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黑体" w:eastAsia="黑体"/>
          <w:color w:val="auto"/>
          <w:szCs w:val="21"/>
          <w:highlight w:val="none"/>
        </w:rPr>
      </w:pPr>
    </w:p>
    <w:p>
      <w:pPr>
        <w:pStyle w:val="41"/>
        <w:ind w:firstLine="400"/>
        <w:rPr>
          <w:color w:val="auto"/>
          <w:highlight w:val="none"/>
        </w:rPr>
      </w:pPr>
    </w:p>
    <w:p>
      <w:pPr>
        <w:rPr>
          <w:color w:val="auto"/>
          <w:highlight w:val="none"/>
        </w:rPr>
      </w:pPr>
      <w:bookmarkStart w:id="262" w:name="_GoBack"/>
      <w:bookmarkEnd w:id="262"/>
    </w:p>
    <w:p>
      <w:pPr>
        <w:rPr>
          <w:color w:val="auto"/>
          <w:highlight w:val="none"/>
        </w:rPr>
      </w:pPr>
    </w:p>
    <w:p>
      <w:pPr>
        <w:rPr>
          <w:color w:val="auto"/>
          <w:highlight w:val="none"/>
        </w:rPr>
      </w:pPr>
    </w:p>
    <w:p>
      <w:pP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公开采购文件</w:t>
      </w:r>
    </w:p>
    <w:p>
      <w:pPr>
        <w:rPr>
          <w:color w:val="auto"/>
          <w:highlight w:val="none"/>
        </w:rPr>
      </w:pPr>
    </w:p>
    <w:p>
      <w:pPr>
        <w:pStyle w:val="2"/>
        <w:rPr>
          <w:color w:val="auto"/>
          <w:highlight w:val="none"/>
        </w:rPr>
      </w:pPr>
    </w:p>
    <w:tbl>
      <w:tblPr>
        <w:tblStyle w:val="3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莞番高速（寮步段）垃圾填埋场治理项目腐殖土二次转运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u w:val="single"/>
                <w:lang w:val="en-US" w:eastAsia="zh-CN"/>
              </w:rPr>
              <w:t xml:space="preserve"> DSKN(2023)-LB-GC-001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广东东实开能能源有限公司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203"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广东泰通伟业工程咨询有限公司</w:t>
            </w:r>
          </w:p>
        </w:tc>
      </w:tr>
    </w:tbl>
    <w:p>
      <w:pPr>
        <w:jc w:val="center"/>
        <w:rPr>
          <w:rFonts w:ascii="黑体" w:eastAsia="黑体"/>
          <w:color w:val="auto"/>
          <w:szCs w:val="21"/>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pStyle w:val="41"/>
        <w:ind w:firstLine="400"/>
        <w:rPr>
          <w:color w:val="auto"/>
          <w:highlight w:val="none"/>
        </w:rPr>
      </w:pPr>
    </w:p>
    <w:p>
      <w:pPr>
        <w:jc w:val="center"/>
        <w:rPr>
          <w:rFonts w:ascii="黑体" w:eastAsia="黑体"/>
          <w:color w:val="auto"/>
          <w:szCs w:val="21"/>
          <w:highlight w:val="none"/>
        </w:rPr>
      </w:pPr>
    </w:p>
    <w:p>
      <w:pPr>
        <w:jc w:val="center"/>
        <w:rPr>
          <w:rFonts w:ascii="黑体" w:eastAsia="黑体"/>
          <w:color w:val="auto"/>
          <w:szCs w:val="21"/>
          <w:highlight w:val="none"/>
        </w:rPr>
      </w:pPr>
    </w:p>
    <w:p>
      <w:pP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hint="eastAsia" w:ascii="黑体" w:hAnsi="黑体" w:eastAsia="黑体" w:cs="黑体"/>
          <w:bCs/>
          <w:color w:val="auto"/>
          <w:sz w:val="32"/>
          <w:szCs w:val="24"/>
          <w:highlight w:val="none"/>
          <w:lang w:val="en-US" w:eastAsia="zh-CN"/>
        </w:rPr>
        <w:t>23</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7</w:t>
      </w:r>
      <w:r>
        <w:rPr>
          <w:rFonts w:hint="eastAsia" w:ascii="黑体" w:hAnsi="黑体" w:eastAsia="黑体" w:cs="黑体"/>
          <w:bCs/>
          <w:color w:val="auto"/>
          <w:sz w:val="32"/>
          <w:szCs w:val="24"/>
          <w:highlight w:val="none"/>
        </w:rPr>
        <w:t>月</w:t>
      </w:r>
    </w:p>
    <w:p>
      <w:pP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pStyle w:val="27"/>
        <w:ind w:left="0" w:leftChars="0"/>
        <w:rPr>
          <w:color w:val="auto"/>
          <w:sz w:val="40"/>
          <w:szCs w:val="40"/>
          <w:highlight w:val="none"/>
        </w:rPr>
      </w:pPr>
      <w:r>
        <w:rPr>
          <w:rFonts w:hint="eastAsia"/>
          <w:color w:val="auto"/>
          <w:sz w:val="40"/>
          <w:szCs w:val="40"/>
          <w:highlight w:val="none"/>
        </w:rPr>
        <w:t>目录</w:t>
      </w:r>
    </w:p>
    <w:p>
      <w:pPr>
        <w:pStyle w:val="27"/>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begin"/>
      </w:r>
      <w:r>
        <w:rPr>
          <w:rFonts w:hint="eastAsia" w:cs="宋体"/>
          <w:color w:val="auto"/>
          <w:sz w:val="21"/>
          <w:szCs w:val="21"/>
          <w:highlight w:val="none"/>
        </w:rPr>
        <w:instrText xml:space="preserve"> TOC \o "1-4" \h \z \u </w:instrText>
      </w:r>
      <w:r>
        <w:rPr>
          <w:rFonts w:hint="eastAsia" w:cs="宋体"/>
          <w:color w:val="auto"/>
          <w:sz w:val="21"/>
          <w:szCs w:val="21"/>
          <w:highlight w:val="none"/>
        </w:rPr>
        <w:fldChar w:fldCharType="separate"/>
      </w:r>
      <w:r>
        <w:rPr>
          <w:color w:val="auto"/>
          <w:highlight w:val="none"/>
        </w:rPr>
        <w:fldChar w:fldCharType="begin"/>
      </w:r>
      <w:r>
        <w:rPr>
          <w:color w:val="auto"/>
          <w:highlight w:val="none"/>
        </w:rPr>
        <w:instrText xml:space="preserve"> HYPERLINK \l "_Toc21044" </w:instrText>
      </w:r>
      <w:r>
        <w:rPr>
          <w:color w:val="auto"/>
          <w:highlight w:val="none"/>
        </w:rPr>
        <w:fldChar w:fldCharType="separate"/>
      </w:r>
      <w:r>
        <w:rPr>
          <w:rFonts w:hint="eastAsia" w:cs="宋体"/>
          <w:color w:val="auto"/>
          <w:sz w:val="21"/>
          <w:szCs w:val="21"/>
          <w:highlight w:val="none"/>
        </w:rPr>
        <w:t>第一部分投标邀请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_Toc21044 \h </w:instrText>
      </w:r>
      <w:r>
        <w:rPr>
          <w:rFonts w:hint="eastAsia" w:cs="宋体"/>
          <w:color w:val="auto"/>
          <w:sz w:val="21"/>
          <w:szCs w:val="21"/>
          <w:highlight w:val="none"/>
        </w:rPr>
        <w:fldChar w:fldCharType="separate"/>
      </w:r>
      <w:r>
        <w:rPr>
          <w:rFonts w:hint="eastAsia" w:cs="宋体"/>
          <w:color w:val="auto"/>
          <w:sz w:val="21"/>
          <w:szCs w:val="21"/>
          <w:highlight w:val="none"/>
        </w:rPr>
        <w:t>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"_Toc8950" </w:instrText>
      </w:r>
      <w:r>
        <w:rPr>
          <w:color w:val="auto"/>
          <w:highlight w:val="none"/>
        </w:rPr>
        <w:fldChar w:fldCharType="separate"/>
      </w:r>
      <w:r>
        <w:rPr>
          <w:rFonts w:hint="eastAsia" w:cs="宋体"/>
          <w:color w:val="auto"/>
          <w:sz w:val="21"/>
          <w:szCs w:val="21"/>
          <w:highlight w:val="none"/>
        </w:rPr>
        <w:t>投标邀请书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_Toc8950 \h </w:instrText>
      </w:r>
      <w:r>
        <w:rPr>
          <w:rFonts w:hint="eastAsia" w:cs="宋体"/>
          <w:color w:val="auto"/>
          <w:sz w:val="21"/>
          <w:szCs w:val="21"/>
          <w:highlight w:val="none"/>
        </w:rPr>
        <w:fldChar w:fldCharType="separate"/>
      </w:r>
      <w:r>
        <w:rPr>
          <w:rFonts w:hint="eastAsia" w:cs="宋体"/>
          <w:color w:val="auto"/>
          <w:sz w:val="21"/>
          <w:szCs w:val="21"/>
          <w:highlight w:val="none"/>
        </w:rPr>
        <w:t>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"_Toc20564" </w:instrText>
      </w:r>
      <w:r>
        <w:rPr>
          <w:color w:val="auto"/>
          <w:highlight w:val="none"/>
        </w:rPr>
        <w:fldChar w:fldCharType="separate"/>
      </w:r>
      <w:r>
        <w:rPr>
          <w:rFonts w:hint="eastAsia" w:cs="宋体"/>
          <w:color w:val="auto"/>
          <w:sz w:val="21"/>
          <w:szCs w:val="21"/>
          <w:highlight w:val="none"/>
        </w:rPr>
        <w:t>第二部分相关资料表格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_Toc20564 \h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"_Toc14333" </w:instrText>
      </w:r>
      <w:r>
        <w:rPr>
          <w:color w:val="auto"/>
          <w:highlight w:val="none"/>
        </w:rPr>
        <w:fldChar w:fldCharType="separate"/>
      </w:r>
      <w:r>
        <w:rPr>
          <w:rFonts w:hint="eastAsia" w:cs="宋体"/>
          <w:color w:val="auto"/>
          <w:sz w:val="21"/>
          <w:szCs w:val="21"/>
          <w:highlight w:val="none"/>
        </w:rPr>
        <w:t>附表一：投标资料表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_Toc14333 \h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"_Toc1445" </w:instrText>
      </w:r>
      <w:r>
        <w:rPr>
          <w:color w:val="auto"/>
          <w:highlight w:val="none"/>
        </w:rPr>
        <w:fldChar w:fldCharType="separate"/>
      </w:r>
      <w:r>
        <w:rPr>
          <w:rFonts w:hint="eastAsia" w:cs="宋体"/>
          <w:color w:val="auto"/>
          <w:sz w:val="21"/>
          <w:szCs w:val="21"/>
          <w:highlight w:val="none"/>
        </w:rPr>
        <w:t>附表二：商务技术评分及价格权重表（满分100分）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_Toc1445 \h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"_Toc21237" </w:instrText>
      </w:r>
      <w:r>
        <w:rPr>
          <w:color w:val="auto"/>
          <w:highlight w:val="none"/>
        </w:rPr>
        <w:fldChar w:fldCharType="separate"/>
      </w:r>
      <w:r>
        <w:rPr>
          <w:rFonts w:hint="eastAsia" w:cs="宋体"/>
          <w:color w:val="auto"/>
          <w:sz w:val="21"/>
          <w:szCs w:val="21"/>
          <w:highlight w:val="none"/>
        </w:rPr>
        <w:t>第三部分用户需求书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_Toc21237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"_Toc15266" </w:instrText>
      </w:r>
      <w:r>
        <w:rPr>
          <w:color w:val="auto"/>
          <w:highlight w:val="none"/>
        </w:rPr>
        <w:fldChar w:fldCharType="separate"/>
      </w:r>
      <w:r>
        <w:rPr>
          <w:rFonts w:hint="eastAsia" w:cs="宋体"/>
          <w:color w:val="auto"/>
          <w:sz w:val="21"/>
          <w:szCs w:val="21"/>
          <w:highlight w:val="none"/>
        </w:rPr>
        <w:t>第一章 商务需求书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_Toc15266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"_Toc30066" </w:instrText>
      </w:r>
      <w:r>
        <w:rPr>
          <w:color w:val="auto"/>
          <w:highlight w:val="none"/>
        </w:rPr>
        <w:fldChar w:fldCharType="separate"/>
      </w:r>
      <w:r>
        <w:rPr>
          <w:rFonts w:hint="eastAsia" w:cs="宋体"/>
          <w:color w:val="auto"/>
          <w:sz w:val="21"/>
          <w:szCs w:val="21"/>
          <w:highlight w:val="none"/>
        </w:rPr>
        <w:t>第二章 技术需求书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_Toc30066 \h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"_Toc31595" </w:instrText>
      </w:r>
      <w:r>
        <w:rPr>
          <w:color w:val="auto"/>
          <w:highlight w:val="none"/>
        </w:rPr>
        <w:fldChar w:fldCharType="separate"/>
      </w:r>
      <w:r>
        <w:rPr>
          <w:rFonts w:hint="eastAsia" w:cs="宋体"/>
          <w:color w:val="auto"/>
          <w:sz w:val="21"/>
          <w:szCs w:val="21"/>
          <w:highlight w:val="none"/>
        </w:rPr>
        <w:t>第四部分投标人须知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_Toc31595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"_Toc25201" </w:instrText>
      </w:r>
      <w:r>
        <w:rPr>
          <w:color w:val="auto"/>
          <w:highlight w:val="none"/>
        </w:rPr>
        <w:fldChar w:fldCharType="separate"/>
      </w:r>
      <w:r>
        <w:rPr>
          <w:rFonts w:cs="宋体"/>
          <w:color w:val="auto"/>
          <w:sz w:val="21"/>
          <w:szCs w:val="21"/>
          <w:highlight w:val="none"/>
        </w:rPr>
        <w:t xml:space="preserve">一、 </w:t>
      </w:r>
      <w:r>
        <w:rPr>
          <w:rFonts w:hint="eastAsia" w:cs="宋体"/>
          <w:color w:val="auto"/>
          <w:sz w:val="21"/>
          <w:szCs w:val="21"/>
          <w:highlight w:val="none"/>
        </w:rPr>
        <w:t>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_Toc25201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"_Toc18690" </w:instrText>
      </w:r>
      <w:r>
        <w:rPr>
          <w:color w:val="auto"/>
          <w:highlight w:val="none"/>
        </w:rPr>
        <w:fldChar w:fldCharType="separate"/>
      </w:r>
      <w:r>
        <w:rPr>
          <w:rFonts w:cs="宋体"/>
          <w:color w:val="auto"/>
          <w:sz w:val="21"/>
          <w:szCs w:val="21"/>
          <w:highlight w:val="none"/>
        </w:rPr>
        <w:t xml:space="preserve">1. </w:t>
      </w:r>
      <w:r>
        <w:rPr>
          <w:rFonts w:hint="eastAsia" w:cs="宋体"/>
          <w:color w:val="auto"/>
          <w:sz w:val="21"/>
          <w:szCs w:val="21"/>
          <w:highlight w:val="none"/>
        </w:rPr>
        <w:t>适用范围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_Toc18690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"_Toc28435" </w:instrText>
      </w:r>
      <w:r>
        <w:rPr>
          <w:color w:val="auto"/>
          <w:highlight w:val="none"/>
        </w:rPr>
        <w:fldChar w:fldCharType="separate"/>
      </w:r>
      <w:r>
        <w:rPr>
          <w:rFonts w:cs="宋体"/>
          <w:color w:val="auto"/>
          <w:sz w:val="21"/>
          <w:szCs w:val="21"/>
          <w:highlight w:val="none"/>
        </w:rPr>
        <w:t xml:space="preserve">2. </w:t>
      </w:r>
      <w:r>
        <w:rPr>
          <w:rFonts w:hint="eastAsia" w:cs="宋体"/>
          <w:color w:val="auto"/>
          <w:sz w:val="21"/>
          <w:szCs w:val="21"/>
          <w:highlight w:val="none"/>
        </w:rPr>
        <w:t>定义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_Toc28435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"_Toc10625" </w:instrText>
      </w:r>
      <w:r>
        <w:rPr>
          <w:color w:val="auto"/>
          <w:highlight w:val="none"/>
        </w:rPr>
        <w:fldChar w:fldCharType="separate"/>
      </w:r>
      <w:r>
        <w:rPr>
          <w:rFonts w:cs="宋体"/>
          <w:color w:val="auto"/>
          <w:sz w:val="21"/>
          <w:szCs w:val="21"/>
          <w:highlight w:val="none"/>
        </w:rPr>
        <w:t xml:space="preserve">3. </w:t>
      </w:r>
      <w:r>
        <w:rPr>
          <w:rFonts w:hint="eastAsia" w:cs="宋体"/>
          <w:color w:val="auto"/>
          <w:sz w:val="21"/>
          <w:szCs w:val="21"/>
          <w:highlight w:val="none"/>
        </w:rPr>
        <w:t>货物和服务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_Toc10625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"_Toc1673" </w:instrText>
      </w:r>
      <w:r>
        <w:rPr>
          <w:color w:val="auto"/>
          <w:highlight w:val="none"/>
        </w:rPr>
        <w:fldChar w:fldCharType="separate"/>
      </w:r>
      <w:r>
        <w:rPr>
          <w:rFonts w:cs="宋体"/>
          <w:color w:val="auto"/>
          <w:sz w:val="21"/>
          <w:szCs w:val="21"/>
          <w:highlight w:val="none"/>
        </w:rPr>
        <w:t xml:space="preserve">4. </w:t>
      </w:r>
      <w:r>
        <w:rPr>
          <w:rFonts w:hint="eastAsia" w:cs="宋体"/>
          <w:color w:val="auto"/>
          <w:sz w:val="21"/>
          <w:szCs w:val="21"/>
          <w:highlight w:val="none"/>
        </w:rPr>
        <w:t>投标费用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_Toc1673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"_Toc21477" </w:instrText>
      </w:r>
      <w:r>
        <w:rPr>
          <w:color w:val="auto"/>
          <w:highlight w:val="none"/>
        </w:rPr>
        <w:fldChar w:fldCharType="separate"/>
      </w:r>
      <w:r>
        <w:rPr>
          <w:rFonts w:cs="宋体"/>
          <w:color w:val="auto"/>
          <w:sz w:val="21"/>
          <w:szCs w:val="21"/>
          <w:highlight w:val="none"/>
        </w:rPr>
        <w:t xml:space="preserve">5. </w:t>
      </w:r>
      <w:r>
        <w:rPr>
          <w:rFonts w:hint="eastAsia" w:cs="宋体"/>
          <w:color w:val="auto"/>
          <w:sz w:val="21"/>
          <w:szCs w:val="21"/>
          <w:highlight w:val="none"/>
        </w:rPr>
        <w:t>知识产权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_Toc21477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"_Toc25122" </w:instrText>
      </w:r>
      <w:r>
        <w:rPr>
          <w:color w:val="auto"/>
          <w:highlight w:val="none"/>
        </w:rPr>
        <w:fldChar w:fldCharType="separate"/>
      </w:r>
      <w:r>
        <w:rPr>
          <w:rFonts w:cs="宋体"/>
          <w:color w:val="auto"/>
          <w:sz w:val="21"/>
          <w:szCs w:val="21"/>
          <w:highlight w:val="none"/>
        </w:rPr>
        <w:t xml:space="preserve">6. </w:t>
      </w:r>
      <w:r>
        <w:rPr>
          <w:rFonts w:hint="eastAsia" w:cs="宋体"/>
          <w:color w:val="auto"/>
          <w:sz w:val="21"/>
          <w:szCs w:val="21"/>
          <w:highlight w:val="none"/>
        </w:rPr>
        <w:t>关于联合体投标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_Toc25122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"_Toc10603" </w:instrText>
      </w:r>
      <w:r>
        <w:rPr>
          <w:color w:val="auto"/>
          <w:highlight w:val="none"/>
        </w:rPr>
        <w:fldChar w:fldCharType="separate"/>
      </w:r>
      <w:r>
        <w:rPr>
          <w:rFonts w:cs="宋体"/>
          <w:color w:val="auto"/>
          <w:sz w:val="21"/>
          <w:szCs w:val="21"/>
          <w:highlight w:val="none"/>
        </w:rPr>
        <w:t xml:space="preserve">7. </w:t>
      </w:r>
      <w:r>
        <w:rPr>
          <w:rFonts w:hint="eastAsia" w:cs="宋体"/>
          <w:color w:val="auto"/>
          <w:sz w:val="21"/>
          <w:szCs w:val="21"/>
          <w:highlight w:val="none"/>
        </w:rPr>
        <w:t>关于分支机构投标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_Toc10603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"_Toc16068" </w:instrText>
      </w:r>
      <w:r>
        <w:rPr>
          <w:color w:val="auto"/>
          <w:highlight w:val="none"/>
        </w:rPr>
        <w:fldChar w:fldCharType="separate"/>
      </w:r>
      <w:r>
        <w:rPr>
          <w:rFonts w:cs="宋体"/>
          <w:color w:val="auto"/>
          <w:sz w:val="21"/>
          <w:szCs w:val="21"/>
          <w:highlight w:val="none"/>
        </w:rPr>
        <w:t xml:space="preserve">8. </w:t>
      </w:r>
      <w:r>
        <w:rPr>
          <w:rFonts w:hint="eastAsia" w:cs="宋体"/>
          <w:color w:val="auto"/>
          <w:sz w:val="21"/>
          <w:szCs w:val="21"/>
          <w:highlight w:val="none"/>
        </w:rPr>
        <w:t>踏勘现场</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_Toc16068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"_Toc14732" </w:instrText>
      </w:r>
      <w:r>
        <w:rPr>
          <w:color w:val="auto"/>
          <w:highlight w:val="none"/>
        </w:rPr>
        <w:fldChar w:fldCharType="separate"/>
      </w:r>
      <w:r>
        <w:rPr>
          <w:rFonts w:cs="宋体"/>
          <w:color w:val="auto"/>
          <w:sz w:val="21"/>
          <w:szCs w:val="21"/>
          <w:highlight w:val="none"/>
        </w:rPr>
        <w:t xml:space="preserve">二、 </w:t>
      </w:r>
      <w:r>
        <w:rPr>
          <w:rFonts w:hint="eastAsia" w:cs="宋体"/>
          <w:color w:val="auto"/>
          <w:sz w:val="21"/>
          <w:szCs w:val="21"/>
          <w:highlight w:val="none"/>
        </w:rPr>
        <w:t>采购文件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_Toc14732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"_Toc25451" </w:instrText>
      </w:r>
      <w:r>
        <w:rPr>
          <w:color w:val="auto"/>
          <w:highlight w:val="none"/>
        </w:rPr>
        <w:fldChar w:fldCharType="separate"/>
      </w:r>
      <w:r>
        <w:rPr>
          <w:rFonts w:cs="宋体"/>
          <w:color w:val="auto"/>
          <w:sz w:val="21"/>
          <w:szCs w:val="21"/>
          <w:highlight w:val="none"/>
        </w:rPr>
        <w:t xml:space="preserve">9. </w:t>
      </w:r>
      <w:r>
        <w:rPr>
          <w:rFonts w:hint="eastAsia" w:cs="宋体"/>
          <w:color w:val="auto"/>
          <w:sz w:val="21"/>
          <w:szCs w:val="21"/>
          <w:highlight w:val="none"/>
        </w:rPr>
        <w:t>采购文件的组成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_Toc25451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"_Toc30490" </w:instrText>
      </w:r>
      <w:r>
        <w:rPr>
          <w:color w:val="auto"/>
          <w:highlight w:val="none"/>
        </w:rPr>
        <w:fldChar w:fldCharType="separate"/>
      </w:r>
      <w:r>
        <w:rPr>
          <w:rFonts w:cs="宋体"/>
          <w:color w:val="auto"/>
          <w:sz w:val="21"/>
          <w:szCs w:val="21"/>
          <w:highlight w:val="none"/>
        </w:rPr>
        <w:t xml:space="preserve">10. </w:t>
      </w:r>
      <w:r>
        <w:rPr>
          <w:rFonts w:hint="eastAsia" w:cs="宋体"/>
          <w:color w:val="auto"/>
          <w:sz w:val="21"/>
          <w:szCs w:val="21"/>
          <w:highlight w:val="none"/>
        </w:rPr>
        <w:t>采购文件的澄清或修改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_Toc30490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"_Toc10333" </w:instrText>
      </w:r>
      <w:r>
        <w:rPr>
          <w:color w:val="auto"/>
          <w:highlight w:val="none"/>
        </w:rPr>
        <w:fldChar w:fldCharType="separate"/>
      </w:r>
      <w:r>
        <w:rPr>
          <w:rFonts w:cs="宋体"/>
          <w:color w:val="auto"/>
          <w:sz w:val="21"/>
          <w:szCs w:val="21"/>
          <w:highlight w:val="none"/>
        </w:rPr>
        <w:t xml:space="preserve">三、 </w:t>
      </w:r>
      <w:r>
        <w:rPr>
          <w:rFonts w:hint="eastAsia" w:cs="宋体"/>
          <w:color w:val="auto"/>
          <w:sz w:val="21"/>
          <w:szCs w:val="21"/>
          <w:highlight w:val="none"/>
        </w:rPr>
        <w:t>投标文件的编制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_Toc10333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"_Toc12048" </w:instrText>
      </w:r>
      <w:r>
        <w:rPr>
          <w:color w:val="auto"/>
          <w:highlight w:val="none"/>
        </w:rPr>
        <w:fldChar w:fldCharType="separate"/>
      </w:r>
      <w:r>
        <w:rPr>
          <w:rFonts w:cs="宋体"/>
          <w:color w:val="auto"/>
          <w:sz w:val="21"/>
          <w:szCs w:val="21"/>
          <w:highlight w:val="none"/>
        </w:rPr>
        <w:t xml:space="preserve">11. </w:t>
      </w:r>
      <w:r>
        <w:rPr>
          <w:rFonts w:hint="eastAsia" w:cs="宋体"/>
          <w:color w:val="auto"/>
          <w:sz w:val="21"/>
          <w:szCs w:val="21"/>
          <w:highlight w:val="none"/>
        </w:rPr>
        <w:t>投标文件的语言及度量衡单位</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_Toc12048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"_Toc27953" </w:instrText>
      </w:r>
      <w:r>
        <w:rPr>
          <w:color w:val="auto"/>
          <w:highlight w:val="none"/>
        </w:rPr>
        <w:fldChar w:fldCharType="separate"/>
      </w:r>
      <w:r>
        <w:rPr>
          <w:rFonts w:cs="宋体"/>
          <w:color w:val="auto"/>
          <w:sz w:val="21"/>
          <w:szCs w:val="21"/>
          <w:highlight w:val="none"/>
        </w:rPr>
        <w:t xml:space="preserve">12. </w:t>
      </w:r>
      <w:r>
        <w:rPr>
          <w:rFonts w:hint="eastAsia" w:cs="宋体"/>
          <w:color w:val="auto"/>
          <w:sz w:val="21"/>
          <w:szCs w:val="21"/>
          <w:highlight w:val="none"/>
        </w:rPr>
        <w:t>投标文件的组成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_Toc27953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"_Toc5904" </w:instrText>
      </w:r>
      <w:r>
        <w:rPr>
          <w:color w:val="auto"/>
          <w:highlight w:val="none"/>
        </w:rPr>
        <w:fldChar w:fldCharType="separate"/>
      </w:r>
      <w:r>
        <w:rPr>
          <w:rFonts w:cs="宋体"/>
          <w:color w:val="auto"/>
          <w:sz w:val="21"/>
          <w:szCs w:val="21"/>
          <w:highlight w:val="none"/>
        </w:rPr>
        <w:t xml:space="preserve">13. </w:t>
      </w:r>
      <w:r>
        <w:rPr>
          <w:rFonts w:hint="eastAsia" w:cs="宋体"/>
          <w:color w:val="auto"/>
          <w:sz w:val="21"/>
          <w:szCs w:val="21"/>
          <w:highlight w:val="none"/>
        </w:rPr>
        <w:t>投标文件编制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_Toc5904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"_Toc7134" </w:instrText>
      </w:r>
      <w:r>
        <w:rPr>
          <w:color w:val="auto"/>
          <w:highlight w:val="none"/>
        </w:rPr>
        <w:fldChar w:fldCharType="separate"/>
      </w:r>
      <w:r>
        <w:rPr>
          <w:rFonts w:cs="宋体"/>
          <w:color w:val="auto"/>
          <w:sz w:val="21"/>
          <w:szCs w:val="21"/>
          <w:highlight w:val="none"/>
        </w:rPr>
        <w:t xml:space="preserve">14. </w:t>
      </w:r>
      <w:r>
        <w:rPr>
          <w:rFonts w:hint="eastAsia" w:cs="宋体"/>
          <w:color w:val="auto"/>
          <w:sz w:val="21"/>
          <w:szCs w:val="21"/>
          <w:highlight w:val="none"/>
        </w:rPr>
        <w:t>投标报价说明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_Toc7134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"_Toc14501" </w:instrText>
      </w:r>
      <w:r>
        <w:rPr>
          <w:color w:val="auto"/>
          <w:highlight w:val="none"/>
        </w:rPr>
        <w:fldChar w:fldCharType="separate"/>
      </w:r>
      <w:r>
        <w:rPr>
          <w:rFonts w:cs="宋体"/>
          <w:color w:val="auto"/>
          <w:sz w:val="21"/>
          <w:szCs w:val="21"/>
          <w:highlight w:val="none"/>
        </w:rPr>
        <w:t xml:space="preserve">15. </w:t>
      </w:r>
      <w:r>
        <w:rPr>
          <w:rFonts w:hint="eastAsia" w:cs="宋体"/>
          <w:color w:val="auto"/>
          <w:sz w:val="21"/>
          <w:szCs w:val="21"/>
          <w:highlight w:val="none"/>
        </w:rPr>
        <w:t>投标人所提供的服务或货物的证明文件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_Toc14501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"_Toc2409" </w:instrText>
      </w:r>
      <w:r>
        <w:rPr>
          <w:color w:val="auto"/>
          <w:highlight w:val="none"/>
        </w:rPr>
        <w:fldChar w:fldCharType="separate"/>
      </w:r>
      <w:r>
        <w:rPr>
          <w:rFonts w:cs="宋体"/>
          <w:color w:val="auto"/>
          <w:sz w:val="21"/>
          <w:szCs w:val="21"/>
          <w:highlight w:val="none"/>
        </w:rPr>
        <w:t xml:space="preserve">16. </w:t>
      </w:r>
      <w:r>
        <w:rPr>
          <w:rFonts w:hint="eastAsia" w:cs="宋体"/>
          <w:color w:val="auto"/>
          <w:sz w:val="21"/>
          <w:szCs w:val="21"/>
          <w:highlight w:val="none"/>
        </w:rPr>
        <w:t>投标有效期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_Toc2409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"_Toc26564" </w:instrText>
      </w:r>
      <w:r>
        <w:rPr>
          <w:color w:val="auto"/>
          <w:highlight w:val="none"/>
        </w:rPr>
        <w:fldChar w:fldCharType="separate"/>
      </w:r>
      <w:r>
        <w:rPr>
          <w:rFonts w:cs="宋体"/>
          <w:color w:val="auto"/>
          <w:sz w:val="21"/>
          <w:szCs w:val="21"/>
          <w:highlight w:val="none"/>
        </w:rPr>
        <w:t xml:space="preserve">17. </w:t>
      </w:r>
      <w:r>
        <w:rPr>
          <w:rFonts w:hint="eastAsia" w:cs="宋体"/>
          <w:color w:val="auto"/>
          <w:sz w:val="21"/>
          <w:szCs w:val="21"/>
          <w:highlight w:val="none"/>
        </w:rPr>
        <w:t>投标保证金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_Toc26564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"_Toc18672" </w:instrText>
      </w:r>
      <w:r>
        <w:rPr>
          <w:color w:val="auto"/>
          <w:highlight w:val="none"/>
        </w:rPr>
        <w:fldChar w:fldCharType="separate"/>
      </w:r>
      <w:r>
        <w:rPr>
          <w:rFonts w:cs="宋体"/>
          <w:color w:val="auto"/>
          <w:sz w:val="21"/>
          <w:szCs w:val="21"/>
          <w:highlight w:val="none"/>
        </w:rPr>
        <w:t xml:space="preserve">四、 </w:t>
      </w:r>
      <w:r>
        <w:rPr>
          <w:rFonts w:hint="eastAsia" w:cs="宋体"/>
          <w:color w:val="auto"/>
          <w:sz w:val="21"/>
          <w:szCs w:val="21"/>
          <w:highlight w:val="none"/>
        </w:rPr>
        <w:t>投标文件的递交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_Toc18672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"_Toc9759" </w:instrText>
      </w:r>
      <w:r>
        <w:rPr>
          <w:color w:val="auto"/>
          <w:highlight w:val="none"/>
        </w:rPr>
        <w:fldChar w:fldCharType="separate"/>
      </w:r>
      <w:r>
        <w:rPr>
          <w:rFonts w:cs="宋体"/>
          <w:color w:val="auto"/>
          <w:sz w:val="21"/>
          <w:szCs w:val="21"/>
          <w:highlight w:val="none"/>
        </w:rPr>
        <w:t xml:space="preserve">18. </w:t>
      </w:r>
      <w:r>
        <w:rPr>
          <w:rFonts w:hint="eastAsia" w:cs="宋体"/>
          <w:color w:val="auto"/>
          <w:sz w:val="21"/>
          <w:szCs w:val="21"/>
          <w:highlight w:val="none"/>
        </w:rPr>
        <w:t>投标文件的装订，签署，密封和标记</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_Toc9759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"_Toc27686" </w:instrText>
      </w:r>
      <w:r>
        <w:rPr>
          <w:color w:val="auto"/>
          <w:highlight w:val="none"/>
        </w:rPr>
        <w:fldChar w:fldCharType="separate"/>
      </w:r>
      <w:r>
        <w:rPr>
          <w:rFonts w:cs="宋体"/>
          <w:color w:val="auto"/>
          <w:sz w:val="21"/>
          <w:szCs w:val="21"/>
          <w:highlight w:val="none"/>
        </w:rPr>
        <w:t xml:space="preserve">19. </w:t>
      </w:r>
      <w:r>
        <w:rPr>
          <w:rFonts w:hint="eastAsia" w:cs="宋体"/>
          <w:color w:val="auto"/>
          <w:sz w:val="21"/>
          <w:szCs w:val="21"/>
          <w:highlight w:val="none"/>
        </w:rPr>
        <w:t>迟交的投标文件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_Toc27686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"_Toc8776" </w:instrText>
      </w:r>
      <w:r>
        <w:rPr>
          <w:color w:val="auto"/>
          <w:highlight w:val="none"/>
        </w:rPr>
        <w:fldChar w:fldCharType="separate"/>
      </w:r>
      <w:r>
        <w:rPr>
          <w:rFonts w:cs="宋体"/>
          <w:color w:val="auto"/>
          <w:sz w:val="21"/>
          <w:szCs w:val="21"/>
          <w:highlight w:val="none"/>
        </w:rPr>
        <w:t xml:space="preserve">20. </w:t>
      </w:r>
      <w:r>
        <w:rPr>
          <w:rFonts w:hint="eastAsia" w:cs="宋体"/>
          <w:color w:val="auto"/>
          <w:sz w:val="21"/>
          <w:szCs w:val="21"/>
          <w:highlight w:val="none"/>
        </w:rPr>
        <w:t>投标样品（如需提交）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_Toc8776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"_Toc17522" </w:instrText>
      </w:r>
      <w:r>
        <w:rPr>
          <w:color w:val="auto"/>
          <w:highlight w:val="none"/>
        </w:rPr>
        <w:fldChar w:fldCharType="separate"/>
      </w:r>
      <w:r>
        <w:rPr>
          <w:rFonts w:cs="宋体"/>
          <w:color w:val="auto"/>
          <w:sz w:val="21"/>
          <w:szCs w:val="21"/>
          <w:highlight w:val="none"/>
        </w:rPr>
        <w:t xml:space="preserve">21. </w:t>
      </w:r>
      <w:r>
        <w:rPr>
          <w:rFonts w:hint="eastAsia" w:cs="宋体"/>
          <w:color w:val="auto"/>
          <w:sz w:val="21"/>
          <w:szCs w:val="21"/>
          <w:highlight w:val="none"/>
        </w:rPr>
        <w:t>投标截止期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_Toc17522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"_Toc14518" </w:instrText>
      </w:r>
      <w:r>
        <w:rPr>
          <w:color w:val="auto"/>
          <w:highlight w:val="none"/>
        </w:rPr>
        <w:fldChar w:fldCharType="separate"/>
      </w:r>
      <w:r>
        <w:rPr>
          <w:rFonts w:cs="宋体"/>
          <w:color w:val="auto"/>
          <w:sz w:val="21"/>
          <w:szCs w:val="21"/>
          <w:highlight w:val="none"/>
        </w:rPr>
        <w:t xml:space="preserve">22. </w:t>
      </w:r>
      <w:r>
        <w:rPr>
          <w:rFonts w:hint="eastAsia" w:cs="宋体"/>
          <w:color w:val="auto"/>
          <w:sz w:val="21"/>
          <w:szCs w:val="21"/>
          <w:highlight w:val="none"/>
        </w:rPr>
        <w:t>投标文件的补充、修改与撤回</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_Toc14518 \h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"_Toc4693" </w:instrText>
      </w:r>
      <w:r>
        <w:rPr>
          <w:color w:val="auto"/>
          <w:highlight w:val="none"/>
        </w:rPr>
        <w:fldChar w:fldCharType="separate"/>
      </w:r>
      <w:r>
        <w:rPr>
          <w:rFonts w:cs="宋体"/>
          <w:color w:val="auto"/>
          <w:sz w:val="21"/>
          <w:szCs w:val="21"/>
          <w:highlight w:val="none"/>
        </w:rPr>
        <w:t xml:space="preserve">五、 </w:t>
      </w:r>
      <w:r>
        <w:rPr>
          <w:rFonts w:hint="eastAsia" w:cs="宋体"/>
          <w:color w:val="auto"/>
          <w:sz w:val="21"/>
          <w:szCs w:val="21"/>
          <w:highlight w:val="none"/>
        </w:rPr>
        <w:t>开标与评标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_Toc4693 \h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"_Toc20009" </w:instrText>
      </w:r>
      <w:r>
        <w:rPr>
          <w:color w:val="auto"/>
          <w:highlight w:val="none"/>
        </w:rPr>
        <w:fldChar w:fldCharType="separate"/>
      </w:r>
      <w:r>
        <w:rPr>
          <w:rFonts w:cs="宋体"/>
          <w:color w:val="auto"/>
          <w:sz w:val="21"/>
          <w:szCs w:val="21"/>
          <w:highlight w:val="none"/>
        </w:rPr>
        <w:t xml:space="preserve">23. </w:t>
      </w:r>
      <w:r>
        <w:rPr>
          <w:rFonts w:hint="eastAsia" w:cs="宋体"/>
          <w:color w:val="auto"/>
          <w:sz w:val="21"/>
          <w:szCs w:val="21"/>
          <w:highlight w:val="none"/>
        </w:rPr>
        <w:t>开标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_Toc20009 \h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"_Toc15560" </w:instrText>
      </w:r>
      <w:r>
        <w:rPr>
          <w:color w:val="auto"/>
          <w:highlight w:val="none"/>
        </w:rPr>
        <w:fldChar w:fldCharType="separate"/>
      </w:r>
      <w:r>
        <w:rPr>
          <w:rFonts w:cs="宋体"/>
          <w:color w:val="auto"/>
          <w:sz w:val="21"/>
          <w:szCs w:val="21"/>
          <w:highlight w:val="none"/>
        </w:rPr>
        <w:t xml:space="preserve">24. </w:t>
      </w:r>
      <w:r>
        <w:rPr>
          <w:rFonts w:hint="eastAsia" w:cs="宋体"/>
          <w:color w:val="auto"/>
          <w:sz w:val="21"/>
          <w:szCs w:val="21"/>
          <w:highlight w:val="none"/>
        </w:rPr>
        <w:t>评标委员会及评标方法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_Toc15560 \h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cs="宋体"/>
          <w:color w:val="auto"/>
          <w:sz w:val="21"/>
          <w:szCs w:val="21"/>
          <w:highlight w:val="none"/>
        </w:rPr>
        <w:t xml:space="preserve">25. </w:t>
      </w:r>
      <w:r>
        <w:rPr>
          <w:rFonts w:hint="eastAsia" w:cs="宋体"/>
          <w:color w:val="auto"/>
          <w:sz w:val="21"/>
          <w:szCs w:val="21"/>
          <w:highlight w:val="none"/>
        </w:rPr>
        <w:t>评审原则及评标过程的保密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_Toc22022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"_Toc14506" </w:instrText>
      </w:r>
      <w:r>
        <w:rPr>
          <w:color w:val="auto"/>
          <w:highlight w:val="none"/>
        </w:rPr>
        <w:fldChar w:fldCharType="separate"/>
      </w:r>
      <w:r>
        <w:rPr>
          <w:rFonts w:cs="宋体"/>
          <w:color w:val="auto"/>
          <w:sz w:val="21"/>
          <w:szCs w:val="21"/>
          <w:highlight w:val="none"/>
        </w:rPr>
        <w:t xml:space="preserve">26. </w:t>
      </w:r>
      <w:r>
        <w:rPr>
          <w:rFonts w:hint="eastAsia" w:cs="宋体"/>
          <w:color w:val="auto"/>
          <w:sz w:val="21"/>
          <w:szCs w:val="21"/>
          <w:highlight w:val="none"/>
        </w:rPr>
        <w:t>评标程序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_Toc14506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"_Toc11415" </w:instrText>
      </w:r>
      <w:r>
        <w:rPr>
          <w:color w:val="auto"/>
          <w:highlight w:val="none"/>
        </w:rPr>
        <w:fldChar w:fldCharType="separate"/>
      </w:r>
      <w:r>
        <w:rPr>
          <w:rFonts w:cs="宋体"/>
          <w:color w:val="auto"/>
          <w:sz w:val="21"/>
          <w:szCs w:val="21"/>
          <w:highlight w:val="none"/>
        </w:rPr>
        <w:t xml:space="preserve">27. </w:t>
      </w:r>
      <w:r>
        <w:rPr>
          <w:rFonts w:hint="eastAsia" w:cs="宋体"/>
          <w:color w:val="auto"/>
          <w:sz w:val="21"/>
          <w:szCs w:val="21"/>
          <w:highlight w:val="none"/>
        </w:rPr>
        <w:t>商务、技术、价格评审（具体评审项目详见投标资料表）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_Toc11415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"_Toc18550" </w:instrText>
      </w:r>
      <w:r>
        <w:rPr>
          <w:color w:val="auto"/>
          <w:highlight w:val="none"/>
        </w:rPr>
        <w:fldChar w:fldCharType="separate"/>
      </w:r>
      <w:r>
        <w:rPr>
          <w:rFonts w:cs="宋体"/>
          <w:color w:val="auto"/>
          <w:sz w:val="21"/>
          <w:szCs w:val="21"/>
          <w:highlight w:val="none"/>
        </w:rPr>
        <w:t xml:space="preserve">28. </w:t>
      </w:r>
      <w:r>
        <w:rPr>
          <w:rFonts w:hint="eastAsia" w:cs="宋体"/>
          <w:color w:val="auto"/>
          <w:sz w:val="21"/>
          <w:szCs w:val="21"/>
          <w:highlight w:val="none"/>
        </w:rPr>
        <w:t>纪律和保密事项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_Toc18550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"_Toc27738" </w:instrText>
      </w:r>
      <w:r>
        <w:rPr>
          <w:color w:val="auto"/>
          <w:highlight w:val="none"/>
        </w:rPr>
        <w:fldChar w:fldCharType="separate"/>
      </w:r>
      <w:r>
        <w:rPr>
          <w:rFonts w:cs="宋体"/>
          <w:color w:val="auto"/>
          <w:sz w:val="21"/>
          <w:szCs w:val="21"/>
          <w:highlight w:val="none"/>
        </w:rPr>
        <w:t xml:space="preserve">六、 </w:t>
      </w:r>
      <w:r>
        <w:rPr>
          <w:rFonts w:hint="eastAsia" w:cs="宋体"/>
          <w:color w:val="auto"/>
          <w:sz w:val="21"/>
          <w:szCs w:val="21"/>
          <w:highlight w:val="none"/>
        </w:rPr>
        <w:t>授予合同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_Toc27738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"_Toc16090" </w:instrText>
      </w:r>
      <w:r>
        <w:rPr>
          <w:color w:val="auto"/>
          <w:highlight w:val="none"/>
        </w:rPr>
        <w:fldChar w:fldCharType="separate"/>
      </w:r>
      <w:r>
        <w:rPr>
          <w:rFonts w:cs="宋体"/>
          <w:color w:val="auto"/>
          <w:sz w:val="21"/>
          <w:szCs w:val="21"/>
          <w:highlight w:val="none"/>
        </w:rPr>
        <w:t xml:space="preserve">29. </w:t>
      </w:r>
      <w:r>
        <w:rPr>
          <w:rFonts w:hint="eastAsia" w:cs="宋体"/>
          <w:color w:val="auto"/>
          <w:sz w:val="21"/>
          <w:szCs w:val="21"/>
          <w:highlight w:val="none"/>
        </w:rPr>
        <w:t>合同授予标准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_Toc16090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"_Toc24261" </w:instrText>
      </w:r>
      <w:r>
        <w:rPr>
          <w:color w:val="auto"/>
          <w:highlight w:val="none"/>
        </w:rPr>
        <w:fldChar w:fldCharType="separate"/>
      </w:r>
      <w:r>
        <w:rPr>
          <w:rFonts w:cs="宋体"/>
          <w:color w:val="auto"/>
          <w:sz w:val="21"/>
          <w:szCs w:val="21"/>
          <w:highlight w:val="none"/>
        </w:rPr>
        <w:t xml:space="preserve">30. </w:t>
      </w:r>
      <w:r>
        <w:rPr>
          <w:rFonts w:hint="eastAsia" w:cs="宋体"/>
          <w:color w:val="auto"/>
          <w:sz w:val="21"/>
          <w:szCs w:val="21"/>
          <w:highlight w:val="none"/>
        </w:rPr>
        <w:t>发布中标结果</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_Toc24261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"_Toc749" </w:instrText>
      </w:r>
      <w:r>
        <w:rPr>
          <w:color w:val="auto"/>
          <w:highlight w:val="none"/>
        </w:rPr>
        <w:fldChar w:fldCharType="separate"/>
      </w:r>
      <w:r>
        <w:rPr>
          <w:rFonts w:cs="宋体"/>
          <w:color w:val="auto"/>
          <w:sz w:val="21"/>
          <w:szCs w:val="21"/>
          <w:highlight w:val="none"/>
        </w:rPr>
        <w:t xml:space="preserve">31. </w:t>
      </w:r>
      <w:r>
        <w:rPr>
          <w:rFonts w:hint="eastAsia" w:cs="宋体"/>
          <w:color w:val="auto"/>
          <w:sz w:val="21"/>
          <w:szCs w:val="21"/>
          <w:highlight w:val="none"/>
        </w:rPr>
        <w:t>资格后审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_Toc749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"_Toc27689" </w:instrText>
      </w:r>
      <w:r>
        <w:rPr>
          <w:color w:val="auto"/>
          <w:highlight w:val="none"/>
        </w:rPr>
        <w:fldChar w:fldCharType="separate"/>
      </w:r>
      <w:r>
        <w:rPr>
          <w:rFonts w:cs="宋体"/>
          <w:color w:val="auto"/>
          <w:sz w:val="21"/>
          <w:szCs w:val="21"/>
          <w:highlight w:val="none"/>
        </w:rPr>
        <w:t xml:space="preserve">32. </w:t>
      </w:r>
      <w:r>
        <w:rPr>
          <w:rFonts w:hint="eastAsia" w:cs="宋体"/>
          <w:color w:val="auto"/>
          <w:sz w:val="21"/>
          <w:szCs w:val="21"/>
          <w:highlight w:val="none"/>
        </w:rPr>
        <w:t>合同的签订与履行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_Toc27689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"_Toc19211" </w:instrText>
      </w:r>
      <w:r>
        <w:rPr>
          <w:color w:val="auto"/>
          <w:highlight w:val="none"/>
        </w:rPr>
        <w:fldChar w:fldCharType="separate"/>
      </w:r>
      <w:r>
        <w:rPr>
          <w:rFonts w:cs="宋体"/>
          <w:color w:val="auto"/>
          <w:sz w:val="21"/>
          <w:szCs w:val="21"/>
          <w:highlight w:val="none"/>
        </w:rPr>
        <w:t xml:space="preserve">33. </w:t>
      </w:r>
      <w:r>
        <w:rPr>
          <w:rFonts w:hint="eastAsia" w:cs="宋体"/>
          <w:color w:val="auto"/>
          <w:sz w:val="21"/>
          <w:szCs w:val="21"/>
          <w:highlight w:val="none"/>
        </w:rPr>
        <w:t>履约担保</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_Toc19211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"_Toc19347" </w:instrText>
      </w:r>
      <w:r>
        <w:rPr>
          <w:color w:val="auto"/>
          <w:highlight w:val="none"/>
        </w:rPr>
        <w:fldChar w:fldCharType="separate"/>
      </w:r>
      <w:r>
        <w:rPr>
          <w:rFonts w:cs="宋体"/>
          <w:color w:val="auto"/>
          <w:sz w:val="21"/>
          <w:szCs w:val="21"/>
          <w:highlight w:val="none"/>
        </w:rPr>
        <w:t xml:space="preserve">34. </w:t>
      </w:r>
      <w:r>
        <w:rPr>
          <w:rFonts w:hint="eastAsia" w:cs="宋体"/>
          <w:color w:val="auto"/>
          <w:sz w:val="21"/>
          <w:szCs w:val="21"/>
          <w:highlight w:val="none"/>
        </w:rPr>
        <w:t>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_Toc19347 \h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"_Toc27556" </w:instrText>
      </w:r>
      <w:r>
        <w:rPr>
          <w:color w:val="auto"/>
          <w:highlight w:val="none"/>
        </w:rPr>
        <w:fldChar w:fldCharType="separate"/>
      </w:r>
      <w:r>
        <w:rPr>
          <w:rFonts w:cs="宋体"/>
          <w:color w:val="auto"/>
          <w:sz w:val="21"/>
          <w:szCs w:val="21"/>
          <w:highlight w:val="none"/>
        </w:rPr>
        <w:t xml:space="preserve">七、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_Toc27556 \h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"_Toc31457" </w:instrText>
      </w:r>
      <w:r>
        <w:rPr>
          <w:color w:val="auto"/>
          <w:highlight w:val="none"/>
        </w:rPr>
        <w:fldChar w:fldCharType="separate"/>
      </w:r>
      <w:r>
        <w:rPr>
          <w:rFonts w:cs="宋体"/>
          <w:color w:val="auto"/>
          <w:sz w:val="21"/>
          <w:szCs w:val="21"/>
          <w:highlight w:val="none"/>
        </w:rPr>
        <w:t xml:space="preserve">35. </w:t>
      </w:r>
      <w:r>
        <w:rPr>
          <w:rFonts w:hint="eastAsia" w:cs="宋体"/>
          <w:color w:val="auto"/>
          <w:sz w:val="21"/>
          <w:szCs w:val="21"/>
          <w:highlight w:val="none"/>
        </w:rPr>
        <w:t>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_Toc31457 \h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"_Toc16776" </w:instrText>
      </w:r>
      <w:r>
        <w:rPr>
          <w:color w:val="auto"/>
          <w:highlight w:val="none"/>
        </w:rPr>
        <w:fldChar w:fldCharType="separate"/>
      </w:r>
      <w:r>
        <w:rPr>
          <w:rFonts w:cs="宋体"/>
          <w:color w:val="auto"/>
          <w:sz w:val="21"/>
          <w:szCs w:val="21"/>
          <w:highlight w:val="none"/>
        </w:rPr>
        <w:t xml:space="preserve">八、 </w:t>
      </w:r>
      <w:r>
        <w:rPr>
          <w:rFonts w:hint="eastAsia" w:cs="宋体"/>
          <w:color w:val="auto"/>
          <w:sz w:val="21"/>
          <w:szCs w:val="21"/>
          <w:highlight w:val="none"/>
        </w:rPr>
        <w:t>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_Toc16776 \h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"_Toc2155" </w:instrText>
      </w:r>
      <w:r>
        <w:rPr>
          <w:color w:val="auto"/>
          <w:highlight w:val="none"/>
        </w:rPr>
        <w:fldChar w:fldCharType="separate"/>
      </w:r>
      <w:r>
        <w:rPr>
          <w:rFonts w:cs="宋体"/>
          <w:color w:val="auto"/>
          <w:sz w:val="21"/>
          <w:szCs w:val="21"/>
          <w:highlight w:val="none"/>
        </w:rPr>
        <w:t xml:space="preserve">36. </w:t>
      </w:r>
      <w:r>
        <w:rPr>
          <w:rFonts w:hint="eastAsia" w:cs="宋体"/>
          <w:color w:val="auto"/>
          <w:sz w:val="21"/>
          <w:szCs w:val="21"/>
          <w:highlight w:val="none"/>
        </w:rPr>
        <w:t>采购文件的解释权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_Toc2155 \h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"_Toc15211" </w:instrText>
      </w:r>
      <w:r>
        <w:rPr>
          <w:color w:val="auto"/>
          <w:highlight w:val="none"/>
        </w:rPr>
        <w:fldChar w:fldCharType="separate"/>
      </w:r>
      <w:r>
        <w:rPr>
          <w:rFonts w:hint="eastAsia" w:cs="宋体"/>
          <w:color w:val="auto"/>
          <w:sz w:val="21"/>
          <w:szCs w:val="21"/>
          <w:highlight w:val="none"/>
        </w:rPr>
        <w:t>第五部分  合同条款格式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_Toc15211 \h </w:instrText>
      </w:r>
      <w:r>
        <w:rPr>
          <w:rFonts w:hint="eastAsia" w:cs="宋体"/>
          <w:color w:val="auto"/>
          <w:sz w:val="21"/>
          <w:szCs w:val="21"/>
          <w:highlight w:val="none"/>
        </w:rPr>
        <w:fldChar w:fldCharType="separate"/>
      </w:r>
      <w:r>
        <w:rPr>
          <w:rFonts w:hint="eastAsia" w:cs="宋体"/>
          <w:color w:val="auto"/>
          <w:sz w:val="21"/>
          <w:szCs w:val="21"/>
          <w:highlight w:val="none"/>
        </w:rPr>
        <w:t>48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"_Toc17124" </w:instrText>
      </w:r>
      <w:r>
        <w:rPr>
          <w:color w:val="auto"/>
          <w:highlight w:val="none"/>
        </w:rPr>
        <w:fldChar w:fldCharType="separate"/>
      </w:r>
      <w:r>
        <w:rPr>
          <w:rFonts w:hint="eastAsia" w:cs="宋体"/>
          <w:color w:val="auto"/>
          <w:sz w:val="21"/>
          <w:szCs w:val="21"/>
          <w:highlight w:val="none"/>
        </w:rPr>
        <w:t>第六部分附件－投标文件格式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_Toc17124 \h </w:instrText>
      </w:r>
      <w:r>
        <w:rPr>
          <w:rFonts w:hint="eastAsia" w:cs="宋体"/>
          <w:color w:val="auto"/>
          <w:sz w:val="21"/>
          <w:szCs w:val="21"/>
          <w:highlight w:val="none"/>
        </w:rPr>
        <w:fldChar w:fldCharType="separate"/>
      </w:r>
      <w:r>
        <w:rPr>
          <w:rFonts w:hint="eastAsia" w:cs="宋体"/>
          <w:color w:val="auto"/>
          <w:sz w:val="21"/>
          <w:szCs w:val="21"/>
          <w:highlight w:val="none"/>
        </w:rPr>
        <w:t>48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"_Toc25786" </w:instrText>
      </w:r>
      <w:r>
        <w:rPr>
          <w:color w:val="auto"/>
          <w:highlight w:val="none"/>
        </w:rPr>
        <w:fldChar w:fldCharType="separate"/>
      </w:r>
      <w:r>
        <w:rPr>
          <w:rFonts w:hint="eastAsia" w:cs="宋体"/>
          <w:color w:val="auto"/>
          <w:sz w:val="21"/>
          <w:szCs w:val="21"/>
          <w:highlight w:val="none"/>
        </w:rPr>
        <w:t>投标文件目录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_Toc25786 \h </w:instrText>
      </w:r>
      <w:r>
        <w:rPr>
          <w:rFonts w:hint="eastAsia" w:cs="宋体"/>
          <w:color w:val="auto"/>
          <w:sz w:val="21"/>
          <w:szCs w:val="21"/>
          <w:highlight w:val="none"/>
        </w:rPr>
        <w:fldChar w:fldCharType="separate"/>
      </w:r>
      <w:r>
        <w:rPr>
          <w:rFonts w:hint="eastAsia" w:cs="宋体"/>
          <w:color w:val="auto"/>
          <w:sz w:val="21"/>
          <w:szCs w:val="21"/>
          <w:highlight w:val="none"/>
        </w:rPr>
        <w:t>70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"_Toc18792" </w:instrText>
      </w:r>
      <w:r>
        <w:rPr>
          <w:color w:val="auto"/>
          <w:highlight w:val="none"/>
        </w:rPr>
        <w:fldChar w:fldCharType="separate"/>
      </w:r>
      <w:r>
        <w:rPr>
          <w:rFonts w:hint="eastAsia" w:cs="宋体"/>
          <w:color w:val="auto"/>
          <w:sz w:val="21"/>
          <w:szCs w:val="21"/>
          <w:highlight w:val="none"/>
        </w:rPr>
        <w:t>附件1.评分标准索引表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_Toc18792 \h </w:instrText>
      </w:r>
      <w:r>
        <w:rPr>
          <w:rFonts w:hint="eastAsia" w:cs="宋体"/>
          <w:color w:val="auto"/>
          <w:sz w:val="21"/>
          <w:szCs w:val="21"/>
          <w:highlight w:val="none"/>
        </w:rPr>
        <w:fldChar w:fldCharType="separate"/>
      </w:r>
      <w:r>
        <w:rPr>
          <w:rFonts w:hint="eastAsia" w:cs="宋体"/>
          <w:color w:val="auto"/>
          <w:sz w:val="21"/>
          <w:szCs w:val="21"/>
          <w:highlight w:val="none"/>
        </w:rPr>
        <w:t>71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"_Toc9213" </w:instrText>
      </w:r>
      <w:r>
        <w:rPr>
          <w:color w:val="auto"/>
          <w:highlight w:val="none"/>
        </w:rPr>
        <w:fldChar w:fldCharType="separate"/>
      </w:r>
      <w:r>
        <w:rPr>
          <w:rFonts w:hint="eastAsia" w:cs="宋体"/>
          <w:color w:val="auto"/>
          <w:sz w:val="21"/>
          <w:szCs w:val="21"/>
          <w:highlight w:val="none"/>
        </w:rPr>
        <w:t>价格文件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_Toc9213 \h </w:instrText>
      </w:r>
      <w:r>
        <w:rPr>
          <w:rFonts w:hint="eastAsia" w:cs="宋体"/>
          <w:color w:val="auto"/>
          <w:sz w:val="21"/>
          <w:szCs w:val="21"/>
          <w:highlight w:val="none"/>
        </w:rPr>
        <w:fldChar w:fldCharType="separate"/>
      </w:r>
      <w:r>
        <w:rPr>
          <w:rFonts w:hint="eastAsia" w:cs="宋体"/>
          <w:color w:val="auto"/>
          <w:sz w:val="21"/>
          <w:szCs w:val="21"/>
          <w:highlight w:val="none"/>
        </w:rPr>
        <w:t>72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"_Toc1232" </w:instrText>
      </w:r>
      <w:r>
        <w:rPr>
          <w:color w:val="auto"/>
          <w:highlight w:val="none"/>
        </w:rPr>
        <w:fldChar w:fldCharType="separate"/>
      </w:r>
      <w:r>
        <w:rPr>
          <w:rFonts w:hint="eastAsia" w:cs="宋体"/>
          <w:color w:val="auto"/>
          <w:sz w:val="21"/>
          <w:szCs w:val="21"/>
          <w:highlight w:val="none"/>
        </w:rPr>
        <w:t>附件2.开标一览表格式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_Toc1232 \h </w:instrText>
      </w:r>
      <w:r>
        <w:rPr>
          <w:rFonts w:hint="eastAsia" w:cs="宋体"/>
          <w:color w:val="auto"/>
          <w:sz w:val="21"/>
          <w:szCs w:val="21"/>
          <w:highlight w:val="none"/>
        </w:rPr>
        <w:fldChar w:fldCharType="separate"/>
      </w:r>
      <w:r>
        <w:rPr>
          <w:rFonts w:hint="eastAsia" w:cs="宋体"/>
          <w:color w:val="auto"/>
          <w:sz w:val="21"/>
          <w:szCs w:val="21"/>
          <w:highlight w:val="none"/>
        </w:rPr>
        <w:t>73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"_Toc12628" </w:instrText>
      </w:r>
      <w:r>
        <w:rPr>
          <w:color w:val="auto"/>
          <w:highlight w:val="none"/>
        </w:rPr>
        <w:fldChar w:fldCharType="separate"/>
      </w:r>
      <w:r>
        <w:rPr>
          <w:rFonts w:hint="eastAsia" w:cs="宋体"/>
          <w:color w:val="auto"/>
          <w:sz w:val="21"/>
          <w:szCs w:val="21"/>
          <w:highlight w:val="none"/>
        </w:rPr>
        <w:t>附件3.报价明细表格式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_Toc12628 \h </w:instrText>
      </w:r>
      <w:r>
        <w:rPr>
          <w:rFonts w:hint="eastAsia" w:cs="宋体"/>
          <w:color w:val="auto"/>
          <w:sz w:val="21"/>
          <w:szCs w:val="21"/>
          <w:highlight w:val="none"/>
        </w:rPr>
        <w:fldChar w:fldCharType="separate"/>
      </w:r>
      <w:r>
        <w:rPr>
          <w:rFonts w:hint="eastAsia" w:cs="宋体"/>
          <w:color w:val="auto"/>
          <w:sz w:val="21"/>
          <w:szCs w:val="21"/>
          <w:highlight w:val="none"/>
        </w:rPr>
        <w:t>74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"_Toc7358" </w:instrText>
      </w:r>
      <w:r>
        <w:rPr>
          <w:color w:val="auto"/>
          <w:highlight w:val="none"/>
        </w:rPr>
        <w:fldChar w:fldCharType="separate"/>
      </w:r>
      <w:r>
        <w:rPr>
          <w:rFonts w:hint="eastAsia" w:cs="宋体"/>
          <w:color w:val="auto"/>
          <w:sz w:val="21"/>
          <w:szCs w:val="21"/>
          <w:highlight w:val="none"/>
        </w:rPr>
        <w:t>商务文件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_Toc7358 \h </w:instrText>
      </w:r>
      <w:r>
        <w:rPr>
          <w:rFonts w:hint="eastAsia" w:cs="宋体"/>
          <w:color w:val="auto"/>
          <w:sz w:val="21"/>
          <w:szCs w:val="21"/>
          <w:highlight w:val="none"/>
        </w:rPr>
        <w:fldChar w:fldCharType="separate"/>
      </w:r>
      <w:r>
        <w:rPr>
          <w:rFonts w:hint="eastAsia" w:cs="宋体"/>
          <w:color w:val="auto"/>
          <w:sz w:val="21"/>
          <w:szCs w:val="21"/>
          <w:highlight w:val="none"/>
        </w:rPr>
        <w:t>75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"_Toc11732" </w:instrText>
      </w:r>
      <w:r>
        <w:rPr>
          <w:color w:val="auto"/>
          <w:highlight w:val="none"/>
        </w:rPr>
        <w:fldChar w:fldCharType="separate"/>
      </w:r>
      <w:r>
        <w:rPr>
          <w:rFonts w:hint="eastAsia" w:cs="宋体"/>
          <w:color w:val="auto"/>
          <w:sz w:val="21"/>
          <w:szCs w:val="21"/>
          <w:highlight w:val="none"/>
        </w:rPr>
        <w:t>附件4.投标书格式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_Toc11732 \h </w:instrText>
      </w:r>
      <w:r>
        <w:rPr>
          <w:rFonts w:hint="eastAsia" w:cs="宋体"/>
          <w:color w:val="auto"/>
          <w:sz w:val="21"/>
          <w:szCs w:val="21"/>
          <w:highlight w:val="none"/>
        </w:rPr>
        <w:fldChar w:fldCharType="separate"/>
      </w:r>
      <w:r>
        <w:rPr>
          <w:rFonts w:hint="eastAsia" w:cs="宋体"/>
          <w:color w:val="auto"/>
          <w:sz w:val="21"/>
          <w:szCs w:val="21"/>
          <w:highlight w:val="none"/>
        </w:rPr>
        <w:t>76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"_Toc19972" </w:instrText>
      </w:r>
      <w:r>
        <w:rPr>
          <w:color w:val="auto"/>
          <w:highlight w:val="none"/>
        </w:rPr>
        <w:fldChar w:fldCharType="separate"/>
      </w:r>
      <w:r>
        <w:rPr>
          <w:rFonts w:hint="eastAsia" w:cs="宋体"/>
          <w:color w:val="auto"/>
          <w:sz w:val="21"/>
          <w:szCs w:val="21"/>
          <w:highlight w:val="none"/>
        </w:rPr>
        <w:t>附件5. 法定代表人证明书格式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_Toc19972 \h </w:instrText>
      </w:r>
      <w:r>
        <w:rPr>
          <w:rFonts w:hint="eastAsia" w:cs="宋体"/>
          <w:color w:val="auto"/>
          <w:sz w:val="21"/>
          <w:szCs w:val="21"/>
          <w:highlight w:val="none"/>
        </w:rPr>
        <w:fldChar w:fldCharType="separate"/>
      </w:r>
      <w:r>
        <w:rPr>
          <w:rFonts w:hint="eastAsia" w:cs="宋体"/>
          <w:color w:val="auto"/>
          <w:sz w:val="21"/>
          <w:szCs w:val="21"/>
          <w:highlight w:val="none"/>
        </w:rPr>
        <w:t>77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"_Toc19149" </w:instrText>
      </w:r>
      <w:r>
        <w:rPr>
          <w:color w:val="auto"/>
          <w:highlight w:val="none"/>
        </w:rPr>
        <w:fldChar w:fldCharType="separate"/>
      </w:r>
      <w:r>
        <w:rPr>
          <w:rFonts w:hint="eastAsia" w:cs="宋体"/>
          <w:color w:val="auto"/>
          <w:sz w:val="21"/>
          <w:szCs w:val="21"/>
          <w:highlight w:val="none"/>
        </w:rPr>
        <w:t>附件6.法定代表人授权书格式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_Toc19149 \h </w:instrText>
      </w:r>
      <w:r>
        <w:rPr>
          <w:rFonts w:hint="eastAsia" w:cs="宋体"/>
          <w:color w:val="auto"/>
          <w:sz w:val="21"/>
          <w:szCs w:val="21"/>
          <w:highlight w:val="none"/>
        </w:rPr>
        <w:fldChar w:fldCharType="separate"/>
      </w:r>
      <w:r>
        <w:rPr>
          <w:rFonts w:hint="eastAsia" w:cs="宋体"/>
          <w:color w:val="auto"/>
          <w:sz w:val="21"/>
          <w:szCs w:val="21"/>
          <w:highlight w:val="none"/>
        </w:rPr>
        <w:t>78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"_Toc30038" </w:instrText>
      </w:r>
      <w:r>
        <w:rPr>
          <w:color w:val="auto"/>
          <w:highlight w:val="none"/>
        </w:rPr>
        <w:fldChar w:fldCharType="separate"/>
      </w:r>
      <w:r>
        <w:rPr>
          <w:rFonts w:hint="eastAsia" w:cs="宋体"/>
          <w:color w:val="auto"/>
          <w:sz w:val="21"/>
          <w:szCs w:val="21"/>
          <w:highlight w:val="none"/>
        </w:rPr>
        <w:t>附件7.资格申明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_Toc30038 \h </w:instrText>
      </w:r>
      <w:r>
        <w:rPr>
          <w:rFonts w:hint="eastAsia" w:cs="宋体"/>
          <w:color w:val="auto"/>
          <w:sz w:val="21"/>
          <w:szCs w:val="21"/>
          <w:highlight w:val="none"/>
        </w:rPr>
        <w:fldChar w:fldCharType="separate"/>
      </w:r>
      <w:r>
        <w:rPr>
          <w:rFonts w:hint="eastAsia" w:cs="宋体"/>
          <w:color w:val="auto"/>
          <w:sz w:val="21"/>
          <w:szCs w:val="21"/>
          <w:highlight w:val="none"/>
        </w:rPr>
        <w:t>79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"_Toc10305" </w:instrText>
      </w:r>
      <w:r>
        <w:rPr>
          <w:color w:val="auto"/>
          <w:highlight w:val="none"/>
        </w:rPr>
        <w:fldChar w:fldCharType="separate"/>
      </w:r>
      <w:r>
        <w:rPr>
          <w:rFonts w:hint="eastAsia" w:cs="宋体"/>
          <w:color w:val="auto"/>
          <w:sz w:val="21"/>
          <w:szCs w:val="21"/>
          <w:highlight w:val="none"/>
        </w:rPr>
        <w:t>附件8.营业执照</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_Toc10305 \h </w:instrText>
      </w:r>
      <w:r>
        <w:rPr>
          <w:rFonts w:hint="eastAsia" w:cs="宋体"/>
          <w:color w:val="auto"/>
          <w:sz w:val="21"/>
          <w:szCs w:val="21"/>
          <w:highlight w:val="none"/>
        </w:rPr>
        <w:fldChar w:fldCharType="separate"/>
      </w:r>
      <w:r>
        <w:rPr>
          <w:rFonts w:hint="eastAsia" w:cs="宋体"/>
          <w:color w:val="auto"/>
          <w:sz w:val="21"/>
          <w:szCs w:val="21"/>
          <w:highlight w:val="none"/>
        </w:rPr>
        <w:t>80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"_Toc30816" </w:instrText>
      </w:r>
      <w:r>
        <w:rPr>
          <w:color w:val="auto"/>
          <w:highlight w:val="none"/>
        </w:rPr>
        <w:fldChar w:fldCharType="separate"/>
      </w:r>
      <w:r>
        <w:rPr>
          <w:rFonts w:hint="eastAsia" w:cs="宋体"/>
          <w:color w:val="auto"/>
          <w:sz w:val="21"/>
          <w:szCs w:val="21"/>
          <w:highlight w:val="none"/>
        </w:rPr>
        <w:t>附件9.相关资质证明文件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_Toc30816 \h </w:instrText>
      </w:r>
      <w:r>
        <w:rPr>
          <w:rFonts w:hint="eastAsia" w:cs="宋体"/>
          <w:color w:val="auto"/>
          <w:sz w:val="21"/>
          <w:szCs w:val="21"/>
          <w:highlight w:val="none"/>
        </w:rPr>
        <w:fldChar w:fldCharType="separate"/>
      </w:r>
      <w:r>
        <w:rPr>
          <w:rFonts w:hint="eastAsia" w:cs="宋体"/>
          <w:color w:val="auto"/>
          <w:sz w:val="21"/>
          <w:szCs w:val="21"/>
          <w:highlight w:val="none"/>
        </w:rPr>
        <w:t>81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"_Toc3091" </w:instrText>
      </w:r>
      <w:r>
        <w:rPr>
          <w:color w:val="auto"/>
          <w:highlight w:val="none"/>
        </w:rPr>
        <w:fldChar w:fldCharType="separate"/>
      </w:r>
      <w:r>
        <w:rPr>
          <w:rFonts w:hint="eastAsia" w:cs="宋体"/>
          <w:color w:val="auto"/>
          <w:sz w:val="21"/>
          <w:szCs w:val="21"/>
          <w:highlight w:val="none"/>
        </w:rPr>
        <w:t>附件10.在经营活动中没有重大违法记录的书面声明格式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_Toc3091 \h </w:instrText>
      </w:r>
      <w:r>
        <w:rPr>
          <w:rFonts w:hint="eastAsia" w:cs="宋体"/>
          <w:color w:val="auto"/>
          <w:sz w:val="21"/>
          <w:szCs w:val="21"/>
          <w:highlight w:val="none"/>
        </w:rPr>
        <w:fldChar w:fldCharType="separate"/>
      </w:r>
      <w:r>
        <w:rPr>
          <w:rFonts w:hint="eastAsia" w:cs="宋体"/>
          <w:color w:val="auto"/>
          <w:sz w:val="21"/>
          <w:szCs w:val="21"/>
          <w:highlight w:val="none"/>
        </w:rPr>
        <w:t>82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"_Toc18616" </w:instrText>
      </w:r>
      <w:r>
        <w:rPr>
          <w:color w:val="auto"/>
          <w:highlight w:val="none"/>
        </w:rPr>
        <w:fldChar w:fldCharType="separate"/>
      </w:r>
      <w:r>
        <w:rPr>
          <w:rFonts w:hint="eastAsia" w:cs="宋体"/>
          <w:color w:val="auto"/>
          <w:sz w:val="21"/>
          <w:szCs w:val="21"/>
          <w:highlight w:val="none"/>
        </w:rPr>
        <w:t>附件11.承诺书格式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_Toc18616 \h </w:instrText>
      </w:r>
      <w:r>
        <w:rPr>
          <w:rFonts w:hint="eastAsia" w:cs="宋体"/>
          <w:color w:val="auto"/>
          <w:sz w:val="21"/>
          <w:szCs w:val="21"/>
          <w:highlight w:val="none"/>
        </w:rPr>
        <w:fldChar w:fldCharType="separate"/>
      </w:r>
      <w:r>
        <w:rPr>
          <w:rFonts w:hint="eastAsia" w:cs="宋体"/>
          <w:color w:val="auto"/>
          <w:sz w:val="21"/>
          <w:szCs w:val="21"/>
          <w:highlight w:val="none"/>
        </w:rPr>
        <w:t>83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"_Toc24507" </w:instrText>
      </w:r>
      <w:r>
        <w:rPr>
          <w:color w:val="auto"/>
          <w:highlight w:val="none"/>
        </w:rPr>
        <w:fldChar w:fldCharType="separate"/>
      </w:r>
      <w:r>
        <w:rPr>
          <w:rFonts w:hint="eastAsia" w:cs="宋体"/>
          <w:color w:val="auto"/>
          <w:sz w:val="21"/>
          <w:szCs w:val="21"/>
          <w:highlight w:val="none"/>
        </w:rPr>
        <w:t>附件12.商务需求条款偏离表格式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_Toc24507 \h </w:instrText>
      </w:r>
      <w:r>
        <w:rPr>
          <w:rFonts w:hint="eastAsia" w:cs="宋体"/>
          <w:color w:val="auto"/>
          <w:sz w:val="21"/>
          <w:szCs w:val="21"/>
          <w:highlight w:val="none"/>
        </w:rPr>
        <w:fldChar w:fldCharType="separate"/>
      </w:r>
      <w:r>
        <w:rPr>
          <w:rFonts w:hint="eastAsia" w:cs="宋体"/>
          <w:color w:val="auto"/>
          <w:sz w:val="21"/>
          <w:szCs w:val="21"/>
          <w:highlight w:val="none"/>
        </w:rPr>
        <w:t>84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"_Toc22347" </w:instrText>
      </w:r>
      <w:r>
        <w:rPr>
          <w:color w:val="auto"/>
          <w:highlight w:val="none"/>
        </w:rPr>
        <w:fldChar w:fldCharType="separate"/>
      </w:r>
      <w:r>
        <w:rPr>
          <w:rFonts w:hint="eastAsia" w:cs="宋体"/>
          <w:color w:val="auto"/>
          <w:sz w:val="21"/>
          <w:szCs w:val="21"/>
          <w:highlight w:val="none"/>
        </w:rPr>
        <w:t>附件13.业绩表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_Toc22347 \h </w:instrText>
      </w:r>
      <w:r>
        <w:rPr>
          <w:rFonts w:hint="eastAsia" w:cs="宋体"/>
          <w:color w:val="auto"/>
          <w:sz w:val="21"/>
          <w:szCs w:val="21"/>
          <w:highlight w:val="none"/>
        </w:rPr>
        <w:fldChar w:fldCharType="separate"/>
      </w:r>
      <w:r>
        <w:rPr>
          <w:rFonts w:hint="eastAsia" w:cs="宋体"/>
          <w:color w:val="auto"/>
          <w:sz w:val="21"/>
          <w:szCs w:val="21"/>
          <w:highlight w:val="none"/>
        </w:rPr>
        <w:t>85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"_Toc4222" </w:instrText>
      </w:r>
      <w:r>
        <w:rPr>
          <w:color w:val="auto"/>
          <w:highlight w:val="none"/>
        </w:rPr>
        <w:fldChar w:fldCharType="separate"/>
      </w:r>
      <w:r>
        <w:rPr>
          <w:rFonts w:hint="eastAsia" w:cs="宋体"/>
          <w:color w:val="auto"/>
          <w:sz w:val="21"/>
          <w:szCs w:val="21"/>
          <w:highlight w:val="none"/>
        </w:rPr>
        <w:t>附件14.联合体协议书（如有）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_Toc4222 \h </w:instrText>
      </w:r>
      <w:r>
        <w:rPr>
          <w:rFonts w:hint="eastAsia" w:cs="宋体"/>
          <w:color w:val="auto"/>
          <w:sz w:val="21"/>
          <w:szCs w:val="21"/>
          <w:highlight w:val="none"/>
        </w:rPr>
        <w:fldChar w:fldCharType="separate"/>
      </w:r>
      <w:r>
        <w:rPr>
          <w:rFonts w:hint="eastAsia" w:cs="宋体"/>
          <w:color w:val="auto"/>
          <w:sz w:val="21"/>
          <w:szCs w:val="21"/>
          <w:highlight w:val="none"/>
        </w:rPr>
        <w:t>86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"_Toc17454" </w:instrText>
      </w:r>
      <w:r>
        <w:rPr>
          <w:color w:val="auto"/>
          <w:highlight w:val="none"/>
        </w:rPr>
        <w:fldChar w:fldCharType="separate"/>
      </w:r>
      <w:r>
        <w:rPr>
          <w:rFonts w:hint="eastAsia" w:cs="宋体"/>
          <w:color w:val="auto"/>
          <w:sz w:val="21"/>
          <w:szCs w:val="21"/>
          <w:highlight w:val="none"/>
        </w:rPr>
        <w:t>技术文件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_Toc17454 \h </w:instrText>
      </w:r>
      <w:r>
        <w:rPr>
          <w:rFonts w:hint="eastAsia" w:cs="宋体"/>
          <w:color w:val="auto"/>
          <w:sz w:val="21"/>
          <w:szCs w:val="21"/>
          <w:highlight w:val="none"/>
        </w:rPr>
        <w:fldChar w:fldCharType="separate"/>
      </w:r>
      <w:r>
        <w:rPr>
          <w:rFonts w:hint="eastAsia" w:cs="宋体"/>
          <w:color w:val="auto"/>
          <w:sz w:val="21"/>
          <w:szCs w:val="21"/>
          <w:highlight w:val="none"/>
        </w:rPr>
        <w:t>88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"_Toc3704" </w:instrText>
      </w:r>
      <w:r>
        <w:rPr>
          <w:color w:val="auto"/>
          <w:highlight w:val="none"/>
        </w:rPr>
        <w:fldChar w:fldCharType="separate"/>
      </w:r>
      <w:r>
        <w:rPr>
          <w:rFonts w:hint="eastAsia" w:cs="宋体"/>
          <w:color w:val="auto"/>
          <w:sz w:val="21"/>
          <w:szCs w:val="21"/>
          <w:highlight w:val="none"/>
        </w:rPr>
        <w:t>附件15. 技术规格偏离表格式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_Toc3704 \h </w:instrText>
      </w:r>
      <w:r>
        <w:rPr>
          <w:rFonts w:hint="eastAsia" w:cs="宋体"/>
          <w:color w:val="auto"/>
          <w:sz w:val="21"/>
          <w:szCs w:val="21"/>
          <w:highlight w:val="none"/>
        </w:rPr>
        <w:fldChar w:fldCharType="separate"/>
      </w:r>
      <w:r>
        <w:rPr>
          <w:rFonts w:hint="eastAsia" w:cs="宋体"/>
          <w:color w:val="auto"/>
          <w:sz w:val="21"/>
          <w:szCs w:val="21"/>
          <w:highlight w:val="none"/>
        </w:rPr>
        <w:t>89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"_Toc13819" </w:instrText>
      </w:r>
      <w:r>
        <w:rPr>
          <w:color w:val="auto"/>
          <w:highlight w:val="none"/>
        </w:rPr>
        <w:fldChar w:fldCharType="separate"/>
      </w:r>
      <w:r>
        <w:rPr>
          <w:rFonts w:hint="eastAsia" w:cs="宋体"/>
          <w:color w:val="auto"/>
          <w:sz w:val="21"/>
          <w:szCs w:val="21"/>
          <w:highlight w:val="none"/>
        </w:rPr>
        <w:t>附件16.项目实施方案格式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_Toc13819 \h </w:instrText>
      </w:r>
      <w:r>
        <w:rPr>
          <w:rFonts w:hint="eastAsia" w:cs="宋体"/>
          <w:color w:val="auto"/>
          <w:sz w:val="21"/>
          <w:szCs w:val="21"/>
          <w:highlight w:val="none"/>
        </w:rPr>
        <w:fldChar w:fldCharType="separate"/>
      </w:r>
      <w:r>
        <w:rPr>
          <w:rFonts w:hint="eastAsia" w:cs="宋体"/>
          <w:color w:val="auto"/>
          <w:sz w:val="21"/>
          <w:szCs w:val="21"/>
          <w:highlight w:val="none"/>
        </w:rPr>
        <w:t>90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"_Toc23846" </w:instrText>
      </w:r>
      <w:r>
        <w:rPr>
          <w:color w:val="auto"/>
          <w:highlight w:val="none"/>
        </w:rPr>
        <w:fldChar w:fldCharType="separate"/>
      </w:r>
      <w:r>
        <w:rPr>
          <w:rFonts w:hint="eastAsia" w:cs="宋体"/>
          <w:color w:val="auto"/>
          <w:sz w:val="21"/>
          <w:szCs w:val="21"/>
          <w:highlight w:val="none"/>
        </w:rPr>
        <w:t>附件17.实施本项目的有关人员资料表格式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_Toc23846 \h </w:instrText>
      </w:r>
      <w:r>
        <w:rPr>
          <w:rFonts w:hint="eastAsia" w:cs="宋体"/>
          <w:color w:val="auto"/>
          <w:sz w:val="21"/>
          <w:szCs w:val="21"/>
          <w:highlight w:val="none"/>
        </w:rPr>
        <w:fldChar w:fldCharType="separate"/>
      </w:r>
      <w:r>
        <w:rPr>
          <w:rFonts w:hint="eastAsia" w:cs="宋体"/>
          <w:color w:val="auto"/>
          <w:sz w:val="21"/>
          <w:szCs w:val="21"/>
          <w:highlight w:val="none"/>
        </w:rPr>
        <w:t>91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"_Toc15162" </w:instrText>
      </w:r>
      <w:r>
        <w:rPr>
          <w:color w:val="auto"/>
          <w:highlight w:val="none"/>
        </w:rPr>
        <w:fldChar w:fldCharType="separate"/>
      </w:r>
      <w:r>
        <w:rPr>
          <w:rFonts w:hint="eastAsia" w:cs="宋体"/>
          <w:color w:val="auto"/>
          <w:sz w:val="21"/>
          <w:szCs w:val="21"/>
          <w:highlight w:val="none"/>
        </w:rPr>
        <w:t>附件18.投标保证金汇入情况说明格式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_Toc15162 \h </w:instrText>
      </w:r>
      <w:r>
        <w:rPr>
          <w:rFonts w:hint="eastAsia" w:cs="宋体"/>
          <w:color w:val="auto"/>
          <w:sz w:val="21"/>
          <w:szCs w:val="21"/>
          <w:highlight w:val="none"/>
        </w:rPr>
        <w:fldChar w:fldCharType="separate"/>
      </w:r>
      <w:r>
        <w:rPr>
          <w:rFonts w:hint="eastAsia" w:cs="宋体"/>
          <w:color w:val="auto"/>
          <w:sz w:val="21"/>
          <w:szCs w:val="21"/>
          <w:highlight w:val="none"/>
        </w:rPr>
        <w:t>92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 </w:instrText>
      </w:r>
      <w:r>
        <w:rPr>
          <w:color w:val="auto"/>
          <w:highlight w:val="none"/>
        </w:rPr>
        <w:fldChar w:fldCharType="separate"/>
      </w:r>
      <w:r>
        <w:rPr>
          <w:rFonts w:hint="eastAsia" w:cs="宋体"/>
          <w:color w:val="auto"/>
          <w:sz w:val="21"/>
          <w:szCs w:val="21"/>
          <w:highlight w:val="none"/>
        </w:rPr>
        <w:t>附件19.不可撤销履约保函</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 \h </w:instrText>
      </w:r>
      <w:r>
        <w:rPr>
          <w:rFonts w:hint="eastAsia" w:cs="宋体"/>
          <w:color w:val="auto"/>
          <w:sz w:val="21"/>
          <w:szCs w:val="21"/>
          <w:highlight w:val="none"/>
        </w:rPr>
        <w:fldChar w:fldCharType="separate"/>
      </w:r>
      <w:r>
        <w:rPr>
          <w:rFonts w:hint="eastAsia" w:cs="宋体"/>
          <w:color w:val="auto"/>
          <w:sz w:val="21"/>
          <w:szCs w:val="21"/>
          <w:highlight w:val="none"/>
        </w:rPr>
        <w:t>94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"_Toc29098" </w:instrText>
      </w:r>
      <w:r>
        <w:rPr>
          <w:color w:val="auto"/>
          <w:highlight w:val="none"/>
        </w:rPr>
        <w:fldChar w:fldCharType="separate"/>
      </w:r>
      <w:r>
        <w:rPr>
          <w:rFonts w:hint="eastAsia" w:cs="宋体"/>
          <w:color w:val="auto"/>
          <w:sz w:val="21"/>
          <w:szCs w:val="21"/>
          <w:highlight w:val="none"/>
        </w:rPr>
        <w:t>附件20.预付款保函（适用于预付款支付）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_Toc29098 \h </w:instrText>
      </w:r>
      <w:r>
        <w:rPr>
          <w:rFonts w:hint="eastAsia" w:cs="宋体"/>
          <w:color w:val="auto"/>
          <w:sz w:val="21"/>
          <w:szCs w:val="21"/>
          <w:highlight w:val="none"/>
        </w:rPr>
        <w:fldChar w:fldCharType="separate"/>
      </w:r>
      <w:r>
        <w:rPr>
          <w:rFonts w:hint="eastAsia" w:cs="宋体"/>
          <w:color w:val="auto"/>
          <w:sz w:val="21"/>
          <w:szCs w:val="21"/>
          <w:highlight w:val="none"/>
        </w:rPr>
        <w:t>95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"_Toc16601" </w:instrText>
      </w:r>
      <w:r>
        <w:rPr>
          <w:color w:val="auto"/>
          <w:highlight w:val="none"/>
        </w:rPr>
        <w:fldChar w:fldCharType="separate"/>
      </w:r>
      <w:r>
        <w:rPr>
          <w:rFonts w:hint="eastAsia" w:cs="宋体"/>
          <w:color w:val="auto"/>
          <w:sz w:val="21"/>
          <w:szCs w:val="21"/>
          <w:highlight w:val="none"/>
        </w:rPr>
        <w:t>唱标信封</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_Toc16601 \h </w:instrText>
      </w:r>
      <w:r>
        <w:rPr>
          <w:rFonts w:hint="eastAsia" w:cs="宋体"/>
          <w:color w:val="auto"/>
          <w:sz w:val="21"/>
          <w:szCs w:val="21"/>
          <w:highlight w:val="none"/>
        </w:rPr>
        <w:fldChar w:fldCharType="separate"/>
      </w:r>
      <w:r>
        <w:rPr>
          <w:rFonts w:hint="eastAsia" w:cs="宋体"/>
          <w:color w:val="auto"/>
          <w:sz w:val="21"/>
          <w:szCs w:val="21"/>
          <w:highlight w:val="none"/>
        </w:rPr>
        <w:t>96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"_Toc31340" </w:instrText>
      </w:r>
      <w:r>
        <w:rPr>
          <w:color w:val="auto"/>
          <w:highlight w:val="none"/>
        </w:rPr>
        <w:fldChar w:fldCharType="separate"/>
      </w:r>
      <w:r>
        <w:rPr>
          <w:rFonts w:hint="eastAsia" w:cs="宋体"/>
          <w:color w:val="auto"/>
          <w:sz w:val="21"/>
          <w:szCs w:val="21"/>
          <w:highlight w:val="none"/>
        </w:rPr>
        <w:t>附件21.唱标信封内装（内容务必与投标文件正本一致）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_Toc31340 \h </w:instrText>
      </w:r>
      <w:r>
        <w:rPr>
          <w:rFonts w:hint="eastAsia" w:cs="宋体"/>
          <w:color w:val="auto"/>
          <w:sz w:val="21"/>
          <w:szCs w:val="21"/>
          <w:highlight w:val="none"/>
        </w:rPr>
        <w:fldChar w:fldCharType="separate"/>
      </w:r>
      <w:r>
        <w:rPr>
          <w:rFonts w:hint="eastAsia" w:cs="宋体"/>
          <w:color w:val="auto"/>
          <w:sz w:val="21"/>
          <w:szCs w:val="21"/>
          <w:highlight w:val="none"/>
        </w:rPr>
        <w:t>97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7"/>
        <w:tabs>
          <w:tab w:val="right" w:leader="dot" w:pos="8306"/>
          <w:tab w:val="clear" w:pos="8296"/>
        </w:tabs>
        <w:ind w:left="0" w:leftChars="0"/>
        <w:rPr>
          <w:rFonts w:cs="宋体"/>
          <w:color w:val="auto"/>
          <w:sz w:val="21"/>
          <w:szCs w:val="21"/>
          <w:highlight w:val="none"/>
        </w:rPr>
      </w:pPr>
      <w:r>
        <w:rPr>
          <w:rFonts w:hint="eastAsia" w:cs="宋体"/>
          <w:color w:val="auto"/>
          <w:sz w:val="21"/>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0" w:name="_Toc21044"/>
      <w:r>
        <w:rPr>
          <w:rFonts w:hint="eastAsia"/>
          <w:color w:val="auto"/>
          <w:sz w:val="28"/>
          <w:szCs w:val="28"/>
          <w:highlight w:val="none"/>
        </w:rPr>
        <w:t>第一部分投标邀请</w:t>
      </w:r>
      <w:bookmarkEnd w:id="0"/>
    </w:p>
    <w:p>
      <w:pPr>
        <w:pStyle w:val="7"/>
        <w:spacing w:before="0" w:after="0" w:line="360" w:lineRule="auto"/>
        <w:jc w:val="center"/>
        <w:rPr>
          <w:rFonts w:ascii="宋体" w:hAnsi="宋体" w:cs="宋体"/>
          <w:color w:val="auto"/>
          <w:highlight w:val="none"/>
        </w:rPr>
      </w:pPr>
      <w:bookmarkStart w:id="1" w:name="_Toc8950"/>
      <w:r>
        <w:rPr>
          <w:rFonts w:hint="eastAsia" w:ascii="宋体" w:hAnsi="宋体" w:cs="宋体"/>
          <w:color w:val="auto"/>
          <w:highlight w:val="none"/>
        </w:rPr>
        <w:t>投标邀请书</w:t>
      </w:r>
      <w:bookmarkEnd w:id="1"/>
    </w:p>
    <w:p>
      <w:pP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广东泰通伟业工程咨询有限公司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 xml:space="preserve"> 广东东实开能能源有限公司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莞番高速（寮步段）垃圾填埋场治理项目腐殖土二次转运</w:t>
      </w:r>
      <w:r>
        <w:rPr>
          <w:rFonts w:hint="eastAsia" w:ascii="宋体" w:hAnsi="宋体"/>
          <w:color w:val="auto"/>
          <w:szCs w:val="21"/>
          <w:highlight w:val="none"/>
        </w:rPr>
        <w:t>（项目编号：</w:t>
      </w:r>
      <w:r>
        <w:rPr>
          <w:rFonts w:hint="eastAsia" w:ascii="宋体" w:hAnsi="宋体"/>
          <w:b/>
          <w:bCs/>
          <w:color w:val="auto"/>
          <w:szCs w:val="21"/>
          <w:highlight w:val="none"/>
          <w:lang w:val="en-US" w:eastAsia="zh-CN"/>
        </w:rPr>
        <w:t xml:space="preserve"> </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pPr>
        <w:ind w:firstLine="413" w:firstLineChars="196"/>
        <w:rPr>
          <w:rFonts w:ascii="宋体" w:hAnsi="宋体"/>
          <w:b/>
          <w:color w:val="auto"/>
          <w:szCs w:val="21"/>
          <w:highlight w:val="none"/>
        </w:rPr>
      </w:pPr>
    </w:p>
    <w:p>
      <w:pPr>
        <w:ind w:firstLine="413"/>
        <w:rPr>
          <w:rFonts w:ascii="宋体" w:hAnsi="宋体"/>
          <w:b/>
          <w:color w:val="auto"/>
          <w:szCs w:val="21"/>
          <w:highlight w:val="none"/>
        </w:rPr>
      </w:pPr>
      <w:r>
        <w:rPr>
          <w:rFonts w:hint="eastAsia" w:ascii="宋体" w:hAnsi="宋体"/>
          <w:b/>
          <w:color w:val="auto"/>
          <w:szCs w:val="21"/>
          <w:highlight w:val="none"/>
        </w:rPr>
        <w:t>一、采购项目概况</w:t>
      </w:r>
    </w:p>
    <w:p>
      <w:pPr>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b/>
          <w:color w:val="auto"/>
          <w:szCs w:val="21"/>
          <w:highlight w:val="none"/>
          <w:u w:val="single"/>
          <w:lang w:eastAsia="zh-CN"/>
        </w:rPr>
        <w:t>莞番高速（寮步段）垃圾填埋场治理项目腐殖土二次转运</w:t>
      </w:r>
    </w:p>
    <w:p>
      <w:pP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¥7</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546</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192.04元</w:t>
      </w:r>
    </w:p>
    <w:p>
      <w:pPr>
        <w:ind w:firstLine="420" w:firstLineChars="200"/>
        <w:rPr>
          <w:rFonts w:ascii="宋体" w:hAnsi="宋体"/>
          <w:color w:val="auto"/>
          <w:szCs w:val="21"/>
          <w:highlight w:val="none"/>
        </w:rPr>
      </w:pPr>
      <w:r>
        <w:rPr>
          <w:rFonts w:hint="eastAsia" w:ascii="宋体" w:hAnsi="宋体"/>
          <w:color w:val="auto"/>
          <w:szCs w:val="21"/>
          <w:highlight w:val="none"/>
        </w:rPr>
        <w:t>3、最高</w:t>
      </w:r>
      <w:r>
        <w:rPr>
          <w:rFonts w:ascii="宋体" w:hAnsi="宋体"/>
          <w:color w:val="auto"/>
          <w:szCs w:val="21"/>
          <w:highlight w:val="none"/>
        </w:rPr>
        <w:t>限价</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u w:val="single"/>
        </w:rPr>
        <w:t>¥7</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546</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192.04元</w:t>
      </w:r>
    </w:p>
    <w:p>
      <w:pPr>
        <w:ind w:firstLine="420" w:firstLineChars="200"/>
        <w:rPr>
          <w:rFonts w:ascii="宋体" w:hAnsi="宋体"/>
          <w:color w:val="auto"/>
          <w:szCs w:val="21"/>
          <w:highlight w:val="none"/>
        </w:rPr>
      </w:pPr>
      <w:r>
        <w:rPr>
          <w:rFonts w:hint="eastAsia" w:ascii="宋体" w:hAnsi="宋体"/>
          <w:color w:val="auto"/>
          <w:szCs w:val="21"/>
          <w:highlight w:val="none"/>
        </w:rPr>
        <w:t>4、项目内容</w:t>
      </w:r>
    </w:p>
    <w:tbl>
      <w:tblPr>
        <w:tblStyle w:val="32"/>
        <w:tblW w:w="33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6"/>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610" w:type="pct"/>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389" w:type="pct"/>
            <w:vAlign w:val="center"/>
          </w:tcPr>
          <w:p>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采购服务单位数量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3610" w:type="pct"/>
            <w:vAlign w:val="center"/>
          </w:tcPr>
          <w:p>
            <w:pPr>
              <w:spacing w:line="24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莞番高速（寮步段）垃圾填埋场治理项目腐殖土二次转运</w:t>
            </w:r>
          </w:p>
        </w:tc>
        <w:tc>
          <w:tcPr>
            <w:tcW w:w="1389" w:type="pct"/>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p>
        </w:tc>
      </w:tr>
    </w:tbl>
    <w:p>
      <w:pPr>
        <w:ind w:firstLine="420" w:firstLineChars="200"/>
        <w:rPr>
          <w:rFonts w:ascii="宋体" w:hAnsi="宋体"/>
          <w:color w:val="auto"/>
          <w:szCs w:val="21"/>
          <w:highlight w:val="none"/>
        </w:rPr>
      </w:pPr>
      <w:r>
        <w:rPr>
          <w:rFonts w:hint="eastAsia" w:ascii="宋体" w:hAnsi="宋体"/>
          <w:color w:val="auto"/>
          <w:szCs w:val="21"/>
          <w:highlight w:val="none"/>
        </w:rPr>
        <w:t>（注：本表格根据项目实际情况补充修改）</w:t>
      </w:r>
    </w:p>
    <w:p>
      <w:pPr>
        <w:ind w:firstLine="420" w:firstLineChars="200"/>
        <w:rPr>
          <w:rFonts w:ascii="宋体" w:hAnsi="宋体"/>
          <w:color w:val="auto"/>
          <w:szCs w:val="21"/>
          <w:highlight w:val="none"/>
        </w:rPr>
      </w:pPr>
      <w:r>
        <w:rPr>
          <w:rFonts w:hint="eastAsia" w:ascii="宋体" w:hAnsi="宋体"/>
          <w:color w:val="auto"/>
          <w:szCs w:val="21"/>
          <w:highlight w:val="none"/>
        </w:rPr>
        <w:t>5、项目需求</w:t>
      </w:r>
    </w:p>
    <w:p>
      <w:pPr>
        <w:ind w:firstLine="420" w:firstLineChars="200"/>
        <w:rPr>
          <w:rFonts w:ascii="宋体" w:hAnsi="宋体"/>
          <w:color w:val="auto"/>
          <w:szCs w:val="21"/>
          <w:highlight w:val="none"/>
        </w:rPr>
      </w:pPr>
      <w:r>
        <w:rPr>
          <w:rFonts w:hint="eastAsia" w:ascii="宋体" w:hAnsi="宋体"/>
          <w:color w:val="auto"/>
          <w:szCs w:val="21"/>
          <w:highlight w:val="none"/>
        </w:rPr>
        <w:t>详细内容请参阅采购文件第三部分《用户需求书》。</w:t>
      </w:r>
    </w:p>
    <w:p>
      <w:pPr>
        <w:ind w:firstLine="413" w:firstLineChars="196"/>
        <w:rPr>
          <w:rFonts w:ascii="宋体" w:hAnsi="宋体"/>
          <w:b/>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20" w:firstLineChars="200"/>
        <w:rPr>
          <w:rFonts w:hint="eastAsia"/>
          <w:color w:val="auto"/>
          <w:highlight w:val="none"/>
        </w:rPr>
      </w:pPr>
      <w:r>
        <w:rPr>
          <w:rFonts w:hint="eastAsia"/>
          <w:color w:val="auto"/>
          <w:highlight w:val="none"/>
        </w:rPr>
        <w:t>（一）投标人须为在中华人民共和国境内登记注册的具有独立承担民事责任能力的法人或其他组织；</w:t>
      </w:r>
    </w:p>
    <w:p>
      <w:pPr>
        <w:ind w:firstLine="420" w:firstLineChars="200"/>
        <w:rPr>
          <w:rFonts w:hint="eastAsia"/>
          <w:color w:val="auto"/>
          <w:highlight w:val="none"/>
        </w:rPr>
      </w:pPr>
      <w:r>
        <w:rPr>
          <w:rFonts w:hint="eastAsia"/>
          <w:color w:val="auto"/>
          <w:highlight w:val="none"/>
        </w:rPr>
        <w:t>（二）投标人的单位负责人为同一人或者存在直接控股、管理关系的不同投标人，不得参加同一合同项下的招标活动；</w:t>
      </w:r>
    </w:p>
    <w:p>
      <w:pPr>
        <w:ind w:firstLine="420" w:firstLineChars="200"/>
        <w:rPr>
          <w:rFonts w:hint="eastAsia"/>
          <w:color w:val="auto"/>
          <w:highlight w:val="none"/>
        </w:rPr>
      </w:pPr>
      <w:r>
        <w:rPr>
          <w:rFonts w:hint="eastAsia"/>
          <w:color w:val="auto"/>
          <w:highlight w:val="none"/>
        </w:rPr>
        <w:t>（三）投标人参加招标活动前三年内，在经营活动中没有重大违法记录（须提供书面声明）；</w:t>
      </w:r>
    </w:p>
    <w:p>
      <w:pPr>
        <w:ind w:firstLine="420" w:firstLineChars="200"/>
        <w:rPr>
          <w:rFonts w:hint="eastAsia"/>
          <w:color w:val="auto"/>
          <w:highlight w:val="none"/>
        </w:rPr>
      </w:pPr>
      <w:r>
        <w:rPr>
          <w:rFonts w:hint="eastAsia"/>
          <w:color w:val="auto"/>
          <w:highlight w:val="none"/>
        </w:rPr>
        <w:t>（四）投标人未被列入“信用中国”网站(www.creditchina.gov.cn)“记录失信被执行人或重大税收违法案件当事人名单”记录名单（以招标代理机构投标截止日当天在“信用中国”网站（www.creditchina.gov.cn）查询结果为准，如相关失信记录已失效，供应商需提供相关证明资料）。</w:t>
      </w:r>
    </w:p>
    <w:p>
      <w:pPr>
        <w:ind w:firstLine="420" w:firstLineChars="200"/>
        <w:rPr>
          <w:rFonts w:hint="eastAsia"/>
          <w:color w:val="auto"/>
          <w:highlight w:val="none"/>
        </w:rPr>
      </w:pPr>
      <w:r>
        <w:rPr>
          <w:rFonts w:hint="eastAsia"/>
          <w:color w:val="auto"/>
          <w:highlight w:val="none"/>
        </w:rPr>
        <w:t>（五）投标人须具有有效的市政公用工程施工总承包三级（含）以上或环保工程专业承包三级（含）以上资质。</w:t>
      </w:r>
    </w:p>
    <w:p>
      <w:pPr>
        <w:ind w:firstLine="420" w:firstLineChars="200"/>
        <w:rPr>
          <w:color w:val="auto"/>
          <w:highlight w:val="none"/>
        </w:rPr>
      </w:pPr>
      <w:r>
        <w:rPr>
          <w:rFonts w:hint="eastAsia"/>
          <w:color w:val="auto"/>
          <w:highlight w:val="none"/>
        </w:rPr>
        <w:t xml:space="preserve">（六）本项目不接受联合体。 </w:t>
      </w:r>
    </w:p>
    <w:p>
      <w:pPr>
        <w:ind w:firstLine="413" w:firstLineChars="196"/>
        <w:rPr>
          <w:rFonts w:ascii="宋体" w:hAnsi="宋体"/>
          <w:b/>
          <w:color w:val="auto"/>
          <w:szCs w:val="21"/>
          <w:highlight w:val="none"/>
        </w:rPr>
      </w:pPr>
      <w:r>
        <w:rPr>
          <w:rFonts w:hint="eastAsia" w:ascii="宋体" w:hAnsi="宋体"/>
          <w:b/>
          <w:color w:val="auto"/>
          <w:szCs w:val="21"/>
          <w:highlight w:val="none"/>
        </w:rPr>
        <w:t>三、获取采购文件方式及要求：</w:t>
      </w:r>
    </w:p>
    <w:p>
      <w:pPr>
        <w:wordWrap w:val="0"/>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本项目不进行实名登记报名，拟参加投标的投标人可于投标截止时间前自行网上下载采购文件。</w:t>
      </w:r>
      <w:r>
        <w:rPr>
          <w:rFonts w:ascii="宋体" w:hAnsi="宋体" w:cs="宋体"/>
          <w:color w:val="auto"/>
          <w:szCs w:val="21"/>
          <w:highlight w:val="none"/>
        </w:rPr>
        <w:t>采购文件下载地址：</w:t>
      </w:r>
      <w:r>
        <w:rPr>
          <w:rFonts w:hint="eastAsia" w:ascii="宋体" w:hAnsi="宋体" w:cs="宋体"/>
          <w:color w:val="auto"/>
          <w:szCs w:val="21"/>
          <w:highlight w:val="none"/>
          <w:u w:val="single"/>
        </w:rPr>
        <w:t>中国招标投标公共服务平台（http://www.cebpubservice.com/）、东莞实业投资控股集团有限公司-招标采购栏目（http://www.dgsy.com.cn/）、代理公司官网（http://www.weiyecoltd.com/）</w:t>
      </w:r>
      <w:r>
        <w:rPr>
          <w:rFonts w:hint="eastAsia" w:ascii="宋体" w:hAnsi="宋体" w:cs="宋体"/>
          <w:color w:val="auto"/>
          <w:szCs w:val="21"/>
          <w:highlight w:val="none"/>
        </w:rPr>
        <w:t>。</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四、投标文件的递交</w:t>
      </w:r>
    </w:p>
    <w:p>
      <w:pPr>
        <w:ind w:firstLine="420" w:firstLineChars="200"/>
        <w:rPr>
          <w:rFonts w:ascii="宋体" w:hAnsi="宋体"/>
          <w:color w:val="auto"/>
          <w:szCs w:val="21"/>
          <w:highlight w:val="none"/>
        </w:rPr>
      </w:pPr>
      <w:r>
        <w:rPr>
          <w:rFonts w:hint="eastAsia" w:ascii="宋体" w:hAnsi="宋体"/>
          <w:color w:val="auto"/>
          <w:szCs w:val="21"/>
          <w:highlight w:val="none"/>
        </w:rPr>
        <w:t>1、递交投标文件时间：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rPr>
        <w:t>日（</w:t>
      </w:r>
      <w:r>
        <w:rPr>
          <w:rFonts w:hint="eastAsia" w:ascii="宋体" w:hAnsi="宋体"/>
          <w:color w:val="auto"/>
          <w:szCs w:val="21"/>
          <w:highlight w:val="none"/>
        </w:rPr>
        <w:t>北京时间）</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00</w:t>
      </w:r>
      <w:r>
        <w:rPr>
          <w:rFonts w:ascii="宋体" w:hAnsi="宋体"/>
          <w:color w:val="auto"/>
          <w:szCs w:val="21"/>
          <w:highlight w:val="none"/>
        </w:rPr>
        <w:t>-</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w:t>
      </w:r>
    </w:p>
    <w:p>
      <w:pPr>
        <w:ind w:firstLine="420" w:firstLineChars="200"/>
        <w:rPr>
          <w:rFonts w:ascii="宋体" w:hAnsi="宋体"/>
          <w:b/>
          <w:color w:val="auto"/>
          <w:szCs w:val="21"/>
          <w:highlight w:val="none"/>
        </w:rPr>
      </w:pPr>
      <w:r>
        <w:rPr>
          <w:rFonts w:hint="eastAsia" w:ascii="宋体" w:hAnsi="宋体"/>
          <w:color w:val="auto"/>
          <w:szCs w:val="21"/>
          <w:highlight w:val="none"/>
        </w:rPr>
        <w:t>2、递交投标文件</w:t>
      </w:r>
      <w:r>
        <w:rPr>
          <w:rFonts w:ascii="宋体" w:hAnsi="宋体"/>
          <w:color w:val="auto"/>
          <w:szCs w:val="21"/>
          <w:highlight w:val="none"/>
        </w:rPr>
        <w:t>截止</w:t>
      </w:r>
      <w:r>
        <w:rPr>
          <w:rFonts w:hint="eastAsia" w:ascii="宋体" w:hAnsi="宋体"/>
          <w:color w:val="auto"/>
          <w:szCs w:val="21"/>
          <w:highlight w:val="none"/>
        </w:rPr>
        <w:t>及开标时间：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27</w:t>
      </w:r>
      <w:r>
        <w:rPr>
          <w:rFonts w:hint="eastAsia" w:ascii="宋体" w:hAnsi="宋体" w:cs="宋体"/>
          <w:color w:val="auto"/>
          <w:szCs w:val="21"/>
          <w:highlight w:val="none"/>
        </w:rPr>
        <w:t>日</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（北京时间），所有投标文件应于截止时间之前递交，迟交或以电报、传真形式的投标文件将拒绝接收。</w:t>
      </w:r>
    </w:p>
    <w:p>
      <w:pPr>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w:t>
      </w:r>
      <w:r>
        <w:rPr>
          <w:rFonts w:hint="eastAsia" w:ascii="宋体" w:hAnsi="宋体"/>
          <w:color w:val="auto"/>
          <w:szCs w:val="21"/>
          <w:highlight w:val="none"/>
          <w:u w:val="single"/>
        </w:rPr>
        <w:t>广东省东莞市南城街道科创路100号2栋1302室。</w:t>
      </w:r>
    </w:p>
    <w:p>
      <w:pPr>
        <w:ind w:firstLine="411" w:firstLineChars="196"/>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rPr>
        <w:t>届时请投标人的法定代表人或其授权代表务必携带有效身份证明出席开标会</w:t>
      </w:r>
      <w:r>
        <w:rPr>
          <w:rFonts w:hint="eastAsia" w:ascii="宋体" w:hAnsi="宋体"/>
          <w:bCs/>
          <w:color w:val="auto"/>
          <w:szCs w:val="21"/>
          <w:highlight w:val="none"/>
        </w:rPr>
        <w:t>。</w:t>
      </w:r>
    </w:p>
    <w:p>
      <w:pPr>
        <w:pStyle w:val="41"/>
        <w:spacing w:line="360" w:lineRule="auto"/>
        <w:rPr>
          <w:color w:val="auto"/>
          <w:sz w:val="21"/>
          <w:szCs w:val="21"/>
          <w:highlight w:val="none"/>
        </w:rPr>
      </w:pPr>
      <w:r>
        <w:rPr>
          <w:rFonts w:hint="eastAsia"/>
          <w:color w:val="auto"/>
          <w:sz w:val="21"/>
          <w:szCs w:val="21"/>
          <w:highlight w:val="none"/>
        </w:rPr>
        <w:t>5、出现以下情形时，采购代理机构不予接收投标（响应）文件：</w:t>
      </w:r>
    </w:p>
    <w:p>
      <w:pPr>
        <w:pStyle w:val="41"/>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（1）逾期送达或者未送达指定地点的；</w:t>
      </w:r>
    </w:p>
    <w:p>
      <w:pPr>
        <w:pStyle w:val="41"/>
        <w:spacing w:line="360" w:lineRule="auto"/>
        <w:rPr>
          <w:color w:val="auto"/>
          <w:sz w:val="21"/>
          <w:szCs w:val="21"/>
          <w:highlight w:val="none"/>
        </w:rPr>
      </w:pPr>
      <w:r>
        <w:rPr>
          <w:color w:val="auto"/>
          <w:sz w:val="21"/>
          <w:szCs w:val="21"/>
          <w:highlight w:val="none"/>
        </w:rPr>
        <w:tab/>
      </w:r>
      <w:r>
        <w:rPr>
          <w:rFonts w:hint="eastAsia"/>
          <w:color w:val="auto"/>
          <w:sz w:val="21"/>
          <w:szCs w:val="21"/>
          <w:highlight w:val="none"/>
        </w:rPr>
        <w:t>（2）未按采购文件要求密封的。</w:t>
      </w:r>
    </w:p>
    <w:p>
      <w:pPr>
        <w:pStyle w:val="41"/>
        <w:ind w:firstLine="400"/>
        <w:rPr>
          <w:color w:val="auto"/>
          <w:highlight w:val="none"/>
        </w:rPr>
      </w:pPr>
    </w:p>
    <w:p>
      <w:pPr>
        <w:pStyle w:val="41"/>
        <w:ind w:firstLine="422"/>
        <w:rPr>
          <w:rFonts w:ascii="宋体" w:hAnsi="宋体" w:eastAsia="宋体" w:cstheme="minorBidi"/>
          <w:b/>
          <w:color w:val="auto"/>
          <w:sz w:val="21"/>
          <w:szCs w:val="21"/>
          <w:highlight w:val="none"/>
        </w:rPr>
      </w:pPr>
      <w:r>
        <w:rPr>
          <w:rFonts w:hint="eastAsia" w:ascii="宋体" w:hAnsi="宋体" w:eastAsia="宋体" w:cstheme="minorBidi"/>
          <w:b/>
          <w:color w:val="auto"/>
          <w:sz w:val="21"/>
          <w:szCs w:val="21"/>
          <w:highlight w:val="none"/>
        </w:rPr>
        <w:t>五</w:t>
      </w:r>
      <w:r>
        <w:rPr>
          <w:rFonts w:ascii="宋体" w:hAnsi="宋体" w:eastAsia="宋体" w:cstheme="minorBidi"/>
          <w:b/>
          <w:color w:val="auto"/>
          <w:sz w:val="21"/>
          <w:szCs w:val="21"/>
          <w:highlight w:val="none"/>
        </w:rPr>
        <w:t>、发布公告的媒介</w:t>
      </w:r>
    </w:p>
    <w:p>
      <w:pPr>
        <w:pStyle w:val="41"/>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pPr>
        <w:pStyle w:val="41"/>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中国招标投标公共服务平台（http://www.cebpubservice.com/）、东莞实业投资控股集团有限公司-招标采购栏目（http://www.dgsy.com.cn/）、代理公司官网（http://www.weiyecoltd.com/）</w:t>
      </w:r>
      <w:r>
        <w:rPr>
          <w:rFonts w:hint="eastAsia" w:ascii="宋体" w:hAnsi="宋体" w:eastAsia="宋体" w:cs="宋体"/>
          <w:color w:val="auto"/>
          <w:sz w:val="21"/>
          <w:szCs w:val="21"/>
          <w:highlight w:val="none"/>
        </w:rPr>
        <w:t>。</w:t>
      </w:r>
    </w:p>
    <w:p>
      <w:pPr>
        <w:pStyle w:val="41"/>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pPr>
        <w:pStyle w:val="41"/>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hAnsi="宋体" w:cs="宋体"/>
          <w:color w:val="auto"/>
          <w:sz w:val="21"/>
          <w:szCs w:val="21"/>
          <w:highlight w:val="none"/>
          <w:lang w:eastAsia="zh-CN"/>
        </w:rPr>
        <w:t xml:space="preserve"> 广东东实开能能源有限公司</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采购人联系人：吕先生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采购人地址：东莞市东城街道八一路1号机关二号大院9号楼102</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采购人联系电话：0769-22001739</w:t>
      </w:r>
      <w:r>
        <w:rPr>
          <w:rFonts w:hint="eastAsia" w:ascii="宋体" w:hAnsi="宋体" w:cs="宋体"/>
          <w:color w:val="auto"/>
          <w:sz w:val="22"/>
          <w:highlight w:val="none"/>
        </w:rPr>
        <w:t xml:space="preserve"> </w:t>
      </w:r>
    </w:p>
    <w:p>
      <w:pPr>
        <w:ind w:firstLine="420" w:firstLineChars="200"/>
        <w:rPr>
          <w:rFonts w:ascii="宋体" w:hAnsi="宋体"/>
          <w:color w:val="auto"/>
          <w:szCs w:val="21"/>
          <w:highlight w:val="none"/>
        </w:rPr>
      </w:pP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olor w:val="auto"/>
          <w:szCs w:val="21"/>
          <w:highlight w:val="none"/>
          <w:lang w:eastAsia="zh-CN"/>
        </w:rPr>
        <w:t>广东泰通伟业工程咨询有限公司</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采购代理机构地址：广东省东莞市南城街道科创路100号2栋1302室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eastAsia="zh-CN"/>
        </w:rPr>
        <w:t>冼小姐</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采购代理机构联系电话： </w:t>
      </w:r>
      <w:r>
        <w:rPr>
          <w:rFonts w:hint="eastAsia" w:ascii="宋体" w:hAnsi="宋体"/>
          <w:color w:val="auto"/>
          <w:szCs w:val="21"/>
          <w:highlight w:val="none"/>
          <w:lang w:val="en-US" w:eastAsia="zh-CN"/>
        </w:rPr>
        <w:t>0769-22652033</w:t>
      </w:r>
    </w:p>
    <w:p>
      <w:pPr>
        <w:ind w:firstLine="420" w:firstLineChars="200"/>
        <w:rPr>
          <w:color w:val="auto"/>
          <w:highlight w:val="none"/>
        </w:rPr>
      </w:pPr>
      <w:r>
        <w:rPr>
          <w:rFonts w:hint="eastAsia" w:ascii="宋体" w:hAnsi="宋体"/>
          <w:color w:val="auto"/>
          <w:szCs w:val="21"/>
          <w:highlight w:val="none"/>
        </w:rPr>
        <w:t>采购代理机构邮箱： WYZFCG@126.com</w:t>
      </w:r>
    </w:p>
    <w:p>
      <w:pPr>
        <w:ind w:firstLine="420" w:firstLineChars="200"/>
        <w:rPr>
          <w:color w:val="auto"/>
          <w:highlight w:val="none"/>
        </w:rPr>
      </w:pPr>
    </w:p>
    <w:p>
      <w:pPr>
        <w:ind w:right="752" w:rightChars="358"/>
        <w:jc w:val="right"/>
        <w:rPr>
          <w:color w:val="auto"/>
          <w:highlight w:val="none"/>
        </w:rPr>
      </w:pPr>
    </w:p>
    <w:p>
      <w:pPr>
        <w:ind w:right="752" w:rightChars="358"/>
        <w:jc w:val="righ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广东泰通伟业工程咨询有限公司</w:t>
      </w: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23</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 xml:space="preserve">月 </w:t>
      </w:r>
    </w:p>
    <w:p>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2" w:name="_Toc20564"/>
      <w:r>
        <w:rPr>
          <w:rFonts w:hint="eastAsia"/>
          <w:color w:val="auto"/>
          <w:sz w:val="28"/>
          <w:szCs w:val="28"/>
          <w:highlight w:val="none"/>
        </w:rPr>
        <w:t>第二部分相关资料表格</w:t>
      </w:r>
      <w:bookmarkEnd w:id="2"/>
    </w:p>
    <w:p>
      <w:pPr>
        <w:pStyle w:val="7"/>
        <w:spacing w:before="0" w:after="0" w:line="240" w:lineRule="auto"/>
        <w:jc w:val="center"/>
        <w:rPr>
          <w:rFonts w:ascii="宋体" w:hAnsi="宋体" w:cs="宋体"/>
          <w:color w:val="auto"/>
          <w:sz w:val="24"/>
          <w:szCs w:val="24"/>
          <w:highlight w:val="none"/>
        </w:rPr>
      </w:pPr>
      <w:bookmarkStart w:id="3" w:name="_Toc14333"/>
      <w:r>
        <w:rPr>
          <w:rFonts w:hint="eastAsia" w:ascii="宋体" w:hAnsi="宋体" w:cs="宋体"/>
          <w:color w:val="auto"/>
          <w:sz w:val="24"/>
          <w:szCs w:val="24"/>
          <w:highlight w:val="none"/>
        </w:rPr>
        <w:t>附表一：投标资料表</w:t>
      </w:r>
      <w:bookmarkEnd w:id="3"/>
    </w:p>
    <w:tbl>
      <w:tblPr>
        <w:tblStyle w:val="32"/>
        <w:tblW w:w="841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492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78"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2"/>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51"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项目最高限价（</w:t>
            </w:r>
            <w:r>
              <w:rPr>
                <w:rFonts w:hint="eastAsia" w:ascii="宋体" w:hAnsi="宋体"/>
                <w:b/>
                <w:bCs/>
                <w:color w:val="auto"/>
                <w:szCs w:val="21"/>
                <w:highlight w:val="none"/>
                <w:u w:val="single"/>
              </w:rPr>
              <w:t>单位：元</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u w:val="single"/>
              </w:rPr>
              <w:t>7</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546</w:t>
            </w:r>
            <w:r>
              <w:rPr>
                <w:rFonts w:hint="eastAsia" w:ascii="宋体" w:hAnsi="宋体"/>
                <w:color w:val="auto"/>
                <w:szCs w:val="21"/>
                <w:highlight w:val="none"/>
                <w:u w:val="single"/>
                <w:lang w:val="en-US" w:eastAsia="zh-CN"/>
              </w:rPr>
              <w:t>,</w:t>
            </w:r>
            <w:r>
              <w:rPr>
                <w:rFonts w:hint="eastAsia" w:ascii="宋体" w:hAnsi="宋体"/>
                <w:color w:val="auto"/>
                <w:szCs w:val="21"/>
                <w:highlight w:val="none"/>
                <w:u w:val="single"/>
              </w:rPr>
              <w:t>192.04</w:t>
            </w:r>
            <w:r>
              <w:rPr>
                <w:rFonts w:hint="eastAsia" w:ascii="宋体" w:hAnsi="宋体"/>
                <w:b/>
                <w:bCs/>
                <w:color w:val="auto"/>
                <w:szCs w:val="21"/>
                <w:highlight w:val="none"/>
              </w:rPr>
              <w:t>元（大写：人民币柒佰伍拾肆万陆仟壹佰玖拾贰元零肆分）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发包方式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固定总价包干；</w:t>
            </w:r>
          </w:p>
          <w:p>
            <w:pPr>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b/>
                <w:bCs/>
                <w:color w:val="auto"/>
                <w:szCs w:val="21"/>
                <w:highlight w:val="none"/>
              </w:rPr>
              <w:t>固定单价暂定总价包干；</w:t>
            </w:r>
          </w:p>
          <w:p>
            <w:pPr>
              <w:rPr>
                <w:rFonts w:ascii="宋体" w:hAnsi="宋体"/>
                <w:b/>
                <w:bCs/>
                <w:color w:val="auto"/>
                <w:szCs w:val="21"/>
                <w:highlight w:val="none"/>
                <w:u w:val="single"/>
              </w:rPr>
            </w:pPr>
            <w:r>
              <w:rPr>
                <w:rFonts w:hint="eastAsia" w:ascii="宋体" w:hAnsi="宋体"/>
                <w:color w:val="auto"/>
                <w:szCs w:val="21"/>
                <w:highlight w:val="none"/>
              </w:rPr>
              <w:sym w:font="Wingdings 2" w:char="00A3"/>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pPr>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是否接受联合体投标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pStyle w:val="44"/>
              <w:ind w:firstLine="0" w:firstLineChars="0"/>
              <w:rPr>
                <w:rFonts w:ascii="宋体" w:hAnsi="宋体" w:cs="宋体"/>
                <w:color w:val="auto"/>
                <w:szCs w:val="21"/>
                <w:highlight w:val="none"/>
              </w:rPr>
            </w:pPr>
            <w:r>
              <w:rPr>
                <w:rFonts w:hint="eastAsia" w:ascii="宋体" w:hAnsi="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pPr>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cs="宋体"/>
                <w:color w:val="auto"/>
                <w:szCs w:val="21"/>
                <w:highlight w:val="none"/>
              </w:rPr>
              <w:t>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b/>
                <w:bCs/>
                <w:color w:val="auto"/>
                <w:szCs w:val="21"/>
                <w:highlight w:val="none"/>
              </w:rPr>
              <w:t>资金来源</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bCs/>
                <w:color w:val="auto"/>
                <w:szCs w:val="21"/>
                <w:highlight w:val="none"/>
              </w:rPr>
            </w:pPr>
            <w:r>
              <w:rPr>
                <w:rFonts w:hint="eastAsia" w:ascii="宋体" w:hAnsi="宋体"/>
                <w:color w:val="auto"/>
                <w:szCs w:val="21"/>
                <w:highlight w:val="none"/>
                <w:u w:val="single"/>
              </w:rPr>
              <w:t>自筹资金。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Cs/>
                <w:color w:val="auto"/>
                <w:szCs w:val="21"/>
                <w:highlight w:val="none"/>
              </w:rPr>
            </w:pPr>
            <w:r>
              <w:rPr>
                <w:rFonts w:hint="eastAsia" w:ascii="宋体" w:hAnsi="宋体"/>
                <w:bCs/>
                <w:color w:val="auto"/>
                <w:szCs w:val="21"/>
                <w:highlight w:val="none"/>
              </w:rPr>
              <w:sym w:font="Wingdings 2" w:char="0052"/>
            </w:r>
            <w:r>
              <w:rPr>
                <w:rFonts w:hint="eastAsia" w:ascii="宋体" w:hAnsi="宋体"/>
                <w:bCs/>
                <w:color w:val="auto"/>
                <w:szCs w:val="21"/>
                <w:highlight w:val="none"/>
              </w:rPr>
              <w:t>不组织 。</w:t>
            </w:r>
          </w:p>
          <w:p>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详见投标人须知。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（大写）</w:t>
            </w:r>
            <w:r>
              <w:rPr>
                <w:rFonts w:hint="eastAsia" w:ascii="宋体" w:hAnsi="宋体"/>
                <w:b/>
                <w:color w:val="auto"/>
                <w:szCs w:val="21"/>
                <w:highlight w:val="none"/>
                <w:u w:val="single"/>
                <w:lang w:val="en-US" w:eastAsia="zh-CN"/>
              </w:rPr>
              <w:t>拾伍</w:t>
            </w:r>
            <w:r>
              <w:rPr>
                <w:rFonts w:hint="eastAsia" w:ascii="宋体" w:hAnsi="宋体"/>
                <w:b/>
                <w:color w:val="auto"/>
                <w:szCs w:val="21"/>
                <w:highlight w:val="none"/>
                <w:u w:val="single"/>
                <w:lang w:eastAsia="zh-CN"/>
              </w:rPr>
              <w:t>万</w:t>
            </w:r>
            <w:r>
              <w:rPr>
                <w:rFonts w:hint="eastAsia" w:ascii="宋体" w:hAnsi="宋体"/>
                <w:color w:val="auto"/>
                <w:szCs w:val="21"/>
                <w:highlight w:val="none"/>
              </w:rPr>
              <w:t>元</w:t>
            </w:r>
            <w:r>
              <w:rPr>
                <w:rFonts w:hint="eastAsia" w:ascii="宋体" w:hAnsi="宋体"/>
                <w:color w:val="auto"/>
                <w:szCs w:val="21"/>
                <w:highlight w:val="none"/>
                <w:lang w:val="en-US" w:eastAsia="zh-CN"/>
              </w:rPr>
              <w:t>整</w:t>
            </w:r>
            <w:r>
              <w:rPr>
                <w:rFonts w:hint="eastAsia" w:ascii="宋体" w:hAnsi="宋体"/>
                <w:color w:val="auto"/>
                <w:szCs w:val="21"/>
                <w:highlight w:val="none"/>
              </w:rPr>
              <w:t>（</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15</w:t>
            </w:r>
            <w:r>
              <w:rPr>
                <w:rFonts w:hint="eastAsia" w:ascii="宋体" w:hAnsi="宋体"/>
                <w:b/>
                <w:bCs/>
                <w:color w:val="auto"/>
                <w:szCs w:val="21"/>
                <w:highlight w:val="none"/>
                <w:u w:val="single"/>
              </w:rPr>
              <w:t>0,000.00</w:t>
            </w:r>
            <w:r>
              <w:rPr>
                <w:rFonts w:hint="eastAsia" w:ascii="宋体" w:hAnsi="宋体"/>
                <w:b/>
                <w:color w:val="auto"/>
                <w:szCs w:val="21"/>
                <w:highlight w:val="none"/>
                <w:u w:val="single"/>
                <w:lang w:val="en-US" w:eastAsia="zh-CN"/>
              </w:rPr>
              <w:t>.00</w:t>
            </w:r>
            <w:r>
              <w:rPr>
                <w:rFonts w:hint="eastAsia" w:ascii="宋体" w:hAnsi="宋体"/>
                <w:b/>
                <w:color w:val="auto"/>
                <w:szCs w:val="21"/>
                <w:highlight w:val="none"/>
                <w:u w:val="single"/>
              </w:rPr>
              <w:t>元</w:t>
            </w:r>
            <w:r>
              <w:rPr>
                <w:rFonts w:hint="eastAsia" w:ascii="宋体" w:hAnsi="宋体"/>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投标保证金采用转帐、电汇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投标保证金专用账户如下：</w:t>
            </w:r>
          </w:p>
          <w:p>
            <w:pPr>
              <w:tabs>
                <w:tab w:val="left" w:pos="567"/>
              </w:tabs>
              <w:ind w:firstLine="420" w:firstLineChars="200"/>
              <w:jc w:val="both"/>
              <w:rPr>
                <w:rFonts w:hAnsi="宋体" w:cs="宋体"/>
                <w:color w:val="auto"/>
                <w:kern w:val="2"/>
                <w:szCs w:val="21"/>
                <w:highlight w:val="none"/>
                <w:lang w:val="zh-CN"/>
              </w:rPr>
            </w:pPr>
            <w:r>
              <w:rPr>
                <w:rFonts w:hint="eastAsia" w:hAnsi="宋体" w:cs="宋体"/>
                <w:color w:val="auto"/>
                <w:kern w:val="2"/>
                <w:szCs w:val="21"/>
                <w:highlight w:val="none"/>
                <w:lang w:val="zh-CN"/>
              </w:rPr>
              <w:t xml:space="preserve">帐户名称： </w:t>
            </w:r>
            <w:r>
              <w:rPr>
                <w:rFonts w:hint="eastAsia" w:hAnsi="宋体" w:cs="宋体"/>
                <w:color w:val="auto"/>
                <w:kern w:val="2"/>
                <w:szCs w:val="21"/>
                <w:highlight w:val="none"/>
                <w:u w:val="single"/>
                <w:lang w:eastAsia="zh-CN"/>
              </w:rPr>
              <w:t>广东泰通伟业工程咨询有限公司</w:t>
            </w:r>
            <w:r>
              <w:rPr>
                <w:rFonts w:hint="eastAsia" w:hAnsi="宋体" w:cs="宋体"/>
                <w:color w:val="auto"/>
                <w:kern w:val="2"/>
                <w:szCs w:val="21"/>
                <w:highlight w:val="none"/>
                <w:lang w:val="zh-CN"/>
              </w:rPr>
              <w:t>；</w:t>
            </w:r>
          </w:p>
          <w:p>
            <w:pPr>
              <w:tabs>
                <w:tab w:val="left" w:pos="567"/>
              </w:tabs>
              <w:ind w:firstLine="420" w:firstLineChars="200"/>
              <w:jc w:val="both"/>
              <w:rPr>
                <w:rFonts w:hAnsi="宋体" w:cs="宋体"/>
                <w:color w:val="auto"/>
                <w:kern w:val="2"/>
                <w:szCs w:val="21"/>
                <w:highlight w:val="none"/>
                <w:lang w:val="zh-CN"/>
              </w:rPr>
            </w:pPr>
            <w:r>
              <w:rPr>
                <w:rFonts w:hint="eastAsia" w:hAnsi="宋体" w:cs="宋体"/>
                <w:color w:val="auto"/>
                <w:kern w:val="2"/>
                <w:szCs w:val="21"/>
                <w:highlight w:val="none"/>
                <w:lang w:val="zh-CN"/>
              </w:rPr>
              <w:t>开户银行：</w:t>
            </w:r>
            <w:r>
              <w:rPr>
                <w:rFonts w:hint="eastAsia" w:hAnsi="宋体" w:cs="宋体"/>
                <w:i w:val="0"/>
                <w:iCs w:val="0"/>
                <w:color w:val="auto"/>
                <w:kern w:val="2"/>
                <w:szCs w:val="21"/>
                <w:highlight w:val="none"/>
                <w:u w:val="single"/>
                <w:lang w:val="zh-CN"/>
              </w:rPr>
              <w:t>广发银行股份有限公司东莞东翔支行</w:t>
            </w:r>
            <w:r>
              <w:rPr>
                <w:rFonts w:hint="eastAsia" w:hAnsi="宋体" w:cs="宋体"/>
                <w:color w:val="auto"/>
                <w:kern w:val="2"/>
                <w:szCs w:val="21"/>
                <w:highlight w:val="none"/>
                <w:lang w:val="zh-CN"/>
              </w:rPr>
              <w:t>；</w:t>
            </w:r>
          </w:p>
          <w:p>
            <w:pPr>
              <w:tabs>
                <w:tab w:val="left" w:pos="567"/>
              </w:tabs>
              <w:ind w:firstLine="420" w:firstLineChars="200"/>
              <w:jc w:val="both"/>
              <w:rPr>
                <w:rFonts w:hAnsi="宋体" w:cs="宋体"/>
                <w:color w:val="auto"/>
                <w:kern w:val="2"/>
                <w:szCs w:val="21"/>
                <w:highlight w:val="none"/>
                <w:lang w:val="zh-CN"/>
              </w:rPr>
            </w:pPr>
            <w:r>
              <w:rPr>
                <w:rFonts w:hint="eastAsia" w:hAnsi="宋体" w:cs="宋体"/>
                <w:color w:val="auto"/>
                <w:kern w:val="2"/>
                <w:szCs w:val="21"/>
                <w:highlight w:val="none"/>
                <w:lang w:val="zh-CN"/>
              </w:rPr>
              <w:t>银行帐号：</w:t>
            </w:r>
            <w:r>
              <w:rPr>
                <w:rFonts w:hint="eastAsia" w:hAnsi="宋体" w:cs="宋体"/>
                <w:color w:val="auto"/>
                <w:kern w:val="2"/>
                <w:szCs w:val="21"/>
                <w:highlight w:val="none"/>
                <w:u w:val="single"/>
                <w:lang w:val="en-US" w:eastAsia="zh-CN"/>
              </w:rPr>
              <w:t xml:space="preserve"> 6232590699050061926 </w:t>
            </w:r>
            <w:r>
              <w:rPr>
                <w:rFonts w:hint="eastAsia" w:hAnsi="宋体" w:cs="宋体"/>
                <w:color w:val="auto"/>
                <w:kern w:val="2"/>
                <w:szCs w:val="21"/>
                <w:highlight w:val="none"/>
                <w:lang w:val="zh-CN"/>
              </w:rPr>
              <w:t>；</w:t>
            </w:r>
          </w:p>
          <w:p>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（注：各投标人在转帐或电汇时须在用途栏上备注项目编号，及项目名称，如有字数限制项目名称可简写。）</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2"/>
            <w:tcBorders>
              <w:tl2br w:val="nil"/>
              <w:tr2bl w:val="nil"/>
            </w:tcBorders>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535"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）未中标的投标人的保证金应当在中标通知书发出后退还，中标</w:t>
            </w:r>
            <w:r>
              <w:rPr>
                <w:rFonts w:hint="eastAsia" w:ascii="宋体" w:hAnsi="宋体"/>
                <w:color w:val="auto"/>
                <w:szCs w:val="21"/>
                <w:highlight w:val="none"/>
              </w:rPr>
              <w:t>的</w:t>
            </w:r>
            <w:r>
              <w:rPr>
                <w:rFonts w:hint="eastAsia" w:ascii="宋体" w:hAnsi="宋体"/>
                <w:color w:val="auto"/>
                <w:szCs w:val="21"/>
                <w:highlight w:val="none"/>
                <w:lang w:val="zh-CN"/>
              </w:rPr>
              <w:t>投标人的保证金应当在采购合同签订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）为方便退还未中标的投标人的保证金，投标人应制作《投标保证金汇入情况说明》随唱标信封一并递交。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投标有效期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2"/>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唱标信封</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sym w:font="Wingdings 2" w:char="0052"/>
            </w:r>
            <w:r>
              <w:rPr>
                <w:rFonts w:hint="eastAsia" w:ascii="宋体" w:hAnsi="宋体"/>
                <w:b/>
                <w:color w:val="auto"/>
                <w:szCs w:val="21"/>
                <w:highlight w:val="none"/>
              </w:rPr>
              <w:t xml:space="preserve">5  </w:t>
            </w:r>
            <w:r>
              <w:rPr>
                <w:rFonts w:hint="eastAsia" w:ascii="宋体" w:hAnsi="宋体"/>
                <w:b/>
                <w:color w:val="auto"/>
                <w:szCs w:val="21"/>
                <w:highlight w:val="none"/>
              </w:rPr>
              <w:sym w:font="Wingdings 2" w:char="00A3"/>
            </w:r>
            <w:r>
              <w:rPr>
                <w:rFonts w:hint="eastAsia" w:ascii="宋体" w:hAnsi="宋体"/>
                <w:b/>
                <w:color w:val="auto"/>
                <w:szCs w:val="21"/>
                <w:highlight w:val="none"/>
              </w:rPr>
              <w:t>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vMerge w:val="restart"/>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2608" w:type="dxa"/>
            <w:vMerge w:val="continue"/>
            <w:tcBorders>
              <w:tl2br w:val="nil"/>
              <w:tr2bl w:val="nil"/>
            </w:tcBorders>
            <w:vAlign w:val="center"/>
          </w:tcPr>
          <w:p>
            <w:pPr>
              <w:jc w:val="center"/>
              <w:rPr>
                <w:rFonts w:ascii="宋体" w:hAnsi="宋体"/>
                <w:b/>
                <w:color w:val="auto"/>
                <w:szCs w:val="21"/>
                <w:highlight w:val="none"/>
              </w:rPr>
            </w:pPr>
          </w:p>
        </w:tc>
        <w:tc>
          <w:tcPr>
            <w:tcW w:w="4924" w:type="dxa"/>
            <w:tcBorders>
              <w:tl2br w:val="nil"/>
              <w:tr2bl w:val="nil"/>
            </w:tcBorders>
            <w:vAlign w:val="center"/>
          </w:tcPr>
          <w:p>
            <w:pPr>
              <w:jc w:val="center"/>
              <w:rPr>
                <w:rFonts w:ascii="宋体" w:hAnsi="宋体"/>
                <w:b/>
                <w:color w:val="auto"/>
                <w:szCs w:val="21"/>
                <w:highlight w:val="none"/>
              </w:rPr>
            </w:pPr>
            <w:r>
              <w:rPr>
                <w:rFonts w:hint="eastAsia" w:ascii="宋体" w:hAnsi="宋体" w:cs="Times New Roman"/>
                <w:b/>
                <w:color w:val="auto"/>
                <w:szCs w:val="21"/>
                <w:highlight w:val="none"/>
              </w:rPr>
              <w:t>U盘，须含盖章版PDF投标文件和WORD版投标文件各一版，文字采用WORD文档，计算表格采用 EXCEL文档。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57"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color w:val="auto"/>
                <w:szCs w:val="21"/>
                <w:highlight w:val="none"/>
              </w:rPr>
              <w:t>见附表二。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b/>
                <w:color w:val="auto"/>
                <w:szCs w:val="21"/>
                <w:highlight w:val="none"/>
              </w:rPr>
              <w:t>评标委员会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jc w:val="both"/>
              <w:rPr>
                <w:rFonts w:ascii="宋体" w:hAnsi="宋体"/>
                <w:color w:val="auto"/>
                <w:szCs w:val="21"/>
                <w:highlight w:val="none"/>
              </w:rPr>
            </w:pPr>
            <w:r>
              <w:rPr>
                <w:rFonts w:hint="eastAsia" w:ascii="宋体" w:hAnsi="宋体"/>
                <w:color w:val="auto"/>
                <w:szCs w:val="21"/>
                <w:highlight w:val="none"/>
              </w:rPr>
              <w:t>评标委员会成员共</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rPr>
              <w:t xml:space="preserve"> </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成员人数为五人或五人以上单数</w:t>
            </w:r>
            <w:r>
              <w:rPr>
                <w:rFonts w:hint="eastAsia" w:ascii="宋体" w:hAnsi="宋体"/>
                <w:color w:val="auto"/>
                <w:szCs w:val="21"/>
                <w:highlight w:val="none"/>
                <w:lang w:val="zh-CN"/>
              </w:rPr>
              <w:t>，其中专家不得少于成员总数的三分之二。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748" w:hRule="atLeast"/>
          <w:jc w:val="center"/>
        </w:trPr>
        <w:tc>
          <w:tcPr>
            <w:tcW w:w="8410" w:type="dxa"/>
            <w:gridSpan w:val="3"/>
            <w:tcBorders>
              <w:tl2br w:val="nil"/>
              <w:tr2bl w:val="nil"/>
            </w:tcBorders>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2"/>
            <w:tcBorders>
              <w:tl2br w:val="nil"/>
              <w:tr2bl w:val="nil"/>
            </w:tcBorders>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履约担保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shd w:val="clear" w:color="auto" w:fill="auto"/>
            <w:vAlign w:val="center"/>
          </w:tcPr>
          <w:p>
            <w:pPr>
              <w:jc w:val="both"/>
              <w:rPr>
                <w:rFonts w:ascii="宋体" w:hAnsi="宋体"/>
                <w:color w:val="auto"/>
                <w:szCs w:val="21"/>
                <w:highlight w:val="none"/>
              </w:rPr>
            </w:pPr>
            <w:r>
              <w:rPr>
                <w:rFonts w:hint="eastAsia" w:ascii="宋体" w:hAnsi="宋体"/>
                <w:color w:val="auto"/>
                <w:szCs w:val="21"/>
                <w:highlight w:val="none"/>
              </w:rPr>
              <w:t>1.履约担保金额为：</w:t>
            </w:r>
            <w:r>
              <w:rPr>
                <w:rFonts w:hint="eastAsia" w:ascii="宋体" w:hAnsi="宋体"/>
                <w:color w:val="auto"/>
                <w:szCs w:val="21"/>
                <w:highlight w:val="none"/>
                <w:u w:val="single"/>
              </w:rPr>
              <w:t xml:space="preserve">     合同金额的10%    。</w:t>
            </w:r>
          </w:p>
          <w:p>
            <w:pPr>
              <w:jc w:val="both"/>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p>
          <w:p>
            <w:pPr>
              <w:ind w:firstLine="420" w:firstLineChars="200"/>
              <w:jc w:val="both"/>
              <w:rPr>
                <w:rFonts w:hint="eastAsia" w:ascii="宋体" w:hAnsi="宋体"/>
                <w:color w:val="auto"/>
                <w:szCs w:val="21"/>
                <w:highlight w:val="none"/>
              </w:rPr>
            </w:pPr>
            <w:r>
              <w:rPr>
                <w:rFonts w:hint="eastAsia" w:ascii="宋体" w:hAnsi="宋体"/>
                <w:color w:val="auto"/>
                <w:szCs w:val="21"/>
                <w:highlight w:val="none"/>
              </w:rPr>
              <w:t>账户名称：</w:t>
            </w:r>
            <w:r>
              <w:rPr>
                <w:rFonts w:hint="eastAsia" w:hAnsi="宋体" w:cs="宋体"/>
                <w:color w:val="auto"/>
                <w:kern w:val="2"/>
                <w:szCs w:val="21"/>
                <w:highlight w:val="none"/>
                <w:lang w:val="zh-CN"/>
              </w:rPr>
              <w:t xml:space="preserve">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广东东实开能能源有限公司</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 xml:space="preserve">开户银行：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中信银行东莞松山湖支行</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lang w:val="zh-CN"/>
              </w:rPr>
              <w:t>；</w:t>
            </w:r>
          </w:p>
          <w:p>
            <w:pPr>
              <w:ind w:firstLine="420" w:firstLineChars="200"/>
              <w:jc w:val="both"/>
              <w:rPr>
                <w:rFonts w:ascii="宋体" w:hAnsi="宋体"/>
                <w:color w:val="auto"/>
                <w:szCs w:val="21"/>
                <w:highlight w:val="none"/>
              </w:rPr>
            </w:pPr>
            <w:r>
              <w:rPr>
                <w:rFonts w:hint="eastAsia" w:ascii="宋体" w:hAnsi="宋体"/>
                <w:color w:val="auto"/>
                <w:szCs w:val="21"/>
                <w:highlight w:val="none"/>
              </w:rPr>
              <w:t>银行账号：</w:t>
            </w:r>
            <w:r>
              <w:rPr>
                <w:rFonts w:hint="eastAsia" w:hAnsi="宋体" w:cs="宋体"/>
                <w:color w:val="auto"/>
                <w:kern w:val="2"/>
                <w:szCs w:val="21"/>
                <w:highlight w:val="none"/>
                <w:lang w:val="zh-CN"/>
              </w:rPr>
              <w:t xml:space="preserve">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8110 9010</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1290</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 xml:space="preserve">1085  044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val="en-US" w:eastAsia="zh-CN"/>
              </w:rPr>
              <w:t xml:space="preserve">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lang w:val="zh-CN"/>
              </w:rPr>
              <w:t>；</w:t>
            </w:r>
          </w:p>
          <w:p>
            <w:pPr>
              <w:jc w:val="both"/>
              <w:rPr>
                <w:rFonts w:ascii="宋体" w:hAnsi="宋体"/>
                <w:color w:val="auto"/>
                <w:szCs w:val="21"/>
                <w:highlight w:val="none"/>
              </w:rPr>
            </w:pPr>
            <w:r>
              <w:rPr>
                <w:rFonts w:hint="eastAsia" w:ascii="宋体" w:hAnsi="宋体"/>
                <w:color w:val="auto"/>
                <w:szCs w:val="21"/>
                <w:highlight w:val="none"/>
              </w:rPr>
              <w:t>3.中标人在采购（合同签署）时提交履约担保，履约担保金额不超过成交合同金额的10%，如果中标人提交的履约保函的有效期先于合同要求的履约保函有效期到达，中标人应在原提交的履约保函有效期满前15天，无条件办理保函延期手续。否则，视为中标人违约，采购人可在保函到期前将保函金额转为现金存入履约保证金帐户。</w:t>
            </w:r>
          </w:p>
          <w:p>
            <w:pPr>
              <w:jc w:val="both"/>
              <w:rPr>
                <w:rFonts w:ascii="宋体" w:hAnsi="宋体"/>
                <w:color w:val="auto"/>
                <w:szCs w:val="21"/>
                <w:highlight w:val="none"/>
              </w:rPr>
            </w:pPr>
            <w:r>
              <w:rPr>
                <w:rFonts w:hint="eastAsia" w:ascii="宋体" w:hAnsi="宋体"/>
                <w:color w:val="auto"/>
                <w:szCs w:val="21"/>
                <w:highlight w:val="none"/>
              </w:rPr>
              <w:t>4.履约担保期限从合同签订之日起至项目完工验收合格并结算完毕后，经双方签字</w:t>
            </w:r>
            <w:r>
              <w:rPr>
                <w:rFonts w:hint="eastAsia" w:ascii="宋体" w:hAnsi="宋体"/>
                <w:color w:val="auto"/>
                <w:szCs w:val="21"/>
                <w:highlight w:val="none"/>
                <w:u w:val="single"/>
              </w:rPr>
              <w:t xml:space="preserve">  7  </w:t>
            </w:r>
            <w:r>
              <w:rPr>
                <w:rFonts w:hint="eastAsia" w:ascii="宋体" w:hAnsi="宋体"/>
                <w:color w:val="auto"/>
                <w:szCs w:val="21"/>
                <w:highlight w:val="none"/>
              </w:rPr>
              <w:t>天内保持有效。</w:t>
            </w:r>
          </w:p>
          <w:p>
            <w:pPr>
              <w:jc w:val="both"/>
              <w:rPr>
                <w:rFonts w:ascii="宋体" w:hAnsi="宋体"/>
                <w:color w:val="auto"/>
                <w:szCs w:val="21"/>
                <w:highlight w:val="none"/>
              </w:rPr>
            </w:pPr>
            <w:r>
              <w:rPr>
                <w:rFonts w:hint="eastAsia" w:ascii="宋体" w:hAnsi="宋体"/>
                <w:color w:val="auto"/>
                <w:szCs w:val="21"/>
                <w:highlight w:val="none"/>
              </w:rPr>
              <w:t>5、履约担保要求：</w:t>
            </w:r>
          </w:p>
          <w:p>
            <w:pPr>
              <w:jc w:val="both"/>
              <w:rPr>
                <w:rFonts w:ascii="宋体" w:hAnsi="宋体"/>
                <w:color w:val="auto"/>
                <w:szCs w:val="21"/>
                <w:highlight w:val="none"/>
              </w:rPr>
            </w:pPr>
            <w:r>
              <w:rPr>
                <w:rFonts w:hint="eastAsia" w:ascii="宋体" w:hAnsi="宋体"/>
                <w:color w:val="auto"/>
                <w:szCs w:val="21"/>
                <w:highlight w:val="none"/>
              </w:rPr>
              <w:t>（1）履约保函。如果中标人的履约担保是以银行保函形式提供的，则该银行保函应：</w:t>
            </w:r>
          </w:p>
          <w:p>
            <w:pPr>
              <w:jc w:val="both"/>
              <w:rPr>
                <w:rFonts w:ascii="宋体" w:hAnsi="宋体"/>
                <w:color w:val="auto"/>
                <w:szCs w:val="21"/>
                <w:highlight w:val="none"/>
              </w:rPr>
            </w:pPr>
            <w:r>
              <w:rPr>
                <w:rFonts w:hint="eastAsia" w:ascii="宋体" w:hAnsi="宋体"/>
                <w:color w:val="auto"/>
                <w:szCs w:val="21"/>
                <w:highlight w:val="none"/>
              </w:rPr>
              <w:t>①保函应由银行支行或以上银行机构开具，非东莞市行政区内的银行开具的保函要由银行所在地公证部门出具的公证书。</w:t>
            </w:r>
          </w:p>
          <w:p>
            <w:pPr>
              <w:jc w:val="both"/>
              <w:rPr>
                <w:rFonts w:ascii="宋体" w:hAnsi="宋体"/>
                <w:color w:val="auto"/>
                <w:szCs w:val="21"/>
                <w:highlight w:val="none"/>
              </w:rPr>
            </w:pPr>
            <w:r>
              <w:rPr>
                <w:rFonts w:hint="eastAsia" w:ascii="宋体" w:hAnsi="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pPr>
              <w:jc w:val="both"/>
              <w:rPr>
                <w:rFonts w:ascii="宋体" w:hAnsi="宋体"/>
                <w:color w:val="auto"/>
                <w:szCs w:val="21"/>
                <w:highlight w:val="none"/>
              </w:rPr>
            </w:pPr>
            <w:r>
              <w:rPr>
                <w:rFonts w:hint="eastAsia" w:ascii="宋体" w:hAnsi="宋体"/>
                <w:color w:val="auto"/>
                <w:szCs w:val="21"/>
                <w:highlight w:val="none"/>
              </w:rPr>
              <w:t>（2）履约保证金。可采用电汇、银行汇票等银行转帐方式提交，但不可以采用现金方式提交。中标人必须保证履约保证金以中标人名称在签订合同前提交至采购人指定账户。</w:t>
            </w:r>
          </w:p>
          <w:p>
            <w:pPr>
              <w:jc w:val="both"/>
              <w:rPr>
                <w:rFonts w:ascii="宋体" w:hAnsi="宋体"/>
                <w:color w:val="auto"/>
                <w:szCs w:val="21"/>
                <w:highlight w:val="none"/>
              </w:rPr>
            </w:pPr>
            <w:r>
              <w:rPr>
                <w:rFonts w:hint="eastAsia" w:ascii="宋体" w:hAnsi="宋体"/>
                <w:color w:val="auto"/>
                <w:szCs w:val="21"/>
                <w:highlight w:val="none"/>
              </w:rPr>
              <w:t>（3）若中标人不能按本采购文件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（4）为取得履约担保所需的费用，由中标人承担；若工期延误，履约担保时间延长，延长费用由中标人承担。</w:t>
            </w:r>
          </w:p>
          <w:p>
            <w:pPr>
              <w:jc w:val="both"/>
              <w:rPr>
                <w:rFonts w:ascii="宋体" w:hAnsi="宋体"/>
                <w:color w:val="auto"/>
                <w:szCs w:val="21"/>
                <w:highlight w:val="none"/>
              </w:rPr>
            </w:pPr>
            <w:r>
              <w:rPr>
                <w:rFonts w:hint="eastAsia" w:ascii="宋体" w:hAnsi="宋体"/>
                <w:color w:val="auto"/>
                <w:szCs w:val="21"/>
                <w:highlight w:val="none"/>
              </w:rPr>
              <w:t>（5）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jc w:val="both"/>
              <w:rPr>
                <w:rFonts w:ascii="宋体" w:hAnsi="宋体"/>
                <w:color w:val="auto"/>
                <w:szCs w:val="21"/>
                <w:highlight w:val="none"/>
              </w:rPr>
            </w:pPr>
            <w:r>
              <w:rPr>
                <w:rFonts w:hint="eastAsia" w:ascii="宋体" w:hAnsi="宋体"/>
                <w:color w:val="auto"/>
                <w:szCs w:val="21"/>
                <w:highlight w:val="none"/>
              </w:rPr>
              <w:t>（6）下列任何情况发生时，采购人有权行使享有的担保权利：</w:t>
            </w:r>
          </w:p>
          <w:p>
            <w:pPr>
              <w:jc w:val="both"/>
              <w:rPr>
                <w:rFonts w:ascii="宋体" w:hAnsi="宋体"/>
                <w:color w:val="auto"/>
                <w:szCs w:val="21"/>
                <w:highlight w:val="none"/>
              </w:rPr>
            </w:pPr>
            <w:r>
              <w:rPr>
                <w:rFonts w:hint="eastAsia" w:ascii="宋体" w:hAnsi="宋体"/>
                <w:color w:val="auto"/>
                <w:szCs w:val="21"/>
                <w:highlight w:val="none"/>
              </w:rPr>
              <w:t>①中标人将本项目转让给他人，或者在投标文件中未说明，且未经采购人同意，将中标项目分包给他人的；</w:t>
            </w:r>
          </w:p>
          <w:p>
            <w:pPr>
              <w:jc w:val="both"/>
              <w:rPr>
                <w:rFonts w:ascii="宋体" w:hAnsi="宋体"/>
                <w:color w:val="auto"/>
                <w:szCs w:val="21"/>
                <w:highlight w:val="none"/>
              </w:rPr>
            </w:pPr>
            <w:r>
              <w:rPr>
                <w:rFonts w:hint="eastAsia" w:ascii="宋体" w:hAnsi="宋体"/>
                <w:color w:val="auto"/>
                <w:szCs w:val="21"/>
                <w:highlight w:val="none"/>
              </w:rPr>
              <w:t>②中标人在履行采购合同期间，违反有关法律法规的规定及合同约定的条款，损害了采购人的利益。</w:t>
            </w:r>
          </w:p>
          <w:p>
            <w:pPr>
              <w:jc w:val="both"/>
              <w:rPr>
                <w:rFonts w:ascii="宋体" w:hAnsi="宋体"/>
                <w:b/>
                <w:color w:val="auto"/>
                <w:szCs w:val="21"/>
                <w:highlight w:val="none"/>
              </w:rPr>
            </w:pPr>
            <w:r>
              <w:rPr>
                <w:rFonts w:hint="eastAsia" w:ascii="宋体" w:hAnsi="宋体"/>
                <w:color w:val="auto"/>
                <w:szCs w:val="21"/>
                <w:highlight w:val="none"/>
              </w:rPr>
              <w:t>（7）在整个项目验收合格后，中标人向采购人提交退回履约担保的申请，采购人办理履约担保退还手续。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878" w:type="dxa"/>
            <w:vMerge w:val="restart"/>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2"/>
            <w:tcBorders>
              <w:tl2br w:val="nil"/>
              <w:tr2bl w:val="nil"/>
            </w:tcBorders>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878" w:type="dxa"/>
            <w:vMerge w:val="continue"/>
            <w:tcBorders>
              <w:tl2br w:val="nil"/>
              <w:tr2bl w:val="nil"/>
            </w:tcBorders>
            <w:vAlign w:val="center"/>
          </w:tcPr>
          <w:p>
            <w:pPr>
              <w:jc w:val="center"/>
              <w:rPr>
                <w:rFonts w:ascii="宋体" w:hAnsi="宋体"/>
                <w:color w:val="auto"/>
                <w:szCs w:val="21"/>
                <w:highlight w:val="none"/>
              </w:rPr>
            </w:pPr>
          </w:p>
        </w:tc>
        <w:tc>
          <w:tcPr>
            <w:tcW w:w="7532"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中标人应在领取《中标通知书》原件时向采购代理机构一次性支付中标服务费。中标服务费参照国家计委[计价格[2002]1980号]文和国家发改委[发改价格[2011]534号]文及相关规定收取，按差额定率累进法计算，按服务类的70%收取。</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84" w:hRule="atLeast"/>
          <w:jc w:val="center"/>
        </w:trPr>
        <w:tc>
          <w:tcPr>
            <w:tcW w:w="878"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2"/>
            <w:tcBorders>
              <w:tl2br w:val="nil"/>
              <w:tr2bl w:val="nil"/>
            </w:tcBorders>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20" w:hRule="atLeast"/>
          <w:jc w:val="center"/>
        </w:trPr>
        <w:tc>
          <w:tcPr>
            <w:tcW w:w="8410" w:type="dxa"/>
            <w:gridSpan w:val="3"/>
            <w:tcBorders>
              <w:tl2br w:val="nil"/>
              <w:tr2bl w:val="nil"/>
            </w:tcBorders>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注：本表关于要采购项目的具体资料，是对投标人须知的具体补充和修改，如有矛盾，应以本资料表为准。不满足采购文件中 “★”条款的投标文件将作无效投标处理。</w:t>
            </w:r>
          </w:p>
        </w:tc>
      </w:tr>
    </w:tbl>
    <w:p>
      <w:pPr>
        <w:jc w:val="center"/>
        <w:rPr>
          <w:color w:val="auto"/>
          <w:highlight w:val="none"/>
        </w:rPr>
      </w:pPr>
      <w:r>
        <w:rPr>
          <w:rFonts w:hint="eastAsia"/>
          <w:color w:val="auto"/>
          <w:highlight w:val="none"/>
        </w:rPr>
        <w:br w:type="page"/>
      </w:r>
    </w:p>
    <w:p>
      <w:pPr>
        <w:pStyle w:val="7"/>
        <w:spacing w:before="0" w:after="0" w:line="240" w:lineRule="auto"/>
        <w:jc w:val="center"/>
        <w:rPr>
          <w:rFonts w:hAnsi="宋体" w:cs="宋体"/>
          <w:color w:val="auto"/>
          <w:sz w:val="21"/>
          <w:szCs w:val="21"/>
          <w:highlight w:val="none"/>
        </w:rPr>
      </w:pPr>
      <w:bookmarkStart w:id="4" w:name="_Toc1445"/>
      <w:r>
        <w:rPr>
          <w:rFonts w:hint="eastAsia" w:ascii="宋体" w:hAnsi="宋体" w:cs="宋体"/>
          <w:color w:val="auto"/>
          <w:sz w:val="24"/>
          <w:szCs w:val="24"/>
          <w:highlight w:val="none"/>
        </w:rPr>
        <w:t>附表二：商务技术评分及价格权重表（满分100分）</w:t>
      </w:r>
      <w:bookmarkEnd w:id="4"/>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1"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30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企业认证</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eastAsia="宋体" w:cs="宋体"/>
                <w:color w:val="auto"/>
                <w:sz w:val="21"/>
                <w:szCs w:val="21"/>
                <w:highlight w:val="none"/>
                <w:u w:val="single"/>
                <w:lang w:val="en-US" w:eastAsia="zh-CN"/>
              </w:rPr>
            </w:pP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14"/>
              <w:snapToGrid w:val="0"/>
              <w:spacing w:line="360" w:lineRule="auto"/>
              <w:ind w:left="0" w:leftChars="0"/>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rPr>
              <w:t>获得由国家认证认可监督管理部门批准设立的认证机构颁发并在有效期内的ISO质量管理体系认证、环境管理体系认证和职业健康安全管理体系认证的，每个得</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分，最高得</w:t>
            </w:r>
            <w:r>
              <w:rPr>
                <w:rFonts w:hint="eastAsia"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w:t>
            </w:r>
          </w:p>
          <w:p>
            <w:pPr>
              <w:pStyle w:val="14"/>
              <w:snapToGrid w:val="0"/>
              <w:spacing w:line="360" w:lineRule="auto"/>
              <w:ind w:left="0" w:leftChars="0" w:firstLine="178" w:firstLineChars="85"/>
              <w:rPr>
                <w:rFonts w:ascii="宋体" w:eastAsia="宋体" w:cs="宋体"/>
                <w:b w:val="0"/>
                <w:bCs w:val="0"/>
                <w:color w:val="auto"/>
                <w:sz w:val="21"/>
                <w:szCs w:val="21"/>
                <w:highlight w:val="none"/>
                <w:u w:val="single"/>
                <w:lang w:val="zh-CN"/>
              </w:rPr>
            </w:pPr>
            <w:r>
              <w:rPr>
                <w:rFonts w:hint="eastAsia" w:ascii="宋体" w:hAnsi="宋体" w:eastAsia="宋体" w:cs="宋体"/>
                <w:b w:val="0"/>
                <w:bCs w:val="0"/>
                <w:color w:val="auto"/>
                <w:sz w:val="21"/>
                <w:szCs w:val="21"/>
                <w:highlight w:val="none"/>
              </w:rPr>
              <w:t>注：须提供相关证书复印件并加盖公章。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eastAsia="宋体" w:asciiTheme="minorHAnsi" w:hAnsiTheme="minorHAnsi" w:cstheme="minorBidi"/>
                <w:color w:val="auto"/>
                <w:kern w:val="2"/>
                <w:sz w:val="21"/>
                <w:szCs w:val="21"/>
                <w:highlight w:val="none"/>
                <w:u w:val="single"/>
                <w:lang w:val="en-US" w:eastAsia="zh-CN" w:bidi="ar-SA"/>
              </w:rPr>
            </w:pPr>
            <w:r>
              <w:rPr>
                <w:rFonts w:hint="eastAsia" w:ascii="宋体" w:hAnsi="宋体" w:eastAsia="宋体" w:cs="宋体"/>
                <w:color w:val="auto"/>
                <w:sz w:val="21"/>
                <w:szCs w:val="21"/>
                <w:highlight w:val="none"/>
              </w:rPr>
              <w:t>业绩</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default" w:eastAsia="宋体" w:asciiTheme="minorHAnsi" w:hAnsiTheme="minorHAnsi" w:cstheme="minorBidi"/>
                <w:color w:val="auto"/>
                <w:kern w:val="2"/>
                <w:sz w:val="21"/>
                <w:szCs w:val="21"/>
                <w:highlight w:val="none"/>
                <w:u w:val="single"/>
                <w:lang w:val="en-US" w:eastAsia="zh-CN" w:bidi="ar-SA"/>
              </w:rPr>
            </w:pPr>
            <w:r>
              <w:rPr>
                <w:rFonts w:hint="eastAsia" w:ascii="宋体" w:hAnsi="宋体" w:eastAsia="宋体" w:cs="宋体"/>
                <w:bCs/>
                <w:color w:val="auto"/>
                <w:sz w:val="21"/>
                <w:szCs w:val="21"/>
                <w:highlight w:val="none"/>
                <w:lang w:val="en-US" w:eastAsia="zh-CN"/>
              </w:rPr>
              <w:t>1</w:t>
            </w:r>
            <w:r>
              <w:rPr>
                <w:rFonts w:hint="eastAsia" w:asci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14"/>
              <w:snapToGrid w:val="0"/>
              <w:spacing w:line="360" w:lineRule="auto"/>
              <w:ind w:left="0" w:leftChars="0"/>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lang w:eastAsia="zh-CN"/>
              </w:rPr>
              <w:t>投标人</w:t>
            </w:r>
            <w:r>
              <w:rPr>
                <w:rFonts w:hint="eastAsia" w:ascii="宋体" w:hAnsi="宋体" w:eastAsia="宋体" w:cs="宋体"/>
                <w:b w:val="0"/>
                <w:bCs w:val="0"/>
                <w:color w:val="auto"/>
                <w:sz w:val="21"/>
                <w:szCs w:val="21"/>
                <w:highlight w:val="none"/>
              </w:rPr>
              <w:t>20</w:t>
            </w:r>
            <w:r>
              <w:rPr>
                <w:rFonts w:hint="eastAsia"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年1月1日至今承接过</w:t>
            </w:r>
            <w:r>
              <w:rPr>
                <w:rFonts w:hint="eastAsia" w:cs="宋体"/>
                <w:b w:val="0"/>
                <w:bCs w:val="0"/>
                <w:color w:val="auto"/>
                <w:sz w:val="21"/>
                <w:szCs w:val="21"/>
                <w:highlight w:val="none"/>
                <w:lang w:val="en-US" w:eastAsia="zh-CN"/>
              </w:rPr>
              <w:t>垃圾填埋场项目垃圾或土方挖运有关</w:t>
            </w:r>
            <w:r>
              <w:rPr>
                <w:rFonts w:hint="eastAsia" w:ascii="宋体" w:hAnsi="宋体" w:eastAsia="宋体" w:cs="宋体"/>
                <w:b w:val="0"/>
                <w:bCs w:val="0"/>
                <w:color w:val="auto"/>
                <w:sz w:val="21"/>
                <w:szCs w:val="21"/>
                <w:highlight w:val="none"/>
              </w:rPr>
              <w:t>的业绩</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每个得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分，最高</w:t>
            </w:r>
            <w:r>
              <w:rPr>
                <w:rFonts w:hint="eastAsia" w:cs="宋体"/>
                <w:b w:val="0"/>
                <w:bCs w:val="0"/>
                <w:color w:val="auto"/>
                <w:sz w:val="21"/>
                <w:szCs w:val="21"/>
                <w:highlight w:val="none"/>
                <w:lang w:val="en-US" w:eastAsia="zh-CN"/>
              </w:rPr>
              <w:t>18</w:t>
            </w:r>
            <w:r>
              <w:rPr>
                <w:rFonts w:hint="eastAsia" w:ascii="宋体" w:hAnsi="宋体" w:eastAsia="宋体" w:cs="宋体"/>
                <w:b w:val="0"/>
                <w:bCs w:val="0"/>
                <w:color w:val="auto"/>
                <w:sz w:val="21"/>
                <w:szCs w:val="21"/>
                <w:highlight w:val="none"/>
              </w:rPr>
              <w:t>分。未提供的不得分。</w:t>
            </w:r>
          </w:p>
          <w:p>
            <w:pPr>
              <w:pStyle w:val="14"/>
              <w:snapToGrid w:val="0"/>
              <w:spacing w:line="360" w:lineRule="auto"/>
              <w:ind w:left="0" w:leftChars="0" w:firstLine="178" w:firstLineChars="85"/>
              <w:rPr>
                <w:rFonts w:hint="eastAsia" w:ascii="Tahoma" w:hAnsi="宋体" w:eastAsia="宋体" w:cstheme="minorBidi"/>
                <w:b w:val="0"/>
                <w:bCs w:val="0"/>
                <w:color w:val="auto"/>
                <w:sz w:val="21"/>
                <w:szCs w:val="21"/>
                <w:highlight w:val="none"/>
                <w:u w:val="single"/>
                <w:lang w:val="en-US" w:eastAsia="zh-CN" w:bidi="ar-SA"/>
              </w:rPr>
            </w:pPr>
            <w:r>
              <w:rPr>
                <w:rFonts w:hint="eastAsia" w:ascii="宋体" w:hAnsi="宋体" w:eastAsia="宋体" w:cs="宋体"/>
                <w:b w:val="0"/>
                <w:bCs w:val="0"/>
                <w:color w:val="auto"/>
                <w:sz w:val="21"/>
                <w:szCs w:val="21"/>
                <w:highlight w:val="none"/>
                <w:lang w:eastAsia="zh-CN"/>
              </w:rPr>
              <w:t>注：须同时提供①业绩合同复印件、②提供与项目相关的发票或完税证明复印件（张数不限），并加盖公章。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投入人员</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14"/>
              <w:numPr>
                <w:ilvl w:val="255"/>
                <w:numId w:val="0"/>
              </w:numPr>
              <w:snapToGrid w:val="0"/>
              <w:spacing w:line="360" w:lineRule="auto"/>
              <w:rPr>
                <w:rFonts w:hint="eastAsia" w:ascii="宋体" w:hAnsi="宋体" w:eastAsia="宋体" w:cs="宋体"/>
                <w:b w:val="0"/>
                <w:bCs w:val="0"/>
                <w:color w:val="auto"/>
                <w:sz w:val="21"/>
                <w:szCs w:val="21"/>
                <w:highlight w:val="none"/>
                <w:lang w:val="zh-CN" w:eastAsia="zh-CN"/>
              </w:rPr>
            </w:pPr>
            <w:r>
              <w:rPr>
                <w:rFonts w:hint="eastAsia" w:ascii="宋体" w:hAnsi="宋体" w:eastAsia="宋体" w:cs="宋体"/>
                <w:b w:val="0"/>
                <w:bCs w:val="0"/>
                <w:color w:val="auto"/>
                <w:sz w:val="21"/>
                <w:szCs w:val="21"/>
                <w:highlight w:val="none"/>
                <w:lang w:val="zh-CN" w:eastAsia="zh-CN"/>
              </w:rPr>
              <w:t>①拟投入本项目的项目经理具有二级或以上建造师职业资格的，得3分。</w:t>
            </w:r>
          </w:p>
          <w:p>
            <w:pPr>
              <w:pStyle w:val="14"/>
              <w:numPr>
                <w:ilvl w:val="255"/>
                <w:numId w:val="0"/>
              </w:numPr>
              <w:snapToGrid w:val="0"/>
              <w:spacing w:line="360" w:lineRule="auto"/>
              <w:rPr>
                <w:rFonts w:hint="eastAsia" w:ascii="宋体" w:hAnsi="宋体" w:eastAsia="宋体" w:cs="宋体"/>
                <w:b w:val="0"/>
                <w:bCs w:val="0"/>
                <w:color w:val="auto"/>
                <w:sz w:val="21"/>
                <w:szCs w:val="21"/>
                <w:highlight w:val="none"/>
                <w:lang w:val="zh-CN"/>
              </w:rPr>
            </w:pPr>
            <w:r>
              <w:rPr>
                <w:rFonts w:hint="eastAsia" w:ascii="宋体" w:hAnsi="宋体" w:eastAsia="宋体" w:cs="宋体"/>
                <w:b w:val="0"/>
                <w:bCs w:val="0"/>
                <w:color w:val="auto"/>
                <w:sz w:val="21"/>
                <w:szCs w:val="21"/>
                <w:highlight w:val="none"/>
                <w:lang w:val="zh-CN" w:eastAsia="zh-CN"/>
              </w:rPr>
              <w:t>②拟投入本项目的技术负责人具有中级或以上职称的，得</w:t>
            </w:r>
            <w:r>
              <w:rPr>
                <w:rFonts w:hint="eastAsia"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zh-CN" w:eastAsia="zh-CN"/>
              </w:rPr>
              <w:t>分</w:t>
            </w:r>
            <w:r>
              <w:rPr>
                <w:rFonts w:hint="eastAsia" w:ascii="宋体" w:hAnsi="宋体" w:eastAsia="宋体" w:cs="宋体"/>
                <w:b w:val="0"/>
                <w:bCs w:val="0"/>
                <w:color w:val="auto"/>
                <w:sz w:val="21"/>
                <w:szCs w:val="21"/>
                <w:highlight w:val="none"/>
                <w:lang w:val="zh-CN"/>
              </w:rPr>
              <w:t>。</w:t>
            </w:r>
          </w:p>
          <w:p>
            <w:pPr>
              <w:pStyle w:val="14"/>
              <w:numPr>
                <w:ilvl w:val="255"/>
                <w:numId w:val="0"/>
              </w:numPr>
              <w:snapToGrid w:val="0"/>
              <w:spacing w:line="360" w:lineRule="auto"/>
              <w:ind w:left="0" w:leftChars="0" w:firstLine="0" w:firstLineChars="0"/>
              <w:rPr>
                <w:rFonts w:hint="eastAsia" w:asci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zh-CN"/>
              </w:rPr>
              <w:t>注：须提供以上人员证书及开标前6个月（不含开标当月）</w:t>
            </w:r>
            <w:r>
              <w:rPr>
                <w:rFonts w:hint="eastAsia"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zh-CN"/>
              </w:rPr>
              <w:t>为其缴纳的社保证明复印件(加盖</w:t>
            </w:r>
            <w:r>
              <w:rPr>
                <w:rFonts w:hint="eastAsia" w:cs="宋体"/>
                <w:b w:val="0"/>
                <w:bCs w:val="0"/>
                <w:color w:val="auto"/>
                <w:sz w:val="21"/>
                <w:szCs w:val="21"/>
                <w:highlight w:val="none"/>
                <w:lang w:val="en-US" w:eastAsia="zh-CN"/>
              </w:rPr>
              <w:t>投标人</w:t>
            </w:r>
            <w:r>
              <w:rPr>
                <w:rFonts w:hint="eastAsia" w:ascii="宋体" w:hAnsi="宋体" w:eastAsia="宋体" w:cs="宋体"/>
                <w:b w:val="0"/>
                <w:bCs w:val="0"/>
                <w:color w:val="auto"/>
                <w:sz w:val="21"/>
                <w:szCs w:val="21"/>
                <w:highlight w:val="none"/>
                <w:lang w:val="zh-CN"/>
              </w:rPr>
              <w:t>公章)</w:t>
            </w:r>
            <w:r>
              <w:rPr>
                <w:rFonts w:hint="eastAsia" w:ascii="宋体" w:hAnsi="宋体" w:eastAsia="宋体" w:cs="宋体"/>
                <w:b w:val="0"/>
                <w:bCs w:val="0"/>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30</w:t>
            </w:r>
            <w:r>
              <w:rPr>
                <w:rFonts w:hint="eastAsia" w:ascii="宋体" w:eastAsia="宋体" w:cs="宋体"/>
                <w:b/>
                <w:bCs/>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rPr>
              <w:t>施工部署及现场平面规划</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Cs/>
                <w:color w:val="auto"/>
                <w:kern w:val="2"/>
                <w:sz w:val="21"/>
                <w:szCs w:val="21"/>
                <w:highlight w:val="none"/>
                <w:lang w:val="en-US" w:eastAsia="zh-CN" w:bidi="ar-SA"/>
              </w:rPr>
            </w:pPr>
            <w:r>
              <w:rPr>
                <w:rFonts w:hint="eastAsia"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right="0"/>
              <w:jc w:val="left"/>
              <w:rPr>
                <w:rFonts w:hint="eastAsia" w:ascii="宋体" w:hAnsi="宋体" w:eastAsia="宋体" w:cs="宋体"/>
                <w:b w:val="0"/>
                <w:color w:val="auto"/>
                <w:sz w:val="21"/>
                <w:szCs w:val="21"/>
                <w:highlight w:val="none"/>
                <w:lang w:val="en-US"/>
              </w:rPr>
            </w:pPr>
            <w:r>
              <w:rPr>
                <w:rFonts w:hint="eastAsia" w:ascii="宋体" w:hAnsi="宋体" w:eastAsia="宋体" w:cs="宋体"/>
                <w:b w:val="0"/>
                <w:color w:val="auto"/>
                <w:sz w:val="21"/>
                <w:szCs w:val="21"/>
                <w:highlight w:val="none"/>
                <w:lang w:val="en-US"/>
              </w:rPr>
              <w:t>根据各</w:t>
            </w:r>
            <w:r>
              <w:rPr>
                <w:rFonts w:hint="eastAsia" w:cs="宋体"/>
                <w:b w:val="0"/>
                <w:color w:val="auto"/>
                <w:sz w:val="21"/>
                <w:szCs w:val="21"/>
                <w:highlight w:val="none"/>
                <w:lang w:val="en-US" w:eastAsia="zh-CN"/>
              </w:rPr>
              <w:t>投标人</w:t>
            </w:r>
            <w:r>
              <w:rPr>
                <w:rFonts w:hint="eastAsia" w:ascii="宋体" w:hAnsi="宋体" w:eastAsia="宋体" w:cs="宋体"/>
                <w:b w:val="0"/>
                <w:color w:val="auto"/>
                <w:sz w:val="21"/>
                <w:szCs w:val="21"/>
                <w:highlight w:val="none"/>
                <w:lang w:val="en-US"/>
              </w:rPr>
              <w:t>提供的</w:t>
            </w:r>
            <w:r>
              <w:rPr>
                <w:rFonts w:hint="eastAsia" w:ascii="宋体" w:hAnsi="宋体" w:eastAsia="宋体" w:cs="宋体"/>
                <w:b w:val="0"/>
                <w:color w:val="auto"/>
                <w:sz w:val="21"/>
                <w:szCs w:val="21"/>
                <w:highlight w:val="none"/>
              </w:rPr>
              <w:t>施工部署及现场平面规划</w:t>
            </w:r>
            <w:r>
              <w:rPr>
                <w:rFonts w:hint="eastAsia" w:ascii="宋体" w:hAnsi="宋体" w:eastAsia="宋体" w:cs="宋体"/>
                <w:b w:val="0"/>
                <w:color w:val="auto"/>
                <w:sz w:val="21"/>
                <w:szCs w:val="21"/>
                <w:highlight w:val="none"/>
                <w:lang w:val="en-US"/>
              </w:rPr>
              <w:t>的科性、安全性、可行性、完整性等综合评审：</w:t>
            </w:r>
          </w:p>
          <w:p>
            <w:pPr>
              <w:pStyle w:val="2"/>
              <w:spacing w:line="360" w:lineRule="auto"/>
              <w:ind w:left="0" w:right="0" w:firstLine="0" w:firstLineChars="0"/>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rPr>
              <w:t>优：施工部署及现场平面规划</w:t>
            </w:r>
            <w:r>
              <w:rPr>
                <w:rFonts w:hint="eastAsia" w:ascii="宋体" w:hAnsi="宋体" w:eastAsia="宋体" w:cs="宋体"/>
                <w:b w:val="0"/>
                <w:bCs w:val="0"/>
                <w:color w:val="auto"/>
                <w:sz w:val="21"/>
                <w:szCs w:val="21"/>
                <w:highlight w:val="none"/>
                <w:lang w:val="en-US"/>
              </w:rPr>
              <w:t>非常详细、完整，可行、有针对性，有利于项目实施的得</w:t>
            </w:r>
            <w:r>
              <w:rPr>
                <w:rFonts w:hint="eastAsia"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rPr>
              <w:t>分；</w:t>
            </w:r>
          </w:p>
          <w:p>
            <w:pPr>
              <w:pStyle w:val="2"/>
              <w:spacing w:line="360" w:lineRule="auto"/>
              <w:ind w:left="0" w:right="0" w:firstLine="0" w:firstLineChars="0"/>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rPr>
              <w:t>良：施工部署及现场平面规划</w:t>
            </w:r>
            <w:r>
              <w:rPr>
                <w:rFonts w:hint="eastAsia" w:ascii="宋体" w:hAnsi="宋体" w:eastAsia="宋体" w:cs="宋体"/>
                <w:b w:val="0"/>
                <w:bCs w:val="0"/>
                <w:color w:val="auto"/>
                <w:sz w:val="21"/>
                <w:szCs w:val="21"/>
                <w:highlight w:val="none"/>
                <w:lang w:val="en-US"/>
              </w:rPr>
              <w:t>比较详细完整、可行，较利于项目实施的得</w:t>
            </w:r>
            <w:r>
              <w:rPr>
                <w:rFonts w:hint="eastAsia"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rPr>
              <w:t>分；</w:t>
            </w:r>
          </w:p>
          <w:p>
            <w:pPr>
              <w:pStyle w:val="2"/>
              <w:spacing w:line="360" w:lineRule="auto"/>
              <w:ind w:left="0" w:right="0" w:firstLine="0" w:firstLineChars="0"/>
              <w:jc w:val="left"/>
              <w:rPr>
                <w:rFonts w:hint="eastAsia" w:ascii="宋体" w:hAnsi="宋体" w:eastAsia="宋体" w:cs="宋体"/>
                <w:b w:val="0"/>
                <w:bCs w:val="0"/>
                <w:color w:val="auto"/>
                <w:sz w:val="21"/>
                <w:szCs w:val="21"/>
                <w:highlight w:val="none"/>
                <w:lang w:val="en-US"/>
              </w:rPr>
            </w:pPr>
            <w:r>
              <w:rPr>
                <w:rFonts w:hint="eastAsia" w:ascii="宋体" w:hAnsi="宋体" w:eastAsia="宋体" w:cs="宋体"/>
                <w:b w:val="0"/>
                <w:bCs w:val="0"/>
                <w:color w:val="auto"/>
                <w:sz w:val="21"/>
                <w:szCs w:val="21"/>
                <w:highlight w:val="none"/>
              </w:rPr>
              <w:t>中：施工部署及现场平面规划</w:t>
            </w:r>
            <w:r>
              <w:rPr>
                <w:rFonts w:hint="eastAsia" w:ascii="宋体" w:hAnsi="宋体" w:eastAsia="宋体" w:cs="宋体"/>
                <w:b w:val="0"/>
                <w:bCs w:val="0"/>
                <w:color w:val="auto"/>
                <w:sz w:val="21"/>
                <w:szCs w:val="21"/>
                <w:highlight w:val="none"/>
                <w:lang w:val="en-US"/>
              </w:rPr>
              <w:t>基本可行，基本满足项目实施需要的得</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差：施工部署及现场平面规划不完整，可行性低，得1分；</w:t>
            </w:r>
          </w:p>
          <w:p>
            <w:pPr>
              <w:spacing w:line="360" w:lineRule="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rPr>
              <w:t>没有提供项目组织方案的不得分。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施工组织方案</w:t>
            </w:r>
            <w:r>
              <w:rPr>
                <w:rFonts w:hint="eastAsia" w:ascii="宋体" w:hAnsi="宋体" w:cs="宋体"/>
                <w:color w:val="auto"/>
                <w:sz w:val="21"/>
                <w:szCs w:val="21"/>
                <w:highlight w:val="none"/>
                <w:lang w:val="en-US" w:eastAsia="zh-CN" w:bidi="ar-SA"/>
              </w:rPr>
              <w:t>（含开挖、运输、堆填方案）</w:t>
            </w:r>
            <w:r>
              <w:rPr>
                <w:rFonts w:hint="eastAsia" w:ascii="宋体" w:hAnsi="宋体" w:eastAsia="宋体" w:cs="宋体"/>
                <w:color w:val="auto"/>
                <w:sz w:val="21"/>
                <w:szCs w:val="21"/>
                <w:highlight w:val="none"/>
                <w:lang w:val="en-US" w:eastAsia="zh-CN" w:bidi="ar-SA"/>
              </w:rPr>
              <w:t>及施工进度计划</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c>
          <w:tcPr>
            <w:tcW w:w="5461" w:type="dxa"/>
            <w:tcBorders>
              <w:top w:val="single" w:color="auto" w:sz="4" w:space="0"/>
              <w:left w:val="single" w:color="auto" w:sz="4" w:space="0"/>
              <w:bottom w:val="single" w:color="auto" w:sz="4" w:space="0"/>
              <w:right w:val="single" w:color="auto" w:sz="4" w:space="0"/>
            </w:tcBorders>
            <w:vAlign w:val="center"/>
          </w:tcPr>
          <w:p>
            <w:pPr>
              <w:spacing w:line="360" w:lineRule="auto"/>
              <w:ind w:left="420" w:hanging="420" w:hanging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对本项目拟制定的</w:t>
            </w:r>
            <w:r>
              <w:rPr>
                <w:rFonts w:hint="eastAsia" w:ascii="宋体" w:hAnsi="宋体" w:eastAsia="宋体" w:cs="宋体"/>
                <w:color w:val="auto"/>
                <w:sz w:val="21"/>
                <w:szCs w:val="21"/>
                <w:highlight w:val="none"/>
                <w:lang w:val="en-US" w:eastAsia="zh-CN"/>
              </w:rPr>
              <w:t>施工组织方案</w:t>
            </w:r>
            <w:r>
              <w:rPr>
                <w:rFonts w:hint="eastAsia" w:ascii="宋体" w:hAnsi="宋体" w:cs="宋体"/>
                <w:color w:val="auto"/>
                <w:sz w:val="21"/>
                <w:szCs w:val="21"/>
                <w:highlight w:val="none"/>
                <w:lang w:val="en-US" w:eastAsia="zh-CN" w:bidi="ar-SA"/>
              </w:rPr>
              <w:t>（含开挖、运输、堆填方案）</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rPr>
              <w:t>进度计划进行评审：</w:t>
            </w:r>
          </w:p>
          <w:p>
            <w:pPr>
              <w:spacing w:line="360" w:lineRule="auto"/>
              <w:ind w:lef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优：实施进度计划完整具体，优于用户需求进度计划，保证进度计划的措施可行性高，得</w:t>
            </w:r>
            <w:r>
              <w:rPr>
                <w:rFonts w:hint="eastAsia" w:hAnsi="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pPr>
              <w:spacing w:line="360" w:lineRule="auto"/>
              <w:ind w:lef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良：实施进度计划比较完整具体，符合用户需求进度计划，保证进度计划的措施可行性比较高，得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spacing w:line="360" w:lineRule="auto"/>
              <w:ind w:left="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中：实施进度计划基本完整，和用户需求进度计划偏离不大，保证进度计划的措施可行性一般，得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pPr>
              <w:spacing w:line="360" w:lineRule="auto"/>
              <w:ind w:left="0" w:firstLine="0" w:firstLineChars="0"/>
              <w:rPr>
                <w:rFonts w:hint="eastAsia" w:ascii="宋体" w:hAnsi="宋体" w:eastAsia="宋体" w:cs="宋体"/>
                <w:color w:val="auto"/>
                <w:sz w:val="21"/>
                <w:szCs w:val="21"/>
                <w:highlight w:val="none"/>
                <w:lang w:val="zh-CN" w:eastAsia="zh-CN" w:bidi="ar-SA"/>
              </w:rPr>
            </w:pPr>
            <w:r>
              <w:rPr>
                <w:rFonts w:hint="eastAsia" w:ascii="宋体" w:hAnsi="宋体" w:eastAsia="宋体" w:cs="宋体"/>
                <w:color w:val="auto"/>
                <w:sz w:val="21"/>
                <w:szCs w:val="21"/>
                <w:highlight w:val="none"/>
              </w:rPr>
              <w:t>差：实施进度计划不具体，和用户需求进度计划存在较大偏离，保证进度计划的措施可行性低，得1分；未提供实施进度计划不得分。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突发事故响应措施保障方案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根据</w:t>
            </w:r>
            <w:r>
              <w:rPr>
                <w:rFonts w:hint="eastAsia" w:ascii="宋体" w:eastAsia="宋体" w:cs="宋体"/>
                <w:bCs/>
                <w:color w:val="auto"/>
                <w:kern w:val="2"/>
                <w:sz w:val="21"/>
                <w:szCs w:val="21"/>
                <w:highlight w:val="none"/>
                <w:lang w:val="en-US" w:eastAsia="zh-CN" w:bidi="ar-SA"/>
              </w:rPr>
              <w:t>投标人</w:t>
            </w:r>
            <w:r>
              <w:rPr>
                <w:rFonts w:hint="eastAsia" w:ascii="宋体" w:hAnsi="宋体" w:eastAsia="宋体" w:cs="宋体"/>
                <w:bCs/>
                <w:color w:val="auto"/>
                <w:kern w:val="2"/>
                <w:sz w:val="21"/>
                <w:szCs w:val="21"/>
                <w:highlight w:val="none"/>
                <w:lang w:val="en-US" w:eastAsia="zh-CN" w:bidi="ar-SA"/>
              </w:rPr>
              <w:t>针对本项目突发事故所拟定的响应措施保障方案进行评审：</w:t>
            </w:r>
          </w:p>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优：应急保障措施完善，突发应急预案非常全面，非常有利于项目实施的得</w:t>
            </w:r>
            <w:r>
              <w:rPr>
                <w:rFonts w:hint="eastAsia" w:ascii="宋体" w:eastAsia="宋体" w:cs="宋体"/>
                <w:bCs/>
                <w:color w:val="auto"/>
                <w:kern w:val="2"/>
                <w:sz w:val="21"/>
                <w:szCs w:val="21"/>
                <w:highlight w:val="none"/>
                <w:lang w:val="en-US" w:eastAsia="zh-CN" w:bidi="ar-SA"/>
              </w:rPr>
              <w:t>3</w:t>
            </w:r>
            <w:r>
              <w:rPr>
                <w:rFonts w:hint="eastAsia" w:ascii="宋体" w:hAnsi="宋体" w:eastAsia="宋体" w:cs="宋体"/>
                <w:bCs/>
                <w:color w:val="auto"/>
                <w:kern w:val="2"/>
                <w:sz w:val="21"/>
                <w:szCs w:val="21"/>
                <w:highlight w:val="none"/>
                <w:lang w:val="en-US" w:eastAsia="zh-CN" w:bidi="ar-SA"/>
              </w:rPr>
              <w:t>分；</w:t>
            </w:r>
          </w:p>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良：应急保障措施较好，能处理大多数突发应急情况，有利于项目实施的得</w:t>
            </w:r>
            <w:r>
              <w:rPr>
                <w:rFonts w:hint="eastAsia" w:ascii="宋体" w:eastAsia="宋体" w:cs="宋体"/>
                <w:bCs/>
                <w:color w:val="auto"/>
                <w:kern w:val="2"/>
                <w:sz w:val="21"/>
                <w:szCs w:val="21"/>
                <w:highlight w:val="none"/>
                <w:lang w:val="en-US" w:eastAsia="zh-CN" w:bidi="ar-SA"/>
              </w:rPr>
              <w:t>2</w:t>
            </w:r>
            <w:r>
              <w:rPr>
                <w:rFonts w:hint="eastAsia" w:ascii="宋体" w:hAnsi="宋体" w:eastAsia="宋体" w:cs="宋体"/>
                <w:bCs/>
                <w:color w:val="auto"/>
                <w:kern w:val="2"/>
                <w:sz w:val="21"/>
                <w:szCs w:val="21"/>
                <w:highlight w:val="none"/>
                <w:lang w:val="en-US" w:eastAsia="zh-CN" w:bidi="ar-SA"/>
              </w:rPr>
              <w:t>分；</w:t>
            </w:r>
          </w:p>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差：应急保障措施基本可行，能处理少数突发应急情况，基本满足项目需求的得1分；</w:t>
            </w:r>
          </w:p>
          <w:p>
            <w:pPr>
              <w:pStyle w:val="47"/>
              <w:spacing w:line="360" w:lineRule="auto"/>
              <w:ind w:firstLine="0" w:firstLineChars="0"/>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bCs/>
                <w:color w:val="auto"/>
                <w:kern w:val="2"/>
                <w:sz w:val="21"/>
                <w:szCs w:val="21"/>
                <w:highlight w:val="none"/>
                <w:lang w:val="en-US" w:eastAsia="zh-CN" w:bidi="ar-SA"/>
              </w:rPr>
              <w:t>无方对应案不得分。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工期保证措施</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所提供</w:t>
            </w:r>
            <w:r>
              <w:rPr>
                <w:rFonts w:hint="eastAsia" w:ascii="宋体" w:hAnsi="宋体" w:eastAsia="宋体" w:cs="宋体"/>
                <w:bCs/>
                <w:color w:val="auto"/>
                <w:sz w:val="21"/>
                <w:szCs w:val="21"/>
                <w:highlight w:val="none"/>
                <w:lang w:val="en-US" w:eastAsia="zh-CN"/>
              </w:rPr>
              <w:t>工期保证</w:t>
            </w:r>
            <w:r>
              <w:rPr>
                <w:rFonts w:hint="eastAsia" w:ascii="宋体" w:hAnsi="宋体" w:eastAsia="宋体" w:cs="宋体"/>
                <w:bCs/>
                <w:color w:val="auto"/>
                <w:sz w:val="21"/>
                <w:szCs w:val="21"/>
                <w:highlight w:val="none"/>
              </w:rPr>
              <w:t>措施进行评审：</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w:t>
            </w:r>
            <w:r>
              <w:rPr>
                <w:rFonts w:hint="eastAsia" w:ascii="宋体" w:hAnsi="宋体" w:eastAsia="宋体" w:cs="宋体"/>
                <w:bCs/>
                <w:color w:val="auto"/>
                <w:sz w:val="21"/>
                <w:szCs w:val="21"/>
                <w:highlight w:val="none"/>
                <w:lang w:val="en-US" w:eastAsia="zh-CN"/>
              </w:rPr>
              <w:t>工期保证</w:t>
            </w:r>
            <w:r>
              <w:rPr>
                <w:rFonts w:hint="eastAsia" w:ascii="宋体" w:hAnsi="宋体" w:eastAsia="宋体" w:cs="宋体"/>
                <w:bCs/>
                <w:color w:val="auto"/>
                <w:sz w:val="21"/>
                <w:szCs w:val="21"/>
                <w:highlight w:val="none"/>
              </w:rPr>
              <w:t>措施</w:t>
            </w:r>
            <w:r>
              <w:rPr>
                <w:rFonts w:hint="eastAsia" w:ascii="宋体" w:hAnsi="宋体" w:eastAsia="宋体" w:cs="宋体"/>
                <w:bCs/>
                <w:color w:val="auto"/>
                <w:sz w:val="21"/>
                <w:szCs w:val="21"/>
                <w:highlight w:val="none"/>
                <w:lang w:val="en-US" w:eastAsia="zh-CN"/>
              </w:rPr>
              <w:t>齐全、</w:t>
            </w:r>
            <w:r>
              <w:rPr>
                <w:rFonts w:hint="eastAsia" w:ascii="宋体" w:hAnsi="宋体" w:eastAsia="宋体" w:cs="宋体"/>
                <w:bCs/>
                <w:color w:val="auto"/>
                <w:sz w:val="21"/>
                <w:szCs w:val="21"/>
                <w:highlight w:val="none"/>
              </w:rPr>
              <w:t>到位</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完善，得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良：工期保证</w:t>
            </w:r>
            <w:r>
              <w:rPr>
                <w:rFonts w:hint="eastAsia" w:ascii="宋体" w:hAnsi="宋体" w:eastAsia="宋体" w:cs="宋体"/>
                <w:bCs/>
                <w:color w:val="auto"/>
                <w:sz w:val="21"/>
                <w:szCs w:val="21"/>
                <w:highlight w:val="none"/>
              </w:rPr>
              <w:t>措施</w:t>
            </w:r>
            <w:r>
              <w:rPr>
                <w:rFonts w:hint="eastAsia" w:ascii="宋体" w:hAnsi="宋体" w:eastAsia="宋体" w:cs="宋体"/>
                <w:bCs/>
                <w:color w:val="auto"/>
                <w:sz w:val="21"/>
                <w:szCs w:val="21"/>
                <w:highlight w:val="none"/>
                <w:lang w:val="en-US" w:eastAsia="zh-CN"/>
              </w:rPr>
              <w:t>基本齐全、</w:t>
            </w:r>
            <w:r>
              <w:rPr>
                <w:rFonts w:hint="eastAsia" w:ascii="宋体" w:hAnsi="宋体" w:eastAsia="宋体" w:cs="宋体"/>
                <w:bCs/>
                <w:color w:val="auto"/>
                <w:sz w:val="21"/>
                <w:szCs w:val="21"/>
                <w:highlight w:val="none"/>
              </w:rPr>
              <w:t>到位</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完善，得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差：</w:t>
            </w:r>
            <w:r>
              <w:rPr>
                <w:rFonts w:hint="eastAsia" w:ascii="宋体" w:hAnsi="宋体" w:eastAsia="宋体" w:cs="宋体"/>
                <w:bCs/>
                <w:color w:val="auto"/>
                <w:sz w:val="21"/>
                <w:szCs w:val="21"/>
                <w:highlight w:val="none"/>
                <w:lang w:val="en-US" w:eastAsia="zh-CN"/>
              </w:rPr>
              <w:t>工期保证</w:t>
            </w:r>
            <w:r>
              <w:rPr>
                <w:rFonts w:hint="eastAsia" w:ascii="宋体" w:hAnsi="宋体" w:eastAsia="宋体" w:cs="宋体"/>
                <w:bCs/>
                <w:color w:val="auto"/>
                <w:sz w:val="21"/>
                <w:szCs w:val="21"/>
                <w:highlight w:val="none"/>
              </w:rPr>
              <w:t>措施</w:t>
            </w:r>
            <w:r>
              <w:rPr>
                <w:rFonts w:hint="eastAsia" w:ascii="宋体" w:hAnsi="宋体" w:eastAsia="宋体" w:cs="宋体"/>
                <w:bCs/>
                <w:color w:val="auto"/>
                <w:sz w:val="21"/>
                <w:szCs w:val="21"/>
                <w:highlight w:val="none"/>
                <w:lang w:val="en-US" w:eastAsia="zh-CN"/>
              </w:rPr>
              <w:t>不齐全、</w:t>
            </w:r>
            <w:r>
              <w:rPr>
                <w:rFonts w:hint="eastAsia" w:ascii="宋体" w:hAnsi="宋体" w:eastAsia="宋体" w:cs="宋体"/>
                <w:bCs/>
                <w:color w:val="auto"/>
                <w:sz w:val="21"/>
                <w:szCs w:val="21"/>
                <w:highlight w:val="none"/>
              </w:rPr>
              <w:t>到位</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完善，得 1分；</w:t>
            </w:r>
          </w:p>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未提供相应方案的，不得分。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9"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安全文明施工措施</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5461"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所提供安全文明措施进行评审：</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优：安全措施到位、安全设施齐全，制度完善，文明措施建立实施的，得</w:t>
            </w:r>
            <w:r>
              <w:rPr>
                <w:rFonts w:hint="eastAsia" w:asci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良：安全措施基本到位、安全设施基本齐全，制度基本完善、文明措施建立实施的，得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pStyle w:val="47"/>
              <w:spacing w:line="36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差：安全措施不到位、安全设施不齐全，制度不完善的，得 1分；</w:t>
            </w:r>
          </w:p>
          <w:p>
            <w:pPr>
              <w:pStyle w:val="47"/>
              <w:spacing w:line="360" w:lineRule="auto"/>
              <w:ind w:firstLine="0" w:firstLineChars="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未提供相应方案的，不得分。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pPr>
              <w:widowControl w:val="0"/>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pPr>
              <w:widowControl w:val="0"/>
              <w:tabs>
                <w:tab w:val="left" w:pos="907"/>
              </w:tabs>
              <w:adjustRightInd/>
              <w:snapToGrid/>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p>
            <w:pPr>
              <w:widowControl w:val="0"/>
              <w:tabs>
                <w:tab w:val="left" w:pos="907"/>
              </w:tabs>
              <w:adjustRightInd/>
              <w:snapToGrid/>
              <w:ind w:firstLine="422" w:firstLineChars="200"/>
              <w:jc w:val="both"/>
              <w:rPr>
                <w:rFonts w:ascii="宋体" w:hAnsi="宋体" w:cs="宋体"/>
                <w:color w:val="auto"/>
                <w:szCs w:val="21"/>
                <w:highlight w:val="none"/>
              </w:rPr>
            </w:pPr>
            <w:r>
              <w:rPr>
                <w:rFonts w:hint="eastAsia" w:ascii="宋体" w:hAnsi="宋体" w:cs="宋体"/>
                <w:b/>
                <w:color w:val="auto"/>
                <w:szCs w:val="21"/>
                <w:highlight w:val="none"/>
              </w:rPr>
              <w:t>（3）若因疫情原因暂缓统一托收或阶段性减免社会保险费而导致无法打印社保缴费证明的需提供书面说明并加盖投标人公章。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u w:val="single"/>
              </w:rPr>
              <w:t>价格评审</w:t>
            </w:r>
            <w:r>
              <w:rPr>
                <w:rFonts w:hint="eastAsia" w:ascii="宋体" w:eastAsia="宋体" w:cs="宋体"/>
                <w:b/>
                <w:bCs/>
                <w:color w:val="auto"/>
                <w:sz w:val="21"/>
                <w:szCs w:val="21"/>
                <w:highlight w:val="none"/>
                <w:u w:val="single"/>
                <w:lang w:eastAsia="zh-CN"/>
              </w:rPr>
              <w:t>（</w:t>
            </w:r>
            <w:r>
              <w:rPr>
                <w:rFonts w:hint="eastAsia" w:ascii="宋体" w:eastAsia="宋体" w:cs="宋体"/>
                <w:b/>
                <w:bCs/>
                <w:color w:val="auto"/>
                <w:sz w:val="21"/>
                <w:szCs w:val="21"/>
                <w:highlight w:val="none"/>
                <w:u w:val="single"/>
                <w:lang w:val="en-US" w:eastAsia="zh-CN"/>
              </w:rPr>
              <w:t>40</w:t>
            </w:r>
            <w:r>
              <w:rPr>
                <w:rFonts w:hint="eastAsia" w:ascii="宋体" w:eastAsia="宋体" w:cs="宋体"/>
                <w:b/>
                <w:bCs/>
                <w:color w:val="auto"/>
                <w:sz w:val="21"/>
                <w:szCs w:val="21"/>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47"/>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ascii="宋体" w:hAnsi="宋体" w:cs="宋体"/>
                <w:color w:val="auto"/>
                <w:kern w:val="2"/>
                <w:szCs w:val="21"/>
                <w:highlight w:val="none"/>
              </w:rPr>
            </w:pPr>
            <w:r>
              <w:rPr>
                <w:rFonts w:hint="eastAsia" w:hAnsi="宋体" w:cs="宋体"/>
                <w:color w:val="auto"/>
                <w:sz w:val="21"/>
                <w:szCs w:val="21"/>
                <w:highlight w:val="none"/>
              </w:rPr>
              <w:t>价格</w:t>
            </w:r>
          </w:p>
        </w:tc>
        <w:tc>
          <w:tcPr>
            <w:tcW w:w="734"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jc w:val="center"/>
              <w:rPr>
                <w:rFonts w:hint="default" w:ascii="宋体" w:hAnsi="宋体" w:eastAsia="宋体" w:cs="宋体"/>
                <w:color w:val="auto"/>
                <w:kern w:val="2"/>
                <w:szCs w:val="21"/>
                <w:highlight w:val="none"/>
                <w:lang w:val="en-US" w:eastAsia="zh-CN"/>
              </w:rPr>
            </w:pPr>
            <w:r>
              <w:rPr>
                <w:rFonts w:hint="eastAsia" w:ascii="宋体" w:hAnsi="宋体" w:cs="宋体"/>
                <w:color w:val="auto"/>
                <w:kern w:val="2"/>
                <w:szCs w:val="21"/>
                <w:highlight w:val="none"/>
                <w:lang w:val="en-US" w:eastAsia="zh-CN"/>
              </w:rPr>
              <w:t>40分</w:t>
            </w:r>
          </w:p>
        </w:tc>
        <w:tc>
          <w:tcPr>
            <w:tcW w:w="5489"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价格分计算方法：满足采购文件要求且投标价格最低的投标报价为评标基准价，其价格分为满分。其他投标人的价格分统一按照下列公式计算：</w:t>
            </w:r>
          </w:p>
          <w:p>
            <w:pPr>
              <w:widowControl w:val="0"/>
              <w:adjustRightInd/>
              <w:snapToGrid/>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lang w:val="zh-CN"/>
              </w:rPr>
              <w:t>投标报价得分=(评标基准价／投标报价)×价格权</w:t>
            </w:r>
            <w:r>
              <w:rPr>
                <w:rFonts w:hint="eastAsia" w:ascii="宋体" w:hAnsi="宋体" w:cs="宋体"/>
                <w:color w:val="auto"/>
                <w:kern w:val="2"/>
                <w:szCs w:val="21"/>
                <w:highlight w:val="none"/>
              </w:rPr>
              <w:t>重</w:t>
            </w:r>
          </w:p>
        </w:tc>
      </w:tr>
    </w:tbl>
    <w:p>
      <w:pPr>
        <w:ind w:firstLine="420" w:firstLineChars="200"/>
        <w:rPr>
          <w:color w:val="auto"/>
          <w:highlight w:val="none"/>
        </w:rPr>
      </w:pPr>
      <w:r>
        <w:rPr>
          <w:rFonts w:hint="eastAsia"/>
          <w:color w:val="auto"/>
          <w:highlight w:val="none"/>
        </w:rPr>
        <w:t>注：评标委员会评委按评标标准独立对技术标进行评审，得出技术标评分。当评标委员会为五人时，在所有评委对同一份投标文件技术标评审的总评分中，去掉一个最高分和一个最低分，计算剩余总评分的算术平均值即为该投标人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投标人技术部分的最终综合得分。</w:t>
      </w:r>
      <w:r>
        <w:rPr>
          <w:rFonts w:hint="eastAsia"/>
          <w:color w:val="auto"/>
          <w:highlight w:val="none"/>
        </w:rPr>
        <w:br w:type="page"/>
      </w:r>
    </w:p>
    <w:p>
      <w:pPr>
        <w:pStyle w:val="6"/>
        <w:spacing w:before="0" w:after="0" w:line="240" w:lineRule="auto"/>
        <w:rPr>
          <w:color w:val="auto"/>
          <w:sz w:val="36"/>
          <w:szCs w:val="36"/>
          <w:highlight w:val="none"/>
        </w:rPr>
      </w:pPr>
      <w:bookmarkStart w:id="5" w:name="_Toc21237"/>
      <w:r>
        <w:rPr>
          <w:rFonts w:hint="eastAsia"/>
          <w:color w:val="auto"/>
          <w:sz w:val="28"/>
          <w:szCs w:val="28"/>
          <w:highlight w:val="none"/>
        </w:rPr>
        <w:t>第三部分用户需求书</w:t>
      </w:r>
      <w:bookmarkEnd w:id="5"/>
    </w:p>
    <w:p>
      <w:pPr>
        <w:pStyle w:val="7"/>
        <w:spacing w:before="0" w:after="0" w:line="360" w:lineRule="auto"/>
        <w:jc w:val="center"/>
        <w:rPr>
          <w:rFonts w:ascii="宋体" w:hAnsi="宋体"/>
          <w:color w:val="auto"/>
          <w:highlight w:val="none"/>
        </w:rPr>
      </w:pPr>
      <w:bookmarkStart w:id="6" w:name="_Toc15266"/>
      <w:bookmarkStart w:id="7" w:name="_Toc1593"/>
      <w:bookmarkStart w:id="8" w:name="_Toc308786492"/>
      <w:bookmarkStart w:id="9" w:name="_Toc31278"/>
      <w:bookmarkStart w:id="10" w:name="_Toc14462"/>
      <w:bookmarkStart w:id="11" w:name="_Toc24679"/>
      <w:bookmarkStart w:id="12" w:name="_Toc13112"/>
      <w:r>
        <w:rPr>
          <w:rFonts w:hint="eastAsia" w:ascii="宋体" w:hAnsi="宋体"/>
          <w:color w:val="auto"/>
          <w:highlight w:val="none"/>
        </w:rPr>
        <w:t>第一章 商务需求书</w:t>
      </w:r>
      <w:bookmarkEnd w:id="6"/>
      <w:bookmarkEnd w:id="7"/>
    </w:p>
    <w:tbl>
      <w:tblPr>
        <w:tblStyle w:val="32"/>
        <w:tblW w:w="86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spacing w:line="360" w:lineRule="exact"/>
              <w:jc w:val="center"/>
              <w:rPr>
                <w:rFonts w:ascii="宋体" w:hAnsi="宋体" w:cs="宋体"/>
                <w:color w:val="auto"/>
                <w:szCs w:val="21"/>
                <w:highlight w:val="none"/>
              </w:rPr>
            </w:pPr>
            <w:r>
              <w:rPr>
                <w:rFonts w:hint="eastAsia" w:hAnsi="宋体" w:cs="宋体"/>
                <w:color w:val="auto"/>
                <w:sz w:val="21"/>
                <w:szCs w:val="21"/>
                <w:highlight w:val="none"/>
              </w:rPr>
              <w:t>合格投标人</w:t>
            </w:r>
          </w:p>
        </w:tc>
        <w:tc>
          <w:tcPr>
            <w:tcW w:w="6466" w:type="dxa"/>
            <w:vAlign w:val="center"/>
          </w:tcPr>
          <w:p>
            <w:pPr>
              <w:pStyle w:val="73"/>
              <w:spacing w:line="40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（一）投标人须为在中华人民共和国境内登记注册的具有独立承担民事责任能力的法人或其他组织；</w:t>
            </w:r>
          </w:p>
          <w:p>
            <w:pPr>
              <w:pStyle w:val="73"/>
              <w:spacing w:line="40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（二）投标人的单位负责人为同一人或者存在直接控股、管理关系的不同投标人，不得参加同一合同项下的招标活动；</w:t>
            </w:r>
          </w:p>
          <w:p>
            <w:pPr>
              <w:pStyle w:val="73"/>
              <w:spacing w:line="40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（三）投标人参加招标活动前三年内，在经营活动中没有重大违法记录（须提供书面声明）；</w:t>
            </w:r>
          </w:p>
          <w:p>
            <w:pPr>
              <w:pStyle w:val="73"/>
              <w:spacing w:line="40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四）投标人未被列入“信用中国”网站(www.creditchina.gov.cn)“记录失信被执行人或重大税收违法案件当事人名单”记录名单（以招标代理机构投标截止日当天在“信用中国”网站（www.creditchina.gov.cn）查询结果为准，如相关失信记录已失效，供应商需提供相关证明资料）。</w:t>
            </w:r>
          </w:p>
          <w:p>
            <w:pPr>
              <w:pStyle w:val="73"/>
              <w:spacing w:line="400" w:lineRule="exact"/>
              <w:ind w:left="210" w:hanging="210" w:hangingChars="100"/>
              <w:rPr>
                <w:rFonts w:ascii="宋体" w:hAnsi="宋体" w:cs="宋体"/>
                <w:color w:val="auto"/>
                <w:kern w:val="0"/>
                <w:szCs w:val="21"/>
                <w:highlight w:val="none"/>
              </w:rPr>
            </w:pPr>
            <w:r>
              <w:rPr>
                <w:rFonts w:hint="eastAsia" w:ascii="宋体" w:hAnsi="宋体" w:cs="宋体"/>
                <w:color w:val="auto"/>
                <w:kern w:val="0"/>
                <w:szCs w:val="21"/>
                <w:highlight w:val="none"/>
              </w:rPr>
              <w:t>（五）投标人须具有有效的市政公用工程施工总承包三级（含）以上或环保工程专业承包三级（含）以上资质。</w:t>
            </w:r>
          </w:p>
          <w:p>
            <w:pPr>
              <w:pStyle w:val="73"/>
              <w:spacing w:line="400" w:lineRule="exact"/>
              <w:ind w:left="210" w:leftChars="0" w:hanging="210" w:hangingChars="100"/>
              <w:rPr>
                <w:rFonts w:ascii="宋体" w:hAnsi="宋体" w:cs="宋体"/>
                <w:bCs/>
                <w:color w:val="auto"/>
                <w:kern w:val="44"/>
                <w:szCs w:val="21"/>
                <w:highlight w:val="none"/>
              </w:rPr>
            </w:pPr>
            <w:r>
              <w:rPr>
                <w:rFonts w:hint="eastAsia" w:ascii="宋体" w:hAnsi="宋体" w:cs="宋体"/>
                <w:color w:val="auto"/>
                <w:kern w:val="0"/>
                <w:szCs w:val="21"/>
                <w:highlight w:val="none"/>
              </w:rPr>
              <w:t>（六）本项目不接受联合体。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spacing w:line="360" w:lineRule="exact"/>
              <w:jc w:val="center"/>
              <w:rPr>
                <w:rFonts w:ascii="宋体" w:hAnsi="宋体" w:cs="宋体"/>
                <w:color w:val="auto"/>
                <w:szCs w:val="21"/>
                <w:highlight w:val="none"/>
              </w:rPr>
            </w:pPr>
            <w:r>
              <w:rPr>
                <w:rFonts w:hint="eastAsia" w:hAnsi="宋体" w:cs="宋体"/>
                <w:color w:val="auto"/>
                <w:sz w:val="21"/>
                <w:szCs w:val="21"/>
                <w:highlight w:val="none"/>
              </w:rPr>
              <w:t>服务期</w:t>
            </w:r>
          </w:p>
        </w:tc>
        <w:tc>
          <w:tcPr>
            <w:tcW w:w="6466" w:type="dxa"/>
            <w:vAlign w:val="center"/>
          </w:tcPr>
          <w:p>
            <w:pPr>
              <w:spacing w:line="360" w:lineRule="exact"/>
              <w:rPr>
                <w:rFonts w:ascii="宋体" w:hAnsi="宋体" w:cs="宋体"/>
                <w:color w:val="auto"/>
                <w:szCs w:val="21"/>
                <w:highlight w:val="none"/>
              </w:rPr>
            </w:pPr>
            <w:r>
              <w:rPr>
                <w:rFonts w:hint="eastAsia" w:hAnsi="宋体" w:cs="宋体"/>
                <w:color w:val="auto"/>
                <w:sz w:val="21"/>
                <w:szCs w:val="21"/>
                <w:highlight w:val="none"/>
              </w:rPr>
              <w:t>本项目总合同工期为</w:t>
            </w:r>
            <w:r>
              <w:rPr>
                <w:rFonts w:hint="eastAsia" w:hAnsi="宋体" w:cs="宋体"/>
                <w:color w:val="auto"/>
                <w:sz w:val="21"/>
                <w:szCs w:val="21"/>
                <w:highlight w:val="none"/>
                <w:lang w:val="en-US" w:eastAsia="zh-CN"/>
              </w:rPr>
              <w:t>90</w:t>
            </w:r>
            <w:r>
              <w:rPr>
                <w:rFonts w:hint="eastAsia" w:hAnsi="宋体" w:cs="宋体"/>
                <w:color w:val="auto"/>
                <w:sz w:val="21"/>
                <w:szCs w:val="21"/>
                <w:highlight w:val="none"/>
              </w:rPr>
              <w:t>天，自合同签订后，</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发出的开工令生效之日起算。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tabs>
                <w:tab w:val="left" w:pos="-28"/>
              </w:tabs>
              <w:spacing w:line="360" w:lineRule="exact"/>
              <w:jc w:val="center"/>
              <w:rPr>
                <w:rFonts w:ascii="宋体" w:hAnsi="宋体" w:cs="宋体"/>
                <w:color w:val="auto"/>
                <w:szCs w:val="21"/>
                <w:highlight w:val="none"/>
              </w:rPr>
            </w:pPr>
            <w:r>
              <w:rPr>
                <w:rFonts w:hint="eastAsia" w:hAnsi="宋体" w:cs="宋体"/>
                <w:color w:val="auto"/>
                <w:sz w:val="21"/>
                <w:szCs w:val="21"/>
                <w:highlight w:val="none"/>
              </w:rPr>
              <w:t>付款方式</w:t>
            </w:r>
          </w:p>
        </w:tc>
        <w:tc>
          <w:tcPr>
            <w:tcW w:w="6466" w:type="dxa"/>
            <w:vAlign w:val="center"/>
          </w:tcPr>
          <w:p>
            <w:pPr>
              <w:pStyle w:val="50"/>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完工</w:t>
            </w:r>
            <w:r>
              <w:rPr>
                <w:rFonts w:hint="eastAsia" w:ascii="宋体" w:hAnsi="宋体" w:eastAsia="宋体" w:cs="宋体"/>
                <w:color w:val="auto"/>
                <w:sz w:val="21"/>
                <w:szCs w:val="21"/>
                <w:highlight w:val="none"/>
              </w:rPr>
              <w:t>验收款：</w:t>
            </w:r>
            <w:r>
              <w:rPr>
                <w:rFonts w:hint="eastAsia" w:ascii="宋体" w:hAnsi="宋体" w:eastAsia="宋体" w:cs="宋体"/>
                <w:color w:val="auto"/>
                <w:sz w:val="21"/>
                <w:szCs w:val="21"/>
                <w:highlight w:val="none"/>
                <w:lang w:val="en-US" w:eastAsia="zh-CN"/>
              </w:rPr>
              <w:t>项目完工并</w:t>
            </w:r>
            <w:r>
              <w:rPr>
                <w:rFonts w:hint="eastAsia" w:ascii="宋体" w:hAnsi="宋体" w:cs="宋体"/>
                <w:color w:val="auto"/>
                <w:sz w:val="21"/>
                <w:szCs w:val="21"/>
                <w:highlight w:val="none"/>
                <w:lang w:val="en-US" w:eastAsia="zh-CN"/>
              </w:rPr>
              <w:t>经采购人</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业主方</w:t>
            </w:r>
            <w:r>
              <w:rPr>
                <w:rFonts w:hint="eastAsia" w:ascii="宋体" w:hAnsi="宋体" w:eastAsia="宋体" w:cs="宋体"/>
                <w:color w:val="auto"/>
                <w:sz w:val="21"/>
                <w:szCs w:val="21"/>
                <w:highlight w:val="none"/>
              </w:rPr>
              <w:t>等部门验收合格后，支付至</w:t>
            </w:r>
            <w:r>
              <w:rPr>
                <w:rFonts w:hint="eastAsia" w:ascii="宋体" w:hAnsi="宋体" w:eastAsia="宋体" w:cs="宋体"/>
                <w:color w:val="auto"/>
                <w:sz w:val="21"/>
                <w:szCs w:val="21"/>
                <w:highlight w:val="none"/>
                <w:lang w:val="en-US" w:eastAsia="zh-CN"/>
              </w:rPr>
              <w:t>合同完工</w:t>
            </w:r>
            <w:r>
              <w:rPr>
                <w:rFonts w:hint="eastAsia" w:ascii="宋体" w:hAnsi="宋体" w:eastAsia="宋体" w:cs="宋体"/>
                <w:color w:val="auto"/>
                <w:sz w:val="21"/>
                <w:szCs w:val="21"/>
                <w:highlight w:val="none"/>
              </w:rPr>
              <w:t>总价的80%。</w:t>
            </w:r>
          </w:p>
          <w:p>
            <w:pPr>
              <w:spacing w:line="360" w:lineRule="exact"/>
              <w:ind w:left="210" w:leftChars="0" w:hanging="210" w:hangingChars="100"/>
              <w:rPr>
                <w:color w:val="auto"/>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结算款：</w:t>
            </w:r>
            <w:r>
              <w:rPr>
                <w:rFonts w:hint="eastAsia" w:ascii="宋体" w:hAnsi="宋体" w:eastAsia="宋体" w:cs="宋体"/>
                <w:color w:val="auto"/>
                <w:sz w:val="21"/>
                <w:szCs w:val="21"/>
                <w:highlight w:val="none"/>
              </w:rPr>
              <w:t>本项目</w:t>
            </w:r>
            <w:r>
              <w:rPr>
                <w:rFonts w:hint="eastAsia" w:ascii="宋体" w:hAnsi="宋体" w:eastAsia="宋体" w:cs="宋体"/>
                <w:color w:val="auto"/>
                <w:sz w:val="21"/>
                <w:szCs w:val="21"/>
                <w:highlight w:val="none"/>
                <w:lang w:eastAsia="zh-CN"/>
              </w:rPr>
              <w:t>办理竣工验收结算手续</w:t>
            </w:r>
            <w:r>
              <w:rPr>
                <w:rFonts w:hint="eastAsia" w:ascii="宋体" w:hAnsi="宋体" w:eastAsia="宋体" w:cs="宋体"/>
                <w:color w:val="auto"/>
                <w:sz w:val="21"/>
                <w:szCs w:val="21"/>
                <w:highlight w:val="none"/>
                <w:lang w:val="en-US" w:eastAsia="zh-CN"/>
              </w:rPr>
              <w:t>并</w:t>
            </w:r>
            <w:r>
              <w:rPr>
                <w:rFonts w:hint="eastAsia" w:ascii="宋体" w:hAnsi="宋体" w:eastAsia="宋体" w:cs="宋体"/>
                <w:color w:val="auto"/>
                <w:sz w:val="21"/>
                <w:szCs w:val="21"/>
                <w:highlight w:val="none"/>
              </w:rPr>
              <w:t>经财审审核完成</w:t>
            </w:r>
            <w:r>
              <w:rPr>
                <w:rFonts w:hint="eastAsia" w:ascii="宋体" w:hAnsi="宋体" w:eastAsia="宋体" w:cs="宋体"/>
                <w:color w:val="auto"/>
                <w:sz w:val="21"/>
                <w:szCs w:val="21"/>
                <w:highlight w:val="none"/>
                <w:lang w:val="en-US" w:eastAsia="zh-CN"/>
              </w:rPr>
              <w:t>后</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rPr>
              <w:t>支付剩余结算款。若最终财审审定金额高于结算总价上浮10%，则以结算总价金额作为最终结算金额；若最终财审审定金额低于结算总价上浮10%的，则按照财审审定金额下浮10%作为最终结算金额。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spacing w:line="360" w:lineRule="exact"/>
              <w:jc w:val="center"/>
              <w:rPr>
                <w:rFonts w:ascii="宋体" w:hAnsi="宋体" w:cs="宋体"/>
                <w:color w:val="auto"/>
                <w:szCs w:val="21"/>
                <w:highlight w:val="none"/>
              </w:rPr>
            </w:pPr>
            <w:r>
              <w:rPr>
                <w:rFonts w:hint="eastAsia" w:hAnsi="宋体" w:cs="宋体"/>
                <w:color w:val="auto"/>
                <w:sz w:val="21"/>
                <w:szCs w:val="21"/>
                <w:highlight w:val="none"/>
              </w:rPr>
              <w:t>服务地点</w:t>
            </w:r>
          </w:p>
        </w:tc>
        <w:tc>
          <w:tcPr>
            <w:tcW w:w="6466" w:type="dxa"/>
            <w:vAlign w:val="center"/>
          </w:tcPr>
          <w:p>
            <w:pPr>
              <w:spacing w:line="360" w:lineRule="exact"/>
              <w:rPr>
                <w:rFonts w:ascii="宋体" w:hAnsi="宋体" w:cs="宋体"/>
                <w:color w:val="auto"/>
                <w:szCs w:val="21"/>
                <w:highlight w:val="none"/>
              </w:rPr>
            </w:pPr>
            <w:r>
              <w:rPr>
                <w:rFonts w:hint="eastAsia" w:hAnsi="宋体" w:cs="宋体"/>
                <w:bCs/>
                <w:color w:val="auto"/>
                <w:sz w:val="21"/>
                <w:szCs w:val="21"/>
                <w:highlight w:val="none"/>
                <w:lang w:eastAsia="zh-CN"/>
              </w:rPr>
              <w:t>采购人</w:t>
            </w:r>
            <w:r>
              <w:rPr>
                <w:rFonts w:hint="eastAsia" w:hAnsi="宋体" w:cs="宋体"/>
                <w:bCs/>
                <w:color w:val="auto"/>
                <w:sz w:val="21"/>
                <w:szCs w:val="21"/>
                <w:highlight w:val="none"/>
              </w:rPr>
              <w:t>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spacing w:line="360" w:lineRule="exact"/>
              <w:jc w:val="center"/>
              <w:rPr>
                <w:rFonts w:ascii="宋体" w:hAnsi="宋体" w:cs="宋体"/>
                <w:color w:val="auto"/>
                <w:szCs w:val="21"/>
                <w:highlight w:val="none"/>
              </w:rPr>
            </w:pPr>
            <w:r>
              <w:rPr>
                <w:rFonts w:hint="eastAsia" w:hAnsi="宋体" w:cs="宋体"/>
                <w:color w:val="auto"/>
                <w:sz w:val="21"/>
                <w:szCs w:val="21"/>
                <w:highlight w:val="none"/>
              </w:rPr>
              <w:t>报价内容</w:t>
            </w:r>
          </w:p>
        </w:tc>
        <w:tc>
          <w:tcPr>
            <w:tcW w:w="6466" w:type="dxa"/>
            <w:vAlign w:val="center"/>
          </w:tcPr>
          <w:p>
            <w:pPr>
              <w:spacing w:line="360" w:lineRule="exact"/>
              <w:rPr>
                <w:rFonts w:ascii="宋体" w:hAnsi="宋体" w:cs="宋体"/>
                <w:color w:val="auto"/>
                <w:szCs w:val="21"/>
                <w:highlight w:val="none"/>
              </w:rPr>
            </w:pPr>
            <w:r>
              <w:rPr>
                <w:rFonts w:hint="eastAsia" w:hAnsi="宋体" w:cs="宋体"/>
                <w:color w:val="auto"/>
                <w:sz w:val="21"/>
                <w:szCs w:val="21"/>
                <w:highlight w:val="none"/>
              </w:rPr>
              <w:t>投标报价应包含完成本次招标所有服务内容的费用，包含各种税务费及合同实施过程中的不可预见费用等全部费用（含招标文件所要求的必要的辅助材料费用)和售后服务费等。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jc w:val="center"/>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spacing w:line="360" w:lineRule="exact"/>
              <w:jc w:val="center"/>
              <w:rPr>
                <w:rFonts w:ascii="宋体" w:hAnsi="宋体" w:cs="宋体"/>
                <w:color w:val="auto"/>
                <w:szCs w:val="21"/>
                <w:highlight w:val="none"/>
              </w:rPr>
            </w:pPr>
            <w:r>
              <w:rPr>
                <w:rFonts w:hint="eastAsia" w:hAnsi="宋体" w:cs="宋体"/>
                <w:color w:val="auto"/>
                <w:sz w:val="21"/>
                <w:szCs w:val="21"/>
                <w:highlight w:val="none"/>
              </w:rPr>
              <w:t>合同条款</w:t>
            </w:r>
          </w:p>
        </w:tc>
        <w:tc>
          <w:tcPr>
            <w:tcW w:w="6466" w:type="dxa"/>
            <w:vAlign w:val="center"/>
          </w:tcPr>
          <w:p>
            <w:pPr>
              <w:spacing w:line="360" w:lineRule="exact"/>
              <w:jc w:val="left"/>
              <w:rPr>
                <w:rFonts w:ascii="宋体" w:hAnsi="宋体" w:cs="宋体"/>
                <w:color w:val="auto"/>
                <w:szCs w:val="21"/>
                <w:highlight w:val="none"/>
              </w:rPr>
            </w:pPr>
            <w:r>
              <w:rPr>
                <w:rFonts w:hint="eastAsia" w:hAnsi="宋体" w:cs="宋体"/>
                <w:color w:val="auto"/>
                <w:sz w:val="21"/>
                <w:szCs w:val="21"/>
                <w:highlight w:val="none"/>
              </w:rPr>
              <w:t>投标人实质响应合同各条款。</w:t>
            </w:r>
          </w:p>
        </w:tc>
      </w:tr>
    </w:tbl>
    <w:p>
      <w:pPr>
        <w:rPr>
          <w:color w:val="auto"/>
          <w:highlight w:val="none"/>
        </w:rPr>
      </w:pPr>
    </w:p>
    <w:p>
      <w:pPr>
        <w:rPr>
          <w:rFonts w:ascii="宋体" w:hAnsi="宋体"/>
          <w:color w:val="auto"/>
          <w:highlight w:val="none"/>
        </w:rPr>
      </w:pPr>
      <w:bookmarkStart w:id="13" w:name="_Toc19316"/>
      <w:r>
        <w:rPr>
          <w:rFonts w:hint="eastAsia" w:ascii="宋体" w:hAnsi="宋体"/>
          <w:color w:val="auto"/>
          <w:highlight w:val="none"/>
        </w:rPr>
        <w:br w:type="page"/>
      </w:r>
    </w:p>
    <w:p>
      <w:pPr>
        <w:pStyle w:val="7"/>
        <w:spacing w:before="0" w:after="0" w:line="360" w:lineRule="auto"/>
        <w:jc w:val="center"/>
        <w:rPr>
          <w:color w:val="auto"/>
          <w:highlight w:val="none"/>
        </w:rPr>
      </w:pPr>
      <w:bookmarkStart w:id="14" w:name="_Toc30066"/>
      <w:r>
        <w:rPr>
          <w:rFonts w:hint="eastAsia" w:ascii="宋体" w:hAnsi="宋体"/>
          <w:color w:val="auto"/>
          <w:highlight w:val="none"/>
        </w:rPr>
        <w:t>第二章 技术需求书</w:t>
      </w:r>
      <w:bookmarkEnd w:id="13"/>
      <w:bookmarkEnd w:id="14"/>
    </w:p>
    <w:bookmarkEnd w:id="8"/>
    <w:p>
      <w:pPr>
        <w:spacing w:after="0" w:line="360" w:lineRule="auto"/>
        <w:rPr>
          <w:rFonts w:ascii="宋体" w:hAnsi="宋体" w:eastAsia="宋体" w:cs="宋体"/>
          <w:b/>
          <w:bCs/>
          <w:color w:val="auto"/>
          <w:sz w:val="21"/>
          <w:szCs w:val="21"/>
          <w:highlight w:val="none"/>
          <w:lang w:val="zh-CN"/>
        </w:rPr>
      </w:pPr>
    </w:p>
    <w:p>
      <w:pPr>
        <w:pStyle w:val="6"/>
        <w:spacing w:line="360" w:lineRule="auto"/>
        <w:rPr>
          <w:rFonts w:cs="宋体"/>
          <w:color w:val="auto"/>
          <w:sz w:val="21"/>
          <w:szCs w:val="21"/>
          <w:highlight w:val="none"/>
        </w:rPr>
      </w:pPr>
      <w:bookmarkStart w:id="15" w:name="_Toc20726398"/>
      <w:r>
        <w:rPr>
          <w:rFonts w:hint="eastAsia" w:cs="宋体"/>
          <w:color w:val="auto"/>
          <w:sz w:val="21"/>
          <w:szCs w:val="21"/>
          <w:highlight w:val="none"/>
        </w:rPr>
        <w:t>1</w:t>
      </w:r>
      <w:r>
        <w:rPr>
          <w:rFonts w:hint="eastAsia" w:cs="宋体"/>
          <w:color w:val="auto"/>
          <w:sz w:val="21"/>
          <w:szCs w:val="21"/>
          <w:highlight w:val="none"/>
        </w:rPr>
        <w:tab/>
      </w:r>
      <w:r>
        <w:rPr>
          <w:rFonts w:hint="eastAsia" w:cs="宋体"/>
          <w:color w:val="auto"/>
          <w:sz w:val="21"/>
          <w:szCs w:val="21"/>
          <w:highlight w:val="none"/>
        </w:rPr>
        <w:t>项目概况和现场条件</w:t>
      </w:r>
      <w:bookmarkEnd w:id="15"/>
    </w:p>
    <w:bookmarkEnd w:id="9"/>
    <w:bookmarkEnd w:id="10"/>
    <w:bookmarkEnd w:id="11"/>
    <w:bookmarkEnd w:id="12"/>
    <w:p>
      <w:pPr>
        <w:pStyle w:val="7"/>
        <w:spacing w:line="360" w:lineRule="auto"/>
        <w:rPr>
          <w:rFonts w:hAnsi="宋体" w:cs="宋体"/>
          <w:color w:val="auto"/>
          <w:sz w:val="21"/>
          <w:szCs w:val="21"/>
          <w:highlight w:val="none"/>
        </w:rPr>
      </w:pPr>
      <w:bookmarkStart w:id="16" w:name="_Toc20726399"/>
      <w:bookmarkStart w:id="17" w:name="_Toc31595"/>
      <w:r>
        <w:rPr>
          <w:rFonts w:hint="eastAsia" w:hAnsi="宋体" w:cs="宋体"/>
          <w:color w:val="auto"/>
          <w:sz w:val="21"/>
          <w:szCs w:val="21"/>
          <w:highlight w:val="none"/>
        </w:rPr>
        <w:t>1.1</w:t>
      </w:r>
      <w:r>
        <w:rPr>
          <w:rFonts w:hint="eastAsia" w:hAnsi="宋体" w:cs="宋体"/>
          <w:color w:val="auto"/>
          <w:sz w:val="21"/>
          <w:szCs w:val="21"/>
          <w:highlight w:val="none"/>
        </w:rPr>
        <w:tab/>
      </w:r>
      <w:r>
        <w:rPr>
          <w:rFonts w:hint="eastAsia" w:hAnsi="宋体" w:cs="宋体"/>
          <w:color w:val="auto"/>
          <w:sz w:val="21"/>
          <w:szCs w:val="21"/>
          <w:highlight w:val="none"/>
        </w:rPr>
        <w:t>项目概况</w:t>
      </w:r>
      <w:bookmarkEnd w:id="16"/>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1）项目名称</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莞番高速（寮步段）垃圾填埋场治理项目</w:t>
      </w:r>
      <w:r>
        <w:rPr>
          <w:rFonts w:hint="eastAsia" w:hAnsi="宋体" w:cs="宋体"/>
          <w:color w:val="auto"/>
          <w:sz w:val="21"/>
          <w:szCs w:val="21"/>
          <w:highlight w:val="none"/>
          <w:lang w:eastAsia="zh-CN"/>
        </w:rPr>
        <w:t>腐殖土二次转运</w:t>
      </w:r>
      <w:r>
        <w:rPr>
          <w:rFonts w:hint="eastAsia" w:hAnsi="宋体" w:cs="宋体"/>
          <w:color w:val="auto"/>
          <w:sz w:val="21"/>
          <w:szCs w:val="21"/>
          <w:highlight w:val="none"/>
        </w:rPr>
        <w:t>。</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2）项目地址</w:t>
      </w:r>
    </w:p>
    <w:p>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寮步镇珠三角环线高速西侧。</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3）项目规模</w:t>
      </w:r>
    </w:p>
    <w:p>
      <w:pPr>
        <w:pStyle w:val="78"/>
        <w:ind w:firstLine="460" w:firstLineChars="200"/>
        <w:rPr>
          <w:rFonts w:ascii="宋体" w:hAnsi="宋体" w:cs="宋体"/>
          <w:bCs w:val="0"/>
          <w:color w:val="auto"/>
          <w:spacing w:val="0"/>
          <w:sz w:val="21"/>
          <w:szCs w:val="21"/>
          <w:highlight w:val="none"/>
        </w:rPr>
      </w:pPr>
      <w:r>
        <w:rPr>
          <w:rFonts w:hint="eastAsia" w:hAnsi="宋体" w:cs="宋体"/>
          <w:color w:val="auto"/>
          <w:sz w:val="21"/>
          <w:szCs w:val="21"/>
          <w:highlight w:val="none"/>
          <w:lang w:val="en-US" w:eastAsia="zh-CN"/>
        </w:rPr>
        <w:t>RDF暂存场腐殖土堆放场地腐殖土量183754.8m³，运输距离为4km内，运输路线需经过上底村上中路绕行通行</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上底地块一腐殖土堆放量61335.9m³，运输距离为1km内，为场内运输；腐殖土二次转运总方量为245090.7m³。</w:t>
      </w:r>
    </w:p>
    <w:p>
      <w:pPr>
        <w:pStyle w:val="78"/>
        <w:rPr>
          <w:rFonts w:ascii="宋体" w:hAnsi="宋体" w:cs="宋体"/>
          <w:bCs w:val="0"/>
          <w:color w:val="auto"/>
          <w:spacing w:val="0"/>
          <w:sz w:val="21"/>
          <w:szCs w:val="21"/>
          <w:highlight w:val="none"/>
        </w:rPr>
      </w:pPr>
      <w:r>
        <w:rPr>
          <w:rFonts w:hint="eastAsia" w:ascii="宋体" w:hAnsi="宋体" w:cs="宋体"/>
          <w:bCs w:val="0"/>
          <w:color w:val="auto"/>
          <w:spacing w:val="0"/>
          <w:sz w:val="21"/>
          <w:szCs w:val="21"/>
          <w:highlight w:val="none"/>
          <w:lang w:val="en-US" w:eastAsia="zh-CN"/>
        </w:rPr>
        <w:t>4</w:t>
      </w:r>
      <w:r>
        <w:rPr>
          <w:rFonts w:hint="eastAsia" w:ascii="宋体" w:hAnsi="宋体" w:cs="宋体"/>
          <w:bCs w:val="0"/>
          <w:color w:val="auto"/>
          <w:spacing w:val="0"/>
          <w:sz w:val="21"/>
          <w:szCs w:val="21"/>
          <w:highlight w:val="none"/>
        </w:rPr>
        <w:t>）莞番高速（寮步段）垃圾填埋场治理项目</w:t>
      </w:r>
      <w:r>
        <w:rPr>
          <w:rFonts w:hint="eastAsia" w:ascii="宋体" w:hAnsi="宋体" w:cs="宋体"/>
          <w:bCs w:val="0"/>
          <w:color w:val="auto"/>
          <w:spacing w:val="0"/>
          <w:sz w:val="21"/>
          <w:szCs w:val="21"/>
          <w:highlight w:val="none"/>
          <w:lang w:eastAsia="zh-CN"/>
        </w:rPr>
        <w:t>腐殖土二次转运</w:t>
      </w:r>
      <w:r>
        <w:rPr>
          <w:rFonts w:hint="eastAsia" w:ascii="宋体" w:hAnsi="宋体" w:cs="宋体"/>
          <w:bCs w:val="0"/>
          <w:color w:val="auto"/>
          <w:spacing w:val="0"/>
          <w:sz w:val="21"/>
          <w:szCs w:val="21"/>
          <w:highlight w:val="none"/>
        </w:rPr>
        <w:t>最高限价</w:t>
      </w:r>
    </w:p>
    <w:tbl>
      <w:tblPr>
        <w:tblStyle w:val="32"/>
        <w:tblW w:w="9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12"/>
        <w:gridCol w:w="1306"/>
        <w:gridCol w:w="1110"/>
        <w:gridCol w:w="2070"/>
        <w:gridCol w:w="403"/>
        <w:gridCol w:w="1044"/>
        <w:gridCol w:w="1020"/>
        <w:gridCol w:w="1143"/>
        <w:gridCol w:w="6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9" w:hRule="atLeast"/>
        </w:trPr>
        <w:tc>
          <w:tcPr>
            <w:tcW w:w="73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0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14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1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105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662" w:type="dxa"/>
            <w:gridSpan w:val="3"/>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5" w:hRule="atLeast"/>
        </w:trPr>
        <w:tc>
          <w:tcPr>
            <w:tcW w:w="73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30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14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21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4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05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综合单价控制价（元）</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r>
              <w:rPr>
                <w:rFonts w:hint="eastAsia" w:hAnsi="宋体" w:cs="宋体"/>
                <w:i w:val="0"/>
                <w:color w:val="auto"/>
                <w:sz w:val="20"/>
                <w:szCs w:val="20"/>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9"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040101001001</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地块一转运至刘屋巷暂存场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2.运距：1km以内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61335.9</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15.6222798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958206.59</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34"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040101001002</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RDF暂存场转运至刘屋巷暂存场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2.运距：4km以内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183754.8</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22.22964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4084803.05</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5"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040103001003</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腐殖土堆填</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1.腐殖土转堆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2.腐殖土回填</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245090.7</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10.21329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2503182.4</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6" w:hRule="atLeast"/>
        </w:trPr>
        <w:tc>
          <w:tcPr>
            <w:tcW w:w="7646" w:type="dxa"/>
            <w:gridSpan w:val="7"/>
            <w:tcBorders>
              <w:top w:val="single" w:color="000000" w:sz="4" w:space="0"/>
              <w:left w:val="single" w:color="000000" w:sz="8" w:space="0"/>
              <w:bottom w:val="single" w:color="000000" w:sz="8"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47" w:type="dxa"/>
            <w:tcBorders>
              <w:top w:val="single" w:color="000000" w:sz="4" w:space="0"/>
              <w:left w:val="single" w:color="000000" w:sz="4" w:space="0"/>
              <w:bottom w:val="single" w:color="000000" w:sz="8" w:space="0"/>
              <w:right w:val="single" w:color="000000" w:sz="4" w:space="0"/>
            </w:tcBorders>
            <w:shd w:val="clear" w:color="FFFFFF" w:fill="FFFFFF"/>
            <w:tcMar>
              <w:top w:w="10" w:type="dxa"/>
              <w:left w:w="10" w:type="dxa"/>
              <w:right w:w="10" w:type="dxa"/>
            </w:tcMar>
            <w:vAlign w:val="bottom"/>
          </w:tcPr>
          <w:p>
            <w:pPr>
              <w:keepNext w:val="0"/>
              <w:keepLines w:val="0"/>
              <w:widowControl/>
              <w:suppressLineNumbers w:val="0"/>
              <w:jc w:val="both"/>
              <w:textAlignment w:val="center"/>
              <w:rPr>
                <w:rFonts w:hint="default" w:ascii="宋体" w:hAnsi="宋体" w:eastAsia="宋体" w:cs="宋体"/>
                <w:i w:val="0"/>
                <w:iCs w:val="0"/>
                <w:color w:val="auto"/>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754</w:t>
            </w:r>
            <w:r>
              <w:rPr>
                <w:rFonts w:hint="eastAsia" w:ascii="宋体" w:hAnsi="宋体" w:cs="宋体"/>
                <w:i w:val="0"/>
                <w:iCs w:val="0"/>
                <w:color w:val="auto"/>
                <w:kern w:val="0"/>
                <w:sz w:val="20"/>
                <w:szCs w:val="20"/>
                <w:highlight w:val="none"/>
                <w:u w:val="none"/>
                <w:lang w:val="en-US" w:eastAsia="zh-CN" w:bidi="ar"/>
              </w:rPr>
              <w:t>6192.04</w:t>
            </w:r>
          </w:p>
        </w:tc>
        <w:tc>
          <w:tcPr>
            <w:tcW w:w="643" w:type="dxa"/>
            <w:tcBorders>
              <w:top w:val="single" w:color="000000" w:sz="4" w:space="0"/>
              <w:left w:val="single" w:color="000000" w:sz="4" w:space="0"/>
              <w:bottom w:val="single" w:color="000000" w:sz="8" w:space="0"/>
              <w:right w:val="single" w:color="000000" w:sz="8" w:space="0"/>
            </w:tcBorders>
            <w:shd w:val="clear" w:color="FFFFFF" w:fill="FFFFFF"/>
            <w:tcMar>
              <w:top w:w="10" w:type="dxa"/>
              <w:left w:w="10" w:type="dxa"/>
              <w:right w:w="10" w:type="dxa"/>
            </w:tcMar>
            <w:vAlign w:val="center"/>
          </w:tcPr>
          <w:p>
            <w:pPr>
              <w:jc w:val="center"/>
              <w:textAlignment w:val="center"/>
              <w:rPr>
                <w:rFonts w:hint="eastAsia" w:ascii="宋体" w:hAnsi="宋体" w:eastAsia="宋体" w:cs="宋体"/>
                <w:i w:val="0"/>
                <w:color w:val="auto"/>
                <w:sz w:val="20"/>
                <w:szCs w:val="20"/>
                <w:highlight w:val="none"/>
                <w:u w:val="none"/>
                <w:lang w:bidi="ar"/>
              </w:rPr>
            </w:pPr>
          </w:p>
        </w:tc>
      </w:tr>
    </w:tbl>
    <w:p>
      <w:pPr>
        <w:pStyle w:val="78"/>
        <w:rPr>
          <w:rFonts w:hAnsi="宋体" w:cs="宋体"/>
          <w:color w:val="auto"/>
          <w:sz w:val="21"/>
          <w:szCs w:val="21"/>
          <w:highlight w:val="none"/>
        </w:rPr>
      </w:pPr>
    </w:p>
    <w:p>
      <w:pPr>
        <w:pStyle w:val="7"/>
        <w:spacing w:line="360" w:lineRule="auto"/>
        <w:rPr>
          <w:rFonts w:hAnsi="宋体" w:cs="宋体"/>
          <w:color w:val="auto"/>
          <w:sz w:val="21"/>
          <w:szCs w:val="21"/>
          <w:highlight w:val="none"/>
        </w:rPr>
      </w:pPr>
      <w:bookmarkStart w:id="18" w:name="_Toc20726400"/>
      <w:r>
        <w:rPr>
          <w:rFonts w:hint="eastAsia" w:hAnsi="宋体" w:cs="宋体"/>
          <w:color w:val="auto"/>
          <w:sz w:val="21"/>
          <w:szCs w:val="21"/>
          <w:highlight w:val="none"/>
        </w:rPr>
        <w:t>1.2</w:t>
      </w:r>
      <w:r>
        <w:rPr>
          <w:rFonts w:hint="eastAsia" w:hAnsi="宋体" w:cs="宋体"/>
          <w:color w:val="auto"/>
          <w:sz w:val="21"/>
          <w:szCs w:val="21"/>
          <w:highlight w:val="none"/>
        </w:rPr>
        <w:tab/>
      </w:r>
      <w:r>
        <w:rPr>
          <w:rFonts w:hint="eastAsia" w:hAnsi="宋体" w:cs="宋体"/>
          <w:color w:val="auto"/>
          <w:sz w:val="21"/>
          <w:szCs w:val="21"/>
          <w:highlight w:val="none"/>
        </w:rPr>
        <w:t>现场</w:t>
      </w:r>
      <w:bookmarkEnd w:id="18"/>
      <w:r>
        <w:rPr>
          <w:rFonts w:hint="eastAsia" w:hAnsi="宋体" w:cs="宋体"/>
          <w:color w:val="auto"/>
          <w:sz w:val="21"/>
          <w:szCs w:val="21"/>
          <w:highlight w:val="none"/>
        </w:rPr>
        <w:t>情况</w:t>
      </w:r>
    </w:p>
    <w:p>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寮步镇刘屋巷垃圾填埋场和上底垃圾填埋场位于寮步镇珠三角环线高速公路西侧，两个填埋场紧挨着呈东西向布置。</w:t>
      </w:r>
    </w:p>
    <w:p>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刘屋巷垃圾填埋场于1993年启用，负责寮步镇部分生活垃圾及工业垃圾，占地约3.436万平方米，上底垃圾填埋场于2010年启用，负责堆放寮步镇部分生活垃圾和工业垃圾，占地约3万平方米，两个垃圾填埋场垃圾填埋总量约90.2万立方米。由于莞番高速寮步段建设需要，需将高速红线范围内垃圾清理移交高速施工。2019年12月受市政府及寮步镇委托，我司负责垃圾堆体清理实施工程。</w:t>
      </w:r>
    </w:p>
    <w:p>
      <w:pPr>
        <w:snapToGrid w:val="0"/>
        <w:spacing w:line="360" w:lineRule="auto"/>
        <w:ind w:firstLine="420" w:firstLineChars="200"/>
        <w:rPr>
          <w:rFonts w:hint="eastAsia" w:hAnsi="宋体" w:cs="宋体"/>
          <w:color w:val="auto"/>
          <w:sz w:val="21"/>
          <w:szCs w:val="21"/>
          <w:highlight w:val="none"/>
        </w:rPr>
      </w:pPr>
      <w:r>
        <w:rPr>
          <w:rFonts w:hint="eastAsia" w:hAnsi="宋体" w:cs="宋体"/>
          <w:color w:val="auto"/>
          <w:sz w:val="21"/>
          <w:szCs w:val="21"/>
          <w:highlight w:val="none"/>
        </w:rPr>
        <w:t>刘屋巷垃圾填埋场及上底垃圾填埋场全部垃圾已清理完毕，由于项目前期腐殖土无场地堆放，经业主单位协调，腐殖土临时堆放于上底高速侧鱼塘（6.13万m³）、RDF暂存场地（18.37万m³）。2023年5月12日，刘屋巷垃圾填埋场及上底垃圾填埋场全部垃圾已清理完毕，拟对暂存于上述地块的腐殖土回填至垃圾开挖区。</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w:t>
      </w:r>
      <w:r>
        <w:rPr>
          <w:color w:val="auto"/>
          <w:highlight w:val="none"/>
        </w:rPr>
        <w:drawing>
          <wp:inline distT="0" distB="0" distL="114300" distR="114300">
            <wp:extent cx="5262880" cy="31292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62880" cy="3129280"/>
                    </a:xfrm>
                    <a:prstGeom prst="rect">
                      <a:avLst/>
                    </a:prstGeom>
                    <a:noFill/>
                    <a:ln>
                      <a:noFill/>
                    </a:ln>
                  </pic:spPr>
                </pic:pic>
              </a:graphicData>
            </a:graphic>
          </wp:inline>
        </w:drawing>
      </w:r>
      <w:r>
        <w:rPr>
          <w:rFonts w:hint="eastAsia" w:hAnsi="宋体" w:cs="宋体"/>
          <w:color w:val="auto"/>
          <w:sz w:val="21"/>
          <w:szCs w:val="21"/>
          <w:highlight w:val="none"/>
        </w:rPr>
        <w:tab/>
      </w:r>
    </w:p>
    <w:p>
      <w:pPr>
        <w:pStyle w:val="7"/>
        <w:spacing w:line="360" w:lineRule="auto"/>
        <w:jc w:val="both"/>
        <w:rPr>
          <w:rFonts w:hAnsi="宋体" w:cs="宋体"/>
          <w:color w:val="auto"/>
          <w:sz w:val="21"/>
          <w:szCs w:val="21"/>
          <w:highlight w:val="none"/>
        </w:rPr>
      </w:pPr>
      <w:bookmarkStart w:id="19" w:name="_Toc20726401"/>
      <w:bookmarkStart w:id="20" w:name="_Toc441234907"/>
      <w:r>
        <w:rPr>
          <w:rFonts w:hint="eastAsia" w:hAnsi="宋体" w:cs="宋体"/>
          <w:color w:val="auto"/>
          <w:sz w:val="21"/>
          <w:szCs w:val="21"/>
          <w:highlight w:val="none"/>
        </w:rPr>
        <w:t>1.3现场条件</w:t>
      </w:r>
      <w:bookmarkEnd w:id="19"/>
      <w:bookmarkEnd w:id="20"/>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1.场地条件</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lang w:eastAsia="zh-CN"/>
        </w:rPr>
        <w:t>采购人</w:t>
      </w:r>
      <w:r>
        <w:rPr>
          <w:rFonts w:hint="eastAsia" w:hAnsi="宋体" w:cs="宋体"/>
          <w:color w:val="auto"/>
          <w:sz w:val="21"/>
          <w:szCs w:val="21"/>
          <w:highlight w:val="none"/>
        </w:rPr>
        <w:t>提供实施项目所需的</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堆放场地，中标人负责</w:t>
      </w:r>
      <w:r>
        <w:rPr>
          <w:rFonts w:hint="eastAsia" w:hAnsi="宋体" w:cs="宋体"/>
          <w:color w:val="auto"/>
          <w:sz w:val="21"/>
          <w:szCs w:val="21"/>
          <w:highlight w:val="none"/>
          <w:lang w:val="en-US" w:eastAsia="zh-CN"/>
        </w:rPr>
        <w:t>场地内临时道路修整</w:t>
      </w:r>
      <w:r>
        <w:rPr>
          <w:rFonts w:hint="eastAsia" w:hAnsi="宋体" w:cs="宋体"/>
          <w:color w:val="auto"/>
          <w:sz w:val="21"/>
          <w:szCs w:val="21"/>
          <w:highlight w:val="none"/>
        </w:rPr>
        <w:t>，施工期间生产及生活设施由中标人自行考虑。</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2、运输</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所有</w:t>
      </w:r>
      <w:r>
        <w:rPr>
          <w:rFonts w:hint="eastAsia" w:hAnsi="宋体" w:cs="宋体"/>
          <w:color w:val="auto"/>
          <w:sz w:val="21"/>
          <w:szCs w:val="21"/>
          <w:highlight w:val="none"/>
          <w:lang w:val="en-US" w:eastAsia="zh-CN"/>
        </w:rPr>
        <w:t>施工区域外</w:t>
      </w:r>
      <w:r>
        <w:rPr>
          <w:rFonts w:hint="eastAsia" w:hAnsi="宋体" w:cs="宋体"/>
          <w:color w:val="auto"/>
          <w:sz w:val="21"/>
          <w:szCs w:val="21"/>
          <w:highlight w:val="none"/>
        </w:rPr>
        <w:t>的道路由发包人</w:t>
      </w:r>
      <w:r>
        <w:rPr>
          <w:rFonts w:hint="eastAsia" w:hAnsi="宋体" w:cs="宋体"/>
          <w:color w:val="auto"/>
          <w:sz w:val="21"/>
          <w:szCs w:val="21"/>
          <w:highlight w:val="none"/>
          <w:lang w:val="en-US" w:eastAsia="zh-CN"/>
        </w:rPr>
        <w:t>提供</w:t>
      </w:r>
      <w:r>
        <w:rPr>
          <w:rFonts w:hint="eastAsia" w:hAnsi="宋体" w:cs="宋体"/>
          <w:color w:val="auto"/>
          <w:sz w:val="21"/>
          <w:szCs w:val="21"/>
          <w:highlight w:val="none"/>
        </w:rPr>
        <w:t>，施工期间由中标人负责维护保养；所有</w:t>
      </w:r>
      <w:r>
        <w:rPr>
          <w:rFonts w:hint="eastAsia" w:hAnsi="宋体" w:cs="宋体"/>
          <w:color w:val="auto"/>
          <w:sz w:val="21"/>
          <w:szCs w:val="21"/>
          <w:highlight w:val="none"/>
          <w:lang w:val="en-US" w:eastAsia="zh-CN"/>
        </w:rPr>
        <w:t>施工区域</w:t>
      </w:r>
      <w:r>
        <w:rPr>
          <w:rFonts w:hint="eastAsia" w:hAnsi="宋体" w:cs="宋体"/>
          <w:color w:val="auto"/>
          <w:sz w:val="21"/>
          <w:szCs w:val="21"/>
          <w:highlight w:val="none"/>
        </w:rPr>
        <w:t>内的临时道路由中标人负责建设，中标人需确保项目实施过程中所有运输道路的通畅</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清洁，</w:t>
      </w:r>
      <w:r>
        <w:rPr>
          <w:rFonts w:hint="eastAsia" w:hAnsi="宋体" w:cs="宋体"/>
          <w:color w:val="auto"/>
          <w:sz w:val="21"/>
          <w:szCs w:val="21"/>
          <w:highlight w:val="none"/>
        </w:rPr>
        <w:t>费用含在统一报价中（堆放区域由</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根据项目实施情况确定）。</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工程范围内所有运输道路由中标人负责维护，如有损坏涉及到的所有费用由中标人负责，</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只负责协调管理。</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3、水电</w:t>
      </w:r>
    </w:p>
    <w:p>
      <w:pPr>
        <w:spacing w:line="360" w:lineRule="auto"/>
        <w:ind w:firstLine="490"/>
        <w:rPr>
          <w:rFonts w:hAnsi="宋体" w:cs="宋体"/>
          <w:color w:val="auto"/>
          <w:sz w:val="21"/>
          <w:szCs w:val="21"/>
          <w:highlight w:val="none"/>
        </w:rPr>
      </w:pPr>
      <w:r>
        <w:rPr>
          <w:rFonts w:hint="eastAsia" w:hAnsi="宋体" w:cs="宋体"/>
          <w:color w:val="auto"/>
          <w:sz w:val="21"/>
          <w:szCs w:val="21"/>
          <w:highlight w:val="none"/>
        </w:rPr>
        <w:t>本项目用水及临时施工用电由中标人自行办理，中标人应自行联系供电部门办理施工临时用电供电源的有关手续（包括办理临电接管及交纳临时接电费）或自行联系供水部门办理临时用水供给的有关手续，并设分流表，涉及到的所有费用由中标人负责，用水费、电费由中标人自理。临水、临电自接出处至各使用端的费用及相应的水电费各使用单位承担，公共损耗部分的费用按各自的水（电）表的用量按比例分担。</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只负责临水、临电使用管理的协调。</w:t>
      </w:r>
    </w:p>
    <w:p>
      <w:pPr>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本项目范围内所有涉及到与市政接口连接的管道在开工前均需对市政接口的平面位置和标高进行核对，核对无误后方可进行。</w:t>
      </w:r>
    </w:p>
    <w:p>
      <w:pPr>
        <w:pStyle w:val="6"/>
        <w:spacing w:line="360" w:lineRule="auto"/>
        <w:jc w:val="both"/>
        <w:rPr>
          <w:rFonts w:cs="宋体"/>
          <w:color w:val="auto"/>
          <w:sz w:val="21"/>
          <w:szCs w:val="21"/>
          <w:highlight w:val="none"/>
        </w:rPr>
      </w:pPr>
      <w:bookmarkStart w:id="21" w:name="_Toc441234908"/>
      <w:bookmarkStart w:id="22" w:name="_Toc145512405"/>
      <w:bookmarkStart w:id="23" w:name="_Toc20726402"/>
      <w:bookmarkStart w:id="24" w:name="_Toc440623102"/>
      <w:r>
        <w:rPr>
          <w:rFonts w:hint="eastAsia" w:cs="宋体"/>
          <w:color w:val="auto"/>
          <w:sz w:val="21"/>
          <w:szCs w:val="21"/>
          <w:highlight w:val="none"/>
        </w:rPr>
        <w:t>2  技术标准</w:t>
      </w:r>
      <w:bookmarkEnd w:id="21"/>
      <w:bookmarkEnd w:id="22"/>
      <w:bookmarkEnd w:id="23"/>
      <w:bookmarkEnd w:id="24"/>
      <w:r>
        <w:rPr>
          <w:rFonts w:hint="eastAsia" w:cs="宋体"/>
          <w:color w:val="auto"/>
          <w:sz w:val="21"/>
          <w:szCs w:val="21"/>
          <w:highlight w:val="none"/>
        </w:rPr>
        <w:t>及相关要求</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2.1技术标准</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本技术要求提出了最低技术要求，并未规定所有的技术要求和标准规范，也未充分引述有关标准和规范的条文。中标人应保证高标准提供符合本技术规范书的施工安全、质量、工期、技术要求以及相应服务，并满足国家现行有关建设工程强制性标准规定要求。</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在签订合同之后，到项目竣工之前的时间内，</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有权提出因标准和规程发生变化而产生的一些补充修改要求，具体项目由</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和中标人共同协商确定。本技术规范书所使用的标准，如遇到与中标人所执行的标准不一致时，按较高的标准执行，但不得低于最新国家标准中标人除按本技术规范、设计文件施工要求外，所有施工及工程质量、验收应符合中华人民共和国国家及电力行业标准、规范要求。包括但不限于：</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《生活垃圾卫生填埋处理工程项目建设标准》（建标124-2009）；</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《生活垃圾卫生填埋技术规范》（GB50869-2013）；</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《生活垃圾卫生填埋场防渗系统工程技术规范》（CJJ113-2007）；</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《生活垃圾卫生填埋场运行维护技术规程》（CJJ 93-2011）；</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 xml:space="preserve">《生活垃圾卫生填埋场封场技术规程》（GB51220-2017）； </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《生活垃圾填埋场封场工程项目建设标准》（建标140-2010）；</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《生活垃圾焚烧处理工程技术规范》(CJJ90_2009)；</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《生活垃圾渗沥液处理技术规范》（CJJ150-2010）；</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《生活垃圾填埋场渗滤液处理工程技术规范》（HJ 564－2010）；</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《环境空气质量标准》（GB 3095-2012）；</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《恶臭污染物排放标准》（GB14554-93）；</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《声环境质量标准》（GB3096-2008）；</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《工业企业厂界环境噪声排放标准》（GB12348-2008）；</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《生活垃圾填埋污染控制标准》（GB16889-2008）；</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《污水综合排放标准》（GB8978-1996）；</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《地表水环境质量标准》（GB3838-2002）；</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《生活垃圾焚烧污染控制标准》（GB18485-2014）；</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《污水综合排放标准》（GB8978-1996）；</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《欧盟污染物排放标准》（2000/EC76）；</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《危险废物鉴别标准》（GB5085.6-2007）；</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《建筑工程施工质量验收统一标准》（GB50300-2013）；</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《砌体结构工程施工质量验收规范》（GB50203-2011）；</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《钢结构工程施工质量验收规范》（GB 50205—2001）；</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《恶臭(异味)污染物排放标准》（DB311025-2016）；</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2.2施工要求</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1、本项目渣土场由政府指定，腐殖土运输必须有《道路运输经营许可证》，如项目执行过程中需要办理《东莞市市区余泥渣土准运证》等，中标人须及时办理，因各类证件缺少导致的一切损失由中标人负责。</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2、项目范围内的原有道路原有管线拆改、围挡工程等涉及到的所有费用由中标人负责，</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只负责协调管理。</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3、周边居民关系协调：</w:t>
      </w:r>
      <w:r>
        <w:rPr>
          <w:rFonts w:hint="eastAsia" w:hAnsi="宋体" w:cs="宋体"/>
          <w:color w:val="auto"/>
          <w:sz w:val="21"/>
          <w:szCs w:val="21"/>
          <w:highlight w:val="none"/>
          <w:lang w:val="en-US" w:eastAsia="zh-CN"/>
        </w:rPr>
        <w:t>中标人</w:t>
      </w:r>
      <w:r>
        <w:rPr>
          <w:rFonts w:hint="eastAsia" w:hAnsi="宋体" w:cs="宋体"/>
          <w:color w:val="auto"/>
          <w:sz w:val="21"/>
          <w:szCs w:val="21"/>
          <w:highlight w:val="none"/>
        </w:rPr>
        <w:t>需要做好敦亲睦邻工作，每</w:t>
      </w:r>
      <w:r>
        <w:rPr>
          <w:rFonts w:hint="eastAsia" w:hAnsi="宋体" w:cs="宋体"/>
          <w:color w:val="auto"/>
          <w:sz w:val="21"/>
          <w:szCs w:val="21"/>
          <w:highlight w:val="none"/>
          <w:lang w:val="en-US" w:eastAsia="zh-CN"/>
        </w:rPr>
        <w:t>月</w:t>
      </w:r>
      <w:r>
        <w:rPr>
          <w:rFonts w:hint="eastAsia" w:hAnsi="宋体" w:cs="宋体"/>
          <w:color w:val="auto"/>
          <w:sz w:val="21"/>
          <w:szCs w:val="21"/>
          <w:highlight w:val="none"/>
        </w:rPr>
        <w:t>至少组织1次村民之间的互动，协调解决好村民投诉</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如因运输问题造成村民投诉及其他影响施工进程的事宜，及由此造成的工期延误，均由中标人负责</w:t>
      </w:r>
      <w:r>
        <w:rPr>
          <w:rFonts w:hint="eastAsia" w:hAnsi="宋体" w:cs="宋体"/>
          <w:color w:val="auto"/>
          <w:sz w:val="21"/>
          <w:szCs w:val="21"/>
          <w:highlight w:val="none"/>
        </w:rPr>
        <w:t>。</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rPr>
        <w:t>、项目实施过程中，中标人在开挖现场应做好围蔽及警示。因防护措施不到位引起的安全责任，由中标人承担责任。</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rPr>
        <w:t>、项目实施过程中，中标人应充分考虑臭气、扬尘的影响，应配备除臭设施及降尘设施，提供设备配置表及除臭方案，如出现开挖臭气扰民或环保风险，由中标人负责。</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6</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中标人需在</w:t>
      </w:r>
      <w:r>
        <w:rPr>
          <w:rFonts w:hint="eastAsia" w:hAnsi="宋体" w:cs="宋体"/>
          <w:color w:val="auto"/>
          <w:sz w:val="21"/>
          <w:szCs w:val="21"/>
          <w:highlight w:val="none"/>
        </w:rPr>
        <w:t>项目现场</w:t>
      </w:r>
      <w:r>
        <w:rPr>
          <w:rFonts w:hint="eastAsia" w:hAnsi="宋体" w:cs="宋体"/>
          <w:color w:val="auto"/>
          <w:sz w:val="21"/>
          <w:szCs w:val="21"/>
          <w:highlight w:val="none"/>
          <w:lang w:val="en-US" w:eastAsia="zh-CN"/>
        </w:rPr>
        <w:t>RDF暂存场</w:t>
      </w:r>
      <w:r>
        <w:rPr>
          <w:rFonts w:hint="eastAsia" w:hAnsi="宋体" w:cs="宋体"/>
          <w:color w:val="auto"/>
          <w:sz w:val="21"/>
          <w:szCs w:val="21"/>
          <w:highlight w:val="none"/>
        </w:rPr>
        <w:t>出入口</w:t>
      </w:r>
      <w:r>
        <w:rPr>
          <w:rFonts w:hint="eastAsia" w:hAnsi="宋体" w:cs="宋体"/>
          <w:color w:val="auto"/>
          <w:sz w:val="21"/>
          <w:szCs w:val="21"/>
          <w:highlight w:val="none"/>
          <w:lang w:val="en-US" w:eastAsia="zh-CN"/>
        </w:rPr>
        <w:t>及填埋场出入口</w:t>
      </w:r>
      <w:r>
        <w:rPr>
          <w:rFonts w:hint="eastAsia" w:hAnsi="宋体" w:cs="宋体"/>
          <w:color w:val="auto"/>
          <w:sz w:val="21"/>
          <w:szCs w:val="21"/>
          <w:highlight w:val="none"/>
        </w:rPr>
        <w:t>设</w:t>
      </w:r>
      <w:r>
        <w:rPr>
          <w:rFonts w:hint="eastAsia" w:hAnsi="宋体" w:cs="宋体"/>
          <w:color w:val="auto"/>
          <w:sz w:val="21"/>
          <w:szCs w:val="21"/>
          <w:highlight w:val="none"/>
          <w:lang w:val="en-US" w:eastAsia="zh-CN"/>
        </w:rPr>
        <w:t>置两套</w:t>
      </w:r>
      <w:r>
        <w:rPr>
          <w:rFonts w:hint="eastAsia" w:hAnsi="宋体" w:cs="宋体"/>
          <w:color w:val="auto"/>
          <w:sz w:val="21"/>
          <w:szCs w:val="21"/>
          <w:highlight w:val="none"/>
        </w:rPr>
        <w:t>冲洗设备</w:t>
      </w:r>
      <w:r>
        <w:rPr>
          <w:rFonts w:hint="eastAsia" w:hAnsi="宋体" w:cs="宋体"/>
          <w:color w:val="auto"/>
          <w:sz w:val="21"/>
          <w:szCs w:val="21"/>
          <w:highlight w:val="none"/>
          <w:lang w:val="en-US" w:eastAsia="zh-CN"/>
        </w:rPr>
        <w:t>及洗车槽（建造标准应符合当地政府要求）</w:t>
      </w:r>
      <w:r>
        <w:rPr>
          <w:rFonts w:hint="eastAsia" w:hAnsi="宋体" w:cs="宋体"/>
          <w:color w:val="auto"/>
          <w:sz w:val="21"/>
          <w:szCs w:val="21"/>
          <w:highlight w:val="none"/>
        </w:rPr>
        <w:t>，所有车辆及人员离开项目现场必须清洗干净，因未清洗造成项目范围内场地、外围道路污染的清洁费及因污染环境被处予违约金的所有费用由中标人自行支付。运输车辆必须按照批准的运输时间、路线和地点进行作业，严禁项目运输车超装滥载。车辆装载应确保封盖严实封盖处理（垃圾运输车辆必须使用防漏、密封型的车厢），禁止运输过程的抛、洒、滴、漏现象。</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7</w:t>
      </w:r>
      <w:r>
        <w:rPr>
          <w:rFonts w:hint="eastAsia" w:hAnsi="宋体" w:cs="宋体"/>
          <w:color w:val="auto"/>
          <w:sz w:val="21"/>
          <w:szCs w:val="21"/>
          <w:highlight w:val="none"/>
        </w:rPr>
        <w:t>、中标人必须严格按照《大气污染防治法》、《广东省建设工程施工扬尘污染防治管理办法（试行）》、《2018年东莞市建设工程施工扬尘污染专项治理工作方案》、《广东省住房和城乡建设厅关于采取切实措施坚决遏制施工扬尘污染的紧急通知》（粤建电发[2018]20号）、《</w:t>
      </w:r>
      <w:r>
        <w:rPr>
          <w:rFonts w:hint="eastAsia" w:hAnsi="宋体" w:cs="宋体"/>
          <w:color w:val="auto"/>
          <w:sz w:val="21"/>
          <w:szCs w:val="21"/>
          <w:highlight w:val="none"/>
          <w:lang w:val="en"/>
        </w:rPr>
        <w:t>关于建设工程施工扬尘污染防治措施和用工实名管理费用计价有关事项的通知</w:t>
      </w:r>
      <w:r>
        <w:rPr>
          <w:rFonts w:hint="eastAsia" w:hAnsi="宋体" w:cs="宋体"/>
          <w:color w:val="auto"/>
          <w:sz w:val="21"/>
          <w:szCs w:val="21"/>
          <w:highlight w:val="none"/>
        </w:rPr>
        <w:t>》（粤建标函[2018]106号）、《关于转发&lt;广东省住房和城乡建设厅关于采取切实措施坚决遏制施工扬尘污染的紧急通知&gt;的通知》（东建质安[2018]54号）等文件制定施工扬尘污染防治实施方案。中标人应建立扬尘污染防治公示制度以及现场视频监控管理制度并配备专人负责扬尘防治工作，在项目现场采取设置硬质围挡，分段作业，择时施工，洒水抑尘，冲洗地面，车辆进出等级，车辆出场清洁等有效防尘降尘措施。扬尘污染防治措施费用包含在投标报价中。</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rPr>
        <w:t>、中标人应严格执行《广东省住房和城乡建设厅印发房屋建筑和市政基础设施工程用工实名管理暂行办法的通知》（粤建规范[2018]1号），制定用工实名管理的专项方案以及费用使用计划，在开工进场5日内须向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报送项目现场人员实名登记信息资料并实时更新，如未按要求实施的视为违约，</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对中标人每次处予人民币20,000元的违约金，如发出整改通知书后，仍未及时按照要求进行整改的，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对中标人处予人民币100,000元的违约金，并责令停工整治。</w:t>
      </w:r>
    </w:p>
    <w:p>
      <w:pPr>
        <w:spacing w:line="360" w:lineRule="auto"/>
        <w:ind w:firstLine="210" w:firstLineChars="100"/>
        <w:jc w:val="both"/>
        <w:rPr>
          <w:rFonts w:hint="eastAsia" w:hAnsi="宋体" w:cs="宋体"/>
          <w:color w:val="auto"/>
          <w:sz w:val="21"/>
          <w:szCs w:val="21"/>
          <w:highlight w:val="none"/>
        </w:rPr>
      </w:pPr>
      <w:r>
        <w:rPr>
          <w:rFonts w:hint="eastAsia" w:hAnsi="宋体" w:cs="宋体"/>
          <w:color w:val="auto"/>
          <w:sz w:val="21"/>
          <w:szCs w:val="21"/>
          <w:highlight w:val="none"/>
          <w:lang w:val="en-US" w:eastAsia="zh-CN"/>
        </w:rPr>
        <w:t>9</w:t>
      </w:r>
      <w:r>
        <w:rPr>
          <w:rFonts w:hint="eastAsia" w:hAnsi="宋体" w:cs="宋体"/>
          <w:color w:val="auto"/>
          <w:sz w:val="21"/>
          <w:szCs w:val="21"/>
          <w:highlight w:val="none"/>
        </w:rPr>
        <w:t>、项目过程中因雨天等因素导致临时道路不能正常使用时，由中标人采取措施，以保证临时道路能正常使用，涉及到的所有费用由中标人负责。</w:t>
      </w:r>
    </w:p>
    <w:p>
      <w:pPr>
        <w:pStyle w:val="6"/>
        <w:spacing w:line="360" w:lineRule="auto"/>
        <w:jc w:val="both"/>
        <w:rPr>
          <w:rFonts w:cs="宋体"/>
          <w:color w:val="auto"/>
          <w:sz w:val="21"/>
          <w:szCs w:val="21"/>
          <w:highlight w:val="none"/>
        </w:rPr>
      </w:pPr>
      <w:bookmarkStart w:id="25" w:name="_Toc441234910"/>
      <w:bookmarkStart w:id="26" w:name="_Toc20726403"/>
      <w:r>
        <w:rPr>
          <w:rFonts w:hint="eastAsia" w:cs="宋体"/>
          <w:color w:val="auto"/>
          <w:sz w:val="21"/>
          <w:szCs w:val="21"/>
          <w:highlight w:val="none"/>
        </w:rPr>
        <w:t>3 项目范围及工程量</w:t>
      </w:r>
      <w:bookmarkEnd w:id="25"/>
      <w:bookmarkEnd w:id="26"/>
    </w:p>
    <w:p>
      <w:pPr>
        <w:pStyle w:val="7"/>
        <w:spacing w:line="360" w:lineRule="auto"/>
        <w:jc w:val="both"/>
        <w:rPr>
          <w:rFonts w:hAnsi="宋体" w:cs="宋体"/>
          <w:color w:val="auto"/>
          <w:sz w:val="21"/>
          <w:szCs w:val="21"/>
          <w:highlight w:val="none"/>
        </w:rPr>
      </w:pPr>
      <w:bookmarkStart w:id="27" w:name="_Toc441234911"/>
      <w:bookmarkStart w:id="28" w:name="_Toc20726404"/>
      <w:r>
        <w:rPr>
          <w:rFonts w:hint="eastAsia" w:hAnsi="宋体" w:cs="宋体"/>
          <w:color w:val="auto"/>
          <w:sz w:val="21"/>
          <w:szCs w:val="21"/>
          <w:highlight w:val="none"/>
        </w:rPr>
        <w:t>3.1项目范围</w:t>
      </w:r>
      <w:bookmarkEnd w:id="27"/>
      <w:bookmarkEnd w:id="28"/>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要求中标人</w:t>
      </w:r>
      <w:r>
        <w:rPr>
          <w:rFonts w:hint="eastAsia" w:hAnsi="宋体" w:cs="宋体"/>
          <w:color w:val="auto"/>
          <w:sz w:val="21"/>
          <w:szCs w:val="21"/>
          <w:highlight w:val="none"/>
          <w:lang w:val="en-US" w:eastAsia="zh-CN"/>
        </w:rPr>
        <w:t>按照</w:t>
      </w:r>
      <w:r>
        <w:rPr>
          <w:rFonts w:hint="eastAsia" w:hAnsi="宋体" w:cs="宋体"/>
          <w:color w:val="auto"/>
          <w:sz w:val="21"/>
          <w:szCs w:val="21"/>
          <w:highlight w:val="none"/>
        </w:rPr>
        <w:t>本项目条件、技术规范</w:t>
      </w:r>
      <w:r>
        <w:rPr>
          <w:rFonts w:hint="eastAsia" w:hAnsi="宋体" w:cs="宋体"/>
          <w:color w:val="auto"/>
          <w:sz w:val="21"/>
          <w:szCs w:val="21"/>
          <w:highlight w:val="none"/>
          <w:lang w:eastAsia="zh-CN"/>
        </w:rPr>
        <w:t>、</w:t>
      </w:r>
      <w:r>
        <w:rPr>
          <w:rFonts w:hint="eastAsia" w:hAnsi="宋体" w:cs="宋体"/>
          <w:color w:val="auto"/>
          <w:sz w:val="21"/>
          <w:szCs w:val="21"/>
          <w:highlight w:val="none"/>
        </w:rPr>
        <w:t>设计图纸</w:t>
      </w:r>
      <w:r>
        <w:rPr>
          <w:rFonts w:hint="eastAsia" w:hAnsi="宋体" w:cs="宋体"/>
          <w:color w:val="auto"/>
          <w:sz w:val="21"/>
          <w:szCs w:val="21"/>
          <w:highlight w:val="none"/>
          <w:lang w:val="en-US" w:eastAsia="zh-CN"/>
        </w:rPr>
        <w:t>和</w:t>
      </w:r>
      <w:r>
        <w:rPr>
          <w:rFonts w:hint="eastAsia" w:hAnsi="宋体" w:cs="宋体"/>
          <w:color w:val="auto"/>
          <w:sz w:val="21"/>
          <w:szCs w:val="21"/>
          <w:highlight w:val="none"/>
        </w:rPr>
        <w:t>有关技术资料，完成</w:t>
      </w:r>
      <w:r>
        <w:rPr>
          <w:rFonts w:hint="eastAsia" w:hAnsi="宋体" w:cs="宋体"/>
          <w:color w:val="auto"/>
          <w:sz w:val="21"/>
          <w:szCs w:val="21"/>
          <w:highlight w:val="none"/>
          <w:lang w:val="en-US" w:eastAsia="zh-CN"/>
        </w:rPr>
        <w:t>RDF暂存场腐殖土</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堆体的</w:t>
      </w:r>
      <w:bookmarkStart w:id="29" w:name="_Toc441234912"/>
      <w:bookmarkStart w:id="30" w:name="_Toc20726405"/>
      <w:r>
        <w:rPr>
          <w:rFonts w:hint="eastAsia" w:hAnsi="宋体" w:cs="宋体"/>
          <w:color w:val="auto"/>
          <w:sz w:val="21"/>
          <w:szCs w:val="21"/>
          <w:highlight w:val="none"/>
          <w:lang w:val="en-US" w:eastAsia="zh-CN"/>
        </w:rPr>
        <w:t>转运堆填</w:t>
      </w:r>
      <w:r>
        <w:rPr>
          <w:rFonts w:hint="eastAsia" w:hAnsi="宋体" w:cs="宋体"/>
          <w:color w:val="auto"/>
          <w:sz w:val="21"/>
          <w:szCs w:val="21"/>
          <w:highlight w:val="none"/>
        </w:rPr>
        <w:t>。本工程范围包括但不限于，</w:t>
      </w:r>
      <w:r>
        <w:rPr>
          <w:rFonts w:hint="eastAsia" w:hAnsi="宋体" w:cs="宋体"/>
          <w:color w:val="auto"/>
          <w:sz w:val="21"/>
          <w:szCs w:val="21"/>
          <w:highlight w:val="none"/>
          <w:lang w:val="en-US" w:eastAsia="zh-CN"/>
        </w:rPr>
        <w:t>RDF暂存场腐殖土清表、</w:t>
      </w:r>
      <w:r>
        <w:rPr>
          <w:rFonts w:hint="eastAsia" w:hAnsi="宋体" w:cs="宋体"/>
          <w:color w:val="auto"/>
          <w:sz w:val="21"/>
          <w:szCs w:val="21"/>
          <w:highlight w:val="none"/>
        </w:rPr>
        <w:t>开挖、运输、</w:t>
      </w:r>
      <w:r>
        <w:rPr>
          <w:rFonts w:hint="eastAsia" w:hAnsi="宋体" w:cs="宋体"/>
          <w:color w:val="auto"/>
          <w:sz w:val="21"/>
          <w:szCs w:val="21"/>
          <w:highlight w:val="none"/>
          <w:lang w:val="en-US" w:eastAsia="zh-CN"/>
        </w:rPr>
        <w:t>堆填</w:t>
      </w:r>
      <w:r>
        <w:rPr>
          <w:rFonts w:hint="eastAsia" w:hAnsi="宋体" w:cs="宋体"/>
          <w:color w:val="auto"/>
          <w:sz w:val="21"/>
          <w:szCs w:val="21"/>
          <w:highlight w:val="none"/>
        </w:rPr>
        <w:t>、整形</w:t>
      </w:r>
      <w:r>
        <w:rPr>
          <w:rFonts w:hint="eastAsia" w:hAnsi="宋体" w:cs="宋体"/>
          <w:color w:val="auto"/>
          <w:sz w:val="21"/>
          <w:szCs w:val="21"/>
          <w:highlight w:val="none"/>
          <w:lang w:val="en-US" w:eastAsia="zh-CN"/>
        </w:rPr>
        <w:t>及场地内的渗滤液抽运（需运至采购人指定地点）</w:t>
      </w:r>
      <w:r>
        <w:rPr>
          <w:rFonts w:hint="eastAsia" w:hAnsi="宋体" w:cs="宋体"/>
          <w:color w:val="auto"/>
          <w:sz w:val="21"/>
          <w:szCs w:val="21"/>
          <w:highlight w:val="none"/>
          <w:lang w:eastAsia="zh-CN"/>
        </w:rPr>
        <w:t>；</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周转场腐殖土</w:t>
      </w:r>
      <w:r>
        <w:rPr>
          <w:rFonts w:hint="eastAsia" w:hAnsi="宋体" w:cs="宋体"/>
          <w:color w:val="auto"/>
          <w:sz w:val="21"/>
          <w:szCs w:val="21"/>
          <w:highlight w:val="none"/>
          <w:lang w:val="en-US" w:eastAsia="zh-CN"/>
        </w:rPr>
        <w:t>揭膜、</w:t>
      </w:r>
      <w:r>
        <w:rPr>
          <w:rFonts w:hint="eastAsia" w:hAnsi="宋体" w:cs="宋体"/>
          <w:color w:val="auto"/>
          <w:sz w:val="21"/>
          <w:szCs w:val="21"/>
          <w:highlight w:val="none"/>
        </w:rPr>
        <w:t>开挖、运输、</w:t>
      </w:r>
      <w:r>
        <w:rPr>
          <w:rFonts w:hint="eastAsia" w:hAnsi="宋体" w:cs="宋体"/>
          <w:color w:val="auto"/>
          <w:sz w:val="21"/>
          <w:szCs w:val="21"/>
          <w:highlight w:val="none"/>
          <w:lang w:val="en-US" w:eastAsia="zh-CN"/>
        </w:rPr>
        <w:t>堆填</w:t>
      </w:r>
      <w:r>
        <w:rPr>
          <w:rFonts w:hint="eastAsia" w:hAnsi="宋体" w:cs="宋体"/>
          <w:color w:val="auto"/>
          <w:sz w:val="21"/>
          <w:szCs w:val="21"/>
          <w:highlight w:val="none"/>
        </w:rPr>
        <w:t>、整形；项目施工过程的环保、安全等工作</w:t>
      </w:r>
      <w:r>
        <w:rPr>
          <w:rFonts w:hint="eastAsia" w:hAnsi="宋体" w:cs="宋体"/>
          <w:color w:val="auto"/>
          <w:sz w:val="21"/>
          <w:szCs w:val="21"/>
          <w:highlight w:val="none"/>
          <w:lang w:val="en-US" w:eastAsia="zh-CN"/>
        </w:rPr>
        <w:t>由中标人负责；</w:t>
      </w:r>
      <w:r>
        <w:rPr>
          <w:rFonts w:hint="eastAsia" w:hAnsi="宋体" w:cs="宋体"/>
          <w:color w:val="auto"/>
          <w:sz w:val="21"/>
          <w:szCs w:val="21"/>
          <w:highlight w:val="none"/>
        </w:rPr>
        <w:t>项目竣工验收后，中标人向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移交场地和合格的项目竣工资料，并将所有设备自行拆离现场（此工程范围包工、包料、包工期、包质量、包安全、包文明施工、包竣工验收）。</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3.2</w:t>
      </w:r>
      <w:bookmarkEnd w:id="29"/>
      <w:r>
        <w:rPr>
          <w:rFonts w:hint="eastAsia" w:hAnsi="宋体" w:cs="宋体"/>
          <w:color w:val="auto"/>
          <w:sz w:val="21"/>
          <w:szCs w:val="21"/>
          <w:highlight w:val="none"/>
        </w:rPr>
        <w:t>工程量</w:t>
      </w:r>
      <w:bookmarkEnd w:id="30"/>
    </w:p>
    <w:p>
      <w:pPr>
        <w:snapToGrid w:val="0"/>
        <w:spacing w:line="360" w:lineRule="auto"/>
        <w:ind w:firstLine="420" w:firstLineChars="200"/>
        <w:jc w:val="both"/>
        <w:rPr>
          <w:rFonts w:hAnsi="宋体" w:cs="宋体"/>
          <w:color w:val="auto"/>
          <w:sz w:val="21"/>
          <w:szCs w:val="21"/>
          <w:highlight w:val="none"/>
        </w:rPr>
      </w:pPr>
      <w:bookmarkStart w:id="31" w:name="_Toc20726406"/>
      <w:r>
        <w:rPr>
          <w:rFonts w:hint="eastAsia" w:hAnsi="宋体" w:cs="宋体"/>
          <w:color w:val="auto"/>
          <w:sz w:val="21"/>
          <w:szCs w:val="21"/>
          <w:highlight w:val="none"/>
          <w:lang w:val="en-US" w:eastAsia="zh-CN"/>
        </w:rPr>
        <w:t>1</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RDF暂存场腐殖土体量约18.4万m³</w:t>
      </w:r>
      <w:r>
        <w:rPr>
          <w:rFonts w:hint="eastAsia" w:hAnsi="宋体" w:cs="宋体"/>
          <w:color w:val="auto"/>
          <w:sz w:val="21"/>
          <w:szCs w:val="21"/>
          <w:highlight w:val="none"/>
        </w:rPr>
        <w:t>；</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周转场腐殖土体量约6.</w:t>
      </w:r>
      <w:r>
        <w:rPr>
          <w:rFonts w:hint="eastAsia" w:hAnsi="宋体" w:cs="宋体"/>
          <w:color w:val="auto"/>
          <w:sz w:val="21"/>
          <w:szCs w:val="21"/>
          <w:highlight w:val="none"/>
          <w:lang w:eastAsia="zh-CN"/>
        </w:rPr>
        <w:t>2</w:t>
      </w:r>
      <w:r>
        <w:rPr>
          <w:rFonts w:hint="eastAsia" w:hAnsi="宋体" w:cs="宋体"/>
          <w:color w:val="auto"/>
          <w:sz w:val="21"/>
          <w:szCs w:val="21"/>
          <w:highlight w:val="none"/>
        </w:rPr>
        <w:t>万m³。</w:t>
      </w:r>
    </w:p>
    <w:p>
      <w:pPr>
        <w:pStyle w:val="2"/>
        <w:spacing w:line="360" w:lineRule="auto"/>
        <w:ind w:right="0" w:firstLine="420" w:firstLineChars="200"/>
        <w:jc w:val="both"/>
        <w:rPr>
          <w:rFonts w:hAnsi="宋体" w:cs="宋体"/>
          <w:b w:val="0"/>
          <w:bCs w:val="0"/>
          <w:color w:val="auto"/>
          <w:sz w:val="21"/>
          <w:szCs w:val="21"/>
          <w:highlight w:val="none"/>
        </w:rPr>
      </w:pPr>
      <w:r>
        <w:rPr>
          <w:rFonts w:hint="eastAsia" w:hAnsi="宋体" w:cs="宋体"/>
          <w:b w:val="0"/>
          <w:bCs w:val="0"/>
          <w:color w:val="auto"/>
          <w:sz w:val="21"/>
          <w:szCs w:val="21"/>
          <w:highlight w:val="none"/>
        </w:rPr>
        <w:t>（注：最终工程量以</w:t>
      </w:r>
      <w:r>
        <w:rPr>
          <w:rFonts w:hint="eastAsia" w:cs="宋体"/>
          <w:b w:val="0"/>
          <w:bCs w:val="0"/>
          <w:color w:val="auto"/>
          <w:sz w:val="21"/>
          <w:szCs w:val="21"/>
          <w:highlight w:val="none"/>
          <w:lang w:val="en-US" w:eastAsia="zh-CN"/>
        </w:rPr>
        <w:t>采购人</w:t>
      </w:r>
      <w:r>
        <w:rPr>
          <w:rFonts w:hint="eastAsia" w:hAnsi="宋体" w:cs="宋体"/>
          <w:b w:val="0"/>
          <w:bCs w:val="0"/>
          <w:color w:val="auto"/>
          <w:sz w:val="21"/>
          <w:szCs w:val="21"/>
          <w:highlight w:val="none"/>
        </w:rPr>
        <w:t>认可的有资质的第三方测量单位现场测量为准）</w:t>
      </w:r>
    </w:p>
    <w:p>
      <w:pPr>
        <w:pStyle w:val="6"/>
        <w:numPr>
          <w:ilvl w:val="0"/>
          <w:numId w:val="2"/>
        </w:numPr>
        <w:spacing w:line="360" w:lineRule="auto"/>
        <w:jc w:val="both"/>
        <w:rPr>
          <w:rFonts w:cs="宋体"/>
          <w:color w:val="auto"/>
          <w:sz w:val="21"/>
          <w:szCs w:val="21"/>
          <w:highlight w:val="none"/>
        </w:rPr>
      </w:pPr>
      <w:r>
        <w:rPr>
          <w:rFonts w:hint="eastAsia" w:cs="宋体"/>
          <w:color w:val="auto"/>
          <w:sz w:val="21"/>
          <w:szCs w:val="21"/>
          <w:highlight w:val="none"/>
        </w:rPr>
        <w:t>技术要求</w:t>
      </w:r>
      <w:bookmarkEnd w:id="31"/>
    </w:p>
    <w:p>
      <w:pPr>
        <w:pStyle w:val="7"/>
        <w:spacing w:line="360" w:lineRule="auto"/>
        <w:jc w:val="both"/>
        <w:rPr>
          <w:rFonts w:hAnsi="宋体" w:cs="宋体"/>
          <w:color w:val="auto"/>
          <w:sz w:val="21"/>
          <w:szCs w:val="21"/>
          <w:highlight w:val="none"/>
        </w:rPr>
      </w:pPr>
      <w:bookmarkStart w:id="32" w:name="_Toc20726408"/>
      <w:r>
        <w:rPr>
          <w:rFonts w:hint="eastAsia" w:hAnsi="宋体" w:cs="宋体"/>
          <w:color w:val="auto"/>
          <w:sz w:val="21"/>
          <w:szCs w:val="21"/>
          <w:highlight w:val="none"/>
        </w:rPr>
        <w:t>4.1开挖运输及材料要求</w:t>
      </w:r>
    </w:p>
    <w:bookmarkEnd w:id="32"/>
    <w:p>
      <w:pPr>
        <w:snapToGrid w:val="0"/>
        <w:spacing w:line="360" w:lineRule="auto"/>
        <w:ind w:firstLine="630" w:firstLineChars="300"/>
        <w:jc w:val="both"/>
        <w:rPr>
          <w:rFonts w:hAnsi="宋体" w:cs="宋体"/>
          <w:color w:val="auto"/>
          <w:sz w:val="21"/>
          <w:szCs w:val="21"/>
          <w:highlight w:val="none"/>
        </w:rPr>
      </w:pPr>
      <w:r>
        <w:rPr>
          <w:rFonts w:hint="eastAsia" w:hAnsi="宋体" w:cs="宋体"/>
          <w:color w:val="auto"/>
          <w:sz w:val="21"/>
          <w:szCs w:val="21"/>
          <w:highlight w:val="none"/>
        </w:rPr>
        <w:t>本项目采用挖掘机挖装，自卸汽车通过场内</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场外</w:t>
      </w:r>
      <w:r>
        <w:rPr>
          <w:rFonts w:hint="eastAsia" w:hAnsi="宋体" w:cs="宋体"/>
          <w:color w:val="auto"/>
          <w:sz w:val="21"/>
          <w:szCs w:val="21"/>
          <w:highlight w:val="none"/>
        </w:rPr>
        <w:t>运输道路送往</w:t>
      </w:r>
      <w:r>
        <w:rPr>
          <w:rFonts w:hint="eastAsia" w:hAnsi="宋体" w:cs="宋体"/>
          <w:color w:val="auto"/>
          <w:sz w:val="21"/>
          <w:szCs w:val="21"/>
          <w:highlight w:val="none"/>
          <w:lang w:val="en-US" w:eastAsia="zh-CN"/>
        </w:rPr>
        <w:t>堆放</w:t>
      </w:r>
      <w:r>
        <w:rPr>
          <w:rFonts w:hint="eastAsia" w:hAnsi="宋体" w:cs="宋体"/>
          <w:color w:val="auto"/>
          <w:sz w:val="21"/>
          <w:szCs w:val="21"/>
          <w:highlight w:val="none"/>
        </w:rPr>
        <w:t>场地。用于项目现场的材料、设备，应符合设计、标准规范、送有资质的检验机构进行检验，不合格的不得使用，并承担所有检测费用。开挖条件及要求如下：</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1）开挖顺序：暂</w:t>
      </w:r>
      <w:r>
        <w:rPr>
          <w:rFonts w:hint="eastAsia" w:hAnsi="宋体" w:cs="宋体"/>
          <w:color w:val="auto"/>
          <w:sz w:val="21"/>
          <w:szCs w:val="21"/>
          <w:highlight w:val="none"/>
          <w:lang w:val="en-US" w:eastAsia="zh-CN"/>
        </w:rPr>
        <w:t>同时</w:t>
      </w:r>
      <w:r>
        <w:rPr>
          <w:rFonts w:hint="eastAsia" w:hAnsi="宋体" w:cs="宋体"/>
          <w:color w:val="auto"/>
          <w:sz w:val="21"/>
          <w:szCs w:val="21"/>
          <w:highlight w:val="none"/>
        </w:rPr>
        <w:t>开挖上底</w:t>
      </w:r>
      <w:r>
        <w:rPr>
          <w:rFonts w:hint="eastAsia" w:hAnsi="宋体" w:cs="宋体"/>
          <w:color w:val="auto"/>
          <w:sz w:val="21"/>
          <w:szCs w:val="21"/>
          <w:highlight w:val="none"/>
          <w:lang w:val="en-US" w:eastAsia="zh-CN"/>
        </w:rPr>
        <w:t>鱼塘地块一及RDF暂存场堆体腐殖土，</w:t>
      </w:r>
      <w:r>
        <w:rPr>
          <w:rFonts w:hint="eastAsia" w:hAnsi="宋体" w:cs="宋体"/>
          <w:color w:val="auto"/>
          <w:sz w:val="21"/>
          <w:szCs w:val="21"/>
          <w:highlight w:val="none"/>
        </w:rPr>
        <w:t>腐殖土开挖运输至</w:t>
      </w:r>
      <w:r>
        <w:rPr>
          <w:rFonts w:hint="eastAsia" w:hAnsi="宋体" w:cs="宋体"/>
          <w:color w:val="auto"/>
          <w:sz w:val="21"/>
          <w:szCs w:val="21"/>
          <w:highlight w:val="none"/>
          <w:lang w:val="en-US" w:eastAsia="zh-CN"/>
        </w:rPr>
        <w:t>刘屋巷填埋区、上底填埋区</w:t>
      </w:r>
      <w:r>
        <w:rPr>
          <w:rFonts w:hint="eastAsia" w:hAnsi="宋体" w:cs="宋体"/>
          <w:color w:val="auto"/>
          <w:sz w:val="21"/>
          <w:szCs w:val="21"/>
          <w:highlight w:val="none"/>
        </w:rPr>
        <w:t>位置堆存。</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w:t>
      </w:r>
      <w:r>
        <w:rPr>
          <w:rFonts w:hint="eastAsia" w:cs="宋体"/>
          <w:color w:val="auto"/>
          <w:sz w:val="21"/>
          <w:szCs w:val="21"/>
          <w:highlight w:val="none"/>
          <w:lang w:val="en-US" w:eastAsia="zh-CN"/>
        </w:rPr>
        <w:t>本项目存在与防渗施工单位交叉施工，防渗施工单位分区域移交后，中标人接收场地进行回填腐殖土。中标人应在报价中充分考虑因交叉施工、分区域移交不及时、回填作业面狭小等因素，由此可能造成的窝工、停工等费用增加情况，采购人不另行支付费用</w:t>
      </w:r>
      <w:r>
        <w:rPr>
          <w:rFonts w:hint="eastAsia" w:hAnsi="宋体" w:cs="宋体"/>
          <w:color w:val="auto"/>
          <w:sz w:val="21"/>
          <w:szCs w:val="21"/>
          <w:highlight w:val="none"/>
        </w:rPr>
        <w:t>；</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z w:val="21"/>
          <w:szCs w:val="21"/>
          <w:highlight w:val="none"/>
          <w:lang w:val="en-US" w:eastAsia="zh-CN"/>
        </w:rPr>
        <w:t>腐殖土回填采用分层回填压实</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每层厚度暂定为60cm（改变回填厚度需经寮步公用中心及甲方确认方可实施），腐殖土每层边线错开距离需大于10m，回填腐殖土需满铺后再回填下一层腐殖土，</w:t>
      </w:r>
      <w:r>
        <w:rPr>
          <w:rFonts w:hint="eastAsia" w:hAnsi="宋体" w:cs="宋体"/>
          <w:color w:val="auto"/>
          <w:sz w:val="21"/>
          <w:szCs w:val="21"/>
          <w:highlight w:val="none"/>
        </w:rPr>
        <w:t>中标人必须考虑充足安全施工措施；</w:t>
      </w:r>
    </w:p>
    <w:p>
      <w:pPr>
        <w:snapToGrid w:val="0"/>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rPr>
        <w:t>4）中标人应充分考虑</w:t>
      </w:r>
      <w:r>
        <w:rPr>
          <w:rFonts w:hint="eastAsia" w:hAnsi="宋体" w:cs="宋体"/>
          <w:color w:val="auto"/>
          <w:sz w:val="21"/>
          <w:szCs w:val="21"/>
          <w:highlight w:val="none"/>
          <w:lang w:val="en-US" w:eastAsia="zh-CN"/>
        </w:rPr>
        <w:t>下雨</w:t>
      </w:r>
      <w:r>
        <w:rPr>
          <w:rFonts w:hint="eastAsia" w:hAnsi="宋体" w:cs="宋体"/>
          <w:color w:val="auto"/>
          <w:sz w:val="21"/>
          <w:szCs w:val="21"/>
          <w:highlight w:val="none"/>
        </w:rPr>
        <w:t>对施工的影响，制定雨季施工方案，现场设置雨污分流，避免外部雨水进入腐殖土等堆体内增加污水量。</w:t>
      </w:r>
    </w:p>
    <w:p>
      <w:pPr>
        <w:snapToGrid w:val="0"/>
        <w:spacing w:line="360" w:lineRule="auto"/>
        <w:ind w:firstLine="420" w:firstLineChars="200"/>
        <w:jc w:val="both"/>
        <w:rPr>
          <w:rFonts w:hint="default"/>
          <w:color w:val="auto"/>
          <w:highlight w:val="none"/>
          <w:lang w:val="en-US"/>
        </w:rPr>
      </w:pPr>
      <w:r>
        <w:rPr>
          <w:rFonts w:hint="eastAsia" w:hAnsi="宋体" w:cs="宋体"/>
          <w:color w:val="auto"/>
          <w:sz w:val="21"/>
          <w:szCs w:val="21"/>
          <w:highlight w:val="none"/>
          <w:lang w:val="en-US" w:eastAsia="zh-CN"/>
        </w:rPr>
        <w:t>5）施工前上报开挖回填施工专项方案，并经报审后实施，采用分层回填，不得在回填过程压坏及压裂防渗层，采用现场专人巡查，随时查看底部防渗层情况，禁止回填土体推移防渗层。如施工过程对底部防渗层造成破坏，将被罚款并承担给甲方和业主方带来的一切损失。</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4.2 项目实施过程中的安全注意事项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1）项目开工前复查填埋堆体情况，包括</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堆体空洞部位、垃圾体</w:t>
      </w:r>
      <w:r>
        <w:rPr>
          <w:rFonts w:hint="eastAsia" w:hAnsi="宋体" w:cs="宋体"/>
          <w:color w:val="auto"/>
          <w:sz w:val="21"/>
          <w:szCs w:val="21"/>
          <w:highlight w:val="none"/>
          <w:lang w:val="en-US" w:eastAsia="zh-CN"/>
        </w:rPr>
        <w:t>边坡</w:t>
      </w:r>
      <w:r>
        <w:rPr>
          <w:rFonts w:hint="eastAsia" w:hAnsi="宋体" w:cs="宋体"/>
          <w:color w:val="auto"/>
          <w:sz w:val="21"/>
          <w:szCs w:val="21"/>
          <w:highlight w:val="none"/>
        </w:rPr>
        <w:t>坡度埋深等；</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2）确保施工机械工作面下部无堆体空洞现象；</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3）施工期间，成立以项目经理为组长、专职安全员为副组长、各施工班组负责人为组员的专门安全工作领导小组，建立安全生产责任制；</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4）夜间作业，中标人应负责机上及工作地点充足的照明设施，在危险地段应设置明显的警示标志和护栏。所有作业人员必需穿反光衣，以保证安全；</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5）雨期施工，运输机械和行驶道路应采取防滑措施，以保证行车安全；</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6）做好现场有害气体定时监测制度。</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4.3</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的</w:t>
      </w:r>
      <w:r>
        <w:rPr>
          <w:rFonts w:hint="eastAsia" w:hAnsi="宋体" w:cs="宋体"/>
          <w:color w:val="auto"/>
          <w:sz w:val="21"/>
          <w:szCs w:val="21"/>
          <w:highlight w:val="none"/>
          <w:lang w:val="en-US" w:eastAsia="zh-CN"/>
        </w:rPr>
        <w:t>开挖回填</w:t>
      </w:r>
      <w:r>
        <w:rPr>
          <w:rFonts w:hint="eastAsia" w:hAnsi="宋体" w:cs="宋体"/>
          <w:color w:val="auto"/>
          <w:sz w:val="21"/>
          <w:szCs w:val="21"/>
          <w:highlight w:val="none"/>
        </w:rPr>
        <w:t>专项方案</w:t>
      </w:r>
    </w:p>
    <w:p>
      <w:pPr>
        <w:numPr>
          <w:ilvl w:val="0"/>
          <w:numId w:val="3"/>
        </w:numPr>
        <w:snapToGrid w:val="0"/>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rPr>
        <w:t>开挖形式、开挖顺序：分区分层开挖。区域挖方面积≤1000㎡，以防降雨产生大量渗滤液。</w:t>
      </w:r>
    </w:p>
    <w:p>
      <w:pPr>
        <w:numPr>
          <w:ilvl w:val="0"/>
          <w:numId w:val="3"/>
        </w:numPr>
        <w:snapToGrid w:val="0"/>
        <w:spacing w:line="360" w:lineRule="auto"/>
        <w:ind w:firstLine="420" w:firstLineChars="200"/>
        <w:jc w:val="both"/>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回填:施工前上报开挖运输回填施工专项方案，并经报审后实施，采用分层回填，不得在回填过程压坏及压裂防渗层，采用现场专人巡查，随时查看防渗层情况，严格禁止出现回填土体推移防渗层现象。</w:t>
      </w:r>
    </w:p>
    <w:p>
      <w:pPr>
        <w:numPr>
          <w:ilvl w:val="0"/>
          <w:numId w:val="3"/>
        </w:numPr>
        <w:snapToGrid w:val="0"/>
        <w:spacing w:line="360" w:lineRule="auto"/>
        <w:ind w:left="0" w:leftChars="0" w:firstLine="420" w:firstLineChars="200"/>
        <w:jc w:val="both"/>
        <w:rPr>
          <w:rFonts w:hAnsi="宋体" w:cs="宋体"/>
          <w:color w:val="auto"/>
          <w:sz w:val="21"/>
          <w:szCs w:val="21"/>
          <w:highlight w:val="none"/>
        </w:rPr>
      </w:pPr>
      <w:r>
        <w:rPr>
          <w:rFonts w:hint="eastAsia" w:hAnsi="宋体" w:cs="宋体"/>
          <w:color w:val="auto"/>
          <w:sz w:val="21"/>
          <w:szCs w:val="21"/>
          <w:highlight w:val="none"/>
        </w:rPr>
        <w:t>监测方案：在未采取稳定处理前提下，采取随挖随测的方式。主要监测内容：指定专人监测堆体稳定性、机械设施工作环境；每日定期检测垃圾堆体和开挖区易燃、有毒气体（甲烷、硫化氢、氨、一氧化碳等）的浓度；开挖暴露出的垃圾进行旁站巡视，发现除生活垃圾外的其他类物料，及时通知项目负责人。</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rPr>
        <w:t>）劳动组织安排：本场地挖方部分为本项目重点，必须设该分项项目负责人1名，专职安全人员≥1名，所有人需持证上岗，垃圾堆填场内作业人员需配备专用防护用具。</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rPr>
        <w:t>）挖方的动态控制：严格按照专项方案中施工计划执行开挖工作，出现偏差，必须及时采取纠偏措施，进行评审和总结。</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6</w:t>
      </w:r>
      <w:r>
        <w:rPr>
          <w:rFonts w:hint="eastAsia" w:hAnsi="宋体" w:cs="宋体"/>
          <w:color w:val="auto"/>
          <w:sz w:val="21"/>
          <w:szCs w:val="21"/>
          <w:highlight w:val="none"/>
        </w:rPr>
        <w:t>）施工前，施工单位应按照勘探、测绘单位提供的勘察测绘进行放线，进行场地范围的测量与核准并留存影象资料。</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7</w:t>
      </w:r>
      <w:r>
        <w:rPr>
          <w:rFonts w:hint="eastAsia" w:hAnsi="宋体" w:cs="宋体"/>
          <w:color w:val="auto"/>
          <w:sz w:val="21"/>
          <w:szCs w:val="21"/>
          <w:highlight w:val="none"/>
        </w:rPr>
        <w:t>）开挖前编制施工组织方案，确定堆料场地，护坡方案、夜间照明方案等内容。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rPr>
        <w:t>）特殊保障措施</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由于施工现场为多年填埋的垃圾场，在施工过程中可能有大量有毒有害气体散出。施工人员佩戴口罩或防护面具。</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9</w:t>
      </w:r>
      <w:r>
        <w:rPr>
          <w:rFonts w:hint="eastAsia" w:hAnsi="宋体" w:cs="宋体"/>
          <w:color w:val="auto"/>
          <w:sz w:val="21"/>
          <w:szCs w:val="21"/>
          <w:highlight w:val="none"/>
        </w:rPr>
        <w:t>）除尘和除臭</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存量</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倒运、输送、场内处理以及外运存放所产生的粉尘和臭气，须采取有效措施，控制粉尘和恶臭对环境的污染。</w:t>
      </w:r>
    </w:p>
    <w:p>
      <w:pPr>
        <w:pStyle w:val="6"/>
        <w:spacing w:line="360" w:lineRule="auto"/>
        <w:jc w:val="both"/>
        <w:rPr>
          <w:rFonts w:cs="宋体"/>
          <w:color w:val="auto"/>
          <w:sz w:val="21"/>
          <w:szCs w:val="21"/>
          <w:highlight w:val="none"/>
        </w:rPr>
      </w:pPr>
      <w:bookmarkStart w:id="33" w:name="_Toc20726411"/>
      <w:r>
        <w:rPr>
          <w:rFonts w:hint="eastAsia" w:cs="宋体"/>
          <w:color w:val="auto"/>
          <w:sz w:val="21"/>
          <w:szCs w:val="21"/>
          <w:highlight w:val="none"/>
        </w:rPr>
        <w:t>5 工期</w:t>
      </w:r>
      <w:bookmarkEnd w:id="33"/>
    </w:p>
    <w:p>
      <w:pPr>
        <w:snapToGrid w:val="0"/>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本项目合同</w:t>
      </w:r>
      <w:r>
        <w:rPr>
          <w:rFonts w:hint="eastAsia" w:hAnsi="宋体" w:cs="宋体"/>
          <w:b/>
          <w:bCs/>
          <w:color w:val="auto"/>
          <w:sz w:val="21"/>
          <w:szCs w:val="21"/>
          <w:highlight w:val="none"/>
          <w:lang w:val="en-US" w:eastAsia="zh-CN"/>
        </w:rPr>
        <w:t>总</w:t>
      </w:r>
      <w:r>
        <w:rPr>
          <w:rFonts w:hint="eastAsia" w:hAnsi="宋体" w:cs="宋体"/>
          <w:b/>
          <w:bCs/>
          <w:color w:val="auto"/>
          <w:sz w:val="21"/>
          <w:szCs w:val="21"/>
          <w:highlight w:val="none"/>
        </w:rPr>
        <w:t>工期为</w:t>
      </w:r>
      <w:r>
        <w:rPr>
          <w:rFonts w:hint="eastAsia" w:hAnsi="宋体" w:cs="宋体"/>
          <w:b/>
          <w:bCs/>
          <w:color w:val="auto"/>
          <w:sz w:val="21"/>
          <w:szCs w:val="21"/>
          <w:highlight w:val="none"/>
          <w:lang w:val="en-US" w:eastAsia="zh-CN"/>
        </w:rPr>
        <w:t>90</w:t>
      </w:r>
      <w:r>
        <w:rPr>
          <w:rFonts w:hint="eastAsia" w:hAnsi="宋体" w:cs="宋体"/>
          <w:b/>
          <w:bCs/>
          <w:color w:val="auto"/>
          <w:sz w:val="21"/>
          <w:szCs w:val="21"/>
          <w:highlight w:val="none"/>
        </w:rPr>
        <w:t>天，自合同签订后，以</w:t>
      </w:r>
      <w:r>
        <w:rPr>
          <w:rFonts w:hint="eastAsia" w:hAnsi="宋体" w:cs="宋体"/>
          <w:b/>
          <w:bCs/>
          <w:color w:val="auto"/>
          <w:sz w:val="21"/>
          <w:szCs w:val="21"/>
          <w:highlight w:val="none"/>
          <w:lang w:eastAsia="zh-CN"/>
        </w:rPr>
        <w:t>采购人</w:t>
      </w:r>
      <w:r>
        <w:rPr>
          <w:rFonts w:hint="eastAsia" w:hAnsi="宋体" w:cs="宋体"/>
          <w:b/>
          <w:bCs/>
          <w:color w:val="auto"/>
          <w:sz w:val="21"/>
          <w:szCs w:val="21"/>
          <w:highlight w:val="none"/>
        </w:rPr>
        <w:t>发出的开工令生效之日起算。</w:t>
      </w:r>
    </w:p>
    <w:p>
      <w:pPr>
        <w:pStyle w:val="6"/>
        <w:spacing w:line="360" w:lineRule="auto"/>
        <w:jc w:val="both"/>
        <w:rPr>
          <w:rFonts w:cs="宋体"/>
          <w:color w:val="auto"/>
          <w:sz w:val="21"/>
          <w:szCs w:val="21"/>
          <w:highlight w:val="none"/>
        </w:rPr>
      </w:pPr>
      <w:bookmarkStart w:id="34" w:name="_Toc371873123"/>
      <w:bookmarkStart w:id="35" w:name="_Toc441234932"/>
      <w:bookmarkStart w:id="36" w:name="_Toc385840572"/>
      <w:bookmarkStart w:id="37" w:name="_Toc383768712"/>
      <w:bookmarkStart w:id="38" w:name="_Toc20726415"/>
      <w:bookmarkStart w:id="39" w:name="_Toc411868452"/>
      <w:r>
        <w:rPr>
          <w:rFonts w:hint="eastAsia" w:cs="宋体"/>
          <w:color w:val="auto"/>
          <w:sz w:val="21"/>
          <w:szCs w:val="21"/>
          <w:highlight w:val="none"/>
        </w:rPr>
        <w:t>6、工程保险</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开工前，</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应为本项目、施工场地内的自有人员、第三者人员生命财产办理保险，支付保险费用。中标人必须为从事危险作业的职工办理意外伤害保险，并为项目场地内的自有人员生命财产及施工机械设备办理保险，支付保险费用。</w:t>
      </w:r>
    </w:p>
    <w:p>
      <w:pPr>
        <w:pStyle w:val="6"/>
        <w:spacing w:line="360" w:lineRule="auto"/>
        <w:jc w:val="both"/>
        <w:rPr>
          <w:rFonts w:cs="宋体"/>
          <w:color w:val="auto"/>
          <w:sz w:val="21"/>
          <w:szCs w:val="21"/>
          <w:highlight w:val="none"/>
        </w:rPr>
      </w:pPr>
      <w:r>
        <w:rPr>
          <w:rFonts w:hint="eastAsia" w:cs="宋体"/>
          <w:color w:val="auto"/>
          <w:sz w:val="21"/>
          <w:szCs w:val="21"/>
          <w:highlight w:val="none"/>
        </w:rPr>
        <w:t>7、劳务</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除合同另有规定外，中标人应自行聘（雇）用当地或其它来源的雇员，并负责支付上述人员的工资（包括住宿及交通等费用），以及进场和退场的一切费用。中标人聘（雇）员应在当地注册的劳务部门办理手续，并与他聘（雇）用的雇员（包括劳务工在内的所有工人）订立劳务合同协议，按国家规定提供劳动保护，明确劳动报酬等内容，并严格履行，及时足额支付工资等劳动报酬。中标人不得从为</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或工程师服务的人员中招聘雇员。</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2）中标人不得以任何</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的责任（如未按时支付项目款）为理由延期支付上述雇员的工资。中标人必须严格按照国家、省、市、等有关规定支付劳务工工资、不得拖欠或克扣。对</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支付的项目款，中标人须优先用于支付工人劳动报酬，确保不发生因拖欠工人工资而导致的停工闹事等事件。若因中标人未按时支付劳务工劳动报酬导致劳务工有可能停工、闹事、投诉、曝光等不利影响的，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有权代中标人直接支付劳务工劳动报酬，并以代付款金额的20%扣除中标人违约金，该等代付的劳动报酬及违约金将从中标人项目款或劳务工工资保证金中扣除，</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并有权解除本合同。本合同签订后，</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代中标人直接支付劳务工劳动报酬的行为视为已获中标人的授权。</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中标人通过劳务公司分包劳务的，应将劳务发包给具有相应资质的劳务分包单位，并按照劳务分包合同约定及时足额支付劳务费用。中标人应在劳务分包合同中要求劳务分包单位对所有派遣人员投保意外伤害险。保险单复印件应提供一份给</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备案，中标人未对劳务分包单位提出此类要求的，中标人与劳务分包单位承担连带责任。</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3）中标人签订的劳务分包合同的副本应报送工程师审批备案。中标人不得以劳务分包为名行项目分包之实。如经发现，按中标人违约处理。</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如果工程师提出要求，中标人应向工程师提交一份详细的统计表，其格式和提交的间隔时间应符合项目工程师的规定。该表应填报中标人在现场的各类职员和各个工种、等级的工人人数，以及工程师要求的有关中标人装备等资料。</w:t>
      </w:r>
    </w:p>
    <w:bookmarkEnd w:id="34"/>
    <w:bookmarkEnd w:id="35"/>
    <w:bookmarkEnd w:id="36"/>
    <w:bookmarkEnd w:id="37"/>
    <w:bookmarkEnd w:id="38"/>
    <w:bookmarkEnd w:id="39"/>
    <w:p>
      <w:pPr>
        <w:pStyle w:val="6"/>
        <w:spacing w:line="360" w:lineRule="auto"/>
        <w:jc w:val="both"/>
        <w:rPr>
          <w:rFonts w:cs="宋体"/>
          <w:color w:val="auto"/>
          <w:sz w:val="21"/>
          <w:szCs w:val="21"/>
          <w:highlight w:val="none"/>
        </w:rPr>
      </w:pPr>
      <w:r>
        <w:rPr>
          <w:rFonts w:hint="eastAsia" w:cs="宋体"/>
          <w:color w:val="auto"/>
          <w:sz w:val="21"/>
          <w:szCs w:val="21"/>
          <w:highlight w:val="none"/>
        </w:rPr>
        <w:t>8、合同价款结算原则：</w:t>
      </w:r>
    </w:p>
    <w:p>
      <w:pPr>
        <w:spacing w:line="360" w:lineRule="auto"/>
        <w:ind w:firstLine="211" w:firstLineChars="100"/>
        <w:jc w:val="both"/>
        <w:rPr>
          <w:rFonts w:hAnsi="宋体"/>
          <w:color w:val="auto"/>
          <w:highlight w:val="none"/>
        </w:rPr>
      </w:pPr>
      <w:r>
        <w:rPr>
          <w:rFonts w:hint="eastAsia" w:hAnsi="宋体" w:cs="宋体"/>
          <w:b/>
          <w:bCs/>
          <w:color w:val="auto"/>
          <w:sz w:val="21"/>
          <w:szCs w:val="21"/>
          <w:highlight w:val="none"/>
        </w:rPr>
        <w:t>（1）</w:t>
      </w:r>
      <w:r>
        <w:rPr>
          <w:rFonts w:hAnsi="宋体"/>
          <w:color w:val="auto"/>
          <w:highlight w:val="none"/>
        </w:rPr>
        <w:t>结算价=</w:t>
      </w:r>
      <w:r>
        <w:rPr>
          <w:rFonts w:hint="eastAsia" w:hAnsi="宋体"/>
          <w:color w:val="auto"/>
          <w:kern w:val="24"/>
          <w:highlight w:val="none"/>
        </w:rPr>
        <w:t>合同分项报价表</w:t>
      </w:r>
      <w:r>
        <w:rPr>
          <w:rFonts w:hAnsi="宋体"/>
          <w:color w:val="auto"/>
          <w:highlight w:val="none"/>
        </w:rPr>
        <w:t>±可调整部</w:t>
      </w:r>
      <w:r>
        <w:rPr>
          <w:rFonts w:hint="eastAsia" w:hAnsi="宋体"/>
          <w:color w:val="auto"/>
          <w:highlight w:val="none"/>
        </w:rPr>
        <w:t>分。可调整部分包括：</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①</w:t>
      </w:r>
      <w:r>
        <w:rPr>
          <w:rFonts w:hint="eastAsia" w:hAnsi="宋体" w:cs="宋体"/>
          <w:color w:val="auto"/>
          <w:sz w:val="21"/>
          <w:szCs w:val="21"/>
          <w:highlight w:val="none"/>
        </w:rPr>
        <w:t>设计变更、工程指令、现场签证（此三种方式可能会增加或者减少合同工作内容，无论增加或减少工作内容均按第（4）条方式计量计价，中标人不得有异议）；</w:t>
      </w:r>
    </w:p>
    <w:p>
      <w:pPr>
        <w:snapToGrid w:val="0"/>
        <w:spacing w:line="360" w:lineRule="auto"/>
        <w:ind w:firstLine="420" w:firstLineChars="200"/>
        <w:jc w:val="both"/>
        <w:rPr>
          <w:rFonts w:hAnsi="宋体"/>
          <w:color w:val="auto"/>
          <w:highlight w:val="none"/>
        </w:rPr>
      </w:pPr>
      <w:r>
        <w:rPr>
          <w:rFonts w:hint="eastAsia" w:hAnsi="宋体" w:cs="宋体"/>
          <w:color w:val="auto"/>
          <w:sz w:val="21"/>
          <w:szCs w:val="21"/>
          <w:highlight w:val="none"/>
          <w:lang w:val="en-US" w:eastAsia="zh-CN"/>
        </w:rPr>
        <w:t>②</w:t>
      </w:r>
      <w:r>
        <w:rPr>
          <w:rFonts w:hint="eastAsia" w:hAnsi="宋体" w:cs="宋体"/>
          <w:color w:val="auto"/>
          <w:sz w:val="21"/>
          <w:szCs w:val="21"/>
          <w:highlight w:val="none"/>
        </w:rPr>
        <w:t>其他费用；</w:t>
      </w:r>
    </w:p>
    <w:p>
      <w:pPr>
        <w:spacing w:line="360" w:lineRule="auto"/>
        <w:ind w:firstLine="211" w:firstLineChars="100"/>
        <w:jc w:val="both"/>
        <w:rPr>
          <w:b/>
          <w:bCs/>
          <w:color w:val="auto"/>
          <w:sz w:val="21"/>
          <w:szCs w:val="21"/>
          <w:highlight w:val="none"/>
        </w:rPr>
      </w:pPr>
      <w:r>
        <w:rPr>
          <w:rFonts w:hint="eastAsia"/>
          <w:b/>
          <w:bCs/>
          <w:color w:val="auto"/>
          <w:sz w:val="21"/>
          <w:szCs w:val="21"/>
          <w:highlight w:val="none"/>
        </w:rPr>
        <w:t>（2）分项报价表工程量结算原则：</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工程量计算原则：顶面标高按</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委托的专业测量机构提供的现场实测方格网地形标高，过程中及最终底面标高按开挖清理完毕后第三方单位现场实测方格网地形标高，通过开挖</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上下方格网标高进行测算</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开挖</w:t>
      </w:r>
      <w:r>
        <w:rPr>
          <w:rFonts w:hint="eastAsia" w:hAnsi="宋体" w:cs="宋体"/>
          <w:color w:val="auto"/>
          <w:sz w:val="21"/>
          <w:szCs w:val="21"/>
          <w:highlight w:val="none"/>
          <w:lang w:val="en-US" w:eastAsia="zh-CN"/>
        </w:rPr>
        <w:t>运输</w:t>
      </w:r>
      <w:r>
        <w:rPr>
          <w:rFonts w:hint="eastAsia" w:hAnsi="宋体" w:cs="宋体"/>
          <w:color w:val="auto"/>
          <w:sz w:val="21"/>
          <w:szCs w:val="21"/>
          <w:highlight w:val="none"/>
        </w:rPr>
        <w:t>体量</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具体以甲方认可的第三方测量单位测量报告数据为准。</w:t>
      </w:r>
    </w:p>
    <w:p>
      <w:pPr>
        <w:pStyle w:val="31"/>
        <w:spacing w:line="360" w:lineRule="auto"/>
        <w:ind w:left="0" w:leftChars="0" w:firstLine="422"/>
        <w:rPr>
          <w:rFonts w:ascii="宋体" w:hAnsi="宋体"/>
          <w:color w:val="auto"/>
          <w:kern w:val="24"/>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w:t>
      </w:r>
      <w:r>
        <w:rPr>
          <w:rFonts w:hint="eastAsia" w:ascii="宋体" w:hAnsi="宋体"/>
          <w:color w:val="auto"/>
          <w:highlight w:val="none"/>
        </w:rPr>
        <w:t>设计变更、工程指令、现场签证</w:t>
      </w:r>
      <w:r>
        <w:rPr>
          <w:rFonts w:hint="eastAsia" w:ascii="宋体" w:hAnsi="宋体"/>
          <w:color w:val="auto"/>
          <w:szCs w:val="21"/>
          <w:highlight w:val="none"/>
        </w:rPr>
        <w:t>，经</w:t>
      </w:r>
      <w:r>
        <w:rPr>
          <w:rFonts w:hint="eastAsia"/>
          <w:color w:val="auto"/>
          <w:szCs w:val="21"/>
          <w:highlight w:val="none"/>
          <w:lang w:val="en-US" w:eastAsia="zh-CN"/>
        </w:rPr>
        <w:t>甲乙双方</w:t>
      </w:r>
      <w:r>
        <w:rPr>
          <w:rFonts w:hint="eastAsia" w:ascii="宋体" w:hAnsi="宋体"/>
          <w:color w:val="auto"/>
          <w:szCs w:val="21"/>
          <w:highlight w:val="none"/>
        </w:rPr>
        <w:t>签认后，工程量按实结算；</w:t>
      </w:r>
      <w:r>
        <w:rPr>
          <w:rFonts w:hint="eastAsia" w:ascii="宋体" w:hAnsi="宋体"/>
          <w:color w:val="auto"/>
          <w:kern w:val="24"/>
          <w:highlight w:val="none"/>
        </w:rPr>
        <w:t>综合单价按如下方式确定：</w:t>
      </w:r>
    </w:p>
    <w:p>
      <w:pPr>
        <w:pStyle w:val="31"/>
        <w:spacing w:line="360" w:lineRule="auto"/>
        <w:ind w:left="0" w:leftChars="0"/>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.1如合同分项报价表已有的项目，按合同综合单价；</w:t>
      </w:r>
    </w:p>
    <w:p>
      <w:pPr>
        <w:pStyle w:val="31"/>
        <w:spacing w:line="360" w:lineRule="auto"/>
        <w:ind w:left="0" w:leftChars="0"/>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.2如有类似的项目，单价参照类似项目合同综合单价；</w:t>
      </w:r>
    </w:p>
    <w:p>
      <w:pPr>
        <w:pStyle w:val="44"/>
        <w:spacing w:line="360" w:lineRule="auto"/>
        <w:textAlignment w:val="top"/>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3如原招标内容无类似的项目，则按以下方式计费：根据现场的实际情况，发包人若有变更需要更换主材，主材价的换算依据为:仅替换主材价格,而不对安装费及损耗等因素做任何调整；并且主材需在施工前提交发包人认质认价。如新增项目在合同内没有综合单价，则按2018版《建设工程工程量清单计价规范》、《广东省建设工程计价依据(2018)》（《广东省建设工程计价依据(2018)》包括《广东省房屋建筑与装饰工程综合定额(2018)》、《广东省市政工程综合定额(2018)》、《广东省通用安装工程综合定额(2018)》、《广东省园林绿化工程综合定额(2018)》、《广东省建设工程施工机具台班费用编制规则(2018)》）计量计价，并按</w:t>
      </w:r>
      <w:r>
        <w:rPr>
          <w:rFonts w:hint="eastAsia" w:ascii="宋体" w:hAnsi="宋体"/>
          <w:color w:val="auto"/>
          <w:kern w:val="24"/>
          <w:highlight w:val="none"/>
          <w:u w:val="single"/>
        </w:rPr>
        <w:t xml:space="preserve">   </w:t>
      </w:r>
      <w:r>
        <w:rPr>
          <w:rFonts w:hint="eastAsia" w:ascii="宋体" w:hAnsi="宋体"/>
          <w:color w:val="auto"/>
          <w:kern w:val="24"/>
          <w:highlight w:val="none"/>
        </w:rPr>
        <w:t>%（按中标价与最高限价的下浮比例）下浮幅度计价。人工、材料价按东莞市造价站发布的当期信息价计取（东莞市信息价没有的可采用周边地区信息价，优先选用距离较近的同类别地区，工期超过一个月的按施工期间各月平均信息价），信息价没有的按双方协商并由甲方最终确认的市场价计算，只计取规费、税金，其他费用不予计取。</w:t>
      </w:r>
    </w:p>
    <w:p>
      <w:pPr>
        <w:pStyle w:val="44"/>
        <w:spacing w:line="360" w:lineRule="auto"/>
        <w:textAlignment w:val="top"/>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.4设计变更、工程指令、现场签证费用，经</w:t>
      </w:r>
      <w:r>
        <w:rPr>
          <w:rFonts w:hint="eastAsia" w:ascii="宋体" w:hAnsi="宋体"/>
          <w:color w:val="auto"/>
          <w:kern w:val="24"/>
          <w:highlight w:val="none"/>
          <w:lang w:eastAsia="zh-CN"/>
        </w:rPr>
        <w:t>采购人</w:t>
      </w:r>
      <w:r>
        <w:rPr>
          <w:rFonts w:hint="eastAsia" w:ascii="宋体" w:hAnsi="宋体"/>
          <w:color w:val="auto"/>
          <w:kern w:val="24"/>
          <w:highlight w:val="none"/>
        </w:rPr>
        <w:t>审核确认后可与进度款同期同比例支付。</w:t>
      </w:r>
    </w:p>
    <w:p>
      <w:pPr>
        <w:pStyle w:val="44"/>
        <w:spacing w:line="360" w:lineRule="auto"/>
        <w:textAlignment w:val="top"/>
        <w:rPr>
          <w:color w:val="auto"/>
          <w:highlight w:val="none"/>
        </w:rPr>
      </w:pPr>
      <w:r>
        <w:rPr>
          <w:rFonts w:hint="eastAsia" w:ascii="宋体" w:hAnsi="宋体"/>
          <w:b/>
          <w:bCs/>
          <w:color w:val="auto"/>
          <w:kern w:val="24"/>
          <w:highlight w:val="none"/>
        </w:rPr>
        <w:t>（</w:t>
      </w:r>
      <w:r>
        <w:rPr>
          <w:rFonts w:hint="eastAsia" w:ascii="宋体" w:hAnsi="宋体"/>
          <w:b/>
          <w:bCs/>
          <w:color w:val="auto"/>
          <w:kern w:val="24"/>
          <w:highlight w:val="none"/>
          <w:lang w:val="en-US" w:eastAsia="zh-CN"/>
        </w:rPr>
        <w:t>4</w:t>
      </w:r>
      <w:r>
        <w:rPr>
          <w:rFonts w:hint="eastAsia" w:ascii="宋体" w:hAnsi="宋体"/>
          <w:b/>
          <w:bCs/>
          <w:color w:val="auto"/>
          <w:kern w:val="24"/>
          <w:highlight w:val="none"/>
        </w:rPr>
        <w:t>）对于合同原有工作内容及甲方提出的设计变更、工程指令、现场签证，乙方需无条件全力配合</w:t>
      </w:r>
      <w:r>
        <w:rPr>
          <w:rFonts w:hint="eastAsia" w:ascii="宋体" w:hAnsi="宋体"/>
          <w:color w:val="auto"/>
          <w:kern w:val="24"/>
          <w:highlight w:val="none"/>
        </w:rPr>
        <w:t>实施，若乙方不配合实施，则视为违约。增加工作内容甲方有权自行委托第三方进行施工，所发生的费用以甲方核定的金额为准，增加的费用由甲方直接支付给第三方单位，从乙方工程进度款或结算款中扣除，并保留追究乙方的违约责任。减少合同原有工作内容的费用甲方有权直接从乙方工程进度款和结算款中扣除。</w:t>
      </w:r>
    </w:p>
    <w:p>
      <w:pPr>
        <w:pStyle w:val="6"/>
        <w:spacing w:line="360" w:lineRule="auto"/>
        <w:jc w:val="both"/>
        <w:rPr>
          <w:rFonts w:cs="宋体"/>
          <w:color w:val="auto"/>
          <w:sz w:val="21"/>
          <w:szCs w:val="21"/>
          <w:highlight w:val="none"/>
        </w:rPr>
      </w:pPr>
      <w:r>
        <w:rPr>
          <w:rFonts w:hint="eastAsia" w:cs="宋体"/>
          <w:color w:val="auto"/>
          <w:sz w:val="21"/>
          <w:szCs w:val="21"/>
          <w:highlight w:val="none"/>
        </w:rPr>
        <w:t>9、人员要求</w:t>
      </w:r>
    </w:p>
    <w:p>
      <w:pPr>
        <w:tabs>
          <w:tab w:val="left" w:pos="927"/>
        </w:tabs>
        <w:spacing w:line="360" w:lineRule="auto"/>
        <w:ind w:firstLine="517" w:firstLineChars="245"/>
        <w:jc w:val="both"/>
        <w:rPr>
          <w:rFonts w:hAnsi="宋体" w:cs="宋体"/>
          <w:b/>
          <w:bCs/>
          <w:color w:val="auto"/>
          <w:sz w:val="21"/>
          <w:szCs w:val="21"/>
          <w:highlight w:val="none"/>
          <w:lang w:val="zh-CN"/>
        </w:rPr>
      </w:pPr>
      <w:r>
        <w:rPr>
          <w:rFonts w:hint="eastAsia" w:hAnsi="宋体" w:cs="宋体"/>
          <w:b/>
          <w:color w:val="auto"/>
          <w:sz w:val="21"/>
          <w:szCs w:val="21"/>
          <w:highlight w:val="none"/>
        </w:rPr>
        <w:t>1、</w:t>
      </w:r>
      <w:r>
        <w:rPr>
          <w:rFonts w:hint="eastAsia" w:hAnsi="宋体" w:cs="宋体"/>
          <w:color w:val="auto"/>
          <w:sz w:val="21"/>
          <w:szCs w:val="21"/>
          <w:highlight w:val="none"/>
        </w:rPr>
        <w:t>中标人必须配备适合本项目条件、满足质量和使用要求的在东莞市住房和城乡建设局注册备案资质相符的技术、管理人员，同时必须在工地现场设立宣传栏，将项目负责人和技术负责人、专业工程师、安全员、质量员、造价员、材料员等的五寸彩照相片予以公示，经</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检查未落实的，每次</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对中标人处予人民币</w:t>
      </w:r>
      <w:r>
        <w:rPr>
          <w:rFonts w:hint="eastAsia" w:hAnsi="宋体" w:cs="宋体"/>
          <w:b/>
          <w:color w:val="auto"/>
          <w:sz w:val="21"/>
          <w:szCs w:val="21"/>
          <w:highlight w:val="none"/>
          <w:u w:val="single"/>
        </w:rPr>
        <w:t>10,000</w:t>
      </w:r>
      <w:r>
        <w:rPr>
          <w:rFonts w:hint="eastAsia" w:hAnsi="宋体" w:cs="宋体"/>
          <w:color w:val="auto"/>
          <w:sz w:val="21"/>
          <w:szCs w:val="21"/>
          <w:highlight w:val="none"/>
        </w:rPr>
        <w:t>元的违约金。</w:t>
      </w:r>
    </w:p>
    <w:p>
      <w:pPr>
        <w:tabs>
          <w:tab w:val="left" w:pos="927"/>
        </w:tabs>
        <w:spacing w:line="360" w:lineRule="auto"/>
        <w:ind w:firstLine="516" w:firstLineChars="246"/>
        <w:jc w:val="both"/>
        <w:rPr>
          <w:rFonts w:hAnsi="宋体" w:cs="宋体"/>
          <w:color w:val="auto"/>
          <w:sz w:val="21"/>
          <w:szCs w:val="21"/>
          <w:highlight w:val="none"/>
        </w:rPr>
      </w:pPr>
      <w:r>
        <w:rPr>
          <w:rFonts w:hint="eastAsia" w:hAnsi="宋体" w:cs="宋体"/>
          <w:color w:val="auto"/>
          <w:sz w:val="21"/>
          <w:szCs w:val="21"/>
          <w:highlight w:val="none"/>
        </w:rPr>
        <w:t>中标人拟投入本项目的项目负责人必须常驻施工现场，施工现场配备的所有人员必须具有相应的任职资格，并于发出中标通知书后</w:t>
      </w:r>
      <w:r>
        <w:rPr>
          <w:rFonts w:hint="eastAsia" w:hAnsi="宋体" w:cs="宋体"/>
          <w:color w:val="auto"/>
          <w:sz w:val="21"/>
          <w:szCs w:val="21"/>
          <w:highlight w:val="none"/>
          <w:u w:val="single"/>
        </w:rPr>
        <w:t xml:space="preserve"> 30 </w:t>
      </w:r>
      <w:r>
        <w:rPr>
          <w:rFonts w:hint="eastAsia" w:hAnsi="宋体" w:cs="宋体"/>
          <w:color w:val="auto"/>
          <w:sz w:val="21"/>
          <w:szCs w:val="21"/>
          <w:highlight w:val="none"/>
        </w:rPr>
        <w:t>天内向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报送上述人员名单和联系方式；人员名单和联系方式</w:t>
      </w:r>
      <w:r>
        <w:rPr>
          <w:rFonts w:hint="eastAsia" w:hAnsi="宋体" w:cs="宋体"/>
          <w:b/>
          <w:color w:val="auto"/>
          <w:sz w:val="21"/>
          <w:szCs w:val="21"/>
          <w:highlight w:val="none"/>
        </w:rPr>
        <w:t>、</w:t>
      </w:r>
      <w:r>
        <w:rPr>
          <w:rFonts w:hint="eastAsia" w:hAnsi="宋体" w:cs="宋体"/>
          <w:color w:val="auto"/>
          <w:sz w:val="21"/>
          <w:szCs w:val="21"/>
          <w:highlight w:val="none"/>
        </w:rPr>
        <w:t>资格证书复印件（同时提供相应资格证书的原件供审核）及在中标人单位缴纳三个月以上的社保证明等资料必须报</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进行审核、备案；配备的各类技术人员同时担任其他项目工作，导致施工合同未按招标文件规定时间签订的，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有权报相关行政主管部门废除中标人的中标资格，并处予本合同中标金额0.5%的违约金。</w:t>
      </w:r>
    </w:p>
    <w:p>
      <w:pPr>
        <w:tabs>
          <w:tab w:val="left" w:pos="927"/>
        </w:tabs>
        <w:spacing w:line="360" w:lineRule="auto"/>
        <w:ind w:firstLine="519" w:firstLineChars="246"/>
        <w:jc w:val="both"/>
        <w:rPr>
          <w:rFonts w:hAnsi="宋体" w:cs="宋体"/>
          <w:color w:val="auto"/>
          <w:sz w:val="21"/>
          <w:szCs w:val="21"/>
          <w:highlight w:val="none"/>
          <w:lang w:val="zh-CN"/>
        </w:rPr>
      </w:pPr>
      <w:r>
        <w:rPr>
          <w:rFonts w:hint="eastAsia" w:hAnsi="宋体" w:cs="宋体"/>
          <w:b/>
          <w:color w:val="auto"/>
          <w:sz w:val="21"/>
          <w:szCs w:val="21"/>
          <w:highlight w:val="none"/>
        </w:rPr>
        <w:t>2、</w:t>
      </w:r>
      <w:r>
        <w:rPr>
          <w:rFonts w:hint="eastAsia" w:hAnsi="宋体" w:cs="宋体"/>
          <w:color w:val="auto"/>
          <w:sz w:val="21"/>
          <w:szCs w:val="21"/>
          <w:highlight w:val="none"/>
        </w:rPr>
        <w:t>中标人拟派驻本项目的项目负责人除发生：因重病或重伤（持有县、区以上医院证明）两个月以上不能履行职责的；主动辞职或调离原工作单位的；因管理原因发生重大项目质量、安全事故，</w:t>
      </w:r>
      <w:r>
        <w:rPr>
          <w:rFonts w:hint="eastAsia" w:hAnsi="宋体" w:cs="宋体"/>
          <w:color w:val="auto"/>
          <w:sz w:val="21"/>
          <w:szCs w:val="21"/>
          <w:highlight w:val="none"/>
          <w:lang w:val="en-US" w:eastAsia="zh-CN"/>
        </w:rPr>
        <w:t>招标人</w:t>
      </w:r>
      <w:r>
        <w:rPr>
          <w:rFonts w:hint="eastAsia" w:hAnsi="宋体" w:cs="宋体"/>
          <w:color w:val="auto"/>
          <w:sz w:val="21"/>
          <w:szCs w:val="21"/>
          <w:highlight w:val="none"/>
        </w:rPr>
        <w:t>认为该项目负责人不称职需要更换的；无能力履行合同的责任和义务，造成严重后果，建设单位要求更换的；因违法被责令停止执业的；被司法机关羁押或判刑的；死亡的情形之一外不得更换</w:t>
      </w:r>
      <w:r>
        <w:rPr>
          <w:rFonts w:hint="eastAsia" w:hAnsi="宋体" w:cs="宋体"/>
          <w:color w:val="auto"/>
          <w:sz w:val="21"/>
          <w:szCs w:val="21"/>
          <w:highlight w:val="none"/>
          <w:lang w:val="zh-CN"/>
        </w:rPr>
        <w:t>。</w:t>
      </w:r>
      <w:r>
        <w:rPr>
          <w:rFonts w:hint="eastAsia" w:hAnsi="宋体" w:cs="宋体"/>
          <w:color w:val="auto"/>
          <w:sz w:val="21"/>
          <w:szCs w:val="21"/>
          <w:highlight w:val="none"/>
        </w:rPr>
        <w:t>因疾病、意外伤害等原因需请假时，须提供项目所在地甲级医院出具的证明、病历及发票等，并附检查报告报</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审核，</w:t>
      </w:r>
      <w:r>
        <w:rPr>
          <w:rFonts w:hint="eastAsia" w:hAnsi="宋体" w:cs="宋体"/>
          <w:color w:val="auto"/>
          <w:sz w:val="21"/>
          <w:szCs w:val="21"/>
          <w:highlight w:val="none"/>
          <w:lang w:val="zh-CN"/>
        </w:rPr>
        <w:t>同时应报派临时项目负责人接替，接替</w:t>
      </w:r>
      <w:r>
        <w:rPr>
          <w:rFonts w:hint="eastAsia" w:hAnsi="宋体" w:cs="宋体"/>
          <w:color w:val="auto"/>
          <w:sz w:val="21"/>
          <w:szCs w:val="21"/>
          <w:highlight w:val="none"/>
        </w:rPr>
        <w:t>人员的专业要相符，等级必须不低于被替换的项目负责人。原项目负责人请假期满后，应立即重返本项目，继续负责相关管理</w:t>
      </w:r>
      <w:r>
        <w:rPr>
          <w:rFonts w:hint="eastAsia" w:hAnsi="宋体" w:cs="宋体"/>
          <w:color w:val="auto"/>
          <w:sz w:val="21"/>
          <w:szCs w:val="21"/>
          <w:highlight w:val="none"/>
          <w:lang w:val="zh-CN"/>
        </w:rPr>
        <w:t>；除死亡的情形外，</w:t>
      </w:r>
      <w:r>
        <w:rPr>
          <w:rFonts w:hint="eastAsia" w:hAnsi="宋体" w:cs="宋体"/>
          <w:color w:val="auto"/>
          <w:sz w:val="21"/>
          <w:szCs w:val="21"/>
          <w:highlight w:val="none"/>
        </w:rPr>
        <w:t>其它更换项目负责人的情形均视为中标人违约，</w:t>
      </w:r>
      <w:r>
        <w:rPr>
          <w:rFonts w:hint="eastAsia" w:hAnsi="宋体" w:cs="宋体"/>
          <w:color w:val="auto"/>
          <w:sz w:val="21"/>
          <w:szCs w:val="21"/>
          <w:highlight w:val="none"/>
          <w:lang w:val="zh-CN"/>
        </w:rPr>
        <w:t>违约金数额为第一次更换处予人民币</w:t>
      </w:r>
      <w:r>
        <w:rPr>
          <w:rFonts w:hint="eastAsia" w:hAnsi="宋体" w:cs="宋体"/>
          <w:b/>
          <w:color w:val="auto"/>
          <w:sz w:val="21"/>
          <w:szCs w:val="21"/>
          <w:highlight w:val="none"/>
          <w:u w:val="single"/>
        </w:rPr>
        <w:t>50,000</w:t>
      </w:r>
      <w:r>
        <w:rPr>
          <w:rFonts w:hint="eastAsia" w:hAnsi="宋体" w:cs="宋体"/>
          <w:color w:val="auto"/>
          <w:sz w:val="21"/>
          <w:szCs w:val="21"/>
          <w:highlight w:val="none"/>
          <w:lang w:val="zh-CN"/>
        </w:rPr>
        <w:t>元，第二次更换处予人民币</w:t>
      </w:r>
      <w:r>
        <w:rPr>
          <w:rFonts w:hint="eastAsia" w:hAnsi="宋体" w:cs="宋体"/>
          <w:b/>
          <w:color w:val="auto"/>
          <w:sz w:val="21"/>
          <w:szCs w:val="21"/>
          <w:highlight w:val="none"/>
          <w:u w:val="single"/>
        </w:rPr>
        <w:t>100,000</w:t>
      </w:r>
      <w:r>
        <w:rPr>
          <w:rFonts w:hint="eastAsia" w:hAnsi="宋体" w:cs="宋体"/>
          <w:color w:val="auto"/>
          <w:sz w:val="21"/>
          <w:szCs w:val="21"/>
          <w:highlight w:val="none"/>
          <w:lang w:val="zh-CN"/>
        </w:rPr>
        <w:t>元，第三次更换处予人民币</w:t>
      </w:r>
      <w:r>
        <w:rPr>
          <w:rFonts w:hint="eastAsia" w:hAnsi="宋体" w:cs="宋体"/>
          <w:b/>
          <w:color w:val="auto"/>
          <w:sz w:val="21"/>
          <w:szCs w:val="21"/>
          <w:highlight w:val="none"/>
          <w:u w:val="single"/>
        </w:rPr>
        <w:t>200,000</w:t>
      </w:r>
      <w:r>
        <w:rPr>
          <w:rFonts w:hint="eastAsia" w:hAnsi="宋体" w:cs="宋体"/>
          <w:color w:val="auto"/>
          <w:sz w:val="21"/>
          <w:szCs w:val="21"/>
          <w:highlight w:val="none"/>
          <w:lang w:val="zh-CN"/>
        </w:rPr>
        <w:t>元，超过三次，采购人有权单方解除合同，没收履约保证金或要求保证人赔偿保函限额。</w:t>
      </w:r>
      <w:r>
        <w:rPr>
          <w:rFonts w:hint="eastAsia" w:hAnsi="宋体" w:cs="宋体"/>
          <w:color w:val="auto"/>
          <w:sz w:val="21"/>
          <w:szCs w:val="21"/>
          <w:highlight w:val="none"/>
        </w:rPr>
        <w:t>更换项目负责人时，替换人员的专业要相符，等级必须不低于被替换的项目负责人。项目负责人离开现场必须向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书面请假，经批准方可离开，否则视为中标人的违约行为，每次违约，</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对中标人处予每天人民币</w:t>
      </w:r>
      <w:r>
        <w:rPr>
          <w:rFonts w:hint="eastAsia" w:hAnsi="宋体" w:cs="宋体"/>
          <w:b/>
          <w:color w:val="auto"/>
          <w:sz w:val="21"/>
          <w:szCs w:val="21"/>
          <w:highlight w:val="none"/>
          <w:u w:val="single"/>
        </w:rPr>
        <w:t>8,000</w:t>
      </w:r>
      <w:r>
        <w:rPr>
          <w:rFonts w:hint="eastAsia" w:hAnsi="宋体" w:cs="宋体"/>
          <w:color w:val="auto"/>
          <w:sz w:val="21"/>
          <w:szCs w:val="21"/>
          <w:highlight w:val="none"/>
        </w:rPr>
        <w:t>元的违约金。</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3、中标人拟派驻本项目的其他技术、管理人员原则上不得更换。因疾病、意外伤害等原因必须更换时，作请假处理，此时须提供项目所在地甲级医院出具的证明、病历及发票等，并附检查报告报</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审核，原技术、管理人员请假期满后，应立即重返本项目，继续负责相关管理；除上述原因外，其它更换技术、管理人员的情形均视为中标人违约，</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将对中标人处予违约金，</w:t>
      </w:r>
      <w:r>
        <w:rPr>
          <w:rFonts w:hint="eastAsia" w:hAnsi="宋体" w:cs="宋体"/>
          <w:color w:val="auto"/>
          <w:sz w:val="21"/>
          <w:szCs w:val="21"/>
          <w:highlight w:val="none"/>
          <w:lang w:val="zh-CN"/>
        </w:rPr>
        <w:t>违约金数额为第一次更换处予人民币</w:t>
      </w:r>
      <w:r>
        <w:rPr>
          <w:rFonts w:hint="eastAsia" w:hAnsi="宋体" w:cs="宋体"/>
          <w:b/>
          <w:color w:val="auto"/>
          <w:sz w:val="21"/>
          <w:szCs w:val="21"/>
          <w:highlight w:val="none"/>
          <w:u w:val="single"/>
        </w:rPr>
        <w:t>20,000</w:t>
      </w:r>
      <w:r>
        <w:rPr>
          <w:rFonts w:hint="eastAsia" w:hAnsi="宋体" w:cs="宋体"/>
          <w:color w:val="auto"/>
          <w:sz w:val="21"/>
          <w:szCs w:val="21"/>
          <w:highlight w:val="none"/>
          <w:lang w:val="zh-CN"/>
        </w:rPr>
        <w:t>元/人，第二次更换处予人民币</w:t>
      </w:r>
      <w:r>
        <w:rPr>
          <w:rFonts w:hint="eastAsia" w:hAnsi="宋体" w:cs="宋体"/>
          <w:b/>
          <w:color w:val="auto"/>
          <w:sz w:val="21"/>
          <w:szCs w:val="21"/>
          <w:highlight w:val="none"/>
          <w:u w:val="single"/>
        </w:rPr>
        <w:t>40,000</w:t>
      </w:r>
      <w:r>
        <w:rPr>
          <w:rFonts w:hint="eastAsia" w:hAnsi="宋体" w:cs="宋体"/>
          <w:color w:val="auto"/>
          <w:sz w:val="21"/>
          <w:szCs w:val="21"/>
          <w:highlight w:val="none"/>
          <w:lang w:val="zh-CN"/>
        </w:rPr>
        <w:t>元/人，第三次更换处予人民币</w:t>
      </w:r>
      <w:r>
        <w:rPr>
          <w:rFonts w:hint="eastAsia" w:hAnsi="宋体" w:cs="宋体"/>
          <w:b/>
          <w:color w:val="auto"/>
          <w:sz w:val="21"/>
          <w:szCs w:val="21"/>
          <w:highlight w:val="none"/>
          <w:u w:val="single"/>
        </w:rPr>
        <w:t>80,000</w:t>
      </w:r>
      <w:r>
        <w:rPr>
          <w:rFonts w:hint="eastAsia" w:hAnsi="宋体" w:cs="宋体"/>
          <w:color w:val="auto"/>
          <w:sz w:val="21"/>
          <w:szCs w:val="21"/>
          <w:highlight w:val="none"/>
          <w:lang w:val="zh-CN"/>
        </w:rPr>
        <w:t>元/人，超过三次，采购人有权单方解除合同，没收履约保证金或要求保证人赔偿保函限额。</w:t>
      </w:r>
      <w:r>
        <w:rPr>
          <w:rFonts w:hint="eastAsia" w:hAnsi="宋体" w:cs="宋体"/>
          <w:color w:val="auto"/>
          <w:sz w:val="21"/>
          <w:szCs w:val="21"/>
          <w:highlight w:val="none"/>
        </w:rPr>
        <w:t>更换技术、管理人员时，替换人员的专业要相符，等级必须不低于被替换的技术、管理人员。技术人员同时担任其它项目的工作视为违约，</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对中标人每人每次违约处予人民币</w:t>
      </w:r>
      <w:r>
        <w:rPr>
          <w:rFonts w:hint="eastAsia" w:hAnsi="宋体" w:cs="宋体"/>
          <w:b/>
          <w:color w:val="auto"/>
          <w:sz w:val="21"/>
          <w:szCs w:val="21"/>
          <w:highlight w:val="none"/>
          <w:u w:val="single"/>
        </w:rPr>
        <w:t>5,000</w:t>
      </w:r>
      <w:r>
        <w:rPr>
          <w:rFonts w:hint="eastAsia" w:hAnsi="宋体" w:cs="宋体"/>
          <w:color w:val="auto"/>
          <w:sz w:val="21"/>
          <w:szCs w:val="21"/>
          <w:highlight w:val="none"/>
        </w:rPr>
        <w:t>元的违约金，并保留终止合同的权利。其他技术、管理人员离开现场必须向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的工程师代表书面请假，经批准方可离开，否则视为中标人的违约行为，每次违约，</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对中标人处予每天人民币</w:t>
      </w:r>
      <w:r>
        <w:rPr>
          <w:rFonts w:hint="eastAsia" w:hAnsi="宋体" w:cs="宋体"/>
          <w:b/>
          <w:color w:val="auto"/>
          <w:sz w:val="21"/>
          <w:szCs w:val="21"/>
          <w:highlight w:val="none"/>
          <w:u w:val="single"/>
        </w:rPr>
        <w:t xml:space="preserve">2,000 </w:t>
      </w:r>
      <w:r>
        <w:rPr>
          <w:rFonts w:hint="eastAsia" w:hAnsi="宋体" w:cs="宋体"/>
          <w:color w:val="auto"/>
          <w:sz w:val="21"/>
          <w:szCs w:val="21"/>
          <w:highlight w:val="none"/>
        </w:rPr>
        <w:t>元的违约金。</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4、若项目负责人及其他技术、管理人员由于自身管理不到位，导致施工现场混乱且不能按施工进度计划完成项目目标的，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有权以书面形式通知更换其认为不称职的项目负责人及其他技术、管理人员，中标人在接到更换通知后15日内向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提供相应资质等级的新项目负责人及其他技术负责人的简历资料，经</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认可后方可负责本项目的相关工作。因以上情形更换项目负责人时，</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将对中标人处予人民币</w:t>
      </w:r>
      <w:r>
        <w:rPr>
          <w:rFonts w:hint="eastAsia" w:hAnsi="宋体" w:cs="宋体"/>
          <w:b/>
          <w:color w:val="auto"/>
          <w:sz w:val="21"/>
          <w:szCs w:val="21"/>
          <w:highlight w:val="none"/>
          <w:u w:val="single"/>
        </w:rPr>
        <w:t>20,000</w:t>
      </w:r>
      <w:r>
        <w:rPr>
          <w:rFonts w:hint="eastAsia" w:hAnsi="宋体" w:cs="宋体"/>
          <w:color w:val="auto"/>
          <w:sz w:val="21"/>
          <w:szCs w:val="21"/>
          <w:highlight w:val="none"/>
        </w:rPr>
        <w:t>元的违约金；因以上情形更换其他技术、管理人员时，</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将对中标人处予每人人民币</w:t>
      </w:r>
      <w:r>
        <w:rPr>
          <w:rFonts w:hint="eastAsia" w:hAnsi="宋体" w:cs="宋体"/>
          <w:b/>
          <w:color w:val="auto"/>
          <w:sz w:val="21"/>
          <w:szCs w:val="21"/>
          <w:highlight w:val="none"/>
          <w:u w:val="single"/>
        </w:rPr>
        <w:t>10,000</w:t>
      </w:r>
      <w:r>
        <w:rPr>
          <w:rFonts w:hint="eastAsia" w:hAnsi="宋体" w:cs="宋体"/>
          <w:color w:val="auto"/>
          <w:sz w:val="21"/>
          <w:szCs w:val="21"/>
          <w:highlight w:val="none"/>
        </w:rPr>
        <w:t>元的违约金。</w:t>
      </w:r>
    </w:p>
    <w:p>
      <w:pPr>
        <w:spacing w:line="360" w:lineRule="auto"/>
        <w:ind w:firstLine="359" w:firstLineChars="171"/>
        <w:jc w:val="both"/>
        <w:rPr>
          <w:rFonts w:hAnsi="宋体" w:cs="宋体"/>
          <w:color w:val="auto"/>
          <w:sz w:val="21"/>
          <w:szCs w:val="21"/>
          <w:highlight w:val="none"/>
        </w:rPr>
      </w:pPr>
      <w:r>
        <w:rPr>
          <w:rFonts w:hint="eastAsia" w:hAnsi="宋体" w:cs="宋体"/>
          <w:color w:val="auto"/>
          <w:sz w:val="21"/>
          <w:szCs w:val="21"/>
          <w:highlight w:val="none"/>
        </w:rPr>
        <w:t>5、中标人应按要求参加项目管理相关会议，项目负责人无故缺席的处以</w:t>
      </w:r>
      <w:r>
        <w:rPr>
          <w:rFonts w:hint="eastAsia" w:hAnsi="宋体" w:cs="宋体"/>
          <w:b/>
          <w:bCs/>
          <w:color w:val="auto"/>
          <w:sz w:val="21"/>
          <w:szCs w:val="21"/>
          <w:highlight w:val="none"/>
          <w:u w:val="single"/>
        </w:rPr>
        <w:t>4,000</w:t>
      </w:r>
      <w:r>
        <w:rPr>
          <w:rFonts w:hint="eastAsia" w:hAnsi="宋体" w:cs="宋体"/>
          <w:bCs/>
          <w:color w:val="auto"/>
          <w:sz w:val="21"/>
          <w:szCs w:val="21"/>
          <w:highlight w:val="none"/>
        </w:rPr>
        <w:t>元/次的违约金</w:t>
      </w:r>
      <w:r>
        <w:rPr>
          <w:rFonts w:hint="eastAsia" w:hAnsi="宋体" w:cs="宋体"/>
          <w:color w:val="auto"/>
          <w:sz w:val="21"/>
          <w:szCs w:val="21"/>
          <w:highlight w:val="none"/>
        </w:rPr>
        <w:t>，其他技术、管理人员无故缺席的处以每人</w:t>
      </w:r>
      <w:r>
        <w:rPr>
          <w:rFonts w:hint="eastAsia" w:hAnsi="宋体" w:cs="宋体"/>
          <w:b/>
          <w:bCs/>
          <w:color w:val="auto"/>
          <w:sz w:val="21"/>
          <w:szCs w:val="21"/>
          <w:highlight w:val="none"/>
          <w:u w:val="single"/>
        </w:rPr>
        <w:t>600</w:t>
      </w:r>
      <w:r>
        <w:rPr>
          <w:rFonts w:hint="eastAsia" w:hAnsi="宋体" w:cs="宋体"/>
          <w:b/>
          <w:bCs/>
          <w:color w:val="auto"/>
          <w:sz w:val="21"/>
          <w:szCs w:val="21"/>
          <w:highlight w:val="none"/>
        </w:rPr>
        <w:t>元</w:t>
      </w:r>
      <w:r>
        <w:rPr>
          <w:rFonts w:hint="eastAsia" w:hAnsi="宋体" w:cs="宋体"/>
          <w:bCs/>
          <w:color w:val="auto"/>
          <w:sz w:val="21"/>
          <w:szCs w:val="21"/>
          <w:highlight w:val="none"/>
        </w:rPr>
        <w:t>/次的违约金</w:t>
      </w:r>
      <w:r>
        <w:rPr>
          <w:rFonts w:hint="eastAsia" w:hAnsi="宋体" w:cs="宋体"/>
          <w:color w:val="auto"/>
          <w:sz w:val="21"/>
          <w:szCs w:val="21"/>
          <w:highlight w:val="none"/>
        </w:rPr>
        <w:t>。</w:t>
      </w:r>
    </w:p>
    <w:p>
      <w:pPr>
        <w:spacing w:line="360" w:lineRule="auto"/>
        <w:ind w:firstLine="361" w:firstLineChars="171"/>
        <w:jc w:val="both"/>
        <w:rPr>
          <w:rFonts w:hAnsi="宋体" w:cs="宋体"/>
          <w:b/>
          <w:color w:val="auto"/>
          <w:sz w:val="21"/>
          <w:szCs w:val="21"/>
          <w:highlight w:val="none"/>
        </w:rPr>
      </w:pPr>
      <w:r>
        <w:rPr>
          <w:rFonts w:hint="eastAsia" w:hAnsi="宋体" w:cs="宋体"/>
          <w:b/>
          <w:color w:val="auto"/>
          <w:sz w:val="21"/>
          <w:szCs w:val="21"/>
          <w:highlight w:val="none"/>
        </w:rPr>
        <w:t>6、中标人拟派驻本项目的项目管理机构技术、管理人员，必需保证项目实施期间，其所持有的资格证件（包括但不限于：</w:t>
      </w:r>
      <w:r>
        <w:rPr>
          <w:rFonts w:hint="eastAsia" w:hAnsi="宋体" w:cs="宋体"/>
          <w:b/>
          <w:color w:val="auto"/>
          <w:sz w:val="21"/>
          <w:szCs w:val="21"/>
          <w:highlight w:val="none"/>
          <w:lang w:val="en-US" w:eastAsia="zh-CN"/>
        </w:rPr>
        <w:t>二</w:t>
      </w:r>
      <w:r>
        <w:rPr>
          <w:rFonts w:hint="eastAsia" w:hAnsi="宋体" w:cs="宋体"/>
          <w:b/>
          <w:color w:val="auto"/>
          <w:sz w:val="21"/>
          <w:szCs w:val="21"/>
          <w:highlight w:val="none"/>
        </w:rPr>
        <w:t>级建造师的注册证、安全生产考核合格证、上岗证）必须保持在有效期内。如不在有效期内，视为中标人违约，每次违约，</w:t>
      </w:r>
      <w:r>
        <w:rPr>
          <w:rFonts w:hint="eastAsia" w:hAnsi="宋体" w:cs="宋体"/>
          <w:b/>
          <w:color w:val="auto"/>
          <w:sz w:val="21"/>
          <w:szCs w:val="21"/>
          <w:highlight w:val="none"/>
          <w:lang w:eastAsia="zh-CN"/>
        </w:rPr>
        <w:t>采购人</w:t>
      </w:r>
      <w:r>
        <w:rPr>
          <w:rFonts w:hint="eastAsia" w:hAnsi="宋体" w:cs="宋体"/>
          <w:b/>
          <w:color w:val="auto"/>
          <w:sz w:val="21"/>
          <w:szCs w:val="21"/>
          <w:highlight w:val="none"/>
        </w:rPr>
        <w:t>对中标人处予每天人民币40,000元的违约金。同时，中标人必须及时作出替换，且替换人员的专业、资格等级要求必须不低于被替换的人员。如替换人员的专业、资格等级要求低于被替换人员的，每次违约，</w:t>
      </w:r>
      <w:r>
        <w:rPr>
          <w:rFonts w:hint="eastAsia" w:hAnsi="宋体" w:cs="宋体"/>
          <w:b/>
          <w:color w:val="auto"/>
          <w:sz w:val="21"/>
          <w:szCs w:val="21"/>
          <w:highlight w:val="none"/>
          <w:lang w:eastAsia="zh-CN"/>
        </w:rPr>
        <w:t>采购人</w:t>
      </w:r>
      <w:r>
        <w:rPr>
          <w:rFonts w:hint="eastAsia" w:hAnsi="宋体" w:cs="宋体"/>
          <w:b/>
          <w:color w:val="auto"/>
          <w:sz w:val="21"/>
          <w:szCs w:val="21"/>
          <w:highlight w:val="none"/>
        </w:rPr>
        <w:t>对中标人处予每天人民币20,000元的违约金，并保留终止合同的权利。</w:t>
      </w:r>
    </w:p>
    <w:p>
      <w:pPr>
        <w:pStyle w:val="6"/>
        <w:spacing w:line="360" w:lineRule="auto"/>
        <w:jc w:val="both"/>
        <w:rPr>
          <w:rFonts w:cs="宋体"/>
          <w:color w:val="auto"/>
          <w:sz w:val="21"/>
          <w:szCs w:val="21"/>
          <w:highlight w:val="none"/>
        </w:rPr>
      </w:pPr>
      <w:bookmarkStart w:id="40" w:name="_Toc12394"/>
      <w:r>
        <w:rPr>
          <w:rFonts w:hint="eastAsia" w:cs="宋体"/>
          <w:color w:val="auto"/>
          <w:sz w:val="21"/>
          <w:szCs w:val="21"/>
          <w:highlight w:val="none"/>
        </w:rPr>
        <w:t>10、其他要求</w:t>
      </w:r>
      <w:bookmarkEnd w:id="40"/>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1、根据国家质量监督检验总局要求需实行强制性认证的产品必须有"CCC" 认证标志。</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2、中标人电气施工要有供电部门认可的电气施工安装许可证，且已到东莞供电部门备案，保证系统开通（包通电），并取得验收合格证，由此产生的费用全部由中标人承担。</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5、中标人在竣工验收时，应向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提供按国家有关部门的规格要求编制成册的工程竣工图及有关的技术档案资料一式四份，并提供包含竣工图的技术档案电子光盘两份。</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6、若在工程移交后，发现有工程需要保修，在书面通知中标人后，而中标人未按合同履行工程保修义务的，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有权直接委托第三方进行工程保修，该费用在中标人剩余工程款内扣除支付给第三方，</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同时保留按合同有关条款对中标人处以违约金的权利。</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7、中标人在中标通知书发出之日起30天内必须与</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签订施工合同，否则</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有权取消其中标资格。</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8、中标人所提供用于本项目的材料须有产品合格证、检测报告等，且符合招标图纸、招标文件要求并达到国家有关规定及验收标准。</w:t>
      </w:r>
    </w:p>
    <w:p>
      <w:pPr>
        <w:spacing w:line="360" w:lineRule="auto"/>
        <w:ind w:firstLine="462" w:firstLineChars="220"/>
        <w:jc w:val="both"/>
        <w:rPr>
          <w:rFonts w:hAnsi="宋体" w:cs="宋体"/>
          <w:color w:val="auto"/>
          <w:sz w:val="21"/>
          <w:szCs w:val="21"/>
          <w:highlight w:val="none"/>
        </w:rPr>
      </w:pPr>
      <w:r>
        <w:rPr>
          <w:rFonts w:hint="eastAsia" w:hAnsi="宋体" w:cs="宋体"/>
          <w:color w:val="auto"/>
          <w:sz w:val="21"/>
          <w:szCs w:val="21"/>
          <w:highlight w:val="none"/>
        </w:rPr>
        <w:t>9、临时设施搭设必须符合建设主管部门及消防要求；板房材料必须具备防火功能、耐火极限符合相关部门的要求。</w:t>
      </w:r>
      <w:bookmarkStart w:id="41" w:name="_Toc292727944"/>
    </w:p>
    <w:p>
      <w:pPr>
        <w:pStyle w:val="6"/>
        <w:spacing w:line="360" w:lineRule="auto"/>
        <w:jc w:val="both"/>
        <w:rPr>
          <w:rFonts w:cs="宋体"/>
          <w:color w:val="auto"/>
          <w:sz w:val="21"/>
          <w:szCs w:val="21"/>
          <w:highlight w:val="none"/>
        </w:rPr>
      </w:pPr>
      <w:r>
        <w:rPr>
          <w:rFonts w:hint="eastAsia" w:cs="宋体"/>
          <w:color w:val="auto"/>
          <w:sz w:val="21"/>
          <w:szCs w:val="21"/>
          <w:highlight w:val="none"/>
        </w:rPr>
        <w:t>11、项目竣工验收</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本项目约定质量标准为“合格”，竣工验收时，由业主负责组织寮步镇有关部门，按相关法律、法规进行验收，全面检查本项目的完成情况、工程质量和有关的技术记录等资料。中标人应在竣工验收之日起三个月内自行将自有的垃圾处理设施和设备移走清场，并将处理场地区域移交给发包人。</w:t>
      </w:r>
    </w:p>
    <w:p>
      <w:pPr>
        <w:snapToGrid w:val="0"/>
        <w:spacing w:line="360" w:lineRule="auto"/>
        <w:ind w:firstLine="422" w:firstLineChars="200"/>
        <w:jc w:val="both"/>
        <w:rPr>
          <w:rFonts w:hAnsi="宋体" w:cs="宋体"/>
          <w:b/>
          <w:color w:val="auto"/>
          <w:sz w:val="21"/>
          <w:szCs w:val="21"/>
          <w:highlight w:val="none"/>
        </w:rPr>
      </w:pPr>
      <w:r>
        <w:rPr>
          <w:rFonts w:hint="eastAsia" w:hAnsi="宋体" w:cs="宋体"/>
          <w:b/>
          <w:color w:val="auto"/>
          <w:sz w:val="21"/>
          <w:szCs w:val="21"/>
          <w:highlight w:val="none"/>
        </w:rPr>
        <w:t>11、其他要求</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 xml:space="preserve">1）承担项目场地安全保卫工作及提供和维修非夜间施工使用的照明、围护设施的责任和要求：提供和维修封闭施工使用的照明维护和交通标牌、标志设施，并负责安全保卫和交通协管工作，所需费用全部由中标人承担。中标人应在整个施工期间采取强有力的保护措施，按图施工确保各种（包括现场周边）地下永久管线和临近建筑物、构筑物、古树名木等的安全，中标人负责并承担因中标人防护不力而发生的事故，及由之产生的一切责任和经济损失。     </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项目场地及临时占用场地的余土、垃圾、办公及生活临时设施拆除；做到工完场清，并承担所需的费用。在颁发任何接收证书时，中标人应从该接收证书涉及的那部分现场，清除并运出全部中标人设备、多余材料、垃圾和各种临时工程，并保持该部分现场和工程清洁整齐，达到使</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满意的使用状态，若中标人不能及时清理运走他的设备、多余材料、垃圾和各种临时工程，</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可予以出售或另行处理。</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有权从此类收益中扣留足够的款额，以支付出售或处理及整理现场所发生的费用支出。此类收益的所有余额归还中标人，若出售所得不足以补偿</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的支出，则</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可以从中标人处扣回不足部分的款额。</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在项目场地内土石方车辆出口处必须按有关部门规定设置洗车池，土石方车辆驶入市政道路前必须经过洗车池以保证出场上路的拉土车辆的整洁情况符合城管的要求，其修建、维护、及拆除、恢复等费用全部由中标人承担。中标人承担因自身原因，违反相关规定造成的损失、罚款及对周边居民的经济补偿。场地排水、场地硬化、场地清理（包括泥浆、垃圾等），需做专项方案报业主审核，同意后实施，若中标人未做场地硬化或施工达不到批准方案要求，则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支付违约金人民币5万元。</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项目经理与投标书承诺不一致或未及时到位，将视为中标人严重违约。中标人必须按投标文件提供的项目管理组织机构组建项目班子，不得无故更换本项目的主要管理人员。若中标人在中标后更换项目班子人员，除必须经过</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书面同意外，还须向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支付违约金为：项目经理10万元/人次,项目技术负责人5万元/人次。如擅自更换（包括视为擅自更换）本项目项目经理或项目技术负责人，</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有权没收中标人履约担保并解除合同，该项违约金总额不超过50万元。项目经理及技术负责人必须常驻项目现场，若有事确需临时离开工地的必须书面向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、工程师请假，未请假擅自离开，</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、工程师有权视为中标人违约，每人每天向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支付违约金为人民币5000元，该项违约金总额不超过50万元。项目经理及项目技术负责人签署的文件和资料不得代签，一经发现，工程师有权拒收并视为中标人违约，每次向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支付违约金人民币2500元，该项总罚款不超过10万。未经</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、工程师批准，项目经理或技术负责人连续3天不在施工现场或经查实参与其它项目管理的，视为中标人擅自更换项目经理或技术负责人。 中标人单位负责人（分管生产的副总经理以上）必须每月到工地巡查至少一次，否则</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、工程师有权视为中标人违约，每人次向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 xml:space="preserve">支付违约金人民币1万元，该项违约金总额不超过5万元。         </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中标人应先到工地踏勘以充分了解工地位置、道路、储存空间、装卸限制及任何其它足以影响投标报价的情况，任何因忽视或误解工地情况而导致的索赔或工期延长申请将不获批准。安全文明施工措施费包括临时设施费、安全施工费、文明施工费、环境保护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6）措施项目费用结算办法：措施项目费用（包括履约担保手续费、环境保护费、工程保险费、施工企业现场安全文明措施费、砼、钢筋砼模板及支架费、脚手架费、垂直运输机械费、施工排水、降水费、夜间施工增加费、赶工措施费、二次搬运费、已完成项目及设备保护费、大型机械设备进出场及安拆费、中标人自身的基坑变形等所有检测、监测费用、与专业检测机构的相关检测、监测配合及施工期间监测点的埋设配合、监测点保护费用、其它措施费等）按投标报价包干，结算时不再调整（包括工程变更）。上述措施项目费用中已包括为保证工期、技术、安防、质量的所有费用，中标人在投标报价项目单价中综合考虑，结算时无论是否发生上述该类措施项目费用或无论实际发生数量是否一致，该部分费用不因分部分项工程的项目、工程量的变化及其它原因而调整。</w:t>
      </w:r>
    </w:p>
    <w:p>
      <w:pPr>
        <w:pStyle w:val="6"/>
        <w:spacing w:line="360" w:lineRule="auto"/>
        <w:jc w:val="both"/>
        <w:rPr>
          <w:rFonts w:cs="宋体"/>
          <w:color w:val="auto"/>
          <w:sz w:val="21"/>
          <w:szCs w:val="21"/>
          <w:highlight w:val="none"/>
        </w:rPr>
      </w:pPr>
      <w:bookmarkStart w:id="42" w:name="_Toc320539267"/>
      <w:bookmarkStart w:id="43" w:name="_Toc293996867"/>
      <w:bookmarkStart w:id="44" w:name="_Toc11484"/>
      <w:bookmarkStart w:id="45" w:name="_Toc362278300"/>
      <w:bookmarkStart w:id="46" w:name="_Toc17410398"/>
      <w:bookmarkStart w:id="47" w:name="_Toc326853487"/>
      <w:bookmarkStart w:id="48" w:name="_Toc308516517"/>
      <w:r>
        <w:rPr>
          <w:rFonts w:hint="eastAsia" w:cs="宋体"/>
          <w:color w:val="auto"/>
          <w:sz w:val="21"/>
          <w:szCs w:val="21"/>
          <w:highlight w:val="none"/>
        </w:rPr>
        <w:t>12、安全文明施工管理细则</w:t>
      </w:r>
      <w:bookmarkEnd w:id="41"/>
      <w:bookmarkEnd w:id="42"/>
      <w:bookmarkEnd w:id="43"/>
      <w:bookmarkEnd w:id="44"/>
      <w:bookmarkEnd w:id="45"/>
      <w:bookmarkEnd w:id="46"/>
      <w:bookmarkEnd w:id="47"/>
      <w:bookmarkEnd w:id="48"/>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为进一步加强施工现场的安全文明管理，预防质量安全事故发生，尽量减少施工给市民带来的不便，确保工程建设的顺利实施，根据东莞市住房和城乡建设局颁发的</w:t>
      </w:r>
      <w:r>
        <w:rPr>
          <w:rFonts w:hint="eastAsia" w:hAnsi="宋体" w:cs="宋体"/>
          <w:b/>
          <w:color w:val="auto"/>
          <w:sz w:val="21"/>
          <w:szCs w:val="21"/>
          <w:highlight w:val="none"/>
        </w:rPr>
        <w:t>《东莞市建筑工程施工安全标准化图集》</w:t>
      </w:r>
      <w:r>
        <w:rPr>
          <w:rFonts w:hint="eastAsia" w:hAnsi="宋体" w:cs="宋体"/>
          <w:color w:val="auto"/>
          <w:sz w:val="21"/>
          <w:szCs w:val="21"/>
          <w:highlight w:val="none"/>
        </w:rPr>
        <w:t>结合</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实际，制定本细则。</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(一)  综合管理</w:t>
      </w:r>
    </w:p>
    <w:p>
      <w:pPr>
        <w:spacing w:line="360" w:lineRule="auto"/>
        <w:ind w:right="53" w:rightChars="25" w:firstLine="420" w:firstLineChars="200"/>
        <w:jc w:val="both"/>
        <w:rPr>
          <w:rFonts w:hAnsi="宋体" w:cs="宋体"/>
          <w:color w:val="auto"/>
          <w:sz w:val="21"/>
          <w:szCs w:val="21"/>
          <w:highlight w:val="none"/>
        </w:rPr>
      </w:pPr>
      <w:r>
        <w:rPr>
          <w:rFonts w:hint="eastAsia" w:hAnsi="宋体" w:cs="宋体"/>
          <w:color w:val="auto"/>
          <w:sz w:val="21"/>
          <w:szCs w:val="21"/>
          <w:highlight w:val="none"/>
        </w:rPr>
        <w:t>1、施工现场应做好清洁、安全保卫工作，建立工地现场材料进出场登记管理，组织保安队伍，防止非施工人员擅自进入施工区域。</w:t>
      </w:r>
    </w:p>
    <w:p>
      <w:pPr>
        <w:spacing w:line="360" w:lineRule="auto"/>
        <w:ind w:right="53" w:rightChars="25" w:firstLine="420" w:firstLineChars="200"/>
        <w:jc w:val="both"/>
        <w:rPr>
          <w:rFonts w:hAnsi="宋体" w:cs="宋体"/>
          <w:color w:val="auto"/>
          <w:sz w:val="21"/>
          <w:szCs w:val="21"/>
          <w:highlight w:val="none"/>
        </w:rPr>
      </w:pPr>
      <w:r>
        <w:rPr>
          <w:rFonts w:hint="eastAsia" w:hAnsi="宋体" w:cs="宋体"/>
          <w:color w:val="auto"/>
          <w:sz w:val="21"/>
          <w:szCs w:val="21"/>
          <w:highlight w:val="none"/>
        </w:rPr>
        <w:t>2、施工完毕后，中标人应从施工现场清除并运出中标人装备、剩余材料、垃圾和各种临时设施（包括临时房屋、临时硬化路面、临时绿化等）。</w:t>
      </w:r>
    </w:p>
    <w:p>
      <w:pPr>
        <w:spacing w:line="360" w:lineRule="auto"/>
        <w:ind w:right="195" w:rightChars="93"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pacing w:val="-17"/>
          <w:sz w:val="21"/>
          <w:szCs w:val="21"/>
          <w:highlight w:val="none"/>
        </w:rPr>
        <w:t>、</w:t>
      </w:r>
      <w:r>
        <w:rPr>
          <w:rFonts w:hint="eastAsia" w:hAnsi="宋体" w:cs="宋体"/>
          <w:color w:val="auto"/>
          <w:sz w:val="21"/>
          <w:szCs w:val="21"/>
          <w:highlight w:val="none"/>
        </w:rPr>
        <w:t>建设工程施工需要临时占用道路或规划批准范围以外场地的</w:t>
      </w:r>
      <w:r>
        <w:rPr>
          <w:rFonts w:hint="eastAsia" w:hAnsi="宋体" w:cs="宋体"/>
          <w:color w:val="auto"/>
          <w:spacing w:val="-17"/>
          <w:sz w:val="21"/>
          <w:szCs w:val="21"/>
          <w:highlight w:val="none"/>
        </w:rPr>
        <w:t>，</w:t>
      </w:r>
      <w:r>
        <w:rPr>
          <w:rFonts w:hint="eastAsia" w:hAnsi="宋体" w:cs="宋体"/>
          <w:color w:val="auto"/>
          <w:sz w:val="21"/>
          <w:szCs w:val="21"/>
          <w:highlight w:val="none"/>
        </w:rPr>
        <w:t>应按规定向有关部门办理报批手续。因施工造成毗邻单位、居民的出入口障碍和交通堵塞的，施工企业应采取有效措施，确保出入口和交通的畅通、安全。</w:t>
      </w:r>
    </w:p>
    <w:p>
      <w:pPr>
        <w:spacing w:line="360" w:lineRule="auto"/>
        <w:ind w:right="-21" w:rightChars="-10" w:firstLine="420" w:firstLineChars="200"/>
        <w:jc w:val="both"/>
        <w:rPr>
          <w:rFonts w:hAnsi="宋体" w:cs="宋体"/>
          <w:color w:val="auto"/>
          <w:sz w:val="21"/>
          <w:szCs w:val="21"/>
          <w:highlight w:val="none"/>
        </w:rPr>
      </w:pPr>
      <w:r>
        <w:rPr>
          <w:rFonts w:hint="eastAsia" w:hAnsi="宋体" w:cs="宋体"/>
          <w:color w:val="auto"/>
          <w:sz w:val="21"/>
          <w:szCs w:val="21"/>
          <w:highlight w:val="none"/>
        </w:rPr>
        <w:t>4、处理好毗邻建（构）筑物、市政公用设施、水利设施和</w:t>
      </w:r>
      <w:r>
        <w:rPr>
          <w:rFonts w:hint="eastAsia" w:hAnsi="宋体" w:cs="宋体"/>
          <w:color w:val="auto"/>
          <w:spacing w:val="1"/>
          <w:sz w:val="21"/>
          <w:szCs w:val="21"/>
          <w:highlight w:val="none"/>
        </w:rPr>
        <w:t>地</w:t>
      </w:r>
      <w:r>
        <w:rPr>
          <w:rFonts w:hint="eastAsia" w:hAnsi="宋体" w:cs="宋体"/>
          <w:color w:val="auto"/>
          <w:sz w:val="21"/>
          <w:szCs w:val="21"/>
          <w:highlight w:val="none"/>
        </w:rPr>
        <w:t>下管线等的保护。</w:t>
      </w:r>
    </w:p>
    <w:p>
      <w:pPr>
        <w:autoSpaceDE/>
        <w:autoSpaceDN/>
        <w:adjustRightInd/>
        <w:spacing w:line="360" w:lineRule="auto"/>
        <w:ind w:left="-2" w:leftChars="-1" w:right="-21" w:rightChars="-10" w:firstLine="420" w:firstLineChars="200"/>
        <w:jc w:val="both"/>
        <w:rPr>
          <w:rFonts w:hAnsi="宋体" w:cs="宋体"/>
          <w:b/>
          <w:bCs/>
          <w:color w:val="auto"/>
          <w:sz w:val="21"/>
          <w:szCs w:val="21"/>
          <w:highlight w:val="none"/>
        </w:rPr>
      </w:pPr>
      <w:r>
        <w:rPr>
          <w:rFonts w:hint="eastAsia" w:hAnsi="宋体" w:cs="宋体"/>
          <w:color w:val="auto"/>
          <w:sz w:val="21"/>
          <w:szCs w:val="21"/>
          <w:highlight w:val="none"/>
        </w:rPr>
        <w:t>5、</w:t>
      </w:r>
      <w:r>
        <w:rPr>
          <w:rFonts w:hint="eastAsia" w:hAnsi="宋体" w:cs="宋体"/>
          <w:b/>
          <w:bCs/>
          <w:color w:val="auto"/>
          <w:sz w:val="21"/>
          <w:szCs w:val="21"/>
          <w:highlight w:val="none"/>
        </w:rPr>
        <w:t>开挖过程中控制外来垃圾进入现有填埋场内，同时也禁止现有埋场垃圾外出至</w:t>
      </w:r>
      <w:r>
        <w:rPr>
          <w:rFonts w:hint="eastAsia" w:hAnsi="宋体" w:cs="宋体"/>
          <w:b/>
          <w:bCs/>
          <w:color w:val="auto"/>
          <w:sz w:val="21"/>
          <w:szCs w:val="21"/>
          <w:highlight w:val="none"/>
          <w:lang w:eastAsia="zh-CN"/>
        </w:rPr>
        <w:t>采购人</w:t>
      </w:r>
      <w:r>
        <w:rPr>
          <w:rFonts w:hint="eastAsia" w:hAnsi="宋体" w:cs="宋体"/>
          <w:b/>
          <w:bCs/>
          <w:color w:val="auto"/>
          <w:sz w:val="21"/>
          <w:szCs w:val="21"/>
          <w:highlight w:val="none"/>
        </w:rPr>
        <w:t>指定地点之外；</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(二)  现场围挡设计与施工环境</w:t>
      </w:r>
    </w:p>
    <w:p>
      <w:pPr>
        <w:spacing w:line="360" w:lineRule="auto"/>
        <w:ind w:right="199" w:firstLine="420" w:firstLineChars="200"/>
        <w:jc w:val="both"/>
        <w:rPr>
          <w:rFonts w:hAnsi="宋体" w:cs="宋体"/>
          <w:color w:val="auto"/>
          <w:sz w:val="21"/>
          <w:szCs w:val="21"/>
          <w:highlight w:val="none"/>
        </w:rPr>
      </w:pPr>
      <w:r>
        <w:rPr>
          <w:rFonts w:hint="eastAsia" w:hAnsi="宋体" w:cs="宋体"/>
          <w:color w:val="auto"/>
          <w:sz w:val="21"/>
          <w:szCs w:val="21"/>
          <w:highlight w:val="none"/>
        </w:rPr>
        <w:t>1</w:t>
      </w:r>
      <w:r>
        <w:rPr>
          <w:rFonts w:hint="eastAsia" w:hAnsi="宋体" w:cs="宋体"/>
          <w:color w:val="auto"/>
          <w:spacing w:val="-7"/>
          <w:sz w:val="21"/>
          <w:szCs w:val="21"/>
          <w:highlight w:val="none"/>
        </w:rPr>
        <w:t>、</w:t>
      </w:r>
      <w:r>
        <w:rPr>
          <w:rFonts w:hint="eastAsia" w:hAnsi="宋体" w:cs="宋体"/>
          <w:color w:val="auto"/>
          <w:sz w:val="21"/>
          <w:szCs w:val="21"/>
          <w:highlight w:val="none"/>
        </w:rPr>
        <w:t>施工现场视情况实行封闭式管理</w:t>
      </w:r>
      <w:r>
        <w:rPr>
          <w:rFonts w:hint="eastAsia" w:hAnsi="宋体" w:cs="宋体"/>
          <w:color w:val="auto"/>
          <w:spacing w:val="-7"/>
          <w:sz w:val="21"/>
          <w:szCs w:val="21"/>
          <w:highlight w:val="none"/>
        </w:rPr>
        <w:t>。</w:t>
      </w:r>
      <w:r>
        <w:rPr>
          <w:rFonts w:hint="eastAsia" w:hAnsi="宋体" w:cs="宋体"/>
          <w:color w:val="auto"/>
          <w:sz w:val="21"/>
          <w:szCs w:val="21"/>
          <w:highlight w:val="none"/>
        </w:rPr>
        <w:t>施工现场周边除设置必要的人员</w:t>
      </w:r>
      <w:r>
        <w:rPr>
          <w:rFonts w:hint="eastAsia" w:hAnsi="宋体" w:cs="宋体"/>
          <w:color w:val="auto"/>
          <w:spacing w:val="-7"/>
          <w:sz w:val="21"/>
          <w:szCs w:val="21"/>
          <w:highlight w:val="none"/>
        </w:rPr>
        <w:t>、</w:t>
      </w:r>
      <w:r>
        <w:rPr>
          <w:rFonts w:hint="eastAsia" w:hAnsi="宋体" w:cs="宋体"/>
          <w:color w:val="auto"/>
          <w:sz w:val="21"/>
          <w:szCs w:val="21"/>
          <w:highlight w:val="none"/>
        </w:rPr>
        <w:t>车辆进出口通道外</w:t>
      </w:r>
      <w:r>
        <w:rPr>
          <w:rFonts w:hint="eastAsia" w:hAnsi="宋体" w:cs="宋体"/>
          <w:color w:val="auto"/>
          <w:spacing w:val="-12"/>
          <w:sz w:val="21"/>
          <w:szCs w:val="21"/>
          <w:highlight w:val="none"/>
        </w:rPr>
        <w:t>，</w:t>
      </w:r>
      <w:r>
        <w:rPr>
          <w:rFonts w:hint="eastAsia" w:hAnsi="宋体" w:cs="宋体"/>
          <w:color w:val="auto"/>
          <w:sz w:val="21"/>
          <w:szCs w:val="21"/>
          <w:highlight w:val="none"/>
        </w:rPr>
        <w:t>应在项目开工前设置连续封闭的围</w:t>
      </w:r>
      <w:r>
        <w:rPr>
          <w:rFonts w:hint="eastAsia" w:hAnsi="宋体" w:cs="宋体"/>
          <w:color w:val="auto"/>
          <w:spacing w:val="-12"/>
          <w:sz w:val="21"/>
          <w:szCs w:val="21"/>
          <w:highlight w:val="none"/>
        </w:rPr>
        <w:t>挡</w:t>
      </w:r>
      <w:r>
        <w:rPr>
          <w:rFonts w:hint="eastAsia" w:hAnsi="宋体" w:cs="宋体"/>
          <w:color w:val="auto"/>
          <w:sz w:val="21"/>
          <w:szCs w:val="21"/>
          <w:highlight w:val="none"/>
        </w:rPr>
        <w:t>。</w:t>
      </w:r>
    </w:p>
    <w:p>
      <w:pPr>
        <w:spacing w:line="360" w:lineRule="auto"/>
        <w:ind w:right="199" w:firstLine="420" w:firstLineChars="200"/>
        <w:jc w:val="both"/>
        <w:rPr>
          <w:rFonts w:hAnsi="宋体" w:cs="宋体"/>
          <w:color w:val="auto"/>
          <w:sz w:val="21"/>
          <w:szCs w:val="21"/>
          <w:highlight w:val="none"/>
        </w:rPr>
      </w:pPr>
      <w:r>
        <w:rPr>
          <w:rFonts w:hint="eastAsia" w:hAnsi="宋体" w:cs="宋体"/>
          <w:color w:val="auto"/>
          <w:sz w:val="21"/>
          <w:szCs w:val="21"/>
          <w:highlight w:val="none"/>
        </w:rPr>
        <w:t>2</w:t>
      </w:r>
      <w:r>
        <w:rPr>
          <w:rFonts w:hint="eastAsia" w:hAnsi="宋体" w:cs="宋体"/>
          <w:color w:val="auto"/>
          <w:spacing w:val="-7"/>
          <w:sz w:val="21"/>
          <w:szCs w:val="21"/>
          <w:highlight w:val="none"/>
        </w:rPr>
        <w:t>、</w:t>
      </w:r>
      <w:r>
        <w:rPr>
          <w:rFonts w:hint="eastAsia" w:hAnsi="宋体" w:cs="宋体"/>
          <w:color w:val="auto"/>
          <w:sz w:val="21"/>
          <w:szCs w:val="21"/>
          <w:highlight w:val="none"/>
        </w:rPr>
        <w:t>工地出入口设置洗车场和沉淀池</w:t>
      </w:r>
      <w:r>
        <w:rPr>
          <w:rFonts w:hint="eastAsia" w:hAnsi="宋体" w:cs="宋体"/>
          <w:color w:val="auto"/>
          <w:spacing w:val="-7"/>
          <w:sz w:val="21"/>
          <w:szCs w:val="21"/>
          <w:highlight w:val="none"/>
        </w:rPr>
        <w:t>，</w:t>
      </w:r>
      <w:r>
        <w:rPr>
          <w:rFonts w:hint="eastAsia" w:hAnsi="宋体" w:cs="宋体"/>
          <w:color w:val="auto"/>
          <w:sz w:val="21"/>
          <w:szCs w:val="21"/>
          <w:highlight w:val="none"/>
        </w:rPr>
        <w:t>并配备高压冲水枪</w:t>
      </w:r>
      <w:r>
        <w:rPr>
          <w:rFonts w:hint="eastAsia" w:hAnsi="宋体" w:cs="宋体"/>
          <w:color w:val="auto"/>
          <w:spacing w:val="-7"/>
          <w:sz w:val="21"/>
          <w:szCs w:val="21"/>
          <w:highlight w:val="none"/>
        </w:rPr>
        <w:t>，</w:t>
      </w:r>
      <w:r>
        <w:rPr>
          <w:rFonts w:hint="eastAsia" w:hAnsi="宋体" w:cs="宋体"/>
          <w:color w:val="auto"/>
          <w:sz w:val="21"/>
          <w:szCs w:val="21"/>
          <w:highlight w:val="none"/>
        </w:rPr>
        <w:t>驶出工地的机动车辆必须在工地出入口洗车场内冲洗干净后</w:t>
      </w:r>
      <w:r>
        <w:rPr>
          <w:rFonts w:hint="eastAsia" w:hAnsi="宋体" w:cs="宋体"/>
          <w:color w:val="auto"/>
          <w:spacing w:val="-5"/>
          <w:sz w:val="21"/>
          <w:szCs w:val="21"/>
          <w:highlight w:val="none"/>
        </w:rPr>
        <w:t>，</w:t>
      </w:r>
      <w:r>
        <w:rPr>
          <w:rFonts w:hint="eastAsia" w:hAnsi="宋体" w:cs="宋体"/>
          <w:color w:val="auto"/>
          <w:sz w:val="21"/>
          <w:szCs w:val="21"/>
          <w:highlight w:val="none"/>
        </w:rPr>
        <w:t>方可上路行驶</w:t>
      </w:r>
      <w:r>
        <w:rPr>
          <w:rFonts w:hint="eastAsia" w:hAnsi="宋体" w:cs="宋体"/>
          <w:color w:val="auto"/>
          <w:spacing w:val="-5"/>
          <w:sz w:val="21"/>
          <w:szCs w:val="21"/>
          <w:highlight w:val="none"/>
        </w:rPr>
        <w:t>，</w:t>
      </w:r>
      <w:r>
        <w:rPr>
          <w:rFonts w:hint="eastAsia" w:hAnsi="宋体" w:cs="宋体"/>
          <w:color w:val="auto"/>
          <w:sz w:val="21"/>
          <w:szCs w:val="21"/>
          <w:highlight w:val="none"/>
        </w:rPr>
        <w:t>防止施工运输车辆带泥上路，影响市政道路的清洁和环境卫生。在适当位置设车辆停放场，并用黄油漆在地面上划出车辆的停放位置线。</w:t>
      </w:r>
    </w:p>
    <w:p>
      <w:pPr>
        <w:spacing w:line="360" w:lineRule="auto"/>
        <w:ind w:right="-58"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pacing w:val="-7"/>
          <w:sz w:val="21"/>
          <w:szCs w:val="21"/>
          <w:highlight w:val="none"/>
        </w:rPr>
        <w:t>、</w:t>
      </w:r>
      <w:r>
        <w:rPr>
          <w:rFonts w:hint="eastAsia" w:hAnsi="宋体" w:cs="宋体"/>
          <w:color w:val="auto"/>
          <w:sz w:val="21"/>
          <w:szCs w:val="21"/>
          <w:highlight w:val="none"/>
        </w:rPr>
        <w:t>搞好围墙内施工环境卫生</w:t>
      </w:r>
      <w:r>
        <w:rPr>
          <w:rFonts w:hint="eastAsia" w:hAnsi="宋体" w:cs="宋体"/>
          <w:color w:val="auto"/>
          <w:spacing w:val="-7"/>
          <w:sz w:val="21"/>
          <w:szCs w:val="21"/>
          <w:highlight w:val="none"/>
        </w:rPr>
        <w:t>，</w:t>
      </w:r>
      <w:r>
        <w:rPr>
          <w:rFonts w:hint="eastAsia" w:hAnsi="宋体" w:cs="宋体"/>
          <w:color w:val="auto"/>
          <w:sz w:val="21"/>
          <w:szCs w:val="21"/>
          <w:highlight w:val="none"/>
        </w:rPr>
        <w:t>温暖季节做好生活区的局部绿化工作</w:t>
      </w:r>
      <w:r>
        <w:rPr>
          <w:rFonts w:hint="eastAsia" w:hAnsi="宋体" w:cs="宋体"/>
          <w:color w:val="auto"/>
          <w:spacing w:val="-7"/>
          <w:sz w:val="21"/>
          <w:szCs w:val="21"/>
          <w:highlight w:val="none"/>
        </w:rPr>
        <w:t>，</w:t>
      </w:r>
      <w:r>
        <w:rPr>
          <w:rFonts w:hint="eastAsia" w:hAnsi="宋体" w:cs="宋体"/>
          <w:color w:val="auto"/>
          <w:sz w:val="21"/>
          <w:szCs w:val="21"/>
          <w:highlight w:val="none"/>
        </w:rPr>
        <w:t>创造一个良好的生活、工作环境。</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4、在施工场地进口处设置吸烟室，严禁任何人在填埋场区域、可燃质RDF堆场区域吸烟。</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5、围挡</w:t>
      </w:r>
      <w:r>
        <w:rPr>
          <w:rFonts w:hint="eastAsia" w:hAnsi="宋体" w:cs="宋体"/>
          <w:color w:val="auto"/>
          <w:sz w:val="21"/>
          <w:szCs w:val="21"/>
          <w:highlight w:val="none"/>
          <w:lang w:val="zh-CN"/>
        </w:rPr>
        <w:t>应体现美化环境的文明宣传标语，</w:t>
      </w:r>
      <w:r>
        <w:rPr>
          <w:rFonts w:hint="eastAsia" w:hAnsi="宋体" w:cs="宋体"/>
          <w:color w:val="auto"/>
          <w:sz w:val="21"/>
          <w:szCs w:val="21"/>
          <w:highlight w:val="none"/>
        </w:rPr>
        <w:t>必须保持整齐、美观，如有损坏应及时更换，未经</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同意不得出现与本工程无关的内容，否则视为违约，将对中标单位处以人民币</w:t>
      </w:r>
      <w:r>
        <w:rPr>
          <w:rFonts w:hint="eastAsia" w:hAnsi="宋体" w:cs="宋体"/>
          <w:b/>
          <w:color w:val="auto"/>
          <w:sz w:val="21"/>
          <w:szCs w:val="21"/>
          <w:highlight w:val="none"/>
          <w:u w:val="single"/>
        </w:rPr>
        <w:t>20,000</w:t>
      </w:r>
      <w:r>
        <w:rPr>
          <w:rFonts w:hint="eastAsia" w:hAnsi="宋体" w:cs="宋体"/>
          <w:color w:val="auto"/>
          <w:sz w:val="21"/>
          <w:szCs w:val="21"/>
          <w:highlight w:val="none"/>
        </w:rPr>
        <w:t>元违约金。</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(三)  现场标牌及宣传标语</w:t>
      </w:r>
    </w:p>
    <w:p>
      <w:pPr>
        <w:spacing w:line="360" w:lineRule="auto"/>
        <w:ind w:left="162" w:leftChars="77" w:right="81" w:firstLine="420" w:firstLineChars="200"/>
        <w:jc w:val="both"/>
        <w:rPr>
          <w:rFonts w:hAnsi="宋体" w:cs="宋体"/>
          <w:color w:val="auto"/>
          <w:sz w:val="21"/>
          <w:szCs w:val="21"/>
          <w:highlight w:val="none"/>
        </w:rPr>
      </w:pPr>
      <w:r>
        <w:rPr>
          <w:rFonts w:hint="eastAsia" w:hAnsi="宋体" w:cs="宋体"/>
          <w:color w:val="auto"/>
          <w:sz w:val="21"/>
          <w:szCs w:val="21"/>
          <w:highlight w:val="none"/>
        </w:rPr>
        <w:t>1、大门外侧在围挡的醒目位置上悬挂五牌一图，包括工程概况牌、组织网络牌、消防保卫牌</w:t>
      </w:r>
      <w:r>
        <w:rPr>
          <w:rFonts w:hint="eastAsia" w:hAnsi="宋体" w:cs="宋体"/>
          <w:color w:val="auto"/>
          <w:spacing w:val="-7"/>
          <w:sz w:val="21"/>
          <w:szCs w:val="21"/>
          <w:highlight w:val="none"/>
        </w:rPr>
        <w:t>、</w:t>
      </w:r>
      <w:r>
        <w:rPr>
          <w:rFonts w:hint="eastAsia" w:hAnsi="宋体" w:cs="宋体"/>
          <w:color w:val="auto"/>
          <w:sz w:val="21"/>
          <w:szCs w:val="21"/>
          <w:highlight w:val="none"/>
        </w:rPr>
        <w:t>安全生产牌</w:t>
      </w:r>
      <w:r>
        <w:rPr>
          <w:rFonts w:hint="eastAsia" w:hAnsi="宋体" w:cs="宋体"/>
          <w:color w:val="auto"/>
          <w:spacing w:val="-7"/>
          <w:sz w:val="21"/>
          <w:szCs w:val="21"/>
          <w:highlight w:val="none"/>
        </w:rPr>
        <w:t>、</w:t>
      </w:r>
      <w:r>
        <w:rPr>
          <w:rFonts w:hint="eastAsia" w:hAnsi="宋体" w:cs="宋体"/>
          <w:color w:val="auto"/>
          <w:sz w:val="21"/>
          <w:szCs w:val="21"/>
          <w:highlight w:val="none"/>
        </w:rPr>
        <w:t>文明施工管理牌和施工总平面布置图</w:t>
      </w:r>
      <w:r>
        <w:rPr>
          <w:rFonts w:hint="eastAsia" w:hAnsi="宋体" w:cs="宋体"/>
          <w:color w:val="auto"/>
          <w:spacing w:val="-7"/>
          <w:sz w:val="21"/>
          <w:szCs w:val="21"/>
          <w:highlight w:val="none"/>
        </w:rPr>
        <w:t>。</w:t>
      </w:r>
      <w:r>
        <w:rPr>
          <w:rFonts w:hint="eastAsia" w:hAnsi="宋体" w:cs="宋体"/>
          <w:color w:val="auto"/>
          <w:sz w:val="21"/>
          <w:szCs w:val="21"/>
          <w:highlight w:val="none"/>
        </w:rPr>
        <w:t>工程概况牌应当列明工程名称、规模、开工和竣工日期、施工许可证号以及建设、设计、施工</w:t>
      </w:r>
      <w:r>
        <w:rPr>
          <w:rFonts w:hint="eastAsia" w:hAnsi="宋体" w:cs="宋体"/>
          <w:color w:val="auto"/>
          <w:spacing w:val="-7"/>
          <w:sz w:val="21"/>
          <w:szCs w:val="21"/>
          <w:highlight w:val="none"/>
        </w:rPr>
        <w:t>、</w:t>
      </w:r>
      <w:r>
        <w:rPr>
          <w:rFonts w:hint="eastAsia" w:hAnsi="宋体" w:cs="宋体"/>
          <w:color w:val="auto"/>
          <w:sz w:val="21"/>
          <w:szCs w:val="21"/>
          <w:highlight w:val="none"/>
        </w:rPr>
        <w:t>质量和</w:t>
      </w:r>
      <w:r>
        <w:rPr>
          <w:rFonts w:hint="eastAsia" w:hAnsi="宋体" w:cs="宋体"/>
          <w:color w:val="auto"/>
          <w:spacing w:val="2"/>
          <w:sz w:val="21"/>
          <w:szCs w:val="21"/>
          <w:highlight w:val="none"/>
        </w:rPr>
        <w:t>安</w:t>
      </w:r>
      <w:r>
        <w:rPr>
          <w:rFonts w:hint="eastAsia" w:hAnsi="宋体" w:cs="宋体"/>
          <w:color w:val="auto"/>
          <w:sz w:val="21"/>
          <w:szCs w:val="21"/>
          <w:highlight w:val="none"/>
        </w:rPr>
        <w:t>全监督单位等内容</w:t>
      </w:r>
      <w:r>
        <w:rPr>
          <w:rFonts w:hint="eastAsia" w:hAnsi="宋体" w:cs="宋体"/>
          <w:color w:val="auto"/>
          <w:spacing w:val="-7"/>
          <w:sz w:val="21"/>
          <w:szCs w:val="21"/>
          <w:highlight w:val="none"/>
        </w:rPr>
        <w:t>，</w:t>
      </w:r>
      <w:r>
        <w:rPr>
          <w:rFonts w:hint="eastAsia" w:hAnsi="宋体" w:cs="宋体"/>
          <w:color w:val="auto"/>
          <w:spacing w:val="2"/>
          <w:sz w:val="21"/>
          <w:szCs w:val="21"/>
          <w:highlight w:val="none"/>
        </w:rPr>
        <w:t>施</w:t>
      </w:r>
      <w:r>
        <w:rPr>
          <w:rFonts w:hint="eastAsia" w:hAnsi="宋体" w:cs="宋体"/>
          <w:color w:val="auto"/>
          <w:sz w:val="21"/>
          <w:szCs w:val="21"/>
          <w:highlight w:val="none"/>
        </w:rPr>
        <w:t>工单位及法人代表</w:t>
      </w:r>
      <w:r>
        <w:rPr>
          <w:rFonts w:hint="eastAsia" w:hAnsi="宋体" w:cs="宋体"/>
          <w:color w:val="auto"/>
          <w:spacing w:val="-3"/>
          <w:sz w:val="21"/>
          <w:szCs w:val="21"/>
          <w:highlight w:val="none"/>
        </w:rPr>
        <w:t>、</w:t>
      </w:r>
      <w:r>
        <w:rPr>
          <w:rFonts w:hint="eastAsia" w:hAnsi="宋体" w:cs="宋体"/>
          <w:color w:val="auto"/>
          <w:sz w:val="21"/>
          <w:szCs w:val="21"/>
          <w:highlight w:val="none"/>
        </w:rPr>
        <w:t>项目负责人（建造师）或现场负责人</w:t>
      </w:r>
      <w:r>
        <w:rPr>
          <w:rFonts w:hint="eastAsia" w:hAnsi="宋体" w:cs="宋体"/>
          <w:color w:val="auto"/>
          <w:spacing w:val="-36"/>
          <w:sz w:val="21"/>
          <w:szCs w:val="21"/>
          <w:highlight w:val="none"/>
        </w:rPr>
        <w:t>、</w:t>
      </w:r>
      <w:r>
        <w:rPr>
          <w:rFonts w:hint="eastAsia" w:hAnsi="宋体" w:cs="宋体"/>
          <w:color w:val="auto"/>
          <w:sz w:val="21"/>
          <w:szCs w:val="21"/>
          <w:highlight w:val="none"/>
        </w:rPr>
        <w:t>技术负责人</w:t>
      </w:r>
      <w:r>
        <w:rPr>
          <w:rFonts w:hint="eastAsia" w:hAnsi="宋体" w:cs="宋体"/>
          <w:color w:val="auto"/>
          <w:spacing w:val="-36"/>
          <w:sz w:val="21"/>
          <w:szCs w:val="21"/>
          <w:highlight w:val="none"/>
        </w:rPr>
        <w:t>、</w:t>
      </w:r>
      <w:r>
        <w:rPr>
          <w:rFonts w:hint="eastAsia" w:hAnsi="宋体" w:cs="宋体"/>
          <w:color w:val="auto"/>
          <w:sz w:val="21"/>
          <w:szCs w:val="21"/>
          <w:highlight w:val="none"/>
        </w:rPr>
        <w:t>质监员、项目总监</w:t>
      </w:r>
      <w:r>
        <w:rPr>
          <w:rFonts w:hint="eastAsia" w:hAnsi="宋体" w:cs="宋体"/>
          <w:color w:val="auto"/>
          <w:spacing w:val="-36"/>
          <w:sz w:val="21"/>
          <w:szCs w:val="21"/>
          <w:highlight w:val="none"/>
        </w:rPr>
        <w:t>、</w:t>
      </w:r>
      <w:r>
        <w:rPr>
          <w:rFonts w:hint="eastAsia" w:hAnsi="宋体" w:cs="宋体"/>
          <w:color w:val="auto"/>
          <w:sz w:val="21"/>
          <w:szCs w:val="21"/>
          <w:highlight w:val="none"/>
        </w:rPr>
        <w:t>项目组组长5寸个人彩照及投诉电话等内容，未按要求落实的，将对中标单位处予人民币</w:t>
      </w:r>
      <w:r>
        <w:rPr>
          <w:rFonts w:hint="eastAsia" w:hAnsi="宋体" w:cs="宋体"/>
          <w:b/>
          <w:color w:val="auto"/>
          <w:sz w:val="21"/>
          <w:szCs w:val="21"/>
          <w:highlight w:val="none"/>
          <w:u w:val="single"/>
        </w:rPr>
        <w:t>30,000</w:t>
      </w:r>
      <w:r>
        <w:rPr>
          <w:rFonts w:hint="eastAsia" w:hAnsi="宋体" w:cs="宋体"/>
          <w:color w:val="auto"/>
          <w:sz w:val="21"/>
          <w:szCs w:val="21"/>
          <w:highlight w:val="none"/>
        </w:rPr>
        <w:t>元的违约金。</w:t>
      </w:r>
    </w:p>
    <w:p>
      <w:pPr>
        <w:spacing w:line="360" w:lineRule="auto"/>
        <w:ind w:right="199" w:firstLine="420" w:firstLineChars="200"/>
        <w:jc w:val="both"/>
        <w:rPr>
          <w:rFonts w:hAnsi="宋体" w:cs="宋体"/>
          <w:color w:val="auto"/>
          <w:sz w:val="21"/>
          <w:szCs w:val="21"/>
          <w:highlight w:val="none"/>
        </w:rPr>
      </w:pPr>
      <w:r>
        <w:rPr>
          <w:rFonts w:hint="eastAsia" w:hAnsi="宋体" w:cs="宋体"/>
          <w:color w:val="auto"/>
          <w:sz w:val="21"/>
          <w:szCs w:val="21"/>
          <w:highlight w:val="none"/>
        </w:rPr>
        <w:t>2、施工现场办公区应当与施工作业区明显分隔。办公室内应当在醒目处张贴施工许可证</w:t>
      </w:r>
      <w:r>
        <w:rPr>
          <w:rFonts w:hint="eastAsia" w:hAnsi="宋体" w:cs="宋体"/>
          <w:color w:val="auto"/>
          <w:spacing w:val="-5"/>
          <w:sz w:val="21"/>
          <w:szCs w:val="21"/>
          <w:highlight w:val="none"/>
        </w:rPr>
        <w:t>、</w:t>
      </w:r>
      <w:r>
        <w:rPr>
          <w:rFonts w:hint="eastAsia" w:hAnsi="宋体" w:cs="宋体"/>
          <w:color w:val="auto"/>
          <w:sz w:val="21"/>
          <w:szCs w:val="21"/>
          <w:highlight w:val="none"/>
        </w:rPr>
        <w:t>规划许可证等证件的复印件</w:t>
      </w:r>
      <w:r>
        <w:rPr>
          <w:rFonts w:hint="eastAsia" w:hAnsi="宋体" w:cs="宋体"/>
          <w:color w:val="auto"/>
          <w:spacing w:val="-5"/>
          <w:sz w:val="21"/>
          <w:szCs w:val="21"/>
          <w:highlight w:val="none"/>
        </w:rPr>
        <w:t>，</w:t>
      </w:r>
      <w:r>
        <w:rPr>
          <w:rFonts w:hint="eastAsia" w:hAnsi="宋体" w:cs="宋体"/>
          <w:color w:val="auto"/>
          <w:sz w:val="21"/>
          <w:szCs w:val="21"/>
          <w:highlight w:val="none"/>
        </w:rPr>
        <w:t>悬挂质量管理</w:t>
      </w:r>
      <w:r>
        <w:rPr>
          <w:rFonts w:hint="eastAsia" w:hAnsi="宋体" w:cs="宋体"/>
          <w:color w:val="auto"/>
          <w:spacing w:val="-5"/>
          <w:sz w:val="21"/>
          <w:szCs w:val="21"/>
          <w:highlight w:val="none"/>
        </w:rPr>
        <w:t>、</w:t>
      </w:r>
      <w:r>
        <w:rPr>
          <w:rFonts w:hint="eastAsia" w:hAnsi="宋体" w:cs="宋体"/>
          <w:color w:val="auto"/>
          <w:sz w:val="21"/>
          <w:szCs w:val="21"/>
          <w:highlight w:val="none"/>
        </w:rPr>
        <w:t>安全生产</w:t>
      </w:r>
      <w:r>
        <w:rPr>
          <w:rFonts w:hint="eastAsia" w:hAnsi="宋体" w:cs="宋体"/>
          <w:color w:val="auto"/>
          <w:spacing w:val="-5"/>
          <w:sz w:val="21"/>
          <w:szCs w:val="21"/>
          <w:highlight w:val="none"/>
        </w:rPr>
        <w:t>、</w:t>
      </w:r>
      <w:r>
        <w:rPr>
          <w:rFonts w:hint="eastAsia" w:hAnsi="宋体" w:cs="宋体"/>
          <w:color w:val="auto"/>
          <w:spacing w:val="-2"/>
          <w:sz w:val="21"/>
          <w:szCs w:val="21"/>
          <w:highlight w:val="none"/>
        </w:rPr>
        <w:t>文</w:t>
      </w:r>
      <w:r>
        <w:rPr>
          <w:rFonts w:hint="eastAsia" w:hAnsi="宋体" w:cs="宋体"/>
          <w:color w:val="auto"/>
          <w:sz w:val="21"/>
          <w:szCs w:val="21"/>
          <w:highlight w:val="none"/>
        </w:rPr>
        <w:t>明施工制度和组织机构图、岗位职责、人员分工安排、规程、图表及各种记录。</w:t>
      </w:r>
    </w:p>
    <w:p>
      <w:pPr>
        <w:spacing w:line="360" w:lineRule="auto"/>
        <w:ind w:right="-55"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pacing w:val="-7"/>
          <w:sz w:val="21"/>
          <w:szCs w:val="21"/>
          <w:highlight w:val="none"/>
        </w:rPr>
        <w:t>、</w:t>
      </w:r>
      <w:r>
        <w:rPr>
          <w:rFonts w:hint="eastAsia" w:hAnsi="宋体" w:cs="宋体"/>
          <w:color w:val="auto"/>
          <w:sz w:val="21"/>
          <w:szCs w:val="21"/>
          <w:highlight w:val="none"/>
        </w:rPr>
        <w:t>在施工现场适当位置竖立黑板报</w:t>
      </w:r>
      <w:r>
        <w:rPr>
          <w:rFonts w:hint="eastAsia" w:hAnsi="宋体" w:cs="宋体"/>
          <w:color w:val="auto"/>
          <w:spacing w:val="-7"/>
          <w:sz w:val="21"/>
          <w:szCs w:val="21"/>
          <w:highlight w:val="none"/>
        </w:rPr>
        <w:t>、</w:t>
      </w:r>
      <w:r>
        <w:rPr>
          <w:rFonts w:hint="eastAsia" w:hAnsi="宋体" w:cs="宋体"/>
          <w:color w:val="auto"/>
          <w:spacing w:val="1"/>
          <w:sz w:val="21"/>
          <w:szCs w:val="21"/>
          <w:highlight w:val="none"/>
        </w:rPr>
        <w:t>阅</w:t>
      </w:r>
      <w:r>
        <w:rPr>
          <w:rFonts w:hint="eastAsia" w:hAnsi="宋体" w:cs="宋体"/>
          <w:color w:val="auto"/>
          <w:sz w:val="21"/>
          <w:szCs w:val="21"/>
          <w:highlight w:val="none"/>
        </w:rPr>
        <w:t>报栏</w:t>
      </w:r>
      <w:r>
        <w:rPr>
          <w:rFonts w:hint="eastAsia" w:hAnsi="宋体" w:cs="宋体"/>
          <w:color w:val="auto"/>
          <w:spacing w:val="-7"/>
          <w:sz w:val="21"/>
          <w:szCs w:val="21"/>
          <w:highlight w:val="none"/>
        </w:rPr>
        <w:t>、</w:t>
      </w:r>
      <w:r>
        <w:rPr>
          <w:rFonts w:hint="eastAsia" w:hAnsi="宋体" w:cs="宋体"/>
          <w:color w:val="auto"/>
          <w:sz w:val="21"/>
          <w:szCs w:val="21"/>
          <w:highlight w:val="none"/>
        </w:rPr>
        <w:t>宣传栏</w:t>
      </w:r>
      <w:r>
        <w:rPr>
          <w:rFonts w:hint="eastAsia" w:hAnsi="宋体" w:cs="宋体"/>
          <w:color w:val="auto"/>
          <w:spacing w:val="-7"/>
          <w:sz w:val="21"/>
          <w:szCs w:val="21"/>
          <w:highlight w:val="none"/>
        </w:rPr>
        <w:t>，</w:t>
      </w:r>
      <w:r>
        <w:rPr>
          <w:rFonts w:hint="eastAsia" w:hAnsi="宋体" w:cs="宋体"/>
          <w:color w:val="auto"/>
          <w:sz w:val="21"/>
          <w:szCs w:val="21"/>
          <w:highlight w:val="none"/>
        </w:rPr>
        <w:t>三个栏目高低一致</w:t>
      </w:r>
      <w:r>
        <w:rPr>
          <w:rFonts w:hint="eastAsia" w:hAnsi="宋体" w:cs="宋体"/>
          <w:color w:val="auto"/>
          <w:spacing w:val="-7"/>
          <w:sz w:val="21"/>
          <w:szCs w:val="21"/>
          <w:highlight w:val="none"/>
        </w:rPr>
        <w:t>，</w:t>
      </w:r>
      <w:r>
        <w:rPr>
          <w:rFonts w:hint="eastAsia" w:hAnsi="宋体" w:cs="宋体"/>
          <w:color w:val="auto"/>
          <w:sz w:val="21"/>
          <w:szCs w:val="21"/>
          <w:highlight w:val="none"/>
        </w:rPr>
        <w:t>水平并排。在施工现场适当位置设重大危险源公示牌。</w:t>
      </w:r>
    </w:p>
    <w:p>
      <w:pPr>
        <w:spacing w:line="360" w:lineRule="auto"/>
        <w:ind w:left="57" w:leftChars="27" w:right="-55" w:firstLine="420" w:firstLineChars="200"/>
        <w:jc w:val="both"/>
        <w:rPr>
          <w:rFonts w:hAnsi="宋体" w:cs="宋体"/>
          <w:color w:val="auto"/>
          <w:sz w:val="21"/>
          <w:szCs w:val="21"/>
          <w:highlight w:val="none"/>
        </w:rPr>
      </w:pPr>
      <w:r>
        <w:rPr>
          <w:rFonts w:hint="eastAsia" w:hAnsi="宋体" w:cs="宋体"/>
          <w:color w:val="auto"/>
          <w:sz w:val="21"/>
          <w:szCs w:val="21"/>
          <w:highlight w:val="none"/>
        </w:rPr>
        <w:t>4</w:t>
      </w:r>
      <w:r>
        <w:rPr>
          <w:rFonts w:hint="eastAsia" w:hAnsi="宋体" w:cs="宋体"/>
          <w:color w:val="auto"/>
          <w:spacing w:val="-7"/>
          <w:sz w:val="21"/>
          <w:szCs w:val="21"/>
          <w:highlight w:val="none"/>
        </w:rPr>
        <w:t>、</w:t>
      </w:r>
      <w:r>
        <w:rPr>
          <w:rFonts w:hint="eastAsia" w:hAnsi="宋体" w:cs="宋体"/>
          <w:color w:val="auto"/>
          <w:sz w:val="21"/>
          <w:szCs w:val="21"/>
          <w:highlight w:val="none"/>
        </w:rPr>
        <w:t>在施工现场适当位置悬挂质量管理、安全生产和文明施工标语，危险区域应当设置危险警示标牌和警示灯。标语和标牌要规范、整齐、美观。</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(四)  施工场地硬化、排水</w:t>
      </w:r>
    </w:p>
    <w:p>
      <w:pPr>
        <w:spacing w:line="360" w:lineRule="auto"/>
        <w:ind w:right="221" w:firstLine="420" w:firstLineChars="200"/>
        <w:jc w:val="both"/>
        <w:rPr>
          <w:rFonts w:hAnsi="宋体" w:cs="宋体"/>
          <w:color w:val="auto"/>
          <w:sz w:val="21"/>
          <w:szCs w:val="21"/>
          <w:highlight w:val="none"/>
        </w:rPr>
      </w:pPr>
      <w:r>
        <w:rPr>
          <w:rFonts w:hint="eastAsia" w:hAnsi="宋体" w:cs="宋体"/>
          <w:color w:val="auto"/>
          <w:sz w:val="21"/>
          <w:szCs w:val="21"/>
          <w:highlight w:val="none"/>
        </w:rPr>
        <w:t>1、施工现场设置连续、通畅的排水设施，场地内不得大面积积水。泥浆</w:t>
      </w:r>
      <w:r>
        <w:rPr>
          <w:rFonts w:hint="eastAsia" w:hAnsi="宋体" w:cs="宋体"/>
          <w:color w:val="auto"/>
          <w:spacing w:val="-12"/>
          <w:sz w:val="21"/>
          <w:szCs w:val="21"/>
          <w:highlight w:val="none"/>
        </w:rPr>
        <w:t>、</w:t>
      </w:r>
      <w:r>
        <w:rPr>
          <w:rFonts w:hint="eastAsia" w:hAnsi="宋体" w:cs="宋体"/>
          <w:color w:val="auto"/>
          <w:sz w:val="21"/>
          <w:szCs w:val="21"/>
          <w:highlight w:val="none"/>
        </w:rPr>
        <w:t>污水必须经必要的处理后方可排出，未经处理禁止排入市政工程排水系统。</w:t>
      </w:r>
    </w:p>
    <w:p>
      <w:pPr>
        <w:spacing w:line="360" w:lineRule="auto"/>
        <w:ind w:right="218" w:firstLine="420" w:firstLineChars="200"/>
        <w:jc w:val="both"/>
        <w:rPr>
          <w:rFonts w:hAnsi="宋体" w:cs="宋体"/>
          <w:color w:val="auto"/>
          <w:sz w:val="21"/>
          <w:szCs w:val="21"/>
          <w:highlight w:val="none"/>
        </w:rPr>
      </w:pPr>
      <w:r>
        <w:rPr>
          <w:rFonts w:hint="eastAsia" w:hAnsi="宋体" w:cs="宋体"/>
          <w:color w:val="auto"/>
          <w:sz w:val="21"/>
          <w:szCs w:val="21"/>
          <w:highlight w:val="none"/>
        </w:rPr>
        <w:t>2、生活区排水：雨水由</w:t>
      </w:r>
      <w:r>
        <w:rPr>
          <w:rFonts w:hint="eastAsia" w:hAnsi="宋体" w:cs="宋体"/>
          <w:color w:val="auto"/>
          <w:spacing w:val="1"/>
          <w:sz w:val="21"/>
          <w:szCs w:val="21"/>
          <w:highlight w:val="none"/>
        </w:rPr>
        <w:t>地</w:t>
      </w:r>
      <w:r>
        <w:rPr>
          <w:rFonts w:hint="eastAsia" w:hAnsi="宋体" w:cs="宋体"/>
          <w:color w:val="auto"/>
          <w:sz w:val="21"/>
          <w:szCs w:val="21"/>
          <w:highlight w:val="none"/>
        </w:rPr>
        <w:t>面找坡经排水</w:t>
      </w:r>
      <w:r>
        <w:rPr>
          <w:rFonts w:hint="eastAsia" w:hAnsi="宋体" w:cs="宋体"/>
          <w:color w:val="auto"/>
          <w:spacing w:val="-2"/>
          <w:sz w:val="21"/>
          <w:szCs w:val="21"/>
          <w:highlight w:val="none"/>
        </w:rPr>
        <w:t>沟</w:t>
      </w:r>
      <w:r>
        <w:rPr>
          <w:rFonts w:hint="eastAsia" w:hAnsi="宋体" w:cs="宋体"/>
          <w:color w:val="auto"/>
          <w:sz w:val="21"/>
          <w:szCs w:val="21"/>
          <w:highlight w:val="none"/>
        </w:rPr>
        <w:t>沉淀后排出。 生活污水</w:t>
      </w:r>
      <w:r>
        <w:rPr>
          <w:rFonts w:hint="eastAsia" w:hAnsi="宋体" w:cs="宋体"/>
          <w:color w:val="auto"/>
          <w:spacing w:val="-26"/>
          <w:sz w:val="21"/>
          <w:szCs w:val="21"/>
          <w:highlight w:val="none"/>
        </w:rPr>
        <w:t>：</w:t>
      </w:r>
      <w:r>
        <w:rPr>
          <w:rFonts w:hint="eastAsia" w:hAnsi="宋体" w:cs="宋体"/>
          <w:color w:val="auto"/>
          <w:sz w:val="21"/>
          <w:szCs w:val="21"/>
          <w:highlight w:val="none"/>
        </w:rPr>
        <w:t>设置化粪池处理</w:t>
      </w:r>
      <w:r>
        <w:rPr>
          <w:rFonts w:hint="eastAsia" w:hAnsi="宋体" w:cs="宋体"/>
          <w:color w:val="auto"/>
          <w:spacing w:val="-26"/>
          <w:sz w:val="21"/>
          <w:szCs w:val="21"/>
          <w:highlight w:val="none"/>
        </w:rPr>
        <w:t>，</w:t>
      </w:r>
      <w:r>
        <w:rPr>
          <w:rFonts w:hint="eastAsia" w:hAnsi="宋体" w:cs="宋体"/>
          <w:color w:val="auto"/>
          <w:sz w:val="21"/>
          <w:szCs w:val="21"/>
          <w:highlight w:val="none"/>
        </w:rPr>
        <w:t>经处理后方可排出</w:t>
      </w:r>
      <w:r>
        <w:rPr>
          <w:rFonts w:hint="eastAsia" w:hAnsi="宋体" w:cs="宋体"/>
          <w:color w:val="auto"/>
          <w:spacing w:val="-26"/>
          <w:sz w:val="21"/>
          <w:szCs w:val="21"/>
          <w:highlight w:val="none"/>
        </w:rPr>
        <w:t>。</w:t>
      </w:r>
      <w:r>
        <w:rPr>
          <w:rFonts w:hint="eastAsia" w:hAnsi="宋体" w:cs="宋体"/>
          <w:color w:val="auto"/>
          <w:sz w:val="21"/>
          <w:szCs w:val="21"/>
          <w:highlight w:val="none"/>
        </w:rPr>
        <w:t>不得直接对河道和大型雨塘排放污水。</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(五)  临时设施、半成品和原材料的堆放及施工设施</w:t>
      </w:r>
    </w:p>
    <w:p>
      <w:pPr>
        <w:spacing w:line="360" w:lineRule="auto"/>
        <w:ind w:right="221" w:firstLine="420" w:firstLineChars="200"/>
        <w:jc w:val="both"/>
        <w:rPr>
          <w:rFonts w:hAnsi="宋体" w:cs="宋体"/>
          <w:color w:val="auto"/>
          <w:sz w:val="21"/>
          <w:szCs w:val="21"/>
          <w:highlight w:val="none"/>
        </w:rPr>
      </w:pPr>
      <w:r>
        <w:rPr>
          <w:rFonts w:hint="eastAsia" w:hAnsi="宋体" w:cs="宋体"/>
          <w:color w:val="auto"/>
          <w:sz w:val="21"/>
          <w:szCs w:val="21"/>
          <w:highlight w:val="none"/>
        </w:rPr>
        <w:t>1、施工现场办公区、生活区与作业区分开设置，保持安全距离。施工现场设置的办公室、宿舍、厨房、厕所、浴室等临时设施应当采用混凝土硬底、砖砌墙体、轻钢屋架、压型钢板盖顶的临时房屋和活动板房。单层临时设施的檐口高度不宜低于 2.8 米，并符合消防安全要求。禁止使用竹料、木材、油毡、石棉瓦等易燃和对人体有害的材料搭建临时设施。临时设施应避开易发生危险的山坡和低洼地等地段。</w:t>
      </w:r>
    </w:p>
    <w:p>
      <w:pPr>
        <w:spacing w:line="360" w:lineRule="auto"/>
        <w:ind w:right="-23" w:firstLine="411" w:firstLineChars="196"/>
        <w:jc w:val="both"/>
        <w:rPr>
          <w:rFonts w:hAnsi="宋体" w:cs="宋体"/>
          <w:color w:val="auto"/>
          <w:sz w:val="21"/>
          <w:szCs w:val="21"/>
          <w:highlight w:val="none"/>
        </w:rPr>
      </w:pPr>
      <w:r>
        <w:rPr>
          <w:rFonts w:hint="eastAsia" w:hAnsi="宋体" w:cs="宋体"/>
          <w:bCs/>
          <w:color w:val="auto"/>
          <w:position w:val="-2"/>
          <w:sz w:val="21"/>
          <w:szCs w:val="21"/>
          <w:highlight w:val="none"/>
        </w:rPr>
        <w:t>4</w:t>
      </w:r>
      <w:r>
        <w:rPr>
          <w:rFonts w:hint="eastAsia" w:hAnsi="宋体" w:cs="宋体"/>
          <w:color w:val="auto"/>
          <w:spacing w:val="2"/>
          <w:position w:val="-2"/>
          <w:sz w:val="21"/>
          <w:szCs w:val="21"/>
          <w:highlight w:val="none"/>
        </w:rPr>
        <w:t>、如现场有集中住宿的</w:t>
      </w:r>
      <w:r>
        <w:rPr>
          <w:rFonts w:hint="eastAsia" w:hAnsi="宋体" w:cs="宋体"/>
          <w:color w:val="auto"/>
          <w:position w:val="-2"/>
          <w:sz w:val="21"/>
          <w:szCs w:val="21"/>
          <w:highlight w:val="none"/>
        </w:rPr>
        <w:t>工</w:t>
      </w:r>
      <w:r>
        <w:rPr>
          <w:rFonts w:hint="eastAsia" w:hAnsi="宋体" w:cs="宋体"/>
          <w:color w:val="auto"/>
          <w:spacing w:val="2"/>
          <w:position w:val="-2"/>
          <w:sz w:val="21"/>
          <w:szCs w:val="21"/>
          <w:highlight w:val="none"/>
        </w:rPr>
        <w:t>人</w:t>
      </w:r>
      <w:r>
        <w:rPr>
          <w:rFonts w:hint="eastAsia" w:hAnsi="宋体" w:cs="宋体"/>
          <w:color w:val="auto"/>
          <w:position w:val="-2"/>
          <w:sz w:val="21"/>
          <w:szCs w:val="21"/>
          <w:highlight w:val="none"/>
        </w:rPr>
        <w:t>宿舍</w:t>
      </w:r>
    </w:p>
    <w:p>
      <w:pPr>
        <w:spacing w:line="360" w:lineRule="auto"/>
        <w:ind w:right="101" w:firstLine="420" w:firstLineChars="200"/>
        <w:jc w:val="both"/>
        <w:rPr>
          <w:rFonts w:hAnsi="宋体" w:cs="宋体"/>
          <w:color w:val="auto"/>
          <w:sz w:val="21"/>
          <w:szCs w:val="21"/>
          <w:highlight w:val="none"/>
        </w:rPr>
      </w:pPr>
      <w:r>
        <w:rPr>
          <w:rFonts w:hint="eastAsia" w:hAnsi="宋体" w:cs="宋体"/>
          <w:color w:val="auto"/>
          <w:sz w:val="21"/>
          <w:szCs w:val="21"/>
          <w:highlight w:val="none"/>
        </w:rPr>
        <w:t>4.1 宿舍及周围环境要求卫生、安</w:t>
      </w:r>
      <w:r>
        <w:rPr>
          <w:rFonts w:hint="eastAsia" w:hAnsi="宋体" w:cs="宋体"/>
          <w:color w:val="auto"/>
          <w:spacing w:val="1"/>
          <w:sz w:val="21"/>
          <w:szCs w:val="21"/>
          <w:highlight w:val="none"/>
        </w:rPr>
        <w:t>全</w:t>
      </w:r>
      <w:r>
        <w:rPr>
          <w:rFonts w:hint="eastAsia" w:hAnsi="宋体" w:cs="宋体"/>
          <w:color w:val="auto"/>
          <w:sz w:val="21"/>
          <w:szCs w:val="21"/>
          <w:highlight w:val="none"/>
        </w:rPr>
        <w:t>。宿舍门宽度不小于1.0米，高度不小于2.0米，并向外开启；窗应设置合理，窗口宽度不小于0.9米，高度不小于1.2米。每个房间居住人数不应超过12人</w:t>
      </w:r>
      <w:r>
        <w:rPr>
          <w:rFonts w:hint="eastAsia" w:hAnsi="宋体" w:cs="宋体"/>
          <w:color w:val="auto"/>
          <w:spacing w:val="-17"/>
          <w:sz w:val="21"/>
          <w:szCs w:val="21"/>
          <w:highlight w:val="none"/>
        </w:rPr>
        <w:t>，</w:t>
      </w:r>
      <w:r>
        <w:rPr>
          <w:rFonts w:hint="eastAsia" w:hAnsi="宋体" w:cs="宋体"/>
          <w:color w:val="auto"/>
          <w:sz w:val="21"/>
          <w:szCs w:val="21"/>
          <w:highlight w:val="none"/>
        </w:rPr>
        <w:t>人均占有宿舍面积不小于2平方米</w:t>
      </w:r>
      <w:r>
        <w:rPr>
          <w:rFonts w:hint="eastAsia" w:hAnsi="宋体" w:cs="宋体"/>
          <w:color w:val="auto"/>
          <w:spacing w:val="-17"/>
          <w:sz w:val="21"/>
          <w:szCs w:val="21"/>
          <w:highlight w:val="none"/>
        </w:rPr>
        <w:t>，</w:t>
      </w:r>
      <w:r>
        <w:rPr>
          <w:rFonts w:hint="eastAsia" w:hAnsi="宋体" w:cs="宋体"/>
          <w:color w:val="auto"/>
          <w:sz w:val="21"/>
          <w:szCs w:val="21"/>
          <w:highlight w:val="none"/>
        </w:rPr>
        <w:t>通道宽不小于1.2米</w:t>
      </w:r>
      <w:r>
        <w:rPr>
          <w:rFonts w:hint="eastAsia" w:hAnsi="宋体" w:cs="宋体"/>
          <w:color w:val="auto"/>
          <w:spacing w:val="-24"/>
          <w:sz w:val="21"/>
          <w:szCs w:val="21"/>
          <w:highlight w:val="none"/>
        </w:rPr>
        <w:t>，</w:t>
      </w:r>
      <w:r>
        <w:rPr>
          <w:rFonts w:hint="eastAsia" w:hAnsi="宋体" w:cs="宋体"/>
          <w:color w:val="auto"/>
          <w:sz w:val="21"/>
          <w:szCs w:val="21"/>
          <w:highlight w:val="none"/>
        </w:rPr>
        <w:t>并保持空气流通</w:t>
      </w:r>
      <w:r>
        <w:rPr>
          <w:rFonts w:hint="eastAsia" w:hAnsi="宋体" w:cs="宋体"/>
          <w:color w:val="auto"/>
          <w:spacing w:val="-24"/>
          <w:sz w:val="21"/>
          <w:szCs w:val="21"/>
          <w:highlight w:val="none"/>
        </w:rPr>
        <w:t>。</w:t>
      </w:r>
      <w:r>
        <w:rPr>
          <w:rFonts w:hint="eastAsia" w:hAnsi="宋体" w:cs="宋体"/>
          <w:color w:val="auto"/>
          <w:sz w:val="21"/>
          <w:szCs w:val="21"/>
          <w:highlight w:val="none"/>
        </w:rPr>
        <w:t>当使用双层铁架床</w:t>
      </w:r>
      <w:r>
        <w:rPr>
          <w:rFonts w:hint="eastAsia" w:hAnsi="宋体" w:cs="宋体"/>
          <w:color w:val="auto"/>
          <w:spacing w:val="-24"/>
          <w:sz w:val="21"/>
          <w:szCs w:val="21"/>
          <w:highlight w:val="none"/>
        </w:rPr>
        <w:t>，</w:t>
      </w:r>
      <w:r>
        <w:rPr>
          <w:rFonts w:hint="eastAsia" w:hAnsi="宋体" w:cs="宋体"/>
          <w:color w:val="auto"/>
          <w:sz w:val="21"/>
          <w:szCs w:val="21"/>
          <w:highlight w:val="none"/>
        </w:rPr>
        <w:t>做到单人单铺</w:t>
      </w:r>
      <w:r>
        <w:rPr>
          <w:rFonts w:hint="eastAsia" w:hAnsi="宋体" w:cs="宋体"/>
          <w:color w:val="auto"/>
          <w:spacing w:val="-24"/>
          <w:sz w:val="21"/>
          <w:szCs w:val="21"/>
          <w:highlight w:val="none"/>
        </w:rPr>
        <w:t>，</w:t>
      </w:r>
      <w:r>
        <w:rPr>
          <w:rFonts w:hint="eastAsia" w:hAnsi="宋体" w:cs="宋体"/>
          <w:color w:val="auto"/>
          <w:sz w:val="21"/>
          <w:szCs w:val="21"/>
          <w:highlight w:val="none"/>
        </w:rPr>
        <w:t>严禁设置通铺</w:t>
      </w:r>
      <w:r>
        <w:rPr>
          <w:rFonts w:hint="eastAsia" w:hAnsi="宋体" w:cs="宋体"/>
          <w:color w:val="auto"/>
          <w:spacing w:val="-12"/>
          <w:sz w:val="21"/>
          <w:szCs w:val="21"/>
          <w:highlight w:val="none"/>
        </w:rPr>
        <w:t>。</w:t>
      </w:r>
      <w:r>
        <w:rPr>
          <w:rFonts w:hint="eastAsia" w:hAnsi="宋体" w:cs="宋体"/>
          <w:color w:val="auto"/>
          <w:sz w:val="21"/>
          <w:szCs w:val="21"/>
          <w:highlight w:val="none"/>
        </w:rPr>
        <w:t>宿舍用电应当设置独立的漏电</w:t>
      </w:r>
      <w:r>
        <w:rPr>
          <w:rFonts w:hint="eastAsia" w:hAnsi="宋体" w:cs="宋体"/>
          <w:color w:val="auto"/>
          <w:spacing w:val="-12"/>
          <w:sz w:val="21"/>
          <w:szCs w:val="21"/>
          <w:highlight w:val="none"/>
        </w:rPr>
        <w:t>、</w:t>
      </w:r>
      <w:r>
        <w:rPr>
          <w:rFonts w:hint="eastAsia" w:hAnsi="宋体" w:cs="宋体"/>
          <w:color w:val="auto"/>
          <w:sz w:val="21"/>
          <w:szCs w:val="21"/>
          <w:highlight w:val="none"/>
        </w:rPr>
        <w:t>短路保护器和安全插座</w:t>
      </w:r>
      <w:r>
        <w:rPr>
          <w:rFonts w:hint="eastAsia" w:hAnsi="宋体" w:cs="宋体"/>
          <w:color w:val="auto"/>
          <w:spacing w:val="-12"/>
          <w:sz w:val="21"/>
          <w:szCs w:val="21"/>
          <w:highlight w:val="none"/>
        </w:rPr>
        <w:t>，</w:t>
      </w:r>
      <w:r>
        <w:rPr>
          <w:rFonts w:hint="eastAsia" w:hAnsi="宋体" w:cs="宋体"/>
          <w:color w:val="auto"/>
          <w:sz w:val="21"/>
          <w:szCs w:val="21"/>
          <w:highlight w:val="none"/>
        </w:rPr>
        <w:t>电线必须套管，禁止电线乱拉乱接</w:t>
      </w:r>
      <w:r>
        <w:rPr>
          <w:rFonts w:hint="eastAsia" w:hAnsi="宋体" w:cs="宋体"/>
          <w:color w:val="auto"/>
          <w:spacing w:val="-12"/>
          <w:sz w:val="21"/>
          <w:szCs w:val="21"/>
          <w:highlight w:val="none"/>
        </w:rPr>
        <w:t>。</w:t>
      </w:r>
      <w:r>
        <w:rPr>
          <w:rFonts w:hint="eastAsia" w:hAnsi="宋体" w:cs="宋体"/>
          <w:color w:val="auto"/>
          <w:sz w:val="21"/>
          <w:szCs w:val="21"/>
          <w:highlight w:val="none"/>
        </w:rPr>
        <w:t>宿舍要有管理制度</w:t>
      </w:r>
      <w:r>
        <w:rPr>
          <w:rFonts w:hint="eastAsia" w:hAnsi="宋体" w:cs="宋体"/>
          <w:color w:val="auto"/>
          <w:spacing w:val="-12"/>
          <w:sz w:val="21"/>
          <w:szCs w:val="21"/>
          <w:highlight w:val="none"/>
        </w:rPr>
        <w:t>，</w:t>
      </w:r>
      <w:r>
        <w:rPr>
          <w:rFonts w:hint="eastAsia" w:hAnsi="宋体" w:cs="宋体"/>
          <w:color w:val="auto"/>
          <w:sz w:val="21"/>
          <w:szCs w:val="21"/>
          <w:highlight w:val="none"/>
        </w:rPr>
        <w:t>并落实治安</w:t>
      </w:r>
      <w:r>
        <w:rPr>
          <w:rFonts w:hint="eastAsia" w:hAnsi="宋体" w:cs="宋体"/>
          <w:color w:val="auto"/>
          <w:spacing w:val="-12"/>
          <w:sz w:val="21"/>
          <w:szCs w:val="21"/>
          <w:highlight w:val="none"/>
        </w:rPr>
        <w:t>、</w:t>
      </w:r>
      <w:r>
        <w:rPr>
          <w:rFonts w:hint="eastAsia" w:hAnsi="宋体" w:cs="宋体"/>
          <w:color w:val="auto"/>
          <w:sz w:val="21"/>
          <w:szCs w:val="21"/>
          <w:highlight w:val="none"/>
        </w:rPr>
        <w:t>防火和卫生管理责任人。</w:t>
      </w:r>
    </w:p>
    <w:p>
      <w:pPr>
        <w:spacing w:line="360" w:lineRule="auto"/>
        <w:ind w:right="-132" w:firstLine="420" w:firstLineChars="200"/>
        <w:jc w:val="both"/>
        <w:rPr>
          <w:rFonts w:hAnsi="宋体" w:cs="宋体"/>
          <w:color w:val="auto"/>
          <w:sz w:val="21"/>
          <w:szCs w:val="21"/>
          <w:highlight w:val="none"/>
        </w:rPr>
      </w:pPr>
      <w:r>
        <w:rPr>
          <w:rFonts w:hint="eastAsia" w:hAnsi="宋体" w:cs="宋体"/>
          <w:color w:val="auto"/>
          <w:sz w:val="21"/>
          <w:szCs w:val="21"/>
          <w:highlight w:val="none"/>
        </w:rPr>
        <w:t>4.2 应设置统一的集体厨房</w:t>
      </w:r>
      <w:r>
        <w:rPr>
          <w:rFonts w:hint="eastAsia" w:hAnsi="宋体" w:cs="宋体"/>
          <w:color w:val="auto"/>
          <w:spacing w:val="-12"/>
          <w:sz w:val="21"/>
          <w:szCs w:val="21"/>
          <w:highlight w:val="none"/>
        </w:rPr>
        <w:t>，</w:t>
      </w:r>
      <w:r>
        <w:rPr>
          <w:rFonts w:hint="eastAsia" w:hAnsi="宋体" w:cs="宋体"/>
          <w:color w:val="auto"/>
          <w:sz w:val="21"/>
          <w:szCs w:val="21"/>
          <w:highlight w:val="none"/>
        </w:rPr>
        <w:t>厨房距离作业场所和厕所</w:t>
      </w:r>
      <w:r>
        <w:rPr>
          <w:rFonts w:hint="eastAsia" w:hAnsi="宋体" w:cs="宋体"/>
          <w:color w:val="auto"/>
          <w:spacing w:val="-12"/>
          <w:sz w:val="21"/>
          <w:szCs w:val="21"/>
          <w:highlight w:val="none"/>
        </w:rPr>
        <w:t>、</w:t>
      </w:r>
      <w:r>
        <w:rPr>
          <w:rFonts w:hint="eastAsia" w:hAnsi="宋体" w:cs="宋体"/>
          <w:color w:val="auto"/>
          <w:sz w:val="21"/>
          <w:szCs w:val="21"/>
          <w:highlight w:val="none"/>
        </w:rPr>
        <w:t>污水沟</w:t>
      </w:r>
      <w:r>
        <w:rPr>
          <w:rFonts w:hint="eastAsia" w:hAnsi="宋体" w:cs="宋体"/>
          <w:color w:val="auto"/>
          <w:spacing w:val="-12"/>
          <w:sz w:val="21"/>
          <w:szCs w:val="21"/>
          <w:highlight w:val="none"/>
        </w:rPr>
        <w:t>、</w:t>
      </w:r>
      <w:r>
        <w:rPr>
          <w:rFonts w:hint="eastAsia" w:hAnsi="宋体" w:cs="宋体"/>
          <w:color w:val="auto"/>
          <w:sz w:val="21"/>
          <w:szCs w:val="21"/>
          <w:highlight w:val="none"/>
        </w:rPr>
        <w:t>垃圾站等污染源要有20米以上</w:t>
      </w:r>
      <w:r>
        <w:rPr>
          <w:rFonts w:hint="eastAsia" w:hAnsi="宋体" w:cs="宋体"/>
          <w:color w:val="auto"/>
          <w:spacing w:val="-10"/>
          <w:sz w:val="21"/>
          <w:szCs w:val="21"/>
          <w:highlight w:val="none"/>
        </w:rPr>
        <w:t>，</w:t>
      </w:r>
      <w:r>
        <w:rPr>
          <w:rFonts w:hint="eastAsia" w:hAnsi="宋体" w:cs="宋体"/>
          <w:color w:val="auto"/>
          <w:sz w:val="21"/>
          <w:szCs w:val="21"/>
          <w:highlight w:val="none"/>
        </w:rPr>
        <w:t>厨房内不得存放有毒有害物品</w:t>
      </w:r>
      <w:r>
        <w:rPr>
          <w:rFonts w:hint="eastAsia" w:hAnsi="宋体" w:cs="宋体"/>
          <w:color w:val="auto"/>
          <w:spacing w:val="-10"/>
          <w:sz w:val="21"/>
          <w:szCs w:val="21"/>
          <w:highlight w:val="none"/>
        </w:rPr>
        <w:t>。</w:t>
      </w:r>
      <w:r>
        <w:rPr>
          <w:rFonts w:hint="eastAsia" w:hAnsi="宋体" w:cs="宋体"/>
          <w:color w:val="auto"/>
          <w:sz w:val="21"/>
          <w:szCs w:val="21"/>
          <w:highlight w:val="none"/>
        </w:rPr>
        <w:t>厨房要求通风</w:t>
      </w:r>
      <w:r>
        <w:rPr>
          <w:rFonts w:hint="eastAsia" w:hAnsi="宋体" w:cs="宋体"/>
          <w:color w:val="auto"/>
          <w:spacing w:val="-10"/>
          <w:sz w:val="21"/>
          <w:szCs w:val="21"/>
          <w:highlight w:val="none"/>
        </w:rPr>
        <w:t>、</w:t>
      </w:r>
      <w:r>
        <w:rPr>
          <w:rFonts w:hint="eastAsia" w:hAnsi="宋体" w:cs="宋体"/>
          <w:color w:val="auto"/>
          <w:spacing w:val="2"/>
          <w:sz w:val="21"/>
          <w:szCs w:val="21"/>
          <w:highlight w:val="none"/>
        </w:rPr>
        <w:t>卫</w:t>
      </w:r>
      <w:r>
        <w:rPr>
          <w:rFonts w:hint="eastAsia" w:hAnsi="宋体" w:cs="宋体"/>
          <w:color w:val="auto"/>
          <w:sz w:val="21"/>
          <w:szCs w:val="21"/>
          <w:highlight w:val="none"/>
        </w:rPr>
        <w:t>生</w:t>
      </w:r>
      <w:r>
        <w:rPr>
          <w:rFonts w:hint="eastAsia" w:hAnsi="宋体" w:cs="宋体"/>
          <w:color w:val="auto"/>
          <w:spacing w:val="-10"/>
          <w:sz w:val="21"/>
          <w:szCs w:val="21"/>
          <w:highlight w:val="none"/>
        </w:rPr>
        <w:t>，</w:t>
      </w:r>
      <w:r>
        <w:rPr>
          <w:rFonts w:hint="eastAsia" w:hAnsi="宋体" w:cs="宋体"/>
          <w:color w:val="auto"/>
          <w:sz w:val="21"/>
          <w:szCs w:val="21"/>
          <w:highlight w:val="none"/>
        </w:rPr>
        <w:t>地面排</w:t>
      </w:r>
      <w:r>
        <w:rPr>
          <w:rFonts w:hint="eastAsia" w:hAnsi="宋体" w:cs="宋体"/>
          <w:color w:val="auto"/>
          <w:position w:val="-2"/>
          <w:sz w:val="21"/>
          <w:szCs w:val="21"/>
          <w:highlight w:val="none"/>
        </w:rPr>
        <w:t>水良好。内墙面铺贴高度2米的白瓷片，其余抹平刷白。厨房内加工、灶台、</w:t>
      </w:r>
      <w:r>
        <w:rPr>
          <w:rFonts w:hint="eastAsia" w:hAnsi="宋体" w:cs="宋体"/>
          <w:color w:val="auto"/>
          <w:sz w:val="21"/>
          <w:szCs w:val="21"/>
          <w:highlight w:val="none"/>
        </w:rPr>
        <w:t>售饭、食物储藏等设施应适当分隔，并应铺贴白瓷片，门窗设置窗纱。</w:t>
      </w:r>
    </w:p>
    <w:p>
      <w:pPr>
        <w:spacing w:line="360" w:lineRule="auto"/>
        <w:ind w:right="-132" w:firstLine="420" w:firstLineChars="200"/>
        <w:jc w:val="both"/>
        <w:rPr>
          <w:rFonts w:hAnsi="宋体" w:cs="宋体"/>
          <w:color w:val="auto"/>
          <w:sz w:val="21"/>
          <w:szCs w:val="21"/>
          <w:highlight w:val="none"/>
        </w:rPr>
      </w:pPr>
      <w:r>
        <w:rPr>
          <w:rFonts w:hint="eastAsia" w:hAnsi="宋体" w:cs="宋体"/>
          <w:color w:val="auto"/>
          <w:sz w:val="21"/>
          <w:szCs w:val="21"/>
          <w:highlight w:val="none"/>
        </w:rPr>
        <w:t>4.3 厕所应设置洗手盆、蹲便器和冲洗装置，蹲位数量与使用人员比例不低于1：25，蹲位之间设置隔墙，隔墙高度不低于1.2米，厕所内墙面应当铺贴高度1.2米的白瓷片，地面贴防滑砖。并设置至少2个自动冲洗水箱，派专人定期清扫。必须设置加盖化粪池，禁止将粪便直接排入下水道和河道。浴室内墙面应当铺 贴高度1.5米的白瓷片，淋浴龙头数量与使用人员比例不低于1：15。</w:t>
      </w:r>
    </w:p>
    <w:p>
      <w:pPr>
        <w:spacing w:line="360" w:lineRule="auto"/>
        <w:ind w:right="-20" w:firstLine="420" w:firstLineChars="200"/>
        <w:jc w:val="both"/>
        <w:rPr>
          <w:rFonts w:hAnsi="宋体" w:cs="宋体"/>
          <w:color w:val="auto"/>
          <w:position w:val="-2"/>
          <w:sz w:val="21"/>
          <w:szCs w:val="21"/>
          <w:highlight w:val="none"/>
        </w:rPr>
      </w:pPr>
      <w:r>
        <w:rPr>
          <w:rFonts w:hint="eastAsia" w:hAnsi="宋体" w:cs="宋体"/>
          <w:color w:val="auto"/>
          <w:position w:val="-2"/>
          <w:sz w:val="21"/>
          <w:szCs w:val="21"/>
          <w:highlight w:val="none"/>
        </w:rPr>
        <w:t>5、材料堆放</w:t>
      </w:r>
    </w:p>
    <w:p>
      <w:pPr>
        <w:spacing w:line="360" w:lineRule="auto"/>
        <w:ind w:right="-239" w:firstLine="420" w:firstLineChars="200"/>
        <w:jc w:val="both"/>
        <w:rPr>
          <w:rFonts w:hAnsi="宋体" w:cs="宋体"/>
          <w:color w:val="auto"/>
          <w:sz w:val="21"/>
          <w:szCs w:val="21"/>
          <w:highlight w:val="none"/>
        </w:rPr>
      </w:pPr>
      <w:r>
        <w:rPr>
          <w:rFonts w:hint="eastAsia" w:hAnsi="宋体" w:cs="宋体"/>
          <w:color w:val="auto"/>
          <w:sz w:val="21"/>
          <w:szCs w:val="21"/>
          <w:highlight w:val="none"/>
        </w:rPr>
        <w:t>5.1 施工现场的材料、构件和工具应当严格按照施工总平面布置图分类堆放。不得混放非施工材料，否则处予人民币</w:t>
      </w:r>
      <w:r>
        <w:rPr>
          <w:rFonts w:hint="eastAsia" w:hAnsi="宋体" w:cs="宋体"/>
          <w:b/>
          <w:color w:val="auto"/>
          <w:sz w:val="21"/>
          <w:szCs w:val="21"/>
          <w:highlight w:val="none"/>
          <w:u w:val="single"/>
        </w:rPr>
        <w:t>30,000</w:t>
      </w:r>
      <w:r>
        <w:rPr>
          <w:rFonts w:hint="eastAsia" w:hAnsi="宋体" w:cs="宋体"/>
          <w:color w:val="auto"/>
          <w:sz w:val="21"/>
          <w:szCs w:val="21"/>
          <w:highlight w:val="none"/>
        </w:rPr>
        <w:t>元的违约金。</w:t>
      </w:r>
    </w:p>
    <w:p>
      <w:pPr>
        <w:spacing w:line="360" w:lineRule="auto"/>
        <w:ind w:right="-38" w:firstLine="420" w:firstLineChars="200"/>
        <w:jc w:val="both"/>
        <w:rPr>
          <w:rFonts w:hAnsi="宋体" w:cs="宋体"/>
          <w:color w:val="auto"/>
          <w:sz w:val="21"/>
          <w:szCs w:val="21"/>
          <w:highlight w:val="none"/>
        </w:rPr>
      </w:pPr>
      <w:r>
        <w:rPr>
          <w:rFonts w:hint="eastAsia" w:hAnsi="宋体" w:cs="宋体"/>
          <w:color w:val="auto"/>
          <w:position w:val="-2"/>
          <w:sz w:val="21"/>
          <w:szCs w:val="21"/>
          <w:highlight w:val="none"/>
        </w:rPr>
        <w:t xml:space="preserve">5.2 </w:t>
      </w:r>
      <w:r>
        <w:rPr>
          <w:rFonts w:hint="eastAsia" w:hAnsi="宋体" w:cs="宋体"/>
          <w:color w:val="auto"/>
          <w:sz w:val="21"/>
          <w:szCs w:val="21"/>
          <w:highlight w:val="none"/>
        </w:rPr>
        <w:t xml:space="preserve"> 易燃易爆物品</w:t>
      </w:r>
      <w:r>
        <w:rPr>
          <w:rFonts w:hint="eastAsia" w:hAnsi="宋体" w:cs="宋体"/>
          <w:color w:val="auto"/>
          <w:spacing w:val="-7"/>
          <w:sz w:val="21"/>
          <w:szCs w:val="21"/>
          <w:highlight w:val="none"/>
        </w:rPr>
        <w:t>、</w:t>
      </w:r>
      <w:r>
        <w:rPr>
          <w:rFonts w:hint="eastAsia" w:hAnsi="宋体" w:cs="宋体"/>
          <w:color w:val="auto"/>
          <w:sz w:val="21"/>
          <w:szCs w:val="21"/>
          <w:highlight w:val="none"/>
        </w:rPr>
        <w:t>有毒有害物质分类堆放并标识</w:t>
      </w:r>
      <w:r>
        <w:rPr>
          <w:rFonts w:hint="eastAsia" w:hAnsi="宋体" w:cs="宋体"/>
          <w:color w:val="auto"/>
          <w:spacing w:val="-7"/>
          <w:sz w:val="21"/>
          <w:szCs w:val="21"/>
          <w:highlight w:val="none"/>
        </w:rPr>
        <w:t>，且悬挂“严禁火种”等警示标志。</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5.3 施工场地工完场净，各种材料使用后要归堆、</w:t>
      </w:r>
      <w:r>
        <w:rPr>
          <w:rFonts w:hint="eastAsia" w:hAnsi="宋体" w:cs="宋体"/>
          <w:color w:val="auto"/>
          <w:spacing w:val="1"/>
          <w:sz w:val="21"/>
          <w:szCs w:val="21"/>
          <w:highlight w:val="none"/>
        </w:rPr>
        <w:t>铲</w:t>
      </w:r>
      <w:r>
        <w:rPr>
          <w:rFonts w:hint="eastAsia" w:hAnsi="宋体" w:cs="宋体"/>
          <w:color w:val="auto"/>
          <w:sz w:val="21"/>
          <w:szCs w:val="21"/>
          <w:highlight w:val="none"/>
        </w:rPr>
        <w:t>齐。</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(六)  安全生产及现场防火</w:t>
      </w:r>
    </w:p>
    <w:p>
      <w:pPr>
        <w:spacing w:line="360" w:lineRule="auto"/>
        <w:ind w:right="221" w:firstLine="420" w:firstLineChars="200"/>
        <w:jc w:val="both"/>
        <w:rPr>
          <w:rFonts w:hAnsi="宋体" w:cs="宋体"/>
          <w:color w:val="auto"/>
          <w:sz w:val="21"/>
          <w:szCs w:val="21"/>
          <w:highlight w:val="none"/>
        </w:rPr>
      </w:pPr>
      <w:r>
        <w:rPr>
          <w:rFonts w:hint="eastAsia" w:hAnsi="宋体" w:cs="宋体"/>
          <w:color w:val="auto"/>
          <w:sz w:val="21"/>
          <w:szCs w:val="21"/>
          <w:highlight w:val="none"/>
        </w:rPr>
        <w:t>1</w:t>
      </w:r>
      <w:r>
        <w:rPr>
          <w:rFonts w:hint="eastAsia" w:hAnsi="宋体" w:cs="宋体"/>
          <w:color w:val="auto"/>
          <w:spacing w:val="-10"/>
          <w:sz w:val="21"/>
          <w:szCs w:val="21"/>
          <w:highlight w:val="none"/>
        </w:rPr>
        <w:t>、</w:t>
      </w:r>
      <w:r>
        <w:rPr>
          <w:rFonts w:hint="eastAsia" w:hAnsi="宋体" w:cs="宋体"/>
          <w:color w:val="auto"/>
          <w:sz w:val="21"/>
          <w:szCs w:val="21"/>
          <w:highlight w:val="none"/>
        </w:rPr>
        <w:t>现场施工及管理人员要按规定必须统一服装，且佩带工作证、戴安全帽、穿反光衣，其中施工人员戴黄色安全帽，施工管理人员戴蓝色安全帽。所有安全帽的前面须标明单位简称。</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2、高空作业须系安全带。</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3、施工现场危险地段应设置明显安全标志，夜间须悬挂红色警示灯。</w:t>
      </w:r>
    </w:p>
    <w:p>
      <w:pPr>
        <w:spacing w:line="360" w:lineRule="auto"/>
        <w:ind w:right="48" w:firstLine="420" w:firstLineChars="200"/>
        <w:jc w:val="both"/>
        <w:rPr>
          <w:rFonts w:hAnsi="宋体" w:cs="宋体"/>
          <w:color w:val="auto"/>
          <w:sz w:val="21"/>
          <w:szCs w:val="21"/>
          <w:highlight w:val="none"/>
        </w:rPr>
      </w:pPr>
      <w:r>
        <w:rPr>
          <w:rFonts w:hint="eastAsia" w:hAnsi="宋体" w:cs="宋体"/>
          <w:color w:val="auto"/>
          <w:sz w:val="21"/>
          <w:szCs w:val="21"/>
          <w:highlight w:val="none"/>
        </w:rPr>
        <w:t>4、挖掘作业时，施工单位须指派技术人员现场指挥，确保各种管线的安全，大型机械作业应有专人指挥。</w:t>
      </w:r>
    </w:p>
    <w:p>
      <w:pPr>
        <w:spacing w:line="360" w:lineRule="auto"/>
        <w:ind w:right="-162" w:firstLine="420" w:firstLineChars="200"/>
        <w:jc w:val="both"/>
        <w:rPr>
          <w:rFonts w:hAnsi="宋体" w:cs="宋体"/>
          <w:color w:val="auto"/>
          <w:sz w:val="21"/>
          <w:szCs w:val="21"/>
          <w:highlight w:val="none"/>
        </w:rPr>
      </w:pPr>
      <w:r>
        <w:rPr>
          <w:rFonts w:hint="eastAsia" w:hAnsi="宋体" w:cs="宋体"/>
          <w:color w:val="auto"/>
          <w:sz w:val="21"/>
          <w:szCs w:val="21"/>
          <w:highlight w:val="none"/>
        </w:rPr>
        <w:t>5</w:t>
      </w:r>
      <w:r>
        <w:rPr>
          <w:rFonts w:hint="eastAsia" w:hAnsi="宋体" w:cs="宋体"/>
          <w:color w:val="auto"/>
          <w:spacing w:val="-10"/>
          <w:sz w:val="21"/>
          <w:szCs w:val="21"/>
          <w:highlight w:val="none"/>
        </w:rPr>
        <w:t>、</w:t>
      </w:r>
      <w:r>
        <w:rPr>
          <w:rFonts w:hint="eastAsia" w:hAnsi="宋体" w:cs="宋体"/>
          <w:color w:val="auto"/>
          <w:sz w:val="21"/>
          <w:szCs w:val="21"/>
          <w:highlight w:val="none"/>
        </w:rPr>
        <w:t>施工地段及工棚的临时电力</w:t>
      </w:r>
      <w:r>
        <w:rPr>
          <w:rFonts w:hint="eastAsia" w:hAnsi="宋体" w:cs="宋体"/>
          <w:color w:val="auto"/>
          <w:spacing w:val="-10"/>
          <w:sz w:val="21"/>
          <w:szCs w:val="21"/>
          <w:highlight w:val="none"/>
        </w:rPr>
        <w:t>、</w:t>
      </w:r>
      <w:r>
        <w:rPr>
          <w:rFonts w:hint="eastAsia" w:hAnsi="宋体" w:cs="宋体"/>
          <w:color w:val="auto"/>
          <w:sz w:val="21"/>
          <w:szCs w:val="21"/>
          <w:highlight w:val="none"/>
        </w:rPr>
        <w:t>通信等设施</w:t>
      </w:r>
      <w:r>
        <w:rPr>
          <w:rFonts w:hint="eastAsia" w:hAnsi="宋体" w:cs="宋体"/>
          <w:color w:val="auto"/>
          <w:spacing w:val="-10"/>
          <w:sz w:val="21"/>
          <w:szCs w:val="21"/>
          <w:highlight w:val="none"/>
        </w:rPr>
        <w:t>，</w:t>
      </w:r>
      <w:r>
        <w:rPr>
          <w:rFonts w:hint="eastAsia" w:hAnsi="宋体" w:cs="宋体"/>
          <w:color w:val="auto"/>
          <w:sz w:val="21"/>
          <w:szCs w:val="21"/>
          <w:highlight w:val="none"/>
        </w:rPr>
        <w:t>要按规范规程安装</w:t>
      </w:r>
      <w:r>
        <w:rPr>
          <w:rFonts w:hint="eastAsia" w:hAnsi="宋体" w:cs="宋体"/>
          <w:color w:val="auto"/>
          <w:spacing w:val="-7"/>
          <w:sz w:val="21"/>
          <w:szCs w:val="21"/>
          <w:highlight w:val="none"/>
        </w:rPr>
        <w:t>，</w:t>
      </w:r>
      <w:r>
        <w:rPr>
          <w:rFonts w:hint="eastAsia" w:hAnsi="宋体" w:cs="宋体"/>
          <w:color w:val="auto"/>
          <w:sz w:val="21"/>
          <w:szCs w:val="21"/>
          <w:highlight w:val="none"/>
        </w:rPr>
        <w:t>严禁私拉乱接，开闸后应及时上锁，加强管理。</w:t>
      </w:r>
    </w:p>
    <w:p>
      <w:pPr>
        <w:spacing w:line="360" w:lineRule="auto"/>
        <w:ind w:right="-162" w:firstLine="420" w:firstLineChars="200"/>
        <w:jc w:val="both"/>
        <w:rPr>
          <w:rFonts w:hAnsi="宋体" w:cs="宋体"/>
          <w:color w:val="auto"/>
          <w:sz w:val="21"/>
          <w:szCs w:val="21"/>
          <w:highlight w:val="none"/>
        </w:rPr>
      </w:pPr>
      <w:bookmarkStart w:id="49" w:name="_Toc308516523"/>
      <w:bookmarkStart w:id="50" w:name="_Toc326853493"/>
      <w:bookmarkStart w:id="51" w:name="_Toc362278306"/>
      <w:bookmarkStart w:id="52" w:name="_Toc320539273"/>
      <w:r>
        <w:rPr>
          <w:rFonts w:hint="eastAsia" w:hAnsi="宋体" w:cs="宋体"/>
          <w:color w:val="auto"/>
          <w:sz w:val="21"/>
          <w:szCs w:val="21"/>
          <w:highlight w:val="none"/>
        </w:rPr>
        <w:t>6、施工用电</w:t>
      </w:r>
      <w:bookmarkEnd w:id="49"/>
      <w:bookmarkEnd w:id="50"/>
      <w:bookmarkEnd w:id="51"/>
      <w:bookmarkEnd w:id="52"/>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6.1 按照 TN</w:t>
      </w:r>
      <w:r>
        <w:rPr>
          <w:rFonts w:hint="eastAsia" w:hAnsi="宋体" w:cs="宋体"/>
          <w:color w:val="auto"/>
          <w:spacing w:val="-1"/>
          <w:sz w:val="21"/>
          <w:szCs w:val="21"/>
          <w:highlight w:val="none"/>
        </w:rPr>
        <w:t>-</w:t>
      </w:r>
      <w:r>
        <w:rPr>
          <w:rFonts w:hint="eastAsia" w:hAnsi="宋体" w:cs="宋体"/>
          <w:color w:val="auto"/>
          <w:sz w:val="21"/>
          <w:szCs w:val="21"/>
          <w:highlight w:val="none"/>
        </w:rPr>
        <w:t>S</w:t>
      </w:r>
      <w:r>
        <w:rPr>
          <w:rFonts w:hint="eastAsia" w:hAnsi="宋体" w:cs="宋体"/>
          <w:color w:val="auto"/>
          <w:spacing w:val="1"/>
          <w:sz w:val="21"/>
          <w:szCs w:val="21"/>
          <w:highlight w:val="none"/>
        </w:rPr>
        <w:t xml:space="preserve"> </w:t>
      </w:r>
      <w:r>
        <w:rPr>
          <w:rFonts w:hint="eastAsia" w:hAnsi="宋体" w:cs="宋体"/>
          <w:color w:val="auto"/>
          <w:sz w:val="21"/>
          <w:szCs w:val="21"/>
          <w:highlight w:val="none"/>
        </w:rPr>
        <w:t>系统要求配备五芯电缆、四芯电缆和三芯电缆。</w:t>
      </w:r>
    </w:p>
    <w:p>
      <w:pPr>
        <w:spacing w:line="360" w:lineRule="auto"/>
        <w:ind w:right="-72" w:firstLine="420" w:firstLineChars="200"/>
        <w:jc w:val="both"/>
        <w:rPr>
          <w:rFonts w:hAnsi="宋体" w:cs="宋体"/>
          <w:color w:val="auto"/>
          <w:sz w:val="21"/>
          <w:szCs w:val="21"/>
          <w:highlight w:val="none"/>
        </w:rPr>
      </w:pPr>
      <w:r>
        <w:rPr>
          <w:rFonts w:hint="eastAsia" w:hAnsi="宋体" w:cs="宋体"/>
          <w:color w:val="auto"/>
          <w:sz w:val="21"/>
          <w:szCs w:val="21"/>
          <w:highlight w:val="none"/>
        </w:rPr>
        <w:t>6.2 按要求架设临时用电线路的电杆、横担、瓷夹、瓷瓶等，或电缆埋地的地沟。</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sz w:val="21"/>
          <w:szCs w:val="21"/>
          <w:highlight w:val="none"/>
        </w:rPr>
        <w:t>6.3 对靠近施工现场的外电线路，设置木质、塑料等绝缘体的防护设施。</w:t>
      </w:r>
    </w:p>
    <w:p>
      <w:pPr>
        <w:spacing w:line="360" w:lineRule="auto"/>
        <w:ind w:right="-99" w:firstLine="420" w:firstLineChars="200"/>
        <w:jc w:val="both"/>
        <w:rPr>
          <w:rFonts w:hAnsi="宋体" w:cs="宋体"/>
          <w:color w:val="auto"/>
          <w:sz w:val="21"/>
          <w:szCs w:val="21"/>
          <w:highlight w:val="none"/>
        </w:rPr>
      </w:pPr>
      <w:r>
        <w:rPr>
          <w:rFonts w:hint="eastAsia" w:hAnsi="宋体" w:cs="宋体"/>
          <w:color w:val="auto"/>
          <w:sz w:val="21"/>
          <w:szCs w:val="21"/>
          <w:highlight w:val="none"/>
        </w:rPr>
        <w:t>6.4 按三级配电要求</w:t>
      </w:r>
      <w:r>
        <w:rPr>
          <w:rFonts w:hint="eastAsia" w:hAnsi="宋体" w:cs="宋体"/>
          <w:color w:val="auto"/>
          <w:spacing w:val="-10"/>
          <w:sz w:val="21"/>
          <w:szCs w:val="21"/>
          <w:highlight w:val="none"/>
        </w:rPr>
        <w:t>，</w:t>
      </w:r>
      <w:r>
        <w:rPr>
          <w:rFonts w:hint="eastAsia" w:hAnsi="宋体" w:cs="宋体"/>
          <w:color w:val="auto"/>
          <w:sz w:val="21"/>
          <w:szCs w:val="21"/>
          <w:highlight w:val="none"/>
        </w:rPr>
        <w:t>配备总配电箱</w:t>
      </w:r>
      <w:r>
        <w:rPr>
          <w:rFonts w:hint="eastAsia" w:hAnsi="宋体" w:cs="宋体"/>
          <w:color w:val="auto"/>
          <w:spacing w:val="-10"/>
          <w:sz w:val="21"/>
          <w:szCs w:val="21"/>
          <w:highlight w:val="none"/>
        </w:rPr>
        <w:t>、</w:t>
      </w:r>
      <w:r>
        <w:rPr>
          <w:rFonts w:hint="eastAsia" w:hAnsi="宋体" w:cs="宋体"/>
          <w:color w:val="auto"/>
          <w:sz w:val="21"/>
          <w:szCs w:val="21"/>
          <w:highlight w:val="none"/>
        </w:rPr>
        <w:t>分配电箱</w:t>
      </w:r>
      <w:r>
        <w:rPr>
          <w:rFonts w:hint="eastAsia" w:hAnsi="宋体" w:cs="宋体"/>
          <w:color w:val="auto"/>
          <w:spacing w:val="-10"/>
          <w:sz w:val="21"/>
          <w:szCs w:val="21"/>
          <w:highlight w:val="none"/>
        </w:rPr>
        <w:t>、</w:t>
      </w:r>
      <w:r>
        <w:rPr>
          <w:rFonts w:hint="eastAsia" w:hAnsi="宋体" w:cs="宋体"/>
          <w:color w:val="auto"/>
          <w:sz w:val="21"/>
          <w:szCs w:val="21"/>
          <w:highlight w:val="none"/>
        </w:rPr>
        <w:t>开关箱三类标准电箱</w:t>
      </w:r>
      <w:r>
        <w:rPr>
          <w:rFonts w:hint="eastAsia" w:hAnsi="宋体" w:cs="宋体"/>
          <w:color w:val="auto"/>
          <w:spacing w:val="-10"/>
          <w:sz w:val="21"/>
          <w:szCs w:val="21"/>
          <w:highlight w:val="none"/>
        </w:rPr>
        <w:t>。</w:t>
      </w:r>
      <w:r>
        <w:rPr>
          <w:rFonts w:hint="eastAsia" w:hAnsi="宋体" w:cs="宋体"/>
          <w:color w:val="auto"/>
          <w:sz w:val="21"/>
          <w:szCs w:val="21"/>
          <w:highlight w:val="none"/>
        </w:rPr>
        <w:t>开关箱应符合一机、一箱、一闸、一漏的要求。三类电箱中的各类电器应是合格品。</w:t>
      </w:r>
    </w:p>
    <w:p>
      <w:pPr>
        <w:spacing w:line="360" w:lineRule="auto"/>
        <w:ind w:right="-99" w:firstLine="420" w:firstLineChars="200"/>
        <w:jc w:val="both"/>
        <w:rPr>
          <w:rFonts w:hAnsi="宋体" w:cs="宋体"/>
          <w:color w:val="auto"/>
          <w:sz w:val="21"/>
          <w:szCs w:val="21"/>
          <w:highlight w:val="none"/>
        </w:rPr>
      </w:pPr>
      <w:r>
        <w:rPr>
          <w:rFonts w:hint="eastAsia" w:hAnsi="宋体" w:cs="宋体"/>
          <w:color w:val="auto"/>
          <w:sz w:val="21"/>
          <w:szCs w:val="21"/>
          <w:highlight w:val="none"/>
        </w:rPr>
        <w:t>6.5 按两级保护的要求</w:t>
      </w:r>
      <w:r>
        <w:rPr>
          <w:rFonts w:hint="eastAsia" w:hAnsi="宋体" w:cs="宋体"/>
          <w:color w:val="auto"/>
          <w:spacing w:val="-36"/>
          <w:sz w:val="21"/>
          <w:szCs w:val="21"/>
          <w:highlight w:val="none"/>
        </w:rPr>
        <w:t>，</w:t>
      </w:r>
      <w:r>
        <w:rPr>
          <w:rFonts w:hint="eastAsia" w:hAnsi="宋体" w:cs="宋体"/>
          <w:color w:val="auto"/>
          <w:sz w:val="21"/>
          <w:szCs w:val="21"/>
          <w:highlight w:val="none"/>
        </w:rPr>
        <w:t>选取符合容量要求和质量合格的总配电箱和开关箱中的漏电保护器。</w:t>
      </w:r>
    </w:p>
    <w:p>
      <w:pPr>
        <w:spacing w:line="360" w:lineRule="auto"/>
        <w:ind w:right="-20" w:firstLine="420" w:firstLineChars="200"/>
        <w:jc w:val="both"/>
        <w:rPr>
          <w:rFonts w:hAnsi="宋体" w:cs="宋体"/>
          <w:color w:val="auto"/>
          <w:sz w:val="21"/>
          <w:szCs w:val="21"/>
          <w:highlight w:val="none"/>
        </w:rPr>
      </w:pPr>
      <w:r>
        <w:rPr>
          <w:rFonts w:hint="eastAsia" w:hAnsi="宋体" w:cs="宋体"/>
          <w:color w:val="auto"/>
          <w:position w:val="-2"/>
          <w:sz w:val="21"/>
          <w:szCs w:val="21"/>
          <w:highlight w:val="none"/>
        </w:rPr>
        <w:t>7、临边、洞口、交叉高处作业防护</w:t>
      </w:r>
    </w:p>
    <w:p>
      <w:pPr>
        <w:tabs>
          <w:tab w:val="left" w:pos="927"/>
        </w:tabs>
        <w:spacing w:line="360" w:lineRule="auto"/>
        <w:ind w:left="19" w:leftChars="9" w:firstLine="420" w:firstLineChars="200"/>
        <w:jc w:val="both"/>
        <w:rPr>
          <w:rFonts w:hAnsi="宋体" w:cs="宋体"/>
          <w:color w:val="auto"/>
          <w:sz w:val="21"/>
          <w:szCs w:val="21"/>
          <w:highlight w:val="none"/>
        </w:rPr>
      </w:pPr>
      <w:r>
        <w:rPr>
          <w:rFonts w:hint="eastAsia" w:hAnsi="宋体" w:cs="宋体"/>
          <w:color w:val="auto"/>
          <w:sz w:val="21"/>
          <w:szCs w:val="21"/>
          <w:highlight w:val="none"/>
        </w:rPr>
        <w:t>8、中标人在现场配置的各类特种施工设备在进场、安装、使用前必须按规定向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提交有关证明资料（包括由依法经核准的特种设备检验检测机构出具的设备合格检测报告、安装单位资质证明材料、安装人员特种作业人员资格证等），经</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批准后，方可组织施工。严禁使用未经检测或检测不合格的施工起重机械。</w:t>
      </w:r>
    </w:p>
    <w:p>
      <w:pPr>
        <w:spacing w:line="360" w:lineRule="auto"/>
        <w:ind w:right="-59" w:firstLine="475" w:firstLineChars="250"/>
        <w:jc w:val="both"/>
        <w:rPr>
          <w:rFonts w:hAnsi="宋体" w:cs="宋体"/>
          <w:color w:val="auto"/>
          <w:sz w:val="21"/>
          <w:szCs w:val="21"/>
          <w:highlight w:val="none"/>
        </w:rPr>
      </w:pPr>
      <w:r>
        <w:rPr>
          <w:rFonts w:hint="eastAsia" w:hAnsi="宋体" w:cs="宋体"/>
          <w:color w:val="auto"/>
          <w:spacing w:val="-10"/>
          <w:sz w:val="21"/>
          <w:szCs w:val="21"/>
          <w:highlight w:val="none"/>
        </w:rPr>
        <w:t>9</w:t>
      </w:r>
      <w:r>
        <w:rPr>
          <w:rFonts w:hint="eastAsia" w:hAnsi="宋体" w:cs="宋体"/>
          <w:color w:val="auto"/>
          <w:sz w:val="21"/>
          <w:szCs w:val="21"/>
          <w:highlight w:val="none"/>
        </w:rPr>
        <w:t>、施工现场应按消防要求配置消防设备，加强保卫巡逻，消除各种安全隐患。</w:t>
      </w:r>
    </w:p>
    <w:p>
      <w:pPr>
        <w:spacing w:line="360" w:lineRule="auto"/>
        <w:ind w:right="-58" w:firstLine="420" w:firstLineChars="200"/>
        <w:jc w:val="both"/>
        <w:rPr>
          <w:rFonts w:hAnsi="宋体" w:cs="宋体"/>
          <w:color w:val="auto"/>
          <w:sz w:val="21"/>
          <w:szCs w:val="21"/>
          <w:highlight w:val="none"/>
        </w:rPr>
      </w:pPr>
      <w:r>
        <w:rPr>
          <w:rFonts w:hint="eastAsia" w:hAnsi="宋体" w:cs="宋体"/>
          <w:color w:val="auto"/>
          <w:sz w:val="21"/>
          <w:szCs w:val="21"/>
          <w:highlight w:val="none"/>
        </w:rPr>
        <w:t>10</w:t>
      </w:r>
      <w:r>
        <w:rPr>
          <w:rFonts w:hint="eastAsia" w:hAnsi="宋体" w:cs="宋体"/>
          <w:color w:val="auto"/>
          <w:spacing w:val="-12"/>
          <w:sz w:val="21"/>
          <w:szCs w:val="21"/>
          <w:highlight w:val="none"/>
        </w:rPr>
        <w:t>、</w:t>
      </w:r>
      <w:r>
        <w:rPr>
          <w:rFonts w:hint="eastAsia" w:hAnsi="宋体" w:cs="宋体"/>
          <w:color w:val="auto"/>
          <w:sz w:val="21"/>
          <w:szCs w:val="21"/>
          <w:highlight w:val="none"/>
        </w:rPr>
        <w:t>施工企业应做好施工现场作业区</w:t>
      </w:r>
      <w:r>
        <w:rPr>
          <w:rFonts w:hint="eastAsia" w:hAnsi="宋体" w:cs="宋体"/>
          <w:color w:val="auto"/>
          <w:spacing w:val="-12"/>
          <w:sz w:val="21"/>
          <w:szCs w:val="21"/>
          <w:highlight w:val="none"/>
        </w:rPr>
        <w:t>、</w:t>
      </w:r>
      <w:r>
        <w:rPr>
          <w:rFonts w:hint="eastAsia" w:hAnsi="宋体" w:cs="宋体"/>
          <w:color w:val="auto"/>
          <w:sz w:val="21"/>
          <w:szCs w:val="21"/>
          <w:highlight w:val="none"/>
        </w:rPr>
        <w:t>办公区和生活区的防火工作</w:t>
      </w:r>
      <w:r>
        <w:rPr>
          <w:rFonts w:hint="eastAsia" w:hAnsi="宋体" w:cs="宋体"/>
          <w:color w:val="auto"/>
          <w:spacing w:val="-12"/>
          <w:sz w:val="21"/>
          <w:szCs w:val="21"/>
          <w:highlight w:val="none"/>
        </w:rPr>
        <w:t>，</w:t>
      </w:r>
      <w:r>
        <w:rPr>
          <w:rFonts w:hint="eastAsia" w:hAnsi="宋体" w:cs="宋体"/>
          <w:color w:val="auto"/>
          <w:sz w:val="21"/>
          <w:szCs w:val="21"/>
          <w:highlight w:val="none"/>
        </w:rPr>
        <w:t>建立健全消防制度和应急措施。</w:t>
      </w:r>
    </w:p>
    <w:p>
      <w:pPr>
        <w:spacing w:line="360" w:lineRule="auto"/>
        <w:ind w:right="-64" w:firstLine="420" w:firstLineChars="200"/>
        <w:jc w:val="both"/>
        <w:rPr>
          <w:rFonts w:hAnsi="宋体" w:cs="宋体"/>
          <w:color w:val="auto"/>
          <w:sz w:val="21"/>
          <w:szCs w:val="21"/>
          <w:highlight w:val="none"/>
        </w:rPr>
      </w:pPr>
      <w:r>
        <w:rPr>
          <w:rFonts w:hint="eastAsia" w:hAnsi="宋体" w:cs="宋体"/>
          <w:color w:val="auto"/>
          <w:sz w:val="21"/>
          <w:szCs w:val="21"/>
          <w:highlight w:val="none"/>
        </w:rPr>
        <w:t>11</w:t>
      </w:r>
      <w:r>
        <w:rPr>
          <w:rFonts w:hint="eastAsia" w:hAnsi="宋体" w:cs="宋体"/>
          <w:color w:val="auto"/>
          <w:spacing w:val="-12"/>
          <w:sz w:val="21"/>
          <w:szCs w:val="21"/>
          <w:highlight w:val="none"/>
        </w:rPr>
        <w:t>、</w:t>
      </w:r>
      <w:r>
        <w:rPr>
          <w:rFonts w:hint="eastAsia" w:hAnsi="宋体" w:cs="宋体"/>
          <w:color w:val="auto"/>
          <w:sz w:val="21"/>
          <w:szCs w:val="21"/>
          <w:highlight w:val="none"/>
        </w:rPr>
        <w:t>施工现场应制定严格的防火措施及灭火方案</w:t>
      </w:r>
      <w:r>
        <w:rPr>
          <w:rFonts w:hint="eastAsia" w:hAnsi="宋体" w:cs="宋体"/>
          <w:color w:val="auto"/>
          <w:spacing w:val="-11"/>
          <w:sz w:val="21"/>
          <w:szCs w:val="21"/>
          <w:highlight w:val="none"/>
        </w:rPr>
        <w:t>，</w:t>
      </w:r>
      <w:r>
        <w:rPr>
          <w:rFonts w:hint="eastAsia" w:hAnsi="宋体" w:cs="宋体"/>
          <w:color w:val="auto"/>
          <w:sz w:val="21"/>
          <w:szCs w:val="21"/>
          <w:highlight w:val="none"/>
        </w:rPr>
        <w:t>并按消防规定配备灭火器材</w:t>
      </w:r>
      <w:r>
        <w:rPr>
          <w:rFonts w:hint="eastAsia" w:hAnsi="宋体" w:cs="宋体"/>
          <w:color w:val="auto"/>
          <w:spacing w:val="-11"/>
          <w:sz w:val="21"/>
          <w:szCs w:val="21"/>
          <w:highlight w:val="none"/>
        </w:rPr>
        <w:t>。</w:t>
      </w:r>
      <w:r>
        <w:rPr>
          <w:rFonts w:hint="eastAsia" w:hAnsi="宋体" w:cs="宋体"/>
          <w:color w:val="auto"/>
          <w:sz w:val="21"/>
          <w:szCs w:val="21"/>
          <w:highlight w:val="none"/>
        </w:rPr>
        <w:t>在易于发生火灾的地方进行焊接施工时应采取严格的防范措施。</w:t>
      </w:r>
    </w:p>
    <w:p>
      <w:pPr>
        <w:spacing w:line="360" w:lineRule="auto"/>
        <w:ind w:right="-58" w:firstLine="420" w:firstLineChars="200"/>
        <w:jc w:val="both"/>
        <w:rPr>
          <w:rFonts w:hAnsi="宋体" w:cs="宋体"/>
          <w:color w:val="auto"/>
          <w:sz w:val="21"/>
          <w:szCs w:val="21"/>
          <w:highlight w:val="none"/>
        </w:rPr>
      </w:pPr>
      <w:r>
        <w:rPr>
          <w:rFonts w:hint="eastAsia" w:hAnsi="宋体" w:cs="宋体"/>
          <w:color w:val="auto"/>
          <w:sz w:val="21"/>
          <w:szCs w:val="21"/>
          <w:highlight w:val="none"/>
        </w:rPr>
        <w:t>12</w:t>
      </w:r>
      <w:r>
        <w:rPr>
          <w:rFonts w:hint="eastAsia" w:hAnsi="宋体" w:cs="宋体"/>
          <w:color w:val="auto"/>
          <w:spacing w:val="-12"/>
          <w:sz w:val="21"/>
          <w:szCs w:val="21"/>
          <w:highlight w:val="none"/>
        </w:rPr>
        <w:t>、</w:t>
      </w:r>
      <w:r>
        <w:rPr>
          <w:rFonts w:hint="eastAsia" w:hAnsi="宋体" w:cs="宋体"/>
          <w:color w:val="auto"/>
          <w:sz w:val="21"/>
          <w:szCs w:val="21"/>
          <w:highlight w:val="none"/>
        </w:rPr>
        <w:t>作业人员必须佩戴安全帽</w:t>
      </w:r>
      <w:r>
        <w:rPr>
          <w:rFonts w:hint="eastAsia" w:hAnsi="宋体" w:cs="宋体"/>
          <w:color w:val="auto"/>
          <w:spacing w:val="-12"/>
          <w:sz w:val="21"/>
          <w:szCs w:val="21"/>
          <w:highlight w:val="none"/>
        </w:rPr>
        <w:t>、</w:t>
      </w:r>
      <w:r>
        <w:rPr>
          <w:rFonts w:hint="eastAsia" w:hAnsi="宋体" w:cs="宋体"/>
          <w:color w:val="auto"/>
          <w:sz w:val="21"/>
          <w:szCs w:val="21"/>
          <w:highlight w:val="none"/>
        </w:rPr>
        <w:t>高空作业要佩戴安全带</w:t>
      </w:r>
      <w:r>
        <w:rPr>
          <w:rFonts w:hint="eastAsia" w:hAnsi="宋体" w:cs="宋体"/>
          <w:color w:val="auto"/>
          <w:spacing w:val="-12"/>
          <w:sz w:val="21"/>
          <w:szCs w:val="21"/>
          <w:highlight w:val="none"/>
        </w:rPr>
        <w:t>。</w:t>
      </w:r>
    </w:p>
    <w:p>
      <w:pPr>
        <w:spacing w:line="360" w:lineRule="auto"/>
        <w:ind w:right="-61" w:firstLine="420" w:firstLineChars="200"/>
        <w:jc w:val="both"/>
        <w:rPr>
          <w:rFonts w:hAnsi="宋体" w:cs="宋体"/>
          <w:color w:val="auto"/>
          <w:sz w:val="21"/>
          <w:szCs w:val="21"/>
          <w:highlight w:val="none"/>
        </w:rPr>
      </w:pP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(七) 环境保护及卫生</w:t>
      </w:r>
    </w:p>
    <w:p>
      <w:pPr>
        <w:spacing w:line="360" w:lineRule="auto"/>
        <w:ind w:right="285" w:firstLine="420" w:firstLineChars="200"/>
        <w:jc w:val="both"/>
        <w:rPr>
          <w:rFonts w:hAnsi="宋体" w:cs="宋体"/>
          <w:color w:val="auto"/>
          <w:sz w:val="21"/>
          <w:szCs w:val="21"/>
          <w:highlight w:val="none"/>
        </w:rPr>
      </w:pPr>
      <w:r>
        <w:rPr>
          <w:rFonts w:hint="eastAsia" w:hAnsi="宋体" w:cs="宋体"/>
          <w:color w:val="auto"/>
          <w:sz w:val="21"/>
          <w:szCs w:val="21"/>
          <w:highlight w:val="none"/>
        </w:rPr>
        <w:t>1、现场对容易产生扬尘、恶臭污染的作业面应当采取遮挡围蔽、喷水降尘等措施。 。</w:t>
      </w:r>
    </w:p>
    <w:p>
      <w:pPr>
        <w:spacing w:line="360" w:lineRule="auto"/>
        <w:ind w:right="-27" w:firstLine="420" w:firstLineChars="200"/>
        <w:jc w:val="both"/>
        <w:rPr>
          <w:rFonts w:hAnsi="宋体" w:cs="宋体"/>
          <w:color w:val="auto"/>
          <w:sz w:val="21"/>
          <w:szCs w:val="21"/>
          <w:highlight w:val="none"/>
        </w:rPr>
      </w:pPr>
      <w:r>
        <w:rPr>
          <w:rFonts w:hint="eastAsia" w:hAnsi="宋体" w:cs="宋体"/>
          <w:color w:val="auto"/>
          <w:sz w:val="21"/>
          <w:szCs w:val="21"/>
          <w:highlight w:val="none"/>
        </w:rPr>
        <w:t>2、施工现场应设立垃圾池，施工和生活垃圾分别集中堆放并及时清运。施工现场禁止使用有毒、有害物质作为燃料，禁止燃烧各类废料和生活垃圾。</w:t>
      </w:r>
    </w:p>
    <w:p>
      <w:pPr>
        <w:spacing w:line="360" w:lineRule="auto"/>
        <w:ind w:right="285" w:firstLine="420" w:firstLineChars="200"/>
        <w:jc w:val="both"/>
        <w:rPr>
          <w:rFonts w:hAnsi="宋体" w:cs="宋体"/>
          <w:color w:val="auto"/>
          <w:sz w:val="21"/>
          <w:szCs w:val="21"/>
          <w:highlight w:val="none"/>
        </w:rPr>
      </w:pPr>
      <w:r>
        <w:rPr>
          <w:rFonts w:hint="eastAsia" w:hAnsi="宋体" w:cs="宋体"/>
          <w:color w:val="auto"/>
          <w:sz w:val="21"/>
          <w:szCs w:val="21"/>
          <w:highlight w:val="none"/>
        </w:rPr>
        <w:t>3、运输车辆应采取封闭、覆盖，外运前须采取有效措施，防止飞扬、洒落、流溢，保证行驶途中不污染道路和环境。对散落地面的垃圾要及时清扫冲洗，保持道路清洁。</w:t>
      </w:r>
    </w:p>
    <w:p>
      <w:pPr>
        <w:spacing w:line="360" w:lineRule="auto"/>
        <w:ind w:right="285" w:firstLine="420" w:firstLineChars="200"/>
        <w:jc w:val="both"/>
        <w:rPr>
          <w:rFonts w:hAnsi="宋体" w:cs="宋体"/>
          <w:color w:val="auto"/>
          <w:sz w:val="21"/>
          <w:szCs w:val="21"/>
          <w:highlight w:val="none"/>
        </w:rPr>
      </w:pPr>
      <w:r>
        <w:rPr>
          <w:rFonts w:hint="eastAsia" w:hAnsi="宋体" w:cs="宋体"/>
          <w:color w:val="auto"/>
          <w:sz w:val="21"/>
          <w:szCs w:val="21"/>
          <w:highlight w:val="none"/>
        </w:rPr>
        <w:t>4、采取有效措施控制现场的各种粉尘、废气、废水、固体废弃物以及噪声、振动对环境的污染和危害。对产生的噪声、振动的施工机械，采取有效控制措施，减轻噪声扰民。</w:t>
      </w:r>
    </w:p>
    <w:p>
      <w:pPr>
        <w:spacing w:line="360" w:lineRule="auto"/>
        <w:ind w:left="101" w:leftChars="48" w:right="285" w:firstLine="315" w:firstLineChars="150"/>
        <w:jc w:val="both"/>
        <w:rPr>
          <w:rFonts w:hAnsi="宋体" w:cs="宋体"/>
          <w:color w:val="auto"/>
          <w:sz w:val="21"/>
          <w:szCs w:val="21"/>
          <w:highlight w:val="none"/>
        </w:rPr>
      </w:pPr>
      <w:r>
        <w:rPr>
          <w:rFonts w:hint="eastAsia" w:hAnsi="宋体" w:cs="宋体"/>
          <w:color w:val="auto"/>
          <w:sz w:val="21"/>
          <w:szCs w:val="21"/>
          <w:highlight w:val="none"/>
        </w:rPr>
        <w:t>5、办公室、现场宿舍、食堂</w:t>
      </w:r>
      <w:r>
        <w:rPr>
          <w:rFonts w:hint="eastAsia" w:hAnsi="宋体" w:cs="宋体"/>
          <w:color w:val="auto"/>
          <w:spacing w:val="1"/>
          <w:sz w:val="21"/>
          <w:szCs w:val="21"/>
          <w:highlight w:val="none"/>
        </w:rPr>
        <w:t>、</w:t>
      </w:r>
      <w:r>
        <w:rPr>
          <w:rFonts w:hint="eastAsia" w:hAnsi="宋体" w:cs="宋体"/>
          <w:color w:val="auto"/>
          <w:sz w:val="21"/>
          <w:szCs w:val="21"/>
          <w:highlight w:val="none"/>
        </w:rPr>
        <w:t>厕所、饮水、休息场所符合卫生和安全要求。中标方要建立健全施工现场卫生责任制。教育员工搞好个人卫生，提高员工预防疾病的意识。合理安排工作时间，保证员工有充分的休息。注意员工的营养需要，提高员工抵抗疾病的能力。夏季施工应当有防暑降温措施。</w:t>
      </w:r>
    </w:p>
    <w:p>
      <w:pPr>
        <w:spacing w:line="360" w:lineRule="auto"/>
        <w:ind w:right="285" w:firstLine="420" w:firstLineChars="200"/>
        <w:jc w:val="both"/>
        <w:rPr>
          <w:rFonts w:hAnsi="宋体" w:cs="宋体"/>
          <w:color w:val="auto"/>
          <w:sz w:val="21"/>
          <w:szCs w:val="21"/>
          <w:highlight w:val="none"/>
        </w:rPr>
      </w:pPr>
      <w:r>
        <w:rPr>
          <w:rFonts w:hint="eastAsia" w:hAnsi="宋体" w:cs="宋体"/>
          <w:color w:val="auto"/>
          <w:sz w:val="21"/>
          <w:szCs w:val="21"/>
          <w:highlight w:val="none"/>
        </w:rPr>
        <w:t>6、炊事人员应当定期进行体检，取得《健康证》后方可上岗。炊事人员工作时应当穿戴白色工作服、工作帽，帽外不露长发，不得穿拖鞋。厨房操作应当符合卫生要求，洗、切、煮、卖、存等环节要设置合理，生熟食物要严格分开，食物放置高度应不小于 0.2 米。厨具用后随即洗刷干净，并消毒。</w:t>
      </w:r>
    </w:p>
    <w:p>
      <w:pPr>
        <w:spacing w:line="360" w:lineRule="auto"/>
        <w:ind w:right="285" w:firstLine="420" w:firstLineChars="200"/>
        <w:jc w:val="both"/>
        <w:rPr>
          <w:rFonts w:hAnsi="宋体" w:cs="宋体"/>
          <w:color w:val="auto"/>
          <w:sz w:val="21"/>
          <w:szCs w:val="21"/>
          <w:highlight w:val="none"/>
        </w:rPr>
      </w:pPr>
      <w:r>
        <w:rPr>
          <w:rFonts w:hint="eastAsia" w:hAnsi="宋体" w:cs="宋体"/>
          <w:color w:val="auto"/>
          <w:sz w:val="21"/>
          <w:szCs w:val="21"/>
          <w:highlight w:val="none"/>
        </w:rPr>
        <w:t>7、现场应当落实各项除“四害”措施，严格控制“四害”孳生，厕所、浴室要落实专人清扫，定期喷药，保持工作和生活环境清洁，预防和控制传染病的发生。</w:t>
      </w:r>
    </w:p>
    <w:p>
      <w:pPr>
        <w:spacing w:line="360" w:lineRule="auto"/>
        <w:ind w:right="-58" w:firstLine="420" w:firstLineChars="200"/>
        <w:jc w:val="both"/>
        <w:rPr>
          <w:rFonts w:hAnsi="宋体" w:cs="宋体"/>
          <w:color w:val="auto"/>
          <w:sz w:val="21"/>
          <w:szCs w:val="21"/>
          <w:highlight w:val="none"/>
        </w:rPr>
      </w:pPr>
      <w:r>
        <w:rPr>
          <w:rFonts w:hint="eastAsia" w:hAnsi="宋体" w:cs="宋体"/>
          <w:color w:val="auto"/>
          <w:position w:val="-2"/>
          <w:sz w:val="21"/>
          <w:szCs w:val="21"/>
          <w:highlight w:val="none"/>
        </w:rPr>
        <w:t>8、现场应当设立医疗急救箱</w:t>
      </w:r>
      <w:r>
        <w:rPr>
          <w:rFonts w:hint="eastAsia" w:hAnsi="宋体" w:cs="宋体"/>
          <w:color w:val="auto"/>
          <w:spacing w:val="-12"/>
          <w:position w:val="-2"/>
          <w:sz w:val="21"/>
          <w:szCs w:val="21"/>
          <w:highlight w:val="none"/>
        </w:rPr>
        <w:t>，</w:t>
      </w:r>
      <w:r>
        <w:rPr>
          <w:rFonts w:hint="eastAsia" w:hAnsi="宋体" w:cs="宋体"/>
          <w:color w:val="auto"/>
          <w:position w:val="-2"/>
          <w:sz w:val="21"/>
          <w:szCs w:val="21"/>
          <w:highlight w:val="none"/>
        </w:rPr>
        <w:t>配备电子式探热器等医疗和急救用品</w:t>
      </w:r>
      <w:r>
        <w:rPr>
          <w:rFonts w:hint="eastAsia" w:hAnsi="宋体" w:cs="宋体"/>
          <w:color w:val="auto"/>
          <w:spacing w:val="-12"/>
          <w:position w:val="-2"/>
          <w:sz w:val="21"/>
          <w:szCs w:val="21"/>
          <w:highlight w:val="none"/>
        </w:rPr>
        <w:t>。</w:t>
      </w:r>
      <w:r>
        <w:rPr>
          <w:rFonts w:hint="eastAsia" w:hAnsi="宋体" w:cs="宋体"/>
          <w:color w:val="auto"/>
          <w:position w:val="-2"/>
          <w:sz w:val="21"/>
          <w:szCs w:val="21"/>
          <w:highlight w:val="none"/>
        </w:rPr>
        <w:t>要有经</w:t>
      </w:r>
      <w:r>
        <w:rPr>
          <w:rFonts w:hint="eastAsia" w:hAnsi="宋体" w:cs="宋体"/>
          <w:color w:val="auto"/>
          <w:sz w:val="21"/>
          <w:szCs w:val="21"/>
          <w:highlight w:val="none"/>
        </w:rPr>
        <w:t>培训的急救人员，熟悉急救措施和急救用品的使用。</w:t>
      </w:r>
    </w:p>
    <w:p>
      <w:pPr>
        <w:spacing w:line="360" w:lineRule="auto"/>
        <w:ind w:right="81" w:firstLine="420" w:firstLineChars="200"/>
        <w:jc w:val="both"/>
        <w:rPr>
          <w:rFonts w:hAnsi="宋体" w:cs="宋体"/>
          <w:color w:val="auto"/>
          <w:sz w:val="21"/>
          <w:szCs w:val="21"/>
          <w:highlight w:val="none"/>
        </w:rPr>
      </w:pPr>
      <w:r>
        <w:rPr>
          <w:rFonts w:hint="eastAsia" w:hAnsi="宋体" w:cs="宋体"/>
          <w:color w:val="auto"/>
          <w:sz w:val="21"/>
          <w:szCs w:val="21"/>
          <w:highlight w:val="none"/>
        </w:rPr>
        <w:t>9</w:t>
      </w:r>
      <w:r>
        <w:rPr>
          <w:rFonts w:hint="eastAsia" w:hAnsi="宋体" w:cs="宋体"/>
          <w:color w:val="auto"/>
          <w:spacing w:val="-10"/>
          <w:sz w:val="21"/>
          <w:szCs w:val="21"/>
          <w:highlight w:val="none"/>
        </w:rPr>
        <w:t>、</w:t>
      </w:r>
      <w:r>
        <w:rPr>
          <w:rFonts w:hint="eastAsia" w:hAnsi="宋体" w:cs="宋体"/>
          <w:color w:val="auto"/>
          <w:sz w:val="21"/>
          <w:szCs w:val="21"/>
          <w:highlight w:val="none"/>
        </w:rPr>
        <w:t>组织场容清洁队</w:t>
      </w:r>
      <w:r>
        <w:rPr>
          <w:rFonts w:hint="eastAsia" w:hAnsi="宋体" w:cs="宋体"/>
          <w:color w:val="auto"/>
          <w:spacing w:val="-7"/>
          <w:sz w:val="21"/>
          <w:szCs w:val="21"/>
          <w:highlight w:val="none"/>
        </w:rPr>
        <w:t>，</w:t>
      </w:r>
      <w:r>
        <w:rPr>
          <w:rFonts w:hint="eastAsia" w:hAnsi="宋体" w:cs="宋体"/>
          <w:color w:val="auto"/>
          <w:sz w:val="21"/>
          <w:szCs w:val="21"/>
          <w:highlight w:val="none"/>
        </w:rPr>
        <w:t>专门负责生产区</w:t>
      </w:r>
      <w:r>
        <w:rPr>
          <w:rFonts w:hint="eastAsia" w:hAnsi="宋体" w:cs="宋体"/>
          <w:color w:val="auto"/>
          <w:spacing w:val="-10"/>
          <w:sz w:val="21"/>
          <w:szCs w:val="21"/>
          <w:highlight w:val="none"/>
        </w:rPr>
        <w:t>、</w:t>
      </w:r>
      <w:r>
        <w:rPr>
          <w:rFonts w:hint="eastAsia" w:hAnsi="宋体" w:cs="宋体"/>
          <w:color w:val="auto"/>
          <w:sz w:val="21"/>
          <w:szCs w:val="21"/>
          <w:highlight w:val="none"/>
        </w:rPr>
        <w:t>生活区的清洁卫生工作</w:t>
      </w:r>
      <w:r>
        <w:rPr>
          <w:rFonts w:hint="eastAsia" w:hAnsi="宋体" w:cs="宋体"/>
          <w:color w:val="auto"/>
          <w:spacing w:val="-10"/>
          <w:sz w:val="21"/>
          <w:szCs w:val="21"/>
          <w:highlight w:val="none"/>
        </w:rPr>
        <w:t>，</w:t>
      </w:r>
      <w:r>
        <w:rPr>
          <w:rFonts w:hint="eastAsia" w:hAnsi="宋体" w:cs="宋体"/>
          <w:color w:val="auto"/>
          <w:sz w:val="21"/>
          <w:szCs w:val="21"/>
          <w:highlight w:val="none"/>
        </w:rPr>
        <w:t>生活垃圾应及时运出场外</w:t>
      </w:r>
      <w:r>
        <w:rPr>
          <w:rFonts w:hint="eastAsia" w:hAnsi="宋体" w:cs="宋体"/>
          <w:color w:val="auto"/>
          <w:spacing w:val="-12"/>
          <w:sz w:val="21"/>
          <w:szCs w:val="21"/>
          <w:highlight w:val="none"/>
        </w:rPr>
        <w:t>，</w:t>
      </w:r>
      <w:r>
        <w:rPr>
          <w:rFonts w:hint="eastAsia" w:hAnsi="宋体" w:cs="宋体"/>
          <w:color w:val="auto"/>
          <w:sz w:val="21"/>
          <w:szCs w:val="21"/>
          <w:highlight w:val="none"/>
        </w:rPr>
        <w:t>保持良好的现场环境</w:t>
      </w:r>
      <w:r>
        <w:rPr>
          <w:rFonts w:hint="eastAsia" w:hAnsi="宋体" w:cs="宋体"/>
          <w:color w:val="auto"/>
          <w:spacing w:val="-12"/>
          <w:sz w:val="21"/>
          <w:szCs w:val="21"/>
          <w:highlight w:val="none"/>
        </w:rPr>
        <w:t>，</w:t>
      </w:r>
      <w:r>
        <w:rPr>
          <w:rFonts w:hint="eastAsia" w:hAnsi="宋体" w:cs="宋体"/>
          <w:color w:val="auto"/>
          <w:sz w:val="21"/>
          <w:szCs w:val="21"/>
          <w:highlight w:val="none"/>
        </w:rPr>
        <w:t>生活区的工人宿舍</w:t>
      </w:r>
      <w:r>
        <w:rPr>
          <w:rFonts w:hint="eastAsia" w:hAnsi="宋体" w:cs="宋体"/>
          <w:color w:val="auto"/>
          <w:spacing w:val="-12"/>
          <w:sz w:val="21"/>
          <w:szCs w:val="21"/>
          <w:highlight w:val="none"/>
        </w:rPr>
        <w:t>、</w:t>
      </w:r>
      <w:r>
        <w:rPr>
          <w:rFonts w:hint="eastAsia" w:hAnsi="宋体" w:cs="宋体"/>
          <w:color w:val="auto"/>
          <w:sz w:val="21"/>
          <w:szCs w:val="21"/>
          <w:highlight w:val="none"/>
        </w:rPr>
        <w:t>厨房等场所要经常打扫，定期消毒，栽花种草，美化环境。</w:t>
      </w:r>
    </w:p>
    <w:p>
      <w:pPr>
        <w:spacing w:line="360" w:lineRule="auto"/>
        <w:ind w:right="197" w:firstLine="400" w:firstLineChars="200"/>
        <w:jc w:val="both"/>
        <w:rPr>
          <w:rFonts w:hAnsi="宋体" w:cs="宋体"/>
          <w:color w:val="auto"/>
          <w:spacing w:val="-5"/>
          <w:sz w:val="21"/>
          <w:szCs w:val="21"/>
          <w:highlight w:val="none"/>
        </w:rPr>
      </w:pPr>
      <w:r>
        <w:rPr>
          <w:rFonts w:hint="eastAsia" w:hAnsi="宋体" w:cs="宋体"/>
          <w:color w:val="auto"/>
          <w:spacing w:val="-5"/>
          <w:sz w:val="21"/>
          <w:szCs w:val="21"/>
          <w:highlight w:val="none"/>
        </w:rPr>
        <w:t>10、保证施工场地清洁符合环境卫生管理的有关规定，交工前清洁施工现场，承担因自身原因违反有关规定造成的损失和罚款，本项目环境保护应符合国家及行业相关标准。施工现场需成立、除臭小组，配备足额的除臭设备，灭蝇，灭蚊设备，定期消杀。</w:t>
      </w:r>
    </w:p>
    <w:p>
      <w:pPr>
        <w:tabs>
          <w:tab w:val="left" w:pos="927"/>
        </w:tabs>
        <w:spacing w:line="360" w:lineRule="auto"/>
        <w:ind w:firstLine="420" w:firstLineChars="200"/>
        <w:jc w:val="both"/>
        <w:rPr>
          <w:rFonts w:hAnsi="宋体" w:cs="宋体"/>
          <w:b/>
          <w:color w:val="auto"/>
          <w:sz w:val="21"/>
          <w:szCs w:val="21"/>
          <w:highlight w:val="none"/>
        </w:rPr>
      </w:pPr>
      <w:r>
        <w:rPr>
          <w:rFonts w:hint="eastAsia" w:hAnsi="宋体" w:cs="宋体"/>
          <w:color w:val="auto"/>
          <w:sz w:val="21"/>
          <w:szCs w:val="21"/>
          <w:highlight w:val="none"/>
        </w:rPr>
        <w:t>11</w:t>
      </w:r>
      <w:r>
        <w:rPr>
          <w:rFonts w:hint="eastAsia" w:hAnsi="宋体" w:cs="宋体"/>
          <w:color w:val="auto"/>
          <w:spacing w:val="-12"/>
          <w:sz w:val="21"/>
          <w:szCs w:val="21"/>
          <w:highlight w:val="none"/>
        </w:rPr>
        <w:t>、</w:t>
      </w:r>
      <w:r>
        <w:rPr>
          <w:rFonts w:hint="eastAsia" w:hAnsi="宋体" w:cs="宋体"/>
          <w:color w:val="auto"/>
          <w:sz w:val="21"/>
          <w:szCs w:val="21"/>
          <w:highlight w:val="none"/>
        </w:rPr>
        <w:t>工程竣工后</w:t>
      </w:r>
      <w:r>
        <w:rPr>
          <w:rFonts w:hint="eastAsia" w:hAnsi="宋体" w:cs="宋体"/>
          <w:color w:val="auto"/>
          <w:spacing w:val="-12"/>
          <w:sz w:val="21"/>
          <w:szCs w:val="21"/>
          <w:highlight w:val="none"/>
        </w:rPr>
        <w:t>，</w:t>
      </w:r>
      <w:r>
        <w:rPr>
          <w:rFonts w:hint="eastAsia" w:hAnsi="宋体" w:cs="宋体"/>
          <w:color w:val="auto"/>
          <w:sz w:val="21"/>
          <w:szCs w:val="21"/>
          <w:highlight w:val="none"/>
        </w:rPr>
        <w:t>施工企业应当在一个月内拆除工地围挡</w:t>
      </w:r>
      <w:r>
        <w:rPr>
          <w:rFonts w:hint="eastAsia" w:hAnsi="宋体" w:cs="宋体"/>
          <w:color w:val="auto"/>
          <w:spacing w:val="-12"/>
          <w:sz w:val="21"/>
          <w:szCs w:val="21"/>
          <w:highlight w:val="none"/>
        </w:rPr>
        <w:t>、</w:t>
      </w:r>
      <w:r>
        <w:rPr>
          <w:rFonts w:hint="eastAsia" w:hAnsi="宋体" w:cs="宋体"/>
          <w:color w:val="auto"/>
          <w:sz w:val="21"/>
          <w:szCs w:val="21"/>
          <w:highlight w:val="none"/>
        </w:rPr>
        <w:t>安全防护设施和其他临时设施，做到工完、料净、场地清。</w:t>
      </w:r>
    </w:p>
    <w:p>
      <w:pPr>
        <w:spacing w:line="360" w:lineRule="auto"/>
        <w:ind w:right="-40"/>
        <w:jc w:val="both"/>
        <w:rPr>
          <w:rFonts w:hAnsi="宋体" w:cs="宋体"/>
          <w:b/>
          <w:color w:val="auto"/>
          <w:spacing w:val="2"/>
          <w:w w:val="99"/>
          <w:position w:val="-3"/>
          <w:sz w:val="21"/>
          <w:szCs w:val="21"/>
          <w:highlight w:val="none"/>
        </w:rPr>
      </w:pPr>
      <w:r>
        <w:rPr>
          <w:rFonts w:hint="eastAsia" w:hAnsi="宋体" w:cs="宋体"/>
          <w:b/>
          <w:color w:val="auto"/>
          <w:spacing w:val="2"/>
          <w:w w:val="99"/>
          <w:position w:val="-3"/>
          <w:sz w:val="21"/>
          <w:szCs w:val="21"/>
          <w:highlight w:val="none"/>
        </w:rPr>
        <w:t>（八）  安全管理</w:t>
      </w:r>
    </w:p>
    <w:p>
      <w:pPr>
        <w:snapToGrid w:val="0"/>
        <w:spacing w:line="360" w:lineRule="auto"/>
        <w:ind w:firstLine="420" w:firstLineChars="200"/>
        <w:jc w:val="both"/>
        <w:rPr>
          <w:rFonts w:hAnsi="宋体" w:cs="宋体"/>
          <w:color w:val="auto"/>
          <w:sz w:val="21"/>
          <w:szCs w:val="21"/>
          <w:highlight w:val="none"/>
        </w:rPr>
      </w:pPr>
      <w:bookmarkStart w:id="53" w:name="_Toc433125995"/>
      <w:bookmarkEnd w:id="53"/>
      <w:bookmarkStart w:id="54" w:name="_Toc440648949"/>
      <w:bookmarkEnd w:id="54"/>
      <w:bookmarkStart w:id="55" w:name="_Toc440648644"/>
      <w:bookmarkEnd w:id="55"/>
      <w:bookmarkStart w:id="56" w:name="_Toc504924438"/>
      <w:bookmarkEnd w:id="56"/>
      <w:bookmarkStart w:id="57" w:name="_Toc440652153"/>
      <w:bookmarkEnd w:id="57"/>
      <w:bookmarkStart w:id="58" w:name="_Toc440623105"/>
      <w:bookmarkEnd w:id="58"/>
      <w:bookmarkStart w:id="59" w:name="_Toc441234913"/>
      <w:bookmarkEnd w:id="59"/>
      <w:bookmarkStart w:id="60" w:name="_Toc20575583"/>
      <w:bookmarkEnd w:id="60"/>
      <w:bookmarkStart w:id="61" w:name="_Toc504924422"/>
      <w:bookmarkEnd w:id="61"/>
      <w:bookmarkStart w:id="62" w:name="_Toc504028696"/>
      <w:bookmarkEnd w:id="62"/>
      <w:bookmarkStart w:id="63" w:name="_Toc503944312"/>
      <w:bookmarkEnd w:id="63"/>
      <w:bookmarkStart w:id="64" w:name="_Toc20726413"/>
      <w:bookmarkEnd w:id="64"/>
      <w:bookmarkStart w:id="65" w:name="_Toc513756565"/>
      <w:bookmarkEnd w:id="65"/>
      <w:bookmarkStart w:id="66" w:name="_Toc440623467"/>
      <w:bookmarkEnd w:id="66"/>
      <w:bookmarkStart w:id="67" w:name="_Toc440645518"/>
      <w:bookmarkEnd w:id="67"/>
      <w:bookmarkStart w:id="68" w:name="_Toc440648574"/>
      <w:bookmarkEnd w:id="68"/>
      <w:bookmarkStart w:id="69" w:name="_Toc440623259"/>
      <w:bookmarkEnd w:id="69"/>
      <w:bookmarkStart w:id="70" w:name="_Toc440530397"/>
      <w:bookmarkEnd w:id="70"/>
      <w:bookmarkStart w:id="71" w:name="_Toc440648538"/>
      <w:bookmarkEnd w:id="71"/>
      <w:bookmarkStart w:id="72" w:name="_Toc440646027"/>
      <w:bookmarkEnd w:id="72"/>
      <w:bookmarkStart w:id="73" w:name="_Toc440649916"/>
      <w:bookmarkEnd w:id="73"/>
      <w:bookmarkStart w:id="74" w:name="_Toc145512390"/>
      <w:r>
        <w:rPr>
          <w:rFonts w:hint="eastAsia" w:hAnsi="宋体" w:cs="宋体"/>
          <w:color w:val="auto"/>
          <w:sz w:val="21"/>
          <w:szCs w:val="21"/>
          <w:highlight w:val="none"/>
        </w:rPr>
        <w:t>1、中标人包人应按照市建设行政主管部门发布的施工安全文明施工措施费清单管理与支付办法，编制安全文明施工措施费清单并向中标人支付安全文明措施费。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2、中标人包人应对其在施工现场的工作人员进行安全教育，并对他们的安全负责。</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不得要求中标人违反安全文明施工的规定进行施工。</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4、中标人应按照</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提供的安全文明施工措施费清单，制定合理的安全文明施工措施和方案，并以书面形式提交给工程师。中标人应按照安全文明施工标准组织施工，采取必要的安全防护措施，消除事故隐患，并随时接受行业安全检查人员依法实施的监督检查。</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5、中标人安全生产管理机构和专职安全生产管理人员负责对施工企业现场安全文明措施的组织实施进行现场监督检查，并及时向</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和建设行政主管部门反映情况。</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6、由于中标人原因造成的安全事故，由中标人承担相应责任及发生的费用，工期不予顺延。</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7、</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对中标人落实施工企业现场安全文明措施情况进行现场监督。对中标人已经落实的施工企业现场安全文明措施，及时审查确认。如中标人未落实施工组织设计及专项施工方案中安全防护和文明施工措施的，</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有权责令其立即整改，必要时责令暂停施工。</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8、中标人应将其作业限制在现场内。在施工期间，中标人应保持现场没有障碍物，妥善存放和处理材料设备和中标人装备，及时从现场清除并运走任何残物、垃圾和不再需要的临时工程。</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9、中标人应确保施工现场安全文明措施费专款专用，在财务管理中单独列出施工企业现场安全文明措施项目费用清单及金额备查，并设立单独的安全文明措施费银行账户，接受</w:t>
      </w:r>
      <w:r>
        <w:rPr>
          <w:rFonts w:hint="eastAsia" w:hAnsi="宋体" w:cs="宋体"/>
          <w:color w:val="auto"/>
          <w:sz w:val="21"/>
          <w:szCs w:val="21"/>
          <w:highlight w:val="none"/>
          <w:lang w:eastAsia="zh-CN"/>
        </w:rPr>
        <w:t>采购人</w:t>
      </w:r>
      <w:r>
        <w:rPr>
          <w:rFonts w:hint="eastAsia" w:hAnsi="宋体" w:cs="宋体"/>
          <w:color w:val="auto"/>
          <w:sz w:val="21"/>
          <w:szCs w:val="21"/>
          <w:highlight w:val="none"/>
        </w:rPr>
        <w:t>的监管。中标人应当按照分包合同约定及时向分包人支付施工现场安全文明措施费。中标人不按约定支付费用，造成分包人不能及时落实安全防护措施导致发生事故的，由中标人负主要责任。</w:t>
      </w:r>
      <w:bookmarkEnd w:id="74"/>
    </w:p>
    <w:p>
      <w:pPr>
        <w:tabs>
          <w:tab w:val="left" w:pos="7226"/>
        </w:tabs>
        <w:spacing w:line="360" w:lineRule="auto"/>
        <w:jc w:val="both"/>
        <w:rPr>
          <w:rFonts w:hAnsi="宋体" w:cs="宋体"/>
          <w:color w:val="auto"/>
          <w:sz w:val="21"/>
          <w:szCs w:val="21"/>
          <w:highlight w:val="none"/>
          <w:lang w:val="zh-CN"/>
        </w:rPr>
      </w:pPr>
    </w:p>
    <w:p>
      <w:pPr>
        <w:rPr>
          <w:rFonts w:hint="eastAsia"/>
          <w:color w:val="auto"/>
          <w:sz w:val="28"/>
          <w:szCs w:val="28"/>
          <w:highlight w:val="none"/>
        </w:rPr>
      </w:pPr>
      <w:r>
        <w:rPr>
          <w:rFonts w:hint="eastAsia"/>
          <w:color w:val="auto"/>
          <w:sz w:val="28"/>
          <w:szCs w:val="28"/>
          <w:highlight w:val="none"/>
        </w:rPr>
        <w:br w:type="page"/>
      </w:r>
    </w:p>
    <w:p>
      <w:pPr>
        <w:pStyle w:val="6"/>
        <w:spacing w:before="0" w:after="0" w:line="240" w:lineRule="auto"/>
        <w:rPr>
          <w:color w:val="auto"/>
          <w:sz w:val="24"/>
          <w:szCs w:val="24"/>
          <w:highlight w:val="none"/>
        </w:rPr>
      </w:pPr>
      <w:r>
        <w:rPr>
          <w:rFonts w:hint="eastAsia"/>
          <w:color w:val="auto"/>
          <w:sz w:val="28"/>
          <w:szCs w:val="28"/>
          <w:highlight w:val="none"/>
        </w:rPr>
        <w:t>第四部分投标人须知</w:t>
      </w:r>
      <w:bookmarkEnd w:id="17"/>
    </w:p>
    <w:p>
      <w:pPr>
        <w:pStyle w:val="7"/>
        <w:numPr>
          <w:ilvl w:val="0"/>
          <w:numId w:val="4"/>
        </w:numPr>
        <w:spacing w:before="0" w:after="0" w:line="480" w:lineRule="auto"/>
        <w:jc w:val="center"/>
        <w:rPr>
          <w:rFonts w:ascii="宋体" w:hAnsi="宋体"/>
          <w:color w:val="auto"/>
          <w:highlight w:val="none"/>
        </w:rPr>
      </w:pPr>
      <w:bookmarkStart w:id="75" w:name="_Toc25201"/>
      <w:r>
        <w:rPr>
          <w:rFonts w:hint="eastAsia" w:ascii="宋体" w:hAnsi="宋体"/>
          <w:color w:val="auto"/>
          <w:highlight w:val="none"/>
        </w:rPr>
        <w:t>说明</w:t>
      </w:r>
      <w:bookmarkEnd w:id="75"/>
    </w:p>
    <w:p>
      <w:pPr>
        <w:pStyle w:val="8"/>
        <w:widowControl w:val="0"/>
        <w:numPr>
          <w:ilvl w:val="0"/>
          <w:numId w:val="5"/>
        </w:numPr>
        <w:overflowPunct w:val="0"/>
        <w:rPr>
          <w:rFonts w:ascii="宋体" w:hAnsi="宋体" w:cs="宋体"/>
          <w:color w:val="auto"/>
          <w:sz w:val="21"/>
          <w:szCs w:val="21"/>
          <w:highlight w:val="none"/>
        </w:rPr>
      </w:pPr>
      <w:bookmarkStart w:id="76" w:name="_Toc3534"/>
      <w:bookmarkStart w:id="77" w:name="_Toc18690"/>
      <w:r>
        <w:rPr>
          <w:rFonts w:hint="eastAsia" w:ascii="宋体" w:hAnsi="宋体" w:cs="宋体"/>
          <w:color w:val="auto"/>
          <w:sz w:val="21"/>
          <w:szCs w:val="21"/>
          <w:highlight w:val="none"/>
        </w:rPr>
        <w:t>适用范围</w:t>
      </w:r>
      <w:bookmarkEnd w:id="76"/>
      <w:bookmarkEnd w:id="77"/>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78" w:name="_Toc382049092"/>
      <w:bookmarkStart w:id="79" w:name="_Toc28435"/>
      <w:bookmarkStart w:id="80" w:name="_Toc20286"/>
      <w:bookmarkStart w:id="81" w:name="_Toc298847174"/>
      <w:bookmarkStart w:id="82" w:name="_Toc1530"/>
      <w:bookmarkStart w:id="83" w:name="_Toc303084246"/>
      <w:r>
        <w:rPr>
          <w:rFonts w:hint="eastAsia" w:ascii="宋体" w:hAnsi="宋体" w:cs="宋体"/>
          <w:color w:val="auto"/>
          <w:sz w:val="21"/>
          <w:szCs w:val="21"/>
          <w:highlight w:val="none"/>
        </w:rPr>
        <w:t>定义</w:t>
      </w:r>
      <w:bookmarkEnd w:id="78"/>
      <w:bookmarkEnd w:id="79"/>
      <w:bookmarkEnd w:id="80"/>
      <w:bookmarkEnd w:id="81"/>
      <w:bookmarkEnd w:id="82"/>
      <w:bookmarkEnd w:id="83"/>
    </w:p>
    <w:p>
      <w:pPr>
        <w:pStyle w:val="44"/>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中标人：指经评标委员会评审推荐、采购人确认的获得本项目中标资格的投标人。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84" w:name="_Toc11624"/>
      <w:bookmarkStart w:id="85" w:name="_Toc10625"/>
      <w:r>
        <w:rPr>
          <w:rFonts w:hint="eastAsia" w:ascii="宋体" w:hAnsi="宋体" w:cs="宋体"/>
          <w:color w:val="auto"/>
          <w:sz w:val="21"/>
          <w:szCs w:val="21"/>
          <w:highlight w:val="none"/>
        </w:rPr>
        <w:t>货物和服务</w:t>
      </w:r>
      <w:bookmarkEnd w:id="84"/>
      <w:bookmarkEnd w:id="85"/>
    </w:p>
    <w:p>
      <w:pPr>
        <w:pStyle w:val="44"/>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86" w:name="_Toc15719"/>
      <w:bookmarkStart w:id="87" w:name="_Toc1673"/>
      <w:r>
        <w:rPr>
          <w:rFonts w:hint="eastAsia" w:ascii="宋体" w:hAnsi="宋体" w:cs="宋体"/>
          <w:color w:val="auto"/>
          <w:sz w:val="21"/>
          <w:szCs w:val="21"/>
          <w:highlight w:val="none"/>
        </w:rPr>
        <w:t>投标费用</w:t>
      </w:r>
      <w:bookmarkEnd w:id="86"/>
      <w:bookmarkEnd w:id="87"/>
    </w:p>
    <w:p>
      <w:pPr>
        <w:pStyle w:val="44"/>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88" w:name="_Toc21477"/>
      <w:bookmarkStart w:id="89" w:name="_Toc6180"/>
      <w:r>
        <w:rPr>
          <w:rFonts w:hint="eastAsia" w:ascii="宋体" w:hAnsi="宋体" w:cs="宋体"/>
          <w:color w:val="auto"/>
          <w:sz w:val="21"/>
          <w:szCs w:val="21"/>
          <w:highlight w:val="none"/>
        </w:rPr>
        <w:t>知识产权</w:t>
      </w:r>
      <w:bookmarkEnd w:id="88"/>
      <w:bookmarkEnd w:id="89"/>
    </w:p>
    <w:p>
      <w:pPr>
        <w:pStyle w:val="44"/>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pPr>
        <w:widowControl w:val="0"/>
        <w:adjustRightInd/>
        <w:snapToGrid/>
        <w:ind w:left="567"/>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90" w:name="_Toc25122"/>
      <w:bookmarkStart w:id="91" w:name="_Toc2352"/>
      <w:r>
        <w:rPr>
          <w:rFonts w:hint="eastAsia" w:ascii="宋体" w:hAnsi="宋体" w:cs="宋体"/>
          <w:color w:val="auto"/>
          <w:sz w:val="21"/>
          <w:szCs w:val="21"/>
          <w:highlight w:val="none"/>
        </w:rPr>
        <w:t>关于联合体投标</w:t>
      </w:r>
      <w:bookmarkEnd w:id="90"/>
      <w:bookmarkEnd w:id="91"/>
    </w:p>
    <w:p>
      <w:pPr>
        <w:pStyle w:val="44"/>
        <w:widowControl w:val="0"/>
        <w:adjustRightInd/>
        <w:snapToGrid/>
        <w:ind w:left="425" w:hanging="425"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pPr>
        <w:widowControl w:val="0"/>
        <w:adjustRightInd/>
        <w:snapToGrid/>
        <w:ind w:left="567"/>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92" w:name="_Toc10603"/>
      <w:bookmarkStart w:id="93" w:name="_Toc3572"/>
      <w:r>
        <w:rPr>
          <w:rFonts w:hint="eastAsia" w:ascii="宋体" w:hAnsi="宋体" w:cs="宋体"/>
          <w:color w:val="auto"/>
          <w:sz w:val="21"/>
          <w:szCs w:val="21"/>
          <w:highlight w:val="none"/>
        </w:rPr>
        <w:t>关于分支机构投标</w:t>
      </w:r>
      <w:bookmarkEnd w:id="92"/>
      <w:bookmarkEnd w:id="93"/>
    </w:p>
    <w:p>
      <w:pPr>
        <w:pStyle w:val="44"/>
        <w:widowControl w:val="0"/>
        <w:adjustRightInd/>
        <w:snapToGrid/>
        <w:ind w:left="425" w:hanging="425" w:firstLineChars="0"/>
        <w:jc w:val="both"/>
        <w:rPr>
          <w:rFonts w:ascii="宋体" w:hAnsi="宋体" w:cs="宋体"/>
          <w:vanish/>
          <w:color w:val="auto"/>
          <w:szCs w:val="21"/>
          <w:highlight w:val="none"/>
        </w:rPr>
      </w:pPr>
      <w:bookmarkStart w:id="94" w:name="EB389f116341dd4693875bc7987e7327f3"/>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94"/>
    </w:p>
    <w:p>
      <w:pPr>
        <w:widowControl w:val="0"/>
        <w:adjustRightInd/>
        <w:snapToGrid/>
        <w:ind w:left="567"/>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95" w:name="_Toc16068"/>
      <w:r>
        <w:rPr>
          <w:rFonts w:hint="eastAsia" w:ascii="宋体" w:hAnsi="宋体" w:cs="宋体"/>
          <w:color w:val="auto"/>
          <w:sz w:val="21"/>
          <w:szCs w:val="21"/>
          <w:highlight w:val="none"/>
        </w:rPr>
        <w:t>踏勘现场</w:t>
      </w:r>
      <w:bookmarkEnd w:id="9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踏勘项目现场；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踏勘现场发生的费用自理；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自行负责在踏勘现场中所发生的人员伤亡和财产损失；</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在编制响应文件时参考，采购人不对</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据此作出的判断和决策负责；</w:t>
      </w:r>
    </w:p>
    <w:p>
      <w:pPr>
        <w:rPr>
          <w:rFonts w:ascii="宋体" w:hAnsi="宋体" w:cs="宋体"/>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96" w:name="_Toc9444"/>
      <w:bookmarkStart w:id="97" w:name="_Toc14732"/>
      <w:r>
        <w:rPr>
          <w:rFonts w:hint="eastAsia" w:ascii="宋体" w:hAnsi="宋体" w:cs="宋体"/>
          <w:color w:val="auto"/>
          <w:highlight w:val="none"/>
        </w:rPr>
        <w:t>采购文件</w:t>
      </w:r>
      <w:bookmarkEnd w:id="96"/>
      <w:bookmarkEnd w:id="97"/>
    </w:p>
    <w:p>
      <w:pPr>
        <w:pStyle w:val="8"/>
        <w:widowControl w:val="0"/>
        <w:numPr>
          <w:ilvl w:val="0"/>
          <w:numId w:val="5"/>
        </w:numPr>
        <w:overflowPunct w:val="0"/>
        <w:rPr>
          <w:rFonts w:ascii="宋体" w:hAnsi="宋体" w:cs="宋体"/>
          <w:color w:val="auto"/>
          <w:sz w:val="21"/>
          <w:szCs w:val="21"/>
          <w:highlight w:val="none"/>
        </w:rPr>
      </w:pPr>
      <w:bookmarkStart w:id="98" w:name="_Toc10638"/>
      <w:bookmarkStart w:id="99" w:name="_Toc25451"/>
      <w:r>
        <w:rPr>
          <w:rFonts w:hint="eastAsia" w:ascii="宋体" w:hAnsi="宋体" w:cs="宋体"/>
          <w:color w:val="auto"/>
          <w:sz w:val="21"/>
          <w:szCs w:val="21"/>
          <w:highlight w:val="none"/>
        </w:rPr>
        <w:t>采购文件的组成</w:t>
      </w:r>
      <w:bookmarkEnd w:id="98"/>
      <w:bookmarkEnd w:id="99"/>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（1）投标邀请书；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（2）投标资料表；</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（3）用户需求书；</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（4）投标人须知；</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（5）拟签订的合同文本；</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（6）投标文件格式；</w:t>
      </w:r>
    </w:p>
    <w:p>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00" w:name="_Toc21392"/>
      <w:bookmarkStart w:id="101" w:name="_Toc30490"/>
      <w:r>
        <w:rPr>
          <w:rFonts w:hint="eastAsia" w:ascii="宋体" w:hAnsi="宋体" w:cs="宋体"/>
          <w:color w:val="auto"/>
          <w:sz w:val="21"/>
          <w:szCs w:val="21"/>
          <w:highlight w:val="none"/>
        </w:rPr>
        <w:t>采购文件的澄清或修改</w:t>
      </w:r>
      <w:bookmarkEnd w:id="100"/>
      <w:bookmarkEnd w:id="101"/>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pPr>
        <w:widowControl w:val="0"/>
        <w:adjustRightInd/>
        <w:snapToGrid/>
        <w:ind w:left="567"/>
        <w:jc w:val="both"/>
        <w:rPr>
          <w:rFonts w:ascii="宋体" w:hAnsi="宋体" w:cs="宋体"/>
          <w:color w:val="auto"/>
          <w:szCs w:val="21"/>
          <w:highlight w:val="none"/>
        </w:rPr>
      </w:pPr>
    </w:p>
    <w:p>
      <w:pPr>
        <w:pStyle w:val="7"/>
        <w:numPr>
          <w:ilvl w:val="0"/>
          <w:numId w:val="4"/>
        </w:numPr>
        <w:spacing w:before="0" w:after="0" w:line="360" w:lineRule="auto"/>
        <w:jc w:val="center"/>
        <w:rPr>
          <w:rFonts w:ascii="宋体" w:hAnsi="宋体" w:cs="宋体"/>
          <w:color w:val="auto"/>
          <w:highlight w:val="none"/>
        </w:rPr>
      </w:pPr>
      <w:bookmarkStart w:id="102" w:name="_Toc10333"/>
      <w:bookmarkStart w:id="103" w:name="_Toc12343"/>
      <w:r>
        <w:rPr>
          <w:rFonts w:hint="eastAsia" w:ascii="宋体" w:hAnsi="宋体" w:cs="宋体"/>
          <w:color w:val="auto"/>
          <w:highlight w:val="none"/>
        </w:rPr>
        <w:t>投标文件的编制</w:t>
      </w:r>
      <w:bookmarkEnd w:id="102"/>
      <w:bookmarkEnd w:id="103"/>
    </w:p>
    <w:p>
      <w:pPr>
        <w:pStyle w:val="8"/>
        <w:widowControl w:val="0"/>
        <w:numPr>
          <w:ilvl w:val="0"/>
          <w:numId w:val="5"/>
        </w:numPr>
        <w:overflowPunct w:val="0"/>
        <w:rPr>
          <w:rFonts w:ascii="宋体" w:hAnsi="宋体" w:cs="宋体"/>
          <w:color w:val="auto"/>
          <w:sz w:val="21"/>
          <w:szCs w:val="21"/>
          <w:highlight w:val="none"/>
        </w:rPr>
      </w:pPr>
      <w:bookmarkStart w:id="104" w:name="_Toc16938"/>
      <w:bookmarkStart w:id="105" w:name="_Toc12048"/>
      <w:r>
        <w:rPr>
          <w:rFonts w:hint="eastAsia" w:ascii="宋体" w:hAnsi="宋体" w:cs="宋体"/>
          <w:color w:val="auto"/>
          <w:sz w:val="21"/>
          <w:szCs w:val="21"/>
          <w:highlight w:val="none"/>
        </w:rPr>
        <w:t>投标文件的语言及度量衡单位</w:t>
      </w:r>
      <w:bookmarkEnd w:id="104"/>
      <w:bookmarkEnd w:id="105"/>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pPr>
        <w:widowControl w:val="0"/>
        <w:adjustRightInd/>
        <w:snapToGrid/>
        <w:ind w:left="567"/>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106" w:name="_Toc382049103"/>
      <w:bookmarkStart w:id="107" w:name="_Toc303084256"/>
      <w:bookmarkStart w:id="108" w:name="_Toc28866"/>
      <w:bookmarkStart w:id="109" w:name="_Toc307934854"/>
      <w:bookmarkStart w:id="110" w:name="_Toc27953"/>
      <w:bookmarkStart w:id="111" w:name="_Toc11466"/>
      <w:r>
        <w:rPr>
          <w:rFonts w:hint="eastAsia" w:ascii="宋体" w:hAnsi="宋体" w:cs="宋体"/>
          <w:color w:val="auto"/>
          <w:sz w:val="21"/>
          <w:szCs w:val="21"/>
          <w:highlight w:val="none"/>
        </w:rPr>
        <w:t>投标文件的组成</w:t>
      </w:r>
      <w:bookmarkEnd w:id="106"/>
      <w:bookmarkEnd w:id="107"/>
      <w:bookmarkEnd w:id="108"/>
      <w:bookmarkEnd w:id="109"/>
      <w:bookmarkEnd w:id="110"/>
      <w:bookmarkEnd w:id="111"/>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12" w:name="_Toc755"/>
      <w:bookmarkStart w:id="113" w:name="_Toc5904"/>
      <w:r>
        <w:rPr>
          <w:rFonts w:hint="eastAsia" w:ascii="宋体" w:hAnsi="宋体" w:cs="宋体"/>
          <w:color w:val="auto"/>
          <w:sz w:val="21"/>
          <w:szCs w:val="21"/>
          <w:highlight w:val="none"/>
        </w:rPr>
        <w:t>投标文件编制</w:t>
      </w:r>
      <w:bookmarkEnd w:id="112"/>
      <w:bookmarkEnd w:id="113"/>
    </w:p>
    <w:p>
      <w:pPr>
        <w:pStyle w:val="44"/>
        <w:widowControl w:val="0"/>
        <w:numPr>
          <w:ilvl w:val="0"/>
          <w:numId w:val="6"/>
        </w:numPr>
        <w:adjustRightInd/>
        <w:snapToGrid/>
        <w:ind w:firstLineChars="0"/>
        <w:jc w:val="both"/>
        <w:rPr>
          <w:rFonts w:ascii="宋体" w:hAnsi="宋体" w:cs="宋体"/>
          <w:vanish/>
          <w:color w:val="auto"/>
          <w:szCs w:val="21"/>
          <w:highlight w:val="none"/>
        </w:rPr>
      </w:pPr>
      <w:bookmarkStart w:id="114" w:name="_Toc303084258"/>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pPr>
        <w:pStyle w:val="44"/>
        <w:widowControl w:val="0"/>
        <w:numPr>
          <w:ilvl w:val="0"/>
          <w:numId w:val="7"/>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pPr>
        <w:pStyle w:val="44"/>
        <w:widowControl w:val="0"/>
        <w:numPr>
          <w:ilvl w:val="0"/>
          <w:numId w:val="7"/>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（3）不同投标人的投标文件载明的项目管理成员或者联系人员为同一人；</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（6）不同投标人的投标保证金从同一单位或者个人的账户转出。</w:t>
      </w:r>
    </w:p>
    <w:bookmarkEnd w:id="114"/>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15" w:name="_Toc7134"/>
      <w:bookmarkStart w:id="116" w:name="_Toc6154"/>
      <w:r>
        <w:rPr>
          <w:rFonts w:hint="eastAsia" w:ascii="宋体" w:hAnsi="宋体" w:cs="宋体"/>
          <w:color w:val="auto"/>
          <w:sz w:val="21"/>
          <w:szCs w:val="21"/>
          <w:highlight w:val="none"/>
        </w:rPr>
        <w:t>投标报价说明</w:t>
      </w:r>
      <w:bookmarkEnd w:id="115"/>
      <w:bookmarkEnd w:id="116"/>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投标报价应包含完成本次采购所有服务内容的费用，包含各种税务费及合同实施过程中的全部费用和售后服务费等。</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17" w:name="_Toc17669"/>
      <w:bookmarkStart w:id="118" w:name="_Toc14501"/>
      <w:r>
        <w:rPr>
          <w:rFonts w:hint="eastAsia" w:ascii="宋体" w:hAnsi="宋体" w:cs="宋体"/>
          <w:color w:val="auto"/>
          <w:sz w:val="21"/>
          <w:szCs w:val="21"/>
          <w:highlight w:val="none"/>
        </w:rPr>
        <w:t>投标人所提供的服务或货物的证明文件</w:t>
      </w:r>
      <w:bookmarkEnd w:id="117"/>
      <w:bookmarkEnd w:id="118"/>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bookmarkStart w:id="119" w:name="_Hlt107925668"/>
      <w:bookmarkEnd w:id="119"/>
      <w:bookmarkStart w:id="120" w:name="_Hlt107925638"/>
      <w:bookmarkEnd w:id="120"/>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（1）使用伪造、变造的许可证件；</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（2）提供虚假的财务状况或者业绩；</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（3）提供虚假的项目负责人或者主要技术人员简历、劳动关系证明；</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（4）提供虚假的信用状况；</w:t>
      </w:r>
    </w:p>
    <w:p>
      <w:pPr>
        <w:pStyle w:val="44"/>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（5）其他弄虚作假的行为。</w:t>
      </w:r>
    </w:p>
    <w:p>
      <w:pPr>
        <w:pStyle w:val="8"/>
        <w:widowControl w:val="0"/>
        <w:numPr>
          <w:ilvl w:val="0"/>
          <w:numId w:val="5"/>
        </w:numPr>
        <w:overflowPunct w:val="0"/>
        <w:rPr>
          <w:rFonts w:ascii="宋体" w:hAnsi="宋体" w:cs="宋体"/>
          <w:color w:val="auto"/>
          <w:sz w:val="21"/>
          <w:szCs w:val="21"/>
          <w:highlight w:val="none"/>
        </w:rPr>
      </w:pPr>
      <w:bookmarkStart w:id="121" w:name="_Toc2409"/>
      <w:bookmarkStart w:id="122" w:name="_Toc8324"/>
      <w:r>
        <w:rPr>
          <w:rFonts w:hint="eastAsia" w:ascii="宋体" w:hAnsi="宋体" w:cs="宋体"/>
          <w:color w:val="auto"/>
          <w:sz w:val="21"/>
          <w:szCs w:val="21"/>
          <w:highlight w:val="none"/>
        </w:rPr>
        <w:t>投标有效期</w:t>
      </w:r>
      <w:bookmarkEnd w:id="121"/>
      <w:bookmarkEnd w:id="122"/>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pPr>
        <w:widowControl w:val="0"/>
        <w:adjustRightInd/>
        <w:snapToGrid/>
        <w:ind w:left="567"/>
        <w:jc w:val="both"/>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23" w:name="_Toc26564"/>
      <w:bookmarkStart w:id="124" w:name="_Toc12582"/>
      <w:r>
        <w:rPr>
          <w:rFonts w:hint="eastAsia" w:ascii="宋体" w:hAnsi="宋体" w:cs="宋体"/>
          <w:color w:val="auto"/>
          <w:sz w:val="21"/>
          <w:szCs w:val="21"/>
          <w:highlight w:val="none"/>
        </w:rPr>
        <w:t>投标保证金</w:t>
      </w:r>
      <w:bookmarkEnd w:id="123"/>
      <w:bookmarkEnd w:id="124"/>
    </w:p>
    <w:p>
      <w:pPr>
        <w:pStyle w:val="44"/>
        <w:widowControl w:val="0"/>
        <w:numPr>
          <w:ilvl w:val="0"/>
          <w:numId w:val="6"/>
        </w:numPr>
        <w:adjustRightInd/>
        <w:snapToGrid/>
        <w:ind w:firstLineChars="0"/>
        <w:jc w:val="both"/>
        <w:rPr>
          <w:rFonts w:ascii="宋体" w:hAnsi="宋体" w:cs="宋体"/>
          <w:vanish/>
          <w:color w:val="auto"/>
          <w:szCs w:val="21"/>
          <w:highlight w:val="none"/>
        </w:rPr>
      </w:pPr>
      <w:bookmarkStart w:id="125" w:name="_Ref17961940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投标人应在投标文件递交截止前提交相应的投标保证金，并作为其投标的一部分。</w:t>
      </w:r>
      <w:bookmarkEnd w:id="125"/>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（2）中标人无正当理由不与采购人订立合同，在签订合同时向采购人提出附加条件，或者不按照采购文件要求提交履约保证金的；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（3）中标人将本项目转让给他人，或者在投标文件中未说明，且未经采购人同意，将中标项目分包给他人的；</w:t>
      </w:r>
    </w:p>
    <w:p>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pPr>
        <w:rPr>
          <w:rFonts w:ascii="宋体" w:hAnsi="宋体" w:cs="宋体"/>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126" w:name="_Toc30352"/>
      <w:bookmarkStart w:id="127" w:name="_Toc18672"/>
      <w:r>
        <w:rPr>
          <w:rFonts w:hint="eastAsia" w:ascii="宋体" w:hAnsi="宋体" w:cs="宋体"/>
          <w:color w:val="auto"/>
          <w:highlight w:val="none"/>
        </w:rPr>
        <w:t>投标文件的递交</w:t>
      </w:r>
      <w:bookmarkEnd w:id="126"/>
      <w:bookmarkEnd w:id="127"/>
    </w:p>
    <w:p>
      <w:pPr>
        <w:pStyle w:val="8"/>
        <w:widowControl w:val="0"/>
        <w:numPr>
          <w:ilvl w:val="0"/>
          <w:numId w:val="5"/>
        </w:numPr>
        <w:overflowPunct w:val="0"/>
        <w:rPr>
          <w:rFonts w:ascii="宋体" w:hAnsi="宋体" w:cs="宋体"/>
          <w:color w:val="auto"/>
          <w:sz w:val="21"/>
          <w:szCs w:val="21"/>
          <w:highlight w:val="none"/>
        </w:rPr>
      </w:pPr>
      <w:bookmarkStart w:id="128" w:name="_Toc24150"/>
      <w:bookmarkStart w:id="129" w:name="_Toc24997"/>
      <w:bookmarkStart w:id="130" w:name="_Toc382049111"/>
      <w:bookmarkStart w:id="131" w:name="_Toc303084264"/>
      <w:bookmarkStart w:id="132" w:name="_Toc9759"/>
      <w:r>
        <w:rPr>
          <w:rFonts w:hint="eastAsia" w:ascii="宋体" w:hAnsi="宋体" w:cs="宋体"/>
          <w:color w:val="auto"/>
          <w:sz w:val="21"/>
          <w:szCs w:val="21"/>
          <w:highlight w:val="none"/>
        </w:rPr>
        <w:t>投标文件的装订，签署，密封和标记</w:t>
      </w:r>
      <w:bookmarkEnd w:id="128"/>
      <w:bookmarkEnd w:id="129"/>
      <w:bookmarkEnd w:id="130"/>
      <w:bookmarkEnd w:id="131"/>
      <w:bookmarkEnd w:id="132"/>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投标人应将投标文件进行非透明的封装，以防止投标文件内容的泄露。采购代理机构将拒绝接收采用透明包装进行密封的投标文件。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未单独提交唱标信封的投标人投标文件不进行唱标，投标文件作无效处理。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 xml:space="preserve">收件人： </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项目名称：</w:t>
      </w:r>
    </w:p>
    <w:p>
      <w:pPr>
        <w:widowControl w:val="0"/>
        <w:numPr>
          <w:ilvl w:val="0"/>
          <w:numId w:val="8"/>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项目采购项目编号：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33" w:name="_Toc25895"/>
      <w:bookmarkStart w:id="134" w:name="_Toc27686"/>
      <w:r>
        <w:rPr>
          <w:rFonts w:hint="eastAsia" w:ascii="宋体" w:hAnsi="宋体" w:cs="宋体"/>
          <w:color w:val="auto"/>
          <w:sz w:val="21"/>
          <w:szCs w:val="21"/>
          <w:highlight w:val="none"/>
        </w:rPr>
        <w:t>迟交的投标文件</w:t>
      </w:r>
      <w:bookmarkEnd w:id="133"/>
      <w:bookmarkEnd w:id="134"/>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35" w:name="_Toc9143"/>
      <w:bookmarkStart w:id="136" w:name="_Toc8776"/>
      <w:r>
        <w:rPr>
          <w:rFonts w:hint="eastAsia" w:ascii="宋体" w:hAnsi="宋体" w:cs="宋体"/>
          <w:color w:val="auto"/>
          <w:sz w:val="21"/>
          <w:szCs w:val="21"/>
          <w:highlight w:val="none"/>
        </w:rPr>
        <w:t>投标样品（如需提交）</w:t>
      </w:r>
      <w:bookmarkEnd w:id="135"/>
      <w:bookmarkEnd w:id="136"/>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37" w:name="_Toc382049112"/>
      <w:bookmarkStart w:id="138" w:name="_Toc9777"/>
      <w:bookmarkStart w:id="139" w:name="_Toc17522"/>
      <w:bookmarkStart w:id="140" w:name="_Toc1712"/>
      <w:bookmarkStart w:id="141" w:name="_Toc303084265"/>
      <w:r>
        <w:rPr>
          <w:rFonts w:hint="eastAsia" w:ascii="宋体" w:hAnsi="宋体" w:cs="宋体"/>
          <w:color w:val="auto"/>
          <w:sz w:val="21"/>
          <w:szCs w:val="21"/>
          <w:highlight w:val="none"/>
        </w:rPr>
        <w:t>投标截止期</w:t>
      </w:r>
      <w:bookmarkEnd w:id="137"/>
      <w:bookmarkEnd w:id="138"/>
      <w:bookmarkEnd w:id="139"/>
      <w:bookmarkEnd w:id="140"/>
      <w:bookmarkEnd w:id="141"/>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42" w:name="_Toc14518"/>
      <w:bookmarkStart w:id="143" w:name="_Toc31417"/>
      <w:r>
        <w:rPr>
          <w:rFonts w:hint="eastAsia" w:ascii="宋体" w:hAnsi="宋体" w:cs="宋体"/>
          <w:color w:val="auto"/>
          <w:sz w:val="21"/>
          <w:szCs w:val="21"/>
          <w:highlight w:val="none"/>
        </w:rPr>
        <w:t>投标文件的补充、修改与撤回</w:t>
      </w:r>
      <w:bookmarkEnd w:id="142"/>
      <w:bookmarkEnd w:id="143"/>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144" w:name="_Toc4693"/>
      <w:bookmarkStart w:id="145" w:name="_Toc7410"/>
      <w:r>
        <w:rPr>
          <w:rFonts w:hint="eastAsia" w:ascii="宋体" w:hAnsi="宋体" w:cs="宋体"/>
          <w:color w:val="auto"/>
          <w:highlight w:val="none"/>
        </w:rPr>
        <w:t>开标与评标</w:t>
      </w:r>
      <w:bookmarkEnd w:id="144"/>
      <w:bookmarkEnd w:id="145"/>
    </w:p>
    <w:p>
      <w:pPr>
        <w:pStyle w:val="8"/>
        <w:widowControl w:val="0"/>
        <w:numPr>
          <w:ilvl w:val="0"/>
          <w:numId w:val="5"/>
        </w:numPr>
        <w:overflowPunct w:val="0"/>
        <w:rPr>
          <w:rFonts w:ascii="宋体" w:hAnsi="宋体" w:cs="宋体"/>
          <w:color w:val="auto"/>
          <w:sz w:val="21"/>
          <w:szCs w:val="21"/>
          <w:highlight w:val="none"/>
        </w:rPr>
      </w:pPr>
      <w:bookmarkStart w:id="146" w:name="_Toc31671"/>
      <w:bookmarkStart w:id="147" w:name="_Toc20009"/>
      <w:r>
        <w:rPr>
          <w:rFonts w:hint="eastAsia" w:ascii="宋体" w:hAnsi="宋体" w:cs="宋体"/>
          <w:color w:val="auto"/>
          <w:sz w:val="21"/>
          <w:szCs w:val="21"/>
          <w:highlight w:val="none"/>
        </w:rPr>
        <w:t>开标</w:t>
      </w:r>
      <w:bookmarkEnd w:id="146"/>
      <w:bookmarkEnd w:id="147"/>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48" w:name="_Toc3528"/>
      <w:bookmarkStart w:id="149" w:name="_Toc15560"/>
      <w:r>
        <w:rPr>
          <w:rFonts w:hint="eastAsia" w:ascii="宋体" w:hAnsi="宋体" w:cs="宋体"/>
          <w:color w:val="auto"/>
          <w:sz w:val="21"/>
          <w:szCs w:val="21"/>
          <w:highlight w:val="none"/>
        </w:rPr>
        <w:t>评标委员会及评标方法</w:t>
      </w:r>
      <w:bookmarkEnd w:id="148"/>
      <w:bookmarkEnd w:id="149"/>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定标原则：在最大限度满足采购文件实质性要求前提下，按照采购文件规定的各项评价因素进行量化打分，以评标总得分最高的投标人作为中标候选人或中标人。</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50" w:name="_Toc22022"/>
      <w:bookmarkStart w:id="151" w:name="_Toc4198"/>
      <w:r>
        <w:rPr>
          <w:rFonts w:hint="eastAsia" w:ascii="宋体" w:hAnsi="宋体" w:cs="宋体"/>
          <w:color w:val="auto"/>
          <w:sz w:val="21"/>
          <w:szCs w:val="21"/>
          <w:highlight w:val="none"/>
        </w:rPr>
        <w:t>评审原则及评标过程的保密</w:t>
      </w:r>
      <w:bookmarkEnd w:id="150"/>
      <w:bookmarkEnd w:id="151"/>
    </w:p>
    <w:p>
      <w:pPr>
        <w:pStyle w:val="44"/>
        <w:widowControl w:val="0"/>
        <w:numPr>
          <w:ilvl w:val="0"/>
          <w:numId w:val="6"/>
        </w:numPr>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52" w:name="_Toc14506"/>
      <w:r>
        <w:rPr>
          <w:rFonts w:hint="eastAsia" w:ascii="宋体" w:hAnsi="宋体" w:cs="宋体"/>
          <w:color w:val="auto"/>
          <w:sz w:val="21"/>
          <w:szCs w:val="21"/>
          <w:highlight w:val="none"/>
        </w:rPr>
        <w:t>评标程序</w:t>
      </w:r>
      <w:bookmarkEnd w:id="152"/>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9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restart"/>
            <w:tcBorders>
              <w:top w:val="single" w:color="auto" w:sz="4" w:space="0"/>
              <w:left w:val="single" w:color="auto" w:sz="4" w:space="0"/>
              <w:right w:val="single" w:color="auto" w:sz="4" w:space="0"/>
              <w:tl2br w:val="nil"/>
              <w:tr2bl w:val="nil"/>
            </w:tcBorders>
            <w:vAlign w:val="center"/>
          </w:tcPr>
          <w:p>
            <w:pPr>
              <w:numPr>
                <w:ilvl w:val="0"/>
                <w:numId w:val="9"/>
              </w:numPr>
              <w:tabs>
                <w:tab w:val="left" w:pos="176"/>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（1）投标人须为在中华人民共和国境内登记注册的具有独立承担民事责任能力的法人或其他组织；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（2）投标人的单位负责人为同一人或者存在直接控股、管理关系的不同投标人，不得参加同一合同项下的招标活动；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（3）投标人参加招标活动前三年内，在经营活动中没有重大违法记录（须提供书面声明）；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4）投标人未被列入“信用中国”网站(www.creditchina.gov.cn)“记录失信被执行人或重大税收违法案件当事人名单”记录名单（以招标代理机构投标截止日当天在“信用中国”网站（www.creditchina.gov.cn）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ascii="宋体" w:hAnsi="宋体" w:cs="宋体"/>
                <w:color w:val="auto"/>
                <w:szCs w:val="21"/>
                <w:highlight w:val="none"/>
              </w:rPr>
            </w:pPr>
            <w:r>
              <w:rPr>
                <w:rFonts w:hint="eastAsia" w:ascii="宋体" w:hAnsi="宋体" w:cs="宋体"/>
                <w:color w:val="auto"/>
                <w:szCs w:val="21"/>
                <w:highlight w:val="none"/>
              </w:rPr>
              <w:t>（5）投标人须具有有效的市政公用工程施工总承包三级（含）以上或环保工程专业承包三级（含）以上资质。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vMerge w:val="continue"/>
            <w:tcBorders>
              <w:left w:val="single" w:color="auto" w:sz="4" w:space="0"/>
              <w:bottom w:val="single" w:color="auto" w:sz="4" w:space="0"/>
              <w:right w:val="single" w:color="auto" w:sz="4" w:space="0"/>
              <w:tl2br w:val="nil"/>
              <w:tr2bl w:val="nil"/>
            </w:tcBorders>
            <w:vAlign w:val="center"/>
          </w:tcPr>
          <w:p>
            <w:pPr>
              <w:tabs>
                <w:tab w:val="left" w:pos="176"/>
                <w:tab w:val="left" w:pos="420"/>
                <w:tab w:val="left" w:pos="612"/>
              </w:tabs>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612"/>
              </w:tabs>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w:t>
            </w:r>
            <w:r>
              <w:rPr>
                <w:rFonts w:hint="eastAsia" w:hAnsi="宋体" w:cs="宋体"/>
                <w:color w:val="auto"/>
                <w:kern w:val="2"/>
                <w:sz w:val="21"/>
                <w:szCs w:val="21"/>
                <w:highlight w:val="none"/>
              </w:rPr>
              <w:t>本项目不接受联合体</w:t>
            </w:r>
            <w:r>
              <w:rPr>
                <w:rFonts w:hint="eastAsia" w:hAnsi="宋体" w:cs="宋体"/>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9"/>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lang w:bidi="ar"/>
              </w:rPr>
            </w:pPr>
            <w:r>
              <w:rPr>
                <w:rFonts w:hint="eastAsia" w:hAnsi="宋体" w:cs="宋体"/>
                <w:bCs/>
                <w:color w:val="auto"/>
                <w:sz w:val="21"/>
                <w:szCs w:val="21"/>
                <w:highlight w:val="none"/>
                <w:lang w:bidi="ar"/>
              </w:rPr>
              <w:t>按照招标文件的规定提交投标保证金的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9"/>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rPr>
            </w:pPr>
            <w:r>
              <w:rPr>
                <w:rFonts w:hint="eastAsia" w:hAnsi="宋体" w:cs="宋体"/>
                <w:bCs/>
                <w:color w:val="auto"/>
                <w:sz w:val="21"/>
                <w:szCs w:val="21"/>
                <w:highlight w:val="none"/>
                <w:lang w:bidi="ar"/>
              </w:rPr>
              <w:t>投标文件按招标文件要求签署、盖章的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numPr>
                <w:ilvl w:val="0"/>
                <w:numId w:val="9"/>
              </w:numP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rPr>
            </w:pPr>
            <w:r>
              <w:rPr>
                <w:rFonts w:hint="eastAsia" w:hAnsi="宋体" w:cs="宋体"/>
                <w:bCs/>
                <w:color w:val="auto"/>
                <w:sz w:val="21"/>
                <w:szCs w:val="21"/>
                <w:highlight w:val="none"/>
                <w:lang w:bidi="ar"/>
              </w:rPr>
              <w:t>报价未超过招标文件中规定的预算金额或者最高限价的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lang w:bidi="ar"/>
              </w:rPr>
            </w:pPr>
            <w:r>
              <w:rPr>
                <w:rFonts w:hint="eastAsia" w:hAnsi="宋体" w:cs="宋体"/>
                <w:bCs/>
                <w:color w:val="auto"/>
                <w:sz w:val="21"/>
                <w:szCs w:val="21"/>
                <w:highlight w:val="none"/>
                <w:lang w:bidi="ar"/>
              </w:rPr>
              <w:t>投标文件未含有</w:t>
            </w:r>
            <w:r>
              <w:rPr>
                <w:rFonts w:hint="eastAsia" w:hAnsi="宋体" w:cs="宋体"/>
                <w:bCs/>
                <w:color w:val="auto"/>
                <w:sz w:val="21"/>
                <w:szCs w:val="21"/>
                <w:highlight w:val="none"/>
                <w:lang w:eastAsia="zh-CN" w:bidi="ar"/>
              </w:rPr>
              <w:t>采购人</w:t>
            </w:r>
            <w:r>
              <w:rPr>
                <w:rFonts w:hint="eastAsia" w:hAnsi="宋体" w:cs="宋体"/>
                <w:bCs/>
                <w:color w:val="auto"/>
                <w:sz w:val="21"/>
                <w:szCs w:val="21"/>
                <w:highlight w:val="none"/>
                <w:lang w:bidi="ar"/>
              </w:rPr>
              <w:t>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rPr>
            </w:pPr>
            <w:r>
              <w:rPr>
                <w:rFonts w:hint="eastAsia" w:hAnsi="宋体" w:cs="宋体"/>
                <w:bCs/>
                <w:color w:val="auto"/>
                <w:sz w:val="21"/>
                <w:szCs w:val="21"/>
                <w:highlight w:val="none"/>
                <w:lang w:bidi="ar"/>
              </w:rPr>
              <w:t>无负偏离标注“★”符号的条款。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textAlignment w:val="center"/>
              <w:rPr>
                <w:rFonts w:ascii="宋体" w:hAnsi="宋体" w:cs="宋体"/>
                <w:color w:val="auto"/>
                <w:szCs w:val="21"/>
                <w:highlight w:val="none"/>
                <w:lang w:bidi="ar"/>
              </w:rPr>
            </w:pPr>
            <w:r>
              <w:rPr>
                <w:rFonts w:hint="eastAsia" w:hAnsi="宋体" w:cs="宋体"/>
                <w:color w:val="auto"/>
                <w:sz w:val="21"/>
                <w:szCs w:val="21"/>
                <w:highlight w:val="none"/>
              </w:rPr>
              <w:t>未出现</w:t>
            </w:r>
            <w:r>
              <w:rPr>
                <w:rFonts w:hint="eastAsia" w:hAnsi="宋体" w:cs="宋体"/>
                <w:bCs/>
                <w:color w:val="auto"/>
                <w:sz w:val="21"/>
                <w:szCs w:val="21"/>
                <w:highlight w:val="none"/>
                <w:lang w:bidi="ar"/>
              </w:rPr>
              <w:t>法律、法规和招标文件规定的其他无效情形。</w:t>
            </w:r>
          </w:p>
        </w:tc>
      </w:tr>
    </w:tbl>
    <w:p>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pPr>
        <w:widowControl w:val="0"/>
        <w:numPr>
          <w:ilvl w:val="1"/>
          <w:numId w:val="5"/>
        </w:numP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pPr>
        <w:widowControl w:val="0"/>
        <w:numPr>
          <w:ilvl w:val="0"/>
          <w:numId w:val="10"/>
        </w:numP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pPr>
        <w:widowControl w:val="0"/>
        <w:numPr>
          <w:ilvl w:val="0"/>
          <w:numId w:val="10"/>
        </w:numP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pPr>
        <w:widowControl w:val="0"/>
        <w:numPr>
          <w:ilvl w:val="0"/>
          <w:numId w:val="10"/>
        </w:numP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pPr>
        <w:widowControl w:val="0"/>
        <w:numPr>
          <w:ilvl w:val="0"/>
          <w:numId w:val="10"/>
        </w:numP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pPr>
        <w:widowControl w:val="0"/>
        <w:numPr>
          <w:ilvl w:val="0"/>
          <w:numId w:val="10"/>
        </w:numP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对于投标文件中不构成实质性偏差的不正规、不一致或不规则，评标委员会可以接受，但这种接受不能损害或影响任何投标人的相对排序。</w:t>
      </w:r>
    </w:p>
    <w:p>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Style w:val="2"/>
        <w:rPr>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53" w:name="_Toc4799"/>
      <w:bookmarkStart w:id="154" w:name="_Toc11415"/>
      <w:r>
        <w:rPr>
          <w:rFonts w:hint="eastAsia" w:ascii="宋体" w:hAnsi="宋体" w:cs="宋体"/>
          <w:color w:val="auto"/>
          <w:sz w:val="21"/>
          <w:szCs w:val="21"/>
          <w:highlight w:val="none"/>
        </w:rPr>
        <w:t>商务、技术、价格评审（具体评审项目详见投标资料表）</w:t>
      </w:r>
      <w:bookmarkEnd w:id="153"/>
      <w:bookmarkEnd w:id="154"/>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pPr>
        <w:widowControl w:val="0"/>
        <w:tabs>
          <w:tab w:val="left" w:pos="907"/>
        </w:tabs>
        <w:adjustRightInd/>
        <w:snapToGrid/>
        <w:ind w:left="567"/>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155" w:name="_Toc316375620"/>
      <w:bookmarkStart w:id="156" w:name="_Toc20328"/>
      <w:bookmarkStart w:id="157" w:name="_Toc21663"/>
      <w:bookmarkStart w:id="158" w:name="_Toc18550"/>
      <w:bookmarkStart w:id="159" w:name="_Toc382049120"/>
      <w:r>
        <w:rPr>
          <w:rFonts w:hint="eastAsia" w:ascii="宋体" w:hAnsi="宋体" w:cs="宋体"/>
          <w:color w:val="auto"/>
          <w:sz w:val="21"/>
          <w:szCs w:val="21"/>
          <w:highlight w:val="none"/>
        </w:rPr>
        <w:t>纪律和保密</w:t>
      </w:r>
      <w:bookmarkEnd w:id="155"/>
      <w:r>
        <w:rPr>
          <w:rFonts w:hint="eastAsia" w:ascii="宋体" w:hAnsi="宋体" w:cs="宋体"/>
          <w:color w:val="auto"/>
          <w:sz w:val="21"/>
          <w:szCs w:val="21"/>
          <w:highlight w:val="none"/>
        </w:rPr>
        <w:t>事项</w:t>
      </w:r>
      <w:bookmarkEnd w:id="156"/>
      <w:bookmarkEnd w:id="157"/>
      <w:bookmarkEnd w:id="158"/>
      <w:bookmarkEnd w:id="159"/>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pPr>
        <w:rPr>
          <w:rFonts w:ascii="宋体" w:hAnsi="宋体" w:cs="宋体"/>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160" w:name="_Toc1109"/>
      <w:bookmarkStart w:id="161" w:name="_Toc27738"/>
      <w:r>
        <w:rPr>
          <w:rFonts w:hint="eastAsia" w:ascii="宋体" w:hAnsi="宋体" w:cs="宋体"/>
          <w:color w:val="auto"/>
          <w:highlight w:val="none"/>
        </w:rPr>
        <w:t>授予合同</w:t>
      </w:r>
      <w:bookmarkEnd w:id="160"/>
      <w:bookmarkEnd w:id="161"/>
    </w:p>
    <w:p>
      <w:pPr>
        <w:pStyle w:val="8"/>
        <w:widowControl w:val="0"/>
        <w:numPr>
          <w:ilvl w:val="0"/>
          <w:numId w:val="5"/>
        </w:numPr>
        <w:overflowPunct w:val="0"/>
        <w:rPr>
          <w:rFonts w:ascii="宋体" w:hAnsi="宋体" w:cs="宋体"/>
          <w:color w:val="auto"/>
          <w:sz w:val="21"/>
          <w:szCs w:val="21"/>
          <w:highlight w:val="none"/>
        </w:rPr>
      </w:pPr>
      <w:bookmarkStart w:id="162" w:name="_Toc508284011"/>
      <w:bookmarkStart w:id="163" w:name="_Toc22623"/>
      <w:bookmarkStart w:id="164" w:name="_Toc16090"/>
      <w:r>
        <w:rPr>
          <w:rFonts w:hint="eastAsia" w:ascii="宋体" w:hAnsi="宋体" w:cs="宋体"/>
          <w:color w:val="auto"/>
          <w:sz w:val="21"/>
          <w:szCs w:val="21"/>
          <w:highlight w:val="none"/>
        </w:rPr>
        <w:t>合同授予标准</w:t>
      </w:r>
      <w:bookmarkEnd w:id="162"/>
      <w:bookmarkEnd w:id="163"/>
      <w:bookmarkEnd w:id="164"/>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根据评标委员会的评审结果，采购人按照评审报告推荐的中标候选人中按顺序依法确定中标人。</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65" w:name="_Toc508284013"/>
      <w:bookmarkStart w:id="166" w:name="_Toc10545"/>
      <w:bookmarkStart w:id="167" w:name="_Toc24261"/>
      <w:r>
        <w:rPr>
          <w:rFonts w:hint="eastAsia" w:ascii="宋体" w:hAnsi="宋体" w:cs="宋体"/>
          <w:color w:val="auto"/>
          <w:sz w:val="21"/>
          <w:szCs w:val="21"/>
          <w:highlight w:val="none"/>
        </w:rPr>
        <w:t>发布中标结果</w:t>
      </w:r>
      <w:bookmarkEnd w:id="165"/>
      <w:bookmarkEnd w:id="166"/>
      <w:bookmarkEnd w:id="167"/>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《中标通知书》是合同的一个组成部分，《中标通知书》对采购人和中标人均具有同等法律效力。</w:t>
      </w:r>
    </w:p>
    <w:p>
      <w:pPr>
        <w:widowControl w:val="0"/>
        <w:tabs>
          <w:tab w:val="left" w:pos="907"/>
        </w:tabs>
        <w:adjustRightInd/>
        <w:snapToGrid/>
        <w:jc w:val="both"/>
        <w:rPr>
          <w:rFonts w:ascii="宋体" w:hAnsi="宋体" w:cs="宋体"/>
          <w:color w:val="auto"/>
          <w:szCs w:val="21"/>
          <w:highlight w:val="none"/>
        </w:rPr>
      </w:pPr>
    </w:p>
    <w:p>
      <w:pPr>
        <w:pStyle w:val="8"/>
        <w:widowControl w:val="0"/>
        <w:numPr>
          <w:ilvl w:val="0"/>
          <w:numId w:val="5"/>
        </w:numPr>
        <w:overflowPunct w:val="0"/>
        <w:rPr>
          <w:rFonts w:ascii="宋体" w:hAnsi="宋体" w:cs="宋体"/>
          <w:color w:val="auto"/>
          <w:sz w:val="21"/>
          <w:szCs w:val="21"/>
          <w:highlight w:val="none"/>
        </w:rPr>
      </w:pPr>
      <w:bookmarkStart w:id="168" w:name="_Toc749"/>
      <w:bookmarkStart w:id="169" w:name="_Toc11420"/>
      <w:r>
        <w:rPr>
          <w:rFonts w:hint="eastAsia" w:ascii="宋体" w:hAnsi="宋体" w:cs="宋体"/>
          <w:color w:val="auto"/>
          <w:sz w:val="21"/>
          <w:szCs w:val="21"/>
          <w:highlight w:val="none"/>
        </w:rPr>
        <w:t>资格后审</w:t>
      </w:r>
      <w:bookmarkEnd w:id="168"/>
      <w:bookmarkEnd w:id="169"/>
    </w:p>
    <w:p>
      <w:pPr>
        <w:pStyle w:val="44"/>
        <w:widowControl w:val="0"/>
        <w:numPr>
          <w:ilvl w:val="0"/>
          <w:numId w:val="6"/>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采购人将有权根据本文件中的要求，对评委会推荐的中标候选人进行资格后审。</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pPr>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70" w:name="_Toc27302"/>
      <w:bookmarkStart w:id="171" w:name="_Toc27689"/>
      <w:r>
        <w:rPr>
          <w:rFonts w:hint="eastAsia" w:ascii="宋体" w:hAnsi="宋体" w:cs="宋体"/>
          <w:color w:val="auto"/>
          <w:sz w:val="21"/>
          <w:szCs w:val="21"/>
          <w:highlight w:val="none"/>
        </w:rPr>
        <w:t>合同的签订与履行</w:t>
      </w:r>
      <w:bookmarkEnd w:id="170"/>
      <w:bookmarkEnd w:id="171"/>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应当自采购人发出中标通知书之日起30日内，按照采购文件和中标人投标文件的规定，与采购人签订书面合同，否则采购人有权取消其中标资格。所签订的合同不得对采购文件确定的事项和中标人投标文件作实质性修改。在合同签订时，应注意合同中约定的工期开始时间不得早于合同签订时间。</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采购人与中标人应当根据合同的约定依法履行合同义务。</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pPr>
        <w:widowControl w:val="0"/>
        <w:tabs>
          <w:tab w:val="left" w:pos="907"/>
        </w:tabs>
        <w:adjustRightInd/>
        <w:snapToGrid/>
        <w:jc w:val="both"/>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72" w:name="_Toc29009"/>
      <w:bookmarkStart w:id="173" w:name="_Toc382049124"/>
      <w:bookmarkStart w:id="174" w:name="_Toc303084277"/>
      <w:bookmarkStart w:id="175" w:name="_Toc6617"/>
      <w:bookmarkStart w:id="176" w:name="_Toc19211"/>
      <w:r>
        <w:rPr>
          <w:rFonts w:hint="eastAsia" w:ascii="宋体" w:hAnsi="宋体" w:cs="宋体"/>
          <w:color w:val="auto"/>
          <w:sz w:val="21"/>
          <w:szCs w:val="21"/>
          <w:highlight w:val="none"/>
        </w:rPr>
        <w:t>履约</w:t>
      </w:r>
      <w:bookmarkEnd w:id="172"/>
      <w:bookmarkEnd w:id="173"/>
      <w:bookmarkEnd w:id="174"/>
      <w:r>
        <w:rPr>
          <w:rFonts w:hint="eastAsia" w:ascii="宋体" w:hAnsi="宋体" w:cs="宋体"/>
          <w:color w:val="auto"/>
          <w:sz w:val="21"/>
          <w:szCs w:val="21"/>
          <w:highlight w:val="none"/>
        </w:rPr>
        <w:t>担保</w:t>
      </w:r>
      <w:bookmarkEnd w:id="175"/>
      <w:bookmarkEnd w:id="176"/>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履约担保期限从合同签订之日起至项目服务期结束验收合格并结算完毕后，经双方签字7天内保持有效。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（1）履约保函。如果中标人的履约担保是以银行保函形式提供的，则该银行保函应：</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①保函应由银行支行或以上银行机构开具，非东莞市行政区内的银行开具的保函要由银行所在地公证部门出具的公证书。</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中标价的10%。中标人人必须保证履约保证金以中标人的名称在（合同约定的日期）前提交至采购人指定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采购文件（33.1至33.3）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为取得履约担保所需的费用，由中标人承担；若工期延误，履约担保时间延长，延长费用由中标人承担。</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（1）中标人将本项目转让给他人，或者在投标文件中未说明，且未经采购人同意，将中标项目分包给他人的；</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（2）中标人在履行采购合同期间，违反有关法律法规的规定及合同约定的条款，损害了采购人的利益。</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在整个项目验收合格后，中标人向采购人提交退回履约担保的申请，采购人办理履约担保退还手续。</w:t>
      </w:r>
    </w:p>
    <w:p>
      <w:pPr>
        <w:widowControl w:val="0"/>
        <w:tabs>
          <w:tab w:val="left" w:pos="907"/>
        </w:tabs>
        <w:adjustRightInd/>
        <w:snapToGrid/>
        <w:jc w:val="both"/>
        <w:rPr>
          <w:rFonts w:ascii="宋体" w:hAnsi="宋体" w:cs="宋体"/>
          <w:color w:val="auto"/>
          <w:highlight w:val="none"/>
        </w:rPr>
      </w:pPr>
    </w:p>
    <w:p>
      <w:pPr>
        <w:pStyle w:val="8"/>
        <w:widowControl w:val="0"/>
        <w:numPr>
          <w:ilvl w:val="0"/>
          <w:numId w:val="5"/>
        </w:numPr>
        <w:overflowPunct w:val="0"/>
        <w:rPr>
          <w:rFonts w:ascii="宋体" w:hAnsi="宋体" w:cs="宋体"/>
          <w:color w:val="auto"/>
          <w:sz w:val="21"/>
          <w:szCs w:val="21"/>
          <w:highlight w:val="none"/>
        </w:rPr>
      </w:pPr>
      <w:bookmarkStart w:id="177" w:name="_Toc19347"/>
      <w:bookmarkStart w:id="178" w:name="_Toc18880"/>
      <w:r>
        <w:rPr>
          <w:rFonts w:hint="eastAsia" w:ascii="宋体" w:hAnsi="宋体" w:cs="宋体"/>
          <w:color w:val="auto"/>
          <w:sz w:val="21"/>
          <w:szCs w:val="21"/>
          <w:highlight w:val="none"/>
        </w:rPr>
        <w:t>预付款保函（适用于预付款支付）</w:t>
      </w:r>
      <w:bookmarkEnd w:id="177"/>
      <w:bookmarkEnd w:id="178"/>
    </w:p>
    <w:p>
      <w:pPr>
        <w:pStyle w:val="44"/>
        <w:widowControl w:val="0"/>
        <w:numPr>
          <w:ilvl w:val="0"/>
          <w:numId w:val="6"/>
        </w:numPr>
        <w:tabs>
          <w:tab w:val="left" w:pos="567"/>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（1）由东莞市行政区域内的银行支行及以上银行机构开具。非东莞市行政区内的银行开具的保函要由银行所在地公证部门出具的公证书。</w:t>
      </w:r>
    </w:p>
    <w:p>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（2）必须打印，手写、涂改无效</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若中标人不能按本须知（34.1至34.2）的规定执行，采购人将不予支付预付款。</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pPr>
        <w:rPr>
          <w:rFonts w:ascii="宋体" w:hAnsi="宋体" w:cs="宋体"/>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179" w:name="_Toc21814"/>
      <w:bookmarkStart w:id="180" w:name="_Toc27556"/>
      <w:r>
        <w:rPr>
          <w:rFonts w:hint="eastAsia" w:ascii="宋体" w:hAnsi="宋体" w:cs="宋体"/>
          <w:color w:val="auto"/>
          <w:highlight w:val="none"/>
        </w:rPr>
        <w:t>异议</w:t>
      </w:r>
      <w:bookmarkEnd w:id="179"/>
      <w:bookmarkEnd w:id="180"/>
    </w:p>
    <w:p>
      <w:pPr>
        <w:pStyle w:val="8"/>
        <w:widowControl w:val="0"/>
        <w:numPr>
          <w:ilvl w:val="0"/>
          <w:numId w:val="5"/>
        </w:numPr>
        <w:overflowPunct w:val="0"/>
        <w:rPr>
          <w:rFonts w:ascii="宋体" w:hAnsi="宋体" w:cs="宋体"/>
          <w:color w:val="auto"/>
          <w:sz w:val="21"/>
          <w:szCs w:val="21"/>
          <w:highlight w:val="none"/>
        </w:rPr>
      </w:pPr>
      <w:bookmarkStart w:id="181" w:name="_Toc9791"/>
      <w:bookmarkStart w:id="182" w:name="_Toc31457"/>
      <w:r>
        <w:rPr>
          <w:rFonts w:hint="eastAsia" w:ascii="宋体" w:hAnsi="宋体" w:cs="宋体"/>
          <w:color w:val="auto"/>
          <w:sz w:val="21"/>
          <w:szCs w:val="21"/>
          <w:highlight w:val="none"/>
        </w:rPr>
        <w:t>异议</w:t>
      </w:r>
      <w:bookmarkEnd w:id="181"/>
      <w:bookmarkEnd w:id="182"/>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pPr>
        <w:widowControl w:val="0"/>
        <w:tabs>
          <w:tab w:val="left" w:pos="907"/>
        </w:tabs>
        <w:adjustRightInd/>
        <w:snapToGrid/>
        <w:ind w:firstLine="420" w:firstLineChars="200"/>
        <w:jc w:val="both"/>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pPr>
        <w:rPr>
          <w:rFonts w:ascii="宋体" w:hAnsi="宋体" w:cs="宋体"/>
          <w:color w:val="auto"/>
          <w:highlight w:val="none"/>
        </w:rPr>
      </w:pPr>
    </w:p>
    <w:p>
      <w:pPr>
        <w:pStyle w:val="7"/>
        <w:numPr>
          <w:ilvl w:val="0"/>
          <w:numId w:val="4"/>
        </w:numPr>
        <w:spacing w:before="0" w:after="0" w:line="360" w:lineRule="auto"/>
        <w:jc w:val="center"/>
        <w:rPr>
          <w:rFonts w:ascii="宋体" w:hAnsi="宋体" w:cs="宋体"/>
          <w:color w:val="auto"/>
          <w:highlight w:val="none"/>
        </w:rPr>
      </w:pPr>
      <w:bookmarkStart w:id="183" w:name="_Toc18965"/>
      <w:bookmarkStart w:id="184" w:name="_Toc16776"/>
      <w:r>
        <w:rPr>
          <w:rFonts w:hint="eastAsia" w:ascii="宋体" w:hAnsi="宋体" w:cs="宋体"/>
          <w:color w:val="auto"/>
          <w:highlight w:val="none"/>
        </w:rPr>
        <w:t>其他</w:t>
      </w:r>
      <w:bookmarkEnd w:id="183"/>
      <w:bookmarkEnd w:id="184"/>
    </w:p>
    <w:p>
      <w:pPr>
        <w:pStyle w:val="8"/>
        <w:widowControl w:val="0"/>
        <w:numPr>
          <w:ilvl w:val="0"/>
          <w:numId w:val="5"/>
        </w:numPr>
        <w:overflowPunct w:val="0"/>
        <w:rPr>
          <w:rFonts w:ascii="宋体" w:hAnsi="宋体" w:cs="宋体"/>
          <w:color w:val="auto"/>
          <w:sz w:val="21"/>
          <w:szCs w:val="21"/>
          <w:highlight w:val="none"/>
        </w:rPr>
      </w:pPr>
      <w:bookmarkStart w:id="185" w:name="_Toc2155"/>
      <w:bookmarkStart w:id="186" w:name="_Toc1587"/>
      <w:r>
        <w:rPr>
          <w:rFonts w:hint="eastAsia" w:ascii="宋体" w:hAnsi="宋体" w:cs="宋体"/>
          <w:color w:val="auto"/>
          <w:sz w:val="21"/>
          <w:szCs w:val="21"/>
          <w:highlight w:val="none"/>
        </w:rPr>
        <w:t>采购文件的解释权</w:t>
      </w:r>
      <w:bookmarkEnd w:id="185"/>
      <w:bookmarkEnd w:id="186"/>
    </w:p>
    <w:p>
      <w:pPr>
        <w:pStyle w:val="44"/>
        <w:widowControl w:val="0"/>
        <w:numPr>
          <w:ilvl w:val="0"/>
          <w:numId w:val="6"/>
        </w:numPr>
        <w:tabs>
          <w:tab w:val="left" w:pos="907"/>
        </w:tabs>
        <w:adjustRightInd/>
        <w:snapToGrid/>
        <w:ind w:firstLineChars="0"/>
        <w:jc w:val="both"/>
        <w:rPr>
          <w:rFonts w:ascii="宋体" w:hAnsi="宋体" w:cs="宋体"/>
          <w:vanish/>
          <w:color w:val="auto"/>
          <w:szCs w:val="21"/>
          <w:highlight w:val="none"/>
        </w:rPr>
      </w:pPr>
    </w:p>
    <w:p>
      <w:pPr>
        <w:widowControl w:val="0"/>
        <w:numPr>
          <w:ilvl w:val="1"/>
          <w:numId w:val="5"/>
        </w:numP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pPr>
        <w:widowControl w:val="0"/>
        <w:numPr>
          <w:ilvl w:val="1"/>
          <w:numId w:val="11"/>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br w:type="page"/>
      </w:r>
    </w:p>
    <w:p>
      <w:pPr>
        <w:pStyle w:val="6"/>
        <w:spacing w:before="0" w:after="0" w:line="240" w:lineRule="auto"/>
        <w:rPr>
          <w:color w:val="auto"/>
          <w:sz w:val="28"/>
          <w:szCs w:val="28"/>
          <w:highlight w:val="none"/>
        </w:rPr>
      </w:pPr>
      <w:bookmarkStart w:id="187" w:name="_Toc15211"/>
      <w:r>
        <w:rPr>
          <w:rFonts w:hint="eastAsia"/>
          <w:color w:val="auto"/>
          <w:sz w:val="28"/>
          <w:szCs w:val="28"/>
          <w:highlight w:val="none"/>
        </w:rPr>
        <w:t>第五部分  合同条款格式</w:t>
      </w:r>
      <w:bookmarkEnd w:id="187"/>
      <w:bookmarkStart w:id="188" w:name="_Toc15636"/>
    </w:p>
    <w:bookmarkEnd w:id="188"/>
    <w:p>
      <w:pPr>
        <w:rPr>
          <w:color w:val="auto"/>
          <w:highlight w:val="none"/>
          <w:lang w:bidi="zh-CN"/>
        </w:rPr>
      </w:pPr>
      <w:bookmarkStart w:id="189" w:name="_Hlt109815959"/>
      <w:bookmarkEnd w:id="189"/>
    </w:p>
    <w:p>
      <w:pPr>
        <w:autoSpaceDE/>
        <w:autoSpaceDN/>
        <w:spacing w:line="360" w:lineRule="auto"/>
        <w:ind w:firstLine="4427" w:firstLineChars="2100"/>
        <w:jc w:val="both"/>
        <w:rPr>
          <w:rFonts w:hAnsi="宋体" w:cs="宋体"/>
          <w:b/>
          <w:bCs/>
          <w:color w:val="auto"/>
          <w:sz w:val="21"/>
          <w:szCs w:val="21"/>
          <w:highlight w:val="none"/>
        </w:rPr>
      </w:pPr>
      <w:bookmarkStart w:id="190" w:name="_Toc17124"/>
      <w:r>
        <w:rPr>
          <w:rFonts w:hint="eastAsia" w:hAnsi="宋体" w:cs="宋体"/>
          <w:b/>
          <w:bCs/>
          <w:color w:val="auto"/>
          <w:sz w:val="21"/>
          <w:szCs w:val="21"/>
          <w:highlight w:val="none"/>
        </w:rPr>
        <w:t>合同编号：</w:t>
      </w:r>
    </w:p>
    <w:p>
      <w:pPr>
        <w:autoSpaceDE/>
        <w:autoSpaceDN/>
        <w:spacing w:line="360" w:lineRule="auto"/>
        <w:jc w:val="both"/>
        <w:rPr>
          <w:rFonts w:hAnsi="宋体" w:cs="宋体"/>
          <w:color w:val="auto"/>
          <w:sz w:val="21"/>
          <w:szCs w:val="21"/>
          <w:highlight w:val="none"/>
        </w:rPr>
      </w:pPr>
    </w:p>
    <w:p>
      <w:pPr>
        <w:autoSpaceDE/>
        <w:autoSpaceDN/>
        <w:spacing w:line="360" w:lineRule="auto"/>
        <w:jc w:val="both"/>
        <w:rPr>
          <w:rFonts w:hAnsi="宋体" w:cs="宋体"/>
          <w:color w:val="auto"/>
          <w:sz w:val="21"/>
          <w:szCs w:val="21"/>
          <w:highlight w:val="none"/>
        </w:rPr>
      </w:pPr>
    </w:p>
    <w:p>
      <w:pPr>
        <w:autoSpaceDE/>
        <w:autoSpaceDN/>
        <w:spacing w:line="360" w:lineRule="auto"/>
        <w:jc w:val="center"/>
        <w:rPr>
          <w:rFonts w:hAnsi="宋体" w:cs="宋体"/>
          <w:b/>
          <w:bCs/>
          <w:color w:val="auto"/>
          <w:sz w:val="28"/>
          <w:szCs w:val="28"/>
          <w:highlight w:val="none"/>
        </w:rPr>
      </w:pPr>
      <w:r>
        <w:rPr>
          <w:rFonts w:hint="eastAsia" w:hAnsi="宋体" w:cs="宋体"/>
          <w:b/>
          <w:bCs/>
          <w:color w:val="auto"/>
          <w:sz w:val="28"/>
          <w:szCs w:val="28"/>
          <w:highlight w:val="none"/>
        </w:rPr>
        <w:t>莞番高速（寮步段）垃圾填埋场治理项目</w:t>
      </w:r>
      <w:r>
        <w:rPr>
          <w:rFonts w:hint="eastAsia" w:hAnsi="宋体" w:cs="宋体"/>
          <w:b/>
          <w:bCs/>
          <w:color w:val="auto"/>
          <w:sz w:val="28"/>
          <w:szCs w:val="28"/>
          <w:highlight w:val="none"/>
          <w:lang w:eastAsia="zh-CN"/>
        </w:rPr>
        <w:t>腐殖土二次转运</w:t>
      </w:r>
      <w:r>
        <w:rPr>
          <w:rFonts w:hint="eastAsia" w:hAnsi="宋体" w:cs="宋体"/>
          <w:b/>
          <w:bCs/>
          <w:color w:val="auto"/>
          <w:sz w:val="28"/>
          <w:szCs w:val="28"/>
          <w:highlight w:val="none"/>
        </w:rPr>
        <w:t>合同</w:t>
      </w: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p>
    <w:p>
      <w:pPr>
        <w:shd w:val="clear" w:color="auto" w:fill="FFFFFF"/>
        <w:autoSpaceDE/>
        <w:autoSpaceDN/>
        <w:spacing w:line="360" w:lineRule="auto"/>
        <w:jc w:val="both"/>
        <w:rPr>
          <w:rFonts w:hAnsi="宋体" w:cs="宋体"/>
          <w:bCs/>
          <w:color w:val="auto"/>
          <w:sz w:val="21"/>
          <w:szCs w:val="21"/>
          <w:highlight w:val="none"/>
        </w:rPr>
      </w:pPr>
      <w:r>
        <w:rPr>
          <w:rFonts w:hint="eastAsia" w:hAnsi="宋体" w:cs="宋体"/>
          <w:bCs/>
          <w:color w:val="auto"/>
          <w:sz w:val="21"/>
          <w:szCs w:val="21"/>
          <w:highlight w:val="none"/>
        </w:rPr>
        <w:t>甲方（发包方）：广东东实开能能源有限公司</w:t>
      </w:r>
    </w:p>
    <w:p>
      <w:pPr>
        <w:pStyle w:val="2"/>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t>乙方（承包方）：</w:t>
      </w:r>
    </w:p>
    <w:p>
      <w:pPr>
        <w:autoSpaceDE/>
        <w:autoSpaceDN/>
        <w:spacing w:line="360" w:lineRule="auto"/>
        <w:jc w:val="both"/>
        <w:rPr>
          <w:rFonts w:hAnsi="宋体" w:cs="宋体"/>
          <w:b/>
          <w:bCs/>
          <w:color w:val="auto"/>
          <w:sz w:val="21"/>
          <w:szCs w:val="21"/>
          <w:highlight w:val="none"/>
        </w:rPr>
      </w:pPr>
    </w:p>
    <w:p>
      <w:pPr>
        <w:autoSpaceDE/>
        <w:autoSpaceDN/>
        <w:spacing w:line="360" w:lineRule="auto"/>
        <w:jc w:val="both"/>
        <w:rPr>
          <w:rFonts w:hAnsi="宋体" w:cs="宋体"/>
          <w:b/>
          <w:bCs/>
          <w:color w:val="auto"/>
          <w:sz w:val="21"/>
          <w:szCs w:val="21"/>
          <w:highlight w:val="none"/>
        </w:rPr>
      </w:pPr>
      <w:r>
        <w:rPr>
          <w:rFonts w:hint="eastAsia" w:hAnsi="宋体" w:cs="宋体"/>
          <w:b/>
          <w:bCs/>
          <w:color w:val="auto"/>
          <w:sz w:val="21"/>
          <w:szCs w:val="21"/>
          <w:highlight w:val="none"/>
        </w:rPr>
        <w:t>签约日期：  年    月      日</w:t>
      </w:r>
    </w:p>
    <w:p>
      <w:pPr>
        <w:tabs>
          <w:tab w:val="left" w:pos="412"/>
          <w:tab w:val="left" w:pos="618"/>
        </w:tabs>
        <w:autoSpaceDE/>
        <w:autoSpaceDN/>
        <w:spacing w:line="360" w:lineRule="auto"/>
        <w:jc w:val="both"/>
        <w:rPr>
          <w:rFonts w:hAnsi="宋体" w:cs="宋体"/>
          <w:b/>
          <w:color w:val="auto"/>
          <w:sz w:val="21"/>
          <w:szCs w:val="21"/>
          <w:highlight w:val="none"/>
        </w:rPr>
        <w:sectPr>
          <w:footerReference r:id="rId13" w:type="first"/>
          <w:headerReference r:id="rId11" w:type="default"/>
          <w:footerReference r:id="rId12" w:type="default"/>
          <w:pgSz w:w="11906" w:h="16838"/>
          <w:pgMar w:top="1383" w:right="1134" w:bottom="1440" w:left="1134" w:header="851" w:footer="992" w:gutter="0"/>
          <w:pgNumType w:fmt="decimal" w:start="2"/>
          <w:cols w:space="720" w:num="1"/>
          <w:titlePg/>
          <w:docGrid w:type="lines" w:linePitch="312" w:charSpace="0"/>
        </w:sectPr>
      </w:pPr>
    </w:p>
    <w:p>
      <w:pPr>
        <w:tabs>
          <w:tab w:val="left" w:pos="0"/>
          <w:tab w:val="left" w:pos="315"/>
          <w:tab w:val="left" w:pos="5670"/>
        </w:tabs>
        <w:autoSpaceDE/>
        <w:autoSpaceDN/>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莞番高速（寮步段）垃圾填埋场治理项目</w:t>
      </w:r>
      <w:r>
        <w:rPr>
          <w:rFonts w:hint="eastAsia" w:hAnsi="宋体" w:cs="宋体"/>
          <w:b/>
          <w:color w:val="auto"/>
          <w:sz w:val="21"/>
          <w:szCs w:val="21"/>
          <w:highlight w:val="none"/>
          <w:lang w:eastAsia="zh-CN"/>
        </w:rPr>
        <w:t>腐殖土二次转运</w:t>
      </w:r>
      <w:r>
        <w:rPr>
          <w:rFonts w:hint="eastAsia" w:hAnsi="宋体" w:cs="宋体"/>
          <w:b/>
          <w:color w:val="auto"/>
          <w:sz w:val="21"/>
          <w:szCs w:val="21"/>
          <w:highlight w:val="none"/>
        </w:rPr>
        <w:t>合同</w:t>
      </w:r>
    </w:p>
    <w:p>
      <w:pPr>
        <w:shd w:val="clear" w:color="auto" w:fill="FFFFFF"/>
        <w:autoSpaceDE/>
        <w:autoSpaceDN/>
        <w:spacing w:line="360" w:lineRule="auto"/>
        <w:ind w:firstLine="420" w:firstLineChars="200"/>
        <w:jc w:val="both"/>
        <w:rPr>
          <w:rFonts w:hAnsi="宋体" w:cs="宋体"/>
          <w:color w:val="auto"/>
          <w:kern w:val="2"/>
          <w:sz w:val="21"/>
          <w:szCs w:val="21"/>
          <w:highlight w:val="none"/>
          <w:u w:val="single"/>
        </w:rPr>
      </w:pPr>
      <w:r>
        <w:rPr>
          <w:rFonts w:hint="eastAsia" w:hAnsi="宋体" w:cs="宋体"/>
          <w:color w:val="auto"/>
          <w:sz w:val="21"/>
          <w:szCs w:val="21"/>
          <w:highlight w:val="none"/>
        </w:rPr>
        <w:t>甲方（发包方）：</w:t>
      </w:r>
      <w:r>
        <w:rPr>
          <w:rFonts w:hint="eastAsia" w:hAnsi="宋体" w:cs="宋体"/>
          <w:color w:val="auto"/>
          <w:sz w:val="21"/>
          <w:szCs w:val="21"/>
          <w:highlight w:val="none"/>
          <w:u w:val="single"/>
        </w:rPr>
        <w:t>广东东实开能能源有限公司</w:t>
      </w:r>
    </w:p>
    <w:p>
      <w:pPr>
        <w:autoSpaceDE/>
        <w:autoSpaceDN/>
        <w:spacing w:line="360" w:lineRule="auto"/>
        <w:ind w:firstLine="422" w:firstLineChars="200"/>
        <w:jc w:val="both"/>
        <w:rPr>
          <w:rFonts w:hAnsi="宋体" w:cs="宋体"/>
          <w:color w:val="auto"/>
          <w:sz w:val="21"/>
          <w:szCs w:val="21"/>
          <w:highlight w:val="none"/>
          <w:u w:val="single"/>
        </w:rPr>
      </w:pPr>
      <w:r>
        <w:rPr>
          <w:rFonts w:hint="eastAsia" w:hAnsi="宋体" w:cs="宋体"/>
          <w:b/>
          <w:color w:val="auto"/>
          <w:sz w:val="21"/>
          <w:szCs w:val="21"/>
          <w:highlight w:val="none"/>
        </w:rPr>
        <w:t>乙方（承包方）：</w:t>
      </w:r>
      <w:r>
        <w:rPr>
          <w:rFonts w:hint="eastAsia" w:hAnsi="宋体" w:cs="宋体"/>
          <w:b/>
          <w:color w:val="auto"/>
          <w:sz w:val="21"/>
          <w:szCs w:val="21"/>
          <w:highlight w:val="none"/>
          <w:u w:val="single"/>
        </w:rPr>
        <w:t xml:space="preserve">                        </w:t>
      </w:r>
    </w:p>
    <w:p>
      <w:pPr>
        <w:autoSpaceDE/>
        <w:autoSpaceDN/>
        <w:spacing w:line="360" w:lineRule="auto"/>
        <w:ind w:firstLine="420" w:firstLineChars="200"/>
        <w:jc w:val="both"/>
        <w:rPr>
          <w:rFonts w:hAnsi="宋体" w:cs="宋体"/>
          <w:b/>
          <w:color w:val="auto"/>
          <w:sz w:val="21"/>
          <w:szCs w:val="21"/>
          <w:highlight w:val="none"/>
        </w:rPr>
      </w:pPr>
      <w:r>
        <w:rPr>
          <w:rFonts w:hint="eastAsia" w:hAnsi="宋体" w:cs="宋体"/>
          <w:color w:val="auto"/>
          <w:sz w:val="21"/>
          <w:szCs w:val="21"/>
          <w:highlight w:val="none"/>
        </w:rPr>
        <w:t>根据《中华人民共和国合同法》和相关法律法规规定，遵循平等、自愿、公平和诚实守信的原则，经甲乙双方友好协商，就</w:t>
      </w:r>
      <w:r>
        <w:rPr>
          <w:rFonts w:hint="eastAsia" w:hAnsi="宋体" w:cs="宋体"/>
          <w:color w:val="auto"/>
          <w:sz w:val="21"/>
          <w:szCs w:val="21"/>
          <w:highlight w:val="none"/>
          <w:u w:val="single"/>
        </w:rPr>
        <w:t>莞番高速（寮步段）垃圾填埋场治理项目</w:t>
      </w:r>
      <w:r>
        <w:rPr>
          <w:rFonts w:hint="eastAsia" w:hAnsi="宋体" w:cs="宋体"/>
          <w:color w:val="auto"/>
          <w:sz w:val="21"/>
          <w:szCs w:val="21"/>
          <w:highlight w:val="none"/>
          <w:u w:val="single"/>
          <w:lang w:eastAsia="zh-CN"/>
        </w:rPr>
        <w:t>腐殖土二次转运</w:t>
      </w:r>
      <w:r>
        <w:rPr>
          <w:rFonts w:hint="eastAsia" w:hAnsi="宋体" w:cs="宋体"/>
          <w:color w:val="auto"/>
          <w:sz w:val="21"/>
          <w:szCs w:val="21"/>
          <w:highlight w:val="none"/>
        </w:rPr>
        <w:t>事宜特订立本合同，以便共同遵守。</w:t>
      </w:r>
    </w:p>
    <w:p>
      <w:pPr>
        <w:autoSpaceDE/>
        <w:autoSpaceDN/>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一．项目概况、现场条件及相关技术要求：</w:t>
      </w:r>
    </w:p>
    <w:p>
      <w:pPr>
        <w:autoSpaceDE/>
        <w:autoSpaceDN/>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1、项目名称：</w:t>
      </w:r>
      <w:r>
        <w:rPr>
          <w:rFonts w:hint="eastAsia" w:hAnsi="宋体" w:cs="宋体"/>
          <w:color w:val="auto"/>
          <w:sz w:val="21"/>
          <w:szCs w:val="21"/>
          <w:highlight w:val="none"/>
          <w:u w:val="single"/>
        </w:rPr>
        <w:t>莞番高速（寮步段）垃圾填埋场治理项目</w:t>
      </w:r>
      <w:r>
        <w:rPr>
          <w:rFonts w:hint="eastAsia" w:hAnsi="宋体" w:cs="宋体"/>
          <w:color w:val="auto"/>
          <w:sz w:val="21"/>
          <w:szCs w:val="21"/>
          <w:highlight w:val="none"/>
          <w:u w:val="single"/>
          <w:lang w:eastAsia="zh-CN"/>
        </w:rPr>
        <w:t>腐殖土二次转运</w:t>
      </w:r>
      <w:r>
        <w:rPr>
          <w:rFonts w:hint="eastAsia" w:hAnsi="宋体" w:cs="宋体"/>
          <w:color w:val="auto"/>
          <w:sz w:val="21"/>
          <w:szCs w:val="21"/>
          <w:highlight w:val="none"/>
        </w:rPr>
        <w:t>。</w:t>
      </w:r>
    </w:p>
    <w:p>
      <w:pPr>
        <w:autoSpaceDE/>
        <w:autoSpaceDN/>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2、项目地址：</w:t>
      </w:r>
      <w:r>
        <w:rPr>
          <w:rFonts w:hint="eastAsia" w:hAnsi="宋体" w:cs="宋体"/>
          <w:color w:val="auto"/>
          <w:sz w:val="21"/>
          <w:szCs w:val="21"/>
          <w:highlight w:val="none"/>
          <w:u w:val="single"/>
        </w:rPr>
        <w:t>东莞市寮步镇珠三角环线高速西侧。</w:t>
      </w:r>
    </w:p>
    <w:p>
      <w:pPr>
        <w:autoSpaceDE/>
        <w:autoSpaceDN/>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3、现场条件：</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3.1.场地条件</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甲方提供实施项目所需的垃圾中转场地及筛分物堆放场地，乙方负责场地的平整，施工期间生产及生活设施由乙方自行考虑。</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3.2、运输</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所有堆体堆放区域外的临时道路由甲方负责建设，施工期间由乙方负责维护保养；所有堆体堆放区域内的临时道路由乙方负责建设，乙方需确保项目实施过程中所有运输道路的通畅，费用含在统一报价中（堆放区域由甲方根据项目实施情况确定）。</w:t>
      </w:r>
    </w:p>
    <w:p>
      <w:pPr>
        <w:spacing w:line="360" w:lineRule="auto"/>
        <w:ind w:firstLine="540"/>
        <w:rPr>
          <w:rFonts w:hAnsi="宋体" w:cs="宋体"/>
          <w:color w:val="auto"/>
          <w:sz w:val="21"/>
          <w:szCs w:val="21"/>
          <w:highlight w:val="none"/>
        </w:rPr>
      </w:pPr>
      <w:r>
        <w:rPr>
          <w:rFonts w:hint="eastAsia" w:hAnsi="宋体" w:cs="宋体"/>
          <w:color w:val="auto"/>
          <w:sz w:val="21"/>
          <w:szCs w:val="21"/>
          <w:highlight w:val="none"/>
        </w:rPr>
        <w:t>工程范围内所有运输道路由乙方负责维护，如有损坏涉及到的所有费用由乙方负责，甲方只负责协调管理。</w:t>
      </w:r>
    </w:p>
    <w:p>
      <w:pPr>
        <w:autoSpaceDE/>
        <w:autoSpaceDN/>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3.3、水电</w:t>
      </w:r>
    </w:p>
    <w:p>
      <w:pPr>
        <w:spacing w:line="360" w:lineRule="auto"/>
        <w:ind w:firstLine="490"/>
        <w:rPr>
          <w:rFonts w:hAnsi="宋体" w:cs="宋体"/>
          <w:color w:val="auto"/>
          <w:sz w:val="21"/>
          <w:szCs w:val="21"/>
          <w:highlight w:val="none"/>
        </w:rPr>
      </w:pPr>
      <w:r>
        <w:rPr>
          <w:rFonts w:hint="eastAsia" w:hAnsi="宋体" w:cs="宋体"/>
          <w:color w:val="auto"/>
          <w:sz w:val="21"/>
          <w:szCs w:val="21"/>
          <w:highlight w:val="none"/>
        </w:rPr>
        <w:t>本项目用水及临时施工用电由乙方自行办理，乙方应自行联系供电部门办理施工临时用电供电源的有关手续（包括办理临电接管及交纳临时接电费）或自行联系供水部门办理临时用水供给的有关手续，并设分流表，涉及到的所有费用由乙方负责，用水费、电费由乙方自理。临水、临电自接出处至各使用端的费用及相应的水电费各使用单位承担，公共损耗部分的费用按各自的水（电）表的用量按比例分担。甲方只负责临水、临电使用管理的协调。</w:t>
      </w:r>
    </w:p>
    <w:p>
      <w:pPr>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本项目范围内所有涉及到与市政接口连接的管道在开工前均需对市政接口的平面位置和标高进行核对，核对无误后方可进行。</w:t>
      </w:r>
    </w:p>
    <w:p>
      <w:pPr>
        <w:numPr>
          <w:ilvl w:val="255"/>
          <w:numId w:val="0"/>
        </w:numPr>
        <w:spacing w:line="360" w:lineRule="auto"/>
        <w:rPr>
          <w:rFonts w:cs="宋体"/>
          <w:color w:val="auto"/>
          <w:sz w:val="21"/>
          <w:szCs w:val="21"/>
          <w:highlight w:val="none"/>
        </w:rPr>
      </w:pPr>
      <w:r>
        <w:rPr>
          <w:rFonts w:hint="eastAsia" w:cs="宋体"/>
          <w:color w:val="auto"/>
          <w:sz w:val="21"/>
          <w:szCs w:val="21"/>
          <w:highlight w:val="none"/>
        </w:rPr>
        <w:t>4   技术要求</w:t>
      </w:r>
    </w:p>
    <w:p>
      <w:pPr>
        <w:spacing w:line="360" w:lineRule="auto"/>
        <w:rPr>
          <w:rFonts w:hAnsi="宋体" w:cs="宋体"/>
          <w:color w:val="auto"/>
          <w:sz w:val="21"/>
          <w:szCs w:val="21"/>
          <w:highlight w:val="none"/>
        </w:rPr>
      </w:pPr>
      <w:r>
        <w:rPr>
          <w:rFonts w:hint="eastAsia" w:hAnsi="宋体" w:cs="宋体"/>
          <w:color w:val="auto"/>
          <w:sz w:val="21"/>
          <w:szCs w:val="21"/>
          <w:highlight w:val="none"/>
        </w:rPr>
        <w:t>4.1开挖运输及材料要求</w:t>
      </w:r>
    </w:p>
    <w:p>
      <w:pPr>
        <w:snapToGrid w:val="0"/>
        <w:spacing w:line="360" w:lineRule="auto"/>
        <w:ind w:firstLine="630" w:firstLineChars="300"/>
        <w:jc w:val="both"/>
        <w:rPr>
          <w:rFonts w:hAnsi="宋体" w:cs="宋体"/>
          <w:color w:val="auto"/>
          <w:sz w:val="21"/>
          <w:szCs w:val="21"/>
          <w:highlight w:val="none"/>
        </w:rPr>
      </w:pPr>
      <w:r>
        <w:rPr>
          <w:rFonts w:hint="eastAsia" w:hAnsi="宋体" w:cs="宋体"/>
          <w:color w:val="auto"/>
          <w:sz w:val="21"/>
          <w:szCs w:val="21"/>
          <w:highlight w:val="none"/>
        </w:rPr>
        <w:t>本项目本项目采用挖掘机挖装，自卸汽车通过场内</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场外</w:t>
      </w:r>
      <w:r>
        <w:rPr>
          <w:rFonts w:hint="eastAsia" w:hAnsi="宋体" w:cs="宋体"/>
          <w:color w:val="auto"/>
          <w:sz w:val="21"/>
          <w:szCs w:val="21"/>
          <w:highlight w:val="none"/>
        </w:rPr>
        <w:t>运输道路送往</w:t>
      </w:r>
      <w:r>
        <w:rPr>
          <w:rFonts w:hint="eastAsia" w:hAnsi="宋体" w:cs="宋体"/>
          <w:color w:val="auto"/>
          <w:sz w:val="21"/>
          <w:szCs w:val="21"/>
          <w:highlight w:val="none"/>
          <w:lang w:val="en-US" w:eastAsia="zh-CN"/>
        </w:rPr>
        <w:t>堆放</w:t>
      </w:r>
      <w:r>
        <w:rPr>
          <w:rFonts w:hint="eastAsia" w:hAnsi="宋体" w:cs="宋体"/>
          <w:color w:val="auto"/>
          <w:sz w:val="21"/>
          <w:szCs w:val="21"/>
          <w:highlight w:val="none"/>
        </w:rPr>
        <w:t>场地。用于项目现场的材料、设备，应符合设计、标准规范、送有资质的检验机构进行检验，不合格的不得使用，并承担所有检测费用。开挖条件及要求如下：</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1）开挖顺序：暂</w:t>
      </w:r>
      <w:r>
        <w:rPr>
          <w:rFonts w:hint="eastAsia" w:hAnsi="宋体" w:cs="宋体"/>
          <w:color w:val="auto"/>
          <w:sz w:val="21"/>
          <w:szCs w:val="21"/>
          <w:highlight w:val="none"/>
          <w:lang w:val="en-US" w:eastAsia="zh-CN"/>
        </w:rPr>
        <w:t>同时</w:t>
      </w:r>
      <w:r>
        <w:rPr>
          <w:rFonts w:hint="eastAsia" w:hAnsi="宋体" w:cs="宋体"/>
          <w:color w:val="auto"/>
          <w:sz w:val="21"/>
          <w:szCs w:val="21"/>
          <w:highlight w:val="none"/>
        </w:rPr>
        <w:t>开挖上底</w:t>
      </w:r>
      <w:r>
        <w:rPr>
          <w:rFonts w:hint="eastAsia" w:hAnsi="宋体" w:cs="宋体"/>
          <w:color w:val="auto"/>
          <w:sz w:val="21"/>
          <w:szCs w:val="21"/>
          <w:highlight w:val="none"/>
          <w:lang w:val="en-US" w:eastAsia="zh-CN"/>
        </w:rPr>
        <w:t>鱼塘地块一及RDF暂存场堆体腐殖土，</w:t>
      </w:r>
      <w:r>
        <w:rPr>
          <w:rFonts w:hint="eastAsia" w:hAnsi="宋体" w:cs="宋体"/>
          <w:color w:val="auto"/>
          <w:sz w:val="21"/>
          <w:szCs w:val="21"/>
          <w:highlight w:val="none"/>
        </w:rPr>
        <w:t>腐殖土开挖运输至</w:t>
      </w:r>
      <w:r>
        <w:rPr>
          <w:rFonts w:hint="eastAsia" w:hAnsi="宋体" w:cs="宋体"/>
          <w:color w:val="auto"/>
          <w:sz w:val="21"/>
          <w:szCs w:val="21"/>
          <w:highlight w:val="none"/>
          <w:lang w:val="en-US" w:eastAsia="zh-CN"/>
        </w:rPr>
        <w:t>刘屋巷填埋区、上底填埋区</w:t>
      </w:r>
      <w:r>
        <w:rPr>
          <w:rFonts w:hint="eastAsia" w:hAnsi="宋体" w:cs="宋体"/>
          <w:color w:val="auto"/>
          <w:sz w:val="21"/>
          <w:szCs w:val="21"/>
          <w:highlight w:val="none"/>
        </w:rPr>
        <w:t>位置堆存。</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w:t>
      </w:r>
      <w:r>
        <w:rPr>
          <w:rFonts w:hint="eastAsia" w:cs="宋体"/>
          <w:color w:val="auto"/>
          <w:sz w:val="21"/>
          <w:szCs w:val="21"/>
          <w:highlight w:val="none"/>
          <w:lang w:val="en-US" w:eastAsia="zh-CN"/>
        </w:rPr>
        <w:t>本项目存在与防渗施工单位交叉施工，防渗施工单位分区域移交后，乙方接收场地进行回填腐殖土。乙方应在报价中充分考虑因交叉施工、分区域移交不及时、回填作业面狭小等因素，由此可能造成的窝工、停工等费用增加情况，甲方不另行支付费用</w:t>
      </w:r>
      <w:r>
        <w:rPr>
          <w:rFonts w:hint="eastAsia" w:hAnsi="宋体" w:cs="宋体"/>
          <w:color w:val="auto"/>
          <w:sz w:val="21"/>
          <w:szCs w:val="21"/>
          <w:highlight w:val="none"/>
        </w:rPr>
        <w:t>；</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w:t>
      </w:r>
      <w:r>
        <w:rPr>
          <w:rFonts w:hint="eastAsia" w:hAnsi="宋体" w:cs="宋体"/>
          <w:color w:val="auto"/>
          <w:sz w:val="21"/>
          <w:szCs w:val="21"/>
          <w:highlight w:val="none"/>
          <w:lang w:val="en-US" w:eastAsia="zh-CN"/>
        </w:rPr>
        <w:t>腐殖土回填采用分层回填压实</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每层厚度暂定为60cm（改变回填厚度需经寮步公用中心及甲方确认方可实施），腐殖土每层边线错开距离需大于10m，回填腐殖土需满铺后再回填下一层腐殖土，</w:t>
      </w:r>
      <w:r>
        <w:rPr>
          <w:rFonts w:hint="eastAsia" w:hAnsi="宋体" w:cs="宋体"/>
          <w:color w:val="auto"/>
          <w:sz w:val="21"/>
          <w:szCs w:val="21"/>
          <w:highlight w:val="none"/>
          <w:lang w:eastAsia="zh-CN"/>
        </w:rPr>
        <w:t>乙方</w:t>
      </w:r>
      <w:r>
        <w:rPr>
          <w:rFonts w:hint="eastAsia" w:hAnsi="宋体" w:cs="宋体"/>
          <w:color w:val="auto"/>
          <w:sz w:val="21"/>
          <w:szCs w:val="21"/>
          <w:highlight w:val="none"/>
        </w:rPr>
        <w:t>必须考虑充足安全施工措施；</w:t>
      </w:r>
    </w:p>
    <w:p>
      <w:pPr>
        <w:snapToGrid w:val="0"/>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rPr>
        <w:t>4）</w:t>
      </w:r>
      <w:r>
        <w:rPr>
          <w:rFonts w:hint="eastAsia" w:hAnsi="宋体" w:cs="宋体"/>
          <w:color w:val="auto"/>
          <w:sz w:val="21"/>
          <w:szCs w:val="21"/>
          <w:highlight w:val="none"/>
          <w:lang w:eastAsia="zh-CN"/>
        </w:rPr>
        <w:t>乙方</w:t>
      </w:r>
      <w:r>
        <w:rPr>
          <w:rFonts w:hint="eastAsia" w:hAnsi="宋体" w:cs="宋体"/>
          <w:color w:val="auto"/>
          <w:sz w:val="21"/>
          <w:szCs w:val="21"/>
          <w:highlight w:val="none"/>
        </w:rPr>
        <w:t>应充分考虑</w:t>
      </w:r>
      <w:r>
        <w:rPr>
          <w:rFonts w:hint="eastAsia" w:hAnsi="宋体" w:cs="宋体"/>
          <w:color w:val="auto"/>
          <w:sz w:val="21"/>
          <w:szCs w:val="21"/>
          <w:highlight w:val="none"/>
          <w:lang w:val="en-US" w:eastAsia="zh-CN"/>
        </w:rPr>
        <w:t>下雨</w:t>
      </w:r>
      <w:r>
        <w:rPr>
          <w:rFonts w:hint="eastAsia" w:hAnsi="宋体" w:cs="宋体"/>
          <w:color w:val="auto"/>
          <w:sz w:val="21"/>
          <w:szCs w:val="21"/>
          <w:highlight w:val="none"/>
        </w:rPr>
        <w:t>对施工的影响，制定雨季施工方案，现场设置雨污分流，避免外部雨水进入腐殖土等堆体内增加污水量。</w:t>
      </w:r>
    </w:p>
    <w:p>
      <w:pPr>
        <w:snapToGrid w:val="0"/>
        <w:spacing w:line="360" w:lineRule="auto"/>
        <w:ind w:firstLine="420" w:firstLineChars="200"/>
        <w:jc w:val="both"/>
        <w:rPr>
          <w:rFonts w:hint="default"/>
          <w:color w:val="auto"/>
          <w:highlight w:val="none"/>
          <w:lang w:val="en-US"/>
        </w:rPr>
      </w:pPr>
      <w:r>
        <w:rPr>
          <w:rFonts w:hint="eastAsia" w:hAnsi="宋体" w:cs="宋体"/>
          <w:color w:val="auto"/>
          <w:sz w:val="21"/>
          <w:szCs w:val="21"/>
          <w:highlight w:val="none"/>
          <w:lang w:val="en-US" w:eastAsia="zh-CN"/>
        </w:rPr>
        <w:t>5）施工前上报开挖回填施工专项方案，并经报审后实施，采用分层回填，不得在回填过程压坏及压裂防渗层，采用现场专人巡查，随时查看底部防渗层情况，禁止回填土体推移防渗层。如施工过程对底部防渗层造成破坏，将被罚款并承担给甲方和业主方带来的一切损失。</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4.2 项目实施过程中的安全注意事项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1）项目开工前复查填埋堆体情况，包括</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堆体空洞部位、垃圾体</w:t>
      </w:r>
      <w:r>
        <w:rPr>
          <w:rFonts w:hint="eastAsia" w:hAnsi="宋体" w:cs="宋体"/>
          <w:color w:val="auto"/>
          <w:sz w:val="21"/>
          <w:szCs w:val="21"/>
          <w:highlight w:val="none"/>
          <w:lang w:val="en-US" w:eastAsia="zh-CN"/>
        </w:rPr>
        <w:t>边坡</w:t>
      </w:r>
      <w:r>
        <w:rPr>
          <w:rFonts w:hint="eastAsia" w:hAnsi="宋体" w:cs="宋体"/>
          <w:color w:val="auto"/>
          <w:sz w:val="21"/>
          <w:szCs w:val="21"/>
          <w:highlight w:val="none"/>
        </w:rPr>
        <w:t>坡度埋深等；</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2）确保施工机械工作面下部无堆体空洞现象；</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3）施工期间，成立以项目经理为组长、专职安全员为副组长、各施工班组负责人为组员的专门安全工作领导小组，建立安全生产责任制；</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4）夜间作业，</w:t>
      </w:r>
      <w:r>
        <w:rPr>
          <w:rFonts w:hint="eastAsia" w:hAnsi="宋体" w:cs="宋体"/>
          <w:color w:val="auto"/>
          <w:sz w:val="21"/>
          <w:szCs w:val="21"/>
          <w:highlight w:val="none"/>
          <w:lang w:eastAsia="zh-CN"/>
        </w:rPr>
        <w:t>乙方</w:t>
      </w:r>
      <w:r>
        <w:rPr>
          <w:rFonts w:hint="eastAsia" w:hAnsi="宋体" w:cs="宋体"/>
          <w:color w:val="auto"/>
          <w:sz w:val="21"/>
          <w:szCs w:val="21"/>
          <w:highlight w:val="none"/>
        </w:rPr>
        <w:t>应负责机上及工作地点充足的照明设施，在危险地段应设置明显的警示标志和护栏。所有作业人员必需穿反光衣，以保证安全；</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5）雨期施工，运输机械和行驶道路应采取防滑措施，以保证行车安全；</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6）做好现场有害气体定时监测制度。</w:t>
      </w:r>
    </w:p>
    <w:p>
      <w:pPr>
        <w:pStyle w:val="7"/>
        <w:spacing w:line="360" w:lineRule="auto"/>
        <w:jc w:val="both"/>
        <w:rPr>
          <w:rFonts w:hAnsi="宋体" w:cs="宋体"/>
          <w:color w:val="auto"/>
          <w:sz w:val="21"/>
          <w:szCs w:val="21"/>
          <w:highlight w:val="none"/>
        </w:rPr>
      </w:pPr>
      <w:r>
        <w:rPr>
          <w:rFonts w:hint="eastAsia" w:hAnsi="宋体" w:cs="宋体"/>
          <w:color w:val="auto"/>
          <w:sz w:val="21"/>
          <w:szCs w:val="21"/>
          <w:highlight w:val="none"/>
        </w:rPr>
        <w:t>4.3</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的</w:t>
      </w:r>
      <w:r>
        <w:rPr>
          <w:rFonts w:hint="eastAsia" w:hAnsi="宋体" w:cs="宋体"/>
          <w:color w:val="auto"/>
          <w:sz w:val="21"/>
          <w:szCs w:val="21"/>
          <w:highlight w:val="none"/>
          <w:lang w:val="en-US" w:eastAsia="zh-CN"/>
        </w:rPr>
        <w:t>开挖回填</w:t>
      </w:r>
      <w:r>
        <w:rPr>
          <w:rFonts w:hint="eastAsia" w:hAnsi="宋体" w:cs="宋体"/>
          <w:color w:val="auto"/>
          <w:sz w:val="21"/>
          <w:szCs w:val="21"/>
          <w:highlight w:val="none"/>
        </w:rPr>
        <w:t>专项方案</w:t>
      </w:r>
    </w:p>
    <w:p>
      <w:pPr>
        <w:numPr>
          <w:ilvl w:val="-1"/>
          <w:numId w:val="0"/>
        </w:numPr>
        <w:snapToGrid w:val="0"/>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开挖形式、开挖顺序：分区分层开挖。区域挖方面积≤1000㎡，以防降雨产生大量渗滤液。</w:t>
      </w:r>
    </w:p>
    <w:p>
      <w:pPr>
        <w:numPr>
          <w:ilvl w:val="-1"/>
          <w:numId w:val="0"/>
        </w:numPr>
        <w:snapToGrid w:val="0"/>
        <w:spacing w:line="360" w:lineRule="auto"/>
        <w:ind w:firstLine="420" w:firstLineChars="200"/>
        <w:jc w:val="both"/>
        <w:rPr>
          <w:rFonts w:hint="eastAsia" w:hAnsi="宋体" w:cs="宋体"/>
          <w:color w:val="auto"/>
          <w:sz w:val="21"/>
          <w:szCs w:val="21"/>
          <w:highlight w:val="none"/>
          <w:lang w:val="en-US" w:eastAsia="zh-CN"/>
        </w:rPr>
      </w:pPr>
      <w:r>
        <w:rPr>
          <w:rFonts w:hint="eastAsia" w:hAnsi="宋体" w:cs="宋体"/>
          <w:color w:val="auto"/>
          <w:sz w:val="21"/>
          <w:szCs w:val="21"/>
          <w:highlight w:val="none"/>
          <w:lang w:val="en-US" w:eastAsia="zh-CN"/>
        </w:rPr>
        <w:t>2）回填:施工前上报开挖运输回填施工专项方案，并经报审后实施，采用分层回填，不得在回填过程压坏及压裂防渗层，采用现场专人巡查，随时查看防渗层情况，严格禁止出现回填土体推移防渗层现象。</w:t>
      </w:r>
    </w:p>
    <w:p>
      <w:pPr>
        <w:numPr>
          <w:ilvl w:val="-1"/>
          <w:numId w:val="0"/>
        </w:numPr>
        <w:snapToGrid w:val="0"/>
        <w:spacing w:line="360" w:lineRule="auto"/>
        <w:ind w:left="420" w:leftChars="200" w:firstLine="0" w:firstLineChars="0"/>
        <w:jc w:val="both"/>
        <w:rPr>
          <w:rFonts w:hAnsi="宋体" w:cs="宋体"/>
          <w:color w:val="auto"/>
          <w:sz w:val="21"/>
          <w:szCs w:val="21"/>
          <w:highlight w:val="none"/>
        </w:rPr>
      </w:pPr>
      <w:r>
        <w:rPr>
          <w:rFonts w:hint="eastAsia" w:hAnsi="宋体" w:cs="宋体"/>
          <w:color w:val="auto"/>
          <w:sz w:val="21"/>
          <w:szCs w:val="21"/>
          <w:highlight w:val="none"/>
          <w:lang w:val="en-US" w:eastAsia="zh-CN"/>
        </w:rPr>
        <w:t>3</w:t>
      </w:r>
      <w:r>
        <w:rPr>
          <w:rFonts w:hint="eastAsia" w:hAnsi="宋体" w:cs="宋体"/>
          <w:color w:val="auto"/>
          <w:sz w:val="21"/>
          <w:szCs w:val="21"/>
          <w:highlight w:val="none"/>
          <w:lang w:eastAsia="zh-CN"/>
        </w:rPr>
        <w:t>）</w:t>
      </w:r>
      <w:r>
        <w:rPr>
          <w:rFonts w:hint="eastAsia" w:hAnsi="宋体" w:cs="宋体"/>
          <w:color w:val="auto"/>
          <w:sz w:val="21"/>
          <w:szCs w:val="21"/>
          <w:highlight w:val="none"/>
        </w:rPr>
        <w:t>监测方案：在未采取稳定处理前提下，采取随挖随测的方式。主要监测内容：指定专人监测堆体稳定性、机械设施工作环境；每日定期检测垃圾堆体和开挖区易燃、有毒气体（甲烷、硫化氢、氨、一氧化碳等）的浓度；开挖暴露出的垃圾进行旁站巡视，发现除生活垃圾外的其他类物料，及时通知项目负责人。</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rPr>
        <w:t>）劳动组织安排：本场地挖方部分为本项目重点，必须设该分项项目负责人1名，专职安全人员≥1名，所有人需持证上岗，垃圾堆填场内作业人员需配备专用防护用具。</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rPr>
        <w:t>）挖方的动态控制：严格按照专项方案中施工计划执行开挖工作，出现偏差，必须及时采取纠偏措施，进行评审和总结。</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6</w:t>
      </w:r>
      <w:r>
        <w:rPr>
          <w:rFonts w:hint="eastAsia" w:hAnsi="宋体" w:cs="宋体"/>
          <w:color w:val="auto"/>
          <w:sz w:val="21"/>
          <w:szCs w:val="21"/>
          <w:highlight w:val="none"/>
        </w:rPr>
        <w:t>）施工前，施工单位应按照勘探、测绘单位提供的勘察测绘进行放线，进行场地范围的测量与核准并留存影象资料。</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7</w:t>
      </w:r>
      <w:r>
        <w:rPr>
          <w:rFonts w:hint="eastAsia" w:hAnsi="宋体" w:cs="宋体"/>
          <w:color w:val="auto"/>
          <w:sz w:val="21"/>
          <w:szCs w:val="21"/>
          <w:highlight w:val="none"/>
        </w:rPr>
        <w:t>）开挖前编制施工组织方案，确定堆料场地，护坡方案、夜间照明方案等内容。</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rPr>
        <w:t>）特殊保障措施</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由于施工现场为多年填埋的垃圾场，在施工过程中可能有大量有毒有害气体散出。施工人员佩戴口罩或防护面具。</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9</w:t>
      </w:r>
      <w:r>
        <w:rPr>
          <w:rFonts w:hint="eastAsia" w:hAnsi="宋体" w:cs="宋体"/>
          <w:color w:val="auto"/>
          <w:sz w:val="21"/>
          <w:szCs w:val="21"/>
          <w:highlight w:val="none"/>
        </w:rPr>
        <w:t>）除尘和除臭</w:t>
      </w:r>
    </w:p>
    <w:p>
      <w:pPr>
        <w:snapToGrid w:val="0"/>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rPr>
        <w:t>存量</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倒运、输送、场内处理以及外运存放所产生的粉尘和臭气，须采取有效措施，控制粉尘和恶臭对环境的污染。</w:t>
      </w:r>
    </w:p>
    <w:p>
      <w:pPr>
        <w:pStyle w:val="7"/>
        <w:jc w:val="both"/>
        <w:rPr>
          <w:rFonts w:hint="eastAsia" w:hAnsi="宋体" w:cs="宋体"/>
          <w:color w:val="auto"/>
          <w:sz w:val="21"/>
          <w:szCs w:val="21"/>
          <w:highlight w:val="none"/>
          <w:lang w:val="en-US" w:eastAsia="zh-CN"/>
        </w:rPr>
      </w:pPr>
      <w:r>
        <w:rPr>
          <w:rFonts w:hint="eastAsia" w:hAnsi="宋体" w:cs="宋体"/>
          <w:color w:val="auto"/>
          <w:sz w:val="21"/>
          <w:szCs w:val="21"/>
          <w:highlight w:val="none"/>
        </w:rPr>
        <w:t>4.3</w:t>
      </w:r>
      <w:r>
        <w:rPr>
          <w:rFonts w:hint="eastAsia" w:hAnsi="宋体" w:cs="宋体"/>
          <w:color w:val="auto"/>
          <w:sz w:val="21"/>
          <w:szCs w:val="21"/>
          <w:highlight w:val="none"/>
          <w:lang w:val="en-US" w:eastAsia="zh-CN"/>
        </w:rPr>
        <w:t>施工要求</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本项目渣土场由政府指定，腐殖土运输必须有《道路运输经营许可证》，如项目执行过程中需要办理《东莞市市区余泥渣土准运证》等，</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须及时办理，因各类证件缺少导致的一切损失由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负责。</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lang w:eastAsia="zh-CN"/>
        </w:rPr>
        <w:t>）</w:t>
      </w:r>
      <w:r>
        <w:rPr>
          <w:rFonts w:hint="eastAsia" w:hAnsi="宋体" w:cs="宋体"/>
          <w:color w:val="auto"/>
          <w:sz w:val="21"/>
          <w:szCs w:val="21"/>
          <w:highlight w:val="none"/>
        </w:rPr>
        <w:t>项目范围内的原有道路原有管线拆改、围挡工程等涉及到的所有费用由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负责，</w:t>
      </w:r>
      <w:r>
        <w:rPr>
          <w:rFonts w:hint="eastAsia" w:hAnsi="宋体" w:cs="宋体"/>
          <w:color w:val="auto"/>
          <w:sz w:val="21"/>
          <w:szCs w:val="21"/>
          <w:highlight w:val="none"/>
          <w:lang w:val="en-US" w:eastAsia="zh-CN"/>
        </w:rPr>
        <w:t>甲方</w:t>
      </w:r>
      <w:r>
        <w:rPr>
          <w:rFonts w:hint="eastAsia" w:hAnsi="宋体" w:cs="宋体"/>
          <w:color w:val="auto"/>
          <w:sz w:val="21"/>
          <w:szCs w:val="21"/>
          <w:highlight w:val="none"/>
        </w:rPr>
        <w:t>只负责协调管理。</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3</w:t>
      </w:r>
      <w:r>
        <w:rPr>
          <w:rFonts w:hint="eastAsia" w:hAnsi="宋体" w:cs="宋体"/>
          <w:color w:val="auto"/>
          <w:sz w:val="21"/>
          <w:szCs w:val="21"/>
          <w:highlight w:val="none"/>
          <w:lang w:eastAsia="zh-CN"/>
        </w:rPr>
        <w:t>）</w:t>
      </w:r>
      <w:r>
        <w:rPr>
          <w:rFonts w:hint="eastAsia" w:hAnsi="宋体" w:cs="宋体"/>
          <w:color w:val="auto"/>
          <w:sz w:val="21"/>
          <w:szCs w:val="21"/>
          <w:highlight w:val="none"/>
        </w:rPr>
        <w:t>周边居民关系协调：</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需要做好敦亲睦邻工作，每</w:t>
      </w:r>
      <w:r>
        <w:rPr>
          <w:rFonts w:hint="eastAsia" w:hAnsi="宋体" w:cs="宋体"/>
          <w:color w:val="auto"/>
          <w:sz w:val="21"/>
          <w:szCs w:val="21"/>
          <w:highlight w:val="none"/>
          <w:lang w:val="en-US" w:eastAsia="zh-CN"/>
        </w:rPr>
        <w:t>月</w:t>
      </w:r>
      <w:r>
        <w:rPr>
          <w:rFonts w:hint="eastAsia" w:hAnsi="宋体" w:cs="宋体"/>
          <w:color w:val="auto"/>
          <w:sz w:val="21"/>
          <w:szCs w:val="21"/>
          <w:highlight w:val="none"/>
        </w:rPr>
        <w:t>至少组织1次村民之间的互动，协调解决好村民投诉</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如因运输问题造成村民投诉及其他影响施工进程的事宜，及由此造成的工期延误，均由乙方负责</w:t>
      </w:r>
      <w:r>
        <w:rPr>
          <w:rFonts w:hint="eastAsia" w:hAnsi="宋体" w:cs="宋体"/>
          <w:color w:val="auto"/>
          <w:sz w:val="21"/>
          <w:szCs w:val="21"/>
          <w:highlight w:val="none"/>
        </w:rPr>
        <w:t>。</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4</w:t>
      </w:r>
      <w:r>
        <w:rPr>
          <w:rFonts w:hint="eastAsia" w:hAnsi="宋体" w:cs="宋体"/>
          <w:color w:val="auto"/>
          <w:sz w:val="21"/>
          <w:szCs w:val="21"/>
          <w:highlight w:val="none"/>
          <w:lang w:eastAsia="zh-CN"/>
        </w:rPr>
        <w:t>）</w:t>
      </w:r>
      <w:r>
        <w:rPr>
          <w:rFonts w:hint="eastAsia" w:hAnsi="宋体" w:cs="宋体"/>
          <w:color w:val="auto"/>
          <w:sz w:val="21"/>
          <w:szCs w:val="21"/>
          <w:highlight w:val="none"/>
        </w:rPr>
        <w:t>项目实施过程中，</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在开挖现场应做好围蔽及警示。因防护措施不到位引起的安全责任，由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承担责任。</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5</w:t>
      </w:r>
      <w:r>
        <w:rPr>
          <w:rFonts w:hint="eastAsia" w:hAnsi="宋体" w:cs="宋体"/>
          <w:color w:val="auto"/>
          <w:sz w:val="21"/>
          <w:szCs w:val="21"/>
          <w:highlight w:val="none"/>
          <w:lang w:eastAsia="zh-CN"/>
        </w:rPr>
        <w:t>）</w:t>
      </w:r>
      <w:r>
        <w:rPr>
          <w:rFonts w:hint="eastAsia" w:hAnsi="宋体" w:cs="宋体"/>
          <w:color w:val="auto"/>
          <w:sz w:val="21"/>
          <w:szCs w:val="21"/>
          <w:highlight w:val="none"/>
        </w:rPr>
        <w:t>项目实施过程中，</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应充分考虑臭气、扬尘的影响，应配备除臭设施及降尘设施，提供设备配置表及除臭方案，如出现开挖臭气扰民或环保风险，由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负责。</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6）乙方需在</w:t>
      </w:r>
      <w:r>
        <w:rPr>
          <w:rFonts w:hint="eastAsia" w:hAnsi="宋体" w:cs="宋体"/>
          <w:color w:val="auto"/>
          <w:sz w:val="21"/>
          <w:szCs w:val="21"/>
          <w:highlight w:val="none"/>
        </w:rPr>
        <w:t>项目现场</w:t>
      </w:r>
      <w:r>
        <w:rPr>
          <w:rFonts w:hint="eastAsia" w:hAnsi="宋体" w:cs="宋体"/>
          <w:color w:val="auto"/>
          <w:sz w:val="21"/>
          <w:szCs w:val="21"/>
          <w:highlight w:val="none"/>
          <w:lang w:val="en-US" w:eastAsia="zh-CN"/>
        </w:rPr>
        <w:t>RDF暂存场</w:t>
      </w:r>
      <w:r>
        <w:rPr>
          <w:rFonts w:hint="eastAsia" w:hAnsi="宋体" w:cs="宋体"/>
          <w:color w:val="auto"/>
          <w:sz w:val="21"/>
          <w:szCs w:val="21"/>
          <w:highlight w:val="none"/>
        </w:rPr>
        <w:t>出入口</w:t>
      </w:r>
      <w:r>
        <w:rPr>
          <w:rFonts w:hint="eastAsia" w:hAnsi="宋体" w:cs="宋体"/>
          <w:color w:val="auto"/>
          <w:sz w:val="21"/>
          <w:szCs w:val="21"/>
          <w:highlight w:val="none"/>
          <w:lang w:val="en-US" w:eastAsia="zh-CN"/>
        </w:rPr>
        <w:t>及填埋场出入口</w:t>
      </w:r>
      <w:r>
        <w:rPr>
          <w:rFonts w:hint="eastAsia" w:hAnsi="宋体" w:cs="宋体"/>
          <w:color w:val="auto"/>
          <w:sz w:val="21"/>
          <w:szCs w:val="21"/>
          <w:highlight w:val="none"/>
        </w:rPr>
        <w:t>设</w:t>
      </w:r>
      <w:r>
        <w:rPr>
          <w:rFonts w:hint="eastAsia" w:hAnsi="宋体" w:cs="宋体"/>
          <w:color w:val="auto"/>
          <w:sz w:val="21"/>
          <w:szCs w:val="21"/>
          <w:highlight w:val="none"/>
          <w:lang w:val="en-US" w:eastAsia="zh-CN"/>
        </w:rPr>
        <w:t>置两套</w:t>
      </w:r>
      <w:r>
        <w:rPr>
          <w:rFonts w:hint="eastAsia" w:hAnsi="宋体" w:cs="宋体"/>
          <w:color w:val="auto"/>
          <w:sz w:val="21"/>
          <w:szCs w:val="21"/>
          <w:highlight w:val="none"/>
        </w:rPr>
        <w:t>冲洗设备</w:t>
      </w:r>
      <w:r>
        <w:rPr>
          <w:rFonts w:hint="eastAsia" w:hAnsi="宋体" w:cs="宋体"/>
          <w:color w:val="auto"/>
          <w:sz w:val="21"/>
          <w:szCs w:val="21"/>
          <w:highlight w:val="none"/>
          <w:lang w:val="en-US" w:eastAsia="zh-CN"/>
        </w:rPr>
        <w:t>及洗车槽（建造标准应符合当地政府要求）</w:t>
      </w:r>
      <w:r>
        <w:rPr>
          <w:rFonts w:hint="eastAsia" w:hAnsi="宋体" w:cs="宋体"/>
          <w:color w:val="auto"/>
          <w:sz w:val="21"/>
          <w:szCs w:val="21"/>
          <w:highlight w:val="none"/>
        </w:rPr>
        <w:t>，所有车辆及人员离开项目现场必须清洗干净，因未清洗造成项目范围内场地、外围道路污染的清洁费及因污染环境被处予违约金的所有费用由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自行支付。运输车辆必须按照批准的运输时间、路线和地点进行作业，严禁项目运输车超装滥载。车辆装载应确保封盖严实封盖处理（垃圾运输车辆必须使用防漏、密封型的车厢），禁止运输过程的抛、洒、滴、漏现象。</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7</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必须严格按照《大气污染防治法》、《广东省建设工程施工扬尘污染防治管理办法（试行）》、《2018年东莞市建设工程施工扬尘污染专项治理工作方案》、《广东省住房和城乡建设厅关于采取切实措施坚决遏制施工扬尘污染的紧急通知》（粤建电发[2018]20号）、《</w:t>
      </w:r>
      <w:r>
        <w:rPr>
          <w:rFonts w:hint="eastAsia" w:hAnsi="宋体" w:cs="宋体"/>
          <w:color w:val="auto"/>
          <w:sz w:val="21"/>
          <w:szCs w:val="21"/>
          <w:highlight w:val="none"/>
          <w:lang w:val="en"/>
        </w:rPr>
        <w:t>关于建设工程施工扬尘污染防治措施和用工实名管理费用计价有关事项的通知</w:t>
      </w:r>
      <w:r>
        <w:rPr>
          <w:rFonts w:hint="eastAsia" w:hAnsi="宋体" w:cs="宋体"/>
          <w:color w:val="auto"/>
          <w:sz w:val="21"/>
          <w:szCs w:val="21"/>
          <w:highlight w:val="none"/>
        </w:rPr>
        <w:t>》（粤建标函[2018]106号）、《关于转发&lt;广东省住房和城乡建设厅关于采取切实措施坚决遏制施工扬尘污染的紧急通知&gt;的通知》（东建质安[2018]54号）等文件制定施工扬尘污染防治实施方案。</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应建立扬尘污染防治公示制度以及现场视频监控管理制度并配备专人负责扬尘防治工作，在项目现场采取设置硬质围挡，分段作业，择时施工，洒水抑尘，冲洗地面，车辆进出等级，车辆出场清洁等有效防尘降尘措施。扬尘污染防治措施费用包含在投标报价中。</w:t>
      </w:r>
    </w:p>
    <w:p>
      <w:pPr>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应严格执行《广东省住房和城乡建设厅印发房屋建筑和市政基础设施工程用工实名管理暂行办法的通知》（粤建规范[2018]1号），制定用工实名管理的专项方案以及费用使用计划，在开工进场5日内须向</w:t>
      </w:r>
      <w:r>
        <w:rPr>
          <w:rFonts w:hint="eastAsia" w:hAnsi="宋体" w:cs="宋体"/>
          <w:color w:val="auto"/>
          <w:sz w:val="21"/>
          <w:szCs w:val="21"/>
          <w:highlight w:val="none"/>
          <w:lang w:val="en-US" w:eastAsia="zh-CN"/>
        </w:rPr>
        <w:t>甲方</w:t>
      </w:r>
      <w:r>
        <w:rPr>
          <w:rFonts w:hint="eastAsia" w:hAnsi="宋体" w:cs="宋体"/>
          <w:color w:val="auto"/>
          <w:sz w:val="21"/>
          <w:szCs w:val="21"/>
          <w:highlight w:val="none"/>
        </w:rPr>
        <w:t>报送项目现场人员实名登记信息资料并实时更新，如未按要求实施的视为违约，</w:t>
      </w:r>
      <w:r>
        <w:rPr>
          <w:rFonts w:hint="eastAsia" w:hAnsi="宋体" w:cs="宋体"/>
          <w:color w:val="auto"/>
          <w:sz w:val="21"/>
          <w:szCs w:val="21"/>
          <w:highlight w:val="none"/>
          <w:lang w:val="en-US" w:eastAsia="zh-CN"/>
        </w:rPr>
        <w:t>甲方</w:t>
      </w:r>
      <w:r>
        <w:rPr>
          <w:rFonts w:hint="eastAsia" w:hAnsi="宋体" w:cs="宋体"/>
          <w:color w:val="auto"/>
          <w:sz w:val="21"/>
          <w:szCs w:val="21"/>
          <w:highlight w:val="none"/>
        </w:rPr>
        <w:t>对</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每次处予人民币20,000元的违约金，如发出整改通知书后，仍未及时按照要求进行整改的，</w:t>
      </w:r>
      <w:r>
        <w:rPr>
          <w:rFonts w:hint="eastAsia" w:hAnsi="宋体" w:cs="宋体"/>
          <w:color w:val="auto"/>
          <w:sz w:val="21"/>
          <w:szCs w:val="21"/>
          <w:highlight w:val="none"/>
          <w:lang w:val="en-US" w:eastAsia="zh-CN"/>
        </w:rPr>
        <w:t>甲方</w:t>
      </w:r>
      <w:r>
        <w:rPr>
          <w:rFonts w:hint="eastAsia" w:hAnsi="宋体" w:cs="宋体"/>
          <w:color w:val="auto"/>
          <w:sz w:val="21"/>
          <w:szCs w:val="21"/>
          <w:highlight w:val="none"/>
        </w:rPr>
        <w:t>对</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处予人民币100,000元的违约金，并责令停工整治。</w:t>
      </w:r>
    </w:p>
    <w:p>
      <w:pPr>
        <w:spacing w:line="360" w:lineRule="auto"/>
        <w:ind w:firstLine="420" w:firstLineChars="200"/>
        <w:jc w:val="both"/>
        <w:rPr>
          <w:rFonts w:hint="eastAsia" w:hAnsi="宋体" w:cs="宋体"/>
          <w:color w:val="auto"/>
          <w:sz w:val="21"/>
          <w:szCs w:val="21"/>
          <w:highlight w:val="none"/>
        </w:rPr>
      </w:pPr>
      <w:r>
        <w:rPr>
          <w:rFonts w:hint="eastAsia" w:hAnsi="宋体" w:cs="宋体"/>
          <w:color w:val="auto"/>
          <w:sz w:val="21"/>
          <w:szCs w:val="21"/>
          <w:highlight w:val="none"/>
          <w:lang w:val="en-US" w:eastAsia="zh-CN"/>
        </w:rPr>
        <w:t>9</w:t>
      </w:r>
      <w:r>
        <w:rPr>
          <w:rFonts w:hint="eastAsia" w:hAnsi="宋体" w:cs="宋体"/>
          <w:color w:val="auto"/>
          <w:sz w:val="21"/>
          <w:szCs w:val="21"/>
          <w:highlight w:val="none"/>
          <w:lang w:eastAsia="zh-CN"/>
        </w:rPr>
        <w:t>）</w:t>
      </w:r>
      <w:r>
        <w:rPr>
          <w:rFonts w:hint="eastAsia" w:hAnsi="宋体" w:cs="宋体"/>
          <w:color w:val="auto"/>
          <w:sz w:val="21"/>
          <w:szCs w:val="21"/>
          <w:highlight w:val="none"/>
        </w:rPr>
        <w:t>项目过程中因雨天等因素导致临时道路不能正常使用时，由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采取措施，以保证临时道路能正常使用，涉及到的所有费用由</w:t>
      </w:r>
      <w:r>
        <w:rPr>
          <w:rFonts w:hint="eastAsia" w:hAnsi="宋体" w:cs="宋体"/>
          <w:color w:val="auto"/>
          <w:sz w:val="21"/>
          <w:szCs w:val="21"/>
          <w:highlight w:val="none"/>
          <w:lang w:val="en-US" w:eastAsia="zh-CN"/>
        </w:rPr>
        <w:t>乙方</w:t>
      </w:r>
      <w:r>
        <w:rPr>
          <w:rFonts w:hint="eastAsia" w:hAnsi="宋体" w:cs="宋体"/>
          <w:color w:val="auto"/>
          <w:sz w:val="21"/>
          <w:szCs w:val="21"/>
          <w:highlight w:val="none"/>
        </w:rPr>
        <w:t>负责。</w:t>
      </w:r>
    </w:p>
    <w:p>
      <w:pPr>
        <w:spacing w:line="360" w:lineRule="auto"/>
        <w:rPr>
          <w:color w:val="auto"/>
          <w:highlight w:val="none"/>
        </w:rPr>
      </w:pPr>
    </w:p>
    <w:p>
      <w:pPr>
        <w:numPr>
          <w:ilvl w:val="0"/>
          <w:numId w:val="12"/>
        </w:numPr>
        <w:autoSpaceDE/>
        <w:autoSpaceDN/>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 xml:space="preserve"> 项目工作范围及工作量：</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（一）工程范围</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要求乙方照</w:t>
      </w:r>
      <w:r>
        <w:rPr>
          <w:rFonts w:hint="eastAsia" w:hAnsi="宋体" w:cs="宋体"/>
          <w:color w:val="auto"/>
          <w:sz w:val="21"/>
          <w:szCs w:val="21"/>
          <w:highlight w:val="none"/>
          <w:lang w:val="en-US" w:eastAsia="zh-CN"/>
        </w:rPr>
        <w:t>按照</w:t>
      </w:r>
      <w:r>
        <w:rPr>
          <w:rFonts w:hint="eastAsia" w:hAnsi="宋体" w:cs="宋体"/>
          <w:color w:val="auto"/>
          <w:sz w:val="21"/>
          <w:szCs w:val="21"/>
          <w:highlight w:val="none"/>
        </w:rPr>
        <w:t>本项目条件、技术规范</w:t>
      </w:r>
      <w:r>
        <w:rPr>
          <w:rFonts w:hint="eastAsia" w:hAnsi="宋体" w:cs="宋体"/>
          <w:color w:val="auto"/>
          <w:sz w:val="21"/>
          <w:szCs w:val="21"/>
          <w:highlight w:val="none"/>
          <w:lang w:eastAsia="zh-CN"/>
        </w:rPr>
        <w:t>、</w:t>
      </w:r>
      <w:r>
        <w:rPr>
          <w:rFonts w:hint="eastAsia" w:hAnsi="宋体" w:cs="宋体"/>
          <w:color w:val="auto"/>
          <w:sz w:val="21"/>
          <w:szCs w:val="21"/>
          <w:highlight w:val="none"/>
        </w:rPr>
        <w:t>设计图纸</w:t>
      </w:r>
      <w:r>
        <w:rPr>
          <w:rFonts w:hint="eastAsia" w:hAnsi="宋体" w:cs="宋体"/>
          <w:color w:val="auto"/>
          <w:sz w:val="21"/>
          <w:szCs w:val="21"/>
          <w:highlight w:val="none"/>
          <w:lang w:val="en-US" w:eastAsia="zh-CN"/>
        </w:rPr>
        <w:t>和</w:t>
      </w:r>
      <w:r>
        <w:rPr>
          <w:rFonts w:hint="eastAsia" w:hAnsi="宋体" w:cs="宋体"/>
          <w:color w:val="auto"/>
          <w:sz w:val="21"/>
          <w:szCs w:val="21"/>
          <w:highlight w:val="none"/>
        </w:rPr>
        <w:t>有关技术资料，完成</w:t>
      </w:r>
      <w:r>
        <w:rPr>
          <w:rFonts w:hint="eastAsia" w:hAnsi="宋体" w:cs="宋体"/>
          <w:color w:val="auto"/>
          <w:sz w:val="21"/>
          <w:szCs w:val="21"/>
          <w:highlight w:val="none"/>
          <w:lang w:val="en-US" w:eastAsia="zh-CN"/>
        </w:rPr>
        <w:t>RDF暂存场腐殖土</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w:t>
      </w:r>
      <w:r>
        <w:rPr>
          <w:rFonts w:hint="eastAsia" w:hAnsi="宋体" w:cs="宋体"/>
          <w:color w:val="auto"/>
          <w:sz w:val="21"/>
          <w:szCs w:val="21"/>
          <w:highlight w:val="none"/>
          <w:lang w:val="en-US" w:eastAsia="zh-CN"/>
        </w:rPr>
        <w:t>腐殖土</w:t>
      </w:r>
      <w:r>
        <w:rPr>
          <w:rFonts w:hint="eastAsia" w:hAnsi="宋体" w:cs="宋体"/>
          <w:color w:val="auto"/>
          <w:sz w:val="21"/>
          <w:szCs w:val="21"/>
          <w:highlight w:val="none"/>
        </w:rPr>
        <w:t>堆体的</w:t>
      </w:r>
      <w:r>
        <w:rPr>
          <w:rFonts w:hint="eastAsia" w:hAnsi="宋体" w:cs="宋体"/>
          <w:color w:val="auto"/>
          <w:sz w:val="21"/>
          <w:szCs w:val="21"/>
          <w:highlight w:val="none"/>
          <w:lang w:val="en-US" w:eastAsia="zh-CN"/>
        </w:rPr>
        <w:t>转运堆填</w:t>
      </w:r>
      <w:r>
        <w:rPr>
          <w:rFonts w:hint="eastAsia" w:hAnsi="宋体" w:cs="宋体"/>
          <w:color w:val="auto"/>
          <w:sz w:val="21"/>
          <w:szCs w:val="21"/>
          <w:highlight w:val="none"/>
        </w:rPr>
        <w:t>。本工程范围包括但不限于，</w:t>
      </w:r>
      <w:r>
        <w:rPr>
          <w:rFonts w:hint="eastAsia" w:hAnsi="宋体" w:cs="宋体"/>
          <w:color w:val="auto"/>
          <w:sz w:val="21"/>
          <w:szCs w:val="21"/>
          <w:highlight w:val="none"/>
          <w:lang w:val="en-US" w:eastAsia="zh-CN"/>
        </w:rPr>
        <w:t>RDF暂存场腐殖土清表、</w:t>
      </w:r>
      <w:r>
        <w:rPr>
          <w:rFonts w:hint="eastAsia" w:hAnsi="宋体" w:cs="宋体"/>
          <w:color w:val="auto"/>
          <w:sz w:val="21"/>
          <w:szCs w:val="21"/>
          <w:highlight w:val="none"/>
        </w:rPr>
        <w:t>开挖、运输、</w:t>
      </w:r>
      <w:r>
        <w:rPr>
          <w:rFonts w:hint="eastAsia" w:hAnsi="宋体" w:cs="宋体"/>
          <w:color w:val="auto"/>
          <w:sz w:val="21"/>
          <w:szCs w:val="21"/>
          <w:highlight w:val="none"/>
          <w:lang w:val="en-US" w:eastAsia="zh-CN"/>
        </w:rPr>
        <w:t>堆填</w:t>
      </w:r>
      <w:r>
        <w:rPr>
          <w:rFonts w:hint="eastAsia" w:hAnsi="宋体" w:cs="宋体"/>
          <w:color w:val="auto"/>
          <w:sz w:val="21"/>
          <w:szCs w:val="21"/>
          <w:highlight w:val="none"/>
        </w:rPr>
        <w:t>、整形</w:t>
      </w:r>
      <w:r>
        <w:rPr>
          <w:rFonts w:hint="eastAsia" w:hAnsi="宋体" w:cs="宋体"/>
          <w:color w:val="auto"/>
          <w:sz w:val="21"/>
          <w:szCs w:val="21"/>
          <w:highlight w:val="none"/>
          <w:lang w:val="en-US" w:eastAsia="zh-CN"/>
        </w:rPr>
        <w:t>及场地内的渗滤液抽运（需运至甲方指定地点）</w:t>
      </w:r>
      <w:r>
        <w:rPr>
          <w:rFonts w:hint="eastAsia" w:hAnsi="宋体" w:cs="宋体"/>
          <w:color w:val="auto"/>
          <w:sz w:val="21"/>
          <w:szCs w:val="21"/>
          <w:highlight w:val="none"/>
          <w:lang w:eastAsia="zh-CN"/>
        </w:rPr>
        <w:t>；</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周转场腐殖土</w:t>
      </w:r>
      <w:r>
        <w:rPr>
          <w:rFonts w:hint="eastAsia" w:hAnsi="宋体" w:cs="宋体"/>
          <w:color w:val="auto"/>
          <w:sz w:val="21"/>
          <w:szCs w:val="21"/>
          <w:highlight w:val="none"/>
          <w:lang w:val="en-US" w:eastAsia="zh-CN"/>
        </w:rPr>
        <w:t>揭膜、</w:t>
      </w:r>
      <w:r>
        <w:rPr>
          <w:rFonts w:hint="eastAsia" w:hAnsi="宋体" w:cs="宋体"/>
          <w:color w:val="auto"/>
          <w:sz w:val="21"/>
          <w:szCs w:val="21"/>
          <w:highlight w:val="none"/>
        </w:rPr>
        <w:t>开挖、运输、</w:t>
      </w:r>
      <w:r>
        <w:rPr>
          <w:rFonts w:hint="eastAsia" w:hAnsi="宋体" w:cs="宋体"/>
          <w:color w:val="auto"/>
          <w:sz w:val="21"/>
          <w:szCs w:val="21"/>
          <w:highlight w:val="none"/>
          <w:lang w:val="en-US" w:eastAsia="zh-CN"/>
        </w:rPr>
        <w:t>堆填</w:t>
      </w:r>
      <w:r>
        <w:rPr>
          <w:rFonts w:hint="eastAsia" w:hAnsi="宋体" w:cs="宋体"/>
          <w:color w:val="auto"/>
          <w:sz w:val="21"/>
          <w:szCs w:val="21"/>
          <w:highlight w:val="none"/>
        </w:rPr>
        <w:t>、整形；项目施工过程的环保、安全等工作</w:t>
      </w:r>
      <w:r>
        <w:rPr>
          <w:rFonts w:hint="eastAsia" w:hAnsi="宋体" w:cs="宋体"/>
          <w:color w:val="auto"/>
          <w:sz w:val="21"/>
          <w:szCs w:val="21"/>
          <w:highlight w:val="none"/>
          <w:lang w:val="en-US" w:eastAsia="zh-CN"/>
        </w:rPr>
        <w:t>由乙方负责；</w:t>
      </w:r>
      <w:r>
        <w:rPr>
          <w:rFonts w:hint="eastAsia" w:hAnsi="宋体" w:cs="宋体"/>
          <w:color w:val="auto"/>
          <w:sz w:val="21"/>
          <w:szCs w:val="21"/>
          <w:highlight w:val="none"/>
        </w:rPr>
        <w:t>项目竣工验收后，中标人向</w:t>
      </w:r>
      <w:r>
        <w:rPr>
          <w:rFonts w:hint="eastAsia" w:hAnsi="宋体" w:cs="宋体"/>
          <w:color w:val="auto"/>
          <w:sz w:val="21"/>
          <w:szCs w:val="21"/>
          <w:highlight w:val="none"/>
          <w:lang w:val="en-US" w:eastAsia="zh-CN"/>
        </w:rPr>
        <w:t>甲方</w:t>
      </w:r>
      <w:r>
        <w:rPr>
          <w:rFonts w:hint="eastAsia" w:hAnsi="宋体" w:cs="宋体"/>
          <w:color w:val="auto"/>
          <w:sz w:val="21"/>
          <w:szCs w:val="21"/>
          <w:highlight w:val="none"/>
        </w:rPr>
        <w:t>移交场地和合格的项目竣工资料，并将所有设备自行拆离现场（此工程范围包工、包料、包工期、包质量、包安全、包文明施工、包竣工验收）。</w:t>
      </w:r>
    </w:p>
    <w:p>
      <w:pPr>
        <w:snapToGrid w:val="0"/>
        <w:spacing w:line="360" w:lineRule="auto"/>
        <w:ind w:firstLine="420" w:firstLineChars="200"/>
        <w:rPr>
          <w:rFonts w:hAnsi="宋体" w:cs="宋体"/>
          <w:color w:val="auto"/>
          <w:sz w:val="21"/>
          <w:szCs w:val="21"/>
          <w:highlight w:val="none"/>
        </w:rPr>
      </w:pP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（二）工程量</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1</w:t>
      </w:r>
      <w:r>
        <w:rPr>
          <w:rFonts w:hint="eastAsia" w:hAnsi="宋体" w:cs="宋体"/>
          <w:color w:val="auto"/>
          <w:sz w:val="21"/>
          <w:szCs w:val="21"/>
          <w:highlight w:val="none"/>
        </w:rPr>
        <w:t>、</w:t>
      </w:r>
      <w:r>
        <w:rPr>
          <w:rFonts w:hint="eastAsia" w:hAnsi="宋体" w:cs="宋体"/>
          <w:color w:val="auto"/>
          <w:sz w:val="21"/>
          <w:szCs w:val="21"/>
          <w:highlight w:val="none"/>
          <w:lang w:val="en-US" w:eastAsia="zh-CN"/>
        </w:rPr>
        <w:t>RDF暂存场腐殖土体量约18.4万m³</w:t>
      </w:r>
      <w:r>
        <w:rPr>
          <w:rFonts w:hint="eastAsia" w:hAnsi="宋体" w:cs="宋体"/>
          <w:color w:val="auto"/>
          <w:sz w:val="21"/>
          <w:szCs w:val="21"/>
          <w:highlight w:val="none"/>
        </w:rPr>
        <w:t>；</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2</w:t>
      </w:r>
      <w:r>
        <w:rPr>
          <w:rFonts w:hint="eastAsia" w:hAnsi="宋体" w:cs="宋体"/>
          <w:color w:val="auto"/>
          <w:sz w:val="21"/>
          <w:szCs w:val="21"/>
          <w:highlight w:val="none"/>
        </w:rPr>
        <w:t>、上底鱼塘</w:t>
      </w:r>
      <w:r>
        <w:rPr>
          <w:rFonts w:hint="eastAsia" w:hAnsi="宋体" w:cs="宋体"/>
          <w:color w:val="auto"/>
          <w:sz w:val="21"/>
          <w:szCs w:val="21"/>
          <w:highlight w:val="none"/>
          <w:lang w:val="en-US" w:eastAsia="zh-CN"/>
        </w:rPr>
        <w:t>地块一</w:t>
      </w:r>
      <w:r>
        <w:rPr>
          <w:rFonts w:hint="eastAsia" w:hAnsi="宋体" w:cs="宋体"/>
          <w:color w:val="auto"/>
          <w:sz w:val="21"/>
          <w:szCs w:val="21"/>
          <w:highlight w:val="none"/>
        </w:rPr>
        <w:t>周转场腐殖土体量约6.</w:t>
      </w:r>
      <w:r>
        <w:rPr>
          <w:rFonts w:hint="eastAsia" w:hAnsi="宋体" w:cs="宋体"/>
          <w:color w:val="auto"/>
          <w:sz w:val="21"/>
          <w:szCs w:val="21"/>
          <w:highlight w:val="none"/>
          <w:lang w:eastAsia="zh-CN"/>
        </w:rPr>
        <w:t>2</w:t>
      </w:r>
      <w:r>
        <w:rPr>
          <w:rFonts w:hint="eastAsia" w:hAnsi="宋体" w:cs="宋体"/>
          <w:color w:val="auto"/>
          <w:sz w:val="21"/>
          <w:szCs w:val="21"/>
          <w:highlight w:val="none"/>
        </w:rPr>
        <w:t>万m³。</w:t>
      </w:r>
    </w:p>
    <w:p>
      <w:pPr>
        <w:pStyle w:val="2"/>
        <w:spacing w:line="360" w:lineRule="auto"/>
        <w:ind w:right="0" w:firstLine="420" w:firstLineChars="200"/>
        <w:jc w:val="both"/>
        <w:rPr>
          <w:rFonts w:hAnsi="宋体" w:cs="宋体"/>
          <w:b w:val="0"/>
          <w:bCs w:val="0"/>
          <w:color w:val="auto"/>
          <w:sz w:val="21"/>
          <w:szCs w:val="21"/>
          <w:highlight w:val="none"/>
        </w:rPr>
      </w:pPr>
      <w:r>
        <w:rPr>
          <w:rFonts w:hint="eastAsia" w:hAnsi="宋体" w:cs="宋体"/>
          <w:b w:val="0"/>
          <w:bCs w:val="0"/>
          <w:color w:val="auto"/>
          <w:sz w:val="21"/>
          <w:szCs w:val="21"/>
          <w:highlight w:val="none"/>
        </w:rPr>
        <w:t>（注：最终工程量以</w:t>
      </w:r>
      <w:r>
        <w:rPr>
          <w:rFonts w:hint="eastAsia" w:cs="宋体"/>
          <w:b w:val="0"/>
          <w:bCs w:val="0"/>
          <w:color w:val="auto"/>
          <w:sz w:val="21"/>
          <w:szCs w:val="21"/>
          <w:highlight w:val="none"/>
          <w:lang w:val="en-US" w:eastAsia="zh-CN"/>
        </w:rPr>
        <w:t>采购人</w:t>
      </w:r>
      <w:r>
        <w:rPr>
          <w:rFonts w:hint="eastAsia" w:hAnsi="宋体" w:cs="宋体"/>
          <w:b w:val="0"/>
          <w:bCs w:val="0"/>
          <w:color w:val="auto"/>
          <w:sz w:val="21"/>
          <w:szCs w:val="21"/>
          <w:highlight w:val="none"/>
        </w:rPr>
        <w:t>认可的有资质的第三方测量单位现场测量为准）</w:t>
      </w:r>
    </w:p>
    <w:p>
      <w:pPr>
        <w:pStyle w:val="2"/>
        <w:numPr>
          <w:ilvl w:val="0"/>
          <w:numId w:val="12"/>
        </w:numPr>
        <w:autoSpaceDE/>
        <w:autoSpaceDN/>
        <w:spacing w:line="360" w:lineRule="auto"/>
        <w:ind w:right="0" w:firstLine="420" w:firstLineChars="200"/>
        <w:jc w:val="both"/>
        <w:rPr>
          <w:rFonts w:hAnsi="宋体" w:cs="宋体"/>
          <w:color w:val="auto"/>
          <w:sz w:val="21"/>
          <w:szCs w:val="21"/>
          <w:highlight w:val="none"/>
          <w:lang w:val="en-US"/>
        </w:rPr>
      </w:pPr>
      <w:r>
        <w:rPr>
          <w:rFonts w:hint="eastAsia" w:hAnsi="宋体" w:cs="宋体"/>
          <w:color w:val="auto"/>
          <w:sz w:val="21"/>
          <w:szCs w:val="21"/>
          <w:highlight w:val="none"/>
          <w:lang w:val="en-US"/>
        </w:rPr>
        <w:t>合同工期</w:t>
      </w:r>
    </w:p>
    <w:p>
      <w:pPr>
        <w:pStyle w:val="2"/>
        <w:numPr>
          <w:ilvl w:val="0"/>
          <w:numId w:val="13"/>
        </w:numPr>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本项目总合同工期为</w:t>
      </w:r>
      <w:r>
        <w:rPr>
          <w:rFonts w:hint="eastAsia" w:cs="宋体"/>
          <w:b w:val="0"/>
          <w:bCs w:val="0"/>
          <w:color w:val="auto"/>
          <w:sz w:val="21"/>
          <w:szCs w:val="21"/>
          <w:highlight w:val="none"/>
          <w:lang w:val="en-US" w:eastAsia="zh-CN"/>
        </w:rPr>
        <w:t>9</w:t>
      </w:r>
      <w:r>
        <w:rPr>
          <w:rFonts w:hint="eastAsia" w:hAnsi="宋体" w:cs="宋体"/>
          <w:b w:val="0"/>
          <w:bCs w:val="0"/>
          <w:color w:val="auto"/>
          <w:sz w:val="21"/>
          <w:szCs w:val="21"/>
          <w:highlight w:val="none"/>
          <w:lang w:val="en-US" w:eastAsia="zh-CN"/>
        </w:rPr>
        <w:t>0</w:t>
      </w:r>
      <w:r>
        <w:rPr>
          <w:rFonts w:hint="eastAsia" w:hAnsi="宋体" w:cs="宋体"/>
          <w:b w:val="0"/>
          <w:bCs w:val="0"/>
          <w:color w:val="auto"/>
          <w:sz w:val="21"/>
          <w:szCs w:val="21"/>
          <w:highlight w:val="none"/>
          <w:lang w:val="en-US"/>
        </w:rPr>
        <w:t>天，自合同签订后，甲方发出的开工令生效之日起算。合同履行过程中，最终合同工期及节点工期若有调整，以甲方或政府实际通知为准。</w:t>
      </w:r>
    </w:p>
    <w:p>
      <w:pPr>
        <w:pStyle w:val="2"/>
        <w:numPr>
          <w:ilvl w:val="0"/>
          <w:numId w:val="13"/>
        </w:numPr>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竣工日期以甲方发出的正式书面竣工通知书中所列明的日期为准（但若甲方延迟组织验收或者组织验收后延迟出具书面竣工通知书的，以乙方提交验收工作报告之日为准），乙方不得因自身经济纠纷而拒绝交付使用，如因乙方不按此承诺导致不能进行下步工序施工。则乙方承担由此给甲方造成的损失，甲方有权在结算尾款中扣除相应的款项作为赔偿金。</w:t>
      </w:r>
    </w:p>
    <w:p>
      <w:pPr>
        <w:pStyle w:val="2"/>
        <w:numPr>
          <w:ilvl w:val="0"/>
          <w:numId w:val="13"/>
        </w:numPr>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因下列原因的暂时停工，乙方应自负责任，工期不予顺延：</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（1）由乙方某种失误或违约导致的，或乙方应对其负责的必要停工；</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（2）由于不属于不可抗力的现场气候条件导致的必要停工；</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（3）乙方为了本项目的合理施工进行的调整部署，或为了本项目及其任何部分的安全而采取必要的技术措施所需要的停工；</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（4）合同中的其他约定。</w:t>
      </w:r>
    </w:p>
    <w:p>
      <w:pPr>
        <w:pStyle w:val="2"/>
        <w:autoSpaceDE/>
        <w:autoSpaceDN/>
        <w:spacing w:line="360" w:lineRule="auto"/>
        <w:ind w:right="0"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4、乙方因不可归责于乙方的原因造成停工的，甲方不承担暂停施工而给乙方造成的损失，但工期可以顺延。</w:t>
      </w:r>
    </w:p>
    <w:p>
      <w:pPr>
        <w:pStyle w:val="2"/>
        <w:autoSpaceDE/>
        <w:autoSpaceDN/>
        <w:spacing w:line="360" w:lineRule="auto"/>
        <w:ind w:right="0" w:firstLine="420" w:firstLineChars="200"/>
        <w:jc w:val="both"/>
        <w:rPr>
          <w:rFonts w:hAnsi="宋体" w:cs="宋体"/>
          <w:color w:val="auto"/>
          <w:sz w:val="21"/>
          <w:szCs w:val="21"/>
          <w:highlight w:val="none"/>
          <w:lang w:val="en-US"/>
        </w:rPr>
      </w:pPr>
      <w:r>
        <w:rPr>
          <w:rFonts w:hint="eastAsia" w:hAnsi="宋体" w:cs="宋体"/>
          <w:color w:val="auto"/>
          <w:sz w:val="21"/>
          <w:szCs w:val="21"/>
          <w:highlight w:val="none"/>
          <w:lang w:val="en-US"/>
        </w:rPr>
        <w:t>四．合同价款及付款方式</w:t>
      </w:r>
    </w:p>
    <w:p>
      <w:pPr>
        <w:pStyle w:val="2"/>
        <w:numPr>
          <w:ilvl w:val="0"/>
          <w:numId w:val="14"/>
        </w:numPr>
        <w:spacing w:line="360" w:lineRule="auto"/>
        <w:ind w:left="16" w:firstLine="420" w:firstLineChars="200"/>
        <w:jc w:val="both"/>
        <w:textAlignment w:val="baseline"/>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合同价款：</w:t>
      </w:r>
    </w:p>
    <w:p>
      <w:pPr>
        <w:pStyle w:val="2"/>
        <w:numPr>
          <w:ilvl w:val="0"/>
          <w:numId w:val="14"/>
        </w:numPr>
        <w:spacing w:line="360" w:lineRule="auto"/>
        <w:ind w:left="16" w:firstLine="420" w:firstLineChars="200"/>
        <w:jc w:val="both"/>
        <w:textAlignment w:val="baseline"/>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（1）本合同暂定总价金额为 ¥.00元（大写人民币：元整），此为含税金额，按照现行税收政策规定，应包含税率9%的增值税，如遇税务政策调整，自税务政策调整之日起，应按本合同金额/（1+增值税税率9%）计算的不含税价格乘以调整后的税率支付后续合同款项。每次付款前，乙方应提前开具等额有效的增值税专用发票，并交付甲方；甲方未收到乙方发票的，可不予付款。</w:t>
      </w:r>
    </w:p>
    <w:p>
      <w:pPr>
        <w:pStyle w:val="2"/>
        <w:spacing w:line="360" w:lineRule="auto"/>
        <w:ind w:left="16" w:firstLine="420" w:firstLineChars="200"/>
        <w:jc w:val="both"/>
        <w:rPr>
          <w:rFonts w:hAnsi="宋体" w:cs="宋体"/>
          <w:b w:val="0"/>
          <w:bCs w:val="0"/>
          <w:color w:val="auto"/>
          <w:sz w:val="21"/>
          <w:szCs w:val="21"/>
          <w:highlight w:val="none"/>
          <w:lang w:val="en-US"/>
        </w:rPr>
      </w:pPr>
      <w:r>
        <w:rPr>
          <w:rFonts w:hint="eastAsia" w:hAnsi="宋体" w:cs="宋体"/>
          <w:b w:val="0"/>
          <w:bCs w:val="0"/>
          <w:color w:val="auto"/>
          <w:sz w:val="21"/>
          <w:szCs w:val="21"/>
          <w:highlight w:val="none"/>
          <w:lang w:val="en-US"/>
        </w:rPr>
        <w:t>（2）本合同暂定总价不含税金额为¥元（大写人民币：），乙方负责开具发票所需承担的所有税费，包括税务政策调整引起的税费变化等。每次付款前，如约定乙方应提前开具等额有效的增值税专用发票并交付甲方；甲方未收到乙方发票的，可不予付款。</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u w:val="single"/>
          <w:lang w:eastAsia="zh-CN"/>
        </w:rPr>
      </w:pPr>
      <w:r>
        <w:rPr>
          <w:rFonts w:hint="eastAsia" w:ascii="宋体" w:hAnsi="宋体" w:eastAsia="宋体" w:cs="宋体"/>
          <w:b w:val="0"/>
          <w:bCs w:val="0"/>
          <w:color w:val="auto"/>
          <w:sz w:val="21"/>
          <w:szCs w:val="21"/>
          <w:highlight w:val="none"/>
          <w:lang w:eastAsia="zh-CN"/>
        </w:rPr>
        <w:t>（3）乙方确认签署本合同时已知悉合同价中已包含合同履行期间内物价上涨和人工费用上涨等政策因素对合同价影响的风险因素，乙方不得因物价上涨和人工费用上涨等因素提出对合同单价进行调整。</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2、本合同价格包含但不限于以下内容（本合同另有约定的除外）：</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项目基本费用：人工费、材料费（包括材料市场价格波动和材料代用等）、机械使用费（包括施工机械进退场费、拆装费、现场施工点的移位费安装费等）、措施费（指当季的《广东省建设工程定额》中规定的与本项目相关的文明施工措施费和安全措施费），间接费、利润、人工费调整、定额材机费调整、材料价差、施工措施费政策性文件的调价、利润、风险包干费、税金、优惠系数，以及为完成项目施工前和施工过程中技术、生活、安全、文明生产等方面所需的生产及生活临时设施费、施工机械进出场费、安拆费、转运费、为完成工程施工而修建的临时施工道路、施工用水用电接入、机械场内停滞、夜间施工、冬雨季施工、赶工措施、设备及材料二次转运、材料检验试验（包括甲供材料的检测）、成品保护、各类检查检验、合同条款规定的保险、政策性文件规定及合同包含的所有风险、责任以及乙方认为应计取的各项费用（含利润、专利使用费等）、按当地税率计取的税金等所有费用。雨污分流、填埋场截洪沟建设等工作内容包含在开挖分项报价中。</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（2）安全文明施工费：</w:t>
      </w:r>
      <w:r>
        <w:rPr>
          <w:rFonts w:hint="eastAsia" w:ascii="宋体" w:hAnsi="宋体" w:eastAsia="宋体" w:cs="宋体"/>
          <w:b w:val="0"/>
          <w:bCs w:val="0"/>
          <w:color w:val="auto"/>
          <w:sz w:val="21"/>
          <w:szCs w:val="21"/>
          <w:highlight w:val="none"/>
          <w:lang w:val="en-US" w:eastAsia="zh-CN"/>
        </w:rPr>
        <w:t>包括但不限于</w:t>
      </w:r>
      <w:r>
        <w:rPr>
          <w:rFonts w:hint="eastAsia" w:ascii="宋体" w:hAnsi="宋体" w:eastAsia="宋体" w:cs="宋体"/>
          <w:b w:val="0"/>
          <w:bCs w:val="0"/>
          <w:color w:val="auto"/>
          <w:sz w:val="21"/>
          <w:szCs w:val="21"/>
          <w:highlight w:val="none"/>
          <w:lang w:eastAsia="zh-CN"/>
        </w:rPr>
        <w:t>开挖过程中的渗滤液收集以及安（除尘除臭、消防、安全劳动防护等确保施工安全措施）、健、环等安全生产、文明施工措施等费用；</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3、付款方式：</w:t>
      </w:r>
    </w:p>
    <w:p>
      <w:pPr>
        <w:pStyle w:val="90"/>
        <w:keepNext w:val="0"/>
        <w:keepLines w:val="0"/>
        <w:pageBreakBefore w:val="0"/>
        <w:numPr>
          <w:ilvl w:val="0"/>
          <w:numId w:val="0"/>
        </w:numPr>
        <w:tabs>
          <w:tab w:val="clear" w:pos="992"/>
        </w:tabs>
        <w:spacing w:line="360" w:lineRule="auto"/>
        <w:ind w:firstLine="420" w:firstLineChars="200"/>
        <w:jc w:val="both"/>
        <w:outlineLvl w:val="9"/>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完工</w:t>
      </w:r>
      <w:r>
        <w:rPr>
          <w:rFonts w:hint="eastAsia" w:ascii="宋体" w:hAnsi="宋体" w:eastAsia="宋体" w:cs="宋体"/>
          <w:b w:val="0"/>
          <w:bCs w:val="0"/>
          <w:color w:val="auto"/>
          <w:sz w:val="21"/>
          <w:szCs w:val="21"/>
          <w:highlight w:val="none"/>
          <w:lang w:eastAsia="zh-CN"/>
        </w:rPr>
        <w:t>验收款：</w:t>
      </w:r>
      <w:r>
        <w:rPr>
          <w:rFonts w:hint="eastAsia" w:ascii="宋体" w:hAnsi="宋体" w:eastAsia="宋体" w:cs="宋体"/>
          <w:b w:val="0"/>
          <w:bCs w:val="0"/>
          <w:color w:val="auto"/>
          <w:sz w:val="21"/>
          <w:szCs w:val="21"/>
          <w:highlight w:val="none"/>
          <w:lang w:val="en-US" w:eastAsia="zh-CN"/>
        </w:rPr>
        <w:t>项目完工并经甲方、业主</w:t>
      </w:r>
      <w:r>
        <w:rPr>
          <w:rFonts w:hint="eastAsia" w:ascii="宋体" w:hAnsi="宋体" w:eastAsia="宋体" w:cs="宋体"/>
          <w:b w:val="0"/>
          <w:bCs w:val="0"/>
          <w:color w:val="auto"/>
          <w:sz w:val="21"/>
          <w:szCs w:val="21"/>
          <w:highlight w:val="none"/>
          <w:lang w:eastAsia="zh-CN"/>
        </w:rPr>
        <w:t>等部门验收合格后，支付至</w:t>
      </w:r>
      <w:r>
        <w:rPr>
          <w:rFonts w:hint="eastAsia" w:ascii="宋体" w:hAnsi="宋体" w:eastAsia="宋体" w:cs="宋体"/>
          <w:b w:val="0"/>
          <w:bCs w:val="0"/>
          <w:color w:val="auto"/>
          <w:sz w:val="21"/>
          <w:szCs w:val="21"/>
          <w:highlight w:val="none"/>
          <w:lang w:val="en-US" w:eastAsia="zh-CN"/>
        </w:rPr>
        <w:t>合同完工</w:t>
      </w:r>
      <w:r>
        <w:rPr>
          <w:rFonts w:hint="eastAsia" w:ascii="宋体" w:hAnsi="宋体" w:eastAsia="宋体" w:cs="宋体"/>
          <w:b w:val="0"/>
          <w:bCs w:val="0"/>
          <w:color w:val="auto"/>
          <w:sz w:val="21"/>
          <w:szCs w:val="21"/>
          <w:highlight w:val="none"/>
          <w:lang w:eastAsia="zh-CN"/>
        </w:rPr>
        <w:t>总价的80%。</w:t>
      </w:r>
    </w:p>
    <w:p>
      <w:pPr>
        <w:pStyle w:val="90"/>
        <w:keepNext w:val="0"/>
        <w:keepLines w:val="0"/>
        <w:pageBreakBefore w:val="0"/>
        <w:numPr>
          <w:ilvl w:val="0"/>
          <w:numId w:val="0"/>
        </w:numPr>
        <w:tabs>
          <w:tab w:val="clear" w:pos="992"/>
        </w:tabs>
        <w:spacing w:line="360" w:lineRule="auto"/>
        <w:ind w:firstLine="420" w:firstLineChars="200"/>
        <w:jc w:val="both"/>
        <w:outlineLvl w:val="9"/>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结算款：</w:t>
      </w:r>
      <w:r>
        <w:rPr>
          <w:rFonts w:hint="eastAsia" w:ascii="宋体" w:hAnsi="宋体" w:eastAsia="宋体" w:cs="宋体"/>
          <w:b w:val="0"/>
          <w:bCs w:val="0"/>
          <w:color w:val="auto"/>
          <w:sz w:val="21"/>
          <w:szCs w:val="21"/>
          <w:highlight w:val="none"/>
          <w:lang w:eastAsia="zh-CN"/>
        </w:rPr>
        <w:t>本项目办理竣工验收结算</w:t>
      </w:r>
      <w:r>
        <w:rPr>
          <w:rFonts w:hint="eastAsia" w:ascii="宋体" w:hAnsi="宋体" w:eastAsia="宋体" w:cs="宋体"/>
          <w:b w:val="0"/>
          <w:bCs w:val="0"/>
          <w:color w:val="auto"/>
          <w:sz w:val="21"/>
          <w:szCs w:val="21"/>
          <w:highlight w:val="none"/>
          <w:lang w:val="en-US" w:eastAsia="zh-CN"/>
        </w:rPr>
        <w:t>并</w:t>
      </w:r>
      <w:r>
        <w:rPr>
          <w:rFonts w:hint="eastAsia" w:ascii="宋体" w:hAnsi="宋体" w:eastAsia="宋体" w:cs="宋体"/>
          <w:b w:val="0"/>
          <w:bCs w:val="0"/>
          <w:color w:val="auto"/>
          <w:sz w:val="21"/>
          <w:szCs w:val="21"/>
          <w:highlight w:val="none"/>
          <w:lang w:eastAsia="zh-CN"/>
        </w:rPr>
        <w:t>经财审审核完成</w:t>
      </w:r>
      <w:r>
        <w:rPr>
          <w:rFonts w:hint="eastAsia" w:ascii="宋体" w:hAnsi="宋体" w:eastAsia="宋体" w:cs="宋体"/>
          <w:b w:val="0"/>
          <w:bCs w:val="0"/>
          <w:color w:val="auto"/>
          <w:sz w:val="21"/>
          <w:szCs w:val="21"/>
          <w:highlight w:val="none"/>
          <w:lang w:val="en-US" w:eastAsia="zh-CN"/>
        </w:rPr>
        <w:t>后</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甲方</w:t>
      </w:r>
      <w:r>
        <w:rPr>
          <w:rFonts w:hint="eastAsia" w:ascii="宋体" w:hAnsi="宋体" w:eastAsia="宋体" w:cs="宋体"/>
          <w:b w:val="0"/>
          <w:bCs w:val="0"/>
          <w:color w:val="auto"/>
          <w:sz w:val="21"/>
          <w:szCs w:val="21"/>
          <w:highlight w:val="none"/>
          <w:lang w:eastAsia="zh-CN"/>
        </w:rPr>
        <w:t>支付剩余结算款。若最终财审审定金额高于结算总价上浮10%，则以结算总价金额作为最终结算金额；若最终财审审定金额低于结算总价上浮10%的，则按照财审审定金额下浮10%作为最终结算金额。</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5、支付方式</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（1）付款方式本合同采取转账的方式支付（甲方有权调整付款方式），乙方收款账号、开户行、开户名等信息如下所示：</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开户名： ；</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开户行： ；</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收款账号： ；</w:t>
      </w:r>
    </w:p>
    <w:p>
      <w:pPr>
        <w:pStyle w:val="90"/>
        <w:keepNext w:val="0"/>
        <w:keepLines w:val="0"/>
        <w:pageBreakBefore w:val="0"/>
        <w:numPr>
          <w:ilvl w:val="0"/>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如需变更付款方式或乙方账户等信息，乙方应于首笔款项支付日15日前征得甲方书面同意，并在该时限前以书面方式告知甲方，且乙方告知的开户名必须与乙方的名称一致（乙方联合体中任何一方即可），账号须为人民币结算账户，无论甲方是否同意变更信息，因乙方变更本款约定的付款方式，相关风险由乙方承担；乙方确保告知的收款账号、开户行、开户名等内容真实无误并符合约定要求，因乙方未及时告知或告知内容有误的，甲方不接受乙方付款方式任何变更，由此造成的责任及损失由乙方承担，甲方对此不承担任何责任；如乙方告知的收款账号、开户行不符合约定要求的，甲方有权拒绝办理款项支付事宜且不承担违约责任。</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6、发票约定</w:t>
      </w:r>
    </w:p>
    <w:p>
      <w:pPr>
        <w:pStyle w:val="90"/>
        <w:keepNext w:val="0"/>
        <w:keepLines w:val="0"/>
        <w:pageBreakBefore w:val="0"/>
        <w:numPr>
          <w:ilvl w:val="0"/>
          <w:numId w:val="15"/>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乙方提供的发票须为一般纳税人增值税专用发票（非日常居民服务类），所列增值税作为甲方进项税额可正常抵扣，否则甲方有权暂缓付款。</w:t>
      </w:r>
    </w:p>
    <w:p>
      <w:pPr>
        <w:pStyle w:val="90"/>
        <w:keepNext w:val="0"/>
        <w:keepLines w:val="0"/>
        <w:pageBreakBefore w:val="0"/>
        <w:numPr>
          <w:ilvl w:val="0"/>
          <w:numId w:val="15"/>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乙方如发生违约金及罚款，乙方仍需提供结算造价金额的全额发票。</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7、甲方开票信息</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开户行：广东东实开能能源有限公司。</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开户名称：兴业银行股份有限公司东莞东泰支行。   </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账号：395110100100115432。</w:t>
      </w:r>
    </w:p>
    <w:p>
      <w:pPr>
        <w:pStyle w:val="90"/>
        <w:keepNext w:val="0"/>
        <w:keepLines w:val="0"/>
        <w:pageBreakBefore w:val="0"/>
        <w:numPr>
          <w:ilvl w:val="1"/>
          <w:numId w:val="0"/>
        </w:numPr>
        <w:spacing w:line="360" w:lineRule="auto"/>
        <w:ind w:firstLine="420" w:firstLineChars="200"/>
        <w:jc w:val="both"/>
        <w:outlineLvl w:val="9"/>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8、结算原则</w:t>
      </w:r>
    </w:p>
    <w:p>
      <w:pPr>
        <w:spacing w:line="360" w:lineRule="auto"/>
        <w:ind w:firstLine="211" w:firstLineChars="100"/>
        <w:jc w:val="both"/>
        <w:rPr>
          <w:rFonts w:hAnsi="宋体"/>
          <w:color w:val="auto"/>
          <w:highlight w:val="none"/>
        </w:rPr>
      </w:pPr>
      <w:r>
        <w:rPr>
          <w:rFonts w:hint="eastAsia" w:hAnsi="宋体" w:cs="宋体"/>
          <w:b/>
          <w:bCs/>
          <w:color w:val="auto"/>
          <w:sz w:val="21"/>
          <w:szCs w:val="21"/>
          <w:highlight w:val="none"/>
        </w:rPr>
        <w:t>（1）</w:t>
      </w:r>
      <w:r>
        <w:rPr>
          <w:rFonts w:hAnsi="宋体"/>
          <w:color w:val="auto"/>
          <w:highlight w:val="none"/>
        </w:rPr>
        <w:t>结算价=</w:t>
      </w:r>
      <w:r>
        <w:rPr>
          <w:rFonts w:hint="eastAsia" w:hAnsi="宋体"/>
          <w:color w:val="auto"/>
          <w:kern w:val="24"/>
          <w:highlight w:val="none"/>
        </w:rPr>
        <w:t>合同分项报价表</w:t>
      </w:r>
      <w:r>
        <w:rPr>
          <w:rFonts w:hAnsi="宋体"/>
          <w:color w:val="auto"/>
          <w:highlight w:val="none"/>
        </w:rPr>
        <w:t>±可调整部</w:t>
      </w:r>
      <w:r>
        <w:rPr>
          <w:rFonts w:hint="eastAsia" w:hAnsi="宋体"/>
          <w:color w:val="auto"/>
          <w:highlight w:val="none"/>
        </w:rPr>
        <w:t>分。可调整部分包括：</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lang w:val="en-US" w:eastAsia="zh-CN"/>
        </w:rPr>
        <w:t>①</w:t>
      </w:r>
      <w:r>
        <w:rPr>
          <w:rFonts w:hint="eastAsia" w:hAnsi="宋体" w:cs="宋体"/>
          <w:color w:val="auto"/>
          <w:sz w:val="21"/>
          <w:szCs w:val="21"/>
          <w:highlight w:val="none"/>
        </w:rPr>
        <w:t>设计变更、工程指令、现场签证（此三种方式可能会增加或者减少合同工作内容，无论增加或减少工作内容均按第（4）条方式计量计价，</w:t>
      </w:r>
      <w:r>
        <w:rPr>
          <w:rFonts w:hint="eastAsia" w:hAnsi="宋体" w:cs="宋体"/>
          <w:color w:val="auto"/>
          <w:sz w:val="21"/>
          <w:szCs w:val="21"/>
          <w:highlight w:val="none"/>
          <w:lang w:eastAsia="zh-CN"/>
        </w:rPr>
        <w:t>乙方</w:t>
      </w:r>
      <w:r>
        <w:rPr>
          <w:rFonts w:hint="eastAsia" w:hAnsi="宋体" w:cs="宋体"/>
          <w:color w:val="auto"/>
          <w:sz w:val="21"/>
          <w:szCs w:val="21"/>
          <w:highlight w:val="none"/>
        </w:rPr>
        <w:t>不得有异议）；</w:t>
      </w:r>
    </w:p>
    <w:p>
      <w:pPr>
        <w:snapToGrid w:val="0"/>
        <w:spacing w:line="360" w:lineRule="auto"/>
        <w:ind w:firstLine="420" w:firstLineChars="200"/>
        <w:jc w:val="both"/>
        <w:rPr>
          <w:rFonts w:hAnsi="宋体"/>
          <w:color w:val="auto"/>
          <w:highlight w:val="none"/>
        </w:rPr>
      </w:pPr>
      <w:r>
        <w:rPr>
          <w:rFonts w:hint="eastAsia" w:hAnsi="宋体" w:cs="宋体"/>
          <w:color w:val="auto"/>
          <w:sz w:val="21"/>
          <w:szCs w:val="21"/>
          <w:highlight w:val="none"/>
          <w:lang w:val="en-US" w:eastAsia="zh-CN"/>
        </w:rPr>
        <w:t>②</w:t>
      </w:r>
      <w:r>
        <w:rPr>
          <w:rFonts w:hint="eastAsia" w:hAnsi="宋体" w:cs="宋体"/>
          <w:color w:val="auto"/>
          <w:sz w:val="21"/>
          <w:szCs w:val="21"/>
          <w:highlight w:val="none"/>
        </w:rPr>
        <w:t>其他费用；</w:t>
      </w:r>
    </w:p>
    <w:p>
      <w:pPr>
        <w:spacing w:line="360" w:lineRule="auto"/>
        <w:ind w:firstLine="211" w:firstLineChars="100"/>
        <w:jc w:val="both"/>
        <w:rPr>
          <w:b/>
          <w:bCs/>
          <w:color w:val="auto"/>
          <w:sz w:val="21"/>
          <w:szCs w:val="21"/>
          <w:highlight w:val="none"/>
        </w:rPr>
      </w:pPr>
      <w:r>
        <w:rPr>
          <w:rFonts w:hint="eastAsia"/>
          <w:b/>
          <w:bCs/>
          <w:color w:val="auto"/>
          <w:sz w:val="21"/>
          <w:szCs w:val="21"/>
          <w:highlight w:val="none"/>
        </w:rPr>
        <w:t>（2）分项报价表工程量结算原则：</w:t>
      </w:r>
    </w:p>
    <w:p>
      <w:pPr>
        <w:snapToGrid w:val="0"/>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垃圾工程量计算原则：顶面标高按</w:t>
      </w:r>
      <w:r>
        <w:rPr>
          <w:rFonts w:hint="eastAsia" w:hAnsi="宋体" w:cs="宋体"/>
          <w:color w:val="auto"/>
          <w:sz w:val="21"/>
          <w:szCs w:val="21"/>
          <w:highlight w:val="none"/>
          <w:lang w:eastAsia="zh-CN"/>
        </w:rPr>
        <w:t>甲方</w:t>
      </w:r>
      <w:r>
        <w:rPr>
          <w:rFonts w:hint="eastAsia" w:hAnsi="宋体" w:cs="宋体"/>
          <w:color w:val="auto"/>
          <w:sz w:val="21"/>
          <w:szCs w:val="21"/>
          <w:highlight w:val="none"/>
        </w:rPr>
        <w:t xml:space="preserve">委托的专业测量机构提供的现场实测方格网地形标高，过程中及最终底面标高按开挖清理完毕后第三方单位现场实测方格网地形标高，通过开挖垃圾体上下方格网标高进行测算垃圾开挖体量。 </w:t>
      </w:r>
    </w:p>
    <w:p>
      <w:pPr>
        <w:pStyle w:val="31"/>
        <w:spacing w:line="360" w:lineRule="auto"/>
        <w:ind w:left="0" w:leftChars="0" w:firstLine="422"/>
        <w:rPr>
          <w:rFonts w:ascii="宋体" w:hAnsi="宋体"/>
          <w:color w:val="auto"/>
          <w:kern w:val="24"/>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w:t>
      </w:r>
      <w:r>
        <w:rPr>
          <w:rFonts w:hint="eastAsia" w:ascii="宋体" w:hAnsi="宋体"/>
          <w:color w:val="auto"/>
          <w:highlight w:val="none"/>
        </w:rPr>
        <w:t>设计变更、工程指令、现场签证</w:t>
      </w:r>
      <w:r>
        <w:rPr>
          <w:rFonts w:hint="eastAsia" w:ascii="宋体" w:hAnsi="宋体"/>
          <w:color w:val="auto"/>
          <w:szCs w:val="21"/>
          <w:highlight w:val="none"/>
        </w:rPr>
        <w:t>，经</w:t>
      </w:r>
      <w:r>
        <w:rPr>
          <w:rFonts w:hint="eastAsia"/>
          <w:color w:val="auto"/>
          <w:szCs w:val="21"/>
          <w:highlight w:val="none"/>
          <w:lang w:val="en-US" w:eastAsia="zh-CN"/>
        </w:rPr>
        <w:t>甲乙双方</w:t>
      </w:r>
      <w:r>
        <w:rPr>
          <w:rFonts w:hint="eastAsia" w:ascii="宋体" w:hAnsi="宋体"/>
          <w:color w:val="auto"/>
          <w:szCs w:val="21"/>
          <w:highlight w:val="none"/>
        </w:rPr>
        <w:t>签认后，工程量按实结算；</w:t>
      </w:r>
      <w:r>
        <w:rPr>
          <w:rFonts w:hint="eastAsia" w:ascii="宋体" w:hAnsi="宋体"/>
          <w:color w:val="auto"/>
          <w:kern w:val="24"/>
          <w:highlight w:val="none"/>
        </w:rPr>
        <w:t>综合单价按如下方式确定：</w:t>
      </w:r>
    </w:p>
    <w:p>
      <w:pPr>
        <w:pStyle w:val="31"/>
        <w:spacing w:line="360" w:lineRule="auto"/>
        <w:ind w:left="0" w:leftChars="0"/>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.1如合同分项报价表已有的项目，按合同综合单价；</w:t>
      </w:r>
    </w:p>
    <w:p>
      <w:pPr>
        <w:pStyle w:val="31"/>
        <w:spacing w:line="360" w:lineRule="auto"/>
        <w:ind w:left="0" w:leftChars="0"/>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.2如有类似的项目，单价参照类似项目合同综合单价；</w:t>
      </w:r>
    </w:p>
    <w:p>
      <w:pPr>
        <w:pStyle w:val="44"/>
        <w:spacing w:line="360" w:lineRule="auto"/>
        <w:textAlignment w:val="top"/>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3如原招标内容无类似的项目，则按以下方式计费：根据现场的实际情况，发包人若有变更需要更换主材，主材价的换算依据为:仅替换主材价格,而不对安装费及损耗等因素做任何调整；并且主材需在施工前提交发包人认质认价。如新增项目在合同内没有综合单价，则按2018版《建设工程工程量清单计价规范》、《广东省建设工程计价依据(2018)》（《广东省建设工程计价依据(2018)》包括《广东省房屋建筑与装饰工程综合定额(2018)》、《广东省市政工程综合定额(2018)》、《广东省通用安装工程综合定额(2018)》、《广东省园林绿化工程综合定额(2018)》、《广东省建设工程施工机具台班费用编制规则(2018)》）计量计价，并按</w:t>
      </w:r>
      <w:r>
        <w:rPr>
          <w:rFonts w:hint="eastAsia" w:ascii="宋体" w:hAnsi="宋体"/>
          <w:color w:val="auto"/>
          <w:kern w:val="24"/>
          <w:highlight w:val="none"/>
          <w:u w:val="single"/>
        </w:rPr>
        <w:t xml:space="preserve">   </w:t>
      </w:r>
      <w:r>
        <w:rPr>
          <w:rFonts w:hint="eastAsia" w:ascii="宋体" w:hAnsi="宋体"/>
          <w:color w:val="auto"/>
          <w:kern w:val="24"/>
          <w:highlight w:val="none"/>
        </w:rPr>
        <w:t>%（按中标价与最高限价的下浮比例）下浮幅度计价。人工、材料价按东莞市造价站发布的当期信息价计取（东莞市信息价没有的可采用周边地区信息价，优先选用距离较近的同类别地区，工期超过一个月的按施工期间各月平均信息价），信息价没有的按双方协商并由甲方最终确认的市场价计算，只计取规费、税金，其他费用不予计取。</w:t>
      </w:r>
    </w:p>
    <w:p>
      <w:pPr>
        <w:pStyle w:val="44"/>
        <w:spacing w:line="360" w:lineRule="auto"/>
        <w:textAlignment w:val="top"/>
        <w:rPr>
          <w:rFonts w:ascii="宋体" w:hAnsi="宋体"/>
          <w:color w:val="auto"/>
          <w:kern w:val="24"/>
          <w:highlight w:val="none"/>
        </w:rPr>
      </w:pPr>
      <w:r>
        <w:rPr>
          <w:rFonts w:hint="eastAsia" w:ascii="宋体" w:hAnsi="宋体"/>
          <w:color w:val="auto"/>
          <w:kern w:val="24"/>
          <w:highlight w:val="none"/>
          <w:lang w:val="en-US" w:eastAsia="zh-CN"/>
        </w:rPr>
        <w:t>3</w:t>
      </w:r>
      <w:r>
        <w:rPr>
          <w:rFonts w:hint="eastAsia" w:ascii="宋体" w:hAnsi="宋体"/>
          <w:color w:val="auto"/>
          <w:kern w:val="24"/>
          <w:highlight w:val="none"/>
        </w:rPr>
        <w:t>.4设计变更、工程指令、现场签证费用，经</w:t>
      </w:r>
      <w:r>
        <w:rPr>
          <w:rFonts w:hint="eastAsia" w:ascii="宋体" w:hAnsi="宋体"/>
          <w:color w:val="auto"/>
          <w:kern w:val="24"/>
          <w:highlight w:val="none"/>
          <w:lang w:eastAsia="zh-CN"/>
        </w:rPr>
        <w:t>甲方</w:t>
      </w:r>
      <w:r>
        <w:rPr>
          <w:rFonts w:hint="eastAsia" w:ascii="宋体" w:hAnsi="宋体"/>
          <w:color w:val="auto"/>
          <w:kern w:val="24"/>
          <w:highlight w:val="none"/>
        </w:rPr>
        <w:t>审核确认后可与进度款同期同比例支付。</w:t>
      </w:r>
    </w:p>
    <w:p>
      <w:pPr>
        <w:pStyle w:val="44"/>
        <w:spacing w:line="360" w:lineRule="auto"/>
        <w:textAlignment w:val="top"/>
        <w:rPr>
          <w:color w:val="auto"/>
          <w:highlight w:val="none"/>
        </w:rPr>
      </w:pPr>
      <w:r>
        <w:rPr>
          <w:rFonts w:hint="eastAsia" w:ascii="宋体" w:hAnsi="宋体"/>
          <w:b/>
          <w:bCs/>
          <w:color w:val="auto"/>
          <w:kern w:val="24"/>
          <w:highlight w:val="none"/>
        </w:rPr>
        <w:t>（</w:t>
      </w:r>
      <w:r>
        <w:rPr>
          <w:rFonts w:hint="eastAsia" w:ascii="宋体" w:hAnsi="宋体"/>
          <w:b/>
          <w:bCs/>
          <w:color w:val="auto"/>
          <w:kern w:val="24"/>
          <w:highlight w:val="none"/>
          <w:lang w:val="en-US" w:eastAsia="zh-CN"/>
        </w:rPr>
        <w:t>4</w:t>
      </w:r>
      <w:r>
        <w:rPr>
          <w:rFonts w:hint="eastAsia" w:ascii="宋体" w:hAnsi="宋体"/>
          <w:b/>
          <w:bCs/>
          <w:color w:val="auto"/>
          <w:kern w:val="24"/>
          <w:highlight w:val="none"/>
        </w:rPr>
        <w:t>）对于合同原有工作内容及甲方提出的设计变更、工程指令、现场签证，</w:t>
      </w:r>
      <w:r>
        <w:rPr>
          <w:rFonts w:hint="eastAsia" w:ascii="宋体" w:hAnsi="宋体"/>
          <w:color w:val="auto"/>
          <w:kern w:val="24"/>
          <w:highlight w:val="none"/>
        </w:rPr>
        <w:t>乙方需无条件全力配合实施，若乙方不配合实施，则视为违约。增加工作内容甲方有权自行委托第三方进行施工，所发生的费用以甲方核定的金额为准，增加的费用由甲方直接支付给第三方单位，从乙方工程进度款或结算款中扣除，并保留追究乙方的违约责任。减少合同原有工作内容的费用甲方有权直接从乙方工程进度款和结算款中扣除。</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五、甲方的权利与义务</w:t>
      </w:r>
    </w:p>
    <w:p>
      <w:pPr>
        <w:pStyle w:val="90"/>
        <w:keepNext w:val="0"/>
        <w:keepLines w:val="0"/>
        <w:pageBreakBefore w:val="0"/>
        <w:numPr>
          <w:ilvl w:val="0"/>
          <w:numId w:val="16"/>
        </w:numPr>
        <w:tabs>
          <w:tab w:val="left" w:pos="388"/>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甲方委派</w:t>
      </w:r>
      <w:r>
        <w:rPr>
          <w:rFonts w:hint="eastAsia" w:ascii="宋体" w:hAnsi="宋体" w:eastAsia="宋体" w:cs="宋体"/>
          <w:b w:val="0"/>
          <w:bCs w:val="0"/>
          <w:color w:val="auto"/>
          <w:sz w:val="21"/>
          <w:szCs w:val="21"/>
          <w:highlight w:val="none"/>
          <w:u w:val="single"/>
          <w:lang w:eastAsia="zh-CN"/>
        </w:rPr>
        <w:t xml:space="preserve">       （联系方式：       ）</w:t>
      </w:r>
      <w:r>
        <w:rPr>
          <w:rFonts w:hint="eastAsia" w:ascii="宋体" w:hAnsi="宋体" w:eastAsia="宋体" w:cs="宋体"/>
          <w:b w:val="0"/>
          <w:bCs w:val="0"/>
          <w:color w:val="auto"/>
          <w:sz w:val="21"/>
          <w:szCs w:val="21"/>
          <w:highlight w:val="none"/>
          <w:lang w:eastAsia="zh-CN"/>
        </w:rPr>
        <w:t>为甲方驻项目代表，负责合同的履行。对项目质量、进度进行监督、检查，协调处理项目现场发生的问题。</w:t>
      </w:r>
    </w:p>
    <w:p>
      <w:pPr>
        <w:pStyle w:val="90"/>
        <w:keepNext w:val="0"/>
        <w:keepLines w:val="0"/>
        <w:pageBreakBefore w:val="0"/>
        <w:numPr>
          <w:ilvl w:val="0"/>
          <w:numId w:val="16"/>
        </w:numPr>
        <w:tabs>
          <w:tab w:val="left" w:pos="388"/>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甲方应按合同约定的期限和方式向乙方支付合同价款。甲方应在收到乙方合格的竣工验收报告后十四个工作日内组织验收，甲方迟延组织验收，或者甲方组织验收后未向乙方提出验收意见的，视为乙方已经完工且全部工程项目验收合格。</w:t>
      </w:r>
    </w:p>
    <w:p>
      <w:pPr>
        <w:pStyle w:val="90"/>
        <w:keepNext w:val="0"/>
        <w:keepLines w:val="0"/>
        <w:pageBreakBefore w:val="0"/>
        <w:numPr>
          <w:ilvl w:val="0"/>
          <w:numId w:val="16"/>
        </w:numPr>
        <w:tabs>
          <w:tab w:val="left" w:pos="388"/>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甲方有权对乙方进度、质量、安全文明施工等进行监督管理，发现问题向乙方发出整改通知要求期限整改，并可视情节轻重追究乙方的违约责任。</w:t>
      </w:r>
    </w:p>
    <w:p>
      <w:pPr>
        <w:pStyle w:val="18"/>
        <w:numPr>
          <w:ilvl w:val="0"/>
          <w:numId w:val="16"/>
        </w:numPr>
        <w:spacing w:line="360" w:lineRule="auto"/>
        <w:ind w:firstLine="422" w:firstLineChars="200"/>
        <w:rPr>
          <w:rFonts w:hAnsi="宋体" w:cs="宋体"/>
          <w:color w:val="auto"/>
          <w:szCs w:val="21"/>
          <w:highlight w:val="none"/>
        </w:rPr>
      </w:pPr>
      <w:r>
        <w:rPr>
          <w:rFonts w:hint="eastAsia" w:hAnsi="宋体" w:cs="宋体"/>
          <w:color w:val="auto"/>
          <w:szCs w:val="21"/>
          <w:highlight w:val="none"/>
        </w:rPr>
        <w:t>垃圾填埋场渗漏液由乙方负责收集到寮步镇公用事业服务中心指定的储存设施，寮步镇公用事业服务中心负责污水的处理。</w:t>
      </w:r>
    </w:p>
    <w:p>
      <w:pPr>
        <w:pStyle w:val="18"/>
        <w:numPr>
          <w:ilvl w:val="0"/>
          <w:numId w:val="16"/>
        </w:numPr>
        <w:spacing w:line="360" w:lineRule="auto"/>
        <w:ind w:firstLine="422" w:firstLineChars="200"/>
        <w:rPr>
          <w:rFonts w:hAnsi="宋体" w:cs="宋体"/>
          <w:color w:val="auto"/>
          <w:szCs w:val="21"/>
          <w:highlight w:val="none"/>
        </w:rPr>
      </w:pPr>
      <w:r>
        <w:rPr>
          <w:rFonts w:hint="eastAsia" w:hAnsi="宋体" w:cs="宋体"/>
          <w:color w:val="auto"/>
          <w:szCs w:val="21"/>
          <w:highlight w:val="none"/>
        </w:rPr>
        <w:t>甲方负责对使场地符合相关环保要求，同时确保场地具备运输车辆通行的条件。乙方负责使用过程中暂存场地的保护，如有损坏由乙方负责修复。</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六、乙方的权利与义务</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乙方委派    </w:t>
      </w:r>
      <w:r>
        <w:rPr>
          <w:rFonts w:hint="eastAsia" w:ascii="宋体" w:hAnsi="宋体" w:eastAsia="宋体" w:cs="宋体"/>
          <w:b w:val="0"/>
          <w:bCs w:val="0"/>
          <w:color w:val="auto"/>
          <w:sz w:val="21"/>
          <w:szCs w:val="21"/>
          <w:highlight w:val="none"/>
          <w:u w:val="single"/>
          <w:lang w:eastAsia="zh-CN"/>
        </w:rPr>
        <w:t xml:space="preserve">（联系方式：   </w:t>
      </w:r>
      <w:r>
        <w:rPr>
          <w:rFonts w:hint="eastAsia" w:ascii="宋体" w:hAnsi="宋体" w:eastAsia="宋体" w:cs="宋体"/>
          <w:b w:val="0"/>
          <w:bCs w:val="0"/>
          <w:color w:val="auto"/>
          <w:sz w:val="21"/>
          <w:szCs w:val="21"/>
          <w:highlight w:val="none"/>
          <w:lang w:eastAsia="zh-CN"/>
        </w:rPr>
        <w:t>为乙方驻项目代表。乙方应按要求组织施工，保质、保量、按期完成施工任务，解决由乙方负责的各项事宜。</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乙方必须按照磋商文件、投标文件、澄清文件的规定履行合同，但双方根据磋商文件、投标文件、澄清文件内容，经协商后对具体事项在本合同中作进一步明确的，以本合同约定为准。</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乙方原因导致了工期延误或费用增加的，其增加的费用由乙方承担，工期不予顺延；给甲方造成损失的，乙方应予以赔偿。</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乙方自行解决施工人员的食宿问题，并承担发生的费用。</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甲方对乙方拟进入项目现场的车辆及司机人员信息进行登记，无效证件的运输车辆不得进入项目现场。</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乙方参与本项目的运输车辆如发生交通事故，由乙方负责处理及承担赔偿责任。</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乙方必须负责自有材料设备的保管责任，所有损失乙方自行承担。</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必须按时足额支付参建人员的工资，承担因拖欠工资引起的全部责任及损失。乙方拖欠工资时，甲方有权直接在乙方的合同款中扣除所拖欠的工资，当剩余合同款不足以支付拖欠工资，导致甲方承担了乙方的拖欠工资，甲方将以法律途径向乙方进行追讨。同时，甲方有权单方面解除合同，因解除合同对甲方造成的全部损失由乙方负责。</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乙方提供的农民工工资监管账户为：</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开户名： ；</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开户行： </w:t>
      </w:r>
    </w:p>
    <w:p>
      <w:pPr>
        <w:pStyle w:val="90"/>
        <w:keepNext w:val="0"/>
        <w:keepLines w:val="0"/>
        <w:pageBreakBefore w:val="0"/>
        <w:numPr>
          <w:ilvl w:val="1"/>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收款账号： </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开挖过程中乙方禁止外来垃圾进入现有刘屋巷与上底填埋场内，同时也禁止现有刘屋巷与上底填埋场垃圾外出；在RDF打包后运至上底临时暂存场时，必须每一车台账记录清晰，以便可查可追溯。</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存量垃圾倒运、输送、场内处理以及RDF外运存放所产生的粉尘和臭气，乙方须采取有效措施，控制粉尘和恶臭对环境的污染，相关费用由乙方承担。</w:t>
      </w:r>
    </w:p>
    <w:p>
      <w:pPr>
        <w:pStyle w:val="90"/>
        <w:keepNext w:val="0"/>
        <w:keepLines w:val="0"/>
        <w:pageBreakBefore w:val="0"/>
        <w:numPr>
          <w:ilvl w:val="0"/>
          <w:numId w:val="17"/>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施工期间的临时覆盖用膜由乙方负责采购和覆盖施工作业。</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七、履约担保</w:t>
      </w:r>
    </w:p>
    <w:p>
      <w:pPr>
        <w:pStyle w:val="90"/>
        <w:keepNext w:val="0"/>
        <w:keepLines w:val="0"/>
        <w:pageBreakBefore w:val="0"/>
        <w:numPr>
          <w:ilvl w:val="0"/>
          <w:numId w:val="0"/>
        </w:numPr>
        <w:tabs>
          <w:tab w:val="left" w:pos="388"/>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乙方在合同签订之日起5个工作日内，向甲方提交金额为本合同暂定总价10%的不可撤销银行保函或履约保证金作为履行合同的担保，即担保金额为人民币</w:t>
      </w:r>
      <w:r>
        <w:rPr>
          <w:rFonts w:hint="eastAsia" w:ascii="宋体" w:hAnsi="宋体" w:eastAsia="宋体" w:cs="宋体"/>
          <w:b w:val="0"/>
          <w:bCs w:val="0"/>
          <w:color w:val="auto"/>
          <w:sz w:val="21"/>
          <w:szCs w:val="21"/>
          <w:highlight w:val="none"/>
          <w:u w:val="single"/>
          <w:lang w:eastAsia="zh-CN"/>
        </w:rPr>
        <w:t>￥    （大写：    ）</w:t>
      </w:r>
      <w:r>
        <w:rPr>
          <w:rFonts w:hint="eastAsia" w:ascii="宋体" w:hAnsi="宋体" w:eastAsia="宋体" w:cs="宋体"/>
          <w:b w:val="0"/>
          <w:bCs w:val="0"/>
          <w:color w:val="auto"/>
          <w:sz w:val="21"/>
          <w:szCs w:val="21"/>
          <w:highlight w:val="none"/>
          <w:lang w:eastAsia="zh-CN"/>
        </w:rPr>
        <w:t>。履约担保期限从合同签订之日起至项目完工验收合格并完成结算后28</w:t>
      </w:r>
      <w:r>
        <w:rPr>
          <w:rStyle w:val="38"/>
          <w:rFonts w:hint="eastAsia" w:ascii="宋体" w:hAnsi="宋体" w:eastAsia="宋体" w:cs="宋体"/>
          <w:b w:val="0"/>
          <w:bCs w:val="0"/>
          <w:color w:val="auto"/>
          <w:highlight w:val="none"/>
          <w:lang w:eastAsia="zh-CN"/>
        </w:rPr>
        <w:t>个</w:t>
      </w:r>
      <w:r>
        <w:rPr>
          <w:rFonts w:hint="eastAsia" w:ascii="宋体" w:hAnsi="宋体" w:eastAsia="宋体" w:cs="宋体"/>
          <w:b w:val="0"/>
          <w:bCs w:val="0"/>
          <w:color w:val="auto"/>
          <w:sz w:val="21"/>
          <w:szCs w:val="21"/>
          <w:highlight w:val="none"/>
          <w:lang w:eastAsia="zh-CN"/>
        </w:rPr>
        <w:t xml:space="preserve">工作日内保持有效；乙方在本合同项下的义务全部履行完毕，且经甲方验收合格（或者视同验收合格），乙方向甲方提供履约保证金、履约保函退还申请书，甲方审核无误后五个工作日内无息退还。若乙方不履行合同或者履行不符合合同约定或者有任何其他违约行为，甲方有权扣除乙方履约保证金、要求支付履约保函金额，甲方暂扣的履约保证金、履约保函金额不足以扣除违约赔偿费用的，甲方有权在乙方的结算款中扣除或由乙方自行补足，甲方在扣除该笔违约赔偿费用前书面通知乙方。 </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八、安全文明施工</w:t>
      </w:r>
    </w:p>
    <w:p>
      <w:pPr>
        <w:pStyle w:val="90"/>
        <w:keepNext w:val="0"/>
        <w:keepLines w:val="0"/>
        <w:pageBreakBefore w:val="0"/>
        <w:numPr>
          <w:ilvl w:val="0"/>
          <w:numId w:val="18"/>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 乙方应当遵守工程建设安全生产有关管理规定，并随时接受甲方及行业安全检查人员依法实施的监督检查，采取必要的安全防护措施，消除事故隐患，安全防护费用已含在乙方所报的综合单价内。</w:t>
      </w:r>
    </w:p>
    <w:p>
      <w:pPr>
        <w:pStyle w:val="90"/>
        <w:keepNext w:val="0"/>
        <w:keepLines w:val="0"/>
        <w:pageBreakBefore w:val="0"/>
        <w:numPr>
          <w:ilvl w:val="0"/>
          <w:numId w:val="18"/>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不能遵守有关安全规定，现场安全警告和防护隔离设施不到位，甲方有权令乙方予以完善，否则予以停工整顿直至满足安全要求（其损失由乙方承担），乙方不得雇佣健康状况不符合施工现场的人员进入作业现场。</w:t>
      </w:r>
    </w:p>
    <w:p>
      <w:pPr>
        <w:pStyle w:val="90"/>
        <w:keepNext w:val="0"/>
        <w:keepLines w:val="0"/>
        <w:pageBreakBefore w:val="0"/>
        <w:numPr>
          <w:ilvl w:val="0"/>
          <w:numId w:val="18"/>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乙方负责施工现场安全及进入现场的第三方人员的人身安全，工程开工前按国家有关规定要求提交安全施工措施；为参建人员购买人身意外伤害保险。一旦出现安全事故，乙方应立即报告甲方，并按国家的有关法律、法规向各级政府有关部门上报，并配合政府各部门处理事故，做好善后工作。 </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九、保险与担保责任</w:t>
      </w:r>
    </w:p>
    <w:p>
      <w:pPr>
        <w:pStyle w:val="90"/>
        <w:keepNext w:val="0"/>
        <w:keepLines w:val="0"/>
        <w:pageBreakBefore w:val="0"/>
        <w:numPr>
          <w:ilvl w:val="0"/>
          <w:numId w:val="19"/>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乙方负责为管理人员及劳务工人等参建人员购买工伤保险及商业保险，乙方管理人员及劳务工人等参建人员发生工伤、意外伤害事故的，乙方承担医疗费、补偿金等所有费用。</w:t>
      </w:r>
    </w:p>
    <w:p>
      <w:pPr>
        <w:pStyle w:val="90"/>
        <w:keepNext w:val="0"/>
        <w:keepLines w:val="0"/>
        <w:pageBreakBefore w:val="0"/>
        <w:numPr>
          <w:ilvl w:val="0"/>
          <w:numId w:val="19"/>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由于乙方不积极处理保险事故导致甲方垫付任何费用的，甲方可以从乙方结算款项中扣除相应的垫付费用。</w:t>
      </w:r>
    </w:p>
    <w:p>
      <w:pPr>
        <w:pStyle w:val="90"/>
        <w:keepNext w:val="0"/>
        <w:keepLines w:val="0"/>
        <w:pageBreakBefore w:val="0"/>
        <w:numPr>
          <w:ilvl w:val="0"/>
          <w:numId w:val="19"/>
        </w:numPr>
        <w:spacing w:line="360" w:lineRule="auto"/>
        <w:ind w:firstLine="420" w:firstLineChars="200"/>
        <w:jc w:val="both"/>
        <w:outlineLvl w:val="9"/>
        <w:rPr>
          <w:rFonts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保险事故发生后，甲乙双方均有责任采取必要的措施，防止或者减少损失</w:t>
      </w:r>
      <w:r>
        <w:rPr>
          <w:rFonts w:hint="eastAsia" w:ascii="宋体" w:hAnsi="宋体" w:eastAsia="宋体" w:cs="宋体"/>
          <w:color w:val="auto"/>
          <w:sz w:val="21"/>
          <w:szCs w:val="21"/>
          <w:highlight w:val="none"/>
          <w:lang w:eastAsia="zh-CN"/>
        </w:rPr>
        <w:t>。</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十、竣工验收</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本项目约定质量标准为“合格”，竣工验收时，由业主负责组织有关部门，按有关规定和其它相关法律、法规进行验收，全面检查本项目的完成情况、项目质量和有关的技术记录等资料。乙方应在竣工验收之日起两个月内自行将自有的垃圾处理设施和设备移走清场，并将处理场地区域移交给甲方。</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十一、竣工结算</w:t>
      </w:r>
    </w:p>
    <w:p>
      <w:pPr>
        <w:pStyle w:val="90"/>
        <w:keepNext w:val="0"/>
        <w:keepLines w:val="0"/>
        <w:pageBreakBefore w:val="0"/>
        <w:numPr>
          <w:ilvl w:val="0"/>
          <w:numId w:val="2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本合同项下所有工作完成并竣工验收通过移交之后进行竣工结算。</w:t>
      </w:r>
    </w:p>
    <w:p>
      <w:pPr>
        <w:pStyle w:val="90"/>
        <w:keepNext w:val="0"/>
        <w:keepLines w:val="0"/>
        <w:pageBreakBefore w:val="0"/>
        <w:numPr>
          <w:ilvl w:val="0"/>
          <w:numId w:val="2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项目竣工验收通过并完成项目移交后30天内，乙方向甲方报送完整的结算资料，甲方收到乙方递交的结算资料后5个工作日内对其报送资料的完整性进行核实，并给予书面确认或提出补充意见；如无正当理由甲方在收到完整结算资料后28个工作日审核完毕。</w:t>
      </w:r>
    </w:p>
    <w:p>
      <w:pPr>
        <w:pStyle w:val="90"/>
        <w:keepNext w:val="0"/>
        <w:keepLines w:val="0"/>
        <w:pageBreakBefore w:val="0"/>
        <w:numPr>
          <w:ilvl w:val="0"/>
          <w:numId w:val="2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若乙方在项目竣工验收通过后50天内仍未向甲方报送结算书及有关结算资料，则视为乙方自动放弃结算，乙方按已付款项作为最终结算价。</w:t>
      </w:r>
    </w:p>
    <w:p>
      <w:pPr>
        <w:pStyle w:val="90"/>
        <w:keepNext w:val="0"/>
        <w:keepLines w:val="0"/>
        <w:pageBreakBefore w:val="0"/>
        <w:numPr>
          <w:ilvl w:val="0"/>
          <w:numId w:val="2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结算资料包括但不限于:竣工验收报告、项目移交书、竣工图纸、签证单、经审核的变更签证、合同书、结算书。</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十二、违约责任</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合同签订后因乙方原因导致合同被解除的，除按本合同相关约定承担违约责任外，乙方还应向甲方支付合同暂定总价款10%的违约金，同时承担甲方为主张权利所支付的律师费、诉讼费等所有费用；相反，如因甲方原因导致合同被解除，除按照合同约定承担违约责任外，甲方还应向乙方支付合同暂定总价款10%的违约金，同时承担乙方为主张权利所支付的律师费、诉讼费等所有费用。</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2.因乙方原因造成垃圾开挖和RDF运输不及时，致使工期延长的，每延期一天，乙方需支付10000元/天违约金，违约金最高不超合同暂定金额的10%。</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2、甲方不按合同约定的时间支付相应工程款项超过15个工作日的，乙方有权停工，相应责任和经济损失由甲方负责。</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3、如因乙方未能提交施工方案、施工进度计划，所有损失由乙方承担，且乙方需向甲方另行支付2000~10000元/次的违约金，具体违约金金额由甲方视违约情形的严重程度在前述范围内确定。</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4、因乙方原因被政府有关检查部门罚款，所有责任及损失由乙方承担，同时乙方向甲方另行支付2000~10000元/次的违约金，具体违约金金额由甲方视违约情形的严重程度在前述范围内确定。</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5、乙方无故停工超过3天，经甲方发文后10天内仍未复工，甲方有权解除合同，并按本条第一款规定追究乙方责任，由此产生的一切损失均由乙方承担。</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6、因乙方原因，项目出现安全、防火、质量事故、项目形象进度延误5天以上，乙方在收到甲方书面通知后5日内仍未采取措施，甲方有权解除合同。</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7、乙方必须按甲方要求的节点工期完工，因乙方原因造成逾期完工乙方应按1万/天的标准向甲方支付违约金，逾期超出10个日历天的，自第11个日历天开始，每天的违约金为合同暂定总价的千分之一</w:t>
      </w:r>
      <w:r>
        <w:rPr>
          <w:rStyle w:val="38"/>
          <w:rFonts w:hint="eastAsia" w:ascii="宋体" w:hAnsi="宋体" w:eastAsia="宋体" w:cs="宋体"/>
          <w:b w:val="0"/>
          <w:bCs w:val="0"/>
          <w:color w:val="auto"/>
          <w:highlight w:val="none"/>
          <w:lang w:eastAsia="zh-CN"/>
        </w:rPr>
        <w:t>。</w:t>
      </w:r>
      <w:r>
        <w:rPr>
          <w:rFonts w:hint="eastAsia" w:ascii="宋体" w:hAnsi="宋体" w:eastAsia="宋体" w:cs="宋体"/>
          <w:b w:val="0"/>
          <w:bCs w:val="0"/>
          <w:color w:val="auto"/>
          <w:sz w:val="21"/>
          <w:szCs w:val="21"/>
          <w:highlight w:val="none"/>
          <w:lang w:eastAsia="zh-CN"/>
        </w:rPr>
        <w:t>违约金不足以弥补甲方损失的，乙方还应补足。乙方逾期完工超过20天，甲方有权解除本合同。但因甲方、不可抗力因素等不可归责于乙方的原因造成乙方不能如期完工的除外。</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8、甲方未能按期向乙方支付工程进度款，甲方应当按照应付未付款项按日万分之五向乙方支付逾期付款违约金。</w:t>
      </w:r>
    </w:p>
    <w:p>
      <w:pPr>
        <w:pStyle w:val="90"/>
        <w:keepNext w:val="0"/>
        <w:keepLines w:val="0"/>
        <w:numPr>
          <w:ilvl w:val="255"/>
          <w:numId w:val="0"/>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9、非乙方原因造成的各类事故，不追究乙方责任。</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十三、合同解除</w:t>
      </w:r>
    </w:p>
    <w:p>
      <w:pPr>
        <w:pStyle w:val="90"/>
        <w:keepNext w:val="0"/>
        <w:keepLines w:val="0"/>
        <w:pageBreakBefore w:val="0"/>
        <w:numPr>
          <w:ilvl w:val="0"/>
          <w:numId w:val="21"/>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当甲乙双方协商一致同意解除合同，甲乙双方可以解除本合同。</w:t>
      </w:r>
    </w:p>
    <w:p>
      <w:pPr>
        <w:pStyle w:val="90"/>
        <w:keepNext w:val="0"/>
        <w:keepLines w:val="0"/>
        <w:pageBreakBefore w:val="0"/>
        <w:numPr>
          <w:ilvl w:val="0"/>
          <w:numId w:val="21"/>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乙方有后述情形之一者，甲方可以单方解除合同：乙方未能在规定的开工期限内开工，经甲方催告后7天内仍未开工的；乙方明确表示不履行合同规定主要义务的；乙方在投标或合同履行过程中参与欺诈行为的；乙方违法转包或未经许可擅自分包的；乙方存在法律规定或合同约定的其他解除情形。</w:t>
      </w:r>
    </w:p>
    <w:p>
      <w:pPr>
        <w:pStyle w:val="90"/>
        <w:keepNext w:val="0"/>
        <w:keepLines w:val="0"/>
        <w:pageBreakBefore w:val="0"/>
        <w:numPr>
          <w:ilvl w:val="0"/>
          <w:numId w:val="21"/>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甲方有后述情形之一者，乙方可以单方解除合同：非乙方原因未在约定的期限内发出开工令，经乙方催告后在7天内仍未发出开工令的；甲方明确表示不履行合同规定的主要义务的；甲方存在法律规定或合同约定的其他解除情形。</w:t>
      </w:r>
    </w:p>
    <w:p>
      <w:pPr>
        <w:pStyle w:val="90"/>
        <w:keepNext w:val="0"/>
        <w:keepLines w:val="0"/>
        <w:pageBreakBefore w:val="0"/>
        <w:numPr>
          <w:ilvl w:val="0"/>
          <w:numId w:val="21"/>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合同一旦终止，乙方应立即停止施工，保证现场安全，尽快撤离现场，并将所有与本合同相关的文件移交给甲方，甲方应为乙方的撤离提供必要的协助和便利。合同终止后，甲乙双方仍需按照乙方实际完成的工作量进行工程价款的结算。</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十四、不可抗力</w:t>
      </w:r>
    </w:p>
    <w:p>
      <w:pPr>
        <w:pStyle w:val="90"/>
        <w:keepNext w:val="0"/>
        <w:keepLines w:val="0"/>
        <w:pageBreakBefore w:val="0"/>
        <w:numPr>
          <w:ilvl w:val="0"/>
          <w:numId w:val="22"/>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不可抗力：按照国家有关法律的约定。</w:t>
      </w:r>
    </w:p>
    <w:p>
      <w:pPr>
        <w:pStyle w:val="90"/>
        <w:keepNext w:val="0"/>
        <w:keepLines w:val="0"/>
        <w:pageBreakBefore w:val="0"/>
        <w:numPr>
          <w:ilvl w:val="0"/>
          <w:numId w:val="22"/>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如因不可抗力导致本合同无法继续履行的，则由双方友好协商合同解除相关事宜。</w:t>
      </w:r>
    </w:p>
    <w:p>
      <w:pPr>
        <w:pStyle w:val="90"/>
        <w:keepNext w:val="0"/>
        <w:keepLines w:val="0"/>
        <w:pageBreakBefore w:val="0"/>
        <w:numPr>
          <w:ilvl w:val="0"/>
          <w:numId w:val="22"/>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当不可抗力延续超过30天，双方应协商是否继续或是否执行合同。</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十五、合同争议的解决</w:t>
      </w:r>
    </w:p>
    <w:p>
      <w:pPr>
        <w:pStyle w:val="90"/>
        <w:keepNext w:val="0"/>
        <w:keepLines w:val="0"/>
        <w:pageBreakBefore w:val="0"/>
        <w:numPr>
          <w:ilvl w:val="0"/>
          <w:numId w:val="23"/>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凡与本合同有而关引起的一切争议，甲乙双方应首先通过友好协商解决，如经协商后不能解决，则提交项目所在地有管辖权的人民法院进行诉讼。</w:t>
      </w:r>
    </w:p>
    <w:p>
      <w:pPr>
        <w:pStyle w:val="90"/>
        <w:keepNext w:val="0"/>
        <w:keepLines w:val="0"/>
        <w:pageBreakBefore w:val="0"/>
        <w:numPr>
          <w:ilvl w:val="0"/>
          <w:numId w:val="23"/>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在进行诉讼期间，除提交诉讼审理事项外，合同仍继续履行。</w:t>
      </w:r>
    </w:p>
    <w:p>
      <w:pPr>
        <w:pStyle w:val="90"/>
        <w:keepNext w:val="0"/>
        <w:keepLines w:val="0"/>
        <w:pageBreakBefore w:val="0"/>
        <w:numPr>
          <w:ilvl w:val="0"/>
          <w:numId w:val="0"/>
        </w:numPr>
        <w:spacing w:line="360" w:lineRule="auto"/>
        <w:ind w:firstLine="422" w:firstLineChars="200"/>
        <w:jc w:val="both"/>
        <w:outlineLvl w:val="9"/>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十六、合同生效及其他</w:t>
      </w:r>
    </w:p>
    <w:p>
      <w:pPr>
        <w:pStyle w:val="90"/>
        <w:keepNext w:val="0"/>
        <w:keepLines w:val="0"/>
        <w:pageBreakBefore w:val="0"/>
        <w:numPr>
          <w:ilvl w:val="0"/>
          <w:numId w:val="24"/>
        </w:numPr>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合同经双方法定代表人或授权委托代理人（需同时提供授权委托书）签字并加盖单位公章或合同专用章，且收到乙方的履约保证金/履约保函后生效。</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2、本合同一式肆份，甲乙双方各执贰份，具有同等法律效力。</w:t>
      </w:r>
    </w:p>
    <w:p>
      <w:pPr>
        <w:pStyle w:val="90"/>
        <w:keepNext w:val="0"/>
        <w:keepLines w:val="0"/>
        <w:pageBreakBefore w:val="0"/>
        <w:numPr>
          <w:ilvl w:val="0"/>
          <w:numId w:val="0"/>
        </w:numPr>
        <w:tabs>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3、本合同未尽事宜，遵照《中华人民共和国合同法》有关条文执行。</w:t>
      </w:r>
    </w:p>
    <w:p>
      <w:pPr>
        <w:pStyle w:val="90"/>
        <w:keepNext w:val="0"/>
        <w:keepLines w:val="0"/>
        <w:pageBreakBefore w:val="0"/>
        <w:numPr>
          <w:ilvl w:val="0"/>
          <w:numId w:val="0"/>
        </w:numPr>
        <w:tabs>
          <w:tab w:val="left" w:pos="388"/>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4、下述合同附件为本合同不可分割的部分并与本合同具有同等效力：</w:t>
      </w:r>
    </w:p>
    <w:p>
      <w:pPr>
        <w:pStyle w:val="90"/>
        <w:keepNext w:val="0"/>
        <w:keepLines w:val="0"/>
        <w:pageBreakBefore w:val="0"/>
        <w:numPr>
          <w:ilvl w:val="0"/>
          <w:numId w:val="0"/>
        </w:numPr>
        <w:tabs>
          <w:tab w:val="left" w:pos="388"/>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（1）阳光合作协议</w:t>
      </w:r>
    </w:p>
    <w:p>
      <w:pPr>
        <w:pStyle w:val="90"/>
        <w:keepNext w:val="0"/>
        <w:keepLines w:val="0"/>
        <w:pageBreakBefore w:val="0"/>
        <w:numPr>
          <w:ilvl w:val="0"/>
          <w:numId w:val="0"/>
        </w:numPr>
        <w:tabs>
          <w:tab w:val="left" w:pos="388"/>
          <w:tab w:val="clear" w:pos="992"/>
        </w:tabs>
        <w:spacing w:line="360" w:lineRule="auto"/>
        <w:ind w:firstLine="420" w:firstLineChars="200"/>
        <w:jc w:val="both"/>
        <w:outlineLvl w:val="9"/>
        <w:rPr>
          <w:rFonts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（2）招标文件</w:t>
      </w:r>
    </w:p>
    <w:p>
      <w:pPr>
        <w:pStyle w:val="90"/>
        <w:keepNext w:val="0"/>
        <w:keepLines w:val="0"/>
        <w:pageBreakBefore w:val="0"/>
        <w:numPr>
          <w:ilvl w:val="0"/>
          <w:numId w:val="0"/>
        </w:numPr>
        <w:tabs>
          <w:tab w:val="left" w:pos="388"/>
          <w:tab w:val="clear" w:pos="992"/>
        </w:tabs>
        <w:spacing w:line="360" w:lineRule="auto"/>
        <w:ind w:firstLine="420" w:firstLineChars="200"/>
        <w:jc w:val="both"/>
        <w:outlineLvl w:val="9"/>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（3）投标文件</w:t>
      </w:r>
    </w:p>
    <w:tbl>
      <w:tblPr>
        <w:tblStyle w:val="32"/>
        <w:tblpPr w:leftFromText="180" w:rightFromText="180" w:vertAnchor="text" w:horzAnchor="page" w:tblpX="1153" w:tblpY="1989"/>
        <w:tblW w:w="10059" w:type="dxa"/>
        <w:tblInd w:w="0" w:type="dxa"/>
        <w:tblLayout w:type="fixed"/>
        <w:tblCellMar>
          <w:top w:w="0" w:type="dxa"/>
          <w:left w:w="108" w:type="dxa"/>
          <w:bottom w:w="0" w:type="dxa"/>
          <w:right w:w="108" w:type="dxa"/>
        </w:tblCellMar>
      </w:tblPr>
      <w:tblGrid>
        <w:gridCol w:w="4840"/>
        <w:gridCol w:w="5219"/>
      </w:tblGrid>
      <w:tr>
        <w:tblPrEx>
          <w:tblCellMar>
            <w:top w:w="0" w:type="dxa"/>
            <w:left w:w="108" w:type="dxa"/>
            <w:bottom w:w="0" w:type="dxa"/>
            <w:right w:w="108" w:type="dxa"/>
          </w:tblCellMar>
        </w:tblPrEx>
        <w:trPr>
          <w:trHeight w:val="1013" w:hRule="atLeast"/>
        </w:trPr>
        <w:tc>
          <w:tcPr>
            <w:tcW w:w="4840" w:type="dxa"/>
            <w:shd w:val="clear" w:color="auto" w:fill="auto"/>
          </w:tcPr>
          <w:p>
            <w:pPr>
              <w:pStyle w:val="18"/>
              <w:spacing w:line="360" w:lineRule="auto"/>
              <w:rPr>
                <w:rFonts w:hAnsi="宋体" w:cs="宋体"/>
                <w:color w:val="auto"/>
                <w:szCs w:val="21"/>
                <w:highlight w:val="none"/>
              </w:rPr>
            </w:pPr>
            <w:r>
              <w:rPr>
                <w:rFonts w:hint="eastAsia" w:hAnsi="宋体" w:cs="宋体"/>
                <w:color w:val="auto"/>
                <w:szCs w:val="21"/>
                <w:highlight w:val="none"/>
              </w:rPr>
              <w:t>甲方：广东东实开能能源有限公司（盖章）</w:t>
            </w:r>
          </w:p>
        </w:tc>
        <w:tc>
          <w:tcPr>
            <w:tcW w:w="5219"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乙方：（盖章）</w:t>
            </w:r>
          </w:p>
        </w:tc>
      </w:tr>
      <w:tr>
        <w:tblPrEx>
          <w:tblCellMar>
            <w:top w:w="0" w:type="dxa"/>
            <w:left w:w="108" w:type="dxa"/>
            <w:bottom w:w="0" w:type="dxa"/>
            <w:right w:w="108" w:type="dxa"/>
          </w:tblCellMar>
        </w:tblPrEx>
        <w:trPr>
          <w:trHeight w:val="900"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地址：东莞市东城街道八一路1号机关二号大院9号楼102室</w:t>
            </w:r>
          </w:p>
        </w:tc>
        <w:tc>
          <w:tcPr>
            <w:tcW w:w="5219" w:type="dxa"/>
            <w:shd w:val="clear" w:color="auto" w:fill="auto"/>
          </w:tcPr>
          <w:p>
            <w:pPr>
              <w:tabs>
                <w:tab w:val="left" w:pos="1350"/>
              </w:tabs>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t>地址：</w:t>
            </w:r>
          </w:p>
        </w:tc>
      </w:tr>
      <w:tr>
        <w:tblPrEx>
          <w:tblCellMar>
            <w:top w:w="0" w:type="dxa"/>
            <w:left w:w="108" w:type="dxa"/>
            <w:bottom w:w="0" w:type="dxa"/>
            <w:right w:w="108" w:type="dxa"/>
          </w:tblCellMar>
        </w:tblPrEx>
        <w:trPr>
          <w:trHeight w:val="932"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法定代表人/委托代理人（签字）：</w:t>
            </w:r>
          </w:p>
        </w:tc>
        <w:tc>
          <w:tcPr>
            <w:tcW w:w="5219"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法定代表人/委托代理人（签字）：</w:t>
            </w:r>
          </w:p>
          <w:p>
            <w:pPr>
              <w:pStyle w:val="18"/>
              <w:spacing w:line="360" w:lineRule="auto"/>
              <w:rPr>
                <w:rFonts w:hAnsi="宋体" w:cs="宋体"/>
                <w:color w:val="auto"/>
                <w:szCs w:val="21"/>
                <w:highlight w:val="none"/>
                <w:u w:val="single"/>
              </w:rPr>
            </w:pPr>
            <w:r>
              <w:rPr>
                <w:rFonts w:hint="eastAsia" w:hAnsi="宋体" w:cs="宋体"/>
                <w:color w:val="auto"/>
                <w:szCs w:val="21"/>
                <w:highlight w:val="none"/>
              </w:rPr>
              <w:tab/>
            </w:r>
          </w:p>
        </w:tc>
      </w:tr>
      <w:tr>
        <w:tblPrEx>
          <w:tblCellMar>
            <w:top w:w="0" w:type="dxa"/>
            <w:left w:w="108" w:type="dxa"/>
            <w:bottom w:w="0" w:type="dxa"/>
            <w:right w:w="108" w:type="dxa"/>
          </w:tblCellMar>
        </w:tblPrEx>
        <w:trPr>
          <w:trHeight w:val="450"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电话：0769-22001739</w:t>
            </w:r>
          </w:p>
        </w:tc>
        <w:tc>
          <w:tcPr>
            <w:tcW w:w="5219"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电话：</w:t>
            </w:r>
          </w:p>
        </w:tc>
      </w:tr>
      <w:tr>
        <w:tblPrEx>
          <w:tblCellMar>
            <w:top w:w="0" w:type="dxa"/>
            <w:left w:w="108" w:type="dxa"/>
            <w:bottom w:w="0" w:type="dxa"/>
            <w:right w:w="108" w:type="dxa"/>
          </w:tblCellMar>
        </w:tblPrEx>
        <w:trPr>
          <w:trHeight w:val="450"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传真：</w:t>
            </w:r>
          </w:p>
        </w:tc>
        <w:tc>
          <w:tcPr>
            <w:tcW w:w="5219"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传真：</w:t>
            </w:r>
          </w:p>
        </w:tc>
      </w:tr>
      <w:tr>
        <w:tblPrEx>
          <w:tblCellMar>
            <w:top w:w="0" w:type="dxa"/>
            <w:left w:w="108" w:type="dxa"/>
            <w:bottom w:w="0" w:type="dxa"/>
            <w:right w:w="108" w:type="dxa"/>
          </w:tblCellMar>
        </w:tblPrEx>
        <w:trPr>
          <w:trHeight w:val="1316"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 xml:space="preserve">开户行：兴业银行股份有限公司东莞东泰支行   </w:t>
            </w:r>
          </w:p>
        </w:tc>
        <w:tc>
          <w:tcPr>
            <w:tcW w:w="5219"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开户行：</w:t>
            </w:r>
          </w:p>
        </w:tc>
      </w:tr>
      <w:tr>
        <w:tblPrEx>
          <w:tblCellMar>
            <w:top w:w="0" w:type="dxa"/>
            <w:left w:w="108" w:type="dxa"/>
            <w:bottom w:w="0" w:type="dxa"/>
            <w:right w:w="108" w:type="dxa"/>
          </w:tblCellMar>
        </w:tblPrEx>
        <w:trPr>
          <w:trHeight w:val="724" w:hRule="atLeast"/>
        </w:trPr>
        <w:tc>
          <w:tcPr>
            <w:tcW w:w="4840" w:type="dxa"/>
            <w:shd w:val="clear" w:color="auto" w:fill="auto"/>
          </w:tcPr>
          <w:p>
            <w:pPr>
              <w:pStyle w:val="18"/>
              <w:spacing w:line="360" w:lineRule="auto"/>
              <w:rPr>
                <w:rFonts w:hAnsi="宋体" w:cs="宋体"/>
                <w:color w:val="auto"/>
                <w:szCs w:val="21"/>
                <w:highlight w:val="none"/>
                <w:u w:val="single"/>
              </w:rPr>
            </w:pPr>
            <w:r>
              <w:rPr>
                <w:rFonts w:hint="eastAsia" w:hAnsi="宋体" w:cs="宋体"/>
                <w:color w:val="auto"/>
                <w:szCs w:val="21"/>
                <w:highlight w:val="none"/>
              </w:rPr>
              <w:t>账号：395110100100115432</w:t>
            </w:r>
          </w:p>
        </w:tc>
        <w:tc>
          <w:tcPr>
            <w:tcW w:w="5219" w:type="dxa"/>
            <w:shd w:val="clear" w:color="auto" w:fill="FFFFFF"/>
          </w:tcPr>
          <w:p>
            <w:pPr>
              <w:pStyle w:val="18"/>
              <w:spacing w:line="360" w:lineRule="auto"/>
              <w:rPr>
                <w:rFonts w:hAnsi="宋体" w:cs="宋体"/>
                <w:color w:val="auto"/>
                <w:szCs w:val="21"/>
                <w:highlight w:val="none"/>
              </w:rPr>
            </w:pPr>
            <w:r>
              <w:rPr>
                <w:rFonts w:hint="eastAsia" w:hAnsi="宋体" w:cs="宋体"/>
                <w:color w:val="auto"/>
                <w:szCs w:val="21"/>
                <w:highlight w:val="none"/>
              </w:rPr>
              <w:t>账号：</w:t>
            </w:r>
          </w:p>
        </w:tc>
      </w:tr>
      <w:tr>
        <w:tblPrEx>
          <w:tblCellMar>
            <w:top w:w="0" w:type="dxa"/>
            <w:left w:w="108" w:type="dxa"/>
            <w:bottom w:w="0" w:type="dxa"/>
            <w:right w:w="108" w:type="dxa"/>
          </w:tblCellMar>
        </w:tblPrEx>
        <w:trPr>
          <w:trHeight w:val="798" w:hRule="atLeast"/>
        </w:trPr>
        <w:tc>
          <w:tcPr>
            <w:tcW w:w="4840" w:type="dxa"/>
            <w:shd w:val="clear" w:color="auto" w:fill="auto"/>
          </w:tcPr>
          <w:p>
            <w:pPr>
              <w:pStyle w:val="18"/>
              <w:spacing w:line="360" w:lineRule="auto"/>
              <w:rPr>
                <w:rFonts w:hAnsi="宋体" w:cs="宋体"/>
                <w:color w:val="auto"/>
                <w:szCs w:val="21"/>
                <w:highlight w:val="none"/>
                <w:u w:val="single"/>
              </w:rPr>
            </w:pPr>
          </w:p>
        </w:tc>
        <w:tc>
          <w:tcPr>
            <w:tcW w:w="5219" w:type="dxa"/>
            <w:shd w:val="clear" w:color="auto" w:fill="auto"/>
          </w:tcPr>
          <w:p>
            <w:pPr>
              <w:pStyle w:val="18"/>
              <w:spacing w:line="360" w:lineRule="auto"/>
              <w:rPr>
                <w:rFonts w:hAnsi="宋体" w:cs="宋体"/>
                <w:color w:val="auto"/>
                <w:szCs w:val="21"/>
                <w:highlight w:val="none"/>
              </w:rPr>
            </w:pPr>
          </w:p>
        </w:tc>
      </w:tr>
      <w:tr>
        <w:tblPrEx>
          <w:tblCellMar>
            <w:top w:w="0" w:type="dxa"/>
            <w:left w:w="108" w:type="dxa"/>
            <w:bottom w:w="0" w:type="dxa"/>
            <w:right w:w="108" w:type="dxa"/>
          </w:tblCellMar>
        </w:tblPrEx>
        <w:trPr>
          <w:trHeight w:val="450" w:hRule="atLeast"/>
        </w:trPr>
        <w:tc>
          <w:tcPr>
            <w:tcW w:w="4840" w:type="dxa"/>
            <w:shd w:val="clear" w:color="auto" w:fill="auto"/>
          </w:tcPr>
          <w:p>
            <w:pPr>
              <w:pStyle w:val="18"/>
              <w:spacing w:line="360" w:lineRule="auto"/>
              <w:rPr>
                <w:rFonts w:hAnsi="宋体" w:cs="宋体"/>
                <w:color w:val="auto"/>
                <w:szCs w:val="21"/>
                <w:highlight w:val="none"/>
                <w:u w:val="single"/>
              </w:rPr>
            </w:pPr>
          </w:p>
        </w:tc>
        <w:tc>
          <w:tcPr>
            <w:tcW w:w="5219" w:type="dxa"/>
            <w:shd w:val="clear" w:color="auto" w:fill="auto"/>
          </w:tcPr>
          <w:p>
            <w:pPr>
              <w:pStyle w:val="18"/>
              <w:spacing w:line="360" w:lineRule="auto"/>
              <w:rPr>
                <w:rFonts w:hAnsi="宋体" w:cs="宋体"/>
                <w:color w:val="auto"/>
                <w:szCs w:val="21"/>
                <w:highlight w:val="none"/>
              </w:rPr>
            </w:pPr>
          </w:p>
        </w:tc>
      </w:tr>
      <w:tr>
        <w:tblPrEx>
          <w:tblCellMar>
            <w:top w:w="0" w:type="dxa"/>
            <w:left w:w="108" w:type="dxa"/>
            <w:bottom w:w="0" w:type="dxa"/>
            <w:right w:w="108" w:type="dxa"/>
          </w:tblCellMar>
        </w:tblPrEx>
        <w:trPr>
          <w:trHeight w:val="450" w:hRule="atLeast"/>
        </w:trPr>
        <w:tc>
          <w:tcPr>
            <w:tcW w:w="4840" w:type="dxa"/>
            <w:shd w:val="clear" w:color="auto" w:fill="auto"/>
          </w:tcPr>
          <w:p>
            <w:pPr>
              <w:pStyle w:val="18"/>
              <w:spacing w:line="360" w:lineRule="auto"/>
              <w:rPr>
                <w:rFonts w:hAnsi="宋体" w:cs="宋体"/>
                <w:color w:val="auto"/>
                <w:szCs w:val="21"/>
                <w:highlight w:val="none"/>
                <w:u w:val="single"/>
              </w:rPr>
            </w:pPr>
          </w:p>
        </w:tc>
        <w:tc>
          <w:tcPr>
            <w:tcW w:w="5219" w:type="dxa"/>
            <w:shd w:val="clear" w:color="auto" w:fill="auto"/>
          </w:tcPr>
          <w:p>
            <w:pPr>
              <w:pStyle w:val="18"/>
              <w:spacing w:line="360" w:lineRule="auto"/>
              <w:rPr>
                <w:rFonts w:hAnsi="宋体" w:cs="宋体"/>
                <w:color w:val="auto"/>
                <w:szCs w:val="21"/>
                <w:highlight w:val="none"/>
              </w:rPr>
            </w:pPr>
          </w:p>
        </w:tc>
      </w:tr>
    </w:tbl>
    <w:p>
      <w:pPr>
        <w:tabs>
          <w:tab w:val="left" w:pos="864"/>
        </w:tabs>
        <w:autoSpaceDE/>
        <w:autoSpaceDN/>
        <w:spacing w:line="360" w:lineRule="auto"/>
        <w:jc w:val="both"/>
        <w:rPr>
          <w:rFonts w:hAnsi="宋体" w:cs="宋体"/>
          <w:color w:val="auto"/>
          <w:sz w:val="21"/>
          <w:szCs w:val="21"/>
          <w:highlight w:val="none"/>
        </w:rPr>
        <w:sectPr>
          <w:footerReference r:id="rId14" w:type="default"/>
          <w:pgSz w:w="11906" w:h="16838"/>
          <w:pgMar w:top="1440" w:right="1134" w:bottom="1440" w:left="1134" w:header="851" w:footer="992" w:gutter="0"/>
          <w:pgNumType w:fmt="decimal"/>
          <w:cols w:space="720" w:num="1"/>
          <w:docGrid w:type="lines" w:linePitch="312" w:charSpace="0"/>
        </w:sectPr>
      </w:pPr>
    </w:p>
    <w:p>
      <w:pPr>
        <w:pStyle w:val="2"/>
        <w:autoSpaceDE/>
        <w:autoSpaceDN/>
        <w:spacing w:line="360" w:lineRule="auto"/>
        <w:jc w:val="both"/>
        <w:rPr>
          <w:rFonts w:hAnsi="宋体" w:cs="宋体"/>
          <w:color w:val="auto"/>
          <w:sz w:val="21"/>
          <w:szCs w:val="21"/>
          <w:highlight w:val="none"/>
          <w:lang w:val="en-US"/>
        </w:rPr>
      </w:pPr>
      <w:r>
        <w:rPr>
          <w:rFonts w:hint="eastAsia" w:hAnsi="宋体" w:cs="宋体"/>
          <w:color w:val="auto"/>
          <w:sz w:val="21"/>
          <w:szCs w:val="21"/>
          <w:highlight w:val="none"/>
          <w:lang w:val="en-US"/>
        </w:rPr>
        <w:t>附件1</w:t>
      </w:r>
    </w:p>
    <w:p>
      <w:pPr>
        <w:autoSpaceDE/>
        <w:autoSpaceDN/>
        <w:spacing w:line="360" w:lineRule="auto"/>
        <w:jc w:val="both"/>
        <w:rPr>
          <w:rFonts w:hAnsi="宋体" w:cs="宋体"/>
          <w:b/>
          <w:bCs/>
          <w:color w:val="auto"/>
          <w:sz w:val="21"/>
          <w:szCs w:val="21"/>
          <w:highlight w:val="none"/>
        </w:rPr>
      </w:pPr>
      <w:r>
        <w:rPr>
          <w:rFonts w:hint="eastAsia" w:hAnsi="宋体" w:cs="宋体"/>
          <w:b/>
          <w:bCs/>
          <w:color w:val="auto"/>
          <w:sz w:val="21"/>
          <w:szCs w:val="21"/>
          <w:highlight w:val="none"/>
        </w:rPr>
        <w:t>阳光合作协议</w:t>
      </w:r>
    </w:p>
    <w:p>
      <w:pPr>
        <w:autoSpaceDE/>
        <w:autoSpaceDN/>
        <w:spacing w:line="360" w:lineRule="auto"/>
        <w:jc w:val="both"/>
        <w:rPr>
          <w:rFonts w:hAnsi="宋体" w:cs="宋体"/>
          <w:b/>
          <w:bCs/>
          <w:color w:val="auto"/>
          <w:sz w:val="21"/>
          <w:szCs w:val="21"/>
          <w:highlight w:val="none"/>
        </w:rPr>
      </w:pPr>
    </w:p>
    <w:p>
      <w:pPr>
        <w:autoSpaceDE/>
        <w:autoSpaceDN/>
        <w:spacing w:line="360" w:lineRule="auto"/>
        <w:ind w:firstLine="420" w:firstLineChars="200"/>
        <w:jc w:val="both"/>
        <w:rPr>
          <w:rFonts w:hAnsi="宋体" w:cs="宋体"/>
          <w:color w:val="auto"/>
          <w:sz w:val="21"/>
          <w:szCs w:val="21"/>
          <w:highlight w:val="none"/>
          <w:u w:val="single"/>
        </w:rPr>
      </w:pPr>
      <w:r>
        <w:rPr>
          <w:rFonts w:hint="eastAsia" w:hAnsi="宋体" w:cs="宋体"/>
          <w:color w:val="auto"/>
          <w:sz w:val="21"/>
          <w:szCs w:val="21"/>
          <w:highlight w:val="none"/>
        </w:rPr>
        <w:t>甲方（全称）：</w:t>
      </w:r>
      <w:r>
        <w:rPr>
          <w:rFonts w:hint="eastAsia" w:hAnsi="宋体" w:cs="宋体"/>
          <w:color w:val="auto"/>
          <w:sz w:val="21"/>
          <w:szCs w:val="21"/>
          <w:highlight w:val="none"/>
          <w:u w:val="single"/>
        </w:rPr>
        <w:t xml:space="preserve">  广东东实开能能源有限公司      </w:t>
      </w:r>
    </w:p>
    <w:p>
      <w:pPr>
        <w:autoSpaceDE/>
        <w:autoSpaceDN/>
        <w:spacing w:line="360" w:lineRule="auto"/>
        <w:ind w:firstLine="420" w:firstLineChars="200"/>
        <w:jc w:val="both"/>
        <w:rPr>
          <w:rFonts w:hAnsi="宋体" w:cs="宋体"/>
          <w:color w:val="auto"/>
          <w:sz w:val="21"/>
          <w:szCs w:val="21"/>
          <w:highlight w:val="none"/>
          <w:u w:val="single"/>
        </w:rPr>
      </w:pPr>
    </w:p>
    <w:p>
      <w:pPr>
        <w:autoSpaceDE/>
        <w:autoSpaceDN/>
        <w:spacing w:line="360" w:lineRule="auto"/>
        <w:ind w:firstLine="420" w:firstLineChars="200"/>
        <w:jc w:val="both"/>
        <w:rPr>
          <w:rFonts w:hAnsi="宋体" w:cs="宋体"/>
          <w:color w:val="auto"/>
          <w:sz w:val="21"/>
          <w:szCs w:val="21"/>
          <w:highlight w:val="none"/>
          <w:u w:val="single"/>
        </w:rPr>
      </w:pPr>
      <w:r>
        <w:rPr>
          <w:rFonts w:hint="eastAsia" w:hAnsi="宋体" w:cs="宋体"/>
          <w:color w:val="auto"/>
          <w:sz w:val="21"/>
          <w:szCs w:val="21"/>
          <w:highlight w:val="none"/>
        </w:rPr>
        <w:t>乙方（全称）：</w:t>
      </w:r>
      <w:r>
        <w:rPr>
          <w:rFonts w:hint="eastAsia" w:hAnsi="宋体" w:cs="宋体"/>
          <w:color w:val="auto"/>
          <w:sz w:val="21"/>
          <w:szCs w:val="21"/>
          <w:highlight w:val="none"/>
          <w:u w:val="single"/>
        </w:rPr>
        <w:t xml:space="preserve">                         ）</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u w:val="single"/>
        </w:rPr>
        <w:t xml:space="preserve">  </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甲乙双方于 202</w:t>
      </w:r>
      <w:r>
        <w:rPr>
          <w:rFonts w:hint="eastAsia" w:hAnsi="宋体" w:cs="宋体"/>
          <w:color w:val="auto"/>
          <w:sz w:val="21"/>
          <w:szCs w:val="21"/>
          <w:highlight w:val="none"/>
          <w:lang w:val="en-US" w:eastAsia="zh-CN"/>
        </w:rPr>
        <w:t xml:space="preserve">3 </w:t>
      </w:r>
      <w:r>
        <w:rPr>
          <w:rFonts w:hint="eastAsia" w:hAnsi="宋体" w:cs="宋体"/>
          <w:color w:val="auto"/>
          <w:sz w:val="21"/>
          <w:szCs w:val="21"/>
          <w:highlight w:val="none"/>
        </w:rPr>
        <w:t xml:space="preserve">年   月   日签署了 </w:t>
      </w:r>
      <w:r>
        <w:rPr>
          <w:rFonts w:hint="eastAsia" w:hAnsi="宋体" w:cs="宋体"/>
          <w:color w:val="auto"/>
          <w:sz w:val="21"/>
          <w:szCs w:val="21"/>
          <w:highlight w:val="none"/>
          <w:u w:val="single"/>
        </w:rPr>
        <w:t>广东东实开能能源有限公司 莞番高速（寮步段）垃圾填埋场治理项目</w:t>
      </w:r>
      <w:r>
        <w:rPr>
          <w:rFonts w:hint="eastAsia" w:hAnsi="宋体" w:cs="宋体"/>
          <w:color w:val="auto"/>
          <w:sz w:val="21"/>
          <w:szCs w:val="21"/>
          <w:highlight w:val="none"/>
          <w:u w:val="single"/>
          <w:lang w:eastAsia="zh-CN"/>
        </w:rPr>
        <w:t>腐殖土二次转运</w:t>
      </w:r>
      <w:r>
        <w:rPr>
          <w:rFonts w:hint="eastAsia" w:hAnsi="宋体" w:cs="宋体"/>
          <w:color w:val="auto"/>
          <w:sz w:val="21"/>
          <w:szCs w:val="21"/>
          <w:highlight w:val="none"/>
          <w:u w:val="single"/>
        </w:rPr>
        <w:t>合同</w:t>
      </w:r>
      <w:r>
        <w:rPr>
          <w:rFonts w:hint="eastAsia" w:hAnsi="宋体" w:cs="宋体"/>
          <w:color w:val="auto"/>
          <w:sz w:val="21"/>
          <w:szCs w:val="21"/>
          <w:highlight w:val="none"/>
        </w:rPr>
        <w:t xml:space="preserve"> 合同（以下简称原合同），为加强双方阳光合作，保证职员职业安全，甲乙双方经协商签订本协议并作为双方共同遵守的阳光合作行为准则。</w:t>
      </w:r>
    </w:p>
    <w:p>
      <w:pPr>
        <w:numPr>
          <w:ilvl w:val="0"/>
          <w:numId w:val="25"/>
        </w:numPr>
        <w:autoSpaceDE/>
        <w:autoSpaceDN/>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甲方责任</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1.甲方有责任向乙方介绍本单位有关采购管理通用原则和本协议的规定。</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2.甲方有责任对本单位相关人员进行阳光合作教育。</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3.甲方人员应严格遵守本单位有关阳关合作管理的规定，不得接受乙方任何形式的回扣、实物、现金、有价证券、礼券等有价物品，不得参与乙方提供的旅游或其他可能影响职务行为公正履行的活动。</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4.甲方人员如违反阳光合作管理制度及本协议规定，甲方视情节轻重、影响大小给予行政及经济处罚。</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5.对于乙方举报甲方人员违反阳关合作规定的情况，甲方应及时进行调查，根据调查情况进行处理，并将调查结果向乙方反馈。</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6.接受举报的一方应为举报方保密，不得对举报方进行报复，对举报属实和严格遵守《阳关合作协议》的合作方，在同等条件下给予后续合作的优先权。</w:t>
      </w:r>
    </w:p>
    <w:p>
      <w:pPr>
        <w:autoSpaceDE/>
        <w:autoSpaceDN/>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二、乙方责任</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1.乙方应保证乙方人员了解甲方有关采购管理通用原则和本协议的规定，并遵照执行。</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2.乙方不得以任何形式给予甲方人员回扣、赠送实物、现金、有价证券、礼券等有价物品或提供旅游等其他可能影响职务行为公正履行的活动（以下统称“财物”）。</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3.乙方有责任接受甲方对乙方在合作期间阳光合作管理执行情况的监督，并对甲方相关调查工作主动配合。</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4.乙方有义务就甲方人员任何形式的索取或收受财物的行为及时向甲方（直接联系人为东莞实业投资控股集团有限公司</w:t>
      </w:r>
      <w:r>
        <w:rPr>
          <w:rFonts w:hint="eastAsia" w:hAnsi="宋体" w:cs="宋体"/>
          <w:color w:val="auto"/>
          <w:sz w:val="21"/>
          <w:szCs w:val="21"/>
          <w:highlight w:val="none"/>
          <w:lang w:val="en-US" w:eastAsia="zh-CN"/>
        </w:rPr>
        <w:t>法律合规</w:t>
      </w:r>
      <w:r>
        <w:rPr>
          <w:rFonts w:hint="eastAsia" w:hAnsi="宋体" w:cs="宋体"/>
          <w:color w:val="auto"/>
          <w:sz w:val="21"/>
          <w:szCs w:val="21"/>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以上及类似情况或者如因乙方在合作期间贿赂甲方人员，被司法机关立案查处核实属实的，甲方有权解除原合同，如甲方解除原合同的，则乙方应退还甲方所支付的所有款项并按原合同和本合同约定承担违约责任，且五年之内不得作为东实集团（东莞实业投资控股集团有限公司及下属子公司）合格供应商。</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5.甲方接受乙方匿名举报，保证为举报者的信息保密，常设举报部门及电话：</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举报受理部门:东莞实业投资控股集团有限公司</w:t>
      </w:r>
      <w:r>
        <w:rPr>
          <w:rFonts w:hint="eastAsia" w:hAnsi="宋体" w:cs="宋体"/>
          <w:color w:val="auto"/>
          <w:sz w:val="21"/>
          <w:szCs w:val="21"/>
          <w:highlight w:val="none"/>
          <w:lang w:val="en-US" w:eastAsia="zh-CN"/>
        </w:rPr>
        <w:t>法律合规</w:t>
      </w:r>
      <w:r>
        <w:rPr>
          <w:rFonts w:hint="eastAsia" w:hAnsi="宋体" w:cs="宋体"/>
          <w:color w:val="auto"/>
          <w:sz w:val="21"/>
          <w:szCs w:val="21"/>
          <w:highlight w:val="none"/>
        </w:rPr>
        <w:t>部</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东实集团举报邮箱：dgsyxf@163.com</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东实集团举报电话：0769-28820703（周一至周五9:00-12:00和14:00-18:00）</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邮寄地址：东莞市东城区八一路1号机关二号大院9号楼321室，东莞实业投资控股集团有限公司</w:t>
      </w:r>
      <w:r>
        <w:rPr>
          <w:rFonts w:hint="eastAsia" w:hAnsi="宋体" w:cs="宋体"/>
          <w:color w:val="auto"/>
          <w:sz w:val="21"/>
          <w:szCs w:val="21"/>
          <w:highlight w:val="none"/>
          <w:lang w:val="en-US" w:eastAsia="zh-CN"/>
        </w:rPr>
        <w:t>法律合规</w:t>
      </w:r>
      <w:r>
        <w:rPr>
          <w:rFonts w:hint="eastAsia" w:hAnsi="宋体" w:cs="宋体"/>
          <w:color w:val="auto"/>
          <w:sz w:val="21"/>
          <w:szCs w:val="21"/>
          <w:highlight w:val="none"/>
        </w:rPr>
        <w:t>部收，邮编523000。</w:t>
      </w:r>
    </w:p>
    <w:p>
      <w:pPr>
        <w:autoSpaceDE/>
        <w:autoSpaceDN/>
        <w:spacing w:line="360" w:lineRule="auto"/>
        <w:ind w:firstLine="422" w:firstLineChars="200"/>
        <w:jc w:val="both"/>
        <w:rPr>
          <w:rFonts w:hAnsi="宋体" w:cs="宋体"/>
          <w:b/>
          <w:bCs/>
          <w:color w:val="auto"/>
          <w:sz w:val="21"/>
          <w:szCs w:val="21"/>
          <w:highlight w:val="none"/>
        </w:rPr>
      </w:pPr>
      <w:r>
        <w:rPr>
          <w:rFonts w:hint="eastAsia" w:hAnsi="宋体" w:cs="宋体"/>
          <w:b/>
          <w:bCs/>
          <w:color w:val="auto"/>
          <w:sz w:val="21"/>
          <w:szCs w:val="21"/>
          <w:highlight w:val="none"/>
        </w:rPr>
        <w:t>三、其他</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1.本协议是原合同的补充协议，与原合同有同等的法律效力。</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2.本协议一式 肆 份，甲方 贰 份，乙方 贰 份，具有同等法律效力。</w:t>
      </w:r>
    </w:p>
    <w:p>
      <w:pPr>
        <w:autoSpaceDE/>
        <w:autoSpaceDN/>
        <w:spacing w:line="360" w:lineRule="auto"/>
        <w:ind w:firstLine="420" w:firstLineChars="200"/>
        <w:jc w:val="both"/>
        <w:rPr>
          <w:rFonts w:hAnsi="宋体" w:cs="宋体"/>
          <w:color w:val="auto"/>
          <w:sz w:val="21"/>
          <w:szCs w:val="21"/>
          <w:highlight w:val="none"/>
        </w:rPr>
      </w:pPr>
      <w:r>
        <w:rPr>
          <w:rFonts w:hint="eastAsia" w:hAnsi="宋体" w:cs="宋体"/>
          <w:color w:val="auto"/>
          <w:sz w:val="21"/>
          <w:szCs w:val="21"/>
          <w:highlight w:val="none"/>
        </w:rPr>
        <w:t>3.本协议经双方签署后生效。</w:t>
      </w:r>
    </w:p>
    <w:p>
      <w:pPr>
        <w:autoSpaceDE/>
        <w:autoSpaceDN/>
        <w:spacing w:line="360" w:lineRule="auto"/>
        <w:jc w:val="both"/>
        <w:rPr>
          <w:rFonts w:hAnsi="宋体" w:cs="宋体"/>
          <w:color w:val="auto"/>
          <w:sz w:val="21"/>
          <w:szCs w:val="21"/>
          <w:highlight w:val="none"/>
        </w:rPr>
      </w:pPr>
    </w:p>
    <w:p>
      <w:pPr>
        <w:autoSpaceDE/>
        <w:autoSpaceDN/>
        <w:spacing w:line="360" w:lineRule="auto"/>
        <w:jc w:val="both"/>
        <w:rPr>
          <w:rFonts w:hAnsi="宋体" w:cs="宋体"/>
          <w:color w:val="auto"/>
          <w:sz w:val="21"/>
          <w:szCs w:val="21"/>
          <w:highlight w:val="none"/>
        </w:rPr>
      </w:pPr>
    </w:p>
    <w:p>
      <w:pPr>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t>甲方（公章）：                           乙方（公章）：</w:t>
      </w:r>
    </w:p>
    <w:p>
      <w:pPr>
        <w:autoSpaceDE/>
        <w:autoSpaceDN/>
        <w:spacing w:line="360" w:lineRule="auto"/>
        <w:jc w:val="both"/>
        <w:rPr>
          <w:rFonts w:hAnsi="宋体" w:cs="宋体"/>
          <w:color w:val="auto"/>
          <w:sz w:val="21"/>
          <w:szCs w:val="21"/>
          <w:highlight w:val="none"/>
        </w:rPr>
      </w:pPr>
    </w:p>
    <w:p>
      <w:pPr>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t>法定代表人（授权代表）：                 法定代表人（授权代表）：</w:t>
      </w:r>
    </w:p>
    <w:p>
      <w:pPr>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t>签约日期： 年  月  日                 签约日期： 年  月  日</w:t>
      </w:r>
    </w:p>
    <w:p>
      <w:pPr>
        <w:pStyle w:val="2"/>
        <w:autoSpaceDE/>
        <w:autoSpaceDN/>
        <w:spacing w:line="360" w:lineRule="auto"/>
        <w:jc w:val="both"/>
        <w:rPr>
          <w:rFonts w:hAnsi="宋体" w:cs="宋体"/>
          <w:color w:val="auto"/>
          <w:sz w:val="21"/>
          <w:szCs w:val="21"/>
          <w:highlight w:val="none"/>
        </w:rPr>
      </w:pPr>
    </w:p>
    <w:p>
      <w:pPr>
        <w:pStyle w:val="2"/>
        <w:autoSpaceDE/>
        <w:autoSpaceDN/>
        <w:spacing w:line="360" w:lineRule="auto"/>
        <w:jc w:val="both"/>
        <w:rPr>
          <w:rFonts w:hAnsi="宋体" w:cs="宋体"/>
          <w:color w:val="auto"/>
          <w:sz w:val="21"/>
          <w:szCs w:val="21"/>
          <w:highlight w:val="none"/>
        </w:rPr>
      </w:pPr>
    </w:p>
    <w:p>
      <w:pPr>
        <w:pStyle w:val="2"/>
        <w:autoSpaceDE/>
        <w:autoSpaceDN/>
        <w:spacing w:line="360" w:lineRule="auto"/>
        <w:jc w:val="both"/>
        <w:rPr>
          <w:rFonts w:hAnsi="宋体" w:cs="宋体"/>
          <w:color w:val="auto"/>
          <w:sz w:val="21"/>
          <w:szCs w:val="21"/>
          <w:highlight w:val="none"/>
        </w:rPr>
      </w:pPr>
    </w:p>
    <w:p>
      <w:pPr>
        <w:pStyle w:val="2"/>
        <w:autoSpaceDE/>
        <w:autoSpaceDN/>
        <w:spacing w:line="360" w:lineRule="auto"/>
        <w:jc w:val="both"/>
        <w:rPr>
          <w:rFonts w:hAnsi="宋体" w:cs="宋体"/>
          <w:color w:val="auto"/>
          <w:sz w:val="21"/>
          <w:szCs w:val="21"/>
          <w:highlight w:val="none"/>
        </w:rPr>
      </w:pPr>
      <w:r>
        <w:rPr>
          <w:rFonts w:hint="eastAsia" w:hAnsi="宋体" w:cs="宋体"/>
          <w:color w:val="auto"/>
          <w:sz w:val="21"/>
          <w:szCs w:val="21"/>
          <w:highlight w:val="none"/>
        </w:rPr>
        <w:br w:type="page"/>
      </w:r>
    </w:p>
    <w:p>
      <w:pPr>
        <w:pStyle w:val="2"/>
        <w:autoSpaceDE/>
        <w:autoSpaceDN/>
        <w:spacing w:line="360" w:lineRule="auto"/>
        <w:jc w:val="both"/>
        <w:rPr>
          <w:rFonts w:hAnsi="宋体" w:cs="宋体"/>
          <w:color w:val="auto"/>
          <w:sz w:val="21"/>
          <w:szCs w:val="21"/>
          <w:highlight w:val="none"/>
          <w:lang w:val="en-US"/>
        </w:rPr>
      </w:pPr>
      <w:r>
        <w:rPr>
          <w:rFonts w:hint="eastAsia" w:hAnsi="宋体" w:cs="宋体"/>
          <w:color w:val="auto"/>
          <w:sz w:val="21"/>
          <w:szCs w:val="21"/>
          <w:highlight w:val="none"/>
        </w:rPr>
        <w:t>附件</w:t>
      </w:r>
      <w:r>
        <w:rPr>
          <w:rFonts w:hint="eastAsia" w:hAnsi="宋体" w:cs="宋体"/>
          <w:color w:val="auto"/>
          <w:sz w:val="21"/>
          <w:szCs w:val="21"/>
          <w:highlight w:val="none"/>
          <w:lang w:val="en-US"/>
        </w:rPr>
        <w:t>2</w:t>
      </w:r>
    </w:p>
    <w:p>
      <w:pPr>
        <w:autoSpaceDE/>
        <w:autoSpaceDN/>
        <w:spacing w:line="360" w:lineRule="auto"/>
        <w:jc w:val="both"/>
        <w:rPr>
          <w:rFonts w:hAnsi="宋体" w:cs="宋体"/>
          <w:b/>
          <w:bCs/>
          <w:color w:val="auto"/>
          <w:sz w:val="21"/>
          <w:szCs w:val="21"/>
          <w:highlight w:val="none"/>
        </w:rPr>
      </w:pPr>
      <w:r>
        <w:rPr>
          <w:rFonts w:hint="eastAsia" w:hAnsi="宋体" w:cs="宋体"/>
          <w:b/>
          <w:bCs/>
          <w:color w:val="auto"/>
          <w:sz w:val="21"/>
          <w:szCs w:val="21"/>
          <w:highlight w:val="none"/>
        </w:rPr>
        <w:t>分项价格表</w:t>
      </w:r>
    </w:p>
    <w:tbl>
      <w:tblPr>
        <w:tblStyle w:val="32"/>
        <w:tblW w:w="9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1"/>
        <w:gridCol w:w="1309"/>
        <w:gridCol w:w="1142"/>
        <w:gridCol w:w="2130"/>
        <w:gridCol w:w="410"/>
        <w:gridCol w:w="1052"/>
        <w:gridCol w:w="872"/>
        <w:gridCol w:w="1147"/>
        <w:gridCol w:w="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9" w:hRule="atLeast"/>
        </w:trPr>
        <w:tc>
          <w:tcPr>
            <w:tcW w:w="73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0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14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1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105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662" w:type="dxa"/>
            <w:gridSpan w:val="3"/>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5" w:hRule="atLeast"/>
        </w:trPr>
        <w:tc>
          <w:tcPr>
            <w:tcW w:w="73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30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14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21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4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05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综合单价（元）</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r>
              <w:rPr>
                <w:rFonts w:hint="eastAsia" w:hAnsi="宋体" w:cs="宋体"/>
                <w:i w:val="0"/>
                <w:color w:val="auto"/>
                <w:sz w:val="20"/>
                <w:szCs w:val="20"/>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09"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040101001001</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地块一转运至刘屋巷暂存场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2.运距：1km以内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61335.9</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34"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040101001002</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RDF暂存场转运至刘屋巷暂存场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2.运距：4km以内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183754.8</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5" w:hRule="atLeast"/>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040103001003</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腐殖土堆填</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1.腐殖土转堆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2.腐殖土回填</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245090.7</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6" w:hRule="atLeast"/>
        </w:trPr>
        <w:tc>
          <w:tcPr>
            <w:tcW w:w="7646" w:type="dxa"/>
            <w:gridSpan w:val="7"/>
            <w:tcBorders>
              <w:top w:val="single" w:color="000000" w:sz="4" w:space="0"/>
              <w:left w:val="single" w:color="000000" w:sz="8" w:space="0"/>
              <w:bottom w:val="single" w:color="000000" w:sz="8"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47" w:type="dxa"/>
            <w:tcBorders>
              <w:top w:val="single" w:color="000000" w:sz="4" w:space="0"/>
              <w:left w:val="single" w:color="000000" w:sz="4" w:space="0"/>
              <w:bottom w:val="single" w:color="000000" w:sz="8"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 xml:space="preserve"> </w:t>
            </w:r>
          </w:p>
        </w:tc>
        <w:tc>
          <w:tcPr>
            <w:tcW w:w="643" w:type="dxa"/>
            <w:tcBorders>
              <w:top w:val="single" w:color="000000" w:sz="4" w:space="0"/>
              <w:left w:val="single" w:color="000000" w:sz="4" w:space="0"/>
              <w:bottom w:val="single" w:color="000000" w:sz="8"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bl>
    <w:p>
      <w:pPr>
        <w:pStyle w:val="2"/>
        <w:jc w:val="both"/>
        <w:rPr>
          <w:rFonts w:hint="default" w:eastAsia="宋体"/>
          <w:color w:val="auto"/>
          <w:sz w:val="18"/>
          <w:szCs w:val="18"/>
          <w:highlight w:val="none"/>
          <w:lang w:val="en-US" w:eastAsia="zh-CN"/>
        </w:rPr>
      </w:pPr>
      <w:r>
        <w:rPr>
          <w:rFonts w:hint="eastAsia"/>
          <w:color w:val="auto"/>
          <w:sz w:val="18"/>
          <w:szCs w:val="18"/>
          <w:highlight w:val="none"/>
          <w:lang w:val="en-US" w:eastAsia="zh-CN"/>
        </w:rPr>
        <w:t>说明：报价表中综合单价及合价为全费用价格，包含人工、材料、机械、安全文明施工措施及其他措施费、其他项目费、规费、税金（9%）等完成本工程所需的一切费用。</w:t>
      </w:r>
    </w:p>
    <w:p>
      <w:pPr>
        <w:rPr>
          <w:rFonts w:hint="eastAsia"/>
          <w:color w:val="auto"/>
          <w:sz w:val="18"/>
          <w:szCs w:val="18"/>
          <w:highlight w:val="none"/>
          <w:lang w:val="en-US"/>
        </w:rPr>
      </w:pPr>
      <w:r>
        <w:rPr>
          <w:rFonts w:hint="eastAsia"/>
          <w:color w:val="auto"/>
          <w:sz w:val="18"/>
          <w:szCs w:val="18"/>
          <w:highlight w:val="none"/>
          <w:lang w:val="en-US"/>
        </w:rPr>
        <w:br w:type="page"/>
      </w:r>
    </w:p>
    <w:p>
      <w:pPr>
        <w:pStyle w:val="2"/>
        <w:jc w:val="both"/>
        <w:rPr>
          <w:color w:val="auto"/>
          <w:sz w:val="18"/>
          <w:szCs w:val="18"/>
          <w:highlight w:val="none"/>
          <w:lang w:val="en-US"/>
        </w:rPr>
      </w:pPr>
      <w:r>
        <w:rPr>
          <w:rFonts w:hint="eastAsia"/>
          <w:color w:val="auto"/>
          <w:sz w:val="18"/>
          <w:szCs w:val="18"/>
          <w:highlight w:val="none"/>
          <w:lang w:val="en-US"/>
        </w:rPr>
        <w:t>附件3</w:t>
      </w:r>
    </w:p>
    <w:p>
      <w:pPr>
        <w:pStyle w:val="2"/>
        <w:jc w:val="both"/>
        <w:rPr>
          <w:color w:val="auto"/>
          <w:sz w:val="18"/>
          <w:szCs w:val="18"/>
          <w:highlight w:val="none"/>
        </w:rPr>
      </w:pPr>
    </w:p>
    <w:p>
      <w:pPr>
        <w:pStyle w:val="2"/>
        <w:jc w:val="both"/>
        <w:rPr>
          <w:color w:val="auto"/>
          <w:sz w:val="18"/>
          <w:szCs w:val="18"/>
          <w:highlight w:val="none"/>
        </w:rPr>
      </w:pPr>
    </w:p>
    <w:p>
      <w:pPr>
        <w:jc w:val="center"/>
        <w:rPr>
          <w:rFonts w:ascii="黑体" w:eastAsia="黑体"/>
          <w:color w:val="auto"/>
          <w:sz w:val="44"/>
          <w:szCs w:val="44"/>
          <w:highlight w:val="none"/>
        </w:rPr>
      </w:pPr>
      <w:r>
        <w:rPr>
          <w:rFonts w:hint="eastAsia" w:ascii="黑体" w:eastAsia="黑体"/>
          <w:color w:val="auto"/>
          <w:sz w:val="44"/>
          <w:szCs w:val="44"/>
          <w:highlight w:val="none"/>
        </w:rPr>
        <w:t>项目安全生产管理协议</w:t>
      </w:r>
    </w:p>
    <w:p>
      <w:pPr>
        <w:spacing w:line="360" w:lineRule="auto"/>
        <w:rPr>
          <w:color w:val="auto"/>
          <w:highlight w:val="none"/>
        </w:rPr>
      </w:pPr>
    </w:p>
    <w:p>
      <w:pPr>
        <w:spacing w:line="360" w:lineRule="auto"/>
        <w:rPr>
          <w:rFonts w:ascii="黑体" w:eastAsia="黑体"/>
          <w:color w:val="auto"/>
          <w:sz w:val="21"/>
          <w:szCs w:val="21"/>
          <w:highlight w:val="none"/>
        </w:rPr>
      </w:pPr>
      <w:r>
        <w:rPr>
          <w:rFonts w:hint="eastAsia" w:ascii="黑体" w:eastAsia="黑体"/>
          <w:color w:val="auto"/>
          <w:sz w:val="21"/>
          <w:szCs w:val="21"/>
          <w:highlight w:val="none"/>
        </w:rPr>
        <w:t>发包单位：广东东实开能能源有限公司                （甲方）以下简称甲方</w:t>
      </w:r>
    </w:p>
    <w:p>
      <w:pPr>
        <w:spacing w:line="360" w:lineRule="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承包单位：                                        （乙方）以下简称乙方</w:t>
      </w:r>
    </w:p>
    <w:p>
      <w:pPr>
        <w:spacing w:line="360" w:lineRule="auto"/>
        <w:rPr>
          <w:rFonts w:ascii="黑体" w:eastAsia="黑体"/>
          <w:color w:val="auto"/>
          <w:sz w:val="21"/>
          <w:szCs w:val="21"/>
          <w:highlight w:val="none"/>
        </w:rPr>
      </w:pPr>
    </w:p>
    <w:p>
      <w:pPr>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甲方应按有关规定对乙方的安全资质进行审查，确认乙方承包的项目与其资质相符合。</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甲方将本</w:t>
      </w:r>
      <w:r>
        <w:rPr>
          <w:rFonts w:hint="eastAsia" w:hAnsi="宋体"/>
          <w:color w:val="auto"/>
          <w:sz w:val="21"/>
          <w:szCs w:val="21"/>
          <w:highlight w:val="none"/>
          <w:u w:val="single"/>
        </w:rPr>
        <w:t xml:space="preserve">       </w:t>
      </w:r>
      <w:r>
        <w:rPr>
          <w:rFonts w:hint="eastAsia" w:hAnsi="宋体"/>
          <w:color w:val="auto"/>
          <w:sz w:val="21"/>
          <w:szCs w:val="21"/>
          <w:highlight w:val="none"/>
        </w:rPr>
        <w:t>项目发包给乙方施工，为贯彻“安全第一、预防为主、综合治理”的安全生产方针，根据国家、省、市有关承包安全生产工作的各项管理规定，明确双方的安全生产责任，确保项目执行安全，双方在签订合同时，必须同时签订本协议。</w:t>
      </w:r>
    </w:p>
    <w:p>
      <w:pPr>
        <w:spacing w:line="360" w:lineRule="auto"/>
        <w:ind w:firstLine="480"/>
        <w:jc w:val="both"/>
        <w:rPr>
          <w:rFonts w:hAnsi="宋体"/>
          <w:color w:val="auto"/>
          <w:sz w:val="21"/>
          <w:szCs w:val="21"/>
          <w:highlight w:val="none"/>
        </w:rPr>
      </w:pPr>
      <w:r>
        <w:rPr>
          <w:rFonts w:hint="eastAsia" w:hAnsi="宋体"/>
          <w:b/>
          <w:color w:val="auto"/>
          <w:sz w:val="21"/>
          <w:szCs w:val="21"/>
          <w:highlight w:val="none"/>
        </w:rPr>
        <w:t xml:space="preserve">一、承包工作项目 </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1、项目名称：。</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2、地址：。</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3、承包范围：。</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4、承包方式：固定综合单价。</w:t>
      </w:r>
    </w:p>
    <w:p>
      <w:pPr>
        <w:spacing w:line="360" w:lineRule="auto"/>
        <w:ind w:firstLine="480"/>
        <w:jc w:val="both"/>
        <w:rPr>
          <w:rFonts w:hAnsi="宋体"/>
          <w:color w:val="auto"/>
          <w:sz w:val="21"/>
          <w:szCs w:val="21"/>
          <w:highlight w:val="none"/>
        </w:rPr>
      </w:pPr>
      <w:r>
        <w:rPr>
          <w:rFonts w:hint="eastAsia" w:hAnsi="宋体"/>
          <w:b/>
          <w:color w:val="auto"/>
          <w:sz w:val="21"/>
          <w:szCs w:val="21"/>
          <w:highlight w:val="none"/>
        </w:rPr>
        <w:t>二、项目期限（以合同为准）</w:t>
      </w:r>
    </w:p>
    <w:p>
      <w:pPr>
        <w:spacing w:line="360" w:lineRule="auto"/>
        <w:ind w:firstLine="480"/>
        <w:jc w:val="both"/>
        <w:rPr>
          <w:rFonts w:hAnsi="宋体"/>
          <w:color w:val="auto"/>
          <w:sz w:val="21"/>
          <w:szCs w:val="21"/>
          <w:highlight w:val="none"/>
        </w:rPr>
      </w:pPr>
      <w:r>
        <w:rPr>
          <w:rFonts w:hint="eastAsia" w:hAnsi="宋体"/>
          <w:b/>
          <w:color w:val="auto"/>
          <w:sz w:val="21"/>
          <w:szCs w:val="21"/>
          <w:highlight w:val="none"/>
        </w:rPr>
        <w:t>三、协议内容：</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1、甲、乙双方必须认真贯彻国家、省、市颁发的有关安全生产方针、政策、严格执行有关安全生产法律、法规、法令、条例和安全工作规程及相关安全管理规定。</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甲、乙双方都应建立健全安全管理组织体制，包括具体负责安全生产的领导。乙方当人员超过30人时，必须配备专职安全员，30人以下设兼职安全员，安全员必须经过考核，有相应上岗资格证书及从事该岗位有工作经验的人员担任。</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3、乙方应有安全管理制度，包括各工种的安全操作规程、特种作业人员的持证上岗与审查考核制度、各级安全生产岗位责任制和定期安全检查、安全教育制度等，乙方参加施工人员要求身体健康，年龄必须年满18周岁，小于55周岁（特种作业人员年龄按国家相关文件规定执行）。</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4、外委（外包）总包项目如同时满足以下情况时：有两个以上施工单位在工地施工；项目施工人员总数（包括临时工）超过100人；项目工期超过180天这三个条件时，必须成立建设项目安全监督管理委员会，由建设项目安全监督管理委员会聘任有关人员组成安全监督核查机构，按规定开展安全监督核查工作，并认真建立安全生产检查记录台帐。</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5、甲、乙双方在施工前要认真勘察施工现场，甲方对乙方负责人和技术人员根据项目内容、特点进行全面的安全技术交底。乙方应详细了解项目的作业环境、施工日期、各类安全措施情况及安全注意事项后拟订施工计划和施工安全技术措施，交甲方审批备案。</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6、在甲方的同一区域内有二个及以上的乙方施工队伍进行交叉（指：空间或时间）作业时，乙方应负有对其协调管理责任。乙方要对施工现场周围设立安全防护栏和醒目的安全标志，以防闲杂人员进入，费用由乙方自理。</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7、乙方在执行有可能发生的火灾、爆炸、触电、高空坠落、坍塌、中毒、窒息、机械伤害、烧烫伤等人身伤亡事故和可能引起严重设备事故情况时，施工前应主动书面通知甲方，由甲方事先向乙方进行详细的安全技术交底，要求乙方制定施工安全技术措施，经甲方或甲方委托的监理公司审查合格后监督乙方实施，否则一切后果由乙方自负。</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8、甲、乙双方的有关领导必须认真对本单位员工进行安全生产制度及安全技术知识教育，增强员工法制观念，提高员工安全生产意识和自我保护技能，督促员工自觉遵守安全生产法规、纪律、制度。</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9、乙方施工人员在施工生产区域内违反安全生产规程制度时，甲方应予以制止。当发生因乙方责任造成的人身伤亡事故及严重未遂事故时，甲方可根据违章程度及整改效果等因素，确定安全施工保证金的扣除比例或按约定进行索赔或处罚，直至停止乙方工作；若由乙方施工人员的责任造成甲方人员伤害或设备事故、设备异常、设备损坏时，甲方有权按约定对乙方进行索赔、处罚等处理。</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10、施工前，乙方进场参加施工人员须经过安全培训、考试合格后持证上岗（进场施工人员的安全教育培训由乙方自行组织），甲方应对乙方进场施工人员进行入厂前安全生产告知教育，介绍施工中有关安全、消防等要求。乙方必须检查、督促进场施工人员严格遵守、认真执行各项规章制度。乙方若在施工中要增添进场参加施工人员，必须向甲方书面申报，由甲方进行入厂前安全生产告知教育并备案。未经甲方进行入厂前安全生产告知教育的乙方进场施工人员，发生安全生产事故责任由乙方全部承担。</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11、乙方在施工期间必须严格遵守和执行甲方在安全生产、消防等方面的有关规定，接受甲方的监督、检查和指导，并按施工违章考核（处罚）标准予以处罚。甲方有协助乙方搞好安全生产、消防管理等监督检查的责任，对于查出的安全生产事故隐患，乙方必须限期整改。对限期整改不达标的，甲方有权责令乙方暂停施工和撤消合同，由此造成的损失均有乙方承担。</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12、对甲方违反安全生产法律、制度的指令，乙方有权拒绝执行；乙方有权要求甲方改进，甲方应认真整改。</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13、乙方施工人员应对所在的施工区域、作业环境及所使用的设施、设备、工器具等进行认真检查，发现隐患立即停止施工，并经落实整改后方准继续施工。</w:t>
      </w:r>
    </w:p>
    <w:p>
      <w:pPr>
        <w:spacing w:line="360" w:lineRule="auto"/>
        <w:ind w:firstLine="420" w:firstLineChars="200"/>
        <w:jc w:val="both"/>
        <w:rPr>
          <w:rFonts w:hAnsi="宋体"/>
          <w:color w:val="auto"/>
          <w:sz w:val="21"/>
          <w:szCs w:val="21"/>
          <w:highlight w:val="none"/>
        </w:rPr>
      </w:pPr>
      <w:r>
        <w:rPr>
          <w:rFonts w:hint="eastAsia" w:hAnsi="宋体"/>
          <w:color w:val="auto"/>
          <w:sz w:val="21"/>
          <w:szCs w:val="21"/>
          <w:highlight w:val="none"/>
        </w:rPr>
        <w:t>14、一经开工，就表示乙方已确认施工场所、作业环境、设备、安全防护设施等均符合安全生产要求和处于安全状态，由此乙方对施工过程中由于上述因素而导致的事故负全面责任。</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15、乙方使用的施工作业脚手架，应由经培训考核取得特种作业证的人员进行搭设（或委托有专业资质的单位搭建）。乙方负责现场安全责任人要对施工现场所用的脚手架每天开工前做必须的检查，发现隐患应及时整改，检查合格后再登架作业。严禁使用未经验收、检查不合格和超过使用有效期内的脚手架。</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15、乙方在施工期间所使用的各种机械设备及工器具等均应由乙方自备。如乙方必须借用或租赁甲方的，应由甲、乙双方有关人员办理借用或租赁手续。借出方应保证借出的设备和工器具完好并符合安全要求，设备及工器具的使用（包括有特殊使用要求说明的）必须书面交代清楚。借入方必须进行检验，并做好检验记录。使用方一经接收，就视设备为安全有效。设备和工器具的保管、维修应由借入使用方负责，并严格执行安全操作规程。在使用过程中，由于设备、工器具因素或使用操作不当而造成伤亡事故，由使用方负责。</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16、施工区域范围各类安全防护设施、遮拦、安全标志牌、警告牌和接地线等不得擅自拆除、变动。如确实需要拆除、变动的，必须经施工负责人和甲、乙双方指派的安全管理人员书面同意，并办妥必要、可靠的安全措施后方可拆除、变动现场安全防护设施。任何一方人员擅自拆除、变动安全防护设施所造成的后果，均由该方负责。</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17、特种作业必须执行国家《特种作业人员安全技术培训考核管理规定》，特种作业人员须经省、市的特种作业安全技术考核培训中心颁发的有效期证件持证上岗，并按规定定期审验；中、小型机械的作业人员必须按规定做到“定机定人”和持证操作；起重设施吊装作业人员必须严格按照“起重设施安全作业规定要求”进行操作，严禁违章、无证操作；严禁不懂电器、机械设备的人，擅自操作使用电器、机械设备。</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18、甲、乙双方必须严格执行禁火区域内动火作业的有关规定，正确使用动火作业工作要领。易燃、易爆场所严禁吸烟及动用明火，消防器材不准挪作他用。工地严禁使用电炉，冬季施工如必须采用明火加热的防冻措施时，应取得消防主管人员（甲方安全管理部门消防主管）的书面同意，落实防火、防爆措施，并指派专人值班负责。</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19、乙方在施工中，应注意对地下设施（如：电缆、管道、光缆、接地网线等）及高压架空线的保护。甲方对地下设施和障碍物应详细交底，明确施工要求。乙方应贯彻交底要求，如遇有情况，应及时向甲方项目部和甲方指派的安全管理人员联系解决，采取保护措施后施工。严禁冒险作业、野蛮作业。</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20、贯彻谁施工谁负责的安全管理原则，乙方在施工期间造成人员伤亡、火警、火灾、电气、机械等重大事故（包括甲、乙方责任造成对方及第三方人员伤亡时），双方应立即启动《重、特大安全事故应急救援预案》开展紧急抢救伤员和保护现场，按照国家、省、市有关生产安全事故报告和调查处理的规定，在事故发生后及时报告各自上级主管部门和所在地政府安全生产监督管理局及公安、消防等有关部门。事故的损失和善后处理费用，应按照各自的责任和本协议对应条款，协商解决。</w:t>
      </w:r>
    </w:p>
    <w:p>
      <w:pPr>
        <w:spacing w:line="360" w:lineRule="auto"/>
        <w:ind w:firstLine="480"/>
        <w:jc w:val="both"/>
        <w:rPr>
          <w:rFonts w:hAnsi="宋体"/>
          <w:color w:val="auto"/>
          <w:sz w:val="21"/>
          <w:szCs w:val="21"/>
          <w:highlight w:val="none"/>
          <w:u w:val="single"/>
        </w:rPr>
      </w:pPr>
      <w:r>
        <w:rPr>
          <w:rFonts w:hint="eastAsia" w:hAnsi="宋体"/>
          <w:color w:val="auto"/>
          <w:sz w:val="21"/>
          <w:szCs w:val="21"/>
          <w:highlight w:val="none"/>
        </w:rPr>
        <w:t>22、其他未尽事宜：</w:t>
      </w:r>
      <w:r>
        <w:rPr>
          <w:rFonts w:hint="eastAsia" w:hAnsi="宋体"/>
          <w:color w:val="auto"/>
          <w:sz w:val="21"/>
          <w:szCs w:val="21"/>
          <w:highlight w:val="none"/>
          <w:u w:val="single"/>
        </w:rPr>
        <w:t xml:space="preserve">                                                                                                                                </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23、本协议经双方签字、盖章有效，作为合同正本的附件并具有同等法律效力。</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24、甲、乙双方必须严格执行本协议，由于违反本协议而造成事故，由违约方承担一切经济损失。按照政府有关安全监管部门的事故调查报告，乙方负半责及以上安全责任事故的，加扣重伤5—10万元/人，死亡10—30万元/人。凡当年度发生一起以上（含一起）人员死亡事故和设备重大事故的乙方，三年内不得承包（承接）甲方项目。</w:t>
      </w:r>
    </w:p>
    <w:p>
      <w:pPr>
        <w:spacing w:line="360" w:lineRule="auto"/>
        <w:ind w:firstLine="480"/>
        <w:jc w:val="both"/>
        <w:rPr>
          <w:rFonts w:hAnsi="宋体"/>
          <w:color w:val="auto"/>
          <w:sz w:val="21"/>
          <w:szCs w:val="21"/>
          <w:highlight w:val="none"/>
        </w:rPr>
      </w:pPr>
      <w:r>
        <w:rPr>
          <w:rFonts w:hint="eastAsia" w:hAnsi="宋体"/>
          <w:color w:val="auto"/>
          <w:sz w:val="21"/>
          <w:szCs w:val="21"/>
          <w:highlight w:val="none"/>
        </w:rPr>
        <w:t>25、如有必要，根据合同执行过程中出现的问题，甲方可以与乙方协商并签订补充协议，所签订的补充协议与本协议具有同等法律效力。</w:t>
      </w:r>
    </w:p>
    <w:p>
      <w:pPr>
        <w:spacing w:line="360" w:lineRule="auto"/>
        <w:ind w:firstLine="480"/>
        <w:jc w:val="both"/>
        <w:rPr>
          <w:rFonts w:hint="eastAsia" w:hAnsi="宋体"/>
          <w:color w:val="auto"/>
          <w:sz w:val="21"/>
          <w:szCs w:val="21"/>
          <w:highlight w:val="none"/>
        </w:rPr>
      </w:pPr>
      <w:r>
        <w:rPr>
          <w:rFonts w:hint="eastAsia" w:hAnsi="宋体"/>
          <w:color w:val="auto"/>
          <w:sz w:val="21"/>
          <w:szCs w:val="21"/>
          <w:highlight w:val="none"/>
        </w:rPr>
        <w:t>26、本协议一式肆份，甲、乙双方各执壹份。</w:t>
      </w:r>
    </w:p>
    <w:p>
      <w:pPr>
        <w:pStyle w:val="2"/>
        <w:rPr>
          <w:color w:val="auto"/>
          <w:highlight w:val="none"/>
        </w:rPr>
      </w:pPr>
    </w:p>
    <w:tbl>
      <w:tblPr>
        <w:tblStyle w:val="32"/>
        <w:tblpPr w:leftFromText="180" w:rightFromText="180" w:vertAnchor="text" w:horzAnchor="page" w:tblpX="1172" w:tblpY="367"/>
        <w:tblOverlap w:val="never"/>
        <w:tblW w:w="10080" w:type="dxa"/>
        <w:tblInd w:w="0" w:type="dxa"/>
        <w:tblLayout w:type="fixed"/>
        <w:tblCellMar>
          <w:top w:w="0" w:type="dxa"/>
          <w:left w:w="108" w:type="dxa"/>
          <w:bottom w:w="0" w:type="dxa"/>
          <w:right w:w="108" w:type="dxa"/>
        </w:tblCellMar>
      </w:tblPr>
      <w:tblGrid>
        <w:gridCol w:w="4962"/>
        <w:gridCol w:w="5118"/>
      </w:tblGrid>
      <w:tr>
        <w:tblPrEx>
          <w:tblCellMar>
            <w:top w:w="0" w:type="dxa"/>
            <w:left w:w="108" w:type="dxa"/>
            <w:bottom w:w="0" w:type="dxa"/>
            <w:right w:w="108" w:type="dxa"/>
          </w:tblCellMar>
        </w:tblPrEx>
        <w:trPr>
          <w:trHeight w:val="785" w:hRule="atLeast"/>
        </w:trPr>
        <w:tc>
          <w:tcPr>
            <w:tcW w:w="4962" w:type="dxa"/>
            <w:tcBorders>
              <w:top w:val="single" w:color="auto" w:sz="4" w:space="0"/>
              <w:left w:val="single" w:color="auto" w:sz="4" w:space="0"/>
              <w:bottom w:val="single" w:color="auto" w:sz="4" w:space="0"/>
              <w:right w:val="single" w:color="auto" w:sz="4" w:space="0"/>
            </w:tcBorders>
          </w:tcPr>
          <w:p>
            <w:pPr>
              <w:tabs>
                <w:tab w:val="left" w:pos="1260"/>
                <w:tab w:val="left" w:pos="1512"/>
              </w:tabs>
              <w:spacing w:line="360" w:lineRule="auto"/>
              <w:rPr>
                <w:rFonts w:hAnsi="宋体"/>
                <w:b/>
                <w:color w:val="auto"/>
                <w:spacing w:val="44"/>
                <w:sz w:val="21"/>
                <w:szCs w:val="21"/>
                <w:highlight w:val="none"/>
              </w:rPr>
            </w:pPr>
            <w:r>
              <w:rPr>
                <w:rFonts w:hint="eastAsia" w:hAnsi="宋体"/>
                <w:b/>
                <w:color w:val="auto"/>
                <w:sz w:val="21"/>
                <w:szCs w:val="21"/>
                <w:highlight w:val="none"/>
              </w:rPr>
              <w:t>甲方（盖章）：</w:t>
            </w:r>
          </w:p>
        </w:tc>
        <w:tc>
          <w:tcPr>
            <w:tcW w:w="5118" w:type="dxa"/>
            <w:tcBorders>
              <w:top w:val="single" w:color="auto" w:sz="4" w:space="0"/>
              <w:left w:val="single" w:color="auto" w:sz="4" w:space="0"/>
              <w:bottom w:val="single" w:color="auto" w:sz="4" w:space="0"/>
              <w:right w:val="single" w:color="auto" w:sz="4" w:space="0"/>
            </w:tcBorders>
          </w:tcPr>
          <w:p>
            <w:pPr>
              <w:tabs>
                <w:tab w:val="left" w:pos="1260"/>
                <w:tab w:val="left" w:pos="1512"/>
              </w:tabs>
              <w:spacing w:line="360" w:lineRule="auto"/>
              <w:rPr>
                <w:b/>
                <w:color w:val="auto"/>
                <w:spacing w:val="44"/>
                <w:sz w:val="21"/>
                <w:szCs w:val="21"/>
                <w:highlight w:val="none"/>
              </w:rPr>
            </w:pPr>
            <w:r>
              <w:rPr>
                <w:rFonts w:hint="eastAsia" w:hAnsi="宋体"/>
                <w:b/>
                <w:color w:val="auto"/>
                <w:sz w:val="21"/>
                <w:szCs w:val="21"/>
                <w:highlight w:val="none"/>
              </w:rPr>
              <w:t>乙方（盖章）：</w:t>
            </w:r>
          </w:p>
        </w:tc>
      </w:tr>
      <w:tr>
        <w:tblPrEx>
          <w:tblCellMar>
            <w:top w:w="0" w:type="dxa"/>
            <w:left w:w="108" w:type="dxa"/>
            <w:bottom w:w="0" w:type="dxa"/>
            <w:right w:w="108" w:type="dxa"/>
          </w:tblCellMar>
        </w:tblPrEx>
        <w:trPr>
          <w:trHeight w:val="905" w:hRule="atLeast"/>
        </w:trPr>
        <w:tc>
          <w:tcPr>
            <w:tcW w:w="4962" w:type="dxa"/>
            <w:tcBorders>
              <w:top w:val="single" w:color="auto" w:sz="4" w:space="0"/>
              <w:left w:val="single" w:color="auto" w:sz="4" w:space="0"/>
              <w:bottom w:val="single" w:color="auto" w:sz="4" w:space="0"/>
              <w:right w:val="single" w:color="auto" w:sz="4" w:space="0"/>
            </w:tcBorders>
          </w:tcPr>
          <w:p>
            <w:pPr>
              <w:spacing w:after="60" w:line="360" w:lineRule="auto"/>
              <w:rPr>
                <w:rFonts w:hAnsi="宋体"/>
                <w:b/>
                <w:color w:val="auto"/>
                <w:sz w:val="21"/>
                <w:szCs w:val="21"/>
                <w:highlight w:val="none"/>
              </w:rPr>
            </w:pPr>
            <w:r>
              <w:rPr>
                <w:rFonts w:hint="eastAsia" w:hAnsi="宋体"/>
                <w:b/>
                <w:color w:val="auto"/>
                <w:sz w:val="21"/>
                <w:szCs w:val="21"/>
                <w:highlight w:val="none"/>
              </w:rPr>
              <w:t>地 址：</w:t>
            </w:r>
            <w:r>
              <w:rPr>
                <w:rFonts w:hint="eastAsia" w:asciiTheme="minorEastAsia" w:hAnsiTheme="minorEastAsia" w:eastAsiaTheme="minorEastAsia" w:cstheme="minorEastAsia"/>
                <w:color w:val="auto"/>
                <w:sz w:val="21"/>
                <w:szCs w:val="21"/>
                <w:highlight w:val="none"/>
              </w:rPr>
              <w:t>东莞市东城街道八一路1号</w:t>
            </w:r>
            <w:r>
              <w:rPr>
                <w:rFonts w:hint="eastAsia" w:hAnsi="宋体"/>
                <w:color w:val="auto"/>
                <w:sz w:val="21"/>
                <w:szCs w:val="21"/>
                <w:highlight w:val="none"/>
              </w:rPr>
              <w:t>机关二号大院9号楼102室</w:t>
            </w:r>
          </w:p>
        </w:tc>
        <w:tc>
          <w:tcPr>
            <w:tcW w:w="5118" w:type="dxa"/>
            <w:tcBorders>
              <w:top w:val="single" w:color="auto" w:sz="4" w:space="0"/>
              <w:left w:val="single" w:color="auto" w:sz="4" w:space="0"/>
              <w:bottom w:val="single" w:color="auto" w:sz="4" w:space="0"/>
              <w:right w:val="single" w:color="auto" w:sz="4" w:space="0"/>
            </w:tcBorders>
          </w:tcPr>
          <w:p>
            <w:pPr>
              <w:tabs>
                <w:tab w:val="left" w:pos="1260"/>
              </w:tabs>
              <w:spacing w:line="360" w:lineRule="auto"/>
              <w:rPr>
                <w:rFonts w:hAnsi="宋体"/>
                <w:b/>
                <w:color w:val="auto"/>
                <w:sz w:val="21"/>
                <w:szCs w:val="21"/>
                <w:highlight w:val="none"/>
              </w:rPr>
            </w:pPr>
            <w:r>
              <w:rPr>
                <w:rFonts w:hint="eastAsia"/>
                <w:b/>
                <w:color w:val="auto"/>
                <w:sz w:val="21"/>
                <w:szCs w:val="21"/>
                <w:highlight w:val="none"/>
              </w:rPr>
              <w:t>地址：</w:t>
            </w:r>
          </w:p>
        </w:tc>
      </w:tr>
      <w:tr>
        <w:tblPrEx>
          <w:tblCellMar>
            <w:top w:w="0" w:type="dxa"/>
            <w:left w:w="108" w:type="dxa"/>
            <w:bottom w:w="0" w:type="dxa"/>
            <w:right w:w="108" w:type="dxa"/>
          </w:tblCellMar>
        </w:tblPrEx>
        <w:trPr>
          <w:trHeight w:val="701" w:hRule="atLeast"/>
        </w:trPr>
        <w:tc>
          <w:tcPr>
            <w:tcW w:w="4962" w:type="dxa"/>
            <w:tcBorders>
              <w:top w:val="single" w:color="auto" w:sz="4" w:space="0"/>
              <w:left w:val="single" w:color="auto" w:sz="4" w:space="0"/>
              <w:bottom w:val="single" w:color="auto" w:sz="4" w:space="0"/>
              <w:right w:val="single" w:color="auto" w:sz="4" w:space="0"/>
            </w:tcBorders>
          </w:tcPr>
          <w:p>
            <w:pPr>
              <w:tabs>
                <w:tab w:val="left" w:pos="1260"/>
              </w:tabs>
              <w:spacing w:line="360" w:lineRule="auto"/>
              <w:ind w:left="105"/>
              <w:rPr>
                <w:rFonts w:hAnsi="宋体"/>
                <w:b/>
                <w:color w:val="auto"/>
                <w:sz w:val="21"/>
                <w:szCs w:val="21"/>
                <w:highlight w:val="none"/>
              </w:rPr>
            </w:pPr>
            <w:r>
              <w:rPr>
                <w:rFonts w:hint="eastAsia" w:hAnsi="宋体"/>
                <w:b/>
                <w:color w:val="auto"/>
                <w:sz w:val="21"/>
                <w:szCs w:val="21"/>
                <w:highlight w:val="none"/>
              </w:rPr>
              <w:t xml:space="preserve">法定代表人： </w:t>
            </w:r>
          </w:p>
        </w:tc>
        <w:tc>
          <w:tcPr>
            <w:tcW w:w="5118" w:type="dxa"/>
            <w:tcBorders>
              <w:top w:val="single" w:color="auto" w:sz="4" w:space="0"/>
              <w:left w:val="single" w:color="auto" w:sz="4" w:space="0"/>
              <w:bottom w:val="single" w:color="auto" w:sz="4" w:space="0"/>
              <w:right w:val="single" w:color="auto" w:sz="4" w:space="0"/>
            </w:tcBorders>
          </w:tcPr>
          <w:p>
            <w:pPr>
              <w:tabs>
                <w:tab w:val="left" w:pos="1260"/>
              </w:tabs>
              <w:spacing w:line="360" w:lineRule="auto"/>
              <w:rPr>
                <w:b/>
                <w:color w:val="auto"/>
                <w:sz w:val="21"/>
                <w:szCs w:val="21"/>
                <w:highlight w:val="none"/>
              </w:rPr>
            </w:pPr>
            <w:r>
              <w:rPr>
                <w:rFonts w:hint="eastAsia"/>
                <w:b/>
                <w:color w:val="auto"/>
                <w:sz w:val="21"/>
                <w:szCs w:val="21"/>
                <w:highlight w:val="none"/>
              </w:rPr>
              <w:t xml:space="preserve">法定代表人：   </w:t>
            </w:r>
          </w:p>
        </w:tc>
      </w:tr>
      <w:tr>
        <w:tblPrEx>
          <w:tblCellMar>
            <w:top w:w="0" w:type="dxa"/>
            <w:left w:w="108" w:type="dxa"/>
            <w:bottom w:w="0" w:type="dxa"/>
            <w:right w:w="108" w:type="dxa"/>
          </w:tblCellMar>
        </w:tblPrEx>
        <w:trPr>
          <w:trHeight w:val="646" w:hRule="atLeast"/>
        </w:trPr>
        <w:tc>
          <w:tcPr>
            <w:tcW w:w="4962" w:type="dxa"/>
            <w:tcBorders>
              <w:top w:val="single" w:color="auto" w:sz="4" w:space="0"/>
              <w:left w:val="single" w:color="auto" w:sz="4" w:space="0"/>
              <w:bottom w:val="single" w:color="auto" w:sz="4" w:space="0"/>
              <w:right w:val="single" w:color="auto" w:sz="4" w:space="0"/>
            </w:tcBorders>
          </w:tcPr>
          <w:p>
            <w:pPr>
              <w:tabs>
                <w:tab w:val="left" w:pos="1260"/>
              </w:tabs>
              <w:spacing w:line="360" w:lineRule="auto"/>
              <w:ind w:left="105"/>
              <w:rPr>
                <w:rFonts w:hAnsi="宋体"/>
                <w:b/>
                <w:color w:val="auto"/>
                <w:sz w:val="21"/>
                <w:szCs w:val="21"/>
                <w:highlight w:val="none"/>
              </w:rPr>
            </w:pPr>
            <w:r>
              <w:rPr>
                <w:rFonts w:hint="eastAsia" w:hAnsi="宋体"/>
                <w:b/>
                <w:color w:val="auto"/>
                <w:sz w:val="21"/>
                <w:szCs w:val="21"/>
                <w:highlight w:val="none"/>
              </w:rPr>
              <w:t>委托代理人：</w:t>
            </w:r>
          </w:p>
        </w:tc>
        <w:tc>
          <w:tcPr>
            <w:tcW w:w="5118" w:type="dxa"/>
            <w:tcBorders>
              <w:top w:val="single" w:color="auto" w:sz="4" w:space="0"/>
              <w:left w:val="single" w:color="auto" w:sz="4" w:space="0"/>
              <w:bottom w:val="single" w:color="auto" w:sz="4" w:space="0"/>
              <w:right w:val="single" w:color="auto" w:sz="4" w:space="0"/>
            </w:tcBorders>
          </w:tcPr>
          <w:p>
            <w:pPr>
              <w:tabs>
                <w:tab w:val="left" w:pos="1260"/>
              </w:tabs>
              <w:spacing w:line="360" w:lineRule="auto"/>
              <w:rPr>
                <w:b/>
                <w:color w:val="auto"/>
                <w:sz w:val="21"/>
                <w:szCs w:val="21"/>
                <w:highlight w:val="none"/>
              </w:rPr>
            </w:pPr>
            <w:r>
              <w:rPr>
                <w:rFonts w:hint="eastAsia"/>
                <w:b/>
                <w:color w:val="auto"/>
                <w:sz w:val="21"/>
                <w:szCs w:val="21"/>
                <w:highlight w:val="none"/>
              </w:rPr>
              <w:t>委托代理人：</w:t>
            </w:r>
          </w:p>
        </w:tc>
      </w:tr>
    </w:tbl>
    <w:p>
      <w:pPr>
        <w:spacing w:line="360" w:lineRule="auto"/>
        <w:ind w:firstLine="4200" w:firstLineChars="2000"/>
        <w:rPr>
          <w:color w:val="auto"/>
          <w:sz w:val="21"/>
          <w:szCs w:val="21"/>
          <w:highlight w:val="none"/>
        </w:rPr>
      </w:pPr>
      <w:r>
        <w:rPr>
          <w:rFonts w:hint="eastAsia" w:hAnsi="宋体"/>
          <w:color w:val="auto"/>
          <w:sz w:val="21"/>
          <w:szCs w:val="21"/>
          <w:highlight w:val="none"/>
        </w:rPr>
        <w:t xml:space="preserve"> 签订日期：     年    月    日</w:t>
      </w:r>
    </w:p>
    <w:p>
      <w:pPr>
        <w:rPr>
          <w:rFonts w:hint="eastAsia"/>
          <w:color w:val="auto"/>
          <w:sz w:val="28"/>
          <w:szCs w:val="28"/>
          <w:highlight w:val="none"/>
        </w:rPr>
      </w:pPr>
      <w:r>
        <w:rPr>
          <w:rFonts w:hint="eastAsia"/>
          <w:color w:val="auto"/>
          <w:sz w:val="28"/>
          <w:szCs w:val="28"/>
          <w:highlight w:val="none"/>
        </w:rPr>
        <w:br w:type="page"/>
      </w:r>
    </w:p>
    <w:p>
      <w:pPr>
        <w:pStyle w:val="6"/>
        <w:spacing w:before="0" w:after="0" w:line="240" w:lineRule="auto"/>
        <w:rPr>
          <w:color w:val="auto"/>
          <w:sz w:val="28"/>
          <w:szCs w:val="28"/>
          <w:highlight w:val="none"/>
        </w:rPr>
      </w:pPr>
      <w:r>
        <w:rPr>
          <w:rFonts w:hint="eastAsia"/>
          <w:color w:val="auto"/>
          <w:sz w:val="28"/>
          <w:szCs w:val="28"/>
          <w:highlight w:val="none"/>
        </w:rPr>
        <w:t>第六部分附件－投标文件格式</w:t>
      </w:r>
      <w:bookmarkEnd w:id="190"/>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191" w:name="_Toc25786"/>
      <w:r>
        <w:rPr>
          <w:rFonts w:hint="eastAsia" w:ascii="宋体" w:hAnsi="宋体"/>
          <w:color w:val="auto"/>
          <w:sz w:val="21"/>
          <w:szCs w:val="21"/>
          <w:highlight w:val="none"/>
        </w:rPr>
        <w:t>投标文件目录</w:t>
      </w:r>
      <w:bookmarkEnd w:id="191"/>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192" w:name="_Toc18792"/>
      <w:r>
        <w:rPr>
          <w:rFonts w:hint="eastAsia" w:ascii="宋体" w:hAnsi="宋体"/>
          <w:color w:val="auto"/>
          <w:sz w:val="21"/>
          <w:szCs w:val="21"/>
          <w:highlight w:val="none"/>
        </w:rPr>
        <w:t>附件1.评分标准索引表</w:t>
      </w:r>
      <w:bookmarkEnd w:id="192"/>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pPr>
              <w:jc w:val="center"/>
              <w:rPr>
                <w:rFonts w:ascii="宋体" w:hAnsi="宋体" w:cs="宋体"/>
                <w:color w:val="auto"/>
                <w:highlight w:val="none"/>
              </w:rPr>
            </w:pPr>
            <w:r>
              <w:rPr>
                <w:rFonts w:hint="eastAsia" w:ascii="宋体" w:hAnsi="宋体" w:cs="宋体"/>
                <w:color w:val="auto"/>
                <w:highlight w:val="none"/>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商务评审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pPr>
              <w:rPr>
                <w:rFonts w:ascii="宋体" w:hAnsi="宋体" w:cs="宋体"/>
                <w:color w:val="auto"/>
                <w:highlight w:val="none"/>
              </w:rPr>
            </w:pPr>
            <w:r>
              <w:rPr>
                <w:rFonts w:hint="eastAsia" w:ascii="宋体" w:hAnsi="宋体" w:cs="宋体"/>
                <w:color w:val="auto"/>
                <w:highlight w:val="none"/>
              </w:rPr>
              <w:t>技术评审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4"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c>
          <w:tcPr>
            <w:tcW w:w="1705" w:type="dxa"/>
            <w:vAlign w:val="center"/>
          </w:tcPr>
          <w:p>
            <w:pPr>
              <w:jc w:val="center"/>
              <w:rPr>
                <w:rFonts w:ascii="宋体" w:hAnsi="宋体" w:cs="宋体"/>
                <w:color w:val="auto"/>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26"/>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jc w:val="center"/>
        <w:rPr>
          <w:rFonts w:ascii="黑体" w:eastAsia="黑体"/>
          <w:color w:val="auto"/>
          <w:sz w:val="52"/>
          <w:szCs w:val="52"/>
          <w:highlight w:val="none"/>
        </w:rPr>
      </w:pPr>
      <w:bookmarkStart w:id="193" w:name="_Toc18450"/>
      <w:bookmarkStart w:id="194" w:name="_Toc30918"/>
      <w:bookmarkStart w:id="195" w:name="_Toc20335"/>
      <w:bookmarkStart w:id="196" w:name="_Toc21746"/>
      <w:bookmarkStart w:id="197" w:name="_Toc28154"/>
    </w:p>
    <w:p>
      <w:pPr>
        <w:pStyle w:val="6"/>
        <w:spacing w:before="0" w:after="0" w:line="360" w:lineRule="auto"/>
        <w:jc w:val="center"/>
        <w:rPr>
          <w:color w:val="auto"/>
          <w:sz w:val="72"/>
          <w:szCs w:val="72"/>
          <w:highlight w:val="none"/>
        </w:rPr>
      </w:pPr>
      <w:bookmarkStart w:id="198" w:name="_Toc9213"/>
      <w:r>
        <w:rPr>
          <w:rFonts w:hint="eastAsia"/>
          <w:color w:val="auto"/>
          <w:sz w:val="72"/>
          <w:szCs w:val="72"/>
          <w:highlight w:val="none"/>
        </w:rPr>
        <w:t>价格文件</w:t>
      </w:r>
      <w:bookmarkEnd w:id="193"/>
      <w:bookmarkEnd w:id="194"/>
      <w:bookmarkEnd w:id="198"/>
      <w:bookmarkStart w:id="199" w:name="_Hlt10519799"/>
      <w:bookmarkEnd w:id="199"/>
      <w:bookmarkStart w:id="200" w:name="_Hlt10456397"/>
      <w:bookmarkEnd w:id="200"/>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195"/>
      <w:bookmarkEnd w:id="196"/>
      <w:bookmarkEnd w:id="197"/>
    </w:p>
    <w:p>
      <w:pPr>
        <w:rPr>
          <w:color w:val="auto"/>
          <w:highlight w:val="none"/>
        </w:rPr>
      </w:pPr>
    </w:p>
    <w:p>
      <w:pPr>
        <w:pStyle w:val="2"/>
        <w:rPr>
          <w:color w:val="auto"/>
          <w:highlight w:val="none"/>
        </w:rPr>
      </w:pPr>
    </w:p>
    <w:p>
      <w:pPr>
        <w:pStyle w:val="3"/>
        <w:keepNext w:val="0"/>
        <w:keepLines w:val="0"/>
        <w:pageBreakBefore w:val="0"/>
        <w:widowControl/>
        <w:kinsoku/>
        <w:wordWrap/>
        <w:overflowPunct/>
        <w:topLinePunct w:val="0"/>
        <w:autoSpaceDE/>
        <w:autoSpaceDN/>
        <w:bidi w:val="0"/>
        <w:adjustRightInd w:val="0"/>
        <w:snapToGrid w:val="0"/>
        <w:spacing w:before="0" w:after="0" w:afterAutospacing="0" w:line="360" w:lineRule="auto"/>
        <w:ind w:left="0" w:firstLine="240"/>
        <w:textAlignment w:val="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bCs/>
          <w:color w:val="auto"/>
          <w:spacing w:val="0"/>
          <w:kern w:val="0"/>
          <w:sz w:val="32"/>
          <w:szCs w:val="32"/>
          <w:highlight w:val="none"/>
          <w:fitText w:val="1600" w:id="1947737316"/>
        </w:rPr>
      </w:pPr>
      <w:r>
        <w:rPr>
          <w:rFonts w:hint="eastAsia" w:ascii="宋体" w:hAnsi="宋体" w:cs="宋体"/>
          <w:b/>
          <w:bCs/>
          <w:color w:val="auto"/>
          <w:spacing w:val="0"/>
          <w:kern w:val="0"/>
          <w:sz w:val="32"/>
          <w:szCs w:val="32"/>
          <w:highlight w:val="none"/>
          <w:fitText w:val="1600" w:id="1947737316"/>
        </w:rPr>
        <w:t>项目名称：</w:t>
      </w:r>
    </w:p>
    <w:p>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bCs/>
          <w:color w:val="auto"/>
          <w:spacing w:val="213"/>
          <w:kern w:val="0"/>
          <w:sz w:val="32"/>
          <w:szCs w:val="32"/>
          <w:highlight w:val="none"/>
          <w:fitText w:val="1600" w:id="70211570"/>
        </w:rPr>
      </w:pPr>
      <w:r>
        <w:rPr>
          <w:rFonts w:hint="eastAsia" w:ascii="宋体" w:hAnsi="宋体" w:cs="宋体"/>
          <w:b/>
          <w:bCs/>
          <w:color w:val="auto"/>
          <w:spacing w:val="53"/>
          <w:kern w:val="0"/>
          <w:sz w:val="32"/>
          <w:szCs w:val="32"/>
          <w:highlight w:val="none"/>
          <w:fitText w:val="1600" w:id="1947737316"/>
        </w:rPr>
        <w:t>项目编</w:t>
      </w:r>
      <w:r>
        <w:rPr>
          <w:rFonts w:hint="eastAsia" w:ascii="宋体" w:hAnsi="宋体" w:cs="宋体"/>
          <w:b/>
          <w:bCs/>
          <w:color w:val="auto"/>
          <w:spacing w:val="1"/>
          <w:kern w:val="0"/>
          <w:sz w:val="32"/>
          <w:szCs w:val="32"/>
          <w:highlight w:val="none"/>
          <w:fitText w:val="1600" w:id="1947737316"/>
        </w:rPr>
        <w:t>号</w:t>
      </w:r>
      <w:r>
        <w:rPr>
          <w:rFonts w:hint="eastAsia" w:ascii="宋体" w:hAnsi="宋体" w:cs="宋体"/>
          <w:b/>
          <w:bCs/>
          <w:color w:val="auto"/>
          <w:spacing w:val="640"/>
          <w:kern w:val="0"/>
          <w:sz w:val="32"/>
          <w:szCs w:val="32"/>
          <w:highlight w:val="none"/>
          <w:fitText w:val="1600" w:id="70211570"/>
        </w:rPr>
        <w:t>：</w:t>
      </w:r>
    </w:p>
    <w:p>
      <w:pPr>
        <w:pStyle w:val="29"/>
        <w:keepNext w:val="0"/>
        <w:keepLines w:val="0"/>
        <w:pageBreakBefore w:val="0"/>
        <w:widowControl/>
        <w:kinsoku/>
        <w:wordWrap/>
        <w:overflowPunct/>
        <w:topLinePunct w:val="0"/>
        <w:autoSpaceDE/>
        <w:autoSpaceDN/>
        <w:bidi w:val="0"/>
        <w:adjustRightInd w:val="0"/>
        <w:snapToGrid w:val="0"/>
        <w:spacing w:afterAutospacing="0" w:line="360" w:lineRule="auto"/>
        <w:ind w:left="0"/>
        <w:jc w:val="left"/>
        <w:textAlignment w:val="auto"/>
        <w:rPr>
          <w:rFonts w:ascii="宋体" w:hAnsi="宋体" w:cs="宋体"/>
          <w:b/>
          <w:color w:val="auto"/>
          <w:spacing w:val="1280"/>
          <w:kern w:val="0"/>
          <w:sz w:val="32"/>
          <w:szCs w:val="32"/>
          <w:highlight w:val="none"/>
        </w:rPr>
      </w:pPr>
      <w:r>
        <w:rPr>
          <w:rFonts w:hint="eastAsia" w:ascii="宋体" w:hAnsi="宋体" w:cs="宋体"/>
          <w:b/>
          <w:color w:val="auto"/>
          <w:spacing w:val="53"/>
          <w:kern w:val="0"/>
          <w:sz w:val="32"/>
          <w:szCs w:val="32"/>
          <w:highlight w:val="none"/>
          <w:fitText w:val="1600" w:id="70211570"/>
          <w:lang w:bidi="ar"/>
        </w:rPr>
        <w:t>包组号</w:t>
      </w:r>
      <w:r>
        <w:rPr>
          <w:rFonts w:hint="eastAsia" w:ascii="宋体" w:hAnsi="宋体" w:cs="宋体"/>
          <w:b/>
          <w:color w:val="auto"/>
          <w:spacing w:val="1"/>
          <w:kern w:val="0"/>
          <w:sz w:val="32"/>
          <w:szCs w:val="32"/>
          <w:highlight w:val="none"/>
          <w:fitText w:val="1600" w:id="70211570"/>
          <w:lang w:bidi="ar"/>
        </w:rPr>
        <w:t>（</w:t>
      </w:r>
      <w:r>
        <w:rPr>
          <w:rFonts w:hint="eastAsia" w:ascii="宋体" w:hAnsi="宋体" w:cs="宋体"/>
          <w:b/>
          <w:color w:val="auto"/>
          <w:spacing w:val="106"/>
          <w:kern w:val="0"/>
          <w:sz w:val="32"/>
          <w:szCs w:val="32"/>
          <w:highlight w:val="none"/>
          <w:lang w:bidi="ar"/>
        </w:rPr>
        <w:t>如有）：</w:t>
      </w:r>
    </w:p>
    <w:p>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color w:val="auto"/>
          <w:spacing w:val="0"/>
          <w:w w:val="83"/>
          <w:kern w:val="0"/>
          <w:sz w:val="32"/>
          <w:szCs w:val="32"/>
          <w:highlight w:val="none"/>
          <w:fitText w:val="1600" w:id="1458731915"/>
        </w:rPr>
      </w:pPr>
      <w:r>
        <w:rPr>
          <w:rFonts w:hint="eastAsia" w:ascii="宋体" w:hAnsi="宋体" w:cs="宋体"/>
          <w:b/>
          <w:color w:val="auto"/>
          <w:spacing w:val="0"/>
          <w:w w:val="83"/>
          <w:kern w:val="0"/>
          <w:sz w:val="32"/>
          <w:szCs w:val="32"/>
          <w:highlight w:val="none"/>
          <w:fitText w:val="1600" w:id="1458731915"/>
        </w:rPr>
        <w:t>投标人名称：</w:t>
      </w:r>
    </w:p>
    <w:p>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color w:val="auto"/>
          <w:spacing w:val="38"/>
          <w:kern w:val="0"/>
          <w:sz w:val="32"/>
          <w:szCs w:val="32"/>
          <w:highlight w:val="none"/>
          <w:fitText w:val="1600" w:id="437591866"/>
        </w:rPr>
      </w:pPr>
      <w:r>
        <w:rPr>
          <w:rFonts w:hint="eastAsia" w:ascii="宋体" w:hAnsi="宋体" w:cs="宋体"/>
          <w:b/>
          <w:color w:val="auto"/>
          <w:spacing w:val="133"/>
          <w:w w:val="100"/>
          <w:kern w:val="0"/>
          <w:sz w:val="32"/>
          <w:szCs w:val="32"/>
          <w:highlight w:val="none"/>
          <w:fitText w:val="1600" w:id="1458731915"/>
        </w:rPr>
        <w:t xml:space="preserve">日  </w:t>
      </w:r>
      <w:r>
        <w:rPr>
          <w:rFonts w:hint="eastAsia" w:ascii="宋体" w:hAnsi="宋体" w:cs="宋体"/>
          <w:b/>
          <w:color w:val="auto"/>
          <w:spacing w:val="1"/>
          <w:w w:val="100"/>
          <w:kern w:val="0"/>
          <w:sz w:val="32"/>
          <w:szCs w:val="32"/>
          <w:highlight w:val="none"/>
          <w:fitText w:val="1600" w:id="1458731915"/>
        </w:rPr>
        <w:t xml:space="preserve"> </w:t>
      </w:r>
      <w:r>
        <w:rPr>
          <w:rFonts w:hint="eastAsia" w:ascii="宋体" w:hAnsi="宋体" w:cs="宋体"/>
          <w:b/>
          <w:color w:val="auto"/>
          <w:spacing w:val="200"/>
          <w:kern w:val="0"/>
          <w:sz w:val="32"/>
          <w:szCs w:val="32"/>
          <w:highlight w:val="none"/>
          <w:fitText w:val="1600" w:id="437591866"/>
        </w:rPr>
        <w:t xml:space="preserve"> 期</w:t>
      </w:r>
      <w:r>
        <w:rPr>
          <w:rFonts w:hint="eastAsia" w:ascii="宋体" w:hAnsi="宋体" w:cs="宋体"/>
          <w:b/>
          <w:color w:val="auto"/>
          <w:spacing w:val="0"/>
          <w:kern w:val="0"/>
          <w:sz w:val="32"/>
          <w:szCs w:val="32"/>
          <w:highlight w:val="none"/>
          <w:fitText w:val="1600" w:id="437591866"/>
        </w:rPr>
        <w:t>：</w:t>
      </w:r>
    </w:p>
    <w:p>
      <w:pPr>
        <w:rPr>
          <w:color w:val="auto"/>
          <w:spacing w:val="4"/>
          <w:kern w:val="0"/>
          <w:highlight w:val="none"/>
          <w:fitText w:val="1600" w:id="437591866"/>
        </w:rPr>
      </w:pPr>
    </w:p>
    <w:p>
      <w:pPr>
        <w:pStyle w:val="2"/>
        <w:rPr>
          <w:color w:val="auto"/>
          <w:spacing w:val="6"/>
          <w:kern w:val="0"/>
          <w:highlight w:val="none"/>
          <w:fitText w:val="1600" w:id="437591866"/>
        </w:rPr>
      </w:pPr>
    </w:p>
    <w:p>
      <w:pPr>
        <w:pStyle w:val="3"/>
        <w:ind w:firstLine="240"/>
        <w:rPr>
          <w:color w:val="auto"/>
          <w:highlight w:val="none"/>
        </w:rPr>
      </w:pPr>
    </w:p>
    <w:p>
      <w:pPr>
        <w:pStyle w:val="4"/>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pStyle w:val="4"/>
        <w:rPr>
          <w:color w:val="auto"/>
          <w:highlight w:val="none"/>
        </w:rPr>
      </w:pPr>
    </w:p>
    <w:p>
      <w:pPr>
        <w:pStyle w:val="4"/>
        <w:ind w:left="0"/>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201" w:name="_Toc1232"/>
      <w:r>
        <w:rPr>
          <w:rFonts w:hint="eastAsia" w:ascii="宋体" w:hAnsi="宋体"/>
          <w:color w:val="auto"/>
          <w:sz w:val="21"/>
          <w:szCs w:val="21"/>
          <w:highlight w:val="none"/>
        </w:rPr>
        <w:t>附件2.开标一览表格式</w:t>
      </w:r>
      <w:bookmarkEnd w:id="201"/>
    </w:p>
    <w:p>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投标人名称：</w:t>
      </w:r>
    </w:p>
    <w:p>
      <w:pPr>
        <w:rPr>
          <w:color w:val="auto"/>
          <w:highlight w:val="none"/>
        </w:rPr>
      </w:pPr>
      <w:r>
        <w:rPr>
          <w:rFonts w:hint="eastAsia" w:ascii="宋体" w:hAnsi="宋体"/>
          <w:color w:val="auto"/>
          <w:szCs w:val="21"/>
          <w:highlight w:val="none"/>
        </w:rPr>
        <w:t>采购项目编号：</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696"/>
        <w:gridCol w:w="2493"/>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exact"/>
          <w:jc w:val="center"/>
        </w:trPr>
        <w:tc>
          <w:tcPr>
            <w:tcW w:w="493" w:type="pct"/>
            <w:vAlign w:val="center"/>
          </w:tcPr>
          <w:p>
            <w:pPr>
              <w:jc w:val="center"/>
              <w:rPr>
                <w:rFonts w:hAnsi="宋体" w:cs="宋体"/>
                <w:color w:val="auto"/>
                <w:sz w:val="21"/>
                <w:szCs w:val="21"/>
                <w:highlight w:val="none"/>
              </w:rPr>
            </w:pPr>
            <w:r>
              <w:rPr>
                <w:rFonts w:hint="eastAsia" w:hAnsi="宋体" w:cs="宋体"/>
                <w:color w:val="auto"/>
                <w:sz w:val="21"/>
                <w:szCs w:val="21"/>
                <w:highlight w:val="none"/>
              </w:rPr>
              <w:t>招标编号</w:t>
            </w:r>
          </w:p>
        </w:tc>
        <w:tc>
          <w:tcPr>
            <w:tcW w:w="1582" w:type="pct"/>
            <w:vAlign w:val="center"/>
          </w:tcPr>
          <w:p>
            <w:pPr>
              <w:jc w:val="center"/>
              <w:rPr>
                <w:rFonts w:hAnsi="宋体" w:cs="宋体"/>
                <w:color w:val="auto"/>
                <w:sz w:val="21"/>
                <w:szCs w:val="21"/>
                <w:highlight w:val="none"/>
              </w:rPr>
            </w:pPr>
            <w:r>
              <w:rPr>
                <w:rFonts w:hint="eastAsia" w:hAnsi="宋体" w:cs="宋体"/>
                <w:color w:val="auto"/>
                <w:sz w:val="21"/>
                <w:szCs w:val="21"/>
                <w:highlight w:val="none"/>
              </w:rPr>
              <w:t>项目名称</w:t>
            </w:r>
          </w:p>
        </w:tc>
        <w:tc>
          <w:tcPr>
            <w:tcW w:w="1463" w:type="pct"/>
            <w:vAlign w:val="center"/>
          </w:tcPr>
          <w:p>
            <w:pPr>
              <w:jc w:val="center"/>
              <w:rPr>
                <w:rFonts w:hAnsi="宋体" w:cs="宋体"/>
                <w:bCs/>
                <w:color w:val="auto"/>
                <w:kern w:val="2"/>
                <w:sz w:val="21"/>
                <w:szCs w:val="21"/>
                <w:highlight w:val="none"/>
                <w:lang w:bidi="ar"/>
              </w:rPr>
            </w:pPr>
            <w:r>
              <w:rPr>
                <w:rFonts w:hint="eastAsia" w:hAnsi="宋体" w:cs="宋体"/>
                <w:bCs/>
                <w:color w:val="auto"/>
                <w:kern w:val="2"/>
                <w:sz w:val="21"/>
                <w:szCs w:val="21"/>
                <w:highlight w:val="none"/>
                <w:lang w:bidi="ar"/>
              </w:rPr>
              <w:t>投标总报价（元）</w:t>
            </w:r>
          </w:p>
        </w:tc>
        <w:tc>
          <w:tcPr>
            <w:tcW w:w="1461" w:type="pct"/>
            <w:vAlign w:val="center"/>
          </w:tcPr>
          <w:p>
            <w:pPr>
              <w:jc w:val="center"/>
              <w:rPr>
                <w:rFonts w:hAnsi="宋体" w:cs="宋体"/>
                <w:bCs/>
                <w:color w:val="auto"/>
                <w:kern w:val="2"/>
                <w:sz w:val="21"/>
                <w:szCs w:val="21"/>
                <w:highlight w:val="none"/>
                <w:lang w:bidi="ar"/>
              </w:rPr>
            </w:pPr>
            <w:r>
              <w:rPr>
                <w:rFonts w:hint="eastAsia" w:hAnsi="宋体" w:cs="宋体"/>
                <w:bCs/>
                <w:color w:val="auto"/>
                <w:kern w:val="2"/>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exact"/>
          <w:jc w:val="center"/>
        </w:trPr>
        <w:tc>
          <w:tcPr>
            <w:tcW w:w="493" w:type="pct"/>
            <w:vAlign w:val="center"/>
          </w:tcPr>
          <w:p>
            <w:pPr>
              <w:jc w:val="center"/>
              <w:rPr>
                <w:rFonts w:hAnsi="宋体" w:cs="宋体"/>
                <w:color w:val="auto"/>
                <w:sz w:val="21"/>
                <w:szCs w:val="21"/>
                <w:highlight w:val="none"/>
              </w:rPr>
            </w:pPr>
          </w:p>
        </w:tc>
        <w:tc>
          <w:tcPr>
            <w:tcW w:w="1582" w:type="pct"/>
            <w:vAlign w:val="center"/>
          </w:tcPr>
          <w:p>
            <w:pPr>
              <w:spacing w:line="240" w:lineRule="atLeast"/>
              <w:jc w:val="center"/>
              <w:rPr>
                <w:rFonts w:hAnsi="宋体" w:cs="宋体"/>
                <w:color w:val="auto"/>
                <w:sz w:val="21"/>
                <w:szCs w:val="21"/>
                <w:highlight w:val="none"/>
              </w:rPr>
            </w:pPr>
          </w:p>
        </w:tc>
        <w:tc>
          <w:tcPr>
            <w:tcW w:w="1463" w:type="pct"/>
            <w:vAlign w:val="center"/>
          </w:tcPr>
          <w:p>
            <w:pPr>
              <w:rPr>
                <w:rFonts w:hAnsi="宋体" w:cs="宋体"/>
                <w:color w:val="auto"/>
                <w:sz w:val="21"/>
                <w:szCs w:val="21"/>
                <w:highlight w:val="none"/>
              </w:rPr>
            </w:pPr>
            <w:r>
              <w:rPr>
                <w:rFonts w:hint="eastAsia" w:hAnsi="宋体" w:cs="宋体"/>
                <w:color w:val="auto"/>
                <w:sz w:val="21"/>
                <w:szCs w:val="21"/>
                <w:highlight w:val="none"/>
              </w:rPr>
              <w:t>大写：</w:t>
            </w:r>
          </w:p>
          <w:p>
            <w:pPr>
              <w:rPr>
                <w:rFonts w:hAnsi="宋体" w:cs="宋体"/>
                <w:color w:val="auto"/>
                <w:sz w:val="21"/>
                <w:szCs w:val="21"/>
                <w:highlight w:val="none"/>
              </w:rPr>
            </w:pPr>
            <w:r>
              <w:rPr>
                <w:rFonts w:hint="eastAsia" w:hAnsi="宋体" w:cs="宋体"/>
                <w:color w:val="auto"/>
                <w:sz w:val="21"/>
                <w:szCs w:val="21"/>
                <w:highlight w:val="none"/>
              </w:rPr>
              <w:t>小写：</w:t>
            </w:r>
          </w:p>
        </w:tc>
        <w:tc>
          <w:tcPr>
            <w:tcW w:w="1461" w:type="pct"/>
            <w:vAlign w:val="center"/>
          </w:tcPr>
          <w:p>
            <w:pPr>
              <w:rPr>
                <w:rFonts w:hAnsi="宋体" w:cs="宋体"/>
                <w:color w:val="auto"/>
                <w:sz w:val="21"/>
                <w:szCs w:val="21"/>
                <w:highlight w:val="none"/>
              </w:rPr>
            </w:pPr>
            <w:r>
              <w:rPr>
                <w:rFonts w:hint="eastAsia" w:hAnsi="宋体" w:cs="宋体"/>
                <w:color w:val="auto"/>
                <w:sz w:val="21"/>
                <w:szCs w:val="21"/>
                <w:highlight w:val="none"/>
              </w:rPr>
              <w:t>价格含9%增值税专用发票</w:t>
            </w: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pPr>
        <w:ind w:firstLine="420" w:firstLineChars="200"/>
        <w:rPr>
          <w:rFonts w:ascii="宋体" w:hAnsi="宋体"/>
          <w:color w:val="auto"/>
          <w:szCs w:val="21"/>
          <w:highlight w:val="none"/>
        </w:rPr>
      </w:pPr>
      <w:r>
        <w:rPr>
          <w:rFonts w:hint="eastAsia" w:ascii="宋体" w:hAnsi="宋体"/>
          <w:color w:val="auto"/>
          <w:szCs w:val="21"/>
          <w:highlight w:val="none"/>
        </w:rPr>
        <w:t>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，报价保留小数点后两位。投标总价大小写不一致，以大写为准。投标总价必须准确唯一且应包含采购文件要求的所有费用。</w:t>
      </w:r>
    </w:p>
    <w:p>
      <w:pPr>
        <w:ind w:firstLine="420" w:firstLineChars="200"/>
        <w:rPr>
          <w:rFonts w:ascii="宋体" w:hAnsi="宋体"/>
          <w:color w:val="auto"/>
          <w:szCs w:val="21"/>
          <w:highlight w:val="none"/>
        </w:rPr>
      </w:pPr>
      <w:r>
        <w:rPr>
          <w:rFonts w:hint="eastAsia" w:ascii="宋体" w:hAnsi="宋体"/>
          <w:color w:val="auto"/>
          <w:szCs w:val="21"/>
          <w:highlight w:val="none"/>
        </w:rPr>
        <w:t>2、温馨提示：未按采购文件要求报价、填写开标一览表是导致投标人废标的常见问题，请投标人仔细填写，认真核对。</w:t>
      </w:r>
    </w:p>
    <w:p>
      <w:pPr>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202" w:name="_Toc12628"/>
      <w:r>
        <w:rPr>
          <w:rFonts w:hint="eastAsia" w:ascii="宋体" w:hAnsi="宋体"/>
          <w:color w:val="auto"/>
          <w:sz w:val="21"/>
          <w:szCs w:val="21"/>
          <w:highlight w:val="none"/>
        </w:rPr>
        <w:t>附件3.报价明细表格式</w:t>
      </w:r>
      <w:bookmarkEnd w:id="202"/>
    </w:p>
    <w:p>
      <w:pPr>
        <w:jc w:val="center"/>
        <w:rPr>
          <w:rFonts w:ascii="黑体" w:eastAsia="黑体"/>
          <w:color w:val="auto"/>
          <w:sz w:val="32"/>
          <w:szCs w:val="32"/>
          <w:highlight w:val="none"/>
        </w:rPr>
      </w:pPr>
      <w:bookmarkStart w:id="203" w:name="_Toc31172"/>
      <w:bookmarkStart w:id="204" w:name="_Toc31062"/>
      <w:r>
        <w:rPr>
          <w:rFonts w:hint="eastAsia" w:ascii="黑体" w:eastAsia="黑体"/>
          <w:color w:val="auto"/>
          <w:sz w:val="32"/>
          <w:szCs w:val="32"/>
          <w:highlight w:val="none"/>
        </w:rPr>
        <w:t>报价明细表</w:t>
      </w:r>
      <w:bookmarkEnd w:id="203"/>
      <w:bookmarkEnd w:id="204"/>
    </w:p>
    <w:p>
      <w:pPr>
        <w:pStyle w:val="78"/>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2"/>
        <w:tblW w:w="94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31"/>
        <w:gridCol w:w="1309"/>
        <w:gridCol w:w="1142"/>
        <w:gridCol w:w="2130"/>
        <w:gridCol w:w="410"/>
        <w:gridCol w:w="1052"/>
        <w:gridCol w:w="872"/>
        <w:gridCol w:w="1147"/>
        <w:gridCol w:w="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9" w:hRule="atLeast"/>
          <w:jc w:val="center"/>
        </w:trPr>
        <w:tc>
          <w:tcPr>
            <w:tcW w:w="73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序号</w:t>
            </w:r>
          </w:p>
        </w:tc>
        <w:tc>
          <w:tcPr>
            <w:tcW w:w="1309"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项目编码</w:t>
            </w:r>
          </w:p>
        </w:tc>
        <w:tc>
          <w:tcPr>
            <w:tcW w:w="114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项目名称</w:t>
            </w:r>
          </w:p>
        </w:tc>
        <w:tc>
          <w:tcPr>
            <w:tcW w:w="213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项目特征描述</w:t>
            </w:r>
          </w:p>
        </w:tc>
        <w:tc>
          <w:tcPr>
            <w:tcW w:w="41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计量单位</w:t>
            </w:r>
          </w:p>
        </w:tc>
        <w:tc>
          <w:tcPr>
            <w:tcW w:w="1052"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工程量</w:t>
            </w:r>
          </w:p>
        </w:tc>
        <w:tc>
          <w:tcPr>
            <w:tcW w:w="2662" w:type="dxa"/>
            <w:gridSpan w:val="3"/>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5" w:hRule="atLeast"/>
          <w:jc w:val="center"/>
        </w:trPr>
        <w:tc>
          <w:tcPr>
            <w:tcW w:w="73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309"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14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213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41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1052"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jc w:val="center"/>
              <w:rPr>
                <w:rFonts w:hint="eastAsia" w:ascii="宋体" w:hAnsi="宋体" w:eastAsia="宋体" w:cs="宋体"/>
                <w:i w:val="0"/>
                <w:color w:val="auto"/>
                <w:sz w:val="20"/>
                <w:szCs w:val="20"/>
                <w:highlight w:val="none"/>
                <w:u w:val="none"/>
              </w:rPr>
            </w:pP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hAnsi="宋体" w:cs="宋体"/>
                <w:i w:val="0"/>
                <w:color w:val="auto"/>
                <w:kern w:val="0"/>
                <w:sz w:val="20"/>
                <w:szCs w:val="20"/>
                <w:highlight w:val="none"/>
                <w:u w:val="none"/>
                <w:lang w:val="en-US" w:eastAsia="zh-CN" w:bidi="ar"/>
              </w:rPr>
              <w:t>投标</w:t>
            </w:r>
            <w:r>
              <w:rPr>
                <w:rFonts w:hint="eastAsia" w:ascii="宋体" w:hAnsi="宋体" w:eastAsia="宋体" w:cs="宋体"/>
                <w:i w:val="0"/>
                <w:color w:val="auto"/>
                <w:kern w:val="0"/>
                <w:sz w:val="20"/>
                <w:szCs w:val="20"/>
                <w:highlight w:val="none"/>
                <w:u w:val="none"/>
                <w:lang w:val="en-US" w:eastAsia="zh-CN" w:bidi="ar"/>
              </w:rPr>
              <w:t>综合单价价（元）</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综合合价</w:t>
            </w: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auto"/>
                <w:sz w:val="20"/>
                <w:szCs w:val="20"/>
                <w:highlight w:val="none"/>
                <w:u w:val="none"/>
                <w:lang w:val="en-US" w:eastAsia="zh-CN"/>
              </w:rPr>
            </w:pPr>
            <w:r>
              <w:rPr>
                <w:rFonts w:hint="eastAsia" w:hAnsi="宋体" w:cs="宋体"/>
                <w:i w:val="0"/>
                <w:color w:val="auto"/>
                <w:sz w:val="20"/>
                <w:szCs w:val="20"/>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9" w:hRule="atLeast"/>
          <w:jc w:val="center"/>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040101001001</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地块一转运至刘屋巷暂存场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2.运距：1km以内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61335.9</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34" w:hRule="atLeast"/>
          <w:jc w:val="center"/>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040101001002</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挖运一般土方</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RDF暂存场转运至刘屋巷暂存场</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1.土壤类别:一、二类土</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2.运距：4km以内</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183754.8</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5" w:hRule="atLeast"/>
          <w:jc w:val="center"/>
        </w:trPr>
        <w:tc>
          <w:tcPr>
            <w:tcW w:w="731" w:type="dxa"/>
            <w:tcBorders>
              <w:top w:val="single" w:color="000000" w:sz="4" w:space="0"/>
              <w:left w:val="single" w:color="000000" w:sz="8"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040103001003</w:t>
            </w:r>
          </w:p>
        </w:tc>
        <w:tc>
          <w:tcPr>
            <w:tcW w:w="114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腐殖土堆填</w:t>
            </w:r>
          </w:p>
        </w:tc>
        <w:tc>
          <w:tcPr>
            <w:tcW w:w="213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1.腐殖土转堆</w:t>
            </w:r>
            <w:r>
              <w:rPr>
                <w:rFonts w:hint="eastAsia" w:ascii="宋体" w:hAnsi="宋体" w:eastAsia="宋体" w:cs="宋体"/>
                <w:i w:val="0"/>
                <w:color w:val="auto"/>
                <w:kern w:val="0"/>
                <w:sz w:val="20"/>
                <w:szCs w:val="20"/>
                <w:highlight w:val="none"/>
                <w:u w:val="none"/>
                <w:lang w:val="en-US" w:eastAsia="zh-CN" w:bidi="ar"/>
              </w:rPr>
              <w:br w:type="textWrapping"/>
            </w:r>
            <w:r>
              <w:rPr>
                <w:rFonts w:hint="eastAsia" w:ascii="宋体" w:hAnsi="宋体" w:eastAsia="宋体" w:cs="宋体"/>
                <w:i w:val="0"/>
                <w:color w:val="auto"/>
                <w:kern w:val="0"/>
                <w:sz w:val="20"/>
                <w:szCs w:val="20"/>
                <w:highlight w:val="none"/>
                <w:u w:val="none"/>
                <w:lang w:val="en-US" w:eastAsia="zh-CN" w:bidi="ar"/>
              </w:rPr>
              <w:t>2.腐殖土回填</w:t>
            </w:r>
          </w:p>
        </w:tc>
        <w:tc>
          <w:tcPr>
            <w:tcW w:w="410"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m3</w:t>
            </w:r>
          </w:p>
        </w:tc>
        <w:tc>
          <w:tcPr>
            <w:tcW w:w="105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245090.7</w:t>
            </w:r>
          </w:p>
        </w:tc>
        <w:tc>
          <w:tcPr>
            <w:tcW w:w="872"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 xml:space="preserve"> </w:t>
            </w:r>
          </w:p>
        </w:tc>
        <w:tc>
          <w:tcPr>
            <w:tcW w:w="1147" w:type="dxa"/>
            <w:tcBorders>
              <w:top w:val="single" w:color="000000" w:sz="4" w:space="0"/>
              <w:left w:val="single" w:color="000000" w:sz="4" w:space="0"/>
              <w:bottom w:val="single" w:color="000000" w:sz="4"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i w:val="0"/>
                <w:color w:val="auto"/>
                <w:sz w:val="20"/>
                <w:szCs w:val="20"/>
                <w:highlight w:val="none"/>
                <w:u w:val="none"/>
              </w:rPr>
            </w:pPr>
          </w:p>
        </w:tc>
        <w:tc>
          <w:tcPr>
            <w:tcW w:w="643" w:type="dxa"/>
            <w:tcBorders>
              <w:top w:val="single" w:color="000000" w:sz="4" w:space="0"/>
              <w:left w:val="single" w:color="000000" w:sz="4" w:space="0"/>
              <w:bottom w:val="single" w:color="000000" w:sz="4"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26" w:hRule="atLeast"/>
          <w:jc w:val="center"/>
        </w:trPr>
        <w:tc>
          <w:tcPr>
            <w:tcW w:w="7646" w:type="dxa"/>
            <w:gridSpan w:val="7"/>
            <w:tcBorders>
              <w:top w:val="single" w:color="000000" w:sz="4" w:space="0"/>
              <w:left w:val="single" w:color="000000" w:sz="8" w:space="0"/>
              <w:bottom w:val="single" w:color="000000" w:sz="8"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合   计</w:t>
            </w:r>
          </w:p>
        </w:tc>
        <w:tc>
          <w:tcPr>
            <w:tcW w:w="1147" w:type="dxa"/>
            <w:tcBorders>
              <w:top w:val="single" w:color="000000" w:sz="4" w:space="0"/>
              <w:left w:val="single" w:color="000000" w:sz="4" w:space="0"/>
              <w:bottom w:val="single" w:color="000000" w:sz="8" w:space="0"/>
              <w:right w:val="single" w:color="000000" w:sz="4" w:space="0"/>
            </w:tcBorders>
            <w:shd w:val="clear" w:color="FFFFFF" w:fill="FFFFFF"/>
            <w:tcMar>
              <w:top w:w="10" w:type="dxa"/>
              <w:left w:w="10" w:type="dxa"/>
              <w:right w:w="10" w:type="dxa"/>
            </w:tcMar>
            <w:vAlign w:val="center"/>
          </w:tcPr>
          <w:p>
            <w:pPr>
              <w:keepNext w:val="0"/>
              <w:keepLines w:val="0"/>
              <w:widowControl/>
              <w:suppressLineNumbers w:val="0"/>
              <w:jc w:val="right"/>
              <w:textAlignment w:val="center"/>
              <w:rPr>
                <w:rFonts w:hint="eastAsia" w:ascii="宋体" w:hAnsi="宋体" w:eastAsia="宋体" w:cs="宋体"/>
                <w:b/>
                <w:i w:val="0"/>
                <w:color w:val="auto"/>
                <w:sz w:val="20"/>
                <w:szCs w:val="20"/>
                <w:highlight w:val="none"/>
                <w:u w:val="none"/>
              </w:rPr>
            </w:pPr>
            <w:r>
              <w:rPr>
                <w:rFonts w:hint="eastAsia" w:ascii="宋体" w:hAnsi="宋体" w:eastAsia="宋体" w:cs="宋体"/>
                <w:b/>
                <w:i w:val="0"/>
                <w:color w:val="auto"/>
                <w:kern w:val="0"/>
                <w:sz w:val="20"/>
                <w:szCs w:val="20"/>
                <w:highlight w:val="none"/>
                <w:u w:val="none"/>
                <w:lang w:val="en-US" w:eastAsia="zh-CN" w:bidi="ar"/>
              </w:rPr>
              <w:t xml:space="preserve"> </w:t>
            </w:r>
          </w:p>
        </w:tc>
        <w:tc>
          <w:tcPr>
            <w:tcW w:w="643" w:type="dxa"/>
            <w:tcBorders>
              <w:top w:val="single" w:color="000000" w:sz="4" w:space="0"/>
              <w:left w:val="single" w:color="000000" w:sz="4" w:space="0"/>
              <w:bottom w:val="single" w:color="000000" w:sz="8" w:space="0"/>
              <w:right w:val="single" w:color="000000" w:sz="8" w:space="0"/>
            </w:tcBorders>
            <w:shd w:val="clear" w:color="FFFFFF" w:fill="FFFFFF"/>
            <w:tcMar>
              <w:top w:w="10" w:type="dxa"/>
              <w:left w:w="10" w:type="dxa"/>
              <w:right w:w="10" w:type="dxa"/>
            </w:tcMar>
            <w:vAlign w:val="center"/>
          </w:tcPr>
          <w:p>
            <w:pPr>
              <w:jc w:val="right"/>
              <w:rPr>
                <w:rFonts w:hint="eastAsia" w:ascii="宋体" w:hAnsi="宋体" w:eastAsia="宋体" w:cs="宋体"/>
                <w:i w:val="0"/>
                <w:color w:val="auto"/>
                <w:sz w:val="20"/>
                <w:szCs w:val="20"/>
                <w:highlight w:val="none"/>
                <w:u w:val="none"/>
              </w:rPr>
            </w:pPr>
          </w:p>
        </w:tc>
      </w:tr>
    </w:tbl>
    <w:p>
      <w:pPr>
        <w:pStyle w:val="2"/>
        <w:ind w:left="0"/>
        <w:jc w:val="both"/>
        <w:rPr>
          <w:rFonts w:hint="default" w:eastAsia="宋体"/>
          <w:color w:val="auto"/>
          <w:sz w:val="18"/>
          <w:szCs w:val="18"/>
          <w:highlight w:val="none"/>
          <w:lang w:val="en-US" w:eastAsia="zh-CN"/>
        </w:rPr>
      </w:pPr>
      <w:r>
        <w:rPr>
          <w:rFonts w:hint="eastAsia"/>
          <w:color w:val="auto"/>
          <w:sz w:val="18"/>
          <w:szCs w:val="18"/>
          <w:highlight w:val="none"/>
          <w:lang w:val="en-US" w:eastAsia="zh-CN"/>
        </w:rPr>
        <w:t>说明：报价表中综合单价及合价为全费用价格，包含人工、材料、机械、安全文明施工措施及其他措施费、其他项目费、规费、税金（9%）等完成本工程所需的一切费用。</w:t>
      </w:r>
    </w:p>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日期：</w:t>
      </w:r>
      <w:bookmarkStart w:id="205" w:name="_Toc12412"/>
      <w:r>
        <w:rPr>
          <w:rFonts w:hint="eastAsia" w:ascii="宋体" w:hAnsi="宋体"/>
          <w:color w:val="auto"/>
          <w:szCs w:val="21"/>
          <w:highlight w:val="none"/>
        </w:rPr>
        <w:br w:type="page"/>
      </w:r>
    </w:p>
    <w:bookmarkEnd w:id="205"/>
    <w:p>
      <w:pPr>
        <w:rPr>
          <w:color w:val="auto"/>
          <w:sz w:val="52"/>
          <w:szCs w:val="52"/>
          <w:highlight w:val="none"/>
        </w:rPr>
      </w:pPr>
    </w:p>
    <w:p>
      <w:pPr>
        <w:pStyle w:val="6"/>
        <w:spacing w:before="0" w:after="0" w:line="360" w:lineRule="auto"/>
        <w:jc w:val="center"/>
        <w:rPr>
          <w:color w:val="auto"/>
          <w:sz w:val="72"/>
          <w:szCs w:val="72"/>
          <w:highlight w:val="none"/>
        </w:rPr>
      </w:pPr>
      <w:bookmarkStart w:id="206" w:name="_Toc7358"/>
      <w:r>
        <w:rPr>
          <w:rFonts w:hint="eastAsia"/>
          <w:color w:val="auto"/>
          <w:sz w:val="72"/>
          <w:szCs w:val="72"/>
          <w:highlight w:val="none"/>
        </w:rPr>
        <w:t>商务文件</w:t>
      </w:r>
      <w:bookmarkEnd w:id="206"/>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2"/>
        <w:rPr>
          <w:color w:val="auto"/>
          <w:highlight w:val="none"/>
        </w:rPr>
      </w:pPr>
    </w:p>
    <w:p>
      <w:pPr>
        <w:pStyle w:val="3"/>
        <w:ind w:firstLine="240"/>
        <w:rPr>
          <w:color w:val="auto"/>
          <w:highlight w:val="none"/>
        </w:rPr>
      </w:pPr>
    </w:p>
    <w:p>
      <w:pPr>
        <w:rPr>
          <w:rFonts w:ascii="宋体" w:hAnsi="宋体" w:cs="宋体"/>
          <w:b/>
          <w:bCs/>
          <w:color w:val="auto"/>
          <w:spacing w:val="0"/>
          <w:kern w:val="0"/>
          <w:sz w:val="32"/>
          <w:szCs w:val="32"/>
          <w:highlight w:val="none"/>
          <w:fitText w:val="1600" w:id="292250509"/>
        </w:rPr>
      </w:pPr>
      <w:r>
        <w:rPr>
          <w:rFonts w:hint="eastAsia" w:ascii="宋体" w:hAnsi="宋体" w:cs="宋体"/>
          <w:b/>
          <w:bCs/>
          <w:color w:val="auto"/>
          <w:spacing w:val="0"/>
          <w:kern w:val="0"/>
          <w:sz w:val="32"/>
          <w:szCs w:val="32"/>
          <w:highlight w:val="none"/>
          <w:fitText w:val="1600" w:id="292250509"/>
        </w:rPr>
        <w:t>项目名称：</w:t>
      </w:r>
    </w:p>
    <w:p>
      <w:pPr>
        <w:rPr>
          <w:rFonts w:ascii="宋体" w:hAnsi="宋体" w:cs="宋体"/>
          <w:b/>
          <w:bCs/>
          <w:color w:val="auto"/>
          <w:spacing w:val="213"/>
          <w:kern w:val="0"/>
          <w:sz w:val="32"/>
          <w:szCs w:val="32"/>
          <w:highlight w:val="none"/>
          <w:fitText w:val="1600" w:id="1231831253"/>
        </w:rPr>
      </w:pPr>
      <w:r>
        <w:rPr>
          <w:rFonts w:hint="eastAsia" w:ascii="宋体" w:hAnsi="宋体" w:cs="宋体"/>
          <w:b/>
          <w:bCs/>
          <w:color w:val="auto"/>
          <w:spacing w:val="53"/>
          <w:kern w:val="0"/>
          <w:sz w:val="32"/>
          <w:szCs w:val="32"/>
          <w:highlight w:val="none"/>
          <w:fitText w:val="1600" w:id="292250509"/>
        </w:rPr>
        <w:t>项目编</w:t>
      </w:r>
      <w:r>
        <w:rPr>
          <w:rFonts w:hint="eastAsia" w:ascii="宋体" w:hAnsi="宋体" w:cs="宋体"/>
          <w:b/>
          <w:bCs/>
          <w:color w:val="auto"/>
          <w:spacing w:val="1"/>
          <w:kern w:val="0"/>
          <w:sz w:val="32"/>
          <w:szCs w:val="32"/>
          <w:highlight w:val="none"/>
          <w:fitText w:val="1600" w:id="292250509"/>
        </w:rPr>
        <w:t>号</w:t>
      </w:r>
      <w:r>
        <w:rPr>
          <w:rFonts w:hint="eastAsia" w:ascii="宋体" w:hAnsi="宋体" w:cs="宋体"/>
          <w:b/>
          <w:bCs/>
          <w:color w:val="auto"/>
          <w:spacing w:val="640"/>
          <w:kern w:val="0"/>
          <w:sz w:val="32"/>
          <w:szCs w:val="32"/>
          <w:highlight w:val="none"/>
          <w:fitText w:val="1600" w:id="1231831253"/>
        </w:rPr>
        <w:t>：</w:t>
      </w:r>
    </w:p>
    <w:p>
      <w:pPr>
        <w:pStyle w:val="2"/>
        <w:ind w:left="0"/>
        <w:rPr>
          <w:b/>
          <w:color w:val="auto"/>
          <w:spacing w:val="1280"/>
          <w:sz w:val="32"/>
          <w:szCs w:val="32"/>
          <w:highlight w:val="none"/>
        </w:rPr>
      </w:pPr>
      <w:r>
        <w:rPr>
          <w:b/>
          <w:color w:val="auto"/>
          <w:spacing w:val="53"/>
          <w:kern w:val="0"/>
          <w:sz w:val="32"/>
          <w:szCs w:val="32"/>
          <w:highlight w:val="none"/>
          <w:fitText w:val="1600" w:id="1231831253"/>
          <w:lang w:val="en-US" w:bidi="ar-SA"/>
        </w:rPr>
        <w:t>包组号</w:t>
      </w:r>
      <w:r>
        <w:rPr>
          <w:b/>
          <w:color w:val="auto"/>
          <w:spacing w:val="1"/>
          <w:kern w:val="0"/>
          <w:sz w:val="32"/>
          <w:szCs w:val="32"/>
          <w:highlight w:val="none"/>
          <w:fitText w:val="1600" w:id="1231831253"/>
          <w:lang w:val="en-US" w:bidi="ar-SA"/>
        </w:rPr>
        <w:t>（</w:t>
      </w:r>
      <w:r>
        <w:rPr>
          <w:b/>
          <w:color w:val="auto"/>
          <w:spacing w:val="106"/>
          <w:sz w:val="32"/>
          <w:szCs w:val="32"/>
          <w:highlight w:val="none"/>
          <w:lang w:val="en-US" w:bidi="ar-SA"/>
        </w:rPr>
        <w:t>如有）：</w:t>
      </w:r>
    </w:p>
    <w:p>
      <w:pPr>
        <w:rPr>
          <w:rFonts w:ascii="宋体" w:hAnsi="宋体" w:cs="宋体"/>
          <w:b/>
          <w:color w:val="auto"/>
          <w:spacing w:val="0"/>
          <w:w w:val="83"/>
          <w:kern w:val="0"/>
          <w:sz w:val="32"/>
          <w:szCs w:val="32"/>
          <w:highlight w:val="none"/>
          <w:fitText w:val="1600" w:id="1764384445"/>
        </w:rPr>
      </w:pPr>
      <w:r>
        <w:rPr>
          <w:rFonts w:hint="eastAsia" w:ascii="宋体" w:hAnsi="宋体" w:cs="宋体"/>
          <w:b/>
          <w:color w:val="auto"/>
          <w:spacing w:val="0"/>
          <w:w w:val="83"/>
          <w:kern w:val="0"/>
          <w:sz w:val="32"/>
          <w:szCs w:val="32"/>
          <w:highlight w:val="none"/>
          <w:fitText w:val="1600" w:id="1764384445"/>
        </w:rPr>
        <w:t>投标人名称：</w:t>
      </w:r>
    </w:p>
    <w:p>
      <w:pPr>
        <w:rPr>
          <w:rFonts w:ascii="宋体" w:hAnsi="宋体" w:cs="宋体"/>
          <w:b/>
          <w:color w:val="auto"/>
          <w:spacing w:val="22"/>
          <w:w w:val="100"/>
          <w:kern w:val="0"/>
          <w:sz w:val="32"/>
          <w:szCs w:val="32"/>
          <w:highlight w:val="none"/>
          <w:fitText w:val="1600" w:id="2061173831"/>
        </w:rPr>
      </w:pPr>
      <w:r>
        <w:rPr>
          <w:rFonts w:hint="eastAsia" w:ascii="宋体" w:hAnsi="宋体" w:cs="宋体"/>
          <w:b/>
          <w:color w:val="auto"/>
          <w:spacing w:val="133"/>
          <w:w w:val="100"/>
          <w:kern w:val="0"/>
          <w:sz w:val="32"/>
          <w:szCs w:val="32"/>
          <w:highlight w:val="none"/>
          <w:fitText w:val="1600" w:id="1764384445"/>
        </w:rPr>
        <w:t xml:space="preserve">日  </w:t>
      </w:r>
      <w:r>
        <w:rPr>
          <w:rFonts w:hint="eastAsia" w:ascii="宋体" w:hAnsi="宋体" w:cs="宋体"/>
          <w:b/>
          <w:color w:val="auto"/>
          <w:spacing w:val="1"/>
          <w:w w:val="100"/>
          <w:kern w:val="0"/>
          <w:sz w:val="32"/>
          <w:szCs w:val="32"/>
          <w:highlight w:val="none"/>
          <w:fitText w:val="1600" w:id="1764384445"/>
        </w:rPr>
        <w:t xml:space="preserve"> </w:t>
      </w:r>
      <w:r>
        <w:rPr>
          <w:rFonts w:hint="eastAsia" w:ascii="宋体" w:hAnsi="宋体" w:cs="宋体"/>
          <w:b/>
          <w:color w:val="auto"/>
          <w:spacing w:val="200"/>
          <w:w w:val="100"/>
          <w:kern w:val="0"/>
          <w:sz w:val="32"/>
          <w:szCs w:val="32"/>
          <w:highlight w:val="none"/>
          <w:fitText w:val="1600" w:id="2061173831"/>
        </w:rPr>
        <w:t xml:space="preserve"> 期</w:t>
      </w:r>
      <w:r>
        <w:rPr>
          <w:rFonts w:hint="eastAsia" w:ascii="宋体" w:hAnsi="宋体" w:cs="宋体"/>
          <w:b/>
          <w:color w:val="auto"/>
          <w:spacing w:val="0"/>
          <w:w w:val="100"/>
          <w:kern w:val="0"/>
          <w:sz w:val="32"/>
          <w:szCs w:val="32"/>
          <w:highlight w:val="none"/>
          <w:fitText w:val="1600" w:id="2061173831"/>
        </w:rPr>
        <w:t>：</w:t>
      </w:r>
    </w:p>
    <w:p>
      <w:pPr>
        <w:pStyle w:val="2"/>
        <w:rPr>
          <w:b/>
          <w:color w:val="auto"/>
          <w:spacing w:val="6"/>
          <w:w w:val="100"/>
          <w:kern w:val="0"/>
          <w:sz w:val="32"/>
          <w:szCs w:val="32"/>
          <w:highlight w:val="none"/>
          <w:fitText w:val="1600" w:id="2061173831"/>
        </w:rPr>
      </w:pPr>
    </w:p>
    <w:p>
      <w:pPr>
        <w:pStyle w:val="3"/>
        <w:ind w:firstLine="321"/>
        <w:rPr>
          <w:b/>
          <w:color w:val="auto"/>
          <w:spacing w:val="5"/>
          <w:w w:val="90"/>
          <w:kern w:val="0"/>
          <w:sz w:val="32"/>
          <w:szCs w:val="32"/>
          <w:highlight w:val="none"/>
          <w:fitText w:val="1600" w:id="2061173831"/>
        </w:rPr>
      </w:pPr>
    </w:p>
    <w:p>
      <w:pPr>
        <w:pStyle w:val="4"/>
        <w:rPr>
          <w:rFonts w:ascii="宋体" w:hAnsi="宋体" w:cs="宋体"/>
          <w:b/>
          <w:color w:val="auto"/>
          <w:sz w:val="32"/>
          <w:szCs w:val="32"/>
          <w:highlight w:val="none"/>
        </w:rPr>
      </w:pPr>
    </w:p>
    <w:p>
      <w:pPr>
        <w:rPr>
          <w:rFonts w:ascii="宋体" w:hAnsi="宋体" w:cs="宋体"/>
          <w:b/>
          <w:color w:val="auto"/>
          <w:sz w:val="32"/>
          <w:szCs w:val="32"/>
          <w:highlight w:val="none"/>
        </w:rPr>
      </w:pPr>
    </w:p>
    <w:p>
      <w:pPr>
        <w:pStyle w:val="2"/>
        <w:rPr>
          <w:b/>
          <w:color w:val="auto"/>
          <w:sz w:val="32"/>
          <w:szCs w:val="32"/>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color w:val="auto"/>
          <w:highlight w:val="none"/>
        </w:rPr>
      </w:pPr>
      <w:bookmarkStart w:id="207" w:name="_Toc11732"/>
      <w:r>
        <w:rPr>
          <w:rFonts w:hint="eastAsia" w:ascii="宋体" w:hAnsi="宋体"/>
          <w:color w:val="auto"/>
          <w:sz w:val="21"/>
          <w:szCs w:val="21"/>
          <w:highlight w:val="none"/>
        </w:rPr>
        <w:t>附件4.投标书格式</w:t>
      </w:r>
      <w:bookmarkEnd w:id="207"/>
    </w:p>
    <w:p>
      <w:pPr>
        <w:jc w:val="center"/>
        <w:rPr>
          <w:rFonts w:ascii="宋体" w:hAnsi="宋体"/>
          <w:color w:val="auto"/>
          <w:szCs w:val="21"/>
          <w:highlight w:val="none"/>
        </w:rPr>
      </w:pPr>
      <w:r>
        <w:rPr>
          <w:rFonts w:hint="eastAsia" w:ascii="黑体" w:eastAsia="黑体"/>
          <w:color w:val="auto"/>
          <w:sz w:val="32"/>
          <w:szCs w:val="32"/>
          <w:highlight w:val="none"/>
        </w:rPr>
        <w:t>投标书</w:t>
      </w: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广东泰通伟业工程咨询有限公司</w:t>
      </w:r>
      <w:r>
        <w:rPr>
          <w:rFonts w:hint="eastAsia" w:ascii="宋体" w:hAnsi="宋体"/>
          <w:color w:val="auto"/>
          <w:szCs w:val="21"/>
          <w:highlight w:val="none"/>
        </w:rPr>
        <w:t>：</w:t>
      </w:r>
    </w:p>
    <w:p>
      <w:pPr>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pPr>
        <w:widowControl w:val="0"/>
        <w:numPr>
          <w:ilvl w:val="0"/>
          <w:numId w:val="27"/>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pPr>
        <w:widowControl w:val="0"/>
        <w:numPr>
          <w:ilvl w:val="0"/>
          <w:numId w:val="27"/>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r>
        <w:rPr>
          <w:rFonts w:hint="eastAsia" w:ascii="宋体" w:hAnsi="宋体"/>
          <w:color w:val="auto"/>
          <w:szCs w:val="21"/>
          <w:highlight w:val="none"/>
        </w:rPr>
        <w:t>地址：　　　　　　　　　　　　　　　　　　　 电子邮箱：</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投标人法定代表人（或其授权代表）签字： </w:t>
      </w:r>
    </w:p>
    <w:p>
      <w:pPr>
        <w:rPr>
          <w:rFonts w:ascii="宋体" w:hAnsi="宋体"/>
          <w:color w:val="auto"/>
          <w:szCs w:val="21"/>
          <w:highlight w:val="none"/>
        </w:rPr>
      </w:pPr>
      <w:r>
        <w:rPr>
          <w:rFonts w:hint="eastAsia" w:ascii="宋体" w:hAnsi="宋体"/>
          <w:color w:val="auto"/>
          <w:szCs w:val="21"/>
          <w:highlight w:val="none"/>
        </w:rPr>
        <w:t xml:space="preserve">投标人名称（全称）： </w:t>
      </w:r>
    </w:p>
    <w:p>
      <w:pPr>
        <w:rPr>
          <w:rFonts w:ascii="宋体" w:hAnsi="宋体"/>
          <w:color w:val="auto"/>
          <w:szCs w:val="21"/>
          <w:highlight w:val="none"/>
        </w:rPr>
      </w:pPr>
      <w:r>
        <w:rPr>
          <w:rFonts w:hint="eastAsia" w:ascii="宋体" w:hAnsi="宋体"/>
          <w:color w:val="auto"/>
          <w:szCs w:val="21"/>
          <w:highlight w:val="none"/>
        </w:rPr>
        <w:t xml:space="preserve">投标人盖章： </w:t>
      </w:r>
    </w:p>
    <w:p>
      <w:pPr>
        <w:rPr>
          <w:color w:val="auto"/>
          <w:highlight w:val="none"/>
        </w:rPr>
      </w:pPr>
      <w:r>
        <w:rPr>
          <w:rFonts w:hint="eastAsia" w:ascii="宋体" w:hAnsi="宋体"/>
          <w:color w:val="auto"/>
          <w:szCs w:val="21"/>
          <w:highlight w:val="none"/>
        </w:rPr>
        <w:t>日期：</w:t>
      </w:r>
      <w:r>
        <w:rPr>
          <w:color w:val="auto"/>
          <w:highlight w:val="none"/>
        </w:rPr>
        <w:br w:type="page"/>
      </w:r>
    </w:p>
    <w:p>
      <w:pPr>
        <w:pStyle w:val="8"/>
        <w:widowControl w:val="0"/>
        <w:overflowPunct w:val="0"/>
        <w:spacing w:line="240" w:lineRule="auto"/>
        <w:rPr>
          <w:rFonts w:ascii="宋体" w:hAnsi="宋体"/>
          <w:color w:val="auto"/>
          <w:sz w:val="21"/>
          <w:szCs w:val="21"/>
          <w:highlight w:val="none"/>
        </w:rPr>
      </w:pPr>
      <w:bookmarkStart w:id="208" w:name="_Toc19972"/>
      <w:r>
        <w:rPr>
          <w:rFonts w:hint="eastAsia" w:ascii="宋体" w:hAnsi="宋体"/>
          <w:color w:val="auto"/>
          <w:sz w:val="21"/>
          <w:szCs w:val="21"/>
          <w:highlight w:val="none"/>
        </w:rPr>
        <w:t>附件5. 法定代表人证明书格式</w:t>
      </w:r>
      <w:bookmarkEnd w:id="208"/>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广东泰通伟业工程咨询有限公司</w:t>
      </w:r>
    </w:p>
    <w:p>
      <w:pPr>
        <w:pStyle w:val="47"/>
        <w:spacing w:line="420" w:lineRule="atLeast"/>
        <w:ind w:firstLine="433"/>
        <w:rPr>
          <w:rFonts w:ascii="宋体" w:eastAsia="宋体"/>
          <w:color w:val="auto"/>
          <w:sz w:val="21"/>
          <w:szCs w:val="21"/>
          <w:highlight w:val="none"/>
        </w:rPr>
      </w:pPr>
    </w:p>
    <w:p>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7"/>
        <w:spacing w:line="500" w:lineRule="atLeast"/>
        <w:ind w:firstLine="3517" w:firstLineChars="1675"/>
        <w:rPr>
          <w:rFonts w:ascii="宋体" w:eastAsia="宋体"/>
          <w:color w:val="auto"/>
          <w:sz w:val="21"/>
          <w:szCs w:val="21"/>
          <w:highlight w:val="none"/>
        </w:rPr>
      </w:pP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2"/>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rPr>
          <w:color w:val="auto"/>
          <w:highlight w:val="none"/>
        </w:rPr>
      </w:pPr>
    </w:p>
    <w:p>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pPr>
        <w:pStyle w:val="8"/>
        <w:widowControl w:val="0"/>
        <w:overflowPunct w:val="0"/>
        <w:spacing w:line="240" w:lineRule="auto"/>
        <w:rPr>
          <w:color w:val="auto"/>
          <w:highlight w:val="none"/>
        </w:rPr>
      </w:pPr>
      <w:bookmarkStart w:id="209" w:name="_Toc19149"/>
      <w:r>
        <w:rPr>
          <w:rFonts w:hint="eastAsia" w:ascii="宋体" w:hAnsi="宋体"/>
          <w:color w:val="auto"/>
          <w:sz w:val="21"/>
          <w:szCs w:val="21"/>
          <w:highlight w:val="none"/>
        </w:rPr>
        <w:t>附件6.法定代表人授权书格式</w:t>
      </w:r>
      <w:bookmarkEnd w:id="209"/>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广东泰通伟业工程咨询有限公司</w:t>
      </w:r>
    </w:p>
    <w:p>
      <w:pPr>
        <w:pStyle w:val="4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7"/>
        <w:spacing w:line="500" w:lineRule="atLeast"/>
        <w:ind w:firstLine="3517" w:firstLineChars="1675"/>
        <w:rPr>
          <w:rFonts w:ascii="宋体" w:eastAsia="宋体"/>
          <w:color w:val="auto"/>
          <w:sz w:val="21"/>
          <w:szCs w:val="21"/>
          <w:highlight w:val="none"/>
        </w:rPr>
      </w:pP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pPr>
        <w:pStyle w:val="4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须附：被授权人身份证复印件。</w:t>
      </w:r>
    </w:p>
    <w:tbl>
      <w:tblPr>
        <w:tblStyle w:val="32"/>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pPr>
        <w:adjustRightInd/>
        <w:snapToGrid/>
        <w:spacing w:line="276" w:lineRule="auto"/>
        <w:rPr>
          <w:color w:val="auto"/>
          <w:highlight w:val="none"/>
        </w:rPr>
      </w:pPr>
      <w:bookmarkStart w:id="210" w:name="_Toc22486"/>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211" w:name="_Toc30038"/>
      <w:r>
        <w:rPr>
          <w:rFonts w:hint="eastAsia" w:ascii="宋体" w:hAnsi="宋体"/>
          <w:color w:val="auto"/>
          <w:sz w:val="21"/>
          <w:szCs w:val="21"/>
          <w:highlight w:val="none"/>
        </w:rPr>
        <w:t>附件7.资格申明</w:t>
      </w:r>
      <w:bookmarkEnd w:id="211"/>
    </w:p>
    <w:p>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pPr>
        <w:pStyle w:val="4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xxx   </w:t>
      </w:r>
      <w:r>
        <w:rPr>
          <w:rFonts w:hint="eastAsia" w:ascii="宋体" w:eastAsia="宋体"/>
          <w:color w:val="auto"/>
          <w:sz w:val="21"/>
          <w:szCs w:val="21"/>
          <w:highlight w:val="none"/>
        </w:rPr>
        <w:t>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pPr>
        <w:pStyle w:val="47"/>
        <w:spacing w:line="500" w:lineRule="atLeast"/>
        <w:ind w:firstLine="3517" w:firstLineChars="1675"/>
        <w:rPr>
          <w:rFonts w:ascii="宋体" w:eastAsia="宋体"/>
          <w:color w:val="auto"/>
          <w:sz w:val="21"/>
          <w:szCs w:val="21"/>
          <w:highlight w:val="none"/>
        </w:rPr>
      </w:pPr>
    </w:p>
    <w:p>
      <w:pPr>
        <w:pStyle w:val="47"/>
        <w:spacing w:line="500" w:lineRule="atLeast"/>
        <w:ind w:firstLine="3517" w:firstLineChars="1675"/>
        <w:rPr>
          <w:rFonts w:ascii="宋体" w:eastAsia="宋体"/>
          <w:color w:val="auto"/>
          <w:sz w:val="21"/>
          <w:szCs w:val="21"/>
          <w:highlight w:val="none"/>
        </w:rPr>
      </w:pPr>
    </w:p>
    <w:p>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212" w:name="_Toc10305"/>
      <w:r>
        <w:rPr>
          <w:rFonts w:hint="eastAsia" w:ascii="宋体" w:hAnsi="宋体"/>
          <w:color w:val="auto"/>
          <w:sz w:val="21"/>
          <w:szCs w:val="21"/>
          <w:highlight w:val="none"/>
        </w:rPr>
        <w:t>附件8.营业执照</w:t>
      </w:r>
      <w:bookmarkEnd w:id="212"/>
    </w:p>
    <w:p>
      <w:pPr>
        <w:jc w:val="center"/>
        <w:rPr>
          <w:rFonts w:ascii="黑体" w:eastAsia="黑体"/>
          <w:color w:val="auto"/>
          <w:sz w:val="28"/>
          <w:szCs w:val="28"/>
          <w:highlight w:val="none"/>
        </w:rPr>
      </w:pPr>
      <w:bookmarkStart w:id="213" w:name="_Toc1511"/>
      <w:bookmarkStart w:id="214" w:name="_Toc5919"/>
      <w:bookmarkStart w:id="215" w:name="_Toc24210"/>
      <w:bookmarkStart w:id="216" w:name="_Toc4926"/>
      <w:bookmarkStart w:id="217" w:name="_Toc17470"/>
      <w:r>
        <w:rPr>
          <w:rFonts w:hint="eastAsia" w:ascii="黑体" w:eastAsia="黑体"/>
          <w:color w:val="auto"/>
          <w:sz w:val="28"/>
          <w:szCs w:val="28"/>
          <w:highlight w:val="none"/>
        </w:rPr>
        <w:t>营业执照</w:t>
      </w:r>
      <w:bookmarkEnd w:id="213"/>
      <w:bookmarkEnd w:id="214"/>
      <w:bookmarkEnd w:id="215"/>
      <w:bookmarkEnd w:id="216"/>
      <w:bookmarkEnd w:id="217"/>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8"/>
        <w:widowControl w:val="0"/>
        <w:overflowPunct w:val="0"/>
        <w:spacing w:line="240" w:lineRule="auto"/>
        <w:rPr>
          <w:rFonts w:ascii="宋体" w:hAnsi="宋体"/>
          <w:color w:val="auto"/>
          <w:sz w:val="21"/>
          <w:szCs w:val="21"/>
          <w:highlight w:val="none"/>
        </w:rPr>
      </w:pPr>
      <w:bookmarkStart w:id="218" w:name="_Toc30816"/>
      <w:r>
        <w:rPr>
          <w:rFonts w:hint="eastAsia" w:ascii="宋体" w:hAnsi="宋体"/>
          <w:color w:val="auto"/>
          <w:sz w:val="21"/>
          <w:szCs w:val="21"/>
          <w:highlight w:val="none"/>
        </w:rPr>
        <w:t>附件9.相关资质证明文件</w:t>
      </w:r>
      <w:bookmarkEnd w:id="218"/>
    </w:p>
    <w:p>
      <w:pPr>
        <w:rPr>
          <w:color w:val="auto"/>
          <w:highlight w:val="none"/>
        </w:rPr>
      </w:pPr>
    </w:p>
    <w:p>
      <w:pPr>
        <w:jc w:val="center"/>
        <w:rPr>
          <w:rFonts w:ascii="黑体" w:eastAsia="黑体"/>
          <w:color w:val="auto"/>
          <w:sz w:val="28"/>
          <w:szCs w:val="28"/>
          <w:highlight w:val="none"/>
        </w:rPr>
      </w:pPr>
      <w:bookmarkStart w:id="219" w:name="_Toc13458"/>
      <w:bookmarkStart w:id="220" w:name="_Toc16698"/>
      <w:bookmarkStart w:id="221" w:name="_Toc16233"/>
      <w:bookmarkStart w:id="222" w:name="_Toc9592"/>
      <w:bookmarkStart w:id="223" w:name="_Toc30307"/>
      <w:r>
        <w:rPr>
          <w:rFonts w:hint="eastAsia" w:ascii="黑体" w:eastAsia="黑体"/>
          <w:color w:val="auto"/>
          <w:sz w:val="28"/>
          <w:szCs w:val="28"/>
          <w:highlight w:val="none"/>
        </w:rPr>
        <w:t>相关资质证明文件</w:t>
      </w:r>
      <w:bookmarkEnd w:id="210"/>
      <w:bookmarkEnd w:id="219"/>
      <w:bookmarkEnd w:id="220"/>
      <w:bookmarkEnd w:id="221"/>
      <w:bookmarkEnd w:id="222"/>
      <w:bookmarkEnd w:id="223"/>
    </w:p>
    <w:p>
      <w:pPr>
        <w:numPr>
          <w:ilvl w:val="0"/>
          <w:numId w:val="2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符合投标邀请书“投标人资格要求”其他要求对应的证明文件；</w:t>
      </w:r>
    </w:p>
    <w:p>
      <w:pPr>
        <w:numPr>
          <w:ilvl w:val="0"/>
          <w:numId w:val="28"/>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投标人认为必要的文件。</w:t>
      </w:r>
      <w:r>
        <w:rPr>
          <w:rFonts w:hint="eastAsia" w:ascii="宋体" w:hAnsi="宋体" w:cs="宋体"/>
          <w:b/>
          <w:bCs/>
          <w:color w:val="auto"/>
          <w:szCs w:val="21"/>
          <w:highlight w:val="none"/>
        </w:rPr>
        <w:br w:type="page"/>
      </w:r>
    </w:p>
    <w:p>
      <w:pPr>
        <w:pStyle w:val="8"/>
        <w:widowControl w:val="0"/>
        <w:overflowPunct w:val="0"/>
        <w:spacing w:line="240" w:lineRule="auto"/>
        <w:rPr>
          <w:rFonts w:ascii="楷体_GB2312" w:eastAsia="楷体_GB2312"/>
          <w:color w:val="auto"/>
          <w:highlight w:val="none"/>
        </w:rPr>
      </w:pPr>
      <w:bookmarkStart w:id="224" w:name="_Toc3091"/>
      <w:r>
        <w:rPr>
          <w:rFonts w:hint="eastAsia" w:ascii="宋体" w:hAnsi="宋体"/>
          <w:color w:val="auto"/>
          <w:sz w:val="21"/>
          <w:szCs w:val="21"/>
          <w:highlight w:val="none"/>
        </w:rPr>
        <w:t>附件10.在经营活动中没有重大违法记录的书面声明格式</w:t>
      </w:r>
      <w:bookmarkEnd w:id="224"/>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w:t>
      </w:r>
    </w:p>
    <w:p>
      <w:pPr>
        <w:ind w:firstLine="420" w:firstLineChars="200"/>
        <w:rPr>
          <w:rFonts w:ascii="宋体" w:hAnsi="宋体" w:cs="宋体"/>
          <w:color w:val="auto"/>
          <w:szCs w:val="21"/>
          <w:highlight w:val="none"/>
        </w:rPr>
      </w:pP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广东泰通伟业工程咨询有限公司</w:t>
      </w:r>
      <w:r>
        <w:rPr>
          <w:rFonts w:hint="eastAsia" w:ascii="宋体" w:hAnsi="宋体" w:cs="宋体"/>
          <w:color w:val="auto"/>
          <w:szCs w:val="21"/>
          <w:highlight w:val="none"/>
        </w:rPr>
        <w:t>：</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lang w:val="en-US" w:eastAsia="zh-CN"/>
        </w:rPr>
        <w:t>XX</w:t>
      </w:r>
      <w:r>
        <w:rPr>
          <w:rFonts w:hint="eastAsia" w:ascii="宋体" w:hAnsi="宋体" w:cs="宋体"/>
          <w:color w:val="auto"/>
          <w:szCs w:val="21"/>
          <w:highlight w:val="none"/>
        </w:rPr>
        <w:t>）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rPr>
          <w:color w:val="auto"/>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color w:val="auto"/>
          <w:highlight w:val="none"/>
        </w:rPr>
      </w:pPr>
    </w:p>
    <w:p>
      <w:pPr>
        <w:pStyle w:val="8"/>
        <w:widowControl w:val="0"/>
        <w:overflowPunct w:val="0"/>
        <w:spacing w:line="240" w:lineRule="auto"/>
        <w:rPr>
          <w:rFonts w:ascii="楷体_GB2312" w:eastAsia="楷体_GB2312"/>
          <w:color w:val="auto"/>
          <w:highlight w:val="none"/>
        </w:rPr>
      </w:pPr>
      <w:bookmarkStart w:id="225" w:name="_Toc18616"/>
      <w:r>
        <w:rPr>
          <w:rFonts w:hint="eastAsia" w:ascii="宋体" w:hAnsi="宋体"/>
          <w:color w:val="auto"/>
          <w:sz w:val="21"/>
          <w:szCs w:val="21"/>
          <w:highlight w:val="none"/>
        </w:rPr>
        <w:t>附件11.承诺书格式</w:t>
      </w:r>
      <w:bookmarkEnd w:id="225"/>
    </w:p>
    <w:p>
      <w:pPr>
        <w:jc w:val="center"/>
        <w:rPr>
          <w:rFonts w:ascii="黑体" w:eastAsia="黑体"/>
          <w:color w:val="auto"/>
          <w:sz w:val="28"/>
          <w:szCs w:val="28"/>
          <w:highlight w:val="none"/>
        </w:rPr>
      </w:pPr>
      <w:r>
        <w:rPr>
          <w:rFonts w:hint="eastAsia" w:ascii="黑体" w:eastAsia="黑体"/>
          <w:color w:val="auto"/>
          <w:sz w:val="28"/>
          <w:szCs w:val="28"/>
          <w:highlight w:val="none"/>
        </w:rPr>
        <w:t>承诺书</w:t>
      </w:r>
    </w:p>
    <w:p>
      <w:pPr>
        <w:pStyle w:val="4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广东泰通伟业工程咨询有限公司</w:t>
      </w:r>
      <w:r>
        <w:rPr>
          <w:rFonts w:hint="eastAsia" w:ascii="宋体" w:eastAsia="宋体" w:cs="宋体"/>
          <w:color w:val="auto"/>
          <w:sz w:val="21"/>
          <w:szCs w:val="21"/>
          <w:highlight w:val="none"/>
        </w:rPr>
        <w:t>：</w:t>
      </w:r>
    </w:p>
    <w:p>
      <w:pPr>
        <w:jc w:val="center"/>
        <w:rPr>
          <w:rFonts w:ascii="宋体" w:hAnsi="宋体" w:cs="宋体"/>
          <w:color w:val="auto"/>
          <w:szCs w:val="21"/>
          <w:highlight w:val="none"/>
        </w:rPr>
      </w:pPr>
    </w:p>
    <w:p>
      <w:pPr>
        <w:pStyle w:val="47"/>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eastAsia="宋体" w:cs="宋体"/>
          <w:color w:val="auto"/>
          <w:sz w:val="21"/>
          <w:szCs w:val="21"/>
          <w:highlight w:val="none"/>
        </w:rPr>
        <w:cr/>
      </w:r>
    </w:p>
    <w:p>
      <w:pPr>
        <w:pStyle w:val="4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rPr>
          <w:color w:val="auto"/>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226" w:name="_Toc24507"/>
      <w:r>
        <w:rPr>
          <w:rFonts w:hint="eastAsia" w:ascii="宋体" w:hAnsi="宋体"/>
          <w:color w:val="auto"/>
          <w:sz w:val="21"/>
          <w:szCs w:val="21"/>
          <w:highlight w:val="none"/>
        </w:rPr>
        <w:t>附件12.商务需求条款偏离表格式</w:t>
      </w:r>
      <w:bookmarkEnd w:id="226"/>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2"/>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rFonts w:ascii="宋体" w:hAnsi="宋体"/>
                <w:color w:val="auto"/>
                <w:szCs w:val="21"/>
                <w:highlight w:val="none"/>
              </w:rPr>
            </w:pPr>
          </w:p>
        </w:tc>
        <w:tc>
          <w:tcPr>
            <w:tcW w:w="1620" w:type="dxa"/>
            <w:vAlign w:val="center"/>
          </w:tcPr>
          <w:p>
            <w:pPr>
              <w:jc w:val="center"/>
              <w:rPr>
                <w:rFonts w:ascii="宋体" w:hAnsi="宋体"/>
                <w:color w:val="auto"/>
                <w:szCs w:val="21"/>
                <w:highlight w:val="none"/>
              </w:rPr>
            </w:pPr>
          </w:p>
        </w:tc>
        <w:tc>
          <w:tcPr>
            <w:tcW w:w="1360" w:type="dxa"/>
            <w:vAlign w:val="center"/>
          </w:tcPr>
          <w:p>
            <w:pPr>
              <w:jc w:val="center"/>
              <w:rPr>
                <w:rFonts w:ascii="宋体" w:hAnsi="宋体"/>
                <w:color w:val="auto"/>
                <w:szCs w:val="21"/>
                <w:highlight w:val="none"/>
              </w:rPr>
            </w:pPr>
          </w:p>
        </w:tc>
        <w:tc>
          <w:tcPr>
            <w:tcW w:w="1587" w:type="dxa"/>
            <w:vAlign w:val="center"/>
          </w:tcPr>
          <w:p>
            <w:pPr>
              <w:jc w:val="center"/>
              <w:rPr>
                <w:rFonts w:ascii="宋体" w:hAnsi="宋体"/>
                <w:color w:val="auto"/>
                <w:szCs w:val="21"/>
                <w:highlight w:val="none"/>
              </w:rPr>
            </w:pPr>
          </w:p>
        </w:tc>
        <w:tc>
          <w:tcPr>
            <w:tcW w:w="1133" w:type="dxa"/>
            <w:vAlign w:val="center"/>
          </w:tcPr>
          <w:p>
            <w:pPr>
              <w:jc w:val="center"/>
              <w:rPr>
                <w:rFonts w:ascii="宋体" w:hAnsi="宋体"/>
                <w:color w:val="auto"/>
                <w:szCs w:val="21"/>
                <w:highlight w:val="none"/>
              </w:rPr>
            </w:pPr>
          </w:p>
        </w:tc>
        <w:tc>
          <w:tcPr>
            <w:tcW w:w="1730"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ind w:left="718" w:hanging="718" w:hangingChars="342"/>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30"/>
          <w:szCs w:val="30"/>
          <w:highlight w:val="none"/>
        </w:rPr>
      </w:pPr>
      <w:bookmarkStart w:id="227" w:name="_Toc22347"/>
      <w:r>
        <w:rPr>
          <w:rFonts w:hint="eastAsia" w:ascii="宋体" w:hAnsi="宋体"/>
          <w:color w:val="auto"/>
          <w:sz w:val="21"/>
          <w:szCs w:val="21"/>
          <w:highlight w:val="none"/>
        </w:rPr>
        <w:t>附件13.业绩表</w:t>
      </w:r>
      <w:bookmarkEnd w:id="227"/>
    </w:p>
    <w:p>
      <w:pP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3"/>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697" w:type="dxa"/>
            <w:vAlign w:val="center"/>
          </w:tcPr>
          <w:p>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706" w:type="dxa"/>
            <w:vAlign w:val="center"/>
          </w:tcPr>
          <w:p>
            <w:pPr>
              <w:adjustRightInd/>
              <w:snapToGrid/>
              <w:jc w:val="center"/>
              <w:rPr>
                <w:rFonts w:ascii="宋体" w:hAnsi="宋体"/>
                <w:color w:val="auto"/>
                <w:szCs w:val="21"/>
                <w:highlight w:val="none"/>
              </w:rPr>
            </w:pPr>
          </w:p>
        </w:tc>
        <w:tc>
          <w:tcPr>
            <w:tcW w:w="1705" w:type="dxa"/>
            <w:vAlign w:val="center"/>
          </w:tcPr>
          <w:p>
            <w:pPr>
              <w:adjustRightInd/>
              <w:snapToGrid/>
              <w:jc w:val="center"/>
              <w:rPr>
                <w:rFonts w:ascii="宋体" w:hAnsi="宋体"/>
                <w:color w:val="auto"/>
                <w:szCs w:val="21"/>
                <w:highlight w:val="none"/>
              </w:rPr>
            </w:pPr>
          </w:p>
        </w:tc>
        <w:tc>
          <w:tcPr>
            <w:tcW w:w="1697" w:type="dxa"/>
            <w:vAlign w:val="center"/>
          </w:tcPr>
          <w:p>
            <w:pPr>
              <w:adjustRightInd/>
              <w:snapToGrid/>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706" w:type="dxa"/>
          </w:tcPr>
          <w:p>
            <w:pPr>
              <w:adjustRightInd/>
              <w:snapToGrid/>
              <w:rPr>
                <w:rFonts w:ascii="宋体" w:hAnsi="宋体"/>
                <w:color w:val="auto"/>
                <w:szCs w:val="21"/>
                <w:highlight w:val="none"/>
              </w:rPr>
            </w:pPr>
          </w:p>
        </w:tc>
        <w:tc>
          <w:tcPr>
            <w:tcW w:w="1705" w:type="dxa"/>
          </w:tcPr>
          <w:p>
            <w:pPr>
              <w:adjustRightInd/>
              <w:snapToGrid/>
              <w:rPr>
                <w:rFonts w:ascii="宋体" w:hAnsi="宋体"/>
                <w:color w:val="auto"/>
                <w:szCs w:val="21"/>
                <w:highlight w:val="none"/>
              </w:rPr>
            </w:pPr>
          </w:p>
        </w:tc>
        <w:tc>
          <w:tcPr>
            <w:tcW w:w="1697" w:type="dxa"/>
          </w:tcPr>
          <w:p>
            <w:pPr>
              <w:adjustRightInd/>
              <w:snapToGrid/>
              <w:rPr>
                <w:rFonts w:ascii="宋体" w:hAnsi="宋体"/>
                <w:color w:val="auto"/>
                <w:szCs w:val="21"/>
                <w:highlight w:val="none"/>
              </w:rPr>
            </w:pPr>
          </w:p>
        </w:tc>
      </w:tr>
    </w:tbl>
    <w:p>
      <w:pPr>
        <w:pStyle w:val="44"/>
        <w:rPr>
          <w:rFonts w:ascii="宋体" w:hAnsi="宋体"/>
          <w:color w:val="auto"/>
          <w:szCs w:val="21"/>
          <w:highlight w:val="none"/>
        </w:rPr>
      </w:pPr>
    </w:p>
    <w:p>
      <w:pPr>
        <w:pStyle w:val="44"/>
        <w:rPr>
          <w:rFonts w:ascii="宋体" w:hAnsi="宋体"/>
          <w:color w:val="auto"/>
          <w:szCs w:val="21"/>
          <w:highlight w:val="none"/>
        </w:rPr>
      </w:pPr>
      <w:r>
        <w:rPr>
          <w:rFonts w:hint="eastAsia" w:ascii="宋体" w:hAnsi="宋体"/>
          <w:color w:val="auto"/>
          <w:szCs w:val="21"/>
          <w:highlight w:val="none"/>
        </w:rPr>
        <w:t>注：</w:t>
      </w:r>
    </w:p>
    <w:p>
      <w:pPr>
        <w:pStyle w:val="44"/>
        <w:numPr>
          <w:ilvl w:val="0"/>
          <w:numId w:val="2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pPr>
        <w:pStyle w:val="44"/>
        <w:numPr>
          <w:ilvl w:val="0"/>
          <w:numId w:val="29"/>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pPr>
        <w:rPr>
          <w:rFonts w:ascii="宋体" w:hAnsi="宋体"/>
          <w:color w:val="auto"/>
          <w:szCs w:val="21"/>
          <w:highlight w:val="none"/>
        </w:rPr>
      </w:pPr>
      <w:r>
        <w:rPr>
          <w:rFonts w:hint="eastAsia" w:ascii="宋体" w:hAnsi="宋体"/>
          <w:color w:val="auto"/>
          <w:szCs w:val="21"/>
          <w:highlight w:val="none"/>
        </w:rPr>
        <w:br w:type="page"/>
      </w:r>
    </w:p>
    <w:p>
      <w:pPr>
        <w:pStyle w:val="2"/>
        <w:rPr>
          <w:color w:val="auto"/>
          <w:szCs w:val="21"/>
          <w:highlight w:val="none"/>
        </w:rPr>
        <w:sectPr>
          <w:headerReference r:id="rId17" w:type="first"/>
          <w:footerReference r:id="rId19" w:type="first"/>
          <w:headerReference r:id="rId15" w:type="default"/>
          <w:footerReference r:id="rId18" w:type="default"/>
          <w:headerReference r:id="rId16" w:type="even"/>
          <w:pgSz w:w="11906" w:h="16838"/>
          <w:pgMar w:top="1440" w:right="1800" w:bottom="1440" w:left="1800" w:header="708" w:footer="708" w:gutter="0"/>
          <w:pgNumType w:fmt="decimal"/>
          <w:cols w:space="708" w:num="1"/>
          <w:titlePg/>
          <w:docGrid w:type="lines" w:linePitch="360" w:charSpace="0"/>
        </w:sectPr>
      </w:pPr>
    </w:p>
    <w:p>
      <w:pPr>
        <w:pStyle w:val="8"/>
        <w:widowControl w:val="0"/>
        <w:overflowPunct w:val="0"/>
        <w:spacing w:line="240" w:lineRule="auto"/>
        <w:rPr>
          <w:color w:val="auto"/>
          <w:highlight w:val="none"/>
        </w:rPr>
      </w:pPr>
      <w:bookmarkStart w:id="228" w:name="_Toc4222"/>
      <w:r>
        <w:rPr>
          <w:rFonts w:hint="eastAsia" w:ascii="宋体" w:hAnsi="宋体"/>
          <w:color w:val="auto"/>
          <w:sz w:val="21"/>
          <w:szCs w:val="21"/>
          <w:highlight w:val="none"/>
        </w:rPr>
        <w:t>附件14.联合体协议书</w:t>
      </w:r>
      <w:r>
        <w:rPr>
          <w:rFonts w:hint="eastAsia"/>
          <w:color w:val="auto"/>
          <w:highlight w:val="none"/>
        </w:rPr>
        <w:t>（如有）</w:t>
      </w:r>
      <w:bookmarkEnd w:id="228"/>
    </w:p>
    <w:p>
      <w:pPr>
        <w:rPr>
          <w:color w:val="auto"/>
          <w:highlight w:val="none"/>
        </w:rPr>
      </w:pPr>
    </w:p>
    <w:p>
      <w:pPr>
        <w:jc w:val="center"/>
        <w:rPr>
          <w:rFonts w:hAnsi="宋体" w:cs="宋体"/>
          <w:color w:val="auto"/>
          <w:highlight w:val="none"/>
        </w:rPr>
      </w:pPr>
      <w:r>
        <w:rPr>
          <w:rFonts w:hint="eastAsia" w:hAnsi="宋体" w:cs="宋体"/>
          <w:b/>
          <w:bCs/>
          <w:color w:val="auto"/>
          <w:highlight w:val="none"/>
        </w:rPr>
        <w:t>联合体共同投标协议书</w:t>
      </w:r>
    </w:p>
    <w:p>
      <w:pPr>
        <w:jc w:val="center"/>
        <w:rPr>
          <w:rFonts w:hAnsi="宋体" w:cs="宋体"/>
          <w:color w:val="auto"/>
          <w:highlight w:val="none"/>
        </w:rPr>
      </w:pPr>
    </w:p>
    <w:p>
      <w:pPr>
        <w:rPr>
          <w:rFonts w:hAnsi="宋体" w:cs="宋体"/>
          <w:color w:val="auto"/>
          <w:szCs w:val="21"/>
          <w:highlight w:val="none"/>
        </w:rPr>
      </w:pPr>
      <w:r>
        <w:rPr>
          <w:rFonts w:hint="eastAsia" w:hAnsi="宋体" w:cs="宋体"/>
          <w:color w:val="auto"/>
          <w:szCs w:val="21"/>
          <w:highlight w:val="none"/>
        </w:rPr>
        <w:t>立约方：（甲公司全称）</w:t>
      </w:r>
    </w:p>
    <w:p>
      <w:pPr>
        <w:rPr>
          <w:rFonts w:hAnsi="宋体" w:cs="宋体"/>
          <w:color w:val="auto"/>
          <w:szCs w:val="21"/>
          <w:highlight w:val="none"/>
        </w:rPr>
      </w:pPr>
      <w:r>
        <w:rPr>
          <w:rFonts w:hint="eastAsia" w:hAnsi="宋体" w:cs="宋体"/>
          <w:color w:val="auto"/>
          <w:szCs w:val="21"/>
          <w:highlight w:val="none"/>
        </w:rPr>
        <w:t>（乙公司全称）</w:t>
      </w:r>
    </w:p>
    <w:p>
      <w:pPr>
        <w:rPr>
          <w:rFonts w:hAnsi="宋体" w:cs="宋体"/>
          <w:color w:val="auto"/>
          <w:szCs w:val="21"/>
          <w:highlight w:val="none"/>
        </w:rPr>
      </w:pPr>
      <w:r>
        <w:rPr>
          <w:rFonts w:hint="eastAsia" w:hAnsi="宋体" w:cs="宋体"/>
          <w:color w:val="auto"/>
          <w:szCs w:val="21"/>
          <w:highlight w:val="none"/>
        </w:rPr>
        <w:t>（……公司全称）</w:t>
      </w:r>
    </w:p>
    <w:p>
      <w:pP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自愿组成联合体，以一个投标人的身份共同参加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pPr>
        <w:rPr>
          <w:rFonts w:hAnsi="宋体" w:cs="宋体"/>
          <w:color w:val="auto"/>
          <w:szCs w:val="21"/>
          <w:highlight w:val="none"/>
        </w:rPr>
      </w:pPr>
      <w:r>
        <w:rPr>
          <w:rFonts w:hint="eastAsia" w:hAnsi="宋体" w:cs="宋体"/>
          <w:color w:val="auto"/>
          <w:szCs w:val="21"/>
          <w:highlight w:val="none"/>
        </w:rPr>
        <w:t>一、联合体各方关系</w:t>
      </w:r>
    </w:p>
    <w:p>
      <w:pP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共同组成一个联合体，以一个投标人的身份共同参加本项目的投标。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作为联合体成员，若中标，联合体各方共同与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pP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pPr>
        <w:rPr>
          <w:rFonts w:hAnsi="宋体" w:cs="宋体"/>
          <w:color w:val="auto"/>
          <w:szCs w:val="21"/>
          <w:highlight w:val="none"/>
        </w:rPr>
      </w:pPr>
      <w:r>
        <w:rPr>
          <w:rFonts w:hint="eastAsia" w:hAnsi="宋体" w:cs="宋体"/>
          <w:color w:val="auto"/>
          <w:szCs w:val="21"/>
          <w:highlight w:val="none"/>
        </w:rPr>
        <w:t>二、联合体内部有关事项约定如下：</w:t>
      </w:r>
    </w:p>
    <w:p>
      <w:pPr>
        <w:rPr>
          <w:rFonts w:hAnsi="宋体" w:cs="宋体"/>
          <w:color w:val="auto"/>
          <w:szCs w:val="21"/>
          <w:highlight w:val="none"/>
        </w:rPr>
      </w:pPr>
      <w:r>
        <w:rPr>
          <w:rFonts w:hint="eastAsia" w:hAnsi="宋体"/>
          <w:color w:val="auto"/>
          <w:szCs w:val="21"/>
          <w:highlight w:val="none"/>
        </w:rPr>
        <w:t>1.联合体牵头人合法代表联合体各成员，负责本项目投标文件编制和投标工作，并代表联合体成员递交和接受相关的资料、信息及指示，并处理与之有关的一切事务，负责合同实施阶段的主办、组织和协调工作。</w:t>
      </w:r>
    </w:p>
    <w:p>
      <w:pPr>
        <w:rPr>
          <w:rFonts w:hAnsi="宋体" w:cs="宋体"/>
          <w:color w:val="auto"/>
          <w:szCs w:val="21"/>
          <w:highlight w:val="none"/>
        </w:rPr>
      </w:pPr>
      <w:r>
        <w:rPr>
          <w:rFonts w:hint="eastAsia" w:hAnsi="宋体" w:cs="宋体"/>
          <w:color w:val="auto"/>
          <w:szCs w:val="21"/>
          <w:highlight w:val="none"/>
        </w:rPr>
        <w:t>2.联合体将严格按照文件的各项要求，递交投标文件，切实执行一切合同文件，共同承担合同规定的一切义务和责任，同时按照内部职责的划分，承担自身所负的责任和风险，在法律上承担连带责任。</w:t>
      </w:r>
    </w:p>
    <w:p>
      <w:pPr>
        <w:rPr>
          <w:rFonts w:hAnsi="宋体" w:cs="宋体"/>
          <w:color w:val="auto"/>
          <w:szCs w:val="21"/>
          <w:highlight w:val="none"/>
        </w:rPr>
      </w:pPr>
      <w:r>
        <w:rPr>
          <w:rFonts w:hint="eastAsia" w:hAnsi="宋体" w:cs="宋体"/>
          <w:color w:val="auto"/>
          <w:szCs w:val="21"/>
          <w:highlight w:val="none"/>
        </w:rPr>
        <w:t>3.如中标，联合体各方共同与（采购人）签订合同书，并就中标项目向采购人负有连带的和各自的法律责任；</w:t>
      </w:r>
    </w:p>
    <w:p>
      <w:pPr>
        <w:rPr>
          <w:rFonts w:hAnsi="宋体" w:cs="宋体"/>
          <w:color w:val="auto"/>
          <w:szCs w:val="21"/>
          <w:highlight w:val="none"/>
        </w:rPr>
      </w:pPr>
      <w:r>
        <w:rPr>
          <w:rFonts w:hint="eastAsia" w:hAnsi="宋体" w:cs="宋体"/>
          <w:color w:val="auto"/>
          <w:szCs w:val="21"/>
          <w:highlight w:val="none"/>
        </w:rPr>
        <w:t>4.联合体各成员单位内部的职责分工如下：</w:t>
      </w:r>
    </w:p>
    <w:p>
      <w:pPr>
        <w:rPr>
          <w:rFonts w:hAnsi="宋体" w:cs="宋体"/>
          <w:color w:val="auto"/>
          <w:szCs w:val="21"/>
          <w:highlight w:val="none"/>
        </w:rPr>
      </w:pPr>
      <w:r>
        <w:rPr>
          <w:rFonts w:hint="eastAsia" w:hAnsi="宋体" w:cs="宋体"/>
          <w:color w:val="auto"/>
          <w:szCs w:val="21"/>
          <w:highlight w:val="none"/>
        </w:rPr>
        <w:t>（1）</w:t>
      </w:r>
    </w:p>
    <w:p>
      <w:pPr>
        <w:rPr>
          <w:color w:val="auto"/>
          <w:highlight w:val="none"/>
        </w:rPr>
      </w:pPr>
      <w:r>
        <w:rPr>
          <w:rFonts w:hint="eastAsia" w:hAnsi="宋体" w:cs="宋体"/>
          <w:color w:val="auto"/>
          <w:szCs w:val="21"/>
          <w:highlight w:val="none"/>
        </w:rPr>
        <w:t>（2）</w:t>
      </w:r>
    </w:p>
    <w:p>
      <w:pP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pP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pPr>
        <w:rPr>
          <w:rFonts w:hAnsi="宋体" w:cs="宋体"/>
          <w:color w:val="auto"/>
          <w:szCs w:val="21"/>
          <w:highlight w:val="none"/>
        </w:rPr>
      </w:pPr>
      <w:r>
        <w:rPr>
          <w:rFonts w:hint="eastAsia"/>
          <w:color w:val="auto"/>
          <w:szCs w:val="21"/>
          <w:highlight w:val="none"/>
        </w:rPr>
        <w:t>五、联合体中标后，本联合体协议是合同的附件，对联合体各成员单位有合同约束力。</w:t>
      </w:r>
    </w:p>
    <w:p>
      <w:pPr>
        <w:rPr>
          <w:rFonts w:hAnsi="宋体" w:cs="宋体"/>
          <w:color w:val="auto"/>
          <w:szCs w:val="21"/>
          <w:highlight w:val="none"/>
        </w:rPr>
      </w:pPr>
      <w:r>
        <w:rPr>
          <w:rFonts w:hint="eastAsia" w:hAnsi="宋体" w:cs="宋体"/>
          <w:color w:val="auto"/>
          <w:szCs w:val="21"/>
          <w:highlight w:val="none"/>
        </w:rPr>
        <w:t>六、本协议在自签署之日起生效，投标有效期内有效，如获中标资格，本协议有效期延续至合同履行完毕之日。</w:t>
      </w:r>
    </w:p>
    <w:p>
      <w:pP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pPr>
        <w:rPr>
          <w:rFonts w:hAnsi="宋体" w:cs="宋体"/>
          <w:color w:val="auto"/>
          <w:szCs w:val="21"/>
          <w:highlight w:val="none"/>
        </w:rPr>
      </w:pPr>
    </w:p>
    <w:p>
      <w:pPr>
        <w:pStyle w:val="2"/>
        <w:rPr>
          <w:color w:val="auto"/>
          <w:sz w:val="21"/>
          <w:szCs w:val="21"/>
          <w:highlight w:val="none"/>
        </w:rPr>
      </w:pPr>
      <w:r>
        <w:rPr>
          <w:rFonts w:hint="eastAsia"/>
          <w:color w:val="auto"/>
          <w:sz w:val="21"/>
          <w:szCs w:val="21"/>
          <w:highlight w:val="none"/>
        </w:rPr>
        <w:t>注：本协议书由委托人签字的，应附法定代表人签字的授权委托书。</w:t>
      </w:r>
    </w:p>
    <w:p>
      <w:pPr>
        <w:pStyle w:val="2"/>
        <w:rPr>
          <w:color w:val="auto"/>
          <w:sz w:val="21"/>
          <w:szCs w:val="21"/>
          <w:highlight w:val="none"/>
        </w:rPr>
      </w:pPr>
      <w:r>
        <w:rPr>
          <w:rFonts w:hint="eastAsia"/>
          <w:color w:val="auto"/>
          <w:sz w:val="21"/>
          <w:szCs w:val="21"/>
          <w:highlight w:val="none"/>
        </w:rPr>
        <w:t>牵头人名称：_______________________（盖单位公章）</w:t>
      </w:r>
    </w:p>
    <w:p>
      <w:pPr>
        <w:pStyle w:val="2"/>
        <w:rPr>
          <w:color w:val="auto"/>
          <w:sz w:val="21"/>
          <w:szCs w:val="21"/>
          <w:highlight w:val="none"/>
        </w:rPr>
      </w:pPr>
      <w:r>
        <w:rPr>
          <w:rFonts w:hint="eastAsia"/>
          <w:color w:val="auto"/>
          <w:sz w:val="21"/>
          <w:szCs w:val="21"/>
          <w:highlight w:val="none"/>
        </w:rPr>
        <w:t>法定代表人或其委托代理人：_____________（签字）</w:t>
      </w:r>
    </w:p>
    <w:p>
      <w:pPr>
        <w:pStyle w:val="2"/>
        <w:rPr>
          <w:color w:val="auto"/>
          <w:sz w:val="21"/>
          <w:szCs w:val="21"/>
          <w:highlight w:val="none"/>
        </w:rPr>
      </w:pPr>
    </w:p>
    <w:p>
      <w:pPr>
        <w:pStyle w:val="2"/>
        <w:rPr>
          <w:color w:val="auto"/>
          <w:sz w:val="21"/>
          <w:szCs w:val="21"/>
          <w:highlight w:val="none"/>
        </w:rPr>
      </w:pPr>
      <w:r>
        <w:rPr>
          <w:rFonts w:hint="eastAsia"/>
          <w:color w:val="auto"/>
          <w:sz w:val="21"/>
          <w:szCs w:val="21"/>
          <w:highlight w:val="none"/>
        </w:rPr>
        <w:t>成员一名称：_______________________（盖单位公章）</w:t>
      </w:r>
    </w:p>
    <w:p>
      <w:pPr>
        <w:pStyle w:val="2"/>
        <w:rPr>
          <w:color w:val="auto"/>
          <w:sz w:val="21"/>
          <w:szCs w:val="21"/>
          <w:highlight w:val="none"/>
        </w:rPr>
      </w:pPr>
      <w:r>
        <w:rPr>
          <w:rFonts w:hint="eastAsia"/>
          <w:color w:val="auto"/>
          <w:sz w:val="21"/>
          <w:szCs w:val="21"/>
          <w:highlight w:val="none"/>
        </w:rPr>
        <w:t>法定代表人或其委托代理人：_____________（签字）</w:t>
      </w:r>
    </w:p>
    <w:p>
      <w:pPr>
        <w:pStyle w:val="2"/>
        <w:rPr>
          <w:color w:val="auto"/>
          <w:sz w:val="21"/>
          <w:szCs w:val="21"/>
          <w:highlight w:val="none"/>
        </w:rPr>
      </w:pPr>
    </w:p>
    <w:p>
      <w:pPr>
        <w:pStyle w:val="2"/>
        <w:rPr>
          <w:color w:val="auto"/>
          <w:sz w:val="21"/>
          <w:szCs w:val="21"/>
          <w:highlight w:val="none"/>
        </w:rPr>
      </w:pPr>
      <w:r>
        <w:rPr>
          <w:rFonts w:hint="eastAsia"/>
          <w:color w:val="auto"/>
          <w:sz w:val="21"/>
          <w:szCs w:val="21"/>
          <w:highlight w:val="none"/>
        </w:rPr>
        <w:t>成员二名称：_______________________（盖单位公章）</w:t>
      </w:r>
    </w:p>
    <w:p>
      <w:pPr>
        <w:pStyle w:val="2"/>
        <w:rPr>
          <w:color w:val="auto"/>
          <w:sz w:val="21"/>
          <w:szCs w:val="21"/>
          <w:highlight w:val="none"/>
        </w:rPr>
      </w:pPr>
      <w:r>
        <w:rPr>
          <w:rFonts w:hint="eastAsia"/>
          <w:color w:val="auto"/>
          <w:sz w:val="21"/>
          <w:szCs w:val="21"/>
          <w:highlight w:val="none"/>
        </w:rPr>
        <w:t>法定代表人或其委托代理人：_____________（签字）</w:t>
      </w:r>
    </w:p>
    <w:p>
      <w:pPr>
        <w:pStyle w:val="2"/>
        <w:ind w:firstLine="210" w:firstLineChars="100"/>
        <w:jc w:val="both"/>
        <w:rPr>
          <w:color w:val="auto"/>
          <w:sz w:val="21"/>
          <w:szCs w:val="21"/>
          <w:highlight w:val="none"/>
        </w:rPr>
      </w:pPr>
      <w:r>
        <w:rPr>
          <w:rFonts w:hint="eastAsia"/>
          <w:color w:val="auto"/>
          <w:sz w:val="21"/>
          <w:szCs w:val="21"/>
          <w:highlight w:val="none"/>
        </w:rPr>
        <w:t>……</w:t>
      </w:r>
    </w:p>
    <w:p>
      <w:pPr>
        <w:pStyle w:val="2"/>
        <w:rPr>
          <w:color w:val="auto"/>
          <w:highlight w:val="none"/>
          <w:lang w:val="en-US"/>
        </w:rPr>
        <w:sectPr>
          <w:pgSz w:w="11906" w:h="16838"/>
          <w:pgMar w:top="1440" w:right="1800" w:bottom="1440" w:left="1800" w:header="708" w:footer="708" w:gutter="0"/>
          <w:pgNumType w:fmt="decimal"/>
          <w:cols w:space="708" w:num="1"/>
          <w:titlePg/>
          <w:docGrid w:type="lines" w:linePitch="360" w:charSpace="0"/>
        </w:sectPr>
      </w:pPr>
      <w:r>
        <w:rPr>
          <w:rFonts w:hint="eastAsia"/>
          <w:color w:val="auto"/>
          <w:sz w:val="21"/>
          <w:szCs w:val="21"/>
          <w:highlight w:val="none"/>
        </w:rPr>
        <w:t xml:space="preserve">        年     月     日</w:t>
      </w:r>
    </w:p>
    <w:p>
      <w:pPr>
        <w:pStyle w:val="2"/>
        <w:rPr>
          <w:color w:val="auto"/>
          <w:highlight w:val="none"/>
        </w:rPr>
      </w:pPr>
    </w:p>
    <w:p>
      <w:pPr>
        <w:pStyle w:val="6"/>
        <w:spacing w:before="0" w:after="0" w:line="360" w:lineRule="auto"/>
        <w:jc w:val="center"/>
        <w:rPr>
          <w:color w:val="auto"/>
          <w:sz w:val="72"/>
          <w:szCs w:val="72"/>
          <w:highlight w:val="none"/>
        </w:rPr>
      </w:pPr>
      <w:bookmarkStart w:id="229" w:name="_Toc17454"/>
      <w:r>
        <w:rPr>
          <w:rFonts w:hint="eastAsia"/>
          <w:color w:val="auto"/>
          <w:sz w:val="72"/>
          <w:szCs w:val="72"/>
          <w:highlight w:val="none"/>
        </w:rPr>
        <w:t>技术文件</w:t>
      </w:r>
      <w:bookmarkEnd w:id="229"/>
    </w:p>
    <w:p>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pPr>
        <w:rPr>
          <w:color w:val="auto"/>
          <w:highlight w:val="none"/>
        </w:rPr>
      </w:pPr>
    </w:p>
    <w:p>
      <w:pPr>
        <w:pStyle w:val="2"/>
        <w:rPr>
          <w:color w:val="auto"/>
          <w:highlight w:val="none"/>
        </w:rPr>
      </w:pPr>
    </w:p>
    <w:p>
      <w:pPr>
        <w:pStyle w:val="3"/>
        <w:ind w:firstLine="240"/>
        <w:rPr>
          <w:color w:val="auto"/>
          <w:highlight w:val="none"/>
        </w:rPr>
      </w:pPr>
    </w:p>
    <w:p>
      <w:pPr>
        <w:rPr>
          <w:rFonts w:ascii="宋体" w:hAnsi="宋体" w:cs="宋体"/>
          <w:b/>
          <w:bCs/>
          <w:color w:val="auto"/>
          <w:spacing w:val="0"/>
          <w:kern w:val="0"/>
          <w:sz w:val="32"/>
          <w:szCs w:val="32"/>
          <w:highlight w:val="none"/>
          <w:fitText w:val="1600" w:id="292250509"/>
        </w:rPr>
      </w:pPr>
      <w:r>
        <w:rPr>
          <w:rFonts w:hint="eastAsia" w:ascii="宋体" w:hAnsi="宋体" w:cs="宋体"/>
          <w:b/>
          <w:bCs/>
          <w:color w:val="auto"/>
          <w:spacing w:val="0"/>
          <w:kern w:val="0"/>
          <w:sz w:val="32"/>
          <w:szCs w:val="32"/>
          <w:highlight w:val="none"/>
          <w:fitText w:val="1600" w:id="292250509"/>
        </w:rPr>
        <w:t>项目名称：</w:t>
      </w:r>
    </w:p>
    <w:p>
      <w:pPr>
        <w:rPr>
          <w:rFonts w:ascii="宋体" w:hAnsi="宋体" w:cs="宋体"/>
          <w:b/>
          <w:bCs/>
          <w:color w:val="auto"/>
          <w:spacing w:val="213"/>
          <w:kern w:val="0"/>
          <w:sz w:val="32"/>
          <w:szCs w:val="32"/>
          <w:highlight w:val="none"/>
          <w:fitText w:val="1600" w:id="1231831253"/>
        </w:rPr>
      </w:pPr>
      <w:r>
        <w:rPr>
          <w:rFonts w:hint="eastAsia" w:ascii="宋体" w:hAnsi="宋体" w:cs="宋体"/>
          <w:b/>
          <w:bCs/>
          <w:color w:val="auto"/>
          <w:spacing w:val="53"/>
          <w:kern w:val="0"/>
          <w:sz w:val="32"/>
          <w:szCs w:val="32"/>
          <w:highlight w:val="none"/>
          <w:fitText w:val="1600" w:id="292250509"/>
        </w:rPr>
        <w:t>项目编</w:t>
      </w:r>
      <w:r>
        <w:rPr>
          <w:rFonts w:hint="eastAsia" w:ascii="宋体" w:hAnsi="宋体" w:cs="宋体"/>
          <w:b/>
          <w:bCs/>
          <w:color w:val="auto"/>
          <w:spacing w:val="1"/>
          <w:kern w:val="0"/>
          <w:sz w:val="32"/>
          <w:szCs w:val="32"/>
          <w:highlight w:val="none"/>
          <w:fitText w:val="1600" w:id="292250509"/>
        </w:rPr>
        <w:t>号</w:t>
      </w:r>
      <w:r>
        <w:rPr>
          <w:rFonts w:hint="eastAsia" w:ascii="宋体" w:hAnsi="宋体" w:cs="宋体"/>
          <w:b/>
          <w:bCs/>
          <w:color w:val="auto"/>
          <w:spacing w:val="640"/>
          <w:kern w:val="0"/>
          <w:sz w:val="32"/>
          <w:szCs w:val="32"/>
          <w:highlight w:val="none"/>
          <w:fitText w:val="1600" w:id="1231831253"/>
        </w:rPr>
        <w:t>：</w:t>
      </w:r>
    </w:p>
    <w:p>
      <w:pPr>
        <w:pStyle w:val="2"/>
        <w:ind w:left="0"/>
        <w:rPr>
          <w:b/>
          <w:color w:val="auto"/>
          <w:spacing w:val="1280"/>
          <w:sz w:val="32"/>
          <w:szCs w:val="32"/>
          <w:highlight w:val="none"/>
        </w:rPr>
      </w:pPr>
      <w:r>
        <w:rPr>
          <w:b/>
          <w:color w:val="auto"/>
          <w:spacing w:val="53"/>
          <w:kern w:val="0"/>
          <w:sz w:val="32"/>
          <w:szCs w:val="32"/>
          <w:highlight w:val="none"/>
          <w:fitText w:val="1600" w:id="1231831253"/>
          <w:lang w:val="en-US" w:bidi="ar-SA"/>
        </w:rPr>
        <w:t>包组号</w:t>
      </w:r>
      <w:r>
        <w:rPr>
          <w:b/>
          <w:color w:val="auto"/>
          <w:spacing w:val="1"/>
          <w:kern w:val="0"/>
          <w:sz w:val="32"/>
          <w:szCs w:val="32"/>
          <w:highlight w:val="none"/>
          <w:fitText w:val="1600" w:id="1231831253"/>
          <w:lang w:val="en-US" w:bidi="ar-SA"/>
        </w:rPr>
        <w:t>（</w:t>
      </w:r>
      <w:r>
        <w:rPr>
          <w:b/>
          <w:color w:val="auto"/>
          <w:spacing w:val="106"/>
          <w:sz w:val="32"/>
          <w:szCs w:val="32"/>
          <w:highlight w:val="none"/>
          <w:lang w:val="en-US" w:bidi="ar-SA"/>
        </w:rPr>
        <w:t>如有）：</w:t>
      </w:r>
    </w:p>
    <w:p>
      <w:pPr>
        <w:rPr>
          <w:rFonts w:ascii="宋体" w:hAnsi="宋体" w:cs="宋体"/>
          <w:b/>
          <w:color w:val="auto"/>
          <w:spacing w:val="0"/>
          <w:w w:val="83"/>
          <w:kern w:val="0"/>
          <w:sz w:val="32"/>
          <w:szCs w:val="32"/>
          <w:highlight w:val="none"/>
          <w:fitText w:val="1600" w:id="1764384445"/>
        </w:rPr>
      </w:pPr>
      <w:r>
        <w:rPr>
          <w:rFonts w:hint="eastAsia" w:ascii="宋体" w:hAnsi="宋体" w:cs="宋体"/>
          <w:b/>
          <w:color w:val="auto"/>
          <w:spacing w:val="0"/>
          <w:w w:val="83"/>
          <w:kern w:val="0"/>
          <w:sz w:val="32"/>
          <w:szCs w:val="32"/>
          <w:highlight w:val="none"/>
          <w:fitText w:val="1600" w:id="1764384445"/>
        </w:rPr>
        <w:t>投标人名称：</w:t>
      </w:r>
    </w:p>
    <w:p>
      <w:pPr>
        <w:rPr>
          <w:rFonts w:ascii="宋体" w:hAnsi="宋体" w:cs="宋体"/>
          <w:b/>
          <w:color w:val="auto"/>
          <w:spacing w:val="38"/>
          <w:kern w:val="0"/>
          <w:sz w:val="32"/>
          <w:szCs w:val="32"/>
          <w:highlight w:val="none"/>
          <w:fitText w:val="1600" w:id="2061173831"/>
        </w:rPr>
      </w:pPr>
      <w:r>
        <w:rPr>
          <w:rFonts w:hint="eastAsia" w:ascii="宋体" w:hAnsi="宋体" w:cs="宋体"/>
          <w:b/>
          <w:color w:val="auto"/>
          <w:spacing w:val="133"/>
          <w:w w:val="100"/>
          <w:kern w:val="0"/>
          <w:sz w:val="32"/>
          <w:szCs w:val="32"/>
          <w:highlight w:val="none"/>
          <w:fitText w:val="1600" w:id="1764384445"/>
        </w:rPr>
        <w:t xml:space="preserve">日  </w:t>
      </w:r>
      <w:r>
        <w:rPr>
          <w:rFonts w:hint="eastAsia" w:ascii="宋体" w:hAnsi="宋体" w:cs="宋体"/>
          <w:b/>
          <w:color w:val="auto"/>
          <w:spacing w:val="1"/>
          <w:w w:val="100"/>
          <w:kern w:val="0"/>
          <w:sz w:val="32"/>
          <w:szCs w:val="32"/>
          <w:highlight w:val="none"/>
          <w:fitText w:val="1600" w:id="1764384445"/>
        </w:rPr>
        <w:t xml:space="preserve"> </w:t>
      </w:r>
      <w:r>
        <w:rPr>
          <w:rFonts w:hint="eastAsia" w:ascii="宋体" w:hAnsi="宋体" w:cs="宋体"/>
          <w:b/>
          <w:color w:val="auto"/>
          <w:spacing w:val="200"/>
          <w:kern w:val="0"/>
          <w:sz w:val="32"/>
          <w:szCs w:val="32"/>
          <w:highlight w:val="none"/>
          <w:fitText w:val="1600" w:id="2061173831"/>
        </w:rPr>
        <w:t xml:space="preserve"> 期</w:t>
      </w:r>
      <w:r>
        <w:rPr>
          <w:rFonts w:hint="eastAsia" w:ascii="宋体" w:hAnsi="宋体" w:cs="宋体"/>
          <w:b/>
          <w:color w:val="auto"/>
          <w:spacing w:val="0"/>
          <w:kern w:val="0"/>
          <w:sz w:val="32"/>
          <w:szCs w:val="32"/>
          <w:highlight w:val="none"/>
          <w:fitText w:val="1600" w:id="2061173831"/>
        </w:rPr>
        <w:t>：</w:t>
      </w:r>
    </w:p>
    <w:p>
      <w:pPr>
        <w:rPr>
          <w:rFonts w:ascii="宋体" w:hAnsi="宋体"/>
          <w:color w:val="auto"/>
          <w:spacing w:val="4"/>
          <w:kern w:val="0"/>
          <w:szCs w:val="21"/>
          <w:highlight w:val="none"/>
          <w:fitText w:val="1600" w:id="2061173831"/>
        </w:rPr>
      </w:pPr>
      <w:r>
        <w:rPr>
          <w:rFonts w:hint="eastAsia" w:ascii="宋体" w:hAnsi="宋体"/>
          <w:color w:val="auto"/>
          <w:spacing w:val="4"/>
          <w:kern w:val="0"/>
          <w:szCs w:val="21"/>
          <w:highlight w:val="none"/>
          <w:fitText w:val="1600" w:id="2061173831"/>
        </w:rPr>
        <w:br w:type="page"/>
      </w:r>
    </w:p>
    <w:p>
      <w:pPr>
        <w:pStyle w:val="8"/>
        <w:widowControl w:val="0"/>
        <w:overflowPunct w:val="0"/>
        <w:spacing w:line="240" w:lineRule="auto"/>
        <w:rPr>
          <w:rFonts w:ascii="宋体" w:hAnsi="宋体"/>
          <w:color w:val="auto"/>
          <w:sz w:val="21"/>
          <w:szCs w:val="21"/>
          <w:highlight w:val="none"/>
        </w:rPr>
      </w:pPr>
      <w:bookmarkStart w:id="230" w:name="_Toc3704"/>
      <w:r>
        <w:rPr>
          <w:rFonts w:hint="eastAsia" w:ascii="宋体" w:hAnsi="宋体"/>
          <w:color w:val="auto"/>
          <w:sz w:val="21"/>
          <w:szCs w:val="21"/>
          <w:highlight w:val="none"/>
        </w:rPr>
        <w:t>附件15. 技术规格偏离表格式</w:t>
      </w:r>
      <w:bookmarkEnd w:id="230"/>
    </w:p>
    <w:p>
      <w:pPr>
        <w:jc w:val="center"/>
        <w:rPr>
          <w:rFonts w:ascii="黑体" w:eastAsia="黑体"/>
          <w:color w:val="auto"/>
          <w:sz w:val="28"/>
          <w:szCs w:val="28"/>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6" w:hRule="atLeast"/>
        </w:trPr>
        <w:tc>
          <w:tcPr>
            <w:tcW w:w="83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pPr>
              <w:jc w:val="center"/>
              <w:rPr>
                <w:rFonts w:ascii="宋体" w:hAnsi="宋体"/>
                <w:color w:val="auto"/>
                <w:szCs w:val="21"/>
                <w:highlight w:val="none"/>
              </w:rPr>
            </w:pPr>
          </w:p>
        </w:tc>
        <w:tc>
          <w:tcPr>
            <w:tcW w:w="1902" w:type="dxa"/>
            <w:vAlign w:val="center"/>
          </w:tcPr>
          <w:p>
            <w:pPr>
              <w:jc w:val="center"/>
              <w:rPr>
                <w:rFonts w:ascii="宋体" w:hAnsi="宋体"/>
                <w:color w:val="auto"/>
                <w:szCs w:val="21"/>
                <w:highlight w:val="none"/>
              </w:rPr>
            </w:pPr>
          </w:p>
        </w:tc>
        <w:tc>
          <w:tcPr>
            <w:tcW w:w="1370" w:type="dxa"/>
            <w:vAlign w:val="center"/>
          </w:tcPr>
          <w:p>
            <w:pPr>
              <w:jc w:val="center"/>
              <w:rPr>
                <w:rFonts w:ascii="宋体" w:hAnsi="宋体"/>
                <w:color w:val="auto"/>
                <w:szCs w:val="21"/>
                <w:highlight w:val="none"/>
              </w:rPr>
            </w:pPr>
          </w:p>
        </w:tc>
        <w:tc>
          <w:tcPr>
            <w:tcW w:w="1629" w:type="dxa"/>
            <w:vAlign w:val="center"/>
          </w:tcPr>
          <w:p>
            <w:pPr>
              <w:jc w:val="center"/>
              <w:rPr>
                <w:rFonts w:ascii="宋体" w:hAnsi="宋体"/>
                <w:color w:val="auto"/>
                <w:szCs w:val="21"/>
                <w:highlight w:val="none"/>
              </w:rPr>
            </w:pPr>
          </w:p>
        </w:tc>
        <w:tc>
          <w:tcPr>
            <w:tcW w:w="1239" w:type="dxa"/>
            <w:vAlign w:val="center"/>
          </w:tcPr>
          <w:p>
            <w:pPr>
              <w:jc w:val="center"/>
              <w:rPr>
                <w:rFonts w:ascii="宋体" w:hAnsi="宋体"/>
                <w:color w:val="auto"/>
                <w:szCs w:val="21"/>
                <w:highlight w:val="none"/>
              </w:rPr>
            </w:pPr>
          </w:p>
        </w:tc>
        <w:tc>
          <w:tcPr>
            <w:tcW w:w="1544" w:type="dxa"/>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pPr>
        <w:adjustRightInd/>
        <w:snapToGrid/>
        <w:spacing w:line="276" w:lineRule="auto"/>
        <w:rPr>
          <w:color w:val="auto"/>
          <w:highlight w:val="none"/>
        </w:rPr>
      </w:pPr>
    </w:p>
    <w:p>
      <w:pPr>
        <w:adjustRightInd/>
        <w:snapToGrid/>
        <w:spacing w:line="276" w:lineRule="auto"/>
        <w:rPr>
          <w:color w:val="auto"/>
          <w:highlight w:val="none"/>
        </w:rPr>
      </w:pPr>
    </w:p>
    <w:p>
      <w:pPr>
        <w:rPr>
          <w:rFonts w:ascii="宋体" w:hAnsi="宋体"/>
          <w:color w:val="auto"/>
          <w:szCs w:val="21"/>
          <w:highlight w:val="none"/>
        </w:rPr>
      </w:pPr>
      <w:bookmarkStart w:id="231" w:name="_Toc17691"/>
      <w:r>
        <w:rPr>
          <w:rFonts w:hint="eastAsia" w:ascii="宋体" w:hAnsi="宋体"/>
          <w:color w:val="auto"/>
          <w:szCs w:val="21"/>
          <w:highlight w:val="none"/>
        </w:rPr>
        <w:br w:type="page"/>
      </w:r>
    </w:p>
    <w:bookmarkEnd w:id="231"/>
    <w:p>
      <w:pPr>
        <w:pStyle w:val="8"/>
        <w:widowControl w:val="0"/>
        <w:overflowPunct w:val="0"/>
        <w:spacing w:line="240" w:lineRule="auto"/>
        <w:rPr>
          <w:rFonts w:ascii="宋体" w:hAnsi="宋体"/>
          <w:color w:val="auto"/>
          <w:sz w:val="21"/>
          <w:szCs w:val="21"/>
          <w:highlight w:val="none"/>
        </w:rPr>
      </w:pPr>
      <w:bookmarkStart w:id="232" w:name="_Toc13819"/>
      <w:r>
        <w:rPr>
          <w:rFonts w:hint="eastAsia" w:ascii="宋体" w:hAnsi="宋体"/>
          <w:color w:val="auto"/>
          <w:sz w:val="21"/>
          <w:szCs w:val="21"/>
          <w:highlight w:val="none"/>
        </w:rPr>
        <w:t>附件16.项目实施方案格式</w:t>
      </w:r>
      <w:bookmarkEnd w:id="232"/>
    </w:p>
    <w:p>
      <w:pPr>
        <w:jc w:val="center"/>
        <w:rPr>
          <w:rFonts w:ascii="黑体" w:eastAsia="黑体"/>
          <w:color w:val="auto"/>
          <w:sz w:val="32"/>
          <w:szCs w:val="32"/>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pPr>
        <w:jc w:val="center"/>
        <w:rPr>
          <w:rFonts w:ascii="黑体" w:eastAsia="黑体"/>
          <w:color w:val="auto"/>
          <w:sz w:val="32"/>
          <w:szCs w:val="32"/>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rFonts w:ascii="宋体" w:hAnsi="宋体"/>
          <w:color w:val="auto"/>
          <w:sz w:val="21"/>
          <w:szCs w:val="21"/>
          <w:highlight w:val="none"/>
        </w:rPr>
      </w:pPr>
      <w:bookmarkStart w:id="233" w:name="_Toc23846"/>
      <w:r>
        <w:rPr>
          <w:rFonts w:hint="eastAsia" w:ascii="宋体" w:hAnsi="宋体"/>
          <w:color w:val="auto"/>
          <w:sz w:val="21"/>
          <w:szCs w:val="21"/>
          <w:highlight w:val="none"/>
        </w:rPr>
        <w:t>附件17.实施本项目的有关人员资料表格式</w:t>
      </w:r>
      <w:bookmarkEnd w:id="233"/>
    </w:p>
    <w:p>
      <w:pPr>
        <w:jc w:val="center"/>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702"/>
        <w:gridCol w:w="1861"/>
        <w:gridCol w:w="702"/>
        <w:gridCol w:w="702"/>
        <w:gridCol w:w="1164"/>
        <w:gridCol w:w="818"/>
        <w:gridCol w:w="1165"/>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姓名</w:t>
            </w:r>
          </w:p>
        </w:tc>
        <w:tc>
          <w:tcPr>
            <w:tcW w:w="1092" w:type="pct"/>
            <w:vAlign w:val="center"/>
          </w:tcPr>
          <w:p>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性别</w:t>
            </w:r>
          </w:p>
        </w:tc>
        <w:tc>
          <w:tcPr>
            <w:tcW w:w="412" w:type="pct"/>
            <w:vAlign w:val="center"/>
          </w:tcPr>
          <w:p>
            <w:pPr>
              <w:jc w:val="center"/>
              <w:rPr>
                <w:rFonts w:ascii="宋体" w:hAnsi="宋体"/>
                <w:color w:val="auto"/>
                <w:szCs w:val="21"/>
                <w:highlight w:val="none"/>
              </w:rPr>
            </w:pPr>
            <w:r>
              <w:rPr>
                <w:rFonts w:hint="eastAsia" w:ascii="宋体" w:hAnsi="宋体"/>
                <w:color w:val="auto"/>
                <w:szCs w:val="21"/>
                <w:highlight w:val="none"/>
              </w:rPr>
              <w:t>年龄</w:t>
            </w:r>
          </w:p>
        </w:tc>
        <w:tc>
          <w:tcPr>
            <w:tcW w:w="683" w:type="pct"/>
            <w:vAlign w:val="center"/>
          </w:tcPr>
          <w:p>
            <w:pPr>
              <w:jc w:val="center"/>
              <w:rPr>
                <w:rFonts w:ascii="宋体" w:hAnsi="宋体"/>
                <w:color w:val="auto"/>
                <w:szCs w:val="21"/>
                <w:highlight w:val="none"/>
              </w:rPr>
            </w:pPr>
            <w:r>
              <w:rPr>
                <w:rFonts w:hint="eastAsia" w:ascii="宋体" w:hAnsi="宋体"/>
                <w:color w:val="auto"/>
                <w:szCs w:val="21"/>
                <w:highlight w:val="none"/>
              </w:rPr>
              <w:t>技术职称</w:t>
            </w:r>
          </w:p>
        </w:tc>
        <w:tc>
          <w:tcPr>
            <w:tcW w:w="480" w:type="pct"/>
            <w:vAlign w:val="center"/>
          </w:tcPr>
          <w:p>
            <w:pPr>
              <w:jc w:val="center"/>
              <w:rPr>
                <w:rFonts w:ascii="宋体" w:hAnsi="宋体"/>
                <w:color w:val="auto"/>
                <w:szCs w:val="21"/>
                <w:highlight w:val="none"/>
              </w:rPr>
            </w:pPr>
            <w:r>
              <w:rPr>
                <w:rFonts w:hint="eastAsia" w:ascii="宋体" w:hAnsi="宋体"/>
                <w:color w:val="auto"/>
                <w:szCs w:val="21"/>
                <w:highlight w:val="none"/>
              </w:rPr>
              <w:t>专 业</w:t>
            </w:r>
          </w:p>
        </w:tc>
        <w:tc>
          <w:tcPr>
            <w:tcW w:w="683" w:type="pct"/>
            <w:vAlign w:val="center"/>
          </w:tcPr>
          <w:p>
            <w:pPr>
              <w:jc w:val="center"/>
              <w:rPr>
                <w:rFonts w:ascii="宋体" w:hAnsi="宋体"/>
                <w:color w:val="auto"/>
                <w:szCs w:val="21"/>
                <w:highlight w:val="none"/>
              </w:rPr>
            </w:pPr>
            <w:r>
              <w:rPr>
                <w:rFonts w:hint="eastAsia" w:ascii="宋体" w:hAnsi="宋体"/>
                <w:color w:val="auto"/>
                <w:szCs w:val="21"/>
                <w:highlight w:val="none"/>
              </w:rPr>
              <w:t>资质证书</w:t>
            </w:r>
          </w:p>
        </w:tc>
        <w:tc>
          <w:tcPr>
            <w:tcW w:w="412" w:type="pct"/>
            <w:tcBorders>
              <w:right w:val="single" w:color="auto" w:sz="6" w:space="0"/>
            </w:tcBorders>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109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412"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80" w:type="pct"/>
            <w:vAlign w:val="center"/>
          </w:tcPr>
          <w:p>
            <w:pPr>
              <w:spacing w:line="288" w:lineRule="auto"/>
              <w:jc w:val="center"/>
              <w:rPr>
                <w:rFonts w:ascii="宋体" w:hAnsi="宋体"/>
                <w:color w:val="auto"/>
                <w:szCs w:val="21"/>
                <w:highlight w:val="none"/>
              </w:rPr>
            </w:pPr>
          </w:p>
        </w:tc>
        <w:tc>
          <w:tcPr>
            <w:tcW w:w="683" w:type="pct"/>
            <w:vAlign w:val="center"/>
          </w:tcPr>
          <w:p>
            <w:pPr>
              <w:spacing w:line="288" w:lineRule="auto"/>
              <w:jc w:val="center"/>
              <w:rPr>
                <w:rFonts w:ascii="宋体" w:hAnsi="宋体"/>
                <w:color w:val="auto"/>
                <w:szCs w:val="21"/>
                <w:highlight w:val="none"/>
              </w:rPr>
            </w:pPr>
          </w:p>
        </w:tc>
        <w:tc>
          <w:tcPr>
            <w:tcW w:w="412" w:type="pct"/>
            <w:tcBorders>
              <w:right w:val="single" w:color="auto" w:sz="6" w:space="0"/>
            </w:tcBorders>
            <w:vAlign w:val="center"/>
          </w:tcPr>
          <w:p>
            <w:pPr>
              <w:spacing w:line="288" w:lineRule="auto"/>
              <w:jc w:val="center"/>
              <w:rPr>
                <w:rFonts w:ascii="宋体" w:hAnsi="宋体"/>
                <w:color w:val="auto"/>
                <w:szCs w:val="21"/>
                <w:highlight w:val="none"/>
              </w:rPr>
            </w:pPr>
          </w:p>
        </w:tc>
      </w:tr>
    </w:tbl>
    <w:p>
      <w:pPr>
        <w:ind w:firstLine="178" w:firstLineChars="85"/>
        <w:rPr>
          <w:rFonts w:ascii="宋体" w:hAnsi="宋体"/>
          <w:color w:val="auto"/>
          <w:szCs w:val="21"/>
          <w:highlight w:val="none"/>
        </w:rPr>
      </w:pPr>
    </w:p>
    <w:p>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r>
        <w:rPr>
          <w:rFonts w:hint="eastAsia" w:ascii="宋体" w:hAnsi="宋体"/>
          <w:color w:val="auto"/>
          <w:szCs w:val="21"/>
          <w:highlight w:val="none"/>
        </w:rPr>
        <w:t>注：</w:t>
      </w:r>
    </w:p>
    <w:p>
      <w:pPr>
        <w:pStyle w:val="44"/>
        <w:numPr>
          <w:ilvl w:val="0"/>
          <w:numId w:val="30"/>
        </w:numPr>
        <w:ind w:firstLineChars="0"/>
        <w:rPr>
          <w:rFonts w:ascii="宋体" w:hAnsi="宋体"/>
          <w:color w:val="auto"/>
          <w:szCs w:val="21"/>
          <w:highlight w:val="none"/>
        </w:rPr>
      </w:pPr>
      <w:r>
        <w:rPr>
          <w:rFonts w:hint="eastAsia" w:ascii="宋体" w:hAnsi="宋体"/>
          <w:color w:val="auto"/>
          <w:szCs w:val="21"/>
          <w:highlight w:val="none"/>
        </w:rPr>
        <w:t>投标人可按项目的实际需要提供本表格。</w:t>
      </w:r>
    </w:p>
    <w:p>
      <w:pPr>
        <w:pStyle w:val="44"/>
        <w:numPr>
          <w:ilvl w:val="0"/>
          <w:numId w:val="30"/>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pPr>
        <w:rPr>
          <w:rFonts w:ascii="宋体" w:hAnsi="宋体" w:cs="Times New Roman"/>
          <w:color w:val="auto"/>
          <w:szCs w:val="21"/>
          <w:highlight w:val="none"/>
        </w:rPr>
      </w:pPr>
      <w:r>
        <w:rPr>
          <w:rFonts w:hint="eastAsia" w:ascii="宋体" w:hAnsi="宋体"/>
          <w:color w:val="auto"/>
          <w:szCs w:val="21"/>
          <w:highlight w:val="none"/>
        </w:rPr>
        <w:t>3、投标人若未提供或未填写完整则视为完全响应采购文件的人员要求，因此对投标人投标产生负面影响的，投标人自行承担后果。</w:t>
      </w:r>
    </w:p>
    <w:p>
      <w:pPr>
        <w:pStyle w:val="44"/>
        <w:numPr>
          <w:ilvl w:val="0"/>
          <w:numId w:val="30"/>
        </w:numPr>
        <w:ind w:firstLineChars="0"/>
        <w:rPr>
          <w:rFonts w:ascii="宋体" w:hAnsi="宋体" w:cs="Times New Roman"/>
          <w:color w:val="auto"/>
          <w:szCs w:val="21"/>
          <w:highlight w:val="none"/>
        </w:rPr>
      </w:pPr>
      <w:r>
        <w:rPr>
          <w:rFonts w:hint="eastAsia" w:ascii="宋体" w:hAnsi="宋体"/>
          <w:color w:val="auto"/>
          <w:szCs w:val="21"/>
          <w:highlight w:val="none"/>
        </w:rPr>
        <w:br w:type="page"/>
      </w:r>
    </w:p>
    <w:p>
      <w:pPr>
        <w:pStyle w:val="8"/>
        <w:widowControl w:val="0"/>
        <w:overflowPunct w:val="0"/>
        <w:spacing w:line="240" w:lineRule="auto"/>
        <w:rPr>
          <w:color w:val="auto"/>
          <w:highlight w:val="none"/>
        </w:rPr>
      </w:pPr>
      <w:bookmarkStart w:id="234" w:name="_Toc15162"/>
      <w:r>
        <w:rPr>
          <w:rFonts w:hint="eastAsia" w:ascii="宋体" w:hAnsi="宋体"/>
          <w:color w:val="auto"/>
          <w:sz w:val="21"/>
          <w:szCs w:val="21"/>
          <w:highlight w:val="none"/>
        </w:rPr>
        <w:t>附件18.投标保证金汇入情况说明格式</w:t>
      </w:r>
      <w:bookmarkEnd w:id="234"/>
    </w:p>
    <w:p>
      <w:pPr>
        <w:rPr>
          <w:color w:val="auto"/>
          <w:highlight w:val="none"/>
        </w:rPr>
      </w:pPr>
    </w:p>
    <w:p>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pP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广东泰通伟业工程咨询有限公司</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项目（采购项目编号：）的采购文件要求，于年月日前以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pPr>
        <w:spacing w:line="480" w:lineRule="auto"/>
        <w:rPr>
          <w:rFonts w:ascii="宋体" w:hAnsi="宋体"/>
          <w:color w:val="auto"/>
          <w:szCs w:val="21"/>
          <w:highlight w:val="none"/>
        </w:rPr>
      </w:pPr>
      <w:r>
        <w:rPr>
          <w:rFonts w:hint="eastAsia" w:ascii="宋体" w:hAnsi="宋体"/>
          <w:color w:val="auto"/>
          <w:szCs w:val="21"/>
          <w:highlight w:val="none"/>
        </w:rPr>
        <w:t>单位名称：</w:t>
      </w:r>
    </w:p>
    <w:p>
      <w:pPr>
        <w:spacing w:line="480" w:lineRule="auto"/>
        <w:rPr>
          <w:rFonts w:ascii="宋体" w:hAnsi="宋体"/>
          <w:color w:val="auto"/>
          <w:szCs w:val="21"/>
          <w:highlight w:val="none"/>
        </w:rPr>
      </w:pPr>
      <w:r>
        <w:rPr>
          <w:rFonts w:hint="eastAsia" w:ascii="宋体" w:hAnsi="宋体"/>
          <w:color w:val="auto"/>
          <w:szCs w:val="21"/>
          <w:highlight w:val="none"/>
        </w:rPr>
        <w:t>单位地址：</w:t>
      </w:r>
    </w:p>
    <w:p>
      <w:pPr>
        <w:spacing w:line="480" w:lineRule="auto"/>
        <w:rPr>
          <w:rFonts w:ascii="宋体" w:hAnsi="宋体"/>
          <w:color w:val="auto"/>
          <w:szCs w:val="21"/>
          <w:highlight w:val="none"/>
        </w:rPr>
      </w:pPr>
      <w:r>
        <w:rPr>
          <w:rFonts w:hint="eastAsia" w:ascii="宋体" w:hAnsi="宋体"/>
          <w:color w:val="auto"/>
          <w:szCs w:val="21"/>
          <w:highlight w:val="none"/>
        </w:rPr>
        <w:t>联系人：</w:t>
      </w:r>
    </w:p>
    <w:p>
      <w:pP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2"/>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953"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pStyle w:val="8"/>
        <w:numPr>
          <w:ilvl w:val="255"/>
          <w:numId w:val="0"/>
        </w:numPr>
        <w:tabs>
          <w:tab w:val="left" w:pos="720"/>
          <w:tab w:val="left" w:pos="3840"/>
        </w:tabs>
        <w:ind w:left="283"/>
        <w:jc w:val="both"/>
        <w:rPr>
          <w:rFonts w:ascii="宋体" w:hAnsi="宋体"/>
          <w:color w:val="auto"/>
          <w:sz w:val="21"/>
          <w:szCs w:val="21"/>
          <w:highlight w:val="none"/>
        </w:rPr>
      </w:pPr>
      <w:bookmarkStart w:id="235" w:name="_Toc17028"/>
      <w:bookmarkStart w:id="236" w:name="_Toc28623"/>
      <w:bookmarkStart w:id="237" w:name="_Toc1562"/>
      <w:bookmarkStart w:id="238" w:name="_Toc19947"/>
      <w:bookmarkStart w:id="239" w:name="_Toc18296"/>
      <w:bookmarkStart w:id="240" w:name="_Toc4866"/>
      <w:bookmarkStart w:id="241" w:name="_Toc2801"/>
      <w:bookmarkStart w:id="242" w:name="_Toc2144"/>
      <w:bookmarkStart w:id="243" w:name="_Toc14605"/>
      <w:bookmarkStart w:id="244" w:name="_Toc29855"/>
      <w:bookmarkStart w:id="245" w:name="_Toc25861"/>
      <w:r>
        <w:rPr>
          <w:rFonts w:hint="eastAsia" w:ascii="宋体" w:hAnsi="宋体"/>
          <w:color w:val="auto"/>
          <w:sz w:val="21"/>
          <w:szCs w:val="21"/>
          <w:highlight w:val="none"/>
        </w:rPr>
        <w:t>附件19.不可撤销履约保函</w:t>
      </w:r>
      <w:bookmarkEnd w:id="235"/>
      <w:bookmarkEnd w:id="236"/>
      <w:bookmarkEnd w:id="237"/>
      <w:bookmarkEnd w:id="238"/>
      <w:bookmarkEnd w:id="239"/>
      <w:bookmarkEnd w:id="240"/>
      <w:bookmarkEnd w:id="241"/>
      <w:bookmarkEnd w:id="242"/>
      <w:bookmarkEnd w:id="243"/>
      <w:bookmarkEnd w:id="244"/>
      <w:bookmarkEnd w:id="245"/>
    </w:p>
    <w:p>
      <w:pPr>
        <w:jc w:val="center"/>
        <w:rPr>
          <w:rFonts w:ascii="宋体" w:hAnsi="宋体"/>
          <w:color w:val="auto"/>
          <w:highlight w:val="none"/>
        </w:rPr>
      </w:pPr>
      <w:r>
        <w:rPr>
          <w:rFonts w:hint="eastAsia" w:ascii="宋体" w:hAnsi="宋体"/>
          <w:color w:val="auto"/>
          <w:highlight w:val="none"/>
        </w:rPr>
        <w:t>银行编号：</w:t>
      </w:r>
    </w:p>
    <w:p>
      <w:pPr>
        <w:rPr>
          <w:rFonts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pPr>
        <w:ind w:firstLine="420" w:firstLineChars="200"/>
        <w:rPr>
          <w:color w:val="auto"/>
          <w:highlight w:val="none"/>
        </w:rPr>
      </w:pPr>
      <w:r>
        <w:rPr>
          <w:rFonts w:hint="eastAsia"/>
          <w:color w:val="auto"/>
          <w:highlight w:val="none"/>
        </w:rPr>
        <w:t>本保函从上述合同签订之日起至项目服务期结束验收合格并完成结算后，双方签字之日起7天内保持有效。</w:t>
      </w:r>
    </w:p>
    <w:p>
      <w:pPr>
        <w:ind w:firstLine="2824" w:firstLineChars="1345"/>
        <w:rPr>
          <w:rFonts w:ascii="宋体" w:hAnsi="宋体"/>
          <w:color w:val="auto"/>
          <w:highlight w:val="none"/>
        </w:rPr>
      </w:pPr>
    </w:p>
    <w:p>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pPr>
        <w:pStyle w:val="14"/>
        <w:rPr>
          <w:color w:val="auto"/>
          <w:szCs w:val="24"/>
          <w:highlight w:val="none"/>
        </w:rPr>
      </w:pPr>
      <w:r>
        <w:rPr>
          <w:rFonts w:hint="eastAsia"/>
          <w:color w:val="auto"/>
          <w:szCs w:val="24"/>
          <w:highlight w:val="none"/>
        </w:rPr>
        <w:t>说明：投标人在投标时不需提交正式保函，在投标文件中盖投标人公章确认保函格式即可，乙方</w:t>
      </w:r>
      <w:r>
        <w:rPr>
          <w:rFonts w:hint="eastAsia"/>
          <w:color w:val="auto"/>
          <w:highlight w:val="none"/>
        </w:rPr>
        <w:t>在签订合同时</w:t>
      </w:r>
      <w:r>
        <w:rPr>
          <w:rFonts w:hint="eastAsia"/>
          <w:color w:val="auto"/>
          <w:szCs w:val="24"/>
          <w:highlight w:val="none"/>
        </w:rPr>
        <w:t>提交正式保函。</w:t>
      </w:r>
    </w:p>
    <w:p>
      <w:pPr>
        <w:rPr>
          <w:rFonts w:ascii="宋体" w:hAnsi="宋体"/>
          <w:color w:val="auto"/>
          <w:szCs w:val="21"/>
          <w:highlight w:val="none"/>
        </w:rPr>
      </w:pPr>
    </w:p>
    <w:p>
      <w:pP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pPr>
        <w:pStyle w:val="8"/>
        <w:numPr>
          <w:ilvl w:val="255"/>
          <w:numId w:val="0"/>
        </w:numPr>
        <w:tabs>
          <w:tab w:val="left" w:pos="720"/>
          <w:tab w:val="left" w:pos="3840"/>
        </w:tabs>
        <w:ind w:left="283"/>
        <w:jc w:val="both"/>
        <w:rPr>
          <w:rFonts w:ascii="宋体" w:hAnsi="宋体"/>
          <w:color w:val="auto"/>
          <w:sz w:val="21"/>
          <w:szCs w:val="21"/>
          <w:highlight w:val="none"/>
        </w:rPr>
      </w:pPr>
      <w:bookmarkStart w:id="246" w:name="_Toc29098"/>
      <w:r>
        <w:rPr>
          <w:rFonts w:hint="eastAsia" w:ascii="宋体" w:hAnsi="宋体"/>
          <w:color w:val="auto"/>
          <w:sz w:val="21"/>
          <w:szCs w:val="21"/>
          <w:highlight w:val="none"/>
        </w:rPr>
        <w:t>附件20.预付款保函（适用于预付款支付）</w:t>
      </w:r>
      <w:bookmarkEnd w:id="246"/>
    </w:p>
    <w:p>
      <w:pPr>
        <w:pStyle w:val="14"/>
        <w:rPr>
          <w:color w:val="auto"/>
          <w:szCs w:val="24"/>
          <w:highlight w:val="none"/>
        </w:rPr>
      </w:pPr>
    </w:p>
    <w:p>
      <w:pPr>
        <w:jc w:val="center"/>
        <w:rPr>
          <w:rFonts w:ascii="黑体" w:eastAsia="黑体"/>
          <w:color w:val="auto"/>
          <w:sz w:val="28"/>
          <w:szCs w:val="28"/>
          <w:highlight w:val="none"/>
        </w:rPr>
      </w:pPr>
      <w:bookmarkStart w:id="247" w:name="_Toc10315"/>
      <w:bookmarkStart w:id="248" w:name="_Toc1039"/>
      <w:bookmarkStart w:id="249" w:name="_Toc20669"/>
      <w:bookmarkStart w:id="250" w:name="_Toc25494"/>
      <w:bookmarkStart w:id="251" w:name="_Toc3295"/>
      <w:bookmarkStart w:id="252" w:name="_Toc27545"/>
      <w:bookmarkStart w:id="253" w:name="_Toc29728"/>
      <w:bookmarkStart w:id="254" w:name="_Toc29054"/>
      <w:bookmarkStart w:id="255" w:name="_Toc5034"/>
      <w:bookmarkStart w:id="256" w:name="_Toc31418"/>
      <w:bookmarkStart w:id="257" w:name="_Toc6877"/>
      <w:bookmarkStart w:id="258" w:name="_Toc7374"/>
      <w:r>
        <w:rPr>
          <w:rFonts w:hint="eastAsia" w:ascii="黑体" w:eastAsia="黑体"/>
          <w:color w:val="auto"/>
          <w:sz w:val="28"/>
          <w:szCs w:val="28"/>
          <w:highlight w:val="none"/>
        </w:rPr>
        <w:t>不可撤销预付款保函</w:t>
      </w:r>
      <w:bookmarkEnd w:id="247"/>
      <w:bookmarkEnd w:id="248"/>
      <w:bookmarkEnd w:id="249"/>
      <w:bookmarkEnd w:id="250"/>
      <w:bookmarkEnd w:id="251"/>
      <w:bookmarkEnd w:id="252"/>
      <w:bookmarkEnd w:id="253"/>
      <w:bookmarkEnd w:id="254"/>
      <w:bookmarkEnd w:id="255"/>
      <w:bookmarkEnd w:id="256"/>
      <w:bookmarkEnd w:id="257"/>
      <w:bookmarkEnd w:id="258"/>
    </w:p>
    <w:p>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pPr>
        <w:ind w:firstLine="6300"/>
        <w:rPr>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pPr>
        <w:ind w:firstLine="437"/>
        <w:rPr>
          <w:rFonts w:ascii="宋体" w:hAnsi="宋体"/>
          <w:color w:val="auto"/>
          <w:szCs w:val="21"/>
          <w:highlight w:val="none"/>
        </w:rPr>
      </w:pPr>
      <w:r>
        <w:rPr>
          <w:rFonts w:hint="eastAsia" w:ascii="宋体" w:hAnsi="宋体"/>
          <w:color w:val="auto"/>
          <w:szCs w:val="24"/>
          <w:highlight w:val="none"/>
        </w:rPr>
        <w:t>根据上述合同（招标文件）规定，中标人应向采购人提供一份金额为合同总价的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pPr>
        <w:rPr>
          <w:rFonts w:ascii="宋体" w:hAnsi="宋体"/>
          <w:color w:val="auto"/>
          <w:szCs w:val="21"/>
          <w:highlight w:val="none"/>
        </w:rPr>
      </w:pPr>
    </w:p>
    <w:p>
      <w:pPr>
        <w:ind w:firstLine="437"/>
        <w:rPr>
          <w:rFonts w:ascii="宋体" w:hAnsi="宋体"/>
          <w:color w:val="auto"/>
          <w:szCs w:val="21"/>
          <w:highlight w:val="none"/>
        </w:rPr>
      </w:pPr>
    </w:p>
    <w:p>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pPr>
        <w:pStyle w:val="14"/>
        <w:rPr>
          <w:color w:val="auto"/>
          <w:szCs w:val="21"/>
          <w:highlight w:val="none"/>
        </w:rPr>
      </w:pPr>
    </w:p>
    <w:p>
      <w:pPr>
        <w:pStyle w:val="14"/>
        <w:rPr>
          <w:color w:val="auto"/>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说明：投标人在投标文件中盖投标人公章确认保函内容即可，如中标再由银行出具保函。</w:t>
      </w:r>
    </w:p>
    <w:p>
      <w:pP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pPr>
        <w:pStyle w:val="2"/>
        <w:rPr>
          <w:color w:val="auto"/>
          <w:highlight w:val="none"/>
        </w:rPr>
      </w:pPr>
      <w:bookmarkStart w:id="259" w:name="_Toc1968"/>
    </w:p>
    <w:p>
      <w:pPr>
        <w:jc w:val="center"/>
        <w:outlineLvl w:val="1"/>
        <w:rPr>
          <w:rFonts w:eastAsia="黑体"/>
          <w:color w:val="auto"/>
          <w:sz w:val="72"/>
          <w:szCs w:val="72"/>
          <w:highlight w:val="none"/>
        </w:rPr>
      </w:pPr>
      <w:bookmarkStart w:id="260" w:name="_Toc16601"/>
      <w:r>
        <w:rPr>
          <w:rFonts w:hint="eastAsia" w:eastAsia="黑体"/>
          <w:color w:val="auto"/>
          <w:sz w:val="72"/>
          <w:szCs w:val="72"/>
          <w:highlight w:val="none"/>
        </w:rPr>
        <w:t>唱标信封</w:t>
      </w:r>
      <w:bookmarkEnd w:id="260"/>
    </w:p>
    <w:p>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pPr>
        <w:rPr>
          <w:color w:val="auto"/>
          <w:highlight w:val="none"/>
        </w:rPr>
      </w:pPr>
    </w:p>
    <w:p>
      <w:pPr>
        <w:pStyle w:val="2"/>
        <w:rPr>
          <w:color w:val="auto"/>
          <w:highlight w:val="none"/>
        </w:rPr>
      </w:pPr>
    </w:p>
    <w:p>
      <w:pPr>
        <w:pStyle w:val="3"/>
        <w:ind w:firstLine="240"/>
        <w:rPr>
          <w:color w:val="auto"/>
          <w:highlight w:val="none"/>
        </w:rPr>
      </w:pPr>
    </w:p>
    <w:p>
      <w:pPr>
        <w:pStyle w:val="3"/>
        <w:ind w:firstLine="240"/>
        <w:rPr>
          <w:color w:val="auto"/>
          <w:highlight w:val="none"/>
        </w:rPr>
      </w:pPr>
    </w:p>
    <w:p>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pPr>
        <w:pStyle w:val="2"/>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pPr>
        <w:rPr>
          <w:rFonts w:ascii="宋体" w:hAnsi="宋体" w:cs="宋体"/>
          <w:b/>
          <w:color w:val="auto"/>
          <w:sz w:val="32"/>
          <w:szCs w:val="32"/>
          <w:highlight w:val="none"/>
        </w:rPr>
      </w:pPr>
      <w:r>
        <w:rPr>
          <w:rFonts w:hint="eastAsia" w:ascii="宋体" w:hAnsi="宋体" w:cs="宋体"/>
          <w:b/>
          <w:color w:val="auto"/>
          <w:sz w:val="32"/>
          <w:szCs w:val="32"/>
          <w:highlight w:val="none"/>
        </w:rPr>
        <w:t>投标人名称：</w:t>
      </w:r>
    </w:p>
    <w:p>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pPr>
        <w:rPr>
          <w:rFonts w:ascii="宋体" w:hAnsi="宋体"/>
          <w:color w:val="auto"/>
          <w:szCs w:val="21"/>
          <w:highlight w:val="none"/>
        </w:rPr>
      </w:pPr>
      <w:r>
        <w:rPr>
          <w:rFonts w:hint="eastAsia" w:ascii="宋体" w:hAnsi="宋体"/>
          <w:color w:val="auto"/>
          <w:szCs w:val="21"/>
          <w:highlight w:val="none"/>
        </w:rPr>
        <w:br w:type="page"/>
      </w:r>
    </w:p>
    <w:p>
      <w:pPr>
        <w:outlineLvl w:val="1"/>
        <w:rPr>
          <w:color w:val="auto"/>
          <w:sz w:val="72"/>
          <w:szCs w:val="72"/>
          <w:highlight w:val="none"/>
        </w:rPr>
        <w:sectPr>
          <w:pgSz w:w="11906" w:h="16838"/>
          <w:pgMar w:top="1440" w:right="1800" w:bottom="1440" w:left="1800" w:header="708" w:footer="708" w:gutter="0"/>
          <w:pgNumType w:fmt="decimal"/>
          <w:cols w:space="708" w:num="1"/>
          <w:titlePg/>
          <w:docGrid w:type="lines" w:linePitch="360" w:charSpace="0"/>
        </w:sectPr>
      </w:pPr>
    </w:p>
    <w:bookmarkEnd w:id="259"/>
    <w:p>
      <w:pPr>
        <w:pStyle w:val="8"/>
        <w:numPr>
          <w:ilvl w:val="255"/>
          <w:numId w:val="0"/>
        </w:numPr>
        <w:tabs>
          <w:tab w:val="left" w:pos="720"/>
          <w:tab w:val="left" w:pos="3840"/>
        </w:tabs>
        <w:ind w:left="283"/>
        <w:jc w:val="both"/>
        <w:rPr>
          <w:rFonts w:ascii="宋体" w:hAnsi="宋体"/>
          <w:color w:val="auto"/>
          <w:sz w:val="21"/>
          <w:szCs w:val="21"/>
          <w:highlight w:val="none"/>
        </w:rPr>
      </w:pPr>
      <w:bookmarkStart w:id="261" w:name="_Toc31340"/>
      <w:r>
        <w:rPr>
          <w:rFonts w:hint="eastAsia" w:ascii="宋体" w:hAnsi="宋体"/>
          <w:color w:val="auto"/>
          <w:sz w:val="21"/>
          <w:szCs w:val="21"/>
          <w:highlight w:val="none"/>
        </w:rPr>
        <w:t>附件21.唱标信封内装（内容务必与投标文件正本一致）</w:t>
      </w:r>
      <w:bookmarkEnd w:id="261"/>
    </w:p>
    <w:p>
      <w:pPr>
        <w:numPr>
          <w:ilvl w:val="0"/>
          <w:numId w:val="31"/>
        </w:numPr>
        <w:ind w:firstLineChars="200"/>
        <w:rPr>
          <w:rFonts w:hAnsi="宋体"/>
          <w:color w:val="auto"/>
          <w:szCs w:val="21"/>
          <w:highlight w:val="none"/>
        </w:rPr>
      </w:pPr>
      <w:r>
        <w:rPr>
          <w:rFonts w:hint="eastAsia" w:hAnsi="宋体"/>
          <w:color w:val="auto"/>
          <w:szCs w:val="21"/>
          <w:highlight w:val="none"/>
        </w:rPr>
        <w:t>开标一览表加盖公章；</w:t>
      </w:r>
    </w:p>
    <w:p>
      <w:pPr>
        <w:numPr>
          <w:ilvl w:val="0"/>
          <w:numId w:val="31"/>
        </w:numPr>
        <w:ind w:firstLineChars="200"/>
        <w:rPr>
          <w:rFonts w:hAnsi="宋体"/>
          <w:color w:val="auto"/>
          <w:szCs w:val="21"/>
          <w:highlight w:val="none"/>
        </w:rPr>
      </w:pPr>
      <w:r>
        <w:rPr>
          <w:rFonts w:hint="eastAsia" w:hAnsi="宋体"/>
          <w:color w:val="auto"/>
          <w:szCs w:val="21"/>
          <w:highlight w:val="none"/>
        </w:rPr>
        <w:t>法定代表人证明书加盖公章；</w:t>
      </w:r>
    </w:p>
    <w:p>
      <w:pPr>
        <w:numPr>
          <w:ilvl w:val="0"/>
          <w:numId w:val="31"/>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pPr>
        <w:numPr>
          <w:ilvl w:val="0"/>
          <w:numId w:val="31"/>
        </w:numPr>
        <w:ind w:firstLineChars="200"/>
        <w:rPr>
          <w:rFonts w:hAnsi="宋体"/>
          <w:color w:val="auto"/>
          <w:szCs w:val="21"/>
          <w:highlight w:val="none"/>
        </w:rPr>
      </w:pPr>
      <w:r>
        <w:rPr>
          <w:rFonts w:hint="eastAsia" w:hAnsi="宋体"/>
          <w:color w:val="auto"/>
          <w:szCs w:val="21"/>
          <w:highlight w:val="none"/>
        </w:rPr>
        <w:t>投标保证金汇入情况说明（含银行汇款凭证）或投标保函加盖公章；</w:t>
      </w:r>
    </w:p>
    <w:p>
      <w:pPr>
        <w:numPr>
          <w:ilvl w:val="0"/>
          <w:numId w:val="31"/>
        </w:numPr>
        <w:ind w:firstLineChars="200"/>
        <w:rPr>
          <w:rFonts w:hAnsi="宋体"/>
          <w:color w:val="auto"/>
          <w:szCs w:val="21"/>
          <w:highlight w:val="none"/>
        </w:rPr>
      </w:pPr>
      <w:r>
        <w:rPr>
          <w:rFonts w:hint="eastAsia" w:hAnsi="宋体"/>
          <w:color w:val="auto"/>
          <w:szCs w:val="21"/>
          <w:highlight w:val="none"/>
        </w:rPr>
        <w:t>投标文件电子文件（U盘，须含盖章版PDF投标文件和WORD版投标文件各一版，文字采用WORD文档，计算表格采用 EXCEL文档。）</w:t>
      </w:r>
    </w:p>
    <w:p>
      <w:pPr>
        <w:rPr>
          <w:rFonts w:ascii="宋体" w:hAnsi="宋体" w:cs="宋体"/>
          <w:color w:val="auto"/>
          <w:szCs w:val="21"/>
          <w:highlight w:val="none"/>
        </w:rPr>
      </w:pPr>
    </w:p>
    <w:p>
      <w:pPr>
        <w:pStyle w:val="2"/>
        <w:rPr>
          <w:color w:val="auto"/>
          <w:highlight w:val="none"/>
        </w:rPr>
      </w:pPr>
    </w:p>
    <w:sectPr>
      <w:pgSz w:w="11906" w:h="16838"/>
      <w:pgMar w:top="1440" w:right="1800" w:bottom="1440" w:left="1800" w:header="708" w:footer="708" w:gutter="0"/>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412EA0-DCF0-43E8-87FF-25AE616CC5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C9944C1-0C9D-4612-9258-D42A20B81225}"/>
  </w:font>
  <w:font w:name="Tahoma">
    <w:panose1 w:val="020B0604030504040204"/>
    <w:charset w:val="00"/>
    <w:family w:val="swiss"/>
    <w:pitch w:val="default"/>
    <w:sig w:usb0="E1002EFF" w:usb1="C000605B" w:usb2="00000029" w:usb3="00000000" w:csb0="200101FF" w:csb1="20280000"/>
    <w:embedRegular r:id="rId3" w:fontKey="{CA1ACD56-C382-4648-A1FA-0BD6EED8C901}"/>
  </w:font>
  <w:font w:name="Cambria">
    <w:panose1 w:val="02040503050406030204"/>
    <w:charset w:val="00"/>
    <w:family w:val="roman"/>
    <w:pitch w:val="default"/>
    <w:sig w:usb0="E00006FF" w:usb1="420024FF" w:usb2="02000000" w:usb3="00000000" w:csb0="2000019F" w:csb1="00000000"/>
    <w:embedRegular r:id="rId4" w:fontKey="{308D3BEA-C106-458A-A135-F5067B42F362}"/>
  </w:font>
  <w:font w:name="方正书宋简体">
    <w:altName w:val="宋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5" w:fontKey="{13D3A4EE-5536-4202-9E52-044218B6C74B}"/>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embedRegular r:id="rId6" w:fontKey="{4B732678-0169-4DA7-ADE5-4F714EA712B7}"/>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4144"/>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2"/>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CEyAgAAY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Y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sIITICAABjBAAADgAAAAAAAAABACAAAAAfAQAAZHJzL2Uyb0RvYy54bWxQSwUG&#10;AAAAAAYABgBZAQAAwwU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4144"/>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2"/>
                    </w:pP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93</w:t>
                          </w:r>
                          <w:r>
                            <w:rPr>
                              <w:sz w:val="18"/>
                            </w:rPr>
                            <w:fldChar w:fldCharType="end"/>
                          </w:r>
                          <w:r>
                            <w:rPr>
                              <w:sz w:val="18"/>
                            </w:rPr>
                            <w:t xml:space="preserve"> 页</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&#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Cg5UOnXAQAAsQMAAA4AAAAAAAAAAQAgAAAA&#10;HgEAAGRycy9lMm9Eb2MueG1sUEsFBgAAAAAGAAYAWQEAAGc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45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93</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wps:spPr>
                    <wps:txbx>
                      <w:txbxContent>
                        <w:p>
                          <w:pPr>
                            <w:pStyle w:val="22"/>
                            <w:jc w:val="center"/>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85.7pt;mso-position-horizontal:center;mso-position-horizontal-relative:margin;z-index:251659264;mso-width-relative:page;mso-height-relative:page;" filled="f" stroked="f" coordsize="21600,21600" o:gfxdata="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sfqk0wAAAAUBAAAPAAAAAAAAAAEAIAAAACIAAABkcnMvZG93bnJl&#10;di54bWxQSwECFAAUAAAACACHTuJARcufEMkBAACQAwAADgAAAAAAAAABACAAAAAiAQAAZHJzL2Uy&#10;b0RvYy54bWxQSwUGAAAAAAYABgBZAQAAXQUAAAAA&#10;">
              <v:fill on="f" focussize="0,0"/>
              <v:stroke on="f"/>
              <v:imagedata o:title=""/>
              <o:lock v:ext="edit" aspectratio="f"/>
              <v:textbox inset="0mm,0mm,0mm,0mm" style="mso-fit-shape-to-text:t;">
                <w:txbxContent>
                  <w:p>
                    <w:pPr>
                      <w:pStyle w:val="22"/>
                      <w:jc w:val="center"/>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pPr>
                            <w:pStyle w:val="22"/>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YIEizSAAAABQEAAA8AAAAAAAAAAQAgAAAAIgAAAGRycy9kb3ducmV2&#10;LnhtbFBLAQIUABQAAAAIAIdO4kB4R5WwyQEAAJADAAAOAAAAAAAAAAEAIAAAACEBAABkcnMvZTJv&#10;RG9jLnhtbFBLBQYAAAAABgAGAFkBAABcBQAAAAA=&#10;">
              <v:fill on="f" focussize="0,0"/>
              <v:stroke on="f"/>
              <v:imagedata o:title=""/>
              <o:lock v:ext="edit" aspectratio="f"/>
              <v:textbox inset="0mm,0mm,0mm,0mm" style="mso-fit-shape-to-text:t;">
                <w:txbxContent>
                  <w:p>
                    <w:pPr>
                      <w:pStyle w:val="22"/>
                      <w:jc w:val="center"/>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93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4060A1"/>
    <w:multiLevelType w:val="singleLevel"/>
    <w:tmpl w:val="A24060A1"/>
    <w:lvl w:ilvl="0" w:tentative="0">
      <w:start w:val="1"/>
      <w:numFmt w:val="decimal"/>
      <w:suff w:val="nothing"/>
      <w:lvlText w:val="%1、"/>
      <w:lvlJc w:val="left"/>
    </w:lvl>
  </w:abstractNum>
  <w:abstractNum w:abstractNumId="1">
    <w:nsid w:val="B5A866F2"/>
    <w:multiLevelType w:val="singleLevel"/>
    <w:tmpl w:val="B5A866F2"/>
    <w:lvl w:ilvl="0" w:tentative="0">
      <w:start w:val="1"/>
      <w:numFmt w:val="decimal"/>
      <w:suff w:val="nothing"/>
      <w:lvlText w:val="%1、"/>
      <w:lvlJc w:val="left"/>
    </w:lvl>
  </w:abstractNum>
  <w:abstractNum w:abstractNumId="2">
    <w:nsid w:val="B63D3953"/>
    <w:multiLevelType w:val="singleLevel"/>
    <w:tmpl w:val="B63D3953"/>
    <w:lvl w:ilvl="0" w:tentative="0">
      <w:start w:val="1"/>
      <w:numFmt w:val="decimal"/>
      <w:suff w:val="nothing"/>
      <w:lvlText w:val="%1、"/>
      <w:lvlJc w:val="left"/>
    </w:lvl>
  </w:abstractNum>
  <w:abstractNum w:abstractNumId="3">
    <w:nsid w:val="B78FC05C"/>
    <w:multiLevelType w:val="singleLevel"/>
    <w:tmpl w:val="B78FC05C"/>
    <w:lvl w:ilvl="0" w:tentative="0">
      <w:start w:val="1"/>
      <w:numFmt w:val="decimal"/>
      <w:suff w:val="nothing"/>
      <w:lvlText w:val="%1、"/>
      <w:lvlJc w:val="left"/>
    </w:lvl>
  </w:abstractNum>
  <w:abstractNum w:abstractNumId="4">
    <w:nsid w:val="B7CADFD3"/>
    <w:multiLevelType w:val="singleLevel"/>
    <w:tmpl w:val="B7CADFD3"/>
    <w:lvl w:ilvl="0" w:tentative="0">
      <w:start w:val="1"/>
      <w:numFmt w:val="decimal"/>
      <w:suff w:val="nothing"/>
      <w:lvlText w:val="%1、"/>
      <w:lvlJc w:val="left"/>
    </w:lvl>
  </w:abstractNum>
  <w:abstractNum w:abstractNumId="5">
    <w:nsid w:val="BECFF6BA"/>
    <w:multiLevelType w:val="singleLevel"/>
    <w:tmpl w:val="BECFF6BA"/>
    <w:lvl w:ilvl="0" w:tentative="0">
      <w:start w:val="1"/>
      <w:numFmt w:val="chineseCounting"/>
      <w:suff w:val="nothing"/>
      <w:lvlText w:val="%1、"/>
      <w:lvlJc w:val="left"/>
      <w:rPr>
        <w:rFonts w:hint="eastAsia"/>
      </w:rPr>
    </w:lvl>
  </w:abstractNum>
  <w:abstractNum w:abstractNumId="6">
    <w:nsid w:val="C9555E15"/>
    <w:multiLevelType w:val="singleLevel"/>
    <w:tmpl w:val="C9555E15"/>
    <w:lvl w:ilvl="0" w:tentative="0">
      <w:start w:val="1"/>
      <w:numFmt w:val="decimal"/>
      <w:lvlText w:val="(%1)"/>
      <w:lvlJc w:val="left"/>
      <w:pPr>
        <w:ind w:left="425" w:hanging="425"/>
      </w:pPr>
      <w:rPr>
        <w:rFonts w:hint="default"/>
      </w:rPr>
    </w:lvl>
  </w:abstractNum>
  <w:abstractNum w:abstractNumId="7">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CEE0845B"/>
    <w:multiLevelType w:val="singleLevel"/>
    <w:tmpl w:val="CEE0845B"/>
    <w:lvl w:ilvl="0" w:tentative="0">
      <w:start w:val="1"/>
      <w:numFmt w:val="decimal"/>
      <w:suff w:val="nothing"/>
      <w:lvlText w:val="%1、"/>
      <w:lvlJc w:val="left"/>
    </w:lvl>
  </w:abstractNum>
  <w:abstractNum w:abstractNumId="9">
    <w:nsid w:val="CFF174A5"/>
    <w:multiLevelType w:val="singleLevel"/>
    <w:tmpl w:val="CFF174A5"/>
    <w:lvl w:ilvl="0" w:tentative="0">
      <w:start w:val="1"/>
      <w:numFmt w:val="decimal"/>
      <w:suff w:val="nothing"/>
      <w:lvlText w:val="%1、"/>
      <w:lvlJc w:val="left"/>
    </w:lvl>
  </w:abstractNum>
  <w:abstractNum w:abstractNumId="10">
    <w:nsid w:val="D0047B7E"/>
    <w:multiLevelType w:val="singleLevel"/>
    <w:tmpl w:val="D0047B7E"/>
    <w:lvl w:ilvl="0" w:tentative="0">
      <w:start w:val="1"/>
      <w:numFmt w:val="decimal"/>
      <w:suff w:val="nothing"/>
      <w:lvlText w:val="%1、"/>
      <w:lvlJc w:val="left"/>
    </w:lvl>
  </w:abstractNum>
  <w:abstractNum w:abstractNumId="11">
    <w:nsid w:val="E80FE63E"/>
    <w:multiLevelType w:val="singleLevel"/>
    <w:tmpl w:val="E80FE63E"/>
    <w:lvl w:ilvl="0" w:tentative="0">
      <w:start w:val="2"/>
      <w:numFmt w:val="chineseCounting"/>
      <w:lvlText w:val="%1."/>
      <w:lvlJc w:val="left"/>
      <w:pPr>
        <w:tabs>
          <w:tab w:val="left" w:pos="312"/>
        </w:tabs>
      </w:pPr>
      <w:rPr>
        <w:rFonts w:hint="eastAsia"/>
      </w:rPr>
    </w:lvl>
  </w:abstractNum>
  <w:abstractNum w:abstractNumId="12">
    <w:nsid w:val="FA51AE3D"/>
    <w:multiLevelType w:val="singleLevel"/>
    <w:tmpl w:val="FA51AE3D"/>
    <w:lvl w:ilvl="0" w:tentative="0">
      <w:start w:val="1"/>
      <w:numFmt w:val="decimal"/>
      <w:suff w:val="nothing"/>
      <w:lvlText w:val="%1、"/>
      <w:lvlJc w:val="left"/>
    </w:lvl>
  </w:abstractNum>
  <w:abstractNum w:abstractNumId="13">
    <w:nsid w:val="FC67E5DA"/>
    <w:multiLevelType w:val="singleLevel"/>
    <w:tmpl w:val="FC67E5DA"/>
    <w:lvl w:ilvl="0" w:tentative="0">
      <w:start w:val="1"/>
      <w:numFmt w:val="decimal"/>
      <w:suff w:val="nothing"/>
      <w:lvlText w:val="%1、"/>
      <w:lvlJc w:val="left"/>
    </w:lvl>
  </w:abstractNum>
  <w:abstractNum w:abstractNumId="14">
    <w:nsid w:val="FEAC0602"/>
    <w:multiLevelType w:val="singleLevel"/>
    <w:tmpl w:val="FEAC0602"/>
    <w:lvl w:ilvl="0" w:tentative="0">
      <w:start w:val="1"/>
      <w:numFmt w:val="decimal"/>
      <w:suff w:val="nothing"/>
      <w:lvlText w:val="%1）"/>
      <w:lvlJc w:val="left"/>
    </w:lvl>
  </w:abstractNum>
  <w:abstractNum w:abstractNumId="1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90"/>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1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20D2348B"/>
    <w:multiLevelType w:val="singleLevel"/>
    <w:tmpl w:val="20D2348B"/>
    <w:lvl w:ilvl="0" w:tentative="0">
      <w:start w:val="1"/>
      <w:numFmt w:val="chineseCounting"/>
      <w:suff w:val="nothing"/>
      <w:lvlText w:val="（%1）"/>
      <w:lvlJc w:val="left"/>
      <w:rPr>
        <w:rFonts w:hint="eastAsia"/>
      </w:rPr>
    </w:lvl>
  </w:abstractNum>
  <w:abstractNum w:abstractNumId="20">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1">
    <w:nsid w:val="2A132B47"/>
    <w:multiLevelType w:val="singleLevel"/>
    <w:tmpl w:val="2A132B47"/>
    <w:lvl w:ilvl="0" w:tentative="0">
      <w:start w:val="1"/>
      <w:numFmt w:val="decimal"/>
      <w:suff w:val="nothing"/>
      <w:lvlText w:val="%1、"/>
      <w:lvlJc w:val="left"/>
    </w:lvl>
  </w:abstractNum>
  <w:abstractNum w:abstractNumId="22">
    <w:nsid w:val="3A4E8B5A"/>
    <w:multiLevelType w:val="singleLevel"/>
    <w:tmpl w:val="3A4E8B5A"/>
    <w:lvl w:ilvl="0" w:tentative="0">
      <w:start w:val="1"/>
      <w:numFmt w:val="decimal"/>
      <w:suff w:val="nothing"/>
      <w:lvlText w:val="%1、"/>
      <w:lvlJc w:val="left"/>
    </w:lvl>
  </w:abstractNum>
  <w:abstractNum w:abstractNumId="23">
    <w:nsid w:val="3F88662E"/>
    <w:multiLevelType w:val="singleLevel"/>
    <w:tmpl w:val="3F88662E"/>
    <w:lvl w:ilvl="0" w:tentative="0">
      <w:start w:val="1"/>
      <w:numFmt w:val="decimal"/>
      <w:suff w:val="space"/>
      <w:lvlText w:val="%1)"/>
      <w:lvlJc w:val="left"/>
    </w:lvl>
  </w:abstractNum>
  <w:abstractNum w:abstractNumId="24">
    <w:nsid w:val="4C35E2D1"/>
    <w:multiLevelType w:val="singleLevel"/>
    <w:tmpl w:val="4C35E2D1"/>
    <w:lvl w:ilvl="0" w:tentative="0">
      <w:start w:val="1"/>
      <w:numFmt w:val="decimal"/>
      <w:suff w:val="nothing"/>
      <w:lvlText w:val="%1、"/>
      <w:lvlJc w:val="left"/>
    </w:lvl>
  </w:abstractNum>
  <w:abstractNum w:abstractNumId="25">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27">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65DAA282"/>
    <w:multiLevelType w:val="singleLevel"/>
    <w:tmpl w:val="65DAA282"/>
    <w:lvl w:ilvl="0" w:tentative="0">
      <w:start w:val="1"/>
      <w:numFmt w:val="decimal"/>
      <w:suff w:val="nothing"/>
      <w:lvlText w:val="（%1）"/>
      <w:lvlJc w:val="left"/>
    </w:lvl>
  </w:abstractNum>
  <w:abstractNum w:abstractNumId="30">
    <w:nsid w:val="79E35E4F"/>
    <w:multiLevelType w:val="multilevel"/>
    <w:tmpl w:val="79E35E4F"/>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6"/>
  </w:num>
  <w:num w:numId="2">
    <w:abstractNumId w:val="30"/>
  </w:num>
  <w:num w:numId="3">
    <w:abstractNumId w:val="14"/>
  </w:num>
  <w:num w:numId="4">
    <w:abstractNumId w:val="25"/>
  </w:num>
  <w:num w:numId="5">
    <w:abstractNumId w:val="20"/>
  </w:num>
  <w:num w:numId="6">
    <w:abstractNumId w:val="7"/>
  </w:num>
  <w:num w:numId="7">
    <w:abstractNumId w:val="28"/>
  </w:num>
  <w:num w:numId="8">
    <w:abstractNumId w:val="23"/>
  </w:num>
  <w:num w:numId="9">
    <w:abstractNumId w:val="17"/>
  </w:num>
  <w:num w:numId="10">
    <w:abstractNumId w:val="6"/>
  </w:num>
  <w:num w:numId="11">
    <w:abstractNumId w:val="18"/>
  </w:num>
  <w:num w:numId="12">
    <w:abstractNumId w:val="11"/>
  </w:num>
  <w:num w:numId="13">
    <w:abstractNumId w:val="22"/>
  </w:num>
  <w:num w:numId="14">
    <w:abstractNumId w:val="2"/>
  </w:num>
  <w:num w:numId="15">
    <w:abstractNumId w:val="29"/>
  </w:num>
  <w:num w:numId="16">
    <w:abstractNumId w:val="21"/>
  </w:num>
  <w:num w:numId="17">
    <w:abstractNumId w:val="3"/>
  </w:num>
  <w:num w:numId="18">
    <w:abstractNumId w:val="1"/>
  </w:num>
  <w:num w:numId="19">
    <w:abstractNumId w:val="24"/>
  </w:num>
  <w:num w:numId="20">
    <w:abstractNumId w:val="8"/>
  </w:num>
  <w:num w:numId="21">
    <w:abstractNumId w:val="4"/>
  </w:num>
  <w:num w:numId="22">
    <w:abstractNumId w:val="12"/>
  </w:num>
  <w:num w:numId="23">
    <w:abstractNumId w:val="13"/>
  </w:num>
  <w:num w:numId="24">
    <w:abstractNumId w:val="0"/>
  </w:num>
  <w:num w:numId="25">
    <w:abstractNumId w:val="5"/>
  </w:num>
  <w:num w:numId="26">
    <w:abstractNumId w:val="9"/>
  </w:num>
  <w:num w:numId="27">
    <w:abstractNumId w:val="15"/>
  </w:num>
  <w:num w:numId="28">
    <w:abstractNumId w:val="19"/>
  </w:num>
  <w:num w:numId="29">
    <w:abstractNumId w:val="10"/>
  </w:num>
  <w:num w:numId="30">
    <w:abstractNumId w:val="2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1ZTUwZjA3NGE1NjFjNGQ2Njc2ZDg3MjRkNDM1NmEifQ=="/>
  </w:docVars>
  <w:rsids>
    <w:rsidRoot w:val="00172A27"/>
    <w:rsid w:val="00005A66"/>
    <w:rsid w:val="00006462"/>
    <w:rsid w:val="000300E4"/>
    <w:rsid w:val="0003307E"/>
    <w:rsid w:val="000336BA"/>
    <w:rsid w:val="000359A1"/>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21ADA"/>
    <w:rsid w:val="001242F3"/>
    <w:rsid w:val="001332BB"/>
    <w:rsid w:val="00134CAD"/>
    <w:rsid w:val="001368B7"/>
    <w:rsid w:val="0013730B"/>
    <w:rsid w:val="00137853"/>
    <w:rsid w:val="00137E1C"/>
    <w:rsid w:val="00147012"/>
    <w:rsid w:val="00172A27"/>
    <w:rsid w:val="00173126"/>
    <w:rsid w:val="00173905"/>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1E7A"/>
    <w:rsid w:val="0022503E"/>
    <w:rsid w:val="00225BB4"/>
    <w:rsid w:val="00226313"/>
    <w:rsid w:val="002373BB"/>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595E"/>
    <w:rsid w:val="00381C26"/>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75A80"/>
    <w:rsid w:val="00475BB4"/>
    <w:rsid w:val="00490B9E"/>
    <w:rsid w:val="00497577"/>
    <w:rsid w:val="004A05D7"/>
    <w:rsid w:val="004A2B28"/>
    <w:rsid w:val="004A69F1"/>
    <w:rsid w:val="004B3550"/>
    <w:rsid w:val="004B3F06"/>
    <w:rsid w:val="004C7FD6"/>
    <w:rsid w:val="004D08C0"/>
    <w:rsid w:val="004D1669"/>
    <w:rsid w:val="004D1736"/>
    <w:rsid w:val="004D51A2"/>
    <w:rsid w:val="004D5AFB"/>
    <w:rsid w:val="004E04FD"/>
    <w:rsid w:val="004F1BB7"/>
    <w:rsid w:val="0050759C"/>
    <w:rsid w:val="00510827"/>
    <w:rsid w:val="005267F1"/>
    <w:rsid w:val="005269A9"/>
    <w:rsid w:val="00532034"/>
    <w:rsid w:val="00545D9A"/>
    <w:rsid w:val="00546A42"/>
    <w:rsid w:val="0055408D"/>
    <w:rsid w:val="0057492D"/>
    <w:rsid w:val="0058523E"/>
    <w:rsid w:val="00590819"/>
    <w:rsid w:val="00593D68"/>
    <w:rsid w:val="005A208B"/>
    <w:rsid w:val="005A555E"/>
    <w:rsid w:val="005A7612"/>
    <w:rsid w:val="005B58A6"/>
    <w:rsid w:val="005C57E1"/>
    <w:rsid w:val="005C702E"/>
    <w:rsid w:val="005D01B8"/>
    <w:rsid w:val="005D066B"/>
    <w:rsid w:val="005D2D85"/>
    <w:rsid w:val="005D52E7"/>
    <w:rsid w:val="005F021D"/>
    <w:rsid w:val="005F20A4"/>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76E3"/>
    <w:rsid w:val="00650DDC"/>
    <w:rsid w:val="00652983"/>
    <w:rsid w:val="0065365D"/>
    <w:rsid w:val="006546D0"/>
    <w:rsid w:val="006576FD"/>
    <w:rsid w:val="00664F6B"/>
    <w:rsid w:val="006731D2"/>
    <w:rsid w:val="00680EB0"/>
    <w:rsid w:val="00682986"/>
    <w:rsid w:val="00691701"/>
    <w:rsid w:val="00691AE0"/>
    <w:rsid w:val="0069491E"/>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37823"/>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6026F"/>
    <w:rsid w:val="008640F5"/>
    <w:rsid w:val="0087704E"/>
    <w:rsid w:val="008907DA"/>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75C2"/>
    <w:rsid w:val="00A3295D"/>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D630F"/>
    <w:rsid w:val="00BD7C1B"/>
    <w:rsid w:val="00BE0825"/>
    <w:rsid w:val="00BE2EE6"/>
    <w:rsid w:val="00BF17FD"/>
    <w:rsid w:val="00BF2820"/>
    <w:rsid w:val="00BF41D4"/>
    <w:rsid w:val="00BF5AFB"/>
    <w:rsid w:val="00C16734"/>
    <w:rsid w:val="00C17B47"/>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650"/>
    <w:rsid w:val="00E83A31"/>
    <w:rsid w:val="00E93BF5"/>
    <w:rsid w:val="00E97CC0"/>
    <w:rsid w:val="00EA22B8"/>
    <w:rsid w:val="00EA2524"/>
    <w:rsid w:val="00EA33E7"/>
    <w:rsid w:val="00EC092D"/>
    <w:rsid w:val="00EC0DF8"/>
    <w:rsid w:val="00EC7F91"/>
    <w:rsid w:val="00ED378B"/>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C51B0"/>
    <w:rsid w:val="01651C23"/>
    <w:rsid w:val="018023CE"/>
    <w:rsid w:val="01881AD6"/>
    <w:rsid w:val="019127B6"/>
    <w:rsid w:val="01B71A01"/>
    <w:rsid w:val="01DC03CE"/>
    <w:rsid w:val="01E36F4E"/>
    <w:rsid w:val="0208150E"/>
    <w:rsid w:val="02287D63"/>
    <w:rsid w:val="024179E7"/>
    <w:rsid w:val="0246437B"/>
    <w:rsid w:val="02985CD5"/>
    <w:rsid w:val="02A741FD"/>
    <w:rsid w:val="02C16E5D"/>
    <w:rsid w:val="02D964CF"/>
    <w:rsid w:val="02DE5ECF"/>
    <w:rsid w:val="032E6AB8"/>
    <w:rsid w:val="03707410"/>
    <w:rsid w:val="039170C0"/>
    <w:rsid w:val="039240A3"/>
    <w:rsid w:val="03A0770F"/>
    <w:rsid w:val="03A27726"/>
    <w:rsid w:val="03A448B8"/>
    <w:rsid w:val="03B34A78"/>
    <w:rsid w:val="03C01631"/>
    <w:rsid w:val="03C656A9"/>
    <w:rsid w:val="03F33148"/>
    <w:rsid w:val="042F3419"/>
    <w:rsid w:val="04491596"/>
    <w:rsid w:val="047B4012"/>
    <w:rsid w:val="04822497"/>
    <w:rsid w:val="04974587"/>
    <w:rsid w:val="049A0C65"/>
    <w:rsid w:val="04A07C4B"/>
    <w:rsid w:val="04DF1036"/>
    <w:rsid w:val="04E24985"/>
    <w:rsid w:val="050C01DF"/>
    <w:rsid w:val="05316537"/>
    <w:rsid w:val="053A5A77"/>
    <w:rsid w:val="0599183C"/>
    <w:rsid w:val="05A97DEC"/>
    <w:rsid w:val="05B23978"/>
    <w:rsid w:val="05C81981"/>
    <w:rsid w:val="05FC20B9"/>
    <w:rsid w:val="060043AE"/>
    <w:rsid w:val="060C3203"/>
    <w:rsid w:val="06281344"/>
    <w:rsid w:val="062D4EC8"/>
    <w:rsid w:val="069B4E4A"/>
    <w:rsid w:val="06A26008"/>
    <w:rsid w:val="06BC41F2"/>
    <w:rsid w:val="06F415CC"/>
    <w:rsid w:val="070E26CD"/>
    <w:rsid w:val="07197D08"/>
    <w:rsid w:val="071E5C55"/>
    <w:rsid w:val="075C1FE5"/>
    <w:rsid w:val="077005AB"/>
    <w:rsid w:val="078F4581"/>
    <w:rsid w:val="07A715F3"/>
    <w:rsid w:val="07BF027F"/>
    <w:rsid w:val="07F06C60"/>
    <w:rsid w:val="08031A31"/>
    <w:rsid w:val="080E2872"/>
    <w:rsid w:val="08420CAE"/>
    <w:rsid w:val="089A5AE8"/>
    <w:rsid w:val="08B1747B"/>
    <w:rsid w:val="09061A75"/>
    <w:rsid w:val="09182241"/>
    <w:rsid w:val="09325D4D"/>
    <w:rsid w:val="095F1030"/>
    <w:rsid w:val="09855177"/>
    <w:rsid w:val="09A17D47"/>
    <w:rsid w:val="09EE5125"/>
    <w:rsid w:val="0A3D7585"/>
    <w:rsid w:val="0A462748"/>
    <w:rsid w:val="0A4D0C81"/>
    <w:rsid w:val="0A723E95"/>
    <w:rsid w:val="0A733243"/>
    <w:rsid w:val="0AA534D5"/>
    <w:rsid w:val="0AA650EB"/>
    <w:rsid w:val="0AA7129C"/>
    <w:rsid w:val="0AF47339"/>
    <w:rsid w:val="0B121934"/>
    <w:rsid w:val="0B1F4D52"/>
    <w:rsid w:val="0B22594B"/>
    <w:rsid w:val="0B27506F"/>
    <w:rsid w:val="0B3061AD"/>
    <w:rsid w:val="0B9610F4"/>
    <w:rsid w:val="0BBF77A4"/>
    <w:rsid w:val="0BD03761"/>
    <w:rsid w:val="0BD16C8D"/>
    <w:rsid w:val="0BDF26F7"/>
    <w:rsid w:val="0C027DB2"/>
    <w:rsid w:val="0C2B4952"/>
    <w:rsid w:val="0C516C55"/>
    <w:rsid w:val="0C5D161C"/>
    <w:rsid w:val="0C7B2220"/>
    <w:rsid w:val="0CB67D83"/>
    <w:rsid w:val="0CCF79BE"/>
    <w:rsid w:val="0CD20599"/>
    <w:rsid w:val="0CE53018"/>
    <w:rsid w:val="0D0B5B12"/>
    <w:rsid w:val="0D133046"/>
    <w:rsid w:val="0D153F28"/>
    <w:rsid w:val="0D305390"/>
    <w:rsid w:val="0D3A0F98"/>
    <w:rsid w:val="0D5B0A5C"/>
    <w:rsid w:val="0D5D37FD"/>
    <w:rsid w:val="0D6A4502"/>
    <w:rsid w:val="0D7415CA"/>
    <w:rsid w:val="0D890E47"/>
    <w:rsid w:val="0D9366E8"/>
    <w:rsid w:val="0DC64A00"/>
    <w:rsid w:val="0DCF786E"/>
    <w:rsid w:val="0DEB5FFA"/>
    <w:rsid w:val="0DF75C46"/>
    <w:rsid w:val="0DFC60BA"/>
    <w:rsid w:val="0E045D30"/>
    <w:rsid w:val="0E1C06B2"/>
    <w:rsid w:val="0E35000C"/>
    <w:rsid w:val="0E69691B"/>
    <w:rsid w:val="0E7900C2"/>
    <w:rsid w:val="0EBB5484"/>
    <w:rsid w:val="0EBD5AA3"/>
    <w:rsid w:val="0F085784"/>
    <w:rsid w:val="0F5723EF"/>
    <w:rsid w:val="0F7C5FF6"/>
    <w:rsid w:val="0FC63FBD"/>
    <w:rsid w:val="0FDD003F"/>
    <w:rsid w:val="0FF63282"/>
    <w:rsid w:val="0FF87EA4"/>
    <w:rsid w:val="0FFF7484"/>
    <w:rsid w:val="10007DD4"/>
    <w:rsid w:val="100B77ED"/>
    <w:rsid w:val="10305890"/>
    <w:rsid w:val="103D5A1A"/>
    <w:rsid w:val="106C564D"/>
    <w:rsid w:val="10767478"/>
    <w:rsid w:val="107B7B8F"/>
    <w:rsid w:val="107C67CE"/>
    <w:rsid w:val="10912D03"/>
    <w:rsid w:val="109D68CB"/>
    <w:rsid w:val="10A949B8"/>
    <w:rsid w:val="10CB4D26"/>
    <w:rsid w:val="11144AFE"/>
    <w:rsid w:val="11200D07"/>
    <w:rsid w:val="116A3F32"/>
    <w:rsid w:val="11786AB5"/>
    <w:rsid w:val="118049D4"/>
    <w:rsid w:val="118561F8"/>
    <w:rsid w:val="11914FAF"/>
    <w:rsid w:val="11A8021A"/>
    <w:rsid w:val="11B21219"/>
    <w:rsid w:val="11B4024C"/>
    <w:rsid w:val="11DA73AF"/>
    <w:rsid w:val="11FC1ECD"/>
    <w:rsid w:val="12457C5E"/>
    <w:rsid w:val="124D097B"/>
    <w:rsid w:val="12511265"/>
    <w:rsid w:val="126561B4"/>
    <w:rsid w:val="127A3FFC"/>
    <w:rsid w:val="127D0E25"/>
    <w:rsid w:val="127E0B34"/>
    <w:rsid w:val="1283614B"/>
    <w:rsid w:val="12856FF3"/>
    <w:rsid w:val="129671FB"/>
    <w:rsid w:val="12A576FF"/>
    <w:rsid w:val="12C60D80"/>
    <w:rsid w:val="130523B3"/>
    <w:rsid w:val="13097496"/>
    <w:rsid w:val="13154AD2"/>
    <w:rsid w:val="131F7A3A"/>
    <w:rsid w:val="132645D0"/>
    <w:rsid w:val="134312FF"/>
    <w:rsid w:val="13455ABC"/>
    <w:rsid w:val="1370322B"/>
    <w:rsid w:val="13BA0460"/>
    <w:rsid w:val="13BB41AE"/>
    <w:rsid w:val="13C24F9B"/>
    <w:rsid w:val="13C45A18"/>
    <w:rsid w:val="13C9247B"/>
    <w:rsid w:val="13C92A4D"/>
    <w:rsid w:val="13DE55D1"/>
    <w:rsid w:val="13E0285C"/>
    <w:rsid w:val="143B2E0B"/>
    <w:rsid w:val="147C1943"/>
    <w:rsid w:val="148054E9"/>
    <w:rsid w:val="14892735"/>
    <w:rsid w:val="14906D6C"/>
    <w:rsid w:val="14CC769D"/>
    <w:rsid w:val="14D764D5"/>
    <w:rsid w:val="14F43330"/>
    <w:rsid w:val="152509D7"/>
    <w:rsid w:val="15436F05"/>
    <w:rsid w:val="155541C5"/>
    <w:rsid w:val="15691FE3"/>
    <w:rsid w:val="158B5DDD"/>
    <w:rsid w:val="15A41986"/>
    <w:rsid w:val="15B11221"/>
    <w:rsid w:val="15C16EB3"/>
    <w:rsid w:val="15CB76C9"/>
    <w:rsid w:val="15D359D7"/>
    <w:rsid w:val="160E7A2C"/>
    <w:rsid w:val="16111028"/>
    <w:rsid w:val="161F7731"/>
    <w:rsid w:val="163C77BE"/>
    <w:rsid w:val="16573587"/>
    <w:rsid w:val="1679588C"/>
    <w:rsid w:val="168C2855"/>
    <w:rsid w:val="16903443"/>
    <w:rsid w:val="16994962"/>
    <w:rsid w:val="16A233CF"/>
    <w:rsid w:val="16A71041"/>
    <w:rsid w:val="16AA24BF"/>
    <w:rsid w:val="171D3FE1"/>
    <w:rsid w:val="1742794A"/>
    <w:rsid w:val="17680CAB"/>
    <w:rsid w:val="176E4128"/>
    <w:rsid w:val="1783371F"/>
    <w:rsid w:val="178D7563"/>
    <w:rsid w:val="17B61794"/>
    <w:rsid w:val="17C52CBF"/>
    <w:rsid w:val="17C93012"/>
    <w:rsid w:val="17E62B67"/>
    <w:rsid w:val="180F4499"/>
    <w:rsid w:val="182201B4"/>
    <w:rsid w:val="18221ECE"/>
    <w:rsid w:val="18303840"/>
    <w:rsid w:val="183C3D90"/>
    <w:rsid w:val="18504A07"/>
    <w:rsid w:val="1859036F"/>
    <w:rsid w:val="18681814"/>
    <w:rsid w:val="18B00D1C"/>
    <w:rsid w:val="18B0649B"/>
    <w:rsid w:val="18C8297B"/>
    <w:rsid w:val="18D418FC"/>
    <w:rsid w:val="18FC7745"/>
    <w:rsid w:val="19027053"/>
    <w:rsid w:val="191677A6"/>
    <w:rsid w:val="19353F17"/>
    <w:rsid w:val="19637DD9"/>
    <w:rsid w:val="19DD405E"/>
    <w:rsid w:val="1A460CF5"/>
    <w:rsid w:val="1A7A6BB4"/>
    <w:rsid w:val="1A7F297D"/>
    <w:rsid w:val="1A9B268C"/>
    <w:rsid w:val="1A9D6244"/>
    <w:rsid w:val="1AAF6004"/>
    <w:rsid w:val="1AB16AC1"/>
    <w:rsid w:val="1ABF1CEA"/>
    <w:rsid w:val="1B014DDE"/>
    <w:rsid w:val="1B0320FB"/>
    <w:rsid w:val="1B034A52"/>
    <w:rsid w:val="1B45344E"/>
    <w:rsid w:val="1B591D2B"/>
    <w:rsid w:val="1B5D76FB"/>
    <w:rsid w:val="1B683578"/>
    <w:rsid w:val="1B8C0040"/>
    <w:rsid w:val="1BBA4E52"/>
    <w:rsid w:val="1BD9519A"/>
    <w:rsid w:val="1BDE2F66"/>
    <w:rsid w:val="1C2A22B3"/>
    <w:rsid w:val="1C750ECE"/>
    <w:rsid w:val="1CA56AF4"/>
    <w:rsid w:val="1CE1575A"/>
    <w:rsid w:val="1D196139"/>
    <w:rsid w:val="1D2E2708"/>
    <w:rsid w:val="1D5E02D1"/>
    <w:rsid w:val="1D7B74A7"/>
    <w:rsid w:val="1D7F0ED0"/>
    <w:rsid w:val="1DA31EB7"/>
    <w:rsid w:val="1DA55D97"/>
    <w:rsid w:val="1DBB6100"/>
    <w:rsid w:val="1DBE6816"/>
    <w:rsid w:val="1DC67725"/>
    <w:rsid w:val="1DCB4FF1"/>
    <w:rsid w:val="1DDC11E4"/>
    <w:rsid w:val="1DF5452A"/>
    <w:rsid w:val="1E010AF7"/>
    <w:rsid w:val="1E1C405A"/>
    <w:rsid w:val="1E2E29E0"/>
    <w:rsid w:val="1E301173"/>
    <w:rsid w:val="1E884D18"/>
    <w:rsid w:val="1ED8781E"/>
    <w:rsid w:val="1EDD3235"/>
    <w:rsid w:val="1EE7283A"/>
    <w:rsid w:val="1F1102B0"/>
    <w:rsid w:val="1F2F1047"/>
    <w:rsid w:val="1F3F2FEE"/>
    <w:rsid w:val="1F43381C"/>
    <w:rsid w:val="1F7D6A3D"/>
    <w:rsid w:val="1FA4148D"/>
    <w:rsid w:val="1FC10FAB"/>
    <w:rsid w:val="1FC65577"/>
    <w:rsid w:val="1FD82385"/>
    <w:rsid w:val="20121621"/>
    <w:rsid w:val="201636E2"/>
    <w:rsid w:val="202E3F6D"/>
    <w:rsid w:val="2032134B"/>
    <w:rsid w:val="20325F7E"/>
    <w:rsid w:val="204778E7"/>
    <w:rsid w:val="204E554F"/>
    <w:rsid w:val="20546774"/>
    <w:rsid w:val="20590035"/>
    <w:rsid w:val="20851B47"/>
    <w:rsid w:val="209A2C3D"/>
    <w:rsid w:val="20E5011E"/>
    <w:rsid w:val="20FC799E"/>
    <w:rsid w:val="21286DA7"/>
    <w:rsid w:val="2134683B"/>
    <w:rsid w:val="21C82E72"/>
    <w:rsid w:val="21DE0801"/>
    <w:rsid w:val="21DE339D"/>
    <w:rsid w:val="22154DDD"/>
    <w:rsid w:val="221D4DB5"/>
    <w:rsid w:val="22336873"/>
    <w:rsid w:val="22396826"/>
    <w:rsid w:val="225471A3"/>
    <w:rsid w:val="225E34DC"/>
    <w:rsid w:val="227D1295"/>
    <w:rsid w:val="229B678A"/>
    <w:rsid w:val="22AB3B7D"/>
    <w:rsid w:val="22AF3A08"/>
    <w:rsid w:val="22F92F75"/>
    <w:rsid w:val="23122EDF"/>
    <w:rsid w:val="239634D6"/>
    <w:rsid w:val="23A81EC6"/>
    <w:rsid w:val="23BB4E7D"/>
    <w:rsid w:val="23C172D6"/>
    <w:rsid w:val="23CB1286"/>
    <w:rsid w:val="23D77537"/>
    <w:rsid w:val="23E6195D"/>
    <w:rsid w:val="23F04F64"/>
    <w:rsid w:val="242654AA"/>
    <w:rsid w:val="243E6375"/>
    <w:rsid w:val="24814CBE"/>
    <w:rsid w:val="24AC168B"/>
    <w:rsid w:val="24BB6664"/>
    <w:rsid w:val="24EC64CB"/>
    <w:rsid w:val="250E1318"/>
    <w:rsid w:val="25103738"/>
    <w:rsid w:val="253F46D8"/>
    <w:rsid w:val="254D0389"/>
    <w:rsid w:val="25884C5D"/>
    <w:rsid w:val="258C3BEC"/>
    <w:rsid w:val="25A03144"/>
    <w:rsid w:val="25B2479F"/>
    <w:rsid w:val="25C15C5D"/>
    <w:rsid w:val="25D329B9"/>
    <w:rsid w:val="25E5427A"/>
    <w:rsid w:val="26276A31"/>
    <w:rsid w:val="26366F9D"/>
    <w:rsid w:val="263B1230"/>
    <w:rsid w:val="2642752B"/>
    <w:rsid w:val="26485508"/>
    <w:rsid w:val="26554808"/>
    <w:rsid w:val="265E685B"/>
    <w:rsid w:val="26607D95"/>
    <w:rsid w:val="26700955"/>
    <w:rsid w:val="26A16AE9"/>
    <w:rsid w:val="26A605D9"/>
    <w:rsid w:val="26AC03A1"/>
    <w:rsid w:val="26AD0500"/>
    <w:rsid w:val="26B121A3"/>
    <w:rsid w:val="26E464C3"/>
    <w:rsid w:val="272E3097"/>
    <w:rsid w:val="272E6F74"/>
    <w:rsid w:val="273B7A3B"/>
    <w:rsid w:val="277E6655"/>
    <w:rsid w:val="2780046C"/>
    <w:rsid w:val="27933DEA"/>
    <w:rsid w:val="27B36A67"/>
    <w:rsid w:val="27D9633F"/>
    <w:rsid w:val="280B2E27"/>
    <w:rsid w:val="28104449"/>
    <w:rsid w:val="281E404F"/>
    <w:rsid w:val="28302479"/>
    <w:rsid w:val="2846581F"/>
    <w:rsid w:val="284A5CA4"/>
    <w:rsid w:val="286550ED"/>
    <w:rsid w:val="286602C8"/>
    <w:rsid w:val="28665C95"/>
    <w:rsid w:val="28736F5F"/>
    <w:rsid w:val="28B01D1E"/>
    <w:rsid w:val="28C2628C"/>
    <w:rsid w:val="28CC3373"/>
    <w:rsid w:val="28F47F99"/>
    <w:rsid w:val="28F579BA"/>
    <w:rsid w:val="290B3EB9"/>
    <w:rsid w:val="292728C1"/>
    <w:rsid w:val="294E392A"/>
    <w:rsid w:val="2950768C"/>
    <w:rsid w:val="297A5FC4"/>
    <w:rsid w:val="29B51252"/>
    <w:rsid w:val="29E14657"/>
    <w:rsid w:val="29E474B8"/>
    <w:rsid w:val="29ED574B"/>
    <w:rsid w:val="29FA2D3E"/>
    <w:rsid w:val="29FE5CE6"/>
    <w:rsid w:val="2A743AE8"/>
    <w:rsid w:val="2A8D4F8F"/>
    <w:rsid w:val="2A917B34"/>
    <w:rsid w:val="2A9308A8"/>
    <w:rsid w:val="2A9F5AB8"/>
    <w:rsid w:val="2AB10C99"/>
    <w:rsid w:val="2AD74E8C"/>
    <w:rsid w:val="2AE3766F"/>
    <w:rsid w:val="2AEC612E"/>
    <w:rsid w:val="2B0268A7"/>
    <w:rsid w:val="2B060F9E"/>
    <w:rsid w:val="2B0E56AB"/>
    <w:rsid w:val="2B51141C"/>
    <w:rsid w:val="2B590601"/>
    <w:rsid w:val="2B710DB7"/>
    <w:rsid w:val="2B7408CF"/>
    <w:rsid w:val="2B7E4054"/>
    <w:rsid w:val="2BBA6A76"/>
    <w:rsid w:val="2BCC03D1"/>
    <w:rsid w:val="2BDF1FBA"/>
    <w:rsid w:val="2C0A17CB"/>
    <w:rsid w:val="2C0C6D59"/>
    <w:rsid w:val="2C5B0D4B"/>
    <w:rsid w:val="2C67623E"/>
    <w:rsid w:val="2C8903AA"/>
    <w:rsid w:val="2C987C56"/>
    <w:rsid w:val="2CA156F3"/>
    <w:rsid w:val="2CC11460"/>
    <w:rsid w:val="2CC15BAA"/>
    <w:rsid w:val="2CC72A61"/>
    <w:rsid w:val="2CDC3153"/>
    <w:rsid w:val="2CDF621C"/>
    <w:rsid w:val="2CE136D7"/>
    <w:rsid w:val="2CFE7A11"/>
    <w:rsid w:val="2CFF149A"/>
    <w:rsid w:val="2D201865"/>
    <w:rsid w:val="2D2B6EDE"/>
    <w:rsid w:val="2D4B5CEA"/>
    <w:rsid w:val="2D4C5B4C"/>
    <w:rsid w:val="2D542188"/>
    <w:rsid w:val="2D652658"/>
    <w:rsid w:val="2D964A56"/>
    <w:rsid w:val="2DC16E0A"/>
    <w:rsid w:val="2DC80C49"/>
    <w:rsid w:val="2DCA6355"/>
    <w:rsid w:val="2E030E17"/>
    <w:rsid w:val="2E166748"/>
    <w:rsid w:val="2E2054A0"/>
    <w:rsid w:val="2E482374"/>
    <w:rsid w:val="2E491580"/>
    <w:rsid w:val="2E556F01"/>
    <w:rsid w:val="2E8345A7"/>
    <w:rsid w:val="2E8E20B4"/>
    <w:rsid w:val="2EAA7BAE"/>
    <w:rsid w:val="2EC1207D"/>
    <w:rsid w:val="2ED06066"/>
    <w:rsid w:val="2ED1223D"/>
    <w:rsid w:val="2F000139"/>
    <w:rsid w:val="2F1B303D"/>
    <w:rsid w:val="2F3F11F4"/>
    <w:rsid w:val="2F5E0754"/>
    <w:rsid w:val="2F9F42DC"/>
    <w:rsid w:val="2FAB26B4"/>
    <w:rsid w:val="2FBB4121"/>
    <w:rsid w:val="2FBC2844"/>
    <w:rsid w:val="2FBE3786"/>
    <w:rsid w:val="2FC32F68"/>
    <w:rsid w:val="2FD6418B"/>
    <w:rsid w:val="2FF37AB3"/>
    <w:rsid w:val="30210B8A"/>
    <w:rsid w:val="30224DC7"/>
    <w:rsid w:val="303B4C3F"/>
    <w:rsid w:val="3073310C"/>
    <w:rsid w:val="309D6BE6"/>
    <w:rsid w:val="30AA1790"/>
    <w:rsid w:val="30B10B46"/>
    <w:rsid w:val="30EE385E"/>
    <w:rsid w:val="30F85AFE"/>
    <w:rsid w:val="31031402"/>
    <w:rsid w:val="31170995"/>
    <w:rsid w:val="31264A30"/>
    <w:rsid w:val="312651F8"/>
    <w:rsid w:val="316F3F32"/>
    <w:rsid w:val="31862EE3"/>
    <w:rsid w:val="31884E67"/>
    <w:rsid w:val="31A0275E"/>
    <w:rsid w:val="31A67308"/>
    <w:rsid w:val="31B91526"/>
    <w:rsid w:val="31BA7402"/>
    <w:rsid w:val="31EF0041"/>
    <w:rsid w:val="320107F5"/>
    <w:rsid w:val="324175CB"/>
    <w:rsid w:val="326A0524"/>
    <w:rsid w:val="327B7EDF"/>
    <w:rsid w:val="32AB70C5"/>
    <w:rsid w:val="32EF2122"/>
    <w:rsid w:val="32F17F41"/>
    <w:rsid w:val="332038B4"/>
    <w:rsid w:val="33247607"/>
    <w:rsid w:val="333014B0"/>
    <w:rsid w:val="335D0AF5"/>
    <w:rsid w:val="336917EF"/>
    <w:rsid w:val="336B2EA4"/>
    <w:rsid w:val="336B3E67"/>
    <w:rsid w:val="3370088C"/>
    <w:rsid w:val="33872039"/>
    <w:rsid w:val="339A687B"/>
    <w:rsid w:val="33DC2F78"/>
    <w:rsid w:val="3428227C"/>
    <w:rsid w:val="343230D5"/>
    <w:rsid w:val="3439428E"/>
    <w:rsid w:val="34571EF7"/>
    <w:rsid w:val="347918A5"/>
    <w:rsid w:val="34802E4C"/>
    <w:rsid w:val="349D37D5"/>
    <w:rsid w:val="34A61BDE"/>
    <w:rsid w:val="34BB7B5F"/>
    <w:rsid w:val="3522586C"/>
    <w:rsid w:val="35572473"/>
    <w:rsid w:val="35602226"/>
    <w:rsid w:val="356B72E7"/>
    <w:rsid w:val="356D2AC8"/>
    <w:rsid w:val="3572424F"/>
    <w:rsid w:val="35734CF3"/>
    <w:rsid w:val="35866014"/>
    <w:rsid w:val="359E5CE0"/>
    <w:rsid w:val="35D275C3"/>
    <w:rsid w:val="35E50FBB"/>
    <w:rsid w:val="362B215D"/>
    <w:rsid w:val="366666CA"/>
    <w:rsid w:val="367070F4"/>
    <w:rsid w:val="367801A9"/>
    <w:rsid w:val="36807FCC"/>
    <w:rsid w:val="36AD519D"/>
    <w:rsid w:val="36B57705"/>
    <w:rsid w:val="36B93E53"/>
    <w:rsid w:val="36DC1DD3"/>
    <w:rsid w:val="36F3711D"/>
    <w:rsid w:val="36FC25DD"/>
    <w:rsid w:val="37090CD6"/>
    <w:rsid w:val="37122320"/>
    <w:rsid w:val="3754697A"/>
    <w:rsid w:val="37636A21"/>
    <w:rsid w:val="377C03A4"/>
    <w:rsid w:val="37A103ED"/>
    <w:rsid w:val="37A367C3"/>
    <w:rsid w:val="37BD33EE"/>
    <w:rsid w:val="37E02B23"/>
    <w:rsid w:val="37E345A6"/>
    <w:rsid w:val="37EA5E6E"/>
    <w:rsid w:val="37EC6A58"/>
    <w:rsid w:val="37FB2268"/>
    <w:rsid w:val="37FF016F"/>
    <w:rsid w:val="382A6E2D"/>
    <w:rsid w:val="386E4145"/>
    <w:rsid w:val="387C5ABE"/>
    <w:rsid w:val="38B66D0C"/>
    <w:rsid w:val="38D41643"/>
    <w:rsid w:val="38EB6119"/>
    <w:rsid w:val="39044996"/>
    <w:rsid w:val="392C6D9B"/>
    <w:rsid w:val="393B020C"/>
    <w:rsid w:val="39506E15"/>
    <w:rsid w:val="396678D9"/>
    <w:rsid w:val="39790BE6"/>
    <w:rsid w:val="397A0ADB"/>
    <w:rsid w:val="39844799"/>
    <w:rsid w:val="39954B2B"/>
    <w:rsid w:val="39DA2245"/>
    <w:rsid w:val="39E66E3B"/>
    <w:rsid w:val="39FD4CC2"/>
    <w:rsid w:val="3A0F0C13"/>
    <w:rsid w:val="3A51228C"/>
    <w:rsid w:val="3A545E48"/>
    <w:rsid w:val="3A552E60"/>
    <w:rsid w:val="3A5D642F"/>
    <w:rsid w:val="3A744447"/>
    <w:rsid w:val="3A78219D"/>
    <w:rsid w:val="3A995C5C"/>
    <w:rsid w:val="3AB210FC"/>
    <w:rsid w:val="3ADB7381"/>
    <w:rsid w:val="3AF04A37"/>
    <w:rsid w:val="3B043A1D"/>
    <w:rsid w:val="3B1E01C3"/>
    <w:rsid w:val="3B3E5B8A"/>
    <w:rsid w:val="3B793A48"/>
    <w:rsid w:val="3B7E3699"/>
    <w:rsid w:val="3B85393E"/>
    <w:rsid w:val="3BCA4B8A"/>
    <w:rsid w:val="3BCD72F7"/>
    <w:rsid w:val="3BFC2F5F"/>
    <w:rsid w:val="3C37146A"/>
    <w:rsid w:val="3C3D3625"/>
    <w:rsid w:val="3C414142"/>
    <w:rsid w:val="3C5B725E"/>
    <w:rsid w:val="3C84047F"/>
    <w:rsid w:val="3C88055A"/>
    <w:rsid w:val="3C9E57AB"/>
    <w:rsid w:val="3CAF79B9"/>
    <w:rsid w:val="3CB35097"/>
    <w:rsid w:val="3CF737A2"/>
    <w:rsid w:val="3D10295A"/>
    <w:rsid w:val="3D184041"/>
    <w:rsid w:val="3D370C2A"/>
    <w:rsid w:val="3D414FC0"/>
    <w:rsid w:val="3D4F12A7"/>
    <w:rsid w:val="3D7B5F78"/>
    <w:rsid w:val="3D7D049C"/>
    <w:rsid w:val="3DB55AEC"/>
    <w:rsid w:val="3DE20EAE"/>
    <w:rsid w:val="3DEF3701"/>
    <w:rsid w:val="3E0572FD"/>
    <w:rsid w:val="3E0720FE"/>
    <w:rsid w:val="3E2819F6"/>
    <w:rsid w:val="3E287A22"/>
    <w:rsid w:val="3E5A7FE7"/>
    <w:rsid w:val="3E7D40EF"/>
    <w:rsid w:val="3E955A6A"/>
    <w:rsid w:val="3E964D81"/>
    <w:rsid w:val="3EF66B2E"/>
    <w:rsid w:val="3F217914"/>
    <w:rsid w:val="3FD10810"/>
    <w:rsid w:val="3FD70BB0"/>
    <w:rsid w:val="3FFB55AC"/>
    <w:rsid w:val="40017152"/>
    <w:rsid w:val="40066FFF"/>
    <w:rsid w:val="401C5F9D"/>
    <w:rsid w:val="401C690C"/>
    <w:rsid w:val="401D7195"/>
    <w:rsid w:val="405C1C05"/>
    <w:rsid w:val="407A652F"/>
    <w:rsid w:val="40825D97"/>
    <w:rsid w:val="40836C36"/>
    <w:rsid w:val="40870EA3"/>
    <w:rsid w:val="409928E7"/>
    <w:rsid w:val="40997CFE"/>
    <w:rsid w:val="40C34607"/>
    <w:rsid w:val="40CE3DC0"/>
    <w:rsid w:val="40D7455A"/>
    <w:rsid w:val="40E743E5"/>
    <w:rsid w:val="40EB4012"/>
    <w:rsid w:val="41075C9E"/>
    <w:rsid w:val="410A1661"/>
    <w:rsid w:val="412900ED"/>
    <w:rsid w:val="412D5EA0"/>
    <w:rsid w:val="415A62F5"/>
    <w:rsid w:val="416D78C7"/>
    <w:rsid w:val="41734CBA"/>
    <w:rsid w:val="417F4E1A"/>
    <w:rsid w:val="418B0C8A"/>
    <w:rsid w:val="41A82190"/>
    <w:rsid w:val="41DE5999"/>
    <w:rsid w:val="41E1181A"/>
    <w:rsid w:val="41E32A20"/>
    <w:rsid w:val="41E63679"/>
    <w:rsid w:val="41FA3241"/>
    <w:rsid w:val="420F7A65"/>
    <w:rsid w:val="4216611A"/>
    <w:rsid w:val="42321B6A"/>
    <w:rsid w:val="423E300F"/>
    <w:rsid w:val="425656C8"/>
    <w:rsid w:val="4257273C"/>
    <w:rsid w:val="42687ACE"/>
    <w:rsid w:val="4270145E"/>
    <w:rsid w:val="429E6041"/>
    <w:rsid w:val="42BF4B02"/>
    <w:rsid w:val="42FD694D"/>
    <w:rsid w:val="43034DFA"/>
    <w:rsid w:val="437D6687"/>
    <w:rsid w:val="438351F5"/>
    <w:rsid w:val="438D35EA"/>
    <w:rsid w:val="43BC1E57"/>
    <w:rsid w:val="43D23F8D"/>
    <w:rsid w:val="43D43F1D"/>
    <w:rsid w:val="43FA5777"/>
    <w:rsid w:val="44023422"/>
    <w:rsid w:val="44184A2D"/>
    <w:rsid w:val="441C1611"/>
    <w:rsid w:val="443C440B"/>
    <w:rsid w:val="44514F52"/>
    <w:rsid w:val="44761C8F"/>
    <w:rsid w:val="449722E3"/>
    <w:rsid w:val="449D7B09"/>
    <w:rsid w:val="44AE3FD4"/>
    <w:rsid w:val="44D0586F"/>
    <w:rsid w:val="44DD5C55"/>
    <w:rsid w:val="44FA2D53"/>
    <w:rsid w:val="453C4912"/>
    <w:rsid w:val="45687813"/>
    <w:rsid w:val="4571374F"/>
    <w:rsid w:val="458B1BB0"/>
    <w:rsid w:val="45A41560"/>
    <w:rsid w:val="45AD31D6"/>
    <w:rsid w:val="45B93426"/>
    <w:rsid w:val="45CF1361"/>
    <w:rsid w:val="464C6420"/>
    <w:rsid w:val="46552F9B"/>
    <w:rsid w:val="467A0297"/>
    <w:rsid w:val="468B7125"/>
    <w:rsid w:val="46B506EF"/>
    <w:rsid w:val="46C4691F"/>
    <w:rsid w:val="46CB53EF"/>
    <w:rsid w:val="46EE513F"/>
    <w:rsid w:val="470F5A71"/>
    <w:rsid w:val="473154FF"/>
    <w:rsid w:val="47685427"/>
    <w:rsid w:val="476C4065"/>
    <w:rsid w:val="4779499C"/>
    <w:rsid w:val="477B6530"/>
    <w:rsid w:val="47801172"/>
    <w:rsid w:val="479D1D34"/>
    <w:rsid w:val="47B609C0"/>
    <w:rsid w:val="47EC3B04"/>
    <w:rsid w:val="47EC6277"/>
    <w:rsid w:val="48021483"/>
    <w:rsid w:val="481A219B"/>
    <w:rsid w:val="482D31EA"/>
    <w:rsid w:val="48447D02"/>
    <w:rsid w:val="485970A0"/>
    <w:rsid w:val="486A6E89"/>
    <w:rsid w:val="48823516"/>
    <w:rsid w:val="48877686"/>
    <w:rsid w:val="488B498B"/>
    <w:rsid w:val="48B176C2"/>
    <w:rsid w:val="48B65C71"/>
    <w:rsid w:val="48D550F0"/>
    <w:rsid w:val="48FB1909"/>
    <w:rsid w:val="491F266E"/>
    <w:rsid w:val="492E6A57"/>
    <w:rsid w:val="495839AA"/>
    <w:rsid w:val="49700A6F"/>
    <w:rsid w:val="49771AFE"/>
    <w:rsid w:val="49802948"/>
    <w:rsid w:val="4986089F"/>
    <w:rsid w:val="498B5309"/>
    <w:rsid w:val="499F0AAB"/>
    <w:rsid w:val="49C154CE"/>
    <w:rsid w:val="49C33FF5"/>
    <w:rsid w:val="49DB11EC"/>
    <w:rsid w:val="49E31DD1"/>
    <w:rsid w:val="4A0030EE"/>
    <w:rsid w:val="4A0568D6"/>
    <w:rsid w:val="4A0C4F3C"/>
    <w:rsid w:val="4A162478"/>
    <w:rsid w:val="4A171EC9"/>
    <w:rsid w:val="4A1A1689"/>
    <w:rsid w:val="4A484D41"/>
    <w:rsid w:val="4A6D15F8"/>
    <w:rsid w:val="4A7617B6"/>
    <w:rsid w:val="4A8C4FB8"/>
    <w:rsid w:val="4A9A25BD"/>
    <w:rsid w:val="4A9E0551"/>
    <w:rsid w:val="4AB542AE"/>
    <w:rsid w:val="4AF72FEA"/>
    <w:rsid w:val="4B1477B3"/>
    <w:rsid w:val="4B1F062C"/>
    <w:rsid w:val="4B243D9D"/>
    <w:rsid w:val="4B281425"/>
    <w:rsid w:val="4B6F66A1"/>
    <w:rsid w:val="4B85213F"/>
    <w:rsid w:val="4B8C2DEB"/>
    <w:rsid w:val="4BFA3C9F"/>
    <w:rsid w:val="4BFA7F6C"/>
    <w:rsid w:val="4C107F48"/>
    <w:rsid w:val="4C3117D0"/>
    <w:rsid w:val="4C3277BC"/>
    <w:rsid w:val="4C5C442D"/>
    <w:rsid w:val="4C6D42A9"/>
    <w:rsid w:val="4C716A38"/>
    <w:rsid w:val="4CAE0FF4"/>
    <w:rsid w:val="4CC0351C"/>
    <w:rsid w:val="4CC353EB"/>
    <w:rsid w:val="4CE64E14"/>
    <w:rsid w:val="4CE95EE5"/>
    <w:rsid w:val="4CF36F3C"/>
    <w:rsid w:val="4D007BC8"/>
    <w:rsid w:val="4D0602E5"/>
    <w:rsid w:val="4D1470BD"/>
    <w:rsid w:val="4D154882"/>
    <w:rsid w:val="4D1C3C50"/>
    <w:rsid w:val="4D603399"/>
    <w:rsid w:val="4D6A7284"/>
    <w:rsid w:val="4D6E30E1"/>
    <w:rsid w:val="4D867EE1"/>
    <w:rsid w:val="4DBC4C65"/>
    <w:rsid w:val="4DC9105D"/>
    <w:rsid w:val="4DE2009B"/>
    <w:rsid w:val="4DF86974"/>
    <w:rsid w:val="4E0F235E"/>
    <w:rsid w:val="4E157689"/>
    <w:rsid w:val="4E1E0CD2"/>
    <w:rsid w:val="4E471216"/>
    <w:rsid w:val="4E533FA5"/>
    <w:rsid w:val="4E550010"/>
    <w:rsid w:val="4E5F14CB"/>
    <w:rsid w:val="4E6808B0"/>
    <w:rsid w:val="4E780BC4"/>
    <w:rsid w:val="4E7F07B2"/>
    <w:rsid w:val="4EBA42F2"/>
    <w:rsid w:val="4EC00DDD"/>
    <w:rsid w:val="4ED908C5"/>
    <w:rsid w:val="4EF265BE"/>
    <w:rsid w:val="4EFB1C45"/>
    <w:rsid w:val="4F0C2A48"/>
    <w:rsid w:val="4F26273B"/>
    <w:rsid w:val="4F2D3A8A"/>
    <w:rsid w:val="4F32478A"/>
    <w:rsid w:val="4F3705F8"/>
    <w:rsid w:val="4F913A9A"/>
    <w:rsid w:val="4F9714A0"/>
    <w:rsid w:val="4FAA3F91"/>
    <w:rsid w:val="4FAC3540"/>
    <w:rsid w:val="4FCF1583"/>
    <w:rsid w:val="4FD23E66"/>
    <w:rsid w:val="4FD44D1B"/>
    <w:rsid w:val="4FDC066D"/>
    <w:rsid w:val="4FFA7625"/>
    <w:rsid w:val="50453E7E"/>
    <w:rsid w:val="50594CF7"/>
    <w:rsid w:val="507D2599"/>
    <w:rsid w:val="5096229D"/>
    <w:rsid w:val="509E157D"/>
    <w:rsid w:val="50A6165E"/>
    <w:rsid w:val="50DC4184"/>
    <w:rsid w:val="50E311E6"/>
    <w:rsid w:val="50FB6146"/>
    <w:rsid w:val="512F4CA0"/>
    <w:rsid w:val="51361FFF"/>
    <w:rsid w:val="513D4C38"/>
    <w:rsid w:val="514C3EA7"/>
    <w:rsid w:val="51AC4D00"/>
    <w:rsid w:val="51FF3C99"/>
    <w:rsid w:val="522A20E4"/>
    <w:rsid w:val="52363D4D"/>
    <w:rsid w:val="524A2AC9"/>
    <w:rsid w:val="52521A20"/>
    <w:rsid w:val="528604EC"/>
    <w:rsid w:val="529E2C3A"/>
    <w:rsid w:val="52AC4ABC"/>
    <w:rsid w:val="52C201B9"/>
    <w:rsid w:val="52E57A12"/>
    <w:rsid w:val="52F20B62"/>
    <w:rsid w:val="531C4FCC"/>
    <w:rsid w:val="53264FB2"/>
    <w:rsid w:val="533C29CE"/>
    <w:rsid w:val="53827E49"/>
    <w:rsid w:val="538A6BB9"/>
    <w:rsid w:val="539964FD"/>
    <w:rsid w:val="539C1B81"/>
    <w:rsid w:val="539D7755"/>
    <w:rsid w:val="53A447B1"/>
    <w:rsid w:val="53AE750F"/>
    <w:rsid w:val="53D224B3"/>
    <w:rsid w:val="53F81D96"/>
    <w:rsid w:val="541D5DE8"/>
    <w:rsid w:val="541F57C4"/>
    <w:rsid w:val="544B5214"/>
    <w:rsid w:val="546F523C"/>
    <w:rsid w:val="54782FBD"/>
    <w:rsid w:val="5483138F"/>
    <w:rsid w:val="5488523A"/>
    <w:rsid w:val="549A6BFA"/>
    <w:rsid w:val="54C341E7"/>
    <w:rsid w:val="54D933CD"/>
    <w:rsid w:val="551751CF"/>
    <w:rsid w:val="5522558F"/>
    <w:rsid w:val="55244D7F"/>
    <w:rsid w:val="55305397"/>
    <w:rsid w:val="55362287"/>
    <w:rsid w:val="55432F3C"/>
    <w:rsid w:val="55A37FFD"/>
    <w:rsid w:val="55AE22F1"/>
    <w:rsid w:val="55C3227E"/>
    <w:rsid w:val="55CE1AA9"/>
    <w:rsid w:val="55F6381F"/>
    <w:rsid w:val="55FA2961"/>
    <w:rsid w:val="5602250F"/>
    <w:rsid w:val="564220BA"/>
    <w:rsid w:val="565E7F4F"/>
    <w:rsid w:val="565F3DA6"/>
    <w:rsid w:val="56914056"/>
    <w:rsid w:val="56B61E36"/>
    <w:rsid w:val="56C36589"/>
    <w:rsid w:val="570D55B0"/>
    <w:rsid w:val="57293C95"/>
    <w:rsid w:val="572A6381"/>
    <w:rsid w:val="572B41B4"/>
    <w:rsid w:val="57365868"/>
    <w:rsid w:val="573C1959"/>
    <w:rsid w:val="57554571"/>
    <w:rsid w:val="57F65317"/>
    <w:rsid w:val="57FA0E3D"/>
    <w:rsid w:val="57FC2169"/>
    <w:rsid w:val="58024015"/>
    <w:rsid w:val="58096275"/>
    <w:rsid w:val="5819544F"/>
    <w:rsid w:val="582D6D32"/>
    <w:rsid w:val="582E6EF7"/>
    <w:rsid w:val="58310C72"/>
    <w:rsid w:val="584E30E6"/>
    <w:rsid w:val="58546EFD"/>
    <w:rsid w:val="5881703E"/>
    <w:rsid w:val="58E26731"/>
    <w:rsid w:val="58EB1371"/>
    <w:rsid w:val="59091D98"/>
    <w:rsid w:val="590E4A97"/>
    <w:rsid w:val="591250FF"/>
    <w:rsid w:val="5920012C"/>
    <w:rsid w:val="593700E7"/>
    <w:rsid w:val="595578DE"/>
    <w:rsid w:val="597B384D"/>
    <w:rsid w:val="59996DA8"/>
    <w:rsid w:val="59C30F1B"/>
    <w:rsid w:val="59CE4759"/>
    <w:rsid w:val="59D90B78"/>
    <w:rsid w:val="5A814766"/>
    <w:rsid w:val="5A8C20D0"/>
    <w:rsid w:val="5ABC29E4"/>
    <w:rsid w:val="5AC7121C"/>
    <w:rsid w:val="5AD90B8D"/>
    <w:rsid w:val="5AE12927"/>
    <w:rsid w:val="5AE35472"/>
    <w:rsid w:val="5AF41CF3"/>
    <w:rsid w:val="5AF87CC9"/>
    <w:rsid w:val="5B07329F"/>
    <w:rsid w:val="5B4E1A44"/>
    <w:rsid w:val="5B873201"/>
    <w:rsid w:val="5B967767"/>
    <w:rsid w:val="5B9D1624"/>
    <w:rsid w:val="5BBF73E2"/>
    <w:rsid w:val="5BEE5378"/>
    <w:rsid w:val="5C0C2FF6"/>
    <w:rsid w:val="5C1241CC"/>
    <w:rsid w:val="5C286807"/>
    <w:rsid w:val="5C34339E"/>
    <w:rsid w:val="5C355656"/>
    <w:rsid w:val="5C370E72"/>
    <w:rsid w:val="5C446BC8"/>
    <w:rsid w:val="5C4B56E1"/>
    <w:rsid w:val="5C5B75BF"/>
    <w:rsid w:val="5C7146B1"/>
    <w:rsid w:val="5C7C2768"/>
    <w:rsid w:val="5CAD3BC1"/>
    <w:rsid w:val="5CAE62DC"/>
    <w:rsid w:val="5CB23AE6"/>
    <w:rsid w:val="5CED5863"/>
    <w:rsid w:val="5D0D6DF5"/>
    <w:rsid w:val="5D4A5E05"/>
    <w:rsid w:val="5D580A8A"/>
    <w:rsid w:val="5D7E6D71"/>
    <w:rsid w:val="5D893B14"/>
    <w:rsid w:val="5DB42C29"/>
    <w:rsid w:val="5E1219F7"/>
    <w:rsid w:val="5E18541D"/>
    <w:rsid w:val="5E291636"/>
    <w:rsid w:val="5E48511F"/>
    <w:rsid w:val="5E655B72"/>
    <w:rsid w:val="5E8B0770"/>
    <w:rsid w:val="5EA06921"/>
    <w:rsid w:val="5EBA259F"/>
    <w:rsid w:val="5EE1082B"/>
    <w:rsid w:val="5EE97BB4"/>
    <w:rsid w:val="5EF55BC9"/>
    <w:rsid w:val="5F085DDA"/>
    <w:rsid w:val="5F2E2D52"/>
    <w:rsid w:val="5F54198B"/>
    <w:rsid w:val="5F6C74C2"/>
    <w:rsid w:val="5F8F0C3B"/>
    <w:rsid w:val="5F9D1350"/>
    <w:rsid w:val="5FA44AD1"/>
    <w:rsid w:val="5FBE370A"/>
    <w:rsid w:val="5FC61F2E"/>
    <w:rsid w:val="5FC83407"/>
    <w:rsid w:val="5FD56E87"/>
    <w:rsid w:val="5FF0558C"/>
    <w:rsid w:val="60015A45"/>
    <w:rsid w:val="601A27F4"/>
    <w:rsid w:val="60292845"/>
    <w:rsid w:val="606F2632"/>
    <w:rsid w:val="6071543B"/>
    <w:rsid w:val="607921FE"/>
    <w:rsid w:val="607E12CC"/>
    <w:rsid w:val="608F62AE"/>
    <w:rsid w:val="60B9251B"/>
    <w:rsid w:val="60E236C1"/>
    <w:rsid w:val="60E37983"/>
    <w:rsid w:val="61260B6B"/>
    <w:rsid w:val="612B3ABB"/>
    <w:rsid w:val="612E1A5D"/>
    <w:rsid w:val="614E5D7E"/>
    <w:rsid w:val="61816046"/>
    <w:rsid w:val="61BD04E4"/>
    <w:rsid w:val="61C81AB1"/>
    <w:rsid w:val="620B0059"/>
    <w:rsid w:val="62391564"/>
    <w:rsid w:val="624A22BE"/>
    <w:rsid w:val="6263230B"/>
    <w:rsid w:val="626E235A"/>
    <w:rsid w:val="626F60D5"/>
    <w:rsid w:val="62816669"/>
    <w:rsid w:val="6282086D"/>
    <w:rsid w:val="629007F7"/>
    <w:rsid w:val="62AB4D99"/>
    <w:rsid w:val="62B36CD7"/>
    <w:rsid w:val="62BA0953"/>
    <w:rsid w:val="62D03A7C"/>
    <w:rsid w:val="62F42FAE"/>
    <w:rsid w:val="62F648FE"/>
    <w:rsid w:val="63167A4F"/>
    <w:rsid w:val="631D2BD6"/>
    <w:rsid w:val="635356F3"/>
    <w:rsid w:val="637D5B70"/>
    <w:rsid w:val="63825E77"/>
    <w:rsid w:val="63A10995"/>
    <w:rsid w:val="63C23EFA"/>
    <w:rsid w:val="63D255DA"/>
    <w:rsid w:val="63EB2168"/>
    <w:rsid w:val="63F854C1"/>
    <w:rsid w:val="63FB5857"/>
    <w:rsid w:val="64076B79"/>
    <w:rsid w:val="640B7654"/>
    <w:rsid w:val="64116D46"/>
    <w:rsid w:val="643A070A"/>
    <w:rsid w:val="64410A96"/>
    <w:rsid w:val="644C573D"/>
    <w:rsid w:val="64507EFB"/>
    <w:rsid w:val="65032F85"/>
    <w:rsid w:val="651304A7"/>
    <w:rsid w:val="65136B50"/>
    <w:rsid w:val="6531690D"/>
    <w:rsid w:val="65320485"/>
    <w:rsid w:val="655A12F3"/>
    <w:rsid w:val="657E2A35"/>
    <w:rsid w:val="65A94E9D"/>
    <w:rsid w:val="65B96B3F"/>
    <w:rsid w:val="65BE1071"/>
    <w:rsid w:val="65C60A92"/>
    <w:rsid w:val="65DB19DF"/>
    <w:rsid w:val="660451CE"/>
    <w:rsid w:val="664B3BEB"/>
    <w:rsid w:val="665346B7"/>
    <w:rsid w:val="667C7CCE"/>
    <w:rsid w:val="66A12460"/>
    <w:rsid w:val="66BE2423"/>
    <w:rsid w:val="66DD6702"/>
    <w:rsid w:val="66E856F1"/>
    <w:rsid w:val="66FB0BAD"/>
    <w:rsid w:val="671B1623"/>
    <w:rsid w:val="671E6EBA"/>
    <w:rsid w:val="6731269C"/>
    <w:rsid w:val="675352AA"/>
    <w:rsid w:val="6759400B"/>
    <w:rsid w:val="675E528D"/>
    <w:rsid w:val="676C598C"/>
    <w:rsid w:val="67966EFB"/>
    <w:rsid w:val="679E7FA1"/>
    <w:rsid w:val="67A32389"/>
    <w:rsid w:val="67B768D0"/>
    <w:rsid w:val="67C779FD"/>
    <w:rsid w:val="67C85DAF"/>
    <w:rsid w:val="68281CFE"/>
    <w:rsid w:val="682A2352"/>
    <w:rsid w:val="682A2630"/>
    <w:rsid w:val="682E4A5B"/>
    <w:rsid w:val="682E7AFD"/>
    <w:rsid w:val="68707071"/>
    <w:rsid w:val="687A4379"/>
    <w:rsid w:val="687B015C"/>
    <w:rsid w:val="687E3889"/>
    <w:rsid w:val="6884222C"/>
    <w:rsid w:val="68A957C8"/>
    <w:rsid w:val="68AD17BB"/>
    <w:rsid w:val="68D6620B"/>
    <w:rsid w:val="68D94D22"/>
    <w:rsid w:val="68F06F2B"/>
    <w:rsid w:val="69011241"/>
    <w:rsid w:val="692B2E4A"/>
    <w:rsid w:val="696A0B34"/>
    <w:rsid w:val="69821807"/>
    <w:rsid w:val="698D6A17"/>
    <w:rsid w:val="699026E3"/>
    <w:rsid w:val="699E0BED"/>
    <w:rsid w:val="699F0522"/>
    <w:rsid w:val="69D37590"/>
    <w:rsid w:val="69F954C1"/>
    <w:rsid w:val="6A1E1E73"/>
    <w:rsid w:val="6A2031B6"/>
    <w:rsid w:val="6A2F57D7"/>
    <w:rsid w:val="6A3924BB"/>
    <w:rsid w:val="6A3C1D40"/>
    <w:rsid w:val="6A6432E1"/>
    <w:rsid w:val="6AA23DFF"/>
    <w:rsid w:val="6AAA6F38"/>
    <w:rsid w:val="6AC61F6F"/>
    <w:rsid w:val="6AD34E53"/>
    <w:rsid w:val="6AD83EA1"/>
    <w:rsid w:val="6ADE74F0"/>
    <w:rsid w:val="6B1D62E8"/>
    <w:rsid w:val="6B723594"/>
    <w:rsid w:val="6B805156"/>
    <w:rsid w:val="6B945E48"/>
    <w:rsid w:val="6B974A7B"/>
    <w:rsid w:val="6BD50977"/>
    <w:rsid w:val="6BE450D3"/>
    <w:rsid w:val="6BE60C84"/>
    <w:rsid w:val="6C4F0900"/>
    <w:rsid w:val="6C6C32E1"/>
    <w:rsid w:val="6C6E3E15"/>
    <w:rsid w:val="6C8B1F5D"/>
    <w:rsid w:val="6CA85D3A"/>
    <w:rsid w:val="6CAA3931"/>
    <w:rsid w:val="6CBB182A"/>
    <w:rsid w:val="6CE2512E"/>
    <w:rsid w:val="6CEA06D7"/>
    <w:rsid w:val="6CF70607"/>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3A144E"/>
    <w:rsid w:val="6E5606D3"/>
    <w:rsid w:val="6E5F4465"/>
    <w:rsid w:val="6E8B1663"/>
    <w:rsid w:val="6E8C54DA"/>
    <w:rsid w:val="6EB752BD"/>
    <w:rsid w:val="6EF11E03"/>
    <w:rsid w:val="6EF1241D"/>
    <w:rsid w:val="6EF82916"/>
    <w:rsid w:val="6F0B2DE7"/>
    <w:rsid w:val="6F111C62"/>
    <w:rsid w:val="6F2176E5"/>
    <w:rsid w:val="6F3A2A5F"/>
    <w:rsid w:val="6F4F7F03"/>
    <w:rsid w:val="6F5523A2"/>
    <w:rsid w:val="6F592303"/>
    <w:rsid w:val="6F5F5B74"/>
    <w:rsid w:val="6F682400"/>
    <w:rsid w:val="6F9600A4"/>
    <w:rsid w:val="6F98032D"/>
    <w:rsid w:val="6F9B1C65"/>
    <w:rsid w:val="6FA44937"/>
    <w:rsid w:val="6FAD3FB9"/>
    <w:rsid w:val="6FE82C9C"/>
    <w:rsid w:val="6FFB146E"/>
    <w:rsid w:val="70160742"/>
    <w:rsid w:val="7030610F"/>
    <w:rsid w:val="70612DB4"/>
    <w:rsid w:val="706516C3"/>
    <w:rsid w:val="70660714"/>
    <w:rsid w:val="70896E68"/>
    <w:rsid w:val="708A4844"/>
    <w:rsid w:val="70C94DCA"/>
    <w:rsid w:val="70E05E9D"/>
    <w:rsid w:val="71073061"/>
    <w:rsid w:val="711A201F"/>
    <w:rsid w:val="71215AE9"/>
    <w:rsid w:val="712864E5"/>
    <w:rsid w:val="71396ACC"/>
    <w:rsid w:val="7150457D"/>
    <w:rsid w:val="715B60E9"/>
    <w:rsid w:val="716F0EE9"/>
    <w:rsid w:val="7196674D"/>
    <w:rsid w:val="719E245E"/>
    <w:rsid w:val="71BA3FE5"/>
    <w:rsid w:val="71EA1FED"/>
    <w:rsid w:val="72165C6B"/>
    <w:rsid w:val="722021E3"/>
    <w:rsid w:val="72290340"/>
    <w:rsid w:val="722C6DDA"/>
    <w:rsid w:val="72515945"/>
    <w:rsid w:val="729243CB"/>
    <w:rsid w:val="72E661B1"/>
    <w:rsid w:val="730313F6"/>
    <w:rsid w:val="730E4732"/>
    <w:rsid w:val="73370D24"/>
    <w:rsid w:val="73397FB3"/>
    <w:rsid w:val="73472C84"/>
    <w:rsid w:val="7359268C"/>
    <w:rsid w:val="735F327A"/>
    <w:rsid w:val="7366631C"/>
    <w:rsid w:val="736C263C"/>
    <w:rsid w:val="73723640"/>
    <w:rsid w:val="737311F5"/>
    <w:rsid w:val="739503EB"/>
    <w:rsid w:val="73A05B28"/>
    <w:rsid w:val="73C07D69"/>
    <w:rsid w:val="73C979D4"/>
    <w:rsid w:val="73DC335B"/>
    <w:rsid w:val="73EA0CFB"/>
    <w:rsid w:val="740B60EC"/>
    <w:rsid w:val="74420A26"/>
    <w:rsid w:val="745E7D35"/>
    <w:rsid w:val="7465362D"/>
    <w:rsid w:val="7475188D"/>
    <w:rsid w:val="749E16A8"/>
    <w:rsid w:val="74B42AE4"/>
    <w:rsid w:val="74C54993"/>
    <w:rsid w:val="74EB68F6"/>
    <w:rsid w:val="750A429D"/>
    <w:rsid w:val="752739E7"/>
    <w:rsid w:val="75474B47"/>
    <w:rsid w:val="75533AB0"/>
    <w:rsid w:val="75614792"/>
    <w:rsid w:val="75761866"/>
    <w:rsid w:val="75784473"/>
    <w:rsid w:val="75B10995"/>
    <w:rsid w:val="75B161B3"/>
    <w:rsid w:val="75DC6C44"/>
    <w:rsid w:val="75F05CC0"/>
    <w:rsid w:val="762F6A19"/>
    <w:rsid w:val="76341B33"/>
    <w:rsid w:val="76736B32"/>
    <w:rsid w:val="76807C04"/>
    <w:rsid w:val="76AF35EE"/>
    <w:rsid w:val="76C27A74"/>
    <w:rsid w:val="76C726A5"/>
    <w:rsid w:val="76E3765E"/>
    <w:rsid w:val="76FC2AFA"/>
    <w:rsid w:val="77527424"/>
    <w:rsid w:val="77653671"/>
    <w:rsid w:val="77707007"/>
    <w:rsid w:val="778546CC"/>
    <w:rsid w:val="778B6B46"/>
    <w:rsid w:val="77A337B9"/>
    <w:rsid w:val="77B551B3"/>
    <w:rsid w:val="77B56730"/>
    <w:rsid w:val="77B92EBE"/>
    <w:rsid w:val="77C04A8B"/>
    <w:rsid w:val="77D85DB3"/>
    <w:rsid w:val="77EB1B74"/>
    <w:rsid w:val="782A3EA3"/>
    <w:rsid w:val="78490703"/>
    <w:rsid w:val="78A50513"/>
    <w:rsid w:val="78C43087"/>
    <w:rsid w:val="78D37FAF"/>
    <w:rsid w:val="78EF7AB5"/>
    <w:rsid w:val="790D6849"/>
    <w:rsid w:val="795767E3"/>
    <w:rsid w:val="79586707"/>
    <w:rsid w:val="796518DD"/>
    <w:rsid w:val="79724BEF"/>
    <w:rsid w:val="797264AC"/>
    <w:rsid w:val="79AA0532"/>
    <w:rsid w:val="79FA22BC"/>
    <w:rsid w:val="79FE1DDD"/>
    <w:rsid w:val="7A075767"/>
    <w:rsid w:val="7A0C15B3"/>
    <w:rsid w:val="7A212062"/>
    <w:rsid w:val="7A2522C9"/>
    <w:rsid w:val="7A282A11"/>
    <w:rsid w:val="7A3A59B8"/>
    <w:rsid w:val="7A5D0F75"/>
    <w:rsid w:val="7A715CD2"/>
    <w:rsid w:val="7A921E9A"/>
    <w:rsid w:val="7A9E53BF"/>
    <w:rsid w:val="7AA914B9"/>
    <w:rsid w:val="7ABF2475"/>
    <w:rsid w:val="7AC21562"/>
    <w:rsid w:val="7AD474A4"/>
    <w:rsid w:val="7AFC38DE"/>
    <w:rsid w:val="7B303E8C"/>
    <w:rsid w:val="7B404171"/>
    <w:rsid w:val="7B7D6B6D"/>
    <w:rsid w:val="7B865D50"/>
    <w:rsid w:val="7B8D34C3"/>
    <w:rsid w:val="7B971D84"/>
    <w:rsid w:val="7BAB0CB7"/>
    <w:rsid w:val="7BB4028F"/>
    <w:rsid w:val="7BC1107E"/>
    <w:rsid w:val="7BE65BAD"/>
    <w:rsid w:val="7BF32F03"/>
    <w:rsid w:val="7BF50D2C"/>
    <w:rsid w:val="7C066F4E"/>
    <w:rsid w:val="7C1724A5"/>
    <w:rsid w:val="7C8561DF"/>
    <w:rsid w:val="7CA54112"/>
    <w:rsid w:val="7CA553D9"/>
    <w:rsid w:val="7CAB27F5"/>
    <w:rsid w:val="7CAF438A"/>
    <w:rsid w:val="7CCE726D"/>
    <w:rsid w:val="7CD71EA3"/>
    <w:rsid w:val="7CE50CE4"/>
    <w:rsid w:val="7CE94EE1"/>
    <w:rsid w:val="7CF877E9"/>
    <w:rsid w:val="7D134762"/>
    <w:rsid w:val="7D244CB3"/>
    <w:rsid w:val="7D2E5ABF"/>
    <w:rsid w:val="7D4A45B8"/>
    <w:rsid w:val="7D535AC7"/>
    <w:rsid w:val="7D964A74"/>
    <w:rsid w:val="7DFB43EA"/>
    <w:rsid w:val="7E007625"/>
    <w:rsid w:val="7E0737C8"/>
    <w:rsid w:val="7E131C51"/>
    <w:rsid w:val="7E176B90"/>
    <w:rsid w:val="7E2142A2"/>
    <w:rsid w:val="7E240411"/>
    <w:rsid w:val="7E48335A"/>
    <w:rsid w:val="7E797DE5"/>
    <w:rsid w:val="7E7B0BF2"/>
    <w:rsid w:val="7E8D75B6"/>
    <w:rsid w:val="7E8E672B"/>
    <w:rsid w:val="7EA27DDF"/>
    <w:rsid w:val="7EC67BB0"/>
    <w:rsid w:val="7ED809AD"/>
    <w:rsid w:val="7EF760EE"/>
    <w:rsid w:val="7F2536B5"/>
    <w:rsid w:val="7F2C3CE7"/>
    <w:rsid w:val="7F5A01CA"/>
    <w:rsid w:val="7F75661B"/>
    <w:rsid w:val="7FB17429"/>
    <w:rsid w:val="7FC237CA"/>
    <w:rsid w:val="7FF127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link w:val="76"/>
    <w:qFormat/>
    <w:uiPriority w:val="9"/>
    <w:pPr>
      <w:keepNext/>
      <w:keepLines/>
      <w:spacing w:before="340" w:after="330" w:line="576" w:lineRule="auto"/>
      <w:outlineLvl w:val="0"/>
    </w:pPr>
    <w:rPr>
      <w:b/>
      <w:kern w:val="44"/>
      <w:sz w:val="44"/>
    </w:rPr>
  </w:style>
  <w:style w:type="paragraph" w:styleId="6">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8">
    <w:name w:val="heading 4"/>
    <w:basedOn w:val="1"/>
    <w:next w:val="1"/>
    <w:link w:val="45"/>
    <w:unhideWhenUsed/>
    <w:qFormat/>
    <w:uiPriority w:val="9"/>
    <w:pPr>
      <w:keepNext/>
      <w:keepLines/>
      <w:outlineLvl w:val="3"/>
    </w:pPr>
    <w:rPr>
      <w:rFonts w:asciiTheme="majorHAnsi" w:hAnsiTheme="majorHAnsi" w:cstheme="majorBidi"/>
      <w:b/>
      <w:bCs/>
      <w:sz w:val="24"/>
      <w:szCs w:val="28"/>
    </w:rPr>
  </w:style>
  <w:style w:type="paragraph" w:styleId="9">
    <w:name w:val="heading 5"/>
    <w:basedOn w:val="1"/>
    <w:next w:val="1"/>
    <w:link w:val="75"/>
    <w:semiHidden/>
    <w:unhideWhenUsed/>
    <w:qFormat/>
    <w:uiPriority w:val="9"/>
    <w:pPr>
      <w:keepNext/>
      <w:keepLines/>
      <w:spacing w:before="280" w:after="290" w:line="372" w:lineRule="auto"/>
      <w:outlineLvl w:val="4"/>
    </w:pPr>
    <w:rPr>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7"/>
    <w:qFormat/>
    <w:uiPriority w:val="1"/>
    <w:pPr>
      <w:spacing w:before="161"/>
      <w:ind w:left="120"/>
    </w:pPr>
    <w:rPr>
      <w:rFonts w:ascii="宋体" w:hAnsi="宋体" w:cs="宋体"/>
      <w:sz w:val="24"/>
      <w:lang w:val="zh-CN" w:bidi="zh-CN"/>
    </w:rPr>
  </w:style>
  <w:style w:type="paragraph" w:styleId="3">
    <w:name w:val="Body Text First Indent"/>
    <w:basedOn w:val="2"/>
    <w:next w:val="4"/>
    <w:qFormat/>
    <w:uiPriority w:val="0"/>
    <w:pPr>
      <w:spacing w:after="120"/>
      <w:ind w:firstLine="420" w:firstLineChars="100"/>
    </w:pPr>
    <w:rPr>
      <w:bCs/>
      <w:szCs w:val="21"/>
    </w:rPr>
  </w:style>
  <w:style w:type="paragraph" w:styleId="4">
    <w:name w:val="toc 6"/>
    <w:basedOn w:val="1"/>
    <w:next w:val="1"/>
    <w:qFormat/>
    <w:uiPriority w:val="39"/>
    <w:pPr>
      <w:ind w:left="1200"/>
    </w:pPr>
    <w:rPr>
      <w:rFonts w:ascii="Calibri" w:cs="Calibri"/>
      <w:sz w:val="18"/>
      <w:szCs w:val="18"/>
    </w:rPr>
  </w:style>
  <w:style w:type="paragraph" w:styleId="10">
    <w:name w:val="toc 7"/>
    <w:basedOn w:val="1"/>
    <w:next w:val="1"/>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11">
    <w:name w:val="Normal Indent"/>
    <w:basedOn w:val="1"/>
    <w:qFormat/>
    <w:uiPriority w:val="0"/>
    <w:pPr>
      <w:widowControl/>
      <w:autoSpaceDE/>
      <w:autoSpaceDN/>
      <w:adjustRightInd/>
      <w:ind w:firstLine="420" w:firstLineChars="200"/>
    </w:pPr>
    <w:rPr>
      <w:rFonts w:ascii="Calibri"/>
      <w:sz w:val="20"/>
      <w:szCs w:val="20"/>
    </w:rPr>
  </w:style>
  <w:style w:type="paragraph" w:styleId="12">
    <w:name w:val="annotation text"/>
    <w:basedOn w:val="1"/>
    <w:link w:val="64"/>
    <w:unhideWhenUsed/>
    <w:qFormat/>
    <w:uiPriority w:val="99"/>
  </w:style>
  <w:style w:type="paragraph" w:styleId="13">
    <w:name w:val="Salutation"/>
    <w:basedOn w:val="1"/>
    <w:next w:val="1"/>
    <w:qFormat/>
    <w:uiPriority w:val="0"/>
    <w:pPr>
      <w:widowControl w:val="0"/>
      <w:spacing w:after="0" w:line="240" w:lineRule="auto"/>
      <w:jc w:val="both"/>
    </w:pPr>
    <w:rPr>
      <w:kern w:val="2"/>
      <w:sz w:val="24"/>
      <w:szCs w:val="24"/>
    </w:rPr>
  </w:style>
  <w:style w:type="paragraph" w:styleId="14">
    <w:name w:val="Body Text Indent"/>
    <w:basedOn w:val="1"/>
    <w:next w:val="15"/>
    <w:qFormat/>
    <w:uiPriority w:val="0"/>
    <w:pPr>
      <w:ind w:left="359" w:leftChars="171" w:firstLine="179" w:firstLineChars="85"/>
    </w:pPr>
    <w:rPr>
      <w:rFonts w:ascii="宋体" w:hAnsi="宋体"/>
      <w:b/>
      <w:bCs/>
      <w:szCs w:val="26"/>
    </w:rPr>
  </w:style>
  <w:style w:type="paragraph" w:styleId="15">
    <w:name w:val="envelope return"/>
    <w:basedOn w:val="1"/>
    <w:unhideWhenUsed/>
    <w:qFormat/>
    <w:uiPriority w:val="99"/>
    <w:rPr>
      <w:rFonts w:hint="eastAsia" w:ascii="Arial" w:hAnsi="Arial"/>
    </w:rPr>
  </w:style>
  <w:style w:type="paragraph" w:styleId="16">
    <w:name w:val="toc 5"/>
    <w:basedOn w:val="1"/>
    <w:next w:val="1"/>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7">
    <w:name w:val="toc 3"/>
    <w:basedOn w:val="1"/>
    <w:next w:val="1"/>
    <w:unhideWhenUsed/>
    <w:qFormat/>
    <w:uiPriority w:val="39"/>
    <w:pPr>
      <w:tabs>
        <w:tab w:val="right" w:leader="dot" w:pos="8296"/>
      </w:tabs>
      <w:ind w:left="838" w:leftChars="381"/>
    </w:pPr>
    <w:rPr>
      <w:szCs w:val="21"/>
    </w:rPr>
  </w:style>
  <w:style w:type="paragraph" w:styleId="18">
    <w:name w:val="Plain Text"/>
    <w:basedOn w:val="1"/>
    <w:next w:val="1"/>
    <w:link w:val="56"/>
    <w:qFormat/>
    <w:uiPriority w:val="0"/>
    <w:pPr>
      <w:widowControl w:val="0"/>
      <w:adjustRightInd/>
      <w:snapToGrid/>
      <w:jc w:val="both"/>
    </w:pPr>
    <w:rPr>
      <w:rFonts w:ascii="宋体" w:hAnsi="Courier New" w:cs="Times New Roman"/>
      <w:b/>
      <w:kern w:val="2"/>
      <w:szCs w:val="20"/>
    </w:rPr>
  </w:style>
  <w:style w:type="paragraph" w:styleId="19">
    <w:name w:val="toc 8"/>
    <w:basedOn w:val="1"/>
    <w:next w:val="1"/>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20">
    <w:name w:val="Body Text Indent 2"/>
    <w:basedOn w:val="1"/>
    <w:qFormat/>
    <w:uiPriority w:val="0"/>
    <w:pPr>
      <w:tabs>
        <w:tab w:val="left" w:pos="8640"/>
      </w:tabs>
      <w:autoSpaceDE/>
      <w:autoSpaceDN/>
      <w:adjustRightInd/>
      <w:ind w:left="1260"/>
      <w:jc w:val="both"/>
    </w:pPr>
    <w:rPr>
      <w:kern w:val="2"/>
      <w:sz w:val="21"/>
      <w:szCs w:val="20"/>
    </w:rPr>
  </w:style>
  <w:style w:type="paragraph" w:styleId="21">
    <w:name w:val="Balloon Text"/>
    <w:basedOn w:val="1"/>
    <w:link w:val="59"/>
    <w:semiHidden/>
    <w:unhideWhenUsed/>
    <w:qFormat/>
    <w:uiPriority w:val="99"/>
    <w:rPr>
      <w:sz w:val="18"/>
      <w:szCs w:val="18"/>
    </w:rPr>
  </w:style>
  <w:style w:type="paragraph" w:styleId="22">
    <w:name w:val="footer"/>
    <w:basedOn w:val="1"/>
    <w:link w:val="58"/>
    <w:unhideWhenUsed/>
    <w:qFormat/>
    <w:uiPriority w:val="99"/>
    <w:pPr>
      <w:tabs>
        <w:tab w:val="center" w:pos="4153"/>
        <w:tab w:val="right" w:pos="8306"/>
      </w:tabs>
    </w:pPr>
    <w:rPr>
      <w:sz w:val="18"/>
      <w:szCs w:val="18"/>
    </w:rPr>
  </w:style>
  <w:style w:type="paragraph" w:styleId="23">
    <w:name w:val="header"/>
    <w:basedOn w:val="1"/>
    <w:link w:val="57"/>
    <w:unhideWhenUsed/>
    <w:qFormat/>
    <w:uiPriority w:val="99"/>
    <w:pPr>
      <w:pBdr>
        <w:bottom w:val="single" w:color="auto" w:sz="6" w:space="1"/>
      </w:pBdr>
      <w:tabs>
        <w:tab w:val="center" w:pos="4153"/>
        <w:tab w:val="right" w:pos="8306"/>
      </w:tabs>
      <w:jc w:val="center"/>
    </w:pPr>
    <w:rPr>
      <w:sz w:val="18"/>
      <w:szCs w:val="18"/>
    </w:rPr>
  </w:style>
  <w:style w:type="paragraph" w:styleId="24">
    <w:name w:val="toc 1"/>
    <w:basedOn w:val="1"/>
    <w:next w:val="1"/>
    <w:unhideWhenUsed/>
    <w:qFormat/>
    <w:uiPriority w:val="39"/>
  </w:style>
  <w:style w:type="paragraph" w:styleId="25">
    <w:name w:val="toc 4"/>
    <w:basedOn w:val="1"/>
    <w:next w:val="1"/>
    <w:unhideWhenUsed/>
    <w:qFormat/>
    <w:uiPriority w:val="39"/>
    <w:pPr>
      <w:tabs>
        <w:tab w:val="right" w:leader="dot" w:pos="8296"/>
      </w:tabs>
      <w:spacing w:after="120"/>
      <w:ind w:left="1320" w:leftChars="600"/>
    </w:pPr>
  </w:style>
  <w:style w:type="paragraph" w:styleId="26">
    <w:name w:val="footnote text"/>
    <w:basedOn w:val="1"/>
    <w:semiHidden/>
    <w:unhideWhenUsed/>
    <w:qFormat/>
    <w:uiPriority w:val="99"/>
    <w:rPr>
      <w:sz w:val="18"/>
    </w:rPr>
  </w:style>
  <w:style w:type="paragraph" w:styleId="27">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8">
    <w:name w:val="toc 9"/>
    <w:basedOn w:val="1"/>
    <w:next w:val="1"/>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9">
    <w:name w:val="Normal (Web)"/>
    <w:basedOn w:val="1"/>
    <w:link w:val="61"/>
    <w:qFormat/>
    <w:uiPriority w:val="0"/>
    <w:pPr>
      <w:widowControl w:val="0"/>
      <w:adjustRightInd/>
      <w:snapToGrid/>
      <w:jc w:val="both"/>
    </w:pPr>
    <w:rPr>
      <w:rFonts w:asciiTheme="minorHAnsi" w:hAnsiTheme="minorHAnsi"/>
      <w:kern w:val="2"/>
      <w:sz w:val="24"/>
      <w:szCs w:val="24"/>
    </w:rPr>
  </w:style>
  <w:style w:type="paragraph" w:styleId="30">
    <w:name w:val="annotation subject"/>
    <w:basedOn w:val="12"/>
    <w:next w:val="12"/>
    <w:link w:val="65"/>
    <w:semiHidden/>
    <w:unhideWhenUsed/>
    <w:qFormat/>
    <w:uiPriority w:val="99"/>
    <w:rPr>
      <w:b/>
      <w:bCs/>
    </w:rPr>
  </w:style>
  <w:style w:type="paragraph" w:styleId="31">
    <w:name w:val="Body Text First Indent 2"/>
    <w:basedOn w:val="14"/>
    <w:qFormat/>
    <w:uiPriority w:val="99"/>
    <w:pPr>
      <w:ind w:firstLine="420" w:firstLineChars="200"/>
    </w:pPr>
    <w:rPr>
      <w:color w:val="000000"/>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Emphasis"/>
    <w:basedOn w:val="34"/>
    <w:qFormat/>
    <w:uiPriority w:val="20"/>
    <w:rPr>
      <w:i/>
      <w:iCs/>
    </w:rPr>
  </w:style>
  <w:style w:type="character" w:styleId="37">
    <w:name w:val="Hyperlink"/>
    <w:qFormat/>
    <w:uiPriority w:val="99"/>
    <w:rPr>
      <w:rFonts w:hint="eastAsia" w:ascii="宋体" w:hAnsi="宋体" w:eastAsia="宋体" w:cs="宋体"/>
      <w:b/>
      <w:color w:val="0031C1"/>
      <w:kern w:val="0"/>
      <w:sz w:val="18"/>
      <w:szCs w:val="18"/>
      <w:u w:val="none"/>
      <w:lang w:eastAsia="en-US"/>
    </w:rPr>
  </w:style>
  <w:style w:type="character" w:styleId="38">
    <w:name w:val="annotation reference"/>
    <w:basedOn w:val="34"/>
    <w:semiHidden/>
    <w:unhideWhenUsed/>
    <w:qFormat/>
    <w:uiPriority w:val="99"/>
    <w:rPr>
      <w:sz w:val="21"/>
      <w:szCs w:val="21"/>
    </w:rPr>
  </w:style>
  <w:style w:type="character" w:styleId="39">
    <w:name w:val="footnote reference"/>
    <w:basedOn w:val="34"/>
    <w:semiHidden/>
    <w:unhideWhenUsed/>
    <w:qFormat/>
    <w:uiPriority w:val="99"/>
    <w:rPr>
      <w:vertAlign w:val="superscript"/>
    </w:rPr>
  </w:style>
  <w:style w:type="paragraph" w:customStyle="1" w:styleId="40">
    <w:name w:val="样式 正文首行缩进 + 首行缩进:  1 字符"/>
    <w:basedOn w:val="1"/>
    <w:next w:val="1"/>
    <w:qFormat/>
    <w:uiPriority w:val="0"/>
    <w:pPr>
      <w:ind w:firstLine="200" w:firstLineChars="200"/>
    </w:pPr>
    <w:rPr>
      <w:rFonts w:cs="宋体"/>
      <w:szCs w:val="20"/>
    </w:rPr>
  </w:style>
  <w:style w:type="paragraph" w:customStyle="1" w:styleId="41">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42">
    <w:name w:val="标题 2 字符"/>
    <w:basedOn w:val="34"/>
    <w:link w:val="6"/>
    <w:qFormat/>
    <w:uiPriority w:val="9"/>
    <w:rPr>
      <w:rFonts w:asciiTheme="majorHAnsi" w:hAnsiTheme="majorHAnsi" w:eastAsiaTheme="majorEastAsia" w:cstheme="majorBidi"/>
      <w:b/>
      <w:bCs/>
      <w:sz w:val="32"/>
      <w:szCs w:val="32"/>
    </w:rPr>
  </w:style>
  <w:style w:type="character" w:customStyle="1" w:styleId="43">
    <w:name w:val="标题 3 字符"/>
    <w:basedOn w:val="34"/>
    <w:link w:val="7"/>
    <w:qFormat/>
    <w:uiPriority w:val="9"/>
    <w:rPr>
      <w:rFonts w:ascii="Tahoma" w:hAnsi="Tahoma"/>
      <w:b/>
      <w:bCs/>
      <w:sz w:val="32"/>
      <w:szCs w:val="32"/>
    </w:rPr>
  </w:style>
  <w:style w:type="paragraph" w:styleId="44">
    <w:name w:val="List Paragraph"/>
    <w:basedOn w:val="1"/>
    <w:link w:val="66"/>
    <w:qFormat/>
    <w:uiPriority w:val="0"/>
    <w:pPr>
      <w:ind w:firstLine="420" w:firstLineChars="200"/>
    </w:pPr>
  </w:style>
  <w:style w:type="character" w:customStyle="1" w:styleId="45">
    <w:name w:val="标题 4 字符"/>
    <w:basedOn w:val="34"/>
    <w:link w:val="8"/>
    <w:qFormat/>
    <w:uiPriority w:val="9"/>
    <w:rPr>
      <w:rFonts w:eastAsia="宋体" w:asciiTheme="majorHAnsi" w:hAnsiTheme="majorHAnsi" w:cstheme="majorBidi"/>
      <w:b/>
      <w:bCs/>
      <w:sz w:val="24"/>
      <w:szCs w:val="28"/>
    </w:rPr>
  </w:style>
  <w:style w:type="character" w:customStyle="1" w:styleId="46">
    <w:name w:val="正文缩进2格 Char"/>
    <w:link w:val="47"/>
    <w:qFormat/>
    <w:uiPriority w:val="0"/>
    <w:rPr>
      <w:rFonts w:ascii="仿宋_GB2312" w:hAnsi="宋体" w:eastAsia="仿宋_GB2312"/>
      <w:kern w:val="2"/>
      <w:sz w:val="31"/>
    </w:rPr>
  </w:style>
  <w:style w:type="paragraph" w:customStyle="1" w:styleId="47">
    <w:name w:val="正文缩进2格"/>
    <w:basedOn w:val="1"/>
    <w:next w:val="1"/>
    <w:link w:val="4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8">
    <w:name w:val="正文缩进4格"/>
    <w:basedOn w:val="47"/>
    <w:qFormat/>
    <w:uiPriority w:val="0"/>
    <w:pPr>
      <w:ind w:left="2" w:firstLine="538" w:firstLineChars="192"/>
    </w:pPr>
    <w:rPr>
      <w:color w:val="0000FF"/>
      <w:sz w:val="28"/>
    </w:rPr>
  </w:style>
  <w:style w:type="character" w:customStyle="1" w:styleId="4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5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51">
    <w:name w:val="标题1"/>
    <w:qFormat/>
    <w:uiPriority w:val="0"/>
    <w:rPr>
      <w:rFonts w:ascii="Times New Roman" w:hAnsi="Times New Roman" w:eastAsia="宋体" w:cs="Times New Roman"/>
      <w:b/>
      <w:kern w:val="0"/>
      <w:sz w:val="24"/>
      <w:szCs w:val="20"/>
      <w:lang w:eastAsia="en-US"/>
    </w:rPr>
  </w:style>
  <w:style w:type="character" w:customStyle="1" w:styleId="52">
    <w:name w:val="标题 3.1 Char"/>
    <w:link w:val="53"/>
    <w:qFormat/>
    <w:uiPriority w:val="0"/>
    <w:rPr>
      <w:rFonts w:ascii="宋体" w:hAnsi="宋体" w:eastAsia="宋体"/>
      <w:b/>
      <w:color w:val="FF0000"/>
      <w:kern w:val="2"/>
      <w:sz w:val="32"/>
    </w:rPr>
  </w:style>
  <w:style w:type="paragraph" w:customStyle="1" w:styleId="53">
    <w:name w:val="标题 3.1"/>
    <w:basedOn w:val="7"/>
    <w:link w:val="5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4">
    <w:name w:val="样式 楷体_GB2312 小四"/>
    <w:qFormat/>
    <w:uiPriority w:val="0"/>
    <w:rPr>
      <w:rFonts w:ascii="楷体_GB2312" w:hAnsi="楷体_GB2312" w:eastAsia="仿宋_GB2312"/>
      <w:sz w:val="24"/>
    </w:rPr>
  </w:style>
  <w:style w:type="character" w:customStyle="1" w:styleId="55">
    <w:name w:val="纯文本 Char"/>
    <w:qFormat/>
    <w:uiPriority w:val="0"/>
    <w:rPr>
      <w:rFonts w:ascii="宋体" w:hAnsi="Courier New" w:eastAsia="宋体" w:cs="Times New Roman"/>
      <w:b/>
      <w:kern w:val="2"/>
      <w:sz w:val="21"/>
      <w:szCs w:val="20"/>
    </w:rPr>
  </w:style>
  <w:style w:type="character" w:customStyle="1" w:styleId="56">
    <w:name w:val="纯文本 字符"/>
    <w:basedOn w:val="34"/>
    <w:link w:val="18"/>
    <w:semiHidden/>
    <w:qFormat/>
    <w:uiPriority w:val="99"/>
    <w:rPr>
      <w:rFonts w:ascii="宋体" w:hAnsi="Courier New" w:eastAsia="宋体" w:cs="Courier New"/>
      <w:sz w:val="21"/>
      <w:szCs w:val="21"/>
    </w:rPr>
  </w:style>
  <w:style w:type="character" w:customStyle="1" w:styleId="57">
    <w:name w:val="页眉 字符"/>
    <w:basedOn w:val="34"/>
    <w:link w:val="23"/>
    <w:qFormat/>
    <w:uiPriority w:val="99"/>
    <w:rPr>
      <w:rFonts w:ascii="Tahoma" w:hAnsi="Tahoma"/>
      <w:sz w:val="18"/>
      <w:szCs w:val="18"/>
    </w:rPr>
  </w:style>
  <w:style w:type="character" w:customStyle="1" w:styleId="58">
    <w:name w:val="页脚 字符"/>
    <w:basedOn w:val="34"/>
    <w:link w:val="22"/>
    <w:qFormat/>
    <w:uiPriority w:val="99"/>
    <w:rPr>
      <w:rFonts w:ascii="Tahoma" w:hAnsi="Tahoma"/>
      <w:sz w:val="18"/>
      <w:szCs w:val="18"/>
    </w:rPr>
  </w:style>
  <w:style w:type="character" w:customStyle="1" w:styleId="59">
    <w:name w:val="批注框文本 字符"/>
    <w:basedOn w:val="34"/>
    <w:link w:val="21"/>
    <w:semiHidden/>
    <w:qFormat/>
    <w:uiPriority w:val="99"/>
    <w:rPr>
      <w:rFonts w:ascii="Tahoma" w:hAnsi="Tahoma"/>
      <w:sz w:val="18"/>
      <w:szCs w:val="18"/>
    </w:rPr>
  </w:style>
  <w:style w:type="paragraph" w:customStyle="1" w:styleId="6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61">
    <w:name w:val="普通(网站) 字符"/>
    <w:link w:val="29"/>
    <w:qFormat/>
    <w:uiPriority w:val="0"/>
    <w:rPr>
      <w:rFonts w:eastAsia="宋体"/>
      <w:kern w:val="2"/>
      <w:sz w:val="24"/>
      <w:szCs w:val="24"/>
    </w:rPr>
  </w:style>
  <w:style w:type="paragraph" w:customStyle="1" w:styleId="6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3">
    <w:name w:val="p141"/>
    <w:qFormat/>
    <w:uiPriority w:val="0"/>
    <w:rPr>
      <w:sz w:val="21"/>
      <w:szCs w:val="21"/>
    </w:rPr>
  </w:style>
  <w:style w:type="character" w:customStyle="1" w:styleId="64">
    <w:name w:val="批注文字 字符"/>
    <w:basedOn w:val="34"/>
    <w:link w:val="12"/>
    <w:qFormat/>
    <w:uiPriority w:val="99"/>
    <w:rPr>
      <w:rFonts w:ascii="Tahoma" w:hAnsi="Tahoma" w:eastAsia="微软雅黑" w:cstheme="minorBidi"/>
      <w:sz w:val="22"/>
      <w:szCs w:val="22"/>
    </w:rPr>
  </w:style>
  <w:style w:type="character" w:customStyle="1" w:styleId="65">
    <w:name w:val="批注主题 字符"/>
    <w:basedOn w:val="64"/>
    <w:link w:val="30"/>
    <w:semiHidden/>
    <w:qFormat/>
    <w:uiPriority w:val="99"/>
    <w:rPr>
      <w:rFonts w:ascii="Tahoma" w:hAnsi="Tahoma" w:eastAsia="微软雅黑" w:cstheme="minorBidi"/>
      <w:b/>
      <w:bCs/>
      <w:sz w:val="22"/>
      <w:szCs w:val="22"/>
    </w:rPr>
  </w:style>
  <w:style w:type="character" w:customStyle="1" w:styleId="66">
    <w:name w:val="列表段落 字符"/>
    <w:link w:val="44"/>
    <w:qFormat/>
    <w:uiPriority w:val="0"/>
    <w:rPr>
      <w:rFonts w:ascii="Tahoma" w:hAnsi="Tahoma" w:eastAsia="微软雅黑" w:cstheme="minorBidi"/>
      <w:sz w:val="22"/>
      <w:szCs w:val="22"/>
    </w:rPr>
  </w:style>
  <w:style w:type="character" w:customStyle="1" w:styleId="67">
    <w:name w:val="正文文本 字符"/>
    <w:basedOn w:val="34"/>
    <w:link w:val="2"/>
    <w:qFormat/>
    <w:uiPriority w:val="1"/>
    <w:rPr>
      <w:rFonts w:ascii="宋体" w:hAnsi="宋体" w:cs="宋体"/>
      <w:sz w:val="24"/>
      <w:szCs w:val="22"/>
      <w:lang w:val="zh-CN" w:bidi="zh-CN"/>
    </w:rPr>
  </w:style>
  <w:style w:type="paragraph" w:customStyle="1" w:styleId="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9">
    <w:name w:val="_Style 1"/>
    <w:basedOn w:val="1"/>
    <w:qFormat/>
    <w:uiPriority w:val="0"/>
    <w:pPr>
      <w:ind w:firstLine="420" w:firstLineChars="200"/>
    </w:pPr>
  </w:style>
  <w:style w:type="paragraph" w:customStyle="1" w:styleId="70">
    <w:name w:val="列出段落2"/>
    <w:basedOn w:val="1"/>
    <w:qFormat/>
    <w:uiPriority w:val="0"/>
    <w:pPr>
      <w:ind w:firstLine="420" w:firstLineChars="200"/>
    </w:pPr>
  </w:style>
  <w:style w:type="paragraph" w:customStyle="1" w:styleId="71">
    <w:name w:val="p0"/>
    <w:basedOn w:val="1"/>
    <w:qFormat/>
    <w:uiPriority w:val="0"/>
    <w:rPr>
      <w:szCs w:val="21"/>
    </w:rPr>
  </w:style>
  <w:style w:type="paragraph" w:customStyle="1" w:styleId="72">
    <w:name w:val="正文文本缩进 21"/>
    <w:basedOn w:val="1"/>
    <w:qFormat/>
    <w:uiPriority w:val="0"/>
    <w:pPr>
      <w:spacing w:line="480" w:lineRule="auto"/>
      <w:ind w:firstLine="540"/>
    </w:pPr>
    <w:rPr>
      <w:rFonts w:ascii="Calibri" w:hAnsi="Calibri"/>
      <w:sz w:val="20"/>
      <w:szCs w:val="20"/>
    </w:rPr>
  </w:style>
  <w:style w:type="paragraph" w:customStyle="1" w:styleId="73">
    <w:name w:val="_Style 2"/>
    <w:basedOn w:val="1"/>
    <w:qFormat/>
    <w:uiPriority w:val="0"/>
    <w:pPr>
      <w:ind w:firstLine="420" w:firstLineChars="200"/>
    </w:pPr>
  </w:style>
  <w:style w:type="paragraph" w:customStyle="1" w:styleId="74">
    <w:name w:val="msolistparagraph"/>
    <w:basedOn w:val="1"/>
    <w:qFormat/>
    <w:uiPriority w:val="0"/>
    <w:pPr>
      <w:ind w:firstLine="420" w:firstLineChars="200"/>
    </w:pPr>
    <w:rPr>
      <w:rFonts w:hint="eastAsia" w:hAnsi="宋体"/>
    </w:rPr>
  </w:style>
  <w:style w:type="character" w:customStyle="1" w:styleId="75">
    <w:name w:val="标题 5 字符"/>
    <w:link w:val="9"/>
    <w:qFormat/>
    <w:uiPriority w:val="0"/>
    <w:rPr>
      <w:b/>
      <w:sz w:val="28"/>
    </w:rPr>
  </w:style>
  <w:style w:type="character" w:customStyle="1" w:styleId="76">
    <w:name w:val="标题 1 字符"/>
    <w:link w:val="5"/>
    <w:qFormat/>
    <w:uiPriority w:val="9"/>
    <w:rPr>
      <w:b/>
      <w:kern w:val="44"/>
      <w:sz w:val="44"/>
    </w:rPr>
  </w:style>
  <w:style w:type="paragraph" w:customStyle="1" w:styleId="77">
    <w:name w:val="修订1"/>
    <w:hidden/>
    <w:semiHidden/>
    <w:qFormat/>
    <w:uiPriority w:val="99"/>
    <w:rPr>
      <w:rFonts w:ascii="Tahoma" w:hAnsi="Tahoma" w:eastAsia="宋体" w:cstheme="minorBidi"/>
      <w:sz w:val="21"/>
      <w:szCs w:val="22"/>
      <w:lang w:val="en-US" w:eastAsia="zh-CN" w:bidi="ar-SA"/>
    </w:rPr>
  </w:style>
  <w:style w:type="paragraph" w:customStyle="1" w:styleId="78">
    <w:name w:val="表格文字"/>
    <w:basedOn w:val="1"/>
    <w:qFormat/>
    <w:uiPriority w:val="0"/>
    <w:pPr>
      <w:adjustRightInd/>
      <w:spacing w:before="25" w:after="25"/>
    </w:pPr>
    <w:rPr>
      <w:rFonts w:ascii="Times New Roman"/>
      <w:bCs/>
      <w:spacing w:val="10"/>
      <w:szCs w:val="20"/>
    </w:rPr>
  </w:style>
  <w:style w:type="paragraph" w:customStyle="1" w:styleId="79">
    <w:name w:val="纯文本1"/>
    <w:basedOn w:val="80"/>
    <w:qFormat/>
    <w:uiPriority w:val="0"/>
    <w:rPr>
      <w:rFonts w:ascii="宋体" w:hAnsi="Courier New"/>
      <w:szCs w:val="20"/>
    </w:rPr>
  </w:style>
  <w:style w:type="paragraph" w:customStyle="1" w:styleId="80">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81">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82">
    <w:name w:val="Table Normal"/>
    <w:semiHidden/>
    <w:unhideWhenUsed/>
    <w:qFormat/>
    <w:uiPriority w:val="2"/>
    <w:tblPr>
      <w:tblCellMar>
        <w:top w:w="0" w:type="dxa"/>
        <w:left w:w="0" w:type="dxa"/>
        <w:bottom w:w="0" w:type="dxa"/>
        <w:right w:w="0" w:type="dxa"/>
      </w:tblCellMar>
    </w:tblPr>
  </w:style>
  <w:style w:type="paragraph" w:customStyle="1" w:styleId="83">
    <w:name w:val="Table Paragraph"/>
    <w:basedOn w:val="1"/>
    <w:qFormat/>
    <w:uiPriority w:val="1"/>
  </w:style>
  <w:style w:type="paragraph" w:customStyle="1" w:styleId="84">
    <w:name w:val="正文文本缩进1"/>
    <w:basedOn w:val="80"/>
    <w:qFormat/>
    <w:uiPriority w:val="0"/>
    <w:pPr>
      <w:spacing w:after="120"/>
      <w:ind w:left="420" w:leftChars="200"/>
    </w:pPr>
  </w:style>
  <w:style w:type="paragraph" w:customStyle="1" w:styleId="85">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6">
    <w:name w:val="纯文本2"/>
    <w:basedOn w:val="80"/>
    <w:qFormat/>
    <w:uiPriority w:val="0"/>
    <w:rPr>
      <w:rFonts w:ascii="宋体" w:hAnsi="Courier New"/>
      <w:szCs w:val="20"/>
    </w:rPr>
  </w:style>
  <w:style w:type="character" w:customStyle="1" w:styleId="87">
    <w:name w:val="font141"/>
    <w:qFormat/>
    <w:uiPriority w:val="0"/>
    <w:rPr>
      <w:rFonts w:hint="default" w:ascii="Times New Roman" w:hAnsi="Times New Roman" w:cs="Times New Roman"/>
      <w:color w:val="000000"/>
      <w:sz w:val="18"/>
      <w:szCs w:val="18"/>
      <w:u w:val="none"/>
    </w:rPr>
  </w:style>
  <w:style w:type="character" w:customStyle="1" w:styleId="88">
    <w:name w:val="font71"/>
    <w:qFormat/>
    <w:uiPriority w:val="0"/>
    <w:rPr>
      <w:rFonts w:hint="eastAsia" w:ascii="宋体" w:hAnsi="宋体" w:eastAsia="宋体" w:cs="宋体"/>
      <w:color w:val="000000"/>
      <w:sz w:val="18"/>
      <w:szCs w:val="18"/>
      <w:u w:val="none"/>
    </w:rPr>
  </w:style>
  <w:style w:type="paragraph" w:customStyle="1" w:styleId="89">
    <w:name w:val="保留正文"/>
    <w:basedOn w:val="2"/>
    <w:qFormat/>
    <w:uiPriority w:val="0"/>
    <w:pPr>
      <w:keepNext/>
      <w:autoSpaceDE/>
      <w:autoSpaceDN/>
      <w:adjustRightInd/>
      <w:spacing w:after="160"/>
      <w:ind w:right="0"/>
      <w:jc w:val="both"/>
    </w:pPr>
    <w:rPr>
      <w:rFonts w:ascii="Times New Roman"/>
      <w:sz w:val="21"/>
      <w:szCs w:val="24"/>
      <w:lang w:val="en-US"/>
    </w:rPr>
  </w:style>
  <w:style w:type="paragraph" w:customStyle="1" w:styleId="90">
    <w:name w:val="Char Char Char Char"/>
    <w:basedOn w:val="6"/>
    <w:qFormat/>
    <w:uiPriority w:val="0"/>
    <w:pPr>
      <w:keepNext/>
      <w:keepLines/>
      <w:pageBreakBefore/>
      <w:widowControl/>
      <w:numPr>
        <w:ilvl w:val="1"/>
        <w:numId w:val="1"/>
      </w:numPr>
      <w:autoSpaceDE/>
      <w:autoSpaceDN/>
      <w:adjustRightInd/>
      <w:spacing w:before="180" w:after="160" w:line="240" w:lineRule="exact"/>
    </w:pPr>
    <w:rPr>
      <w:rFonts w:ascii="Verdana" w:hAnsi="Verdana" w:eastAsia="黑体"/>
      <w:sz w:val="32"/>
      <w:szCs w:val="32"/>
      <w:lang w:eastAsia="en-US"/>
    </w:rPr>
  </w:style>
  <w:style w:type="character" w:customStyle="1" w:styleId="91">
    <w:name w:val="font101"/>
    <w:basedOn w:val="3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2FDE4B-77BC-4B7C-94B1-DC883D12665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93</Pages>
  <Words>56105</Words>
  <Characters>58276</Characters>
  <Lines>66</Lines>
  <Paragraphs>65</Paragraphs>
  <TotalTime>6</TotalTime>
  <ScaleCrop>false</ScaleCrop>
  <LinksUpToDate>false</LinksUpToDate>
  <CharactersWithSpaces>60039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2022-10-28T09:19:00Z</dcterms:created>
  <dc:creator>MyPC</dc:creator>
  <cp:lastModifiedBy>WY</cp:lastModifiedBy>
  <cp:lastPrinted>2022-12-01T06:09:00Z</cp:lastPrinted>
  <dcterms:modified xsi:type="dcterms:W3CDTF">2023-07-06T07:05:46Z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9689DBD327CB48128FC12EFBBF70FF2C_13</vt:lpwstr>
  </property>
</Properties>
</file>