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sz w:val="44"/>
        </w:rPr>
      </w:pP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公开采购</w:t>
      </w:r>
    </w:p>
    <w:p>
      <w:pPr>
        <w:snapToGrid w:val="0"/>
        <w:jc w:val="center"/>
        <w:rPr>
          <w:rFonts w:ascii="黑体" w:hAnsi="华文中宋" w:eastAsia="黑体" w:cs="华文中宋"/>
          <w:b/>
          <w:bCs/>
          <w:sz w:val="72"/>
          <w:szCs w:val="72"/>
        </w:rPr>
      </w:pPr>
      <w:r>
        <w:rPr>
          <w:rFonts w:hint="eastAsia" w:ascii="黑体" w:hAnsi="华文中宋" w:eastAsia="黑体" w:cs="华文中宋"/>
          <w:b/>
          <w:bCs/>
          <w:sz w:val="72"/>
          <w:szCs w:val="72"/>
        </w:rPr>
        <w:t>竞争性谈判文件</w:t>
      </w:r>
    </w:p>
    <w:p>
      <w:pPr>
        <w:widowControl/>
        <w:spacing w:line="360" w:lineRule="auto"/>
        <w:ind w:right="-26"/>
        <w:jc w:val="center"/>
        <w:textAlignment w:val="bottom"/>
        <w:rPr>
          <w:rFonts w:hAnsi="宋体"/>
          <w:b/>
          <w:sz w:val="44"/>
        </w:rPr>
      </w:pPr>
    </w:p>
    <w:p>
      <w:pPr>
        <w:widowControl/>
        <w:spacing w:line="360" w:lineRule="auto"/>
        <w:ind w:right="-26"/>
        <w:jc w:val="center"/>
        <w:textAlignment w:val="bottom"/>
        <w:rPr>
          <w:rFonts w:hAnsi="宋体"/>
          <w:b/>
          <w:sz w:val="44"/>
        </w:rPr>
      </w:pPr>
    </w:p>
    <w:p>
      <w:pPr>
        <w:pStyle w:val="58"/>
      </w:pPr>
    </w:p>
    <w:p>
      <w:pPr>
        <w:widowControl/>
        <w:spacing w:line="360" w:lineRule="auto"/>
        <w:ind w:right="-26"/>
        <w:jc w:val="center"/>
        <w:textAlignment w:val="bottom"/>
        <w:rPr>
          <w:rFonts w:hAnsi="宋体"/>
          <w:b/>
          <w:sz w:val="44"/>
        </w:rPr>
      </w:pPr>
      <w:r>
        <w:rPr>
          <w:sz w:val="44"/>
        </w:rPr>
        <mc:AlternateContent>
          <mc:Choice Requires="wps">
            <w:drawing>
              <wp:anchor distT="0" distB="0" distL="114300" distR="114300" simplePos="0" relativeHeight="251661312" behindDoc="1" locked="0" layoutInCell="1" allowOverlap="1">
                <wp:simplePos x="0" y="0"/>
                <wp:positionH relativeFrom="column">
                  <wp:posOffset>596900</wp:posOffset>
                </wp:positionH>
                <wp:positionV relativeFrom="paragraph">
                  <wp:posOffset>135890</wp:posOffset>
                </wp:positionV>
                <wp:extent cx="5077460" cy="1227455"/>
                <wp:effectExtent l="0" t="0" r="8890" b="10795"/>
                <wp:wrapNone/>
                <wp:docPr id="3" name="文本框 364"/>
                <wp:cNvGraphicFramePr/>
                <a:graphic xmlns:a="http://schemas.openxmlformats.org/drawingml/2006/main">
                  <a:graphicData uri="http://schemas.microsoft.com/office/word/2010/wordprocessingShape">
                    <wps:wsp>
                      <wps:cNvSpPr txBox="1"/>
                      <wps:spPr>
                        <a:xfrm>
                          <a:off x="0" y="0"/>
                          <a:ext cx="5077460" cy="1227455"/>
                        </a:xfrm>
                        <a:prstGeom prst="rect">
                          <a:avLst/>
                        </a:prstGeom>
                        <a:noFill/>
                        <a:ln w="15875">
                          <a:noFill/>
                        </a:ln>
                      </wps:spPr>
                      <wps:txbx>
                        <w:txbxContent>
                          <w:p>
                            <w:pPr>
                              <w:widowControl/>
                              <w:spacing w:line="360" w:lineRule="auto"/>
                              <w:ind w:right="-26"/>
                              <w:jc w:val="both"/>
                              <w:textAlignment w:val="bottom"/>
                              <w:rPr>
                                <w:rFonts w:ascii="黑体" w:hAnsi="黑体" w:eastAsia="黑体" w:cs="黑体"/>
                                <w:b/>
                                <w:color w:val="auto"/>
                                <w:sz w:val="32"/>
                              </w:rPr>
                            </w:pPr>
                            <w:r>
                              <w:rPr>
                                <w:rFonts w:hint="eastAsia" w:ascii="黑体" w:hAnsi="黑体" w:eastAsia="黑体" w:cs="黑体"/>
                                <w:b/>
                                <w:color w:val="auto"/>
                                <w:sz w:val="32"/>
                              </w:rPr>
                              <w:t>项目名称：旗云花园项目高低压以及新增市政安装工程</w:t>
                            </w:r>
                          </w:p>
                          <w:p>
                            <w:pPr>
                              <w:widowControl/>
                              <w:spacing w:line="360" w:lineRule="auto"/>
                              <w:ind w:right="-26"/>
                              <w:textAlignment w:val="bottom"/>
                              <w:rPr>
                                <w:rFonts w:ascii="黑体" w:hAnsi="黑体" w:eastAsia="黑体" w:cs="黑体"/>
                                <w:b/>
                                <w:color w:val="auto"/>
                                <w:sz w:val="32"/>
                              </w:rPr>
                            </w:pPr>
                            <w:r>
                              <w:rPr>
                                <w:rFonts w:hint="eastAsia" w:ascii="黑体" w:hAnsi="黑体" w:eastAsia="黑体" w:cs="黑体"/>
                                <w:b/>
                                <w:color w:val="auto"/>
                                <w:sz w:val="32"/>
                              </w:rPr>
                              <w:t xml:space="preserve">项目编号：DGQS-QY-01-005-066(2021)      </w:t>
                            </w:r>
                          </w:p>
                          <w:p>
                            <w:pPr>
                              <w:widowControl/>
                              <w:spacing w:line="360" w:lineRule="auto"/>
                              <w:ind w:right="-26"/>
                              <w:textAlignment w:val="bottom"/>
                              <w:rPr>
                                <w:rFonts w:ascii="黑体" w:hAnsi="黑体" w:eastAsia="黑体" w:cs="黑体"/>
                                <w:b/>
                                <w:color w:val="auto"/>
                                <w:sz w:val="32"/>
                              </w:rPr>
                            </w:pPr>
                            <w:r>
                              <w:rPr>
                                <w:rFonts w:hint="eastAsia" w:ascii="黑体" w:hAnsi="黑体" w:eastAsia="黑体" w:cs="黑体"/>
                                <w:b/>
                                <w:color w:val="auto"/>
                                <w:sz w:val="32"/>
                              </w:rPr>
                              <w:t>招 标 人：东莞市东实旗云投资有限公司</w:t>
                            </w:r>
                          </w:p>
                          <w:p>
                            <w:pPr>
                              <w:rPr>
                                <w:rFonts w:eastAsia="等线"/>
                              </w:rPr>
                            </w:pPr>
                            <w:r>
                              <w:rPr>
                                <w:rFonts w:hint="eastAsia"/>
                              </w:rPr>
                              <w:t xml:space="preserve"> </w:t>
                            </w:r>
                          </w:p>
                        </w:txbxContent>
                      </wps:txbx>
                      <wps:bodyPr upright="1"/>
                    </wps:wsp>
                  </a:graphicData>
                </a:graphic>
              </wp:anchor>
            </w:drawing>
          </mc:Choice>
          <mc:Fallback>
            <w:pict>
              <v:shape id="文本框 364" o:spid="_x0000_s1026" o:spt="202" type="#_x0000_t202" style="position:absolute;left:0pt;margin-left:47pt;margin-top:10.7pt;height:96.65pt;width:399.8pt;z-index:-251655168;mso-width-relative:page;mso-height-relative:page;" filled="f" stroked="f" coordsize="21600,21600" o:gfxdata="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R5toe2wAAAAkBAAAPAAAAAAAAAAEAIAAAACIAAABkcnMvZG93bnJldi54bWxQSwEC&#10;FAAUAAAACACHTuJAKoLtV7gBAABbAwAADgAAAAAAAAABACAAAAAqAQAAZHJzL2Uyb0RvYy54bWxQ&#10;SwUGAAAAAAYABgBZAQAAVAUAAAAA&#10;">
                <v:fill on="f" focussize="0,0"/>
                <v:stroke on="f" weight="1.25pt"/>
                <v:imagedata o:title=""/>
                <o:lock v:ext="edit" aspectratio="f"/>
                <v:textbox>
                  <w:txbxContent>
                    <w:p>
                      <w:pPr>
                        <w:widowControl/>
                        <w:spacing w:line="360" w:lineRule="auto"/>
                        <w:ind w:right="-26"/>
                        <w:jc w:val="both"/>
                        <w:textAlignment w:val="bottom"/>
                        <w:rPr>
                          <w:rFonts w:ascii="黑体" w:hAnsi="黑体" w:eastAsia="黑体" w:cs="黑体"/>
                          <w:b/>
                          <w:color w:val="auto"/>
                          <w:sz w:val="32"/>
                        </w:rPr>
                      </w:pPr>
                      <w:r>
                        <w:rPr>
                          <w:rFonts w:hint="eastAsia" w:ascii="黑体" w:hAnsi="黑体" w:eastAsia="黑体" w:cs="黑体"/>
                          <w:b/>
                          <w:color w:val="auto"/>
                          <w:sz w:val="32"/>
                        </w:rPr>
                        <w:t>项目名称：旗云花园项目高低压以及新增市政安装工程</w:t>
                      </w:r>
                    </w:p>
                    <w:p>
                      <w:pPr>
                        <w:widowControl/>
                        <w:spacing w:line="360" w:lineRule="auto"/>
                        <w:ind w:right="-26"/>
                        <w:textAlignment w:val="bottom"/>
                        <w:rPr>
                          <w:rFonts w:ascii="黑体" w:hAnsi="黑体" w:eastAsia="黑体" w:cs="黑体"/>
                          <w:b/>
                          <w:color w:val="auto"/>
                          <w:sz w:val="32"/>
                        </w:rPr>
                      </w:pPr>
                      <w:r>
                        <w:rPr>
                          <w:rFonts w:hint="eastAsia" w:ascii="黑体" w:hAnsi="黑体" w:eastAsia="黑体" w:cs="黑体"/>
                          <w:b/>
                          <w:color w:val="auto"/>
                          <w:sz w:val="32"/>
                        </w:rPr>
                        <w:t xml:space="preserve">项目编号：DGQS-QY-01-005-066(2021)      </w:t>
                      </w:r>
                    </w:p>
                    <w:p>
                      <w:pPr>
                        <w:widowControl/>
                        <w:spacing w:line="360" w:lineRule="auto"/>
                        <w:ind w:right="-26"/>
                        <w:textAlignment w:val="bottom"/>
                        <w:rPr>
                          <w:rFonts w:ascii="黑体" w:hAnsi="黑体" w:eastAsia="黑体" w:cs="黑体"/>
                          <w:b/>
                          <w:color w:val="auto"/>
                          <w:sz w:val="32"/>
                        </w:rPr>
                      </w:pPr>
                      <w:r>
                        <w:rPr>
                          <w:rFonts w:hint="eastAsia" w:ascii="黑体" w:hAnsi="黑体" w:eastAsia="黑体" w:cs="黑体"/>
                          <w:b/>
                          <w:color w:val="auto"/>
                          <w:sz w:val="32"/>
                        </w:rPr>
                        <w:t>招 标 人：东莞市东实旗云投资有限公司</w:t>
                      </w:r>
                    </w:p>
                    <w:p>
                      <w:pPr>
                        <w:rPr>
                          <w:rFonts w:eastAsia="等线"/>
                        </w:rPr>
                      </w:pPr>
                      <w:r>
                        <w:rPr>
                          <w:rFonts w:hint="eastAsia"/>
                        </w:rPr>
                        <w:t xml:space="preserve"> </w:t>
                      </w:r>
                    </w:p>
                  </w:txbxContent>
                </v:textbox>
              </v:shape>
            </w:pict>
          </mc:Fallback>
        </mc:AlternateConten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 xml:space="preserve">     </w:t>
      </w:r>
    </w:p>
    <w:p>
      <w:pPr>
        <w:widowControl/>
        <w:spacing w:line="360" w:lineRule="auto"/>
        <w:ind w:right="-26"/>
        <w:textAlignment w:val="bottom"/>
        <w:rPr>
          <w:rFonts w:hAnsi="宋体"/>
          <w:b/>
          <w:sz w:val="32"/>
        </w:rPr>
      </w:pPr>
    </w:p>
    <w:p>
      <w:pPr>
        <w:widowControl/>
        <w:spacing w:line="360" w:lineRule="auto"/>
        <w:ind w:right="-26"/>
        <w:textAlignment w:val="bottom"/>
        <w:rPr>
          <w:rFonts w:hAnsi="宋体"/>
          <w:b/>
          <w:sz w:val="32"/>
        </w:rPr>
      </w:pPr>
      <w:r>
        <w:rPr>
          <w:rFonts w:hint="eastAsia" w:hAnsi="宋体"/>
          <w:b/>
          <w:sz w:val="32"/>
        </w:rPr>
        <w:t xml:space="preserve"> </w:t>
      </w:r>
    </w:p>
    <w:p>
      <w:pPr>
        <w:widowControl/>
        <w:spacing w:line="360" w:lineRule="auto"/>
        <w:ind w:right="-26"/>
        <w:textAlignment w:val="bottom"/>
        <w:rPr>
          <w:rFonts w:hAnsi="宋体"/>
          <w:b/>
          <w:sz w:val="32"/>
        </w:rPr>
      </w:pPr>
    </w:p>
    <w:p>
      <w:pPr>
        <w:widowControl/>
        <w:spacing w:line="360" w:lineRule="auto"/>
        <w:ind w:right="-26"/>
        <w:textAlignment w:val="bottom"/>
        <w:rPr>
          <w:rFonts w:hAnsi="宋体"/>
          <w:b/>
          <w:sz w:val="32"/>
        </w:rPr>
      </w:pPr>
      <w:bookmarkStart w:id="89" w:name="_GoBack"/>
      <w:bookmarkEnd w:id="89"/>
    </w:p>
    <w:p>
      <w:pPr>
        <w:widowControl/>
        <w:spacing w:line="360" w:lineRule="auto"/>
        <w:ind w:right="-26"/>
        <w:textAlignment w:val="bottom"/>
        <w:rPr>
          <w:rFonts w:hAnsi="宋体"/>
          <w:b/>
          <w:sz w:val="32"/>
        </w:rPr>
      </w:pPr>
    </w:p>
    <w:p>
      <w:pPr>
        <w:widowControl/>
        <w:spacing w:line="360" w:lineRule="auto"/>
        <w:ind w:right="-26"/>
        <w:textAlignment w:val="bottom"/>
        <w:rPr>
          <w:rFonts w:hAnsi="宋体"/>
          <w:b/>
          <w:sz w:val="32"/>
        </w:rPr>
      </w:pPr>
      <w:r>
        <w:rPr>
          <w:rFonts w:hAnsi="宋体"/>
          <w:bCs/>
          <w:sz w:val="21"/>
          <w:szCs w:val="21"/>
        </w:rPr>
        <w:drawing>
          <wp:anchor distT="0" distB="0" distL="114300" distR="114300" simplePos="0" relativeHeight="251662336" behindDoc="1" locked="0" layoutInCell="1" allowOverlap="1">
            <wp:simplePos x="0" y="0"/>
            <wp:positionH relativeFrom="column">
              <wp:posOffset>849630</wp:posOffset>
            </wp:positionH>
            <wp:positionV relativeFrom="paragraph">
              <wp:posOffset>149225</wp:posOffset>
            </wp:positionV>
            <wp:extent cx="977900" cy="977900"/>
            <wp:effectExtent l="0" t="0" r="0" b="0"/>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9"/>
                    <a:stretch>
                      <a:fillRect/>
                    </a:stretch>
                  </pic:blipFill>
                  <pic:spPr>
                    <a:xfrm>
                      <a:off x="0" y="0"/>
                      <a:ext cx="977900" cy="977900"/>
                    </a:xfrm>
                    <a:prstGeom prst="rect">
                      <a:avLst/>
                    </a:prstGeom>
                    <a:noFill/>
                    <a:ln>
                      <a:noFill/>
                    </a:ln>
                  </pic:spPr>
                </pic:pic>
              </a:graphicData>
            </a:graphic>
          </wp:anchor>
        </w:drawing>
      </w:r>
    </w:p>
    <w:p>
      <w:pPr>
        <w:widowControl/>
        <w:spacing w:line="360" w:lineRule="auto"/>
        <w:ind w:right="-26" w:firstLine="569" w:firstLineChars="177"/>
        <w:textAlignment w:val="bottom"/>
        <w:rPr>
          <w:rFonts w:ascii="黑体" w:hAnsi="黑体" w:eastAsia="黑体" w:cs="黑体"/>
          <w:b/>
          <w:sz w:val="32"/>
        </w:rPr>
      </w:pPr>
      <w:r>
        <w:rPr>
          <w:rFonts w:hint="eastAsia" w:hAnsi="宋体"/>
          <w:b/>
          <w:sz w:val="32"/>
        </w:rPr>
        <w:t xml:space="preserve">              </w:t>
      </w:r>
      <w:r>
        <w:rPr>
          <w:rFonts w:hint="eastAsia" w:ascii="黑体" w:hAnsi="黑体" w:eastAsia="黑体" w:cs="黑体"/>
          <w:b/>
          <w:sz w:val="32"/>
        </w:rPr>
        <w:t xml:space="preserve">广东泰通伟业工程咨询有限公司 </w:t>
      </w:r>
    </w:p>
    <w:p>
      <w:pPr>
        <w:widowControl/>
        <w:spacing w:line="360" w:lineRule="auto"/>
        <w:ind w:right="-26" w:hanging="480"/>
        <w:jc w:val="center"/>
        <w:textAlignment w:val="bottom"/>
        <w:rPr>
          <w:rFonts w:ascii="黑体" w:hAnsi="黑体" w:eastAsia="黑体" w:cs="黑体"/>
          <w:b/>
          <w:sz w:val="32"/>
        </w:rPr>
      </w:pPr>
      <w:r>
        <w:rPr>
          <w:rFonts w:hint="eastAsia" w:ascii="黑体" w:hAnsi="黑体" w:eastAsia="黑体" w:cs="黑体"/>
          <w:b/>
          <w:sz w:val="32"/>
        </w:rPr>
        <w:t xml:space="preserve">     二〇二一年</w:t>
      </w:r>
      <w:r>
        <w:rPr>
          <w:rFonts w:hint="eastAsia" w:ascii="黑体" w:hAnsi="黑体" w:eastAsia="黑体" w:cs="黑体"/>
          <w:b/>
          <w:sz w:val="32"/>
          <w:lang w:eastAsia="zh-CN"/>
        </w:rPr>
        <w:t>五</w:t>
      </w:r>
      <w:r>
        <w:rPr>
          <w:rFonts w:hint="eastAsia" w:ascii="黑体" w:hAnsi="黑体" w:eastAsia="黑体" w:cs="黑体"/>
          <w:b/>
          <w:sz w:val="32"/>
        </w:rPr>
        <w:t>月</w:t>
      </w: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widowControl/>
        <w:spacing w:line="360" w:lineRule="auto"/>
        <w:ind w:right="-26" w:hanging="480"/>
        <w:jc w:val="center"/>
        <w:textAlignment w:val="bottom"/>
        <w:rPr>
          <w:rFonts w:ascii="黑体" w:hAnsi="黑体" w:eastAsia="黑体" w:cs="黑体"/>
          <w:b/>
          <w:sz w:val="32"/>
        </w:rPr>
      </w:pPr>
    </w:p>
    <w:p>
      <w:pPr>
        <w:bidi w:val="0"/>
      </w:pPr>
    </w:p>
    <w:p/>
    <w:p>
      <w:pPr>
        <w:jc w:val="center"/>
      </w:pPr>
      <w:bookmarkStart w:id="0" w:name="_Toc13507"/>
      <w:r>
        <w:rPr>
          <w:rFonts w:hAnsi="宋体"/>
          <w:b/>
          <w:bCs/>
          <w:sz w:val="32"/>
          <w:szCs w:val="32"/>
          <w:lang w:val="zh-CN"/>
        </w:rPr>
        <w:t>目</w:t>
      </w:r>
      <w:r>
        <w:rPr>
          <w:rFonts w:hint="eastAsia" w:hAnsi="宋体"/>
          <w:b/>
          <w:bCs/>
          <w:sz w:val="32"/>
          <w:szCs w:val="32"/>
          <w:lang w:val="zh-CN"/>
        </w:rPr>
        <w:t xml:space="preserve">   </w:t>
      </w:r>
      <w:r>
        <w:rPr>
          <w:rFonts w:hAnsi="宋体"/>
          <w:b/>
          <w:bCs/>
          <w:sz w:val="32"/>
          <w:szCs w:val="32"/>
          <w:lang w:val="zh-CN"/>
        </w:rPr>
        <w:t>录</w:t>
      </w:r>
      <w:bookmarkEnd w:id="0"/>
      <w:bookmarkStart w:id="1" w:name="_Toc396137229"/>
      <w:r>
        <w:rPr>
          <w:rFonts w:hAnsi="宋体"/>
          <w:b/>
          <w:bCs/>
          <w:caps/>
          <w:sz w:val="21"/>
          <w:szCs w:val="21"/>
        </w:rPr>
        <w:fldChar w:fldCharType="begin"/>
      </w:r>
      <w:r>
        <w:rPr>
          <w:rStyle w:val="56"/>
          <w:rFonts w:hAnsi="宋体"/>
          <w:b/>
          <w:bCs/>
          <w:caps/>
          <w:color w:val="auto"/>
          <w:sz w:val="21"/>
          <w:szCs w:val="21"/>
          <w:u w:val="none"/>
        </w:rPr>
        <w:instrText xml:space="preserve"> TOC \o "1-3" \h \z \u </w:instrText>
      </w:r>
      <w:r>
        <w:rPr>
          <w:rFonts w:hAnsi="宋体"/>
          <w:b/>
          <w:bCs/>
          <w:caps/>
          <w:sz w:val="21"/>
          <w:szCs w:val="21"/>
        </w:rPr>
        <w:fldChar w:fldCharType="separate"/>
      </w:r>
    </w:p>
    <w:p>
      <w:pPr>
        <w:pStyle w:val="33"/>
        <w:tabs>
          <w:tab w:val="right" w:leader="dot" w:pos="9639"/>
        </w:tabs>
        <w:spacing w:line="480" w:lineRule="auto"/>
        <w:rPr>
          <w:rFonts w:ascii="宋体" w:hAnsi="宋体" w:cs="宋体"/>
          <w:sz w:val="24"/>
          <w:szCs w:val="24"/>
        </w:rPr>
      </w:pPr>
      <w:r>
        <w:fldChar w:fldCharType="begin"/>
      </w:r>
      <w:r>
        <w:instrText xml:space="preserve"> HYPERLINK \l "_Toc13747" </w:instrText>
      </w:r>
      <w:r>
        <w:fldChar w:fldCharType="separate"/>
      </w:r>
      <w:r>
        <w:rPr>
          <w:rFonts w:hint="eastAsia" w:ascii="宋体" w:hAnsi="宋体" w:cs="宋体"/>
          <w:bCs w:val="0"/>
          <w:kern w:val="44"/>
          <w:sz w:val="24"/>
          <w:szCs w:val="24"/>
          <w:lang w:val="zh-CN"/>
        </w:rPr>
        <w:t xml:space="preserve">第一篇 </w:t>
      </w:r>
      <w:r>
        <w:rPr>
          <w:rFonts w:hint="eastAsia" w:ascii="宋体" w:hAnsi="宋体" w:cs="宋体"/>
          <w:kern w:val="44"/>
          <w:sz w:val="24"/>
          <w:szCs w:val="24"/>
        </w:rPr>
        <w:t>谈判邀请函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_Toc13747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33"/>
        <w:tabs>
          <w:tab w:val="right" w:leader="dot" w:pos="9639"/>
        </w:tabs>
        <w:spacing w:line="480" w:lineRule="auto"/>
        <w:rPr>
          <w:rFonts w:ascii="宋体" w:hAnsi="宋体" w:cs="宋体"/>
          <w:sz w:val="24"/>
          <w:szCs w:val="24"/>
        </w:rPr>
      </w:pPr>
      <w:r>
        <w:fldChar w:fldCharType="begin"/>
      </w:r>
      <w:r>
        <w:instrText xml:space="preserve"> HYPERLINK \l "_Toc31314" </w:instrText>
      </w:r>
      <w:r>
        <w:fldChar w:fldCharType="separate"/>
      </w:r>
      <w:r>
        <w:rPr>
          <w:rFonts w:hint="eastAsia" w:ascii="宋体" w:hAnsi="宋体" w:cs="宋体"/>
          <w:bCs w:val="0"/>
          <w:kern w:val="44"/>
          <w:sz w:val="24"/>
          <w:szCs w:val="24"/>
          <w:lang w:val="zh-CN"/>
        </w:rPr>
        <w:t xml:space="preserve">第二篇 </w:t>
      </w:r>
      <w:r>
        <w:rPr>
          <w:rFonts w:hint="eastAsia" w:ascii="宋体" w:hAnsi="宋体" w:cs="宋体"/>
          <w:kern w:val="44"/>
          <w:sz w:val="24"/>
          <w:szCs w:val="24"/>
          <w:lang w:val="zh-CN"/>
        </w:rPr>
        <w:t>报价人须知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_Toc31314 </w:instrText>
      </w:r>
      <w:r>
        <w:rPr>
          <w:rFonts w:hint="eastAsia" w:ascii="宋体" w:hAnsi="宋体" w:cs="宋体"/>
          <w:sz w:val="24"/>
          <w:szCs w:val="24"/>
        </w:rPr>
        <w:fldChar w:fldCharType="separate"/>
      </w:r>
      <w:r>
        <w:rPr>
          <w:rFonts w:hint="eastAsia" w:ascii="宋体" w:hAnsi="宋体" w:cs="宋体"/>
          <w:sz w:val="24"/>
          <w:szCs w:val="24"/>
        </w:rPr>
        <w:t>- 5 -</w:t>
      </w:r>
      <w:r>
        <w:rPr>
          <w:rFonts w:hint="eastAsia" w:ascii="宋体" w:hAnsi="宋体" w:cs="宋体"/>
          <w:sz w:val="24"/>
          <w:szCs w:val="24"/>
        </w:rPr>
        <w:fldChar w:fldCharType="end"/>
      </w:r>
      <w:r>
        <w:rPr>
          <w:rFonts w:hint="eastAsia" w:ascii="宋体" w:hAnsi="宋体" w:cs="宋体"/>
          <w:sz w:val="24"/>
          <w:szCs w:val="24"/>
        </w:rPr>
        <w:fldChar w:fldCharType="end"/>
      </w:r>
    </w:p>
    <w:p>
      <w:pPr>
        <w:pStyle w:val="33"/>
        <w:tabs>
          <w:tab w:val="right" w:leader="dot" w:pos="9639"/>
        </w:tabs>
        <w:spacing w:line="480" w:lineRule="auto"/>
        <w:rPr>
          <w:rFonts w:ascii="宋体" w:hAnsi="宋体" w:cs="宋体"/>
          <w:sz w:val="24"/>
          <w:szCs w:val="24"/>
        </w:rPr>
      </w:pPr>
      <w:r>
        <w:fldChar w:fldCharType="begin"/>
      </w:r>
      <w:r>
        <w:instrText xml:space="preserve"> HYPERLINK \l "_Toc2725" </w:instrText>
      </w:r>
      <w:r>
        <w:fldChar w:fldCharType="separate"/>
      </w:r>
      <w:r>
        <w:rPr>
          <w:rFonts w:hint="eastAsia" w:ascii="宋体" w:hAnsi="宋体" w:cs="宋体"/>
          <w:bCs w:val="0"/>
          <w:kern w:val="44"/>
          <w:sz w:val="24"/>
          <w:szCs w:val="24"/>
          <w:lang w:val="zh-CN"/>
        </w:rPr>
        <w:t xml:space="preserve">第三篇 </w:t>
      </w:r>
      <w:r>
        <w:rPr>
          <w:rFonts w:hint="eastAsia" w:ascii="宋体" w:hAnsi="宋体" w:cs="宋体"/>
          <w:kern w:val="44"/>
          <w:sz w:val="24"/>
          <w:szCs w:val="24"/>
          <w:lang w:val="zh-CN"/>
        </w:rPr>
        <w:t>用户需求书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_Toc2725 </w:instrText>
      </w:r>
      <w:r>
        <w:rPr>
          <w:rFonts w:hint="eastAsia" w:ascii="宋体" w:hAnsi="宋体" w:cs="宋体"/>
          <w:sz w:val="24"/>
          <w:szCs w:val="24"/>
        </w:rPr>
        <w:fldChar w:fldCharType="separate"/>
      </w:r>
      <w:r>
        <w:rPr>
          <w:rFonts w:hint="eastAsia" w:ascii="宋体" w:hAnsi="宋体" w:cs="宋体"/>
          <w:sz w:val="24"/>
          <w:szCs w:val="24"/>
        </w:rPr>
        <w:t>- 16 -</w:t>
      </w:r>
      <w:r>
        <w:rPr>
          <w:rFonts w:hint="eastAsia" w:ascii="宋体" w:hAnsi="宋体" w:cs="宋体"/>
          <w:sz w:val="24"/>
          <w:szCs w:val="24"/>
        </w:rPr>
        <w:fldChar w:fldCharType="end"/>
      </w:r>
      <w:r>
        <w:rPr>
          <w:rFonts w:hint="eastAsia" w:ascii="宋体" w:hAnsi="宋体" w:cs="宋体"/>
          <w:sz w:val="24"/>
          <w:szCs w:val="24"/>
        </w:rPr>
        <w:fldChar w:fldCharType="end"/>
      </w:r>
    </w:p>
    <w:p>
      <w:pPr>
        <w:pStyle w:val="33"/>
        <w:tabs>
          <w:tab w:val="right" w:leader="dot" w:pos="9639"/>
        </w:tabs>
        <w:spacing w:line="480" w:lineRule="auto"/>
        <w:rPr>
          <w:rFonts w:ascii="宋体" w:hAnsi="宋体" w:cs="宋体"/>
          <w:sz w:val="24"/>
          <w:szCs w:val="24"/>
        </w:rPr>
      </w:pPr>
      <w:r>
        <w:fldChar w:fldCharType="begin"/>
      </w:r>
      <w:r>
        <w:instrText xml:space="preserve"> HYPERLINK \l "_Toc44" </w:instrText>
      </w:r>
      <w:r>
        <w:fldChar w:fldCharType="separate"/>
      </w:r>
      <w:r>
        <w:rPr>
          <w:rFonts w:hint="eastAsia" w:ascii="宋体" w:hAnsi="宋体" w:cs="宋体"/>
          <w:kern w:val="44"/>
          <w:sz w:val="24"/>
          <w:szCs w:val="24"/>
          <w:lang w:val="zh-CN"/>
        </w:rPr>
        <w:t xml:space="preserve">第四篇 </w:t>
      </w:r>
      <w:r>
        <w:rPr>
          <w:rFonts w:hint="eastAsia" w:ascii="宋体" w:hAnsi="宋体" w:cs="宋体"/>
          <w:kern w:val="44"/>
          <w:sz w:val="24"/>
          <w:szCs w:val="24"/>
        </w:rPr>
        <w:t>谈判方法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_Toc44 </w:instrText>
      </w:r>
      <w:r>
        <w:rPr>
          <w:rFonts w:hint="eastAsia" w:ascii="宋体" w:hAnsi="宋体" w:cs="宋体"/>
          <w:sz w:val="24"/>
          <w:szCs w:val="24"/>
        </w:rPr>
        <w:fldChar w:fldCharType="separate"/>
      </w:r>
      <w:r>
        <w:rPr>
          <w:rFonts w:hint="eastAsia" w:ascii="宋体" w:hAnsi="宋体" w:cs="宋体"/>
          <w:sz w:val="24"/>
          <w:szCs w:val="24"/>
        </w:rPr>
        <w:t>- 25 -</w:t>
      </w:r>
      <w:r>
        <w:rPr>
          <w:rFonts w:hint="eastAsia" w:ascii="宋体" w:hAnsi="宋体" w:cs="宋体"/>
          <w:sz w:val="24"/>
          <w:szCs w:val="24"/>
        </w:rPr>
        <w:fldChar w:fldCharType="end"/>
      </w:r>
      <w:r>
        <w:rPr>
          <w:rFonts w:hint="eastAsia" w:ascii="宋体" w:hAnsi="宋体" w:cs="宋体"/>
          <w:sz w:val="24"/>
          <w:szCs w:val="24"/>
        </w:rPr>
        <w:fldChar w:fldCharType="end"/>
      </w:r>
    </w:p>
    <w:p>
      <w:pPr>
        <w:pStyle w:val="33"/>
        <w:tabs>
          <w:tab w:val="right" w:leader="dot" w:pos="9639"/>
        </w:tabs>
        <w:spacing w:line="480" w:lineRule="auto"/>
        <w:rPr>
          <w:rFonts w:ascii="宋体" w:hAnsi="宋体" w:cs="宋体"/>
          <w:sz w:val="24"/>
          <w:szCs w:val="24"/>
        </w:rPr>
      </w:pPr>
      <w:r>
        <w:fldChar w:fldCharType="begin"/>
      </w:r>
      <w:r>
        <w:instrText xml:space="preserve"> HYPERLINK \l "_Toc6581" </w:instrText>
      </w:r>
      <w:r>
        <w:fldChar w:fldCharType="separate"/>
      </w:r>
      <w:r>
        <w:rPr>
          <w:rFonts w:hint="eastAsia" w:ascii="宋体" w:hAnsi="宋体" w:cs="宋体"/>
          <w:bCs w:val="0"/>
          <w:kern w:val="44"/>
          <w:sz w:val="24"/>
          <w:szCs w:val="24"/>
          <w:lang w:val="zh-CN"/>
        </w:rPr>
        <w:t xml:space="preserve">第五篇 </w:t>
      </w:r>
      <w:r>
        <w:rPr>
          <w:rFonts w:hint="eastAsia" w:ascii="宋体" w:hAnsi="宋体" w:cs="宋体"/>
          <w:kern w:val="44"/>
          <w:sz w:val="24"/>
          <w:szCs w:val="24"/>
          <w:lang w:val="zh-CN"/>
        </w:rPr>
        <w:t>合同条款格式（仅供参考）</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_Toc6581 </w:instrText>
      </w:r>
      <w:r>
        <w:rPr>
          <w:rFonts w:hint="eastAsia" w:ascii="宋体" w:hAnsi="宋体" w:cs="宋体"/>
          <w:sz w:val="24"/>
          <w:szCs w:val="24"/>
        </w:rPr>
        <w:fldChar w:fldCharType="separate"/>
      </w:r>
      <w:r>
        <w:rPr>
          <w:rFonts w:hint="eastAsia" w:ascii="宋体" w:hAnsi="宋体" w:cs="宋体"/>
          <w:sz w:val="24"/>
          <w:szCs w:val="24"/>
        </w:rPr>
        <w:t>- 29 -</w:t>
      </w:r>
      <w:r>
        <w:rPr>
          <w:rFonts w:hint="eastAsia" w:ascii="宋体" w:hAnsi="宋体" w:cs="宋体"/>
          <w:sz w:val="24"/>
          <w:szCs w:val="24"/>
        </w:rPr>
        <w:fldChar w:fldCharType="end"/>
      </w:r>
      <w:r>
        <w:rPr>
          <w:rFonts w:hint="eastAsia" w:ascii="宋体" w:hAnsi="宋体" w:cs="宋体"/>
          <w:sz w:val="24"/>
          <w:szCs w:val="24"/>
        </w:rPr>
        <w:fldChar w:fldCharType="end"/>
      </w:r>
    </w:p>
    <w:p>
      <w:pPr>
        <w:pStyle w:val="33"/>
        <w:tabs>
          <w:tab w:val="right" w:leader="dot" w:pos="9639"/>
        </w:tabs>
        <w:spacing w:line="480" w:lineRule="auto"/>
        <w:rPr>
          <w:rFonts w:ascii="宋体" w:hAnsi="宋体" w:cs="宋体"/>
          <w:sz w:val="24"/>
          <w:szCs w:val="24"/>
        </w:rPr>
      </w:pPr>
      <w:r>
        <w:fldChar w:fldCharType="begin"/>
      </w:r>
      <w:r>
        <w:instrText xml:space="preserve"> HYPERLINK \l "_Toc2588" </w:instrText>
      </w:r>
      <w:r>
        <w:fldChar w:fldCharType="separate"/>
      </w:r>
      <w:r>
        <w:rPr>
          <w:rFonts w:hint="eastAsia" w:ascii="宋体" w:hAnsi="宋体" w:cs="宋体"/>
          <w:bCs w:val="0"/>
          <w:kern w:val="44"/>
          <w:sz w:val="24"/>
          <w:szCs w:val="24"/>
          <w:lang w:val="zh-CN"/>
        </w:rPr>
        <w:t xml:space="preserve">第六篇 </w:t>
      </w:r>
      <w:r>
        <w:rPr>
          <w:rFonts w:hint="eastAsia" w:ascii="宋体" w:hAnsi="宋体" w:cs="宋体"/>
          <w:kern w:val="44"/>
          <w:sz w:val="24"/>
          <w:szCs w:val="24"/>
          <w:lang w:val="zh-CN"/>
        </w:rPr>
        <w:t>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_Toc2588 </w:instrText>
      </w:r>
      <w:r>
        <w:rPr>
          <w:rFonts w:hint="eastAsia" w:ascii="宋体" w:hAnsi="宋体" w:cs="宋体"/>
          <w:sz w:val="24"/>
          <w:szCs w:val="24"/>
        </w:rPr>
        <w:fldChar w:fldCharType="separate"/>
      </w:r>
      <w:r>
        <w:rPr>
          <w:rFonts w:hint="eastAsia" w:ascii="宋体" w:hAnsi="宋体" w:cs="宋体"/>
          <w:sz w:val="24"/>
          <w:szCs w:val="24"/>
        </w:rPr>
        <w:t>- 44 -</w:t>
      </w:r>
      <w:r>
        <w:rPr>
          <w:rFonts w:hint="eastAsia" w:ascii="宋体" w:hAnsi="宋体" w:cs="宋体"/>
          <w:sz w:val="24"/>
          <w:szCs w:val="24"/>
        </w:rPr>
        <w:fldChar w:fldCharType="end"/>
      </w:r>
      <w:r>
        <w:rPr>
          <w:rFonts w:hint="eastAsia" w:ascii="宋体" w:hAnsi="宋体" w:cs="宋体"/>
          <w:sz w:val="24"/>
          <w:szCs w:val="24"/>
        </w:rPr>
        <w:fldChar w:fldCharType="end"/>
      </w:r>
    </w:p>
    <w:p>
      <w:pPr>
        <w:jc w:val="center"/>
      </w:pPr>
      <w:r>
        <w:fldChar w:fldCharType="end"/>
      </w:r>
      <w:bookmarkEnd w:id="1"/>
    </w:p>
    <w:p/>
    <w:p/>
    <w:p/>
    <w:p/>
    <w:p/>
    <w:p/>
    <w:p/>
    <w:p/>
    <w:p/>
    <w:p/>
    <w:p/>
    <w:p/>
    <w:p>
      <w:pPr>
        <w:pStyle w:val="3"/>
        <w:keepNext/>
        <w:keepLines/>
        <w:pageBreakBefore/>
        <w:numPr>
          <w:ilvl w:val="0"/>
          <w:numId w:val="8"/>
        </w:numPr>
        <w:tabs>
          <w:tab w:val="left" w:pos="1080"/>
        </w:tabs>
        <w:spacing w:line="360" w:lineRule="auto"/>
        <w:ind w:left="1262" w:hanging="1262" w:hangingChars="449"/>
        <w:jc w:val="center"/>
        <w:rPr>
          <w:rFonts w:hAnsi="宋体"/>
          <w:b/>
          <w:bCs/>
          <w:kern w:val="44"/>
          <w:sz w:val="28"/>
          <w:szCs w:val="28"/>
          <w:lang w:val="zh-CN"/>
        </w:rPr>
      </w:pPr>
      <w:r>
        <w:rPr>
          <w:rFonts w:hint="eastAsia" w:hAnsi="宋体"/>
          <w:b/>
          <w:bCs/>
          <w:kern w:val="44"/>
          <w:sz w:val="28"/>
          <w:szCs w:val="28"/>
        </w:rPr>
        <w:t xml:space="preserve"> </w:t>
      </w:r>
      <w:bookmarkStart w:id="2" w:name="_Toc13747"/>
      <w:r>
        <w:rPr>
          <w:rFonts w:hint="eastAsia" w:hAnsi="宋体"/>
          <w:b/>
          <w:bCs/>
          <w:kern w:val="44"/>
          <w:sz w:val="28"/>
          <w:szCs w:val="28"/>
        </w:rPr>
        <w:t>谈判邀请函</w:t>
      </w:r>
      <w:bookmarkEnd w:id="2"/>
    </w:p>
    <w:p>
      <w:pPr>
        <w:spacing w:line="360" w:lineRule="auto"/>
        <w:ind w:firstLine="420" w:firstLineChars="200"/>
        <w:rPr>
          <w:rFonts w:hAnsi="宋体"/>
          <w:sz w:val="21"/>
          <w:szCs w:val="21"/>
        </w:rPr>
      </w:pPr>
      <w:r>
        <w:rPr>
          <w:rFonts w:hint="eastAsia" w:hAnsi="宋体"/>
          <w:sz w:val="21"/>
          <w:szCs w:val="21"/>
        </w:rPr>
        <w:t>广东泰通伟业工程咨询有限公司（以下简称“招标代理机构”）受东莞市东实旗云投资有限公司（以下简称“招标人”）委托，现就旗云花园项目高低压以及新增市政安装工程（项目编号：DGQS-QY-01-005-066(2021)）进行国内竞争性谈判的方式进行公开采购，欢迎合格的供应商提交密封文件报价。有关事项如下：</w:t>
      </w:r>
    </w:p>
    <w:p>
      <w:pPr>
        <w:widowControl/>
        <w:numPr>
          <w:ilvl w:val="0"/>
          <w:numId w:val="9"/>
        </w:numPr>
        <w:adjustRightInd/>
        <w:spacing w:line="360" w:lineRule="auto"/>
        <w:rPr>
          <w:rFonts w:hAnsi="宋体"/>
          <w:sz w:val="21"/>
          <w:szCs w:val="21"/>
        </w:rPr>
      </w:pPr>
      <w:r>
        <w:rPr>
          <w:rFonts w:hint="eastAsia" w:hAnsi="宋体" w:cs="宋体"/>
          <w:b/>
          <w:bCs/>
          <w:kern w:val="28"/>
          <w:sz w:val="21"/>
          <w:szCs w:val="21"/>
        </w:rPr>
        <w:t>邀请合格报价人就下列所有服务提交密封投标：</w:t>
      </w:r>
    </w:p>
    <w:p>
      <w:pPr>
        <w:widowControl/>
        <w:numPr>
          <w:ilvl w:val="0"/>
          <w:numId w:val="10"/>
        </w:numPr>
        <w:tabs>
          <w:tab w:val="left" w:pos="-360"/>
        </w:tabs>
        <w:adjustRightInd/>
        <w:spacing w:line="360" w:lineRule="auto"/>
        <w:ind w:right="-34" w:firstLine="420"/>
        <w:jc w:val="both"/>
        <w:textAlignment w:val="bottom"/>
        <w:rPr>
          <w:rFonts w:hAnsi="宋体"/>
          <w:sz w:val="21"/>
          <w:szCs w:val="21"/>
        </w:rPr>
      </w:pPr>
      <w:r>
        <w:rPr>
          <w:rFonts w:hint="eastAsia" w:hAnsi="宋体"/>
          <w:sz w:val="21"/>
          <w:szCs w:val="21"/>
        </w:rPr>
        <w:t>项目名称：旗云花园项目高低压以及新增市政安装工程</w:t>
      </w:r>
    </w:p>
    <w:p>
      <w:pPr>
        <w:widowControl/>
        <w:numPr>
          <w:ilvl w:val="0"/>
          <w:numId w:val="10"/>
        </w:numPr>
        <w:tabs>
          <w:tab w:val="left" w:pos="-360"/>
        </w:tabs>
        <w:adjustRightInd/>
        <w:spacing w:line="360" w:lineRule="auto"/>
        <w:ind w:right="-34" w:firstLine="420"/>
        <w:jc w:val="both"/>
        <w:textAlignment w:val="bottom"/>
        <w:rPr>
          <w:rFonts w:hAnsi="宋体"/>
          <w:sz w:val="21"/>
          <w:szCs w:val="21"/>
        </w:rPr>
      </w:pPr>
      <w:r>
        <w:rPr>
          <w:rFonts w:hint="eastAsia" w:hAnsi="宋体"/>
          <w:sz w:val="21"/>
          <w:szCs w:val="21"/>
        </w:rPr>
        <w:t>项目编号：DGQS-QY-01-005-066(2021)</w:t>
      </w:r>
    </w:p>
    <w:p>
      <w:pPr>
        <w:widowControl/>
        <w:numPr>
          <w:ilvl w:val="0"/>
          <w:numId w:val="10"/>
        </w:numPr>
        <w:tabs>
          <w:tab w:val="left" w:pos="-360"/>
        </w:tabs>
        <w:adjustRightInd/>
        <w:spacing w:line="360" w:lineRule="auto"/>
        <w:ind w:right="-34" w:firstLine="420"/>
        <w:jc w:val="both"/>
        <w:textAlignment w:val="bottom"/>
        <w:rPr>
          <w:rFonts w:hAnsi="宋体"/>
          <w:sz w:val="21"/>
          <w:szCs w:val="21"/>
        </w:rPr>
      </w:pPr>
      <w:r>
        <w:rPr>
          <w:rFonts w:hint="eastAsia" w:hAnsi="宋体"/>
          <w:kern w:val="2"/>
          <w:sz w:val="21"/>
          <w:szCs w:val="21"/>
        </w:rPr>
        <w:t>招标项目预算金额（元）：¥3,579,162.66元（包含定额工日工资总额¥275,251.40元；包含绿色施工安全防护措施单列费¥110,149.60元。）</w:t>
      </w:r>
    </w:p>
    <w:p>
      <w:pPr>
        <w:widowControl/>
        <w:numPr>
          <w:ilvl w:val="0"/>
          <w:numId w:val="10"/>
        </w:numPr>
        <w:tabs>
          <w:tab w:val="left" w:pos="-360"/>
        </w:tabs>
        <w:adjustRightInd/>
        <w:spacing w:line="360" w:lineRule="auto"/>
        <w:ind w:right="-34" w:firstLine="420"/>
        <w:jc w:val="both"/>
        <w:textAlignment w:val="bottom"/>
        <w:rPr>
          <w:rFonts w:hAnsi="宋体"/>
          <w:sz w:val="21"/>
          <w:szCs w:val="21"/>
        </w:rPr>
      </w:pPr>
      <w:r>
        <w:rPr>
          <w:rFonts w:hint="eastAsia" w:hAnsi="宋体"/>
          <w:sz w:val="21"/>
          <w:szCs w:val="21"/>
        </w:rPr>
        <w:t>项目内容：详见第三篇用户需求书。</w:t>
      </w:r>
    </w:p>
    <w:p>
      <w:pPr>
        <w:widowControl/>
        <w:adjustRightInd/>
        <w:spacing w:line="360" w:lineRule="auto"/>
        <w:rPr>
          <w:rFonts w:hAnsi="宋体" w:cs="宋体"/>
          <w:b/>
          <w:bCs/>
          <w:kern w:val="28"/>
          <w:sz w:val="21"/>
          <w:szCs w:val="21"/>
        </w:rPr>
      </w:pPr>
      <w:r>
        <w:rPr>
          <w:rFonts w:hint="eastAsia" w:hAnsi="宋体" w:cs="宋体"/>
          <w:b/>
          <w:bCs/>
          <w:kern w:val="28"/>
          <w:sz w:val="21"/>
          <w:szCs w:val="21"/>
          <w:lang w:val="zh-CN"/>
        </w:rPr>
        <w:t>二、合格的报价人</w:t>
      </w:r>
      <w:r>
        <w:rPr>
          <w:rFonts w:hint="eastAsia" w:hAnsi="宋体" w:cs="宋体"/>
          <w:b/>
          <w:bCs/>
          <w:kern w:val="28"/>
          <w:sz w:val="21"/>
          <w:szCs w:val="21"/>
        </w:rPr>
        <w:t>：</w:t>
      </w:r>
    </w:p>
    <w:p>
      <w:pPr>
        <w:widowControl/>
        <w:adjustRightInd/>
        <w:spacing w:line="360" w:lineRule="auto"/>
        <w:ind w:firstLine="478"/>
        <w:rPr>
          <w:rFonts w:hAnsi="宋体"/>
          <w:kern w:val="2"/>
          <w:sz w:val="21"/>
          <w:szCs w:val="21"/>
        </w:rPr>
      </w:pPr>
      <w:r>
        <w:rPr>
          <w:rFonts w:hint="eastAsia" w:hAnsi="宋体"/>
          <w:kern w:val="2"/>
          <w:sz w:val="21"/>
          <w:szCs w:val="21"/>
        </w:rPr>
        <w:t>（一）报价人须为在中华人民共和国境内登记注册的具有独立承担民事责任能力的法人或其他组织；</w:t>
      </w:r>
    </w:p>
    <w:p>
      <w:pPr>
        <w:widowControl/>
        <w:adjustRightInd/>
        <w:spacing w:line="360" w:lineRule="auto"/>
        <w:ind w:firstLine="478"/>
        <w:rPr>
          <w:rFonts w:hAnsi="宋体"/>
          <w:kern w:val="2"/>
          <w:sz w:val="21"/>
          <w:szCs w:val="21"/>
        </w:rPr>
      </w:pPr>
      <w:r>
        <w:rPr>
          <w:rFonts w:hint="eastAsia" w:hAnsi="宋体"/>
          <w:kern w:val="2"/>
          <w:sz w:val="21"/>
          <w:szCs w:val="21"/>
        </w:rPr>
        <w:t>（二）报价人参加招标活动前三年内，在经营活动中没有重大违法记录（须提供书面声明）；</w:t>
      </w:r>
    </w:p>
    <w:p>
      <w:pPr>
        <w:widowControl/>
        <w:adjustRightInd/>
        <w:spacing w:line="360" w:lineRule="auto"/>
        <w:ind w:firstLine="478"/>
        <w:rPr>
          <w:rFonts w:hAnsi="宋体"/>
          <w:kern w:val="2"/>
          <w:sz w:val="21"/>
          <w:szCs w:val="21"/>
        </w:rPr>
      </w:pPr>
      <w:r>
        <w:rPr>
          <w:rFonts w:hint="eastAsia" w:hAnsi="宋体"/>
          <w:kern w:val="2"/>
          <w:sz w:val="21"/>
          <w:szCs w:val="21"/>
        </w:rPr>
        <w:t>（三）报价人须具备建设行政主管部门颁发的安全生产许可证且在有效期内；</w:t>
      </w:r>
    </w:p>
    <w:p>
      <w:pPr>
        <w:widowControl/>
        <w:adjustRightInd/>
        <w:spacing w:line="360" w:lineRule="auto"/>
        <w:ind w:left="485" w:leftChars="202" w:firstLine="2" w:firstLineChars="1"/>
        <w:rPr>
          <w:rFonts w:hAnsi="宋体"/>
          <w:kern w:val="2"/>
          <w:sz w:val="21"/>
          <w:szCs w:val="21"/>
        </w:rPr>
      </w:pPr>
      <w:r>
        <w:rPr>
          <w:rFonts w:hint="eastAsia" w:hAnsi="宋体"/>
          <w:kern w:val="2"/>
          <w:sz w:val="21"/>
          <w:szCs w:val="21"/>
        </w:rPr>
        <w:t>（四）报价人须同时具备①电力工程施工总承包三级（或以上）或者输变电工程专业承包三级（或以上）资质；②《承装（修、试）电力设施许可证》承装类及承试类五级或以上许可（必须在有效期内）；</w:t>
      </w:r>
    </w:p>
    <w:p>
      <w:pPr>
        <w:widowControl/>
        <w:adjustRightInd/>
        <w:spacing w:line="360" w:lineRule="auto"/>
        <w:ind w:firstLine="478"/>
        <w:rPr>
          <w:rFonts w:hAnsi="宋体"/>
          <w:kern w:val="2"/>
          <w:sz w:val="21"/>
          <w:szCs w:val="21"/>
        </w:rPr>
      </w:pPr>
      <w:r>
        <w:rPr>
          <w:rFonts w:hint="eastAsia" w:hAnsi="宋体"/>
          <w:kern w:val="2"/>
          <w:sz w:val="21"/>
          <w:szCs w:val="21"/>
        </w:rPr>
        <w:t>（五）本项目</w:t>
      </w:r>
      <w:r>
        <w:rPr>
          <w:rFonts w:hint="eastAsia" w:hAnsi="宋体"/>
          <w:b/>
          <w:bCs/>
          <w:kern w:val="2"/>
          <w:sz w:val="21"/>
          <w:szCs w:val="21"/>
        </w:rPr>
        <w:t>不接受</w:t>
      </w:r>
      <w:r>
        <w:rPr>
          <w:rFonts w:hint="eastAsia" w:hAnsi="宋体"/>
          <w:kern w:val="2"/>
          <w:sz w:val="21"/>
          <w:szCs w:val="21"/>
        </w:rPr>
        <w:t>联合体投标。</w:t>
      </w:r>
    </w:p>
    <w:p>
      <w:pPr>
        <w:widowControl/>
        <w:adjustRightInd/>
        <w:spacing w:line="360" w:lineRule="auto"/>
        <w:rPr>
          <w:rFonts w:hAnsi="宋体" w:cs="宋体"/>
          <w:b/>
          <w:bCs/>
          <w:kern w:val="28"/>
          <w:sz w:val="21"/>
          <w:szCs w:val="21"/>
          <w:lang w:val="zh-CN"/>
        </w:rPr>
      </w:pPr>
      <w:r>
        <w:rPr>
          <w:rFonts w:hint="eastAsia" w:hAnsi="宋体" w:cs="宋体"/>
          <w:b/>
          <w:bCs/>
          <w:kern w:val="28"/>
          <w:sz w:val="21"/>
          <w:szCs w:val="21"/>
          <w:lang w:val="zh-CN"/>
        </w:rPr>
        <w:t>三、报名时间、地点及方法：</w:t>
      </w:r>
    </w:p>
    <w:p>
      <w:pPr>
        <w:widowControl/>
        <w:tabs>
          <w:tab w:val="left" w:pos="-360"/>
        </w:tabs>
        <w:adjustRightInd/>
        <w:spacing w:line="360" w:lineRule="auto"/>
        <w:ind w:right="-34" w:firstLine="478" w:firstLineChars="228"/>
        <w:jc w:val="both"/>
        <w:textAlignment w:val="bottom"/>
        <w:rPr>
          <w:rFonts w:hAnsi="宋体"/>
          <w:kern w:val="2"/>
          <w:sz w:val="21"/>
          <w:szCs w:val="21"/>
        </w:rPr>
      </w:pPr>
      <w:r>
        <w:rPr>
          <w:rFonts w:hint="eastAsia" w:hAnsi="宋体"/>
          <w:kern w:val="2"/>
          <w:sz w:val="21"/>
          <w:szCs w:val="21"/>
        </w:rPr>
        <w:t>自行网上下载，下载地址：东莞市公共资源交易网-其他公告栏目（http://dgzb.com.cn/）、中国采购与招标网（http://www.chinabidding.com.cn/）、东莞实业投资控股集团有限公司-招标采购栏目（http://www.dgsy.com.cn/）、广东泰通伟业工程咨询有限公司官网-招标采购栏目（http://www.weiyecoltd.com/）。</w:t>
      </w:r>
    </w:p>
    <w:p>
      <w:pPr>
        <w:widowControl/>
        <w:tabs>
          <w:tab w:val="left" w:pos="-360"/>
        </w:tabs>
        <w:adjustRightInd/>
        <w:spacing w:line="360" w:lineRule="auto"/>
        <w:ind w:right="-34"/>
        <w:jc w:val="both"/>
        <w:textAlignment w:val="bottom"/>
        <w:rPr>
          <w:rFonts w:hAnsi="宋体"/>
          <w:b/>
          <w:bCs/>
          <w:sz w:val="21"/>
          <w:szCs w:val="21"/>
        </w:rPr>
      </w:pPr>
      <w:r>
        <w:rPr>
          <w:rFonts w:hint="eastAsia" w:hAnsi="宋体"/>
          <w:b/>
          <w:bCs/>
          <w:sz w:val="21"/>
          <w:szCs w:val="21"/>
        </w:rPr>
        <w:t>四、报价文件递交截止时间：2021年</w:t>
      </w:r>
      <w:r>
        <w:rPr>
          <w:rFonts w:hint="eastAsia" w:hAnsi="宋体"/>
          <w:b/>
          <w:bCs/>
          <w:sz w:val="21"/>
          <w:szCs w:val="21"/>
          <w:u w:val="single"/>
        </w:rPr>
        <w:t xml:space="preserve"> </w:t>
      </w:r>
      <w:r>
        <w:rPr>
          <w:rFonts w:hint="eastAsia" w:hAnsi="宋体"/>
          <w:b/>
          <w:bCs/>
          <w:sz w:val="21"/>
          <w:szCs w:val="21"/>
          <w:u w:val="single"/>
          <w:lang w:val="en-US" w:eastAsia="zh-CN"/>
        </w:rPr>
        <w:t>6</w:t>
      </w:r>
      <w:r>
        <w:rPr>
          <w:rFonts w:hint="eastAsia" w:hAnsi="宋体"/>
          <w:b/>
          <w:bCs/>
          <w:sz w:val="21"/>
          <w:szCs w:val="21"/>
          <w:u w:val="single"/>
        </w:rPr>
        <w:t xml:space="preserve"> </w:t>
      </w:r>
      <w:r>
        <w:rPr>
          <w:rFonts w:hint="eastAsia" w:hAnsi="宋体"/>
          <w:b/>
          <w:bCs/>
          <w:sz w:val="21"/>
          <w:szCs w:val="21"/>
        </w:rPr>
        <w:t>月</w:t>
      </w:r>
      <w:r>
        <w:rPr>
          <w:rFonts w:hint="eastAsia" w:hAnsi="宋体"/>
          <w:b/>
          <w:bCs/>
          <w:sz w:val="21"/>
          <w:szCs w:val="21"/>
          <w:u w:val="single"/>
        </w:rPr>
        <w:t xml:space="preserve"> </w:t>
      </w:r>
      <w:r>
        <w:rPr>
          <w:rFonts w:hint="eastAsia" w:hAnsi="宋体"/>
          <w:b/>
          <w:bCs/>
          <w:sz w:val="21"/>
          <w:szCs w:val="21"/>
          <w:u w:val="single"/>
          <w:lang w:val="en-US" w:eastAsia="zh-CN"/>
        </w:rPr>
        <w:t>2</w:t>
      </w:r>
      <w:r>
        <w:rPr>
          <w:rFonts w:hint="eastAsia" w:hAnsi="宋体"/>
          <w:b/>
          <w:bCs/>
          <w:sz w:val="21"/>
          <w:szCs w:val="21"/>
          <w:u w:val="single"/>
        </w:rPr>
        <w:t xml:space="preserve">  </w:t>
      </w:r>
      <w:r>
        <w:rPr>
          <w:rFonts w:hint="eastAsia" w:hAnsi="宋体"/>
          <w:b/>
          <w:bCs/>
          <w:sz w:val="21"/>
          <w:szCs w:val="21"/>
        </w:rPr>
        <w:t>日</w:t>
      </w:r>
      <w:r>
        <w:rPr>
          <w:rFonts w:hint="eastAsia" w:hAnsi="宋体"/>
          <w:b/>
          <w:bCs/>
          <w:sz w:val="21"/>
          <w:szCs w:val="21"/>
          <w:lang w:eastAsia="zh-CN"/>
        </w:rPr>
        <w:t>上</w:t>
      </w:r>
      <w:r>
        <w:rPr>
          <w:rFonts w:hint="eastAsia" w:hAnsi="宋体"/>
          <w:b/>
          <w:bCs/>
          <w:sz w:val="21"/>
          <w:szCs w:val="21"/>
        </w:rPr>
        <w:t>午</w:t>
      </w:r>
      <w:r>
        <w:rPr>
          <w:rFonts w:hint="eastAsia" w:hAnsi="宋体"/>
          <w:b/>
          <w:bCs/>
          <w:sz w:val="21"/>
          <w:szCs w:val="21"/>
          <w:lang w:val="en-US" w:eastAsia="zh-CN"/>
        </w:rPr>
        <w:t>9:30</w:t>
      </w:r>
      <w:r>
        <w:rPr>
          <w:rFonts w:hint="eastAsia" w:hAnsi="宋体"/>
          <w:b/>
          <w:bCs/>
          <w:sz w:val="21"/>
          <w:szCs w:val="21"/>
        </w:rPr>
        <w:t>时（北京时间）</w:t>
      </w:r>
    </w:p>
    <w:p>
      <w:pPr>
        <w:widowControl/>
        <w:tabs>
          <w:tab w:val="left" w:pos="-360"/>
        </w:tabs>
        <w:adjustRightInd/>
        <w:spacing w:line="360" w:lineRule="auto"/>
        <w:ind w:right="-34"/>
        <w:jc w:val="both"/>
        <w:textAlignment w:val="bottom"/>
        <w:rPr>
          <w:rFonts w:hAnsi="宋体"/>
          <w:sz w:val="21"/>
          <w:szCs w:val="21"/>
        </w:rPr>
      </w:pPr>
      <w:r>
        <w:rPr>
          <w:rFonts w:hint="eastAsia" w:hAnsi="宋体"/>
          <w:sz w:val="21"/>
          <w:szCs w:val="21"/>
        </w:rPr>
        <w:t xml:space="preserve">   [报价文件递交开始时间：2021年</w:t>
      </w:r>
      <w:r>
        <w:rPr>
          <w:rFonts w:hint="eastAsia" w:hAnsi="宋体"/>
          <w:sz w:val="21"/>
          <w:szCs w:val="21"/>
          <w:u w:val="single"/>
        </w:rPr>
        <w:t xml:space="preserve"> </w:t>
      </w:r>
      <w:r>
        <w:rPr>
          <w:rFonts w:hint="eastAsia" w:hAnsi="宋体"/>
          <w:sz w:val="21"/>
          <w:szCs w:val="21"/>
          <w:u w:val="single"/>
          <w:lang w:val="en-US" w:eastAsia="zh-CN"/>
        </w:rPr>
        <w:t>6</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2</w:t>
      </w:r>
      <w:r>
        <w:rPr>
          <w:rFonts w:hint="eastAsia" w:hAnsi="宋体"/>
          <w:sz w:val="21"/>
          <w:szCs w:val="21"/>
          <w:u w:val="single"/>
        </w:rPr>
        <w:t xml:space="preserve"> </w:t>
      </w:r>
      <w:r>
        <w:rPr>
          <w:rFonts w:hint="eastAsia" w:hAnsi="宋体"/>
          <w:sz w:val="21"/>
          <w:szCs w:val="21"/>
        </w:rPr>
        <w:t>日</w:t>
      </w:r>
      <w:r>
        <w:rPr>
          <w:rFonts w:hint="eastAsia" w:hAnsi="宋体"/>
          <w:sz w:val="21"/>
          <w:szCs w:val="21"/>
          <w:lang w:eastAsia="zh-CN"/>
        </w:rPr>
        <w:t>上</w:t>
      </w:r>
      <w:r>
        <w:rPr>
          <w:rFonts w:hint="eastAsia" w:hAnsi="宋体"/>
          <w:sz w:val="21"/>
          <w:szCs w:val="21"/>
        </w:rPr>
        <w:t>午</w:t>
      </w:r>
      <w:r>
        <w:rPr>
          <w:rFonts w:hint="eastAsia" w:hAnsi="宋体"/>
          <w:sz w:val="21"/>
          <w:szCs w:val="21"/>
          <w:lang w:val="en-US" w:eastAsia="zh-CN"/>
        </w:rPr>
        <w:t>9:00</w:t>
      </w:r>
      <w:r>
        <w:rPr>
          <w:rFonts w:hint="eastAsia" w:hAnsi="宋体"/>
          <w:sz w:val="21"/>
          <w:szCs w:val="21"/>
        </w:rPr>
        <w:t>时（北京时间）]</w:t>
      </w:r>
    </w:p>
    <w:p>
      <w:pPr>
        <w:widowControl/>
        <w:tabs>
          <w:tab w:val="left" w:pos="-360"/>
        </w:tabs>
        <w:adjustRightInd/>
        <w:spacing w:line="360" w:lineRule="auto"/>
        <w:ind w:right="-34"/>
        <w:jc w:val="both"/>
        <w:textAlignment w:val="bottom"/>
        <w:rPr>
          <w:rFonts w:hAnsi="宋体"/>
          <w:b/>
          <w:bCs/>
          <w:sz w:val="21"/>
          <w:szCs w:val="21"/>
        </w:rPr>
      </w:pPr>
      <w:r>
        <w:rPr>
          <w:rFonts w:hint="eastAsia" w:hAnsi="宋体"/>
          <w:b/>
          <w:bCs/>
          <w:sz w:val="21"/>
          <w:szCs w:val="21"/>
        </w:rPr>
        <w:t>五、开标时间、地点及事宜：</w:t>
      </w:r>
    </w:p>
    <w:p>
      <w:pPr>
        <w:widowControl/>
        <w:numPr>
          <w:ilvl w:val="0"/>
          <w:numId w:val="11"/>
        </w:numPr>
        <w:tabs>
          <w:tab w:val="left" w:pos="-360"/>
        </w:tabs>
        <w:adjustRightInd/>
        <w:spacing w:line="360" w:lineRule="auto"/>
        <w:ind w:right="-34" w:firstLine="420" w:firstLineChars="200"/>
        <w:jc w:val="both"/>
        <w:textAlignment w:val="bottom"/>
        <w:rPr>
          <w:rFonts w:hAnsi="宋体"/>
          <w:sz w:val="21"/>
          <w:szCs w:val="21"/>
        </w:rPr>
      </w:pPr>
      <w:r>
        <w:rPr>
          <w:rFonts w:hint="eastAsia" w:hAnsi="宋体"/>
          <w:kern w:val="2"/>
          <w:sz w:val="21"/>
          <w:szCs w:val="21"/>
        </w:rPr>
        <w:t>开标时间：</w:t>
      </w:r>
      <w:r>
        <w:rPr>
          <w:rFonts w:hint="eastAsia" w:hAnsi="宋体"/>
          <w:sz w:val="21"/>
          <w:szCs w:val="21"/>
        </w:rPr>
        <w:t>2021年</w:t>
      </w:r>
      <w:r>
        <w:rPr>
          <w:rFonts w:hint="eastAsia" w:hAnsi="宋体"/>
          <w:sz w:val="21"/>
          <w:szCs w:val="21"/>
          <w:u w:val="single"/>
        </w:rPr>
        <w:t xml:space="preserve"> </w:t>
      </w:r>
      <w:r>
        <w:rPr>
          <w:rFonts w:hint="eastAsia" w:hAnsi="宋体"/>
          <w:sz w:val="21"/>
          <w:szCs w:val="21"/>
          <w:u w:val="single"/>
          <w:lang w:val="en-US" w:eastAsia="zh-CN"/>
        </w:rPr>
        <w:t>6</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u w:val="single"/>
          <w:lang w:val="en-US" w:eastAsia="zh-CN"/>
        </w:rPr>
        <w:t>2</w:t>
      </w:r>
      <w:r>
        <w:rPr>
          <w:rFonts w:hint="eastAsia" w:hAnsi="宋体"/>
          <w:sz w:val="21"/>
          <w:szCs w:val="21"/>
          <w:u w:val="single"/>
        </w:rPr>
        <w:t xml:space="preserve"> </w:t>
      </w:r>
      <w:r>
        <w:rPr>
          <w:rFonts w:hint="eastAsia" w:hAnsi="宋体"/>
          <w:sz w:val="21"/>
          <w:szCs w:val="21"/>
        </w:rPr>
        <w:t>日</w:t>
      </w:r>
      <w:r>
        <w:rPr>
          <w:rFonts w:hint="eastAsia" w:hAnsi="宋体"/>
          <w:sz w:val="21"/>
          <w:szCs w:val="21"/>
          <w:lang w:eastAsia="zh-CN"/>
        </w:rPr>
        <w:t>上</w:t>
      </w:r>
      <w:r>
        <w:rPr>
          <w:rFonts w:hint="eastAsia" w:hAnsi="宋体"/>
          <w:sz w:val="21"/>
          <w:szCs w:val="21"/>
        </w:rPr>
        <w:t>午</w:t>
      </w:r>
      <w:r>
        <w:rPr>
          <w:rFonts w:hint="eastAsia" w:hAnsi="宋体"/>
          <w:sz w:val="21"/>
          <w:szCs w:val="21"/>
          <w:lang w:val="en-US" w:eastAsia="zh-CN"/>
        </w:rPr>
        <w:t>9:30</w:t>
      </w:r>
      <w:r>
        <w:rPr>
          <w:rFonts w:hint="eastAsia" w:hAnsi="宋体"/>
          <w:sz w:val="21"/>
          <w:szCs w:val="21"/>
        </w:rPr>
        <w:t>时（北京时间）</w:t>
      </w:r>
    </w:p>
    <w:p>
      <w:pPr>
        <w:widowControl/>
        <w:numPr>
          <w:ilvl w:val="0"/>
          <w:numId w:val="11"/>
        </w:numPr>
        <w:tabs>
          <w:tab w:val="left" w:pos="-360"/>
        </w:tabs>
        <w:adjustRightInd/>
        <w:spacing w:line="360" w:lineRule="auto"/>
        <w:ind w:right="-34" w:firstLine="420" w:firstLineChars="200"/>
        <w:jc w:val="both"/>
        <w:textAlignment w:val="bottom"/>
        <w:rPr>
          <w:rFonts w:hAnsi="宋体"/>
          <w:sz w:val="21"/>
          <w:szCs w:val="21"/>
        </w:rPr>
      </w:pPr>
      <w:r>
        <w:rPr>
          <w:rFonts w:hint="eastAsia" w:hAnsi="宋体"/>
          <w:sz w:val="21"/>
          <w:szCs w:val="21"/>
        </w:rPr>
        <w:t>开标地点：东莞市东城莞龙路下桥银门街一号办公楼六楼618室</w:t>
      </w:r>
    </w:p>
    <w:p>
      <w:pPr>
        <w:widowControl/>
        <w:tabs>
          <w:tab w:val="left" w:pos="-360"/>
        </w:tabs>
        <w:adjustRightInd/>
        <w:spacing w:line="360" w:lineRule="auto"/>
        <w:ind w:right="-34"/>
        <w:jc w:val="both"/>
        <w:textAlignment w:val="bottom"/>
        <w:rPr>
          <w:rFonts w:hAnsi="宋体"/>
          <w:b/>
          <w:sz w:val="21"/>
          <w:szCs w:val="21"/>
        </w:rPr>
      </w:pPr>
      <w:bookmarkStart w:id="3" w:name="_Toc396137230"/>
      <w:r>
        <w:rPr>
          <w:rFonts w:hint="eastAsia" w:hAnsi="宋体"/>
          <w:b/>
          <w:sz w:val="21"/>
          <w:szCs w:val="21"/>
        </w:rPr>
        <w:t>六、</w:t>
      </w:r>
      <w:r>
        <w:rPr>
          <w:rFonts w:hAnsi="宋体"/>
          <w:b/>
          <w:sz w:val="21"/>
          <w:szCs w:val="21"/>
        </w:rPr>
        <w:t>有关此次</w:t>
      </w:r>
      <w:r>
        <w:rPr>
          <w:rFonts w:hint="eastAsia" w:hAnsi="宋体"/>
          <w:b/>
          <w:sz w:val="21"/>
          <w:szCs w:val="21"/>
        </w:rPr>
        <w:t>招标</w:t>
      </w:r>
      <w:r>
        <w:rPr>
          <w:rFonts w:hAnsi="宋体"/>
          <w:b/>
          <w:sz w:val="21"/>
          <w:szCs w:val="21"/>
        </w:rPr>
        <w:t>事宜，可按下列地址以书面或传真的形式向</w:t>
      </w:r>
      <w:r>
        <w:rPr>
          <w:rFonts w:hint="eastAsia" w:hAnsi="宋体"/>
          <w:b/>
          <w:sz w:val="21"/>
          <w:szCs w:val="21"/>
        </w:rPr>
        <w:t>招标代理机构或招标人</w:t>
      </w:r>
      <w:r>
        <w:rPr>
          <w:rFonts w:hAnsi="宋体"/>
          <w:b/>
          <w:sz w:val="21"/>
          <w:szCs w:val="21"/>
        </w:rPr>
        <w:t>查询：</w:t>
      </w:r>
    </w:p>
    <w:p>
      <w:pPr>
        <w:spacing w:line="360" w:lineRule="auto"/>
        <w:ind w:right="-34" w:firstLine="424" w:firstLineChars="202"/>
        <w:jc w:val="both"/>
        <w:rPr>
          <w:rFonts w:hAnsi="宋体"/>
          <w:sz w:val="21"/>
          <w:szCs w:val="21"/>
        </w:rPr>
      </w:pPr>
      <w:r>
        <w:rPr>
          <w:rFonts w:hint="eastAsia" w:hAnsi="宋体"/>
          <w:sz w:val="21"/>
          <w:szCs w:val="21"/>
        </w:rPr>
        <w:t>招标代理机构：</w:t>
      </w:r>
      <w:r>
        <w:rPr>
          <w:rFonts w:hAnsi="宋体"/>
          <w:sz w:val="21"/>
          <w:szCs w:val="21"/>
        </w:rPr>
        <w:t>广东泰通伟业工程咨询有限公司</w:t>
      </w:r>
    </w:p>
    <w:p>
      <w:pPr>
        <w:spacing w:line="360" w:lineRule="auto"/>
        <w:ind w:right="-34" w:firstLine="424" w:firstLineChars="202"/>
        <w:jc w:val="both"/>
        <w:rPr>
          <w:rFonts w:hAnsi="宋体"/>
          <w:sz w:val="21"/>
          <w:szCs w:val="21"/>
        </w:rPr>
      </w:pPr>
      <w:r>
        <w:rPr>
          <w:rFonts w:hAnsi="宋体"/>
          <w:sz w:val="21"/>
          <w:szCs w:val="21"/>
        </w:rPr>
        <w:t>地    址：</w:t>
      </w:r>
      <w:r>
        <w:rPr>
          <w:rFonts w:hint="eastAsia" w:hAnsi="宋体"/>
          <w:sz w:val="21"/>
          <w:szCs w:val="21"/>
        </w:rPr>
        <w:t>东莞市东城莞龙路下桥银门街一号办公楼六楼606室招标采购部</w:t>
      </w:r>
    </w:p>
    <w:p>
      <w:pPr>
        <w:spacing w:line="360" w:lineRule="auto"/>
        <w:ind w:right="-34" w:firstLine="424" w:firstLineChars="202"/>
        <w:jc w:val="both"/>
        <w:rPr>
          <w:rFonts w:hAnsi="宋体"/>
          <w:sz w:val="21"/>
          <w:szCs w:val="21"/>
        </w:rPr>
      </w:pPr>
      <w:r>
        <w:rPr>
          <w:rFonts w:hint="eastAsia" w:hAnsi="宋体"/>
          <w:sz w:val="21"/>
          <w:szCs w:val="21"/>
        </w:rPr>
        <w:t>报名联系人：谭先生</w:t>
      </w:r>
    </w:p>
    <w:p>
      <w:pPr>
        <w:spacing w:line="360" w:lineRule="auto"/>
        <w:ind w:right="-34" w:firstLine="424" w:firstLineChars="202"/>
        <w:jc w:val="both"/>
        <w:rPr>
          <w:rFonts w:hAnsi="宋体"/>
          <w:sz w:val="21"/>
          <w:szCs w:val="21"/>
        </w:rPr>
      </w:pPr>
      <w:r>
        <w:rPr>
          <w:rFonts w:hint="eastAsia" w:hAnsi="宋体"/>
          <w:sz w:val="21"/>
          <w:szCs w:val="21"/>
        </w:rPr>
        <w:t>项目</w:t>
      </w:r>
      <w:r>
        <w:rPr>
          <w:rFonts w:hAnsi="宋体"/>
          <w:sz w:val="21"/>
          <w:szCs w:val="21"/>
        </w:rPr>
        <w:t>联系人:</w:t>
      </w:r>
      <w:r>
        <w:rPr>
          <w:rFonts w:hint="eastAsia" w:hAnsi="宋体"/>
          <w:sz w:val="21"/>
          <w:szCs w:val="21"/>
        </w:rPr>
        <w:t xml:space="preserve"> 罗小姐</w:t>
      </w:r>
    </w:p>
    <w:p>
      <w:pPr>
        <w:spacing w:line="360" w:lineRule="auto"/>
        <w:ind w:right="-34" w:firstLine="424" w:firstLineChars="202"/>
        <w:jc w:val="both"/>
        <w:rPr>
          <w:rFonts w:hAnsi="宋体"/>
          <w:sz w:val="21"/>
          <w:szCs w:val="21"/>
        </w:rPr>
      </w:pPr>
      <w:r>
        <w:rPr>
          <w:rFonts w:hAnsi="宋体"/>
          <w:sz w:val="21"/>
          <w:szCs w:val="21"/>
        </w:rPr>
        <w:t>电    话：0769</w:t>
      </w:r>
      <w:r>
        <w:rPr>
          <w:rFonts w:hint="eastAsia" w:hAnsi="宋体"/>
          <w:sz w:val="21"/>
          <w:szCs w:val="21"/>
        </w:rPr>
        <w:t>-22088829</w:t>
      </w:r>
    </w:p>
    <w:p>
      <w:pPr>
        <w:spacing w:line="360" w:lineRule="auto"/>
        <w:ind w:right="-34" w:firstLine="424" w:firstLineChars="202"/>
        <w:jc w:val="both"/>
        <w:rPr>
          <w:rFonts w:hAnsi="宋体"/>
          <w:sz w:val="21"/>
          <w:szCs w:val="21"/>
        </w:rPr>
      </w:pPr>
      <w:r>
        <w:rPr>
          <w:rFonts w:hint="eastAsia" w:hAnsi="宋体"/>
          <w:sz w:val="21"/>
          <w:szCs w:val="21"/>
        </w:rPr>
        <w:t>邮    箱</w:t>
      </w:r>
      <w:r>
        <w:rPr>
          <w:rFonts w:hAnsi="宋体"/>
          <w:sz w:val="21"/>
          <w:szCs w:val="21"/>
        </w:rPr>
        <w:t>：</w:t>
      </w:r>
      <w:r>
        <w:rPr>
          <w:rFonts w:hint="eastAsia" w:hAnsi="宋体"/>
          <w:sz w:val="21"/>
          <w:szCs w:val="21"/>
        </w:rPr>
        <w:t>WYZFCG@126.com</w:t>
      </w:r>
    </w:p>
    <w:p>
      <w:pPr>
        <w:spacing w:line="360" w:lineRule="auto"/>
        <w:ind w:right="-34" w:firstLine="424" w:firstLineChars="202"/>
        <w:jc w:val="both"/>
        <w:rPr>
          <w:rFonts w:hAnsi="宋体"/>
          <w:sz w:val="21"/>
          <w:szCs w:val="21"/>
        </w:rPr>
      </w:pPr>
      <w:r>
        <w:rPr>
          <w:rFonts w:hint="eastAsia" w:hAnsi="宋体"/>
          <w:sz w:val="21"/>
          <w:szCs w:val="21"/>
        </w:rPr>
        <w:t>采 购 人：东莞市东实旗云投资有限公司</w:t>
      </w:r>
    </w:p>
    <w:p>
      <w:pPr>
        <w:spacing w:line="360" w:lineRule="auto"/>
        <w:ind w:right="-34" w:firstLine="424" w:firstLineChars="202"/>
        <w:jc w:val="both"/>
        <w:rPr>
          <w:rFonts w:hAnsi="宋体"/>
          <w:sz w:val="21"/>
          <w:szCs w:val="21"/>
        </w:rPr>
      </w:pPr>
      <w:r>
        <w:rPr>
          <w:rFonts w:hAnsi="宋体"/>
          <w:sz w:val="21"/>
          <w:szCs w:val="21"/>
        </w:rPr>
        <w:t>地    址：</w:t>
      </w:r>
      <w:r>
        <w:rPr>
          <w:rFonts w:hint="eastAsia" w:hAnsi="宋体"/>
          <w:sz w:val="21"/>
          <w:szCs w:val="21"/>
        </w:rPr>
        <w:t>东莞市东城区八一路机关二号大院9号楼</w:t>
      </w:r>
    </w:p>
    <w:p>
      <w:pPr>
        <w:spacing w:line="360" w:lineRule="auto"/>
        <w:ind w:right="-34" w:firstLine="424" w:firstLineChars="202"/>
        <w:jc w:val="both"/>
        <w:rPr>
          <w:rFonts w:hint="eastAsia" w:hAnsi="宋体" w:eastAsia="宋体"/>
          <w:sz w:val="21"/>
          <w:szCs w:val="21"/>
          <w:lang w:eastAsia="zh-CN"/>
        </w:rPr>
      </w:pPr>
      <w:r>
        <w:rPr>
          <w:rFonts w:hAnsi="宋体"/>
          <w:sz w:val="21"/>
          <w:szCs w:val="21"/>
        </w:rPr>
        <w:t>联 系 人:</w:t>
      </w:r>
      <w:r>
        <w:rPr>
          <w:rFonts w:hint="eastAsia" w:hAnsi="宋体"/>
          <w:sz w:val="21"/>
          <w:szCs w:val="21"/>
        </w:rPr>
        <w:t xml:space="preserve"> </w:t>
      </w:r>
      <w:r>
        <w:rPr>
          <w:rFonts w:hint="eastAsia" w:hAnsi="宋体"/>
          <w:sz w:val="21"/>
          <w:szCs w:val="21"/>
          <w:lang w:eastAsia="zh-CN"/>
        </w:rPr>
        <w:t>林工</w:t>
      </w:r>
    </w:p>
    <w:p>
      <w:pPr>
        <w:spacing w:line="360" w:lineRule="auto"/>
        <w:ind w:right="-34" w:firstLine="424" w:firstLineChars="202"/>
        <w:jc w:val="both"/>
        <w:rPr>
          <w:rFonts w:hAnsi="宋体"/>
          <w:sz w:val="21"/>
          <w:szCs w:val="21"/>
        </w:rPr>
      </w:pPr>
      <w:r>
        <w:rPr>
          <w:rFonts w:hAnsi="宋体"/>
          <w:sz w:val="21"/>
          <w:szCs w:val="21"/>
        </w:rPr>
        <w:t>电    话：</w:t>
      </w:r>
      <w:r>
        <w:rPr>
          <w:rFonts w:hint="eastAsia" w:hAnsi="宋体"/>
          <w:sz w:val="21"/>
          <w:szCs w:val="21"/>
        </w:rPr>
        <w:t>0769-28681293</w:t>
      </w:r>
    </w:p>
    <w:p>
      <w:pPr>
        <w:pStyle w:val="3"/>
        <w:keepNext/>
        <w:keepLines/>
        <w:pageBreakBefore/>
        <w:numPr>
          <w:ilvl w:val="0"/>
          <w:numId w:val="8"/>
        </w:numPr>
        <w:tabs>
          <w:tab w:val="left" w:pos="1080"/>
        </w:tabs>
        <w:spacing w:line="360" w:lineRule="auto"/>
        <w:ind w:left="1262" w:hanging="1262" w:hangingChars="449"/>
        <w:jc w:val="center"/>
        <w:rPr>
          <w:rFonts w:hAnsi="宋体"/>
          <w:b/>
          <w:bCs/>
          <w:kern w:val="44"/>
          <w:sz w:val="28"/>
          <w:szCs w:val="28"/>
          <w:lang w:val="zh-CN"/>
        </w:rPr>
      </w:pPr>
      <w:r>
        <w:rPr>
          <w:rFonts w:hint="eastAsia" w:hAnsi="宋体"/>
          <w:b/>
          <w:bCs/>
          <w:kern w:val="44"/>
          <w:sz w:val="28"/>
          <w:szCs w:val="28"/>
        </w:rPr>
        <w:t xml:space="preserve"> </w:t>
      </w:r>
      <w:bookmarkStart w:id="4" w:name="_Toc31314"/>
      <w:r>
        <w:rPr>
          <w:rFonts w:hint="eastAsia" w:hAnsi="宋体"/>
          <w:b/>
          <w:bCs/>
          <w:kern w:val="44"/>
          <w:sz w:val="28"/>
          <w:szCs w:val="28"/>
          <w:lang w:val="zh-CN"/>
        </w:rPr>
        <w:t>报价人须知</w:t>
      </w:r>
      <w:bookmarkEnd w:id="3"/>
      <w:bookmarkEnd w:id="4"/>
    </w:p>
    <w:p>
      <w:pPr>
        <w:spacing w:line="360" w:lineRule="auto"/>
        <w:jc w:val="center"/>
        <w:rPr>
          <w:rFonts w:hAnsi="宋体"/>
          <w:b/>
          <w:sz w:val="28"/>
          <w:szCs w:val="28"/>
        </w:rPr>
      </w:pPr>
      <w:r>
        <w:rPr>
          <w:rFonts w:hint="eastAsia" w:hAnsi="宋体"/>
          <w:b/>
          <w:sz w:val="28"/>
          <w:szCs w:val="28"/>
        </w:rPr>
        <w:t>报价须知前附表</w:t>
      </w:r>
    </w:p>
    <w:tbl>
      <w:tblPr>
        <w:tblStyle w:val="4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17"/>
        <w:gridCol w:w="673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序号</w:t>
            </w:r>
          </w:p>
        </w:tc>
        <w:tc>
          <w:tcPr>
            <w:tcW w:w="1917" w:type="dxa"/>
            <w:tcBorders>
              <w:top w:val="double" w:color="auto" w:sz="4" w:space="0"/>
              <w:left w:val="sing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内容</w:t>
            </w:r>
          </w:p>
        </w:tc>
        <w:tc>
          <w:tcPr>
            <w:tcW w:w="6736" w:type="dxa"/>
            <w:tcBorders>
              <w:top w:val="double" w:color="auto" w:sz="4" w:space="0"/>
              <w:left w:val="single" w:color="auto" w:sz="4" w:space="0"/>
              <w:bottom w:val="single" w:color="auto" w:sz="4" w:space="0"/>
              <w:right w:val="double" w:color="auto" w:sz="4" w:space="0"/>
            </w:tcBorders>
            <w:vAlign w:val="center"/>
          </w:tcPr>
          <w:p>
            <w:pPr>
              <w:spacing w:line="360" w:lineRule="auto"/>
              <w:jc w:val="center"/>
              <w:rPr>
                <w:rFonts w:hAnsi="宋体"/>
                <w:sz w:val="21"/>
                <w:szCs w:val="21"/>
              </w:rPr>
            </w:pPr>
            <w:r>
              <w:rPr>
                <w:rFonts w:hint="eastAsia" w:hAnsi="宋体"/>
                <w:sz w:val="21"/>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1</w:t>
            </w:r>
          </w:p>
        </w:tc>
        <w:tc>
          <w:tcPr>
            <w:tcW w:w="1917" w:type="dxa"/>
            <w:tcBorders>
              <w:top w:val="single" w:color="auto" w:sz="4" w:space="0"/>
              <w:left w:val="single" w:color="auto" w:sz="4" w:space="0"/>
              <w:bottom w:val="single" w:color="auto" w:sz="4" w:space="0"/>
              <w:right w:val="single" w:color="auto" w:sz="4" w:space="0"/>
            </w:tcBorders>
          </w:tcPr>
          <w:p>
            <w:pPr>
              <w:spacing w:line="360" w:lineRule="auto"/>
              <w:jc w:val="both"/>
              <w:rPr>
                <w:rFonts w:hAnsi="宋体"/>
                <w:sz w:val="21"/>
                <w:szCs w:val="21"/>
              </w:rPr>
            </w:pPr>
            <w:r>
              <w:rPr>
                <w:rFonts w:hint="eastAsia" w:hAnsi="宋体"/>
                <w:sz w:val="21"/>
                <w:szCs w:val="21"/>
              </w:rPr>
              <w:t>资金来源</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sz w:val="21"/>
                <w:szCs w:val="21"/>
              </w:rPr>
            </w:pPr>
            <w:r>
              <w:rPr>
                <w:rFonts w:hint="eastAsia" w:hAnsi="宋体"/>
                <w:sz w:val="21"/>
                <w:szCs w:val="21"/>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55" w:type="dxa"/>
            <w:vMerge w:val="restart"/>
            <w:tcBorders>
              <w:top w:val="single" w:color="auto" w:sz="4" w:space="0"/>
              <w:left w:val="doub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2</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sz w:val="21"/>
                <w:szCs w:val="21"/>
              </w:rPr>
              <w:t>合格的报价人</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sz w:val="21"/>
                <w:szCs w:val="21"/>
                <w:u w:val="single"/>
              </w:rPr>
            </w:pPr>
            <w:r>
              <w:rPr>
                <w:rFonts w:hint="eastAsia" w:hAnsi="宋体"/>
                <w:sz w:val="21"/>
                <w:szCs w:val="21"/>
                <w:lang w:val="zh-CN"/>
              </w:rPr>
              <w:t>具体要求见本招标文件第一篇谈判邀请函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655" w:type="dxa"/>
            <w:vMerge w:val="continue"/>
            <w:tcBorders>
              <w:left w:val="double" w:color="auto" w:sz="4" w:space="0"/>
              <w:right w:val="single" w:color="auto" w:sz="4" w:space="0"/>
            </w:tcBorders>
            <w:vAlign w:val="center"/>
          </w:tcPr>
          <w:p>
            <w:pPr>
              <w:spacing w:line="360" w:lineRule="auto"/>
              <w:ind w:left="125"/>
              <w:jc w:val="center"/>
              <w:rPr>
                <w:rFonts w:hAnsi="宋体"/>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sz w:val="21"/>
                <w:szCs w:val="21"/>
              </w:rPr>
              <w:t>关于联合体报价</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ind w:right="-223" w:rightChars="-93"/>
              <w:rPr>
                <w:rFonts w:hAnsi="宋体"/>
                <w:sz w:val="21"/>
                <w:szCs w:val="21"/>
                <w:lang w:val="zh-CN"/>
              </w:rPr>
            </w:pPr>
            <w:r>
              <w:rPr>
                <w:rFonts w:hint="eastAsia" w:hAnsi="宋体"/>
                <w:sz w:val="21"/>
                <w:szCs w:val="21"/>
                <w:lang w:val="zh-CN"/>
              </w:rPr>
              <w:t>本项目</w:t>
            </w:r>
            <w:r>
              <w:rPr>
                <w:rFonts w:hint="eastAsia" w:hAnsi="宋体"/>
                <w:b/>
                <w:bCs/>
                <w:sz w:val="21"/>
                <w:szCs w:val="21"/>
                <w:u w:val="single"/>
                <w:lang w:val="zh-CN"/>
              </w:rPr>
              <w:t>不允许</w:t>
            </w:r>
            <w:r>
              <w:rPr>
                <w:rFonts w:hint="eastAsia" w:hAnsi="宋体"/>
                <w:sz w:val="21"/>
                <w:szCs w:val="21"/>
                <w:lang w:val="zh-CN"/>
              </w:rPr>
              <w:t>联合体报价。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3</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ind w:right="-43" w:rightChars="-18"/>
              <w:rPr>
                <w:rFonts w:hAnsi="宋体"/>
                <w:sz w:val="21"/>
                <w:szCs w:val="21"/>
              </w:rPr>
            </w:pPr>
            <w:r>
              <w:rPr>
                <w:rFonts w:hint="eastAsia" w:hAnsi="宋体"/>
                <w:bCs/>
                <w:sz w:val="21"/>
                <w:szCs w:val="21"/>
              </w:rPr>
              <w:t>谈判结果公告媒体</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sz w:val="21"/>
                <w:szCs w:val="21"/>
              </w:rPr>
            </w:pPr>
            <w:r>
              <w:rPr>
                <w:rFonts w:hint="eastAsia" w:hAnsi="宋体"/>
                <w:kern w:val="2"/>
                <w:sz w:val="21"/>
                <w:szCs w:val="21"/>
                <w:lang w:val="zh-CN"/>
              </w:rPr>
              <w:t>东莞市公共资源交易中心网、东莞实业投资控股集团有限公司网、广东泰通伟业工程咨询有限公司网、中国采购与招标网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4</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sz w:val="21"/>
                <w:szCs w:val="21"/>
              </w:rPr>
              <w:t>报价文件</w:t>
            </w:r>
          </w:p>
        </w:tc>
        <w:tc>
          <w:tcPr>
            <w:tcW w:w="673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sz w:val="21"/>
                <w:szCs w:val="21"/>
              </w:rPr>
            </w:pPr>
            <w:r>
              <w:rPr>
                <w:rFonts w:hint="eastAsia" w:hAnsi="宋体"/>
                <w:sz w:val="21"/>
                <w:szCs w:val="21"/>
              </w:rPr>
              <w:t>1.报价文件（由报价文件、商务文件、技术文件三部分组成；三个部分内容可合编成一本）；</w:t>
            </w:r>
          </w:p>
          <w:p>
            <w:pPr>
              <w:autoSpaceDE/>
              <w:autoSpaceDN/>
              <w:adjustRightInd/>
              <w:spacing w:line="360" w:lineRule="auto"/>
              <w:jc w:val="both"/>
              <w:rPr>
                <w:rFonts w:hAnsi="宋体"/>
                <w:sz w:val="21"/>
                <w:szCs w:val="21"/>
              </w:rPr>
            </w:pPr>
            <w:r>
              <w:rPr>
                <w:rFonts w:hint="eastAsia" w:hAnsi="宋体"/>
                <w:sz w:val="21"/>
                <w:szCs w:val="21"/>
              </w:rPr>
              <w:t>2.唱标信封。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5</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Ansi="宋体"/>
                <w:sz w:val="21"/>
                <w:szCs w:val="21"/>
              </w:rPr>
            </w:pPr>
            <w:r>
              <w:rPr>
                <w:rFonts w:hint="eastAsia" w:hAnsi="宋体"/>
                <w:sz w:val="21"/>
                <w:szCs w:val="21"/>
              </w:rPr>
              <w:t>报价</w:t>
            </w:r>
          </w:p>
        </w:tc>
        <w:tc>
          <w:tcPr>
            <w:tcW w:w="673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b/>
                <w:sz w:val="21"/>
                <w:szCs w:val="21"/>
              </w:rPr>
            </w:pPr>
            <w:r>
              <w:rPr>
                <w:rFonts w:hint="eastAsia" w:hAnsi="宋体"/>
                <w:b/>
                <w:sz w:val="21"/>
                <w:szCs w:val="21"/>
              </w:rPr>
              <w:t>报价超过招标预算金额的报价无效。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6</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sz w:val="21"/>
                <w:szCs w:val="21"/>
              </w:rPr>
              <w:t>报价保证金</w:t>
            </w:r>
          </w:p>
        </w:tc>
        <w:tc>
          <w:tcPr>
            <w:tcW w:w="673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b/>
                <w:sz w:val="21"/>
                <w:szCs w:val="21"/>
              </w:rPr>
            </w:pPr>
            <w:r>
              <w:rPr>
                <w:rFonts w:hint="eastAsia" w:hAnsi="宋体"/>
                <w:b/>
                <w:sz w:val="21"/>
                <w:szCs w:val="21"/>
              </w:rPr>
              <w:t>报价保证金金额：人民币柒万壹仟伍佰捌拾叁元 （¥71,583.00元）。</w:t>
            </w:r>
          </w:p>
          <w:p>
            <w:pPr>
              <w:autoSpaceDE/>
              <w:autoSpaceDN/>
              <w:adjustRightInd/>
              <w:spacing w:line="360" w:lineRule="auto"/>
              <w:jc w:val="both"/>
              <w:rPr>
                <w:rFonts w:hAnsi="宋体"/>
                <w:b/>
                <w:sz w:val="21"/>
                <w:szCs w:val="21"/>
              </w:rPr>
            </w:pPr>
            <w:r>
              <w:rPr>
                <w:rFonts w:hint="eastAsia" w:hAnsi="宋体"/>
                <w:b/>
                <w:sz w:val="21"/>
                <w:szCs w:val="21"/>
              </w:rPr>
              <w:t>提交保证金时应符合下列规定：</w:t>
            </w:r>
          </w:p>
          <w:p>
            <w:pPr>
              <w:tabs>
                <w:tab w:val="left" w:pos="567"/>
              </w:tabs>
              <w:spacing w:line="360" w:lineRule="auto"/>
              <w:ind w:firstLine="420" w:firstLineChars="200"/>
              <w:jc w:val="both"/>
              <w:rPr>
                <w:rFonts w:hAnsi="宋体"/>
                <w:kern w:val="2"/>
                <w:sz w:val="21"/>
                <w:szCs w:val="21"/>
                <w:lang w:val="zh-CN"/>
              </w:rPr>
            </w:pPr>
            <w:r>
              <w:rPr>
                <w:rFonts w:hint="eastAsia" w:hAnsi="宋体"/>
                <w:kern w:val="2"/>
                <w:sz w:val="21"/>
                <w:szCs w:val="21"/>
                <w:lang w:val="zh-CN"/>
              </w:rPr>
              <w:t>报价保证金采用转帐、电汇方式提交，应符合以下要求：采用银行转账、电汇方式提交的，保证金汇入以下报价保证金专用账户，不接收由以报价人分支机构、私人帐户和其他单位转入的保证金。报价保证金必须在报价文件递交截止前到账，报价保证金未按规定时间到达指定账户或提交金额不足的，将被视为无效投标。且在备注或用途中注明本项目的项目编号。</w:t>
            </w:r>
          </w:p>
          <w:p>
            <w:pPr>
              <w:tabs>
                <w:tab w:val="left" w:pos="567"/>
              </w:tabs>
              <w:spacing w:line="360" w:lineRule="auto"/>
              <w:ind w:left="567" w:hanging="567"/>
              <w:jc w:val="both"/>
              <w:rPr>
                <w:rFonts w:hAnsi="宋体"/>
                <w:kern w:val="2"/>
                <w:sz w:val="21"/>
                <w:szCs w:val="21"/>
                <w:lang w:val="zh-CN"/>
              </w:rPr>
            </w:pPr>
            <w:r>
              <w:rPr>
                <w:rFonts w:hint="eastAsia" w:hAnsi="宋体"/>
                <w:kern w:val="2"/>
                <w:sz w:val="21"/>
                <w:szCs w:val="21"/>
                <w:lang w:val="zh-CN"/>
              </w:rPr>
              <w:t>报价保证金专用账户如下：</w:t>
            </w:r>
          </w:p>
          <w:p>
            <w:pPr>
              <w:tabs>
                <w:tab w:val="left" w:pos="567"/>
              </w:tabs>
              <w:spacing w:line="360" w:lineRule="auto"/>
              <w:ind w:firstLine="420" w:firstLineChars="200"/>
              <w:jc w:val="both"/>
              <w:rPr>
                <w:rFonts w:hAnsi="宋体" w:cs="宋体"/>
                <w:kern w:val="2"/>
                <w:sz w:val="21"/>
                <w:szCs w:val="21"/>
                <w:lang w:val="zh-CN"/>
              </w:rPr>
            </w:pPr>
            <w:r>
              <w:rPr>
                <w:rFonts w:hint="eastAsia" w:hAnsi="宋体" w:cs="宋体"/>
                <w:kern w:val="2"/>
                <w:sz w:val="21"/>
                <w:szCs w:val="21"/>
                <w:lang w:val="zh-CN"/>
              </w:rPr>
              <w:t>帐户名称：东莞实业投资控股集团有限公司</w:t>
            </w:r>
          </w:p>
          <w:p>
            <w:pPr>
              <w:tabs>
                <w:tab w:val="left" w:pos="567"/>
              </w:tabs>
              <w:spacing w:line="360" w:lineRule="auto"/>
              <w:ind w:firstLine="420" w:firstLineChars="200"/>
              <w:jc w:val="both"/>
              <w:rPr>
                <w:rFonts w:hAnsi="宋体" w:cs="宋体"/>
                <w:kern w:val="2"/>
                <w:sz w:val="21"/>
                <w:szCs w:val="21"/>
                <w:lang w:val="zh-CN"/>
              </w:rPr>
            </w:pPr>
            <w:r>
              <w:rPr>
                <w:rFonts w:hint="eastAsia" w:hAnsi="宋体" w:cs="宋体"/>
                <w:kern w:val="2"/>
                <w:sz w:val="21"/>
                <w:szCs w:val="21"/>
                <w:lang w:val="zh-CN"/>
              </w:rPr>
              <w:t>开户银行：中国邮政储蓄银行东莞市分行</w:t>
            </w:r>
          </w:p>
          <w:p>
            <w:pPr>
              <w:pStyle w:val="73"/>
              <w:widowControl/>
              <w:spacing w:line="360" w:lineRule="auto"/>
              <w:ind w:firstLine="0" w:firstLineChars="0"/>
              <w:jc w:val="left"/>
              <w:rPr>
                <w:rFonts w:ascii="宋体" w:eastAsia="宋体"/>
                <w:bCs/>
                <w:kern w:val="0"/>
                <w:sz w:val="21"/>
                <w:szCs w:val="21"/>
              </w:rPr>
            </w:pPr>
            <w:r>
              <w:rPr>
                <w:rFonts w:hint="eastAsia" w:ascii="宋体" w:eastAsia="宋体" w:cs="宋体"/>
                <w:sz w:val="21"/>
                <w:szCs w:val="21"/>
                <w:lang w:val="zh-CN"/>
              </w:rPr>
              <w:t>银行帐号：100899920180018888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7</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sz w:val="21"/>
                <w:szCs w:val="21"/>
              </w:rPr>
            </w:pPr>
            <w:r>
              <w:rPr>
                <w:rFonts w:hint="eastAsia" w:hAnsi="宋体"/>
                <w:kern w:val="2"/>
                <w:sz w:val="21"/>
                <w:szCs w:val="21"/>
                <w:lang w:val="zh-CN"/>
              </w:rPr>
              <w:t>报价有效期</w:t>
            </w:r>
          </w:p>
        </w:tc>
        <w:tc>
          <w:tcPr>
            <w:tcW w:w="673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bCs/>
                <w:sz w:val="21"/>
                <w:szCs w:val="21"/>
              </w:rPr>
            </w:pPr>
            <w:r>
              <w:rPr>
                <w:rFonts w:hint="eastAsia" w:hAnsi="宋体"/>
                <w:bCs/>
                <w:kern w:val="2"/>
                <w:sz w:val="21"/>
                <w:szCs w:val="21"/>
                <w:lang w:val="zh-CN"/>
              </w:rPr>
              <w:t>递交报价文件截止日后90日内有效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8</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kern w:val="2"/>
                <w:sz w:val="21"/>
                <w:szCs w:val="21"/>
                <w:lang w:val="zh-CN"/>
              </w:rPr>
            </w:pPr>
            <w:r>
              <w:rPr>
                <w:rFonts w:hint="eastAsia" w:hAnsi="宋体"/>
                <w:kern w:val="2"/>
                <w:sz w:val="21"/>
                <w:szCs w:val="21"/>
                <w:lang w:val="zh-CN"/>
              </w:rPr>
              <w:t>报价文件份数</w:t>
            </w:r>
          </w:p>
        </w:tc>
        <w:tc>
          <w:tcPr>
            <w:tcW w:w="6736" w:type="dxa"/>
            <w:tcBorders>
              <w:top w:val="single" w:color="auto" w:sz="4" w:space="0"/>
              <w:left w:val="single" w:color="auto" w:sz="4" w:space="0"/>
              <w:bottom w:val="single" w:color="auto" w:sz="4" w:space="0"/>
              <w:right w:val="double" w:color="auto" w:sz="4" w:space="0"/>
            </w:tcBorders>
            <w:vAlign w:val="center"/>
          </w:tcPr>
          <w:p>
            <w:pPr>
              <w:autoSpaceDE/>
              <w:autoSpaceDN/>
              <w:adjustRightInd/>
              <w:spacing w:line="360" w:lineRule="auto"/>
              <w:jc w:val="both"/>
              <w:rPr>
                <w:rFonts w:hAnsi="宋体"/>
                <w:sz w:val="21"/>
                <w:szCs w:val="21"/>
              </w:rPr>
            </w:pPr>
            <w:r>
              <w:rPr>
                <w:rFonts w:hint="eastAsia" w:hAnsi="宋体"/>
                <w:sz w:val="21"/>
                <w:szCs w:val="21"/>
              </w:rPr>
              <w:t>1、报价文件密封包封为1包（内含报价文件正本1份，副本</w:t>
            </w:r>
            <w:r>
              <w:rPr>
                <w:rFonts w:hint="eastAsia" w:hAnsi="宋体"/>
                <w:sz w:val="21"/>
                <w:szCs w:val="21"/>
                <w:u w:val="single"/>
              </w:rPr>
              <w:t>3</w:t>
            </w:r>
            <w:r>
              <w:rPr>
                <w:rFonts w:hint="eastAsia" w:hAnsi="宋体"/>
                <w:sz w:val="21"/>
                <w:szCs w:val="21"/>
              </w:rPr>
              <w:t>份）；</w:t>
            </w:r>
          </w:p>
          <w:p>
            <w:pPr>
              <w:autoSpaceDE/>
              <w:autoSpaceDN/>
              <w:adjustRightInd/>
              <w:spacing w:line="360" w:lineRule="auto"/>
              <w:jc w:val="both"/>
              <w:rPr>
                <w:rFonts w:hAnsi="宋体"/>
                <w:bCs/>
                <w:kern w:val="2"/>
                <w:sz w:val="21"/>
                <w:szCs w:val="21"/>
                <w:lang w:val="zh-CN"/>
              </w:rPr>
            </w:pPr>
            <w:r>
              <w:rPr>
                <w:rFonts w:hint="eastAsia" w:hAnsi="宋体"/>
                <w:sz w:val="21"/>
                <w:szCs w:val="21"/>
              </w:rPr>
              <w:t>2、唱标信封密封包封为1包（内含唱标信封1份，报价文件电子文件1份）。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9</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bCs/>
                <w:sz w:val="21"/>
                <w:szCs w:val="21"/>
              </w:rPr>
            </w:pPr>
            <w:r>
              <w:rPr>
                <w:rFonts w:hint="eastAsia" w:hAnsi="宋体"/>
                <w:bCs/>
                <w:sz w:val="21"/>
                <w:szCs w:val="21"/>
              </w:rPr>
              <w:t>谈判小组成员</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sz w:val="21"/>
                <w:szCs w:val="21"/>
              </w:rPr>
            </w:pPr>
            <w:r>
              <w:rPr>
                <w:rFonts w:hint="eastAsia" w:hAnsi="宋体"/>
                <w:sz w:val="21"/>
                <w:szCs w:val="21"/>
              </w:rPr>
              <w:t>谈判小组成员共</w:t>
            </w:r>
            <w:r>
              <w:rPr>
                <w:rFonts w:hint="eastAsia" w:hAnsi="宋体"/>
                <w:sz w:val="21"/>
                <w:szCs w:val="21"/>
                <w:u w:val="single"/>
              </w:rPr>
              <w:t xml:space="preserve"> 3 </w:t>
            </w:r>
            <w:r>
              <w:rPr>
                <w:rFonts w:hint="eastAsia" w:hAnsi="宋体"/>
                <w:sz w:val="21"/>
                <w:szCs w:val="21"/>
              </w:rPr>
              <w:t>人：</w:t>
            </w:r>
            <w:r>
              <w:rPr>
                <w:rFonts w:hint="eastAsia" w:hAnsi="宋体"/>
                <w:kern w:val="2"/>
                <w:sz w:val="21"/>
                <w:szCs w:val="21"/>
                <w:lang w:val="zh-CN"/>
              </w:rPr>
              <w:t>其中招标人代表</w:t>
            </w:r>
            <w:r>
              <w:rPr>
                <w:rFonts w:hint="eastAsia" w:hAnsi="宋体"/>
                <w:kern w:val="2"/>
                <w:sz w:val="21"/>
                <w:szCs w:val="21"/>
                <w:u w:val="single"/>
              </w:rPr>
              <w:t xml:space="preserve"> 1 </w:t>
            </w:r>
            <w:r>
              <w:rPr>
                <w:rFonts w:hint="eastAsia" w:hAnsi="宋体"/>
                <w:kern w:val="2"/>
                <w:sz w:val="21"/>
                <w:szCs w:val="21"/>
                <w:lang w:val="zh-CN"/>
              </w:rPr>
              <w:t>名；技术、经济等方面的专家</w:t>
            </w:r>
            <w:r>
              <w:rPr>
                <w:rFonts w:hint="eastAsia" w:hAnsi="宋体"/>
                <w:kern w:val="2"/>
                <w:sz w:val="21"/>
                <w:szCs w:val="21"/>
                <w:u w:val="single"/>
              </w:rPr>
              <w:t xml:space="preserve"> </w:t>
            </w:r>
            <w:r>
              <w:rPr>
                <w:rFonts w:hint="eastAsia" w:hAnsi="宋体"/>
                <w:sz w:val="21"/>
                <w:szCs w:val="21"/>
                <w:u w:val="single"/>
              </w:rPr>
              <w:t xml:space="preserve">2 </w:t>
            </w:r>
            <w:r>
              <w:rPr>
                <w:rFonts w:hint="eastAsia" w:hAnsi="宋体"/>
                <w:sz w:val="21"/>
                <w:szCs w:val="21"/>
              </w:rPr>
              <w:t>人</w:t>
            </w:r>
            <w:r>
              <w:rPr>
                <w:rFonts w:hint="eastAsia" w:hAnsi="宋体"/>
                <w:kern w:val="2"/>
                <w:sz w:val="21"/>
                <w:szCs w:val="21"/>
                <w:lang w:val="zh-CN"/>
              </w:rPr>
              <w:t>从招标代理</w:t>
            </w:r>
            <w:r>
              <w:rPr>
                <w:rFonts w:hint="eastAsia" w:hAnsi="宋体" w:cs="宋体"/>
                <w:sz w:val="21"/>
                <w:szCs w:val="21"/>
              </w:rPr>
              <w:t>评审专家库随机抽取系统</w:t>
            </w:r>
            <w:r>
              <w:rPr>
                <w:rFonts w:hint="eastAsia" w:hAnsi="宋体"/>
                <w:sz w:val="21"/>
                <w:szCs w:val="21"/>
              </w:rPr>
              <w:t>中随机抽取确定。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10</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bCs/>
                <w:sz w:val="21"/>
                <w:szCs w:val="21"/>
              </w:rPr>
            </w:pPr>
            <w:r>
              <w:rPr>
                <w:rFonts w:hint="eastAsia" w:hAnsi="宋体"/>
                <w:bCs/>
                <w:sz w:val="21"/>
                <w:szCs w:val="21"/>
              </w:rPr>
              <w:t>谈判方法</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sz w:val="21"/>
                <w:szCs w:val="21"/>
              </w:rPr>
            </w:pPr>
            <w:r>
              <w:rPr>
                <w:rFonts w:hint="eastAsia" w:hAnsi="宋体"/>
                <w:sz w:val="21"/>
                <w:szCs w:val="21"/>
              </w:rPr>
              <w:t>最低价评分法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hAnsi="宋体"/>
                <w:sz w:val="21"/>
                <w:szCs w:val="21"/>
              </w:rPr>
            </w:pPr>
            <w:r>
              <w:rPr>
                <w:rFonts w:hint="eastAsia" w:hAnsi="宋体"/>
                <w:sz w:val="21"/>
                <w:szCs w:val="21"/>
              </w:rPr>
              <w:t>11</w:t>
            </w:r>
          </w:p>
        </w:tc>
        <w:tc>
          <w:tcPr>
            <w:tcW w:w="1917" w:type="dxa"/>
            <w:tcBorders>
              <w:top w:val="single" w:color="auto" w:sz="4" w:space="0"/>
              <w:left w:val="single" w:color="auto" w:sz="4" w:space="0"/>
              <w:bottom w:val="single" w:color="auto" w:sz="4" w:space="0"/>
              <w:right w:val="single" w:color="auto" w:sz="4" w:space="0"/>
            </w:tcBorders>
            <w:vAlign w:val="center"/>
          </w:tcPr>
          <w:p>
            <w:pPr>
              <w:spacing w:line="360" w:lineRule="auto"/>
              <w:ind w:right="-43" w:rightChars="-18"/>
              <w:rPr>
                <w:rFonts w:hAnsi="宋体"/>
                <w:bCs/>
                <w:sz w:val="21"/>
                <w:szCs w:val="21"/>
              </w:rPr>
            </w:pPr>
            <w:r>
              <w:rPr>
                <w:rFonts w:hint="eastAsia" w:hAnsi="宋体"/>
                <w:bCs/>
                <w:sz w:val="21"/>
                <w:szCs w:val="21"/>
              </w:rPr>
              <w:t>履约担保</w:t>
            </w:r>
          </w:p>
        </w:tc>
        <w:tc>
          <w:tcPr>
            <w:tcW w:w="6736" w:type="dxa"/>
            <w:tcBorders>
              <w:top w:val="single" w:color="auto" w:sz="4" w:space="0"/>
              <w:left w:val="single" w:color="auto" w:sz="4" w:space="0"/>
              <w:bottom w:val="single" w:color="auto" w:sz="4" w:space="0"/>
              <w:right w:val="double" w:color="auto" w:sz="4" w:space="0"/>
            </w:tcBorders>
            <w:vAlign w:val="center"/>
          </w:tcPr>
          <w:p>
            <w:pPr>
              <w:spacing w:line="360" w:lineRule="auto"/>
              <w:rPr>
                <w:rFonts w:hAnsi="宋体"/>
                <w:bCs/>
                <w:sz w:val="21"/>
                <w:szCs w:val="21"/>
              </w:rPr>
            </w:pPr>
            <w:r>
              <w:rPr>
                <w:rFonts w:hint="eastAsia" w:hAnsi="宋体"/>
                <w:bCs/>
                <w:sz w:val="21"/>
                <w:szCs w:val="21"/>
              </w:rPr>
              <w:t>履约担保形式：采用银行转账或者以银行出具的担保函的形式。</w:t>
            </w:r>
          </w:p>
          <w:p>
            <w:pPr>
              <w:spacing w:line="360" w:lineRule="auto"/>
              <w:rPr>
                <w:rFonts w:hAnsi="宋体"/>
                <w:bCs/>
                <w:sz w:val="21"/>
                <w:szCs w:val="21"/>
              </w:rPr>
            </w:pPr>
            <w:r>
              <w:rPr>
                <w:rFonts w:hint="eastAsia" w:hAnsi="宋体"/>
                <w:bCs/>
                <w:sz w:val="21"/>
                <w:szCs w:val="21"/>
              </w:rPr>
              <w:t>履约担保金额：合同金额的10%。</w:t>
            </w:r>
          </w:p>
          <w:p>
            <w:pPr>
              <w:spacing w:line="360" w:lineRule="auto"/>
              <w:rPr>
                <w:rFonts w:hAnsi="宋体"/>
                <w:kern w:val="2"/>
                <w:sz w:val="21"/>
                <w:szCs w:val="21"/>
                <w:lang w:val="zh-CN"/>
              </w:rPr>
            </w:pPr>
            <w:r>
              <w:rPr>
                <w:rFonts w:hint="eastAsia" w:hAnsi="宋体"/>
                <w:bCs/>
                <w:sz w:val="21"/>
                <w:szCs w:val="21"/>
              </w:rPr>
              <w:t>履约担保账户：招标人指定账户(单位基本账户)</w:t>
            </w:r>
          </w:p>
        </w:tc>
      </w:tr>
    </w:tbl>
    <w:p>
      <w:pPr>
        <w:spacing w:line="360" w:lineRule="auto"/>
        <w:rPr>
          <w:rFonts w:hAnsi="宋体"/>
          <w:b/>
          <w:szCs w:val="21"/>
        </w:rPr>
      </w:pPr>
    </w:p>
    <w:p>
      <w:pPr>
        <w:pStyle w:val="26"/>
        <w:adjustRightInd w:val="0"/>
        <w:snapToGrid w:val="0"/>
        <w:spacing w:line="360" w:lineRule="auto"/>
        <w:rPr>
          <w:rFonts w:hAnsi="宋体"/>
          <w:b/>
          <w:sz w:val="28"/>
          <w:szCs w:val="28"/>
        </w:rPr>
      </w:pPr>
      <w:r>
        <w:rPr>
          <w:rFonts w:hAnsi="宋体"/>
          <w:b/>
          <w:sz w:val="28"/>
          <w:szCs w:val="28"/>
        </w:rPr>
        <w:br w:type="page"/>
      </w:r>
      <w:r>
        <w:rPr>
          <w:rFonts w:hint="eastAsia" w:hAnsi="宋体"/>
          <w:b/>
          <w:sz w:val="24"/>
          <w:szCs w:val="24"/>
        </w:rPr>
        <w:t>一、说  明</w:t>
      </w:r>
    </w:p>
    <w:p>
      <w:pPr>
        <w:pStyle w:val="26"/>
        <w:adjustRightInd w:val="0"/>
        <w:snapToGrid w:val="0"/>
        <w:spacing w:line="360" w:lineRule="auto"/>
        <w:rPr>
          <w:rFonts w:hAnsi="宋体"/>
          <w:szCs w:val="24"/>
        </w:rPr>
      </w:pPr>
      <w:r>
        <w:rPr>
          <w:rFonts w:hint="eastAsia" w:hAnsi="宋体"/>
          <w:szCs w:val="24"/>
        </w:rPr>
        <w:t>1．适用范围及</w:t>
      </w:r>
      <w:r>
        <w:rPr>
          <w:rFonts w:hAnsi="宋体"/>
        </w:rPr>
        <w:t>项目综合说明</w:t>
      </w:r>
    </w:p>
    <w:p>
      <w:pPr>
        <w:pStyle w:val="26"/>
        <w:adjustRightInd w:val="0"/>
        <w:snapToGrid w:val="0"/>
        <w:spacing w:line="360" w:lineRule="auto"/>
        <w:rPr>
          <w:rFonts w:hAnsi="宋体"/>
          <w:szCs w:val="24"/>
        </w:rPr>
      </w:pPr>
      <w:r>
        <w:rPr>
          <w:rFonts w:hint="eastAsia" w:hAnsi="宋体"/>
          <w:szCs w:val="24"/>
        </w:rPr>
        <w:t>1.1本谈判文件适用于本竞争性谈判的招标项目。</w:t>
      </w:r>
      <w:r>
        <w:rPr>
          <w:rFonts w:hAnsi="宋体"/>
        </w:rPr>
        <w:t>项目综合说明</w:t>
      </w:r>
      <w:r>
        <w:rPr>
          <w:rFonts w:hint="eastAsia" w:hAnsi="宋体"/>
        </w:rPr>
        <w:t>见</w:t>
      </w:r>
      <w:r>
        <w:rPr>
          <w:rFonts w:hint="eastAsia" w:hAnsi="宋体"/>
          <w:szCs w:val="24"/>
        </w:rPr>
        <w:t>《报价须知前附表》。</w:t>
      </w:r>
    </w:p>
    <w:p>
      <w:pPr>
        <w:pStyle w:val="26"/>
        <w:adjustRightInd w:val="0"/>
        <w:snapToGrid w:val="0"/>
        <w:spacing w:line="360" w:lineRule="auto"/>
        <w:rPr>
          <w:rFonts w:hAnsi="宋体"/>
          <w:szCs w:val="24"/>
        </w:rPr>
      </w:pPr>
      <w:r>
        <w:rPr>
          <w:rFonts w:hint="eastAsia" w:hAnsi="宋体"/>
          <w:szCs w:val="24"/>
        </w:rPr>
        <w:t>2. 定义</w:t>
      </w:r>
    </w:p>
    <w:p>
      <w:pPr>
        <w:pStyle w:val="26"/>
        <w:adjustRightInd w:val="0"/>
        <w:snapToGrid w:val="0"/>
        <w:spacing w:line="360" w:lineRule="auto"/>
        <w:ind w:left="420" w:hanging="420" w:hangingChars="200"/>
        <w:rPr>
          <w:rFonts w:hAnsi="宋体"/>
          <w:szCs w:val="24"/>
        </w:rPr>
      </w:pPr>
      <w:r>
        <w:rPr>
          <w:rFonts w:hint="eastAsia" w:hAnsi="宋体"/>
          <w:szCs w:val="24"/>
        </w:rPr>
        <w:t>2.1“招标人”是指：</w:t>
      </w:r>
      <w:r>
        <w:rPr>
          <w:rFonts w:hint="eastAsia" w:hAnsi="宋体"/>
          <w:szCs w:val="24"/>
          <w:u w:val="single"/>
        </w:rPr>
        <w:t>见《报价须知前附表》</w:t>
      </w:r>
      <w:r>
        <w:rPr>
          <w:rFonts w:hint="eastAsia" w:hAnsi="宋体"/>
          <w:u w:val="single"/>
        </w:rPr>
        <w:t xml:space="preserve"> </w:t>
      </w:r>
      <w:r>
        <w:rPr>
          <w:rFonts w:hint="eastAsia" w:hAnsi="宋体"/>
          <w:szCs w:val="24"/>
        </w:rPr>
        <w:t>。</w:t>
      </w:r>
    </w:p>
    <w:p>
      <w:pPr>
        <w:pStyle w:val="26"/>
        <w:adjustRightInd w:val="0"/>
        <w:snapToGrid w:val="0"/>
        <w:spacing w:line="360" w:lineRule="auto"/>
        <w:rPr>
          <w:rFonts w:hAnsi="宋体"/>
          <w:szCs w:val="24"/>
        </w:rPr>
      </w:pPr>
      <w:r>
        <w:rPr>
          <w:rFonts w:hint="eastAsia" w:hAnsi="宋体"/>
          <w:szCs w:val="24"/>
        </w:rPr>
        <w:t>2.2“招标代理机构”是指：广东泰通伟业工程咨询有限公司。</w:t>
      </w:r>
    </w:p>
    <w:p>
      <w:pPr>
        <w:pStyle w:val="26"/>
        <w:adjustRightInd w:val="0"/>
        <w:snapToGrid w:val="0"/>
        <w:spacing w:line="360" w:lineRule="auto"/>
        <w:rPr>
          <w:rFonts w:hAnsi="宋体"/>
          <w:szCs w:val="24"/>
        </w:rPr>
      </w:pPr>
      <w:r>
        <w:rPr>
          <w:rFonts w:hint="eastAsia" w:hAnsi="宋体"/>
          <w:szCs w:val="24"/>
        </w:rPr>
        <w:t>2.3“报价人”是指响应本文件要求，参加谈判的法人或者其他组织、自然人。</w:t>
      </w:r>
    </w:p>
    <w:p>
      <w:pPr>
        <w:pStyle w:val="26"/>
        <w:adjustRightInd w:val="0"/>
        <w:snapToGrid w:val="0"/>
        <w:spacing w:line="360" w:lineRule="auto"/>
        <w:rPr>
          <w:rFonts w:hAnsi="宋体"/>
          <w:szCs w:val="24"/>
        </w:rPr>
      </w:pPr>
      <w:r>
        <w:rPr>
          <w:rFonts w:hint="eastAsia" w:hAnsi="宋体"/>
          <w:szCs w:val="24"/>
        </w:rPr>
        <w:t>2.4</w:t>
      </w:r>
      <w:r>
        <w:rPr>
          <w:rFonts w:hint="eastAsia" w:hAnsi="宋体"/>
        </w:rPr>
        <w:t>报价人资格条件</w:t>
      </w:r>
      <w:r>
        <w:rPr>
          <w:rFonts w:hint="eastAsia" w:hAnsi="宋体"/>
          <w:szCs w:val="24"/>
        </w:rPr>
        <w:t>是指：</w:t>
      </w:r>
    </w:p>
    <w:p>
      <w:pPr>
        <w:pStyle w:val="26"/>
        <w:tabs>
          <w:tab w:val="left" w:pos="360"/>
        </w:tabs>
        <w:adjustRightInd w:val="0"/>
        <w:snapToGrid w:val="0"/>
        <w:spacing w:line="360" w:lineRule="auto"/>
        <w:ind w:left="600" w:hanging="240"/>
        <w:rPr>
          <w:rFonts w:hAnsi="宋体"/>
          <w:lang w:val="hr-HR"/>
        </w:rPr>
      </w:pPr>
      <w:r>
        <w:rPr>
          <w:rFonts w:hint="eastAsia" w:hAnsi="宋体"/>
          <w:snapToGrid w:val="0"/>
          <w:kern w:val="0"/>
        </w:rPr>
        <w:t xml:space="preserve">1) </w:t>
      </w:r>
      <w:r>
        <w:rPr>
          <w:rFonts w:hint="eastAsia" w:ascii="Times New Roman" w:hAnsi="Times New Roman"/>
          <w:kern w:val="0"/>
          <w:szCs w:val="24"/>
        </w:rPr>
        <w:t>参见第一部分谈判</w:t>
      </w:r>
      <w:r>
        <w:rPr>
          <w:rFonts w:ascii="Times New Roman" w:hAnsi="Times New Roman"/>
          <w:kern w:val="0"/>
          <w:szCs w:val="24"/>
        </w:rPr>
        <w:t>邀请函</w:t>
      </w:r>
      <w:r>
        <w:rPr>
          <w:rFonts w:hint="eastAsia" w:hAnsi="宋体"/>
          <w:lang w:val="hr-HR"/>
        </w:rPr>
        <w:t>。</w:t>
      </w:r>
    </w:p>
    <w:p>
      <w:pPr>
        <w:pStyle w:val="26"/>
        <w:tabs>
          <w:tab w:val="left" w:pos="360"/>
        </w:tabs>
        <w:adjustRightInd w:val="0"/>
        <w:snapToGrid w:val="0"/>
        <w:spacing w:line="360" w:lineRule="auto"/>
        <w:ind w:left="600" w:hanging="240"/>
        <w:rPr>
          <w:rFonts w:hAnsi="宋体"/>
        </w:rPr>
      </w:pPr>
      <w:r>
        <w:rPr>
          <w:rFonts w:hint="eastAsia" w:ascii="Times New Roman" w:hAnsi="Times New Roman"/>
          <w:kern w:val="0"/>
          <w:szCs w:val="24"/>
        </w:rPr>
        <w:t xml:space="preserve">2) </w:t>
      </w:r>
      <w:r>
        <w:rPr>
          <w:rFonts w:hint="eastAsia" w:hAnsi="宋体"/>
        </w:rPr>
        <w:t>本项目不接受分公司投标。</w:t>
      </w:r>
    </w:p>
    <w:p>
      <w:pPr>
        <w:pStyle w:val="26"/>
        <w:tabs>
          <w:tab w:val="left" w:pos="360"/>
        </w:tabs>
        <w:adjustRightInd w:val="0"/>
        <w:snapToGrid w:val="0"/>
        <w:spacing w:line="360" w:lineRule="auto"/>
        <w:ind w:left="600" w:hanging="240"/>
        <w:rPr>
          <w:rFonts w:hAnsi="宋体"/>
          <w:kern w:val="0"/>
        </w:rPr>
      </w:pPr>
      <w:r>
        <w:rPr>
          <w:rFonts w:hint="eastAsia" w:ascii="Times New Roman" w:hAnsi="Times New Roman"/>
          <w:kern w:val="0"/>
          <w:szCs w:val="24"/>
        </w:rPr>
        <w:t xml:space="preserve">3) </w:t>
      </w:r>
      <w:r>
        <w:rPr>
          <w:rFonts w:hint="eastAsia" w:hAnsi="宋体"/>
          <w:kern w:val="0"/>
          <w:szCs w:val="24"/>
        </w:rPr>
        <w:t>凡两家或以上报价人参加同一项目的招标，有如下情况的，一经发现，将视同串标处理：a）为同一法定代表人的；b）为同一股东控股的；c）其中一家公司为其他公司最大股东的</w:t>
      </w:r>
      <w:r>
        <w:rPr>
          <w:rFonts w:hint="eastAsia" w:hAnsi="宋体"/>
        </w:rPr>
        <w:t>。</w:t>
      </w:r>
    </w:p>
    <w:p>
      <w:pPr>
        <w:pStyle w:val="26"/>
        <w:adjustRightInd w:val="0"/>
        <w:snapToGrid w:val="0"/>
        <w:spacing w:line="360" w:lineRule="auto"/>
        <w:rPr>
          <w:rFonts w:hAnsi="宋体"/>
          <w:szCs w:val="24"/>
        </w:rPr>
      </w:pPr>
      <w:r>
        <w:rPr>
          <w:rFonts w:hint="eastAsia" w:hAnsi="宋体"/>
          <w:szCs w:val="24"/>
        </w:rPr>
        <w:t>2.5“成交供应商”是指经法定程序确定并授予合同的报价人。</w:t>
      </w:r>
    </w:p>
    <w:p>
      <w:pPr>
        <w:pStyle w:val="26"/>
        <w:adjustRightInd w:val="0"/>
        <w:snapToGrid w:val="0"/>
        <w:spacing w:line="360" w:lineRule="auto"/>
        <w:ind w:left="420" w:hanging="420" w:hangingChars="200"/>
        <w:rPr>
          <w:rFonts w:hAnsi="宋体"/>
          <w:szCs w:val="24"/>
        </w:rPr>
      </w:pPr>
      <w:r>
        <w:rPr>
          <w:rFonts w:hint="eastAsia" w:hAnsi="宋体"/>
          <w:szCs w:val="24"/>
        </w:rPr>
        <w:t>2.6“报价文件”是指：报价人根据本文件要求，编制包含报价、技术和服务等所有内容的实质性报价文件。</w:t>
      </w:r>
    </w:p>
    <w:p>
      <w:pPr>
        <w:pStyle w:val="26"/>
        <w:adjustRightInd w:val="0"/>
        <w:snapToGrid w:val="0"/>
        <w:spacing w:line="360" w:lineRule="auto"/>
        <w:rPr>
          <w:rFonts w:hAnsi="宋体"/>
          <w:szCs w:val="24"/>
        </w:rPr>
      </w:pPr>
      <w:r>
        <w:rPr>
          <w:rFonts w:hint="eastAsia" w:hAnsi="宋体"/>
          <w:szCs w:val="24"/>
        </w:rPr>
        <w:t>3. 合格的货物和服务</w:t>
      </w:r>
    </w:p>
    <w:p>
      <w:pPr>
        <w:snapToGrid w:val="0"/>
        <w:spacing w:line="360" w:lineRule="auto"/>
        <w:ind w:left="420" w:hanging="420" w:hangingChars="200"/>
        <w:rPr>
          <w:rFonts w:hAnsi="宋体"/>
          <w:sz w:val="21"/>
          <w:szCs w:val="21"/>
        </w:rPr>
      </w:pPr>
      <w:r>
        <w:rPr>
          <w:rFonts w:hint="eastAsia" w:hAnsi="宋体"/>
          <w:sz w:val="21"/>
          <w:szCs w:val="21"/>
        </w:rPr>
        <w:t>3.1 “货物”是指报价人制造或组织符合谈判文件要求的货物等。谈判文件中没有提及招标货物来源地的，根据《中华人民共和国招标投标法》的相关规定均应是本国货物，且优先招标节能、环保产品。货物必须是合法生产、合法来源的符合国家有关标准要求的货物，并满足本谈判文件规定的规格、参数、质量、价格、有效期、售后服务等要求。</w:t>
      </w:r>
    </w:p>
    <w:p>
      <w:pPr>
        <w:pStyle w:val="26"/>
        <w:adjustRightInd w:val="0"/>
        <w:snapToGrid w:val="0"/>
        <w:spacing w:line="360" w:lineRule="auto"/>
        <w:ind w:left="473" w:hanging="472" w:hangingChars="225"/>
        <w:rPr>
          <w:rFonts w:hAnsi="宋体"/>
          <w:szCs w:val="21"/>
        </w:rPr>
      </w:pPr>
      <w:r>
        <w:rPr>
          <w:rFonts w:hint="eastAsia" w:hAnsi="宋体"/>
          <w:szCs w:val="21"/>
        </w:rPr>
        <w:t>3.2 “服务”是指除货物和工程以外的其他招标对象,其中包括：报价人须承担的运输、安装、技术支持、培训以及谈判文件规定的其它服务。</w:t>
      </w:r>
    </w:p>
    <w:p>
      <w:pPr>
        <w:pStyle w:val="26"/>
        <w:adjustRightInd w:val="0"/>
        <w:snapToGrid w:val="0"/>
        <w:spacing w:line="360" w:lineRule="auto"/>
        <w:rPr>
          <w:rFonts w:hAnsi="宋体"/>
          <w:szCs w:val="21"/>
        </w:rPr>
      </w:pPr>
      <w:r>
        <w:rPr>
          <w:rFonts w:hint="eastAsia" w:hAnsi="宋体"/>
          <w:szCs w:val="21"/>
        </w:rPr>
        <w:t>4．谈判费用</w:t>
      </w:r>
    </w:p>
    <w:p>
      <w:pPr>
        <w:pStyle w:val="26"/>
        <w:adjustRightInd w:val="0"/>
        <w:snapToGrid w:val="0"/>
        <w:spacing w:line="360" w:lineRule="auto"/>
        <w:rPr>
          <w:rFonts w:hAnsi="宋体"/>
          <w:szCs w:val="24"/>
        </w:rPr>
      </w:pPr>
      <w:r>
        <w:rPr>
          <w:rFonts w:hint="eastAsia" w:hAnsi="宋体"/>
          <w:szCs w:val="24"/>
        </w:rPr>
        <w:t xml:space="preserve">4.1 </w:t>
      </w:r>
      <w:r>
        <w:rPr>
          <w:rFonts w:hint="eastAsia" w:hAnsi="宋体"/>
          <w:bCs/>
          <w:szCs w:val="21"/>
          <w:lang w:val="zh-CN"/>
        </w:rPr>
        <w:t>本项目服务费由招标人支付</w:t>
      </w:r>
      <w:r>
        <w:rPr>
          <w:rFonts w:hint="eastAsia" w:hAnsi="宋体"/>
          <w:szCs w:val="24"/>
        </w:rPr>
        <w:t>。</w:t>
      </w:r>
    </w:p>
    <w:p>
      <w:pPr>
        <w:pStyle w:val="26"/>
        <w:adjustRightInd w:val="0"/>
        <w:snapToGrid w:val="0"/>
        <w:spacing w:line="360" w:lineRule="auto"/>
        <w:rPr>
          <w:rFonts w:hAnsi="宋体"/>
          <w:b/>
          <w:sz w:val="24"/>
          <w:szCs w:val="24"/>
        </w:rPr>
      </w:pPr>
      <w:r>
        <w:rPr>
          <w:rFonts w:hint="eastAsia" w:hAnsi="宋体"/>
          <w:b/>
          <w:sz w:val="24"/>
          <w:szCs w:val="24"/>
        </w:rPr>
        <w:t>二、谈判文件</w:t>
      </w:r>
    </w:p>
    <w:p>
      <w:pPr>
        <w:pStyle w:val="26"/>
        <w:adjustRightInd w:val="0"/>
        <w:snapToGrid w:val="0"/>
        <w:spacing w:line="360" w:lineRule="auto"/>
        <w:ind w:left="420" w:hanging="420"/>
        <w:rPr>
          <w:rFonts w:hAnsi="宋体"/>
          <w:szCs w:val="24"/>
        </w:rPr>
      </w:pPr>
      <w:r>
        <w:rPr>
          <w:rFonts w:hint="eastAsia" w:hAnsi="宋体"/>
          <w:szCs w:val="24"/>
        </w:rPr>
        <w:t>5. 谈判文件的构成</w:t>
      </w:r>
    </w:p>
    <w:p>
      <w:pPr>
        <w:pStyle w:val="26"/>
        <w:adjustRightInd w:val="0"/>
        <w:snapToGrid w:val="0"/>
        <w:spacing w:line="360" w:lineRule="auto"/>
        <w:ind w:left="420" w:hanging="420"/>
        <w:rPr>
          <w:rFonts w:hAnsi="宋体"/>
          <w:szCs w:val="24"/>
        </w:rPr>
      </w:pPr>
      <w:r>
        <w:rPr>
          <w:rFonts w:hint="eastAsia" w:hAnsi="宋体"/>
          <w:szCs w:val="24"/>
        </w:rPr>
        <w:t>5.1谈判文件由下列文件以及在谈判过程中发出的修正和补充文件组成：</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1）谈判邀请函</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2）谈判须知</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3) 用户需求书</w:t>
      </w:r>
    </w:p>
    <w:p>
      <w:pPr>
        <w:pStyle w:val="26"/>
        <w:adjustRightInd w:val="0"/>
        <w:snapToGrid w:val="0"/>
        <w:spacing w:line="360" w:lineRule="auto"/>
        <w:ind w:firstLine="360"/>
        <w:rPr>
          <w:rFonts w:ascii="Times New Roman" w:hAnsi="Times New Roman"/>
          <w:szCs w:val="24"/>
        </w:rPr>
      </w:pPr>
      <w:r>
        <w:rPr>
          <w:rFonts w:hint="eastAsia" w:hAnsi="宋体"/>
        </w:rPr>
        <w:t>（</w:t>
      </w:r>
      <w:r>
        <w:rPr>
          <w:rFonts w:hint="eastAsia" w:hAnsi="宋体"/>
          <w:szCs w:val="24"/>
        </w:rPr>
        <w:t>4) 谈判办法</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5) 合同条款格式</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6) 报价文件格式</w:t>
      </w:r>
    </w:p>
    <w:p>
      <w:pPr>
        <w:pStyle w:val="26"/>
        <w:adjustRightInd w:val="0"/>
        <w:snapToGrid w:val="0"/>
        <w:spacing w:line="360" w:lineRule="auto"/>
        <w:ind w:firstLine="360"/>
        <w:rPr>
          <w:rFonts w:hAnsi="宋体"/>
          <w:szCs w:val="24"/>
        </w:rPr>
      </w:pPr>
      <w:r>
        <w:rPr>
          <w:rFonts w:hint="eastAsia" w:hAnsi="宋体"/>
        </w:rPr>
        <w:t>（</w:t>
      </w:r>
      <w:r>
        <w:rPr>
          <w:rFonts w:hint="eastAsia" w:hAnsi="宋体"/>
          <w:szCs w:val="24"/>
        </w:rPr>
        <w:t>7) 在</w:t>
      </w:r>
      <w:r>
        <w:rPr>
          <w:rFonts w:hint="eastAsia" w:hAnsi="宋体"/>
          <w:snapToGrid w:val="0"/>
          <w:kern w:val="0"/>
        </w:rPr>
        <w:t>招标</w:t>
      </w:r>
      <w:r>
        <w:rPr>
          <w:rFonts w:hint="eastAsia" w:hAnsi="宋体"/>
          <w:szCs w:val="24"/>
        </w:rPr>
        <w:t>过程中由招标代理机构发出的修正和补充文件等</w:t>
      </w:r>
    </w:p>
    <w:p>
      <w:pPr>
        <w:pStyle w:val="26"/>
        <w:adjustRightInd w:val="0"/>
        <w:snapToGrid w:val="0"/>
        <w:spacing w:line="360" w:lineRule="auto"/>
        <w:ind w:left="420" w:hanging="420"/>
        <w:rPr>
          <w:rFonts w:hAnsi="宋体"/>
          <w:szCs w:val="24"/>
        </w:rPr>
      </w:pPr>
      <w:r>
        <w:rPr>
          <w:rFonts w:hint="eastAsia" w:hAnsi="宋体"/>
          <w:szCs w:val="24"/>
        </w:rPr>
        <w:t>5.2 报价人应认真阅读、并充分理解谈判文件的全部内容（包括所有的补充、修改内容、重要事项、格式、条款和技术规范、参数及要求等），报价人没有按照谈判文件要求提交全部资料，或者报价文件没有对谈判文件在各方面都做出实质性响应是报价人的风险，有可能导致其谈判报价被拒绝，或被认定为无效报价或被确定为报价无效。</w:t>
      </w:r>
    </w:p>
    <w:p>
      <w:pPr>
        <w:pStyle w:val="26"/>
        <w:adjustRightInd w:val="0"/>
        <w:snapToGrid w:val="0"/>
        <w:spacing w:line="360" w:lineRule="auto"/>
        <w:rPr>
          <w:rFonts w:hAnsi="宋体"/>
          <w:szCs w:val="24"/>
        </w:rPr>
      </w:pPr>
      <w:r>
        <w:rPr>
          <w:rFonts w:hint="eastAsia" w:hAnsi="宋体"/>
          <w:szCs w:val="24"/>
        </w:rPr>
        <w:t>6. 谈判文件的澄清</w:t>
      </w:r>
    </w:p>
    <w:p>
      <w:pPr>
        <w:pStyle w:val="26"/>
        <w:adjustRightInd w:val="0"/>
        <w:snapToGrid w:val="0"/>
        <w:spacing w:line="360" w:lineRule="auto"/>
        <w:ind w:left="360" w:hanging="360"/>
        <w:rPr>
          <w:rFonts w:hAnsi="宋体"/>
        </w:rPr>
      </w:pPr>
      <w:r>
        <w:rPr>
          <w:rFonts w:hint="eastAsia" w:hAnsi="宋体"/>
          <w:szCs w:val="24"/>
        </w:rPr>
        <w:t>6.1任何要求对谈判文件进行澄清的报价人，均应以书面形式在谈判文件规定的</w:t>
      </w:r>
      <w:r>
        <w:rPr>
          <w:rFonts w:hint="eastAsia" w:hAnsi="宋体" w:cs="宋体"/>
          <w:szCs w:val="24"/>
        </w:rPr>
        <w:t>报价文件</w:t>
      </w:r>
      <w:r>
        <w:rPr>
          <w:rFonts w:hint="eastAsia" w:hAnsi="宋体"/>
          <w:szCs w:val="24"/>
        </w:rPr>
        <w:t>递交截止日以前通知招标代理机构。但报价人应按《报价须知前附表》所示的联系方式以书面形式将澄清要求通知招标代理机构，并须为招标代理机构在限期前的答复留下适当的工作时间。招标代理机构</w:t>
      </w:r>
      <w:r>
        <w:rPr>
          <w:rFonts w:hint="eastAsia" w:hAnsi="宋体"/>
        </w:rPr>
        <w:t>负责对谈判文件作出解释，并视情况对本项目中比较复杂的事项进行说明和依法回答</w:t>
      </w:r>
      <w:r>
        <w:rPr>
          <w:rFonts w:hint="eastAsia" w:hAnsi="宋体" w:cs="宋体"/>
        </w:rPr>
        <w:t>报价人</w:t>
      </w:r>
      <w:r>
        <w:rPr>
          <w:rFonts w:hint="eastAsia" w:hAnsi="宋体"/>
        </w:rPr>
        <w:t>提出的疑问及问题</w:t>
      </w:r>
      <w:r>
        <w:rPr>
          <w:rFonts w:hint="eastAsia" w:hAnsi="宋体"/>
          <w:szCs w:val="24"/>
        </w:rPr>
        <w:t>。必要时，招标代理机构将组织相关专家召开答疑会</w:t>
      </w:r>
      <w:r>
        <w:rPr>
          <w:rFonts w:hint="eastAsia" w:hAnsi="宋体"/>
        </w:rPr>
        <w:t>。招标代理机构将根据具体情况采用其认为适当的方式予以回复,并在必要时将不标明问题来源的书面答复发给本项目的本谈判文件的所有收受人。该书面澄清答复将视为本文件的组成部分。</w:t>
      </w:r>
    </w:p>
    <w:p>
      <w:pPr>
        <w:pStyle w:val="26"/>
        <w:adjustRightInd w:val="0"/>
        <w:snapToGrid w:val="0"/>
        <w:spacing w:line="360" w:lineRule="auto"/>
        <w:ind w:left="360" w:hanging="360"/>
        <w:rPr>
          <w:rFonts w:hAnsi="宋体"/>
          <w:szCs w:val="24"/>
        </w:rPr>
      </w:pPr>
      <w:r>
        <w:rPr>
          <w:rFonts w:hint="eastAsia" w:hAnsi="宋体"/>
        </w:rPr>
        <w:t>6.2</w:t>
      </w:r>
      <w:r>
        <w:rPr>
          <w:rFonts w:hint="eastAsia"/>
        </w:rPr>
        <w:t>提交首次报价文件截止之日前，招标人、招标代理机构或者谈判小组可以对已发出的谈判文件进行必要的澄清或者修改，澄清或者修改的内容作为谈判文件的组成部分。澄清或者修改的内容可能影响报价文件编制的，招标人、招标代理机构或者谈判小组应当在提交首次报价文件截止之日3个工作日前，以书面形式通知所有接收谈判文件的报价人，不足3个工作日的，应当顺延提交首次报价文件截止之日。</w:t>
      </w:r>
    </w:p>
    <w:p>
      <w:pPr>
        <w:pStyle w:val="26"/>
        <w:tabs>
          <w:tab w:val="left" w:pos="540"/>
        </w:tabs>
        <w:adjustRightInd w:val="0"/>
        <w:snapToGrid w:val="0"/>
        <w:spacing w:line="360" w:lineRule="auto"/>
        <w:ind w:left="360" w:hanging="360"/>
        <w:rPr>
          <w:rFonts w:hAnsi="宋体"/>
          <w:spacing w:val="-6"/>
          <w:szCs w:val="24"/>
        </w:rPr>
      </w:pPr>
      <w:r>
        <w:rPr>
          <w:rFonts w:hint="eastAsia" w:hAnsi="宋体"/>
          <w:szCs w:val="24"/>
        </w:rPr>
        <w:t>6.3</w:t>
      </w:r>
      <w:r>
        <w:rPr>
          <w:rFonts w:hint="eastAsia" w:hAnsi="宋体" w:cs="宋体"/>
          <w:spacing w:val="-6"/>
          <w:szCs w:val="24"/>
        </w:rPr>
        <w:t>报价人</w:t>
      </w:r>
      <w:r>
        <w:rPr>
          <w:rFonts w:hint="eastAsia" w:hAnsi="宋体"/>
          <w:spacing w:val="-6"/>
          <w:szCs w:val="24"/>
        </w:rPr>
        <w:t>在规定的时间内未对谈判文件澄清或提出疑问的，</w:t>
      </w:r>
      <w:r>
        <w:rPr>
          <w:rFonts w:hint="eastAsia" w:hAnsi="宋体"/>
        </w:rPr>
        <w:t>招标代理机构</w:t>
      </w:r>
      <w:r>
        <w:rPr>
          <w:rFonts w:hint="eastAsia" w:hAnsi="宋体"/>
          <w:szCs w:val="24"/>
        </w:rPr>
        <w:t>将</w:t>
      </w:r>
      <w:r>
        <w:rPr>
          <w:rFonts w:hint="eastAsia" w:hAnsi="宋体"/>
          <w:spacing w:val="-6"/>
          <w:szCs w:val="24"/>
        </w:rPr>
        <w:t>视其为无异议。对谈判文件中描述有歧意或前后不一致的地方，谈判小组有权进行评判，但对同一条款的评判应适用于每个报价人。</w:t>
      </w:r>
    </w:p>
    <w:p>
      <w:pPr>
        <w:pStyle w:val="26"/>
        <w:adjustRightInd w:val="0"/>
        <w:snapToGrid w:val="0"/>
        <w:spacing w:line="360" w:lineRule="auto"/>
        <w:rPr>
          <w:rFonts w:hAnsi="宋体"/>
          <w:szCs w:val="24"/>
        </w:rPr>
      </w:pPr>
      <w:r>
        <w:rPr>
          <w:rFonts w:hint="eastAsia" w:hAnsi="宋体"/>
          <w:szCs w:val="24"/>
        </w:rPr>
        <w:t>7. 谈判文件的修改</w:t>
      </w:r>
    </w:p>
    <w:p>
      <w:pPr>
        <w:pStyle w:val="26"/>
        <w:adjustRightInd w:val="0"/>
        <w:snapToGrid w:val="0"/>
        <w:spacing w:line="360" w:lineRule="auto"/>
        <w:ind w:left="420" w:hanging="420"/>
        <w:rPr>
          <w:rFonts w:hAnsi="宋体"/>
          <w:szCs w:val="24"/>
        </w:rPr>
      </w:pPr>
      <w:r>
        <w:rPr>
          <w:rFonts w:hint="eastAsia" w:hAnsi="宋体"/>
          <w:szCs w:val="24"/>
        </w:rPr>
        <w:t>7.l在报价截止时间前，无论出于何种原因，</w:t>
      </w:r>
      <w:r>
        <w:rPr>
          <w:rFonts w:hint="eastAsia" w:hAnsi="宋体"/>
        </w:rPr>
        <w:t>根据项目的需要</w:t>
      </w:r>
      <w:r>
        <w:rPr>
          <w:rFonts w:hint="eastAsia" w:hAnsi="宋体"/>
          <w:szCs w:val="24"/>
        </w:rPr>
        <w:t>，</w:t>
      </w:r>
      <w:r>
        <w:rPr>
          <w:rFonts w:hint="eastAsia" w:hAnsi="宋体"/>
        </w:rPr>
        <w:t>招标代理机构</w:t>
      </w:r>
      <w:r>
        <w:rPr>
          <w:rFonts w:hint="eastAsia" w:hAnsi="宋体"/>
          <w:szCs w:val="24"/>
        </w:rPr>
        <w:t>可主动地或在解答报价人提出的疑问时对</w:t>
      </w:r>
      <w:r>
        <w:rPr>
          <w:rFonts w:hint="eastAsia" w:hAnsi="宋体"/>
        </w:rPr>
        <w:t>谈判文件进行修改和变更。</w:t>
      </w:r>
    </w:p>
    <w:p>
      <w:pPr>
        <w:pStyle w:val="26"/>
        <w:adjustRightInd w:val="0"/>
        <w:snapToGrid w:val="0"/>
        <w:spacing w:line="360" w:lineRule="auto"/>
        <w:ind w:left="360" w:hanging="360"/>
        <w:rPr>
          <w:rFonts w:hAnsi="宋体"/>
          <w:szCs w:val="24"/>
        </w:rPr>
      </w:pPr>
      <w:r>
        <w:rPr>
          <w:rFonts w:hint="eastAsia" w:hAnsi="宋体"/>
          <w:szCs w:val="24"/>
        </w:rPr>
        <w:t>7.2</w:t>
      </w:r>
      <w:r>
        <w:rPr>
          <w:rFonts w:hint="eastAsia" w:hAnsi="宋体"/>
        </w:rPr>
        <w:t>谈判文件的修改将以书面的形式于报价文件递交截止时间前通知本谈判文件的所有收受人。该修改文件将构成谈判文件的一部分。报价人应在收到该修改文件后立即以书面形式予以确认并受其约束。</w:t>
      </w:r>
    </w:p>
    <w:p>
      <w:pPr>
        <w:spacing w:line="360" w:lineRule="auto"/>
        <w:ind w:left="360" w:hanging="360"/>
        <w:rPr>
          <w:rFonts w:hAnsi="宋体"/>
          <w:sz w:val="21"/>
          <w:szCs w:val="21"/>
        </w:rPr>
      </w:pPr>
      <w:r>
        <w:rPr>
          <w:rFonts w:hint="eastAsia" w:hAnsi="宋体"/>
          <w:sz w:val="21"/>
          <w:szCs w:val="21"/>
        </w:rPr>
        <w:t>7.3考虑到该修改和变更的影响，招标人和招标代理机构可酌情推迟报价文件递交截止时间，但应发布公告并书面通知所有购买谈判文件的报价人。</w:t>
      </w:r>
    </w:p>
    <w:p>
      <w:pPr>
        <w:spacing w:line="360" w:lineRule="auto"/>
        <w:ind w:left="360" w:hanging="360"/>
      </w:pPr>
      <w:r>
        <w:rPr>
          <w:rFonts w:hint="eastAsia" w:hAnsi="宋体"/>
          <w:sz w:val="21"/>
          <w:szCs w:val="21"/>
        </w:rPr>
        <w:t>7.4在谈判过程中，谈判文件内容如有实质性的变更，谈判小组应以书面形式通知所有参与谈判的报价人。若报价人对此类实质性变更不予接受，可以要求退出谈判，否则将被视为接受此变更并受其约束。</w:t>
      </w:r>
    </w:p>
    <w:p>
      <w:pPr>
        <w:pStyle w:val="26"/>
        <w:adjustRightInd w:val="0"/>
        <w:snapToGrid w:val="0"/>
        <w:spacing w:line="360" w:lineRule="auto"/>
        <w:ind w:left="420" w:hanging="420"/>
        <w:rPr>
          <w:rFonts w:hAnsi="宋体"/>
          <w:b/>
          <w:sz w:val="24"/>
          <w:szCs w:val="24"/>
        </w:rPr>
      </w:pPr>
      <w:r>
        <w:rPr>
          <w:rFonts w:hint="eastAsia" w:hAnsi="宋体"/>
          <w:b/>
          <w:sz w:val="24"/>
          <w:szCs w:val="24"/>
        </w:rPr>
        <w:t>三、报价文件的编制</w:t>
      </w:r>
    </w:p>
    <w:p>
      <w:pPr>
        <w:spacing w:line="360" w:lineRule="auto"/>
        <w:rPr>
          <w:rFonts w:hAnsi="宋体"/>
          <w:sz w:val="21"/>
          <w:szCs w:val="21"/>
        </w:rPr>
      </w:pPr>
      <w:r>
        <w:rPr>
          <w:rFonts w:hint="eastAsia" w:hAnsi="宋体"/>
          <w:sz w:val="21"/>
          <w:szCs w:val="21"/>
        </w:rPr>
        <w:t>8. 报价文件编制基本要求</w:t>
      </w:r>
    </w:p>
    <w:p>
      <w:pPr>
        <w:spacing w:line="360" w:lineRule="auto"/>
        <w:ind w:left="420" w:hanging="420"/>
        <w:rPr>
          <w:rFonts w:hAnsi="宋体"/>
          <w:sz w:val="21"/>
          <w:szCs w:val="21"/>
        </w:rPr>
      </w:pPr>
      <w:r>
        <w:rPr>
          <w:rFonts w:hint="eastAsia" w:hAnsi="宋体"/>
          <w:sz w:val="21"/>
          <w:szCs w:val="21"/>
        </w:rPr>
        <w:t>8.1 报价人对报价文件的编制应按要求装订和封装，对未经装订的报价文件可能发生的文件散落或缺损，由此产生的后果由报价人承担。</w:t>
      </w:r>
    </w:p>
    <w:p>
      <w:pPr>
        <w:pStyle w:val="26"/>
        <w:adjustRightInd w:val="0"/>
        <w:snapToGrid w:val="0"/>
        <w:spacing w:line="360" w:lineRule="auto"/>
        <w:ind w:left="360" w:hanging="360"/>
        <w:rPr>
          <w:rFonts w:hAnsi="宋体"/>
          <w:szCs w:val="21"/>
        </w:rPr>
      </w:pPr>
      <w:r>
        <w:rPr>
          <w:rFonts w:hint="eastAsia" w:hAnsi="宋体"/>
          <w:szCs w:val="21"/>
        </w:rPr>
        <w:t>8.2 报价人提交的</w:t>
      </w:r>
      <w:r>
        <w:rPr>
          <w:rFonts w:hint="eastAsia" w:hAnsi="宋体" w:cs="宋体"/>
          <w:szCs w:val="21"/>
        </w:rPr>
        <w:t>报价文件</w:t>
      </w:r>
      <w:r>
        <w:rPr>
          <w:rFonts w:hint="eastAsia" w:hAnsi="宋体"/>
          <w:szCs w:val="21"/>
        </w:rPr>
        <w:t>及其与招标人就有关谈判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360" w:lineRule="auto"/>
        <w:ind w:left="420" w:hanging="420"/>
        <w:rPr>
          <w:rFonts w:hAnsi="宋体"/>
          <w:sz w:val="21"/>
          <w:szCs w:val="21"/>
        </w:rPr>
      </w:pPr>
      <w:r>
        <w:rPr>
          <w:rFonts w:hint="eastAsia" w:hAnsi="宋体"/>
          <w:sz w:val="21"/>
          <w:szCs w:val="21"/>
        </w:rPr>
        <w:t>8.3报价人应认真阅读、并充分理解谈判文件的全部内容（包括所有的补充、修改内容、重要事项、格式、条款和技术规范、参数及要求等），并应完整、真实、准确的填写谈判文件中规定的所有内容。报价人没有按照谈判文件要求提交全部资料，或者报价没有对谈判文件在各方面都作出实质性响应是报价人的风险，有可能导致其报价被拒绝，或被认定为无效报价或被确定为报价无效。</w:t>
      </w:r>
    </w:p>
    <w:p>
      <w:pPr>
        <w:spacing w:line="360" w:lineRule="auto"/>
        <w:ind w:left="420" w:hanging="420"/>
        <w:rPr>
          <w:rFonts w:hAnsi="宋体"/>
          <w:sz w:val="21"/>
          <w:szCs w:val="21"/>
        </w:rPr>
      </w:pPr>
      <w:r>
        <w:rPr>
          <w:rFonts w:hint="eastAsia" w:hAnsi="宋体"/>
          <w:sz w:val="21"/>
          <w:szCs w:val="21"/>
        </w:rPr>
        <w:t>8.4如因报价人只填写和提供了本文件要求的部分内容和附件，或报价文件填报的内容不详，而给谈判造成困难的，其可能导致的结果和责任由报价人自行承担。</w:t>
      </w:r>
    </w:p>
    <w:p>
      <w:pPr>
        <w:spacing w:line="360" w:lineRule="auto"/>
        <w:ind w:left="420" w:hanging="420"/>
        <w:rPr>
          <w:rFonts w:hAnsi="宋体"/>
          <w:sz w:val="21"/>
          <w:szCs w:val="21"/>
        </w:rPr>
      </w:pPr>
      <w:r>
        <w:rPr>
          <w:rFonts w:hint="eastAsia" w:hAnsi="宋体"/>
          <w:sz w:val="21"/>
          <w:szCs w:val="21"/>
        </w:rPr>
        <w:t>8.5报价人必须对报价文件所提供的全部资料的真实性承担法律责任，并无条件接受招标人及招标监督管理部门等对其中任何资料进行核实的要求。</w:t>
      </w:r>
    </w:p>
    <w:p>
      <w:pPr>
        <w:tabs>
          <w:tab w:val="left" w:pos="720"/>
          <w:tab w:val="left" w:pos="3460"/>
        </w:tabs>
        <w:spacing w:line="360" w:lineRule="auto"/>
        <w:ind w:left="525" w:hanging="525" w:hangingChars="250"/>
        <w:jc w:val="both"/>
        <w:rPr>
          <w:rFonts w:hAnsi="宋体"/>
          <w:kern w:val="2"/>
          <w:sz w:val="21"/>
          <w:szCs w:val="21"/>
          <w:lang w:val="zh-CN"/>
        </w:rPr>
      </w:pPr>
      <w:r>
        <w:rPr>
          <w:rFonts w:hint="eastAsia" w:hAnsi="宋体"/>
          <w:kern w:val="2"/>
          <w:sz w:val="21"/>
          <w:szCs w:val="21"/>
        </w:rPr>
        <w:t>8</w:t>
      </w:r>
      <w:r>
        <w:rPr>
          <w:rFonts w:hint="eastAsia" w:hAnsi="宋体"/>
          <w:kern w:val="2"/>
          <w:sz w:val="21"/>
          <w:szCs w:val="21"/>
          <w:lang w:val="zh-CN"/>
        </w:rPr>
        <w:t>.</w:t>
      </w:r>
      <w:r>
        <w:rPr>
          <w:rFonts w:hint="eastAsia" w:hAnsi="宋体"/>
          <w:kern w:val="2"/>
          <w:sz w:val="21"/>
          <w:szCs w:val="21"/>
        </w:rPr>
        <w:t>6</w:t>
      </w:r>
      <w:r>
        <w:rPr>
          <w:rFonts w:hint="eastAsia" w:hAnsi="宋体"/>
          <w:kern w:val="2"/>
          <w:sz w:val="21"/>
          <w:szCs w:val="21"/>
          <w:lang w:val="zh-CN"/>
        </w:rPr>
        <w:t>招标文件中，如标有“★”的条款均为必须完全满足指标，报价人须进行实质性响应，报价人若有一项带“★”的条款未响应或不满足，将按无效投标处理。</w:t>
      </w:r>
    </w:p>
    <w:p>
      <w:pPr>
        <w:tabs>
          <w:tab w:val="left" w:pos="720"/>
          <w:tab w:val="left" w:pos="3460"/>
        </w:tabs>
        <w:spacing w:line="360" w:lineRule="auto"/>
        <w:ind w:left="525" w:hanging="525" w:hangingChars="250"/>
        <w:jc w:val="both"/>
        <w:rPr>
          <w:rFonts w:hAnsi="宋体"/>
          <w:kern w:val="2"/>
          <w:sz w:val="21"/>
          <w:szCs w:val="21"/>
          <w:lang w:val="zh-CN"/>
        </w:rPr>
      </w:pPr>
      <w:r>
        <w:rPr>
          <w:rFonts w:hint="eastAsia" w:hAnsi="宋体"/>
          <w:kern w:val="2"/>
          <w:sz w:val="21"/>
          <w:szCs w:val="21"/>
        </w:rPr>
        <w:t>8</w:t>
      </w:r>
      <w:r>
        <w:rPr>
          <w:rFonts w:hint="eastAsia" w:hAnsi="宋体"/>
          <w:kern w:val="2"/>
          <w:sz w:val="21"/>
          <w:szCs w:val="21"/>
          <w:lang w:val="zh-CN"/>
        </w:rPr>
        <w:t>.</w:t>
      </w:r>
      <w:r>
        <w:rPr>
          <w:rFonts w:hint="eastAsia" w:hAnsi="宋体"/>
          <w:kern w:val="2"/>
          <w:sz w:val="21"/>
          <w:szCs w:val="21"/>
        </w:rPr>
        <w:t>7</w:t>
      </w:r>
      <w:r>
        <w:rPr>
          <w:rFonts w:hint="eastAsia" w:hAnsi="宋体"/>
          <w:kern w:val="2"/>
          <w:sz w:val="21"/>
          <w:szCs w:val="21"/>
          <w:lang w:val="zh-CN"/>
        </w:rPr>
        <w:t>招标文件中，如标有“▲”的条款均为评审的重要评分指标，报价人若有部分“▲”条款未响应或不满足，将导致其响应性评审严重扣分。</w:t>
      </w:r>
    </w:p>
    <w:p>
      <w:pPr>
        <w:pStyle w:val="26"/>
        <w:adjustRightInd w:val="0"/>
        <w:snapToGrid w:val="0"/>
        <w:spacing w:line="360" w:lineRule="auto"/>
        <w:rPr>
          <w:rFonts w:hAnsi="宋体"/>
          <w:szCs w:val="21"/>
        </w:rPr>
      </w:pPr>
      <w:r>
        <w:rPr>
          <w:rFonts w:hint="eastAsia" w:hAnsi="宋体"/>
          <w:szCs w:val="21"/>
        </w:rPr>
        <w:t>9. 报价文件的构成</w:t>
      </w:r>
    </w:p>
    <w:p>
      <w:pPr>
        <w:pStyle w:val="26"/>
        <w:adjustRightInd w:val="0"/>
        <w:snapToGrid w:val="0"/>
        <w:spacing w:line="360" w:lineRule="auto"/>
        <w:rPr>
          <w:rFonts w:hAnsi="宋体"/>
          <w:szCs w:val="21"/>
        </w:rPr>
      </w:pPr>
      <w:r>
        <w:rPr>
          <w:rFonts w:hint="eastAsia" w:hAnsi="宋体"/>
          <w:szCs w:val="21"/>
        </w:rPr>
        <w:t>9.1报价文件的构成应符合法律法规及谈判文件的要求。</w:t>
      </w:r>
    </w:p>
    <w:p>
      <w:pPr>
        <w:spacing w:line="360" w:lineRule="auto"/>
        <w:ind w:left="360" w:hanging="360"/>
        <w:rPr>
          <w:rFonts w:hAnsi="宋体"/>
          <w:sz w:val="21"/>
          <w:szCs w:val="21"/>
        </w:rPr>
      </w:pPr>
      <w:r>
        <w:rPr>
          <w:rFonts w:hint="eastAsia" w:hAnsi="宋体"/>
          <w:sz w:val="21"/>
          <w:szCs w:val="21"/>
        </w:rPr>
        <w:t xml:space="preserve">9.2报价人应按本谈判文件规定的内容和格式编制并提交报价文件，报价文件应参照谈判文件第六部分的内容要求、编排顺序和格式要求，按顺序装订成册，提供全面的报价文件。包含但不限于以下内容： </w:t>
      </w:r>
    </w:p>
    <w:p>
      <w:pPr>
        <w:spacing w:line="360" w:lineRule="auto"/>
        <w:ind w:left="720" w:hanging="540"/>
        <w:rPr>
          <w:rFonts w:hAnsi="宋体"/>
          <w:sz w:val="21"/>
          <w:szCs w:val="21"/>
        </w:rPr>
      </w:pPr>
      <w:r>
        <w:rPr>
          <w:rFonts w:hint="eastAsia" w:hAnsi="宋体"/>
          <w:sz w:val="21"/>
          <w:szCs w:val="21"/>
        </w:rPr>
        <w:t>（1）报价人报价的内容与谈判文件的技术、商务要求有偏离时，无论这种偏离是否有利于买方，报价人都应按附件的格式如实填写与用户需求差异表和合同条款响应表；</w:t>
      </w:r>
    </w:p>
    <w:p>
      <w:pPr>
        <w:spacing w:line="360" w:lineRule="auto"/>
        <w:ind w:left="720" w:hanging="540"/>
        <w:rPr>
          <w:rFonts w:hAnsi="宋体"/>
          <w:sz w:val="21"/>
          <w:szCs w:val="21"/>
        </w:rPr>
      </w:pPr>
      <w:r>
        <w:rPr>
          <w:rFonts w:hint="eastAsia" w:hAnsi="宋体"/>
          <w:sz w:val="21"/>
          <w:szCs w:val="21"/>
        </w:rPr>
        <w:t>（2）报价人应按报价文件格式的要求提交资格证明文件，并对这些资格文件的真实性负责；</w:t>
      </w:r>
    </w:p>
    <w:p>
      <w:pPr>
        <w:spacing w:line="360" w:lineRule="auto"/>
        <w:ind w:left="720" w:hanging="540"/>
        <w:rPr>
          <w:rFonts w:hAnsi="宋体"/>
          <w:sz w:val="21"/>
          <w:szCs w:val="21"/>
        </w:rPr>
      </w:pPr>
      <w:r>
        <w:rPr>
          <w:rFonts w:hint="eastAsia" w:hAnsi="宋体"/>
          <w:sz w:val="21"/>
          <w:szCs w:val="21"/>
        </w:rPr>
        <w:t>（3）报价文件（参见谈判文件第六部分报价文件格式）；</w:t>
      </w:r>
    </w:p>
    <w:p>
      <w:pPr>
        <w:spacing w:line="360" w:lineRule="auto"/>
        <w:ind w:left="720" w:hanging="540"/>
        <w:rPr>
          <w:rFonts w:hAnsi="宋体"/>
          <w:sz w:val="21"/>
          <w:szCs w:val="21"/>
        </w:rPr>
      </w:pPr>
      <w:r>
        <w:rPr>
          <w:rFonts w:hint="eastAsia" w:hAnsi="宋体"/>
          <w:sz w:val="21"/>
          <w:szCs w:val="21"/>
        </w:rPr>
        <w:t>（4）商务文件（参见谈判文件第六部分报价文件格式）；</w:t>
      </w:r>
    </w:p>
    <w:p>
      <w:pPr>
        <w:spacing w:line="360" w:lineRule="auto"/>
        <w:ind w:left="720" w:hanging="540"/>
        <w:rPr>
          <w:rFonts w:hAnsi="宋体"/>
          <w:sz w:val="21"/>
          <w:szCs w:val="21"/>
        </w:rPr>
      </w:pPr>
      <w:r>
        <w:rPr>
          <w:rFonts w:hint="eastAsia" w:hAnsi="宋体"/>
          <w:sz w:val="21"/>
          <w:szCs w:val="21"/>
        </w:rPr>
        <w:t>（</w:t>
      </w:r>
      <w:r>
        <w:rPr>
          <w:rFonts w:hAnsi="宋体"/>
          <w:sz w:val="21"/>
          <w:szCs w:val="21"/>
        </w:rPr>
        <w:t>5</w:t>
      </w:r>
      <w:r>
        <w:rPr>
          <w:rFonts w:hint="eastAsia" w:hAnsi="宋体"/>
          <w:sz w:val="21"/>
          <w:szCs w:val="21"/>
        </w:rPr>
        <w:t>）技术文件（参见谈判文件第六部分报价文件格式）；</w:t>
      </w:r>
    </w:p>
    <w:p>
      <w:pPr>
        <w:spacing w:line="360" w:lineRule="auto"/>
        <w:ind w:left="720" w:hanging="540"/>
        <w:rPr>
          <w:rFonts w:hAnsi="宋体"/>
          <w:sz w:val="21"/>
          <w:szCs w:val="21"/>
        </w:rPr>
      </w:pPr>
      <w:r>
        <w:rPr>
          <w:rFonts w:hint="eastAsia" w:hAnsi="宋体"/>
          <w:sz w:val="21"/>
          <w:szCs w:val="21"/>
        </w:rPr>
        <w:t>（6）报价人认为需加以说明的其他内容。</w:t>
      </w:r>
    </w:p>
    <w:p>
      <w:pPr>
        <w:pStyle w:val="26"/>
        <w:adjustRightInd w:val="0"/>
        <w:snapToGrid w:val="0"/>
        <w:spacing w:line="360" w:lineRule="auto"/>
        <w:rPr>
          <w:rFonts w:hAnsi="宋体"/>
          <w:szCs w:val="21"/>
        </w:rPr>
      </w:pPr>
      <w:r>
        <w:rPr>
          <w:rFonts w:hint="eastAsia" w:hAnsi="宋体"/>
          <w:szCs w:val="21"/>
        </w:rPr>
        <w:t>9.3报价人相关证明文件</w:t>
      </w:r>
    </w:p>
    <w:p>
      <w:pPr>
        <w:pStyle w:val="26"/>
        <w:adjustRightInd w:val="0"/>
        <w:snapToGrid w:val="0"/>
        <w:spacing w:line="360" w:lineRule="auto"/>
        <w:rPr>
          <w:rFonts w:hAnsi="宋体"/>
          <w:szCs w:val="21"/>
        </w:rPr>
      </w:pPr>
      <w:r>
        <w:rPr>
          <w:rFonts w:hint="eastAsia" w:hAnsi="宋体"/>
          <w:szCs w:val="21"/>
        </w:rPr>
        <w:t>9.4 证明报价标的的合格性和符合谈判文件规定的文件：</w:t>
      </w:r>
    </w:p>
    <w:p>
      <w:pPr>
        <w:pStyle w:val="26"/>
        <w:adjustRightInd w:val="0"/>
        <w:snapToGrid w:val="0"/>
        <w:spacing w:line="360" w:lineRule="auto"/>
        <w:ind w:left="420" w:hanging="420"/>
        <w:rPr>
          <w:rFonts w:hAnsi="宋体"/>
          <w:szCs w:val="21"/>
        </w:rPr>
      </w:pPr>
      <w:r>
        <w:rPr>
          <w:rFonts w:hint="eastAsia" w:hAnsi="宋体"/>
          <w:szCs w:val="21"/>
        </w:rPr>
        <w:t>9.4.1 证明货物及相关服务与谈判文件的要求相一致的文件，可以是文字资料、图纸、数据和实物，包括如下各项：</w:t>
      </w:r>
    </w:p>
    <w:p>
      <w:pPr>
        <w:pStyle w:val="26"/>
        <w:adjustRightInd w:val="0"/>
        <w:snapToGrid w:val="0"/>
        <w:spacing w:line="360" w:lineRule="auto"/>
        <w:ind w:left="480" w:leftChars="200"/>
        <w:rPr>
          <w:rFonts w:hAnsi="宋体"/>
          <w:szCs w:val="21"/>
        </w:rPr>
      </w:pPr>
      <w:r>
        <w:rPr>
          <w:rFonts w:hint="eastAsia" w:hAnsi="宋体"/>
          <w:szCs w:val="21"/>
        </w:rPr>
        <w:t>（1）服务的详细说明；</w:t>
      </w:r>
    </w:p>
    <w:p>
      <w:pPr>
        <w:pStyle w:val="26"/>
        <w:adjustRightInd w:val="0"/>
        <w:snapToGrid w:val="0"/>
        <w:spacing w:line="360" w:lineRule="auto"/>
        <w:ind w:left="480" w:leftChars="200"/>
        <w:rPr>
          <w:rFonts w:hAnsi="宋体"/>
          <w:szCs w:val="21"/>
        </w:rPr>
      </w:pPr>
      <w:r>
        <w:rPr>
          <w:rFonts w:hint="eastAsia" w:hAnsi="宋体"/>
          <w:szCs w:val="21"/>
        </w:rPr>
        <w:t>（2）详细的合同项下提供服务的执行时间表及其实施措施，明确标注出影响合同执行的关键时间及因素；</w:t>
      </w:r>
    </w:p>
    <w:p>
      <w:pPr>
        <w:pStyle w:val="26"/>
        <w:adjustRightInd w:val="0"/>
        <w:snapToGrid w:val="0"/>
        <w:spacing w:line="360" w:lineRule="auto"/>
        <w:ind w:left="480" w:leftChars="200"/>
        <w:rPr>
          <w:rFonts w:hAnsi="宋体"/>
          <w:szCs w:val="21"/>
        </w:rPr>
      </w:pPr>
      <w:r>
        <w:rPr>
          <w:rFonts w:hint="eastAsia" w:hAnsi="宋体"/>
          <w:szCs w:val="21"/>
        </w:rPr>
        <w:t>（3）招标人在《投标须知前附表》规定的周期内正常、连续地服务所必需的备品备件、专用工具的清单。</w:t>
      </w:r>
    </w:p>
    <w:p>
      <w:pPr>
        <w:pStyle w:val="26"/>
        <w:adjustRightInd w:val="0"/>
        <w:snapToGrid w:val="0"/>
        <w:spacing w:line="360" w:lineRule="auto"/>
        <w:ind w:left="465" w:leftChars="150" w:hanging="105" w:hangingChars="50"/>
        <w:rPr>
          <w:rFonts w:hAnsi="宋体"/>
          <w:szCs w:val="21"/>
        </w:rPr>
      </w:pPr>
      <w:r>
        <w:rPr>
          <w:rFonts w:hint="eastAsia" w:hAnsi="宋体"/>
          <w:szCs w:val="21"/>
        </w:rPr>
        <w:t>（4）对照招标文件要求的服务，报价人逐条说明所提供的服务已对招标文件中的服务要求作出了实质性的响应；或申明与招标文件规定条文的偏差和例外。</w:t>
      </w:r>
    </w:p>
    <w:p>
      <w:pPr>
        <w:pStyle w:val="26"/>
        <w:adjustRightInd w:val="0"/>
        <w:snapToGrid w:val="0"/>
        <w:spacing w:line="360" w:lineRule="auto"/>
        <w:ind w:left="420" w:hanging="420"/>
        <w:rPr>
          <w:rFonts w:hAnsi="宋体"/>
          <w:szCs w:val="21"/>
        </w:rPr>
      </w:pPr>
      <w:r>
        <w:rPr>
          <w:rFonts w:hint="eastAsia" w:hAnsi="宋体"/>
          <w:kern w:val="0"/>
          <w:szCs w:val="21"/>
        </w:rPr>
        <w:t>9.5在参加本次招标活动前三年内在经营活动中没有重大违法记录的申明</w:t>
      </w:r>
      <w:r>
        <w:rPr>
          <w:rFonts w:hint="eastAsia" w:hAnsi="宋体"/>
          <w:szCs w:val="21"/>
        </w:rPr>
        <w:t>；</w:t>
      </w:r>
    </w:p>
    <w:p>
      <w:pPr>
        <w:spacing w:line="360" w:lineRule="auto"/>
        <w:rPr>
          <w:rFonts w:hAnsi="宋体"/>
          <w:sz w:val="21"/>
          <w:szCs w:val="21"/>
        </w:rPr>
      </w:pPr>
      <w:r>
        <w:rPr>
          <w:rFonts w:hint="eastAsia" w:hAnsi="宋体"/>
          <w:sz w:val="21"/>
          <w:szCs w:val="21"/>
        </w:rPr>
        <w:t>9.6在核定的经营范围内报价；</w:t>
      </w:r>
    </w:p>
    <w:p>
      <w:pPr>
        <w:spacing w:line="360" w:lineRule="auto"/>
        <w:rPr>
          <w:rFonts w:hAnsi="宋体"/>
          <w:sz w:val="21"/>
          <w:szCs w:val="21"/>
        </w:rPr>
      </w:pPr>
      <w:r>
        <w:rPr>
          <w:rFonts w:hint="eastAsia" w:hAnsi="宋体"/>
          <w:sz w:val="21"/>
          <w:szCs w:val="21"/>
        </w:rPr>
        <w:t>10. 报价及计量</w:t>
      </w:r>
    </w:p>
    <w:p>
      <w:pPr>
        <w:spacing w:line="360" w:lineRule="auto"/>
        <w:ind w:left="420" w:hanging="420"/>
        <w:rPr>
          <w:sz w:val="21"/>
          <w:szCs w:val="21"/>
        </w:rPr>
      </w:pPr>
      <w:r>
        <w:rPr>
          <w:rFonts w:hint="eastAsia" w:hAnsi="宋体"/>
          <w:sz w:val="21"/>
          <w:szCs w:val="21"/>
        </w:rPr>
        <w:t>10.1报价</w:t>
      </w:r>
      <w:r>
        <w:rPr>
          <w:rFonts w:hint="eastAsia"/>
          <w:sz w:val="21"/>
          <w:szCs w:val="21"/>
        </w:rPr>
        <w:t>人所提供的货物和服务均应以人民币报价，若同时以人民币及外币报价的，以人民币报价为准。</w:t>
      </w:r>
    </w:p>
    <w:p>
      <w:pPr>
        <w:spacing w:line="360" w:lineRule="auto"/>
        <w:ind w:left="420" w:hanging="420"/>
        <w:rPr>
          <w:rFonts w:hAnsi="宋体"/>
          <w:sz w:val="21"/>
          <w:szCs w:val="21"/>
        </w:rPr>
      </w:pPr>
      <w:r>
        <w:rPr>
          <w:rFonts w:hint="eastAsia" w:hAnsi="宋体"/>
          <w:sz w:val="21"/>
          <w:szCs w:val="21"/>
        </w:rPr>
        <w:t>10.2报价人应按谈判文件要求的报价范围进行报价。</w:t>
      </w:r>
    </w:p>
    <w:p>
      <w:pPr>
        <w:spacing w:line="360" w:lineRule="auto"/>
        <w:ind w:left="420" w:hanging="420"/>
        <w:rPr>
          <w:rFonts w:hAnsi="宋体"/>
          <w:sz w:val="21"/>
          <w:szCs w:val="21"/>
        </w:rPr>
      </w:pPr>
      <w:r>
        <w:rPr>
          <w:rFonts w:hint="eastAsia" w:hAnsi="宋体"/>
          <w:sz w:val="21"/>
          <w:szCs w:val="21"/>
        </w:rPr>
        <w:t>10.3除技术要求中另有规定外，本文件所要求使用的计量单位均采用国家法定的度、量、衡标准单位计量。</w:t>
      </w:r>
    </w:p>
    <w:p>
      <w:pPr>
        <w:spacing w:line="360" w:lineRule="auto"/>
        <w:rPr>
          <w:rFonts w:hAnsi="宋体"/>
          <w:b/>
        </w:rPr>
      </w:pPr>
      <w:r>
        <w:rPr>
          <w:rFonts w:hint="eastAsia" w:hAnsi="宋体"/>
          <w:b/>
        </w:rPr>
        <w:t>四、谈判报价要求</w:t>
      </w:r>
    </w:p>
    <w:p>
      <w:pPr>
        <w:spacing w:line="360" w:lineRule="auto"/>
        <w:ind w:left="420" w:hanging="420"/>
        <w:rPr>
          <w:rFonts w:hAnsi="宋体"/>
          <w:sz w:val="21"/>
          <w:szCs w:val="21"/>
        </w:rPr>
      </w:pPr>
      <w:r>
        <w:rPr>
          <w:rFonts w:hint="eastAsia" w:hAnsi="宋体"/>
          <w:sz w:val="21"/>
          <w:szCs w:val="21"/>
        </w:rPr>
        <w:t>11. 对于本文件中未列明，而报价人认为必需的费用也需列入总报价。在合同实施时，招标人将不予支付成交供应商没有列入的项目费用，并认为此项目的费用已包括在总报价中。</w:t>
      </w:r>
    </w:p>
    <w:p>
      <w:pPr>
        <w:spacing w:line="360" w:lineRule="auto"/>
        <w:ind w:left="420" w:hanging="420"/>
        <w:rPr>
          <w:rFonts w:hAnsi="宋体"/>
          <w:sz w:val="21"/>
          <w:szCs w:val="21"/>
        </w:rPr>
      </w:pPr>
      <w:r>
        <w:rPr>
          <w:rFonts w:hint="eastAsia" w:hAnsi="宋体"/>
          <w:sz w:val="21"/>
          <w:szCs w:val="21"/>
        </w:rPr>
        <w:t>12. 成交供应商负责本项目所需货物的制造、运输、售后服务、等全部工作。</w:t>
      </w:r>
    </w:p>
    <w:p>
      <w:pPr>
        <w:pStyle w:val="26"/>
        <w:adjustRightInd w:val="0"/>
        <w:snapToGrid w:val="0"/>
        <w:spacing w:line="360" w:lineRule="auto"/>
        <w:rPr>
          <w:rFonts w:hAnsi="宋体"/>
          <w:b/>
          <w:sz w:val="24"/>
          <w:szCs w:val="24"/>
        </w:rPr>
      </w:pPr>
      <w:r>
        <w:rPr>
          <w:rFonts w:hint="eastAsia" w:hAnsi="宋体"/>
          <w:b/>
          <w:sz w:val="24"/>
          <w:szCs w:val="24"/>
        </w:rPr>
        <w:t>五、报价保证金</w:t>
      </w:r>
    </w:p>
    <w:p>
      <w:pPr>
        <w:spacing w:line="360" w:lineRule="auto"/>
        <w:ind w:left="420" w:hanging="420"/>
        <w:rPr>
          <w:rFonts w:hAnsi="宋体"/>
          <w:sz w:val="21"/>
          <w:szCs w:val="21"/>
        </w:rPr>
      </w:pPr>
      <w:r>
        <w:rPr>
          <w:rFonts w:hint="eastAsia" w:hAnsi="宋体"/>
          <w:sz w:val="21"/>
          <w:szCs w:val="21"/>
        </w:rPr>
        <w:t xml:space="preserve">13. </w:t>
      </w:r>
      <w:r>
        <w:rPr>
          <w:rFonts w:hint="eastAsia" w:hAnsi="宋体"/>
          <w:b/>
          <w:sz w:val="21"/>
          <w:szCs w:val="21"/>
        </w:rPr>
        <w:t>报价保证金</w:t>
      </w:r>
    </w:p>
    <w:p>
      <w:pPr>
        <w:spacing w:line="360" w:lineRule="auto"/>
        <w:ind w:left="420" w:hanging="420"/>
        <w:rPr>
          <w:rFonts w:hAnsi="宋体"/>
          <w:sz w:val="21"/>
          <w:szCs w:val="21"/>
        </w:rPr>
      </w:pPr>
      <w:r>
        <w:rPr>
          <w:rFonts w:hint="eastAsia" w:hAnsi="宋体"/>
          <w:sz w:val="21"/>
          <w:szCs w:val="21"/>
        </w:rPr>
        <w:t>13.1</w:t>
      </w:r>
      <w:r>
        <w:rPr>
          <w:rFonts w:hint="eastAsia" w:hAnsi="宋体"/>
          <w:b/>
          <w:sz w:val="21"/>
          <w:szCs w:val="21"/>
        </w:rPr>
        <w:t>报价保证金金额及账户信息及方式：详</w:t>
      </w:r>
      <w:r>
        <w:rPr>
          <w:rFonts w:hint="eastAsia" w:hAnsi="宋体"/>
          <w:b/>
          <w:kern w:val="2"/>
          <w:sz w:val="21"/>
          <w:szCs w:val="21"/>
          <w:lang w:val="zh-CN"/>
        </w:rPr>
        <w:t>见</w:t>
      </w:r>
      <w:r>
        <w:rPr>
          <w:rFonts w:hint="eastAsia" w:hAnsi="宋体"/>
          <w:b/>
          <w:sz w:val="21"/>
          <w:szCs w:val="21"/>
        </w:rPr>
        <w:t>《报价人须知前附表》。</w:t>
      </w:r>
    </w:p>
    <w:p>
      <w:pPr>
        <w:spacing w:line="360" w:lineRule="auto"/>
        <w:ind w:left="420" w:hanging="420"/>
        <w:rPr>
          <w:rFonts w:hAnsi="宋体"/>
          <w:sz w:val="21"/>
          <w:szCs w:val="21"/>
        </w:rPr>
      </w:pPr>
      <w:r>
        <w:rPr>
          <w:rFonts w:hint="eastAsia" w:hAnsi="宋体"/>
          <w:kern w:val="2"/>
          <w:sz w:val="21"/>
          <w:szCs w:val="21"/>
        </w:rPr>
        <w:t>13.2</w:t>
      </w:r>
      <w:r>
        <w:rPr>
          <w:rFonts w:hint="eastAsia" w:hAnsi="宋体"/>
          <w:kern w:val="2"/>
          <w:sz w:val="21"/>
          <w:szCs w:val="21"/>
          <w:lang w:val="zh-CN"/>
        </w:rPr>
        <w:t>报价人应在报价文件递交截止前提交相应的报价保证金，并作为其投标的一部分。</w:t>
      </w:r>
    </w:p>
    <w:p>
      <w:pPr>
        <w:spacing w:line="360" w:lineRule="auto"/>
        <w:ind w:left="420" w:hanging="420"/>
        <w:rPr>
          <w:rFonts w:hAnsi="宋体"/>
          <w:sz w:val="21"/>
          <w:szCs w:val="21"/>
        </w:rPr>
      </w:pPr>
      <w:r>
        <w:rPr>
          <w:rFonts w:hint="eastAsia" w:hAnsi="宋体"/>
          <w:sz w:val="21"/>
          <w:szCs w:val="21"/>
        </w:rPr>
        <w:t>13.3</w:t>
      </w:r>
      <w:r>
        <w:rPr>
          <w:rFonts w:hint="eastAsia" w:hAnsi="宋体"/>
          <w:kern w:val="2"/>
          <w:sz w:val="21"/>
          <w:szCs w:val="21"/>
          <w:lang w:val="zh-CN"/>
        </w:rPr>
        <w:t>报价</w:t>
      </w:r>
      <w:r>
        <w:rPr>
          <w:rFonts w:hint="eastAsia" w:hAnsi="宋体"/>
          <w:sz w:val="21"/>
          <w:szCs w:val="21"/>
        </w:rPr>
        <w:t>保证金是为了保护招标代理机构和招标人免遭因</w:t>
      </w:r>
      <w:r>
        <w:rPr>
          <w:rFonts w:hint="eastAsia" w:hAnsi="宋体"/>
          <w:kern w:val="2"/>
          <w:sz w:val="21"/>
          <w:szCs w:val="21"/>
          <w:lang w:val="zh-CN"/>
        </w:rPr>
        <w:t>报价</w:t>
      </w:r>
      <w:r>
        <w:rPr>
          <w:rFonts w:hint="eastAsia" w:hAnsi="宋体"/>
          <w:sz w:val="21"/>
          <w:szCs w:val="21"/>
        </w:rPr>
        <w:t>人的行为而蒙受的损失。招标代理机构和招标人在因</w:t>
      </w:r>
      <w:r>
        <w:rPr>
          <w:rFonts w:hint="eastAsia" w:hAnsi="宋体"/>
          <w:kern w:val="2"/>
          <w:sz w:val="21"/>
          <w:szCs w:val="21"/>
          <w:lang w:val="zh-CN"/>
        </w:rPr>
        <w:t>报价</w:t>
      </w:r>
      <w:r>
        <w:rPr>
          <w:rFonts w:hint="eastAsia" w:hAnsi="宋体"/>
          <w:sz w:val="21"/>
          <w:szCs w:val="21"/>
        </w:rPr>
        <w:t>人的行为受到损害时可根据本须知（13.8）的规定没收</w:t>
      </w:r>
      <w:r>
        <w:rPr>
          <w:rFonts w:hint="eastAsia" w:hAnsi="宋体"/>
          <w:kern w:val="2"/>
          <w:sz w:val="21"/>
          <w:szCs w:val="21"/>
          <w:lang w:val="zh-CN"/>
        </w:rPr>
        <w:t>报价</w:t>
      </w:r>
      <w:r>
        <w:rPr>
          <w:rFonts w:hint="eastAsia" w:hAnsi="宋体"/>
          <w:sz w:val="21"/>
          <w:szCs w:val="21"/>
        </w:rPr>
        <w:t>人的</w:t>
      </w:r>
      <w:r>
        <w:rPr>
          <w:rFonts w:hint="eastAsia" w:hAnsi="宋体"/>
          <w:kern w:val="2"/>
          <w:sz w:val="21"/>
          <w:szCs w:val="21"/>
          <w:lang w:val="zh-CN"/>
        </w:rPr>
        <w:t>报价</w:t>
      </w:r>
      <w:r>
        <w:rPr>
          <w:rFonts w:hint="eastAsia" w:hAnsi="宋体"/>
          <w:sz w:val="21"/>
          <w:szCs w:val="21"/>
        </w:rPr>
        <w:t>保证金。</w:t>
      </w:r>
    </w:p>
    <w:p>
      <w:pPr>
        <w:snapToGrid w:val="0"/>
        <w:spacing w:line="360" w:lineRule="auto"/>
        <w:ind w:left="403" w:hanging="403" w:hangingChars="192"/>
        <w:rPr>
          <w:rFonts w:hAnsi="宋体"/>
          <w:sz w:val="21"/>
          <w:szCs w:val="21"/>
        </w:rPr>
      </w:pPr>
      <w:r>
        <w:rPr>
          <w:rFonts w:hint="eastAsia" w:hAnsi="宋体"/>
          <w:sz w:val="21"/>
          <w:szCs w:val="21"/>
        </w:rPr>
        <w:t>13.4</w:t>
      </w:r>
      <w:r>
        <w:rPr>
          <w:rFonts w:hint="eastAsia" w:hAnsi="宋体"/>
          <w:kern w:val="2"/>
          <w:sz w:val="21"/>
          <w:szCs w:val="21"/>
          <w:lang w:val="zh-CN"/>
        </w:rPr>
        <w:t>报价保证金采用转帐、电汇方式提交，应符合以下要求：采用银行转账、电汇方式提交的，保证金汇入以下报价保证金专用账户，不接收由以报价人分支机构、私人帐户和其他单位转入的保证金。报价保证金必须在报价文件递交截止前到账，报价保证金未按规定时间到达指定账户或提交金额不足的，将被视为无效投标。且在备注或用途中注明本项目的项目编号。</w:t>
      </w:r>
    </w:p>
    <w:p>
      <w:pPr>
        <w:snapToGrid w:val="0"/>
        <w:spacing w:line="360" w:lineRule="auto"/>
        <w:ind w:left="420" w:hanging="420"/>
        <w:rPr>
          <w:rFonts w:hAnsi="宋体"/>
          <w:sz w:val="21"/>
          <w:szCs w:val="21"/>
        </w:rPr>
      </w:pPr>
      <w:r>
        <w:rPr>
          <w:rFonts w:hint="eastAsia" w:hAnsi="宋体"/>
          <w:sz w:val="21"/>
          <w:szCs w:val="21"/>
        </w:rPr>
        <w:t>13.5</w:t>
      </w:r>
      <w:r>
        <w:rPr>
          <w:rFonts w:hint="eastAsia" w:hAnsi="宋体"/>
          <w:b/>
          <w:bCs/>
          <w:sz w:val="21"/>
          <w:szCs w:val="21"/>
        </w:rPr>
        <w:t>凡未按规定交纳报价保证金的，其</w:t>
      </w:r>
      <w:r>
        <w:rPr>
          <w:rFonts w:hint="eastAsia" w:hAnsi="宋体" w:cs="宋体"/>
          <w:b/>
          <w:bCs/>
          <w:sz w:val="21"/>
          <w:szCs w:val="21"/>
        </w:rPr>
        <w:t>报价文件</w:t>
      </w:r>
      <w:r>
        <w:rPr>
          <w:rFonts w:hint="eastAsia" w:hAnsi="宋体"/>
          <w:b/>
          <w:bCs/>
          <w:sz w:val="21"/>
          <w:szCs w:val="21"/>
        </w:rPr>
        <w:t>为无效报价。</w:t>
      </w:r>
    </w:p>
    <w:p>
      <w:pPr>
        <w:snapToGrid w:val="0"/>
        <w:spacing w:line="360" w:lineRule="auto"/>
        <w:ind w:left="473" w:hanging="472" w:hangingChars="225"/>
        <w:rPr>
          <w:rFonts w:hAnsi="宋体"/>
          <w:sz w:val="21"/>
          <w:szCs w:val="21"/>
        </w:rPr>
      </w:pPr>
      <w:r>
        <w:rPr>
          <w:rFonts w:hint="eastAsia" w:hAnsi="宋体"/>
          <w:sz w:val="21"/>
          <w:szCs w:val="21"/>
        </w:rPr>
        <w:t>13.6如无质疑或投诉，未被确定为成交供应商的报价人保证金，在成交通知书发出后5个工作日内原额退还；如有质疑或投诉，招标代理机构将在质疑和投诉处理完毕后原额退还。</w:t>
      </w:r>
    </w:p>
    <w:p>
      <w:pPr>
        <w:snapToGrid w:val="0"/>
        <w:spacing w:line="360" w:lineRule="auto"/>
        <w:ind w:left="473" w:right="36" w:rightChars="15" w:hanging="472" w:hangingChars="225"/>
        <w:rPr>
          <w:rFonts w:hAnsi="宋体"/>
          <w:sz w:val="21"/>
          <w:szCs w:val="21"/>
        </w:rPr>
      </w:pPr>
      <w:r>
        <w:rPr>
          <w:rFonts w:hint="eastAsia" w:hAnsi="宋体"/>
          <w:sz w:val="21"/>
          <w:szCs w:val="21"/>
        </w:rPr>
        <w:t>13.7成交供应商的报价保证金,在成交供应商与招标人签订招标合同后5个工作日内原额退还。</w:t>
      </w:r>
    </w:p>
    <w:p>
      <w:pPr>
        <w:snapToGrid w:val="0"/>
        <w:spacing w:line="360" w:lineRule="auto"/>
        <w:ind w:left="420" w:right="-168" w:rightChars="-70" w:hanging="420"/>
        <w:rPr>
          <w:rFonts w:hAnsi="宋体"/>
          <w:sz w:val="21"/>
          <w:szCs w:val="21"/>
        </w:rPr>
      </w:pPr>
      <w:r>
        <w:rPr>
          <w:rFonts w:hint="eastAsia" w:hAnsi="宋体"/>
          <w:sz w:val="21"/>
          <w:szCs w:val="21"/>
        </w:rPr>
        <w:t>13.8</w:t>
      </w:r>
      <w:r>
        <w:rPr>
          <w:rFonts w:hint="eastAsia" w:hAnsi="宋体"/>
          <w:kern w:val="2"/>
          <w:sz w:val="21"/>
          <w:szCs w:val="21"/>
          <w:lang w:val="zh-CN"/>
        </w:rPr>
        <w:t>下列任何情况发生时，报价保证金将不予退还</w:t>
      </w:r>
      <w:r>
        <w:rPr>
          <w:rFonts w:hint="eastAsia" w:hAnsi="宋体"/>
          <w:sz w:val="21"/>
          <w:szCs w:val="21"/>
        </w:rPr>
        <w:t>：</w:t>
      </w:r>
    </w:p>
    <w:p>
      <w:pPr>
        <w:tabs>
          <w:tab w:val="left" w:pos="735"/>
        </w:tabs>
        <w:snapToGrid w:val="0"/>
        <w:spacing w:line="360" w:lineRule="auto"/>
        <w:ind w:firstLine="420" w:firstLineChars="200"/>
        <w:rPr>
          <w:rFonts w:hAnsi="宋体"/>
          <w:sz w:val="21"/>
          <w:szCs w:val="21"/>
        </w:rPr>
      </w:pPr>
      <w:r>
        <w:rPr>
          <w:rFonts w:hint="eastAsia" w:hAnsi="宋体"/>
          <w:sz w:val="21"/>
          <w:szCs w:val="21"/>
        </w:rPr>
        <w:t>（1）</w:t>
      </w:r>
      <w:r>
        <w:rPr>
          <w:rFonts w:hint="eastAsia" w:hAnsi="宋体"/>
          <w:snapToGrid w:val="0"/>
          <w:sz w:val="21"/>
          <w:szCs w:val="21"/>
        </w:rPr>
        <w:t>报价人在谈判文件规定的报价有效期内撤回其报价</w:t>
      </w:r>
      <w:r>
        <w:rPr>
          <w:rFonts w:hint="eastAsia" w:hAnsi="宋体"/>
          <w:sz w:val="21"/>
          <w:szCs w:val="21"/>
        </w:rPr>
        <w:t>；</w:t>
      </w:r>
    </w:p>
    <w:p>
      <w:pPr>
        <w:tabs>
          <w:tab w:val="left" w:pos="735"/>
        </w:tabs>
        <w:snapToGrid w:val="0"/>
        <w:spacing w:line="360" w:lineRule="auto"/>
        <w:ind w:firstLine="420" w:firstLineChars="200"/>
        <w:rPr>
          <w:rFonts w:hAnsi="宋体"/>
          <w:sz w:val="21"/>
          <w:szCs w:val="21"/>
        </w:rPr>
      </w:pPr>
      <w:r>
        <w:rPr>
          <w:rFonts w:hint="eastAsia" w:hAnsi="宋体"/>
          <w:sz w:val="21"/>
          <w:szCs w:val="21"/>
        </w:rPr>
        <w:t>（2）成交后无正当理由不与（招标人）签订合同的</w:t>
      </w:r>
      <w:r>
        <w:rPr>
          <w:rFonts w:hint="eastAsia" w:hAnsi="宋体"/>
          <w:snapToGrid w:val="0"/>
          <w:sz w:val="21"/>
          <w:szCs w:val="21"/>
        </w:rPr>
        <w:t>；</w:t>
      </w:r>
    </w:p>
    <w:p>
      <w:pPr>
        <w:pStyle w:val="26"/>
        <w:adjustRightInd w:val="0"/>
        <w:snapToGrid w:val="0"/>
        <w:spacing w:line="360" w:lineRule="auto"/>
        <w:ind w:left="468" w:leftChars="195"/>
        <w:rPr>
          <w:rFonts w:hAnsi="宋体"/>
          <w:szCs w:val="21"/>
        </w:rPr>
      </w:pPr>
      <w:r>
        <w:rPr>
          <w:rFonts w:hint="eastAsia" w:hAnsi="宋体"/>
          <w:szCs w:val="21"/>
        </w:rPr>
        <w:t>（3）将成交项目转让给他人，或者在谈判文件中未说明，且未经招标人同意，违反谈判文件规定，将成交项目分包给他人的。</w:t>
      </w:r>
    </w:p>
    <w:p>
      <w:pPr>
        <w:spacing w:line="360" w:lineRule="auto"/>
        <w:rPr>
          <w:rFonts w:hAnsi="宋体"/>
          <w:b/>
        </w:rPr>
      </w:pPr>
      <w:r>
        <w:rPr>
          <w:rFonts w:hint="eastAsia" w:hAnsi="宋体"/>
          <w:b/>
        </w:rPr>
        <w:t>六、报价文件的份数、封装和递交</w:t>
      </w:r>
    </w:p>
    <w:p>
      <w:pPr>
        <w:spacing w:line="360" w:lineRule="auto"/>
        <w:rPr>
          <w:rFonts w:hAnsi="宋体"/>
          <w:sz w:val="21"/>
          <w:szCs w:val="21"/>
        </w:rPr>
      </w:pPr>
      <w:r>
        <w:rPr>
          <w:rFonts w:hint="eastAsia" w:hAnsi="宋体"/>
          <w:sz w:val="21"/>
          <w:szCs w:val="21"/>
        </w:rPr>
        <w:t>14．</w:t>
      </w:r>
      <w:r>
        <w:rPr>
          <w:rFonts w:hint="eastAsia" w:hAnsi="宋体" w:cs="宋体"/>
          <w:sz w:val="21"/>
          <w:szCs w:val="21"/>
        </w:rPr>
        <w:t>报价文件</w:t>
      </w:r>
      <w:r>
        <w:rPr>
          <w:rFonts w:hint="eastAsia" w:hAnsi="宋体"/>
          <w:sz w:val="21"/>
          <w:szCs w:val="21"/>
        </w:rPr>
        <w:t>的份数和封装</w:t>
      </w:r>
    </w:p>
    <w:p>
      <w:pPr>
        <w:snapToGrid w:val="0"/>
        <w:spacing w:line="360" w:lineRule="auto"/>
        <w:ind w:left="473" w:right="36" w:rightChars="15" w:hanging="472" w:hangingChars="225"/>
        <w:rPr>
          <w:rFonts w:hAnsi="宋体"/>
          <w:sz w:val="21"/>
          <w:szCs w:val="21"/>
        </w:rPr>
      </w:pPr>
      <w:r>
        <w:rPr>
          <w:rFonts w:hint="eastAsia" w:hAnsi="宋体"/>
          <w:sz w:val="21"/>
          <w:szCs w:val="21"/>
        </w:rPr>
        <w:t>14.1报价文件正本、副本的数量见《报价须知前附表》规定，内容应一致，如果正本与副本不符，以正本为准。</w:t>
      </w:r>
    </w:p>
    <w:p>
      <w:pPr>
        <w:snapToGrid w:val="0"/>
        <w:spacing w:line="360" w:lineRule="auto"/>
        <w:ind w:left="473" w:right="36" w:rightChars="15" w:hanging="472" w:hangingChars="225"/>
        <w:rPr>
          <w:rFonts w:hAnsi="宋体"/>
          <w:sz w:val="21"/>
          <w:szCs w:val="21"/>
        </w:rPr>
      </w:pPr>
      <w:r>
        <w:rPr>
          <w:rFonts w:hint="eastAsia" w:hAnsi="宋体"/>
          <w:sz w:val="21"/>
          <w:szCs w:val="21"/>
        </w:rPr>
        <w:t>14.2</w:t>
      </w:r>
      <w:r>
        <w:rPr>
          <w:rFonts w:hint="eastAsia"/>
          <w:bCs/>
          <w:sz w:val="21"/>
          <w:szCs w:val="21"/>
        </w:rPr>
        <w:t>在报价文件中已明示需盖章及签名之处，报价文件正本均须由报价人加盖报价人公章，并经报价人法定代表人或其授权代表签名或盖章。</w:t>
      </w:r>
      <w:r>
        <w:rPr>
          <w:rFonts w:hint="eastAsia" w:hAnsi="宋体"/>
          <w:sz w:val="21"/>
          <w:szCs w:val="21"/>
        </w:rPr>
        <w:t>报价文件的任何行间插字、涂改和增删，必须由报价文件签字人用姓氏或首字母在旁边签字才有效。</w:t>
      </w:r>
    </w:p>
    <w:p>
      <w:pPr>
        <w:snapToGrid w:val="0"/>
        <w:spacing w:line="360" w:lineRule="auto"/>
        <w:ind w:left="473" w:right="36" w:rightChars="15" w:hanging="472" w:hangingChars="225"/>
        <w:rPr>
          <w:rFonts w:hAnsi="宋体"/>
          <w:sz w:val="21"/>
          <w:szCs w:val="21"/>
        </w:rPr>
      </w:pPr>
      <w:r>
        <w:rPr>
          <w:rFonts w:hint="eastAsia" w:hAnsi="宋体"/>
          <w:sz w:val="21"/>
          <w:szCs w:val="21"/>
        </w:rPr>
        <w:t>14.3所有报价文件必须装入密封的信封或封套。报价文件的正本和副本应分别封装，并在每一信封或包装的封面上标明：正本或副本；招标代理机构名称及地址；报价地点及时间；项目名称及编号；报价子项；报价人名称及地址等。</w:t>
      </w:r>
    </w:p>
    <w:p>
      <w:pPr>
        <w:snapToGrid w:val="0"/>
        <w:spacing w:line="360" w:lineRule="auto"/>
        <w:ind w:left="473" w:right="36" w:rightChars="15" w:hanging="472" w:hangingChars="225"/>
        <w:rPr>
          <w:rFonts w:hAnsi="宋体"/>
          <w:sz w:val="21"/>
          <w:szCs w:val="21"/>
        </w:rPr>
      </w:pPr>
      <w:r>
        <w:rPr>
          <w:rFonts w:hint="eastAsia" w:hAnsi="宋体"/>
          <w:sz w:val="21"/>
          <w:szCs w:val="21"/>
        </w:rPr>
        <w:t>14.4招标代理机构对因报价文件未装订成册而造成的报价文件的损坏、丢失不承担任何责任。</w:t>
      </w:r>
    </w:p>
    <w:p>
      <w:pPr>
        <w:snapToGrid w:val="0"/>
        <w:spacing w:line="360" w:lineRule="auto"/>
        <w:ind w:left="473" w:right="36" w:rightChars="15" w:hanging="472" w:hangingChars="225"/>
        <w:rPr>
          <w:rFonts w:hAnsi="宋体"/>
          <w:sz w:val="21"/>
          <w:szCs w:val="21"/>
        </w:rPr>
      </w:pPr>
      <w:r>
        <w:rPr>
          <w:rFonts w:hint="eastAsia" w:hAnsi="宋体"/>
          <w:sz w:val="21"/>
          <w:szCs w:val="21"/>
        </w:rPr>
        <w:t>14.5招标代理机构对不可抗力事件造成的报价文件的损坏、丢失不承担任何责任。</w:t>
      </w:r>
    </w:p>
    <w:p>
      <w:pPr>
        <w:spacing w:line="360" w:lineRule="auto"/>
        <w:rPr>
          <w:rFonts w:hAnsi="宋体"/>
          <w:sz w:val="21"/>
          <w:szCs w:val="21"/>
        </w:rPr>
      </w:pPr>
      <w:r>
        <w:rPr>
          <w:rFonts w:hint="eastAsia" w:hAnsi="宋体"/>
          <w:sz w:val="21"/>
          <w:szCs w:val="21"/>
        </w:rPr>
        <w:t>15. 报价文件的递交</w:t>
      </w:r>
    </w:p>
    <w:p>
      <w:pPr>
        <w:spacing w:line="360" w:lineRule="auto"/>
        <w:ind w:left="420" w:hanging="420"/>
        <w:rPr>
          <w:rFonts w:hAnsi="宋体"/>
          <w:sz w:val="21"/>
          <w:szCs w:val="21"/>
        </w:rPr>
      </w:pPr>
      <w:r>
        <w:rPr>
          <w:rFonts w:hint="eastAsia" w:hAnsi="宋体"/>
          <w:sz w:val="21"/>
          <w:szCs w:val="21"/>
        </w:rPr>
        <w:t>15.1所有报价文件应于《报价须知前附表》中规定的截止时点前递交到开标地点。</w:t>
      </w:r>
    </w:p>
    <w:p>
      <w:pPr>
        <w:snapToGrid w:val="0"/>
        <w:spacing w:line="360" w:lineRule="auto"/>
        <w:ind w:left="473" w:right="36" w:rightChars="15" w:hanging="472" w:hangingChars="225"/>
        <w:rPr>
          <w:rFonts w:hAnsi="宋体"/>
          <w:sz w:val="21"/>
          <w:szCs w:val="21"/>
        </w:rPr>
      </w:pPr>
      <w:r>
        <w:rPr>
          <w:rFonts w:hint="eastAsia" w:hAnsi="宋体"/>
          <w:sz w:val="21"/>
          <w:szCs w:val="21"/>
        </w:rPr>
        <w:t>15.2</w:t>
      </w:r>
      <w:r>
        <w:rPr>
          <w:rFonts w:hint="eastAsia" w:hAnsi="宋体"/>
          <w:snapToGrid w:val="0"/>
          <w:sz w:val="21"/>
          <w:szCs w:val="21"/>
        </w:rPr>
        <w:t>未按要求密封的，或</w:t>
      </w:r>
      <w:r>
        <w:rPr>
          <w:rFonts w:hint="eastAsia" w:hAnsi="宋体"/>
          <w:sz w:val="21"/>
          <w:szCs w:val="21"/>
        </w:rPr>
        <w:t>迟交或未送达指定地点的报价文件，按《中华人民共和国招标投标法》的规定，招标代理机构将拒收或原封退回在其规定的递交报价文件截止时点之后收到的任何报价文件。</w:t>
      </w:r>
    </w:p>
    <w:p>
      <w:pPr>
        <w:snapToGrid w:val="0"/>
        <w:spacing w:line="360" w:lineRule="auto"/>
        <w:ind w:left="473" w:right="36" w:rightChars="15" w:hanging="472" w:hangingChars="225"/>
        <w:rPr>
          <w:rFonts w:hAnsi="宋体"/>
          <w:sz w:val="21"/>
          <w:szCs w:val="21"/>
        </w:rPr>
      </w:pPr>
      <w:r>
        <w:rPr>
          <w:rFonts w:hint="eastAsia" w:hAnsi="宋体"/>
          <w:sz w:val="21"/>
          <w:szCs w:val="21"/>
        </w:rPr>
        <w:t>15.3本次招标不接受邮寄、电报、电话、传真方式报价。</w:t>
      </w:r>
    </w:p>
    <w:p>
      <w:pPr>
        <w:spacing w:line="360" w:lineRule="auto"/>
        <w:rPr>
          <w:rFonts w:hAnsi="宋体"/>
          <w:sz w:val="21"/>
          <w:szCs w:val="21"/>
        </w:rPr>
      </w:pPr>
      <w:r>
        <w:rPr>
          <w:rFonts w:hint="eastAsia" w:hAnsi="宋体"/>
          <w:sz w:val="21"/>
          <w:szCs w:val="21"/>
        </w:rPr>
        <w:t>16. 报价文件的修改和撤回</w:t>
      </w:r>
    </w:p>
    <w:p>
      <w:pPr>
        <w:spacing w:line="360" w:lineRule="auto"/>
        <w:ind w:left="420" w:hanging="420"/>
        <w:rPr>
          <w:rFonts w:hAnsi="宋体"/>
          <w:sz w:val="21"/>
          <w:szCs w:val="21"/>
        </w:rPr>
      </w:pPr>
      <w:r>
        <w:rPr>
          <w:rFonts w:hint="eastAsia" w:hAnsi="宋体"/>
          <w:sz w:val="21"/>
          <w:szCs w:val="21"/>
        </w:rPr>
        <w:t>16.1报价人在报价文件递交截止时间前，可以对所递交的报价文件进行补充、修改或者撤回，并书面通知招标代理机构。在报价递交截止时间之后，除非在谈判期间应谈判小组的要求，否则报价人不可以修改其报价文件内容。补充、修改的内容应当按谈判文件要求签署、盖章，并作为报价文件的组成部分。</w:t>
      </w:r>
    </w:p>
    <w:p>
      <w:pPr>
        <w:snapToGrid w:val="0"/>
        <w:spacing w:line="360" w:lineRule="auto"/>
        <w:ind w:left="473" w:right="36" w:rightChars="15" w:hanging="472" w:hangingChars="225"/>
        <w:rPr>
          <w:rFonts w:hAnsi="宋体"/>
          <w:sz w:val="21"/>
          <w:szCs w:val="21"/>
        </w:rPr>
      </w:pPr>
      <w:r>
        <w:rPr>
          <w:rFonts w:hint="eastAsia" w:hAnsi="宋体"/>
          <w:sz w:val="21"/>
          <w:szCs w:val="21"/>
        </w:rPr>
        <w:t>16.2报价人在递交报价文件后，可以撤回其报价，但报价人必须在规定的报价文件递交截止时间前以书面形式告知招标代理机构；在报价递交截止时间之后不允许撤回报价。</w:t>
      </w:r>
    </w:p>
    <w:p>
      <w:pPr>
        <w:snapToGrid w:val="0"/>
        <w:spacing w:line="360" w:lineRule="auto"/>
        <w:ind w:left="473" w:right="36" w:rightChars="15" w:hanging="472" w:hangingChars="225"/>
        <w:rPr>
          <w:rFonts w:hAnsi="宋体"/>
          <w:sz w:val="21"/>
          <w:szCs w:val="21"/>
        </w:rPr>
      </w:pPr>
      <w:r>
        <w:rPr>
          <w:rFonts w:hint="eastAsia" w:hAnsi="宋体"/>
          <w:sz w:val="21"/>
          <w:szCs w:val="21"/>
        </w:rPr>
        <w:t>16.3谈判期间应谈判小组要求所作的报价修改和最终报价应在谈判小组规定的时间内递交。</w:t>
      </w:r>
    </w:p>
    <w:p>
      <w:pPr>
        <w:snapToGrid w:val="0"/>
        <w:spacing w:line="360" w:lineRule="auto"/>
        <w:ind w:left="473" w:right="36" w:rightChars="15" w:hanging="472" w:hangingChars="225"/>
        <w:rPr>
          <w:rFonts w:hAnsi="宋体"/>
          <w:sz w:val="21"/>
          <w:szCs w:val="21"/>
        </w:rPr>
      </w:pPr>
      <w:r>
        <w:rPr>
          <w:rFonts w:hint="eastAsia" w:hAnsi="宋体"/>
          <w:sz w:val="21"/>
          <w:szCs w:val="21"/>
        </w:rPr>
        <w:t>16.4报价人所提交的报价文件在评审结束后，无论成交与否都不退还。</w:t>
      </w:r>
    </w:p>
    <w:p>
      <w:pPr>
        <w:tabs>
          <w:tab w:val="left" w:pos="8280"/>
        </w:tabs>
        <w:snapToGrid w:val="0"/>
        <w:spacing w:line="360" w:lineRule="auto"/>
        <w:ind w:left="420" w:right="32" w:hanging="420" w:hangingChars="200"/>
        <w:rPr>
          <w:sz w:val="21"/>
          <w:szCs w:val="21"/>
        </w:rPr>
      </w:pPr>
      <w:r>
        <w:rPr>
          <w:rFonts w:hint="eastAsia" w:hAnsi="宋体"/>
          <w:sz w:val="21"/>
          <w:szCs w:val="21"/>
        </w:rPr>
        <w:t xml:space="preserve">17. </w:t>
      </w:r>
      <w:r>
        <w:rPr>
          <w:rFonts w:hint="eastAsia"/>
          <w:sz w:val="21"/>
          <w:szCs w:val="21"/>
        </w:rPr>
        <w:t>报价截止期、报价有效期</w:t>
      </w:r>
    </w:p>
    <w:p>
      <w:pPr>
        <w:tabs>
          <w:tab w:val="left" w:pos="8280"/>
        </w:tabs>
        <w:snapToGrid w:val="0"/>
        <w:spacing w:line="360" w:lineRule="auto"/>
        <w:ind w:left="473" w:right="32" w:hanging="472" w:hangingChars="225"/>
        <w:rPr>
          <w:sz w:val="21"/>
          <w:szCs w:val="21"/>
        </w:rPr>
      </w:pPr>
      <w:r>
        <w:rPr>
          <w:rFonts w:hint="eastAsia" w:hAnsi="宋体"/>
          <w:sz w:val="21"/>
          <w:szCs w:val="21"/>
        </w:rPr>
        <w:t xml:space="preserve">17.1 </w:t>
      </w:r>
      <w:r>
        <w:rPr>
          <w:rFonts w:hint="eastAsia"/>
          <w:sz w:val="21"/>
          <w:szCs w:val="21"/>
        </w:rPr>
        <w:t>报价的截止时间为《报价须知前附表》规定时间，在截止时间后送达</w:t>
      </w:r>
      <w:r>
        <w:rPr>
          <w:rFonts w:hint="eastAsia" w:hAnsi="宋体"/>
          <w:sz w:val="21"/>
          <w:szCs w:val="21"/>
        </w:rPr>
        <w:t>或者未送达指定地点</w:t>
      </w:r>
      <w:r>
        <w:rPr>
          <w:rFonts w:hint="eastAsia"/>
          <w:sz w:val="21"/>
          <w:szCs w:val="21"/>
        </w:rPr>
        <w:t>的报价文件，为无效报价文件，招标代理机构将拒收。</w:t>
      </w:r>
    </w:p>
    <w:p>
      <w:pPr>
        <w:tabs>
          <w:tab w:val="left" w:pos="8280"/>
        </w:tabs>
        <w:snapToGrid w:val="0"/>
        <w:spacing w:line="360" w:lineRule="auto"/>
        <w:ind w:left="473" w:right="32" w:hanging="472" w:hangingChars="225"/>
        <w:rPr>
          <w:sz w:val="21"/>
          <w:szCs w:val="21"/>
        </w:rPr>
      </w:pPr>
      <w:r>
        <w:rPr>
          <w:rFonts w:hint="eastAsia" w:hAnsi="宋体"/>
          <w:sz w:val="21"/>
          <w:szCs w:val="21"/>
        </w:rPr>
        <w:t>17.2 从</w:t>
      </w:r>
      <w:r>
        <w:rPr>
          <w:rFonts w:hint="eastAsia"/>
          <w:sz w:val="21"/>
          <w:szCs w:val="21"/>
        </w:rPr>
        <w:t>报价截止日起，报价有效期为《报价须知前附表》规定天数。在特殊情况下，招标人可于报价有效期满之前要求报价人同意延长有效期，要求与答复均应以书面形式。报价人可以拒绝上述要求而其报价保证金不被没收，同意延期的报价人在原报价有效期内应享之权利及应负之责任也相应延续。</w:t>
      </w:r>
    </w:p>
    <w:p>
      <w:pPr>
        <w:pStyle w:val="26"/>
        <w:adjustRightInd w:val="0"/>
        <w:snapToGrid w:val="0"/>
        <w:spacing w:line="360" w:lineRule="auto"/>
        <w:ind w:left="473" w:right="32" w:hanging="472" w:hangingChars="225"/>
        <w:rPr>
          <w:b/>
          <w:szCs w:val="21"/>
        </w:rPr>
      </w:pPr>
      <w:r>
        <w:rPr>
          <w:rFonts w:hint="eastAsia" w:hAnsi="宋体"/>
          <w:kern w:val="0"/>
          <w:szCs w:val="21"/>
        </w:rPr>
        <w:t>17.3</w:t>
      </w:r>
      <w:r>
        <w:rPr>
          <w:rFonts w:hint="eastAsia"/>
          <w:b/>
          <w:szCs w:val="21"/>
        </w:rPr>
        <w:t>为方便开标唱标，报价人提交报价文件时应备有一个“唱标信封”，并将下列内容密封入该信封。</w:t>
      </w:r>
    </w:p>
    <w:p>
      <w:pPr>
        <w:numPr>
          <w:ilvl w:val="0"/>
          <w:numId w:val="12"/>
        </w:numPr>
        <w:spacing w:line="360" w:lineRule="auto"/>
        <w:ind w:left="480" w:leftChars="200"/>
        <w:rPr>
          <w:rFonts w:hAnsi="宋体"/>
          <w:sz w:val="21"/>
          <w:szCs w:val="21"/>
        </w:rPr>
      </w:pPr>
      <w:r>
        <w:rPr>
          <w:rFonts w:hint="eastAsia" w:hAnsi="宋体"/>
          <w:sz w:val="21"/>
          <w:szCs w:val="21"/>
        </w:rPr>
        <w:t>投标函复印件加盖公章；</w:t>
      </w:r>
    </w:p>
    <w:p>
      <w:pPr>
        <w:numPr>
          <w:ilvl w:val="0"/>
          <w:numId w:val="12"/>
        </w:numPr>
        <w:spacing w:line="360" w:lineRule="auto"/>
        <w:ind w:left="480" w:leftChars="200"/>
        <w:rPr>
          <w:rFonts w:hAnsi="宋体"/>
          <w:sz w:val="21"/>
          <w:szCs w:val="21"/>
        </w:rPr>
      </w:pPr>
      <w:r>
        <w:rPr>
          <w:rFonts w:hint="eastAsia" w:hAnsi="宋体"/>
          <w:sz w:val="21"/>
          <w:szCs w:val="21"/>
        </w:rPr>
        <w:t>法定代表人证明书复印件加盖公章；</w:t>
      </w:r>
    </w:p>
    <w:p>
      <w:pPr>
        <w:numPr>
          <w:ilvl w:val="0"/>
          <w:numId w:val="12"/>
        </w:numPr>
        <w:spacing w:line="360" w:lineRule="auto"/>
        <w:ind w:left="480" w:leftChars="200"/>
        <w:rPr>
          <w:rFonts w:hAnsi="宋体"/>
          <w:sz w:val="21"/>
          <w:szCs w:val="21"/>
        </w:rPr>
      </w:pPr>
      <w:r>
        <w:rPr>
          <w:rFonts w:hint="eastAsia" w:hAnsi="宋体"/>
          <w:sz w:val="21"/>
          <w:szCs w:val="21"/>
        </w:rPr>
        <w:t>法定代表人授权委托书复印件加盖公章（法定代表人投标的除外）；</w:t>
      </w:r>
    </w:p>
    <w:p>
      <w:pPr>
        <w:numPr>
          <w:ilvl w:val="0"/>
          <w:numId w:val="12"/>
        </w:numPr>
        <w:spacing w:line="360" w:lineRule="auto"/>
        <w:ind w:left="480" w:leftChars="200"/>
        <w:rPr>
          <w:rFonts w:hAnsi="宋体"/>
          <w:sz w:val="21"/>
          <w:szCs w:val="21"/>
        </w:rPr>
      </w:pPr>
      <w:r>
        <w:rPr>
          <w:rFonts w:hint="eastAsia" w:hAnsi="宋体"/>
          <w:sz w:val="21"/>
          <w:szCs w:val="21"/>
        </w:rPr>
        <w:t>报价总表复印件加盖公章；</w:t>
      </w:r>
    </w:p>
    <w:p>
      <w:pPr>
        <w:numPr>
          <w:ilvl w:val="0"/>
          <w:numId w:val="12"/>
        </w:numPr>
        <w:spacing w:line="360" w:lineRule="auto"/>
        <w:ind w:left="480" w:leftChars="200"/>
        <w:rPr>
          <w:rFonts w:hAnsi="宋体"/>
          <w:sz w:val="21"/>
          <w:szCs w:val="21"/>
        </w:rPr>
      </w:pPr>
      <w:r>
        <w:rPr>
          <w:rFonts w:hint="eastAsia" w:hAnsi="宋体"/>
          <w:sz w:val="21"/>
          <w:szCs w:val="21"/>
        </w:rPr>
        <w:t>报价保证金汇入情况说明加盖公章；</w:t>
      </w:r>
    </w:p>
    <w:p>
      <w:pPr>
        <w:numPr>
          <w:ilvl w:val="0"/>
          <w:numId w:val="12"/>
        </w:numPr>
        <w:spacing w:line="360" w:lineRule="auto"/>
        <w:ind w:left="480" w:leftChars="200"/>
        <w:rPr>
          <w:rFonts w:hAnsi="宋体"/>
          <w:sz w:val="21"/>
          <w:szCs w:val="21"/>
        </w:rPr>
      </w:pPr>
      <w:r>
        <w:rPr>
          <w:rFonts w:hint="eastAsia" w:hAnsi="宋体"/>
          <w:sz w:val="21"/>
          <w:szCs w:val="21"/>
        </w:rPr>
        <w:t>银行汇款凭证复印件加盖公章；</w:t>
      </w:r>
    </w:p>
    <w:p>
      <w:pPr>
        <w:numPr>
          <w:ilvl w:val="0"/>
          <w:numId w:val="12"/>
        </w:numPr>
        <w:spacing w:line="360" w:lineRule="auto"/>
        <w:ind w:left="480" w:leftChars="200"/>
        <w:rPr>
          <w:rFonts w:hAnsi="宋体"/>
          <w:sz w:val="21"/>
          <w:szCs w:val="21"/>
        </w:rPr>
      </w:pPr>
      <w:r>
        <w:rPr>
          <w:rFonts w:hint="eastAsia" w:hAnsi="宋体"/>
          <w:sz w:val="21"/>
          <w:szCs w:val="21"/>
        </w:rPr>
        <w:t>报价文件电子文件（CD-R光盘或U盘）；</w:t>
      </w:r>
    </w:p>
    <w:p>
      <w:pPr>
        <w:spacing w:line="360" w:lineRule="auto"/>
        <w:rPr>
          <w:rFonts w:hAnsi="宋体"/>
        </w:rPr>
      </w:pPr>
      <w:r>
        <w:rPr>
          <w:rFonts w:hint="eastAsia" w:hAnsi="宋体"/>
          <w:b/>
        </w:rPr>
        <w:t>七、谈判及评审</w:t>
      </w:r>
    </w:p>
    <w:p>
      <w:pPr>
        <w:spacing w:line="360" w:lineRule="auto"/>
        <w:rPr>
          <w:rFonts w:hAnsi="宋体"/>
          <w:sz w:val="21"/>
          <w:szCs w:val="21"/>
        </w:rPr>
      </w:pPr>
      <w:r>
        <w:rPr>
          <w:rFonts w:hint="eastAsia" w:hAnsi="宋体"/>
          <w:sz w:val="21"/>
          <w:szCs w:val="21"/>
        </w:rPr>
        <w:t>18.谈判小组</w:t>
      </w:r>
    </w:p>
    <w:p>
      <w:pPr>
        <w:tabs>
          <w:tab w:val="left" w:pos="8280"/>
        </w:tabs>
        <w:snapToGrid w:val="0"/>
        <w:spacing w:line="360" w:lineRule="auto"/>
        <w:ind w:left="473" w:right="32" w:hanging="472" w:hangingChars="225"/>
        <w:rPr>
          <w:rFonts w:hAnsi="宋体"/>
          <w:sz w:val="21"/>
          <w:szCs w:val="21"/>
        </w:rPr>
      </w:pPr>
      <w:r>
        <w:rPr>
          <w:rFonts w:hint="eastAsia" w:hAnsi="宋体"/>
          <w:sz w:val="21"/>
          <w:szCs w:val="21"/>
        </w:rPr>
        <w:t>18.1 本次招标依法组建谈判小组。谈判小组组成</w:t>
      </w:r>
      <w:r>
        <w:rPr>
          <w:rFonts w:hint="eastAsia" w:hAnsi="宋体"/>
          <w:sz w:val="21"/>
          <w:szCs w:val="21"/>
          <w:u w:val="single"/>
        </w:rPr>
        <w:t>详见</w:t>
      </w:r>
      <w:r>
        <w:rPr>
          <w:rFonts w:hint="eastAsia"/>
          <w:sz w:val="21"/>
          <w:szCs w:val="21"/>
          <w:u w:val="single"/>
        </w:rPr>
        <w:t>《报价须知前附表</w:t>
      </w:r>
      <w:r>
        <w:rPr>
          <w:rFonts w:hint="eastAsia"/>
          <w:sz w:val="21"/>
          <w:szCs w:val="21"/>
        </w:rPr>
        <w:t>》</w:t>
      </w:r>
      <w:r>
        <w:rPr>
          <w:rFonts w:hint="eastAsia" w:hAnsi="宋体"/>
          <w:sz w:val="21"/>
          <w:szCs w:val="21"/>
        </w:rPr>
        <w:t>。</w:t>
      </w:r>
    </w:p>
    <w:p>
      <w:pPr>
        <w:tabs>
          <w:tab w:val="left" w:pos="8280"/>
        </w:tabs>
        <w:snapToGrid w:val="0"/>
        <w:spacing w:line="360" w:lineRule="auto"/>
        <w:ind w:left="473" w:right="32" w:hanging="472" w:hangingChars="225"/>
        <w:rPr>
          <w:sz w:val="21"/>
          <w:szCs w:val="21"/>
        </w:rPr>
      </w:pPr>
      <w:r>
        <w:rPr>
          <w:rFonts w:hint="eastAsia" w:hAnsi="宋体"/>
          <w:sz w:val="21"/>
          <w:szCs w:val="21"/>
        </w:rPr>
        <w:t xml:space="preserve">18.2 </w:t>
      </w:r>
      <w:r>
        <w:rPr>
          <w:rFonts w:hint="eastAsia"/>
          <w:sz w:val="21"/>
          <w:szCs w:val="21"/>
        </w:rPr>
        <w:t>谈判小组在谈判及评审过程中出现意见不一致时，遵循少数服从多数原则。</w:t>
      </w:r>
    </w:p>
    <w:p>
      <w:pPr>
        <w:tabs>
          <w:tab w:val="left" w:pos="8280"/>
        </w:tabs>
        <w:snapToGrid w:val="0"/>
        <w:spacing w:line="360" w:lineRule="auto"/>
        <w:ind w:left="473" w:right="32" w:hanging="472" w:hangingChars="225"/>
        <w:rPr>
          <w:sz w:val="21"/>
          <w:szCs w:val="21"/>
        </w:rPr>
      </w:pPr>
      <w:r>
        <w:rPr>
          <w:rFonts w:hint="eastAsia" w:hAnsi="宋体"/>
          <w:sz w:val="21"/>
          <w:szCs w:val="21"/>
        </w:rPr>
        <w:t xml:space="preserve">18.3 </w:t>
      </w:r>
      <w:r>
        <w:rPr>
          <w:sz w:val="21"/>
          <w:szCs w:val="21"/>
        </w:rPr>
        <w:t>对</w:t>
      </w:r>
      <w:r>
        <w:rPr>
          <w:rFonts w:hint="eastAsia"/>
          <w:sz w:val="21"/>
          <w:szCs w:val="21"/>
        </w:rPr>
        <w:t>谈判</w:t>
      </w:r>
      <w:r>
        <w:rPr>
          <w:sz w:val="21"/>
          <w:szCs w:val="21"/>
        </w:rPr>
        <w:t>文件中描述有歧义或前后不一致的地方，</w:t>
      </w:r>
      <w:r>
        <w:rPr>
          <w:rFonts w:hint="eastAsia"/>
          <w:sz w:val="21"/>
          <w:szCs w:val="21"/>
        </w:rPr>
        <w:t>谈判小组</w:t>
      </w:r>
      <w:r>
        <w:rPr>
          <w:sz w:val="21"/>
          <w:szCs w:val="21"/>
        </w:rPr>
        <w:t>有权</w:t>
      </w:r>
      <w:r>
        <w:rPr>
          <w:rFonts w:hint="eastAsia"/>
          <w:sz w:val="21"/>
          <w:szCs w:val="21"/>
        </w:rPr>
        <w:t>按法律法规的规定</w:t>
      </w:r>
      <w:r>
        <w:rPr>
          <w:sz w:val="21"/>
          <w:szCs w:val="21"/>
        </w:rPr>
        <w:t>进行评判，但对同一条款的评判应适用于每个报价</w:t>
      </w:r>
      <w:r>
        <w:rPr>
          <w:rFonts w:hint="eastAsia"/>
          <w:sz w:val="21"/>
          <w:szCs w:val="21"/>
        </w:rPr>
        <w:t>人。</w:t>
      </w:r>
    </w:p>
    <w:p>
      <w:pPr>
        <w:tabs>
          <w:tab w:val="left" w:pos="8280"/>
        </w:tabs>
        <w:snapToGrid w:val="0"/>
        <w:spacing w:line="360" w:lineRule="auto"/>
        <w:ind w:left="473" w:right="32" w:hanging="472" w:hangingChars="225"/>
        <w:rPr>
          <w:sz w:val="21"/>
          <w:szCs w:val="21"/>
        </w:rPr>
      </w:pPr>
      <w:r>
        <w:rPr>
          <w:rFonts w:hint="eastAsia" w:hAnsi="宋体"/>
          <w:sz w:val="21"/>
          <w:szCs w:val="21"/>
        </w:rPr>
        <w:t xml:space="preserve">18.4 </w:t>
      </w:r>
      <w:r>
        <w:rPr>
          <w:rFonts w:hint="eastAsia"/>
          <w:sz w:val="21"/>
          <w:szCs w:val="21"/>
        </w:rPr>
        <w:t>谈判小组依法根据谈判文件的规定与报价人进行谈判及对报价文件和最终谈判结果进行评审,并据此推荐成交候选人。</w:t>
      </w:r>
    </w:p>
    <w:p>
      <w:pPr>
        <w:spacing w:line="360" w:lineRule="auto"/>
        <w:rPr>
          <w:sz w:val="21"/>
          <w:szCs w:val="21"/>
        </w:rPr>
      </w:pPr>
      <w:r>
        <w:rPr>
          <w:rFonts w:hint="eastAsia" w:hAnsi="宋体"/>
          <w:sz w:val="21"/>
          <w:szCs w:val="21"/>
        </w:rPr>
        <w:t>19.</w:t>
      </w:r>
      <w:r>
        <w:rPr>
          <w:rFonts w:hint="eastAsia"/>
          <w:sz w:val="21"/>
          <w:szCs w:val="21"/>
        </w:rPr>
        <w:t>谈判方法</w:t>
      </w:r>
    </w:p>
    <w:p>
      <w:pPr>
        <w:spacing w:line="360" w:lineRule="auto"/>
        <w:rPr>
          <w:rFonts w:hAnsi="宋体"/>
          <w:sz w:val="21"/>
          <w:szCs w:val="21"/>
        </w:rPr>
      </w:pPr>
      <w:r>
        <w:rPr>
          <w:rFonts w:hint="eastAsia" w:hAnsi="宋体"/>
          <w:sz w:val="21"/>
          <w:szCs w:val="21"/>
        </w:rPr>
        <w:t>19.1</w:t>
      </w:r>
      <w:r>
        <w:rPr>
          <w:rFonts w:hint="eastAsia"/>
          <w:sz w:val="21"/>
          <w:szCs w:val="21"/>
        </w:rPr>
        <w:t>本次评审采用《报价须知前附表》中选定的方法，具体见</w:t>
      </w:r>
      <w:r>
        <w:rPr>
          <w:rFonts w:hint="eastAsia" w:hAnsi="宋体"/>
          <w:sz w:val="21"/>
          <w:szCs w:val="21"/>
        </w:rPr>
        <w:t>谈判文件第四部分</w:t>
      </w:r>
      <w:r>
        <w:rPr>
          <w:rFonts w:hint="eastAsia"/>
          <w:sz w:val="21"/>
          <w:szCs w:val="21"/>
        </w:rPr>
        <w:t>“谈判方法”。</w:t>
      </w:r>
    </w:p>
    <w:p>
      <w:pPr>
        <w:spacing w:line="360" w:lineRule="auto"/>
        <w:rPr>
          <w:rFonts w:hAnsi="宋体"/>
          <w:b/>
        </w:rPr>
      </w:pPr>
      <w:r>
        <w:rPr>
          <w:rFonts w:hint="eastAsia" w:hAnsi="宋体"/>
          <w:b/>
        </w:rPr>
        <w:t>八、确定成交供应商办法</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  </w:t>
      </w:r>
      <w:r>
        <w:rPr>
          <w:rFonts w:hint="eastAsia" w:hAnsi="宋体"/>
          <w:kern w:val="2"/>
          <w:sz w:val="21"/>
          <w:szCs w:val="21"/>
          <w:lang w:val="zh-CN"/>
        </w:rPr>
        <w:t>资格后审</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20.1 </w:t>
      </w:r>
      <w:r>
        <w:rPr>
          <w:rFonts w:hint="eastAsia" w:hAnsi="宋体"/>
          <w:kern w:val="2"/>
          <w:sz w:val="21"/>
          <w:szCs w:val="21"/>
          <w:lang w:val="zh-CN"/>
        </w:rPr>
        <w:t>招标人将根据本文件中的要求，对评委会推荐的中标候选人进行资格后审。</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20.2 </w:t>
      </w:r>
      <w:r>
        <w:rPr>
          <w:rFonts w:hint="eastAsia" w:hAnsi="宋体"/>
          <w:kern w:val="2"/>
          <w:sz w:val="21"/>
          <w:szCs w:val="21"/>
          <w:lang w:val="zh-CN"/>
        </w:rPr>
        <w:t>中标候选人须无条件配合资格后审，否则招标人有权取消其中标资格，且投标保证金可不予退还。</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20.3 </w:t>
      </w:r>
      <w:r>
        <w:rPr>
          <w:rFonts w:hint="eastAsia" w:hAnsi="宋体"/>
          <w:kern w:val="2"/>
          <w:sz w:val="21"/>
          <w:szCs w:val="21"/>
          <w:lang w:val="zh-CN"/>
        </w:rPr>
        <w:t>资格后审须提供包括但不限于营业执照、税务登记证和在投标文件中提供的资质证明文件、业绩等重要证明文件的原件进行核对，综合考察中标供应商的履约能力。如招标人要求还须提供业绩证明的其他材料,中标候选人须配合提供。如授权其分支机构进行项目实施或提供售后服务的，亦应提供其与分支机构关系的法律证明材料。</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20.4 </w:t>
      </w:r>
      <w:r>
        <w:rPr>
          <w:rFonts w:hint="eastAsia" w:hAnsi="宋体"/>
          <w:kern w:val="2"/>
          <w:sz w:val="21"/>
          <w:szCs w:val="21"/>
          <w:lang w:val="zh-CN"/>
        </w:rPr>
        <w:t>如发现中标候选人以他人名义投标或者以其他方式弄虚作假，骗取中标的，招标人有权取消其中标资格，且投标保证金可不予退还；给招标人造成损失的，应依法承担赔偿责任。</w:t>
      </w:r>
    </w:p>
    <w:p>
      <w:pPr>
        <w:tabs>
          <w:tab w:val="left" w:pos="540"/>
          <w:tab w:val="left" w:pos="720"/>
          <w:tab w:val="left" w:pos="3460"/>
        </w:tabs>
        <w:spacing w:line="360" w:lineRule="auto"/>
        <w:ind w:left="540" w:right="18" w:hanging="540"/>
        <w:jc w:val="both"/>
        <w:rPr>
          <w:rFonts w:hAnsi="宋体"/>
          <w:kern w:val="2"/>
          <w:sz w:val="21"/>
          <w:szCs w:val="21"/>
          <w:lang w:val="zh-CN"/>
        </w:rPr>
      </w:pPr>
      <w:r>
        <w:rPr>
          <w:rFonts w:hint="eastAsia" w:hAnsi="宋体"/>
          <w:kern w:val="2"/>
          <w:sz w:val="21"/>
          <w:szCs w:val="21"/>
        </w:rPr>
        <w:t xml:space="preserve">20.5 </w:t>
      </w:r>
      <w:r>
        <w:rPr>
          <w:rFonts w:hint="eastAsia" w:hAnsi="宋体"/>
          <w:kern w:val="2"/>
          <w:sz w:val="21"/>
          <w:szCs w:val="21"/>
          <w:lang w:val="zh-CN"/>
        </w:rPr>
        <w:t>招标人有权审查中标候选人是否具备履行合同的能力，包括但不限于对其规模、人员、场地、生产能力、供货能力等方面的核实或现场考察。如果审查通过，招标人将把合同授予该中标人；如果审查没有通过，招标人有权取消其中标资格，且投标保证金可不予退还，并依次审查下一名中标候选人是否具备履行合同的能力或重新招标。</w:t>
      </w:r>
    </w:p>
    <w:p>
      <w:pPr>
        <w:spacing w:line="360" w:lineRule="auto"/>
        <w:rPr>
          <w:rFonts w:hAnsi="宋体"/>
          <w:sz w:val="21"/>
          <w:szCs w:val="21"/>
        </w:rPr>
      </w:pPr>
      <w:r>
        <w:rPr>
          <w:rFonts w:hint="eastAsia" w:hAnsi="宋体"/>
          <w:sz w:val="21"/>
          <w:szCs w:val="21"/>
        </w:rPr>
        <w:t>21.确定成交供应商</w:t>
      </w:r>
    </w:p>
    <w:p>
      <w:pPr>
        <w:spacing w:line="360" w:lineRule="auto"/>
        <w:ind w:left="420" w:hanging="420"/>
        <w:rPr>
          <w:rFonts w:hAnsi="宋体"/>
          <w:sz w:val="21"/>
          <w:szCs w:val="21"/>
        </w:rPr>
      </w:pPr>
      <w:r>
        <w:rPr>
          <w:rFonts w:hint="eastAsia" w:hAnsi="宋体"/>
          <w:sz w:val="21"/>
          <w:szCs w:val="21"/>
        </w:rPr>
        <w:t>21.1按符合招标需求、质量和服务且报价最低的原则，根据谈判小组评审结果，招标人依法确定成交供应商。</w:t>
      </w:r>
    </w:p>
    <w:p>
      <w:pPr>
        <w:spacing w:line="360" w:lineRule="auto"/>
        <w:ind w:left="420" w:hanging="420"/>
        <w:rPr>
          <w:rFonts w:hAnsi="宋体"/>
          <w:sz w:val="21"/>
          <w:szCs w:val="21"/>
        </w:rPr>
      </w:pPr>
      <w:r>
        <w:rPr>
          <w:rFonts w:hint="eastAsia" w:hAnsi="宋体"/>
          <w:sz w:val="21"/>
          <w:szCs w:val="21"/>
        </w:rPr>
        <w:t>21.2招标代理机构应当在评审结束后2个工作日内将评审报告送招标人确认。</w:t>
      </w:r>
    </w:p>
    <w:p>
      <w:pPr>
        <w:spacing w:line="360" w:lineRule="auto"/>
        <w:ind w:left="420" w:hanging="420"/>
        <w:rPr>
          <w:rFonts w:hAnsi="宋体"/>
          <w:sz w:val="21"/>
          <w:szCs w:val="21"/>
        </w:rPr>
      </w:pPr>
      <w:r>
        <w:rPr>
          <w:rFonts w:hint="eastAsia" w:hAnsi="宋体"/>
          <w:sz w:val="21"/>
          <w:szCs w:val="21"/>
        </w:rPr>
        <w:t>　　招标人应当在收到评审报告后5个工作日内，从评审报告提出的成交候选人中，根据质量和服务均能满足招标文件实质性响应要求且报价最低的原则确定成交供应商，也可以书面授权谈判小组直接确定成交供应商。招标人逾期未确定成交供应商且不提出异议的，视为确定评审报告提出的最后报价最低的报价人为成交供应商。</w:t>
      </w:r>
    </w:p>
    <w:p>
      <w:pPr>
        <w:spacing w:line="360" w:lineRule="auto"/>
        <w:ind w:left="420" w:hanging="420"/>
        <w:rPr>
          <w:rFonts w:hAnsi="宋体"/>
          <w:sz w:val="21"/>
          <w:szCs w:val="21"/>
        </w:rPr>
      </w:pPr>
      <w:r>
        <w:rPr>
          <w:rFonts w:hint="eastAsia" w:hAnsi="宋体"/>
          <w:sz w:val="21"/>
          <w:szCs w:val="21"/>
        </w:rPr>
        <w:t>21.3成交供应商确定后，广东泰通伟业工程咨询有限公司将在招标</w:t>
      </w:r>
      <w:r>
        <w:rPr>
          <w:rFonts w:hint="eastAsia"/>
          <w:sz w:val="21"/>
          <w:szCs w:val="21"/>
        </w:rPr>
        <w:t>监督管理部门指定的媒体</w:t>
      </w:r>
      <w:r>
        <w:rPr>
          <w:rFonts w:hint="eastAsia" w:hAnsi="宋体"/>
          <w:sz w:val="21"/>
          <w:szCs w:val="21"/>
        </w:rPr>
        <w:t>（见</w:t>
      </w:r>
      <w:r>
        <w:rPr>
          <w:rFonts w:hint="eastAsia"/>
          <w:sz w:val="21"/>
          <w:szCs w:val="21"/>
        </w:rPr>
        <w:t>《报价须知前附表》</w:t>
      </w:r>
      <w:r>
        <w:rPr>
          <w:rFonts w:hint="eastAsia" w:hAnsi="宋体"/>
          <w:sz w:val="21"/>
          <w:szCs w:val="21"/>
        </w:rPr>
        <w:t>) 上发布成交结果公告。</w:t>
      </w:r>
    </w:p>
    <w:p>
      <w:pPr>
        <w:spacing w:line="360" w:lineRule="auto"/>
        <w:ind w:left="420" w:hanging="420"/>
        <w:rPr>
          <w:rFonts w:hAnsi="宋体"/>
          <w:sz w:val="21"/>
          <w:szCs w:val="21"/>
        </w:rPr>
      </w:pPr>
      <w:r>
        <w:rPr>
          <w:rFonts w:hint="eastAsia"/>
          <w:sz w:val="21"/>
          <w:szCs w:val="21"/>
        </w:rPr>
        <w:t>21.4</w:t>
      </w:r>
      <w:r>
        <w:rPr>
          <w:rFonts w:hint="eastAsia" w:hAnsi="宋体"/>
          <w:sz w:val="21"/>
          <w:szCs w:val="21"/>
        </w:rPr>
        <w:t>成交结果公告发布的同时，招标代理机构以书面形式向成交供应商发出依法确认的《成交通知书》，《成交通知书》对成交供应商和招标人具有同等法律效力。</w:t>
      </w:r>
    </w:p>
    <w:p>
      <w:pPr>
        <w:snapToGrid w:val="0"/>
        <w:spacing w:line="360" w:lineRule="auto"/>
        <w:ind w:left="420" w:right="32" w:hanging="420"/>
        <w:rPr>
          <w:rFonts w:hAnsi="宋体"/>
          <w:b/>
        </w:rPr>
      </w:pPr>
      <w:r>
        <w:rPr>
          <w:rFonts w:hint="eastAsia" w:hAnsi="宋体"/>
          <w:b/>
        </w:rPr>
        <w:t>九、质疑和投诉</w:t>
      </w:r>
    </w:p>
    <w:p>
      <w:pPr>
        <w:snapToGrid w:val="0"/>
        <w:spacing w:line="360" w:lineRule="auto"/>
        <w:ind w:left="420" w:right="32" w:hanging="420"/>
        <w:rPr>
          <w:rFonts w:hAnsi="宋体"/>
          <w:sz w:val="21"/>
          <w:szCs w:val="21"/>
        </w:rPr>
      </w:pPr>
      <w:r>
        <w:rPr>
          <w:rFonts w:hint="eastAsia" w:hAnsi="宋体"/>
          <w:sz w:val="21"/>
          <w:szCs w:val="21"/>
        </w:rPr>
        <w:t>22.1报价人</w:t>
      </w:r>
      <w:r>
        <w:rPr>
          <w:rFonts w:hAnsi="宋体"/>
          <w:sz w:val="21"/>
          <w:szCs w:val="21"/>
        </w:rPr>
        <w:t>应知其权益受到损害之日，是指：</w:t>
      </w:r>
    </w:p>
    <w:p>
      <w:pPr>
        <w:snapToGrid w:val="0"/>
        <w:spacing w:line="360" w:lineRule="auto"/>
        <w:ind w:left="240" w:leftChars="100" w:right="32" w:firstLine="210" w:firstLineChars="100"/>
        <w:rPr>
          <w:rFonts w:hAnsi="宋体"/>
          <w:sz w:val="21"/>
          <w:szCs w:val="21"/>
        </w:rPr>
      </w:pPr>
      <w:r>
        <w:rPr>
          <w:rFonts w:hint="eastAsia" w:hAnsi="宋体"/>
          <w:sz w:val="21"/>
          <w:szCs w:val="21"/>
        </w:rPr>
        <w:t>1</w:t>
      </w:r>
      <w:r>
        <w:rPr>
          <w:rFonts w:hAnsi="宋体"/>
          <w:sz w:val="21"/>
          <w:szCs w:val="21"/>
        </w:rPr>
        <w:t>）对可以质疑的</w:t>
      </w:r>
      <w:r>
        <w:rPr>
          <w:rFonts w:hint="eastAsia" w:hAnsi="宋体"/>
          <w:sz w:val="21"/>
          <w:szCs w:val="21"/>
        </w:rPr>
        <w:t>招标文件</w:t>
      </w:r>
      <w:r>
        <w:rPr>
          <w:rFonts w:hAnsi="宋体"/>
          <w:sz w:val="21"/>
          <w:szCs w:val="21"/>
        </w:rPr>
        <w:t>提出质疑的，为收到</w:t>
      </w:r>
      <w:r>
        <w:rPr>
          <w:rFonts w:hint="eastAsia" w:hAnsi="宋体"/>
          <w:sz w:val="21"/>
          <w:szCs w:val="21"/>
        </w:rPr>
        <w:t>招标文件</w:t>
      </w:r>
      <w:r>
        <w:rPr>
          <w:rFonts w:hAnsi="宋体"/>
          <w:sz w:val="21"/>
          <w:szCs w:val="21"/>
        </w:rPr>
        <w:t>之日或者</w:t>
      </w:r>
      <w:r>
        <w:rPr>
          <w:rFonts w:hint="eastAsia" w:hAnsi="宋体"/>
          <w:sz w:val="21"/>
          <w:szCs w:val="21"/>
        </w:rPr>
        <w:t>招标文件</w:t>
      </w:r>
      <w:r>
        <w:rPr>
          <w:rFonts w:hAnsi="宋体"/>
          <w:sz w:val="21"/>
          <w:szCs w:val="21"/>
        </w:rPr>
        <w:t>公告期限届满之日；</w:t>
      </w:r>
    </w:p>
    <w:p>
      <w:pPr>
        <w:snapToGrid w:val="0"/>
        <w:spacing w:line="360" w:lineRule="auto"/>
        <w:ind w:left="240" w:leftChars="100" w:right="32" w:firstLine="210" w:firstLineChars="100"/>
        <w:rPr>
          <w:rFonts w:hAnsi="宋体"/>
          <w:sz w:val="21"/>
          <w:szCs w:val="21"/>
        </w:rPr>
      </w:pPr>
      <w:r>
        <w:rPr>
          <w:rFonts w:hint="eastAsia" w:hAnsi="宋体"/>
          <w:sz w:val="21"/>
          <w:szCs w:val="21"/>
        </w:rPr>
        <w:t>2</w:t>
      </w:r>
      <w:r>
        <w:rPr>
          <w:rFonts w:hAnsi="宋体"/>
          <w:sz w:val="21"/>
          <w:szCs w:val="21"/>
        </w:rPr>
        <w:t>）对</w:t>
      </w:r>
      <w:r>
        <w:rPr>
          <w:rFonts w:hint="eastAsia" w:hAnsi="宋体"/>
          <w:sz w:val="21"/>
          <w:szCs w:val="21"/>
        </w:rPr>
        <w:t>招标</w:t>
      </w:r>
      <w:r>
        <w:rPr>
          <w:rFonts w:hAnsi="宋体"/>
          <w:sz w:val="21"/>
          <w:szCs w:val="21"/>
        </w:rPr>
        <w:t>过程提出质疑的，为各</w:t>
      </w:r>
      <w:r>
        <w:rPr>
          <w:rFonts w:hint="eastAsia" w:hAnsi="宋体"/>
          <w:sz w:val="21"/>
          <w:szCs w:val="21"/>
        </w:rPr>
        <w:t>招标</w:t>
      </w:r>
      <w:r>
        <w:rPr>
          <w:rFonts w:hAnsi="宋体"/>
          <w:sz w:val="21"/>
          <w:szCs w:val="21"/>
        </w:rPr>
        <w:t>程序环节结束之日；</w:t>
      </w:r>
    </w:p>
    <w:p>
      <w:pPr>
        <w:spacing w:line="360" w:lineRule="auto"/>
        <w:ind w:left="120" w:leftChars="50" w:firstLine="315" w:firstLineChars="150"/>
        <w:rPr>
          <w:rFonts w:hAnsi="宋体"/>
          <w:sz w:val="21"/>
          <w:szCs w:val="21"/>
        </w:rPr>
      </w:pPr>
      <w:r>
        <w:rPr>
          <w:rFonts w:hint="eastAsia" w:hAnsi="宋体"/>
          <w:sz w:val="21"/>
          <w:szCs w:val="21"/>
        </w:rPr>
        <w:t>3</w:t>
      </w:r>
      <w:r>
        <w:rPr>
          <w:rFonts w:hAnsi="宋体"/>
          <w:sz w:val="21"/>
          <w:szCs w:val="21"/>
        </w:rPr>
        <w:t>）对成交结果提出质疑的，为成交结果公告期限届满之日。</w:t>
      </w:r>
    </w:p>
    <w:p>
      <w:pPr>
        <w:spacing w:line="360" w:lineRule="auto"/>
        <w:ind w:left="420" w:hanging="420"/>
        <w:rPr>
          <w:sz w:val="21"/>
          <w:szCs w:val="21"/>
        </w:rPr>
      </w:pPr>
      <w:r>
        <w:rPr>
          <w:rFonts w:hint="eastAsia" w:hAnsi="宋体"/>
          <w:sz w:val="21"/>
          <w:szCs w:val="21"/>
        </w:rPr>
        <w:t>22.2</w:t>
      </w:r>
      <w:r>
        <w:rPr>
          <w:rFonts w:hint="eastAsia"/>
          <w:sz w:val="21"/>
          <w:szCs w:val="21"/>
        </w:rPr>
        <w:t>报价人对评审结果有质疑或投诉的，可根据上级监督部门有关规定，向相关部门书面提出，但需对质疑或投诉内容的真实性承担责任。</w:t>
      </w:r>
      <w:r>
        <w:rPr>
          <w:rFonts w:hint="eastAsia"/>
          <w:b/>
          <w:sz w:val="21"/>
          <w:szCs w:val="21"/>
        </w:rPr>
        <w:t>质疑或投诉必须是书面的原件，并加盖报价人公章及由法定代表人或其授权代表签署或盖章。</w:t>
      </w:r>
      <w:r>
        <w:rPr>
          <w:b/>
          <w:spacing w:val="-4"/>
          <w:sz w:val="21"/>
          <w:szCs w:val="21"/>
        </w:rPr>
        <w:t>质疑、投诉应当有明确的请求和必要的证明材料。</w:t>
      </w:r>
    </w:p>
    <w:p>
      <w:pPr>
        <w:tabs>
          <w:tab w:val="left" w:pos="735"/>
        </w:tabs>
        <w:snapToGrid w:val="0"/>
        <w:spacing w:line="360" w:lineRule="auto"/>
        <w:ind w:firstLine="420" w:firstLineChars="200"/>
        <w:rPr>
          <w:rFonts w:hAnsi="宋体"/>
          <w:snapToGrid w:val="0"/>
          <w:sz w:val="21"/>
          <w:szCs w:val="21"/>
        </w:rPr>
      </w:pPr>
      <w:r>
        <w:rPr>
          <w:rFonts w:hint="eastAsia" w:hAnsi="宋体"/>
          <w:sz w:val="21"/>
          <w:szCs w:val="21"/>
        </w:rPr>
        <w:t>（1）</w:t>
      </w:r>
      <w:r>
        <w:rPr>
          <w:rFonts w:hint="eastAsia" w:hAnsi="宋体"/>
          <w:snapToGrid w:val="0"/>
          <w:sz w:val="21"/>
          <w:szCs w:val="21"/>
        </w:rPr>
        <w:t>招标人或招标代理机构应在收到报价人书面质疑后7个工作日内，对质疑内容作出答复。</w:t>
      </w:r>
    </w:p>
    <w:p>
      <w:pPr>
        <w:tabs>
          <w:tab w:val="left" w:pos="735"/>
        </w:tabs>
        <w:snapToGrid w:val="0"/>
        <w:spacing w:line="360" w:lineRule="auto"/>
        <w:ind w:firstLine="735" w:firstLineChars="350"/>
        <w:rPr>
          <w:rFonts w:hAnsi="宋体"/>
          <w:snapToGrid w:val="0"/>
          <w:sz w:val="21"/>
          <w:szCs w:val="21"/>
        </w:rPr>
      </w:pPr>
      <w:r>
        <w:rPr>
          <w:rFonts w:hint="eastAsia" w:hAnsi="宋体"/>
          <w:snapToGrid w:val="0"/>
          <w:sz w:val="21"/>
          <w:szCs w:val="21"/>
        </w:rPr>
        <w:t>招标代理机构：广东泰通伟业工程咨询有限公司</w:t>
      </w:r>
    </w:p>
    <w:p>
      <w:pPr>
        <w:spacing w:line="360" w:lineRule="auto"/>
        <w:ind w:firstLine="721"/>
        <w:textAlignment w:val="bottom"/>
        <w:rPr>
          <w:rFonts w:hAnsi="宋体"/>
          <w:sz w:val="21"/>
          <w:szCs w:val="21"/>
        </w:rPr>
      </w:pPr>
      <w:r>
        <w:rPr>
          <w:rFonts w:hint="eastAsia" w:hAnsi="宋体"/>
          <w:sz w:val="21"/>
          <w:szCs w:val="21"/>
        </w:rPr>
        <w:t xml:space="preserve">地    址: 东莞市东城莞龙路下桥银门街一号办公楼六楼606室招标采购部    </w:t>
      </w:r>
    </w:p>
    <w:p>
      <w:pPr>
        <w:spacing w:line="360" w:lineRule="auto"/>
        <w:ind w:firstLine="721"/>
        <w:textAlignment w:val="bottom"/>
        <w:rPr>
          <w:rFonts w:hAnsi="宋体"/>
          <w:sz w:val="21"/>
          <w:szCs w:val="21"/>
        </w:rPr>
      </w:pPr>
      <w:r>
        <w:rPr>
          <w:rFonts w:hint="eastAsia" w:hAnsi="宋体"/>
          <w:sz w:val="21"/>
          <w:szCs w:val="21"/>
        </w:rPr>
        <w:t xml:space="preserve">邮    编：523000                          电    话：0769-22088829                               </w:t>
      </w:r>
    </w:p>
    <w:p>
      <w:pPr>
        <w:spacing w:line="360" w:lineRule="auto"/>
        <w:ind w:firstLine="721"/>
        <w:textAlignment w:val="bottom"/>
        <w:rPr>
          <w:rFonts w:hAnsi="宋体"/>
          <w:sz w:val="21"/>
          <w:szCs w:val="21"/>
        </w:rPr>
      </w:pPr>
      <w:r>
        <w:rPr>
          <w:rFonts w:hint="eastAsia" w:hAnsi="宋体"/>
          <w:sz w:val="21"/>
          <w:szCs w:val="21"/>
        </w:rPr>
        <w:t>传    真：0769-22088829                   联 系 人：罗小姐</w:t>
      </w:r>
    </w:p>
    <w:p>
      <w:pPr>
        <w:tabs>
          <w:tab w:val="left" w:pos="735"/>
        </w:tabs>
        <w:snapToGrid w:val="0"/>
        <w:spacing w:line="360" w:lineRule="auto"/>
        <w:ind w:left="839" w:leftChars="200" w:hanging="359" w:hangingChars="171"/>
        <w:rPr>
          <w:b/>
          <w:spacing w:val="-4"/>
          <w:sz w:val="21"/>
          <w:szCs w:val="21"/>
        </w:rPr>
      </w:pPr>
      <w:r>
        <w:rPr>
          <w:rFonts w:hint="eastAsia" w:hAnsi="宋体"/>
          <w:sz w:val="21"/>
          <w:szCs w:val="21"/>
        </w:rPr>
        <w:t>（2）</w:t>
      </w:r>
      <w:r>
        <w:rPr>
          <w:rFonts w:hint="eastAsia" w:hAnsi="宋体"/>
          <w:snapToGrid w:val="0"/>
          <w:sz w:val="21"/>
          <w:szCs w:val="21"/>
        </w:rPr>
        <w:t>对招标人或招标代理机构的答复不满意或他们未在规定时间内给予答复的，提出质疑的报价人可以在答复期满后15个工作日内，按《报价须知前附表》中的联系方式向招标监督管理机构投诉。</w:t>
      </w:r>
      <w:bookmarkStart w:id="5" w:name="OLE_LINK32"/>
      <w:r>
        <w:rPr>
          <w:b/>
          <w:spacing w:val="-4"/>
          <w:sz w:val="21"/>
          <w:szCs w:val="21"/>
        </w:rPr>
        <w:t>投诉的事项不得超出已质疑事项的范围。</w:t>
      </w:r>
      <w:bookmarkEnd w:id="5"/>
    </w:p>
    <w:p>
      <w:pPr>
        <w:tabs>
          <w:tab w:val="left" w:pos="735"/>
        </w:tabs>
        <w:snapToGrid w:val="0"/>
        <w:spacing w:line="360" w:lineRule="auto"/>
        <w:rPr>
          <w:rFonts w:hAnsi="宋体"/>
          <w:b/>
        </w:rPr>
      </w:pPr>
      <w:r>
        <w:rPr>
          <w:rFonts w:hint="eastAsia" w:hAnsi="宋体"/>
          <w:b/>
        </w:rPr>
        <w:t>十、履约担保</w:t>
      </w:r>
    </w:p>
    <w:p>
      <w:pPr>
        <w:spacing w:line="360" w:lineRule="auto"/>
        <w:ind w:left="636" w:hanging="636" w:hangingChars="303"/>
        <w:rPr>
          <w:rFonts w:hAnsi="宋体"/>
          <w:bCs/>
          <w:kern w:val="2"/>
          <w:sz w:val="21"/>
          <w:szCs w:val="21"/>
        </w:rPr>
      </w:pPr>
      <w:r>
        <w:rPr>
          <w:rFonts w:hint="eastAsia" w:hAnsi="宋体"/>
          <w:bCs/>
          <w:kern w:val="2"/>
          <w:sz w:val="21"/>
          <w:szCs w:val="21"/>
        </w:rPr>
        <w:t>23.   履约担保</w:t>
      </w:r>
    </w:p>
    <w:p>
      <w:pPr>
        <w:spacing w:line="360" w:lineRule="auto"/>
        <w:ind w:left="636" w:hanging="636" w:hangingChars="303"/>
        <w:rPr>
          <w:rFonts w:hAnsi="宋体"/>
          <w:kern w:val="2"/>
          <w:sz w:val="21"/>
          <w:szCs w:val="21"/>
          <w:lang w:val="zh-CN"/>
        </w:rPr>
      </w:pPr>
      <w:r>
        <w:rPr>
          <w:rFonts w:hint="eastAsia" w:hAnsi="宋体"/>
          <w:bCs/>
          <w:kern w:val="2"/>
          <w:sz w:val="21"/>
          <w:szCs w:val="21"/>
        </w:rPr>
        <w:t>23</w:t>
      </w:r>
      <w:r>
        <w:rPr>
          <w:rFonts w:hint="eastAsia" w:hAnsi="宋体"/>
          <w:bCs/>
          <w:kern w:val="2"/>
          <w:sz w:val="21"/>
          <w:szCs w:val="21"/>
          <w:lang w:val="zh-CN"/>
        </w:rPr>
        <w:t xml:space="preserve">.1  </w:t>
      </w:r>
      <w:r>
        <w:rPr>
          <w:rFonts w:hint="eastAsia" w:hAnsi="宋体"/>
          <w:bCs/>
          <w:sz w:val="21"/>
          <w:szCs w:val="21"/>
        </w:rPr>
        <w:t>报价人在合同签订前提交履约担保，履约担保金额不超过成交合同金额的10%，如果报价人提交的履约保函的有效期先于合同要求的履约保函有效期到达，报价人应在原提交的履约保函有效期满前15天，无条件办理保函延期手续。否则，视报价人违约，招标人可在保函到期前将保函金额转为现金存入履约担保帐户。</w:t>
      </w:r>
    </w:p>
    <w:p>
      <w:pPr>
        <w:spacing w:line="360" w:lineRule="auto"/>
        <w:ind w:left="636" w:hanging="636" w:hangingChars="303"/>
        <w:rPr>
          <w:rFonts w:hAnsi="宋体"/>
          <w:bCs/>
          <w:kern w:val="2"/>
          <w:sz w:val="21"/>
          <w:szCs w:val="21"/>
          <w:lang w:val="zh-CN"/>
        </w:rPr>
      </w:pPr>
      <w:r>
        <w:rPr>
          <w:rFonts w:hint="eastAsia" w:hAnsi="宋体"/>
          <w:bCs/>
          <w:kern w:val="2"/>
          <w:sz w:val="21"/>
          <w:szCs w:val="21"/>
        </w:rPr>
        <w:t>23.2</w:t>
      </w:r>
      <w:r>
        <w:rPr>
          <w:rFonts w:hint="eastAsia" w:hAnsi="宋体"/>
          <w:bCs/>
          <w:kern w:val="2"/>
          <w:sz w:val="21"/>
          <w:szCs w:val="21"/>
          <w:lang w:val="zh-CN"/>
        </w:rPr>
        <w:t xml:space="preserve">  </w:t>
      </w:r>
      <w:r>
        <w:rPr>
          <w:rFonts w:hint="eastAsia" w:hAnsi="宋体"/>
          <w:bCs/>
          <w:kern w:val="2"/>
          <w:sz w:val="21"/>
          <w:szCs w:val="21"/>
        </w:rPr>
        <w:t>履约担保期限从合同签订之日起至项目安装完毕验收合格并结算完毕后，经双方签字7天内保持有效</w:t>
      </w:r>
      <w:r>
        <w:rPr>
          <w:rFonts w:hint="eastAsia" w:hAnsi="宋体"/>
          <w:bCs/>
          <w:kern w:val="2"/>
          <w:sz w:val="21"/>
          <w:szCs w:val="21"/>
          <w:lang w:val="zh-CN"/>
        </w:rPr>
        <w:t>。</w:t>
      </w:r>
    </w:p>
    <w:p>
      <w:pPr>
        <w:spacing w:line="360" w:lineRule="auto"/>
        <w:ind w:left="636" w:hanging="636" w:hangingChars="303"/>
        <w:rPr>
          <w:rFonts w:hAnsi="宋体"/>
          <w:bCs/>
          <w:kern w:val="2"/>
          <w:sz w:val="21"/>
          <w:szCs w:val="21"/>
        </w:rPr>
      </w:pPr>
      <w:r>
        <w:rPr>
          <w:rFonts w:hint="eastAsia" w:hAnsi="宋体"/>
          <w:bCs/>
          <w:kern w:val="2"/>
          <w:sz w:val="21"/>
          <w:szCs w:val="21"/>
        </w:rPr>
        <w:t>23.</w:t>
      </w:r>
      <w:r>
        <w:rPr>
          <w:rFonts w:hAnsi="宋体"/>
          <w:bCs/>
          <w:kern w:val="2"/>
          <w:sz w:val="21"/>
          <w:szCs w:val="21"/>
        </w:rPr>
        <w:t xml:space="preserve">3  </w:t>
      </w:r>
      <w:r>
        <w:rPr>
          <w:rFonts w:hint="eastAsia" w:hAnsi="宋体"/>
          <w:bCs/>
          <w:kern w:val="2"/>
          <w:sz w:val="21"/>
          <w:szCs w:val="21"/>
        </w:rPr>
        <w:t>履约担保可以采用下列任何一种形式：</w:t>
      </w:r>
    </w:p>
    <w:p>
      <w:pPr>
        <w:spacing w:line="360" w:lineRule="auto"/>
        <w:ind w:firstLine="630" w:firstLineChars="300"/>
        <w:rPr>
          <w:rFonts w:hAnsi="宋体"/>
          <w:bCs/>
          <w:kern w:val="2"/>
          <w:sz w:val="21"/>
          <w:szCs w:val="21"/>
        </w:rPr>
      </w:pPr>
      <w:r>
        <w:rPr>
          <w:rFonts w:hint="eastAsia" w:hAnsi="宋体"/>
          <w:bCs/>
          <w:kern w:val="2"/>
          <w:sz w:val="21"/>
          <w:szCs w:val="21"/>
        </w:rPr>
        <w:t>（1）履约保函。如果报价人的履约担保是以银行保函形式提供的，则该银行保函应：</w:t>
      </w:r>
    </w:p>
    <w:p>
      <w:pPr>
        <w:spacing w:line="360" w:lineRule="auto"/>
        <w:ind w:left="480" w:leftChars="200" w:firstLine="210" w:firstLineChars="100"/>
        <w:rPr>
          <w:rFonts w:hAnsi="宋体"/>
          <w:bCs/>
          <w:kern w:val="2"/>
          <w:sz w:val="21"/>
          <w:szCs w:val="21"/>
        </w:rPr>
      </w:pPr>
      <w:r>
        <w:rPr>
          <w:rFonts w:hint="eastAsia" w:hAnsi="宋体"/>
          <w:bCs/>
          <w:kern w:val="2"/>
          <w:sz w:val="21"/>
          <w:szCs w:val="21"/>
        </w:rPr>
        <w:t>①保函应由银行支行或以上银行机构开具，非东莞市行政区内的银行开具的保函要由银行所在地公证部门出具的公证书。</w:t>
      </w:r>
    </w:p>
    <w:p>
      <w:pPr>
        <w:spacing w:line="360" w:lineRule="auto"/>
        <w:ind w:left="480" w:leftChars="200" w:firstLine="210" w:firstLineChars="100"/>
        <w:rPr>
          <w:rFonts w:hAnsi="宋体"/>
          <w:bCs/>
          <w:kern w:val="2"/>
          <w:sz w:val="21"/>
          <w:szCs w:val="21"/>
        </w:rPr>
      </w:pPr>
      <w:r>
        <w:rPr>
          <w:rFonts w:hint="eastAsia" w:hAnsi="宋体"/>
          <w:bCs/>
          <w:kern w:val="2"/>
          <w:sz w:val="21"/>
          <w:szCs w:val="21"/>
        </w:rPr>
        <w:t>②保函的格式参考报价文件附件中提供的无条件不可撤销履约保函格式，保函担保期内若项目未能按期竣工，保函必须延期，办理延期手续时在银行方面所产生费用由报价人负责。</w:t>
      </w:r>
    </w:p>
    <w:p>
      <w:pPr>
        <w:spacing w:line="360" w:lineRule="auto"/>
        <w:ind w:left="480" w:leftChars="200" w:firstLine="210" w:firstLineChars="100"/>
        <w:rPr>
          <w:rFonts w:hAnsi="宋体"/>
          <w:bCs/>
          <w:kern w:val="2"/>
          <w:sz w:val="21"/>
          <w:szCs w:val="21"/>
        </w:rPr>
      </w:pPr>
      <w:r>
        <w:rPr>
          <w:rFonts w:hint="eastAsia" w:hAnsi="宋体"/>
          <w:bCs/>
          <w:kern w:val="2"/>
          <w:sz w:val="21"/>
          <w:szCs w:val="21"/>
        </w:rPr>
        <w:t>③履约保函必须打印，手写、涂改无效。</w:t>
      </w:r>
    </w:p>
    <w:p>
      <w:pPr>
        <w:spacing w:line="360" w:lineRule="auto"/>
        <w:ind w:left="626" w:leftChars="261"/>
        <w:rPr>
          <w:rFonts w:hAnsi="宋体"/>
          <w:bCs/>
          <w:kern w:val="2"/>
          <w:sz w:val="21"/>
          <w:szCs w:val="21"/>
          <w:lang w:val="zh-CN"/>
        </w:rPr>
      </w:pPr>
      <w:r>
        <w:rPr>
          <w:rFonts w:hint="eastAsia" w:hAnsi="宋体"/>
          <w:bCs/>
          <w:kern w:val="2"/>
          <w:sz w:val="21"/>
          <w:szCs w:val="21"/>
        </w:rPr>
        <w:t>（2）履约担保。可采用电汇、银行汇票等银行转帐方式提交，但不可以采用现金方式提交。履约担保金额为成交价的10%。报价人必须保证履约担保以报价人的名称在（合同约定的日期）前提交至招标人指定账户。</w:t>
      </w:r>
    </w:p>
    <w:p>
      <w:pPr>
        <w:spacing w:line="360" w:lineRule="auto"/>
        <w:ind w:left="636" w:hanging="636" w:hangingChars="303"/>
        <w:rPr>
          <w:rFonts w:hAnsi="宋体"/>
          <w:bCs/>
          <w:kern w:val="2"/>
          <w:sz w:val="21"/>
          <w:szCs w:val="21"/>
        </w:rPr>
      </w:pPr>
      <w:r>
        <w:rPr>
          <w:rFonts w:hint="eastAsia" w:hAnsi="宋体"/>
          <w:bCs/>
          <w:kern w:val="2"/>
          <w:sz w:val="21"/>
          <w:szCs w:val="21"/>
        </w:rPr>
        <w:t>23.</w:t>
      </w:r>
      <w:r>
        <w:rPr>
          <w:rFonts w:hAnsi="宋体"/>
          <w:bCs/>
          <w:kern w:val="2"/>
          <w:sz w:val="21"/>
          <w:szCs w:val="21"/>
        </w:rPr>
        <w:t>4</w:t>
      </w:r>
      <w:r>
        <w:rPr>
          <w:rFonts w:hint="eastAsia" w:hAnsi="宋体"/>
          <w:bCs/>
          <w:kern w:val="2"/>
          <w:sz w:val="21"/>
          <w:szCs w:val="21"/>
        </w:rPr>
        <w:t xml:space="preserve"> </w:t>
      </w:r>
      <w:r>
        <w:rPr>
          <w:rFonts w:hAnsi="宋体"/>
          <w:bCs/>
          <w:kern w:val="2"/>
          <w:sz w:val="21"/>
          <w:szCs w:val="21"/>
        </w:rPr>
        <w:t xml:space="preserve"> </w:t>
      </w:r>
      <w:r>
        <w:rPr>
          <w:rFonts w:hint="eastAsia" w:hAnsi="宋体"/>
          <w:bCs/>
          <w:kern w:val="2"/>
          <w:sz w:val="21"/>
          <w:szCs w:val="21"/>
        </w:rPr>
        <w:t>若报价人不能按本招标文件的规定提交履约担保的，招标人将有权取消报价人的成交资格（招标人可以按照评标委员会提出的成交候选人名单排序依次确定其他成交候选人为成交人，也可以重新招标），报价保证金不予退还，给招标人造成的损失如果超过报价保证金数额的，还应当对超过部分予以赔偿。</w:t>
      </w:r>
    </w:p>
    <w:p>
      <w:pPr>
        <w:spacing w:line="360" w:lineRule="auto"/>
        <w:ind w:left="636" w:hanging="636" w:hangingChars="303"/>
        <w:rPr>
          <w:rFonts w:hAnsi="宋体"/>
          <w:bCs/>
          <w:kern w:val="2"/>
          <w:sz w:val="21"/>
          <w:szCs w:val="21"/>
        </w:rPr>
      </w:pPr>
      <w:r>
        <w:rPr>
          <w:rFonts w:hint="eastAsia" w:hAnsi="宋体"/>
          <w:bCs/>
          <w:kern w:val="2"/>
          <w:sz w:val="21"/>
          <w:szCs w:val="21"/>
        </w:rPr>
        <w:t>23.5  为取得履约担保所需的费用，由报价人承担；若工期延误，履约担保时间延长，延长费用由报价人承担。</w:t>
      </w:r>
    </w:p>
    <w:p>
      <w:pPr>
        <w:spacing w:line="360" w:lineRule="auto"/>
        <w:ind w:left="636" w:hanging="636" w:hangingChars="303"/>
        <w:rPr>
          <w:rFonts w:hAnsi="宋体"/>
          <w:bCs/>
          <w:kern w:val="2"/>
          <w:sz w:val="21"/>
          <w:szCs w:val="21"/>
        </w:rPr>
      </w:pPr>
      <w:r>
        <w:rPr>
          <w:rFonts w:hint="eastAsia" w:hAnsi="宋体"/>
          <w:bCs/>
          <w:kern w:val="2"/>
          <w:sz w:val="21"/>
          <w:szCs w:val="21"/>
        </w:rPr>
        <w:t>23.6  若成交供应商在合同履行过程中出现项目质量事故、工期拖延、欠付工人工资、欠付材料款等情况，招标人在经核查属实后，有权将履约保函金额转为现金存入履约担保账户；成交供应商造成招标人损失的，招标人有权立即没收其履约担保，若造成损失超过履约担保的，还应当对超过部分予以赔偿。</w:t>
      </w:r>
    </w:p>
    <w:p>
      <w:pPr>
        <w:spacing w:line="360" w:lineRule="auto"/>
        <w:ind w:left="636" w:hanging="636" w:hangingChars="303"/>
        <w:rPr>
          <w:rFonts w:hAnsi="宋体"/>
          <w:bCs/>
          <w:kern w:val="2"/>
          <w:sz w:val="21"/>
          <w:szCs w:val="21"/>
        </w:rPr>
      </w:pPr>
      <w:r>
        <w:rPr>
          <w:rFonts w:hint="eastAsia" w:hAnsi="宋体"/>
          <w:bCs/>
          <w:kern w:val="2"/>
          <w:sz w:val="21"/>
          <w:szCs w:val="21"/>
        </w:rPr>
        <w:t>23.7 下列任何情况发生时，招标人有权行使享有的担保权利：</w:t>
      </w:r>
    </w:p>
    <w:p>
      <w:pPr>
        <w:spacing w:line="360" w:lineRule="auto"/>
        <w:ind w:left="480" w:leftChars="200"/>
        <w:rPr>
          <w:rFonts w:hAnsi="宋体"/>
          <w:bCs/>
          <w:kern w:val="2"/>
          <w:sz w:val="21"/>
          <w:szCs w:val="21"/>
        </w:rPr>
      </w:pPr>
      <w:r>
        <w:rPr>
          <w:rFonts w:hint="eastAsia" w:hAnsi="宋体"/>
          <w:bCs/>
          <w:kern w:val="2"/>
          <w:sz w:val="21"/>
          <w:szCs w:val="21"/>
        </w:rPr>
        <w:t>（1）成交供应商将本项目转让给他人，或者在报价文件中未说明，且未经招标人同意，将成交项目分包给他人的；</w:t>
      </w:r>
    </w:p>
    <w:p>
      <w:pPr>
        <w:spacing w:line="360" w:lineRule="auto"/>
        <w:ind w:left="480" w:leftChars="200"/>
        <w:rPr>
          <w:rFonts w:hAnsi="宋体"/>
          <w:bCs/>
          <w:kern w:val="2"/>
          <w:sz w:val="21"/>
          <w:szCs w:val="21"/>
        </w:rPr>
      </w:pPr>
      <w:r>
        <w:rPr>
          <w:rFonts w:hint="eastAsia" w:hAnsi="宋体"/>
          <w:bCs/>
          <w:kern w:val="2"/>
          <w:sz w:val="21"/>
          <w:szCs w:val="21"/>
        </w:rPr>
        <w:t>（2）成交供应商在履行合同期间，违反有关法律法规的规定及合同约定的条款，损害了招标人的利益。</w:t>
      </w:r>
    </w:p>
    <w:p>
      <w:pPr>
        <w:spacing w:line="360" w:lineRule="auto"/>
        <w:ind w:left="636" w:hanging="636" w:hangingChars="303"/>
        <w:rPr>
          <w:rFonts w:hAnsi="宋体"/>
          <w:bCs/>
          <w:kern w:val="2"/>
          <w:sz w:val="21"/>
          <w:szCs w:val="21"/>
        </w:rPr>
      </w:pPr>
      <w:r>
        <w:rPr>
          <w:rFonts w:hint="eastAsia" w:hAnsi="宋体"/>
          <w:bCs/>
          <w:kern w:val="2"/>
          <w:sz w:val="21"/>
          <w:szCs w:val="21"/>
        </w:rPr>
        <w:t>23.8 在整个项目验收合格后，成交供应商向招标人提交退回履约担保的申请，招标人办理履约担保退还手续。</w:t>
      </w:r>
    </w:p>
    <w:p>
      <w:pPr>
        <w:tabs>
          <w:tab w:val="left" w:pos="735"/>
        </w:tabs>
        <w:snapToGrid w:val="0"/>
        <w:spacing w:line="360" w:lineRule="auto"/>
        <w:rPr>
          <w:rFonts w:hAnsi="宋体"/>
          <w:b/>
        </w:rPr>
      </w:pPr>
      <w:r>
        <w:rPr>
          <w:rFonts w:hint="eastAsia" w:hAnsi="宋体"/>
          <w:b/>
        </w:rPr>
        <w:t>十一、签订合同</w:t>
      </w:r>
    </w:p>
    <w:p>
      <w:pPr>
        <w:spacing w:line="360" w:lineRule="auto"/>
        <w:ind w:left="420" w:hanging="420"/>
        <w:rPr>
          <w:rFonts w:hAnsi="宋体"/>
          <w:sz w:val="21"/>
          <w:szCs w:val="21"/>
        </w:rPr>
      </w:pPr>
      <w:r>
        <w:rPr>
          <w:rFonts w:hint="eastAsia" w:hAnsi="宋体"/>
          <w:sz w:val="21"/>
          <w:szCs w:val="21"/>
        </w:rPr>
        <w:t>24. 成交通知书</w:t>
      </w:r>
    </w:p>
    <w:p>
      <w:pPr>
        <w:tabs>
          <w:tab w:val="left" w:pos="8280"/>
        </w:tabs>
        <w:snapToGrid w:val="0"/>
        <w:spacing w:line="360" w:lineRule="auto"/>
        <w:ind w:left="473" w:right="34" w:hanging="472" w:hangingChars="225"/>
        <w:rPr>
          <w:sz w:val="21"/>
          <w:szCs w:val="21"/>
        </w:rPr>
      </w:pPr>
      <w:r>
        <w:rPr>
          <w:rFonts w:hint="eastAsia" w:hAnsi="宋体"/>
          <w:sz w:val="21"/>
          <w:szCs w:val="21"/>
        </w:rPr>
        <w:t>24.1 成交结果公告发布的同时，招标代理机构将以书面形式向</w:t>
      </w:r>
      <w:r>
        <w:rPr>
          <w:rFonts w:hint="eastAsia" w:hAnsi="宋体" w:cs="宋体"/>
          <w:sz w:val="21"/>
          <w:szCs w:val="21"/>
        </w:rPr>
        <w:t>成交供应商</w:t>
      </w:r>
      <w:r>
        <w:rPr>
          <w:rFonts w:hint="eastAsia" w:hAnsi="宋体"/>
          <w:sz w:val="21"/>
          <w:szCs w:val="21"/>
        </w:rPr>
        <w:t>发出经招标人及招标代理机构双方确认的《成交通知书》；</w:t>
      </w:r>
      <w:r>
        <w:rPr>
          <w:rFonts w:hint="eastAsia" w:hAnsi="宋体" w:cs="宋体"/>
          <w:sz w:val="21"/>
          <w:szCs w:val="21"/>
        </w:rPr>
        <w:t>成交供应商</w:t>
      </w:r>
      <w:r>
        <w:rPr>
          <w:rFonts w:hint="eastAsia" w:hAnsi="宋体"/>
          <w:sz w:val="21"/>
          <w:szCs w:val="21"/>
        </w:rPr>
        <w:t>收到《成交通知书》后须以书面形式向招标代理机构确认。</w:t>
      </w:r>
    </w:p>
    <w:p>
      <w:pPr>
        <w:tabs>
          <w:tab w:val="left" w:pos="8280"/>
        </w:tabs>
        <w:snapToGrid w:val="0"/>
        <w:spacing w:line="360" w:lineRule="auto"/>
        <w:ind w:left="473" w:right="34" w:hanging="472" w:hangingChars="225"/>
        <w:rPr>
          <w:sz w:val="21"/>
          <w:szCs w:val="21"/>
        </w:rPr>
      </w:pPr>
      <w:r>
        <w:rPr>
          <w:rFonts w:hint="eastAsia" w:hAnsi="宋体"/>
          <w:sz w:val="21"/>
          <w:szCs w:val="21"/>
        </w:rPr>
        <w:t>24.2 《成交通知书》将是合同的一个组成部分，对招标人和成交供应商具有同等法律效力；《成交通知书》发出后，招标人改变成交结果，或者成交供应商放弃成交，均应承担相应的法律责任。</w:t>
      </w:r>
    </w:p>
    <w:p>
      <w:pPr>
        <w:spacing w:line="360" w:lineRule="auto"/>
        <w:ind w:left="420" w:hanging="420"/>
        <w:rPr>
          <w:rFonts w:hAnsi="宋体"/>
          <w:sz w:val="21"/>
          <w:szCs w:val="21"/>
        </w:rPr>
      </w:pPr>
      <w:r>
        <w:rPr>
          <w:rFonts w:hint="eastAsia" w:hAnsi="宋体"/>
          <w:sz w:val="21"/>
          <w:szCs w:val="21"/>
        </w:rPr>
        <w:t xml:space="preserve">25. </w:t>
      </w:r>
      <w:r>
        <w:rPr>
          <w:rFonts w:hint="eastAsia" w:hAnsi="宋体" w:cs="宋体"/>
          <w:sz w:val="21"/>
          <w:szCs w:val="21"/>
        </w:rPr>
        <w:t>成交供应商</w:t>
      </w:r>
      <w:r>
        <w:rPr>
          <w:rFonts w:hint="eastAsia" w:hAnsi="宋体"/>
          <w:sz w:val="21"/>
          <w:szCs w:val="21"/>
        </w:rPr>
        <w:t>在收到成交通知书后，按规定与招标人签订招标合同。</w:t>
      </w:r>
    </w:p>
    <w:p>
      <w:pPr>
        <w:tabs>
          <w:tab w:val="left" w:pos="8280"/>
        </w:tabs>
        <w:snapToGrid w:val="0"/>
        <w:spacing w:line="360" w:lineRule="auto"/>
        <w:ind w:left="473" w:right="34" w:hanging="472" w:hangingChars="225"/>
        <w:rPr>
          <w:rFonts w:hAnsi="宋体"/>
          <w:sz w:val="21"/>
          <w:szCs w:val="21"/>
        </w:rPr>
      </w:pPr>
      <w:r>
        <w:rPr>
          <w:rFonts w:hint="eastAsia" w:hAnsi="宋体"/>
          <w:sz w:val="21"/>
          <w:szCs w:val="21"/>
        </w:rPr>
        <w:t xml:space="preserve">25.1 </w:t>
      </w:r>
      <w:r>
        <w:rPr>
          <w:rFonts w:hint="eastAsia" w:hAnsi="宋体" w:cs="宋体"/>
          <w:sz w:val="21"/>
          <w:szCs w:val="21"/>
        </w:rPr>
        <w:t>成交供应商</w:t>
      </w:r>
      <w:r>
        <w:rPr>
          <w:rFonts w:hint="eastAsia"/>
          <w:sz w:val="21"/>
          <w:szCs w:val="21"/>
        </w:rPr>
        <w:t>在收到《成交通知书》后，应按照《成交通知书》指定的时间、地点，派遣其授权代表与招标人签署合同。</w:t>
      </w:r>
      <w:r>
        <w:rPr>
          <w:rFonts w:hAnsi="宋体"/>
          <w:sz w:val="21"/>
          <w:szCs w:val="21"/>
        </w:rPr>
        <w:t>按</w:t>
      </w:r>
      <w:r>
        <w:rPr>
          <w:rFonts w:hint="eastAsia" w:hAnsi="宋体"/>
          <w:sz w:val="21"/>
          <w:szCs w:val="21"/>
        </w:rPr>
        <w:t>谈判</w:t>
      </w:r>
      <w:r>
        <w:rPr>
          <w:rFonts w:hAnsi="宋体"/>
          <w:sz w:val="21"/>
          <w:szCs w:val="21"/>
        </w:rPr>
        <w:t>文件要求和</w:t>
      </w:r>
      <w:r>
        <w:rPr>
          <w:rFonts w:hint="eastAsia" w:hAnsi="宋体"/>
          <w:sz w:val="21"/>
          <w:szCs w:val="21"/>
        </w:rPr>
        <w:t>成交供应商的报价</w:t>
      </w:r>
      <w:r>
        <w:rPr>
          <w:rFonts w:hAnsi="宋体"/>
          <w:sz w:val="21"/>
          <w:szCs w:val="21"/>
        </w:rPr>
        <w:t>文件承诺签订</w:t>
      </w:r>
      <w:r>
        <w:rPr>
          <w:rFonts w:hint="eastAsia" w:hAnsi="宋体"/>
          <w:sz w:val="21"/>
          <w:szCs w:val="21"/>
        </w:rPr>
        <w:t>招标</w:t>
      </w:r>
      <w:r>
        <w:rPr>
          <w:rFonts w:hAnsi="宋体"/>
          <w:sz w:val="21"/>
          <w:szCs w:val="21"/>
        </w:rPr>
        <w:t>合同，但不得超出</w:t>
      </w:r>
      <w:r>
        <w:rPr>
          <w:rFonts w:hint="eastAsia" w:hAnsi="宋体"/>
          <w:sz w:val="21"/>
          <w:szCs w:val="21"/>
        </w:rPr>
        <w:t>谈判</w:t>
      </w:r>
      <w:r>
        <w:rPr>
          <w:rFonts w:hAnsi="宋体"/>
          <w:sz w:val="21"/>
          <w:szCs w:val="21"/>
        </w:rPr>
        <w:t>文件要求和</w:t>
      </w:r>
      <w:r>
        <w:rPr>
          <w:rFonts w:hint="eastAsia" w:hAnsi="宋体"/>
          <w:sz w:val="21"/>
          <w:szCs w:val="21"/>
        </w:rPr>
        <w:t>成交供应商的报价</w:t>
      </w:r>
      <w:r>
        <w:rPr>
          <w:rFonts w:hAnsi="宋体"/>
          <w:sz w:val="21"/>
          <w:szCs w:val="21"/>
        </w:rPr>
        <w:t>文件的范围、也不得再行订立背离合同实质性内容的其他协议</w:t>
      </w:r>
      <w:r>
        <w:rPr>
          <w:rFonts w:hint="eastAsia" w:hAnsi="宋体"/>
          <w:sz w:val="21"/>
          <w:szCs w:val="21"/>
        </w:rPr>
        <w:t>。</w:t>
      </w:r>
    </w:p>
    <w:p>
      <w:pPr>
        <w:tabs>
          <w:tab w:val="left" w:pos="8280"/>
        </w:tabs>
        <w:snapToGrid w:val="0"/>
        <w:spacing w:line="360" w:lineRule="auto"/>
        <w:ind w:left="473" w:right="34" w:hanging="472" w:hangingChars="225"/>
        <w:rPr>
          <w:sz w:val="21"/>
          <w:szCs w:val="21"/>
        </w:rPr>
      </w:pPr>
      <w:r>
        <w:rPr>
          <w:rFonts w:hint="eastAsia" w:hAnsi="宋体"/>
          <w:sz w:val="21"/>
          <w:szCs w:val="21"/>
        </w:rPr>
        <w:t>25.2 在合同签订前，成交供应商须提供营业执照、税务登记证和在报价文件中提供的资质证明文件、业绩合同等主要证明文件（如授权其分支机构进行项目实施或提供售后服务的，亦应提供其与分支机构关系的法律证明材料）的原件给招标人进行核对。如报价文件中复印件与原件不符，招标人有权取消其成交资格。</w:t>
      </w:r>
    </w:p>
    <w:p>
      <w:pPr>
        <w:tabs>
          <w:tab w:val="left" w:pos="8280"/>
        </w:tabs>
        <w:snapToGrid w:val="0"/>
        <w:spacing w:line="360" w:lineRule="auto"/>
        <w:ind w:left="473" w:right="34" w:hanging="472" w:hangingChars="225"/>
        <w:rPr>
          <w:sz w:val="21"/>
          <w:szCs w:val="21"/>
        </w:rPr>
      </w:pPr>
      <w:r>
        <w:rPr>
          <w:rFonts w:hint="eastAsia" w:hAnsi="宋体"/>
          <w:sz w:val="21"/>
          <w:szCs w:val="21"/>
        </w:rPr>
        <w:t xml:space="preserve">25.3 </w:t>
      </w:r>
      <w:r>
        <w:rPr>
          <w:rFonts w:hint="eastAsia"/>
          <w:sz w:val="21"/>
          <w:szCs w:val="21"/>
        </w:rPr>
        <w:t>合同的组成基于但不限于以下部分：</w:t>
      </w:r>
    </w:p>
    <w:p>
      <w:pPr>
        <w:tabs>
          <w:tab w:val="left" w:pos="735"/>
        </w:tabs>
        <w:snapToGrid w:val="0"/>
        <w:spacing w:line="360" w:lineRule="auto"/>
        <w:ind w:left="480" w:leftChars="200" w:right="480" w:rightChars="200" w:firstLine="298" w:firstLineChars="142"/>
        <w:rPr>
          <w:rFonts w:hAnsi="宋体"/>
          <w:sz w:val="21"/>
          <w:szCs w:val="21"/>
        </w:rPr>
      </w:pPr>
      <w:r>
        <w:rPr>
          <w:rFonts w:hint="eastAsia" w:hAnsi="宋体"/>
          <w:sz w:val="21"/>
          <w:szCs w:val="21"/>
        </w:rPr>
        <w:t>a） 《合同书》；</w:t>
      </w:r>
    </w:p>
    <w:p>
      <w:pPr>
        <w:tabs>
          <w:tab w:val="left" w:pos="735"/>
        </w:tabs>
        <w:snapToGrid w:val="0"/>
        <w:spacing w:line="360" w:lineRule="auto"/>
        <w:ind w:left="480" w:leftChars="200" w:right="480" w:rightChars="200" w:firstLine="298" w:firstLineChars="142"/>
        <w:rPr>
          <w:rFonts w:hAnsi="宋体"/>
          <w:sz w:val="21"/>
          <w:szCs w:val="21"/>
        </w:rPr>
      </w:pPr>
      <w:r>
        <w:rPr>
          <w:rFonts w:hint="eastAsia" w:hAnsi="宋体"/>
          <w:sz w:val="21"/>
          <w:szCs w:val="21"/>
        </w:rPr>
        <w:t>b） 《成交通知书》；</w:t>
      </w:r>
    </w:p>
    <w:p>
      <w:pPr>
        <w:tabs>
          <w:tab w:val="left" w:pos="735"/>
        </w:tabs>
        <w:snapToGrid w:val="0"/>
        <w:spacing w:line="360" w:lineRule="auto"/>
        <w:ind w:left="480" w:leftChars="200" w:right="480" w:rightChars="200" w:firstLine="298" w:firstLineChars="142"/>
        <w:rPr>
          <w:rFonts w:hAnsi="宋体"/>
          <w:sz w:val="21"/>
          <w:szCs w:val="21"/>
        </w:rPr>
      </w:pPr>
      <w:r>
        <w:rPr>
          <w:rFonts w:hint="eastAsia" w:hAnsi="宋体"/>
          <w:sz w:val="21"/>
          <w:szCs w:val="21"/>
        </w:rPr>
        <w:t>c） 谈判文件及其澄清、补充文件；</w:t>
      </w:r>
    </w:p>
    <w:p>
      <w:pPr>
        <w:tabs>
          <w:tab w:val="left" w:pos="735"/>
        </w:tabs>
        <w:snapToGrid w:val="0"/>
        <w:spacing w:line="360" w:lineRule="auto"/>
        <w:ind w:left="480" w:leftChars="200" w:right="480" w:rightChars="200" w:firstLine="298" w:firstLineChars="142"/>
        <w:rPr>
          <w:rFonts w:hAnsi="宋体"/>
        </w:rPr>
      </w:pPr>
      <w:r>
        <w:rPr>
          <w:rFonts w:hint="eastAsia" w:hAnsi="宋体"/>
          <w:sz w:val="21"/>
          <w:szCs w:val="21"/>
        </w:rPr>
        <w:t>d） 成交供应商的报价文件及其澄清、补充文件</w:t>
      </w:r>
      <w:r>
        <w:rPr>
          <w:rFonts w:hint="eastAsia" w:hAnsi="宋体"/>
        </w:rPr>
        <w:t>。</w:t>
      </w:r>
    </w:p>
    <w:p>
      <w:pPr>
        <w:spacing w:line="360" w:lineRule="auto"/>
        <w:rPr>
          <w:rFonts w:hAnsi="宋体"/>
          <w:b/>
        </w:rPr>
      </w:pPr>
      <w:r>
        <w:rPr>
          <w:rFonts w:hint="eastAsia" w:hAnsi="宋体"/>
          <w:b/>
        </w:rPr>
        <w:t>十二、其他</w:t>
      </w:r>
    </w:p>
    <w:p>
      <w:pPr>
        <w:snapToGrid w:val="0"/>
        <w:spacing w:line="360" w:lineRule="auto"/>
        <w:rPr>
          <w:rFonts w:hAnsi="宋体"/>
          <w:sz w:val="21"/>
          <w:szCs w:val="21"/>
        </w:rPr>
      </w:pPr>
      <w:r>
        <w:rPr>
          <w:rFonts w:hint="eastAsia" w:hAnsi="宋体"/>
          <w:sz w:val="21"/>
          <w:szCs w:val="21"/>
        </w:rPr>
        <w:t xml:space="preserve">26. </w:t>
      </w:r>
      <w:r>
        <w:rPr>
          <w:rFonts w:hint="eastAsia" w:cs="宋体"/>
          <w:sz w:val="21"/>
          <w:szCs w:val="21"/>
        </w:rPr>
        <w:t>东莞市东实旗云投资有限公司</w:t>
      </w:r>
      <w:r>
        <w:rPr>
          <w:rFonts w:hint="eastAsia" w:hAnsi="宋体"/>
          <w:sz w:val="21"/>
          <w:szCs w:val="21"/>
        </w:rPr>
        <w:t>、广东泰通伟业工程咨询有限公司及报价人的一切招标活动均参照《中华人民共和国招标投标法》及其配套的法规、规章、政策。</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7</w:t>
      </w:r>
      <w:r>
        <w:rPr>
          <w:rFonts w:hint="eastAsia" w:hAnsi="宋体"/>
          <w:sz w:val="21"/>
          <w:szCs w:val="21"/>
          <w:lang w:val="zh-CN"/>
        </w:rPr>
        <w:t>．报价人有下列情形之一的，属于以其他方式弄虚作假的行为：</w:t>
      </w:r>
    </w:p>
    <w:p>
      <w:pPr>
        <w:snapToGrid w:val="0"/>
        <w:spacing w:line="360" w:lineRule="auto"/>
        <w:rPr>
          <w:rFonts w:hAnsi="宋体"/>
          <w:sz w:val="21"/>
          <w:szCs w:val="21"/>
          <w:lang w:val="zh-CN"/>
        </w:rPr>
      </w:pPr>
      <w:r>
        <w:rPr>
          <w:rFonts w:hint="eastAsia" w:hAnsi="宋体"/>
          <w:sz w:val="21"/>
          <w:szCs w:val="21"/>
          <w:lang w:val="zh-CN"/>
        </w:rPr>
        <w:t>（1）使用伪造、变造的许可证件；</w:t>
      </w:r>
    </w:p>
    <w:p>
      <w:pPr>
        <w:snapToGrid w:val="0"/>
        <w:spacing w:line="360" w:lineRule="auto"/>
        <w:rPr>
          <w:rFonts w:hAnsi="宋体"/>
          <w:sz w:val="21"/>
          <w:szCs w:val="21"/>
          <w:lang w:val="zh-CN"/>
        </w:rPr>
      </w:pPr>
      <w:r>
        <w:rPr>
          <w:rFonts w:hint="eastAsia" w:hAnsi="宋体"/>
          <w:sz w:val="21"/>
          <w:szCs w:val="21"/>
          <w:lang w:val="zh-CN"/>
        </w:rPr>
        <w:t xml:space="preserve">（2）提供虚假的财务状况或者业绩； </w:t>
      </w:r>
    </w:p>
    <w:p>
      <w:pPr>
        <w:snapToGrid w:val="0"/>
        <w:spacing w:line="360" w:lineRule="auto"/>
        <w:rPr>
          <w:rFonts w:hAnsi="宋体"/>
          <w:sz w:val="21"/>
          <w:szCs w:val="21"/>
          <w:lang w:val="zh-CN"/>
        </w:rPr>
      </w:pPr>
      <w:r>
        <w:rPr>
          <w:rFonts w:hint="eastAsia" w:hAnsi="宋体"/>
          <w:sz w:val="21"/>
          <w:szCs w:val="21"/>
          <w:lang w:val="zh-CN"/>
        </w:rPr>
        <w:t xml:space="preserve">（3）提供虚假的项目负责人或者主要技术人员简历、劳动关系证明； </w:t>
      </w:r>
    </w:p>
    <w:p>
      <w:pPr>
        <w:snapToGrid w:val="0"/>
        <w:spacing w:line="360" w:lineRule="auto"/>
        <w:rPr>
          <w:rFonts w:hAnsi="宋体"/>
          <w:sz w:val="21"/>
          <w:szCs w:val="21"/>
          <w:lang w:val="zh-CN"/>
        </w:rPr>
      </w:pPr>
      <w:r>
        <w:rPr>
          <w:rFonts w:hint="eastAsia" w:hAnsi="宋体"/>
          <w:sz w:val="21"/>
          <w:szCs w:val="21"/>
          <w:lang w:val="zh-CN"/>
        </w:rPr>
        <w:t>（4）提供虚假的信用状况；</w:t>
      </w:r>
    </w:p>
    <w:p>
      <w:pPr>
        <w:snapToGrid w:val="0"/>
        <w:spacing w:line="360" w:lineRule="auto"/>
        <w:rPr>
          <w:rFonts w:hAnsi="宋体"/>
          <w:sz w:val="21"/>
          <w:szCs w:val="21"/>
          <w:lang w:val="zh-CN"/>
        </w:rPr>
      </w:pPr>
      <w:r>
        <w:rPr>
          <w:rFonts w:hint="eastAsia" w:hAnsi="宋体"/>
          <w:sz w:val="21"/>
          <w:szCs w:val="21"/>
          <w:lang w:val="zh-CN"/>
        </w:rPr>
        <w:t>（5）其他弄虚作假的行为。</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 有下列情形之一的，视为报价人串通报价，其报价无效：</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.1 不同报价人的报价文件由同一单位或者个人编制；</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.2 不同报价人委托同一单位或者个人办理投标事宜；</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.3 不同报价人的报价文件载明的项目管理成员或者联系人员为同一人；</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.4 不同报价人的报价文件异常一致或者投标报价呈规律性差异；</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.5 不同报价人的报价文件相互混装；</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8</w:t>
      </w:r>
      <w:r>
        <w:rPr>
          <w:rFonts w:hint="eastAsia" w:hAnsi="宋体"/>
          <w:sz w:val="21"/>
          <w:szCs w:val="21"/>
          <w:lang w:val="zh-CN"/>
        </w:rPr>
        <w:t>.6 不同报价人的报价保证金从同一单位或者个人的账户转出。</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9</w:t>
      </w:r>
      <w:r>
        <w:rPr>
          <w:rFonts w:hint="eastAsia" w:hAnsi="宋体"/>
          <w:sz w:val="21"/>
          <w:szCs w:val="21"/>
          <w:lang w:val="zh-CN"/>
        </w:rPr>
        <w:t>. 发票</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9</w:t>
      </w:r>
      <w:r>
        <w:rPr>
          <w:rFonts w:hint="eastAsia" w:hAnsi="宋体"/>
          <w:sz w:val="21"/>
          <w:szCs w:val="21"/>
          <w:lang w:val="zh-CN"/>
        </w:rPr>
        <w:t>.1获得中标的中标人在执行合同过程中，向招标人出具的发票必须是由中标人开具，不得以其他单位或个人名义出具。</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9</w:t>
      </w:r>
      <w:r>
        <w:rPr>
          <w:rFonts w:hint="eastAsia" w:hAnsi="宋体"/>
          <w:sz w:val="21"/>
          <w:szCs w:val="21"/>
          <w:lang w:val="zh-CN"/>
        </w:rPr>
        <w:t>.2中标人需提交增值税专用发票，并于备注栏写明项目名称及合同名称。</w:t>
      </w:r>
    </w:p>
    <w:p>
      <w:pPr>
        <w:snapToGrid w:val="0"/>
        <w:spacing w:line="360" w:lineRule="auto"/>
        <w:rPr>
          <w:rFonts w:hAnsi="宋体"/>
          <w:sz w:val="21"/>
          <w:szCs w:val="21"/>
          <w:lang w:val="zh-CN"/>
        </w:rPr>
      </w:pPr>
      <w:r>
        <w:rPr>
          <w:rFonts w:hint="eastAsia" w:hAnsi="宋体"/>
          <w:sz w:val="21"/>
          <w:szCs w:val="21"/>
          <w:lang w:val="zh-CN"/>
        </w:rPr>
        <w:t>2</w:t>
      </w:r>
      <w:r>
        <w:rPr>
          <w:rFonts w:hint="eastAsia" w:hAnsi="宋体"/>
          <w:sz w:val="21"/>
          <w:szCs w:val="21"/>
        </w:rPr>
        <w:t>9</w:t>
      </w:r>
      <w:r>
        <w:rPr>
          <w:rFonts w:hint="eastAsia" w:hAnsi="宋体"/>
          <w:sz w:val="21"/>
          <w:szCs w:val="21"/>
          <w:lang w:val="zh-CN"/>
        </w:rPr>
        <w:t>.3在合同履行期间，如遇国家的税率调整，则以开具发票的时间为准，以原合同约定价格不含税金额不变作为基准，按照新税率重新计算含税价格。</w:t>
      </w:r>
    </w:p>
    <w:p>
      <w:pPr>
        <w:pStyle w:val="3"/>
        <w:keepNext/>
        <w:keepLines/>
        <w:pageBreakBefore/>
        <w:numPr>
          <w:ilvl w:val="0"/>
          <w:numId w:val="8"/>
        </w:numPr>
        <w:tabs>
          <w:tab w:val="left" w:pos="1080"/>
        </w:tabs>
        <w:spacing w:line="360" w:lineRule="auto"/>
        <w:ind w:left="1262" w:hanging="1262" w:hangingChars="449"/>
        <w:jc w:val="center"/>
        <w:rPr>
          <w:rFonts w:hAnsi="宋体"/>
          <w:b/>
          <w:bCs/>
          <w:kern w:val="44"/>
          <w:sz w:val="28"/>
          <w:szCs w:val="28"/>
          <w:lang w:val="zh-CN"/>
        </w:rPr>
      </w:pPr>
      <w:bookmarkStart w:id="6" w:name="_Toc396137240"/>
      <w:r>
        <w:rPr>
          <w:rFonts w:hint="eastAsia" w:hAnsi="宋体"/>
          <w:b/>
          <w:bCs/>
          <w:kern w:val="44"/>
          <w:sz w:val="28"/>
          <w:szCs w:val="28"/>
        </w:rPr>
        <w:t xml:space="preserve"> </w:t>
      </w:r>
      <w:bookmarkStart w:id="7" w:name="_Toc2725"/>
      <w:r>
        <w:rPr>
          <w:rFonts w:hint="eastAsia" w:hAnsi="宋体"/>
          <w:b/>
          <w:bCs/>
          <w:kern w:val="44"/>
          <w:sz w:val="28"/>
          <w:szCs w:val="28"/>
          <w:lang w:val="zh-CN"/>
        </w:rPr>
        <w:t>用户需求书</w:t>
      </w:r>
      <w:bookmarkEnd w:id="6"/>
      <w:bookmarkEnd w:id="7"/>
    </w:p>
    <w:p>
      <w:pPr>
        <w:adjustRightInd/>
        <w:spacing w:line="360" w:lineRule="auto"/>
        <w:rPr>
          <w:rFonts w:hAnsi="宋体"/>
          <w:b/>
          <w:sz w:val="21"/>
          <w:szCs w:val="21"/>
        </w:rPr>
      </w:pPr>
      <w:bookmarkStart w:id="8" w:name="_Toc11633"/>
      <w:r>
        <w:rPr>
          <w:rFonts w:hint="eastAsia" w:hAnsi="宋体"/>
          <w:b/>
          <w:sz w:val="21"/>
          <w:szCs w:val="21"/>
        </w:rPr>
        <w:t>一、</w:t>
      </w:r>
      <w:r>
        <w:rPr>
          <w:rFonts w:hAnsi="宋体"/>
          <w:b/>
          <w:sz w:val="21"/>
          <w:szCs w:val="21"/>
        </w:rPr>
        <w:t>项目简介</w:t>
      </w:r>
    </w:p>
    <w:p>
      <w:pPr>
        <w:spacing w:line="360" w:lineRule="auto"/>
        <w:ind w:firstLine="420" w:firstLineChars="200"/>
        <w:rPr>
          <w:rFonts w:hAnsi="宋体"/>
          <w:sz w:val="21"/>
          <w:szCs w:val="21"/>
        </w:rPr>
      </w:pPr>
      <w:r>
        <w:rPr>
          <w:rFonts w:hAnsi="宋体"/>
          <w:sz w:val="21"/>
          <w:szCs w:val="21"/>
        </w:rPr>
        <w:t>1.项目名称：</w:t>
      </w:r>
      <w:r>
        <w:rPr>
          <w:rFonts w:hint="eastAsia" w:hAnsi="宋体"/>
          <w:sz w:val="21"/>
          <w:szCs w:val="21"/>
        </w:rPr>
        <w:t>旗云花园项目高低压以及新增市政安装工程。</w:t>
      </w:r>
    </w:p>
    <w:p>
      <w:pPr>
        <w:adjustRightInd/>
        <w:spacing w:line="360" w:lineRule="auto"/>
        <w:ind w:firstLine="420" w:firstLineChars="200"/>
        <w:rPr>
          <w:rFonts w:hAnsi="宋体"/>
          <w:sz w:val="21"/>
          <w:szCs w:val="21"/>
        </w:rPr>
      </w:pPr>
      <w:r>
        <w:rPr>
          <w:rFonts w:hint="eastAsia" w:hAnsi="宋体"/>
          <w:sz w:val="21"/>
          <w:szCs w:val="21"/>
        </w:rPr>
        <w:t>2</w:t>
      </w:r>
      <w:r>
        <w:rPr>
          <w:rFonts w:hAnsi="宋体"/>
          <w:sz w:val="21"/>
          <w:szCs w:val="21"/>
        </w:rPr>
        <w:t>.</w:t>
      </w:r>
      <w:r>
        <w:rPr>
          <w:rFonts w:hint="eastAsia" w:hAnsi="宋体"/>
          <w:sz w:val="21"/>
          <w:szCs w:val="21"/>
        </w:rPr>
        <w:t>项目地点</w:t>
      </w:r>
      <w:r>
        <w:rPr>
          <w:rFonts w:hAnsi="宋体"/>
          <w:sz w:val="21"/>
          <w:szCs w:val="21"/>
        </w:rPr>
        <w:t>：</w:t>
      </w:r>
      <w:r>
        <w:rPr>
          <w:rFonts w:hint="eastAsia" w:hAnsi="宋体"/>
          <w:sz w:val="21"/>
          <w:szCs w:val="21"/>
        </w:rPr>
        <w:t>东莞市石龙镇。</w:t>
      </w:r>
    </w:p>
    <w:p>
      <w:pPr>
        <w:adjustRightInd/>
        <w:spacing w:line="360" w:lineRule="auto"/>
        <w:ind w:firstLine="420" w:firstLineChars="200"/>
        <w:rPr>
          <w:rFonts w:hAnsi="宋体"/>
          <w:sz w:val="21"/>
          <w:szCs w:val="21"/>
        </w:rPr>
      </w:pPr>
      <w:r>
        <w:rPr>
          <w:rFonts w:hint="eastAsia" w:hAnsi="宋体"/>
          <w:sz w:val="21"/>
          <w:szCs w:val="21"/>
        </w:rPr>
        <w:t>3</w:t>
      </w:r>
      <w:r>
        <w:rPr>
          <w:rFonts w:hAnsi="宋体"/>
          <w:sz w:val="21"/>
          <w:szCs w:val="21"/>
        </w:rPr>
        <w:t>.项目</w:t>
      </w:r>
      <w:r>
        <w:rPr>
          <w:rFonts w:hint="eastAsia" w:hAnsi="宋体"/>
          <w:sz w:val="21"/>
          <w:szCs w:val="21"/>
        </w:rPr>
        <w:t>概况</w:t>
      </w:r>
      <w:r>
        <w:rPr>
          <w:rFonts w:hAnsi="宋体"/>
          <w:sz w:val="21"/>
          <w:szCs w:val="21"/>
        </w:rPr>
        <w:t>：</w:t>
      </w:r>
      <w:r>
        <w:rPr>
          <w:rFonts w:hint="eastAsia" w:hAnsi="宋体"/>
          <w:sz w:val="21"/>
          <w:szCs w:val="21"/>
        </w:rPr>
        <w:t>旗云花园总占地面积：1.64万平米，总建筑面积：11.34万平米，住宅总户数804户, 本项目设置3处变配电房及发电机房，总装机容量为 6860KVA。</w:t>
      </w:r>
    </w:p>
    <w:p>
      <w:pPr>
        <w:adjustRightInd/>
        <w:spacing w:line="360" w:lineRule="auto"/>
        <w:rPr>
          <w:rFonts w:hAnsi="宋体"/>
          <w:b/>
          <w:sz w:val="21"/>
          <w:szCs w:val="21"/>
        </w:rPr>
      </w:pPr>
      <w:r>
        <w:rPr>
          <w:rFonts w:hint="eastAsia" w:hAnsi="宋体"/>
          <w:b/>
          <w:sz w:val="21"/>
          <w:szCs w:val="21"/>
        </w:rPr>
        <w:t>二、项目内容</w:t>
      </w:r>
    </w:p>
    <w:p>
      <w:pPr>
        <w:pStyle w:val="59"/>
        <w:spacing w:line="360" w:lineRule="auto"/>
        <w:ind w:firstLine="420"/>
        <w:rPr>
          <w:rFonts w:hAnsi="宋体"/>
          <w:sz w:val="21"/>
          <w:szCs w:val="21"/>
        </w:rPr>
      </w:pPr>
      <w:r>
        <w:rPr>
          <w:rFonts w:hint="eastAsia" w:hAnsi="宋体"/>
          <w:sz w:val="21"/>
          <w:szCs w:val="21"/>
        </w:rPr>
        <w:t>（一）负责高低压以及新增市政安装工程的报建及验收工作：</w:t>
      </w:r>
    </w:p>
    <w:p>
      <w:pPr>
        <w:pStyle w:val="59"/>
        <w:spacing w:line="360" w:lineRule="auto"/>
        <w:ind w:firstLine="630" w:firstLineChars="300"/>
        <w:rPr>
          <w:rFonts w:hAnsi="宋体"/>
          <w:sz w:val="21"/>
          <w:szCs w:val="21"/>
        </w:rPr>
      </w:pPr>
      <w:r>
        <w:rPr>
          <w:rFonts w:hint="eastAsia" w:hAnsi="宋体"/>
          <w:sz w:val="21"/>
          <w:szCs w:val="21"/>
        </w:rPr>
        <w:t>1</w:t>
      </w:r>
      <w:r>
        <w:rPr>
          <w:rFonts w:hint="eastAsia" w:hAnsi="宋体"/>
          <w:sz w:val="21"/>
          <w:szCs w:val="21"/>
          <w:lang w:val="en-US"/>
        </w:rPr>
        <w:t>.</w:t>
      </w:r>
      <w:r>
        <w:rPr>
          <w:rFonts w:hint="eastAsia" w:hAnsi="宋体"/>
          <w:sz w:val="21"/>
          <w:szCs w:val="21"/>
        </w:rPr>
        <w:t>负责高低压图纸的深化设计，图纸需经过供电局审批通过；</w:t>
      </w:r>
    </w:p>
    <w:p>
      <w:pPr>
        <w:pStyle w:val="59"/>
        <w:spacing w:line="360" w:lineRule="auto"/>
        <w:ind w:firstLine="630" w:firstLineChars="300"/>
        <w:rPr>
          <w:rFonts w:hAnsi="宋体"/>
          <w:sz w:val="21"/>
          <w:szCs w:val="21"/>
        </w:rPr>
      </w:pPr>
      <w:r>
        <w:rPr>
          <w:rFonts w:hint="eastAsia" w:hAnsi="宋体"/>
          <w:sz w:val="21"/>
          <w:szCs w:val="21"/>
        </w:rPr>
        <w:t>2</w:t>
      </w:r>
      <w:r>
        <w:rPr>
          <w:rFonts w:hint="eastAsia" w:hAnsi="宋体"/>
          <w:sz w:val="21"/>
          <w:szCs w:val="21"/>
          <w:lang w:val="en-US"/>
        </w:rPr>
        <w:t>.</w:t>
      </w:r>
      <w:r>
        <w:rPr>
          <w:rFonts w:hint="eastAsia" w:hAnsi="宋体"/>
          <w:sz w:val="21"/>
          <w:szCs w:val="21"/>
        </w:rPr>
        <w:t>负责本项目高低压提级申请；</w:t>
      </w:r>
    </w:p>
    <w:p>
      <w:pPr>
        <w:pStyle w:val="59"/>
        <w:spacing w:line="360" w:lineRule="auto"/>
        <w:ind w:firstLine="630" w:firstLineChars="300"/>
        <w:rPr>
          <w:rFonts w:hAnsi="宋体"/>
          <w:sz w:val="21"/>
          <w:szCs w:val="21"/>
        </w:rPr>
      </w:pPr>
      <w:r>
        <w:rPr>
          <w:rFonts w:hint="eastAsia" w:hAnsi="宋体"/>
          <w:sz w:val="21"/>
          <w:szCs w:val="21"/>
        </w:rPr>
        <w:t>3</w:t>
      </w:r>
      <w:r>
        <w:rPr>
          <w:rFonts w:hint="eastAsia" w:hAnsi="宋体"/>
          <w:sz w:val="21"/>
          <w:szCs w:val="21"/>
          <w:lang w:val="en-US"/>
        </w:rPr>
        <w:t>.</w:t>
      </w:r>
      <w:r>
        <w:rPr>
          <w:rFonts w:hint="eastAsia" w:hAnsi="宋体"/>
          <w:sz w:val="21"/>
          <w:szCs w:val="21"/>
        </w:rPr>
        <w:t>负责本项目与供电局（相关单位）协调，并通过高低压报建、验收、通电相关工作；</w:t>
      </w:r>
    </w:p>
    <w:p>
      <w:pPr>
        <w:pStyle w:val="59"/>
        <w:spacing w:line="360" w:lineRule="auto"/>
        <w:ind w:firstLine="630" w:firstLineChars="300"/>
        <w:rPr>
          <w:rFonts w:hAnsi="宋体"/>
          <w:sz w:val="21"/>
          <w:szCs w:val="21"/>
        </w:rPr>
      </w:pPr>
      <w:r>
        <w:rPr>
          <w:rFonts w:hint="eastAsia" w:hAnsi="宋体"/>
          <w:sz w:val="21"/>
          <w:szCs w:val="21"/>
        </w:rPr>
        <w:t>4</w:t>
      </w:r>
      <w:r>
        <w:rPr>
          <w:rFonts w:hint="eastAsia" w:hAnsi="宋体"/>
          <w:sz w:val="21"/>
          <w:szCs w:val="21"/>
          <w:lang w:val="en-US"/>
        </w:rPr>
        <w:t>.</w:t>
      </w:r>
      <w:r>
        <w:rPr>
          <w:rFonts w:hint="eastAsia" w:hAnsi="宋体"/>
          <w:sz w:val="21"/>
          <w:szCs w:val="21"/>
        </w:rPr>
        <w:t>负责水表及电表集抄的设计及领表工作。</w:t>
      </w:r>
    </w:p>
    <w:p>
      <w:pPr>
        <w:pStyle w:val="59"/>
        <w:spacing w:line="360" w:lineRule="auto"/>
        <w:ind w:firstLine="420"/>
        <w:rPr>
          <w:rFonts w:hAnsi="宋体"/>
          <w:sz w:val="21"/>
          <w:szCs w:val="21"/>
        </w:rPr>
      </w:pPr>
      <w:r>
        <w:rPr>
          <w:rFonts w:hint="eastAsia" w:hAnsi="宋体"/>
          <w:sz w:val="21"/>
          <w:szCs w:val="21"/>
        </w:rPr>
        <w:t>（二）根据供电局审批通过的提级申请以及供配电方案，完成原总包</w:t>
      </w:r>
      <w:r>
        <w:rPr>
          <w:rFonts w:hint="eastAsia" w:hAnsi="宋体"/>
          <w:b/>
          <w:bCs/>
          <w:sz w:val="21"/>
          <w:szCs w:val="21"/>
        </w:rPr>
        <w:t>招标</w:t>
      </w:r>
      <w:r>
        <w:rPr>
          <w:rFonts w:hint="eastAsia" w:hAnsi="宋体"/>
          <w:sz w:val="21"/>
          <w:szCs w:val="21"/>
        </w:rPr>
        <w:t>图纸范围外的安装工程，并保证通电。</w:t>
      </w:r>
    </w:p>
    <w:p>
      <w:pPr>
        <w:adjustRightInd/>
        <w:spacing w:line="360" w:lineRule="auto"/>
        <w:rPr>
          <w:rFonts w:hAnsi="宋体"/>
          <w:b/>
          <w:sz w:val="21"/>
          <w:szCs w:val="21"/>
        </w:rPr>
      </w:pPr>
      <w:r>
        <w:rPr>
          <w:rFonts w:hint="eastAsia" w:hAnsi="宋体"/>
          <w:b/>
          <w:sz w:val="21"/>
          <w:szCs w:val="21"/>
        </w:rPr>
        <w:t>三、商务要求</w:t>
      </w:r>
    </w:p>
    <w:p>
      <w:pPr>
        <w:spacing w:line="360" w:lineRule="auto"/>
        <w:ind w:firstLine="420" w:firstLineChars="200"/>
        <w:rPr>
          <w:rFonts w:hAnsi="宋体" w:cs="宋体"/>
          <w:bCs/>
          <w:sz w:val="21"/>
          <w:szCs w:val="21"/>
        </w:rPr>
      </w:pPr>
      <w:r>
        <w:rPr>
          <w:rFonts w:hint="eastAsia" w:hAnsi="宋体"/>
          <w:sz w:val="21"/>
          <w:szCs w:val="21"/>
        </w:rPr>
        <w:t>（一）</w:t>
      </w:r>
      <w:r>
        <w:rPr>
          <w:rFonts w:hint="eastAsia" w:hAnsi="宋体" w:cs="宋体"/>
          <w:bCs/>
          <w:sz w:val="21"/>
          <w:szCs w:val="21"/>
        </w:rPr>
        <w:t>项目要求</w:t>
      </w:r>
    </w:p>
    <w:p>
      <w:pPr>
        <w:spacing w:line="360" w:lineRule="auto"/>
        <w:ind w:firstLine="420" w:firstLineChars="200"/>
        <w:rPr>
          <w:rFonts w:hAnsi="宋体" w:cs="宋体"/>
          <w:bCs/>
          <w:sz w:val="21"/>
          <w:szCs w:val="21"/>
        </w:rPr>
      </w:pPr>
      <w:r>
        <w:rPr>
          <w:rFonts w:hint="eastAsia" w:hAnsi="宋体" w:cs="宋体"/>
          <w:bCs/>
          <w:sz w:val="21"/>
          <w:szCs w:val="21"/>
        </w:rPr>
        <w:t>1.外进线电缆安装工程部分：电缆分接箱2座，从接线点至10kV旗云花园公用开关站的10kV电缆，从1号配电房到2号配电房的网环10kV电缆，从1号配电房到3号配电房的网环10kV电缆（工作内容包括但不限于分接箱安装、电缆敷设、电缆保护管敷设、电缆井安装、电缆桥架安装、电缆头制作、供电安健环安装及用电系统试验。具体界面划分以电缆头为界（含电缆头制作），具体建设规模以招标清单及参考图纸为准）。</w:t>
      </w:r>
    </w:p>
    <w:p>
      <w:pPr>
        <w:spacing w:line="360" w:lineRule="auto"/>
        <w:ind w:firstLine="420" w:firstLineChars="200"/>
        <w:rPr>
          <w:rFonts w:hAnsi="宋体" w:cs="宋体"/>
          <w:bCs/>
          <w:sz w:val="21"/>
          <w:szCs w:val="21"/>
        </w:rPr>
      </w:pPr>
      <w:r>
        <w:rPr>
          <w:rFonts w:hint="eastAsia" w:hAnsi="宋体" w:cs="宋体"/>
          <w:bCs/>
          <w:sz w:val="21"/>
          <w:szCs w:val="21"/>
        </w:rPr>
        <w:t>2.配电房新增设备安装工程：4台高压柜，3台高压计量柜，2台低压转角柜，1台SCB13-1000kVA干式变压器，10kV电缆敷设，0.4kV2000A母线槽安装，绝缘地坪漆施工（工作内容包括但不限于高低压柜安装、变压器安装、电缆敷设、电缆头制作、线槽安装、供电安健环安装及用电系统试验。具体建设规模以招标清单及参考图纸为准）。</w:t>
      </w:r>
    </w:p>
    <w:p>
      <w:pPr>
        <w:spacing w:line="360" w:lineRule="auto"/>
        <w:ind w:firstLine="420" w:firstLineChars="200"/>
        <w:rPr>
          <w:rFonts w:hAnsi="宋体" w:cs="宋体"/>
          <w:bCs/>
          <w:sz w:val="21"/>
          <w:szCs w:val="21"/>
        </w:rPr>
      </w:pPr>
      <w:r>
        <w:rPr>
          <w:rFonts w:hint="eastAsia" w:hAnsi="宋体" w:cs="宋体"/>
          <w:bCs/>
          <w:sz w:val="21"/>
          <w:szCs w:val="21"/>
        </w:rPr>
        <w:t>3.快速接入箱工程：2台发电机快速接入箱安装（含发电机快速接入箱基础），发电机快速接入箱至低压柜电缆敷设（工作内容包括但不限于发电机快速接入箱安装、电缆敷设、电缆头制作、供电安健环安装及用电系统试验。具体建设规模以招标清单及参考图纸为准）。</w:t>
      </w:r>
    </w:p>
    <w:p>
      <w:pPr>
        <w:spacing w:line="360" w:lineRule="auto"/>
        <w:ind w:firstLine="420" w:firstLineChars="200"/>
        <w:rPr>
          <w:rFonts w:hAnsi="宋体" w:cs="宋体"/>
          <w:bCs/>
          <w:sz w:val="21"/>
          <w:szCs w:val="21"/>
        </w:rPr>
      </w:pPr>
      <w:r>
        <w:rPr>
          <w:rFonts w:hint="eastAsia" w:hAnsi="宋体" w:cs="宋体"/>
          <w:bCs/>
          <w:sz w:val="21"/>
          <w:szCs w:val="21"/>
        </w:rPr>
        <w:t>4.高压开关站安装工程部分：10kV旗云花园公用开关站G01~G06配电柜的采购及安装，从公用开关站至1号配电房的10kV电缆，从公用开关站至2号配电房的10kV电缆，10kV旗云花园公用开关站照明安装工程；（工作内容包括但不限于配电柜安装、电缆敷设、电缆桥架安装、电缆头制作、供电安健环安装及用电系统试验。具体界面划分以公用开关站范围内及1号/2号配电房电缆头为界（含电缆头制作），具体建设规模以招标清单及参考图纸为准）。</w:t>
      </w:r>
    </w:p>
    <w:p>
      <w:pPr>
        <w:spacing w:line="360" w:lineRule="auto"/>
        <w:ind w:firstLine="420" w:firstLineChars="200"/>
        <w:rPr>
          <w:rFonts w:hAnsi="宋体" w:cs="宋体"/>
          <w:bCs/>
          <w:sz w:val="21"/>
          <w:szCs w:val="21"/>
        </w:rPr>
      </w:pPr>
      <w:r>
        <w:rPr>
          <w:rFonts w:hint="eastAsia" w:hAnsi="宋体" w:cs="宋体"/>
          <w:bCs/>
          <w:sz w:val="21"/>
          <w:szCs w:val="21"/>
        </w:rPr>
        <w:t>5.电表集中抄表安装工程：1、2、3号楼电表集抄系统（含供电相关手续、资料办理、装表、集抄系统安装、验收、通电等）。</w:t>
      </w:r>
    </w:p>
    <w:p>
      <w:pPr>
        <w:pStyle w:val="58"/>
        <w:spacing w:line="360" w:lineRule="auto"/>
        <w:ind w:firstLine="460" w:firstLineChars="200"/>
        <w:rPr>
          <w:rFonts w:ascii="宋体" w:hAnsi="宋体" w:cs="宋体"/>
          <w:bCs w:val="0"/>
          <w:spacing w:val="0"/>
          <w:kern w:val="2"/>
          <w:sz w:val="21"/>
          <w:szCs w:val="21"/>
        </w:rPr>
      </w:pPr>
      <w:r>
        <w:rPr>
          <w:rFonts w:hint="eastAsia" w:ascii="宋体" w:hAnsi="宋体" w:cs="宋体"/>
          <w:sz w:val="21"/>
          <w:szCs w:val="21"/>
        </w:rPr>
        <w:t>6.</w:t>
      </w:r>
      <w:r>
        <w:rPr>
          <w:rFonts w:hint="eastAsia" w:ascii="宋体" w:hAnsi="宋体" w:cs="宋体"/>
          <w:bCs w:val="0"/>
          <w:spacing w:val="0"/>
          <w:kern w:val="2"/>
          <w:sz w:val="21"/>
          <w:szCs w:val="21"/>
        </w:rPr>
        <w:t>水表集中抄表安装工程：住宅总户数804户，水表集抄仅针对住宅部分，每层飘廊位置开DN32孔，沿电梯前室吊顶敷设DN25阻燃PVC管至电井, 通过竖井原有的弱电桥架，连接至物业管理中心。水表集中抄表安装系统（含水表集中采集器、水表集抄汇聚交换机、水表集抄平台软件、光纤、配管、配线、穿墙洞口等）。</w:t>
      </w:r>
    </w:p>
    <w:p>
      <w:pPr>
        <w:pStyle w:val="58"/>
        <w:spacing w:line="360" w:lineRule="auto"/>
        <w:ind w:firstLine="460" w:firstLineChars="200"/>
        <w:rPr>
          <w:rFonts w:ascii="宋体" w:hAnsi="宋体" w:cs="宋体"/>
          <w:b/>
          <w:bCs w:val="0"/>
          <w:sz w:val="21"/>
          <w:szCs w:val="21"/>
        </w:rPr>
      </w:pPr>
      <w:r>
        <w:rPr>
          <w:rFonts w:hint="eastAsia" w:ascii="宋体" w:hAnsi="宋体" w:cs="宋体"/>
          <w:sz w:val="21"/>
          <w:szCs w:val="21"/>
        </w:rPr>
        <w:t>★</w:t>
      </w:r>
      <w:r>
        <w:rPr>
          <w:rFonts w:hint="eastAsia" w:ascii="宋体" w:hAnsi="宋体" w:cs="宋体"/>
          <w:b/>
          <w:bCs w:val="0"/>
          <w:sz w:val="21"/>
          <w:szCs w:val="21"/>
        </w:rPr>
        <w:t>（二）人员要求：</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1、拟派驻的项目经理（项目负责人）要求：</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（1）贰级或以上注册建造师建造师注册证书中列明的专业类别为机电工程 ，注册单位为投标人本单位。</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（2）具备有效的安全生产考核合格证（须为项目负责人安全生产考核合格证，即“B”类证）。</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（3）根据广东省住房和城乡建设厅《关于明确省外二级建造师入粤注册和执业有关问题的通知》（粤建市函〔2011〕218号），二级建造师执业资格证书、注册证书仅限所在行政区域内有效，不得跨省执业。</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（4）未在其他任何在建工程中任职项目负责人。</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（5）项目经理（项目负责人）与投标登记时一致。</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2、施工作业人员持有高压电工证及供电局认可的进网作业许可证。</w:t>
      </w:r>
    </w:p>
    <w:p>
      <w:pPr>
        <w:pStyle w:val="58"/>
        <w:spacing w:line="360" w:lineRule="auto"/>
        <w:ind w:firstLine="843" w:firstLineChars="400"/>
        <w:rPr>
          <w:rFonts w:ascii="宋体" w:hAnsi="宋体" w:cs="宋体"/>
          <w:b/>
          <w:bCs w:val="0"/>
          <w:spacing w:val="0"/>
          <w:kern w:val="2"/>
          <w:sz w:val="21"/>
          <w:szCs w:val="21"/>
        </w:rPr>
      </w:pPr>
      <w:r>
        <w:rPr>
          <w:rFonts w:hint="eastAsia" w:ascii="宋体" w:hAnsi="宋体" w:cs="宋体"/>
          <w:b/>
          <w:bCs w:val="0"/>
          <w:spacing w:val="0"/>
          <w:kern w:val="2"/>
          <w:sz w:val="21"/>
          <w:szCs w:val="21"/>
        </w:rPr>
        <w:t>3、安全员持有专职安全员证。</w:t>
      </w:r>
    </w:p>
    <w:p>
      <w:pPr>
        <w:adjustRightInd/>
        <w:spacing w:line="360" w:lineRule="auto"/>
        <w:rPr>
          <w:rFonts w:hAnsi="宋体"/>
          <w:b/>
          <w:sz w:val="21"/>
          <w:szCs w:val="21"/>
        </w:rPr>
      </w:pPr>
      <w:r>
        <w:rPr>
          <w:rFonts w:hint="eastAsia" w:hAnsi="宋体"/>
          <w:b/>
          <w:sz w:val="21"/>
          <w:szCs w:val="21"/>
        </w:rPr>
        <w:t>四、技术要求</w:t>
      </w:r>
    </w:p>
    <w:p>
      <w:pPr>
        <w:pStyle w:val="158"/>
        <w:spacing w:line="360" w:lineRule="auto"/>
        <w:ind w:firstLine="210" w:firstLineChars="100"/>
        <w:rPr>
          <w:rFonts w:ascii="宋体" w:hAnsi="宋体" w:cs="宋体"/>
          <w:szCs w:val="21"/>
        </w:rPr>
      </w:pPr>
      <w:r>
        <w:rPr>
          <w:rFonts w:hint="eastAsia" w:ascii="宋体" w:hAnsi="宋体" w:cs="宋体"/>
          <w:szCs w:val="21"/>
        </w:rPr>
        <w:t>（一）质量要求</w:t>
      </w:r>
    </w:p>
    <w:p>
      <w:pPr>
        <w:pStyle w:val="158"/>
        <w:spacing w:line="360" w:lineRule="auto"/>
        <w:rPr>
          <w:rFonts w:ascii="宋体" w:hAnsi="宋体" w:cs="宋体"/>
          <w:szCs w:val="21"/>
        </w:rPr>
      </w:pPr>
      <w:r>
        <w:rPr>
          <w:rFonts w:hint="eastAsia" w:ascii="宋体" w:hAnsi="宋体" w:cs="宋体"/>
          <w:szCs w:val="21"/>
        </w:rPr>
        <w:t>1.达到国家或行业质量检验评定的合格标准，且需满足南方电网及广东电网的有关技术标准；</w:t>
      </w:r>
    </w:p>
    <w:p>
      <w:pPr>
        <w:pStyle w:val="158"/>
        <w:spacing w:line="360" w:lineRule="auto"/>
        <w:ind w:left="418" w:leftChars="174" w:firstLine="0" w:firstLineChars="0"/>
        <w:rPr>
          <w:rFonts w:ascii="宋体" w:hAnsi="宋体" w:cs="宋体"/>
          <w:szCs w:val="21"/>
        </w:rPr>
      </w:pPr>
      <w:r>
        <w:rPr>
          <w:rFonts w:hint="eastAsia" w:ascii="宋体" w:hAnsi="宋体" w:cs="宋体"/>
          <w:szCs w:val="21"/>
        </w:rPr>
        <w:t>2.满足设计和使用要求，严格按照设计图纸和施工验收规范进行施工，符合国家和当地供电局的质量检验评定标准。本工程质量验收等级：合格，并满足国家及地方现行最新规范要求。</w:t>
      </w:r>
    </w:p>
    <w:p>
      <w:pPr>
        <w:pStyle w:val="158"/>
        <w:spacing w:line="360" w:lineRule="auto"/>
        <w:ind w:left="900" w:leftChars="200" w:hanging="420" w:hangingChars="200"/>
        <w:rPr>
          <w:rFonts w:ascii="宋体" w:hAnsi="宋体" w:cs="宋体"/>
          <w:szCs w:val="21"/>
        </w:rPr>
      </w:pPr>
      <w:r>
        <w:rPr>
          <w:rFonts w:hint="eastAsia" w:ascii="宋体" w:hAnsi="宋体" w:cs="宋体"/>
          <w:szCs w:val="21"/>
        </w:rPr>
        <w:t xml:space="preserve">（1）验收是建立在专业和法定检测基础上达到设计要求和相应的国家及地方现行规范要求，主要包括但不限于： </w:t>
      </w:r>
    </w:p>
    <w:p>
      <w:pPr>
        <w:pStyle w:val="158"/>
        <w:spacing w:line="360" w:lineRule="auto"/>
        <w:ind w:left="360"/>
        <w:rPr>
          <w:rFonts w:ascii="宋体" w:hAnsi="宋体" w:cs="宋体"/>
          <w:szCs w:val="21"/>
        </w:rPr>
      </w:pPr>
      <w:r>
        <w:rPr>
          <w:rFonts w:hint="eastAsia" w:ascii="宋体" w:hAnsi="宋体" w:cs="宋体"/>
          <w:szCs w:val="21"/>
        </w:rPr>
        <w:t>《工程建设标准强制性条文》2002年版</w:t>
      </w:r>
    </w:p>
    <w:p>
      <w:pPr>
        <w:pStyle w:val="158"/>
        <w:spacing w:line="360" w:lineRule="auto"/>
        <w:ind w:left="360"/>
        <w:rPr>
          <w:rFonts w:ascii="宋体" w:hAnsi="宋体" w:cs="宋体"/>
          <w:szCs w:val="21"/>
        </w:rPr>
      </w:pPr>
      <w:r>
        <w:rPr>
          <w:rFonts w:hint="eastAsia" w:ascii="宋体" w:hAnsi="宋体" w:cs="宋体"/>
          <w:szCs w:val="21"/>
        </w:rPr>
        <w:t>《建筑电气工程施工质量验收规范》GB50303-2002</w:t>
      </w:r>
    </w:p>
    <w:p>
      <w:pPr>
        <w:pStyle w:val="158"/>
        <w:spacing w:line="360" w:lineRule="auto"/>
        <w:ind w:left="360"/>
        <w:rPr>
          <w:rFonts w:ascii="宋体" w:hAnsi="宋体" w:cs="宋体"/>
          <w:szCs w:val="21"/>
        </w:rPr>
      </w:pPr>
      <w:r>
        <w:rPr>
          <w:rFonts w:hint="eastAsia" w:ascii="宋体" w:hAnsi="宋体" w:cs="宋体"/>
          <w:szCs w:val="21"/>
        </w:rPr>
        <w:t>《建筑电气工程施工质量验收规范—条文说明》GB50303-2002</w:t>
      </w:r>
    </w:p>
    <w:p>
      <w:pPr>
        <w:pStyle w:val="158"/>
        <w:spacing w:line="360" w:lineRule="auto"/>
        <w:ind w:left="360"/>
        <w:rPr>
          <w:rFonts w:ascii="宋体" w:hAnsi="宋体" w:cs="宋体"/>
          <w:szCs w:val="21"/>
        </w:rPr>
      </w:pPr>
      <w:r>
        <w:rPr>
          <w:rFonts w:hint="eastAsia" w:ascii="宋体" w:hAnsi="宋体" w:cs="宋体"/>
          <w:szCs w:val="21"/>
        </w:rPr>
        <w:t>《建筑设计防火规范》 GB50016-2006</w:t>
      </w:r>
    </w:p>
    <w:p>
      <w:pPr>
        <w:pStyle w:val="158"/>
        <w:spacing w:line="360" w:lineRule="auto"/>
        <w:ind w:left="360"/>
        <w:rPr>
          <w:rFonts w:ascii="宋体" w:hAnsi="宋体" w:cs="宋体"/>
          <w:szCs w:val="21"/>
        </w:rPr>
      </w:pPr>
      <w:r>
        <w:rPr>
          <w:rFonts w:hint="eastAsia" w:ascii="宋体" w:hAnsi="宋体" w:cs="宋体"/>
          <w:szCs w:val="21"/>
        </w:rPr>
        <w:t xml:space="preserve">《供配电系统设计规范》 GB 50052-2009    </w:t>
      </w:r>
    </w:p>
    <w:p>
      <w:pPr>
        <w:pStyle w:val="158"/>
        <w:spacing w:line="360" w:lineRule="auto"/>
        <w:ind w:left="360"/>
        <w:rPr>
          <w:rFonts w:ascii="宋体" w:hAnsi="宋体" w:cs="宋体"/>
          <w:szCs w:val="21"/>
        </w:rPr>
      </w:pPr>
      <w:r>
        <w:rPr>
          <w:rFonts w:hint="eastAsia" w:ascii="宋体" w:hAnsi="宋体" w:cs="宋体"/>
          <w:szCs w:val="21"/>
        </w:rPr>
        <w:t xml:space="preserve">《20kV及以下变电所设计规范》GB 50053-2013    </w:t>
      </w:r>
    </w:p>
    <w:p>
      <w:pPr>
        <w:pStyle w:val="158"/>
        <w:spacing w:line="360" w:lineRule="auto"/>
        <w:ind w:left="360"/>
        <w:rPr>
          <w:rFonts w:ascii="宋体" w:hAnsi="宋体" w:cs="宋体"/>
          <w:szCs w:val="21"/>
        </w:rPr>
      </w:pPr>
      <w:r>
        <w:rPr>
          <w:rFonts w:hint="eastAsia" w:ascii="宋体" w:hAnsi="宋体" w:cs="宋体"/>
          <w:szCs w:val="21"/>
        </w:rPr>
        <w:t xml:space="preserve">《低压配电设计规范》GB 50054-2011    </w:t>
      </w:r>
    </w:p>
    <w:p>
      <w:pPr>
        <w:pStyle w:val="158"/>
        <w:spacing w:line="360" w:lineRule="auto"/>
        <w:ind w:left="360"/>
        <w:rPr>
          <w:rFonts w:ascii="宋体" w:hAnsi="宋体" w:cs="宋体"/>
          <w:szCs w:val="21"/>
        </w:rPr>
      </w:pPr>
      <w:r>
        <w:rPr>
          <w:rFonts w:hint="eastAsia" w:ascii="宋体" w:hAnsi="宋体" w:cs="宋体"/>
          <w:szCs w:val="21"/>
        </w:rPr>
        <w:t xml:space="preserve">《3～110kV高压配电装置设计规范》 GB 50060-2008    </w:t>
      </w:r>
    </w:p>
    <w:p>
      <w:pPr>
        <w:pStyle w:val="158"/>
        <w:spacing w:line="360" w:lineRule="auto"/>
        <w:ind w:left="360"/>
        <w:rPr>
          <w:rFonts w:ascii="宋体" w:hAnsi="宋体" w:cs="宋体"/>
          <w:szCs w:val="21"/>
        </w:rPr>
      </w:pPr>
      <w:r>
        <w:rPr>
          <w:rFonts w:hint="eastAsia" w:ascii="宋体" w:hAnsi="宋体" w:cs="宋体"/>
          <w:szCs w:val="21"/>
        </w:rPr>
        <w:t xml:space="preserve">《电力装置的继电保护和自动装置设计规范》GB/T 50062-2008  </w:t>
      </w:r>
    </w:p>
    <w:p>
      <w:pPr>
        <w:pStyle w:val="158"/>
        <w:spacing w:line="360" w:lineRule="auto"/>
        <w:ind w:left="360"/>
        <w:rPr>
          <w:rFonts w:ascii="宋体" w:hAnsi="宋体" w:cs="宋体"/>
          <w:szCs w:val="21"/>
        </w:rPr>
      </w:pPr>
      <w:r>
        <w:rPr>
          <w:rFonts w:hint="eastAsia" w:ascii="宋体" w:hAnsi="宋体" w:cs="宋体"/>
          <w:szCs w:val="21"/>
        </w:rPr>
        <w:t xml:space="preserve">《并联电容器装置设计规范》 GB 50227-2017    </w:t>
      </w:r>
    </w:p>
    <w:p>
      <w:pPr>
        <w:pStyle w:val="158"/>
        <w:spacing w:line="360" w:lineRule="auto"/>
        <w:ind w:left="360"/>
        <w:rPr>
          <w:rFonts w:ascii="宋体" w:hAnsi="宋体" w:cs="宋体"/>
          <w:szCs w:val="21"/>
        </w:rPr>
      </w:pPr>
      <w:r>
        <w:rPr>
          <w:rFonts w:hint="eastAsia" w:ascii="宋体" w:hAnsi="宋体" w:cs="宋体"/>
          <w:szCs w:val="21"/>
        </w:rPr>
        <w:t xml:space="preserve">《民用建筑电气设计规范》JGJ16-2008   </w:t>
      </w:r>
    </w:p>
    <w:p>
      <w:pPr>
        <w:pStyle w:val="158"/>
        <w:spacing w:line="360" w:lineRule="auto"/>
        <w:ind w:left="360"/>
        <w:rPr>
          <w:rFonts w:ascii="宋体" w:hAnsi="宋体" w:cs="宋体"/>
          <w:szCs w:val="21"/>
        </w:rPr>
      </w:pPr>
      <w:r>
        <w:rPr>
          <w:rFonts w:hint="eastAsia" w:ascii="宋体" w:hAnsi="宋体" w:cs="宋体"/>
          <w:szCs w:val="21"/>
        </w:rPr>
        <w:t xml:space="preserve">《导体和电器选择设计技术规定》DL/T5222-2005 </w:t>
      </w:r>
    </w:p>
    <w:p>
      <w:pPr>
        <w:pStyle w:val="158"/>
        <w:spacing w:line="360" w:lineRule="auto"/>
        <w:ind w:left="360"/>
        <w:rPr>
          <w:rFonts w:ascii="宋体" w:hAnsi="宋体" w:cs="宋体"/>
          <w:szCs w:val="21"/>
        </w:rPr>
      </w:pPr>
      <w:r>
        <w:rPr>
          <w:rFonts w:hint="eastAsia" w:ascii="宋体" w:hAnsi="宋体" w:cs="宋体"/>
          <w:szCs w:val="21"/>
        </w:rPr>
        <w:t xml:space="preserve">《交流电气装置的接地》GB/T621-2011   </w:t>
      </w:r>
    </w:p>
    <w:p>
      <w:pPr>
        <w:pStyle w:val="158"/>
        <w:spacing w:line="360" w:lineRule="auto"/>
        <w:ind w:left="360"/>
        <w:rPr>
          <w:rFonts w:ascii="宋体" w:hAnsi="宋体" w:cs="宋体"/>
          <w:szCs w:val="21"/>
        </w:rPr>
      </w:pPr>
      <w:r>
        <w:rPr>
          <w:rFonts w:hint="eastAsia" w:ascii="宋体" w:hAnsi="宋体" w:cs="宋体"/>
          <w:szCs w:val="21"/>
        </w:rPr>
        <w:t xml:space="preserve">《南方电网10kV和35kV配网标准》2013年版 </w:t>
      </w:r>
    </w:p>
    <w:p>
      <w:pPr>
        <w:pStyle w:val="158"/>
        <w:spacing w:line="360" w:lineRule="auto"/>
        <w:ind w:left="360"/>
        <w:rPr>
          <w:rFonts w:ascii="宋体" w:hAnsi="宋体" w:cs="宋体"/>
          <w:szCs w:val="21"/>
        </w:rPr>
      </w:pPr>
      <w:r>
        <w:rPr>
          <w:rFonts w:hint="eastAsia" w:ascii="宋体" w:hAnsi="宋体" w:cs="宋体"/>
          <w:szCs w:val="21"/>
        </w:rPr>
        <w:t xml:space="preserve">《中国南方电网城市配电网技术导则》2006年版 </w:t>
      </w:r>
    </w:p>
    <w:p>
      <w:pPr>
        <w:pStyle w:val="158"/>
        <w:spacing w:line="360" w:lineRule="auto"/>
        <w:ind w:left="360"/>
        <w:rPr>
          <w:rFonts w:ascii="宋体" w:hAnsi="宋体" w:cs="宋体"/>
          <w:szCs w:val="21"/>
        </w:rPr>
      </w:pPr>
      <w:r>
        <w:rPr>
          <w:rFonts w:hint="eastAsia" w:ascii="宋体" w:hAnsi="宋体" w:cs="宋体"/>
          <w:szCs w:val="21"/>
        </w:rPr>
        <w:t>《东莞供电局安健环技术标准》2013年版</w:t>
      </w:r>
    </w:p>
    <w:p>
      <w:pPr>
        <w:pStyle w:val="158"/>
        <w:spacing w:line="360" w:lineRule="auto"/>
        <w:ind w:left="360"/>
        <w:rPr>
          <w:rFonts w:ascii="宋体" w:hAnsi="宋体" w:cs="宋体"/>
          <w:szCs w:val="21"/>
        </w:rPr>
      </w:pPr>
      <w:r>
        <w:rPr>
          <w:rFonts w:hint="eastAsia" w:ascii="宋体" w:hAnsi="宋体" w:cs="宋体"/>
          <w:szCs w:val="21"/>
        </w:rPr>
        <w:t xml:space="preserve">中国南方电网《10kV非专线客户受电工程分界典型设计》2012年版 </w:t>
      </w:r>
    </w:p>
    <w:p>
      <w:pPr>
        <w:pStyle w:val="158"/>
        <w:spacing w:line="360" w:lineRule="auto"/>
        <w:ind w:left="360"/>
        <w:rPr>
          <w:rFonts w:ascii="宋体" w:hAnsi="宋体" w:cs="宋体"/>
          <w:szCs w:val="21"/>
        </w:rPr>
      </w:pPr>
      <w:r>
        <w:rPr>
          <w:rFonts w:hint="eastAsia" w:ascii="宋体" w:hAnsi="宋体" w:cs="宋体"/>
          <w:szCs w:val="21"/>
        </w:rPr>
        <w:t xml:space="preserve">中国南方电网《10kV用户客户电能计量装置典型设计》2014年版  </w:t>
      </w:r>
    </w:p>
    <w:p>
      <w:pPr>
        <w:pStyle w:val="158"/>
        <w:spacing w:line="360" w:lineRule="auto"/>
        <w:ind w:left="360"/>
        <w:rPr>
          <w:rFonts w:ascii="宋体" w:hAnsi="宋体" w:cs="宋体"/>
          <w:szCs w:val="21"/>
        </w:rPr>
      </w:pPr>
      <w:r>
        <w:rPr>
          <w:rFonts w:hint="eastAsia" w:ascii="宋体" w:hAnsi="宋体" w:cs="宋体"/>
          <w:szCs w:val="21"/>
        </w:rPr>
        <w:t xml:space="preserve">中国南方电网《10kV及以下业扩受电工程典型设计图集》2018年版  </w:t>
      </w:r>
    </w:p>
    <w:p>
      <w:pPr>
        <w:pStyle w:val="158"/>
        <w:spacing w:line="360" w:lineRule="auto"/>
        <w:ind w:left="360"/>
        <w:rPr>
          <w:rFonts w:ascii="仿宋" w:hAnsi="仿宋" w:eastAsia="仿宋"/>
          <w:sz w:val="26"/>
        </w:rPr>
      </w:pPr>
      <w:r>
        <w:rPr>
          <w:rFonts w:hint="eastAsia" w:ascii="宋体" w:hAnsi="宋体" w:cs="宋体"/>
          <w:szCs w:val="21"/>
        </w:rPr>
        <w:t xml:space="preserve">《10kV及以下业扩受电工程典型设计图集》东莞2019年细化版   </w:t>
      </w:r>
      <w:r>
        <w:rPr>
          <w:rFonts w:hint="eastAsia" w:ascii="仿宋" w:hAnsi="仿宋" w:eastAsia="仿宋"/>
          <w:sz w:val="26"/>
        </w:rPr>
        <w:t xml:space="preserve">              </w:t>
      </w:r>
    </w:p>
    <w:p>
      <w:pPr>
        <w:pStyle w:val="158"/>
        <w:spacing w:line="360" w:lineRule="auto"/>
        <w:ind w:left="360" w:firstLine="422"/>
        <w:rPr>
          <w:rFonts w:ascii="宋体" w:hAnsi="宋体" w:cs="宋体"/>
          <w:b/>
          <w:bCs/>
          <w:szCs w:val="21"/>
        </w:rPr>
      </w:pPr>
      <w:r>
        <w:rPr>
          <w:rFonts w:hint="eastAsia" w:ascii="宋体" w:hAnsi="宋体" w:cs="宋体"/>
          <w:b/>
          <w:bCs/>
          <w:szCs w:val="21"/>
        </w:rPr>
        <w:t>注：如以上标准有更新，则按国家及地方现行最新规范要求执行。</w:t>
      </w:r>
    </w:p>
    <w:p>
      <w:pPr>
        <w:pStyle w:val="58"/>
        <w:spacing w:line="360" w:lineRule="auto"/>
        <w:ind w:firstLine="460" w:firstLineChars="200"/>
        <w:rPr>
          <w:rFonts w:ascii="宋体" w:hAnsi="宋体" w:cs="宋体"/>
          <w:sz w:val="21"/>
          <w:szCs w:val="21"/>
        </w:rPr>
      </w:pPr>
      <w:r>
        <w:rPr>
          <w:rFonts w:hint="eastAsia" w:ascii="宋体" w:hAnsi="宋体" w:cs="宋体"/>
          <w:sz w:val="21"/>
          <w:szCs w:val="21"/>
        </w:rPr>
        <w:t>（2）</w:t>
      </w:r>
      <w:r>
        <w:rPr>
          <w:rFonts w:hint="eastAsia" w:ascii="宋体" w:hAnsi="宋体" w:cs="宋体"/>
          <w:bCs w:val="0"/>
          <w:spacing w:val="0"/>
          <w:kern w:val="2"/>
          <w:sz w:val="21"/>
          <w:szCs w:val="21"/>
        </w:rPr>
        <w:t>符合各地供电、质检、消防部门的地方规定、要求及习惯做法</w:t>
      </w:r>
      <w:r>
        <w:rPr>
          <w:rFonts w:hint="eastAsia" w:ascii="宋体" w:hAnsi="宋体" w:cs="宋体"/>
          <w:sz w:val="21"/>
          <w:szCs w:val="21"/>
        </w:rPr>
        <w:t>。</w:t>
      </w:r>
    </w:p>
    <w:p>
      <w:pPr>
        <w:pStyle w:val="158"/>
        <w:spacing w:line="360" w:lineRule="auto"/>
        <w:rPr>
          <w:rFonts w:ascii="宋体" w:hAnsi="宋体" w:cs="宋体"/>
          <w:szCs w:val="21"/>
        </w:rPr>
      </w:pPr>
      <w:r>
        <w:rPr>
          <w:rFonts w:hint="eastAsia" w:ascii="宋体" w:hAnsi="宋体" w:cs="宋体"/>
          <w:szCs w:val="21"/>
        </w:rPr>
        <w:t>3.观感质量要求：</w:t>
      </w:r>
    </w:p>
    <w:p>
      <w:pPr>
        <w:pStyle w:val="158"/>
        <w:spacing w:line="360" w:lineRule="auto"/>
        <w:ind w:left="418" w:leftChars="174" w:firstLine="0" w:firstLineChars="0"/>
        <w:rPr>
          <w:rFonts w:ascii="宋体" w:hAnsi="宋体" w:cs="宋体"/>
          <w:szCs w:val="21"/>
        </w:rPr>
      </w:pPr>
      <w:r>
        <w:rPr>
          <w:rFonts w:hint="eastAsia" w:hAnsi="宋体" w:cs="宋体"/>
          <w:szCs w:val="21"/>
        </w:rPr>
        <w:t>（</w:t>
      </w:r>
      <w:r>
        <w:rPr>
          <w:rFonts w:hint="eastAsia" w:ascii="宋体" w:hAnsi="宋体" w:cs="宋体"/>
          <w:szCs w:val="21"/>
        </w:rPr>
        <w:t>1）变压器、高压环网柜及电瓷制品应附件齐全，绝缘件无缺损、裂纹，充油部分无渗漏，充气高压设备气压指示正常，涂层完整。</w:t>
      </w:r>
    </w:p>
    <w:p>
      <w:pPr>
        <w:pStyle w:val="158"/>
        <w:spacing w:line="360" w:lineRule="auto"/>
        <w:ind w:left="418" w:leftChars="174" w:firstLine="0" w:firstLineChars="0"/>
        <w:rPr>
          <w:rFonts w:ascii="宋体" w:hAnsi="宋体" w:cs="宋体"/>
          <w:szCs w:val="21"/>
        </w:rPr>
      </w:pPr>
      <w:r>
        <w:rPr>
          <w:rFonts w:hint="eastAsia" w:hAnsi="宋体" w:cs="宋体"/>
          <w:szCs w:val="21"/>
        </w:rPr>
        <w:t>（</w:t>
      </w:r>
      <w:r>
        <w:rPr>
          <w:rFonts w:hint="eastAsia" w:ascii="宋体" w:hAnsi="宋体" w:cs="宋体"/>
          <w:szCs w:val="21"/>
        </w:rPr>
        <w:t>2）高低压成套配电柜、控制柜柜内元器件无损坏丢失，接线无脱落，附件齐全，绝缘件无缺损、裂纹，柜体无明显碰撞凹陷。</w:t>
      </w:r>
    </w:p>
    <w:p>
      <w:pPr>
        <w:pStyle w:val="158"/>
        <w:spacing w:line="360" w:lineRule="auto"/>
        <w:ind w:left="418" w:leftChars="174" w:firstLine="0" w:firstLineChars="0"/>
        <w:rPr>
          <w:rFonts w:ascii="宋体" w:hAnsi="宋体" w:cs="宋体"/>
          <w:szCs w:val="21"/>
        </w:rPr>
      </w:pPr>
      <w:r>
        <w:rPr>
          <w:rFonts w:hint="eastAsia" w:ascii="宋体" w:hAnsi="宋体" w:cs="宋体"/>
          <w:szCs w:val="21"/>
        </w:rPr>
        <w:t>（3）母线封闭、插接防潮密封良好，各段路编号标志清晰，附件齐全，外壳不变形，母线螺栓搭接面平整，镀层覆盖完整、无起皮。</w:t>
      </w:r>
    </w:p>
    <w:p>
      <w:pPr>
        <w:pStyle w:val="58"/>
        <w:spacing w:line="360" w:lineRule="auto"/>
        <w:ind w:left="463" w:leftChars="193"/>
        <w:rPr>
          <w:rFonts w:ascii="宋体" w:hAnsi="宋体" w:cs="宋体"/>
          <w:sz w:val="21"/>
          <w:szCs w:val="21"/>
        </w:rPr>
      </w:pPr>
      <w:r>
        <w:rPr>
          <w:rFonts w:hint="eastAsia" w:ascii="宋体" w:hAnsi="宋体" w:cs="宋体"/>
          <w:sz w:val="21"/>
          <w:szCs w:val="21"/>
        </w:rPr>
        <w:t>4.</w:t>
      </w:r>
      <w:r>
        <w:rPr>
          <w:rFonts w:hint="eastAsia" w:ascii="宋体" w:hAnsi="宋体" w:cs="宋体"/>
          <w:bCs w:val="0"/>
          <w:spacing w:val="0"/>
          <w:sz w:val="21"/>
          <w:szCs w:val="21"/>
        </w:rPr>
        <w:t>交付质量标准：集中交付涉及本工程的质量缺陷率不大于0.1条/户，未达标违约索赔标准为300元/条。</w:t>
      </w:r>
    </w:p>
    <w:p>
      <w:pPr>
        <w:pStyle w:val="58"/>
        <w:spacing w:line="360" w:lineRule="auto"/>
        <w:ind w:left="463" w:leftChars="193"/>
        <w:rPr>
          <w:rFonts w:ascii="宋体" w:hAnsi="宋体" w:cs="宋体"/>
          <w:sz w:val="21"/>
          <w:szCs w:val="21"/>
        </w:rPr>
      </w:pPr>
      <w:r>
        <w:rPr>
          <w:rFonts w:hint="eastAsia" w:ascii="宋体" w:hAnsi="宋体" w:cs="宋体"/>
          <w:sz w:val="21"/>
          <w:szCs w:val="21"/>
        </w:rPr>
        <w:t>5.</w:t>
      </w:r>
      <w:r>
        <w:rPr>
          <w:rFonts w:hint="eastAsia" w:ascii="宋体" w:hAnsi="宋体" w:cs="宋体"/>
          <w:bCs w:val="0"/>
          <w:spacing w:val="0"/>
          <w:sz w:val="21"/>
          <w:szCs w:val="21"/>
        </w:rPr>
        <w:t>本工程须满足现行国家、行业、地方对应的标准及规范，满足设计图纸和甲方要求，标准之间抵触之处，以最高要求为准。</w:t>
      </w:r>
    </w:p>
    <w:p>
      <w:pPr>
        <w:pStyle w:val="58"/>
        <w:spacing w:line="360" w:lineRule="auto"/>
        <w:ind w:firstLine="210" w:firstLineChars="100"/>
        <w:rPr>
          <w:rFonts w:ascii="宋体" w:hAnsi="宋体" w:cs="宋体"/>
          <w:b/>
          <w:bCs w:val="0"/>
          <w:sz w:val="21"/>
          <w:szCs w:val="21"/>
        </w:rPr>
      </w:pPr>
      <w:r>
        <w:rPr>
          <w:rFonts w:hint="eastAsia" w:ascii="宋体" w:hAnsi="宋体" w:cs="宋体"/>
          <w:bCs w:val="0"/>
          <w:spacing w:val="0"/>
          <w:kern w:val="2"/>
          <w:sz w:val="21"/>
          <w:szCs w:val="21"/>
        </w:rPr>
        <w:t>（二）技术要求</w:t>
      </w:r>
    </w:p>
    <w:p>
      <w:pPr>
        <w:spacing w:line="360" w:lineRule="auto"/>
        <w:ind w:left="418" w:leftChars="174"/>
        <w:rPr>
          <w:rFonts w:hAnsi="宋体" w:cs="宋体"/>
          <w:sz w:val="21"/>
          <w:szCs w:val="21"/>
        </w:rPr>
      </w:pPr>
      <w:r>
        <w:rPr>
          <w:rFonts w:hint="eastAsia" w:hAnsi="宋体" w:cs="宋体"/>
          <w:sz w:val="21"/>
          <w:szCs w:val="21"/>
        </w:rPr>
        <w:t>1.所使用的材料设备的品牌、规格型号均应与本技术要求完全一致；报价人所选材料设备应符合当地供电局相关要求；</w:t>
      </w:r>
    </w:p>
    <w:p>
      <w:pPr>
        <w:spacing w:line="360" w:lineRule="auto"/>
        <w:ind w:left="418" w:leftChars="174"/>
        <w:rPr>
          <w:rFonts w:hAnsi="宋体" w:cs="宋体"/>
          <w:sz w:val="21"/>
          <w:szCs w:val="21"/>
        </w:rPr>
      </w:pPr>
      <w:r>
        <w:rPr>
          <w:rFonts w:hint="eastAsia" w:hAnsi="宋体" w:cs="宋体"/>
          <w:sz w:val="21"/>
          <w:szCs w:val="21"/>
        </w:rPr>
        <w:t>2.各材料设备均为新品，导体部分均为纯铜材，严禁使用再生铜、再生绝缘材质、铝质、铜铝合金等非纯铜质产品；</w:t>
      </w:r>
    </w:p>
    <w:p>
      <w:pPr>
        <w:spacing w:line="360" w:lineRule="auto"/>
        <w:ind w:left="418" w:leftChars="174"/>
        <w:rPr>
          <w:rFonts w:hAnsi="宋体" w:cs="宋体"/>
          <w:sz w:val="21"/>
          <w:szCs w:val="21"/>
        </w:rPr>
      </w:pPr>
      <w:r>
        <w:rPr>
          <w:rFonts w:hint="eastAsia" w:hAnsi="宋体" w:cs="宋体"/>
          <w:sz w:val="21"/>
          <w:szCs w:val="21"/>
        </w:rPr>
        <w:t>3.各项主材均应提供合格证明及出厂检验报告，所有需检验试验的项目均应提供相应合格报告。</w:t>
      </w:r>
    </w:p>
    <w:p>
      <w:pPr>
        <w:spacing w:line="360" w:lineRule="auto"/>
        <w:ind w:left="418" w:leftChars="174"/>
        <w:rPr>
          <w:rFonts w:hAnsi="宋体" w:cs="宋体"/>
          <w:sz w:val="21"/>
          <w:szCs w:val="21"/>
        </w:rPr>
      </w:pPr>
      <w:r>
        <w:rPr>
          <w:rFonts w:hint="eastAsia" w:hAnsi="宋体" w:cs="宋体"/>
          <w:sz w:val="21"/>
          <w:szCs w:val="21"/>
        </w:rPr>
        <w:t>4.各设备、元器件均应符合相应的国家标准及规范。</w:t>
      </w:r>
    </w:p>
    <w:p>
      <w:pPr>
        <w:spacing w:line="360" w:lineRule="auto"/>
        <w:ind w:left="418" w:leftChars="174"/>
        <w:rPr>
          <w:rFonts w:hAnsi="宋体" w:cs="宋体"/>
          <w:sz w:val="21"/>
          <w:szCs w:val="21"/>
        </w:rPr>
      </w:pPr>
      <w:r>
        <w:rPr>
          <w:rFonts w:hint="eastAsia" w:hAnsi="宋体" w:cs="宋体"/>
          <w:sz w:val="21"/>
          <w:szCs w:val="21"/>
        </w:rPr>
        <w:t>5.对于须通过强制安全认证的产品，其产品必须具有安全认证标记。</w:t>
      </w:r>
    </w:p>
    <w:p>
      <w:pPr>
        <w:spacing w:line="360" w:lineRule="auto"/>
        <w:ind w:left="418" w:leftChars="174"/>
        <w:rPr>
          <w:rFonts w:hAnsi="宋体" w:cs="宋体"/>
          <w:sz w:val="21"/>
          <w:szCs w:val="21"/>
        </w:rPr>
      </w:pPr>
      <w:r>
        <w:rPr>
          <w:rFonts w:hint="eastAsia" w:hAnsi="宋体" w:cs="宋体"/>
          <w:sz w:val="21"/>
          <w:szCs w:val="21"/>
        </w:rPr>
        <w:t>6.进口电气设备、器具和材料进场验收，应提供商检证明和中文的质量合格证明文件、规格、型号、性能检测报告以及中文的安装、使用、维护和试验要求等技术文件。</w:t>
      </w:r>
    </w:p>
    <w:p>
      <w:pPr>
        <w:spacing w:line="360" w:lineRule="auto"/>
        <w:ind w:left="418" w:leftChars="174"/>
        <w:rPr>
          <w:rFonts w:hAnsi="宋体" w:cs="宋体"/>
          <w:sz w:val="21"/>
          <w:szCs w:val="21"/>
        </w:rPr>
      </w:pPr>
      <w:r>
        <w:rPr>
          <w:rFonts w:hint="eastAsia" w:hAnsi="宋体" w:cs="宋体"/>
          <w:sz w:val="21"/>
          <w:szCs w:val="21"/>
        </w:rPr>
        <w:t xml:space="preserve">7.所有箱柜门开启关闭应该灵活，有必要的电气联锁及机械联锁；进出线开孔位置大小合适，箱柜锁牢固，箱体垂直度、水平度均符合规范要求，箱体薄钢板厚度满足规范要求， 箱门上元件的接线应不影响箱门的正常开启和关闭。 </w:t>
      </w:r>
    </w:p>
    <w:p>
      <w:pPr>
        <w:spacing w:line="360" w:lineRule="auto"/>
        <w:ind w:left="418" w:leftChars="174"/>
        <w:rPr>
          <w:rFonts w:hAnsi="宋体" w:cs="宋体"/>
          <w:sz w:val="21"/>
          <w:szCs w:val="21"/>
        </w:rPr>
      </w:pPr>
      <w:r>
        <w:rPr>
          <w:rFonts w:hint="eastAsia" w:hAnsi="宋体" w:cs="宋体"/>
          <w:sz w:val="21"/>
          <w:szCs w:val="21"/>
        </w:rPr>
        <w:t>8.柜体内外壁上漆均匀，色调一致，无碰撞、污染、划痕、淋雨受潮等痕迹；铭牌齐全，标注正确，箱体编号规范，字迹清晰；箱内元件正确齐全，安装规范，接线牢固美观，元器件工作正常，整体调试一次性通过。</w:t>
      </w:r>
    </w:p>
    <w:p>
      <w:pPr>
        <w:spacing w:line="360" w:lineRule="auto"/>
        <w:ind w:left="418" w:leftChars="174"/>
        <w:rPr>
          <w:rFonts w:hAnsi="宋体" w:cs="宋体"/>
          <w:sz w:val="21"/>
          <w:szCs w:val="21"/>
        </w:rPr>
      </w:pPr>
      <w:r>
        <w:rPr>
          <w:rFonts w:hint="eastAsia" w:hAnsi="宋体" w:cs="宋体"/>
          <w:sz w:val="21"/>
          <w:szCs w:val="21"/>
        </w:rPr>
        <w:t>9.室内设置的单台或多台变压器在正常工作运行时产生的噪音声级须小于50dB，检查结果大于50dB且产生业主投诉，责任由施工方承担并整改至符合为小于50dB；</w:t>
      </w:r>
    </w:p>
    <w:p>
      <w:pPr>
        <w:spacing w:line="360" w:lineRule="auto"/>
        <w:ind w:left="418" w:leftChars="174"/>
        <w:rPr>
          <w:rFonts w:hAnsi="宋体" w:cs="宋体"/>
          <w:sz w:val="21"/>
          <w:szCs w:val="21"/>
        </w:rPr>
      </w:pPr>
      <w:r>
        <w:rPr>
          <w:rFonts w:hint="eastAsia" w:hAnsi="宋体" w:cs="宋体"/>
          <w:sz w:val="21"/>
          <w:szCs w:val="21"/>
        </w:rPr>
        <w:t>10.技术文件中需列明参与施工的主要管理人员、技术人员。派驻现场的人员必须严格按技术文件所列执行。</w:t>
      </w:r>
    </w:p>
    <w:p>
      <w:pPr>
        <w:spacing w:line="360" w:lineRule="auto"/>
        <w:ind w:firstLine="420" w:firstLineChars="200"/>
        <w:rPr>
          <w:rFonts w:hAnsi="宋体" w:cs="宋体"/>
          <w:sz w:val="21"/>
          <w:szCs w:val="21"/>
        </w:rPr>
      </w:pPr>
      <w:r>
        <w:rPr>
          <w:rFonts w:hint="eastAsia" w:hAnsi="宋体" w:cs="宋体"/>
          <w:sz w:val="21"/>
          <w:szCs w:val="21"/>
        </w:rPr>
        <w:t>11、安装技术要求：</w:t>
      </w:r>
    </w:p>
    <w:p>
      <w:pPr>
        <w:spacing w:line="360" w:lineRule="auto"/>
        <w:ind w:firstLine="420" w:firstLineChars="200"/>
        <w:rPr>
          <w:rFonts w:hAnsi="宋体" w:cs="宋体"/>
          <w:sz w:val="21"/>
          <w:szCs w:val="21"/>
        </w:rPr>
      </w:pPr>
      <w:r>
        <w:rPr>
          <w:rFonts w:hint="eastAsia" w:hAnsi="宋体" w:cs="宋体"/>
          <w:sz w:val="21"/>
          <w:szCs w:val="21"/>
        </w:rPr>
        <w:t>11.1配电室接地干线敷设要求：</w:t>
      </w:r>
    </w:p>
    <w:p>
      <w:pPr>
        <w:spacing w:line="360" w:lineRule="auto"/>
        <w:ind w:left="418" w:leftChars="174"/>
        <w:rPr>
          <w:rFonts w:hAnsi="宋体" w:cs="宋体"/>
          <w:sz w:val="21"/>
          <w:szCs w:val="21"/>
        </w:rPr>
      </w:pPr>
      <w:r>
        <w:rPr>
          <w:rFonts w:hint="eastAsia" w:hAnsi="宋体" w:cs="宋体"/>
          <w:sz w:val="21"/>
          <w:szCs w:val="21"/>
        </w:rPr>
        <w:t>11.1.1</w:t>
      </w:r>
      <w:r>
        <w:rPr>
          <w:rFonts w:hint="eastAsia" w:hAnsi="宋体" w:cs="宋体"/>
          <w:b/>
          <w:bCs/>
          <w:sz w:val="21"/>
          <w:szCs w:val="21"/>
        </w:rPr>
        <w:t xml:space="preserve"> </w:t>
      </w:r>
      <w:r>
        <w:rPr>
          <w:rFonts w:hint="eastAsia" w:hAnsi="宋体" w:cs="宋体"/>
          <w:sz w:val="21"/>
          <w:szCs w:val="21"/>
        </w:rPr>
        <w:t>配电室内的接地干线应有不少于2处与接地装置引出干线连接且应设置不少于2个供临时接地用的接线柱或接地螺栓。</w:t>
      </w:r>
    </w:p>
    <w:p>
      <w:pPr>
        <w:spacing w:line="360" w:lineRule="auto"/>
        <w:ind w:firstLine="420" w:firstLineChars="200"/>
        <w:rPr>
          <w:rFonts w:hAnsi="宋体" w:cs="宋体"/>
          <w:sz w:val="21"/>
          <w:szCs w:val="21"/>
        </w:rPr>
      </w:pPr>
      <w:r>
        <w:rPr>
          <w:rFonts w:hint="eastAsia" w:hAnsi="宋体" w:cs="宋体"/>
          <w:sz w:val="21"/>
          <w:szCs w:val="21"/>
        </w:rPr>
        <w:t>11.1.2 接地干线敷设位置便于检查且不妨碍设备的拆卸与检修。</w:t>
      </w:r>
    </w:p>
    <w:p>
      <w:pPr>
        <w:spacing w:line="360" w:lineRule="auto"/>
        <w:ind w:left="418" w:leftChars="174"/>
        <w:rPr>
          <w:rFonts w:hAnsi="宋体" w:cs="宋体"/>
          <w:b/>
          <w:bCs/>
          <w:sz w:val="21"/>
          <w:szCs w:val="21"/>
        </w:rPr>
      </w:pPr>
      <w:r>
        <w:rPr>
          <w:rFonts w:hint="eastAsia" w:hAnsi="宋体" w:cs="宋体"/>
          <w:sz w:val="21"/>
          <w:szCs w:val="21"/>
        </w:rPr>
        <w:t>11.1.3 当沿建筑物墙壁水平敷设时，距地面高度300mm，与建筑物墙壁间的间隙为15mm。干线的支撑间距应均匀，支撑件间距：水平直线部分800mm，弯曲部分300mm</w:t>
      </w:r>
      <w:r>
        <w:rPr>
          <w:rFonts w:hint="eastAsia" w:hAnsi="宋体" w:cs="宋体"/>
          <w:b/>
          <w:bCs/>
          <w:sz w:val="21"/>
          <w:szCs w:val="21"/>
        </w:rPr>
        <w:t>。</w:t>
      </w:r>
    </w:p>
    <w:p>
      <w:pPr>
        <w:spacing w:line="360" w:lineRule="auto"/>
        <w:ind w:firstLine="420" w:firstLineChars="200"/>
        <w:rPr>
          <w:rFonts w:hAnsi="宋体" w:cs="宋体"/>
          <w:sz w:val="21"/>
          <w:szCs w:val="21"/>
        </w:rPr>
      </w:pPr>
      <w:r>
        <w:rPr>
          <w:rFonts w:hint="eastAsia" w:hAnsi="宋体" w:cs="宋体"/>
          <w:sz w:val="21"/>
          <w:szCs w:val="21"/>
        </w:rPr>
        <w:t>11.1.4 当接地线跨越建筑物变形缝时，应设补偿装置。</w:t>
      </w:r>
    </w:p>
    <w:p>
      <w:pPr>
        <w:spacing w:line="360" w:lineRule="auto"/>
        <w:ind w:firstLine="420" w:firstLineChars="200"/>
        <w:rPr>
          <w:rFonts w:hAnsi="宋体" w:cs="宋体"/>
          <w:sz w:val="21"/>
          <w:szCs w:val="21"/>
        </w:rPr>
      </w:pPr>
      <w:r>
        <w:rPr>
          <w:rFonts w:hint="eastAsia" w:hAnsi="宋体" w:cs="宋体"/>
          <w:sz w:val="21"/>
          <w:szCs w:val="21"/>
        </w:rPr>
        <w:t>11.1.5 接地干线表面分别涂以黄绿相间的45度斜条纹，条纹宽度100mm。</w:t>
      </w:r>
    </w:p>
    <w:p>
      <w:pPr>
        <w:spacing w:line="360" w:lineRule="auto"/>
        <w:ind w:left="418" w:leftChars="174"/>
        <w:rPr>
          <w:rFonts w:hAnsi="宋体" w:cs="宋体"/>
          <w:sz w:val="21"/>
          <w:szCs w:val="21"/>
        </w:rPr>
      </w:pPr>
      <w:r>
        <w:rPr>
          <w:rFonts w:hint="eastAsia" w:hAnsi="宋体" w:cs="宋体"/>
          <w:sz w:val="21"/>
          <w:szCs w:val="21"/>
        </w:rPr>
        <w:t>11.1.6 配电间金属门铰链处的接地连接应采用铜编织带与接地干线相连，接地干线穿过门洞时，应绕门框上行或埋地5mm下行，禁止利用金属门框做接地干线。</w:t>
      </w:r>
    </w:p>
    <w:p>
      <w:pPr>
        <w:spacing w:line="360" w:lineRule="auto"/>
        <w:ind w:firstLine="420" w:firstLineChars="200"/>
        <w:rPr>
          <w:rFonts w:hAnsi="宋体" w:cs="宋体"/>
          <w:sz w:val="21"/>
          <w:szCs w:val="21"/>
        </w:rPr>
      </w:pPr>
      <w:r>
        <w:rPr>
          <w:rFonts w:hint="eastAsia" w:hAnsi="宋体" w:cs="宋体"/>
          <w:sz w:val="21"/>
          <w:szCs w:val="21"/>
        </w:rPr>
        <w:t>11.2  变压器安装要求：</w:t>
      </w:r>
    </w:p>
    <w:p>
      <w:pPr>
        <w:spacing w:line="360" w:lineRule="auto"/>
        <w:ind w:left="418" w:leftChars="174"/>
        <w:rPr>
          <w:rFonts w:hAnsi="宋体" w:cs="宋体"/>
          <w:sz w:val="21"/>
          <w:szCs w:val="21"/>
        </w:rPr>
      </w:pPr>
      <w:r>
        <w:rPr>
          <w:rFonts w:hint="eastAsia" w:hAnsi="宋体" w:cs="宋体"/>
          <w:sz w:val="21"/>
          <w:szCs w:val="21"/>
        </w:rPr>
        <w:t>11.2.1变压器的基础验收合格，且对埋入基础的预埋管和变压器进、出线预留洞及相关预埋件进行检查合格后才能安装变压器。</w:t>
      </w:r>
    </w:p>
    <w:p>
      <w:pPr>
        <w:spacing w:line="360" w:lineRule="auto"/>
        <w:ind w:firstLine="420" w:firstLineChars="200"/>
        <w:rPr>
          <w:rFonts w:hAnsi="宋体" w:cs="宋体"/>
          <w:sz w:val="21"/>
          <w:szCs w:val="21"/>
        </w:rPr>
      </w:pPr>
      <w:r>
        <w:rPr>
          <w:rFonts w:hint="eastAsia" w:hAnsi="宋体" w:cs="宋体"/>
          <w:sz w:val="21"/>
          <w:szCs w:val="21"/>
        </w:rPr>
        <w:t>11.2.2 装有滚轮的变压器就位后，应将滚轮拆除或用能拆卸的制动部件固定。</w:t>
      </w:r>
    </w:p>
    <w:p>
      <w:pPr>
        <w:spacing w:line="360" w:lineRule="auto"/>
        <w:ind w:firstLine="420" w:firstLineChars="200"/>
        <w:rPr>
          <w:rFonts w:hAnsi="宋体" w:cs="宋体"/>
          <w:sz w:val="21"/>
          <w:szCs w:val="21"/>
        </w:rPr>
      </w:pPr>
      <w:r>
        <w:rPr>
          <w:rFonts w:hint="eastAsia" w:hAnsi="宋体" w:cs="宋体"/>
          <w:sz w:val="21"/>
          <w:szCs w:val="21"/>
        </w:rPr>
        <w:t>11.2.3 就位后，变压器应按产品技术文件要求进行检查器身。</w:t>
      </w:r>
    </w:p>
    <w:p>
      <w:pPr>
        <w:spacing w:line="360" w:lineRule="auto"/>
        <w:ind w:left="418" w:leftChars="174"/>
        <w:rPr>
          <w:rFonts w:hAnsi="宋体" w:cs="宋体"/>
          <w:sz w:val="21"/>
          <w:szCs w:val="21"/>
        </w:rPr>
      </w:pPr>
      <w:r>
        <w:rPr>
          <w:rFonts w:hint="eastAsia" w:hAnsi="宋体" w:cs="宋体"/>
          <w:sz w:val="21"/>
          <w:szCs w:val="21"/>
        </w:rPr>
        <w:t>11.2.4 对于非封闭式干式变压器，应装设高度不低于1.7米的固定遮栏，遮栏网孔不应大于40mm*40mm。变压器的外廓与遮栏的净距不宜小于0.6米。变压器之间的净距不应小于1.0米。</w:t>
      </w:r>
    </w:p>
    <w:p>
      <w:pPr>
        <w:spacing w:line="360" w:lineRule="auto"/>
        <w:ind w:left="418" w:leftChars="174"/>
        <w:rPr>
          <w:rFonts w:hAnsi="宋体" w:cs="宋体"/>
          <w:sz w:val="21"/>
          <w:szCs w:val="21"/>
        </w:rPr>
      </w:pPr>
      <w:r>
        <w:rPr>
          <w:rFonts w:hint="eastAsia" w:hAnsi="宋体" w:cs="宋体"/>
          <w:sz w:val="21"/>
          <w:szCs w:val="21"/>
        </w:rPr>
        <w:t>11.2.5 接地装置引出的接地干线与变压器的低压侧中性点直接接地；接地干线应与变压器的支架或外壳接地。所有连接应可靠，紧固件及防松零件齐全，接地阻值符合设计要求。</w:t>
      </w:r>
    </w:p>
    <w:p>
      <w:pPr>
        <w:spacing w:line="360" w:lineRule="auto"/>
        <w:ind w:firstLine="420" w:firstLineChars="200"/>
        <w:rPr>
          <w:rFonts w:hAnsi="宋体" w:cs="宋体"/>
          <w:sz w:val="21"/>
          <w:szCs w:val="21"/>
        </w:rPr>
      </w:pPr>
      <w:r>
        <w:rPr>
          <w:rFonts w:hint="eastAsia" w:hAnsi="宋体" w:cs="宋体"/>
          <w:sz w:val="21"/>
          <w:szCs w:val="21"/>
        </w:rPr>
        <w:t>11.3   高压环网柜（SF6）安装要求：</w:t>
      </w:r>
    </w:p>
    <w:p>
      <w:pPr>
        <w:spacing w:line="360" w:lineRule="auto"/>
        <w:ind w:firstLine="420" w:firstLineChars="200"/>
        <w:rPr>
          <w:rFonts w:hAnsi="宋体" w:cs="宋体"/>
          <w:sz w:val="21"/>
          <w:szCs w:val="21"/>
        </w:rPr>
      </w:pPr>
      <w:r>
        <w:rPr>
          <w:rFonts w:hint="eastAsia" w:hAnsi="宋体" w:cs="宋体"/>
          <w:sz w:val="21"/>
          <w:szCs w:val="21"/>
        </w:rPr>
        <w:t>11.3.1 设备基础型钢制作安装水平误差不应超过产品的技术规定。</w:t>
      </w:r>
    </w:p>
    <w:p>
      <w:pPr>
        <w:spacing w:line="360" w:lineRule="auto"/>
        <w:ind w:firstLine="420" w:firstLineChars="200"/>
        <w:rPr>
          <w:rFonts w:hAnsi="宋体" w:cs="宋体"/>
          <w:sz w:val="21"/>
          <w:szCs w:val="21"/>
        </w:rPr>
      </w:pPr>
      <w:r>
        <w:rPr>
          <w:rFonts w:hint="eastAsia" w:hAnsi="宋体" w:cs="宋体"/>
          <w:sz w:val="21"/>
          <w:szCs w:val="21"/>
        </w:rPr>
        <w:t>11.3.2</w:t>
      </w:r>
      <w:r>
        <w:rPr>
          <w:rFonts w:hint="eastAsia" w:hAnsi="宋体" w:cs="宋体"/>
          <w:b/>
          <w:bCs/>
          <w:sz w:val="21"/>
          <w:szCs w:val="21"/>
        </w:rPr>
        <w:t xml:space="preserve"> </w:t>
      </w:r>
      <w:r>
        <w:rPr>
          <w:rFonts w:hint="eastAsia" w:hAnsi="宋体" w:cs="宋体"/>
          <w:sz w:val="21"/>
          <w:szCs w:val="21"/>
        </w:rPr>
        <w:t>配电室内高压开关的各种通道最小宽度</w:t>
      </w:r>
      <w:r>
        <w:rPr>
          <w:rFonts w:hint="eastAsia" w:hAnsi="宋体" w:cs="宋体"/>
          <w:b/>
          <w:bCs/>
          <w:sz w:val="21"/>
          <w:szCs w:val="21"/>
        </w:rPr>
        <w:t>（mm）</w:t>
      </w:r>
      <w:r>
        <w:rPr>
          <w:rFonts w:hint="eastAsia" w:hAnsi="宋体" w:cs="宋体"/>
          <w:sz w:val="21"/>
          <w:szCs w:val="21"/>
        </w:rPr>
        <w:t>见下表：</w:t>
      </w:r>
    </w:p>
    <w:tbl>
      <w:tblPr>
        <w:tblStyle w:val="49"/>
        <w:tblW w:w="7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57"/>
        <w:gridCol w:w="1857"/>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871" w:type="dxa"/>
            <w:vMerge w:val="restart"/>
            <w:vAlign w:val="center"/>
          </w:tcPr>
          <w:p>
            <w:pPr>
              <w:spacing w:line="360" w:lineRule="auto"/>
              <w:jc w:val="center"/>
              <w:rPr>
                <w:rFonts w:hAnsi="宋体" w:cs="宋体"/>
                <w:sz w:val="21"/>
                <w:szCs w:val="21"/>
              </w:rPr>
            </w:pPr>
            <w:r>
              <w:rPr>
                <w:rFonts w:hint="eastAsia" w:hAnsi="宋体" w:cs="宋体"/>
                <w:sz w:val="21"/>
                <w:szCs w:val="21"/>
              </w:rPr>
              <w:t>开关柜布置方式</w:t>
            </w:r>
          </w:p>
        </w:tc>
        <w:tc>
          <w:tcPr>
            <w:tcW w:w="1857" w:type="dxa"/>
            <w:vMerge w:val="restart"/>
            <w:vAlign w:val="center"/>
          </w:tcPr>
          <w:p>
            <w:pPr>
              <w:spacing w:line="360" w:lineRule="auto"/>
              <w:jc w:val="center"/>
              <w:rPr>
                <w:rFonts w:hAnsi="宋体" w:cs="宋体"/>
                <w:sz w:val="21"/>
                <w:szCs w:val="21"/>
              </w:rPr>
            </w:pPr>
            <w:r>
              <w:rPr>
                <w:rFonts w:hint="eastAsia" w:hAnsi="宋体" w:cs="宋体"/>
                <w:sz w:val="21"/>
                <w:szCs w:val="21"/>
              </w:rPr>
              <w:t>柜后维护通道</w:t>
            </w:r>
          </w:p>
        </w:tc>
        <w:tc>
          <w:tcPr>
            <w:tcW w:w="3714" w:type="dxa"/>
            <w:gridSpan w:val="2"/>
            <w:vAlign w:val="center"/>
          </w:tcPr>
          <w:p>
            <w:pPr>
              <w:spacing w:line="360" w:lineRule="auto"/>
              <w:jc w:val="center"/>
              <w:rPr>
                <w:rFonts w:hAnsi="宋体" w:cs="宋体"/>
                <w:sz w:val="21"/>
                <w:szCs w:val="21"/>
              </w:rPr>
            </w:pPr>
            <w:r>
              <w:rPr>
                <w:rFonts w:hint="eastAsia" w:hAnsi="宋体" w:cs="宋体"/>
                <w:sz w:val="21"/>
                <w:szCs w:val="21"/>
              </w:rPr>
              <w:t>柜前操作通道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871" w:type="dxa"/>
            <w:vMerge w:val="continue"/>
            <w:vAlign w:val="center"/>
          </w:tcPr>
          <w:p>
            <w:pPr>
              <w:spacing w:line="360" w:lineRule="auto"/>
              <w:jc w:val="center"/>
              <w:rPr>
                <w:rFonts w:hAnsi="宋体" w:cs="宋体"/>
                <w:sz w:val="21"/>
                <w:szCs w:val="21"/>
              </w:rPr>
            </w:pPr>
          </w:p>
        </w:tc>
        <w:tc>
          <w:tcPr>
            <w:tcW w:w="1857" w:type="dxa"/>
            <w:vMerge w:val="continue"/>
            <w:vAlign w:val="center"/>
          </w:tcPr>
          <w:p>
            <w:pPr>
              <w:spacing w:line="360" w:lineRule="auto"/>
              <w:jc w:val="center"/>
              <w:rPr>
                <w:rFonts w:hAnsi="宋体" w:cs="宋体"/>
                <w:sz w:val="21"/>
                <w:szCs w:val="21"/>
              </w:rPr>
            </w:pPr>
          </w:p>
        </w:tc>
        <w:tc>
          <w:tcPr>
            <w:tcW w:w="1857" w:type="dxa"/>
            <w:vAlign w:val="center"/>
          </w:tcPr>
          <w:p>
            <w:pPr>
              <w:spacing w:line="360" w:lineRule="auto"/>
              <w:jc w:val="center"/>
              <w:rPr>
                <w:rFonts w:hAnsi="宋体" w:cs="宋体"/>
                <w:sz w:val="21"/>
                <w:szCs w:val="21"/>
              </w:rPr>
            </w:pPr>
            <w:r>
              <w:rPr>
                <w:rFonts w:hint="eastAsia" w:hAnsi="宋体" w:cs="宋体"/>
                <w:sz w:val="21"/>
                <w:szCs w:val="21"/>
              </w:rPr>
              <w:t>固定式</w:t>
            </w:r>
          </w:p>
        </w:tc>
        <w:tc>
          <w:tcPr>
            <w:tcW w:w="1857" w:type="dxa"/>
            <w:vAlign w:val="center"/>
          </w:tcPr>
          <w:p>
            <w:pPr>
              <w:spacing w:line="360" w:lineRule="auto"/>
              <w:jc w:val="center"/>
              <w:rPr>
                <w:rFonts w:hAnsi="宋体" w:cs="宋体"/>
                <w:sz w:val="21"/>
                <w:szCs w:val="21"/>
              </w:rPr>
            </w:pPr>
            <w:r>
              <w:rPr>
                <w:rFonts w:hint="eastAsia" w:hAnsi="宋体" w:cs="宋体"/>
                <w:sz w:val="21"/>
                <w:szCs w:val="21"/>
              </w:rPr>
              <w:t>手车式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71" w:type="dxa"/>
            <w:vAlign w:val="center"/>
          </w:tcPr>
          <w:p>
            <w:pPr>
              <w:spacing w:line="360" w:lineRule="auto"/>
              <w:jc w:val="center"/>
              <w:rPr>
                <w:rFonts w:hAnsi="宋体" w:cs="宋体"/>
                <w:sz w:val="21"/>
                <w:szCs w:val="21"/>
              </w:rPr>
            </w:pPr>
            <w:r>
              <w:rPr>
                <w:rFonts w:hint="eastAsia" w:hAnsi="宋体" w:cs="宋体"/>
                <w:sz w:val="21"/>
                <w:szCs w:val="21"/>
              </w:rPr>
              <w:t>单排布置</w:t>
            </w:r>
          </w:p>
        </w:tc>
        <w:tc>
          <w:tcPr>
            <w:tcW w:w="1857" w:type="dxa"/>
            <w:vAlign w:val="center"/>
          </w:tcPr>
          <w:p>
            <w:pPr>
              <w:spacing w:line="360" w:lineRule="auto"/>
              <w:jc w:val="center"/>
              <w:rPr>
                <w:rFonts w:hAnsi="宋体" w:cs="宋体"/>
                <w:sz w:val="21"/>
                <w:szCs w:val="21"/>
              </w:rPr>
            </w:pPr>
            <w:r>
              <w:rPr>
                <w:rFonts w:hint="eastAsia" w:hAnsi="宋体" w:cs="宋体"/>
                <w:sz w:val="21"/>
                <w:szCs w:val="21"/>
              </w:rPr>
              <w:t>800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1500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单车长度+1200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871" w:type="dxa"/>
            <w:vAlign w:val="center"/>
          </w:tcPr>
          <w:p>
            <w:pPr>
              <w:spacing w:line="360" w:lineRule="auto"/>
              <w:jc w:val="center"/>
              <w:rPr>
                <w:rFonts w:hAnsi="宋体" w:cs="宋体"/>
                <w:sz w:val="21"/>
                <w:szCs w:val="21"/>
              </w:rPr>
            </w:pPr>
            <w:r>
              <w:rPr>
                <w:rFonts w:hint="eastAsia" w:hAnsi="宋体" w:cs="宋体"/>
                <w:sz w:val="21"/>
                <w:szCs w:val="21"/>
              </w:rPr>
              <w:t>双排面对面布置</w:t>
            </w:r>
          </w:p>
        </w:tc>
        <w:tc>
          <w:tcPr>
            <w:tcW w:w="1857" w:type="dxa"/>
            <w:vAlign w:val="center"/>
          </w:tcPr>
          <w:p>
            <w:pPr>
              <w:spacing w:line="360" w:lineRule="auto"/>
              <w:jc w:val="center"/>
              <w:rPr>
                <w:rFonts w:hAnsi="宋体" w:cs="宋体"/>
                <w:sz w:val="21"/>
                <w:szCs w:val="21"/>
              </w:rPr>
            </w:pPr>
            <w:r>
              <w:rPr>
                <w:rFonts w:hint="eastAsia" w:hAnsi="宋体" w:cs="宋体"/>
                <w:sz w:val="21"/>
                <w:szCs w:val="21"/>
              </w:rPr>
              <w:t>800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2000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双车长度+900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71" w:type="dxa"/>
            <w:vAlign w:val="center"/>
          </w:tcPr>
          <w:p>
            <w:pPr>
              <w:spacing w:line="360" w:lineRule="auto"/>
              <w:jc w:val="center"/>
              <w:rPr>
                <w:rFonts w:hAnsi="宋体" w:cs="宋体"/>
                <w:sz w:val="21"/>
                <w:szCs w:val="21"/>
              </w:rPr>
            </w:pPr>
            <w:r>
              <w:rPr>
                <w:rFonts w:hint="eastAsia" w:hAnsi="宋体" w:cs="宋体"/>
                <w:sz w:val="21"/>
                <w:szCs w:val="21"/>
              </w:rPr>
              <w:t>双排背对背布置</w:t>
            </w:r>
          </w:p>
        </w:tc>
        <w:tc>
          <w:tcPr>
            <w:tcW w:w="1857" w:type="dxa"/>
            <w:vAlign w:val="center"/>
          </w:tcPr>
          <w:p>
            <w:pPr>
              <w:spacing w:line="360" w:lineRule="auto"/>
              <w:jc w:val="center"/>
              <w:rPr>
                <w:rFonts w:hAnsi="宋体" w:cs="宋体"/>
                <w:sz w:val="21"/>
                <w:szCs w:val="21"/>
              </w:rPr>
            </w:pPr>
            <w:r>
              <w:rPr>
                <w:rFonts w:hint="eastAsia" w:hAnsi="宋体" w:cs="宋体"/>
                <w:sz w:val="21"/>
                <w:szCs w:val="21"/>
              </w:rPr>
              <w:t>1000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1500</w:t>
            </w:r>
          </w:p>
        </w:tc>
        <w:tc>
          <w:tcPr>
            <w:tcW w:w="1857" w:type="dxa"/>
            <w:vAlign w:val="center"/>
          </w:tcPr>
          <w:p>
            <w:pPr>
              <w:spacing w:line="360" w:lineRule="auto"/>
              <w:jc w:val="center"/>
              <w:rPr>
                <w:rFonts w:hAnsi="宋体" w:cs="宋体"/>
                <w:sz w:val="21"/>
                <w:szCs w:val="21"/>
              </w:rPr>
            </w:pPr>
            <w:r>
              <w:rPr>
                <w:rFonts w:hint="eastAsia" w:hAnsi="宋体" w:cs="宋体"/>
                <w:sz w:val="21"/>
                <w:szCs w:val="21"/>
              </w:rPr>
              <w:t>单车长度+1200</w:t>
            </w:r>
          </w:p>
        </w:tc>
      </w:tr>
    </w:tbl>
    <w:p>
      <w:pPr>
        <w:spacing w:line="360" w:lineRule="auto"/>
        <w:ind w:left="418" w:leftChars="174"/>
        <w:rPr>
          <w:rFonts w:hAnsi="宋体" w:cs="宋体"/>
          <w:sz w:val="21"/>
          <w:szCs w:val="21"/>
        </w:rPr>
      </w:pPr>
      <w:r>
        <w:rPr>
          <w:rFonts w:hint="eastAsia" w:hAnsi="宋体" w:cs="宋体"/>
          <w:sz w:val="21"/>
          <w:szCs w:val="21"/>
        </w:rPr>
        <w:t>注：1、固定式开关柜为靠墙布置时，柜后与墙净距应大于50mm，侧面与墙净距应大于200mm；2、通道宽度在建筑物的墙面遇有柱类局部凸出时，凸出部位的通道宽度可减少200mm。</w:t>
      </w:r>
    </w:p>
    <w:p>
      <w:pPr>
        <w:spacing w:line="360" w:lineRule="auto"/>
        <w:ind w:left="418" w:leftChars="174"/>
        <w:rPr>
          <w:rFonts w:hAnsi="宋体" w:cs="宋体"/>
          <w:sz w:val="21"/>
          <w:szCs w:val="21"/>
        </w:rPr>
      </w:pPr>
      <w:r>
        <w:rPr>
          <w:rFonts w:hint="eastAsia" w:hAnsi="宋体" w:cs="宋体"/>
          <w:sz w:val="21"/>
          <w:szCs w:val="21"/>
        </w:rPr>
        <w:t>11.3.3 制造厂已装配好的各电器元件在现场组装时，不应解体检查。如有缺陷必须在现场检查时，应经制造厂同意并在厂方人员指导下进行。</w:t>
      </w:r>
    </w:p>
    <w:p>
      <w:pPr>
        <w:spacing w:line="360" w:lineRule="auto"/>
        <w:ind w:left="418" w:leftChars="174"/>
        <w:rPr>
          <w:rFonts w:hAnsi="宋体" w:cs="宋体"/>
          <w:sz w:val="21"/>
          <w:szCs w:val="21"/>
        </w:rPr>
      </w:pPr>
      <w:r>
        <w:rPr>
          <w:rFonts w:hint="eastAsia" w:hAnsi="宋体" w:cs="宋体"/>
          <w:sz w:val="21"/>
          <w:szCs w:val="21"/>
        </w:rPr>
        <w:t>11.3.4 组合电器元件装配时，应在空气相对湿度小于80%的条件下进行，并采取防尘、防潮措施。</w:t>
      </w:r>
    </w:p>
    <w:p>
      <w:pPr>
        <w:spacing w:line="360" w:lineRule="auto"/>
        <w:ind w:left="418" w:leftChars="174"/>
        <w:rPr>
          <w:rFonts w:hAnsi="宋体" w:cs="宋体"/>
          <w:sz w:val="21"/>
          <w:szCs w:val="21"/>
        </w:rPr>
      </w:pPr>
      <w:r>
        <w:rPr>
          <w:rFonts w:hint="eastAsia" w:hAnsi="宋体" w:cs="宋体"/>
          <w:sz w:val="21"/>
          <w:szCs w:val="21"/>
        </w:rPr>
        <w:t>11.3.5 设备的所有螺栓紧固均应使用力矩扳手，其力矩值应符合产品的技术规定。</w:t>
      </w:r>
    </w:p>
    <w:p>
      <w:pPr>
        <w:spacing w:line="360" w:lineRule="auto"/>
        <w:ind w:left="418" w:leftChars="174"/>
        <w:rPr>
          <w:rFonts w:hAnsi="宋体" w:cs="宋体"/>
          <w:sz w:val="21"/>
          <w:szCs w:val="21"/>
        </w:rPr>
      </w:pPr>
      <w:r>
        <w:rPr>
          <w:rFonts w:hint="eastAsia" w:hAnsi="宋体" w:cs="宋体"/>
          <w:sz w:val="21"/>
          <w:szCs w:val="21"/>
        </w:rPr>
        <w:t>11.3.6</w:t>
      </w:r>
      <w:r>
        <w:rPr>
          <w:rFonts w:hint="eastAsia" w:hAnsi="宋体" w:cs="宋体"/>
          <w:b/>
          <w:bCs/>
          <w:sz w:val="21"/>
          <w:szCs w:val="21"/>
        </w:rPr>
        <w:t xml:space="preserve"> </w:t>
      </w:r>
      <w:r>
        <w:rPr>
          <w:rFonts w:hint="eastAsia" w:hAnsi="宋体" w:cs="宋体"/>
          <w:sz w:val="21"/>
          <w:szCs w:val="21"/>
        </w:rPr>
        <w:t>连接插件的触头中心应对准插口，不得阻卡，插入的深度应符合产品的技术规定。</w:t>
      </w:r>
    </w:p>
    <w:p>
      <w:pPr>
        <w:spacing w:line="360" w:lineRule="auto"/>
        <w:ind w:left="418" w:leftChars="174"/>
        <w:rPr>
          <w:rFonts w:hAnsi="宋体" w:cs="宋体"/>
          <w:sz w:val="21"/>
          <w:szCs w:val="21"/>
        </w:rPr>
      </w:pPr>
      <w:r>
        <w:rPr>
          <w:rFonts w:hint="eastAsia" w:hAnsi="宋体" w:cs="宋体"/>
          <w:sz w:val="21"/>
          <w:szCs w:val="21"/>
        </w:rPr>
        <w:t>11.3.7 设备接线端子的接触面表面应平整、清洁、无氧化膜，并涂以薄层电力复合脂；镀银部分不得挫磨；载流部分其表面应无凹陷及毛刺，连接螺栓应齐全、紧固。</w:t>
      </w:r>
    </w:p>
    <w:p>
      <w:pPr>
        <w:spacing w:line="360" w:lineRule="auto"/>
        <w:ind w:left="418" w:leftChars="174"/>
        <w:rPr>
          <w:rFonts w:hAnsi="宋体" w:cs="宋体"/>
          <w:sz w:val="21"/>
          <w:szCs w:val="21"/>
        </w:rPr>
      </w:pPr>
      <w:r>
        <w:rPr>
          <w:rFonts w:hint="eastAsia" w:hAnsi="宋体" w:cs="宋体"/>
          <w:sz w:val="21"/>
          <w:szCs w:val="21"/>
        </w:rPr>
        <w:t>11.3.8</w:t>
      </w:r>
      <w:r>
        <w:rPr>
          <w:rFonts w:hint="eastAsia" w:hAnsi="宋体" w:cs="宋体"/>
          <w:b/>
          <w:bCs/>
          <w:sz w:val="21"/>
          <w:szCs w:val="21"/>
        </w:rPr>
        <w:t xml:space="preserve"> </w:t>
      </w:r>
      <w:r>
        <w:rPr>
          <w:rFonts w:hint="eastAsia" w:hAnsi="宋体" w:cs="宋体"/>
          <w:sz w:val="21"/>
          <w:szCs w:val="21"/>
        </w:rPr>
        <w:t>高压熔断器的熔丝管应紧密地插入钳口内，熔丝的规格应符合设计要求，且无弯曲、压扁或损伤。</w:t>
      </w:r>
    </w:p>
    <w:p>
      <w:pPr>
        <w:spacing w:line="360" w:lineRule="auto"/>
        <w:ind w:left="418" w:leftChars="174"/>
        <w:rPr>
          <w:rFonts w:hAnsi="宋体" w:cs="宋体"/>
          <w:sz w:val="21"/>
          <w:szCs w:val="21"/>
        </w:rPr>
      </w:pPr>
      <w:r>
        <w:rPr>
          <w:rFonts w:hint="eastAsia" w:hAnsi="宋体" w:cs="宋体"/>
          <w:sz w:val="21"/>
          <w:szCs w:val="21"/>
        </w:rPr>
        <w:t>11.3.9 安装完成后模拟操作其传动机构的联动应正常，无阻卡现象，分、合闸指示正确；辅助开关及电气、机械闭锁应动作正确可靠。</w:t>
      </w:r>
    </w:p>
    <w:p>
      <w:pPr>
        <w:spacing w:line="360" w:lineRule="auto"/>
        <w:ind w:firstLine="420" w:firstLineChars="200"/>
        <w:rPr>
          <w:rFonts w:hAnsi="宋体" w:cs="宋体"/>
          <w:sz w:val="21"/>
          <w:szCs w:val="21"/>
        </w:rPr>
      </w:pPr>
      <w:r>
        <w:rPr>
          <w:rFonts w:hint="eastAsia" w:hAnsi="宋体" w:cs="宋体"/>
          <w:sz w:val="21"/>
          <w:szCs w:val="21"/>
        </w:rPr>
        <w:t>11、4  高、低压柜安装要求：</w:t>
      </w:r>
    </w:p>
    <w:p>
      <w:pPr>
        <w:spacing w:line="360" w:lineRule="auto"/>
        <w:ind w:firstLine="420" w:firstLineChars="200"/>
        <w:rPr>
          <w:rFonts w:hAnsi="宋体" w:cs="宋体"/>
          <w:sz w:val="21"/>
          <w:szCs w:val="21"/>
        </w:rPr>
      </w:pPr>
      <w:r>
        <w:rPr>
          <w:rFonts w:hint="eastAsia" w:hAnsi="宋体" w:cs="宋体"/>
          <w:sz w:val="21"/>
          <w:szCs w:val="21"/>
        </w:rPr>
        <w:t>11.4.1 基础型钢安装应符合下表的规定：</w:t>
      </w:r>
    </w:p>
    <w:p>
      <w:pPr>
        <w:spacing w:line="360" w:lineRule="auto"/>
        <w:ind w:left="422" w:hanging="422" w:hangingChars="200"/>
        <w:rPr>
          <w:rFonts w:hAnsi="宋体" w:cs="宋体"/>
          <w:sz w:val="21"/>
          <w:szCs w:val="21"/>
        </w:rPr>
      </w:pPr>
      <w:r>
        <w:rPr>
          <w:rFonts w:hint="eastAsia" w:hAnsi="宋体" w:cs="宋体"/>
          <w:b/>
          <w:bCs/>
          <w:sz w:val="21"/>
          <w:szCs w:val="21"/>
        </w:rPr>
        <w:t xml:space="preserve">                                   </w:t>
      </w:r>
      <w:r>
        <w:rPr>
          <w:rFonts w:hint="eastAsia" w:hAnsi="宋体" w:cs="宋体"/>
          <w:sz w:val="21"/>
          <w:szCs w:val="21"/>
        </w:rPr>
        <w:t>基础型钢安装允许偏差</w:t>
      </w:r>
    </w:p>
    <w:tbl>
      <w:tblPr>
        <w:tblStyle w:val="49"/>
        <w:tblW w:w="6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2268"/>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1" w:type="dxa"/>
            <w:vMerge w:val="restart"/>
            <w:vAlign w:val="center"/>
          </w:tcPr>
          <w:p>
            <w:pPr>
              <w:spacing w:line="360" w:lineRule="auto"/>
              <w:jc w:val="center"/>
              <w:rPr>
                <w:rFonts w:hAnsi="宋体" w:cs="宋体"/>
                <w:sz w:val="21"/>
                <w:szCs w:val="21"/>
              </w:rPr>
            </w:pPr>
            <w:r>
              <w:rPr>
                <w:rFonts w:hint="eastAsia" w:hAnsi="宋体" w:cs="宋体"/>
                <w:sz w:val="21"/>
                <w:szCs w:val="21"/>
              </w:rPr>
              <w:t>项目</w:t>
            </w:r>
          </w:p>
        </w:tc>
        <w:tc>
          <w:tcPr>
            <w:tcW w:w="4649" w:type="dxa"/>
            <w:gridSpan w:val="2"/>
            <w:vAlign w:val="center"/>
          </w:tcPr>
          <w:p>
            <w:pPr>
              <w:spacing w:line="360" w:lineRule="auto"/>
              <w:jc w:val="center"/>
              <w:rPr>
                <w:rFonts w:hAnsi="宋体" w:cs="宋体"/>
                <w:sz w:val="21"/>
                <w:szCs w:val="21"/>
              </w:rPr>
            </w:pPr>
            <w:r>
              <w:rPr>
                <w:rFonts w:hint="eastAsia" w:hAnsi="宋体" w:cs="宋体"/>
                <w:sz w:val="21"/>
                <w:szCs w:val="21"/>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1" w:type="dxa"/>
            <w:vMerge w:val="continue"/>
            <w:vAlign w:val="center"/>
          </w:tcPr>
          <w:p>
            <w:pPr>
              <w:spacing w:line="360" w:lineRule="auto"/>
              <w:jc w:val="center"/>
              <w:rPr>
                <w:rFonts w:hAnsi="宋体" w:cs="宋体"/>
                <w:sz w:val="21"/>
                <w:szCs w:val="21"/>
              </w:rPr>
            </w:pPr>
          </w:p>
        </w:tc>
        <w:tc>
          <w:tcPr>
            <w:tcW w:w="2268" w:type="dxa"/>
            <w:vAlign w:val="center"/>
          </w:tcPr>
          <w:p>
            <w:pPr>
              <w:spacing w:line="360" w:lineRule="auto"/>
              <w:jc w:val="center"/>
              <w:rPr>
                <w:rFonts w:hAnsi="宋体" w:cs="宋体"/>
                <w:sz w:val="21"/>
                <w:szCs w:val="21"/>
              </w:rPr>
            </w:pPr>
            <w:r>
              <w:rPr>
                <w:rFonts w:hint="eastAsia" w:hAnsi="宋体" w:cs="宋体"/>
                <w:sz w:val="21"/>
                <w:szCs w:val="21"/>
              </w:rPr>
              <w:t>(mm/m)</w:t>
            </w:r>
          </w:p>
        </w:tc>
        <w:tc>
          <w:tcPr>
            <w:tcW w:w="2381" w:type="dxa"/>
            <w:vAlign w:val="center"/>
          </w:tcPr>
          <w:p>
            <w:pPr>
              <w:spacing w:line="360" w:lineRule="auto"/>
              <w:jc w:val="center"/>
              <w:rPr>
                <w:rFonts w:hAnsi="宋体" w:cs="宋体"/>
                <w:sz w:val="21"/>
                <w:szCs w:val="21"/>
              </w:rPr>
            </w:pPr>
            <w:r>
              <w:rPr>
                <w:rFonts w:hint="eastAsia" w:hAnsi="宋体" w:cs="宋体"/>
                <w:sz w:val="21"/>
                <w:szCs w:val="21"/>
              </w:rPr>
              <w:t>(mm/全长)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spacing w:line="360" w:lineRule="auto"/>
              <w:jc w:val="center"/>
              <w:rPr>
                <w:rFonts w:hAnsi="宋体" w:cs="宋体"/>
                <w:sz w:val="21"/>
                <w:szCs w:val="21"/>
              </w:rPr>
            </w:pPr>
            <w:r>
              <w:rPr>
                <w:rFonts w:hint="eastAsia" w:hAnsi="宋体" w:cs="宋体"/>
                <w:sz w:val="21"/>
                <w:szCs w:val="21"/>
              </w:rPr>
              <w:t>不直度</w:t>
            </w:r>
          </w:p>
        </w:tc>
        <w:tc>
          <w:tcPr>
            <w:tcW w:w="2268" w:type="dxa"/>
            <w:vAlign w:val="center"/>
          </w:tcPr>
          <w:p>
            <w:pPr>
              <w:spacing w:line="360" w:lineRule="auto"/>
              <w:jc w:val="center"/>
              <w:rPr>
                <w:rFonts w:hAnsi="宋体" w:cs="宋体"/>
                <w:sz w:val="21"/>
                <w:szCs w:val="21"/>
              </w:rPr>
            </w:pPr>
            <w:r>
              <w:rPr>
                <w:rFonts w:hint="eastAsia" w:hAnsi="宋体" w:cs="宋体"/>
                <w:sz w:val="21"/>
                <w:szCs w:val="21"/>
              </w:rPr>
              <w:t>1</w:t>
            </w:r>
          </w:p>
        </w:tc>
        <w:tc>
          <w:tcPr>
            <w:tcW w:w="2381" w:type="dxa"/>
            <w:vAlign w:val="center"/>
          </w:tcPr>
          <w:p>
            <w:pPr>
              <w:spacing w:line="360" w:lineRule="auto"/>
              <w:jc w:val="center"/>
              <w:rPr>
                <w:rFonts w:hAnsi="宋体" w:cs="宋体"/>
                <w:sz w:val="21"/>
                <w:szCs w:val="21"/>
              </w:rPr>
            </w:pPr>
            <w:r>
              <w:rPr>
                <w:rFonts w:hint="eastAsia"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spacing w:line="360" w:lineRule="auto"/>
              <w:jc w:val="center"/>
              <w:rPr>
                <w:rFonts w:hAnsi="宋体" w:cs="宋体"/>
                <w:sz w:val="21"/>
                <w:szCs w:val="21"/>
              </w:rPr>
            </w:pPr>
            <w:r>
              <w:rPr>
                <w:rFonts w:hint="eastAsia" w:hAnsi="宋体" w:cs="宋体"/>
                <w:sz w:val="21"/>
                <w:szCs w:val="21"/>
              </w:rPr>
              <w:t>水平度</w:t>
            </w:r>
          </w:p>
        </w:tc>
        <w:tc>
          <w:tcPr>
            <w:tcW w:w="2268" w:type="dxa"/>
            <w:vAlign w:val="center"/>
          </w:tcPr>
          <w:p>
            <w:pPr>
              <w:spacing w:line="360" w:lineRule="auto"/>
              <w:jc w:val="center"/>
              <w:rPr>
                <w:rFonts w:hAnsi="宋体" w:cs="宋体"/>
                <w:sz w:val="21"/>
                <w:szCs w:val="21"/>
              </w:rPr>
            </w:pPr>
            <w:r>
              <w:rPr>
                <w:rFonts w:hint="eastAsia" w:hAnsi="宋体" w:cs="宋体"/>
                <w:sz w:val="21"/>
                <w:szCs w:val="21"/>
              </w:rPr>
              <w:t>1</w:t>
            </w:r>
          </w:p>
        </w:tc>
        <w:tc>
          <w:tcPr>
            <w:tcW w:w="2381" w:type="dxa"/>
            <w:vAlign w:val="center"/>
          </w:tcPr>
          <w:p>
            <w:pPr>
              <w:spacing w:line="360" w:lineRule="auto"/>
              <w:jc w:val="center"/>
              <w:rPr>
                <w:rFonts w:hAnsi="宋体" w:cs="宋体"/>
                <w:sz w:val="21"/>
                <w:szCs w:val="21"/>
              </w:rPr>
            </w:pPr>
            <w:r>
              <w:rPr>
                <w:rFonts w:hint="eastAsia" w:hAnsi="宋体"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pPr>
              <w:spacing w:line="360" w:lineRule="auto"/>
              <w:jc w:val="center"/>
              <w:rPr>
                <w:rFonts w:hAnsi="宋体" w:cs="宋体"/>
                <w:sz w:val="21"/>
                <w:szCs w:val="21"/>
              </w:rPr>
            </w:pPr>
            <w:r>
              <w:rPr>
                <w:rFonts w:hint="eastAsia" w:hAnsi="宋体" w:cs="宋体"/>
                <w:sz w:val="21"/>
                <w:szCs w:val="21"/>
              </w:rPr>
              <w:t>不平行度</w:t>
            </w:r>
          </w:p>
        </w:tc>
        <w:tc>
          <w:tcPr>
            <w:tcW w:w="2268" w:type="dxa"/>
            <w:vAlign w:val="center"/>
          </w:tcPr>
          <w:p>
            <w:pPr>
              <w:spacing w:line="360" w:lineRule="auto"/>
              <w:jc w:val="center"/>
              <w:rPr>
                <w:rFonts w:hAnsi="宋体" w:cs="宋体"/>
                <w:sz w:val="21"/>
                <w:szCs w:val="21"/>
              </w:rPr>
            </w:pPr>
            <w:r>
              <w:rPr>
                <w:rFonts w:hint="eastAsia" w:hAnsi="宋体" w:cs="宋体"/>
                <w:sz w:val="21"/>
                <w:szCs w:val="21"/>
              </w:rPr>
              <w:t>/</w:t>
            </w:r>
          </w:p>
        </w:tc>
        <w:tc>
          <w:tcPr>
            <w:tcW w:w="2381" w:type="dxa"/>
            <w:vAlign w:val="center"/>
          </w:tcPr>
          <w:p>
            <w:pPr>
              <w:spacing w:line="360" w:lineRule="auto"/>
              <w:jc w:val="center"/>
              <w:rPr>
                <w:rFonts w:hAnsi="宋体" w:cs="宋体"/>
                <w:sz w:val="21"/>
                <w:szCs w:val="21"/>
              </w:rPr>
            </w:pPr>
            <w:r>
              <w:rPr>
                <w:rFonts w:hint="eastAsia" w:hAnsi="宋体" w:cs="宋体"/>
                <w:sz w:val="21"/>
                <w:szCs w:val="21"/>
              </w:rPr>
              <w:t>5</w:t>
            </w:r>
          </w:p>
        </w:tc>
      </w:tr>
    </w:tbl>
    <w:p>
      <w:pPr>
        <w:spacing w:line="360" w:lineRule="auto"/>
        <w:ind w:firstLine="420" w:firstLineChars="200"/>
        <w:rPr>
          <w:rFonts w:hAnsi="宋体" w:cs="宋体"/>
          <w:sz w:val="21"/>
          <w:szCs w:val="21"/>
        </w:rPr>
      </w:pPr>
      <w:r>
        <w:rPr>
          <w:rFonts w:hint="eastAsia" w:hAnsi="宋体" w:cs="宋体"/>
          <w:sz w:val="21"/>
          <w:szCs w:val="21"/>
        </w:rPr>
        <w:t>11.4.2 高、低压柜相互间或与基础型钢应用镀锌螺栓连接，且防松零件齐全。</w:t>
      </w:r>
    </w:p>
    <w:p>
      <w:pPr>
        <w:spacing w:line="360" w:lineRule="auto"/>
        <w:ind w:firstLine="420" w:firstLineChars="200"/>
        <w:rPr>
          <w:rFonts w:hAnsi="宋体" w:cs="宋体"/>
          <w:sz w:val="21"/>
          <w:szCs w:val="21"/>
        </w:rPr>
      </w:pPr>
      <w:r>
        <w:rPr>
          <w:rFonts w:hint="eastAsia" w:hAnsi="宋体" w:cs="宋体"/>
          <w:sz w:val="21"/>
          <w:szCs w:val="21"/>
        </w:rPr>
        <w:t>11.4.3 高、低压柜与基础型钢应有可靠的接地。</w:t>
      </w:r>
    </w:p>
    <w:p>
      <w:pPr>
        <w:spacing w:line="360" w:lineRule="auto"/>
        <w:ind w:left="418" w:leftChars="174"/>
        <w:rPr>
          <w:rFonts w:hAnsi="宋体" w:cs="宋体"/>
          <w:sz w:val="21"/>
          <w:szCs w:val="21"/>
        </w:rPr>
      </w:pPr>
      <w:r>
        <w:rPr>
          <w:rFonts w:hint="eastAsia" w:hAnsi="宋体" w:cs="宋体"/>
          <w:sz w:val="21"/>
          <w:szCs w:val="21"/>
        </w:rPr>
        <w:t>11.4.4</w:t>
      </w:r>
      <w:r>
        <w:rPr>
          <w:rFonts w:hint="eastAsia" w:hAnsi="宋体" w:cs="宋体"/>
          <w:b/>
          <w:bCs/>
          <w:sz w:val="21"/>
          <w:szCs w:val="21"/>
        </w:rPr>
        <w:t xml:space="preserve"> </w:t>
      </w:r>
      <w:r>
        <w:rPr>
          <w:rFonts w:hint="eastAsia" w:hAnsi="宋体" w:cs="宋体"/>
          <w:sz w:val="21"/>
          <w:szCs w:val="21"/>
        </w:rPr>
        <w:t>高、低压柜安装垂直度允许偏差为1.5‰，相互间接缝不应大于2mm，成列盘面偏差不应大于5mm。</w:t>
      </w:r>
    </w:p>
    <w:p>
      <w:pPr>
        <w:spacing w:line="360" w:lineRule="auto"/>
        <w:ind w:firstLine="420" w:firstLineChars="200"/>
        <w:rPr>
          <w:rFonts w:hAnsi="宋体" w:cs="宋体"/>
          <w:sz w:val="21"/>
          <w:szCs w:val="21"/>
        </w:rPr>
      </w:pPr>
      <w:r>
        <w:rPr>
          <w:rFonts w:hint="eastAsia" w:hAnsi="宋体" w:cs="宋体"/>
          <w:sz w:val="21"/>
          <w:szCs w:val="21"/>
        </w:rPr>
        <w:t xml:space="preserve">11.5   裸母线、密闭母线安装 </w:t>
      </w:r>
    </w:p>
    <w:p>
      <w:pPr>
        <w:spacing w:line="360" w:lineRule="auto"/>
        <w:ind w:firstLine="420" w:firstLineChars="200"/>
        <w:rPr>
          <w:rFonts w:hAnsi="宋体" w:cs="宋体"/>
          <w:b/>
          <w:bCs/>
          <w:sz w:val="21"/>
          <w:szCs w:val="21"/>
        </w:rPr>
      </w:pPr>
      <w:r>
        <w:rPr>
          <w:rFonts w:hint="eastAsia" w:hAnsi="宋体" w:cs="宋体"/>
          <w:sz w:val="21"/>
          <w:szCs w:val="21"/>
        </w:rPr>
        <w:t>11.5.1 变压器、高低压成套配电柜、穿墙套管桥架等安装就位，经检查合格，才能安装母线</w:t>
      </w:r>
      <w:r>
        <w:rPr>
          <w:rFonts w:hint="eastAsia" w:hAnsi="宋体" w:cs="宋体"/>
          <w:b/>
          <w:bCs/>
          <w:sz w:val="21"/>
          <w:szCs w:val="21"/>
        </w:rPr>
        <w:t xml:space="preserve"> 。</w:t>
      </w:r>
    </w:p>
    <w:p>
      <w:pPr>
        <w:spacing w:line="360" w:lineRule="auto"/>
        <w:ind w:left="418" w:leftChars="174"/>
        <w:rPr>
          <w:rFonts w:hAnsi="宋体" w:cs="宋体"/>
          <w:sz w:val="21"/>
          <w:szCs w:val="21"/>
        </w:rPr>
      </w:pPr>
      <w:r>
        <w:rPr>
          <w:rFonts w:hint="eastAsia" w:hAnsi="宋体" w:cs="宋体"/>
          <w:sz w:val="21"/>
          <w:szCs w:val="21"/>
        </w:rPr>
        <w:t>11.5.2</w:t>
      </w:r>
      <w:r>
        <w:rPr>
          <w:rFonts w:hint="eastAsia" w:hAnsi="宋体" w:cs="宋体"/>
          <w:b/>
          <w:bCs/>
          <w:sz w:val="21"/>
          <w:szCs w:val="21"/>
        </w:rPr>
        <w:t xml:space="preserve"> </w:t>
      </w:r>
      <w:r>
        <w:rPr>
          <w:rFonts w:hint="eastAsia" w:hAnsi="宋体" w:cs="宋体"/>
          <w:sz w:val="21"/>
          <w:szCs w:val="21"/>
        </w:rPr>
        <w:t>与母线安装位置有关的管道、空调及建筑装修工程施工基本结束，确认扫尾施工不会影响已安装的母线，才能安装母线。</w:t>
      </w:r>
    </w:p>
    <w:p>
      <w:pPr>
        <w:spacing w:line="360" w:lineRule="auto"/>
        <w:ind w:firstLine="420" w:firstLineChars="200"/>
        <w:rPr>
          <w:rFonts w:hAnsi="宋体" w:cs="宋体"/>
          <w:sz w:val="21"/>
          <w:szCs w:val="21"/>
        </w:rPr>
      </w:pPr>
      <w:r>
        <w:rPr>
          <w:rFonts w:hint="eastAsia" w:hAnsi="宋体" w:cs="宋体"/>
          <w:sz w:val="21"/>
          <w:szCs w:val="21"/>
        </w:rPr>
        <w:t>11.5.3</w:t>
      </w:r>
      <w:r>
        <w:rPr>
          <w:rFonts w:hint="eastAsia" w:hAnsi="宋体" w:cs="宋体"/>
          <w:b/>
          <w:bCs/>
          <w:sz w:val="21"/>
          <w:szCs w:val="21"/>
        </w:rPr>
        <w:t xml:space="preserve"> </w:t>
      </w:r>
      <w:r>
        <w:rPr>
          <w:rFonts w:hint="eastAsia" w:hAnsi="宋体" w:cs="宋体"/>
          <w:sz w:val="21"/>
          <w:szCs w:val="21"/>
        </w:rPr>
        <w:t>每段母线对接前，应测试绝缘电阻，且阻值应大于20MΩ才能对接安装。</w:t>
      </w:r>
    </w:p>
    <w:p>
      <w:pPr>
        <w:spacing w:line="360" w:lineRule="auto"/>
        <w:ind w:firstLine="420" w:firstLineChars="200"/>
        <w:rPr>
          <w:rFonts w:hAnsi="宋体" w:cs="宋体"/>
          <w:sz w:val="21"/>
          <w:szCs w:val="21"/>
        </w:rPr>
      </w:pPr>
      <w:r>
        <w:rPr>
          <w:rFonts w:hint="eastAsia" w:hAnsi="宋体" w:cs="宋体"/>
          <w:sz w:val="21"/>
          <w:szCs w:val="21"/>
        </w:rPr>
        <w:t>11.5.4 母线的各类搭接连接的钻孔直径和搭接长度应符合相关规定。</w:t>
      </w:r>
    </w:p>
    <w:p>
      <w:pPr>
        <w:spacing w:line="360" w:lineRule="auto"/>
        <w:ind w:firstLine="420" w:firstLineChars="200"/>
        <w:rPr>
          <w:rFonts w:hAnsi="宋体" w:cs="宋体"/>
          <w:sz w:val="21"/>
          <w:szCs w:val="21"/>
        </w:rPr>
      </w:pPr>
      <w:r>
        <w:rPr>
          <w:rFonts w:hint="eastAsia" w:hAnsi="宋体" w:cs="宋体"/>
          <w:sz w:val="21"/>
          <w:szCs w:val="21"/>
        </w:rPr>
        <w:t>11.5.5</w:t>
      </w:r>
      <w:r>
        <w:rPr>
          <w:rFonts w:hint="eastAsia" w:hAnsi="宋体" w:cs="宋体"/>
          <w:b/>
          <w:bCs/>
          <w:sz w:val="21"/>
          <w:szCs w:val="21"/>
        </w:rPr>
        <w:t xml:space="preserve"> </w:t>
      </w:r>
      <w:r>
        <w:rPr>
          <w:rFonts w:hint="eastAsia" w:hAnsi="宋体" w:cs="宋体"/>
          <w:sz w:val="21"/>
          <w:szCs w:val="21"/>
        </w:rPr>
        <w:t>母线的各类搭接连接螺栓的拧紧力矩值应符合下表规定：</w:t>
      </w:r>
    </w:p>
    <w:p>
      <w:pPr>
        <w:spacing w:line="360" w:lineRule="auto"/>
        <w:ind w:left="630" w:hanging="630" w:hangingChars="300"/>
        <w:jc w:val="center"/>
        <w:rPr>
          <w:rFonts w:hAnsi="宋体" w:cs="宋体"/>
          <w:sz w:val="21"/>
          <w:szCs w:val="21"/>
        </w:rPr>
      </w:pPr>
      <w:r>
        <w:rPr>
          <w:rFonts w:hint="eastAsia" w:hAnsi="宋体" w:cs="宋体"/>
          <w:sz w:val="21"/>
          <w:szCs w:val="21"/>
        </w:rPr>
        <w:t>母线搭接螺栓的拧紧力矩</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236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序号</w:t>
            </w:r>
          </w:p>
        </w:tc>
        <w:tc>
          <w:tcPr>
            <w:tcW w:w="2362" w:type="dxa"/>
            <w:vAlign w:val="center"/>
          </w:tcPr>
          <w:p>
            <w:pPr>
              <w:spacing w:line="360" w:lineRule="auto"/>
              <w:jc w:val="center"/>
              <w:rPr>
                <w:rFonts w:hAnsi="宋体" w:cs="宋体"/>
                <w:sz w:val="21"/>
                <w:szCs w:val="21"/>
              </w:rPr>
            </w:pPr>
            <w:r>
              <w:rPr>
                <w:rFonts w:hint="eastAsia" w:hAnsi="宋体" w:cs="宋体"/>
                <w:sz w:val="21"/>
                <w:szCs w:val="21"/>
              </w:rPr>
              <w:t>螺栓规格</w:t>
            </w:r>
          </w:p>
        </w:tc>
        <w:tc>
          <w:tcPr>
            <w:tcW w:w="2364" w:type="dxa"/>
            <w:vAlign w:val="center"/>
          </w:tcPr>
          <w:p>
            <w:pPr>
              <w:spacing w:line="360" w:lineRule="auto"/>
              <w:jc w:val="center"/>
              <w:rPr>
                <w:rFonts w:hAnsi="宋体" w:cs="宋体"/>
                <w:sz w:val="21"/>
                <w:szCs w:val="21"/>
              </w:rPr>
            </w:pPr>
            <w:r>
              <w:rPr>
                <w:rFonts w:hint="eastAsia" w:hAnsi="宋体" w:cs="宋体"/>
                <w:sz w:val="21"/>
                <w:szCs w:val="21"/>
              </w:rPr>
              <w:t>力矩值（N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sz w:val="21"/>
                <w:szCs w:val="21"/>
              </w:rPr>
            </w:pPr>
            <w:r>
              <w:rPr>
                <w:rFonts w:hint="eastAsia"/>
                <w:sz w:val="21"/>
                <w:szCs w:val="21"/>
              </w:rPr>
              <w:t>1</w:t>
            </w:r>
          </w:p>
        </w:tc>
        <w:tc>
          <w:tcPr>
            <w:tcW w:w="2362" w:type="dxa"/>
            <w:vAlign w:val="center"/>
          </w:tcPr>
          <w:p>
            <w:pPr>
              <w:spacing w:line="360" w:lineRule="auto"/>
              <w:jc w:val="center"/>
              <w:rPr>
                <w:rFonts w:hAnsi="宋体" w:cs="宋体"/>
                <w:sz w:val="21"/>
                <w:szCs w:val="21"/>
              </w:rPr>
            </w:pPr>
            <w:r>
              <w:rPr>
                <w:rFonts w:hint="eastAsia" w:hAnsi="宋体" w:cs="宋体"/>
                <w:sz w:val="21"/>
                <w:szCs w:val="21"/>
              </w:rPr>
              <w:t>M8</w:t>
            </w:r>
          </w:p>
        </w:tc>
        <w:tc>
          <w:tcPr>
            <w:tcW w:w="2364" w:type="dxa"/>
            <w:vAlign w:val="center"/>
          </w:tcPr>
          <w:p>
            <w:pPr>
              <w:spacing w:line="360" w:lineRule="auto"/>
              <w:jc w:val="center"/>
              <w:rPr>
                <w:rFonts w:hAnsi="宋体" w:cs="宋体"/>
                <w:sz w:val="21"/>
                <w:szCs w:val="21"/>
              </w:rPr>
            </w:pPr>
            <w:r>
              <w:rPr>
                <w:rFonts w:hint="eastAsia" w:hAnsi="宋体" w:cs="宋体"/>
                <w:sz w:val="21"/>
                <w:szCs w:val="21"/>
              </w:rPr>
              <w:t>8.8～10.8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2</w:t>
            </w:r>
          </w:p>
        </w:tc>
        <w:tc>
          <w:tcPr>
            <w:tcW w:w="2362" w:type="dxa"/>
            <w:vAlign w:val="center"/>
          </w:tcPr>
          <w:p>
            <w:pPr>
              <w:spacing w:line="360" w:lineRule="auto"/>
              <w:jc w:val="center"/>
              <w:rPr>
                <w:rFonts w:hAnsi="宋体" w:cs="宋体"/>
                <w:sz w:val="21"/>
                <w:szCs w:val="21"/>
              </w:rPr>
            </w:pPr>
            <w:r>
              <w:rPr>
                <w:rFonts w:hint="eastAsia" w:hAnsi="宋体" w:cs="宋体"/>
                <w:sz w:val="21"/>
                <w:szCs w:val="21"/>
              </w:rPr>
              <w:t>M10</w:t>
            </w:r>
          </w:p>
        </w:tc>
        <w:tc>
          <w:tcPr>
            <w:tcW w:w="2364" w:type="dxa"/>
            <w:vAlign w:val="center"/>
          </w:tcPr>
          <w:p>
            <w:pPr>
              <w:spacing w:line="360" w:lineRule="auto"/>
              <w:jc w:val="center"/>
              <w:rPr>
                <w:rFonts w:hAnsi="宋体" w:cs="宋体"/>
                <w:sz w:val="21"/>
                <w:szCs w:val="21"/>
              </w:rPr>
            </w:pPr>
            <w:r>
              <w:rPr>
                <w:rFonts w:hint="eastAsia" w:hAnsi="宋体" w:cs="宋体"/>
                <w:sz w:val="21"/>
                <w:szCs w:val="21"/>
              </w:rPr>
              <w:t>17.7～22.6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3</w:t>
            </w:r>
          </w:p>
        </w:tc>
        <w:tc>
          <w:tcPr>
            <w:tcW w:w="2362" w:type="dxa"/>
            <w:vAlign w:val="center"/>
          </w:tcPr>
          <w:p>
            <w:pPr>
              <w:spacing w:line="360" w:lineRule="auto"/>
              <w:jc w:val="center"/>
              <w:rPr>
                <w:rFonts w:hAnsi="宋体" w:cs="宋体"/>
                <w:sz w:val="21"/>
                <w:szCs w:val="21"/>
              </w:rPr>
            </w:pPr>
            <w:r>
              <w:rPr>
                <w:rFonts w:hint="eastAsia" w:hAnsi="宋体" w:cs="宋体"/>
                <w:sz w:val="21"/>
                <w:szCs w:val="21"/>
              </w:rPr>
              <w:t>M12</w:t>
            </w:r>
          </w:p>
        </w:tc>
        <w:tc>
          <w:tcPr>
            <w:tcW w:w="2364" w:type="dxa"/>
            <w:vAlign w:val="center"/>
          </w:tcPr>
          <w:p>
            <w:pPr>
              <w:spacing w:line="360" w:lineRule="auto"/>
              <w:jc w:val="center"/>
              <w:rPr>
                <w:rFonts w:hAnsi="宋体" w:cs="宋体"/>
                <w:sz w:val="21"/>
                <w:szCs w:val="21"/>
              </w:rPr>
            </w:pPr>
            <w:r>
              <w:rPr>
                <w:rFonts w:hint="eastAsia" w:hAnsi="宋体" w:cs="宋体"/>
                <w:sz w:val="21"/>
                <w:szCs w:val="21"/>
              </w:rPr>
              <w:t>31.4～39.2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4</w:t>
            </w:r>
          </w:p>
        </w:tc>
        <w:tc>
          <w:tcPr>
            <w:tcW w:w="2362" w:type="dxa"/>
            <w:vAlign w:val="center"/>
          </w:tcPr>
          <w:p>
            <w:pPr>
              <w:spacing w:line="360" w:lineRule="auto"/>
              <w:jc w:val="center"/>
              <w:rPr>
                <w:rFonts w:hAnsi="宋体" w:cs="宋体"/>
                <w:sz w:val="21"/>
                <w:szCs w:val="21"/>
              </w:rPr>
            </w:pPr>
            <w:r>
              <w:rPr>
                <w:rFonts w:hint="eastAsia" w:hAnsi="宋体" w:cs="宋体"/>
                <w:sz w:val="21"/>
                <w:szCs w:val="21"/>
              </w:rPr>
              <w:t>M14</w:t>
            </w:r>
          </w:p>
        </w:tc>
        <w:tc>
          <w:tcPr>
            <w:tcW w:w="2364" w:type="dxa"/>
            <w:vAlign w:val="center"/>
          </w:tcPr>
          <w:p>
            <w:pPr>
              <w:spacing w:line="360" w:lineRule="auto"/>
              <w:jc w:val="center"/>
              <w:rPr>
                <w:rFonts w:hAnsi="宋体" w:cs="宋体"/>
                <w:sz w:val="21"/>
                <w:szCs w:val="21"/>
              </w:rPr>
            </w:pPr>
            <w:r>
              <w:rPr>
                <w:rFonts w:hint="eastAsia" w:hAnsi="宋体" w:cs="宋体"/>
                <w:sz w:val="21"/>
                <w:szCs w:val="21"/>
              </w:rPr>
              <w:t>51.0～60.8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5</w:t>
            </w:r>
          </w:p>
        </w:tc>
        <w:tc>
          <w:tcPr>
            <w:tcW w:w="2362" w:type="dxa"/>
            <w:vAlign w:val="center"/>
          </w:tcPr>
          <w:p>
            <w:pPr>
              <w:spacing w:line="360" w:lineRule="auto"/>
              <w:jc w:val="center"/>
              <w:rPr>
                <w:rFonts w:hAnsi="宋体" w:cs="宋体"/>
                <w:sz w:val="21"/>
                <w:szCs w:val="21"/>
              </w:rPr>
            </w:pPr>
            <w:r>
              <w:rPr>
                <w:rFonts w:hint="eastAsia" w:hAnsi="宋体" w:cs="宋体"/>
                <w:sz w:val="21"/>
                <w:szCs w:val="21"/>
              </w:rPr>
              <w:t>M16</w:t>
            </w:r>
          </w:p>
        </w:tc>
        <w:tc>
          <w:tcPr>
            <w:tcW w:w="2364" w:type="dxa"/>
            <w:vAlign w:val="center"/>
          </w:tcPr>
          <w:p>
            <w:pPr>
              <w:spacing w:line="360" w:lineRule="auto"/>
              <w:jc w:val="center"/>
              <w:rPr>
                <w:rFonts w:hAnsi="宋体" w:cs="宋体"/>
                <w:sz w:val="21"/>
                <w:szCs w:val="21"/>
              </w:rPr>
            </w:pPr>
            <w:r>
              <w:rPr>
                <w:rFonts w:hint="eastAsia" w:hAnsi="宋体" w:cs="宋体"/>
                <w:sz w:val="21"/>
                <w:szCs w:val="21"/>
              </w:rPr>
              <w:t>78.5～98.1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6</w:t>
            </w:r>
          </w:p>
        </w:tc>
        <w:tc>
          <w:tcPr>
            <w:tcW w:w="2362" w:type="dxa"/>
            <w:vAlign w:val="center"/>
          </w:tcPr>
          <w:p>
            <w:pPr>
              <w:spacing w:line="360" w:lineRule="auto"/>
              <w:jc w:val="center"/>
              <w:rPr>
                <w:rFonts w:hAnsi="宋体" w:cs="宋体"/>
                <w:sz w:val="21"/>
                <w:szCs w:val="21"/>
              </w:rPr>
            </w:pPr>
            <w:r>
              <w:rPr>
                <w:rFonts w:hint="eastAsia" w:hAnsi="宋体" w:cs="宋体"/>
                <w:sz w:val="21"/>
                <w:szCs w:val="21"/>
              </w:rPr>
              <w:t>M18</w:t>
            </w:r>
          </w:p>
        </w:tc>
        <w:tc>
          <w:tcPr>
            <w:tcW w:w="2364" w:type="dxa"/>
            <w:vAlign w:val="center"/>
          </w:tcPr>
          <w:p>
            <w:pPr>
              <w:spacing w:line="360" w:lineRule="auto"/>
              <w:jc w:val="center"/>
              <w:rPr>
                <w:rFonts w:hAnsi="宋体" w:cs="宋体"/>
                <w:sz w:val="21"/>
                <w:szCs w:val="21"/>
              </w:rPr>
            </w:pPr>
            <w:r>
              <w:rPr>
                <w:rFonts w:hint="eastAsia" w:hAnsi="宋体" w:cs="宋体"/>
                <w:sz w:val="21"/>
                <w:szCs w:val="21"/>
              </w:rPr>
              <w:t>98～127.4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7</w:t>
            </w:r>
          </w:p>
        </w:tc>
        <w:tc>
          <w:tcPr>
            <w:tcW w:w="2362" w:type="dxa"/>
            <w:vAlign w:val="center"/>
          </w:tcPr>
          <w:p>
            <w:pPr>
              <w:spacing w:line="360" w:lineRule="auto"/>
              <w:jc w:val="center"/>
              <w:rPr>
                <w:rFonts w:hAnsi="宋体" w:cs="宋体"/>
                <w:sz w:val="21"/>
                <w:szCs w:val="21"/>
              </w:rPr>
            </w:pPr>
            <w:r>
              <w:rPr>
                <w:rFonts w:hint="eastAsia" w:hAnsi="宋体" w:cs="宋体"/>
                <w:sz w:val="21"/>
                <w:szCs w:val="21"/>
              </w:rPr>
              <w:t>M20</w:t>
            </w:r>
          </w:p>
        </w:tc>
        <w:tc>
          <w:tcPr>
            <w:tcW w:w="2364" w:type="dxa"/>
            <w:vAlign w:val="center"/>
          </w:tcPr>
          <w:p>
            <w:pPr>
              <w:spacing w:line="360" w:lineRule="auto"/>
              <w:jc w:val="center"/>
              <w:rPr>
                <w:rFonts w:hAnsi="宋体" w:cs="宋体"/>
                <w:sz w:val="21"/>
                <w:szCs w:val="21"/>
              </w:rPr>
            </w:pPr>
            <w:r>
              <w:rPr>
                <w:rFonts w:hint="eastAsia" w:hAnsi="宋体" w:cs="宋体"/>
                <w:sz w:val="21"/>
                <w:szCs w:val="21"/>
              </w:rPr>
              <w:t>156.9～196.2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2" w:type="dxa"/>
            <w:vAlign w:val="center"/>
          </w:tcPr>
          <w:p>
            <w:pPr>
              <w:spacing w:line="360" w:lineRule="auto"/>
              <w:jc w:val="center"/>
              <w:rPr>
                <w:rFonts w:hAnsi="宋体" w:cs="宋体"/>
                <w:sz w:val="21"/>
                <w:szCs w:val="21"/>
              </w:rPr>
            </w:pPr>
            <w:r>
              <w:rPr>
                <w:rFonts w:hint="eastAsia" w:hAnsi="宋体" w:cs="宋体"/>
                <w:sz w:val="21"/>
                <w:szCs w:val="21"/>
              </w:rPr>
              <w:t>8</w:t>
            </w:r>
          </w:p>
        </w:tc>
        <w:tc>
          <w:tcPr>
            <w:tcW w:w="2362" w:type="dxa"/>
            <w:vAlign w:val="center"/>
          </w:tcPr>
          <w:p>
            <w:pPr>
              <w:spacing w:line="360" w:lineRule="auto"/>
              <w:jc w:val="center"/>
              <w:rPr>
                <w:rFonts w:hAnsi="宋体" w:cs="宋体"/>
                <w:sz w:val="21"/>
                <w:szCs w:val="21"/>
              </w:rPr>
            </w:pPr>
            <w:r>
              <w:rPr>
                <w:rFonts w:hint="eastAsia" w:hAnsi="宋体" w:cs="宋体"/>
                <w:sz w:val="21"/>
                <w:szCs w:val="21"/>
              </w:rPr>
              <w:t>M24</w:t>
            </w:r>
          </w:p>
        </w:tc>
        <w:tc>
          <w:tcPr>
            <w:tcW w:w="2364" w:type="dxa"/>
            <w:vAlign w:val="center"/>
          </w:tcPr>
          <w:p>
            <w:pPr>
              <w:spacing w:line="360" w:lineRule="auto"/>
              <w:jc w:val="center"/>
              <w:rPr>
                <w:rFonts w:hAnsi="宋体" w:cs="宋体"/>
                <w:sz w:val="21"/>
                <w:szCs w:val="21"/>
              </w:rPr>
            </w:pPr>
            <w:r>
              <w:rPr>
                <w:rFonts w:hint="eastAsia" w:hAnsi="宋体" w:cs="宋体"/>
                <w:sz w:val="21"/>
                <w:szCs w:val="21"/>
              </w:rPr>
              <w:t>274.6～343.2</w:t>
            </w:r>
          </w:p>
        </w:tc>
      </w:tr>
    </w:tbl>
    <w:p>
      <w:pPr>
        <w:spacing w:line="360" w:lineRule="auto"/>
        <w:rPr>
          <w:rFonts w:hAnsi="宋体" w:cs="宋体"/>
          <w:sz w:val="21"/>
          <w:szCs w:val="21"/>
        </w:rPr>
      </w:pPr>
    </w:p>
    <w:p>
      <w:pPr>
        <w:spacing w:line="360" w:lineRule="auto"/>
        <w:ind w:left="628" w:leftChars="174" w:hanging="210" w:hangingChars="100"/>
        <w:rPr>
          <w:rFonts w:hAnsi="宋体" w:cs="宋体"/>
          <w:sz w:val="21"/>
          <w:szCs w:val="21"/>
        </w:rPr>
      </w:pPr>
      <w:r>
        <w:rPr>
          <w:rFonts w:hint="eastAsia" w:hAnsi="宋体" w:cs="宋体"/>
          <w:sz w:val="21"/>
          <w:szCs w:val="21"/>
        </w:rPr>
        <w:t>11.5.6 母线的接触面应保持清洁并在搭接面进行双面搪锡。</w:t>
      </w:r>
    </w:p>
    <w:p>
      <w:pPr>
        <w:spacing w:line="360" w:lineRule="auto"/>
        <w:ind w:left="418" w:leftChars="174"/>
        <w:rPr>
          <w:rFonts w:hAnsi="宋体" w:cs="宋体"/>
          <w:sz w:val="21"/>
          <w:szCs w:val="21"/>
        </w:rPr>
      </w:pPr>
      <w:r>
        <w:rPr>
          <w:rFonts w:hint="eastAsia" w:hAnsi="宋体" w:cs="宋体"/>
          <w:sz w:val="21"/>
          <w:szCs w:val="21"/>
        </w:rPr>
        <w:t>11.5.7 母线支架和封闭母线的外壳接地完成，母线的绝缘电阻测试和交流工频耐压试验合格，才能通电。</w:t>
      </w:r>
    </w:p>
    <w:p>
      <w:pPr>
        <w:spacing w:line="360" w:lineRule="auto"/>
        <w:ind w:firstLine="420" w:firstLineChars="200"/>
        <w:rPr>
          <w:rFonts w:hAnsi="宋体" w:cs="宋体"/>
          <w:sz w:val="21"/>
          <w:szCs w:val="21"/>
        </w:rPr>
      </w:pPr>
      <w:r>
        <w:rPr>
          <w:rFonts w:hint="eastAsia" w:hAnsi="宋体" w:cs="宋体"/>
          <w:sz w:val="21"/>
          <w:szCs w:val="21"/>
        </w:rPr>
        <w:t>11.6   电缆桥架安装和桥架内电缆敷设</w:t>
      </w:r>
    </w:p>
    <w:p>
      <w:pPr>
        <w:spacing w:line="360" w:lineRule="auto"/>
        <w:ind w:firstLine="420" w:firstLineChars="200"/>
        <w:rPr>
          <w:rFonts w:hAnsi="宋体" w:cs="宋体"/>
          <w:sz w:val="21"/>
          <w:szCs w:val="21"/>
        </w:rPr>
      </w:pPr>
      <w:r>
        <w:rPr>
          <w:rFonts w:hint="eastAsia" w:hAnsi="宋体" w:cs="宋体"/>
          <w:sz w:val="21"/>
          <w:szCs w:val="21"/>
        </w:rPr>
        <w:t>11.6.1</w:t>
      </w:r>
      <w:r>
        <w:rPr>
          <w:rFonts w:hint="eastAsia" w:hAnsi="宋体" w:cs="宋体"/>
          <w:b/>
          <w:bCs/>
          <w:sz w:val="21"/>
          <w:szCs w:val="21"/>
        </w:rPr>
        <w:t xml:space="preserve"> </w:t>
      </w:r>
      <w:r>
        <w:rPr>
          <w:rFonts w:hint="eastAsia" w:hAnsi="宋体" w:cs="宋体"/>
          <w:sz w:val="21"/>
          <w:szCs w:val="21"/>
        </w:rPr>
        <w:t>电缆桥架安装应符合下列规定：</w:t>
      </w:r>
    </w:p>
    <w:p>
      <w:pPr>
        <w:spacing w:line="360" w:lineRule="auto"/>
        <w:ind w:left="418" w:leftChars="174"/>
        <w:rPr>
          <w:rFonts w:hAnsi="宋体" w:cs="宋体"/>
          <w:sz w:val="21"/>
          <w:szCs w:val="21"/>
        </w:rPr>
      </w:pPr>
      <w:r>
        <w:rPr>
          <w:rFonts w:hint="eastAsia" w:hAnsi="宋体" w:cs="宋体"/>
          <w:sz w:val="21"/>
          <w:szCs w:val="21"/>
        </w:rPr>
        <w:t>（1）直线段钢制电缆桥架长度超过30米、铝合金制电缆桥架长度超过15米设有伸缩节；电缆桥架跨越建筑物变形缝处设置补偿装置。</w:t>
      </w:r>
    </w:p>
    <w:p>
      <w:pPr>
        <w:spacing w:line="360" w:lineRule="auto"/>
        <w:ind w:left="418" w:leftChars="174"/>
        <w:rPr>
          <w:rFonts w:hAnsi="宋体" w:cs="宋体"/>
          <w:sz w:val="21"/>
          <w:szCs w:val="21"/>
        </w:rPr>
      </w:pPr>
      <w:r>
        <w:rPr>
          <w:rFonts w:hint="eastAsia" w:hAnsi="宋体" w:cs="宋体"/>
          <w:sz w:val="21"/>
          <w:szCs w:val="21"/>
        </w:rPr>
        <w:t>（2）电缆桥架转弯处的弯曲半径，不小于桥架内电缆最小允许弯曲半径，电缆最小允许弯曲半径见下表。</w:t>
      </w:r>
    </w:p>
    <w:p>
      <w:pPr>
        <w:spacing w:line="360" w:lineRule="auto"/>
        <w:ind w:firstLine="420" w:firstLineChars="200"/>
        <w:rPr>
          <w:rFonts w:hAnsi="宋体" w:cs="宋体"/>
          <w:sz w:val="21"/>
          <w:szCs w:val="21"/>
        </w:rPr>
      </w:pPr>
      <w:r>
        <w:rPr>
          <w:rFonts w:hint="eastAsia" w:hAnsi="宋体" w:cs="宋体"/>
          <w:sz w:val="21"/>
          <w:szCs w:val="21"/>
        </w:rPr>
        <w:t>（3）当设计无要求时，电缆桥架水平安装的支架间距为1.5～2米；垂直安装的支架间距不大于2米。</w:t>
      </w:r>
    </w:p>
    <w:p>
      <w:pPr>
        <w:spacing w:line="360" w:lineRule="auto"/>
        <w:ind w:left="418" w:leftChars="174"/>
        <w:rPr>
          <w:rFonts w:hAnsi="宋体" w:cs="宋体"/>
          <w:sz w:val="21"/>
          <w:szCs w:val="21"/>
        </w:rPr>
      </w:pPr>
      <w:r>
        <w:rPr>
          <w:rFonts w:hint="eastAsia" w:hAnsi="宋体" w:cs="宋体"/>
          <w:sz w:val="21"/>
          <w:szCs w:val="21"/>
        </w:rPr>
        <w:t>（4）桥架与支架间螺栓、桥架连接板螺栓固定紧固无遗漏且螺栓为半圆头，螺母位于桥架外侧；当铝合金桥架和钢支架固定时，有相互间绝缘的防电化腐蚀措施。</w:t>
      </w:r>
    </w:p>
    <w:p>
      <w:pPr>
        <w:spacing w:line="360" w:lineRule="auto"/>
        <w:ind w:left="418" w:leftChars="174"/>
        <w:rPr>
          <w:rFonts w:hAnsi="宋体" w:cs="宋体"/>
          <w:sz w:val="21"/>
          <w:szCs w:val="21"/>
        </w:rPr>
      </w:pPr>
      <w:r>
        <w:rPr>
          <w:rFonts w:hint="eastAsia" w:hAnsi="宋体" w:cs="宋体"/>
          <w:sz w:val="21"/>
          <w:szCs w:val="21"/>
        </w:rPr>
        <w:t>（5）金属电缆桥架及其支架和引入或引出的金属电缆导管必须接地可靠；并且金属电缆桥架全长应不少于2处与接地干线相连接。</w:t>
      </w:r>
    </w:p>
    <w:p>
      <w:pPr>
        <w:spacing w:line="360" w:lineRule="auto"/>
        <w:ind w:left="418" w:leftChars="174"/>
        <w:rPr>
          <w:rFonts w:hAnsi="宋体" w:cs="宋体"/>
          <w:sz w:val="21"/>
          <w:szCs w:val="21"/>
        </w:rPr>
      </w:pPr>
      <w:r>
        <w:rPr>
          <w:rFonts w:hint="eastAsia" w:hAnsi="宋体" w:cs="宋体"/>
          <w:sz w:val="21"/>
          <w:szCs w:val="21"/>
        </w:rPr>
        <w:t>（6）镀锌电缆桥架间连接板的两端不需跨接接地线，但连接板两端应不少于2个有防松螺帽或防松垫圈的连接固定螺栓。</w:t>
      </w:r>
    </w:p>
    <w:p>
      <w:pPr>
        <w:spacing w:line="360" w:lineRule="auto"/>
        <w:ind w:firstLine="420" w:firstLineChars="200"/>
        <w:rPr>
          <w:rFonts w:hAnsi="宋体" w:cs="宋体"/>
          <w:sz w:val="21"/>
          <w:szCs w:val="21"/>
        </w:rPr>
      </w:pPr>
      <w:r>
        <w:rPr>
          <w:rFonts w:hint="eastAsia" w:hAnsi="宋体" w:cs="宋体"/>
          <w:sz w:val="21"/>
          <w:szCs w:val="21"/>
        </w:rPr>
        <w:t>11.6.2</w:t>
      </w:r>
      <w:r>
        <w:rPr>
          <w:rFonts w:hint="eastAsia" w:hAnsi="宋体" w:cs="宋体"/>
          <w:b/>
          <w:bCs/>
          <w:sz w:val="21"/>
          <w:szCs w:val="21"/>
        </w:rPr>
        <w:t xml:space="preserve"> </w:t>
      </w:r>
      <w:r>
        <w:rPr>
          <w:rFonts w:hint="eastAsia" w:hAnsi="宋体" w:cs="宋体"/>
          <w:sz w:val="21"/>
          <w:szCs w:val="21"/>
        </w:rPr>
        <w:t>桥架内电缆敷设应符合下列规定：</w:t>
      </w:r>
    </w:p>
    <w:p>
      <w:pPr>
        <w:spacing w:line="360" w:lineRule="auto"/>
        <w:ind w:left="209" w:firstLine="210" w:firstLineChars="100"/>
        <w:rPr>
          <w:rFonts w:hAnsi="宋体" w:cs="宋体"/>
          <w:sz w:val="21"/>
          <w:szCs w:val="21"/>
        </w:rPr>
      </w:pPr>
      <w:r>
        <w:rPr>
          <w:rFonts w:hint="eastAsia" w:hAnsi="宋体" w:cs="宋体"/>
          <w:sz w:val="21"/>
          <w:szCs w:val="21"/>
        </w:rPr>
        <w:t>（1）电缆出入电缆沟、竖井、建筑物、（盘）柜处以及管子的管口处须做密封处理。</w:t>
      </w:r>
    </w:p>
    <w:p>
      <w:pPr>
        <w:spacing w:line="360" w:lineRule="auto"/>
        <w:ind w:left="418" w:leftChars="174"/>
        <w:rPr>
          <w:rFonts w:hAnsi="宋体" w:cs="宋体"/>
          <w:sz w:val="21"/>
          <w:szCs w:val="21"/>
        </w:rPr>
      </w:pPr>
      <w:r>
        <w:rPr>
          <w:rFonts w:hint="eastAsia" w:hAnsi="宋体" w:cs="宋体"/>
          <w:sz w:val="21"/>
          <w:szCs w:val="21"/>
        </w:rPr>
        <w:t>（2）电缆敷设排列整齐，水平敷设的电缆，首尾两端、转弯两侧每隔5～10米处设固定点；敷设于垂直桥架内的电缆固定点间距为1米（全塑型电缆）、1.5米（其它型电缆）。</w:t>
      </w:r>
    </w:p>
    <w:p>
      <w:pPr>
        <w:spacing w:line="360" w:lineRule="auto"/>
        <w:ind w:left="209" w:firstLine="210" w:firstLineChars="100"/>
        <w:rPr>
          <w:rFonts w:hAnsi="宋体" w:cs="宋体"/>
          <w:sz w:val="21"/>
          <w:szCs w:val="21"/>
        </w:rPr>
      </w:pPr>
      <w:r>
        <w:rPr>
          <w:rFonts w:hint="eastAsia" w:hAnsi="宋体" w:cs="宋体"/>
          <w:sz w:val="21"/>
          <w:szCs w:val="21"/>
        </w:rPr>
        <w:t>（3）电缆敷设严禁有绞拧、铠装压扁、护层断列和表面严重划伤等缺陷。</w:t>
      </w:r>
    </w:p>
    <w:p>
      <w:pPr>
        <w:spacing w:line="360" w:lineRule="auto"/>
        <w:ind w:left="209" w:firstLine="210" w:firstLineChars="100"/>
        <w:rPr>
          <w:rFonts w:hAnsi="宋体" w:cs="宋体"/>
          <w:sz w:val="21"/>
          <w:szCs w:val="21"/>
        </w:rPr>
      </w:pPr>
      <w:r>
        <w:rPr>
          <w:rFonts w:hint="eastAsia" w:hAnsi="宋体" w:cs="宋体"/>
          <w:sz w:val="21"/>
          <w:szCs w:val="21"/>
        </w:rPr>
        <w:t>（4）电缆线间和线对地间的绝缘电阻值必须大于1MΩ。</w:t>
      </w:r>
    </w:p>
    <w:p>
      <w:pPr>
        <w:spacing w:line="360" w:lineRule="auto"/>
        <w:ind w:left="209" w:firstLine="210" w:firstLineChars="100"/>
        <w:rPr>
          <w:rFonts w:hAnsi="宋体" w:cs="宋体"/>
          <w:sz w:val="21"/>
          <w:szCs w:val="21"/>
        </w:rPr>
      </w:pPr>
      <w:r>
        <w:rPr>
          <w:rFonts w:hint="eastAsia" w:hAnsi="宋体" w:cs="宋体"/>
          <w:sz w:val="21"/>
          <w:szCs w:val="21"/>
        </w:rPr>
        <w:t>（5）铠装电力电缆头的接地线应采用铜绞线或镀锡编织线，截面积不应小于下表规定。</w:t>
      </w:r>
    </w:p>
    <w:p>
      <w:pPr>
        <w:spacing w:line="360" w:lineRule="auto"/>
        <w:jc w:val="center"/>
        <w:rPr>
          <w:rFonts w:hAnsi="宋体" w:cs="宋体"/>
          <w:sz w:val="21"/>
          <w:szCs w:val="21"/>
        </w:rPr>
      </w:pPr>
      <w:r>
        <w:rPr>
          <w:rFonts w:hint="eastAsia" w:hAnsi="宋体" w:cs="宋体"/>
          <w:sz w:val="21"/>
          <w:szCs w:val="21"/>
        </w:rPr>
        <w:t>电缆芯线和接地线截面积(mm</w:t>
      </w:r>
      <w:r>
        <w:rPr>
          <w:rFonts w:hint="eastAsia" w:hAnsi="宋体" w:cs="宋体"/>
          <w:sz w:val="21"/>
          <w:szCs w:val="21"/>
          <w:vertAlign w:val="superscript"/>
        </w:rPr>
        <w:t>2</w:t>
      </w:r>
      <w:r>
        <w:rPr>
          <w:rFonts w:hint="eastAsia" w:hAnsi="宋体" w:cs="宋体"/>
          <w:sz w:val="21"/>
          <w:szCs w:val="21"/>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4" w:type="dxa"/>
          </w:tcPr>
          <w:p>
            <w:pPr>
              <w:spacing w:line="360" w:lineRule="auto"/>
              <w:jc w:val="center"/>
              <w:rPr>
                <w:rFonts w:hAnsi="宋体" w:cs="宋体"/>
                <w:sz w:val="21"/>
                <w:szCs w:val="21"/>
              </w:rPr>
            </w:pPr>
            <w:r>
              <w:rPr>
                <w:rFonts w:hint="eastAsia" w:hAnsi="宋体" w:cs="宋体"/>
                <w:sz w:val="21"/>
                <w:szCs w:val="21"/>
              </w:rPr>
              <w:t>电缆芯线截面积</w:t>
            </w:r>
          </w:p>
        </w:tc>
        <w:tc>
          <w:tcPr>
            <w:tcW w:w="4264" w:type="dxa"/>
          </w:tcPr>
          <w:p>
            <w:pPr>
              <w:spacing w:line="360" w:lineRule="auto"/>
              <w:jc w:val="center"/>
              <w:rPr>
                <w:rFonts w:hAnsi="宋体" w:cs="宋体"/>
                <w:sz w:val="21"/>
                <w:szCs w:val="21"/>
              </w:rPr>
            </w:pPr>
            <w:r>
              <w:rPr>
                <w:rFonts w:hint="eastAsia" w:hAnsi="宋体" w:cs="宋体"/>
                <w:sz w:val="21"/>
                <w:szCs w:val="21"/>
              </w:rPr>
              <w:t>接地线截面积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4" w:type="dxa"/>
          </w:tcPr>
          <w:p>
            <w:pPr>
              <w:spacing w:line="360" w:lineRule="auto"/>
              <w:jc w:val="center"/>
              <w:rPr>
                <w:rFonts w:hAnsi="宋体" w:cs="宋体"/>
                <w:sz w:val="21"/>
                <w:szCs w:val="21"/>
              </w:rPr>
            </w:pPr>
            <w:r>
              <w:rPr>
                <w:rFonts w:hint="eastAsia" w:hAnsi="宋体" w:cs="宋体"/>
                <w:sz w:val="21"/>
                <w:szCs w:val="21"/>
              </w:rPr>
              <w:t>120及以下</w:t>
            </w:r>
          </w:p>
        </w:tc>
        <w:tc>
          <w:tcPr>
            <w:tcW w:w="4264" w:type="dxa"/>
          </w:tcPr>
          <w:p>
            <w:pPr>
              <w:spacing w:line="360" w:lineRule="auto"/>
              <w:jc w:val="center"/>
              <w:rPr>
                <w:rFonts w:hAnsi="宋体" w:cs="宋体"/>
                <w:sz w:val="21"/>
                <w:szCs w:val="21"/>
              </w:rPr>
            </w:pPr>
            <w:r>
              <w:rPr>
                <w:rFonts w:hint="eastAsia"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4" w:type="dxa"/>
          </w:tcPr>
          <w:p>
            <w:pPr>
              <w:spacing w:line="360" w:lineRule="auto"/>
              <w:jc w:val="center"/>
              <w:rPr>
                <w:rFonts w:hAnsi="宋体" w:cs="宋体"/>
                <w:sz w:val="21"/>
                <w:szCs w:val="21"/>
              </w:rPr>
            </w:pPr>
            <w:r>
              <w:rPr>
                <w:rFonts w:hint="eastAsia" w:hAnsi="宋体" w:cs="宋体"/>
                <w:sz w:val="21"/>
                <w:szCs w:val="21"/>
              </w:rPr>
              <w:t>150及以上</w:t>
            </w:r>
          </w:p>
        </w:tc>
        <w:tc>
          <w:tcPr>
            <w:tcW w:w="4264" w:type="dxa"/>
          </w:tcPr>
          <w:p>
            <w:pPr>
              <w:spacing w:line="360" w:lineRule="auto"/>
              <w:jc w:val="center"/>
              <w:rPr>
                <w:rFonts w:hAnsi="宋体" w:cs="宋体"/>
                <w:sz w:val="21"/>
                <w:szCs w:val="21"/>
              </w:rPr>
            </w:pPr>
            <w:r>
              <w:rPr>
                <w:rFonts w:hint="eastAsia" w:hAnsi="宋体" w:cs="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28" w:type="dxa"/>
            <w:gridSpan w:val="2"/>
          </w:tcPr>
          <w:p>
            <w:pPr>
              <w:spacing w:line="360" w:lineRule="auto"/>
              <w:jc w:val="center"/>
              <w:rPr>
                <w:rFonts w:hAnsi="宋体" w:cs="宋体"/>
                <w:sz w:val="21"/>
                <w:szCs w:val="21"/>
              </w:rPr>
            </w:pPr>
            <w:r>
              <w:rPr>
                <w:rFonts w:hint="eastAsia" w:hAnsi="宋体" w:cs="宋体"/>
                <w:sz w:val="21"/>
                <w:szCs w:val="21"/>
              </w:rPr>
              <w:t>注：电缆芯线截面积在16 mm</w:t>
            </w:r>
            <w:r>
              <w:rPr>
                <w:rFonts w:hint="eastAsia" w:hAnsi="宋体" w:cs="宋体"/>
                <w:sz w:val="21"/>
                <w:szCs w:val="21"/>
                <w:vertAlign w:val="superscript"/>
              </w:rPr>
              <w:t xml:space="preserve">2 </w:t>
            </w:r>
            <w:r>
              <w:rPr>
                <w:rFonts w:hint="eastAsia" w:hAnsi="宋体" w:cs="宋体"/>
                <w:sz w:val="21"/>
                <w:szCs w:val="21"/>
              </w:rPr>
              <w:t>及以下，接地线截面积与电缆芯线截面积相等。</w:t>
            </w:r>
          </w:p>
        </w:tc>
      </w:tr>
    </w:tbl>
    <w:p>
      <w:pPr>
        <w:numPr>
          <w:ilvl w:val="0"/>
          <w:numId w:val="13"/>
        </w:numPr>
        <w:spacing w:line="360" w:lineRule="auto"/>
        <w:ind w:left="418" w:leftChars="174"/>
        <w:rPr>
          <w:rFonts w:hAnsi="宋体" w:cs="宋体"/>
          <w:sz w:val="21"/>
          <w:szCs w:val="21"/>
        </w:rPr>
      </w:pPr>
      <w:r>
        <w:rPr>
          <w:rFonts w:hint="eastAsia" w:hAnsi="宋体" w:cs="宋体"/>
          <w:sz w:val="21"/>
          <w:szCs w:val="21"/>
        </w:rPr>
        <w:t>电缆的首端、末端和分支处应设标志牌，标志牌上应标明电缆的起端、终端所接入的配电柜（箱）编号、电缆型号规格、长度等有关资料。</w:t>
      </w:r>
    </w:p>
    <w:p>
      <w:pPr>
        <w:spacing w:line="360" w:lineRule="auto"/>
        <w:ind w:firstLine="420" w:firstLineChars="200"/>
        <w:rPr>
          <w:rFonts w:hAnsi="宋体" w:cs="宋体"/>
          <w:sz w:val="21"/>
          <w:szCs w:val="21"/>
        </w:rPr>
      </w:pPr>
      <w:r>
        <w:rPr>
          <w:rFonts w:hint="eastAsia" w:hAnsi="宋体" w:cs="宋体"/>
          <w:sz w:val="21"/>
          <w:szCs w:val="21"/>
        </w:rPr>
        <w:t>12、水表集抄技术要求</w:t>
      </w:r>
    </w:p>
    <w:p>
      <w:pPr>
        <w:spacing w:line="360" w:lineRule="auto"/>
        <w:ind w:left="418" w:leftChars="174"/>
        <w:rPr>
          <w:rFonts w:hAnsi="宋体" w:cs="宋体"/>
          <w:sz w:val="21"/>
          <w:szCs w:val="21"/>
        </w:rPr>
      </w:pPr>
      <w:r>
        <w:rPr>
          <w:rFonts w:hint="eastAsia" w:hAnsi="宋体" w:cs="宋体"/>
          <w:sz w:val="21"/>
          <w:szCs w:val="21"/>
        </w:rPr>
        <w:t>前端水表（不在本次招标范围内）通过485数据线连接至竖井采集器，采集器采用TCP/IP协议通过光纤链路将数据传输至物业管理中心。物业管理中心通过平台软件直接读取计量数据(电脑工作站不在本招标范围）。</w:t>
      </w:r>
    </w:p>
    <w:p>
      <w:pPr>
        <w:spacing w:line="360" w:lineRule="auto"/>
        <w:ind w:left="418" w:leftChars="174"/>
      </w:pPr>
      <w:r>
        <w:rPr>
          <w:rFonts w:hint="eastAsia" w:hAnsi="宋体" w:cs="宋体"/>
          <w:sz w:val="21"/>
          <w:szCs w:val="21"/>
        </w:rPr>
        <w:t>注:本要求未及之处，按图纸设备标准及南网等有关部门的规定执行。</w:t>
      </w:r>
    </w:p>
    <w:p>
      <w:pPr>
        <w:pStyle w:val="58"/>
        <w:spacing w:line="360" w:lineRule="auto"/>
        <w:rPr>
          <w:rFonts w:ascii="宋体" w:hAnsi="宋体" w:cs="宋体"/>
          <w:sz w:val="21"/>
          <w:szCs w:val="21"/>
        </w:rPr>
      </w:pPr>
      <w:r>
        <w:rPr>
          <w:rFonts w:hint="eastAsia" w:ascii="宋体" w:hAnsi="宋体" w:cs="宋体"/>
          <w:bCs w:val="0"/>
          <w:spacing w:val="0"/>
          <w:kern w:val="2"/>
          <w:sz w:val="21"/>
          <w:szCs w:val="21"/>
        </w:rPr>
        <w:t>（三）施工要求</w:t>
      </w:r>
    </w:p>
    <w:p>
      <w:pPr>
        <w:pStyle w:val="158"/>
        <w:spacing w:line="360" w:lineRule="auto"/>
        <w:ind w:left="418" w:leftChars="174" w:firstLine="0" w:firstLineChars="0"/>
        <w:rPr>
          <w:rFonts w:ascii="宋体" w:hAnsi="宋体"/>
          <w:szCs w:val="21"/>
        </w:rPr>
      </w:pPr>
      <w:r>
        <w:rPr>
          <w:rFonts w:hint="eastAsia" w:ascii="宋体" w:hAnsi="宋体"/>
          <w:szCs w:val="21"/>
        </w:rPr>
        <w:t>1.成交供应商必须采取措施对已有材料、设备、（半）成品、移交工程进行有效保护；如果发生丢失、损坏时，由损坏方负责赔偿，总包有权在成交供应商押金中予以扣除。</w:t>
      </w:r>
    </w:p>
    <w:p>
      <w:pPr>
        <w:pStyle w:val="158"/>
        <w:spacing w:line="360" w:lineRule="auto"/>
        <w:ind w:left="418" w:leftChars="174" w:firstLine="0" w:firstLineChars="0"/>
        <w:rPr>
          <w:rFonts w:ascii="宋体" w:hAnsi="宋体"/>
          <w:szCs w:val="21"/>
        </w:rPr>
      </w:pPr>
      <w:r>
        <w:rPr>
          <w:rFonts w:hint="eastAsia" w:ascii="宋体" w:hAnsi="宋体"/>
          <w:szCs w:val="21"/>
        </w:rPr>
        <w:t>2.成交供应商负责进场至交付期间的成品保护和巡查，因其它单位造成的成品破坏、污染应自行进行监督和取证，并报甲方项目部和监理进行确认，否则造成的损失由其自行承担。</w:t>
      </w:r>
    </w:p>
    <w:p>
      <w:pPr>
        <w:pStyle w:val="158"/>
        <w:spacing w:line="360" w:lineRule="auto"/>
        <w:ind w:left="418" w:leftChars="174" w:firstLine="0" w:firstLineChars="0"/>
        <w:rPr>
          <w:rFonts w:ascii="宋体" w:hAnsi="宋体"/>
          <w:szCs w:val="21"/>
        </w:rPr>
      </w:pPr>
      <w:r>
        <w:rPr>
          <w:rFonts w:hint="eastAsia" w:ascii="宋体" w:hAnsi="宋体"/>
          <w:szCs w:val="21"/>
        </w:rPr>
        <w:t>3.安装中的成品保护：</w:t>
      </w:r>
    </w:p>
    <w:p>
      <w:pPr>
        <w:pStyle w:val="158"/>
        <w:spacing w:line="360" w:lineRule="auto"/>
        <w:ind w:left="418" w:leftChars="174" w:firstLine="0" w:firstLineChars="0"/>
        <w:rPr>
          <w:rFonts w:ascii="宋体" w:hAnsi="宋体"/>
          <w:szCs w:val="21"/>
        </w:rPr>
      </w:pPr>
      <w:r>
        <w:rPr>
          <w:rFonts w:hint="eastAsia" w:ascii="宋体" w:hAnsi="宋体"/>
          <w:szCs w:val="21"/>
        </w:rPr>
        <w:t>（1）在墙体砌筑抹灰完成后，并具备上锁条件后，方可进行变压器及高、低压柜的安装，每日安装完毕必须锁紧，钥匙交给专人负责；</w:t>
      </w:r>
    </w:p>
    <w:p>
      <w:pPr>
        <w:pStyle w:val="158"/>
        <w:spacing w:line="360" w:lineRule="auto"/>
        <w:ind w:left="418" w:leftChars="174" w:firstLine="0" w:firstLineChars="0"/>
        <w:rPr>
          <w:rFonts w:ascii="宋体" w:hAnsi="宋体"/>
          <w:szCs w:val="21"/>
        </w:rPr>
      </w:pPr>
      <w:r>
        <w:rPr>
          <w:rFonts w:hint="eastAsia" w:ascii="宋体" w:hAnsi="宋体"/>
          <w:szCs w:val="21"/>
        </w:rPr>
        <w:t>（2）安装完成后，变压器及高低压柜应采用塑料薄膜进行包裹，并悬挂“注意成品保护</w:t>
      </w:r>
      <w:r>
        <w:rPr>
          <w:rFonts w:ascii="宋体" w:hAnsi="宋体"/>
          <w:szCs w:val="21"/>
        </w:rPr>
        <w:t>”</w:t>
      </w:r>
      <w:r>
        <w:rPr>
          <w:rFonts w:hint="eastAsia" w:ascii="宋体" w:hAnsi="宋体"/>
          <w:szCs w:val="21"/>
        </w:rPr>
        <w:t>的标识牌。（3）机电专业其他专业管线严禁落在桥架、变压器或高、低压柜上。</w:t>
      </w:r>
    </w:p>
    <w:p>
      <w:pPr>
        <w:pStyle w:val="158"/>
        <w:spacing w:line="360" w:lineRule="auto"/>
        <w:ind w:firstLine="0" w:firstLineChars="0"/>
        <w:rPr>
          <w:rFonts w:ascii="宋体" w:hAnsi="宋体"/>
          <w:b/>
          <w:bCs/>
          <w:szCs w:val="21"/>
        </w:rPr>
      </w:pPr>
      <w:r>
        <w:rPr>
          <w:rFonts w:hint="eastAsia" w:ascii="宋体" w:hAnsi="宋体" w:cs="宋体"/>
          <w:szCs w:val="21"/>
        </w:rPr>
        <w:t>（四）材料设备要求</w:t>
      </w:r>
    </w:p>
    <w:p>
      <w:pPr>
        <w:pStyle w:val="158"/>
        <w:spacing w:line="360" w:lineRule="auto"/>
      </w:pPr>
      <w:r>
        <w:rPr>
          <w:rFonts w:hint="eastAsia"/>
        </w:rPr>
        <w:t>根据方案设计及招标人要求，本项目下列材料、施工除必须达到以上标准外，还应满足下列要求：</w:t>
      </w:r>
    </w:p>
    <w:p>
      <w:pPr>
        <w:pStyle w:val="158"/>
        <w:spacing w:line="360" w:lineRule="auto"/>
        <w:ind w:firstLine="0" w:firstLineChars="0"/>
        <w:jc w:val="center"/>
        <w:rPr>
          <w:rFonts w:ascii="宋体" w:hAnsi="宋体" w:cs="宋体"/>
          <w:b/>
          <w:bCs/>
          <w:kern w:val="0"/>
          <w:szCs w:val="21"/>
        </w:rPr>
      </w:pPr>
      <w:r>
        <w:rPr>
          <w:rFonts w:hint="eastAsia" w:ascii="宋体" w:hAnsi="宋体" w:cs="宋体"/>
          <w:b/>
          <w:bCs/>
          <w:kern w:val="0"/>
          <w:szCs w:val="21"/>
        </w:rPr>
        <w:t>电气主要材料品牌表</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23"/>
        <w:gridCol w:w="1539"/>
        <w:gridCol w:w="2732"/>
        <w:gridCol w:w="893"/>
        <w:gridCol w:w="2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序号</w:t>
            </w:r>
          </w:p>
        </w:tc>
        <w:tc>
          <w:tcPr>
            <w:tcW w:w="671" w:type="pct"/>
            <w:vAlign w:val="center"/>
          </w:tcPr>
          <w:p>
            <w:pPr>
              <w:widowControl/>
              <w:jc w:val="center"/>
              <w:rPr>
                <w:rFonts w:hAnsi="宋体" w:cs="宋体"/>
                <w:sz w:val="21"/>
                <w:szCs w:val="21"/>
              </w:rPr>
            </w:pPr>
            <w:r>
              <w:rPr>
                <w:rFonts w:hint="eastAsia" w:hAnsi="宋体" w:cs="宋体"/>
                <w:sz w:val="21"/>
                <w:szCs w:val="21"/>
              </w:rPr>
              <w:t>材料名称</w:t>
            </w:r>
          </w:p>
        </w:tc>
        <w:tc>
          <w:tcPr>
            <w:tcW w:w="781" w:type="pct"/>
            <w:vAlign w:val="center"/>
          </w:tcPr>
          <w:p>
            <w:pPr>
              <w:widowControl/>
              <w:jc w:val="center"/>
              <w:rPr>
                <w:rFonts w:hAnsi="宋体" w:cs="宋体"/>
                <w:sz w:val="21"/>
                <w:szCs w:val="21"/>
              </w:rPr>
            </w:pPr>
            <w:r>
              <w:rPr>
                <w:rFonts w:hint="eastAsia" w:hAnsi="宋体" w:cs="宋体"/>
                <w:sz w:val="21"/>
                <w:szCs w:val="21"/>
              </w:rPr>
              <w:t>规格</w:t>
            </w:r>
          </w:p>
        </w:tc>
        <w:tc>
          <w:tcPr>
            <w:tcW w:w="1386" w:type="pct"/>
            <w:vAlign w:val="center"/>
          </w:tcPr>
          <w:p>
            <w:pPr>
              <w:widowControl/>
              <w:jc w:val="center"/>
              <w:rPr>
                <w:rFonts w:hAnsi="宋体" w:cs="宋体"/>
                <w:sz w:val="21"/>
                <w:szCs w:val="21"/>
              </w:rPr>
            </w:pPr>
            <w:r>
              <w:rPr>
                <w:rFonts w:hint="eastAsia" w:hAnsi="宋体" w:cs="宋体"/>
                <w:sz w:val="21"/>
                <w:szCs w:val="21"/>
              </w:rPr>
              <w:t>对标品牌</w:t>
            </w:r>
          </w:p>
        </w:tc>
        <w:tc>
          <w:tcPr>
            <w:tcW w:w="453" w:type="pct"/>
            <w:vAlign w:val="center"/>
          </w:tcPr>
          <w:p>
            <w:pPr>
              <w:widowControl/>
              <w:jc w:val="center"/>
              <w:rPr>
                <w:rFonts w:hAnsi="宋体" w:cs="宋体"/>
                <w:sz w:val="21"/>
                <w:szCs w:val="21"/>
              </w:rPr>
            </w:pPr>
            <w:r>
              <w:rPr>
                <w:rFonts w:hint="eastAsia" w:hAnsi="宋体" w:cs="宋体"/>
                <w:sz w:val="21"/>
                <w:szCs w:val="21"/>
              </w:rPr>
              <w:t>产地</w:t>
            </w:r>
          </w:p>
        </w:tc>
        <w:tc>
          <w:tcPr>
            <w:tcW w:w="1361" w:type="pct"/>
            <w:vAlign w:val="center"/>
          </w:tcPr>
          <w:p>
            <w:pPr>
              <w:widowControl/>
              <w:jc w:val="center"/>
              <w:rPr>
                <w:rFonts w:hAnsi="宋体" w:cs="宋体"/>
                <w:sz w:val="21"/>
                <w:szCs w:val="21"/>
              </w:rPr>
            </w:pPr>
            <w:r>
              <w:rPr>
                <w:rFonts w:hint="eastAsia"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1</w:t>
            </w:r>
          </w:p>
        </w:tc>
        <w:tc>
          <w:tcPr>
            <w:tcW w:w="671" w:type="pct"/>
            <w:vAlign w:val="center"/>
          </w:tcPr>
          <w:p>
            <w:pPr>
              <w:widowControl/>
              <w:jc w:val="center"/>
              <w:rPr>
                <w:rFonts w:hAnsi="宋体" w:cs="宋体"/>
                <w:sz w:val="21"/>
                <w:szCs w:val="21"/>
              </w:rPr>
            </w:pPr>
            <w:r>
              <w:rPr>
                <w:rFonts w:hint="eastAsia" w:hAnsi="宋体" w:cs="宋体"/>
                <w:sz w:val="21"/>
                <w:szCs w:val="21"/>
              </w:rPr>
              <w:t>高压柜</w:t>
            </w:r>
          </w:p>
        </w:tc>
        <w:tc>
          <w:tcPr>
            <w:tcW w:w="781" w:type="pct"/>
            <w:vAlign w:val="center"/>
          </w:tcPr>
          <w:p>
            <w:pPr>
              <w:widowControl/>
              <w:jc w:val="center"/>
              <w:rPr>
                <w:rFonts w:hAnsi="宋体" w:cs="宋体"/>
                <w:sz w:val="21"/>
                <w:szCs w:val="21"/>
              </w:rPr>
            </w:pPr>
            <w:r>
              <w:rPr>
                <w:rFonts w:hint="eastAsia" w:hAnsi="宋体" w:cs="宋体"/>
                <w:sz w:val="21"/>
                <w:szCs w:val="21"/>
              </w:rPr>
              <w:t>全绝缘</w:t>
            </w:r>
          </w:p>
        </w:tc>
        <w:tc>
          <w:tcPr>
            <w:tcW w:w="1386" w:type="pct"/>
            <w:vAlign w:val="center"/>
          </w:tcPr>
          <w:p>
            <w:pPr>
              <w:widowControl/>
              <w:jc w:val="center"/>
              <w:rPr>
                <w:rFonts w:hAnsi="宋体" w:cs="宋体"/>
                <w:sz w:val="21"/>
                <w:szCs w:val="21"/>
              </w:rPr>
            </w:pPr>
            <w:r>
              <w:rPr>
                <w:rFonts w:hint="eastAsia" w:hAnsi="宋体" w:cs="宋体"/>
                <w:sz w:val="21"/>
                <w:szCs w:val="21"/>
              </w:rPr>
              <w:t>东开，基业，雄丰</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2</w:t>
            </w:r>
          </w:p>
        </w:tc>
        <w:tc>
          <w:tcPr>
            <w:tcW w:w="671" w:type="pct"/>
            <w:vAlign w:val="center"/>
          </w:tcPr>
          <w:p>
            <w:pPr>
              <w:widowControl/>
              <w:jc w:val="center"/>
              <w:rPr>
                <w:rFonts w:hAnsi="宋体" w:cs="宋体"/>
                <w:sz w:val="21"/>
                <w:szCs w:val="21"/>
              </w:rPr>
            </w:pPr>
            <w:r>
              <w:rPr>
                <w:rFonts w:hint="eastAsia" w:hAnsi="宋体" w:cs="宋体"/>
                <w:sz w:val="21"/>
                <w:szCs w:val="21"/>
              </w:rPr>
              <w:t>变压器</w:t>
            </w:r>
          </w:p>
        </w:tc>
        <w:tc>
          <w:tcPr>
            <w:tcW w:w="781" w:type="pct"/>
            <w:vAlign w:val="center"/>
          </w:tcPr>
          <w:p>
            <w:pPr>
              <w:widowControl/>
              <w:jc w:val="center"/>
              <w:rPr>
                <w:rFonts w:hAnsi="宋体" w:cs="宋体"/>
                <w:sz w:val="21"/>
                <w:szCs w:val="21"/>
              </w:rPr>
            </w:pPr>
            <w:r>
              <w:rPr>
                <w:rFonts w:hint="eastAsia" w:hAnsi="宋体" w:cs="宋体"/>
                <w:sz w:val="21"/>
                <w:szCs w:val="21"/>
              </w:rPr>
              <w:t>SCB</w:t>
            </w:r>
            <w:r>
              <w:rPr>
                <w:rFonts w:hAnsi="宋体" w:cs="宋体"/>
                <w:sz w:val="21"/>
                <w:szCs w:val="21"/>
              </w:rPr>
              <w:t>13</w:t>
            </w:r>
          </w:p>
        </w:tc>
        <w:tc>
          <w:tcPr>
            <w:tcW w:w="1386" w:type="pct"/>
            <w:vAlign w:val="center"/>
          </w:tcPr>
          <w:p>
            <w:pPr>
              <w:widowControl/>
              <w:jc w:val="center"/>
              <w:rPr>
                <w:rFonts w:hAnsi="宋体" w:cs="宋体"/>
                <w:sz w:val="21"/>
                <w:szCs w:val="21"/>
              </w:rPr>
            </w:pPr>
            <w:r>
              <w:rPr>
                <w:rFonts w:hint="eastAsia" w:hAnsi="宋体" w:cs="宋体"/>
                <w:sz w:val="21"/>
                <w:szCs w:val="21"/>
              </w:rPr>
              <w:t>江西大族，康德威，紫光</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符合南网及东莞供电要求，全铜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3</w:t>
            </w:r>
          </w:p>
        </w:tc>
        <w:tc>
          <w:tcPr>
            <w:tcW w:w="671" w:type="pct"/>
            <w:vAlign w:val="center"/>
          </w:tcPr>
          <w:p>
            <w:pPr>
              <w:widowControl/>
              <w:jc w:val="center"/>
              <w:rPr>
                <w:rFonts w:hAnsi="宋体" w:cs="宋体"/>
                <w:sz w:val="21"/>
                <w:szCs w:val="21"/>
              </w:rPr>
            </w:pPr>
            <w:r>
              <w:rPr>
                <w:rFonts w:hint="eastAsia" w:hAnsi="宋体" w:cs="宋体"/>
                <w:sz w:val="21"/>
                <w:szCs w:val="21"/>
              </w:rPr>
              <w:t>电缆</w:t>
            </w:r>
          </w:p>
        </w:tc>
        <w:tc>
          <w:tcPr>
            <w:tcW w:w="781" w:type="pct"/>
            <w:vAlign w:val="center"/>
          </w:tcPr>
          <w:p>
            <w:pPr>
              <w:widowControl/>
              <w:jc w:val="center"/>
              <w:rPr>
                <w:rFonts w:hAnsi="宋体" w:cs="宋体"/>
                <w:sz w:val="21"/>
                <w:szCs w:val="21"/>
              </w:rPr>
            </w:pPr>
            <w:r>
              <w:rPr>
                <w:rFonts w:hint="eastAsia" w:hAnsi="宋体" w:cs="宋体"/>
                <w:sz w:val="21"/>
                <w:szCs w:val="21"/>
              </w:rPr>
              <w:t>10</w:t>
            </w:r>
            <w:r>
              <w:rPr>
                <w:rFonts w:hAnsi="宋体" w:cs="宋体"/>
                <w:sz w:val="21"/>
                <w:szCs w:val="21"/>
              </w:rPr>
              <w:t>kV</w:t>
            </w:r>
            <w:r>
              <w:rPr>
                <w:rFonts w:hint="eastAsia" w:hAnsi="宋体" w:cs="宋体"/>
                <w:sz w:val="21"/>
                <w:szCs w:val="21"/>
              </w:rPr>
              <w:t>、0.</w:t>
            </w:r>
            <w:r>
              <w:rPr>
                <w:rFonts w:hAnsi="宋体" w:cs="宋体"/>
                <w:sz w:val="21"/>
                <w:szCs w:val="21"/>
              </w:rPr>
              <w:t>4kV</w:t>
            </w:r>
          </w:p>
        </w:tc>
        <w:tc>
          <w:tcPr>
            <w:tcW w:w="1386" w:type="pct"/>
            <w:vAlign w:val="center"/>
          </w:tcPr>
          <w:p>
            <w:pPr>
              <w:widowControl/>
              <w:jc w:val="center"/>
              <w:rPr>
                <w:rFonts w:hAnsi="宋体" w:cs="宋体"/>
                <w:sz w:val="21"/>
                <w:szCs w:val="21"/>
              </w:rPr>
            </w:pPr>
            <w:r>
              <w:rPr>
                <w:rFonts w:hint="eastAsia" w:hAnsi="宋体" w:cs="宋体"/>
                <w:sz w:val="21"/>
                <w:szCs w:val="21"/>
              </w:rPr>
              <w:t>南洋，民兴，广东电缆</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4</w:t>
            </w:r>
          </w:p>
        </w:tc>
        <w:tc>
          <w:tcPr>
            <w:tcW w:w="671" w:type="pct"/>
            <w:vAlign w:val="center"/>
          </w:tcPr>
          <w:p>
            <w:pPr>
              <w:widowControl/>
              <w:jc w:val="center"/>
              <w:rPr>
                <w:rFonts w:hAnsi="宋体" w:cs="宋体"/>
                <w:sz w:val="21"/>
                <w:szCs w:val="21"/>
              </w:rPr>
            </w:pPr>
            <w:r>
              <w:rPr>
                <w:rFonts w:hint="eastAsia" w:hAnsi="宋体" w:cs="宋体"/>
                <w:sz w:val="21"/>
                <w:szCs w:val="21"/>
              </w:rPr>
              <w:t>母线槽</w:t>
            </w:r>
          </w:p>
        </w:tc>
        <w:tc>
          <w:tcPr>
            <w:tcW w:w="781" w:type="pct"/>
            <w:vAlign w:val="center"/>
          </w:tcPr>
          <w:p>
            <w:pPr>
              <w:widowControl/>
              <w:jc w:val="center"/>
              <w:rPr>
                <w:rFonts w:hAnsi="宋体" w:cs="宋体"/>
                <w:sz w:val="21"/>
                <w:szCs w:val="21"/>
              </w:rPr>
            </w:pPr>
            <w:r>
              <w:rPr>
                <w:rFonts w:hint="eastAsia" w:hAnsi="宋体" w:cs="宋体"/>
                <w:sz w:val="21"/>
                <w:szCs w:val="21"/>
              </w:rPr>
              <w:t>2000A</w:t>
            </w:r>
            <w:r>
              <w:rPr>
                <w:rFonts w:hAnsi="宋体" w:cs="宋体"/>
                <w:sz w:val="21"/>
                <w:szCs w:val="21"/>
              </w:rPr>
              <w:t>/4P</w:t>
            </w:r>
          </w:p>
        </w:tc>
        <w:tc>
          <w:tcPr>
            <w:tcW w:w="1386" w:type="pct"/>
            <w:vAlign w:val="center"/>
          </w:tcPr>
          <w:p>
            <w:pPr>
              <w:widowControl/>
              <w:jc w:val="center"/>
              <w:rPr>
                <w:rFonts w:hAnsi="宋体" w:cs="宋体"/>
                <w:sz w:val="21"/>
                <w:szCs w:val="21"/>
              </w:rPr>
            </w:pPr>
            <w:r>
              <w:rPr>
                <w:rFonts w:hint="eastAsia" w:hAnsi="宋体" w:cs="宋体"/>
                <w:sz w:val="21"/>
                <w:szCs w:val="21"/>
              </w:rPr>
              <w:t>紫光、宝仕华、白云</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5</w:t>
            </w:r>
          </w:p>
        </w:tc>
        <w:tc>
          <w:tcPr>
            <w:tcW w:w="671" w:type="pct"/>
            <w:vAlign w:val="center"/>
          </w:tcPr>
          <w:p>
            <w:pPr>
              <w:widowControl/>
              <w:jc w:val="center"/>
              <w:rPr>
                <w:rFonts w:hAnsi="宋体" w:cs="宋体"/>
                <w:sz w:val="21"/>
                <w:szCs w:val="21"/>
              </w:rPr>
            </w:pPr>
            <w:r>
              <w:rPr>
                <w:rFonts w:hint="eastAsia" w:hAnsi="宋体" w:cs="宋体"/>
                <w:sz w:val="21"/>
                <w:szCs w:val="21"/>
              </w:rPr>
              <w:t>低压柜</w:t>
            </w:r>
          </w:p>
        </w:tc>
        <w:tc>
          <w:tcPr>
            <w:tcW w:w="781" w:type="pct"/>
            <w:vAlign w:val="center"/>
          </w:tcPr>
          <w:p>
            <w:pPr>
              <w:widowControl/>
              <w:jc w:val="center"/>
              <w:rPr>
                <w:rFonts w:hAnsi="宋体" w:cs="宋体"/>
                <w:sz w:val="21"/>
                <w:szCs w:val="21"/>
              </w:rPr>
            </w:pPr>
            <w:r>
              <w:rPr>
                <w:rFonts w:hint="eastAsia" w:hAnsi="宋体" w:cs="宋体"/>
                <w:sz w:val="21"/>
                <w:szCs w:val="21"/>
              </w:rPr>
              <w:t>按图</w:t>
            </w:r>
          </w:p>
        </w:tc>
        <w:tc>
          <w:tcPr>
            <w:tcW w:w="1386" w:type="pct"/>
            <w:vAlign w:val="center"/>
          </w:tcPr>
          <w:p>
            <w:pPr>
              <w:widowControl/>
              <w:jc w:val="center"/>
              <w:rPr>
                <w:rFonts w:hAnsi="宋体" w:cs="宋体"/>
                <w:sz w:val="21"/>
                <w:szCs w:val="21"/>
              </w:rPr>
            </w:pPr>
            <w:r>
              <w:rPr>
                <w:rFonts w:hint="eastAsia" w:hAnsi="宋体" w:cs="宋体"/>
                <w:sz w:val="21"/>
                <w:szCs w:val="21"/>
              </w:rPr>
              <w:t>东开，基业，雄丰</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6" w:type="pct"/>
            <w:vAlign w:val="center"/>
          </w:tcPr>
          <w:p>
            <w:pPr>
              <w:widowControl/>
              <w:jc w:val="center"/>
              <w:rPr>
                <w:rFonts w:hAnsi="宋体" w:cs="宋体"/>
                <w:sz w:val="21"/>
                <w:szCs w:val="21"/>
              </w:rPr>
            </w:pPr>
            <w:r>
              <w:rPr>
                <w:rFonts w:hint="eastAsia" w:hAnsi="宋体" w:cs="宋体"/>
                <w:sz w:val="21"/>
                <w:szCs w:val="21"/>
              </w:rPr>
              <w:t>6</w:t>
            </w:r>
          </w:p>
        </w:tc>
        <w:tc>
          <w:tcPr>
            <w:tcW w:w="671" w:type="pct"/>
            <w:vAlign w:val="center"/>
          </w:tcPr>
          <w:p>
            <w:pPr>
              <w:widowControl/>
              <w:jc w:val="center"/>
              <w:rPr>
                <w:rFonts w:hAnsi="宋体" w:cs="宋体"/>
                <w:sz w:val="21"/>
                <w:szCs w:val="21"/>
              </w:rPr>
            </w:pPr>
            <w:r>
              <w:rPr>
                <w:rFonts w:hint="eastAsia" w:hAnsi="宋体" w:cs="宋体"/>
                <w:sz w:val="21"/>
                <w:szCs w:val="21"/>
              </w:rPr>
              <w:t>断路器</w:t>
            </w:r>
          </w:p>
        </w:tc>
        <w:tc>
          <w:tcPr>
            <w:tcW w:w="781" w:type="pct"/>
            <w:vAlign w:val="center"/>
          </w:tcPr>
          <w:p>
            <w:pPr>
              <w:widowControl/>
              <w:jc w:val="center"/>
              <w:rPr>
                <w:rFonts w:hAnsi="宋体" w:cs="宋体"/>
                <w:sz w:val="21"/>
                <w:szCs w:val="21"/>
              </w:rPr>
            </w:pPr>
            <w:r>
              <w:rPr>
                <w:rFonts w:hint="eastAsia" w:hAnsi="宋体" w:cs="宋体"/>
                <w:sz w:val="21"/>
                <w:szCs w:val="21"/>
              </w:rPr>
              <w:t>按图</w:t>
            </w:r>
          </w:p>
        </w:tc>
        <w:tc>
          <w:tcPr>
            <w:tcW w:w="1386" w:type="pct"/>
            <w:vAlign w:val="center"/>
          </w:tcPr>
          <w:p>
            <w:pPr>
              <w:widowControl/>
              <w:jc w:val="center"/>
              <w:rPr>
                <w:rFonts w:hAnsi="宋体" w:cs="宋体"/>
                <w:sz w:val="21"/>
                <w:szCs w:val="21"/>
              </w:rPr>
            </w:pPr>
            <w:r>
              <w:rPr>
                <w:rFonts w:hint="eastAsia" w:hAnsi="宋体" w:cs="宋体"/>
                <w:sz w:val="21"/>
                <w:szCs w:val="21"/>
              </w:rPr>
              <w:t>良信、人民、正泰</w:t>
            </w:r>
          </w:p>
        </w:tc>
        <w:tc>
          <w:tcPr>
            <w:tcW w:w="453" w:type="pct"/>
            <w:vAlign w:val="center"/>
          </w:tcPr>
          <w:p>
            <w:pPr>
              <w:widowControl/>
              <w:jc w:val="center"/>
              <w:rPr>
                <w:rFonts w:hAnsi="宋体" w:cs="宋体"/>
                <w:sz w:val="21"/>
                <w:szCs w:val="21"/>
              </w:rPr>
            </w:pPr>
            <w:r>
              <w:rPr>
                <w:rFonts w:hint="eastAsia" w:hAnsi="宋体" w:cs="宋体"/>
                <w:sz w:val="21"/>
                <w:szCs w:val="21"/>
              </w:rPr>
              <w:t>国产</w:t>
            </w:r>
          </w:p>
        </w:tc>
        <w:tc>
          <w:tcPr>
            <w:tcW w:w="1361" w:type="pct"/>
            <w:vAlign w:val="center"/>
          </w:tcPr>
          <w:p>
            <w:pPr>
              <w:widowControl/>
              <w:jc w:val="center"/>
              <w:rPr>
                <w:rFonts w:hAnsi="宋体" w:cs="宋体"/>
                <w:sz w:val="21"/>
                <w:szCs w:val="21"/>
              </w:rPr>
            </w:pPr>
            <w:r>
              <w:rPr>
                <w:rFonts w:hint="eastAsia" w:hAnsi="宋体" w:cs="宋体"/>
                <w:sz w:val="21"/>
                <w:szCs w:val="21"/>
              </w:rPr>
              <w:t>符合南网及东莞供电要求</w:t>
            </w:r>
          </w:p>
        </w:tc>
      </w:tr>
      <w:bookmarkEnd w:id="8"/>
    </w:tbl>
    <w:p>
      <w:pPr>
        <w:pStyle w:val="58"/>
        <w:spacing w:line="360" w:lineRule="auto"/>
        <w:rPr>
          <w:rFonts w:hAnsi="宋体"/>
          <w:b/>
          <w:sz w:val="21"/>
          <w:szCs w:val="21"/>
        </w:rPr>
      </w:pPr>
    </w:p>
    <w:p>
      <w:pPr>
        <w:pStyle w:val="158"/>
        <w:spacing w:line="360" w:lineRule="auto"/>
        <w:ind w:firstLine="0" w:firstLineChars="0"/>
        <w:jc w:val="center"/>
        <w:rPr>
          <w:rFonts w:ascii="宋体" w:hAnsi="宋体" w:cs="宋体"/>
          <w:b/>
          <w:bCs/>
          <w:kern w:val="0"/>
          <w:szCs w:val="21"/>
        </w:rPr>
      </w:pPr>
    </w:p>
    <w:p>
      <w:pPr>
        <w:pStyle w:val="158"/>
        <w:spacing w:line="360" w:lineRule="auto"/>
        <w:ind w:firstLine="0" w:firstLineChars="0"/>
        <w:jc w:val="center"/>
        <w:rPr>
          <w:rFonts w:ascii="宋体" w:hAnsi="宋体" w:cs="宋体"/>
          <w:b/>
          <w:bCs/>
          <w:kern w:val="0"/>
          <w:szCs w:val="21"/>
        </w:rPr>
      </w:pPr>
    </w:p>
    <w:p>
      <w:pPr>
        <w:pStyle w:val="158"/>
        <w:spacing w:line="360" w:lineRule="auto"/>
        <w:ind w:firstLine="0" w:firstLineChars="0"/>
        <w:jc w:val="center"/>
        <w:rPr>
          <w:rFonts w:ascii="宋体" w:hAnsi="宋体" w:cs="宋体"/>
          <w:b/>
          <w:bCs/>
          <w:kern w:val="0"/>
          <w:szCs w:val="21"/>
        </w:rPr>
      </w:pPr>
      <w:r>
        <w:rPr>
          <w:rFonts w:hint="eastAsia" w:ascii="宋体" w:hAnsi="宋体" w:cs="宋体"/>
          <w:b/>
          <w:bCs/>
          <w:kern w:val="0"/>
          <w:szCs w:val="21"/>
        </w:rPr>
        <w:t>水表集抄主要材料品牌表</w:t>
      </w:r>
    </w:p>
    <w:tbl>
      <w:tblPr>
        <w:tblStyle w:val="49"/>
        <w:tblW w:w="9555" w:type="dxa"/>
        <w:jc w:val="center"/>
        <w:tblLayout w:type="fixed"/>
        <w:tblCellMar>
          <w:top w:w="0" w:type="dxa"/>
          <w:left w:w="108" w:type="dxa"/>
          <w:bottom w:w="0" w:type="dxa"/>
          <w:right w:w="108" w:type="dxa"/>
        </w:tblCellMar>
      </w:tblPr>
      <w:tblGrid>
        <w:gridCol w:w="903"/>
        <w:gridCol w:w="2139"/>
        <w:gridCol w:w="1087"/>
        <w:gridCol w:w="2143"/>
        <w:gridCol w:w="3283"/>
      </w:tblGrid>
      <w:tr>
        <w:tblPrEx>
          <w:tblCellMar>
            <w:top w:w="0" w:type="dxa"/>
            <w:left w:w="108" w:type="dxa"/>
            <w:bottom w:w="0" w:type="dxa"/>
            <w:right w:w="108" w:type="dxa"/>
          </w:tblCellMar>
        </w:tblPrEx>
        <w:trPr>
          <w:trHeight w:val="50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序号</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设备名称</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型号规格</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性能参数</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lang w:bidi="ar"/>
              </w:rPr>
              <w:t>对标品牌</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18"/>
                <w:szCs w:val="18"/>
              </w:rPr>
            </w:pPr>
            <w:r>
              <w:rPr>
                <w:rFonts w:hint="eastAsia" w:hAnsi="宋体" w:cs="宋体"/>
                <w:b/>
                <w:bCs/>
                <w:sz w:val="18"/>
                <w:szCs w:val="18"/>
                <w:lang w:bidi="ar"/>
              </w:rPr>
              <w:t>一</w:t>
            </w:r>
          </w:p>
        </w:tc>
        <w:tc>
          <w:tcPr>
            <w:tcW w:w="2139" w:type="dxa"/>
            <w:tcBorders>
              <w:top w:val="single" w:color="000000" w:sz="4" w:space="0"/>
              <w:left w:val="single" w:color="000000" w:sz="4" w:space="0"/>
              <w:bottom w:val="single" w:color="000000" w:sz="4" w:space="0"/>
              <w:right w:val="nil"/>
            </w:tcBorders>
            <w:shd w:val="clear" w:color="auto" w:fill="FFFFFF"/>
            <w:vAlign w:val="center"/>
          </w:tcPr>
          <w:p>
            <w:pPr>
              <w:widowControl/>
              <w:textAlignment w:val="center"/>
              <w:rPr>
                <w:rFonts w:hAnsi="宋体" w:cs="宋体"/>
                <w:b/>
                <w:bCs/>
                <w:sz w:val="18"/>
                <w:szCs w:val="18"/>
              </w:rPr>
            </w:pPr>
            <w:r>
              <w:rPr>
                <w:rFonts w:hint="eastAsia" w:hAnsi="宋体" w:cs="宋体"/>
                <w:b/>
                <w:bCs/>
                <w:sz w:val="18"/>
                <w:szCs w:val="18"/>
                <w:lang w:bidi="ar"/>
              </w:rPr>
              <w:t>电井管路</w:t>
            </w:r>
          </w:p>
        </w:tc>
        <w:tc>
          <w:tcPr>
            <w:tcW w:w="1087" w:type="dxa"/>
            <w:tcBorders>
              <w:top w:val="single" w:color="000000" w:sz="4" w:space="0"/>
              <w:left w:val="nil"/>
              <w:bottom w:val="single" w:color="000000" w:sz="4" w:space="0"/>
              <w:right w:val="nil"/>
            </w:tcBorders>
            <w:shd w:val="clear" w:color="auto" w:fill="FFFFFF"/>
            <w:vAlign w:val="center"/>
          </w:tcPr>
          <w:p>
            <w:pPr>
              <w:widowControl/>
              <w:textAlignment w:val="center"/>
              <w:rPr>
                <w:rFonts w:hAnsi="宋体" w:cs="宋体"/>
                <w:sz w:val="18"/>
                <w:szCs w:val="18"/>
              </w:rPr>
            </w:pPr>
          </w:p>
        </w:tc>
        <w:tc>
          <w:tcPr>
            <w:tcW w:w="2143" w:type="dxa"/>
            <w:tcBorders>
              <w:top w:val="single" w:color="000000" w:sz="4" w:space="0"/>
              <w:left w:val="nil"/>
              <w:bottom w:val="single" w:color="000000" w:sz="4" w:space="0"/>
              <w:right w:val="nil"/>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Ansi="宋体" w:cs="宋体"/>
                <w:sz w:val="18"/>
                <w:szCs w:val="18"/>
              </w:rPr>
            </w:pP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PVC管</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阻燃PVC管DN25</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国标</w:t>
            </w:r>
          </w:p>
        </w:tc>
      </w:tr>
      <w:tr>
        <w:tblPrEx>
          <w:tblCellMar>
            <w:top w:w="0" w:type="dxa"/>
            <w:left w:w="108" w:type="dxa"/>
            <w:bottom w:w="0" w:type="dxa"/>
            <w:right w:w="108" w:type="dxa"/>
          </w:tblCellMar>
        </w:tblPrEx>
        <w:trPr>
          <w:trHeight w:val="58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墙体开孔</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开孔尺寸32孔径（结构板墙、电井墙），封堵等</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标准</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18"/>
                <w:szCs w:val="18"/>
              </w:rPr>
            </w:pPr>
            <w:r>
              <w:rPr>
                <w:rFonts w:hint="eastAsia" w:hAnsi="宋体" w:cs="宋体"/>
                <w:b/>
                <w:bCs/>
                <w:sz w:val="18"/>
                <w:szCs w:val="18"/>
                <w:lang w:bidi="ar"/>
              </w:rPr>
              <w:t>二</w:t>
            </w:r>
          </w:p>
        </w:tc>
        <w:tc>
          <w:tcPr>
            <w:tcW w:w="3226" w:type="dxa"/>
            <w:gridSpan w:val="2"/>
            <w:tcBorders>
              <w:top w:val="single" w:color="000000" w:sz="4" w:space="0"/>
              <w:left w:val="single" w:color="000000" w:sz="4" w:space="0"/>
              <w:bottom w:val="single" w:color="000000" w:sz="4" w:space="0"/>
              <w:right w:val="nil"/>
            </w:tcBorders>
            <w:shd w:val="clear" w:color="auto" w:fill="FFFFFF"/>
            <w:noWrap/>
            <w:vAlign w:val="center"/>
          </w:tcPr>
          <w:p>
            <w:pPr>
              <w:rPr>
                <w:rFonts w:hAnsi="宋体" w:cs="宋体"/>
                <w:sz w:val="18"/>
                <w:szCs w:val="18"/>
              </w:rPr>
            </w:pPr>
            <w:r>
              <w:rPr>
                <w:rFonts w:hint="eastAsia" w:hAnsi="宋体" w:cs="宋体"/>
                <w:b/>
                <w:bCs/>
                <w:sz w:val="18"/>
                <w:szCs w:val="18"/>
                <w:lang w:bidi="ar"/>
              </w:rPr>
              <w:t>管理平台及数据采集</w:t>
            </w:r>
          </w:p>
        </w:tc>
        <w:tc>
          <w:tcPr>
            <w:tcW w:w="2143" w:type="dxa"/>
            <w:tcBorders>
              <w:top w:val="single" w:color="000000" w:sz="4" w:space="0"/>
              <w:left w:val="nil"/>
              <w:bottom w:val="single" w:color="000000" w:sz="4" w:space="0"/>
              <w:right w:val="nil"/>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Ansi="宋体" w:cs="宋体"/>
                <w:sz w:val="18"/>
                <w:szCs w:val="18"/>
              </w:rPr>
            </w:pPr>
          </w:p>
        </w:tc>
      </w:tr>
      <w:tr>
        <w:tblPrEx>
          <w:tblCellMar>
            <w:top w:w="0" w:type="dxa"/>
            <w:left w:w="108" w:type="dxa"/>
            <w:bottom w:w="0" w:type="dxa"/>
            <w:right w:w="108" w:type="dxa"/>
          </w:tblCellMar>
        </w:tblPrEx>
        <w:trPr>
          <w:trHeight w:val="174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智能抄表管理系统</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PC版软件</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远程在线抄表</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 xml:space="preserve">顶正、南硕、拓强 </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水表采集器</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支持TCP/IP、485通讯协议</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 xml:space="preserve">顶正、南硕、拓强 </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b/>
                <w:bCs/>
                <w:sz w:val="18"/>
                <w:szCs w:val="18"/>
              </w:rPr>
            </w:pPr>
            <w:r>
              <w:rPr>
                <w:rFonts w:hint="eastAsia" w:hAnsi="宋体" w:cs="宋体"/>
                <w:b/>
                <w:bCs/>
                <w:sz w:val="18"/>
                <w:szCs w:val="18"/>
                <w:lang w:bidi="ar"/>
              </w:rPr>
              <w:t>三</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b/>
                <w:bCs/>
                <w:sz w:val="18"/>
                <w:szCs w:val="18"/>
              </w:rPr>
            </w:pPr>
            <w:r>
              <w:rPr>
                <w:rFonts w:hint="eastAsia" w:hAnsi="宋体" w:cs="宋体"/>
                <w:b/>
                <w:bCs/>
                <w:sz w:val="18"/>
                <w:szCs w:val="18"/>
                <w:lang w:bidi="ar"/>
              </w:rPr>
              <w:t>网络平台建设</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jc w:val="center"/>
              <w:rPr>
                <w:rFonts w:hAnsi="宋体" w:cs="宋体"/>
                <w:sz w:val="18"/>
                <w:szCs w:val="18"/>
              </w:rPr>
            </w:pP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电源线</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RVV3*1.5</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帝城，利讯通，天诚</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数据线</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RVVS2*1.5</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帝城，利讯通，天诚</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3</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 xml:space="preserve">GYTXW-8B </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室外铠装光缆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帝城，利讯通，科曼</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4</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光纤尾纤</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E9/125-SC</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电信级标准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帝城，利讯通，科曼</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5</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光纤跳线</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E9/125-SC/SC</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电信级标准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帝城，利讯通，科曼</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6</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耦合器</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E9/125-SC</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电信级标准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帝城，利讯通，科曼</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7</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光纤熔接盒</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E9/125-SC/8口</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电信级标准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帝城，利讯通，科曼</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8</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光纤熔接</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电信级标准</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国标</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9</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弱电分机柜</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9U标准机柜</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国标</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10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光纤收发器</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 xml:space="preserve"> </w:t>
            </w: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一光一电，20KM光纤收发器</w:t>
            </w: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国标</w:t>
            </w:r>
          </w:p>
        </w:tc>
      </w:tr>
      <w:tr>
        <w:tblPrEx>
          <w:tblCellMar>
            <w:top w:w="0" w:type="dxa"/>
            <w:left w:w="108" w:type="dxa"/>
            <w:bottom w:w="0" w:type="dxa"/>
            <w:right w:w="108" w:type="dxa"/>
          </w:tblCellMar>
        </w:tblPrEx>
        <w:trPr>
          <w:trHeight w:val="360" w:hRule="atLeast"/>
          <w:jc w:val="center"/>
        </w:trPr>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Ansi="宋体" w:cs="宋体"/>
                <w:sz w:val="18"/>
                <w:szCs w:val="18"/>
              </w:rPr>
            </w:pPr>
            <w:r>
              <w:rPr>
                <w:rFonts w:hint="eastAsia" w:hAnsi="宋体" w:cs="宋体"/>
                <w:sz w:val="18"/>
                <w:szCs w:val="18"/>
                <w:lang w:bidi="ar"/>
              </w:rPr>
              <w:t>11</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hAnsi="宋体" w:cs="宋体"/>
                <w:sz w:val="18"/>
                <w:szCs w:val="18"/>
              </w:rPr>
            </w:pPr>
            <w:r>
              <w:rPr>
                <w:rFonts w:hint="eastAsia" w:hAnsi="宋体" w:cs="宋体"/>
                <w:sz w:val="18"/>
                <w:szCs w:val="18"/>
                <w:lang w:bidi="ar"/>
              </w:rPr>
              <w:t>安装附件</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21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Ansi="宋体" w:cs="宋体"/>
                <w:sz w:val="18"/>
                <w:szCs w:val="18"/>
              </w:rPr>
            </w:pPr>
          </w:p>
        </w:tc>
        <w:tc>
          <w:tcPr>
            <w:tcW w:w="3283" w:type="dxa"/>
            <w:tcBorders>
              <w:top w:val="single" w:color="000000" w:sz="4" w:space="0"/>
              <w:left w:val="nil"/>
              <w:bottom w:val="single" w:color="000000" w:sz="4" w:space="0"/>
              <w:right w:val="single" w:color="000000" w:sz="4" w:space="0"/>
            </w:tcBorders>
            <w:shd w:val="clear" w:color="auto" w:fill="FFFFFF"/>
            <w:noWrap/>
            <w:vAlign w:val="center"/>
          </w:tcPr>
          <w:p>
            <w:pPr>
              <w:widowControl/>
              <w:jc w:val="center"/>
              <w:textAlignment w:val="center"/>
              <w:rPr>
                <w:rFonts w:hAnsi="宋体" w:cs="宋体"/>
                <w:sz w:val="18"/>
                <w:szCs w:val="18"/>
              </w:rPr>
            </w:pPr>
            <w:r>
              <w:rPr>
                <w:rFonts w:hint="eastAsia" w:hAnsi="宋体" w:cs="宋体"/>
                <w:sz w:val="18"/>
                <w:szCs w:val="18"/>
                <w:lang w:bidi="ar"/>
              </w:rPr>
              <w:t>国标</w:t>
            </w:r>
          </w:p>
        </w:tc>
      </w:tr>
    </w:tbl>
    <w:p>
      <w:pPr>
        <w:pStyle w:val="58"/>
        <w:spacing w:line="360" w:lineRule="auto"/>
        <w:rPr>
          <w:rFonts w:hAnsi="宋体"/>
          <w:b/>
          <w:sz w:val="21"/>
          <w:szCs w:val="21"/>
        </w:rPr>
      </w:pPr>
    </w:p>
    <w:p>
      <w:pPr>
        <w:pStyle w:val="58"/>
        <w:spacing w:line="360" w:lineRule="auto"/>
        <w:rPr>
          <w:rFonts w:hAnsi="宋体"/>
          <w:b/>
          <w:sz w:val="21"/>
          <w:szCs w:val="21"/>
        </w:rPr>
      </w:pPr>
      <w:r>
        <w:rPr>
          <w:rFonts w:hint="eastAsia" w:hAnsi="宋体"/>
          <w:b/>
          <w:sz w:val="21"/>
          <w:szCs w:val="21"/>
        </w:rPr>
        <w:t>五、服务期限</w:t>
      </w:r>
    </w:p>
    <w:p>
      <w:pPr>
        <w:tabs>
          <w:tab w:val="left" w:pos="2127"/>
        </w:tabs>
        <w:spacing w:line="360" w:lineRule="auto"/>
        <w:ind w:firstLine="420" w:firstLineChars="200"/>
        <w:rPr>
          <w:rFonts w:hAnsi="宋体" w:cs="宋体"/>
          <w:bCs/>
          <w:sz w:val="21"/>
          <w:szCs w:val="21"/>
        </w:rPr>
      </w:pPr>
      <w:r>
        <w:rPr>
          <w:rFonts w:hint="eastAsia" w:hAnsi="宋体" w:cs="宋体"/>
          <w:bCs/>
          <w:sz w:val="21"/>
          <w:szCs w:val="21"/>
        </w:rPr>
        <w:t>为保证项目正常推进，对报建以及验收环节的关键时间节点(高低压深化图纸出图时间，提级申请通过时间，供配电方案审批通过时间)予以明确规定：</w:t>
      </w:r>
    </w:p>
    <w:p>
      <w:pPr>
        <w:pStyle w:val="158"/>
        <w:tabs>
          <w:tab w:val="left" w:pos="2127"/>
        </w:tabs>
        <w:spacing w:line="360" w:lineRule="auto"/>
        <w:jc w:val="left"/>
        <w:rPr>
          <w:rFonts w:ascii="宋体" w:hAnsi="宋体" w:cs="宋体"/>
          <w:bCs/>
          <w:szCs w:val="21"/>
        </w:rPr>
      </w:pPr>
      <w:r>
        <w:rPr>
          <w:rFonts w:hint="eastAsia" w:ascii="宋体" w:hAnsi="宋体" w:cs="宋体"/>
          <w:bCs/>
          <w:szCs w:val="21"/>
        </w:rPr>
        <w:t>1.报建时间节点：</w:t>
      </w:r>
    </w:p>
    <w:p>
      <w:pPr>
        <w:pStyle w:val="158"/>
        <w:tabs>
          <w:tab w:val="left" w:pos="2127"/>
        </w:tabs>
        <w:spacing w:line="360" w:lineRule="auto"/>
        <w:ind w:left="432" w:firstLine="0" w:firstLineChars="0"/>
        <w:jc w:val="left"/>
        <w:rPr>
          <w:rFonts w:ascii="宋体" w:hAnsi="宋体" w:cs="宋体"/>
          <w:bCs/>
          <w:szCs w:val="21"/>
        </w:rPr>
      </w:pPr>
      <w:r>
        <w:rPr>
          <w:rFonts w:hint="eastAsia" w:ascii="宋体" w:hAnsi="宋体" w:cs="宋体"/>
          <w:bCs/>
          <w:szCs w:val="21"/>
        </w:rPr>
        <w:t>（1）自成交通知书发出之日起，10个日历天内完成高低压深化图纸并取得相关部门的审批文件。</w:t>
      </w:r>
    </w:p>
    <w:p>
      <w:pPr>
        <w:pStyle w:val="158"/>
        <w:tabs>
          <w:tab w:val="left" w:pos="2127"/>
        </w:tabs>
        <w:spacing w:line="360" w:lineRule="auto"/>
        <w:ind w:left="432" w:firstLine="0" w:firstLineChars="0"/>
        <w:jc w:val="left"/>
        <w:rPr>
          <w:rFonts w:ascii="宋体" w:hAnsi="宋体" w:cs="宋体"/>
          <w:bCs/>
          <w:szCs w:val="21"/>
        </w:rPr>
      </w:pPr>
      <w:r>
        <w:rPr>
          <w:rFonts w:hint="eastAsia" w:ascii="宋体" w:hAnsi="宋体" w:cs="宋体"/>
          <w:bCs/>
          <w:szCs w:val="21"/>
        </w:rPr>
        <w:t>（2）自成交通知书发出之日起，45个日历天内通过供电局提级申请。</w:t>
      </w:r>
    </w:p>
    <w:p>
      <w:pPr>
        <w:pStyle w:val="158"/>
        <w:tabs>
          <w:tab w:val="left" w:pos="2127"/>
        </w:tabs>
        <w:spacing w:line="360" w:lineRule="auto"/>
        <w:ind w:left="432" w:firstLine="0" w:firstLineChars="0"/>
        <w:jc w:val="left"/>
        <w:rPr>
          <w:rFonts w:ascii="宋体" w:hAnsi="宋体" w:cs="宋体"/>
          <w:bCs/>
          <w:szCs w:val="21"/>
        </w:rPr>
      </w:pPr>
      <w:r>
        <w:rPr>
          <w:rFonts w:hint="eastAsia" w:ascii="宋体" w:hAnsi="宋体" w:cs="宋体"/>
          <w:bCs/>
          <w:szCs w:val="21"/>
        </w:rPr>
        <w:t>（3）自提级申请通过后，15个日历天内通过供配电审批方案。</w:t>
      </w:r>
    </w:p>
    <w:p>
      <w:pPr>
        <w:pStyle w:val="158"/>
        <w:tabs>
          <w:tab w:val="left" w:pos="2127"/>
        </w:tabs>
        <w:spacing w:line="360" w:lineRule="auto"/>
        <w:ind w:left="432"/>
        <w:jc w:val="left"/>
        <w:rPr>
          <w:rFonts w:ascii="宋体" w:hAnsi="宋体" w:cs="宋体"/>
          <w:bCs/>
          <w:szCs w:val="21"/>
        </w:rPr>
      </w:pPr>
      <w:r>
        <w:rPr>
          <w:rFonts w:hint="eastAsia" w:hAnsi="宋体" w:cs="宋体"/>
          <w:bCs/>
          <w:szCs w:val="21"/>
        </w:rPr>
        <w:t>注：报价人</w:t>
      </w:r>
      <w:r>
        <w:rPr>
          <w:rFonts w:hint="eastAsia" w:ascii="宋体" w:hAnsi="宋体" w:cs="宋体"/>
          <w:bCs/>
          <w:szCs w:val="21"/>
        </w:rPr>
        <w:t>必须严格按照</w:t>
      </w:r>
      <w:r>
        <w:rPr>
          <w:rFonts w:hint="eastAsia" w:hAnsi="宋体" w:cs="宋体"/>
          <w:bCs/>
          <w:szCs w:val="21"/>
        </w:rPr>
        <w:t>招标人</w:t>
      </w:r>
      <w:r>
        <w:rPr>
          <w:rFonts w:hint="eastAsia" w:ascii="宋体" w:hAnsi="宋体" w:cs="宋体"/>
          <w:bCs/>
          <w:szCs w:val="21"/>
        </w:rPr>
        <w:t>要求的时间节点完成相关工作，如因</w:t>
      </w:r>
      <w:r>
        <w:rPr>
          <w:rFonts w:hint="eastAsia" w:hAnsi="宋体" w:cs="宋体"/>
          <w:bCs/>
          <w:szCs w:val="21"/>
        </w:rPr>
        <w:t>报价人</w:t>
      </w:r>
      <w:r>
        <w:rPr>
          <w:rFonts w:hint="eastAsia" w:ascii="宋体" w:hAnsi="宋体" w:cs="宋体"/>
          <w:bCs/>
          <w:szCs w:val="21"/>
        </w:rPr>
        <w:t>未按要求完成报建时间节点，视为</w:t>
      </w:r>
      <w:r>
        <w:rPr>
          <w:rFonts w:hint="eastAsia" w:hAnsi="宋体" w:cs="宋体"/>
          <w:bCs/>
          <w:szCs w:val="21"/>
        </w:rPr>
        <w:t>报价人</w:t>
      </w:r>
      <w:r>
        <w:rPr>
          <w:rFonts w:hint="eastAsia" w:ascii="宋体" w:hAnsi="宋体" w:cs="宋体"/>
          <w:bCs/>
          <w:szCs w:val="21"/>
        </w:rPr>
        <w:t>违约，</w:t>
      </w:r>
      <w:r>
        <w:rPr>
          <w:rFonts w:hint="eastAsia" w:hAnsi="宋体" w:cs="宋体"/>
          <w:bCs/>
          <w:szCs w:val="21"/>
        </w:rPr>
        <w:t>每延后1天，处罚3万元，若延后超过10天，招标人</w:t>
      </w:r>
      <w:r>
        <w:rPr>
          <w:rFonts w:hint="eastAsia" w:ascii="宋体" w:hAnsi="宋体" w:cs="宋体"/>
          <w:bCs/>
          <w:szCs w:val="21"/>
        </w:rPr>
        <w:t>有权中止合同。</w:t>
      </w:r>
    </w:p>
    <w:p>
      <w:pPr>
        <w:pStyle w:val="158"/>
        <w:tabs>
          <w:tab w:val="left" w:pos="2127"/>
        </w:tabs>
        <w:spacing w:line="360" w:lineRule="auto"/>
        <w:jc w:val="left"/>
        <w:rPr>
          <w:rFonts w:ascii="宋体" w:hAnsi="宋体" w:cs="宋体"/>
          <w:bCs/>
          <w:szCs w:val="21"/>
        </w:rPr>
      </w:pPr>
      <w:r>
        <w:rPr>
          <w:rFonts w:hint="eastAsia" w:ascii="宋体" w:hAnsi="宋体" w:cs="宋体"/>
          <w:bCs/>
          <w:szCs w:val="21"/>
        </w:rPr>
        <w:t>2.施工时间节点：</w:t>
      </w:r>
    </w:p>
    <w:p>
      <w:pPr>
        <w:pStyle w:val="158"/>
        <w:tabs>
          <w:tab w:val="left" w:pos="2127"/>
        </w:tabs>
        <w:spacing w:line="360" w:lineRule="auto"/>
        <w:jc w:val="left"/>
        <w:rPr>
          <w:rFonts w:ascii="宋体" w:hAnsi="宋体" w:cs="宋体"/>
          <w:bCs/>
          <w:szCs w:val="21"/>
        </w:rPr>
      </w:pPr>
      <w:r>
        <w:rPr>
          <w:rFonts w:hint="eastAsia" w:ascii="宋体" w:hAnsi="宋体" w:cs="宋体"/>
          <w:bCs/>
          <w:szCs w:val="21"/>
        </w:rPr>
        <w:t>（1）自供配电审批方案通过之日起，30个日历天内完成全部的配电房设备安装。</w:t>
      </w:r>
    </w:p>
    <w:p>
      <w:pPr>
        <w:pStyle w:val="158"/>
        <w:tabs>
          <w:tab w:val="left" w:pos="2127"/>
        </w:tabs>
        <w:spacing w:line="360" w:lineRule="auto"/>
        <w:jc w:val="left"/>
        <w:rPr>
          <w:rFonts w:ascii="宋体" w:hAnsi="宋体" w:cs="宋体"/>
          <w:bCs/>
          <w:szCs w:val="21"/>
        </w:rPr>
      </w:pPr>
      <w:r>
        <w:rPr>
          <w:rFonts w:hint="eastAsia" w:ascii="宋体" w:hAnsi="宋体" w:cs="宋体"/>
          <w:bCs/>
          <w:szCs w:val="21"/>
        </w:rPr>
        <w:t>(2) 自供配电审批方案通过之日起，60个日历天内完成高压部分通电。</w:t>
      </w:r>
    </w:p>
    <w:p>
      <w:pPr>
        <w:pStyle w:val="158"/>
        <w:tabs>
          <w:tab w:val="left" w:pos="2127"/>
        </w:tabs>
        <w:spacing w:line="360" w:lineRule="auto"/>
        <w:jc w:val="left"/>
        <w:rPr>
          <w:rFonts w:ascii="宋体" w:hAnsi="宋体" w:cs="宋体"/>
          <w:bCs/>
          <w:szCs w:val="21"/>
        </w:rPr>
      </w:pPr>
      <w:r>
        <w:rPr>
          <w:rFonts w:hint="eastAsia" w:ascii="宋体" w:hAnsi="宋体" w:cs="宋体"/>
          <w:bCs/>
          <w:szCs w:val="21"/>
        </w:rPr>
        <w:t>(3）自供配电审批方案通过之日起，120个日历天内完成本次招标的全部工作内容。</w:t>
      </w:r>
    </w:p>
    <w:p>
      <w:pPr>
        <w:pStyle w:val="58"/>
        <w:spacing w:line="360" w:lineRule="auto"/>
        <w:ind w:firstLine="462" w:firstLineChars="200"/>
        <w:rPr>
          <w:rFonts w:ascii="宋体" w:hAnsi="宋体" w:cs="宋体"/>
          <w:sz w:val="21"/>
          <w:szCs w:val="21"/>
        </w:rPr>
      </w:pPr>
      <w:r>
        <w:rPr>
          <w:rFonts w:hint="eastAsia" w:ascii="宋体" w:hAnsi="宋体" w:cs="宋体"/>
          <w:b/>
          <w:bCs w:val="0"/>
          <w:sz w:val="21"/>
          <w:szCs w:val="21"/>
        </w:rPr>
        <w:t>注：</w:t>
      </w:r>
      <w:r>
        <w:rPr>
          <w:rFonts w:hint="eastAsia" w:hAnsi="宋体" w:cs="宋体"/>
          <w:sz w:val="21"/>
          <w:szCs w:val="21"/>
        </w:rPr>
        <w:t>报价人</w:t>
      </w:r>
      <w:r>
        <w:rPr>
          <w:rFonts w:hint="eastAsia" w:ascii="宋体" w:hAnsi="宋体" w:cs="宋体"/>
          <w:sz w:val="21"/>
          <w:szCs w:val="21"/>
        </w:rPr>
        <w:t>必须严格按照</w:t>
      </w:r>
      <w:r>
        <w:rPr>
          <w:rFonts w:hint="eastAsia" w:hAnsi="宋体" w:cs="宋体"/>
          <w:sz w:val="21"/>
          <w:szCs w:val="21"/>
        </w:rPr>
        <w:t>招标人</w:t>
      </w:r>
      <w:r>
        <w:rPr>
          <w:rFonts w:hint="eastAsia" w:ascii="宋体" w:hAnsi="宋体" w:cs="宋体"/>
          <w:sz w:val="21"/>
          <w:szCs w:val="21"/>
        </w:rPr>
        <w:t>要求的时间节点完成相关工作，如因</w:t>
      </w:r>
      <w:r>
        <w:rPr>
          <w:rFonts w:hint="eastAsia" w:hAnsi="宋体" w:cs="宋体"/>
          <w:sz w:val="21"/>
          <w:szCs w:val="21"/>
        </w:rPr>
        <w:t>报价人</w:t>
      </w:r>
      <w:r>
        <w:rPr>
          <w:rFonts w:hint="eastAsia" w:ascii="宋体" w:hAnsi="宋体" w:cs="宋体"/>
          <w:sz w:val="21"/>
          <w:szCs w:val="21"/>
        </w:rPr>
        <w:t>未按要求完成时间节点，视为</w:t>
      </w:r>
      <w:r>
        <w:rPr>
          <w:rFonts w:hint="eastAsia" w:hAnsi="宋体" w:cs="宋体"/>
          <w:sz w:val="21"/>
          <w:szCs w:val="21"/>
        </w:rPr>
        <w:t>报价人</w:t>
      </w:r>
      <w:r>
        <w:rPr>
          <w:rFonts w:hint="eastAsia" w:ascii="宋体" w:hAnsi="宋体" w:cs="宋体"/>
          <w:sz w:val="21"/>
          <w:szCs w:val="21"/>
        </w:rPr>
        <w:t>违约，</w:t>
      </w:r>
      <w:r>
        <w:rPr>
          <w:rFonts w:hint="eastAsia" w:hAnsi="宋体" w:cs="宋体"/>
          <w:sz w:val="21"/>
          <w:szCs w:val="21"/>
        </w:rPr>
        <w:t>每延后1天，处罚3万元</w:t>
      </w:r>
      <w:r>
        <w:rPr>
          <w:rFonts w:hint="eastAsia" w:ascii="宋体" w:hAnsi="宋体" w:cs="宋体"/>
          <w:sz w:val="21"/>
          <w:szCs w:val="21"/>
        </w:rPr>
        <w:t>。</w:t>
      </w:r>
    </w:p>
    <w:p>
      <w:pPr>
        <w:pStyle w:val="58"/>
        <w:spacing w:line="360" w:lineRule="auto"/>
        <w:ind w:firstLine="462" w:firstLineChars="200"/>
        <w:rPr>
          <w:rFonts w:ascii="宋体" w:hAnsi="宋体" w:cs="宋体"/>
          <w:b/>
          <w:bCs w:val="0"/>
          <w:sz w:val="21"/>
          <w:szCs w:val="21"/>
        </w:rPr>
      </w:pPr>
      <w:r>
        <w:rPr>
          <w:rFonts w:hint="eastAsia" w:ascii="宋体" w:hAnsi="宋体" w:cs="宋体"/>
          <w:b/>
          <w:bCs w:val="0"/>
          <w:sz w:val="21"/>
          <w:szCs w:val="21"/>
        </w:rPr>
        <w:t>注：</w:t>
      </w:r>
      <w:r>
        <w:rPr>
          <w:rFonts w:hint="eastAsia" w:hAnsi="宋体" w:cs="宋体"/>
          <w:b/>
          <w:bCs w:val="0"/>
          <w:sz w:val="21"/>
          <w:szCs w:val="21"/>
        </w:rPr>
        <w:t>报价人</w:t>
      </w:r>
      <w:r>
        <w:rPr>
          <w:rFonts w:hint="eastAsia" w:ascii="宋体" w:hAnsi="宋体" w:cs="宋体"/>
          <w:b/>
          <w:bCs w:val="0"/>
          <w:sz w:val="21"/>
          <w:szCs w:val="21"/>
        </w:rPr>
        <w:t>需完成本工程的设计、报建、施工、安装调试、验收、通电，此过程产生的一切费用由</w:t>
      </w:r>
      <w:r>
        <w:rPr>
          <w:rFonts w:hint="eastAsia" w:hAnsi="宋体" w:cs="宋体"/>
          <w:b/>
          <w:bCs w:val="0"/>
          <w:sz w:val="21"/>
          <w:szCs w:val="21"/>
        </w:rPr>
        <w:t>报价人</w:t>
      </w:r>
      <w:r>
        <w:rPr>
          <w:rFonts w:hint="eastAsia" w:ascii="宋体" w:hAnsi="宋体" w:cs="宋体"/>
          <w:b/>
          <w:bCs w:val="0"/>
          <w:sz w:val="21"/>
          <w:szCs w:val="21"/>
        </w:rPr>
        <w:t>承担。</w:t>
      </w:r>
    </w:p>
    <w:p>
      <w:pPr>
        <w:pStyle w:val="58"/>
        <w:spacing w:line="360" w:lineRule="auto"/>
        <w:ind w:firstLine="462" w:firstLineChars="200"/>
        <w:rPr>
          <w:rFonts w:ascii="宋体" w:hAnsi="宋体" w:cs="宋体"/>
          <w:b/>
          <w:bCs w:val="0"/>
          <w:sz w:val="21"/>
          <w:szCs w:val="21"/>
        </w:rPr>
      </w:pPr>
      <w:r>
        <w:rPr>
          <w:rFonts w:hint="eastAsia" w:ascii="宋体" w:hAnsi="宋体" w:cs="宋体"/>
          <w:b/>
          <w:bCs w:val="0"/>
          <w:sz w:val="21"/>
          <w:szCs w:val="21"/>
        </w:rPr>
        <w:t>自本工程竣工验收通过之日起，自动进入保修期。保修期限为两年。</w:t>
      </w:r>
    </w:p>
    <w:p>
      <w:pPr>
        <w:pStyle w:val="58"/>
        <w:spacing w:line="360" w:lineRule="auto"/>
        <w:rPr>
          <w:rFonts w:hAnsi="宋体"/>
          <w:b/>
          <w:sz w:val="21"/>
          <w:szCs w:val="21"/>
        </w:rPr>
      </w:pPr>
      <w:r>
        <w:rPr>
          <w:rFonts w:hint="eastAsia" w:hAnsi="宋体"/>
          <w:b/>
          <w:sz w:val="21"/>
          <w:szCs w:val="21"/>
        </w:rPr>
        <w:t>六、承包方式</w:t>
      </w:r>
    </w:p>
    <w:p>
      <w:pPr>
        <w:spacing w:line="360" w:lineRule="auto"/>
        <w:ind w:firstLine="420" w:firstLineChars="200"/>
        <w:rPr>
          <w:rFonts w:hAnsi="宋体"/>
          <w:sz w:val="21"/>
          <w:szCs w:val="21"/>
        </w:rPr>
      </w:pPr>
      <w:r>
        <w:rPr>
          <w:rFonts w:hint="eastAsia" w:hAnsi="宋体"/>
          <w:sz w:val="21"/>
          <w:szCs w:val="21"/>
        </w:rPr>
        <w:t>总价包干，包设计、包报建、包施工、包安装调试、包验收、包通电，以及包括项目的服务及其他附属服务的服务费用、相关人员工资、一切税费、保险费、仓储费、税费、资料等履约过程可预见和不可预见的一切费用，且在合同执行过程中不作任何调整。</w:t>
      </w:r>
    </w:p>
    <w:p>
      <w:pPr>
        <w:spacing w:line="360" w:lineRule="auto"/>
        <w:ind w:firstLine="420" w:firstLineChars="200"/>
        <w:rPr>
          <w:rFonts w:hAnsi="宋体"/>
          <w:sz w:val="21"/>
          <w:szCs w:val="21"/>
        </w:rPr>
      </w:pPr>
      <w:r>
        <w:rPr>
          <w:rFonts w:hint="eastAsia" w:hAnsi="宋体"/>
          <w:sz w:val="21"/>
          <w:szCs w:val="21"/>
        </w:rPr>
        <w:t>发包人提供的参考图纸中外进线电缆接驳点仅为示意，具体接驳点由报价人自行与相关单位确认，如外进线电缆接驳点位置与参考图纸中的位置不一致而产生的工程量及造价变化，报价人自行承担风险，发包人在合同执行过程中不作任何调整。</w:t>
      </w:r>
    </w:p>
    <w:p>
      <w:pPr>
        <w:numPr>
          <w:ilvl w:val="0"/>
          <w:numId w:val="14"/>
        </w:numPr>
        <w:spacing w:line="360" w:lineRule="auto"/>
        <w:rPr>
          <w:rFonts w:ascii="Times New Roman" w:hAnsi="宋体"/>
          <w:b/>
          <w:bCs/>
          <w:spacing w:val="10"/>
          <w:sz w:val="21"/>
          <w:szCs w:val="21"/>
        </w:rPr>
      </w:pPr>
      <w:r>
        <w:rPr>
          <w:rFonts w:hint="eastAsia" w:ascii="Times New Roman" w:hAnsi="宋体"/>
          <w:b/>
          <w:bCs/>
          <w:spacing w:val="10"/>
          <w:sz w:val="21"/>
          <w:szCs w:val="21"/>
        </w:rPr>
        <w:t>付款方式</w:t>
      </w:r>
    </w:p>
    <w:p>
      <w:pPr>
        <w:spacing w:line="360" w:lineRule="auto"/>
        <w:ind w:firstLine="460" w:firstLineChars="200"/>
        <w:rPr>
          <w:rFonts w:hAnsi="宋体" w:cs="宋体"/>
          <w:bCs/>
          <w:spacing w:val="10"/>
          <w:sz w:val="21"/>
          <w:szCs w:val="21"/>
        </w:rPr>
      </w:pPr>
      <w:r>
        <w:rPr>
          <w:rFonts w:hint="eastAsia" w:hAnsi="宋体" w:cs="宋体"/>
          <w:bCs/>
          <w:spacing w:val="10"/>
          <w:sz w:val="21"/>
          <w:szCs w:val="21"/>
        </w:rPr>
        <w:t>1、</w:t>
      </w:r>
      <w:r>
        <w:rPr>
          <w:rFonts w:hint="eastAsia" w:hAnsi="宋体"/>
          <w:sz w:val="21"/>
          <w:szCs w:val="21"/>
        </w:rPr>
        <w:t>合同签订后，报价人在</w:t>
      </w:r>
      <w:r>
        <w:rPr>
          <w:rFonts w:hint="eastAsia" w:hAnsi="宋体" w:cs="宋体"/>
          <w:bCs/>
          <w:spacing w:val="10"/>
          <w:sz w:val="21"/>
          <w:szCs w:val="21"/>
        </w:rPr>
        <w:t>取得供电局批复的正式供电方案后，</w:t>
      </w:r>
      <w:r>
        <w:rPr>
          <w:rFonts w:hint="eastAsia" w:hAnsi="宋体"/>
          <w:sz w:val="21"/>
          <w:szCs w:val="21"/>
        </w:rPr>
        <w:t>支付合同总价的</w:t>
      </w:r>
      <w:r>
        <w:rPr>
          <w:rFonts w:hint="eastAsia" w:hAnsi="宋体" w:cs="宋体"/>
          <w:bCs/>
          <w:spacing w:val="10"/>
          <w:sz w:val="21"/>
          <w:szCs w:val="21"/>
        </w:rPr>
        <w:t>10%；</w:t>
      </w:r>
    </w:p>
    <w:p>
      <w:pPr>
        <w:spacing w:line="360" w:lineRule="auto"/>
        <w:ind w:firstLine="460" w:firstLineChars="200"/>
        <w:rPr>
          <w:rFonts w:hAnsi="宋体" w:cs="宋体"/>
          <w:bCs/>
          <w:spacing w:val="10"/>
          <w:sz w:val="21"/>
          <w:szCs w:val="21"/>
        </w:rPr>
      </w:pPr>
      <w:r>
        <w:rPr>
          <w:rFonts w:hint="eastAsia" w:hAnsi="宋体" w:cs="宋体"/>
          <w:bCs/>
          <w:spacing w:val="10"/>
          <w:sz w:val="21"/>
          <w:szCs w:val="21"/>
        </w:rPr>
        <w:t>2、全部设备进场后，</w:t>
      </w:r>
      <w:r>
        <w:rPr>
          <w:rFonts w:hint="eastAsia" w:hAnsi="宋体"/>
          <w:sz w:val="21"/>
          <w:szCs w:val="21"/>
        </w:rPr>
        <w:t>支付至合同总价的</w:t>
      </w:r>
      <w:r>
        <w:rPr>
          <w:rFonts w:hint="eastAsia" w:hAnsi="宋体" w:cs="宋体"/>
          <w:bCs/>
          <w:spacing w:val="10"/>
          <w:sz w:val="21"/>
          <w:szCs w:val="21"/>
        </w:rPr>
        <w:t>70%；</w:t>
      </w:r>
    </w:p>
    <w:p>
      <w:pPr>
        <w:spacing w:line="360" w:lineRule="auto"/>
        <w:ind w:firstLine="460" w:firstLineChars="200"/>
        <w:rPr>
          <w:rFonts w:hAnsi="宋体" w:cs="宋体"/>
          <w:bCs/>
          <w:spacing w:val="10"/>
          <w:sz w:val="21"/>
          <w:szCs w:val="21"/>
        </w:rPr>
      </w:pPr>
      <w:r>
        <w:rPr>
          <w:rFonts w:hint="eastAsia" w:hAnsi="宋体" w:cs="宋体"/>
          <w:bCs/>
          <w:spacing w:val="10"/>
          <w:sz w:val="21"/>
          <w:szCs w:val="21"/>
        </w:rPr>
        <w:t>3、工程完工并通过验收后，</w:t>
      </w:r>
      <w:r>
        <w:rPr>
          <w:rFonts w:hint="eastAsia" w:hAnsi="宋体"/>
          <w:sz w:val="21"/>
          <w:szCs w:val="21"/>
        </w:rPr>
        <w:t>支付至结算总价的</w:t>
      </w:r>
      <w:r>
        <w:rPr>
          <w:rFonts w:hint="eastAsia" w:hAnsi="宋体" w:cs="宋体"/>
          <w:bCs/>
          <w:spacing w:val="10"/>
          <w:sz w:val="21"/>
          <w:szCs w:val="21"/>
        </w:rPr>
        <w:t>97%；</w:t>
      </w:r>
    </w:p>
    <w:p>
      <w:pPr>
        <w:spacing w:line="360" w:lineRule="auto"/>
        <w:ind w:firstLine="460" w:firstLineChars="200"/>
        <w:rPr>
          <w:rFonts w:hAnsi="宋体" w:cs="宋体"/>
          <w:bCs/>
          <w:spacing w:val="10"/>
          <w:sz w:val="21"/>
          <w:szCs w:val="21"/>
        </w:rPr>
      </w:pPr>
      <w:r>
        <w:rPr>
          <w:rFonts w:hint="eastAsia" w:hAnsi="宋体" w:cs="宋体"/>
          <w:bCs/>
          <w:spacing w:val="10"/>
          <w:sz w:val="21"/>
          <w:szCs w:val="21"/>
        </w:rPr>
        <w:t>4、质保期满通过质保期验收后，支付</w:t>
      </w:r>
      <w:r>
        <w:rPr>
          <w:rFonts w:hint="eastAsia" w:hAnsi="宋体"/>
          <w:sz w:val="21"/>
          <w:szCs w:val="21"/>
        </w:rPr>
        <w:t>结算总价的</w:t>
      </w:r>
      <w:r>
        <w:rPr>
          <w:rFonts w:hint="eastAsia" w:hAnsi="宋体" w:cs="宋体"/>
          <w:bCs/>
          <w:spacing w:val="10"/>
          <w:sz w:val="21"/>
          <w:szCs w:val="21"/>
        </w:rPr>
        <w:t>3%。</w:t>
      </w:r>
    </w:p>
    <w:p>
      <w:pPr>
        <w:numPr>
          <w:ilvl w:val="0"/>
          <w:numId w:val="14"/>
        </w:numPr>
        <w:spacing w:line="360" w:lineRule="auto"/>
        <w:rPr>
          <w:rFonts w:cs="宋体"/>
          <w:b/>
          <w:bCs/>
          <w:spacing w:val="10"/>
          <w:sz w:val="21"/>
          <w:szCs w:val="21"/>
        </w:rPr>
      </w:pPr>
      <w:r>
        <w:rPr>
          <w:rFonts w:hint="eastAsia" w:ascii="Times New Roman" w:hAnsi="宋体"/>
          <w:b/>
          <w:bCs/>
          <w:spacing w:val="10"/>
          <w:sz w:val="21"/>
          <w:szCs w:val="21"/>
        </w:rPr>
        <w:t>其他</w:t>
      </w:r>
    </w:p>
    <w:p>
      <w:pPr>
        <w:spacing w:line="360" w:lineRule="auto"/>
        <w:ind w:firstLine="460" w:firstLineChars="200"/>
        <w:rPr>
          <w:rFonts w:hAnsi="宋体" w:cs="宋体"/>
          <w:bCs/>
          <w:spacing w:val="10"/>
          <w:sz w:val="21"/>
          <w:szCs w:val="21"/>
        </w:rPr>
      </w:pPr>
      <w:r>
        <w:rPr>
          <w:rFonts w:hint="eastAsia" w:hAnsi="宋体" w:cs="宋体"/>
          <w:bCs/>
          <w:spacing w:val="10"/>
          <w:sz w:val="21"/>
          <w:szCs w:val="21"/>
        </w:rPr>
        <w:t>附图纸:</w:t>
      </w:r>
    </w:p>
    <w:p>
      <w:pPr>
        <w:spacing w:line="360" w:lineRule="auto"/>
        <w:ind w:firstLine="460" w:firstLineChars="200"/>
        <w:rPr>
          <w:rFonts w:hAnsi="宋体" w:cs="宋体"/>
          <w:bCs/>
          <w:spacing w:val="10"/>
          <w:sz w:val="21"/>
          <w:szCs w:val="21"/>
        </w:rPr>
      </w:pPr>
      <w:r>
        <w:rPr>
          <w:rFonts w:hAnsi="宋体" w:cs="宋体"/>
          <w:bCs/>
          <w:spacing w:val="10"/>
          <w:sz w:val="21"/>
          <w:szCs w:val="21"/>
        </w:rPr>
        <w:t>附件一：</w:t>
      </w:r>
      <w:r>
        <w:rPr>
          <w:rFonts w:hint="eastAsia" w:hAnsi="宋体" w:cs="宋体"/>
          <w:bCs/>
          <w:spacing w:val="10"/>
          <w:sz w:val="21"/>
          <w:szCs w:val="21"/>
        </w:rPr>
        <w:t>原总包合同范围内的电气</w:t>
      </w:r>
      <w:r>
        <w:rPr>
          <w:rFonts w:hAnsi="宋体" w:cs="宋体"/>
          <w:bCs/>
          <w:spacing w:val="10"/>
          <w:sz w:val="21"/>
          <w:szCs w:val="21"/>
        </w:rPr>
        <w:t>图纸</w:t>
      </w:r>
    </w:p>
    <w:p>
      <w:pPr>
        <w:spacing w:line="360" w:lineRule="auto"/>
        <w:ind w:firstLine="460" w:firstLineChars="200"/>
        <w:rPr>
          <w:rFonts w:hAnsi="宋体" w:cs="宋体"/>
          <w:bCs/>
          <w:spacing w:val="10"/>
          <w:sz w:val="21"/>
          <w:szCs w:val="21"/>
        </w:rPr>
      </w:pPr>
      <w:r>
        <w:rPr>
          <w:rFonts w:hAnsi="宋体" w:cs="宋体"/>
          <w:bCs/>
          <w:spacing w:val="10"/>
          <w:sz w:val="21"/>
          <w:szCs w:val="21"/>
        </w:rPr>
        <w:t>附件二：高低压</w:t>
      </w:r>
      <w:r>
        <w:rPr>
          <w:rFonts w:hint="eastAsia" w:hAnsi="宋体" w:cs="宋体"/>
          <w:bCs/>
          <w:spacing w:val="10"/>
          <w:sz w:val="21"/>
          <w:szCs w:val="21"/>
        </w:rPr>
        <w:t>施工</w:t>
      </w:r>
      <w:r>
        <w:rPr>
          <w:rFonts w:hAnsi="宋体" w:cs="宋体"/>
          <w:bCs/>
          <w:spacing w:val="10"/>
          <w:sz w:val="21"/>
          <w:szCs w:val="21"/>
        </w:rPr>
        <w:t>参考图纸</w:t>
      </w:r>
    </w:p>
    <w:p>
      <w:pPr>
        <w:spacing w:line="360" w:lineRule="auto"/>
        <w:ind w:firstLine="460" w:firstLineChars="200"/>
        <w:rPr>
          <w:rFonts w:hAnsi="宋体" w:cs="宋体"/>
          <w:bCs/>
          <w:spacing w:val="10"/>
          <w:sz w:val="21"/>
          <w:szCs w:val="21"/>
        </w:rPr>
      </w:pPr>
      <w:r>
        <w:rPr>
          <w:rFonts w:hAnsi="宋体" w:cs="宋体"/>
          <w:bCs/>
          <w:spacing w:val="10"/>
          <w:sz w:val="21"/>
          <w:szCs w:val="21"/>
        </w:rPr>
        <w:t>附件三：水表集抄</w:t>
      </w:r>
      <w:r>
        <w:rPr>
          <w:rFonts w:hint="eastAsia" w:hAnsi="宋体" w:cs="宋体"/>
          <w:bCs/>
          <w:spacing w:val="10"/>
          <w:sz w:val="21"/>
          <w:szCs w:val="21"/>
        </w:rPr>
        <w:t>施工</w:t>
      </w:r>
      <w:r>
        <w:rPr>
          <w:rFonts w:hAnsi="宋体" w:cs="宋体"/>
          <w:bCs/>
          <w:spacing w:val="10"/>
          <w:sz w:val="21"/>
          <w:szCs w:val="21"/>
        </w:rPr>
        <w:t>参考图纸</w:t>
      </w:r>
    </w:p>
    <w:p>
      <w:pPr>
        <w:pStyle w:val="3"/>
        <w:keepNext/>
        <w:keepLines/>
        <w:pageBreakBefore/>
        <w:numPr>
          <w:ilvl w:val="0"/>
          <w:numId w:val="15"/>
        </w:numPr>
        <w:spacing w:line="360" w:lineRule="auto"/>
        <w:jc w:val="center"/>
        <w:rPr>
          <w:rFonts w:hAnsi="宋体"/>
          <w:b/>
          <w:bCs/>
          <w:kern w:val="44"/>
          <w:sz w:val="28"/>
          <w:szCs w:val="28"/>
          <w:lang w:val="zh-CN"/>
        </w:rPr>
      </w:pPr>
      <w:r>
        <w:rPr>
          <w:rFonts w:hint="eastAsia" w:hAnsi="宋体"/>
          <w:b/>
          <w:bCs/>
          <w:kern w:val="44"/>
          <w:sz w:val="28"/>
          <w:szCs w:val="28"/>
        </w:rPr>
        <w:t xml:space="preserve"> </w:t>
      </w:r>
      <w:bookmarkStart w:id="9" w:name="_Toc44"/>
      <w:r>
        <w:rPr>
          <w:rFonts w:hint="eastAsia" w:hAnsi="宋体"/>
          <w:b/>
          <w:bCs/>
          <w:kern w:val="44"/>
          <w:sz w:val="28"/>
          <w:szCs w:val="28"/>
        </w:rPr>
        <w:t>谈判办法</w:t>
      </w:r>
      <w:bookmarkEnd w:id="9"/>
    </w:p>
    <w:p>
      <w:pPr>
        <w:pStyle w:val="26"/>
        <w:adjustRightInd w:val="0"/>
        <w:snapToGrid w:val="0"/>
        <w:spacing w:line="360" w:lineRule="auto"/>
        <w:rPr>
          <w:rFonts w:ascii="Times New Roman" w:hAnsi="Times New Roman"/>
          <w:b/>
          <w:sz w:val="24"/>
          <w:szCs w:val="24"/>
        </w:rPr>
      </w:pPr>
      <w:bookmarkStart w:id="10" w:name="_Toc303084269"/>
      <w:bookmarkStart w:id="11" w:name="_Toc489639130"/>
      <w:r>
        <w:rPr>
          <w:rFonts w:hint="eastAsia" w:ascii="Times New Roman" w:hAnsi="Times New Roman"/>
          <w:b/>
          <w:sz w:val="24"/>
          <w:szCs w:val="24"/>
        </w:rPr>
        <w:t>一、开标</w:t>
      </w:r>
      <w:bookmarkEnd w:id="10"/>
      <w:bookmarkEnd w:id="11"/>
    </w:p>
    <w:p>
      <w:pPr>
        <w:snapToGrid w:val="0"/>
        <w:spacing w:line="360" w:lineRule="auto"/>
        <w:ind w:firstLine="420" w:firstLineChars="200"/>
        <w:rPr>
          <w:rFonts w:hAnsi="宋体"/>
          <w:sz w:val="21"/>
          <w:szCs w:val="21"/>
        </w:rPr>
      </w:pPr>
      <w:r>
        <w:rPr>
          <w:rFonts w:hint="eastAsia" w:hAnsi="宋体"/>
          <w:sz w:val="21"/>
          <w:szCs w:val="21"/>
        </w:rPr>
        <w:t>1.1招标代理机构按本须知所规定的时间和地点公开开标，并邀请所有报价人参加。</w:t>
      </w:r>
    </w:p>
    <w:p>
      <w:pPr>
        <w:snapToGrid w:val="0"/>
        <w:spacing w:line="360" w:lineRule="auto"/>
        <w:ind w:firstLine="420" w:firstLineChars="200"/>
        <w:rPr>
          <w:rFonts w:hAnsi="宋体"/>
          <w:sz w:val="21"/>
          <w:szCs w:val="21"/>
        </w:rPr>
      </w:pPr>
      <w:r>
        <w:rPr>
          <w:rFonts w:hint="eastAsia" w:hAnsi="宋体"/>
          <w:sz w:val="21"/>
          <w:szCs w:val="21"/>
        </w:rPr>
        <w:t>1.2按规定提交撤回通知的报价文件不予开封，并退回给报价人。</w:t>
      </w:r>
    </w:p>
    <w:p>
      <w:pPr>
        <w:snapToGrid w:val="0"/>
        <w:spacing w:line="360" w:lineRule="auto"/>
        <w:ind w:firstLine="420" w:firstLineChars="200"/>
        <w:rPr>
          <w:rFonts w:hAnsi="宋体"/>
          <w:sz w:val="21"/>
          <w:szCs w:val="21"/>
        </w:rPr>
      </w:pPr>
      <w:r>
        <w:rPr>
          <w:rFonts w:hint="eastAsia" w:hAnsi="宋体"/>
          <w:sz w:val="21"/>
          <w:szCs w:val="21"/>
        </w:rPr>
        <w:t>1.3开标程序：</w:t>
      </w:r>
    </w:p>
    <w:p>
      <w:pPr>
        <w:snapToGrid w:val="0"/>
        <w:spacing w:line="360" w:lineRule="auto"/>
        <w:ind w:firstLine="420" w:firstLineChars="200"/>
        <w:rPr>
          <w:rFonts w:hAnsi="宋体"/>
          <w:sz w:val="21"/>
          <w:szCs w:val="21"/>
        </w:rPr>
      </w:pPr>
      <w:r>
        <w:rPr>
          <w:rFonts w:hint="eastAsia" w:hAnsi="宋体"/>
          <w:sz w:val="21"/>
          <w:szCs w:val="21"/>
        </w:rPr>
        <w:t>1.3.1开标会由招标代理机构主持，报价人的法定代表人或其授权代表携带有效身份证明准时参加开标会并签名报到，以证明其出席。报价人的法定代表人或其授权代表未参加开标会的，其谈判将被拒绝；</w:t>
      </w:r>
    </w:p>
    <w:p>
      <w:pPr>
        <w:snapToGrid w:val="0"/>
        <w:spacing w:line="360" w:lineRule="auto"/>
        <w:ind w:firstLine="420" w:firstLineChars="200"/>
        <w:rPr>
          <w:rFonts w:hAnsi="宋体"/>
          <w:sz w:val="21"/>
          <w:szCs w:val="21"/>
        </w:rPr>
      </w:pPr>
      <w:r>
        <w:rPr>
          <w:rFonts w:hint="eastAsia" w:hAnsi="宋体"/>
          <w:sz w:val="21"/>
          <w:szCs w:val="21"/>
        </w:rPr>
        <w:t>1.3.2报价文件的密封情况由报价人或其推选的代表检查报价文件的密封情况；</w:t>
      </w:r>
    </w:p>
    <w:p>
      <w:pPr>
        <w:snapToGrid w:val="0"/>
        <w:spacing w:line="360" w:lineRule="auto"/>
        <w:ind w:firstLine="420" w:firstLineChars="200"/>
        <w:rPr>
          <w:rFonts w:hAnsi="宋体"/>
          <w:sz w:val="21"/>
          <w:szCs w:val="21"/>
        </w:rPr>
      </w:pPr>
      <w:r>
        <w:rPr>
          <w:rFonts w:hint="eastAsia" w:hAnsi="宋体"/>
          <w:sz w:val="21"/>
          <w:szCs w:val="21"/>
        </w:rPr>
        <w:t>1.3.3经检查确认密封情况完好后，由有关工作人员当众拆封，宣读报价人名称、谈判价格和报价文件的其他主要内容。</w:t>
      </w:r>
    </w:p>
    <w:p>
      <w:pPr>
        <w:snapToGrid w:val="0"/>
        <w:spacing w:line="360" w:lineRule="auto"/>
        <w:ind w:firstLine="420" w:firstLineChars="200"/>
        <w:rPr>
          <w:rFonts w:hAnsi="宋体"/>
          <w:sz w:val="21"/>
          <w:szCs w:val="21"/>
        </w:rPr>
      </w:pPr>
      <w:r>
        <w:rPr>
          <w:rFonts w:hint="eastAsia" w:hAnsi="宋体"/>
          <w:sz w:val="21"/>
          <w:szCs w:val="21"/>
        </w:rPr>
        <w:t>1.3.4开标时，报价文件中开标一览表（报价表）内容与报价文件中明细表内容不一致的，以开标一览表（报价表）为准。报名时递交的资质文件与报价文件中资质文件不符时，以报价文件中的资质文件为准。</w:t>
      </w:r>
    </w:p>
    <w:p>
      <w:pPr>
        <w:snapToGrid w:val="0"/>
        <w:spacing w:line="360" w:lineRule="auto"/>
        <w:ind w:firstLine="420" w:firstLineChars="200"/>
        <w:rPr>
          <w:rFonts w:hAnsi="宋体"/>
          <w:sz w:val="21"/>
          <w:szCs w:val="21"/>
        </w:rPr>
      </w:pPr>
      <w:r>
        <w:rPr>
          <w:rFonts w:hint="eastAsia" w:hAnsi="宋体"/>
          <w:sz w:val="21"/>
          <w:szCs w:val="21"/>
        </w:rPr>
        <w:t>1.4招标代理机构对谈判过程进行记录，由报价人签字确认，并存档备查。</w:t>
      </w:r>
    </w:p>
    <w:p>
      <w:pPr>
        <w:pStyle w:val="26"/>
        <w:adjustRightInd w:val="0"/>
        <w:snapToGrid w:val="0"/>
        <w:spacing w:line="360" w:lineRule="auto"/>
        <w:rPr>
          <w:rFonts w:ascii="Times New Roman" w:hAnsi="Times New Roman"/>
          <w:b/>
          <w:sz w:val="24"/>
          <w:szCs w:val="24"/>
        </w:rPr>
      </w:pPr>
      <w:bookmarkStart w:id="12" w:name="_Toc303084270"/>
      <w:bookmarkStart w:id="13" w:name="_Toc489639131"/>
      <w:r>
        <w:rPr>
          <w:rFonts w:hint="eastAsia" w:ascii="Times New Roman" w:hAnsi="Times New Roman"/>
          <w:b/>
          <w:sz w:val="24"/>
          <w:szCs w:val="24"/>
        </w:rPr>
        <w:t>二、报价文件的有效性</w:t>
      </w:r>
      <w:bookmarkEnd w:id="12"/>
      <w:bookmarkEnd w:id="13"/>
    </w:p>
    <w:p>
      <w:pPr>
        <w:snapToGrid w:val="0"/>
        <w:spacing w:line="360" w:lineRule="auto"/>
        <w:ind w:firstLine="420" w:firstLineChars="200"/>
        <w:rPr>
          <w:rFonts w:hAnsi="宋体"/>
          <w:sz w:val="21"/>
          <w:szCs w:val="21"/>
        </w:rPr>
      </w:pPr>
      <w:r>
        <w:rPr>
          <w:rFonts w:hint="eastAsia" w:hAnsi="宋体"/>
          <w:sz w:val="21"/>
          <w:szCs w:val="21"/>
        </w:rPr>
        <w:t>2.1 开标时，报价文件出现下列情形之一的，应当作为无效报价文件，不得进入评审，并将其报价文件退回：</w:t>
      </w:r>
    </w:p>
    <w:p>
      <w:pPr>
        <w:snapToGrid w:val="0"/>
        <w:spacing w:line="360" w:lineRule="auto"/>
        <w:ind w:firstLine="420" w:firstLineChars="200"/>
        <w:rPr>
          <w:rFonts w:hAnsi="宋体"/>
          <w:sz w:val="21"/>
          <w:szCs w:val="21"/>
        </w:rPr>
      </w:pPr>
      <w:r>
        <w:rPr>
          <w:rFonts w:hint="eastAsia" w:hAnsi="宋体"/>
          <w:sz w:val="21"/>
          <w:szCs w:val="21"/>
        </w:rPr>
        <w:t>2.1.1报价文件未按照本须知第17款的要求密封和标记的；</w:t>
      </w:r>
    </w:p>
    <w:p>
      <w:pPr>
        <w:snapToGrid w:val="0"/>
        <w:spacing w:line="360" w:lineRule="auto"/>
        <w:ind w:firstLine="420" w:firstLineChars="200"/>
        <w:rPr>
          <w:rFonts w:hAnsi="宋体"/>
          <w:sz w:val="21"/>
          <w:szCs w:val="21"/>
        </w:rPr>
      </w:pPr>
      <w:r>
        <w:rPr>
          <w:rFonts w:hint="eastAsia" w:hAnsi="宋体"/>
          <w:sz w:val="21"/>
          <w:szCs w:val="21"/>
        </w:rPr>
        <w:t>2.1.2未按照谈判文件规定报名截止时间内办理报名手续的。</w:t>
      </w:r>
    </w:p>
    <w:p>
      <w:pPr>
        <w:pStyle w:val="26"/>
        <w:adjustRightInd w:val="0"/>
        <w:snapToGrid w:val="0"/>
        <w:spacing w:line="360" w:lineRule="auto"/>
        <w:rPr>
          <w:rFonts w:ascii="Times New Roman" w:hAnsi="Times New Roman"/>
          <w:b/>
          <w:sz w:val="24"/>
          <w:szCs w:val="24"/>
        </w:rPr>
      </w:pPr>
      <w:r>
        <w:rPr>
          <w:rFonts w:hint="eastAsia" w:ascii="Times New Roman" w:hAnsi="Times New Roman"/>
          <w:b/>
          <w:sz w:val="24"/>
          <w:szCs w:val="24"/>
        </w:rPr>
        <w:t>三、谈判小组</w:t>
      </w:r>
    </w:p>
    <w:p>
      <w:pPr>
        <w:snapToGrid w:val="0"/>
        <w:spacing w:line="360" w:lineRule="auto"/>
        <w:ind w:left="325" w:hanging="325" w:hangingChars="155"/>
        <w:rPr>
          <w:rFonts w:hAnsi="宋体"/>
          <w:sz w:val="21"/>
          <w:szCs w:val="21"/>
        </w:rPr>
      </w:pPr>
      <w:r>
        <w:rPr>
          <w:rFonts w:hint="eastAsia" w:hAnsi="宋体"/>
          <w:sz w:val="21"/>
          <w:szCs w:val="21"/>
        </w:rPr>
        <w:t xml:space="preserve">3.1 </w:t>
      </w:r>
      <w:r>
        <w:rPr>
          <w:rFonts w:hint="eastAsia"/>
          <w:sz w:val="21"/>
          <w:szCs w:val="21"/>
        </w:rPr>
        <w:t>本次招标依法组建谈判小组。谈判小组由</w:t>
      </w:r>
      <w:r>
        <w:rPr>
          <w:rFonts w:hint="eastAsia"/>
          <w:sz w:val="21"/>
          <w:szCs w:val="21"/>
          <w:u w:val="single"/>
        </w:rPr>
        <w:t xml:space="preserve"> 3 </w:t>
      </w:r>
      <w:r>
        <w:rPr>
          <w:rFonts w:hint="eastAsia"/>
          <w:sz w:val="21"/>
          <w:szCs w:val="21"/>
        </w:rPr>
        <w:t>位谈判专家组成，包括招标人代表</w:t>
      </w:r>
      <w:r>
        <w:rPr>
          <w:rFonts w:hint="eastAsia"/>
          <w:sz w:val="21"/>
          <w:szCs w:val="21"/>
          <w:u w:val="single"/>
        </w:rPr>
        <w:t>1</w:t>
      </w:r>
      <w:r>
        <w:rPr>
          <w:rFonts w:hint="eastAsia"/>
          <w:sz w:val="21"/>
          <w:szCs w:val="21"/>
        </w:rPr>
        <w:t>人和专家</w:t>
      </w:r>
      <w:r>
        <w:rPr>
          <w:rFonts w:hint="eastAsia"/>
          <w:sz w:val="21"/>
          <w:szCs w:val="21"/>
          <w:u w:val="single"/>
        </w:rPr>
        <w:t xml:space="preserve"> 2 </w:t>
      </w:r>
      <w:r>
        <w:rPr>
          <w:rFonts w:hint="eastAsia"/>
          <w:sz w:val="21"/>
          <w:szCs w:val="21"/>
        </w:rPr>
        <w:t>人。谈判小组负责全部的评审工作，任何人不得干预谈判小组的工作。</w:t>
      </w:r>
      <w:r>
        <w:rPr>
          <w:rFonts w:hint="eastAsia" w:hAnsi="宋体"/>
          <w:sz w:val="21"/>
          <w:szCs w:val="21"/>
        </w:rPr>
        <w:t>招标人</w:t>
      </w:r>
      <w:r>
        <w:rPr>
          <w:rFonts w:hAnsi="宋体"/>
          <w:sz w:val="21"/>
          <w:szCs w:val="21"/>
        </w:rPr>
        <w:t>员及相关人员与</w:t>
      </w:r>
      <w:r>
        <w:rPr>
          <w:rFonts w:hint="eastAsia" w:hAnsi="宋体"/>
          <w:sz w:val="21"/>
          <w:szCs w:val="21"/>
        </w:rPr>
        <w:t>报价人</w:t>
      </w:r>
      <w:r>
        <w:rPr>
          <w:rFonts w:hAnsi="宋体"/>
          <w:sz w:val="21"/>
          <w:szCs w:val="21"/>
        </w:rPr>
        <w:t>有下列利害关系之一的，应当回避</w:t>
      </w:r>
      <w:r>
        <w:rPr>
          <w:rFonts w:hint="eastAsia" w:hAnsi="宋体"/>
          <w:sz w:val="21"/>
          <w:szCs w:val="21"/>
        </w:rPr>
        <w:t>：</w:t>
      </w:r>
    </w:p>
    <w:p>
      <w:pPr>
        <w:pStyle w:val="26"/>
        <w:adjustRightInd w:val="0"/>
        <w:snapToGrid w:val="0"/>
        <w:spacing w:line="360" w:lineRule="auto"/>
        <w:ind w:left="795" w:leftChars="200" w:hanging="315" w:hangingChars="150"/>
        <w:rPr>
          <w:rFonts w:hAnsi="宋体"/>
          <w:szCs w:val="24"/>
        </w:rPr>
      </w:pPr>
      <w:r>
        <w:rPr>
          <w:rFonts w:hint="eastAsia" w:hAnsi="宋体"/>
          <w:szCs w:val="24"/>
        </w:rPr>
        <w:t>1)</w:t>
      </w:r>
      <w:r>
        <w:rPr>
          <w:rFonts w:hAnsi="宋体" w:cs="宋体"/>
          <w:kern w:val="0"/>
          <w:sz w:val="24"/>
          <w:szCs w:val="24"/>
        </w:rPr>
        <w:t xml:space="preserve"> </w:t>
      </w:r>
      <w:r>
        <w:rPr>
          <w:rFonts w:hAnsi="宋体"/>
          <w:szCs w:val="24"/>
        </w:rPr>
        <w:t>参加</w:t>
      </w:r>
      <w:r>
        <w:rPr>
          <w:rFonts w:hint="eastAsia" w:hAnsi="宋体"/>
          <w:szCs w:val="24"/>
        </w:rPr>
        <w:t>招标</w:t>
      </w:r>
      <w:r>
        <w:rPr>
          <w:rFonts w:hAnsi="宋体"/>
          <w:szCs w:val="24"/>
        </w:rPr>
        <w:t>活动前3年内与</w:t>
      </w:r>
      <w:r>
        <w:rPr>
          <w:rFonts w:hint="eastAsia" w:hAnsi="宋体"/>
          <w:szCs w:val="24"/>
        </w:rPr>
        <w:t>报价人</w:t>
      </w:r>
      <w:r>
        <w:rPr>
          <w:rFonts w:hAnsi="宋体"/>
          <w:szCs w:val="24"/>
        </w:rPr>
        <w:t>存在劳动关系</w:t>
      </w:r>
      <w:r>
        <w:rPr>
          <w:rFonts w:hint="eastAsia" w:hAnsi="宋体"/>
          <w:szCs w:val="24"/>
        </w:rPr>
        <w:t>；</w:t>
      </w:r>
    </w:p>
    <w:p>
      <w:pPr>
        <w:pStyle w:val="26"/>
        <w:adjustRightInd w:val="0"/>
        <w:snapToGrid w:val="0"/>
        <w:spacing w:line="360" w:lineRule="auto"/>
        <w:ind w:left="795" w:leftChars="200" w:hanging="315" w:hangingChars="150"/>
        <w:rPr>
          <w:rFonts w:hAnsi="宋体"/>
          <w:szCs w:val="24"/>
        </w:rPr>
      </w:pPr>
      <w:r>
        <w:rPr>
          <w:rFonts w:hint="eastAsia" w:hAnsi="宋体"/>
          <w:szCs w:val="24"/>
        </w:rPr>
        <w:t xml:space="preserve">2) </w:t>
      </w:r>
      <w:r>
        <w:rPr>
          <w:rFonts w:hAnsi="宋体"/>
          <w:szCs w:val="24"/>
        </w:rPr>
        <w:t>参加</w:t>
      </w:r>
      <w:r>
        <w:rPr>
          <w:rFonts w:hint="eastAsia" w:hAnsi="宋体"/>
          <w:szCs w:val="24"/>
        </w:rPr>
        <w:t>招标</w:t>
      </w:r>
      <w:r>
        <w:rPr>
          <w:rFonts w:hAnsi="宋体"/>
          <w:szCs w:val="24"/>
        </w:rPr>
        <w:t>活动前3年内担任</w:t>
      </w:r>
      <w:r>
        <w:rPr>
          <w:rFonts w:hint="eastAsia" w:hAnsi="宋体"/>
          <w:szCs w:val="24"/>
        </w:rPr>
        <w:t>报价人</w:t>
      </w:r>
      <w:r>
        <w:rPr>
          <w:rFonts w:hAnsi="宋体"/>
          <w:szCs w:val="24"/>
        </w:rPr>
        <w:t>的董事、监事；</w:t>
      </w:r>
    </w:p>
    <w:p>
      <w:pPr>
        <w:pStyle w:val="26"/>
        <w:adjustRightInd w:val="0"/>
        <w:snapToGrid w:val="0"/>
        <w:spacing w:line="360" w:lineRule="auto"/>
        <w:ind w:left="795" w:leftChars="200" w:hanging="315" w:hangingChars="150"/>
        <w:rPr>
          <w:rFonts w:hAnsi="宋体"/>
          <w:szCs w:val="24"/>
        </w:rPr>
      </w:pPr>
      <w:r>
        <w:rPr>
          <w:rFonts w:hint="eastAsia" w:hAnsi="宋体"/>
          <w:szCs w:val="24"/>
        </w:rPr>
        <w:t xml:space="preserve">3) </w:t>
      </w:r>
      <w:r>
        <w:rPr>
          <w:rFonts w:hAnsi="宋体"/>
          <w:szCs w:val="24"/>
        </w:rPr>
        <w:t>参加</w:t>
      </w:r>
      <w:r>
        <w:rPr>
          <w:rFonts w:hint="eastAsia" w:hAnsi="宋体"/>
          <w:szCs w:val="24"/>
        </w:rPr>
        <w:t>招标</w:t>
      </w:r>
      <w:r>
        <w:rPr>
          <w:rFonts w:hAnsi="宋体"/>
          <w:szCs w:val="24"/>
        </w:rPr>
        <w:t>活动前3年内是</w:t>
      </w:r>
      <w:r>
        <w:rPr>
          <w:rFonts w:hint="eastAsia" w:hAnsi="宋体"/>
          <w:szCs w:val="24"/>
        </w:rPr>
        <w:t>报价人</w:t>
      </w:r>
      <w:r>
        <w:rPr>
          <w:rFonts w:hAnsi="宋体"/>
          <w:szCs w:val="24"/>
        </w:rPr>
        <w:t>的控股股东或者实际控制人；</w:t>
      </w:r>
    </w:p>
    <w:p>
      <w:pPr>
        <w:pStyle w:val="26"/>
        <w:adjustRightInd w:val="0"/>
        <w:snapToGrid w:val="0"/>
        <w:spacing w:line="360" w:lineRule="auto"/>
        <w:ind w:left="795" w:leftChars="200" w:hanging="315" w:hangingChars="150"/>
        <w:rPr>
          <w:rFonts w:hAnsi="宋体"/>
          <w:szCs w:val="24"/>
        </w:rPr>
      </w:pPr>
      <w:r>
        <w:rPr>
          <w:rFonts w:hint="eastAsia" w:hAnsi="宋体"/>
          <w:szCs w:val="24"/>
        </w:rPr>
        <w:t xml:space="preserve">4) </w:t>
      </w:r>
      <w:r>
        <w:rPr>
          <w:rFonts w:hAnsi="宋体"/>
          <w:szCs w:val="24"/>
        </w:rPr>
        <w:t>与</w:t>
      </w:r>
      <w:r>
        <w:rPr>
          <w:rFonts w:hint="eastAsia" w:hAnsi="宋体"/>
          <w:szCs w:val="24"/>
        </w:rPr>
        <w:t>报价人</w:t>
      </w:r>
      <w:r>
        <w:rPr>
          <w:rFonts w:hAnsi="宋体"/>
          <w:szCs w:val="24"/>
        </w:rPr>
        <w:t>的法定代表人或者负责人有夫妻、直系血亲、三代以内旁系血亲或者近姻亲关系；</w:t>
      </w:r>
    </w:p>
    <w:p>
      <w:pPr>
        <w:pStyle w:val="26"/>
        <w:adjustRightInd w:val="0"/>
        <w:snapToGrid w:val="0"/>
        <w:spacing w:line="360" w:lineRule="auto"/>
        <w:ind w:left="482" w:leftChars="201"/>
        <w:rPr>
          <w:rFonts w:ascii="Times New Roman" w:hAnsi="Times New Roman"/>
          <w:szCs w:val="24"/>
        </w:rPr>
      </w:pPr>
      <w:r>
        <w:rPr>
          <w:rFonts w:hint="eastAsia" w:hAnsi="宋体"/>
          <w:szCs w:val="24"/>
        </w:rPr>
        <w:t xml:space="preserve">5) </w:t>
      </w:r>
      <w:r>
        <w:rPr>
          <w:rFonts w:hAnsi="宋体"/>
          <w:szCs w:val="24"/>
        </w:rPr>
        <w:t>与</w:t>
      </w:r>
      <w:r>
        <w:rPr>
          <w:rFonts w:hint="eastAsia" w:hAnsi="宋体"/>
          <w:szCs w:val="24"/>
        </w:rPr>
        <w:t>报价人</w:t>
      </w:r>
      <w:r>
        <w:rPr>
          <w:rFonts w:hAnsi="宋体"/>
          <w:szCs w:val="24"/>
        </w:rPr>
        <w:t>有其他可能影响</w:t>
      </w:r>
      <w:r>
        <w:rPr>
          <w:rFonts w:hint="eastAsia" w:hAnsi="宋体"/>
          <w:szCs w:val="24"/>
        </w:rPr>
        <w:t>招标</w:t>
      </w:r>
      <w:r>
        <w:rPr>
          <w:rFonts w:hAnsi="宋体"/>
          <w:szCs w:val="24"/>
        </w:rPr>
        <w:t>活动公平、公正进行的关系。</w:t>
      </w:r>
    </w:p>
    <w:p>
      <w:pPr>
        <w:pStyle w:val="26"/>
        <w:adjustRightInd w:val="0"/>
        <w:snapToGrid w:val="0"/>
        <w:spacing w:line="360" w:lineRule="auto"/>
        <w:ind w:left="422" w:leftChars="1" w:hanging="420" w:hangingChars="200"/>
        <w:rPr>
          <w:rFonts w:hAnsi="宋体"/>
        </w:rPr>
      </w:pPr>
      <w:r>
        <w:rPr>
          <w:rFonts w:hint="eastAsia" w:hAnsi="宋体"/>
        </w:rPr>
        <w:t>3.2 本次招标采用竞争性谈判方式进行，评审由谈判小组负责完成。谈判小组将只对确定为实质上响应谈判文件要求的报价、澄清和最终报价等内容进行评审；实质上没有响应谈判文件要求的报价文件将被视为无效报价。</w:t>
      </w:r>
    </w:p>
    <w:p>
      <w:pPr>
        <w:tabs>
          <w:tab w:val="left" w:pos="8280"/>
        </w:tabs>
        <w:snapToGrid w:val="0"/>
        <w:spacing w:line="360" w:lineRule="auto"/>
        <w:ind w:left="420" w:hanging="420" w:hangingChars="200"/>
        <w:rPr>
          <w:rFonts w:hAnsi="宋体"/>
          <w:sz w:val="21"/>
          <w:szCs w:val="21"/>
        </w:rPr>
      </w:pPr>
      <w:r>
        <w:rPr>
          <w:rFonts w:hint="eastAsia" w:hAnsi="宋体"/>
          <w:sz w:val="21"/>
          <w:szCs w:val="21"/>
        </w:rPr>
        <w:t xml:space="preserve">3.3 </w:t>
      </w:r>
      <w:r>
        <w:rPr>
          <w:rFonts w:hAnsi="宋体"/>
          <w:sz w:val="21"/>
          <w:szCs w:val="21"/>
        </w:rPr>
        <w:t>对</w:t>
      </w:r>
      <w:r>
        <w:rPr>
          <w:rFonts w:hint="eastAsia" w:hAnsi="宋体"/>
          <w:sz w:val="21"/>
          <w:szCs w:val="21"/>
        </w:rPr>
        <w:t>谈判</w:t>
      </w:r>
      <w:r>
        <w:rPr>
          <w:rFonts w:hAnsi="宋体"/>
          <w:sz w:val="21"/>
          <w:szCs w:val="21"/>
        </w:rPr>
        <w:t>文件中描述有歧义或前后不一致的地方，</w:t>
      </w:r>
      <w:r>
        <w:rPr>
          <w:rFonts w:hint="eastAsia" w:hAnsi="宋体"/>
          <w:sz w:val="21"/>
          <w:szCs w:val="21"/>
        </w:rPr>
        <w:t>谈判小组</w:t>
      </w:r>
      <w:r>
        <w:rPr>
          <w:rFonts w:hAnsi="宋体"/>
          <w:sz w:val="21"/>
          <w:szCs w:val="21"/>
        </w:rPr>
        <w:t>有权</w:t>
      </w:r>
      <w:r>
        <w:rPr>
          <w:rFonts w:hint="eastAsia" w:hAnsi="宋体"/>
          <w:sz w:val="21"/>
          <w:szCs w:val="21"/>
        </w:rPr>
        <w:t>按法律法规的规定</w:t>
      </w:r>
      <w:r>
        <w:rPr>
          <w:rFonts w:hAnsi="宋体"/>
          <w:sz w:val="21"/>
          <w:szCs w:val="21"/>
        </w:rPr>
        <w:t>进行评判，但对同一条款的评判应适用于每个报价</w:t>
      </w:r>
      <w:r>
        <w:rPr>
          <w:rFonts w:hint="eastAsia" w:hAnsi="宋体"/>
          <w:sz w:val="21"/>
          <w:szCs w:val="21"/>
        </w:rPr>
        <w:t>人。谈判小组在谈判及评审过程中出现意见不一致时，遵循少数服从多数原则。</w:t>
      </w:r>
    </w:p>
    <w:p>
      <w:pPr>
        <w:tabs>
          <w:tab w:val="left" w:pos="8280"/>
        </w:tabs>
        <w:snapToGrid w:val="0"/>
        <w:spacing w:line="360" w:lineRule="auto"/>
        <w:ind w:left="420" w:hanging="420" w:hangingChars="200"/>
        <w:rPr>
          <w:rFonts w:hAnsi="宋体"/>
          <w:sz w:val="21"/>
          <w:szCs w:val="21"/>
        </w:rPr>
      </w:pPr>
      <w:r>
        <w:rPr>
          <w:rFonts w:hint="eastAsia" w:hAnsi="宋体"/>
          <w:sz w:val="21"/>
          <w:szCs w:val="21"/>
        </w:rPr>
        <w:t>3.4 谈判小组依法根据谈判文件的规定与报价人进行谈判及对报价文件和最终谈判结果进行评审,并据此推荐成交候选人。</w:t>
      </w:r>
    </w:p>
    <w:p>
      <w:pPr>
        <w:tabs>
          <w:tab w:val="left" w:pos="8280"/>
        </w:tabs>
        <w:snapToGrid w:val="0"/>
        <w:spacing w:line="360" w:lineRule="auto"/>
        <w:ind w:left="420" w:hanging="420" w:hangingChars="200"/>
        <w:rPr>
          <w:rFonts w:hAnsi="宋体"/>
          <w:sz w:val="21"/>
          <w:szCs w:val="21"/>
        </w:rPr>
      </w:pPr>
      <w:r>
        <w:rPr>
          <w:rFonts w:hint="eastAsia" w:hAnsi="宋体"/>
          <w:sz w:val="21"/>
          <w:szCs w:val="21"/>
        </w:rPr>
        <w:t>3.5 参加谈判工作的所有人员应遵守</w:t>
      </w:r>
      <w:r>
        <w:rPr>
          <w:rFonts w:hint="eastAsia"/>
          <w:sz w:val="21"/>
          <w:szCs w:val="21"/>
        </w:rPr>
        <w:t>《中华人民共和国招标投标法》及相关法律、法规的规定</w:t>
      </w:r>
      <w:r>
        <w:rPr>
          <w:rFonts w:hint="eastAsia" w:hAnsi="宋体"/>
          <w:sz w:val="21"/>
          <w:szCs w:val="21"/>
        </w:rPr>
        <w:t>，严格保密，确保竞争性谈判工作公平、公正，任何单位和个人不得无理干预谈判小组的正常工作。</w:t>
      </w:r>
    </w:p>
    <w:p>
      <w:pPr>
        <w:tabs>
          <w:tab w:val="left" w:pos="8280"/>
        </w:tabs>
        <w:snapToGrid w:val="0"/>
        <w:spacing w:line="360" w:lineRule="auto"/>
        <w:ind w:left="420" w:hanging="420" w:hangingChars="200"/>
        <w:rPr>
          <w:rFonts w:hAnsi="宋体"/>
        </w:rPr>
      </w:pPr>
      <w:r>
        <w:rPr>
          <w:rFonts w:hint="eastAsia" w:hAnsi="宋体"/>
          <w:sz w:val="21"/>
          <w:szCs w:val="21"/>
        </w:rPr>
        <w:t>3.6 代理机构对谈判过程和重要谈判内容进行记录。</w:t>
      </w:r>
    </w:p>
    <w:p>
      <w:pPr>
        <w:pStyle w:val="26"/>
        <w:adjustRightInd w:val="0"/>
        <w:snapToGrid w:val="0"/>
        <w:spacing w:line="360" w:lineRule="auto"/>
        <w:rPr>
          <w:rFonts w:ascii="Times New Roman" w:hAnsi="Times New Roman"/>
          <w:b/>
          <w:sz w:val="24"/>
          <w:szCs w:val="24"/>
        </w:rPr>
      </w:pPr>
      <w:r>
        <w:rPr>
          <w:rFonts w:hint="eastAsia" w:ascii="Times New Roman" w:hAnsi="Times New Roman"/>
          <w:b/>
          <w:sz w:val="24"/>
          <w:szCs w:val="24"/>
        </w:rPr>
        <w:t>四、评审方法</w:t>
      </w:r>
    </w:p>
    <w:p>
      <w:pPr>
        <w:pStyle w:val="73"/>
        <w:spacing w:line="360" w:lineRule="auto"/>
        <w:ind w:firstLine="433"/>
        <w:rPr>
          <w:rFonts w:ascii="宋体" w:eastAsia="宋体" w:cs="宋体"/>
          <w:sz w:val="21"/>
          <w:szCs w:val="21"/>
        </w:rPr>
      </w:pPr>
      <w:r>
        <w:rPr>
          <w:rFonts w:hint="eastAsia" w:ascii="宋体" w:eastAsia="宋体" w:cs="宋体"/>
          <w:sz w:val="21"/>
          <w:szCs w:val="21"/>
        </w:rPr>
        <w:t>4.1 谈判文件初步评审。</w:t>
      </w:r>
    </w:p>
    <w:p>
      <w:pPr>
        <w:pStyle w:val="73"/>
        <w:spacing w:line="360" w:lineRule="auto"/>
        <w:ind w:firstLine="433"/>
        <w:rPr>
          <w:rFonts w:ascii="宋体" w:eastAsia="宋体" w:cs="宋体"/>
          <w:sz w:val="21"/>
          <w:szCs w:val="21"/>
        </w:rPr>
      </w:pPr>
      <w:r>
        <w:rPr>
          <w:rFonts w:hint="eastAsia" w:ascii="宋体" w:eastAsia="宋体" w:cs="宋体"/>
          <w:sz w:val="21"/>
          <w:szCs w:val="21"/>
        </w:rPr>
        <w:t>4.1.1谈判小组根据谈判文件规定查报价文件提供的资格证明文件是否齐全、是否满足谈判文件的要求。</w:t>
      </w:r>
    </w:p>
    <w:p>
      <w:pPr>
        <w:pStyle w:val="73"/>
        <w:spacing w:line="360" w:lineRule="auto"/>
        <w:ind w:firstLine="433"/>
        <w:rPr>
          <w:rFonts w:ascii="宋体" w:eastAsia="宋体" w:cs="宋体"/>
          <w:sz w:val="21"/>
          <w:szCs w:val="21"/>
        </w:rPr>
      </w:pPr>
      <w:r>
        <w:rPr>
          <w:rFonts w:hint="eastAsia" w:ascii="宋体" w:eastAsia="宋体" w:cs="宋体"/>
          <w:sz w:val="21"/>
          <w:szCs w:val="21"/>
        </w:rPr>
        <w:t>4.1.2谈判小组根据谈判文件对报价文件的商务技术文件进行初步审查，检查报价文件提交的内容是否齐全、是否能证明有能力承担本项目的任务、是否按谈判文件的要求作出相应的承诺。</w:t>
      </w:r>
    </w:p>
    <w:p>
      <w:pPr>
        <w:pStyle w:val="73"/>
        <w:spacing w:line="360" w:lineRule="auto"/>
        <w:ind w:firstLine="433"/>
        <w:rPr>
          <w:rFonts w:ascii="宋体" w:eastAsia="宋体" w:cs="宋体"/>
          <w:sz w:val="21"/>
          <w:szCs w:val="21"/>
        </w:rPr>
      </w:pPr>
      <w:r>
        <w:rPr>
          <w:rFonts w:hint="eastAsia" w:ascii="宋体" w:eastAsia="宋体" w:cs="宋体"/>
          <w:sz w:val="21"/>
          <w:szCs w:val="21"/>
        </w:rPr>
        <w:t>4.1.3报价文件出现下列情况之一的，被认定为无效投标:</w:t>
      </w:r>
    </w:p>
    <w:p>
      <w:pPr>
        <w:spacing w:line="360" w:lineRule="auto"/>
        <w:ind w:firstLine="514" w:firstLineChars="245"/>
        <w:rPr>
          <w:rFonts w:hAnsi="宋体" w:cs="宋体"/>
          <w:bCs/>
          <w:sz w:val="21"/>
          <w:szCs w:val="21"/>
        </w:rPr>
      </w:pPr>
      <w:r>
        <w:rPr>
          <w:rFonts w:hint="eastAsia" w:hAnsi="宋体" w:cs="宋体"/>
          <w:bCs/>
          <w:sz w:val="21"/>
          <w:szCs w:val="21"/>
        </w:rPr>
        <w:t>1）报价函及报价有效期不符合要求</w:t>
      </w:r>
    </w:p>
    <w:p>
      <w:pPr>
        <w:spacing w:line="360" w:lineRule="auto"/>
        <w:ind w:firstLine="514" w:firstLineChars="245"/>
        <w:rPr>
          <w:rFonts w:hAnsi="宋体" w:cs="宋体"/>
          <w:bCs/>
          <w:sz w:val="21"/>
          <w:szCs w:val="21"/>
        </w:rPr>
      </w:pPr>
      <w:r>
        <w:rPr>
          <w:rFonts w:hint="eastAsia" w:hAnsi="宋体" w:cs="宋体"/>
          <w:bCs/>
          <w:sz w:val="21"/>
          <w:szCs w:val="21"/>
        </w:rPr>
        <w:t>2）不按谈判文件规定加盖公章和签署</w:t>
      </w:r>
    </w:p>
    <w:p>
      <w:pPr>
        <w:spacing w:line="360" w:lineRule="auto"/>
        <w:ind w:firstLine="514" w:firstLineChars="245"/>
        <w:rPr>
          <w:rFonts w:hAnsi="宋体" w:cs="宋体"/>
          <w:bCs/>
          <w:sz w:val="21"/>
          <w:szCs w:val="21"/>
        </w:rPr>
      </w:pPr>
      <w:r>
        <w:rPr>
          <w:rFonts w:hint="eastAsia" w:hAnsi="宋体" w:cs="宋体"/>
          <w:bCs/>
          <w:sz w:val="21"/>
          <w:szCs w:val="21"/>
        </w:rPr>
        <w:t>3）未提交法定代表人/负责人资格证明书及授权委托书</w:t>
      </w:r>
    </w:p>
    <w:p>
      <w:pPr>
        <w:spacing w:line="360" w:lineRule="auto"/>
        <w:ind w:firstLine="514" w:firstLineChars="245"/>
        <w:rPr>
          <w:rFonts w:hAnsi="宋体" w:cs="宋体"/>
          <w:bCs/>
          <w:sz w:val="21"/>
          <w:szCs w:val="21"/>
        </w:rPr>
      </w:pPr>
      <w:r>
        <w:rPr>
          <w:rFonts w:hint="eastAsia" w:hAnsi="宋体" w:cs="宋体"/>
          <w:bCs/>
          <w:sz w:val="21"/>
          <w:szCs w:val="21"/>
        </w:rPr>
        <w:t>4）报价保证金不符合要求</w:t>
      </w:r>
    </w:p>
    <w:p>
      <w:pPr>
        <w:spacing w:line="360" w:lineRule="auto"/>
        <w:ind w:firstLine="514" w:firstLineChars="245"/>
        <w:rPr>
          <w:rFonts w:hAnsi="宋体" w:cs="宋体"/>
          <w:bCs/>
          <w:sz w:val="21"/>
          <w:szCs w:val="21"/>
        </w:rPr>
      </w:pPr>
      <w:r>
        <w:rPr>
          <w:rFonts w:hint="eastAsia" w:hAnsi="宋体" w:cs="宋体"/>
          <w:bCs/>
          <w:sz w:val="21"/>
          <w:szCs w:val="21"/>
        </w:rPr>
        <w:t>5）不符合报价人资格条件</w:t>
      </w:r>
    </w:p>
    <w:p>
      <w:pPr>
        <w:spacing w:line="360" w:lineRule="auto"/>
        <w:ind w:firstLine="514" w:firstLineChars="245"/>
        <w:rPr>
          <w:rFonts w:hAnsi="宋体" w:cs="宋体"/>
          <w:bCs/>
          <w:sz w:val="21"/>
          <w:szCs w:val="21"/>
        </w:rPr>
      </w:pPr>
      <w:r>
        <w:rPr>
          <w:rFonts w:hint="eastAsia" w:hAnsi="宋体" w:cs="宋体"/>
          <w:bCs/>
          <w:sz w:val="21"/>
          <w:szCs w:val="21"/>
        </w:rPr>
        <w:t>6）报价文件主要资料不齐全</w:t>
      </w:r>
    </w:p>
    <w:p>
      <w:pPr>
        <w:spacing w:line="360" w:lineRule="auto"/>
        <w:ind w:firstLine="514" w:firstLineChars="245"/>
        <w:rPr>
          <w:rFonts w:hAnsi="宋体" w:cs="宋体"/>
          <w:bCs/>
          <w:sz w:val="21"/>
          <w:szCs w:val="21"/>
        </w:rPr>
      </w:pPr>
      <w:r>
        <w:rPr>
          <w:rFonts w:hint="eastAsia" w:hAnsi="宋体" w:cs="宋体"/>
          <w:bCs/>
          <w:sz w:val="21"/>
          <w:szCs w:val="21"/>
        </w:rPr>
        <w:t>7）最终报价高于项目的预算价</w:t>
      </w:r>
    </w:p>
    <w:p>
      <w:pPr>
        <w:spacing w:line="360" w:lineRule="auto"/>
        <w:ind w:firstLine="514" w:firstLineChars="245"/>
        <w:rPr>
          <w:rFonts w:hAnsi="宋体" w:cs="宋体"/>
          <w:bCs/>
          <w:sz w:val="21"/>
          <w:szCs w:val="21"/>
        </w:rPr>
      </w:pPr>
      <w:r>
        <w:rPr>
          <w:rFonts w:hint="eastAsia" w:hAnsi="宋体" w:cs="宋体"/>
          <w:bCs/>
          <w:sz w:val="21"/>
          <w:szCs w:val="21"/>
        </w:rPr>
        <w:t>8）报价有重大漏项或重大不合理</w:t>
      </w:r>
    </w:p>
    <w:p>
      <w:pPr>
        <w:spacing w:line="360" w:lineRule="auto"/>
        <w:ind w:firstLine="514" w:firstLineChars="245"/>
        <w:rPr>
          <w:rFonts w:hAnsi="宋体" w:cs="宋体"/>
          <w:bCs/>
          <w:sz w:val="21"/>
          <w:szCs w:val="21"/>
        </w:rPr>
      </w:pPr>
      <w:r>
        <w:rPr>
          <w:rFonts w:hint="eastAsia" w:hAnsi="宋体" w:cs="宋体"/>
          <w:bCs/>
          <w:sz w:val="21"/>
          <w:szCs w:val="21"/>
        </w:rPr>
        <w:t>9）没有满足“★”号条款要求</w:t>
      </w:r>
    </w:p>
    <w:p>
      <w:pPr>
        <w:spacing w:line="360" w:lineRule="auto"/>
        <w:ind w:firstLine="514" w:firstLineChars="245"/>
        <w:rPr>
          <w:rFonts w:hAnsi="宋体" w:cs="宋体"/>
          <w:bCs/>
          <w:sz w:val="21"/>
          <w:szCs w:val="21"/>
        </w:rPr>
      </w:pPr>
      <w:r>
        <w:rPr>
          <w:rFonts w:hint="eastAsia" w:hAnsi="宋体" w:cs="宋体"/>
          <w:bCs/>
          <w:sz w:val="21"/>
          <w:szCs w:val="21"/>
        </w:rPr>
        <w:t>10）有谈判文件或法规明确规定可以废标的其他情形</w:t>
      </w:r>
    </w:p>
    <w:p>
      <w:pPr>
        <w:pStyle w:val="73"/>
        <w:spacing w:line="360" w:lineRule="auto"/>
        <w:ind w:firstLine="433"/>
        <w:rPr>
          <w:rFonts w:ascii="宋体" w:eastAsia="宋体" w:cs="宋体"/>
          <w:sz w:val="21"/>
          <w:szCs w:val="21"/>
        </w:rPr>
      </w:pPr>
      <w:r>
        <w:rPr>
          <w:rFonts w:hint="eastAsia" w:ascii="宋体" w:eastAsia="宋体" w:cs="宋体"/>
          <w:sz w:val="21"/>
          <w:szCs w:val="21"/>
        </w:rPr>
        <w:t>4.2 报价文件的澄清和补正</w:t>
      </w:r>
    </w:p>
    <w:p>
      <w:pPr>
        <w:pStyle w:val="73"/>
        <w:spacing w:line="360" w:lineRule="auto"/>
        <w:ind w:firstLine="433"/>
        <w:rPr>
          <w:rFonts w:ascii="宋体" w:eastAsia="宋体" w:cs="宋体"/>
          <w:sz w:val="21"/>
          <w:szCs w:val="21"/>
        </w:rPr>
      </w:pPr>
      <w:r>
        <w:rPr>
          <w:rFonts w:hint="eastAsia" w:ascii="宋体" w:eastAsia="宋体" w:cs="宋体"/>
          <w:sz w:val="21"/>
          <w:szCs w:val="21"/>
        </w:rPr>
        <w:t>4.4.1对报价文件中含义不明确、同类问题表述不一致或者有明显文字和计算错误的内容，谈判小组可以书面形式要求报价人作出必要的澄清、说明或者补正。报价人的澄清、说明或者补正应当书面形式，由其授权的代表签字，并不得超出报价文件的范围或者改变报价文件的实质性内容。</w:t>
      </w:r>
    </w:p>
    <w:p>
      <w:pPr>
        <w:pStyle w:val="73"/>
        <w:spacing w:line="360" w:lineRule="auto"/>
        <w:ind w:firstLine="433"/>
        <w:rPr>
          <w:rFonts w:ascii="宋体" w:eastAsia="宋体" w:cs="宋体"/>
          <w:sz w:val="21"/>
          <w:szCs w:val="21"/>
        </w:rPr>
      </w:pPr>
      <w:r>
        <w:rPr>
          <w:rFonts w:hint="eastAsia" w:ascii="宋体" w:eastAsia="宋体" w:cs="宋体"/>
          <w:sz w:val="21"/>
          <w:szCs w:val="21"/>
        </w:rPr>
        <w:t>4.3报价文件的比较与谈判</w:t>
      </w:r>
    </w:p>
    <w:p>
      <w:pPr>
        <w:pStyle w:val="73"/>
        <w:spacing w:line="360" w:lineRule="auto"/>
        <w:ind w:firstLine="433"/>
        <w:rPr>
          <w:rFonts w:cs="宋体"/>
          <w:sz w:val="21"/>
          <w:szCs w:val="21"/>
        </w:rPr>
      </w:pPr>
      <w:r>
        <w:rPr>
          <w:rFonts w:hint="eastAsia" w:ascii="宋体" w:eastAsia="宋体" w:cs="宋体"/>
          <w:sz w:val="21"/>
          <w:szCs w:val="21"/>
        </w:rPr>
        <w:t>4.3．1谈判小组首先阅读报价人的报价文件，据此与报价人进行技术、商务内容的澄清、修正和谈判。评审以谈判文件、报价文件、澄清文件、谈判承诺文件和最终报价为依据，本着公正、科学、客观、平等竞争的精神，推荐技术先进、报价合理、经验丰富、信誉良好、售后服务好及综合实力强的成交供应商。</w:t>
      </w:r>
    </w:p>
    <w:p>
      <w:pPr>
        <w:pStyle w:val="73"/>
        <w:spacing w:line="360" w:lineRule="auto"/>
        <w:ind w:firstLine="433"/>
        <w:rPr>
          <w:rFonts w:ascii="宋体" w:eastAsia="宋体" w:cs="宋体"/>
          <w:sz w:val="21"/>
          <w:szCs w:val="21"/>
        </w:rPr>
      </w:pPr>
      <w:r>
        <w:rPr>
          <w:rFonts w:hint="eastAsia" w:ascii="宋体" w:eastAsia="宋体" w:cs="宋体"/>
          <w:sz w:val="21"/>
          <w:szCs w:val="21"/>
        </w:rPr>
        <w:t>4.3．2谈判</w:t>
      </w:r>
    </w:p>
    <w:p>
      <w:pPr>
        <w:pStyle w:val="73"/>
        <w:spacing w:line="360" w:lineRule="auto"/>
        <w:ind w:firstLine="434"/>
        <w:rPr>
          <w:rFonts w:ascii="宋体" w:eastAsia="宋体" w:cs="宋体"/>
          <w:sz w:val="21"/>
          <w:szCs w:val="21"/>
        </w:rPr>
      </w:pPr>
      <w:r>
        <w:rPr>
          <w:rFonts w:hint="eastAsia" w:ascii="宋体" w:eastAsia="宋体" w:cs="宋体"/>
          <w:b/>
          <w:sz w:val="21"/>
          <w:szCs w:val="21"/>
        </w:rPr>
        <w:t>第一阶段：</w:t>
      </w:r>
      <w:r>
        <w:rPr>
          <w:rFonts w:hint="eastAsia" w:ascii="宋体" w:eastAsia="宋体" w:cs="宋体"/>
          <w:sz w:val="21"/>
          <w:szCs w:val="21"/>
        </w:rPr>
        <w:t>谈判小组对报价文件进行资格性和符合性审核。</w:t>
      </w:r>
    </w:p>
    <w:p>
      <w:pPr>
        <w:pStyle w:val="73"/>
        <w:spacing w:line="360" w:lineRule="auto"/>
        <w:ind w:firstLine="434"/>
        <w:rPr>
          <w:rFonts w:ascii="宋体" w:eastAsia="宋体" w:cs="宋体"/>
          <w:sz w:val="21"/>
          <w:szCs w:val="21"/>
        </w:rPr>
      </w:pPr>
      <w:r>
        <w:rPr>
          <w:rFonts w:hint="eastAsia" w:ascii="宋体" w:eastAsia="宋体" w:cs="宋体"/>
          <w:b/>
          <w:sz w:val="21"/>
          <w:szCs w:val="21"/>
        </w:rPr>
        <w:t>第二阶段：</w:t>
      </w:r>
      <w:r>
        <w:rPr>
          <w:rFonts w:hint="eastAsia" w:ascii="宋体" w:eastAsia="宋体" w:cs="宋体"/>
          <w:sz w:val="21"/>
          <w:szCs w:val="21"/>
        </w:rPr>
        <w:t>谈判小组所有成员集中与单一报价人分别进行谈判。谈判文件有实质性变动的，谈判小组应当以书面形式通知所有报价人。如谈判小组认为有必要，可进行二轮及以上轮次的谈判。</w:t>
      </w:r>
    </w:p>
    <w:p>
      <w:pPr>
        <w:pStyle w:val="73"/>
        <w:spacing w:line="360" w:lineRule="auto"/>
        <w:ind w:firstLine="434"/>
        <w:rPr>
          <w:rFonts w:ascii="宋体" w:eastAsia="宋体" w:cs="宋体"/>
          <w:b/>
          <w:sz w:val="21"/>
          <w:szCs w:val="21"/>
        </w:rPr>
      </w:pPr>
      <w:r>
        <w:rPr>
          <w:rFonts w:hint="eastAsia" w:ascii="宋体" w:eastAsia="宋体" w:cs="宋体"/>
          <w:b/>
          <w:sz w:val="21"/>
          <w:szCs w:val="21"/>
        </w:rPr>
        <w:t>第三阶段：</w:t>
      </w:r>
      <w:r>
        <w:rPr>
          <w:rFonts w:hint="eastAsia" w:ascii="宋体" w:eastAsia="宋体" w:cs="宋体"/>
          <w:sz w:val="21"/>
          <w:szCs w:val="21"/>
        </w:rPr>
        <w:t>谈判小组要求所有报价人在规定的时间内提出最终报价及承诺，包括：最新方案、最终报价及有关承诺等。如谈判文件、报价文件没有重大修改，</w:t>
      </w:r>
      <w:r>
        <w:rPr>
          <w:rFonts w:hint="eastAsia" w:ascii="宋体" w:eastAsia="宋体" w:cs="宋体"/>
          <w:b/>
          <w:sz w:val="21"/>
          <w:szCs w:val="21"/>
        </w:rPr>
        <w:t>最终报价不能高于第一次报价。</w:t>
      </w:r>
    </w:p>
    <w:p>
      <w:pPr>
        <w:pStyle w:val="73"/>
        <w:spacing w:line="360" w:lineRule="auto"/>
        <w:ind w:firstLine="433"/>
        <w:rPr>
          <w:rFonts w:ascii="宋体" w:eastAsia="宋体" w:cs="宋体"/>
          <w:sz w:val="21"/>
          <w:szCs w:val="21"/>
        </w:rPr>
      </w:pPr>
      <w:r>
        <w:rPr>
          <w:rFonts w:hint="eastAsia" w:ascii="宋体" w:eastAsia="宋体" w:cs="宋体"/>
          <w:sz w:val="21"/>
          <w:szCs w:val="21"/>
        </w:rPr>
        <w:t>报价人应在谈判小组规定的时间内密封递交最终报价，最终报价时间由谈判小组决定。谈判小组对通过详细商务、技术评审的报价人的最终报价进行复核，看其是否有计算上的错误，修正错误的原则如下：</w:t>
      </w:r>
    </w:p>
    <w:p>
      <w:pPr>
        <w:pStyle w:val="73"/>
        <w:spacing w:line="360" w:lineRule="auto"/>
        <w:ind w:firstLine="433"/>
        <w:rPr>
          <w:rFonts w:ascii="宋体" w:eastAsia="宋体" w:cs="宋体"/>
          <w:sz w:val="21"/>
          <w:szCs w:val="21"/>
        </w:rPr>
      </w:pPr>
      <w:r>
        <w:rPr>
          <w:rFonts w:hint="eastAsia" w:ascii="宋体" w:eastAsia="宋体" w:cs="宋体"/>
          <w:sz w:val="21"/>
          <w:szCs w:val="21"/>
        </w:rPr>
        <w:t>谈判报价的大写金额和小写金额不一致的，以大写金额为准；最终报价与原报价价差折算下浮率，单价按下浮率等比例下浮，如下浮率与不含税报价价差算术值不一致的，以不含税报价价差算术值为准；对不同文字文本报价文件的解释发生异议的，以中文文本为准。</w:t>
      </w:r>
    </w:p>
    <w:p>
      <w:pPr>
        <w:pStyle w:val="73"/>
        <w:spacing w:line="360" w:lineRule="auto"/>
        <w:ind w:firstLine="433"/>
        <w:rPr>
          <w:rFonts w:ascii="宋体" w:eastAsia="宋体" w:cs="宋体"/>
          <w:sz w:val="21"/>
          <w:szCs w:val="21"/>
        </w:rPr>
      </w:pPr>
      <w:r>
        <w:rPr>
          <w:rFonts w:hint="eastAsia" w:ascii="宋体" w:eastAsia="宋体" w:cs="宋体"/>
          <w:sz w:val="21"/>
          <w:szCs w:val="21"/>
        </w:rPr>
        <w:t>谈判小组将按上述修正错误的方法调整报价文件中的报价，调整后的价格对报价人具有约束力。如果报价人不接受修正后的价格，则其报价将被拒绝。</w:t>
      </w:r>
    </w:p>
    <w:p>
      <w:pPr>
        <w:pStyle w:val="73"/>
        <w:spacing w:line="360" w:lineRule="auto"/>
        <w:ind w:firstLine="434"/>
        <w:rPr>
          <w:rFonts w:ascii="宋体" w:eastAsia="宋体" w:cs="宋体"/>
          <w:sz w:val="21"/>
          <w:szCs w:val="21"/>
        </w:rPr>
      </w:pPr>
      <w:r>
        <w:rPr>
          <w:rFonts w:hint="eastAsia" w:ascii="宋体" w:eastAsia="宋体" w:cs="宋体"/>
          <w:b/>
          <w:sz w:val="21"/>
          <w:szCs w:val="21"/>
        </w:rPr>
        <w:t>第四阶段：</w:t>
      </w:r>
      <w:r>
        <w:rPr>
          <w:rFonts w:hint="eastAsia" w:ascii="宋体" w:eastAsia="宋体" w:cs="宋体"/>
          <w:sz w:val="21"/>
          <w:szCs w:val="21"/>
        </w:rPr>
        <w:t>谈判小组对谈判报价人的报价文件、澄清、说明或者更正报价文件及最后报价等方面进行评审。谈判小组将校核后各谈判报价人的最后报价从低到高排序。</w:t>
      </w:r>
    </w:p>
    <w:p>
      <w:pPr>
        <w:pStyle w:val="73"/>
        <w:spacing w:line="360" w:lineRule="auto"/>
        <w:ind w:firstLine="433"/>
        <w:rPr>
          <w:rFonts w:ascii="宋体" w:eastAsia="宋体" w:cs="宋体"/>
          <w:sz w:val="21"/>
          <w:szCs w:val="21"/>
        </w:rPr>
      </w:pPr>
      <w:r>
        <w:rPr>
          <w:rFonts w:hint="eastAsia" w:ascii="宋体" w:eastAsia="宋体" w:cs="宋体"/>
          <w:sz w:val="21"/>
          <w:szCs w:val="21"/>
        </w:rPr>
        <w:t>4.3.3推荐成交供应商</w:t>
      </w:r>
    </w:p>
    <w:p>
      <w:pPr>
        <w:pStyle w:val="73"/>
        <w:spacing w:line="360" w:lineRule="auto"/>
        <w:ind w:firstLine="433"/>
        <w:rPr>
          <w:rFonts w:ascii="宋体" w:eastAsia="宋体" w:cs="宋体"/>
          <w:sz w:val="21"/>
          <w:szCs w:val="21"/>
        </w:rPr>
      </w:pPr>
      <w:r>
        <w:rPr>
          <w:rFonts w:hint="eastAsia" w:ascii="宋体" w:eastAsia="宋体" w:cs="宋体"/>
          <w:sz w:val="21"/>
          <w:szCs w:val="21"/>
        </w:rPr>
        <w:t xml:space="preserve">谈判小组应从质量和服务均能满足谈判文件实质性要求的报价人中，按照最后报价（评标价）最低者推荐1名成交候选人，并编写评审报告。谈判小组成员对评审报告有异议的，谈判小组按照少数服从多数的原则推荐成交候选人，招标程序继续进行。对评审报告有异议的，应当在评审报告上签署不同意见，并说明理由，否则视为同意评审报告。   </w:t>
      </w:r>
    </w:p>
    <w:p>
      <w:pPr>
        <w:pStyle w:val="73"/>
        <w:spacing w:line="360" w:lineRule="auto"/>
        <w:ind w:firstLine="315" w:firstLineChars="150"/>
        <w:rPr>
          <w:rFonts w:ascii="宋体" w:eastAsia="宋体" w:cs="宋体"/>
          <w:sz w:val="21"/>
          <w:szCs w:val="21"/>
        </w:rPr>
      </w:pPr>
      <w:r>
        <w:rPr>
          <w:rFonts w:hint="eastAsia" w:ascii="宋体" w:eastAsia="宋体" w:cs="宋体"/>
          <w:sz w:val="21"/>
          <w:szCs w:val="21"/>
        </w:rPr>
        <w:t>4.4开标后符合资格条件或对谈判文件实质性条款做出响应的报价人不足3家的，招标代理机构将依据相关法律法规规定执行。</w:t>
      </w:r>
    </w:p>
    <w:p>
      <w:pPr>
        <w:pStyle w:val="26"/>
        <w:adjustRightInd w:val="0"/>
        <w:snapToGrid w:val="0"/>
        <w:spacing w:line="360" w:lineRule="auto"/>
        <w:rPr>
          <w:rFonts w:ascii="Times New Roman" w:hAnsi="Times New Roman"/>
          <w:b/>
          <w:sz w:val="24"/>
          <w:szCs w:val="24"/>
        </w:rPr>
      </w:pPr>
      <w:r>
        <w:rPr>
          <w:rFonts w:hint="eastAsia" w:ascii="Times New Roman" w:hAnsi="Times New Roman"/>
          <w:b/>
          <w:sz w:val="24"/>
          <w:szCs w:val="24"/>
        </w:rPr>
        <w:t>五、谈判、评审过程的保密</w:t>
      </w:r>
    </w:p>
    <w:p>
      <w:pPr>
        <w:tabs>
          <w:tab w:val="left" w:pos="8280"/>
        </w:tabs>
        <w:snapToGrid w:val="0"/>
        <w:spacing w:line="360" w:lineRule="auto"/>
        <w:ind w:left="420" w:hanging="420" w:hangingChars="200"/>
        <w:rPr>
          <w:rFonts w:hAnsi="宋体"/>
          <w:sz w:val="21"/>
          <w:szCs w:val="21"/>
        </w:rPr>
      </w:pPr>
      <w:r>
        <w:rPr>
          <w:rFonts w:hint="eastAsia" w:hAnsi="宋体"/>
          <w:sz w:val="21"/>
          <w:szCs w:val="21"/>
        </w:rPr>
        <w:t>5.1 接受报价后，直至成交供应商与招标人签订合同止，凡与谈判、审查、澄清、评价、比较、确定成交供应商意见有关的内容，任何人均不得向谈判双方之外的第三方及与评审无关的其他人透露。</w:t>
      </w:r>
    </w:p>
    <w:p>
      <w:pPr>
        <w:tabs>
          <w:tab w:val="left" w:pos="8280"/>
        </w:tabs>
        <w:snapToGrid w:val="0"/>
        <w:spacing w:line="360" w:lineRule="auto"/>
        <w:ind w:left="420" w:hanging="420" w:hangingChars="200"/>
        <w:rPr>
          <w:rFonts w:hAnsi="宋体"/>
          <w:sz w:val="21"/>
          <w:szCs w:val="21"/>
        </w:rPr>
      </w:pPr>
      <w:r>
        <w:rPr>
          <w:rFonts w:hint="eastAsia" w:hAnsi="宋体"/>
          <w:sz w:val="21"/>
          <w:szCs w:val="21"/>
        </w:rPr>
        <w:t>5.2 从报价递交截止时间起到确定成交供应商日止，报价人不得与参加谈判、评审的有关人员私下接触。在评审过程中，如果报价人试图在报价文件审查、澄清、比较及推荐成交供应商方面向参与评审的有关人员和招标人施加任何影响，其报价将被拒绝。</w:t>
      </w:r>
    </w:p>
    <w:p>
      <w:pPr>
        <w:spacing w:line="360" w:lineRule="auto"/>
        <w:ind w:right="720" w:rightChars="300"/>
        <w:rPr>
          <w:rFonts w:hAnsi="宋体" w:cs="宋体"/>
          <w:b/>
          <w:bCs/>
          <w:sz w:val="18"/>
          <w:szCs w:val="18"/>
        </w:rPr>
      </w:pPr>
      <w:r>
        <w:rPr>
          <w:rFonts w:hAnsi="宋体" w:cs="宋体"/>
          <w:b/>
          <w:bCs/>
        </w:rPr>
        <w:br w:type="page"/>
      </w:r>
      <w:r>
        <w:rPr>
          <w:rFonts w:hint="eastAsia" w:hAnsi="宋体" w:cs="宋体"/>
          <w:b/>
          <w:bCs/>
        </w:rPr>
        <w:t>附表</w:t>
      </w:r>
      <w:r>
        <w:rPr>
          <w:rFonts w:hAnsi="宋体"/>
          <w:b/>
          <w:bCs/>
        </w:rPr>
        <w:t>1</w:t>
      </w:r>
      <w:r>
        <w:rPr>
          <w:rFonts w:hint="eastAsia" w:hAnsi="宋体" w:cs="宋体"/>
          <w:b/>
          <w:bCs/>
        </w:rPr>
        <w:t>：初步审查表</w:t>
      </w:r>
      <w:r>
        <w:rPr>
          <w:rFonts w:hint="eastAsia" w:hAnsi="宋体" w:cs="宋体"/>
          <w:b/>
          <w:bCs/>
          <w:sz w:val="18"/>
          <w:szCs w:val="18"/>
        </w:rPr>
        <w:t xml:space="preserve">（注：本表不需要报价人填写） </w:t>
      </w:r>
    </w:p>
    <w:p>
      <w:pPr>
        <w:spacing w:line="360" w:lineRule="auto"/>
        <w:jc w:val="center"/>
        <w:rPr>
          <w:rFonts w:hAnsi="宋体"/>
          <w:b/>
          <w:sz w:val="28"/>
        </w:rPr>
      </w:pPr>
      <w:r>
        <w:rPr>
          <w:rFonts w:hint="eastAsia" w:hAnsi="宋体" w:cs="宋体"/>
          <w:b/>
          <w:sz w:val="28"/>
        </w:rPr>
        <w:t>初步审查表</w:t>
      </w:r>
    </w:p>
    <w:p>
      <w:pPr>
        <w:spacing w:line="360" w:lineRule="auto"/>
        <w:rPr>
          <w:rFonts w:hAnsi="宋体"/>
          <w:szCs w:val="21"/>
        </w:rPr>
      </w:pPr>
      <w:r>
        <w:rPr>
          <w:rFonts w:hint="eastAsia" w:hAnsi="宋体"/>
          <w:szCs w:val="21"/>
        </w:rPr>
        <w:t>项目编号：</w:t>
      </w:r>
    </w:p>
    <w:tbl>
      <w:tblPr>
        <w:tblStyle w:val="49"/>
        <w:tblW w:w="9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trPr>
        <w:tc>
          <w:tcPr>
            <w:tcW w:w="428" w:type="dxa"/>
            <w:vAlign w:val="center"/>
          </w:tcPr>
          <w:p>
            <w:pPr>
              <w:spacing w:line="360" w:lineRule="auto"/>
              <w:jc w:val="center"/>
              <w:rPr>
                <w:rFonts w:hAnsi="宋体"/>
                <w:b/>
                <w:szCs w:val="21"/>
              </w:rPr>
            </w:pPr>
            <w:r>
              <w:rPr>
                <w:rFonts w:hint="eastAsia" w:hAnsi="宋体"/>
                <w:b/>
                <w:szCs w:val="21"/>
              </w:rPr>
              <w:t>序号</w:t>
            </w:r>
          </w:p>
        </w:tc>
        <w:tc>
          <w:tcPr>
            <w:tcW w:w="4968" w:type="dxa"/>
            <w:gridSpan w:val="2"/>
            <w:tcBorders>
              <w:tl2br w:val="single" w:color="auto" w:sz="4" w:space="0"/>
            </w:tcBorders>
            <w:vAlign w:val="center"/>
          </w:tcPr>
          <w:p>
            <w:pPr>
              <w:spacing w:line="360" w:lineRule="auto"/>
              <w:jc w:val="right"/>
              <w:rPr>
                <w:rFonts w:hAnsi="宋体"/>
                <w:b/>
                <w:szCs w:val="21"/>
              </w:rPr>
            </w:pPr>
            <w:r>
              <w:rPr>
                <w:rFonts w:hint="eastAsia" w:hAnsi="宋体"/>
                <w:b/>
                <w:szCs w:val="21"/>
              </w:rPr>
              <w:t>报价人</w:t>
            </w:r>
          </w:p>
          <w:p>
            <w:pPr>
              <w:spacing w:line="360" w:lineRule="auto"/>
              <w:rPr>
                <w:rFonts w:hAnsi="宋体"/>
              </w:rPr>
            </w:pPr>
            <w:r>
              <w:rPr>
                <w:rFonts w:hint="eastAsia" w:hAnsi="宋体"/>
                <w:b/>
                <w:szCs w:val="21"/>
              </w:rPr>
              <w:t>报价有效性审查项</w:t>
            </w:r>
          </w:p>
        </w:tc>
        <w:tc>
          <w:tcPr>
            <w:tcW w:w="995" w:type="dxa"/>
            <w:vAlign w:val="center"/>
          </w:tcPr>
          <w:p>
            <w:pPr>
              <w:spacing w:line="360" w:lineRule="auto"/>
              <w:jc w:val="center"/>
              <w:rPr>
                <w:rFonts w:hAnsi="宋体"/>
              </w:rPr>
            </w:pPr>
            <w:r>
              <w:rPr>
                <w:rFonts w:hint="eastAsia" w:hAnsi="宋体"/>
              </w:rPr>
              <w:t>A报价人</w:t>
            </w:r>
          </w:p>
        </w:tc>
        <w:tc>
          <w:tcPr>
            <w:tcW w:w="995" w:type="dxa"/>
            <w:vAlign w:val="center"/>
          </w:tcPr>
          <w:p>
            <w:pPr>
              <w:spacing w:line="360" w:lineRule="auto"/>
              <w:jc w:val="center"/>
              <w:rPr>
                <w:rFonts w:hAnsi="宋体"/>
              </w:rPr>
            </w:pPr>
            <w:r>
              <w:rPr>
                <w:rFonts w:hint="eastAsia" w:hAnsi="宋体"/>
              </w:rPr>
              <w:t>B报价人</w:t>
            </w:r>
          </w:p>
        </w:tc>
        <w:tc>
          <w:tcPr>
            <w:tcW w:w="995" w:type="dxa"/>
            <w:vAlign w:val="center"/>
          </w:tcPr>
          <w:p>
            <w:pPr>
              <w:tabs>
                <w:tab w:val="left" w:pos="8640"/>
              </w:tabs>
              <w:spacing w:line="360" w:lineRule="auto"/>
              <w:jc w:val="center"/>
              <w:rPr>
                <w:rFonts w:hAnsi="宋体"/>
              </w:rPr>
            </w:pPr>
            <w:r>
              <w:rPr>
                <w:rFonts w:hint="eastAsia" w:hAnsi="宋体"/>
              </w:rPr>
              <w:t>C报价人</w:t>
            </w:r>
          </w:p>
        </w:tc>
        <w:tc>
          <w:tcPr>
            <w:tcW w:w="992" w:type="dxa"/>
            <w:vAlign w:val="center"/>
          </w:tcPr>
          <w:p>
            <w:pPr>
              <w:spacing w:line="360" w:lineRule="auto"/>
              <w:jc w:val="center"/>
              <w:rPr>
                <w:rFonts w:hAnsi="宋体"/>
              </w:rPr>
            </w:pPr>
            <w:r>
              <w:rPr>
                <w:rFonts w:hint="eastAsia" w:hAnsi="宋体"/>
              </w:rPr>
              <w:t>D报价人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报价函及报价有效期符合要求</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按谈判文件规定加盖公章和签署</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已提交法定代表人/负责人资格证明书及授权委托书</w:t>
            </w:r>
          </w:p>
        </w:tc>
        <w:tc>
          <w:tcPr>
            <w:tcW w:w="995" w:type="dxa"/>
          </w:tcPr>
          <w:p>
            <w:pPr>
              <w:pStyle w:val="28"/>
              <w:tabs>
                <w:tab w:val="left" w:pos="686"/>
                <w:tab w:val="left" w:pos="1030"/>
              </w:tabs>
              <w:spacing w:before="40" w:after="40" w:line="360" w:lineRule="auto"/>
              <w:ind w:left="6000"/>
              <w:rPr>
                <w:rFonts w:hAnsi="宋体"/>
              </w:rPr>
            </w:pPr>
          </w:p>
        </w:tc>
        <w:tc>
          <w:tcPr>
            <w:tcW w:w="995" w:type="dxa"/>
            <w:vAlign w:val="center"/>
          </w:tcPr>
          <w:p>
            <w:pPr>
              <w:spacing w:before="40" w:after="40" w:line="360" w:lineRule="auto"/>
              <w:rPr>
                <w:rFonts w:hAnsi="宋体"/>
                <w:szCs w:val="21"/>
              </w:rPr>
            </w:pPr>
          </w:p>
        </w:tc>
        <w:tc>
          <w:tcPr>
            <w:tcW w:w="995" w:type="dxa"/>
            <w:vAlign w:val="center"/>
          </w:tcPr>
          <w:p>
            <w:pPr>
              <w:spacing w:before="40" w:after="40" w:line="360" w:lineRule="auto"/>
              <w:rPr>
                <w:rFonts w:hAnsi="宋体"/>
                <w:szCs w:val="21"/>
              </w:rPr>
            </w:pPr>
          </w:p>
        </w:tc>
        <w:tc>
          <w:tcPr>
            <w:tcW w:w="992" w:type="dxa"/>
            <w:vAlign w:val="center"/>
          </w:tcPr>
          <w:p>
            <w:pPr>
              <w:spacing w:before="40" w:after="40"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报价保证金符合要求</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szCs w:val="21"/>
              </w:rPr>
            </w:pPr>
          </w:p>
        </w:tc>
        <w:tc>
          <w:tcPr>
            <w:tcW w:w="995" w:type="dxa"/>
            <w:vAlign w:val="center"/>
          </w:tcPr>
          <w:p>
            <w:pPr>
              <w:spacing w:before="40" w:after="40" w:line="360" w:lineRule="auto"/>
              <w:rPr>
                <w:rFonts w:hAnsi="宋体"/>
                <w:szCs w:val="21"/>
              </w:rPr>
            </w:pPr>
          </w:p>
        </w:tc>
        <w:tc>
          <w:tcPr>
            <w:tcW w:w="992" w:type="dxa"/>
            <w:vAlign w:val="center"/>
          </w:tcPr>
          <w:p>
            <w:pPr>
              <w:spacing w:before="40" w:after="40" w:line="360" w:lineRule="auto"/>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符合报价人资格条件</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报价文件主要资料齐全</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tabs>
                <w:tab w:val="left" w:pos="2880"/>
              </w:tabs>
              <w:spacing w:line="360" w:lineRule="auto"/>
              <w:ind w:left="46" w:leftChars="19"/>
              <w:rPr>
                <w:sz w:val="21"/>
                <w:szCs w:val="21"/>
              </w:rPr>
            </w:pPr>
            <w:r>
              <w:rPr>
                <w:rFonts w:hint="eastAsia"/>
                <w:sz w:val="21"/>
                <w:szCs w:val="21"/>
              </w:rPr>
              <w:t>最终报价不高于项目的预算价且不高于前面轮次报价</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报价无重大漏项或重大不合理</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“★”号条款满足要求</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8" w:type="dxa"/>
            <w:vAlign w:val="center"/>
          </w:tcPr>
          <w:p>
            <w:pPr>
              <w:widowControl/>
              <w:numPr>
                <w:ilvl w:val="0"/>
                <w:numId w:val="16"/>
              </w:numPr>
              <w:spacing w:before="40" w:after="40" w:line="360" w:lineRule="auto"/>
              <w:jc w:val="center"/>
              <w:rPr>
                <w:rFonts w:hAnsi="宋体"/>
                <w:sz w:val="21"/>
                <w:szCs w:val="21"/>
              </w:rPr>
            </w:pPr>
          </w:p>
        </w:tc>
        <w:tc>
          <w:tcPr>
            <w:tcW w:w="4968" w:type="dxa"/>
            <w:gridSpan w:val="2"/>
            <w:vAlign w:val="center"/>
          </w:tcPr>
          <w:p>
            <w:pPr>
              <w:spacing w:line="360" w:lineRule="auto"/>
              <w:ind w:left="46" w:leftChars="19"/>
              <w:rPr>
                <w:sz w:val="21"/>
                <w:szCs w:val="21"/>
              </w:rPr>
            </w:pPr>
            <w:r>
              <w:rPr>
                <w:rFonts w:hint="eastAsia"/>
                <w:sz w:val="21"/>
                <w:szCs w:val="21"/>
              </w:rPr>
              <w:t>无谈判文件或法规明确规定可以废标的其他情形</w:t>
            </w:r>
          </w:p>
        </w:tc>
        <w:tc>
          <w:tcPr>
            <w:tcW w:w="995" w:type="dxa"/>
          </w:tcPr>
          <w:p>
            <w:pPr>
              <w:tabs>
                <w:tab w:val="left" w:pos="686"/>
                <w:tab w:val="left" w:pos="1030"/>
              </w:tabs>
              <w:spacing w:before="40" w:after="40" w:line="360" w:lineRule="auto"/>
              <w:rPr>
                <w:rFonts w:hAnsi="宋体"/>
                <w:sz w:val="21"/>
                <w:szCs w:val="21"/>
              </w:rPr>
            </w:pPr>
          </w:p>
        </w:tc>
        <w:tc>
          <w:tcPr>
            <w:tcW w:w="995" w:type="dxa"/>
            <w:vAlign w:val="center"/>
          </w:tcPr>
          <w:p>
            <w:pPr>
              <w:spacing w:before="40" w:after="40" w:line="360" w:lineRule="auto"/>
              <w:rPr>
                <w:rFonts w:hAnsi="宋体"/>
                <w:b/>
                <w:szCs w:val="21"/>
              </w:rPr>
            </w:pPr>
          </w:p>
        </w:tc>
        <w:tc>
          <w:tcPr>
            <w:tcW w:w="995" w:type="dxa"/>
            <w:vAlign w:val="center"/>
          </w:tcPr>
          <w:p>
            <w:pPr>
              <w:spacing w:before="40" w:after="40" w:line="360" w:lineRule="auto"/>
              <w:rPr>
                <w:rFonts w:hAnsi="宋体"/>
                <w:b/>
                <w:szCs w:val="21"/>
              </w:rPr>
            </w:pPr>
          </w:p>
        </w:tc>
        <w:tc>
          <w:tcPr>
            <w:tcW w:w="992" w:type="dxa"/>
            <w:vAlign w:val="center"/>
          </w:tcPr>
          <w:p>
            <w:pPr>
              <w:spacing w:before="40" w:after="40" w:line="360" w:lineRule="auto"/>
              <w:rPr>
                <w:rFonts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96" w:type="dxa"/>
            <w:gridSpan w:val="3"/>
            <w:vAlign w:val="center"/>
          </w:tcPr>
          <w:p>
            <w:pPr>
              <w:spacing w:before="40" w:after="40" w:line="360" w:lineRule="auto"/>
              <w:jc w:val="center"/>
              <w:rPr>
                <w:rFonts w:hAnsi="宋体"/>
                <w:b/>
                <w:sz w:val="21"/>
                <w:szCs w:val="21"/>
              </w:rPr>
            </w:pPr>
            <w:r>
              <w:rPr>
                <w:rFonts w:hint="eastAsia" w:hAnsi="宋体"/>
                <w:b/>
                <w:sz w:val="21"/>
                <w:szCs w:val="21"/>
              </w:rPr>
              <w:t>结  论</w:t>
            </w:r>
          </w:p>
        </w:tc>
        <w:tc>
          <w:tcPr>
            <w:tcW w:w="995" w:type="dxa"/>
            <w:vAlign w:val="center"/>
          </w:tcPr>
          <w:p>
            <w:pPr>
              <w:spacing w:line="360" w:lineRule="auto"/>
              <w:ind w:left="46" w:leftChars="19"/>
              <w:rPr>
                <w:sz w:val="21"/>
                <w:szCs w:val="21"/>
              </w:rPr>
            </w:pPr>
          </w:p>
        </w:tc>
        <w:tc>
          <w:tcPr>
            <w:tcW w:w="995" w:type="dxa"/>
            <w:vAlign w:val="center"/>
          </w:tcPr>
          <w:p>
            <w:pPr>
              <w:spacing w:before="40" w:after="40" w:line="360" w:lineRule="auto"/>
              <w:rPr>
                <w:rFonts w:hAnsi="宋体"/>
                <w:b/>
                <w:sz w:val="21"/>
                <w:szCs w:val="21"/>
              </w:rPr>
            </w:pPr>
          </w:p>
        </w:tc>
        <w:tc>
          <w:tcPr>
            <w:tcW w:w="995" w:type="dxa"/>
            <w:vAlign w:val="center"/>
          </w:tcPr>
          <w:p>
            <w:pPr>
              <w:spacing w:before="40" w:after="40" w:line="360" w:lineRule="auto"/>
              <w:rPr>
                <w:rFonts w:hAnsi="宋体"/>
                <w:b/>
                <w:sz w:val="21"/>
                <w:szCs w:val="21"/>
              </w:rPr>
            </w:pPr>
          </w:p>
        </w:tc>
        <w:tc>
          <w:tcPr>
            <w:tcW w:w="992" w:type="dxa"/>
            <w:vAlign w:val="center"/>
          </w:tcPr>
          <w:p>
            <w:pPr>
              <w:spacing w:before="40" w:after="40"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0" w:type="dxa"/>
            <w:gridSpan w:val="2"/>
            <w:vAlign w:val="center"/>
          </w:tcPr>
          <w:p>
            <w:pPr>
              <w:spacing w:before="40" w:after="40" w:line="360" w:lineRule="auto"/>
              <w:jc w:val="center"/>
              <w:rPr>
                <w:rFonts w:hAnsi="宋体"/>
                <w:b/>
                <w:sz w:val="21"/>
                <w:szCs w:val="21"/>
              </w:rPr>
            </w:pPr>
            <w:r>
              <w:rPr>
                <w:rFonts w:hint="eastAsia" w:hAnsi="宋体"/>
                <w:b/>
                <w:sz w:val="21"/>
                <w:szCs w:val="21"/>
              </w:rPr>
              <w:t>不通过原因说明</w:t>
            </w:r>
          </w:p>
        </w:tc>
        <w:tc>
          <w:tcPr>
            <w:tcW w:w="8403" w:type="dxa"/>
            <w:gridSpan w:val="5"/>
            <w:vAlign w:val="center"/>
          </w:tcPr>
          <w:p>
            <w:pPr>
              <w:spacing w:line="360" w:lineRule="auto"/>
              <w:ind w:left="46" w:leftChars="19"/>
              <w:rPr>
                <w:sz w:val="21"/>
                <w:szCs w:val="21"/>
              </w:rPr>
            </w:pPr>
          </w:p>
        </w:tc>
      </w:tr>
    </w:tbl>
    <w:p>
      <w:pPr>
        <w:spacing w:before="120" w:line="360" w:lineRule="auto"/>
        <w:rPr>
          <w:rFonts w:hAnsi="宋体"/>
          <w:sz w:val="21"/>
          <w:szCs w:val="21"/>
        </w:rPr>
      </w:pPr>
      <w:r>
        <w:rPr>
          <w:rFonts w:hint="eastAsia" w:hAnsi="宋体"/>
          <w:sz w:val="21"/>
          <w:szCs w:val="21"/>
        </w:rPr>
        <w:t>1．评审时评委对报价人是否满足要求逐条标注评审意见，“是”标记为“○”，“否”标记为“×”；</w:t>
      </w:r>
    </w:p>
    <w:p>
      <w:pPr>
        <w:spacing w:line="360" w:lineRule="auto"/>
        <w:rPr>
          <w:rFonts w:hAnsi="宋体"/>
          <w:sz w:val="21"/>
          <w:szCs w:val="21"/>
        </w:rPr>
      </w:pPr>
      <w:r>
        <w:rPr>
          <w:rFonts w:hint="eastAsia" w:hAnsi="宋体"/>
          <w:sz w:val="21"/>
          <w:szCs w:val="21"/>
        </w:rPr>
        <w:t>2．评审结论栏统一填写为“通过”或“不通过” ，出现一个“×”为“不通过”；</w:t>
      </w:r>
    </w:p>
    <w:p>
      <w:pPr>
        <w:spacing w:line="360" w:lineRule="auto"/>
        <w:rPr>
          <w:rFonts w:hAnsi="宋体"/>
          <w:sz w:val="21"/>
          <w:szCs w:val="21"/>
        </w:rPr>
      </w:pPr>
      <w:r>
        <w:rPr>
          <w:rFonts w:hint="eastAsia" w:hAnsi="宋体"/>
          <w:sz w:val="21"/>
          <w:szCs w:val="21"/>
        </w:rPr>
        <w:t>3．对结论为“不通过”的报价，要说明原因。</w:t>
      </w:r>
    </w:p>
    <w:p>
      <w:pPr>
        <w:spacing w:line="360" w:lineRule="auto"/>
        <w:rPr>
          <w:rFonts w:hAnsi="宋体"/>
          <w:szCs w:val="21"/>
        </w:rPr>
      </w:pPr>
    </w:p>
    <w:p>
      <w:pPr>
        <w:pStyle w:val="12"/>
        <w:spacing w:line="360" w:lineRule="auto"/>
        <w:ind w:firstLine="402"/>
        <w:rPr>
          <w:rFonts w:cs="宋体"/>
          <w:b/>
          <w:bCs/>
        </w:rPr>
      </w:pPr>
    </w:p>
    <w:p>
      <w:pPr>
        <w:pStyle w:val="12"/>
        <w:spacing w:line="360" w:lineRule="auto"/>
        <w:ind w:firstLine="402"/>
        <w:rPr>
          <w:rFonts w:cs="宋体"/>
          <w:b/>
          <w:bCs/>
        </w:rPr>
      </w:pPr>
    </w:p>
    <w:p>
      <w:pPr>
        <w:pStyle w:val="12"/>
        <w:spacing w:line="360" w:lineRule="auto"/>
        <w:ind w:firstLine="402"/>
        <w:rPr>
          <w:rFonts w:cs="宋体"/>
          <w:b/>
          <w:bCs/>
        </w:rPr>
      </w:pPr>
    </w:p>
    <w:p>
      <w:pPr>
        <w:pStyle w:val="12"/>
        <w:spacing w:line="360" w:lineRule="auto"/>
        <w:ind w:firstLine="402"/>
        <w:rPr>
          <w:rFonts w:cs="宋体"/>
          <w:b/>
          <w:bCs/>
        </w:rPr>
      </w:pPr>
    </w:p>
    <w:p>
      <w:pPr>
        <w:pStyle w:val="12"/>
        <w:spacing w:line="360" w:lineRule="auto"/>
        <w:ind w:firstLine="402"/>
        <w:rPr>
          <w:rFonts w:cs="宋体"/>
          <w:b/>
          <w:bCs/>
        </w:rPr>
      </w:pPr>
    </w:p>
    <w:p>
      <w:pPr>
        <w:pStyle w:val="3"/>
        <w:keepNext/>
        <w:keepLines/>
        <w:pageBreakBefore/>
        <w:numPr>
          <w:ilvl w:val="0"/>
          <w:numId w:val="15"/>
        </w:numPr>
        <w:spacing w:line="360" w:lineRule="auto"/>
        <w:jc w:val="center"/>
        <w:rPr>
          <w:rFonts w:hAnsi="宋体"/>
          <w:b/>
          <w:bCs/>
          <w:kern w:val="44"/>
          <w:sz w:val="28"/>
          <w:szCs w:val="28"/>
          <w:lang w:val="zh-CN"/>
        </w:rPr>
      </w:pPr>
      <w:r>
        <w:rPr>
          <w:rFonts w:hint="eastAsia" w:hAnsi="宋体"/>
          <w:b/>
          <w:bCs/>
          <w:kern w:val="44"/>
          <w:sz w:val="28"/>
          <w:szCs w:val="28"/>
        </w:rPr>
        <w:t xml:space="preserve"> </w:t>
      </w:r>
      <w:bookmarkStart w:id="14" w:name="_Toc6581"/>
      <w:r>
        <w:rPr>
          <w:rFonts w:hint="eastAsia" w:hAnsi="宋体"/>
          <w:b/>
          <w:bCs/>
          <w:kern w:val="44"/>
          <w:sz w:val="28"/>
          <w:szCs w:val="28"/>
          <w:lang w:val="zh-CN"/>
        </w:rPr>
        <w:t>合同条款格式</w:t>
      </w:r>
      <w:bookmarkEnd w:id="14"/>
    </w:p>
    <w:p>
      <w:pPr>
        <w:spacing w:line="420" w:lineRule="atLeast"/>
        <w:rPr>
          <w:rFonts w:hAnsi="宋体"/>
          <w:sz w:val="22"/>
          <w:szCs w:val="22"/>
        </w:rPr>
      </w:pPr>
    </w:p>
    <w:p>
      <w:pPr>
        <w:widowControl/>
        <w:wordWrap w:val="0"/>
        <w:jc w:val="right"/>
        <w:rPr>
          <w:rFonts w:eastAsia="仿宋_GB2312"/>
          <w:shd w:val="clear" w:color="auto" w:fill="FFFFFF"/>
        </w:rPr>
      </w:pPr>
      <w:r>
        <w:rPr>
          <w:rFonts w:eastAsia="仿宋_GB2312"/>
          <w:shd w:val="clear" w:color="auto" w:fill="FFFFFF"/>
        </w:rPr>
        <w:t>合同编号：</w:t>
      </w:r>
      <w:r>
        <w:rPr>
          <w:rFonts w:hint="eastAsia" w:eastAsia="仿宋_GB2312"/>
          <w:shd w:val="clear" w:color="auto" w:fill="FFFFFF"/>
        </w:rPr>
        <w:t xml:space="preserve">             </w:t>
      </w:r>
    </w:p>
    <w:p>
      <w:pPr>
        <w:rPr>
          <w:rFonts w:hAnsi="宋体"/>
        </w:rPr>
      </w:pPr>
    </w:p>
    <w:p>
      <w:pPr>
        <w:spacing w:line="400" w:lineRule="exact"/>
        <w:rPr>
          <w:rFonts w:eastAsia="方正小标宋简体"/>
          <w:b/>
          <w:bCs/>
          <w:sz w:val="36"/>
          <w:szCs w:val="36"/>
        </w:rPr>
      </w:pPr>
    </w:p>
    <w:p>
      <w:pPr>
        <w:spacing w:line="400" w:lineRule="exact"/>
        <w:jc w:val="center"/>
        <w:rPr>
          <w:rFonts w:eastAsia="方正小标宋简体"/>
          <w:b/>
          <w:bCs/>
          <w:sz w:val="36"/>
          <w:szCs w:val="36"/>
        </w:rPr>
      </w:pPr>
      <w:r>
        <w:rPr>
          <w:rFonts w:hint="eastAsia" w:eastAsia="方正小标宋简体"/>
          <w:b/>
          <w:bCs/>
          <w:sz w:val="36"/>
          <w:szCs w:val="36"/>
        </w:rPr>
        <w:t>旗云花园项目高低压以及新增市政安装工程</w:t>
      </w:r>
      <w:r>
        <w:rPr>
          <w:rFonts w:eastAsia="方正小标宋简体"/>
          <w:b/>
          <w:bCs/>
          <w:sz w:val="36"/>
          <w:szCs w:val="36"/>
        </w:rPr>
        <w:t>合同</w:t>
      </w:r>
    </w:p>
    <w:p>
      <w:pPr>
        <w:widowControl/>
        <w:ind w:firstLine="5400" w:firstLineChars="1800"/>
        <w:rPr>
          <w:rFonts w:eastAsia="方正小标宋简体"/>
          <w:sz w:val="30"/>
          <w:szCs w:val="30"/>
        </w:rPr>
      </w:pPr>
    </w:p>
    <w:p>
      <w:pPr>
        <w:spacing w:line="600" w:lineRule="exact"/>
        <w:rPr>
          <w:rFonts w:eastAsia="仿宋_GB2312"/>
          <w:sz w:val="32"/>
          <w:szCs w:val="32"/>
        </w:rPr>
      </w:pPr>
      <w:r>
        <w:rPr>
          <w:rFonts w:eastAsia="仿宋_GB2312"/>
          <w:b/>
          <w:sz w:val="32"/>
          <w:szCs w:val="32"/>
        </w:rPr>
        <w:t>发包人：</w:t>
      </w:r>
      <w:r>
        <w:rPr>
          <w:rFonts w:hint="eastAsia" w:eastAsia="仿宋_GB2312"/>
          <w:b/>
          <w:sz w:val="32"/>
          <w:szCs w:val="32"/>
          <w:u w:val="single"/>
        </w:rPr>
        <w:t>东莞市东实旗云投资有限公司</w:t>
      </w:r>
      <w:r>
        <w:rPr>
          <w:rFonts w:eastAsia="仿宋_GB2312"/>
          <w:sz w:val="32"/>
          <w:szCs w:val="32"/>
        </w:rPr>
        <w:t>（以下简称甲方）</w:t>
      </w:r>
    </w:p>
    <w:p>
      <w:pPr>
        <w:spacing w:line="600" w:lineRule="exact"/>
        <w:rPr>
          <w:rFonts w:eastAsia="仿宋_GB2312"/>
          <w:sz w:val="32"/>
          <w:szCs w:val="32"/>
        </w:rPr>
      </w:pPr>
      <w:r>
        <w:rPr>
          <w:rFonts w:eastAsia="仿宋_GB2312"/>
          <w:b/>
          <w:sz w:val="32"/>
          <w:szCs w:val="32"/>
        </w:rPr>
        <w:t>承包人：</w:t>
      </w:r>
      <w:r>
        <w:rPr>
          <w:rFonts w:hint="eastAsia" w:eastAsia="仿宋_GB2312"/>
          <w:b/>
          <w:sz w:val="32"/>
          <w:szCs w:val="32"/>
        </w:rPr>
        <w:t xml:space="preserve">                          </w:t>
      </w:r>
      <w:r>
        <w:rPr>
          <w:rFonts w:eastAsia="仿宋_GB2312"/>
          <w:sz w:val="32"/>
          <w:szCs w:val="32"/>
        </w:rPr>
        <w:t>（以下简称乙方）</w:t>
      </w:r>
    </w:p>
    <w:p>
      <w:pPr>
        <w:spacing w:line="600" w:lineRule="exact"/>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按照《中华人民共和国</w:t>
      </w:r>
      <w:r>
        <w:rPr>
          <w:rFonts w:hint="eastAsia" w:eastAsia="仿宋_GB2312"/>
          <w:sz w:val="32"/>
          <w:szCs w:val="32"/>
        </w:rPr>
        <w:t>民法典</w:t>
      </w:r>
      <w:r>
        <w:rPr>
          <w:rFonts w:eastAsia="仿宋_GB2312"/>
          <w:sz w:val="32"/>
          <w:szCs w:val="32"/>
        </w:rPr>
        <w:t>》等有关法律法规的规定，结合本工程实际情况，遵守平等、自愿、公平和诚实信用原则，经双方协商达成如下协议：</w:t>
      </w:r>
    </w:p>
    <w:p>
      <w:pPr>
        <w:spacing w:line="600" w:lineRule="exact"/>
        <w:rPr>
          <w:rFonts w:eastAsia="仿宋_GB2312"/>
          <w:b/>
          <w:bCs/>
          <w:sz w:val="32"/>
          <w:szCs w:val="32"/>
        </w:rPr>
      </w:pPr>
      <w:r>
        <w:rPr>
          <w:rFonts w:hint="eastAsia" w:eastAsia="仿宋_GB2312"/>
          <w:b/>
          <w:bCs/>
          <w:sz w:val="32"/>
          <w:szCs w:val="32"/>
        </w:rPr>
        <w:t>一、</w:t>
      </w:r>
      <w:r>
        <w:rPr>
          <w:rFonts w:eastAsia="仿宋_GB2312"/>
          <w:b/>
          <w:bCs/>
          <w:sz w:val="32"/>
          <w:szCs w:val="32"/>
        </w:rPr>
        <w:t>工程概况</w:t>
      </w:r>
    </w:p>
    <w:p>
      <w:pPr>
        <w:spacing w:line="600" w:lineRule="exact"/>
        <w:rPr>
          <w:rFonts w:eastAsia="仿宋_GB2312"/>
          <w:sz w:val="32"/>
          <w:szCs w:val="32"/>
          <w:u w:val="single"/>
        </w:rPr>
      </w:pPr>
      <w:r>
        <w:rPr>
          <w:rFonts w:hint="eastAsia" w:eastAsia="仿宋_GB2312"/>
          <w:b/>
          <w:bCs/>
          <w:sz w:val="32"/>
          <w:szCs w:val="32"/>
        </w:rPr>
        <w:t>（一）</w:t>
      </w:r>
      <w:r>
        <w:rPr>
          <w:rFonts w:eastAsia="仿宋_GB2312"/>
          <w:b/>
          <w:bCs/>
          <w:sz w:val="32"/>
          <w:szCs w:val="32"/>
        </w:rPr>
        <w:t>名称：</w:t>
      </w:r>
      <w:r>
        <w:rPr>
          <w:rFonts w:hint="eastAsia" w:eastAsia="仿宋_GB2312"/>
          <w:sz w:val="32"/>
          <w:szCs w:val="32"/>
          <w:u w:val="single"/>
        </w:rPr>
        <w:t>旗云花园项目高低压以及新增市政安装工程</w:t>
      </w:r>
    </w:p>
    <w:p>
      <w:pPr>
        <w:spacing w:line="600" w:lineRule="exact"/>
        <w:rPr>
          <w:rFonts w:eastAsia="仿宋_GB2312"/>
          <w:sz w:val="32"/>
          <w:szCs w:val="32"/>
        </w:rPr>
      </w:pPr>
      <w:r>
        <w:rPr>
          <w:rFonts w:hint="eastAsia" w:eastAsia="仿宋_GB2312"/>
          <w:b/>
          <w:bCs/>
          <w:sz w:val="32"/>
          <w:szCs w:val="32"/>
        </w:rPr>
        <w:t>（二）</w:t>
      </w:r>
      <w:r>
        <w:rPr>
          <w:rFonts w:eastAsia="仿宋_GB2312"/>
          <w:b/>
          <w:bCs/>
          <w:sz w:val="32"/>
          <w:szCs w:val="32"/>
        </w:rPr>
        <w:t>地点：</w:t>
      </w:r>
      <w:r>
        <w:rPr>
          <w:rFonts w:hint="eastAsia" w:eastAsia="仿宋_GB2312"/>
          <w:sz w:val="32"/>
          <w:szCs w:val="32"/>
          <w:u w:val="single"/>
        </w:rPr>
        <w:t>东莞市石龙镇</w:t>
      </w:r>
    </w:p>
    <w:p>
      <w:pPr>
        <w:spacing w:line="600" w:lineRule="exact"/>
        <w:rPr>
          <w:rFonts w:eastAsia="仿宋_GB2312"/>
          <w:sz w:val="32"/>
          <w:szCs w:val="32"/>
        </w:rPr>
      </w:pPr>
      <w:r>
        <w:rPr>
          <w:rFonts w:hint="eastAsia" w:eastAsia="仿宋_GB2312"/>
          <w:b/>
          <w:bCs/>
          <w:sz w:val="32"/>
          <w:szCs w:val="32"/>
        </w:rPr>
        <w:t>（三）概况：</w:t>
      </w:r>
      <w:r>
        <w:rPr>
          <w:rFonts w:hint="eastAsia" w:eastAsia="仿宋_GB2312"/>
          <w:sz w:val="32"/>
          <w:szCs w:val="32"/>
        </w:rPr>
        <w:t>旗云花园总占地面积：1.64万平米，总建筑面积：11.34万平米，住宅总户数804户, 本项目设置3处变配电房及发电机房，总装机容量为 6860KVA。</w:t>
      </w:r>
    </w:p>
    <w:p>
      <w:pPr>
        <w:spacing w:line="600" w:lineRule="exact"/>
        <w:rPr>
          <w:rFonts w:eastAsia="仿宋_GB2312"/>
          <w:sz w:val="32"/>
          <w:szCs w:val="32"/>
        </w:rPr>
      </w:pPr>
      <w:r>
        <w:rPr>
          <w:rFonts w:hint="eastAsia" w:eastAsia="仿宋_GB2312"/>
          <w:sz w:val="32"/>
          <w:szCs w:val="32"/>
        </w:rPr>
        <w:t>(四)工程内容及施工范围：</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1、负责高低压以及新增市政安装工程的报建及验收工作：</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（1）负责高低压图纸的深化设计，图纸需经过供电局审批通过；</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（2）负责本项目高低压提级申请；</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（3）负责本项目与供电局（相关单位）协调，并通过高低压报建、验收、通电相关工作；</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（4）负责水表及电表集抄的设计及领表工作。</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2、根据供电局审批通过的提级申请以及供配电方案，完成原总包招标图纸范围外的安装工程，并保证通电。</w:t>
      </w:r>
    </w:p>
    <w:p>
      <w:pPr>
        <w:pStyle w:val="59"/>
        <w:spacing w:line="360" w:lineRule="auto"/>
        <w:ind w:firstLine="0" w:firstLineChars="0"/>
        <w:rPr>
          <w:rFonts w:ascii="Times New Roman" w:eastAsia="仿宋_GB2312"/>
          <w:kern w:val="2"/>
          <w:sz w:val="32"/>
          <w:szCs w:val="32"/>
          <w:lang w:val="en-US"/>
        </w:rPr>
      </w:pPr>
      <w:r>
        <w:rPr>
          <w:rFonts w:hint="eastAsia" w:ascii="Times New Roman" w:eastAsia="仿宋_GB2312"/>
          <w:kern w:val="2"/>
          <w:sz w:val="32"/>
          <w:szCs w:val="32"/>
          <w:lang w:val="en-US"/>
        </w:rPr>
        <w:t>3、施工范围：</w:t>
      </w:r>
    </w:p>
    <w:p>
      <w:pPr>
        <w:spacing w:line="360" w:lineRule="auto"/>
        <w:rPr>
          <w:rFonts w:eastAsia="仿宋_GB2312"/>
          <w:sz w:val="32"/>
          <w:szCs w:val="32"/>
        </w:rPr>
      </w:pPr>
      <w:r>
        <w:rPr>
          <w:rFonts w:hint="eastAsia" w:eastAsia="仿宋_GB2312"/>
          <w:sz w:val="32"/>
          <w:szCs w:val="32"/>
        </w:rPr>
        <w:t>（1）外进线电缆安装工程部分：电缆分接箱2座，从接线点至10kV旗云花园公用开关站的10kV电缆，从1号配电房到2号配电房的网环10kV电缆，从1号配电房到3号配电房的网环10kV电缆（工作内容包括但不限于分接箱安装、电缆敷设、电缆保护管敷设、电缆井安装、电缆桥架安装、电缆头制作、供电安健环安装及用电系统试验。具体界面划分以电缆头为界（含电缆头制作），具体建设规模以招标清单及参考图纸为准）。</w:t>
      </w:r>
    </w:p>
    <w:p>
      <w:pPr>
        <w:spacing w:line="360" w:lineRule="auto"/>
        <w:rPr>
          <w:rFonts w:eastAsia="仿宋_GB2312"/>
          <w:sz w:val="32"/>
          <w:szCs w:val="32"/>
        </w:rPr>
      </w:pPr>
      <w:r>
        <w:rPr>
          <w:rFonts w:hint="eastAsia" w:eastAsia="仿宋_GB2312"/>
          <w:sz w:val="32"/>
          <w:szCs w:val="32"/>
        </w:rPr>
        <w:t>（2）配电房新增设备安装工程：4台高压柜，3台高压计量柜，2台低压转角柜，1台SCB13-1000kVA干式变压器，10kV电缆敷设，0.4kV2000A母线槽安装，绝缘地坪漆施工（工作内容包括但不限于高低压柜安装、变压器安装、电缆敷设、电缆头制作、线槽安装、供电安健环安装及用电系统试验。具体建设规模以招标清单及参考图纸为准）。</w:t>
      </w:r>
    </w:p>
    <w:p>
      <w:pPr>
        <w:spacing w:line="360" w:lineRule="auto"/>
        <w:rPr>
          <w:rFonts w:eastAsia="仿宋_GB2312"/>
          <w:sz w:val="32"/>
          <w:szCs w:val="32"/>
        </w:rPr>
      </w:pPr>
      <w:r>
        <w:rPr>
          <w:rFonts w:hint="eastAsia" w:eastAsia="仿宋_GB2312"/>
          <w:sz w:val="32"/>
          <w:szCs w:val="32"/>
        </w:rPr>
        <w:t>（3）快速接入箱工程：2台发电机快速接入箱安装（含发电机快速接入箱基础），发电机快速接入箱至低压柜电缆敷设（工作内容包括但不限于发电机快速接入箱安装、电缆敷设、电缆头制作、供电安健环安装及用电系统试验。具体建设规模以招标清单及参考图纸为准）。</w:t>
      </w:r>
    </w:p>
    <w:p>
      <w:pPr>
        <w:spacing w:line="360" w:lineRule="auto"/>
        <w:rPr>
          <w:rFonts w:eastAsia="仿宋_GB2312"/>
          <w:sz w:val="32"/>
          <w:szCs w:val="32"/>
        </w:rPr>
      </w:pPr>
      <w:r>
        <w:rPr>
          <w:rFonts w:hint="eastAsia" w:eastAsia="仿宋_GB2312"/>
          <w:sz w:val="32"/>
          <w:szCs w:val="32"/>
        </w:rPr>
        <w:t>（4）高压开关站安装工程部分：10kV旗云花园公用开关站G01~G06配电柜的采购及安装，从公用开关站至1号配电房的10kV电缆，从公用开关站至2号配电房的10kV电缆，10kV旗云花园公用开关站照明安装工程；（工作内容包括但不限于配电柜安装、电缆敷设、电缆桥架安装、电缆头制作、供电安健环安装及用电系统试验。具体界面划分以公用开关站范围内及1号/2号配电房电缆头为界（含电缆头制作），具体建设规模以招标清单及参考图纸为准）。</w:t>
      </w:r>
    </w:p>
    <w:p>
      <w:pPr>
        <w:spacing w:line="360" w:lineRule="auto"/>
        <w:rPr>
          <w:rFonts w:eastAsia="仿宋_GB2312"/>
          <w:sz w:val="32"/>
          <w:szCs w:val="32"/>
        </w:rPr>
      </w:pPr>
      <w:r>
        <w:rPr>
          <w:rFonts w:hint="eastAsia" w:eastAsia="仿宋_GB2312"/>
          <w:sz w:val="32"/>
          <w:szCs w:val="32"/>
        </w:rPr>
        <w:t>（5）电表集中抄表安装工程：1、2、3号楼电表集抄系统（含供电相关手续、资料办理、装表、集抄系统安装、验收、通电等）。</w:t>
      </w:r>
    </w:p>
    <w:p>
      <w:pPr>
        <w:pStyle w:val="58"/>
        <w:spacing w:line="360" w:lineRule="auto"/>
      </w:pPr>
      <w:r>
        <w:rPr>
          <w:rFonts w:hint="eastAsia" w:eastAsia="仿宋_GB2312"/>
          <w:kern w:val="2"/>
          <w:sz w:val="32"/>
          <w:szCs w:val="32"/>
        </w:rPr>
        <w:t>（6）水表集中抄表安装工程：住宅总户数804户，水表集抄仅针对住宅部分，每层飘廊位置开DN32孔，沿电梯前室吊顶敷设DN25阻燃PVC管至电井, 通过竖井原有的弱电桥架，连接至物业管理中心。水表集中抄表安装系统（含水表集中采集器、水表集抄汇聚交换机、水表集抄平台软件、光纤、配管、配线、穿墙洞口等）。</w:t>
      </w:r>
    </w:p>
    <w:p>
      <w:pPr>
        <w:spacing w:line="600" w:lineRule="exact"/>
        <w:rPr>
          <w:rFonts w:eastAsia="仿宋_GB2312"/>
          <w:b/>
          <w:bCs/>
          <w:sz w:val="32"/>
          <w:szCs w:val="32"/>
        </w:rPr>
      </w:pPr>
      <w:r>
        <w:rPr>
          <w:rFonts w:hint="eastAsia" w:eastAsia="仿宋_GB2312"/>
          <w:b/>
          <w:bCs/>
          <w:sz w:val="32"/>
          <w:szCs w:val="32"/>
        </w:rPr>
        <w:t>（五）承包方式</w:t>
      </w:r>
    </w:p>
    <w:p>
      <w:pPr>
        <w:spacing w:line="600" w:lineRule="exact"/>
        <w:ind w:firstLine="680" w:firstLineChars="200"/>
        <w:rPr>
          <w:rFonts w:eastAsia="仿宋_GB2312"/>
          <w:bCs/>
          <w:spacing w:val="10"/>
          <w:sz w:val="32"/>
          <w:szCs w:val="32"/>
        </w:rPr>
      </w:pPr>
      <w:r>
        <w:rPr>
          <w:rFonts w:hint="eastAsia" w:eastAsia="仿宋_GB2312"/>
          <w:bCs/>
          <w:spacing w:val="10"/>
          <w:sz w:val="32"/>
          <w:szCs w:val="32"/>
        </w:rPr>
        <w:t>总价包干，包设计、包报建、包施工、包安装调试、包验收、包通电，以及包括项目的服务及其他附属服务的服务费用、相关人员工资、一切税费、保险费、仓储费、税费、资料等履约过程可预见和不可预见的一切费用，且在合同执行过程中不作任何调整。</w:t>
      </w:r>
    </w:p>
    <w:p>
      <w:pPr>
        <w:spacing w:line="600" w:lineRule="exact"/>
        <w:ind w:firstLine="680" w:firstLineChars="200"/>
        <w:rPr>
          <w:rFonts w:eastAsia="仿宋_GB2312"/>
          <w:bCs/>
          <w:spacing w:val="10"/>
          <w:sz w:val="32"/>
          <w:szCs w:val="32"/>
        </w:rPr>
      </w:pPr>
      <w:r>
        <w:rPr>
          <w:rFonts w:hint="eastAsia" w:eastAsia="仿宋_GB2312"/>
          <w:bCs/>
          <w:spacing w:val="10"/>
          <w:sz w:val="32"/>
          <w:szCs w:val="32"/>
        </w:rPr>
        <w:t>发包人提供的参考图纸中外进线电缆接驳点仅为示意，具体接驳点由报价人自行与相关单位确认，如外进线电缆接驳点位置与参考图纸中的位置不一致而产生的工程量及造价变化，报价人自行承担风险，发包人在合同执行过程中不作任何调整。</w:t>
      </w:r>
    </w:p>
    <w:p>
      <w:pPr>
        <w:spacing w:line="600" w:lineRule="exact"/>
        <w:rPr>
          <w:rFonts w:eastAsia="仿宋_GB2312"/>
          <w:b/>
          <w:bCs/>
          <w:sz w:val="32"/>
          <w:szCs w:val="32"/>
        </w:rPr>
      </w:pPr>
      <w:r>
        <w:rPr>
          <w:rFonts w:hint="eastAsia" w:eastAsia="仿宋_GB2312"/>
          <w:b/>
          <w:bCs/>
          <w:sz w:val="32"/>
          <w:szCs w:val="32"/>
        </w:rPr>
        <w:t>(六)工期</w:t>
      </w:r>
    </w:p>
    <w:p>
      <w:pPr>
        <w:spacing w:line="600" w:lineRule="exact"/>
        <w:ind w:firstLine="340" w:firstLineChars="100"/>
        <w:rPr>
          <w:rFonts w:eastAsia="仿宋_GB2312"/>
          <w:bCs/>
          <w:spacing w:val="10"/>
          <w:sz w:val="32"/>
          <w:szCs w:val="32"/>
        </w:rPr>
      </w:pPr>
      <w:r>
        <w:rPr>
          <w:rFonts w:hint="eastAsia" w:eastAsia="仿宋_GB2312"/>
          <w:bCs/>
          <w:spacing w:val="10"/>
          <w:sz w:val="32"/>
          <w:szCs w:val="32"/>
        </w:rPr>
        <w:t>为保证项目正常推进，对报建以及验收环节的关键时间节点(高低压深化图纸出图时间，提级申请通过时间，供配电方案审批通过时间)予以明确规定：</w:t>
      </w:r>
    </w:p>
    <w:p>
      <w:pPr>
        <w:pStyle w:val="58"/>
        <w:spacing w:line="360" w:lineRule="auto"/>
        <w:rPr>
          <w:rFonts w:eastAsia="仿宋_GB2312"/>
          <w:kern w:val="2"/>
          <w:sz w:val="32"/>
          <w:szCs w:val="32"/>
        </w:rPr>
      </w:pPr>
      <w:r>
        <w:rPr>
          <w:rFonts w:hint="eastAsia" w:eastAsia="仿宋_GB2312"/>
          <w:kern w:val="2"/>
          <w:sz w:val="32"/>
          <w:szCs w:val="32"/>
        </w:rPr>
        <w:t>1.报建时间节点：</w:t>
      </w:r>
    </w:p>
    <w:p>
      <w:pPr>
        <w:pStyle w:val="58"/>
        <w:spacing w:line="360" w:lineRule="auto"/>
        <w:rPr>
          <w:rFonts w:eastAsia="仿宋_GB2312"/>
          <w:kern w:val="2"/>
          <w:sz w:val="32"/>
          <w:szCs w:val="32"/>
        </w:rPr>
      </w:pPr>
      <w:r>
        <w:rPr>
          <w:rFonts w:hint="eastAsia" w:eastAsia="仿宋_GB2312"/>
          <w:kern w:val="2"/>
          <w:sz w:val="32"/>
          <w:szCs w:val="32"/>
        </w:rPr>
        <w:t>（1）自成交通知书发出之日起，10个日历天内完成高低压深化图纸设计并取得相关部门的审批文件。</w:t>
      </w:r>
    </w:p>
    <w:p>
      <w:pPr>
        <w:pStyle w:val="58"/>
        <w:spacing w:line="360" w:lineRule="auto"/>
        <w:rPr>
          <w:rFonts w:eastAsia="仿宋_GB2312"/>
          <w:kern w:val="2"/>
          <w:sz w:val="32"/>
          <w:szCs w:val="32"/>
        </w:rPr>
      </w:pPr>
      <w:r>
        <w:rPr>
          <w:rFonts w:hint="eastAsia" w:eastAsia="仿宋_GB2312"/>
          <w:kern w:val="2"/>
          <w:sz w:val="32"/>
          <w:szCs w:val="32"/>
        </w:rPr>
        <w:t>（2）自成交通知书发出之日起，45个日历天内通过供电局提级申请。</w:t>
      </w:r>
    </w:p>
    <w:p>
      <w:pPr>
        <w:pStyle w:val="58"/>
        <w:spacing w:line="360" w:lineRule="auto"/>
        <w:rPr>
          <w:rFonts w:eastAsia="仿宋_GB2312"/>
          <w:kern w:val="2"/>
          <w:sz w:val="32"/>
          <w:szCs w:val="32"/>
        </w:rPr>
      </w:pPr>
      <w:r>
        <w:rPr>
          <w:rFonts w:hint="eastAsia" w:eastAsia="仿宋_GB2312"/>
          <w:kern w:val="2"/>
          <w:sz w:val="32"/>
          <w:szCs w:val="32"/>
        </w:rPr>
        <w:t>（3）自提级申请通过后，15个日历天内通过供配电审批方案。</w:t>
      </w:r>
    </w:p>
    <w:p>
      <w:pPr>
        <w:pStyle w:val="58"/>
        <w:spacing w:line="360" w:lineRule="auto"/>
        <w:ind w:firstLine="680" w:firstLineChars="200"/>
        <w:rPr>
          <w:rFonts w:eastAsia="仿宋_GB2312"/>
          <w:kern w:val="2"/>
          <w:sz w:val="32"/>
          <w:szCs w:val="32"/>
        </w:rPr>
      </w:pPr>
      <w:r>
        <w:rPr>
          <w:rFonts w:hint="eastAsia" w:eastAsia="仿宋_GB2312"/>
          <w:kern w:val="2"/>
          <w:sz w:val="32"/>
          <w:szCs w:val="32"/>
        </w:rPr>
        <w:t>注：报价人必须严格按照招标人要求的时间节点完成相关工作，如因报价人未按要求完成报建时间节点，视为报价人违约，每延后1天，处罚3万元，若延后超过10天，招标人有权中止合同。</w:t>
      </w:r>
    </w:p>
    <w:p>
      <w:pPr>
        <w:pStyle w:val="58"/>
        <w:spacing w:line="360" w:lineRule="auto"/>
        <w:rPr>
          <w:rFonts w:eastAsia="仿宋_GB2312"/>
          <w:kern w:val="2"/>
          <w:sz w:val="32"/>
          <w:szCs w:val="32"/>
        </w:rPr>
      </w:pPr>
      <w:r>
        <w:rPr>
          <w:rFonts w:hint="eastAsia" w:eastAsia="仿宋_GB2312"/>
          <w:kern w:val="2"/>
          <w:sz w:val="32"/>
          <w:szCs w:val="32"/>
        </w:rPr>
        <w:t>2.施工时间节点：</w:t>
      </w:r>
    </w:p>
    <w:p>
      <w:pPr>
        <w:pStyle w:val="58"/>
        <w:spacing w:line="360" w:lineRule="auto"/>
        <w:rPr>
          <w:rFonts w:eastAsia="仿宋_GB2312"/>
          <w:kern w:val="2"/>
          <w:sz w:val="32"/>
          <w:szCs w:val="32"/>
        </w:rPr>
      </w:pPr>
      <w:r>
        <w:rPr>
          <w:rFonts w:hint="eastAsia" w:eastAsia="仿宋_GB2312"/>
          <w:kern w:val="2"/>
          <w:sz w:val="32"/>
          <w:szCs w:val="32"/>
        </w:rPr>
        <w:t>（1）自供配电审批方案通过之日起，30个日历天内完成全部的配电房设备安装。</w:t>
      </w:r>
    </w:p>
    <w:p>
      <w:pPr>
        <w:pStyle w:val="58"/>
        <w:spacing w:line="360" w:lineRule="auto"/>
        <w:rPr>
          <w:rFonts w:eastAsia="仿宋_GB2312"/>
          <w:kern w:val="2"/>
          <w:sz w:val="32"/>
          <w:szCs w:val="32"/>
        </w:rPr>
      </w:pPr>
      <w:r>
        <w:rPr>
          <w:rFonts w:hint="eastAsia" w:eastAsia="仿宋_GB2312"/>
          <w:kern w:val="2"/>
          <w:sz w:val="32"/>
          <w:szCs w:val="32"/>
        </w:rPr>
        <w:t>(2) 自供配电审批方案通过之日起，60个日历天内完成高压部分通电。</w:t>
      </w:r>
    </w:p>
    <w:p>
      <w:pPr>
        <w:pStyle w:val="58"/>
        <w:spacing w:line="360" w:lineRule="auto"/>
        <w:rPr>
          <w:rFonts w:eastAsia="仿宋_GB2312"/>
          <w:kern w:val="2"/>
          <w:sz w:val="32"/>
          <w:szCs w:val="32"/>
        </w:rPr>
      </w:pPr>
      <w:r>
        <w:rPr>
          <w:rFonts w:hint="eastAsia" w:eastAsia="仿宋_GB2312"/>
          <w:kern w:val="2"/>
          <w:sz w:val="32"/>
          <w:szCs w:val="32"/>
        </w:rPr>
        <w:t>(3）自供配电审批方案通过之日起，120个日历天内完成本次招标的全部工作内容。</w:t>
      </w:r>
    </w:p>
    <w:p>
      <w:pPr>
        <w:pStyle w:val="58"/>
        <w:spacing w:line="360" w:lineRule="auto"/>
        <w:ind w:firstLine="680" w:firstLineChars="200"/>
        <w:rPr>
          <w:rFonts w:eastAsia="仿宋_GB2312"/>
          <w:kern w:val="2"/>
          <w:sz w:val="32"/>
          <w:szCs w:val="32"/>
        </w:rPr>
      </w:pPr>
      <w:r>
        <w:rPr>
          <w:rFonts w:hint="eastAsia" w:eastAsia="仿宋_GB2312"/>
          <w:kern w:val="2"/>
          <w:sz w:val="32"/>
          <w:szCs w:val="32"/>
        </w:rPr>
        <w:t>注：报价人必须严格按照招标人要求的时间节点完成相关工作，如因报价人未按要求完成时间节点，视为报价人违约，每延后1天，处罚3万元。</w:t>
      </w:r>
    </w:p>
    <w:p>
      <w:pPr>
        <w:pStyle w:val="58"/>
        <w:spacing w:line="360" w:lineRule="auto"/>
        <w:ind w:firstLine="680" w:firstLineChars="200"/>
        <w:rPr>
          <w:rFonts w:eastAsia="仿宋_GB2312"/>
          <w:kern w:val="2"/>
          <w:sz w:val="32"/>
          <w:szCs w:val="32"/>
        </w:rPr>
      </w:pPr>
      <w:r>
        <w:rPr>
          <w:rFonts w:hint="eastAsia" w:eastAsia="仿宋_GB2312"/>
          <w:kern w:val="2"/>
          <w:sz w:val="32"/>
          <w:szCs w:val="32"/>
        </w:rPr>
        <w:t>报价人需完成本工程的报建、施工、验收、通电，此过程产生的一切费用由报价人承担。</w:t>
      </w:r>
    </w:p>
    <w:p>
      <w:pPr>
        <w:pStyle w:val="58"/>
        <w:spacing w:line="360" w:lineRule="auto"/>
        <w:ind w:firstLine="680" w:firstLineChars="200"/>
        <w:rPr>
          <w:rFonts w:eastAsia="仿宋_GB2312"/>
          <w:kern w:val="2"/>
          <w:sz w:val="32"/>
          <w:szCs w:val="32"/>
        </w:rPr>
      </w:pPr>
      <w:r>
        <w:rPr>
          <w:rFonts w:hint="eastAsia" w:eastAsia="仿宋_GB2312"/>
          <w:kern w:val="2"/>
          <w:sz w:val="32"/>
          <w:szCs w:val="32"/>
        </w:rPr>
        <w:t>自本工程竣工验收通过之日起，自动进入保修期。保修期限为两年。</w:t>
      </w:r>
    </w:p>
    <w:p>
      <w:pPr>
        <w:tabs>
          <w:tab w:val="left" w:pos="3405"/>
        </w:tabs>
        <w:spacing w:line="600" w:lineRule="exact"/>
        <w:ind w:firstLine="640"/>
        <w:rPr>
          <w:rFonts w:eastAsia="仿宋_GB2312"/>
          <w:sz w:val="32"/>
          <w:szCs w:val="32"/>
        </w:rPr>
      </w:pPr>
      <w:r>
        <w:rPr>
          <w:rFonts w:hint="eastAsia" w:eastAsia="仿宋_GB2312"/>
          <w:sz w:val="32"/>
          <w:szCs w:val="32"/>
        </w:rPr>
        <w:t>（七）合同价款</w:t>
      </w:r>
    </w:p>
    <w:p>
      <w:pPr>
        <w:tabs>
          <w:tab w:val="left" w:pos="3405"/>
        </w:tabs>
        <w:spacing w:line="600" w:lineRule="exact"/>
        <w:ind w:firstLine="640"/>
        <w:rPr>
          <w:rFonts w:ascii="仿宋_GB2312" w:eastAsia="仿宋_GB2312"/>
          <w:sz w:val="32"/>
          <w:szCs w:val="32"/>
        </w:rPr>
      </w:pPr>
      <w:r>
        <w:rPr>
          <w:rFonts w:hint="eastAsia" w:ascii="仿宋_GB2312" w:eastAsia="仿宋_GB2312"/>
          <w:sz w:val="32"/>
          <w:szCs w:val="32"/>
        </w:rPr>
        <w:t xml:space="preserve">本工程合同含税总价款为     元（大写：     </w:t>
      </w:r>
      <w:r>
        <w:rPr>
          <w:rFonts w:hint="eastAsia" w:ascii="仿宋_GB2312" w:eastAsia="仿宋_GB2312"/>
          <w:sz w:val="32"/>
          <w:szCs w:val="32"/>
          <w:u w:val="single"/>
        </w:rPr>
        <w:t>整</w:t>
      </w:r>
      <w:r>
        <w:rPr>
          <w:rFonts w:hint="eastAsia" w:ascii="仿宋_GB2312" w:eastAsia="仿宋_GB2312"/>
          <w:sz w:val="32"/>
          <w:szCs w:val="32"/>
        </w:rPr>
        <w:t xml:space="preserve">），不含税总价款为       元（大写：     </w:t>
      </w:r>
      <w:r>
        <w:rPr>
          <w:rFonts w:hint="eastAsia" w:ascii="仿宋_GB2312" w:eastAsia="仿宋_GB2312"/>
          <w:sz w:val="32"/>
          <w:szCs w:val="32"/>
          <w:u w:val="single"/>
        </w:rPr>
        <w:t>整</w:t>
      </w:r>
      <w:r>
        <w:rPr>
          <w:rFonts w:hint="eastAsia" w:ascii="仿宋_GB2312" w:eastAsia="仿宋_GB2312"/>
          <w:sz w:val="32"/>
          <w:szCs w:val="32"/>
        </w:rPr>
        <w:t>），税率为    %。</w:t>
      </w:r>
    </w:p>
    <w:p>
      <w:pPr>
        <w:tabs>
          <w:tab w:val="left" w:pos="3405"/>
        </w:tabs>
        <w:spacing w:line="600" w:lineRule="exact"/>
        <w:ind w:firstLine="640"/>
        <w:rPr>
          <w:rFonts w:ascii="仿宋_GB2312" w:eastAsia="仿宋_GB2312"/>
          <w:sz w:val="32"/>
          <w:szCs w:val="32"/>
        </w:rPr>
      </w:pPr>
      <w:r>
        <w:rPr>
          <w:rFonts w:hint="eastAsia" w:ascii="仿宋_GB2312" w:eastAsia="仿宋_GB2312"/>
          <w:sz w:val="32"/>
          <w:szCs w:val="32"/>
          <w:lang w:val="zh-CN"/>
        </w:rPr>
        <w:t>在合同履行期间，如遇国家的税率调整，则以开具发票的时间为准，以原合同约定价格不含税金额不变作为基准，按照新税率重新计算含税价格。</w:t>
      </w:r>
    </w:p>
    <w:p>
      <w:pPr>
        <w:spacing w:line="600" w:lineRule="exact"/>
        <w:ind w:firstLine="643" w:firstLineChars="200"/>
        <w:rPr>
          <w:rFonts w:eastAsia="仿宋_GB2312"/>
          <w:b/>
          <w:bCs/>
          <w:sz w:val="32"/>
          <w:szCs w:val="32"/>
        </w:rPr>
      </w:pPr>
      <w:r>
        <w:rPr>
          <w:rFonts w:hint="eastAsia" w:eastAsia="仿宋_GB2312"/>
          <w:b/>
          <w:bCs/>
          <w:sz w:val="32"/>
          <w:szCs w:val="32"/>
        </w:rPr>
        <w:t>二、工程质量</w:t>
      </w:r>
      <w:r>
        <w:rPr>
          <w:rFonts w:eastAsia="仿宋_GB2312"/>
          <w:b/>
          <w:bCs/>
          <w:sz w:val="32"/>
          <w:szCs w:val="32"/>
        </w:rPr>
        <w:t>及验收</w:t>
      </w:r>
    </w:p>
    <w:p>
      <w:pPr>
        <w:spacing w:line="600" w:lineRule="exact"/>
        <w:ind w:firstLine="640" w:firstLineChars="200"/>
        <w:rPr>
          <w:rFonts w:eastAsia="仿宋_GB2312"/>
          <w:sz w:val="32"/>
          <w:szCs w:val="32"/>
        </w:rPr>
      </w:pPr>
      <w:r>
        <w:rPr>
          <w:rFonts w:hint="eastAsia" w:eastAsia="仿宋_GB2312"/>
          <w:sz w:val="32"/>
          <w:szCs w:val="32"/>
        </w:rPr>
        <w:t>（一）工程质量</w:t>
      </w:r>
    </w:p>
    <w:p>
      <w:pPr>
        <w:spacing w:line="600" w:lineRule="exact"/>
        <w:ind w:firstLine="640" w:firstLineChars="200"/>
        <w:rPr>
          <w:rFonts w:eastAsia="仿宋_GB2312"/>
          <w:sz w:val="32"/>
          <w:szCs w:val="32"/>
        </w:rPr>
      </w:pPr>
      <w:r>
        <w:rPr>
          <w:rFonts w:hint="eastAsia" w:eastAsia="仿宋_GB2312"/>
          <w:sz w:val="32"/>
          <w:szCs w:val="32"/>
        </w:rPr>
        <w:t>乙方应严格按照供电局及相关部门审批通过的设计图纸、说明文件和国家颁发的建筑工程规范、规程和标准进行施工，符合工程所在地相关施工规范及中华人民共和国现行国家标准、国家优质工程验收标准，并接受甲方现场代表的监督。乙方应在施工现场采取维护安全、防范风险、预防火灾等措施并对施工现场实行封闭管理。乙方应当遵守有关环境保护和安全生产的法律、法规的规定，采取控制和处理施工现场的各种粉尘、废气、废水、固体废物以及噪声、振动对环境的污染和危害的措施。乙方负责市容、环保、交通、派出所、街道等部门和周边居民的协调工作，甲方应提供协助。</w:t>
      </w:r>
    </w:p>
    <w:p>
      <w:pPr>
        <w:spacing w:line="600" w:lineRule="exact"/>
        <w:ind w:firstLine="640" w:firstLineChars="200"/>
        <w:rPr>
          <w:rFonts w:eastAsia="仿宋_GB2312"/>
          <w:sz w:val="32"/>
          <w:szCs w:val="32"/>
        </w:rPr>
      </w:pPr>
      <w:r>
        <w:rPr>
          <w:rFonts w:hint="eastAsia" w:eastAsia="仿宋_GB2312"/>
          <w:sz w:val="32"/>
          <w:szCs w:val="32"/>
        </w:rPr>
        <w:t>（二）验收</w:t>
      </w:r>
    </w:p>
    <w:p>
      <w:pPr>
        <w:pStyle w:val="158"/>
        <w:spacing w:line="360" w:lineRule="auto"/>
        <w:ind w:firstLine="640"/>
        <w:rPr>
          <w:rFonts w:eastAsia="仿宋_GB2312"/>
          <w:sz w:val="32"/>
          <w:szCs w:val="32"/>
        </w:rPr>
      </w:pPr>
      <w:r>
        <w:rPr>
          <w:rFonts w:hint="eastAsia" w:eastAsia="仿宋_GB2312"/>
          <w:sz w:val="32"/>
          <w:szCs w:val="32"/>
        </w:rPr>
        <w:t>1.达到国家或行业质量检验评定的合格标准，且需满足南方电网及广东电网的有关技术标准；</w:t>
      </w:r>
    </w:p>
    <w:p>
      <w:pPr>
        <w:spacing w:line="600" w:lineRule="exact"/>
        <w:ind w:firstLine="640" w:firstLineChars="200"/>
        <w:rPr>
          <w:rFonts w:eastAsia="仿宋_GB2312"/>
          <w:sz w:val="32"/>
          <w:szCs w:val="32"/>
        </w:rPr>
      </w:pPr>
      <w:r>
        <w:rPr>
          <w:rFonts w:hint="eastAsia" w:eastAsia="仿宋_GB2312"/>
          <w:sz w:val="32"/>
          <w:szCs w:val="32"/>
        </w:rPr>
        <w:t>2.满足设计和使用要求，严格按照设计图纸和施工验收规范进行施工，符合国家和当地供电局的质量检验评定标准。本工程质量验收等级：合格，并满足国家及地方现行最新规范要求。</w:t>
      </w:r>
    </w:p>
    <w:p>
      <w:pPr>
        <w:spacing w:line="600" w:lineRule="exact"/>
        <w:rPr>
          <w:rFonts w:eastAsia="仿宋_GB2312"/>
          <w:b/>
          <w:bCs/>
          <w:sz w:val="32"/>
          <w:szCs w:val="32"/>
        </w:rPr>
      </w:pPr>
      <w:r>
        <w:rPr>
          <w:rFonts w:eastAsia="仿宋_GB2312"/>
          <w:b/>
          <w:bCs/>
          <w:sz w:val="32"/>
          <w:szCs w:val="32"/>
        </w:rPr>
        <w:t>三、</w:t>
      </w:r>
      <w:r>
        <w:rPr>
          <w:rFonts w:hint="eastAsia" w:eastAsia="仿宋_GB2312"/>
          <w:b/>
          <w:bCs/>
          <w:sz w:val="32"/>
          <w:szCs w:val="32"/>
        </w:rPr>
        <w:t>工程</w:t>
      </w:r>
      <w:r>
        <w:rPr>
          <w:rFonts w:eastAsia="仿宋_GB2312"/>
          <w:b/>
          <w:bCs/>
          <w:sz w:val="32"/>
          <w:szCs w:val="32"/>
        </w:rPr>
        <w:t>付款方式</w:t>
      </w:r>
    </w:p>
    <w:p>
      <w:pPr>
        <w:snapToGrid w:val="0"/>
        <w:spacing w:line="600" w:lineRule="exact"/>
        <w:ind w:firstLine="640" w:firstLineChars="200"/>
        <w:rPr>
          <w:rFonts w:eastAsia="仿宋_GB2312"/>
          <w:sz w:val="32"/>
          <w:szCs w:val="32"/>
        </w:rPr>
      </w:pPr>
      <w:r>
        <w:rPr>
          <w:rFonts w:hint="eastAsia" w:eastAsia="仿宋_GB2312"/>
          <w:sz w:val="32"/>
          <w:szCs w:val="32"/>
        </w:rPr>
        <w:t>本合同采用按工期节点进度付款，具体付款方式如下：</w:t>
      </w:r>
    </w:p>
    <w:p>
      <w:pPr>
        <w:spacing w:line="600" w:lineRule="exact"/>
        <w:ind w:firstLine="640" w:firstLineChars="200"/>
        <w:rPr>
          <w:rFonts w:eastAsia="仿宋_GB2312"/>
          <w:sz w:val="32"/>
          <w:szCs w:val="32"/>
        </w:rPr>
      </w:pPr>
      <w:r>
        <w:rPr>
          <w:rFonts w:hint="eastAsia" w:eastAsia="仿宋_GB2312"/>
          <w:sz w:val="32"/>
          <w:szCs w:val="32"/>
        </w:rPr>
        <w:t>1、合同签订后，报价人在取得供电局批复的正式供电方案后，支付合同总价的10%；</w:t>
      </w:r>
    </w:p>
    <w:p>
      <w:pPr>
        <w:spacing w:line="600" w:lineRule="exact"/>
        <w:ind w:firstLine="640" w:firstLineChars="200"/>
        <w:rPr>
          <w:rFonts w:eastAsia="仿宋_GB2312"/>
          <w:sz w:val="32"/>
          <w:szCs w:val="32"/>
        </w:rPr>
      </w:pPr>
      <w:r>
        <w:rPr>
          <w:rFonts w:hint="eastAsia" w:eastAsia="仿宋_GB2312"/>
          <w:sz w:val="32"/>
          <w:szCs w:val="32"/>
        </w:rPr>
        <w:t>2、全部设备进场后，支付至合同总价的70%；</w:t>
      </w:r>
    </w:p>
    <w:p>
      <w:pPr>
        <w:spacing w:line="600" w:lineRule="exact"/>
        <w:ind w:firstLine="640" w:firstLineChars="200"/>
        <w:rPr>
          <w:rFonts w:eastAsia="仿宋_GB2312"/>
          <w:sz w:val="32"/>
          <w:szCs w:val="32"/>
        </w:rPr>
      </w:pPr>
      <w:r>
        <w:rPr>
          <w:rFonts w:hint="eastAsia" w:eastAsia="仿宋_GB2312"/>
          <w:sz w:val="32"/>
          <w:szCs w:val="32"/>
        </w:rPr>
        <w:t>3、工程完工并通过验收后，支付至结算总价的97%；</w:t>
      </w:r>
    </w:p>
    <w:p>
      <w:pPr>
        <w:spacing w:line="600" w:lineRule="exact"/>
        <w:ind w:firstLine="640" w:firstLineChars="200"/>
        <w:rPr>
          <w:rFonts w:eastAsia="仿宋_GB2312"/>
          <w:sz w:val="32"/>
          <w:szCs w:val="32"/>
        </w:rPr>
      </w:pPr>
      <w:r>
        <w:rPr>
          <w:rFonts w:hint="eastAsia" w:eastAsia="仿宋_GB2312"/>
          <w:sz w:val="32"/>
          <w:szCs w:val="32"/>
        </w:rPr>
        <w:t>4、质保期满通过质保期验收后，支付结算总价的3%。</w:t>
      </w:r>
    </w:p>
    <w:p>
      <w:pPr>
        <w:spacing w:line="600" w:lineRule="exact"/>
        <w:rPr>
          <w:rFonts w:eastAsia="仿宋_GB2312"/>
          <w:b/>
          <w:bCs/>
          <w:sz w:val="32"/>
          <w:szCs w:val="32"/>
        </w:rPr>
      </w:pPr>
      <w:r>
        <w:rPr>
          <w:rFonts w:hint="eastAsia" w:eastAsia="仿宋_GB2312"/>
          <w:b/>
          <w:bCs/>
          <w:sz w:val="32"/>
          <w:szCs w:val="32"/>
        </w:rPr>
        <w:t>四、工程变更</w:t>
      </w:r>
    </w:p>
    <w:p>
      <w:pPr>
        <w:spacing w:line="600" w:lineRule="exact"/>
        <w:ind w:firstLine="640" w:firstLineChars="200"/>
        <w:rPr>
          <w:rFonts w:eastAsia="仿宋_GB2312"/>
          <w:sz w:val="32"/>
          <w:szCs w:val="32"/>
        </w:rPr>
      </w:pPr>
      <w:r>
        <w:rPr>
          <w:rFonts w:hint="eastAsia" w:eastAsia="仿宋_GB2312"/>
          <w:sz w:val="32"/>
          <w:szCs w:val="32"/>
        </w:rPr>
        <w:t>本项目，总价包干，包设计、包报建、包施工、包安装调试、包验收、包通电，以及包括项目的服务及其他附属服务的服务费用、相关人员工资、一切税费、保险费、仓储费、税费、资料等履约过程可预见和不可预见的一切费用，且在合同执行过程中不作任何调整。</w:t>
      </w:r>
    </w:p>
    <w:p>
      <w:pPr>
        <w:spacing w:line="600" w:lineRule="exact"/>
        <w:rPr>
          <w:rFonts w:eastAsia="仿宋_GB2312"/>
          <w:b/>
          <w:bCs/>
          <w:sz w:val="32"/>
          <w:szCs w:val="32"/>
        </w:rPr>
      </w:pPr>
      <w:r>
        <w:rPr>
          <w:rFonts w:hint="eastAsia" w:eastAsia="仿宋_GB2312"/>
          <w:b/>
          <w:bCs/>
          <w:sz w:val="32"/>
          <w:szCs w:val="32"/>
        </w:rPr>
        <w:t>五、</w:t>
      </w:r>
      <w:r>
        <w:rPr>
          <w:rFonts w:eastAsia="仿宋_GB2312"/>
          <w:b/>
          <w:bCs/>
          <w:sz w:val="32"/>
          <w:szCs w:val="32"/>
        </w:rPr>
        <w:t>双方</w:t>
      </w:r>
      <w:r>
        <w:rPr>
          <w:rFonts w:hint="eastAsia" w:eastAsia="仿宋_GB2312"/>
          <w:b/>
          <w:bCs/>
          <w:sz w:val="32"/>
          <w:szCs w:val="32"/>
        </w:rPr>
        <w:t>义务</w:t>
      </w:r>
    </w:p>
    <w:p>
      <w:pPr>
        <w:spacing w:line="600" w:lineRule="exact"/>
        <w:rPr>
          <w:rFonts w:eastAsia="仿宋_GB2312"/>
          <w:sz w:val="32"/>
          <w:szCs w:val="32"/>
        </w:rPr>
      </w:pPr>
      <w:r>
        <w:rPr>
          <w:rFonts w:hint="eastAsia" w:eastAsia="仿宋_GB2312"/>
          <w:sz w:val="32"/>
          <w:szCs w:val="32"/>
        </w:rPr>
        <w:t>（一）甲方义务</w:t>
      </w:r>
    </w:p>
    <w:p>
      <w:pPr>
        <w:spacing w:line="600" w:lineRule="exact"/>
        <w:ind w:firstLine="659" w:firstLineChars="206"/>
        <w:rPr>
          <w:rFonts w:eastAsia="仿宋_GB2312"/>
          <w:sz w:val="32"/>
          <w:szCs w:val="32"/>
        </w:rPr>
      </w:pPr>
      <w:r>
        <w:rPr>
          <w:rFonts w:eastAsia="仿宋_GB2312"/>
          <w:sz w:val="32"/>
          <w:szCs w:val="32"/>
        </w:rPr>
        <w:t>1</w:t>
      </w:r>
      <w:r>
        <w:rPr>
          <w:rFonts w:hint="eastAsia" w:eastAsia="仿宋_GB2312"/>
          <w:sz w:val="32"/>
          <w:szCs w:val="32"/>
        </w:rPr>
        <w:t>.委派现场代表负责对工程建设进行全面管理，解决施工过程中出现的需要甲方协调的相关问题，并参与工程的初验、各种验收工作。</w:t>
      </w:r>
    </w:p>
    <w:p>
      <w:pPr>
        <w:spacing w:line="600" w:lineRule="exact"/>
        <w:ind w:firstLine="659" w:firstLineChars="206"/>
        <w:rPr>
          <w:rFonts w:eastAsia="仿宋_GB2312"/>
          <w:sz w:val="32"/>
          <w:szCs w:val="32"/>
        </w:rPr>
      </w:pPr>
      <w:r>
        <w:rPr>
          <w:rFonts w:hint="eastAsia" w:eastAsia="仿宋_GB2312"/>
          <w:sz w:val="32"/>
          <w:szCs w:val="32"/>
        </w:rPr>
        <w:t>2.及时对工程进度、工程质量进行监督检查，参加材料报验、样板验收、组织工程的初验，接乙方书面通知起</w:t>
      </w:r>
      <w:r>
        <w:rPr>
          <w:rFonts w:hint="eastAsia" w:eastAsia="仿宋_GB2312"/>
          <w:sz w:val="32"/>
          <w:szCs w:val="32"/>
          <w:u w:val="single"/>
        </w:rPr>
        <w:t xml:space="preserve"> 24 </w:t>
      </w:r>
      <w:r>
        <w:rPr>
          <w:rFonts w:hint="eastAsia" w:eastAsia="仿宋_GB2312"/>
          <w:sz w:val="32"/>
          <w:szCs w:val="32"/>
        </w:rPr>
        <w:t>个工作小时内参加隐蔽工程验收。</w:t>
      </w:r>
    </w:p>
    <w:p>
      <w:pPr>
        <w:spacing w:line="600" w:lineRule="exact"/>
        <w:ind w:firstLine="659" w:firstLineChars="206"/>
        <w:rPr>
          <w:rFonts w:eastAsia="仿宋_GB2312"/>
          <w:sz w:val="32"/>
          <w:szCs w:val="32"/>
        </w:rPr>
      </w:pPr>
      <w:r>
        <w:rPr>
          <w:rFonts w:hint="eastAsia" w:eastAsia="仿宋_GB2312"/>
          <w:sz w:val="32"/>
          <w:szCs w:val="32"/>
        </w:rPr>
        <w:t>3.接乙方书面竣工验收通知后应在</w:t>
      </w:r>
      <w:r>
        <w:rPr>
          <w:rFonts w:hint="eastAsia" w:eastAsia="仿宋_GB2312"/>
          <w:sz w:val="32"/>
          <w:szCs w:val="32"/>
          <w:u w:val="single"/>
        </w:rPr>
        <w:t xml:space="preserve"> 10 </w:t>
      </w:r>
      <w:r>
        <w:rPr>
          <w:rFonts w:hint="eastAsia" w:eastAsia="仿宋_GB2312"/>
          <w:sz w:val="32"/>
          <w:szCs w:val="32"/>
        </w:rPr>
        <w:t>个工作日内组织竣工验收。</w:t>
      </w:r>
    </w:p>
    <w:p>
      <w:pPr>
        <w:spacing w:line="600" w:lineRule="exact"/>
        <w:ind w:firstLine="659" w:firstLineChars="206"/>
        <w:rPr>
          <w:rFonts w:eastAsia="仿宋_GB2312"/>
          <w:sz w:val="32"/>
          <w:szCs w:val="32"/>
        </w:rPr>
      </w:pPr>
      <w:r>
        <w:rPr>
          <w:rFonts w:hint="eastAsia" w:eastAsia="仿宋_GB2312"/>
          <w:sz w:val="32"/>
          <w:szCs w:val="32"/>
        </w:rPr>
        <w:t>4.负责协调乙方与其他各承包单位的关系，并协助解决材料堆放场地。</w:t>
      </w:r>
    </w:p>
    <w:p>
      <w:pPr>
        <w:spacing w:line="600" w:lineRule="exact"/>
        <w:rPr>
          <w:rFonts w:eastAsia="仿宋_GB2312"/>
          <w:sz w:val="32"/>
          <w:szCs w:val="32"/>
        </w:rPr>
      </w:pPr>
      <w:r>
        <w:rPr>
          <w:rFonts w:hint="eastAsia" w:eastAsia="仿宋_GB2312"/>
          <w:sz w:val="32"/>
          <w:szCs w:val="32"/>
        </w:rPr>
        <w:t>（二）乙方义务</w:t>
      </w:r>
    </w:p>
    <w:p>
      <w:pPr>
        <w:pStyle w:val="58"/>
        <w:spacing w:line="360" w:lineRule="auto"/>
        <w:ind w:firstLine="1360" w:firstLineChars="400"/>
        <w:rPr>
          <w:rFonts w:eastAsia="仿宋_GB2312"/>
          <w:sz w:val="32"/>
          <w:szCs w:val="32"/>
        </w:rPr>
      </w:pPr>
      <w:r>
        <w:rPr>
          <w:rFonts w:hint="eastAsia" w:eastAsia="仿宋_GB2312"/>
          <w:sz w:val="32"/>
          <w:szCs w:val="32"/>
        </w:rPr>
        <w:t>1.委派现场代表负责施工期间的全面管理，如变更现场代表应事先经甲方书面同意(1、拟派驻的项目经理要求已取得二级注册建造师执业证书（专业类别为：机电工程）；2、持有项目经理安全生产考核合格证（B类）；3、施工作业人员持有高压电工证及供电局认可的进网作业许可证；4、安全员持有专职安全员证。)。</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.根据供电局及相关部门审批通过的设计图纸，按照本合同约定完成承包范围内的施工工作，并按甲方要求的格式书面提请办理验收和确认手续。</w:t>
      </w:r>
    </w:p>
    <w:p>
      <w:pPr>
        <w:spacing w:line="600" w:lineRule="exact"/>
        <w:ind w:firstLine="640" w:firstLineChars="200"/>
        <w:rPr>
          <w:rFonts w:eastAsia="仿宋_GB2312"/>
          <w:sz w:val="32"/>
          <w:szCs w:val="32"/>
        </w:rPr>
      </w:pPr>
      <w:r>
        <w:rPr>
          <w:rFonts w:hint="eastAsia" w:eastAsia="仿宋_GB2312"/>
          <w:sz w:val="32"/>
          <w:szCs w:val="32"/>
        </w:rPr>
        <w:t>3.按相关安全法规进行安全施工，遵守甲方施工现场管理的有关规定。</w:t>
      </w:r>
    </w:p>
    <w:p>
      <w:pPr>
        <w:spacing w:line="600" w:lineRule="exact"/>
        <w:ind w:right="24" w:firstLine="678" w:firstLineChars="212"/>
        <w:rPr>
          <w:rFonts w:eastAsia="仿宋_GB2312"/>
          <w:sz w:val="32"/>
          <w:szCs w:val="32"/>
        </w:rPr>
      </w:pPr>
      <w:r>
        <w:rPr>
          <w:rFonts w:hint="eastAsia" w:eastAsia="仿宋_GB2312"/>
          <w:sz w:val="32"/>
          <w:szCs w:val="32"/>
        </w:rPr>
        <w:t>4.乙方应处理好与其他在建专业施工队伍（或单位）的关系，须按工程情况与其他单位进行密切协调与配合。</w:t>
      </w:r>
    </w:p>
    <w:p>
      <w:pPr>
        <w:spacing w:line="600" w:lineRule="exact"/>
        <w:ind w:firstLine="640" w:firstLineChars="200"/>
        <w:rPr>
          <w:rFonts w:eastAsia="仿宋_GB2312"/>
          <w:sz w:val="32"/>
          <w:szCs w:val="32"/>
        </w:rPr>
      </w:pPr>
      <w:r>
        <w:rPr>
          <w:rFonts w:hint="eastAsia" w:eastAsia="仿宋_GB2312"/>
          <w:sz w:val="32"/>
          <w:szCs w:val="32"/>
        </w:rPr>
        <w:t>5.乙方须保证施工场地的清洁卫生符合相关环境卫生、环境保护及整治管理的规定，防止扬尘及保持场地出入口及场外周边道路的清洁卫生，做到工完场清。</w:t>
      </w:r>
    </w:p>
    <w:p>
      <w:pPr>
        <w:spacing w:line="600" w:lineRule="exact"/>
        <w:rPr>
          <w:rFonts w:eastAsia="仿宋_GB2312"/>
          <w:sz w:val="32"/>
          <w:szCs w:val="32"/>
        </w:rPr>
      </w:pPr>
      <w:r>
        <w:rPr>
          <w:rFonts w:hint="eastAsia" w:eastAsia="仿宋_GB2312"/>
          <w:sz w:val="32"/>
          <w:szCs w:val="32"/>
        </w:rPr>
        <w:t xml:space="preserve">    6.竣工验收后，乙方人员必须在一周内清理并撤离施工场地。如因乙方人员逾期未清理或未撤离导致甲方无法正常使用场地的，每逾期一日应按照总合同价0.5%每日的标准支付违约金，由此给甲方造成其他损失的，乙方应一并赔偿。</w:t>
      </w:r>
    </w:p>
    <w:p>
      <w:pPr>
        <w:spacing w:line="600" w:lineRule="exact"/>
        <w:ind w:firstLine="640" w:firstLineChars="200"/>
        <w:rPr>
          <w:rFonts w:eastAsia="仿宋_GB2312"/>
          <w:sz w:val="32"/>
          <w:szCs w:val="32"/>
        </w:rPr>
      </w:pPr>
      <w:r>
        <w:rPr>
          <w:rFonts w:hint="eastAsia" w:eastAsia="仿宋_GB2312"/>
          <w:sz w:val="32"/>
          <w:szCs w:val="32"/>
        </w:rPr>
        <w:t>7. 图纸，由发包人提供参考图纸，由承包人按相关部门的要求负责高低压图纸的深化设计。并确保通过供电局等有关部门的审批通过。</w:t>
      </w:r>
    </w:p>
    <w:p>
      <w:pPr>
        <w:spacing w:line="600" w:lineRule="exact"/>
        <w:ind w:firstLine="640" w:firstLineChars="200"/>
        <w:rPr>
          <w:rFonts w:eastAsia="仿宋_GB2312"/>
          <w:sz w:val="32"/>
          <w:szCs w:val="32"/>
        </w:rPr>
      </w:pPr>
      <w:r>
        <w:rPr>
          <w:rFonts w:hint="eastAsia" w:eastAsia="仿宋_GB2312"/>
          <w:sz w:val="32"/>
          <w:szCs w:val="32"/>
        </w:rPr>
        <w:t>8.乙方应具备法律法规或国家规定的电力工程相应资质，相应的资质文件作为本合同附件。如因乙方隐瞒或提供虚假文件导致本合同全部或部分条款无效的，乙方应赔偿甲方由此产生的全部直接损失及间接损失。</w:t>
      </w:r>
    </w:p>
    <w:p>
      <w:pPr>
        <w:spacing w:line="600" w:lineRule="exact"/>
        <w:rPr>
          <w:rFonts w:eastAsia="仿宋_GB2312"/>
          <w:b/>
          <w:bCs/>
          <w:sz w:val="32"/>
          <w:szCs w:val="32"/>
        </w:rPr>
      </w:pPr>
      <w:r>
        <w:rPr>
          <w:rFonts w:hint="eastAsia" w:eastAsia="仿宋_GB2312"/>
          <w:b/>
          <w:bCs/>
          <w:sz w:val="32"/>
          <w:szCs w:val="32"/>
        </w:rPr>
        <w:t>六、</w:t>
      </w:r>
      <w:r>
        <w:rPr>
          <w:rFonts w:eastAsia="仿宋_GB2312"/>
          <w:b/>
          <w:bCs/>
          <w:sz w:val="32"/>
          <w:szCs w:val="32"/>
        </w:rPr>
        <w:t>安全生产和防火</w:t>
      </w:r>
    </w:p>
    <w:p>
      <w:pPr>
        <w:spacing w:line="600" w:lineRule="exact"/>
        <w:ind w:firstLine="640" w:firstLineChars="200"/>
        <w:rPr>
          <w:rFonts w:eastAsia="仿宋_GB2312"/>
          <w:sz w:val="32"/>
          <w:szCs w:val="32"/>
        </w:rPr>
      </w:pPr>
      <w:r>
        <w:rPr>
          <w:rFonts w:hint="eastAsia" w:eastAsia="仿宋_GB2312"/>
          <w:sz w:val="32"/>
          <w:szCs w:val="32"/>
        </w:rPr>
        <w:t>（一）由承包人按相关部门的要求负责高低压图纸的深化设计</w:t>
      </w:r>
      <w:r>
        <w:rPr>
          <w:rFonts w:eastAsia="仿宋_GB2312"/>
          <w:sz w:val="32"/>
          <w:szCs w:val="32"/>
        </w:rPr>
        <w:t>或作法说明，应符合《中华人民共和国消防条例》和有关防火设计规范。</w:t>
      </w:r>
    </w:p>
    <w:p>
      <w:pPr>
        <w:spacing w:line="60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乙方在施工期间应严格遵守《建筑安装工程安全技术规程》、《建筑安装工程安全操作规程》、《中华人民共和国消防条例》和其它相关的法规、规范。</w:t>
      </w:r>
    </w:p>
    <w:p>
      <w:pPr>
        <w:spacing w:line="60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参与本装修工程的设计和施工管理的从业人员，应是经过行业培训的持证上岗人员。</w:t>
      </w:r>
    </w:p>
    <w:p>
      <w:pPr>
        <w:spacing w:line="600" w:lineRule="exact"/>
        <w:ind w:firstLine="640" w:firstLineChars="200"/>
        <w:rPr>
          <w:rFonts w:eastAsia="仿宋"/>
          <w:sz w:val="30"/>
          <w:szCs w:val="30"/>
        </w:rPr>
      </w:pPr>
      <w:r>
        <w:rPr>
          <w:rFonts w:hint="eastAsia" w:eastAsia="仿宋_GB2312"/>
          <w:sz w:val="32"/>
          <w:szCs w:val="32"/>
        </w:rPr>
        <w:t>（四）</w:t>
      </w:r>
      <w:r>
        <w:rPr>
          <w:rFonts w:eastAsia="仿宋_GB2312"/>
          <w:sz w:val="32"/>
          <w:szCs w:val="32"/>
        </w:rPr>
        <w:t>乙方在本工程竣工验收前，负责保护工程成品和工程现场的全部安全。由于乙方在施工生产过程中自身安全措施不力及违反相关安全操作规程、消防条例，导致发生安全、火灾事故，乙方应承担由此产生的一切责任后果和经济费用。</w:t>
      </w:r>
      <w:r>
        <w:rPr>
          <w:rFonts w:eastAsia="仿宋"/>
          <w:sz w:val="30"/>
          <w:szCs w:val="30"/>
        </w:rPr>
        <w:t>　　</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乙方必须做好施工现场及工地现场的管线和邻近建筑物的保护工作，由于该类影响所造成的额外费用和赔偿均由乙方承担。乙方应当自行购买其工程范围内人员和设备的保险，以及第三者责任险等一切涉及本工程的保险。</w:t>
      </w:r>
      <w:r>
        <w:rPr>
          <w:rFonts w:hint="eastAsia" w:eastAsia="仿宋_GB2312"/>
          <w:sz w:val="32"/>
          <w:szCs w:val="32"/>
        </w:rPr>
        <w:t>因可归责于乙方原因导致的施工人员或其他第三人发生人身、财产安全事故的，由乙方承担全部法律责任，与甲方无关。如因此给甲方造成的损失（包括但不限于律师费、诉讼费或仲裁费、担保费等），乙方应承担相应的赔偿责任。</w:t>
      </w:r>
    </w:p>
    <w:p>
      <w:pPr>
        <w:spacing w:line="600" w:lineRule="exact"/>
        <w:ind w:firstLine="643" w:firstLineChars="200"/>
        <w:rPr>
          <w:rFonts w:eastAsia="仿宋_GB2312"/>
          <w:sz w:val="32"/>
          <w:szCs w:val="32"/>
        </w:rPr>
      </w:pPr>
      <w:r>
        <w:rPr>
          <w:rFonts w:hint="eastAsia" w:eastAsia="仿宋_GB2312"/>
          <w:b/>
          <w:bCs/>
          <w:sz w:val="32"/>
          <w:szCs w:val="32"/>
        </w:rPr>
        <w:t>七、</w:t>
      </w:r>
      <w:r>
        <w:rPr>
          <w:rFonts w:eastAsia="仿宋_GB2312"/>
          <w:b/>
          <w:bCs/>
          <w:sz w:val="32"/>
          <w:szCs w:val="32"/>
        </w:rPr>
        <w:t>违约责任</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合同签订后，一方擅自违约或毁约导致合同无法履行，违约或毁约方应向守约方承担相应的违约责任，包括向守约方支付合同总价款10%的违约金，并赔偿因其违约给对方造成的损失。</w:t>
      </w:r>
    </w:p>
    <w:p>
      <w:pPr>
        <w:spacing w:line="600" w:lineRule="exact"/>
        <w:ind w:firstLine="640" w:firstLineChars="200"/>
        <w:rPr>
          <w:rFonts w:eastAsia="仿宋_GB2312"/>
          <w:strike/>
          <w:sz w:val="32"/>
          <w:szCs w:val="32"/>
        </w:rPr>
      </w:pPr>
      <w:r>
        <w:rPr>
          <w:rFonts w:hint="eastAsia" w:eastAsia="仿宋_GB2312"/>
          <w:sz w:val="32"/>
          <w:szCs w:val="32"/>
        </w:rPr>
        <w:t>（二）</w:t>
      </w:r>
      <w:r>
        <w:rPr>
          <w:rFonts w:eastAsia="仿宋_GB2312"/>
          <w:sz w:val="32"/>
          <w:szCs w:val="32"/>
        </w:rPr>
        <w:t>合同签订后，在履约过程中，因</w:t>
      </w:r>
      <w:r>
        <w:rPr>
          <w:rFonts w:hint="eastAsia" w:eastAsia="仿宋_GB2312"/>
          <w:sz w:val="32"/>
          <w:szCs w:val="32"/>
        </w:rPr>
        <w:t>甲</w:t>
      </w:r>
      <w:r>
        <w:rPr>
          <w:rFonts w:eastAsia="仿宋_GB2312"/>
          <w:sz w:val="32"/>
          <w:szCs w:val="32"/>
        </w:rPr>
        <w:t>方原因导致合同无法继续履行，</w:t>
      </w:r>
      <w:r>
        <w:rPr>
          <w:rFonts w:hint="eastAsia" w:eastAsia="仿宋_GB2312"/>
          <w:sz w:val="32"/>
          <w:szCs w:val="32"/>
        </w:rPr>
        <w:t>乙</w:t>
      </w:r>
      <w:r>
        <w:rPr>
          <w:rFonts w:eastAsia="仿宋_GB2312"/>
          <w:sz w:val="32"/>
          <w:szCs w:val="32"/>
        </w:rPr>
        <w:t>方已经履行了部分合同义务的，</w:t>
      </w:r>
      <w:r>
        <w:rPr>
          <w:rFonts w:hint="eastAsia" w:eastAsia="仿宋_GB2312"/>
          <w:sz w:val="32"/>
          <w:szCs w:val="32"/>
        </w:rPr>
        <w:t>甲</w:t>
      </w:r>
      <w:r>
        <w:rPr>
          <w:rFonts w:eastAsia="仿宋_GB2312"/>
          <w:sz w:val="32"/>
          <w:szCs w:val="32"/>
        </w:rPr>
        <w:t>方除了支付相应款项外，还应承担违约金责任和因此给对方造成的其他损失。</w:t>
      </w:r>
    </w:p>
    <w:p>
      <w:pPr>
        <w:spacing w:line="60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乙方提供的材料、设备是假冒伪劣产品的，应按材料、设备价款的双倍赔偿给甲方。</w:t>
      </w:r>
    </w:p>
    <w:p>
      <w:pPr>
        <w:spacing w:line="60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对于不符合施工质量验收标准中的部分项目，甲方提出施工质量整改要求，乙方未按规定时间内履行整改工作或无正当理由拒绝整改。每逾期一天，乙方支付甲方本合同价款总额0.5%的违约金。</w:t>
      </w:r>
    </w:p>
    <w:p>
      <w:pPr>
        <w:spacing w:line="600" w:lineRule="exact"/>
        <w:ind w:firstLine="643" w:firstLineChars="200"/>
        <w:rPr>
          <w:rFonts w:eastAsia="仿宋_GB2312"/>
          <w:b/>
          <w:bCs/>
          <w:sz w:val="32"/>
          <w:szCs w:val="32"/>
        </w:rPr>
      </w:pPr>
      <w:r>
        <w:rPr>
          <w:rFonts w:hint="eastAsia" w:eastAsia="仿宋_GB2312"/>
          <w:b/>
          <w:bCs/>
          <w:sz w:val="32"/>
          <w:szCs w:val="32"/>
        </w:rPr>
        <w:t>八、</w:t>
      </w:r>
      <w:r>
        <w:rPr>
          <w:rFonts w:eastAsia="仿宋_GB2312"/>
          <w:b/>
          <w:bCs/>
          <w:sz w:val="32"/>
          <w:szCs w:val="32"/>
        </w:rPr>
        <w:t>争议解决</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本合同在履行期间，双方发生争议时，在不影响工程进度的前提下，双方可协商解决。</w:t>
      </w:r>
    </w:p>
    <w:p>
      <w:pPr>
        <w:pStyle w:val="45"/>
        <w:spacing w:line="600" w:lineRule="exact"/>
        <w:ind w:firstLine="640" w:firstLineChars="200"/>
        <w:jc w:val="both"/>
        <w:rPr>
          <w:rFonts w:eastAsia="仿宋_GB2312"/>
          <w:sz w:val="32"/>
          <w:szCs w:val="32"/>
        </w:rPr>
      </w:pPr>
      <w:r>
        <w:rPr>
          <w:rFonts w:hint="eastAsia" w:eastAsia="仿宋_GB2312"/>
          <w:sz w:val="32"/>
          <w:szCs w:val="32"/>
        </w:rPr>
        <w:t>（二）</w:t>
      </w:r>
      <w:r>
        <w:rPr>
          <w:rFonts w:eastAsia="仿宋_GB2312"/>
          <w:sz w:val="32"/>
          <w:szCs w:val="32"/>
          <w:shd w:val="clear" w:color="auto" w:fill="FFFFFF"/>
        </w:rPr>
        <w:t>若双方不能通过协商达成协议，可依据《中华人民共和国民事诉讼法》和《中华人民共和国民法典》的有关规定，</w:t>
      </w:r>
      <w:r>
        <w:rPr>
          <w:rFonts w:eastAsia="仿宋_GB2312"/>
          <w:sz w:val="32"/>
          <w:szCs w:val="32"/>
        </w:rPr>
        <w:t>任何一方应向</w:t>
      </w:r>
      <w:r>
        <w:rPr>
          <w:rFonts w:hint="eastAsia" w:eastAsia="仿宋_GB2312"/>
          <w:sz w:val="32"/>
          <w:szCs w:val="32"/>
        </w:rPr>
        <w:t>合同履行地</w:t>
      </w:r>
      <w:r>
        <w:rPr>
          <w:rFonts w:eastAsia="仿宋_GB2312"/>
          <w:sz w:val="32"/>
          <w:szCs w:val="32"/>
        </w:rPr>
        <w:t>人民法院提出诉讼。</w:t>
      </w:r>
    </w:p>
    <w:p>
      <w:pPr>
        <w:spacing w:line="600" w:lineRule="exact"/>
        <w:ind w:firstLine="643" w:firstLineChars="200"/>
        <w:rPr>
          <w:rFonts w:eastAsia="仿宋_GB2312"/>
          <w:b/>
          <w:bCs/>
          <w:sz w:val="32"/>
          <w:szCs w:val="32"/>
        </w:rPr>
      </w:pPr>
      <w:r>
        <w:rPr>
          <w:rFonts w:hint="eastAsia" w:eastAsia="仿宋_GB2312"/>
          <w:b/>
          <w:bCs/>
          <w:sz w:val="32"/>
          <w:szCs w:val="32"/>
        </w:rPr>
        <w:t>九、</w:t>
      </w:r>
      <w:r>
        <w:rPr>
          <w:rFonts w:eastAsia="仿宋_GB2312"/>
          <w:b/>
          <w:bCs/>
          <w:sz w:val="32"/>
          <w:szCs w:val="32"/>
        </w:rPr>
        <w:t>保修</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工程竣工后，乙方施工项目在保修期限内出现问题，由乙方进行保修，保修范围为乙方施工的工程项目（以工程结算书所列项目为准）。</w:t>
      </w:r>
    </w:p>
    <w:p>
      <w:pPr>
        <w:spacing w:line="60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本工程保修责任期： 2年</w:t>
      </w:r>
      <w:r>
        <w:rPr>
          <w:rFonts w:hint="eastAsia" w:eastAsia="仿宋_GB2312"/>
          <w:sz w:val="32"/>
          <w:szCs w:val="32"/>
        </w:rPr>
        <w:t>，均从双方签署竣工验收合格文件之日起算</w:t>
      </w:r>
      <w:r>
        <w:rPr>
          <w:rFonts w:eastAsia="仿宋_GB2312"/>
          <w:sz w:val="32"/>
          <w:szCs w:val="32"/>
        </w:rPr>
        <w:t>。</w:t>
      </w:r>
    </w:p>
    <w:p>
      <w:pPr>
        <w:spacing w:line="60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保修期间</w:t>
      </w:r>
      <w:r>
        <w:rPr>
          <w:rFonts w:hint="eastAsia" w:eastAsia="仿宋_GB2312"/>
          <w:sz w:val="32"/>
          <w:szCs w:val="32"/>
        </w:rPr>
        <w:t>本工程</w:t>
      </w:r>
      <w:r>
        <w:rPr>
          <w:rFonts w:eastAsia="仿宋_GB2312"/>
          <w:sz w:val="32"/>
          <w:szCs w:val="32"/>
        </w:rPr>
        <w:t>项目因乙方原因出现质量问题由乙方负责保修的人工费和材料费，因乙方工程质量原因造成的其它损失，由乙方按当时市场价格全额赔偿。</w:t>
      </w:r>
    </w:p>
    <w:p>
      <w:pPr>
        <w:spacing w:line="600" w:lineRule="exact"/>
        <w:ind w:firstLine="640" w:firstLineChars="200"/>
        <w:rPr>
          <w:rFonts w:eastAsia="仿宋_GB2312"/>
          <w:sz w:val="32"/>
          <w:szCs w:val="32"/>
        </w:rPr>
      </w:pPr>
      <w:r>
        <w:rPr>
          <w:rFonts w:hint="eastAsia" w:eastAsia="仿宋_GB2312"/>
          <w:sz w:val="32"/>
          <w:szCs w:val="32"/>
        </w:rPr>
        <w:t>（四）乙方要提供24小时联系电话，并在接到甲方保修通知电话后4小时内派人到工程现场处理，研究拟定维修方案，在不影响正常上班的情况下，尽快修复,不得故意拖延，否则，甲方在书面通知未果的情况下有权委托其它单位或人员进行修复， 维修费用甲方有权从质保金中优先扣除，不足部分由乙方承担，且本工程的整体保修责任继续由乙方承担，直至保修期结束。</w:t>
      </w:r>
    </w:p>
    <w:p>
      <w:pPr>
        <w:spacing w:line="600" w:lineRule="exact"/>
        <w:ind w:firstLine="643" w:firstLineChars="200"/>
        <w:rPr>
          <w:rFonts w:eastAsia="仿宋_GB2312"/>
          <w:b/>
          <w:bCs/>
          <w:sz w:val="32"/>
          <w:szCs w:val="32"/>
        </w:rPr>
      </w:pPr>
      <w:r>
        <w:rPr>
          <w:rFonts w:hint="eastAsia" w:eastAsia="仿宋_GB2312"/>
          <w:b/>
          <w:bCs/>
          <w:sz w:val="32"/>
          <w:szCs w:val="32"/>
        </w:rPr>
        <w:t>十、</w:t>
      </w:r>
      <w:r>
        <w:rPr>
          <w:rFonts w:eastAsia="仿宋_GB2312"/>
          <w:b/>
          <w:bCs/>
          <w:sz w:val="32"/>
          <w:szCs w:val="32"/>
        </w:rPr>
        <w:t>合同解除和终止</w:t>
      </w:r>
    </w:p>
    <w:p>
      <w:pPr>
        <w:spacing w:line="60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有下列情形之一的，可以解除合同：</w:t>
      </w:r>
    </w:p>
    <w:p>
      <w:pPr>
        <w:spacing w:line="60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甲、乙双方协商一致；</w:t>
      </w:r>
    </w:p>
    <w:p>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因不可抗力致使合同无法履行。</w:t>
      </w:r>
    </w:p>
    <w:p>
      <w:pPr>
        <w:spacing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因一方违约致使合同无法履行。</w:t>
      </w:r>
    </w:p>
    <w:p>
      <w:pPr>
        <w:spacing w:line="60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.如因报价人未按要求完成报建时间节点，且延后超过10天，招标人有权中止合同。</w:t>
      </w:r>
    </w:p>
    <w:p>
      <w:pPr>
        <w:spacing w:line="600" w:lineRule="exact"/>
        <w:ind w:firstLine="640" w:firstLineChars="200"/>
        <w:rPr>
          <w:rFonts w:eastAsia="仿宋_GB2312"/>
          <w:b/>
          <w:bCs/>
          <w:sz w:val="32"/>
          <w:szCs w:val="32"/>
        </w:rPr>
      </w:pPr>
      <w:r>
        <w:rPr>
          <w:rFonts w:hint="eastAsia" w:eastAsia="仿宋_GB2312"/>
          <w:sz w:val="32"/>
          <w:szCs w:val="32"/>
        </w:rPr>
        <w:t>（二）</w:t>
      </w:r>
      <w:r>
        <w:rPr>
          <w:rFonts w:eastAsia="仿宋_GB2312"/>
          <w:sz w:val="32"/>
          <w:szCs w:val="32"/>
        </w:rPr>
        <w:t>甲、乙双方履行完本合同全部义务，工程竣工结算价款支付完毕，本合同即告终止。</w:t>
      </w:r>
    </w:p>
    <w:p>
      <w:pPr>
        <w:spacing w:line="600" w:lineRule="exact"/>
        <w:ind w:firstLine="643" w:firstLineChars="200"/>
        <w:rPr>
          <w:rFonts w:eastAsia="仿宋_GB2312"/>
          <w:b/>
          <w:bCs/>
          <w:sz w:val="32"/>
          <w:szCs w:val="32"/>
        </w:rPr>
      </w:pPr>
      <w:r>
        <w:rPr>
          <w:rFonts w:hint="eastAsia" w:eastAsia="仿宋_GB2312"/>
          <w:b/>
          <w:bCs/>
          <w:sz w:val="32"/>
          <w:szCs w:val="32"/>
        </w:rPr>
        <w:t>十一、</w:t>
      </w:r>
      <w:r>
        <w:rPr>
          <w:rFonts w:eastAsia="仿宋_GB2312"/>
          <w:b/>
          <w:bCs/>
          <w:sz w:val="32"/>
          <w:szCs w:val="32"/>
        </w:rPr>
        <w:t>附则</w:t>
      </w:r>
    </w:p>
    <w:p>
      <w:pPr>
        <w:spacing w:line="600" w:lineRule="exact"/>
        <w:ind w:firstLine="640" w:firstLineChars="200"/>
        <w:rPr>
          <w:rFonts w:eastAsia="仿宋_GB2312"/>
          <w:sz w:val="32"/>
          <w:szCs w:val="32"/>
        </w:rPr>
      </w:pPr>
      <w:r>
        <w:rPr>
          <w:rFonts w:eastAsia="仿宋_GB2312"/>
          <w:sz w:val="32"/>
          <w:szCs w:val="32"/>
        </w:rPr>
        <w:t>本合同正本一式</w:t>
      </w:r>
      <w:r>
        <w:rPr>
          <w:rFonts w:hint="eastAsia" w:eastAsia="仿宋_GB2312"/>
          <w:sz w:val="32"/>
          <w:szCs w:val="32"/>
        </w:rPr>
        <w:t>陆</w:t>
      </w:r>
      <w:r>
        <w:rPr>
          <w:rFonts w:eastAsia="仿宋_GB2312"/>
          <w:sz w:val="32"/>
          <w:szCs w:val="32"/>
        </w:rPr>
        <w:t>份，甲方执</w:t>
      </w:r>
      <w:r>
        <w:rPr>
          <w:rFonts w:hint="eastAsia" w:eastAsia="仿宋_GB2312"/>
          <w:sz w:val="32"/>
          <w:szCs w:val="32"/>
        </w:rPr>
        <w:t>肆</w:t>
      </w:r>
      <w:r>
        <w:rPr>
          <w:rFonts w:eastAsia="仿宋_GB2312"/>
          <w:sz w:val="32"/>
          <w:szCs w:val="32"/>
        </w:rPr>
        <w:t>份，乙方执</w:t>
      </w:r>
      <w:r>
        <w:rPr>
          <w:rFonts w:hint="eastAsia" w:eastAsia="仿宋_GB2312"/>
          <w:sz w:val="32"/>
          <w:szCs w:val="32"/>
        </w:rPr>
        <w:t>贰</w:t>
      </w:r>
      <w:r>
        <w:rPr>
          <w:rFonts w:eastAsia="仿宋_GB2312"/>
          <w:sz w:val="32"/>
          <w:szCs w:val="32"/>
        </w:rPr>
        <w:t>份，均具同等法律效力，双方</w:t>
      </w:r>
      <w:r>
        <w:rPr>
          <w:rFonts w:hint="eastAsia" w:eastAsia="仿宋_GB2312"/>
          <w:sz w:val="32"/>
          <w:szCs w:val="32"/>
        </w:rPr>
        <w:t>法定代表人或授权代表</w:t>
      </w:r>
      <w:r>
        <w:rPr>
          <w:rFonts w:eastAsia="仿宋_GB2312"/>
          <w:sz w:val="32"/>
          <w:szCs w:val="32"/>
        </w:rPr>
        <w:t>签字</w:t>
      </w:r>
      <w:r>
        <w:rPr>
          <w:rFonts w:hint="eastAsia" w:eastAsia="仿宋_GB2312"/>
          <w:sz w:val="32"/>
          <w:szCs w:val="32"/>
        </w:rPr>
        <w:t>并加盖公章</w:t>
      </w:r>
      <w:r>
        <w:rPr>
          <w:rFonts w:eastAsia="仿宋_GB2312"/>
          <w:sz w:val="32"/>
          <w:szCs w:val="32"/>
        </w:rPr>
        <w:t>后生效。</w:t>
      </w:r>
    </w:p>
    <w:p>
      <w:pPr>
        <w:pStyle w:val="45"/>
        <w:shd w:val="clear" w:color="auto" w:fill="FFFFFF"/>
        <w:spacing w:line="600" w:lineRule="exact"/>
        <w:ind w:left="730" w:leftChars="304"/>
        <w:textAlignment w:val="baseline"/>
        <w:rPr>
          <w:rFonts w:eastAsia="仿宋_GB2312"/>
          <w:sz w:val="32"/>
          <w:szCs w:val="32"/>
          <w:shd w:val="clear" w:color="auto" w:fill="FFFFFF"/>
        </w:rPr>
      </w:pPr>
      <w:r>
        <w:rPr>
          <w:rFonts w:hint="eastAsia" w:eastAsia="仿宋_GB2312"/>
          <w:b/>
          <w:bCs/>
          <w:sz w:val="32"/>
          <w:szCs w:val="32"/>
          <w:shd w:val="clear" w:color="auto" w:fill="FFFFFF"/>
        </w:rPr>
        <w:t>十二、</w:t>
      </w:r>
      <w:r>
        <w:rPr>
          <w:rFonts w:eastAsia="仿宋_GB2312"/>
          <w:b/>
          <w:bCs/>
          <w:sz w:val="32"/>
          <w:szCs w:val="32"/>
          <w:shd w:val="clear" w:color="auto" w:fill="FFFFFF"/>
        </w:rPr>
        <w:t>其它约定事项</w:t>
      </w:r>
      <w:r>
        <w:rPr>
          <w:rFonts w:eastAsia="仿宋_GB2312"/>
          <w:b/>
          <w:bCs/>
          <w:sz w:val="32"/>
          <w:szCs w:val="32"/>
          <w:shd w:val="clear" w:color="auto" w:fill="FFFFFF"/>
        </w:rPr>
        <w:br w:type="textWrapping"/>
      </w:r>
      <w:r>
        <w:rPr>
          <w:rFonts w:eastAsia="仿宋_GB2312"/>
          <w:sz w:val="32"/>
          <w:szCs w:val="32"/>
          <w:shd w:val="clear" w:color="auto" w:fill="FFFFFF"/>
        </w:rPr>
        <w:t>本合同未尽事宜，可由甲乙双方商定，并签署书面</w:t>
      </w:r>
    </w:p>
    <w:p>
      <w:pPr>
        <w:pStyle w:val="45"/>
        <w:shd w:val="clear" w:color="auto" w:fill="FFFFFF"/>
        <w:spacing w:line="600" w:lineRule="exact"/>
        <w:textAlignment w:val="baseline"/>
        <w:rPr>
          <w:rFonts w:eastAsia="仿宋_GB2312"/>
          <w:sz w:val="32"/>
          <w:szCs w:val="32"/>
          <w:shd w:val="clear" w:color="auto" w:fill="FFFFFF"/>
        </w:rPr>
      </w:pPr>
      <w:r>
        <w:rPr>
          <w:rFonts w:eastAsia="仿宋_GB2312"/>
          <w:sz w:val="32"/>
          <w:szCs w:val="32"/>
          <w:shd w:val="clear" w:color="auto" w:fill="FFFFFF"/>
        </w:rPr>
        <w:t>补充协议。如果有附件，附件也是本合同不可缺少之组成部分，具有同等法律效力。</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合同附件（共4件）</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附件1：阳光合作协议</w:t>
      </w:r>
    </w:p>
    <w:p>
      <w:pPr>
        <w:spacing w:line="360" w:lineRule="auto"/>
        <w:ind w:firstLine="640" w:firstLineChars="200"/>
        <w:rPr>
          <w:rFonts w:eastAsia="仿宋_GB2312"/>
          <w:sz w:val="32"/>
          <w:szCs w:val="32"/>
          <w:shd w:val="clear" w:color="auto" w:fill="FFFFFF"/>
        </w:rPr>
      </w:pPr>
      <w:r>
        <w:rPr>
          <w:rFonts w:hint="eastAsia" w:eastAsia="仿宋_GB2312"/>
          <w:sz w:val="32"/>
          <w:szCs w:val="32"/>
          <w:shd w:val="clear" w:color="auto" w:fill="FFFFFF"/>
        </w:rPr>
        <w:t>附件2：图纸（原总包合同范围内的电气</w:t>
      </w:r>
      <w:r>
        <w:rPr>
          <w:rFonts w:eastAsia="仿宋_GB2312"/>
          <w:sz w:val="32"/>
          <w:szCs w:val="32"/>
          <w:shd w:val="clear" w:color="auto" w:fill="FFFFFF"/>
        </w:rPr>
        <w:t>图纸</w:t>
      </w:r>
      <w:r>
        <w:rPr>
          <w:rFonts w:hint="eastAsia" w:eastAsia="仿宋_GB2312"/>
          <w:sz w:val="32"/>
          <w:szCs w:val="32"/>
          <w:shd w:val="clear" w:color="auto" w:fill="FFFFFF"/>
        </w:rPr>
        <w:t>；</w:t>
      </w:r>
      <w:r>
        <w:rPr>
          <w:rFonts w:eastAsia="仿宋_GB2312"/>
          <w:sz w:val="32"/>
          <w:szCs w:val="32"/>
          <w:shd w:val="clear" w:color="auto" w:fill="FFFFFF"/>
        </w:rPr>
        <w:t>高低压</w:t>
      </w:r>
      <w:r>
        <w:rPr>
          <w:rFonts w:hint="eastAsia" w:eastAsia="仿宋_GB2312"/>
          <w:sz w:val="32"/>
          <w:szCs w:val="32"/>
          <w:shd w:val="clear" w:color="auto" w:fill="FFFFFF"/>
        </w:rPr>
        <w:t>施工</w:t>
      </w:r>
      <w:r>
        <w:rPr>
          <w:rFonts w:eastAsia="仿宋_GB2312"/>
          <w:sz w:val="32"/>
          <w:szCs w:val="32"/>
          <w:shd w:val="clear" w:color="auto" w:fill="FFFFFF"/>
        </w:rPr>
        <w:t>参考图纸</w:t>
      </w:r>
      <w:r>
        <w:rPr>
          <w:rFonts w:hint="eastAsia" w:eastAsia="仿宋_GB2312"/>
          <w:sz w:val="32"/>
          <w:szCs w:val="32"/>
          <w:shd w:val="clear" w:color="auto" w:fill="FFFFFF"/>
        </w:rPr>
        <w:t>；</w:t>
      </w:r>
      <w:r>
        <w:rPr>
          <w:rFonts w:eastAsia="仿宋_GB2312"/>
          <w:sz w:val="32"/>
          <w:szCs w:val="32"/>
          <w:shd w:val="clear" w:color="auto" w:fill="FFFFFF"/>
        </w:rPr>
        <w:t>水表集抄</w:t>
      </w:r>
      <w:r>
        <w:rPr>
          <w:rFonts w:hint="eastAsia" w:eastAsia="仿宋_GB2312"/>
          <w:sz w:val="32"/>
          <w:szCs w:val="32"/>
          <w:shd w:val="clear" w:color="auto" w:fill="FFFFFF"/>
        </w:rPr>
        <w:t>施工</w:t>
      </w:r>
      <w:r>
        <w:rPr>
          <w:rFonts w:eastAsia="仿宋_GB2312"/>
          <w:sz w:val="32"/>
          <w:szCs w:val="32"/>
          <w:shd w:val="clear" w:color="auto" w:fill="FFFFFF"/>
        </w:rPr>
        <w:t>参考图纸</w:t>
      </w:r>
      <w:r>
        <w:rPr>
          <w:rFonts w:hint="eastAsia" w:eastAsia="仿宋_GB2312"/>
          <w:sz w:val="32"/>
          <w:szCs w:val="32"/>
          <w:shd w:val="clear" w:color="auto" w:fill="FFFFFF"/>
        </w:rPr>
        <w:t>）</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附件3：报价清单</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附件4：技术需求书</w:t>
      </w:r>
    </w:p>
    <w:p>
      <w:pPr>
        <w:spacing w:line="600" w:lineRule="exact"/>
        <w:ind w:firstLine="640" w:firstLineChars="200"/>
        <w:rPr>
          <w:rFonts w:eastAsia="仿宋_GB2312"/>
          <w:sz w:val="32"/>
          <w:szCs w:val="32"/>
          <w:shd w:val="clear" w:color="auto" w:fill="FFFFFF"/>
        </w:rPr>
      </w:pPr>
    </w:p>
    <w:p>
      <w:pPr>
        <w:spacing w:line="600" w:lineRule="exact"/>
        <w:rPr>
          <w:rFonts w:eastAsia="仿宋_GB2312"/>
          <w:sz w:val="32"/>
          <w:szCs w:val="32"/>
          <w:shd w:val="clear" w:color="auto" w:fill="FFFFFF"/>
        </w:rPr>
      </w:pPr>
      <w:r>
        <w:rPr>
          <w:rFonts w:eastAsia="仿宋_GB2312"/>
          <w:sz w:val="32"/>
          <w:szCs w:val="32"/>
          <w:shd w:val="clear" w:color="auto" w:fill="FFFFFF"/>
        </w:rPr>
        <w:t>甲方（盖章）：　</w:t>
      </w:r>
      <w:r>
        <w:rPr>
          <w:rFonts w:hint="eastAsia" w:eastAsia="仿宋_GB2312"/>
          <w:sz w:val="32"/>
          <w:szCs w:val="32"/>
          <w:shd w:val="clear" w:color="auto" w:fill="FFFFFF"/>
        </w:rPr>
        <w:t xml:space="preserve"> </w:t>
      </w:r>
      <w:r>
        <w:rPr>
          <w:rFonts w:eastAsia="仿宋_GB2312"/>
          <w:sz w:val="32"/>
          <w:szCs w:val="32"/>
          <w:shd w:val="clear" w:color="auto" w:fill="FFFFFF"/>
        </w:rPr>
        <w:t xml:space="preserve">              </w:t>
      </w:r>
    </w:p>
    <w:p>
      <w:pPr>
        <w:snapToGrid w:val="0"/>
        <w:spacing w:line="600" w:lineRule="exact"/>
        <w:rPr>
          <w:rFonts w:eastAsia="仿宋_GB2312"/>
          <w:sz w:val="32"/>
          <w:szCs w:val="32"/>
          <w:shd w:val="clear" w:color="auto" w:fill="FFFFFF"/>
        </w:rPr>
      </w:pPr>
      <w:r>
        <w:rPr>
          <w:rFonts w:eastAsia="仿宋_GB2312"/>
          <w:sz w:val="32"/>
          <w:szCs w:val="32"/>
          <w:shd w:val="clear" w:color="auto" w:fill="FFFFFF"/>
        </w:rPr>
        <w:t>法定代表人</w:t>
      </w:r>
      <w:r>
        <w:rPr>
          <w:rFonts w:hint="eastAsia" w:eastAsia="仿宋_GB2312"/>
          <w:sz w:val="32"/>
          <w:szCs w:val="32"/>
          <w:shd w:val="clear" w:color="auto" w:fill="FFFFFF"/>
        </w:rPr>
        <w:t>或其</w:t>
      </w:r>
      <w:r>
        <w:rPr>
          <w:rFonts w:eastAsia="仿宋_GB2312"/>
          <w:sz w:val="32"/>
          <w:szCs w:val="32"/>
          <w:shd w:val="clear" w:color="auto" w:fill="FFFFFF"/>
        </w:rPr>
        <w:t>委托代理人</w:t>
      </w:r>
      <w:r>
        <w:rPr>
          <w:rFonts w:hint="eastAsia" w:eastAsia="仿宋_GB2312"/>
          <w:sz w:val="32"/>
          <w:szCs w:val="32"/>
          <w:shd w:val="clear" w:color="auto" w:fill="FFFFFF"/>
        </w:rPr>
        <w:t>（签字）</w:t>
      </w:r>
      <w:r>
        <w:rPr>
          <w:rFonts w:eastAsia="仿宋_GB2312"/>
          <w:sz w:val="32"/>
          <w:szCs w:val="32"/>
          <w:shd w:val="clear" w:color="auto" w:fill="FFFFFF"/>
        </w:rPr>
        <w:t>：</w:t>
      </w:r>
      <w:r>
        <w:rPr>
          <w:rFonts w:hint="eastAsia" w:eastAsia="仿宋_GB2312"/>
          <w:sz w:val="32"/>
          <w:szCs w:val="32"/>
          <w:shd w:val="clear" w:color="auto" w:fill="FFFFFF"/>
        </w:rPr>
        <w:t xml:space="preserve"> </w:t>
      </w: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eastAsia="仿宋_GB2312"/>
          <w:sz w:val="32"/>
          <w:szCs w:val="32"/>
          <w:shd w:val="clear" w:color="auto" w:fill="FFFFFF"/>
        </w:rPr>
        <w:t xml:space="preserve">     </w:t>
      </w:r>
    </w:p>
    <w:p>
      <w:pPr>
        <w:snapToGrid w:val="0"/>
        <w:spacing w:line="600" w:lineRule="exact"/>
        <w:ind w:right="-4426" w:rightChars="-1844"/>
        <w:rPr>
          <w:rFonts w:eastAsia="仿宋_GB2312"/>
          <w:sz w:val="32"/>
          <w:szCs w:val="32"/>
          <w:shd w:val="clear" w:color="auto" w:fill="FFFFFF"/>
        </w:rPr>
      </w:pPr>
      <w:r>
        <w:rPr>
          <w:rFonts w:eastAsia="仿宋_GB2312"/>
          <w:sz w:val="32"/>
          <w:szCs w:val="32"/>
          <w:shd w:val="clear" w:color="auto" w:fill="FFFFFF"/>
        </w:rPr>
        <w:t>开户名称：</w:t>
      </w:r>
      <w:r>
        <w:rPr>
          <w:rFonts w:hint="eastAsia" w:eastAsia="仿宋_GB2312"/>
          <w:sz w:val="32"/>
          <w:szCs w:val="32"/>
          <w:shd w:val="clear" w:color="auto" w:fill="FFFFFF"/>
        </w:rPr>
        <w:t xml:space="preserve">                </w:t>
      </w:r>
      <w:r>
        <w:rPr>
          <w:rFonts w:eastAsia="仿宋_GB2312"/>
          <w:sz w:val="32"/>
          <w:szCs w:val="32"/>
          <w:shd w:val="clear" w:color="auto" w:fill="FFFFFF"/>
        </w:rPr>
        <w:t xml:space="preserve">     </w:t>
      </w:r>
    </w:p>
    <w:p>
      <w:pPr>
        <w:snapToGrid w:val="0"/>
        <w:spacing w:line="600" w:lineRule="exact"/>
        <w:ind w:left="6086" w:hanging="6086" w:hangingChars="1902"/>
        <w:rPr>
          <w:rFonts w:eastAsia="仿宋_GB2312"/>
          <w:sz w:val="32"/>
          <w:szCs w:val="32"/>
          <w:shd w:val="clear" w:color="auto" w:fill="FFFFFF"/>
        </w:rPr>
      </w:pPr>
      <w:r>
        <w:rPr>
          <w:rFonts w:eastAsia="仿宋_GB2312"/>
          <w:sz w:val="32"/>
          <w:szCs w:val="32"/>
          <w:shd w:val="clear" w:color="auto" w:fill="FFFFFF"/>
        </w:rPr>
        <w:t>开户银行：</w:t>
      </w:r>
      <w:r>
        <w:rPr>
          <w:rFonts w:hint="eastAsia" w:eastAsia="仿宋_GB2312"/>
          <w:sz w:val="32"/>
          <w:szCs w:val="32"/>
          <w:shd w:val="clear" w:color="auto" w:fill="FFFFFF"/>
        </w:rPr>
        <w:t xml:space="preserve">                </w:t>
      </w:r>
      <w:r>
        <w:rPr>
          <w:rFonts w:eastAsia="仿宋_GB2312"/>
          <w:sz w:val="32"/>
          <w:szCs w:val="32"/>
          <w:shd w:val="clear" w:color="auto" w:fill="FFFFFF"/>
        </w:rPr>
        <w:t xml:space="preserve">     </w:t>
      </w:r>
    </w:p>
    <w:p>
      <w:pPr>
        <w:snapToGrid w:val="0"/>
        <w:spacing w:line="600" w:lineRule="exact"/>
        <w:ind w:left="6086" w:hanging="6086" w:hangingChars="1902"/>
        <w:rPr>
          <w:rFonts w:hAnsi="宋体" w:eastAsia="仿宋_GB2312"/>
          <w:bCs/>
        </w:rPr>
      </w:pPr>
      <w:r>
        <w:rPr>
          <w:rFonts w:eastAsia="仿宋_GB2312"/>
          <w:sz w:val="32"/>
          <w:szCs w:val="32"/>
          <w:shd w:val="clear" w:color="auto" w:fill="FFFFFF"/>
        </w:rPr>
        <w:t>帐号：</w:t>
      </w:r>
      <w:r>
        <w:rPr>
          <w:rFonts w:hint="eastAsia" w:eastAsia="仿宋_GB2312"/>
          <w:sz w:val="32"/>
          <w:szCs w:val="32"/>
          <w:shd w:val="clear" w:color="auto" w:fill="FFFFFF"/>
        </w:rPr>
        <w:t xml:space="preserve">   </w:t>
      </w:r>
      <w:r>
        <w:rPr>
          <w:rFonts w:hint="eastAsia" w:eastAsia="仿宋_GB2312"/>
          <w:b/>
          <w:bCs/>
        </w:rPr>
        <w:t xml:space="preserve">                  </w:t>
      </w:r>
      <w:r>
        <w:rPr>
          <w:rFonts w:eastAsia="仿宋_GB2312"/>
          <w:b/>
          <w:bCs/>
        </w:rPr>
        <w:t xml:space="preserve">    </w:t>
      </w:r>
    </w:p>
    <w:p>
      <w:pPr>
        <w:snapToGrid w:val="0"/>
        <w:spacing w:line="600" w:lineRule="exact"/>
        <w:rPr>
          <w:rFonts w:eastAsia="仿宋_GB2312"/>
          <w:b/>
          <w:bCs/>
          <w:sz w:val="32"/>
          <w:szCs w:val="32"/>
        </w:rPr>
      </w:pPr>
    </w:p>
    <w:p>
      <w:pPr>
        <w:spacing w:line="600" w:lineRule="exact"/>
        <w:rPr>
          <w:rFonts w:eastAsia="仿宋_GB2312"/>
          <w:sz w:val="32"/>
          <w:szCs w:val="32"/>
          <w:shd w:val="clear" w:color="auto" w:fill="FFFFFF"/>
        </w:rPr>
      </w:pPr>
      <w:r>
        <w:rPr>
          <w:rFonts w:eastAsia="仿宋_GB2312"/>
          <w:sz w:val="32"/>
          <w:szCs w:val="32"/>
          <w:shd w:val="clear" w:color="auto" w:fill="FFFFFF"/>
        </w:rPr>
        <w:t>乙方（盖章）：</w:t>
      </w:r>
    </w:p>
    <w:p>
      <w:pPr>
        <w:spacing w:line="600" w:lineRule="exact"/>
        <w:rPr>
          <w:rFonts w:eastAsia="仿宋_GB2312"/>
          <w:sz w:val="32"/>
          <w:szCs w:val="32"/>
          <w:shd w:val="clear" w:color="auto" w:fill="FFFFFF"/>
        </w:rPr>
      </w:pPr>
      <w:r>
        <w:rPr>
          <w:rFonts w:eastAsia="仿宋_GB2312"/>
          <w:sz w:val="32"/>
          <w:szCs w:val="32"/>
          <w:shd w:val="clear" w:color="auto" w:fill="FFFFFF"/>
        </w:rPr>
        <w:t>法定代表人</w:t>
      </w:r>
      <w:r>
        <w:rPr>
          <w:rFonts w:hint="eastAsia" w:eastAsia="仿宋_GB2312"/>
          <w:sz w:val="32"/>
          <w:szCs w:val="32"/>
          <w:shd w:val="clear" w:color="auto" w:fill="FFFFFF"/>
        </w:rPr>
        <w:t>或其</w:t>
      </w:r>
      <w:r>
        <w:rPr>
          <w:rFonts w:eastAsia="仿宋_GB2312"/>
          <w:sz w:val="32"/>
          <w:szCs w:val="32"/>
          <w:shd w:val="clear" w:color="auto" w:fill="FFFFFF"/>
        </w:rPr>
        <w:t>委托代理人</w:t>
      </w:r>
      <w:r>
        <w:rPr>
          <w:rFonts w:hint="eastAsia" w:eastAsia="仿宋_GB2312"/>
          <w:sz w:val="32"/>
          <w:szCs w:val="32"/>
          <w:shd w:val="clear" w:color="auto" w:fill="FFFFFF"/>
        </w:rPr>
        <w:t>（签字）</w:t>
      </w:r>
      <w:r>
        <w:rPr>
          <w:rFonts w:eastAsia="仿宋_GB2312"/>
          <w:sz w:val="32"/>
          <w:szCs w:val="32"/>
          <w:shd w:val="clear" w:color="auto" w:fill="FFFFFF"/>
        </w:rPr>
        <w:t>：</w:t>
      </w:r>
    </w:p>
    <w:p>
      <w:pPr>
        <w:spacing w:line="600" w:lineRule="exact"/>
        <w:rPr>
          <w:rFonts w:eastAsia="仿宋_GB2312"/>
          <w:sz w:val="32"/>
          <w:szCs w:val="32"/>
          <w:shd w:val="clear" w:color="auto" w:fill="FFFFFF"/>
        </w:rPr>
      </w:pPr>
      <w:r>
        <w:rPr>
          <w:rFonts w:eastAsia="仿宋_GB2312"/>
          <w:sz w:val="32"/>
          <w:szCs w:val="32"/>
          <w:shd w:val="clear" w:color="auto" w:fill="FFFFFF"/>
        </w:rPr>
        <w:t>开户名称：</w:t>
      </w:r>
    </w:p>
    <w:p>
      <w:pPr>
        <w:spacing w:line="600" w:lineRule="exact"/>
        <w:rPr>
          <w:rFonts w:eastAsia="仿宋_GB2312"/>
          <w:sz w:val="32"/>
          <w:szCs w:val="32"/>
          <w:shd w:val="clear" w:color="auto" w:fill="FFFFFF"/>
        </w:rPr>
      </w:pPr>
      <w:r>
        <w:rPr>
          <w:rFonts w:eastAsia="仿宋_GB2312"/>
          <w:sz w:val="32"/>
          <w:szCs w:val="32"/>
          <w:shd w:val="clear" w:color="auto" w:fill="FFFFFF"/>
        </w:rPr>
        <w:t>开户银行：</w:t>
      </w:r>
    </w:p>
    <w:p>
      <w:pPr>
        <w:spacing w:line="600" w:lineRule="exact"/>
        <w:rPr>
          <w:rFonts w:eastAsia="仿宋_GB2312"/>
          <w:strike/>
          <w:sz w:val="32"/>
          <w:szCs w:val="32"/>
          <w:shd w:val="clear" w:color="auto" w:fill="FFFFFF"/>
        </w:rPr>
      </w:pPr>
      <w:r>
        <w:rPr>
          <w:rFonts w:eastAsia="仿宋_GB2312"/>
          <w:sz w:val="32"/>
          <w:szCs w:val="32"/>
          <w:shd w:val="clear" w:color="auto" w:fill="FFFFFF"/>
        </w:rPr>
        <w:t>帐号：</w:t>
      </w:r>
    </w:p>
    <w:p>
      <w:pPr>
        <w:snapToGrid w:val="0"/>
        <w:spacing w:line="600" w:lineRule="exact"/>
        <w:rPr>
          <w:rFonts w:eastAsia="仿宋_GB2312"/>
          <w:b/>
          <w:bCs/>
          <w:sz w:val="32"/>
          <w:szCs w:val="32"/>
        </w:rPr>
      </w:pPr>
      <w:r>
        <w:rPr>
          <w:rFonts w:eastAsia="仿宋_GB2312"/>
          <w:b/>
          <w:bCs/>
          <w:sz w:val="32"/>
          <w:szCs w:val="32"/>
        </w:rPr>
        <w:t>合同订立时间：</w:t>
      </w:r>
      <w:r>
        <w:rPr>
          <w:rFonts w:hint="eastAsia" w:eastAsia="仿宋_GB2312"/>
          <w:b/>
          <w:bCs/>
          <w:sz w:val="32"/>
          <w:szCs w:val="32"/>
        </w:rPr>
        <w:t xml:space="preserve">  </w:t>
      </w:r>
      <w:r>
        <w:rPr>
          <w:rFonts w:eastAsia="仿宋_GB2312"/>
          <w:b/>
          <w:bCs/>
          <w:sz w:val="32"/>
          <w:szCs w:val="32"/>
        </w:rPr>
        <w:t xml:space="preserve"> 年</w:t>
      </w:r>
      <w:r>
        <w:rPr>
          <w:rFonts w:hint="eastAsia" w:eastAsia="仿宋_GB2312"/>
          <w:b/>
          <w:bCs/>
          <w:sz w:val="32"/>
          <w:szCs w:val="32"/>
        </w:rPr>
        <w:t xml:space="preserve"> </w:t>
      </w:r>
      <w:r>
        <w:rPr>
          <w:rFonts w:eastAsia="仿宋_GB2312"/>
          <w:b/>
          <w:bCs/>
          <w:sz w:val="32"/>
          <w:szCs w:val="32"/>
        </w:rPr>
        <w:t xml:space="preserve">  </w:t>
      </w:r>
      <w:r>
        <w:rPr>
          <w:rFonts w:hint="eastAsia" w:eastAsia="仿宋_GB2312"/>
          <w:b/>
          <w:bCs/>
          <w:sz w:val="32"/>
          <w:szCs w:val="32"/>
        </w:rPr>
        <w:t xml:space="preserve"> </w:t>
      </w:r>
      <w:r>
        <w:rPr>
          <w:rFonts w:eastAsia="仿宋_GB2312"/>
          <w:b/>
          <w:bCs/>
          <w:sz w:val="32"/>
          <w:szCs w:val="32"/>
        </w:rPr>
        <w:t>月</w:t>
      </w:r>
      <w:r>
        <w:rPr>
          <w:rFonts w:hint="eastAsia" w:eastAsia="仿宋_GB2312"/>
          <w:b/>
          <w:bCs/>
          <w:sz w:val="32"/>
          <w:szCs w:val="32"/>
        </w:rPr>
        <w:t xml:space="preserve"> </w:t>
      </w:r>
      <w:r>
        <w:rPr>
          <w:rFonts w:eastAsia="仿宋_GB2312"/>
          <w:b/>
          <w:bCs/>
          <w:sz w:val="32"/>
          <w:szCs w:val="32"/>
        </w:rPr>
        <w:t xml:space="preserve">   日</w:t>
      </w:r>
    </w:p>
    <w:p>
      <w:pPr>
        <w:snapToGrid w:val="0"/>
        <w:spacing w:line="600" w:lineRule="exact"/>
        <w:rPr>
          <w:rFonts w:eastAsia="仿宋_GB2312"/>
          <w:b/>
          <w:bCs/>
          <w:sz w:val="32"/>
          <w:szCs w:val="32"/>
        </w:rPr>
      </w:pPr>
      <w:r>
        <w:rPr>
          <w:rFonts w:eastAsia="仿宋_GB2312"/>
          <w:b/>
          <w:bCs/>
          <w:sz w:val="32"/>
          <w:szCs w:val="32"/>
        </w:rPr>
        <w:t>合同签</w:t>
      </w:r>
      <w:r>
        <w:rPr>
          <w:rFonts w:hint="eastAsia" w:eastAsia="仿宋_GB2312"/>
          <w:b/>
          <w:bCs/>
          <w:sz w:val="32"/>
          <w:szCs w:val="32"/>
        </w:rPr>
        <w:t>订</w:t>
      </w:r>
      <w:r>
        <w:rPr>
          <w:rFonts w:eastAsia="仿宋_GB2312"/>
          <w:b/>
          <w:bCs/>
          <w:sz w:val="32"/>
          <w:szCs w:val="32"/>
        </w:rPr>
        <w:t>地点：东莞市</w:t>
      </w: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p>
    <w:p>
      <w:pPr>
        <w:ind w:firstLine="883" w:firstLineChars="200"/>
        <w:jc w:val="center"/>
        <w:rPr>
          <w:rFonts w:ascii="方正小标宋简体" w:hAnsi="黑体" w:eastAsia="方正小标宋简体"/>
          <w:b/>
          <w:sz w:val="44"/>
          <w:szCs w:val="44"/>
        </w:rPr>
      </w:pPr>
      <w:r>
        <w:rPr>
          <w:rFonts w:hint="eastAsia" w:ascii="方正小标宋简体" w:hAnsi="黑体" w:eastAsia="方正小标宋简体"/>
          <w:b/>
          <w:sz w:val="44"/>
          <w:szCs w:val="44"/>
        </w:rPr>
        <w:t>阳光合作协议</w:t>
      </w:r>
    </w:p>
    <w:p>
      <w:pPr>
        <w:ind w:firstLine="562" w:firstLineChars="200"/>
        <w:jc w:val="center"/>
        <w:rPr>
          <w:b/>
          <w:sz w:val="28"/>
          <w:szCs w:val="28"/>
        </w:rPr>
      </w:pPr>
    </w:p>
    <w:p>
      <w:pPr>
        <w:spacing w:before="120" w:beforeLines="50" w:after="120" w:afterLines="50" w:line="360" w:lineRule="auto"/>
        <w:ind w:firstLine="480" w:firstLineChars="200"/>
        <w:contextualSpacing/>
        <w:rPr>
          <w:rFonts w:hAnsi="宋体"/>
          <w:szCs w:val="21"/>
        </w:rPr>
      </w:pPr>
      <w:r>
        <w:rPr>
          <w:rFonts w:hint="eastAsia" w:hAnsi="宋体"/>
          <w:szCs w:val="21"/>
        </w:rPr>
        <w:t>甲方：</w:t>
      </w:r>
      <w:r>
        <w:rPr>
          <w:rFonts w:hAnsi="宋体"/>
          <w:szCs w:val="21"/>
        </w:rPr>
        <w:t xml:space="preserve"> </w:t>
      </w:r>
    </w:p>
    <w:p>
      <w:pPr>
        <w:spacing w:before="120" w:beforeLines="50" w:after="120" w:afterLines="50" w:line="360" w:lineRule="auto"/>
        <w:ind w:firstLine="480" w:firstLineChars="200"/>
        <w:contextualSpacing/>
        <w:rPr>
          <w:rFonts w:hAnsi="宋体"/>
          <w:szCs w:val="21"/>
        </w:rPr>
      </w:pPr>
      <w:r>
        <w:rPr>
          <w:rFonts w:hint="eastAsia" w:hAnsi="宋体"/>
          <w:szCs w:val="21"/>
        </w:rPr>
        <w:t>乙方：</w:t>
      </w:r>
      <w:r>
        <w:rPr>
          <w:rFonts w:hAnsi="宋体"/>
          <w:szCs w:val="21"/>
        </w:rPr>
        <w:t xml:space="preserve"> </w:t>
      </w:r>
    </w:p>
    <w:p>
      <w:pPr>
        <w:spacing w:before="120" w:beforeLines="50" w:after="120" w:afterLines="50" w:line="360" w:lineRule="auto"/>
        <w:ind w:firstLine="480" w:firstLineChars="200"/>
        <w:contextualSpacing/>
      </w:pPr>
      <w:r>
        <w:rPr>
          <w:rFonts w:hint="eastAsia" w:hAnsi="宋体"/>
        </w:rPr>
        <w:t xml:space="preserve">    甲乙双方于 2021年     月     日签署了《……》（以下简称原合同），为加强双方阳光合作，保证职员职业安全，甲乙双方经协商签订本协议并作为双方共同遵守的阳光合作行为准则。</w:t>
      </w:r>
    </w:p>
    <w:p>
      <w:pPr>
        <w:widowControl/>
        <w:numPr>
          <w:ilvl w:val="0"/>
          <w:numId w:val="17"/>
        </w:numPr>
        <w:autoSpaceDE/>
        <w:autoSpaceDN/>
        <w:adjustRightInd/>
        <w:spacing w:before="120" w:beforeLines="50" w:after="120" w:afterLines="50" w:line="360" w:lineRule="auto"/>
        <w:ind w:left="0" w:firstLine="482" w:firstLineChars="200"/>
        <w:contextualSpacing/>
        <w:rPr>
          <w:rFonts w:hAnsi="宋体"/>
          <w:b/>
        </w:rPr>
      </w:pPr>
      <w:r>
        <w:rPr>
          <w:rFonts w:hint="eastAsia" w:hAnsi="宋体"/>
          <w:b/>
        </w:rPr>
        <w:t>甲方责任</w:t>
      </w:r>
    </w:p>
    <w:p>
      <w:pPr>
        <w:spacing w:before="120" w:beforeLines="50" w:after="120" w:afterLines="50" w:line="360" w:lineRule="auto"/>
        <w:ind w:left="120" w:leftChars="50" w:firstLine="480" w:firstLineChars="200"/>
        <w:contextualSpacing/>
        <w:rPr>
          <w:rFonts w:hAnsi="宋体"/>
        </w:rPr>
      </w:pPr>
      <w:r>
        <w:rPr>
          <w:rFonts w:hint="eastAsia" w:hAnsi="宋体"/>
        </w:rPr>
        <w:t>1.甲方有责任向乙方介绍本单位有关采购管理通用原则和本协议的规定。</w:t>
      </w:r>
    </w:p>
    <w:p>
      <w:pPr>
        <w:spacing w:before="120" w:beforeLines="50" w:after="120" w:afterLines="50" w:line="360" w:lineRule="auto"/>
        <w:ind w:left="120" w:leftChars="50" w:firstLine="480" w:firstLineChars="200"/>
        <w:contextualSpacing/>
        <w:rPr>
          <w:rFonts w:hAnsi="宋体"/>
        </w:rPr>
      </w:pPr>
      <w:r>
        <w:rPr>
          <w:rFonts w:hint="eastAsia" w:hAnsi="宋体"/>
        </w:rPr>
        <w:t>2.甲方有责任对本单位相关人员进行阳光合作教育。</w:t>
      </w:r>
    </w:p>
    <w:p>
      <w:pPr>
        <w:spacing w:before="120" w:beforeLines="50" w:after="120" w:afterLines="50" w:line="360" w:lineRule="auto"/>
        <w:ind w:left="120" w:leftChars="50" w:firstLine="480" w:firstLineChars="200"/>
        <w:contextualSpacing/>
        <w:rPr>
          <w:rFonts w:hAnsi="宋体"/>
        </w:rPr>
      </w:pPr>
      <w:r>
        <w:rPr>
          <w:rFonts w:hint="eastAsia"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pacing w:before="120" w:beforeLines="50" w:after="120" w:afterLines="50" w:line="360" w:lineRule="auto"/>
        <w:ind w:left="120" w:leftChars="50" w:firstLine="480" w:firstLineChars="200"/>
        <w:contextualSpacing/>
        <w:rPr>
          <w:rFonts w:hAnsi="宋体"/>
        </w:rPr>
      </w:pPr>
      <w:r>
        <w:rPr>
          <w:rFonts w:hint="eastAsia" w:hAnsi="宋体"/>
        </w:rPr>
        <w:t>4.甲方人员如违反阳光合作管理制度及本协议规定，甲方视情节轻重、影响大小给予行政及经济处罚。</w:t>
      </w:r>
    </w:p>
    <w:p>
      <w:pPr>
        <w:spacing w:before="120" w:beforeLines="50" w:after="120" w:afterLines="50" w:line="360" w:lineRule="auto"/>
        <w:ind w:left="120" w:leftChars="50" w:firstLine="480" w:firstLineChars="200"/>
        <w:contextualSpacing/>
        <w:rPr>
          <w:rFonts w:hAnsi="宋体"/>
        </w:rPr>
      </w:pPr>
      <w:r>
        <w:rPr>
          <w:rFonts w:hint="eastAsia" w:hAnsi="宋体"/>
        </w:rPr>
        <w:t>5．对于乙方举报甲方人员违反阳光合作规定的情况，甲方应及时进行调查，根据调查情况进行处理，并将调查结果向乙方反馈。</w:t>
      </w:r>
    </w:p>
    <w:p>
      <w:pPr>
        <w:spacing w:before="120" w:beforeLines="50" w:after="120" w:afterLines="50" w:line="360" w:lineRule="auto"/>
        <w:ind w:left="120" w:leftChars="50" w:firstLine="480" w:firstLineChars="200"/>
        <w:contextualSpacing/>
        <w:rPr>
          <w:rFonts w:hAnsi="宋体"/>
        </w:rPr>
      </w:pPr>
      <w:r>
        <w:rPr>
          <w:rFonts w:hint="eastAsia" w:hAnsi="宋体"/>
        </w:rPr>
        <w:t>6.接受举报的一方应为举报方保密，不得对举报方进行报复，对举报属实和严格遵守《阳光合作协议》的合作方，在同等条件下给予后续合作的优先权。</w:t>
      </w:r>
    </w:p>
    <w:p>
      <w:pPr>
        <w:widowControl/>
        <w:numPr>
          <w:ilvl w:val="0"/>
          <w:numId w:val="17"/>
        </w:numPr>
        <w:autoSpaceDE/>
        <w:autoSpaceDN/>
        <w:adjustRightInd/>
        <w:spacing w:before="120" w:beforeLines="50" w:after="120" w:afterLines="50" w:line="360" w:lineRule="auto"/>
        <w:ind w:left="0" w:firstLine="482" w:firstLineChars="200"/>
        <w:contextualSpacing/>
        <w:rPr>
          <w:rFonts w:hAnsi="宋体"/>
          <w:b/>
        </w:rPr>
      </w:pPr>
      <w:r>
        <w:rPr>
          <w:rFonts w:hint="eastAsia" w:hAnsi="宋体"/>
          <w:b/>
        </w:rPr>
        <w:t>乙方责任</w:t>
      </w:r>
    </w:p>
    <w:p>
      <w:pPr>
        <w:spacing w:before="120" w:beforeLines="50" w:after="120" w:afterLines="50" w:line="360" w:lineRule="auto"/>
        <w:ind w:left="120" w:leftChars="50" w:firstLine="480" w:firstLineChars="200"/>
        <w:contextualSpacing/>
        <w:rPr>
          <w:rFonts w:hAnsi="宋体"/>
        </w:rPr>
      </w:pPr>
      <w:r>
        <w:rPr>
          <w:rFonts w:hint="eastAsia" w:hAnsi="宋体"/>
        </w:rPr>
        <w:t>1.乙方应保证乙方人员了解甲方有关采购管理通用原则和及本协议的规定，并遵照执行。</w:t>
      </w:r>
    </w:p>
    <w:p>
      <w:pPr>
        <w:spacing w:before="120" w:beforeLines="50" w:after="120" w:afterLines="50" w:line="360" w:lineRule="auto"/>
        <w:ind w:left="120" w:leftChars="50" w:firstLine="480" w:firstLineChars="200"/>
        <w:contextualSpacing/>
        <w:rPr>
          <w:rFonts w:hAnsi="宋体"/>
        </w:rPr>
      </w:pPr>
      <w:r>
        <w:rPr>
          <w:rFonts w:hint="eastAsia" w:hAnsi="宋体"/>
        </w:rPr>
        <w:t>2.乙方不得以任何形式给予甲方人员回扣、赠送实物、现金、有价证券、礼券等有价物品或提供旅游等其他可能影响职务行为公正履行的活动（以下统称“财物”）。</w:t>
      </w:r>
    </w:p>
    <w:p>
      <w:pPr>
        <w:spacing w:before="120" w:beforeLines="50" w:after="120" w:afterLines="50" w:line="360" w:lineRule="auto"/>
        <w:ind w:left="120" w:leftChars="50" w:firstLine="480" w:firstLineChars="200"/>
        <w:contextualSpacing/>
        <w:rPr>
          <w:rFonts w:hAnsi="宋体"/>
        </w:rPr>
      </w:pPr>
      <w:r>
        <w:rPr>
          <w:rFonts w:hint="eastAsia" w:hAnsi="宋体"/>
        </w:rPr>
        <w:t>3.乙方有责任接受甲方对乙方在合作期间阳光合作管理执行情况的监督，并对甲方相关调查工作主动配合。</w:t>
      </w:r>
    </w:p>
    <w:p>
      <w:pPr>
        <w:spacing w:before="120" w:beforeLines="50" w:after="120" w:afterLines="50" w:line="360" w:lineRule="auto"/>
        <w:ind w:left="120" w:leftChars="50" w:firstLine="480" w:firstLineChars="200"/>
        <w:contextualSpacing/>
        <w:rPr>
          <w:rFonts w:hAnsi="宋体"/>
        </w:rPr>
      </w:pPr>
      <w:r>
        <w:rPr>
          <w:rFonts w:hint="eastAsia" w:hAnsi="宋体"/>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pacing w:before="120" w:beforeLines="50" w:after="120" w:afterLines="50" w:line="360" w:lineRule="auto"/>
        <w:ind w:left="120" w:leftChars="50" w:firstLine="480" w:firstLineChars="200"/>
        <w:contextualSpacing/>
        <w:rPr>
          <w:rFonts w:hAnsi="宋体"/>
        </w:rPr>
      </w:pPr>
      <w:r>
        <w:rPr>
          <w:rFonts w:hint="eastAsia" w:hAnsi="宋体"/>
        </w:rPr>
        <w:t xml:space="preserve">5．甲方接受乙方实名或匿名举报，保证为举报者的信息保密，常设举报部门及电话： </w:t>
      </w:r>
    </w:p>
    <w:p>
      <w:pPr>
        <w:spacing w:before="120" w:beforeLines="50" w:after="120" w:afterLines="50" w:line="360" w:lineRule="auto"/>
        <w:ind w:left="120" w:leftChars="50" w:firstLine="480" w:firstLineChars="200"/>
        <w:contextualSpacing/>
        <w:rPr>
          <w:rFonts w:hAnsi="宋体"/>
        </w:rPr>
      </w:pPr>
      <w:r>
        <w:rPr>
          <w:rFonts w:hint="eastAsia" w:hAnsi="宋体"/>
        </w:rPr>
        <w:t>举报受理部门：东莞实业投资控股集团有限公司纪检监察部</w:t>
      </w:r>
    </w:p>
    <w:p>
      <w:pPr>
        <w:spacing w:before="120" w:beforeLines="50" w:after="120" w:afterLines="50" w:line="360" w:lineRule="auto"/>
        <w:ind w:left="120" w:leftChars="50" w:firstLine="480" w:firstLineChars="200"/>
        <w:contextualSpacing/>
        <w:rPr>
          <w:rFonts w:hAnsi="宋体"/>
        </w:rPr>
      </w:pPr>
      <w:r>
        <w:rPr>
          <w:rFonts w:hint="eastAsia" w:hAnsi="宋体"/>
        </w:rPr>
        <w:t>东实集团举报邮箱：dgsyjjjc@163.com</w:t>
      </w:r>
    </w:p>
    <w:p>
      <w:pPr>
        <w:spacing w:before="120" w:beforeLines="50" w:after="120" w:afterLines="50" w:line="360" w:lineRule="auto"/>
        <w:ind w:left="120" w:leftChars="50" w:firstLine="480" w:firstLineChars="200"/>
        <w:contextualSpacing/>
        <w:rPr>
          <w:rFonts w:hAnsi="宋体"/>
        </w:rPr>
      </w:pPr>
      <w:r>
        <w:rPr>
          <w:rFonts w:hint="eastAsia" w:hAnsi="宋体"/>
        </w:rPr>
        <w:t>东实集团举报电话：0769-28822331（周一至周五9:00-12:00和14:00-18:00）</w:t>
      </w:r>
    </w:p>
    <w:p>
      <w:pPr>
        <w:spacing w:before="120" w:beforeLines="50" w:after="120" w:afterLines="50" w:line="360" w:lineRule="auto"/>
        <w:ind w:left="120" w:leftChars="50" w:firstLine="480" w:firstLineChars="200"/>
        <w:contextualSpacing/>
        <w:rPr>
          <w:rFonts w:hAnsi="宋体"/>
        </w:rPr>
      </w:pPr>
      <w:r>
        <w:rPr>
          <w:rFonts w:hint="eastAsia" w:hAnsi="宋体"/>
        </w:rPr>
        <w:t>邮寄地址：东莞市东城区八一路1号机关二号大院9号楼204室，东莞实业投资控股集团有限公司纪检监察部收，邮编523000。</w:t>
      </w:r>
    </w:p>
    <w:p>
      <w:pPr>
        <w:widowControl/>
        <w:numPr>
          <w:ilvl w:val="0"/>
          <w:numId w:val="17"/>
        </w:numPr>
        <w:autoSpaceDE/>
        <w:autoSpaceDN/>
        <w:adjustRightInd/>
        <w:spacing w:before="120" w:beforeLines="50" w:after="120" w:afterLines="50" w:line="360" w:lineRule="auto"/>
        <w:ind w:left="0" w:firstLine="482" w:firstLineChars="200"/>
        <w:contextualSpacing/>
        <w:rPr>
          <w:rFonts w:hAnsi="宋体"/>
          <w:b/>
        </w:rPr>
      </w:pPr>
      <w:r>
        <w:rPr>
          <w:rFonts w:hint="eastAsia" w:hAnsi="宋体"/>
          <w:b/>
        </w:rPr>
        <w:t>其他</w:t>
      </w:r>
    </w:p>
    <w:p>
      <w:pPr>
        <w:spacing w:before="120" w:beforeLines="50" w:after="120" w:afterLines="50" w:line="360" w:lineRule="auto"/>
        <w:ind w:left="120" w:leftChars="50" w:firstLine="480" w:firstLineChars="200"/>
        <w:contextualSpacing/>
        <w:rPr>
          <w:rFonts w:hAnsi="宋体"/>
        </w:rPr>
      </w:pPr>
      <w:r>
        <w:rPr>
          <w:rFonts w:hint="eastAsia" w:hAnsi="宋体"/>
        </w:rPr>
        <w:t>1.本协议是原合同的补充协议，与原合同有同等法律效力。</w:t>
      </w:r>
    </w:p>
    <w:p>
      <w:pPr>
        <w:spacing w:before="120" w:beforeLines="50" w:after="120" w:afterLines="50" w:line="360" w:lineRule="auto"/>
        <w:ind w:left="120" w:leftChars="50" w:firstLine="480" w:firstLineChars="200"/>
        <w:contextualSpacing/>
        <w:rPr>
          <w:rFonts w:hAnsi="宋体"/>
        </w:rPr>
      </w:pPr>
      <w:r>
        <w:rPr>
          <w:rFonts w:hint="eastAsia" w:hAnsi="宋体"/>
        </w:rPr>
        <w:t>2.</w:t>
      </w:r>
      <w:r>
        <w:rPr>
          <w:rFonts w:hAnsi="宋体"/>
        </w:rPr>
        <w:t>本</w:t>
      </w:r>
      <w:r>
        <w:rPr>
          <w:rFonts w:hint="eastAsia" w:hAnsi="宋体"/>
        </w:rPr>
        <w:t>协议</w:t>
      </w:r>
      <w:r>
        <w:rPr>
          <w:rFonts w:hAnsi="宋体"/>
        </w:rPr>
        <w:t>一式</w:t>
      </w:r>
      <w:r>
        <w:rPr>
          <w:rFonts w:hint="eastAsia" w:hAnsi="宋体"/>
        </w:rPr>
        <w:t>四</w:t>
      </w:r>
      <w:r>
        <w:rPr>
          <w:rFonts w:hAnsi="宋体"/>
        </w:rPr>
        <w:t>份，甲方执</w:t>
      </w:r>
      <w:r>
        <w:rPr>
          <w:rFonts w:hint="eastAsia" w:hAnsi="宋体"/>
        </w:rPr>
        <w:t>贰</w:t>
      </w:r>
      <w:r>
        <w:rPr>
          <w:rFonts w:hAnsi="宋体"/>
        </w:rPr>
        <w:t>份，乙方执</w:t>
      </w:r>
      <w:r>
        <w:rPr>
          <w:rFonts w:hint="eastAsia" w:hAnsi="宋体"/>
        </w:rPr>
        <w:t>贰</w:t>
      </w:r>
      <w:r>
        <w:rPr>
          <w:rFonts w:hAnsi="宋体"/>
        </w:rPr>
        <w:t>份</w:t>
      </w:r>
      <w:r>
        <w:rPr>
          <w:rFonts w:hint="eastAsia" w:hAnsi="宋体"/>
        </w:rPr>
        <w:t>,具有同等法律效力。</w:t>
      </w:r>
    </w:p>
    <w:p>
      <w:pPr>
        <w:spacing w:before="120" w:beforeLines="50" w:after="120" w:afterLines="50" w:line="360" w:lineRule="auto"/>
        <w:ind w:left="120" w:leftChars="50" w:firstLine="480" w:firstLineChars="200"/>
        <w:contextualSpacing/>
        <w:rPr>
          <w:rFonts w:hAnsi="宋体"/>
        </w:rPr>
      </w:pPr>
      <w:r>
        <w:rPr>
          <w:rFonts w:hint="eastAsia" w:hAnsi="宋体"/>
        </w:rPr>
        <w:t>3.本协议经双方签署后生效。</w:t>
      </w:r>
    </w:p>
    <w:p>
      <w:pPr>
        <w:spacing w:before="120" w:beforeLines="50" w:after="120" w:afterLines="50" w:line="360" w:lineRule="auto"/>
        <w:ind w:firstLine="480" w:firstLineChars="200"/>
        <w:contextualSpacing/>
        <w:rPr>
          <w:rFonts w:hAnsi="宋体"/>
        </w:rPr>
      </w:pPr>
    </w:p>
    <w:p>
      <w:pPr>
        <w:spacing w:before="120" w:beforeLines="50" w:after="120" w:afterLines="50" w:line="360" w:lineRule="auto"/>
        <w:ind w:firstLine="480" w:firstLineChars="200"/>
        <w:contextualSpacing/>
      </w:pPr>
      <w:r>
        <w:rPr>
          <w:rFonts w:hint="eastAsia" w:hAnsi="宋体"/>
        </w:rPr>
        <w:t>甲方（盖章）：                      乙方（盖章）：</w:t>
      </w:r>
      <w:r>
        <w:t xml:space="preserve"> </w:t>
      </w:r>
    </w:p>
    <w:p>
      <w:pPr>
        <w:spacing w:before="120" w:beforeLines="50" w:after="120" w:afterLines="50" w:line="360" w:lineRule="auto"/>
        <w:ind w:firstLine="480" w:firstLineChars="200"/>
        <w:contextualSpacing/>
        <w:rPr>
          <w:rFonts w:hAnsi="宋体"/>
        </w:rPr>
      </w:pPr>
    </w:p>
    <w:p>
      <w:pPr>
        <w:spacing w:before="120" w:beforeLines="50" w:after="120" w:afterLines="50" w:line="360" w:lineRule="auto"/>
        <w:ind w:firstLine="480" w:firstLineChars="200"/>
        <w:contextualSpacing/>
      </w:pPr>
      <w:r>
        <w:rPr>
          <w:rFonts w:hint="eastAsia" w:hAnsi="宋体"/>
        </w:rPr>
        <w:t>法定代表人（授权代表）：</w:t>
      </w:r>
      <w:r>
        <w:rPr>
          <w:rFonts w:hint="eastAsia"/>
        </w:rPr>
        <w:tab/>
      </w:r>
      <w:r>
        <w:rPr>
          <w:rFonts w:hint="eastAsia"/>
        </w:rPr>
        <w:tab/>
      </w:r>
      <w:r>
        <w:rPr>
          <w:rFonts w:hint="eastAsia"/>
        </w:rPr>
        <w:t xml:space="preserve">  </w:t>
      </w:r>
      <w:r>
        <w:rPr>
          <w:rFonts w:hint="eastAsia"/>
        </w:rPr>
        <w:tab/>
      </w:r>
      <w:r>
        <w:rPr>
          <w:rFonts w:hint="eastAsia"/>
        </w:rPr>
        <w:t xml:space="preserve">   </w:t>
      </w:r>
      <w:r>
        <w:rPr>
          <w:rFonts w:hint="eastAsia" w:hAnsi="宋体"/>
        </w:rPr>
        <w:t>法定代表人（授权代表）：</w:t>
      </w:r>
    </w:p>
    <w:p>
      <w:pPr>
        <w:spacing w:before="120" w:beforeLines="50" w:after="120" w:afterLines="50" w:line="360" w:lineRule="auto"/>
        <w:ind w:firstLine="480" w:firstLineChars="200"/>
        <w:contextualSpacing/>
        <w:rPr>
          <w:rFonts w:hAnsi="宋体"/>
        </w:rPr>
      </w:pPr>
    </w:p>
    <w:p>
      <w:pPr>
        <w:spacing w:before="120" w:beforeLines="50" w:after="120" w:afterLines="50" w:line="360" w:lineRule="auto"/>
        <w:ind w:firstLine="480" w:firstLineChars="200"/>
        <w:contextualSpacing/>
      </w:pPr>
      <w:r>
        <w:rPr>
          <w:rFonts w:hint="eastAsia" w:hAnsi="宋体"/>
        </w:rPr>
        <w:t>签约日期：   年   月   日</w:t>
      </w:r>
      <w:bookmarkStart w:id="15" w:name="现场签证通知单"/>
      <w:bookmarkEnd w:id="15"/>
      <w:bookmarkStart w:id="16" w:name="设计变更通知单"/>
      <w:bookmarkEnd w:id="16"/>
      <w:r>
        <w:tab/>
      </w:r>
      <w:r>
        <w:t xml:space="preserve">    </w:t>
      </w:r>
      <w:r>
        <w:rPr>
          <w:rFonts w:hint="eastAsia"/>
        </w:rPr>
        <w:t xml:space="preserve">   </w:t>
      </w:r>
      <w:r>
        <w:rPr>
          <w:rFonts w:hint="eastAsia" w:hAnsi="宋体"/>
        </w:rPr>
        <w:t>签约日期：   年   月   日</w:t>
      </w:r>
    </w:p>
    <w:p/>
    <w:p>
      <w:pPr>
        <w:widowControl/>
        <w:autoSpaceDE/>
        <w:autoSpaceDN/>
        <w:adjustRightInd/>
        <w:rPr>
          <w:rFonts w:ascii="方正小标宋简体" w:hAnsi="黑体" w:eastAsia="方正小标宋简体"/>
          <w:b/>
          <w:sz w:val="44"/>
          <w:szCs w:val="44"/>
        </w:rPr>
      </w:pPr>
      <w:r>
        <w:rPr>
          <w:rFonts w:ascii="方正小标宋简体" w:hAnsi="黑体" w:eastAsia="方正小标宋简体"/>
          <w:b/>
          <w:sz w:val="44"/>
          <w:szCs w:val="44"/>
        </w:rPr>
        <w:br w:type="page"/>
      </w:r>
    </w:p>
    <w:p>
      <w:pPr>
        <w:spacing w:line="360" w:lineRule="auto"/>
        <w:jc w:val="center"/>
        <w:rPr>
          <w:b/>
          <w:spacing w:val="20"/>
        </w:rPr>
      </w:pPr>
      <w:r>
        <w:rPr>
          <w:rFonts w:hint="eastAsia"/>
          <w:b/>
          <w:spacing w:val="20"/>
        </w:rPr>
        <w:t>见索即付承包商履约保函</w:t>
      </w:r>
    </w:p>
    <w:p>
      <w:pPr>
        <w:spacing w:before="120" w:beforeLines="50" w:after="120" w:afterLines="50" w:line="360" w:lineRule="auto"/>
        <w:ind w:left="120" w:leftChars="50"/>
        <w:contextualSpacing/>
        <w:rPr>
          <w:rFonts w:hAnsi="宋体"/>
        </w:rPr>
      </w:pPr>
      <w:r>
        <w:rPr>
          <w:rFonts w:hint="eastAsia" w:hAnsi="宋体"/>
        </w:rPr>
        <w:t>致：（下称“受益人”）</w:t>
      </w:r>
    </w:p>
    <w:p>
      <w:pPr>
        <w:spacing w:before="120" w:beforeLines="50" w:after="120" w:afterLines="50" w:line="360" w:lineRule="auto"/>
        <w:ind w:left="120" w:leftChars="5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鉴于（承包人的名称与地址）（下称“承包人”），已保证按工程名称（招标编号：）合同（招标文件）中规定的义务履行。</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根据上述合同（招标文件）规定，承包人应向受益人提供一份金额为合同总价的</w:t>
      </w:r>
      <w:r>
        <w:rPr>
          <w:rFonts w:hAnsi="宋体"/>
        </w:rPr>
        <w:t>%</w:t>
      </w:r>
      <w:r>
        <w:rPr>
          <w:rFonts w:hint="eastAsia" w:hAnsi="宋体"/>
        </w:rPr>
        <w:t>即人民币（大写）（￥元）的无条件、不可撤销银行履约保函，作为承包人履行上述合同的担保。</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我方（银行名称），受承包人的委托，无条件和不可撤销地同意在受益人提出因承包人没有履行上述合同规定的义务，而要求承担保证责任后，我方在收到受益人扣划保证金的书面要求后，我方将在</w:t>
      </w:r>
      <w:r>
        <w:rPr>
          <w:rFonts w:hAnsi="宋体"/>
        </w:rPr>
        <w:t xml:space="preserve">7 </w:t>
      </w:r>
      <w:r>
        <w:rPr>
          <w:rFonts w:hint="eastAsia" w:hAnsi="宋体"/>
        </w:rPr>
        <w:t>个工作日内为受益人扣划金额不超过人民币（大写）（￥元）的款项。</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在向我行提出要求前，我行将不坚持要求受益人首先向承包人提出上述款项的索赔。</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我方还同意，任何受益人与承包人之间可能对合同条款的修改、规范或其他合同文件的变动补充，都不能免除我方按本保函所承担的责任。因此，有关上述变动、补充和修改无须通知或征得我方同意。</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firstLine="480" w:firstLineChars="200"/>
        <w:contextualSpacing/>
        <w:rPr>
          <w:rFonts w:hAnsi="宋体"/>
        </w:rPr>
      </w:pPr>
      <w:r>
        <w:rPr>
          <w:rFonts w:hint="eastAsia" w:hAnsi="宋体"/>
        </w:rPr>
        <w:t>本保函的有效期从合同签订日至发包人向承包人颁发工程竣工验收合格证书后</w:t>
      </w:r>
      <w:r>
        <w:rPr>
          <w:rFonts w:hAnsi="宋体"/>
        </w:rPr>
        <w:t xml:space="preserve">30 </w:t>
      </w:r>
      <w:r>
        <w:rPr>
          <w:rFonts w:hint="eastAsia" w:hAnsi="宋体"/>
        </w:rPr>
        <w:t>日内保持有效。</w:t>
      </w:r>
    </w:p>
    <w:p>
      <w:pPr>
        <w:spacing w:before="120" w:beforeLines="50" w:after="120" w:afterLines="50" w:line="360" w:lineRule="auto"/>
        <w:ind w:left="120" w:leftChars="50" w:firstLine="480" w:firstLineChars="200"/>
        <w:contextualSpacing/>
        <w:rPr>
          <w:rFonts w:hAnsi="宋体"/>
        </w:rPr>
      </w:pPr>
    </w:p>
    <w:p>
      <w:pPr>
        <w:spacing w:before="120" w:beforeLines="50" w:after="120" w:afterLines="50" w:line="360" w:lineRule="auto"/>
        <w:ind w:left="120" w:leftChars="50"/>
        <w:contextualSpacing/>
        <w:rPr>
          <w:rFonts w:hAnsi="宋体"/>
        </w:rPr>
      </w:pPr>
      <w:r>
        <w:rPr>
          <w:rFonts w:hint="eastAsia" w:hAnsi="宋体"/>
        </w:rPr>
        <w:t xml:space="preserve">                            法定代表人或其授权的代理人：（签字或盖私章）</w:t>
      </w:r>
    </w:p>
    <w:p>
      <w:pPr>
        <w:spacing w:before="120" w:beforeLines="50" w:after="120" w:afterLines="50" w:line="360" w:lineRule="auto"/>
        <w:ind w:left="120" w:leftChars="50"/>
        <w:contextualSpacing/>
        <w:rPr>
          <w:rFonts w:hAnsi="宋体"/>
        </w:rPr>
      </w:pPr>
      <w:r>
        <w:rPr>
          <w:rFonts w:hint="eastAsia" w:hAnsi="宋体"/>
        </w:rPr>
        <w:t xml:space="preserve">                            担保银行盖章：</w:t>
      </w:r>
    </w:p>
    <w:p>
      <w:pPr>
        <w:spacing w:before="120" w:beforeLines="50" w:after="120" w:afterLines="50" w:line="360" w:lineRule="auto"/>
        <w:ind w:left="120" w:leftChars="50"/>
        <w:contextualSpacing/>
        <w:rPr>
          <w:rFonts w:hAnsi="宋体"/>
        </w:rPr>
      </w:pPr>
      <w:r>
        <w:rPr>
          <w:rFonts w:hint="eastAsia" w:hAnsi="宋体"/>
        </w:rPr>
        <w:t xml:space="preserve">                            地址：</w:t>
      </w:r>
    </w:p>
    <w:p>
      <w:pPr>
        <w:spacing w:before="120" w:beforeLines="50" w:after="120" w:afterLines="50" w:line="360" w:lineRule="auto"/>
        <w:ind w:left="120" w:leftChars="50"/>
        <w:contextualSpacing/>
        <w:rPr>
          <w:rFonts w:hAnsi="宋体"/>
        </w:rPr>
      </w:pPr>
      <w:r>
        <w:rPr>
          <w:rFonts w:hint="eastAsia" w:hAnsi="宋体"/>
        </w:rPr>
        <w:t xml:space="preserve">                            日期：   年   月    日</w:t>
      </w:r>
    </w:p>
    <w:p>
      <w:pPr>
        <w:spacing w:line="560" w:lineRule="exact"/>
        <w:jc w:val="center"/>
        <w:rPr>
          <w:rFonts w:hAnsi="宋体"/>
          <w:b/>
          <w:sz w:val="32"/>
          <w:szCs w:val="32"/>
        </w:rPr>
      </w:pPr>
    </w:p>
    <w:p>
      <w:pPr>
        <w:pStyle w:val="3"/>
        <w:keepNext/>
        <w:keepLines/>
        <w:pageBreakBefore/>
        <w:numPr>
          <w:ilvl w:val="0"/>
          <w:numId w:val="15"/>
        </w:numPr>
        <w:spacing w:line="360" w:lineRule="auto"/>
        <w:jc w:val="center"/>
        <w:rPr>
          <w:rFonts w:hAnsi="宋体"/>
          <w:b/>
          <w:bCs/>
          <w:kern w:val="44"/>
          <w:sz w:val="28"/>
          <w:szCs w:val="28"/>
          <w:lang w:val="zh-CN"/>
        </w:rPr>
      </w:pPr>
      <w:bookmarkStart w:id="17" w:name="_Toc396137242"/>
      <w:r>
        <w:rPr>
          <w:rFonts w:hint="eastAsia" w:hAnsi="宋体"/>
          <w:b/>
          <w:bCs/>
          <w:kern w:val="44"/>
          <w:sz w:val="28"/>
          <w:szCs w:val="28"/>
        </w:rPr>
        <w:t xml:space="preserve"> </w:t>
      </w:r>
      <w:bookmarkStart w:id="18" w:name="_Toc2588"/>
      <w:r>
        <w:rPr>
          <w:rFonts w:hint="eastAsia" w:hAnsi="宋体"/>
          <w:b/>
          <w:bCs/>
          <w:kern w:val="44"/>
          <w:sz w:val="28"/>
          <w:szCs w:val="28"/>
          <w:lang w:val="zh-CN"/>
        </w:rPr>
        <w:t>报价文件格式</w:t>
      </w:r>
      <w:bookmarkEnd w:id="17"/>
      <w:bookmarkEnd w:id="18"/>
    </w:p>
    <w:p>
      <w:pPr>
        <w:pStyle w:val="2"/>
        <w:numPr>
          <w:ilvl w:val="0"/>
          <w:numId w:val="18"/>
        </w:numPr>
        <w:jc w:val="center"/>
        <w:rPr>
          <w:lang w:val="zh-CN"/>
        </w:rPr>
      </w:pPr>
      <w:r>
        <w:rPr>
          <w:rFonts w:hint="eastAsia"/>
        </w:rPr>
        <w:t xml:space="preserve"> </w:t>
      </w:r>
      <w:r>
        <w:rPr>
          <w:rFonts w:hint="eastAsia"/>
          <w:lang w:val="zh-CN"/>
        </w:rPr>
        <w:t>报价文件</w:t>
      </w:r>
    </w:p>
    <w:p>
      <w:pPr>
        <w:pStyle w:val="58"/>
      </w:pPr>
    </w:p>
    <w:p>
      <w:pPr>
        <w:pStyle w:val="4"/>
        <w:numPr>
          <w:ilvl w:val="1"/>
          <w:numId w:val="19"/>
        </w:numPr>
        <w:spacing w:line="360" w:lineRule="auto"/>
        <w:ind w:left="0" w:firstLine="0"/>
        <w:jc w:val="center"/>
        <w:rPr>
          <w:b/>
        </w:rPr>
      </w:pPr>
      <w:bookmarkStart w:id="19" w:name="_Toc9520"/>
      <w:bookmarkStart w:id="20" w:name="_Toc2624"/>
      <w:bookmarkStart w:id="21" w:name="_Toc27862"/>
      <w:r>
        <w:rPr>
          <w:rFonts w:hint="eastAsia"/>
          <w:b/>
        </w:rPr>
        <w:t>报价总表</w:t>
      </w:r>
      <w:bookmarkEnd w:id="19"/>
      <w:bookmarkEnd w:id="20"/>
      <w:bookmarkEnd w:id="21"/>
    </w:p>
    <w:p>
      <w:pPr>
        <w:pStyle w:val="26"/>
        <w:spacing w:line="360" w:lineRule="auto"/>
        <w:jc w:val="left"/>
        <w:rPr>
          <w:rFonts w:hAnsi="宋体"/>
          <w:szCs w:val="21"/>
        </w:rPr>
      </w:pPr>
    </w:p>
    <w:p>
      <w:pPr>
        <w:pStyle w:val="20"/>
        <w:spacing w:line="380" w:lineRule="exact"/>
        <w:jc w:val="both"/>
        <w:rPr>
          <w:rFonts w:hAnsi="宋体"/>
          <w:sz w:val="22"/>
          <w:szCs w:val="22"/>
        </w:rPr>
      </w:pPr>
      <w:r>
        <w:rPr>
          <w:rFonts w:hint="eastAsia" w:hAnsi="宋体"/>
          <w:sz w:val="22"/>
          <w:szCs w:val="22"/>
        </w:rPr>
        <w:t xml:space="preserve">项目名称：                                 </w:t>
      </w:r>
    </w:p>
    <w:p>
      <w:pPr>
        <w:pStyle w:val="20"/>
        <w:spacing w:line="380" w:lineRule="exact"/>
        <w:jc w:val="both"/>
        <w:rPr>
          <w:rFonts w:hAnsi="宋体"/>
          <w:sz w:val="22"/>
          <w:szCs w:val="22"/>
        </w:rPr>
      </w:pPr>
      <w:r>
        <w:rPr>
          <w:rFonts w:hint="eastAsia" w:hAnsi="宋体"/>
          <w:sz w:val="22"/>
          <w:szCs w:val="22"/>
        </w:rPr>
        <w:t>项目编号：</w:t>
      </w:r>
    </w:p>
    <w:p>
      <w:pPr>
        <w:widowControl/>
        <w:wordWrap w:val="0"/>
        <w:spacing w:line="360" w:lineRule="auto"/>
        <w:jc w:val="both"/>
        <w:rPr>
          <w:rFonts w:ascii="ˎ̥" w:hAnsi="ˎ̥" w:cs="宋体"/>
          <w:sz w:val="18"/>
          <w:szCs w:val="18"/>
        </w:rPr>
      </w:pPr>
      <w:r>
        <w:rPr>
          <w:rFonts w:hint="eastAsia" w:hAnsi="宋体"/>
          <w:szCs w:val="21"/>
        </w:rPr>
        <w:t xml:space="preserve">       </w:t>
      </w:r>
      <w:r>
        <w:rPr>
          <w:rFonts w:hint="eastAsia" w:hAnsi="宋体"/>
        </w:rPr>
        <w:t xml:space="preserve">                                                      </w:t>
      </w:r>
      <w:r>
        <w:rPr>
          <w:rFonts w:ascii="ˎ̥" w:hAnsi="ˎ̥" w:cs="宋体"/>
          <w:sz w:val="18"/>
          <w:szCs w:val="18"/>
        </w:rPr>
        <w:t> </w:t>
      </w:r>
      <w:r>
        <w:rPr>
          <w:rFonts w:hint="eastAsia" w:hAnsi="宋体"/>
          <w:sz w:val="22"/>
          <w:szCs w:val="22"/>
        </w:rPr>
        <w:t>单位：元/（人民币）</w:t>
      </w:r>
    </w:p>
    <w:tbl>
      <w:tblPr>
        <w:tblStyle w:val="4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3137"/>
        <w:gridCol w:w="2334"/>
        <w:gridCol w:w="2338"/>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437" w:type="pct"/>
            <w:vMerge w:val="restart"/>
            <w:vAlign w:val="center"/>
          </w:tcPr>
          <w:p>
            <w:pPr>
              <w:jc w:val="center"/>
              <w:rPr>
                <w:rFonts w:hAnsi="宋体" w:cs="宋体"/>
                <w:sz w:val="21"/>
                <w:szCs w:val="21"/>
              </w:rPr>
            </w:pPr>
            <w:r>
              <w:rPr>
                <w:rFonts w:hint="eastAsia" w:hAnsi="宋体" w:cs="宋体"/>
                <w:sz w:val="21"/>
                <w:szCs w:val="21"/>
              </w:rPr>
              <w:t>招标</w:t>
            </w:r>
          </w:p>
          <w:p>
            <w:pPr>
              <w:jc w:val="center"/>
              <w:rPr>
                <w:rFonts w:hAnsi="宋体" w:cs="宋体"/>
                <w:sz w:val="21"/>
                <w:szCs w:val="21"/>
              </w:rPr>
            </w:pPr>
            <w:r>
              <w:rPr>
                <w:rFonts w:hint="eastAsia" w:hAnsi="宋体" w:cs="宋体"/>
                <w:sz w:val="21"/>
                <w:szCs w:val="21"/>
              </w:rPr>
              <w:t>编号</w:t>
            </w:r>
          </w:p>
        </w:tc>
        <w:tc>
          <w:tcPr>
            <w:tcW w:w="1595" w:type="pct"/>
            <w:vMerge w:val="restart"/>
            <w:vAlign w:val="center"/>
          </w:tcPr>
          <w:p>
            <w:pPr>
              <w:jc w:val="center"/>
              <w:rPr>
                <w:rFonts w:hAnsi="宋体" w:cs="宋体"/>
                <w:sz w:val="21"/>
                <w:szCs w:val="21"/>
              </w:rPr>
            </w:pPr>
            <w:r>
              <w:rPr>
                <w:rFonts w:hint="eastAsia" w:hAnsi="宋体" w:cs="宋体"/>
                <w:sz w:val="21"/>
                <w:szCs w:val="21"/>
              </w:rPr>
              <w:t>项目名称</w:t>
            </w:r>
          </w:p>
        </w:tc>
        <w:tc>
          <w:tcPr>
            <w:tcW w:w="2376" w:type="pct"/>
            <w:gridSpan w:val="2"/>
            <w:vAlign w:val="center"/>
          </w:tcPr>
          <w:p>
            <w:pPr>
              <w:jc w:val="center"/>
              <w:rPr>
                <w:rFonts w:hAnsi="宋体" w:cs="宋体"/>
                <w:bCs/>
                <w:kern w:val="2"/>
                <w:sz w:val="21"/>
                <w:szCs w:val="21"/>
              </w:rPr>
            </w:pPr>
            <w:r>
              <w:rPr>
                <w:rFonts w:hint="eastAsia" w:hAnsi="宋体" w:cs="宋体"/>
                <w:bCs/>
                <w:kern w:val="2"/>
                <w:sz w:val="21"/>
                <w:szCs w:val="21"/>
              </w:rPr>
              <w:t>总报价（元）</w:t>
            </w:r>
          </w:p>
        </w:tc>
        <w:tc>
          <w:tcPr>
            <w:tcW w:w="591" w:type="pct"/>
            <w:vMerge w:val="restart"/>
            <w:vAlign w:val="center"/>
          </w:tcPr>
          <w:p>
            <w:pPr>
              <w:jc w:val="center"/>
              <w:rPr>
                <w:rFonts w:hAnsi="宋体" w:cs="宋体"/>
                <w:bCs/>
                <w:kern w:val="2"/>
                <w:sz w:val="21"/>
                <w:szCs w:val="21"/>
              </w:rPr>
            </w:pPr>
            <w:r>
              <w:rPr>
                <w:rFonts w:hint="eastAsia" w:hAnsi="宋体" w:cs="宋体"/>
                <w:bCs/>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437" w:type="pct"/>
            <w:vMerge w:val="continue"/>
            <w:vAlign w:val="center"/>
          </w:tcPr>
          <w:p>
            <w:pPr>
              <w:jc w:val="center"/>
              <w:rPr>
                <w:rFonts w:hAnsi="宋体" w:cs="宋体"/>
                <w:sz w:val="21"/>
                <w:szCs w:val="21"/>
              </w:rPr>
            </w:pPr>
          </w:p>
        </w:tc>
        <w:tc>
          <w:tcPr>
            <w:tcW w:w="1595" w:type="pct"/>
            <w:vMerge w:val="continue"/>
            <w:vAlign w:val="center"/>
          </w:tcPr>
          <w:p>
            <w:pPr>
              <w:jc w:val="center"/>
              <w:rPr>
                <w:rFonts w:hAnsi="宋体" w:cs="宋体"/>
                <w:sz w:val="21"/>
                <w:szCs w:val="21"/>
              </w:rPr>
            </w:pPr>
          </w:p>
        </w:tc>
        <w:tc>
          <w:tcPr>
            <w:tcW w:w="1187" w:type="pct"/>
            <w:vAlign w:val="center"/>
          </w:tcPr>
          <w:p>
            <w:pPr>
              <w:jc w:val="center"/>
              <w:rPr>
                <w:rFonts w:hAnsi="宋体" w:cs="宋体"/>
                <w:bCs/>
                <w:kern w:val="2"/>
                <w:sz w:val="21"/>
                <w:szCs w:val="21"/>
              </w:rPr>
            </w:pPr>
            <w:r>
              <w:rPr>
                <w:rFonts w:hint="eastAsia" w:hAnsi="宋体" w:cs="宋体"/>
                <w:bCs/>
                <w:kern w:val="2"/>
                <w:sz w:val="21"/>
                <w:szCs w:val="21"/>
              </w:rPr>
              <w:t>含税报价</w:t>
            </w:r>
          </w:p>
        </w:tc>
        <w:tc>
          <w:tcPr>
            <w:tcW w:w="1188" w:type="pct"/>
            <w:vAlign w:val="center"/>
          </w:tcPr>
          <w:p>
            <w:pPr>
              <w:jc w:val="center"/>
              <w:rPr>
                <w:rFonts w:hAnsi="宋体" w:cs="宋体"/>
                <w:bCs/>
                <w:kern w:val="2"/>
                <w:sz w:val="21"/>
                <w:szCs w:val="21"/>
              </w:rPr>
            </w:pPr>
            <w:r>
              <w:rPr>
                <w:rFonts w:hint="eastAsia" w:hAnsi="宋体" w:cs="宋体"/>
                <w:bCs/>
                <w:kern w:val="2"/>
                <w:sz w:val="21"/>
                <w:szCs w:val="21"/>
              </w:rPr>
              <w:t>不含税报价</w:t>
            </w:r>
          </w:p>
        </w:tc>
        <w:tc>
          <w:tcPr>
            <w:tcW w:w="591" w:type="pct"/>
            <w:vMerge w:val="continue"/>
            <w:vAlign w:val="center"/>
          </w:tcPr>
          <w:p>
            <w:pPr>
              <w:jc w:val="center"/>
              <w:rPr>
                <w:rFonts w:hAnsi="宋体" w:cs="宋体"/>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437" w:type="pct"/>
            <w:vAlign w:val="center"/>
          </w:tcPr>
          <w:p>
            <w:pPr>
              <w:jc w:val="center"/>
              <w:rPr>
                <w:rFonts w:hAnsi="宋体" w:cs="宋体"/>
                <w:sz w:val="21"/>
                <w:szCs w:val="21"/>
              </w:rPr>
            </w:pPr>
          </w:p>
        </w:tc>
        <w:tc>
          <w:tcPr>
            <w:tcW w:w="1595" w:type="pct"/>
            <w:vAlign w:val="center"/>
          </w:tcPr>
          <w:p>
            <w:pPr>
              <w:spacing w:line="240" w:lineRule="atLeast"/>
              <w:jc w:val="center"/>
              <w:rPr>
                <w:rFonts w:hAnsi="宋体" w:cs="宋体"/>
                <w:sz w:val="21"/>
                <w:szCs w:val="21"/>
              </w:rPr>
            </w:pPr>
          </w:p>
        </w:tc>
        <w:tc>
          <w:tcPr>
            <w:tcW w:w="1187" w:type="pct"/>
            <w:vAlign w:val="center"/>
          </w:tcPr>
          <w:p>
            <w:pPr>
              <w:rPr>
                <w:rFonts w:hAnsi="宋体" w:cs="宋体"/>
                <w:sz w:val="21"/>
                <w:szCs w:val="21"/>
              </w:rPr>
            </w:pPr>
            <w:r>
              <w:rPr>
                <w:rFonts w:hint="eastAsia" w:hAnsi="宋体" w:cs="宋体"/>
                <w:sz w:val="21"/>
                <w:szCs w:val="21"/>
              </w:rPr>
              <w:t>大写：</w:t>
            </w:r>
          </w:p>
          <w:p>
            <w:pPr>
              <w:rPr>
                <w:rFonts w:hAnsi="宋体" w:cs="宋体"/>
                <w:sz w:val="21"/>
                <w:szCs w:val="21"/>
              </w:rPr>
            </w:pPr>
            <w:r>
              <w:rPr>
                <w:rFonts w:hint="eastAsia" w:hAnsi="宋体" w:cs="宋体"/>
                <w:sz w:val="21"/>
                <w:szCs w:val="21"/>
              </w:rPr>
              <w:t>小写：</w:t>
            </w:r>
          </w:p>
          <w:p>
            <w:pPr>
              <w:rPr>
                <w:rFonts w:hAnsi="宋体" w:cs="宋体"/>
                <w:sz w:val="21"/>
                <w:szCs w:val="21"/>
              </w:rPr>
            </w:pPr>
          </w:p>
        </w:tc>
        <w:tc>
          <w:tcPr>
            <w:tcW w:w="1188" w:type="pct"/>
            <w:vAlign w:val="center"/>
          </w:tcPr>
          <w:p>
            <w:pPr>
              <w:rPr>
                <w:rFonts w:hAnsi="宋体" w:cs="宋体"/>
                <w:sz w:val="21"/>
                <w:szCs w:val="21"/>
              </w:rPr>
            </w:pPr>
            <w:r>
              <w:rPr>
                <w:rFonts w:hint="eastAsia" w:hAnsi="宋体" w:cs="宋体"/>
                <w:sz w:val="21"/>
                <w:szCs w:val="21"/>
              </w:rPr>
              <w:t>大写：</w:t>
            </w:r>
          </w:p>
          <w:p>
            <w:pPr>
              <w:rPr>
                <w:rFonts w:hAnsi="宋体" w:cs="宋体"/>
                <w:sz w:val="21"/>
                <w:szCs w:val="21"/>
              </w:rPr>
            </w:pPr>
            <w:r>
              <w:rPr>
                <w:rFonts w:hint="eastAsia" w:hAnsi="宋体" w:cs="宋体"/>
                <w:sz w:val="21"/>
                <w:szCs w:val="21"/>
              </w:rPr>
              <w:t>小写：</w:t>
            </w:r>
          </w:p>
          <w:p>
            <w:pPr>
              <w:rPr>
                <w:rFonts w:hAnsi="宋体" w:cs="宋体"/>
                <w:sz w:val="21"/>
                <w:szCs w:val="21"/>
              </w:rPr>
            </w:pPr>
          </w:p>
        </w:tc>
        <w:tc>
          <w:tcPr>
            <w:tcW w:w="591" w:type="pct"/>
            <w:vAlign w:val="center"/>
          </w:tcPr>
          <w:p>
            <w:pPr>
              <w:rPr>
                <w:rFonts w:hAnsi="宋体" w:cs="宋体"/>
                <w:sz w:val="21"/>
                <w:szCs w:val="21"/>
              </w:rPr>
            </w:pPr>
          </w:p>
        </w:tc>
      </w:tr>
    </w:tbl>
    <w:p>
      <w:pPr>
        <w:pStyle w:val="26"/>
        <w:spacing w:line="360" w:lineRule="auto"/>
        <w:rPr>
          <w:rFonts w:hAnsi="宋体"/>
        </w:rPr>
      </w:pPr>
    </w:p>
    <w:p>
      <w:pPr>
        <w:spacing w:line="360" w:lineRule="auto"/>
        <w:ind w:left="2" w:leftChars="1"/>
        <w:jc w:val="both"/>
        <w:rPr>
          <w:rFonts w:hAnsi="宋体"/>
          <w:kern w:val="2"/>
          <w:sz w:val="21"/>
          <w:lang w:val="zh-CN"/>
        </w:rPr>
      </w:pPr>
      <w:r>
        <w:rPr>
          <w:rFonts w:hint="eastAsia" w:hAnsi="宋体"/>
          <w:kern w:val="2"/>
          <w:sz w:val="21"/>
          <w:lang w:val="zh-CN"/>
        </w:rPr>
        <w:t>注：</w:t>
      </w:r>
    </w:p>
    <w:p>
      <w:pPr>
        <w:pStyle w:val="26"/>
        <w:numPr>
          <w:ilvl w:val="0"/>
          <w:numId w:val="20"/>
        </w:numPr>
        <w:spacing w:line="360" w:lineRule="auto"/>
        <w:ind w:firstLine="420" w:firstLineChars="200"/>
        <w:rPr>
          <w:rFonts w:hAnsi="宋体"/>
        </w:rPr>
      </w:pPr>
      <w:r>
        <w:rPr>
          <w:rFonts w:hint="eastAsia" w:hAnsi="宋体"/>
        </w:rPr>
        <w:t>总报价栏须用文字和数字两种方式表示的总价，报价保留小数点后两位。总价大小写不一致，以大写为准。</w:t>
      </w:r>
    </w:p>
    <w:p>
      <w:pPr>
        <w:pStyle w:val="26"/>
        <w:numPr>
          <w:ilvl w:val="0"/>
          <w:numId w:val="20"/>
        </w:numPr>
        <w:spacing w:line="360" w:lineRule="auto"/>
        <w:ind w:firstLine="420" w:firstLineChars="200"/>
        <w:rPr>
          <w:rFonts w:hAnsi="宋体"/>
        </w:rPr>
      </w:pPr>
      <w:r>
        <w:rPr>
          <w:rFonts w:hint="eastAsia" w:hAnsi="宋体"/>
        </w:rPr>
        <w:t>总价必须准确唯一且应包含完成全部服务内容的所有费用。</w:t>
      </w:r>
    </w:p>
    <w:p>
      <w:pPr>
        <w:snapToGrid w:val="0"/>
        <w:spacing w:line="360" w:lineRule="auto"/>
        <w:rPr>
          <w:rFonts w:hAnsi="宋体"/>
          <w:sz w:val="21"/>
          <w:szCs w:val="21"/>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日期：</w:t>
      </w:r>
      <w:bookmarkStart w:id="22" w:name="_Toc367438833"/>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pStyle w:val="58"/>
        <w:rPr>
          <w:rFonts w:hAnsi="宋体"/>
          <w:sz w:val="21"/>
          <w:szCs w:val="21"/>
        </w:rPr>
      </w:pPr>
    </w:p>
    <w:p>
      <w:pPr>
        <w:snapToGrid w:val="0"/>
        <w:spacing w:line="360" w:lineRule="auto"/>
        <w:rPr>
          <w:rFonts w:hAnsi="宋体"/>
          <w:sz w:val="21"/>
          <w:szCs w:val="21"/>
        </w:rPr>
      </w:pPr>
    </w:p>
    <w:p>
      <w:pPr>
        <w:pStyle w:val="4"/>
        <w:numPr>
          <w:ilvl w:val="1"/>
          <w:numId w:val="19"/>
        </w:numPr>
        <w:spacing w:line="360" w:lineRule="auto"/>
        <w:ind w:left="0" w:firstLine="0"/>
        <w:jc w:val="center"/>
        <w:rPr>
          <w:b/>
          <w:sz w:val="28"/>
          <w:szCs w:val="28"/>
        </w:rPr>
      </w:pPr>
      <w:r>
        <w:rPr>
          <w:rFonts w:hint="eastAsia"/>
          <w:b/>
          <w:sz w:val="28"/>
          <w:szCs w:val="28"/>
        </w:rPr>
        <w:t>工程报价清单</w:t>
      </w:r>
    </w:p>
    <w:p>
      <w:pPr>
        <w:pStyle w:val="58"/>
        <w:rPr>
          <w:rFonts w:hAnsi="宋体"/>
          <w:sz w:val="21"/>
          <w:szCs w:val="21"/>
        </w:rPr>
      </w:pPr>
    </w:p>
    <w:p>
      <w:pPr>
        <w:spacing w:line="360" w:lineRule="auto"/>
        <w:ind w:firstLine="420" w:firstLineChars="200"/>
        <w:rPr>
          <w:rFonts w:hAnsi="宋体"/>
          <w:sz w:val="21"/>
          <w:szCs w:val="21"/>
        </w:rPr>
      </w:pPr>
      <w:r>
        <w:rPr>
          <w:rFonts w:hint="eastAsia" w:hAnsi="宋体"/>
          <w:sz w:val="21"/>
          <w:szCs w:val="21"/>
        </w:rPr>
        <w:t>说明：</w:t>
      </w:r>
    </w:p>
    <w:p>
      <w:pPr>
        <w:numPr>
          <w:ilvl w:val="0"/>
          <w:numId w:val="21"/>
        </w:numPr>
        <w:spacing w:line="360" w:lineRule="auto"/>
        <w:ind w:firstLine="422" w:firstLineChars="200"/>
        <w:rPr>
          <w:rFonts w:hAnsi="宋体"/>
          <w:b/>
          <w:bCs/>
          <w:sz w:val="21"/>
          <w:szCs w:val="21"/>
        </w:rPr>
      </w:pPr>
      <w:r>
        <w:rPr>
          <w:rFonts w:hint="eastAsia" w:hAnsi="宋体"/>
          <w:b/>
          <w:bCs/>
          <w:sz w:val="21"/>
          <w:szCs w:val="21"/>
        </w:rPr>
        <w:t>工程报价清单</w:t>
      </w:r>
      <w:r>
        <w:rPr>
          <w:rFonts w:hint="eastAsia" w:hAnsi="宋体"/>
          <w:b/>
          <w:bCs/>
          <w:spacing w:val="6"/>
          <w:sz w:val="21"/>
          <w:szCs w:val="21"/>
        </w:rPr>
        <w:t>必须使用采购人发出的</w:t>
      </w:r>
      <w:r>
        <w:rPr>
          <w:rFonts w:hint="eastAsia" w:hAnsi="宋体"/>
          <w:b/>
          <w:bCs/>
          <w:sz w:val="21"/>
          <w:szCs w:val="21"/>
        </w:rPr>
        <w:t>工程量清单，不得擅自删除或增加。</w:t>
      </w:r>
    </w:p>
    <w:p>
      <w:pPr>
        <w:numPr>
          <w:ilvl w:val="0"/>
          <w:numId w:val="21"/>
        </w:numPr>
        <w:spacing w:line="360" w:lineRule="auto"/>
        <w:ind w:firstLine="422" w:firstLineChars="200"/>
        <w:rPr>
          <w:rFonts w:hAnsi="宋体"/>
          <w:sz w:val="21"/>
          <w:szCs w:val="21"/>
        </w:rPr>
      </w:pPr>
      <w:r>
        <w:rPr>
          <w:rFonts w:hint="eastAsia" w:hAnsi="宋体"/>
          <w:b/>
          <w:bCs/>
          <w:sz w:val="21"/>
          <w:szCs w:val="21"/>
        </w:rPr>
        <w:t>综合单价包设计、包报建、包施工、包安装调试、包验收、包通电，以及包括项目的服务及其他附属服务的服务费用、相关人员工资、一切税费、保险费、仓储费、税费、资料等履约过程可预见和不可预见的一切费用，且在合同执行过程中不作任何调整。</w:t>
      </w:r>
    </w:p>
    <w:p>
      <w:pPr>
        <w:numPr>
          <w:ilvl w:val="0"/>
          <w:numId w:val="21"/>
        </w:numPr>
        <w:spacing w:line="360" w:lineRule="auto"/>
        <w:ind w:firstLine="420" w:firstLineChars="200"/>
        <w:rPr>
          <w:rFonts w:hAnsi="宋体"/>
          <w:sz w:val="21"/>
          <w:szCs w:val="21"/>
        </w:rPr>
      </w:pPr>
      <w:r>
        <w:rPr>
          <w:rFonts w:hint="eastAsia" w:hAnsi="宋体"/>
          <w:sz w:val="21"/>
          <w:szCs w:val="21"/>
        </w:rPr>
        <w:t>总价金额与清单算术总额不一致的，以总价金额为准。</w:t>
      </w:r>
    </w:p>
    <w:p>
      <w:pPr>
        <w:numPr>
          <w:ilvl w:val="0"/>
          <w:numId w:val="21"/>
        </w:numPr>
        <w:spacing w:line="360" w:lineRule="auto"/>
        <w:ind w:firstLine="420" w:firstLineChars="200"/>
        <w:rPr>
          <w:rFonts w:hAnsi="宋体"/>
          <w:sz w:val="21"/>
          <w:szCs w:val="21"/>
        </w:rPr>
      </w:pPr>
      <w:r>
        <w:rPr>
          <w:rFonts w:hint="eastAsia" w:hAnsi="宋体"/>
          <w:sz w:val="21"/>
          <w:szCs w:val="21"/>
        </w:rPr>
        <w:t>工程报价清单须加盖公章。</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bookmarkEnd w:id="22"/>
    <w:p>
      <w:pPr>
        <w:pStyle w:val="2"/>
        <w:pageBreakBefore/>
        <w:spacing w:line="360" w:lineRule="auto"/>
        <w:jc w:val="center"/>
        <w:rPr>
          <w:bCs/>
          <w:sz w:val="28"/>
          <w:szCs w:val="28"/>
        </w:rPr>
      </w:pPr>
      <w:bookmarkStart w:id="23" w:name="_Toc396137247"/>
      <w:bookmarkStart w:id="24" w:name="_Toc1840"/>
      <w:bookmarkStart w:id="25" w:name="_Toc3686"/>
      <w:bookmarkStart w:id="26" w:name="_Toc17958"/>
      <w:bookmarkStart w:id="27" w:name="_Toc367438805"/>
      <w:r>
        <w:rPr>
          <w:rFonts w:hint="eastAsia"/>
          <w:bCs/>
          <w:sz w:val="28"/>
          <w:szCs w:val="28"/>
        </w:rPr>
        <w:t>第二节 商务文件</w:t>
      </w:r>
      <w:bookmarkEnd w:id="23"/>
      <w:bookmarkEnd w:id="24"/>
      <w:bookmarkEnd w:id="25"/>
      <w:bookmarkEnd w:id="26"/>
      <w:bookmarkEnd w:id="27"/>
    </w:p>
    <w:p/>
    <w:p>
      <w:pPr>
        <w:pStyle w:val="4"/>
        <w:numPr>
          <w:ilvl w:val="1"/>
          <w:numId w:val="22"/>
        </w:numPr>
        <w:spacing w:line="360" w:lineRule="auto"/>
        <w:ind w:left="0" w:firstLine="0"/>
        <w:jc w:val="center"/>
        <w:rPr>
          <w:b/>
        </w:rPr>
      </w:pPr>
      <w:bookmarkStart w:id="28" w:name="_Hlt10519541"/>
      <w:bookmarkEnd w:id="28"/>
      <w:bookmarkStart w:id="29" w:name="_Toc1193"/>
      <w:bookmarkStart w:id="30" w:name="_Toc22913"/>
      <w:bookmarkStart w:id="31" w:name="_Toc29773"/>
      <w:r>
        <w:rPr>
          <w:rFonts w:hint="eastAsia"/>
          <w:b/>
        </w:rPr>
        <w:t>报价函</w:t>
      </w:r>
      <w:bookmarkEnd w:id="29"/>
      <w:bookmarkEnd w:id="30"/>
      <w:bookmarkEnd w:id="31"/>
    </w:p>
    <w:p>
      <w:pPr>
        <w:spacing w:line="360" w:lineRule="auto"/>
        <w:rPr>
          <w:rFonts w:hAnsi="宋体"/>
          <w:sz w:val="21"/>
          <w:szCs w:val="21"/>
        </w:rPr>
      </w:pPr>
      <w:r>
        <w:rPr>
          <w:rFonts w:hint="eastAsia" w:hAnsi="宋体"/>
          <w:sz w:val="21"/>
          <w:szCs w:val="21"/>
        </w:rPr>
        <w:t xml:space="preserve">致：广东泰通伟业工程咨询有限公司 </w:t>
      </w:r>
    </w:p>
    <w:p>
      <w:pPr>
        <w:spacing w:line="360" w:lineRule="auto"/>
        <w:ind w:firstLine="420"/>
        <w:jc w:val="both"/>
        <w:rPr>
          <w:rFonts w:hAnsi="宋体"/>
          <w:kern w:val="2"/>
          <w:sz w:val="21"/>
          <w:szCs w:val="21"/>
          <w:lang w:val="zh-CN"/>
        </w:rPr>
      </w:pPr>
      <w:r>
        <w:rPr>
          <w:rFonts w:hint="eastAsia" w:hAnsi="宋体"/>
          <w:kern w:val="2"/>
          <w:sz w:val="21"/>
          <w:szCs w:val="21"/>
          <w:lang w:val="zh-CN"/>
        </w:rPr>
        <w:t>根据贵方</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u w:val="single"/>
        </w:rPr>
        <w:t>(</w:t>
      </w:r>
      <w:r>
        <w:rPr>
          <w:rFonts w:hint="eastAsia" w:hAnsi="宋体"/>
          <w:kern w:val="2"/>
          <w:sz w:val="21"/>
          <w:szCs w:val="21"/>
          <w:u w:val="single"/>
          <w:lang w:val="zh-CN"/>
        </w:rPr>
        <w:t>项目编号：    )</w:t>
      </w:r>
      <w:r>
        <w:rPr>
          <w:rFonts w:hint="eastAsia" w:hAnsi="宋体"/>
          <w:kern w:val="2"/>
          <w:sz w:val="21"/>
          <w:szCs w:val="21"/>
          <w:lang w:val="zh-CN"/>
        </w:rPr>
        <w:t>的投标邀请，我方</w:t>
      </w:r>
      <w:r>
        <w:rPr>
          <w:rFonts w:hAnsi="宋体"/>
          <w:kern w:val="2"/>
          <w:sz w:val="21"/>
          <w:szCs w:val="21"/>
          <w:u w:val="single"/>
          <w:lang w:val="zh-CN"/>
        </w:rPr>
        <w:t xml:space="preserve"> </w:t>
      </w:r>
      <w:r>
        <w:rPr>
          <w:rFonts w:hint="eastAsia" w:hAnsi="宋体"/>
          <w:kern w:val="2"/>
          <w:sz w:val="21"/>
          <w:szCs w:val="21"/>
          <w:u w:val="single"/>
          <w:lang w:val="zh-CN"/>
        </w:rPr>
        <w:t xml:space="preserve">   （报价人名称）  </w:t>
      </w:r>
      <w:r>
        <w:rPr>
          <w:rFonts w:hint="eastAsia" w:hAnsi="宋体"/>
          <w:kern w:val="2"/>
          <w:sz w:val="21"/>
          <w:szCs w:val="21"/>
          <w:lang w:val="zh-CN"/>
        </w:rPr>
        <w:t>作为报价人正式授权</w:t>
      </w:r>
      <w:r>
        <w:rPr>
          <w:rFonts w:hint="eastAsia" w:hAnsi="宋体"/>
          <w:kern w:val="2"/>
          <w:sz w:val="21"/>
          <w:szCs w:val="21"/>
          <w:u w:val="single"/>
          <w:lang w:val="zh-CN"/>
        </w:rPr>
        <w:t xml:space="preserve">　　（授权代表全名，职务）   </w:t>
      </w:r>
      <w:r>
        <w:rPr>
          <w:rFonts w:hint="eastAsia" w:hAnsi="宋体"/>
          <w:kern w:val="2"/>
          <w:sz w:val="21"/>
          <w:szCs w:val="21"/>
          <w:lang w:val="zh-CN"/>
        </w:rPr>
        <w:t>代表我方进行有关本次投标的一切事宜。</w:t>
      </w:r>
    </w:p>
    <w:p>
      <w:pPr>
        <w:spacing w:line="360" w:lineRule="auto"/>
        <w:ind w:firstLine="420"/>
        <w:jc w:val="both"/>
        <w:rPr>
          <w:rFonts w:hAnsi="宋体"/>
          <w:kern w:val="2"/>
          <w:sz w:val="21"/>
          <w:szCs w:val="21"/>
          <w:lang w:val="zh-CN"/>
        </w:rPr>
      </w:pPr>
      <w:r>
        <w:rPr>
          <w:rFonts w:hint="eastAsia" w:hAnsi="宋体"/>
          <w:kern w:val="2"/>
          <w:sz w:val="21"/>
          <w:szCs w:val="21"/>
          <w:lang w:val="zh-CN"/>
        </w:rPr>
        <w:t>在此提交的报价文件，已按招标文件的要求密封封装。包括但不限于如下内容：</w:t>
      </w:r>
    </w:p>
    <w:p>
      <w:pPr>
        <w:spacing w:line="360" w:lineRule="auto"/>
        <w:ind w:left="718" w:leftChars="299"/>
        <w:jc w:val="both"/>
        <w:rPr>
          <w:rFonts w:hAnsi="宋体"/>
          <w:kern w:val="2"/>
          <w:sz w:val="21"/>
          <w:szCs w:val="21"/>
          <w:lang w:val="zh-CN"/>
        </w:rPr>
      </w:pPr>
      <w:r>
        <w:rPr>
          <w:rFonts w:hint="eastAsia" w:hAnsi="宋体"/>
          <w:kern w:val="2"/>
          <w:sz w:val="21"/>
          <w:szCs w:val="21"/>
          <w:lang w:val="zh-CN"/>
        </w:rPr>
        <w:t>（1）唱标信封【一份】（按招标文件要求的内容编制）；</w:t>
      </w:r>
    </w:p>
    <w:p>
      <w:pPr>
        <w:spacing w:line="360" w:lineRule="auto"/>
        <w:ind w:left="718" w:leftChars="299"/>
        <w:jc w:val="both"/>
        <w:rPr>
          <w:rFonts w:hAnsi="宋体"/>
          <w:kern w:val="2"/>
          <w:sz w:val="21"/>
          <w:szCs w:val="21"/>
          <w:lang w:val="zh-CN"/>
        </w:rPr>
      </w:pPr>
      <w:r>
        <w:rPr>
          <w:rFonts w:hint="eastAsia" w:hAnsi="宋体"/>
          <w:kern w:val="2"/>
          <w:sz w:val="21"/>
          <w:szCs w:val="21"/>
          <w:lang w:val="zh-CN"/>
        </w:rPr>
        <w:t>（2）报价文件【含商务文件、技术文件和报价文件，正本一份，副本</w:t>
      </w:r>
      <w:r>
        <w:rPr>
          <w:rFonts w:hint="eastAsia" w:hAnsi="宋体"/>
          <w:kern w:val="2"/>
          <w:sz w:val="21"/>
          <w:szCs w:val="21"/>
          <w:u w:val="single"/>
          <w:lang w:val="zh-CN"/>
        </w:rPr>
        <w:t xml:space="preserve">   </w:t>
      </w:r>
      <w:r>
        <w:rPr>
          <w:rFonts w:hint="eastAsia" w:hAnsi="宋体"/>
          <w:kern w:val="2"/>
          <w:sz w:val="21"/>
          <w:szCs w:val="21"/>
          <w:lang w:val="zh-CN"/>
        </w:rPr>
        <w:t>份】；</w:t>
      </w:r>
    </w:p>
    <w:p>
      <w:pPr>
        <w:spacing w:line="360" w:lineRule="auto"/>
        <w:ind w:left="718" w:leftChars="299"/>
        <w:jc w:val="both"/>
        <w:rPr>
          <w:rFonts w:hAnsi="宋体"/>
          <w:kern w:val="2"/>
          <w:sz w:val="21"/>
          <w:szCs w:val="21"/>
          <w:lang w:val="zh-CN"/>
        </w:rPr>
      </w:pPr>
      <w:r>
        <w:rPr>
          <w:rFonts w:hint="eastAsia" w:hAnsi="宋体"/>
          <w:kern w:val="2"/>
          <w:sz w:val="21"/>
          <w:szCs w:val="21"/>
          <w:lang w:val="zh-CN"/>
        </w:rPr>
        <w:t>（3）电子文件【一份】；</w:t>
      </w:r>
    </w:p>
    <w:p>
      <w:pPr>
        <w:spacing w:line="360" w:lineRule="auto"/>
        <w:ind w:firstLine="420"/>
        <w:jc w:val="both"/>
        <w:rPr>
          <w:rFonts w:hAnsi="宋体"/>
          <w:kern w:val="2"/>
          <w:sz w:val="21"/>
          <w:szCs w:val="21"/>
          <w:lang w:val="zh-CN"/>
        </w:rPr>
      </w:pPr>
      <w:r>
        <w:rPr>
          <w:rFonts w:hint="eastAsia" w:hAnsi="宋体"/>
          <w:kern w:val="2"/>
          <w:sz w:val="21"/>
          <w:szCs w:val="21"/>
          <w:lang w:val="zh-CN"/>
        </w:rPr>
        <w:t>我方己完全明白招标文件的所有条款要求，并重申以下几点：</w:t>
      </w:r>
    </w:p>
    <w:p>
      <w:pPr>
        <w:spacing w:line="360" w:lineRule="auto"/>
        <w:ind w:left="360" w:leftChars="150"/>
        <w:jc w:val="both"/>
        <w:rPr>
          <w:rFonts w:hAnsi="宋体"/>
          <w:kern w:val="2"/>
          <w:sz w:val="21"/>
          <w:szCs w:val="21"/>
          <w:lang w:val="zh-CN"/>
        </w:rPr>
      </w:pPr>
      <w:r>
        <w:rPr>
          <w:rFonts w:hint="eastAsia" w:hAnsi="宋体"/>
          <w:kern w:val="2"/>
          <w:sz w:val="21"/>
          <w:szCs w:val="21"/>
          <w:lang w:val="zh-CN"/>
        </w:rPr>
        <w:t>（</w:t>
      </w:r>
      <w:r>
        <w:rPr>
          <w:rFonts w:hAnsi="宋体"/>
          <w:kern w:val="2"/>
          <w:sz w:val="21"/>
          <w:szCs w:val="21"/>
          <w:lang w:val="zh-CN"/>
        </w:rPr>
        <w:t>—</w:t>
      </w:r>
      <w:r>
        <w:rPr>
          <w:rFonts w:hint="eastAsia" w:hAnsi="宋体"/>
          <w:kern w:val="2"/>
          <w:sz w:val="21"/>
          <w:szCs w:val="21"/>
          <w:lang w:val="zh-CN"/>
        </w:rPr>
        <w:t>）我方决定参加项目编号为</w:t>
      </w:r>
      <w:r>
        <w:rPr>
          <w:rFonts w:hint="eastAsia" w:hAnsi="宋体"/>
          <w:kern w:val="2"/>
          <w:sz w:val="21"/>
          <w:szCs w:val="21"/>
          <w:u w:val="single"/>
          <w:lang w:val="zh-CN"/>
        </w:rPr>
        <w:t xml:space="preserve">    </w:t>
      </w:r>
      <w:r>
        <w:rPr>
          <w:rFonts w:hint="eastAsia" w:hAnsi="宋体"/>
          <w:kern w:val="2"/>
          <w:sz w:val="21"/>
          <w:szCs w:val="21"/>
          <w:lang w:val="zh-CN"/>
        </w:rPr>
        <w:t>的投标；</w:t>
      </w:r>
    </w:p>
    <w:p>
      <w:pPr>
        <w:spacing w:line="360" w:lineRule="auto"/>
        <w:ind w:left="360" w:leftChars="150"/>
        <w:jc w:val="both"/>
        <w:rPr>
          <w:rFonts w:hAnsi="宋体"/>
          <w:kern w:val="2"/>
          <w:sz w:val="21"/>
          <w:szCs w:val="21"/>
          <w:lang w:val="zh-CN"/>
        </w:rPr>
      </w:pPr>
      <w:r>
        <w:rPr>
          <w:rFonts w:hint="eastAsia" w:hAnsi="宋体"/>
          <w:kern w:val="2"/>
          <w:sz w:val="21"/>
          <w:szCs w:val="21"/>
          <w:lang w:val="zh-CN"/>
        </w:rPr>
        <w:t>（二）本项目的报价（详见报价总表）；</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（三）本报价文件的有效期自递交报价文件截止日后</w:t>
      </w:r>
      <w:r>
        <w:rPr>
          <w:rFonts w:hint="eastAsia" w:hAnsi="宋体"/>
          <w:kern w:val="2"/>
          <w:sz w:val="21"/>
          <w:szCs w:val="21"/>
          <w:u w:val="single"/>
          <w:lang w:val="zh-CN"/>
        </w:rPr>
        <w:t xml:space="preserve"> 90 </w:t>
      </w:r>
      <w:r>
        <w:rPr>
          <w:rFonts w:hint="eastAsia" w:hAnsi="宋体"/>
          <w:kern w:val="2"/>
          <w:sz w:val="21"/>
          <w:szCs w:val="21"/>
          <w:lang w:val="zh-CN"/>
        </w:rPr>
        <w:t>日有效，如成交，有效期将延至合同终止日为止；</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（四）我方已详细</w:t>
      </w:r>
      <w:r>
        <w:rPr>
          <w:rFonts w:hint="eastAsia" w:hAnsi="宋体"/>
          <w:sz w:val="21"/>
          <w:szCs w:val="21"/>
        </w:rPr>
        <w:t>阅读并</w:t>
      </w:r>
      <w:r>
        <w:rPr>
          <w:rFonts w:hint="eastAsia" w:hAnsi="宋体"/>
          <w:kern w:val="2"/>
          <w:sz w:val="21"/>
          <w:szCs w:val="21"/>
          <w:lang w:val="zh-CN"/>
        </w:rPr>
        <w:t>研究了招标文件的所有内容包括修正文、</w:t>
      </w:r>
      <w:r>
        <w:rPr>
          <w:rFonts w:hint="eastAsia" w:hAnsi="宋体"/>
          <w:sz w:val="21"/>
          <w:szCs w:val="21"/>
        </w:rPr>
        <w:t>答疑纪要、澄清补充通知</w:t>
      </w:r>
      <w:r>
        <w:rPr>
          <w:rFonts w:hint="eastAsia" w:hAnsi="宋体"/>
          <w:kern w:val="2"/>
          <w:sz w:val="21"/>
          <w:szCs w:val="21"/>
          <w:lang w:val="zh-CN"/>
        </w:rPr>
        <w:t>（如有）和所有已提供的参考资料以及有关附件，</w:t>
      </w:r>
      <w:r>
        <w:rPr>
          <w:rFonts w:hint="eastAsia" w:hAnsi="宋体"/>
          <w:sz w:val="21"/>
          <w:szCs w:val="21"/>
        </w:rPr>
        <w:t>我们完全清晰理解招标文件的要求，不存在任何含糊不清和误解之处，</w:t>
      </w:r>
      <w:r>
        <w:rPr>
          <w:rFonts w:hint="eastAsia" w:hAnsi="宋体"/>
          <w:kern w:val="2"/>
          <w:sz w:val="21"/>
          <w:szCs w:val="21"/>
          <w:lang w:val="zh-CN"/>
        </w:rPr>
        <w:t>我方</w:t>
      </w:r>
      <w:r>
        <w:rPr>
          <w:rFonts w:hint="eastAsia" w:hAnsi="宋体"/>
          <w:sz w:val="21"/>
          <w:szCs w:val="21"/>
        </w:rPr>
        <w:t>同意</w:t>
      </w:r>
      <w:r>
        <w:rPr>
          <w:rFonts w:hint="eastAsia" w:hAnsi="宋体"/>
          <w:kern w:val="2"/>
          <w:sz w:val="21"/>
          <w:szCs w:val="21"/>
          <w:lang w:val="zh-CN"/>
        </w:rPr>
        <w:t>放弃在此方面提出含糊意见或误解的一切权力；</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（五）我方明白并愿意在规定的递交报价文件截止时间和日期之后，投标有效期之内撤回投标，则报价保证金将被贵方没收；</w:t>
      </w:r>
    </w:p>
    <w:p>
      <w:pPr>
        <w:spacing w:line="360" w:lineRule="auto"/>
        <w:ind w:left="360" w:leftChars="150"/>
        <w:jc w:val="both"/>
        <w:rPr>
          <w:rFonts w:hAnsi="宋体"/>
          <w:kern w:val="2"/>
          <w:sz w:val="21"/>
          <w:szCs w:val="21"/>
          <w:lang w:val="zh-CN"/>
        </w:rPr>
      </w:pPr>
      <w:r>
        <w:rPr>
          <w:rFonts w:hint="eastAsia" w:hAnsi="宋体"/>
          <w:kern w:val="2"/>
          <w:sz w:val="21"/>
          <w:szCs w:val="21"/>
          <w:lang w:val="zh-CN"/>
        </w:rPr>
        <w:t>（六）我方同意按照贵方可能提出的要求而提供与投标有关的任何其它数据或信息；</w:t>
      </w:r>
    </w:p>
    <w:p>
      <w:pPr>
        <w:spacing w:line="360" w:lineRule="auto"/>
        <w:ind w:left="990" w:leftChars="150" w:hanging="630" w:hangingChars="300"/>
        <w:jc w:val="both"/>
        <w:rPr>
          <w:rFonts w:hAnsi="宋体"/>
          <w:kern w:val="2"/>
          <w:sz w:val="21"/>
          <w:szCs w:val="21"/>
          <w:lang w:val="zh-CN"/>
        </w:rPr>
      </w:pPr>
      <w:r>
        <w:rPr>
          <w:rFonts w:hint="eastAsia" w:hAnsi="宋体"/>
          <w:kern w:val="2"/>
          <w:sz w:val="21"/>
          <w:szCs w:val="21"/>
          <w:lang w:val="zh-CN"/>
        </w:rPr>
        <w:t>（七）我方完全服从和尊重评标委员会所作的评定结果，我方理解贵方不一定接受最低报价或任何贵方可能收到的报价；</w:t>
      </w:r>
    </w:p>
    <w:p>
      <w:pPr>
        <w:spacing w:line="360" w:lineRule="auto"/>
        <w:ind w:left="990" w:leftChars="150" w:hanging="630" w:hangingChars="300"/>
        <w:jc w:val="both"/>
        <w:rPr>
          <w:rFonts w:hAnsi="宋体"/>
          <w:kern w:val="2"/>
          <w:sz w:val="21"/>
          <w:szCs w:val="21"/>
          <w:u w:val="single"/>
          <w:lang w:val="zh-CN"/>
        </w:rPr>
      </w:pPr>
      <w:r>
        <w:rPr>
          <w:rFonts w:hint="eastAsia" w:hAnsi="宋体"/>
          <w:kern w:val="2"/>
          <w:sz w:val="21"/>
          <w:szCs w:val="21"/>
          <w:lang w:val="zh-CN"/>
        </w:rPr>
        <w:t>（八）我方若作为成交供应商，将保证履行招标文件以及</w:t>
      </w:r>
      <w:r>
        <w:rPr>
          <w:rFonts w:hint="eastAsia" w:hAnsi="宋体"/>
          <w:sz w:val="21"/>
          <w:szCs w:val="21"/>
        </w:rPr>
        <w:t>答疑纪要、澄清补充通知等</w:t>
      </w:r>
      <w:r>
        <w:rPr>
          <w:rFonts w:hint="eastAsia" w:hAnsi="宋体"/>
          <w:kern w:val="2"/>
          <w:sz w:val="21"/>
          <w:szCs w:val="21"/>
          <w:lang w:val="zh-CN"/>
        </w:rPr>
        <w:t>招标文件修改书（如有）中的全部责任和义务，按质、按量、按期完成《合同书》中的全部任务；</w:t>
      </w:r>
    </w:p>
    <w:p>
      <w:pPr>
        <w:spacing w:line="360" w:lineRule="auto"/>
        <w:ind w:left="360" w:leftChars="150"/>
        <w:jc w:val="both"/>
        <w:rPr>
          <w:rFonts w:hAnsi="宋体"/>
          <w:kern w:val="2"/>
          <w:sz w:val="21"/>
          <w:szCs w:val="21"/>
          <w:u w:val="single"/>
          <w:lang w:val="zh-CN"/>
        </w:rPr>
      </w:pPr>
      <w:r>
        <w:rPr>
          <w:rFonts w:hint="eastAsia" w:hAnsi="宋体"/>
          <w:kern w:val="2"/>
          <w:sz w:val="21"/>
          <w:szCs w:val="21"/>
          <w:lang w:val="zh-CN"/>
        </w:rPr>
        <w:t>（九）所有与本投标有关的函件请发往下列地址：</w:t>
      </w:r>
    </w:p>
    <w:p>
      <w:pPr>
        <w:spacing w:line="360" w:lineRule="auto"/>
        <w:jc w:val="both"/>
        <w:rPr>
          <w:rFonts w:hAnsi="宋体"/>
          <w:kern w:val="2"/>
          <w:sz w:val="21"/>
          <w:szCs w:val="21"/>
          <w:u w:val="single"/>
          <w:lang w:val="zh-CN"/>
        </w:rPr>
      </w:pPr>
      <w:r>
        <w:rPr>
          <w:rFonts w:hint="eastAsia" w:hAnsi="宋体"/>
          <w:kern w:val="2"/>
          <w:sz w:val="21"/>
          <w:szCs w:val="21"/>
          <w:lang w:val="zh-CN"/>
        </w:rPr>
        <w:t>地</w:t>
      </w:r>
      <w:r>
        <w:rPr>
          <w:rFonts w:hAnsi="宋体"/>
          <w:kern w:val="2"/>
          <w:sz w:val="21"/>
          <w:szCs w:val="21"/>
          <w:lang w:val="zh-CN"/>
        </w:rPr>
        <w:t xml:space="preserve">  </w:t>
      </w:r>
      <w:r>
        <w:rPr>
          <w:rFonts w:hint="eastAsia" w:hAnsi="宋体"/>
          <w:kern w:val="2"/>
          <w:sz w:val="21"/>
          <w:szCs w:val="21"/>
          <w:lang w:val="zh-CN"/>
        </w:rPr>
        <w:t>　址：</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邮政编码：</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电　　话：</w:t>
      </w:r>
      <w:r>
        <w:rPr>
          <w:rFonts w:hint="eastAsia" w:hAnsi="宋体"/>
          <w:kern w:val="2"/>
          <w:sz w:val="21"/>
          <w:szCs w:val="21"/>
          <w:u w:val="single"/>
          <w:lang w:val="zh-CN"/>
        </w:rPr>
        <w:t>　　　　　　　　　　　</w:t>
      </w:r>
      <w:r>
        <w:rPr>
          <w:rFonts w:hAnsi="宋体"/>
          <w:kern w:val="2"/>
          <w:sz w:val="21"/>
          <w:szCs w:val="21"/>
          <w:lang w:val="zh-CN"/>
        </w:rPr>
        <w:tab/>
      </w:r>
      <w:r>
        <w:rPr>
          <w:rFonts w:hAnsi="宋体"/>
          <w:kern w:val="2"/>
          <w:sz w:val="21"/>
          <w:szCs w:val="21"/>
          <w:lang w:val="zh-CN"/>
        </w:rPr>
        <w:tab/>
      </w:r>
      <w:r>
        <w:rPr>
          <w:rFonts w:hint="eastAsia" w:hAnsi="宋体"/>
          <w:kern w:val="2"/>
          <w:sz w:val="21"/>
          <w:szCs w:val="21"/>
          <w:lang w:val="zh-CN"/>
        </w:rPr>
        <w:t>代表姓名：</w:t>
      </w:r>
      <w:r>
        <w:rPr>
          <w:rFonts w:hint="eastAsia" w:hAnsi="宋体"/>
          <w:kern w:val="2"/>
          <w:sz w:val="21"/>
          <w:szCs w:val="21"/>
          <w:u w:val="single"/>
          <w:lang w:val="zh-CN"/>
        </w:rPr>
        <w:t xml:space="preserve">　　　　　　　　　　 </w:t>
      </w:r>
    </w:p>
    <w:p>
      <w:pPr>
        <w:spacing w:line="360" w:lineRule="auto"/>
        <w:jc w:val="both"/>
        <w:rPr>
          <w:rFonts w:hAnsi="宋体"/>
          <w:kern w:val="2"/>
          <w:sz w:val="21"/>
          <w:szCs w:val="21"/>
          <w:lang w:val="zh-CN"/>
        </w:rPr>
      </w:pPr>
      <w:r>
        <w:rPr>
          <w:rFonts w:hint="eastAsia" w:hAnsi="宋体"/>
          <w:kern w:val="2"/>
          <w:sz w:val="21"/>
          <w:szCs w:val="21"/>
          <w:lang w:val="zh-CN"/>
        </w:rPr>
        <w:t>传　　真：</w:t>
      </w:r>
      <w:r>
        <w:rPr>
          <w:rFonts w:hint="eastAsia" w:hAnsi="宋体"/>
          <w:kern w:val="2"/>
          <w:sz w:val="21"/>
          <w:szCs w:val="21"/>
          <w:u w:val="single"/>
          <w:lang w:val="zh-CN"/>
        </w:rPr>
        <w:t>　　　　　　　　　　　</w:t>
      </w:r>
      <w:r>
        <w:rPr>
          <w:rFonts w:hint="eastAsia" w:hAnsi="宋体"/>
          <w:kern w:val="2"/>
          <w:sz w:val="21"/>
          <w:szCs w:val="21"/>
          <w:lang w:val="zh-CN"/>
        </w:rPr>
        <w:t xml:space="preserve">         职　　务：</w:t>
      </w:r>
      <w:r>
        <w:rPr>
          <w:rFonts w:hint="eastAsia" w:hAnsi="宋体"/>
          <w:kern w:val="2"/>
          <w:sz w:val="21"/>
          <w:szCs w:val="21"/>
          <w:u w:val="single"/>
          <w:lang w:val="zh-CN"/>
        </w:rPr>
        <w:t xml:space="preserve">　　　　　　　　　　 </w:t>
      </w:r>
    </w:p>
    <w:p>
      <w:pPr>
        <w:snapToGrid w:val="0"/>
        <w:spacing w:line="360" w:lineRule="auto"/>
        <w:rPr>
          <w:rFonts w:hAnsi="宋体"/>
          <w:sz w:val="21"/>
          <w:szCs w:val="21"/>
        </w:rPr>
      </w:pPr>
      <w:bookmarkStart w:id="32" w:name="_Toc367438808"/>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p>
    <w:p>
      <w:pPr>
        <w:snapToGrid w:val="0"/>
        <w:spacing w:line="360" w:lineRule="auto"/>
        <w:rPr>
          <w:rFonts w:hAnsi="宋体"/>
          <w:sz w:val="21"/>
          <w:szCs w:val="21"/>
        </w:rPr>
      </w:pPr>
    </w:p>
    <w:bookmarkEnd w:id="32"/>
    <w:p>
      <w:pPr>
        <w:pStyle w:val="4"/>
        <w:pageBreakBefore/>
        <w:numPr>
          <w:ilvl w:val="1"/>
          <w:numId w:val="22"/>
        </w:numPr>
        <w:spacing w:line="360" w:lineRule="auto"/>
        <w:ind w:left="0" w:firstLine="0"/>
        <w:jc w:val="center"/>
        <w:rPr>
          <w:b/>
        </w:rPr>
      </w:pPr>
      <w:bookmarkStart w:id="33" w:name="_Toc1390"/>
      <w:bookmarkStart w:id="34" w:name="_Toc17315"/>
      <w:bookmarkStart w:id="35" w:name="_Toc27501"/>
      <w:r>
        <w:rPr>
          <w:rFonts w:hint="eastAsia"/>
          <w:b/>
        </w:rPr>
        <w:t>报价承诺书</w:t>
      </w:r>
      <w:bookmarkEnd w:id="33"/>
      <w:bookmarkEnd w:id="34"/>
      <w:bookmarkEnd w:id="35"/>
    </w:p>
    <w:p>
      <w:pPr>
        <w:pStyle w:val="26"/>
        <w:spacing w:line="360" w:lineRule="auto"/>
        <w:rPr>
          <w:rFonts w:hAnsi="宋体"/>
          <w:b/>
        </w:rPr>
      </w:pPr>
    </w:p>
    <w:p>
      <w:pPr>
        <w:pStyle w:val="26"/>
        <w:spacing w:line="360" w:lineRule="auto"/>
        <w:rPr>
          <w:rFonts w:hAnsi="宋体"/>
          <w:b/>
          <w:kern w:val="0"/>
          <w:sz w:val="28"/>
          <w:szCs w:val="28"/>
        </w:rPr>
      </w:pPr>
      <w:r>
        <w:rPr>
          <w:rFonts w:hint="eastAsia" w:hAnsi="宋体"/>
        </w:rPr>
        <w:t>致：广东泰通伟业工程咨询有限公司</w:t>
      </w:r>
      <w:r>
        <w:rPr>
          <w:rFonts w:hint="eastAsia" w:hAnsi="宋体"/>
          <w:b/>
          <w:kern w:val="0"/>
          <w:sz w:val="28"/>
          <w:szCs w:val="28"/>
        </w:rPr>
        <w:t xml:space="preserve"> </w:t>
      </w:r>
    </w:p>
    <w:p>
      <w:pPr>
        <w:spacing w:line="360" w:lineRule="auto"/>
        <w:rPr>
          <w:rFonts w:hAnsi="宋体"/>
          <w:b/>
          <w:sz w:val="28"/>
          <w:szCs w:val="28"/>
        </w:rPr>
      </w:pPr>
    </w:p>
    <w:p>
      <w:pPr>
        <w:spacing w:line="360" w:lineRule="auto"/>
        <w:ind w:firstLine="420" w:firstLineChars="200"/>
        <w:rPr>
          <w:rFonts w:hAnsi="宋体"/>
          <w:sz w:val="21"/>
          <w:szCs w:val="21"/>
        </w:rPr>
      </w:pPr>
      <w:r>
        <w:rPr>
          <w:rFonts w:hint="eastAsia" w:hAnsi="宋体"/>
          <w:sz w:val="21"/>
          <w:szCs w:val="21"/>
        </w:rPr>
        <w:t>本报价人已详细阅读了</w:t>
      </w:r>
      <w:r>
        <w:rPr>
          <w:rFonts w:hint="eastAsia" w:hAnsi="宋体"/>
          <w:sz w:val="21"/>
          <w:szCs w:val="21"/>
          <w:u w:val="single"/>
        </w:rPr>
        <w:t xml:space="preserve">  （项目名称）  </w:t>
      </w:r>
      <w:r>
        <w:rPr>
          <w:rFonts w:hint="eastAsia" w:hAnsi="宋体"/>
          <w:sz w:val="21"/>
          <w:szCs w:val="21"/>
        </w:rPr>
        <w:t>谈判文件，自愿参加上述项目报价，现就有关事项向谈判人郑重承诺如下：</w:t>
      </w:r>
    </w:p>
    <w:p>
      <w:pPr>
        <w:spacing w:line="360" w:lineRule="auto"/>
        <w:ind w:firstLine="420" w:firstLineChars="200"/>
        <w:rPr>
          <w:rFonts w:hAnsi="宋体"/>
          <w:sz w:val="21"/>
          <w:szCs w:val="21"/>
        </w:rPr>
      </w:pPr>
      <w:r>
        <w:rPr>
          <w:rFonts w:hint="eastAsia" w:hAnsi="宋体"/>
          <w:sz w:val="21"/>
          <w:szCs w:val="21"/>
        </w:rPr>
        <w:t>1.本报价人自愿在谈判文件规定的时限内按照谈判文件及招标合同、用户需求书、技术规范等要求完成招标任务，按时交货并验收合格。货物质量按照报价文件的承诺并满足谈判文件要求。</w:t>
      </w:r>
    </w:p>
    <w:p>
      <w:pPr>
        <w:spacing w:line="360" w:lineRule="auto"/>
        <w:ind w:firstLine="420" w:firstLineChars="200"/>
        <w:rPr>
          <w:rFonts w:hAnsi="宋体"/>
          <w:sz w:val="21"/>
          <w:szCs w:val="21"/>
        </w:rPr>
      </w:pPr>
      <w:r>
        <w:rPr>
          <w:rFonts w:hint="eastAsia" w:hAnsi="宋体"/>
          <w:sz w:val="21"/>
          <w:szCs w:val="21"/>
        </w:rPr>
        <w:t>2.遵守中华人民共和国、广东省、</w:t>
      </w:r>
      <w:r>
        <w:rPr>
          <w:rFonts w:hint="eastAsia" w:hAnsi="宋体"/>
          <w:sz w:val="21"/>
          <w:szCs w:val="21"/>
          <w:u w:val="single"/>
        </w:rPr>
        <w:t>东莞</w:t>
      </w:r>
      <w:r>
        <w:rPr>
          <w:rFonts w:hint="eastAsia" w:hAnsi="宋体"/>
          <w:sz w:val="21"/>
          <w:szCs w:val="21"/>
        </w:rPr>
        <w:t>市有关招标等法律法规规定，自觉维护市场经济秩序。否则，同意被废除报价资格并接受处罚。</w:t>
      </w:r>
    </w:p>
    <w:p>
      <w:pPr>
        <w:spacing w:line="360" w:lineRule="auto"/>
        <w:ind w:firstLine="420" w:firstLineChars="200"/>
        <w:rPr>
          <w:rFonts w:hAnsi="宋体"/>
          <w:sz w:val="21"/>
          <w:szCs w:val="21"/>
        </w:rPr>
      </w:pPr>
      <w:r>
        <w:rPr>
          <w:rFonts w:hint="eastAsia" w:hAnsi="宋体"/>
          <w:sz w:val="21"/>
          <w:szCs w:val="21"/>
        </w:rPr>
        <w:t>3.保证报价文件内容无任何虚假。若评审过程中查出有虚假，同意作无效报价文件处理并被没收报价担保，若成交之后查出有虚假，同意废除成交资格并被没收报价担保。</w:t>
      </w:r>
    </w:p>
    <w:p>
      <w:pPr>
        <w:spacing w:line="360" w:lineRule="auto"/>
        <w:ind w:firstLine="420" w:firstLineChars="200"/>
        <w:rPr>
          <w:rFonts w:hAnsi="宋体"/>
          <w:sz w:val="21"/>
          <w:szCs w:val="21"/>
        </w:rPr>
      </w:pPr>
      <w:r>
        <w:rPr>
          <w:rFonts w:hint="eastAsia" w:hAnsi="宋体"/>
          <w:sz w:val="21"/>
          <w:szCs w:val="21"/>
        </w:rPr>
        <w:t>4.保证报价文件不存在低于成本的恶意报价行为。</w:t>
      </w:r>
    </w:p>
    <w:p>
      <w:pPr>
        <w:spacing w:line="360" w:lineRule="auto"/>
        <w:ind w:firstLine="420" w:firstLineChars="200"/>
        <w:rPr>
          <w:rFonts w:hAnsi="宋体"/>
          <w:sz w:val="21"/>
          <w:szCs w:val="21"/>
        </w:rPr>
      </w:pPr>
      <w:r>
        <w:rPr>
          <w:rFonts w:hint="eastAsia" w:hAnsi="宋体"/>
          <w:sz w:val="21"/>
          <w:szCs w:val="21"/>
        </w:rPr>
        <w:t>5.保证按照谈判文件及成交通知书规定提交履约担保并商签招标合同，</w:t>
      </w:r>
      <w:r>
        <w:rPr>
          <w:rFonts w:hint="eastAsia"/>
          <w:sz w:val="21"/>
          <w:szCs w:val="21"/>
        </w:rPr>
        <w:t>对谈判文件第五部分《合同书》中的条款项下的内容完全响应，不作任何的偏离。</w:t>
      </w:r>
      <w:r>
        <w:rPr>
          <w:rFonts w:hint="eastAsia" w:hAnsi="宋体"/>
          <w:sz w:val="21"/>
          <w:szCs w:val="21"/>
        </w:rPr>
        <w:t>否则，同意接受谈判人违约处罚并被没收报价担保。</w:t>
      </w:r>
    </w:p>
    <w:p>
      <w:pPr>
        <w:spacing w:line="360" w:lineRule="auto"/>
        <w:ind w:firstLine="420" w:firstLineChars="200"/>
        <w:rPr>
          <w:rFonts w:hAnsi="宋体"/>
          <w:sz w:val="21"/>
          <w:szCs w:val="21"/>
        </w:rPr>
      </w:pPr>
      <w:r>
        <w:rPr>
          <w:rFonts w:hint="eastAsia" w:hAnsi="宋体"/>
          <w:sz w:val="21"/>
          <w:szCs w:val="21"/>
        </w:rPr>
        <w:t>6.保证按照招标合同约定完成招标合同范围内的全部内容，履行保修责任。否则，同意接受谈判人对报价人违约处理。</w:t>
      </w:r>
    </w:p>
    <w:p>
      <w:pPr>
        <w:spacing w:line="360" w:lineRule="auto"/>
        <w:ind w:firstLine="420" w:firstLineChars="200"/>
        <w:rPr>
          <w:rFonts w:hAnsi="宋体"/>
          <w:sz w:val="21"/>
          <w:szCs w:val="21"/>
        </w:rPr>
      </w:pPr>
      <w:r>
        <w:rPr>
          <w:rFonts w:hint="eastAsia" w:hAnsi="宋体"/>
          <w:sz w:val="21"/>
          <w:szCs w:val="21"/>
        </w:rPr>
        <w:t>7.保证成交之后不转包，若分包将征得谈判人同意并遵守相关法律法规。</w:t>
      </w:r>
    </w:p>
    <w:p>
      <w:pPr>
        <w:spacing w:line="360" w:lineRule="auto"/>
        <w:ind w:firstLine="420" w:firstLineChars="200"/>
        <w:rPr>
          <w:rFonts w:hAnsi="宋体"/>
          <w:sz w:val="21"/>
          <w:szCs w:val="21"/>
        </w:rPr>
      </w:pPr>
      <w:r>
        <w:rPr>
          <w:rFonts w:hint="eastAsia" w:hAnsi="宋体"/>
          <w:sz w:val="21"/>
          <w:szCs w:val="21"/>
        </w:rPr>
        <w:t>8.保证成交之后按谈判文件要求向谈判项目配置承诺的资源，否则，同意接受违约处罚并被没收履约担保。</w:t>
      </w:r>
    </w:p>
    <w:p>
      <w:pPr>
        <w:spacing w:line="360" w:lineRule="auto"/>
        <w:ind w:firstLine="420" w:firstLineChars="200"/>
        <w:rPr>
          <w:rFonts w:hAnsi="宋体"/>
          <w:sz w:val="21"/>
          <w:szCs w:val="21"/>
        </w:rPr>
      </w:pPr>
      <w:r>
        <w:rPr>
          <w:rFonts w:hint="eastAsia" w:hAnsi="宋体"/>
          <w:sz w:val="21"/>
          <w:szCs w:val="21"/>
        </w:rPr>
        <w:t>9.保证成交之后密切配合招标人开展工作，接受招标人的监督管理。</w:t>
      </w:r>
    </w:p>
    <w:p>
      <w:pPr>
        <w:spacing w:line="360" w:lineRule="auto"/>
        <w:ind w:firstLine="420" w:firstLineChars="200"/>
        <w:rPr>
          <w:rFonts w:hAnsi="宋体"/>
          <w:sz w:val="21"/>
          <w:szCs w:val="21"/>
        </w:rPr>
      </w:pPr>
      <w:r>
        <w:rPr>
          <w:rFonts w:hint="eastAsia" w:hAnsi="宋体"/>
          <w:sz w:val="21"/>
          <w:szCs w:val="21"/>
        </w:rPr>
        <w:t>10.保证按谈判文件及招标合同约定的原则处理招标调整事宜，不发生签署招标合同之后恶意索赔的行为。</w:t>
      </w:r>
    </w:p>
    <w:p>
      <w:pPr>
        <w:spacing w:line="360" w:lineRule="auto"/>
        <w:ind w:firstLine="420" w:firstLineChars="200"/>
        <w:rPr>
          <w:rFonts w:hAnsi="宋体"/>
          <w:sz w:val="21"/>
          <w:szCs w:val="21"/>
        </w:rPr>
      </w:pPr>
      <w:r>
        <w:rPr>
          <w:rFonts w:hint="eastAsia" w:hAnsi="宋体"/>
          <w:sz w:val="21"/>
          <w:szCs w:val="21"/>
        </w:rPr>
        <w:t>本报价人在规定的报价有效期限内，将受谈判文件的约束并履行报价文件的承诺。</w:t>
      </w:r>
    </w:p>
    <w:p>
      <w:pPr>
        <w:pStyle w:val="26"/>
        <w:spacing w:line="360" w:lineRule="auto"/>
        <w:rPr>
          <w:rFonts w:hAnsi="宋体"/>
        </w:rPr>
      </w:pPr>
    </w:p>
    <w:p>
      <w:pPr>
        <w:pStyle w:val="26"/>
        <w:spacing w:line="360" w:lineRule="auto"/>
        <w:ind w:firstLine="420" w:firstLineChars="200"/>
        <w:rPr>
          <w:rFonts w:hAnsi="宋体"/>
        </w:rPr>
      </w:pPr>
      <w:r>
        <w:rPr>
          <w:rFonts w:hint="eastAsia" w:hAnsi="宋体"/>
        </w:rPr>
        <w:t>特此承诺！</w:t>
      </w:r>
    </w:p>
    <w:p>
      <w:pPr>
        <w:pStyle w:val="26"/>
        <w:spacing w:line="360" w:lineRule="auto"/>
        <w:rPr>
          <w:rFonts w:hAnsi="宋体"/>
        </w:rPr>
      </w:pPr>
    </w:p>
    <w:p>
      <w:pPr>
        <w:pStyle w:val="26"/>
        <w:spacing w:line="360" w:lineRule="auto"/>
        <w:rPr>
          <w:rFonts w:hAnsi="宋体"/>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p>
    <w:p>
      <w:pPr>
        <w:pStyle w:val="4"/>
        <w:pageBreakBefore/>
        <w:numPr>
          <w:ilvl w:val="1"/>
          <w:numId w:val="22"/>
        </w:numPr>
        <w:spacing w:line="360" w:lineRule="auto"/>
        <w:ind w:left="0" w:firstLine="0"/>
        <w:jc w:val="center"/>
        <w:rPr>
          <w:b/>
        </w:rPr>
      </w:pPr>
      <w:bookmarkStart w:id="36" w:name="_Toc13699"/>
      <w:bookmarkStart w:id="37" w:name="_Toc10783"/>
      <w:bookmarkStart w:id="38" w:name="_Toc23408"/>
      <w:r>
        <w:rPr>
          <w:rFonts w:hint="eastAsia"/>
          <w:b/>
        </w:rPr>
        <w:t>报价人资格声明书</w:t>
      </w:r>
      <w:bookmarkEnd w:id="36"/>
      <w:bookmarkEnd w:id="37"/>
      <w:bookmarkEnd w:id="38"/>
    </w:p>
    <w:p>
      <w:pPr>
        <w:pStyle w:val="26"/>
        <w:spacing w:line="360" w:lineRule="auto"/>
        <w:jc w:val="center"/>
        <w:rPr>
          <w:rFonts w:hAnsi="宋体"/>
        </w:rPr>
      </w:pPr>
    </w:p>
    <w:p>
      <w:pPr>
        <w:pStyle w:val="26"/>
        <w:spacing w:line="360" w:lineRule="auto"/>
        <w:rPr>
          <w:rFonts w:hAnsi="宋体"/>
          <w:bCs/>
        </w:rPr>
      </w:pPr>
      <w:r>
        <w:rPr>
          <w:rFonts w:hint="eastAsia" w:hAnsi="宋体"/>
          <w:bCs/>
        </w:rPr>
        <w:t>致：广东泰通伟业工程咨询有限公司</w:t>
      </w:r>
    </w:p>
    <w:p>
      <w:pPr>
        <w:pStyle w:val="26"/>
        <w:spacing w:line="360" w:lineRule="auto"/>
        <w:rPr>
          <w:rFonts w:hAnsi="宋体"/>
        </w:rPr>
      </w:pPr>
    </w:p>
    <w:p>
      <w:pPr>
        <w:pStyle w:val="26"/>
        <w:spacing w:line="360" w:lineRule="auto"/>
        <w:ind w:firstLine="420" w:firstLineChars="200"/>
        <w:rPr>
          <w:rFonts w:hAnsi="宋体"/>
          <w:szCs w:val="21"/>
        </w:rPr>
      </w:pPr>
      <w:r>
        <w:rPr>
          <w:rFonts w:hint="eastAsia" w:hAnsi="宋体"/>
          <w:szCs w:val="21"/>
        </w:rPr>
        <w:t>本公司参加</w:t>
      </w:r>
      <w:r>
        <w:rPr>
          <w:rFonts w:hint="eastAsia" w:hAnsi="宋体"/>
          <w:szCs w:val="21"/>
          <w:u w:val="single"/>
        </w:rPr>
        <w:t xml:space="preserve">                      （</w:t>
      </w:r>
      <w:r>
        <w:rPr>
          <w:rFonts w:hint="eastAsia" w:hAnsi="宋体"/>
          <w:szCs w:val="21"/>
          <w:u w:val="single"/>
          <w:lang w:val="zh-CN"/>
        </w:rPr>
        <w:t>项目名称）</w:t>
      </w:r>
      <w:r>
        <w:rPr>
          <w:rFonts w:hint="eastAsia" w:hAnsi="宋体"/>
          <w:szCs w:val="21"/>
        </w:rPr>
        <w:t>(项目编号：         )的招标活动，并声明：</w:t>
      </w:r>
    </w:p>
    <w:p>
      <w:pPr>
        <w:pStyle w:val="26"/>
        <w:spacing w:line="360" w:lineRule="auto"/>
        <w:ind w:firstLine="420" w:firstLineChars="200"/>
        <w:rPr>
          <w:rFonts w:hAnsi="宋体"/>
          <w:szCs w:val="21"/>
        </w:rPr>
      </w:pPr>
      <w:r>
        <w:rPr>
          <w:rFonts w:hint="eastAsia" w:hAnsi="宋体"/>
          <w:szCs w:val="21"/>
        </w:rPr>
        <w:t>本公司具备《中华人民共和国招标投标法》第二十二条资格条件，已清楚招标文件所有要求及有关规定；并承诺参加本次招标活动中，如有违法、违规、弄虚作假行为，所造成的损失、不良后果及法律责任，一律由本公司承担。</w:t>
      </w:r>
    </w:p>
    <w:p>
      <w:pPr>
        <w:snapToGrid w:val="0"/>
        <w:spacing w:line="360" w:lineRule="auto"/>
        <w:rPr>
          <w:rFonts w:hAnsi="宋体"/>
          <w:sz w:val="21"/>
          <w:szCs w:val="21"/>
        </w:rPr>
      </w:pPr>
    </w:p>
    <w:p>
      <w:pPr>
        <w:snapToGrid w:val="0"/>
        <w:spacing w:line="360" w:lineRule="auto"/>
        <w:ind w:firstLine="420" w:firstLineChars="200"/>
        <w:rPr>
          <w:rFonts w:hAnsi="宋体"/>
          <w:kern w:val="2"/>
          <w:sz w:val="21"/>
          <w:szCs w:val="21"/>
        </w:rPr>
      </w:pPr>
      <w:r>
        <w:rPr>
          <w:rFonts w:hint="eastAsia" w:hAnsi="宋体"/>
          <w:kern w:val="2"/>
          <w:sz w:val="21"/>
          <w:szCs w:val="21"/>
        </w:rPr>
        <w:t>特此声明！</w:t>
      </w:r>
    </w:p>
    <w:p>
      <w:pPr>
        <w:snapToGrid w:val="0"/>
        <w:spacing w:line="360" w:lineRule="auto"/>
        <w:rPr>
          <w:rFonts w:hAnsi="宋体"/>
          <w:sz w:val="21"/>
          <w:szCs w:val="21"/>
        </w:rPr>
      </w:pPr>
    </w:p>
    <w:p>
      <w:pPr>
        <w:pStyle w:val="26"/>
        <w:spacing w:line="360" w:lineRule="auto"/>
        <w:rPr>
          <w:rFonts w:hAnsi="宋体"/>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bookmarkStart w:id="39" w:name="_Toc10548701"/>
    </w:p>
    <w:p>
      <w:pPr>
        <w:pStyle w:val="4"/>
        <w:pageBreakBefore/>
        <w:numPr>
          <w:ilvl w:val="1"/>
          <w:numId w:val="22"/>
        </w:numPr>
        <w:spacing w:line="360" w:lineRule="auto"/>
        <w:ind w:left="0" w:firstLine="0"/>
        <w:jc w:val="center"/>
        <w:rPr>
          <w:b/>
        </w:rPr>
      </w:pPr>
      <w:bookmarkStart w:id="40" w:name="_Toc2317"/>
      <w:bookmarkStart w:id="41" w:name="_Toc26133"/>
      <w:bookmarkStart w:id="42" w:name="_Toc29768"/>
      <w:r>
        <w:rPr>
          <w:rFonts w:hint="eastAsia"/>
          <w:b/>
        </w:rPr>
        <w:t>在经营活动中没有重大违法记录的声明书</w:t>
      </w:r>
      <w:bookmarkEnd w:id="40"/>
      <w:bookmarkEnd w:id="41"/>
      <w:bookmarkEnd w:id="42"/>
    </w:p>
    <w:p/>
    <w:p>
      <w:pPr>
        <w:pStyle w:val="26"/>
        <w:spacing w:line="360" w:lineRule="auto"/>
        <w:rPr>
          <w:rFonts w:hAnsi="宋体"/>
          <w:b/>
        </w:rPr>
      </w:pPr>
      <w:r>
        <w:rPr>
          <w:rFonts w:hint="eastAsia" w:hAnsi="宋体"/>
          <w:b/>
        </w:rPr>
        <w:t xml:space="preserve">致：广东泰通伟业工程咨询有限公司 </w:t>
      </w:r>
    </w:p>
    <w:p>
      <w:pPr>
        <w:pStyle w:val="26"/>
        <w:spacing w:line="360" w:lineRule="auto"/>
        <w:rPr>
          <w:rFonts w:hAnsi="宋体"/>
        </w:rPr>
      </w:pPr>
    </w:p>
    <w:p>
      <w:pPr>
        <w:pStyle w:val="26"/>
        <w:spacing w:line="360" w:lineRule="auto"/>
        <w:ind w:firstLine="420" w:firstLineChars="200"/>
        <w:rPr>
          <w:rFonts w:hAnsi="宋体"/>
          <w:szCs w:val="21"/>
        </w:rPr>
      </w:pPr>
      <w:r>
        <w:rPr>
          <w:rFonts w:hint="eastAsia" w:hAnsi="宋体"/>
          <w:szCs w:val="21"/>
        </w:rPr>
        <w:t>本公司参加</w:t>
      </w:r>
      <w:r>
        <w:rPr>
          <w:rFonts w:hint="eastAsia" w:hAnsi="宋体"/>
          <w:szCs w:val="21"/>
          <w:u w:val="single"/>
        </w:rPr>
        <w:t xml:space="preserve">                      （</w:t>
      </w:r>
      <w:r>
        <w:rPr>
          <w:rFonts w:hint="eastAsia" w:hAnsi="宋体"/>
          <w:szCs w:val="21"/>
          <w:u w:val="single"/>
          <w:lang w:val="zh-CN"/>
        </w:rPr>
        <w:t>项目名称）</w:t>
      </w:r>
      <w:r>
        <w:rPr>
          <w:rFonts w:hint="eastAsia" w:hAnsi="宋体"/>
          <w:szCs w:val="21"/>
        </w:rPr>
        <w:t>(项目编号：      )的招标活动，并声明：</w:t>
      </w:r>
    </w:p>
    <w:p>
      <w:pPr>
        <w:pStyle w:val="26"/>
        <w:spacing w:line="360" w:lineRule="auto"/>
        <w:ind w:firstLine="420" w:firstLineChars="200"/>
        <w:rPr>
          <w:rFonts w:hAnsi="宋体"/>
          <w:szCs w:val="21"/>
        </w:rPr>
      </w:pPr>
      <w:r>
        <w:rPr>
          <w:rFonts w:hint="eastAsia" w:hAnsi="宋体"/>
          <w:szCs w:val="21"/>
        </w:rPr>
        <w:t>本公司参加本招标项目招标前3年内在经营活动中没有因违法经营受到刑事处罚或者责令停产停业、吊销许可证或者执照、较大数额罚款等行政处罚。</w:t>
      </w:r>
    </w:p>
    <w:p>
      <w:pPr>
        <w:snapToGrid w:val="0"/>
        <w:spacing w:line="360" w:lineRule="auto"/>
        <w:rPr>
          <w:rFonts w:hAnsi="宋体"/>
          <w:sz w:val="21"/>
          <w:szCs w:val="21"/>
        </w:rPr>
      </w:pPr>
    </w:p>
    <w:p>
      <w:pPr>
        <w:snapToGrid w:val="0"/>
        <w:spacing w:line="360" w:lineRule="auto"/>
        <w:ind w:firstLine="420" w:firstLineChars="200"/>
        <w:rPr>
          <w:rFonts w:hAnsi="宋体"/>
          <w:kern w:val="2"/>
          <w:sz w:val="21"/>
          <w:szCs w:val="21"/>
        </w:rPr>
      </w:pPr>
      <w:r>
        <w:rPr>
          <w:rFonts w:hint="eastAsia" w:hAnsi="宋体"/>
          <w:kern w:val="2"/>
          <w:sz w:val="21"/>
          <w:szCs w:val="21"/>
        </w:rPr>
        <w:t>特此声明！</w:t>
      </w:r>
    </w:p>
    <w:p>
      <w:pPr>
        <w:snapToGrid w:val="0"/>
        <w:spacing w:line="360" w:lineRule="auto"/>
        <w:rPr>
          <w:rFonts w:hAnsi="宋体"/>
          <w:sz w:val="21"/>
          <w:szCs w:val="21"/>
        </w:rPr>
      </w:pPr>
    </w:p>
    <w:p>
      <w:pPr>
        <w:pStyle w:val="26"/>
        <w:spacing w:line="360" w:lineRule="auto"/>
        <w:rPr>
          <w:rFonts w:hAnsi="宋体"/>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p>
    <w:p/>
    <w:p>
      <w:pPr>
        <w:pStyle w:val="4"/>
        <w:pageBreakBefore/>
        <w:numPr>
          <w:ilvl w:val="1"/>
          <w:numId w:val="22"/>
        </w:numPr>
        <w:spacing w:line="360" w:lineRule="auto"/>
        <w:ind w:left="0" w:firstLine="0"/>
        <w:jc w:val="center"/>
        <w:rPr>
          <w:b/>
        </w:rPr>
      </w:pPr>
      <w:bookmarkStart w:id="43" w:name="_Toc2497"/>
      <w:bookmarkStart w:id="44" w:name="_Toc22620"/>
      <w:bookmarkStart w:id="45" w:name="_Toc19931"/>
      <w:r>
        <w:rPr>
          <w:rFonts w:hint="eastAsia"/>
          <w:b/>
        </w:rPr>
        <w:t>法定代表人身份证明书</w:t>
      </w:r>
      <w:bookmarkEnd w:id="43"/>
      <w:bookmarkEnd w:id="44"/>
      <w:bookmarkEnd w:id="45"/>
    </w:p>
    <w:p>
      <w:pPr>
        <w:spacing w:line="360" w:lineRule="auto"/>
        <w:rPr>
          <w:rFonts w:hAnsi="宋体"/>
          <w:b/>
          <w:sz w:val="21"/>
          <w:szCs w:val="21"/>
        </w:rPr>
      </w:pPr>
    </w:p>
    <w:p>
      <w:pPr>
        <w:spacing w:line="360" w:lineRule="auto"/>
        <w:rPr>
          <w:rFonts w:hAnsi="宋体"/>
          <w:b/>
          <w:sz w:val="21"/>
          <w:szCs w:val="21"/>
        </w:rPr>
      </w:pPr>
      <w:r>
        <w:rPr>
          <w:rFonts w:hint="eastAsia" w:hAnsi="宋体"/>
          <w:b/>
          <w:sz w:val="21"/>
          <w:szCs w:val="21"/>
        </w:rPr>
        <w:t>致：广东泰通伟业工程咨询有限公司</w:t>
      </w:r>
    </w:p>
    <w:p>
      <w:pPr>
        <w:spacing w:line="360" w:lineRule="auto"/>
        <w:rPr>
          <w:rFonts w:hAnsi="宋体"/>
          <w:sz w:val="21"/>
          <w:szCs w:val="21"/>
        </w:rPr>
      </w:pPr>
    </w:p>
    <w:p>
      <w:pPr>
        <w:pStyle w:val="73"/>
        <w:spacing w:line="360" w:lineRule="auto"/>
        <w:ind w:firstLine="420" w:firstLineChars="200"/>
        <w:rPr>
          <w:rFonts w:ascii="宋体" w:eastAsia="宋体"/>
          <w:kern w:val="0"/>
          <w:sz w:val="21"/>
          <w:szCs w:val="21"/>
        </w:rPr>
      </w:pPr>
      <w:r>
        <w:rPr>
          <w:rFonts w:hint="eastAsia" w:ascii="宋体" w:eastAsia="宋体"/>
          <w:kern w:val="0"/>
          <w:sz w:val="21"/>
          <w:szCs w:val="21"/>
        </w:rPr>
        <w:t>本证明书声明：</w:t>
      </w:r>
      <w:r>
        <w:rPr>
          <w:rFonts w:hint="eastAsia" w:ascii="宋体" w:eastAsia="宋体"/>
          <w:sz w:val="21"/>
          <w:szCs w:val="21"/>
        </w:rPr>
        <w:t>注册于</w:t>
      </w:r>
      <w:r>
        <w:rPr>
          <w:rFonts w:hint="eastAsia" w:ascii="宋体" w:eastAsia="宋体"/>
          <w:sz w:val="21"/>
          <w:szCs w:val="21"/>
          <w:u w:val="single"/>
        </w:rPr>
        <w:t xml:space="preserve">  （国家或地区）  </w:t>
      </w:r>
      <w:r>
        <w:rPr>
          <w:rFonts w:hint="eastAsia" w:ascii="宋体" w:eastAsia="宋体"/>
          <w:sz w:val="21"/>
          <w:szCs w:val="21"/>
        </w:rPr>
        <w:t>的</w:t>
      </w:r>
      <w:r>
        <w:rPr>
          <w:rFonts w:hint="eastAsia" w:ascii="宋体" w:eastAsia="宋体"/>
          <w:sz w:val="21"/>
          <w:szCs w:val="21"/>
          <w:u w:val="single"/>
        </w:rPr>
        <w:t xml:space="preserve">   （报价人名称）  </w:t>
      </w:r>
      <w:r>
        <w:rPr>
          <w:rFonts w:hint="eastAsia" w:ascii="宋体" w:eastAsia="宋体"/>
          <w:sz w:val="21"/>
          <w:szCs w:val="21"/>
        </w:rPr>
        <w:t xml:space="preserve">的在下面签字的 </w:t>
      </w:r>
      <w:r>
        <w:rPr>
          <w:rFonts w:hint="eastAsia" w:ascii="宋体" w:eastAsia="宋体"/>
          <w:sz w:val="21"/>
          <w:szCs w:val="21"/>
          <w:u w:val="single"/>
        </w:rPr>
        <w:t xml:space="preserve">   （法定代表人姓名、职务）  </w:t>
      </w:r>
      <w:r>
        <w:rPr>
          <w:rFonts w:hint="eastAsia" w:ascii="宋体" w:eastAsia="宋体"/>
          <w:kern w:val="0"/>
          <w:sz w:val="21"/>
          <w:szCs w:val="21"/>
        </w:rPr>
        <w:t>为本公司的合法代表人。</w:t>
      </w:r>
    </w:p>
    <w:p>
      <w:pPr>
        <w:spacing w:line="360" w:lineRule="auto"/>
        <w:ind w:firstLine="420" w:firstLineChars="200"/>
        <w:rPr>
          <w:rFonts w:hAnsi="宋体"/>
          <w:sz w:val="21"/>
          <w:szCs w:val="21"/>
        </w:rPr>
      </w:pPr>
    </w:p>
    <w:p>
      <w:pPr>
        <w:spacing w:line="360" w:lineRule="auto"/>
        <w:ind w:firstLine="420" w:firstLineChars="200"/>
        <w:rPr>
          <w:rFonts w:hAnsi="宋体"/>
          <w:sz w:val="21"/>
          <w:szCs w:val="21"/>
        </w:rPr>
      </w:pPr>
      <w:r>
        <w:rPr>
          <w:rFonts w:hint="eastAsia" w:hAnsi="宋体"/>
          <w:sz w:val="21"/>
          <w:szCs w:val="21"/>
        </w:rPr>
        <w:t>特此证明。</w:t>
      </w:r>
    </w:p>
    <w:p>
      <w:pPr>
        <w:spacing w:line="360" w:lineRule="auto"/>
        <w:ind w:right="420"/>
        <w:jc w:val="both"/>
        <w:rPr>
          <w:rFonts w:hAnsi="宋体"/>
          <w:sz w:val="21"/>
          <w:szCs w:val="21"/>
        </w:rPr>
      </w:pPr>
    </w:p>
    <w:p>
      <w:pPr>
        <w:spacing w:line="360" w:lineRule="auto"/>
        <w:ind w:right="420"/>
        <w:jc w:val="both"/>
        <w:rPr>
          <w:rFonts w:hAnsi="宋体"/>
          <w:sz w:val="21"/>
          <w:szCs w:val="21"/>
        </w:rPr>
      </w:pPr>
    </w:p>
    <w:p>
      <w:pPr>
        <w:spacing w:line="360" w:lineRule="auto"/>
        <w:ind w:right="420"/>
        <w:jc w:val="both"/>
        <w:rPr>
          <w:rFonts w:hAnsi="宋体"/>
          <w:sz w:val="21"/>
          <w:szCs w:val="21"/>
        </w:rPr>
      </w:pPr>
      <w:r>
        <w:rPr>
          <w:rFonts w:hint="eastAsia" w:hAnsi="宋体"/>
          <w:sz w:val="21"/>
          <w:szCs w:val="21"/>
        </w:rPr>
        <w:t>报价人名称（加盖公章）：</w:t>
      </w:r>
    </w:p>
    <w:p>
      <w:pPr>
        <w:spacing w:line="360" w:lineRule="auto"/>
        <w:ind w:right="420" w:rightChars="175"/>
        <w:jc w:val="both"/>
        <w:rPr>
          <w:rFonts w:hAnsi="宋体"/>
          <w:sz w:val="21"/>
          <w:szCs w:val="21"/>
        </w:rPr>
      </w:pPr>
      <w:r>
        <w:rPr>
          <w:rFonts w:hint="eastAsia" w:hAnsi="宋体"/>
          <w:sz w:val="21"/>
          <w:szCs w:val="21"/>
        </w:rPr>
        <w:t>法定代表人（签名或盖私章）：</w:t>
      </w:r>
    </w:p>
    <w:p>
      <w:pPr>
        <w:spacing w:line="360" w:lineRule="auto"/>
        <w:ind w:right="420" w:rightChars="175"/>
        <w:jc w:val="both"/>
        <w:rPr>
          <w:rFonts w:hAnsi="宋体"/>
          <w:sz w:val="21"/>
          <w:szCs w:val="21"/>
        </w:rPr>
      </w:pPr>
      <w:r>
        <w:rPr>
          <w:rFonts w:hint="eastAsia" w:hAnsi="宋体"/>
          <w:sz w:val="21"/>
          <w:szCs w:val="21"/>
        </w:rPr>
        <w:t>日期：</w:t>
      </w:r>
    </w:p>
    <w:p>
      <w:pPr>
        <w:spacing w:line="360" w:lineRule="auto"/>
        <w:rPr>
          <w:rFonts w:hAnsi="宋体"/>
          <w:sz w:val="21"/>
          <w:szCs w:val="21"/>
        </w:rPr>
      </w:pPr>
    </w:p>
    <w:p>
      <w:pPr>
        <w:spacing w:line="360" w:lineRule="auto"/>
        <w:rPr>
          <w:rFonts w:hAnsi="宋体"/>
          <w:b/>
          <w:sz w:val="21"/>
          <w:szCs w:val="21"/>
        </w:rPr>
      </w:pPr>
      <w:r>
        <w:rPr>
          <w:rFonts w:hint="eastAsia" w:hAnsi="宋体"/>
          <w:sz w:val="21"/>
          <w:szCs w:val="21"/>
        </w:rPr>
        <w:t xml:space="preserve"> </w:t>
      </w:r>
      <w:r>
        <w:rPr>
          <w:rFonts w:hint="eastAsia" w:hAnsi="宋体"/>
          <w:b/>
          <w:sz w:val="21"/>
          <w:szCs w:val="21"/>
        </w:rPr>
        <w:t xml:space="preserve"> (为避免废标，请报价人务必提供下列附件)</w:t>
      </w: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r>
        <w:rPr>
          <w:rFonts w:hAnsi="宋体"/>
          <w:b/>
          <w:sz w:val="21"/>
          <w:szCs w:val="21"/>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3004820" cy="1584325"/>
                <wp:effectExtent l="0" t="0" r="0" b="0"/>
                <wp:wrapNone/>
                <wp:docPr id="1" name="自选图形 2"/>
                <wp:cNvGraphicFramePr/>
                <a:graphic xmlns:a="http://schemas.openxmlformats.org/drawingml/2006/main">
                  <a:graphicData uri="http://schemas.microsoft.com/office/word/2010/wordprocessingShape">
                    <wps:wsp>
                      <wps:cNvSpPr/>
                      <wps:spPr>
                        <a:xfrm>
                          <a:off x="0" y="0"/>
                          <a:ext cx="300482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pPr>
                            <w:r>
                              <w:rPr>
                                <w:rFonts w:hint="eastAsia" w:hAnsi="宋体"/>
                              </w:rPr>
                              <w:t>法定代表人身份证（正反面）复印件</w:t>
                            </w:r>
                          </w:p>
                        </w:txbxContent>
                      </wps:txbx>
                      <wps:bodyPr upright="1"/>
                    </wps:wsp>
                  </a:graphicData>
                </a:graphic>
              </wp:anchor>
            </w:drawing>
          </mc:Choice>
          <mc:Fallback>
            <w:pict>
              <v:shape id="自选图形 2" o:spid="_x0000_s1026" o:spt="176" type="#_x0000_t176" style="position:absolute;left:0pt;margin-left:127.5pt;margin-top:1.6pt;height:124.75pt;width:236.6pt;z-index:251659264;mso-width-relative:page;mso-height-relative:page;" fillcolor="#FFFFFF" filled="t" stroked="t" coordsize="21600,21600" o:gfxdata="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fCSuNcAAAAJAQAA&#10;DwAAAAAAAAABACAAAAAiAAAAZHJzL2Rvd25yZXYueG1sUEsBAhQAFAAAAAgAh07iQL2iAf0aAgAA&#10;RQQAAA4AAAAAAAAAAQAgAAAAJgEAAGRycy9lMm9Eb2MueG1sUEsFBgAAAAAGAAYAWQEAALIFAAAA&#10;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pPr>
                      <w:r>
                        <w:rPr>
                          <w:rFonts w:hint="eastAsia" w:hAnsi="宋体"/>
                        </w:rPr>
                        <w:t>法定代表人身份证（正反面）复印件</w:t>
                      </w:r>
                    </w:p>
                  </w:txbxContent>
                </v:textbox>
              </v:shape>
            </w:pict>
          </mc:Fallback>
        </mc:AlternateContent>
      </w:r>
    </w:p>
    <w:p>
      <w:pPr>
        <w:spacing w:line="360" w:lineRule="auto"/>
        <w:rPr>
          <w:rFonts w:hAnsi="宋体"/>
          <w:b/>
          <w:sz w:val="21"/>
          <w:szCs w:val="21"/>
        </w:rPr>
      </w:pPr>
    </w:p>
    <w:p>
      <w:pPr>
        <w:spacing w:line="360" w:lineRule="auto"/>
        <w:rPr>
          <w:rFonts w:hAnsi="宋体"/>
          <w:b/>
          <w:sz w:val="21"/>
          <w:szCs w:val="21"/>
        </w:rPr>
      </w:pPr>
    </w:p>
    <w:p>
      <w:pPr>
        <w:spacing w:line="360" w:lineRule="auto"/>
        <w:rPr>
          <w:rFonts w:hAnsi="宋体"/>
          <w:b/>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 w:val="21"/>
          <w:szCs w:val="21"/>
        </w:rPr>
      </w:pPr>
    </w:p>
    <w:bookmarkEnd w:id="39"/>
    <w:p>
      <w:pPr>
        <w:spacing w:line="360" w:lineRule="auto"/>
        <w:jc w:val="center"/>
        <w:rPr>
          <w:rFonts w:hAnsi="宋体"/>
          <w:b/>
          <w:sz w:val="28"/>
          <w:szCs w:val="28"/>
        </w:rPr>
      </w:pPr>
    </w:p>
    <w:p>
      <w:pPr>
        <w:pStyle w:val="4"/>
        <w:pageBreakBefore/>
        <w:numPr>
          <w:ilvl w:val="1"/>
          <w:numId w:val="22"/>
        </w:numPr>
        <w:spacing w:line="360" w:lineRule="auto"/>
        <w:ind w:left="0" w:firstLine="0"/>
        <w:jc w:val="center"/>
        <w:rPr>
          <w:b/>
        </w:rPr>
      </w:pPr>
      <w:bookmarkStart w:id="46" w:name="_Toc20592"/>
      <w:bookmarkStart w:id="47" w:name="_Toc6410"/>
      <w:bookmarkStart w:id="48" w:name="_Toc25256"/>
      <w:r>
        <w:rPr>
          <w:rFonts w:hint="eastAsia"/>
          <w:b/>
        </w:rPr>
        <w:t>法定代表人授权委托书</w:t>
      </w:r>
      <w:bookmarkEnd w:id="46"/>
      <w:bookmarkEnd w:id="47"/>
      <w:bookmarkEnd w:id="48"/>
    </w:p>
    <w:p>
      <w:pPr>
        <w:spacing w:line="360" w:lineRule="auto"/>
        <w:rPr>
          <w:rFonts w:hAnsi="宋体"/>
          <w:sz w:val="21"/>
          <w:szCs w:val="21"/>
        </w:rPr>
      </w:pPr>
    </w:p>
    <w:p>
      <w:pPr>
        <w:spacing w:line="360" w:lineRule="auto"/>
        <w:rPr>
          <w:rFonts w:hAnsi="宋体"/>
          <w:b/>
          <w:sz w:val="21"/>
          <w:szCs w:val="21"/>
        </w:rPr>
      </w:pPr>
      <w:r>
        <w:rPr>
          <w:rFonts w:hint="eastAsia" w:hAnsi="宋体"/>
          <w:b/>
          <w:sz w:val="21"/>
          <w:szCs w:val="21"/>
        </w:rPr>
        <w:t>致：广东泰通伟业工程咨询有限公司</w:t>
      </w:r>
    </w:p>
    <w:p>
      <w:pPr>
        <w:spacing w:line="360" w:lineRule="auto"/>
        <w:rPr>
          <w:rFonts w:hAnsi="宋体"/>
          <w:b/>
          <w:sz w:val="21"/>
          <w:szCs w:val="21"/>
        </w:rPr>
      </w:pPr>
    </w:p>
    <w:p>
      <w:pPr>
        <w:pStyle w:val="26"/>
        <w:spacing w:line="360" w:lineRule="auto"/>
        <w:ind w:firstLine="420"/>
        <w:rPr>
          <w:rFonts w:hAnsi="宋体"/>
          <w:szCs w:val="21"/>
        </w:rPr>
      </w:pPr>
      <w:r>
        <w:rPr>
          <w:rFonts w:hint="eastAsia" w:hAnsi="宋体"/>
          <w:szCs w:val="21"/>
        </w:rPr>
        <w:t>本授权书声明：注册于</w:t>
      </w:r>
      <w:r>
        <w:rPr>
          <w:rFonts w:hint="eastAsia" w:hAnsi="宋体"/>
          <w:szCs w:val="21"/>
          <w:u w:val="single"/>
        </w:rPr>
        <w:t xml:space="preserve">  （国家或地区）  </w:t>
      </w:r>
      <w:r>
        <w:rPr>
          <w:rFonts w:hint="eastAsia" w:hAnsi="宋体"/>
          <w:szCs w:val="21"/>
        </w:rPr>
        <w:t>的</w:t>
      </w:r>
      <w:r>
        <w:rPr>
          <w:rFonts w:hint="eastAsia" w:hAnsi="宋体"/>
          <w:szCs w:val="21"/>
          <w:u w:val="single"/>
        </w:rPr>
        <w:t xml:space="preserve">   （报价人名称）  </w:t>
      </w:r>
      <w:r>
        <w:rPr>
          <w:rFonts w:hint="eastAsia" w:hAnsi="宋体"/>
          <w:szCs w:val="21"/>
        </w:rPr>
        <w:t xml:space="preserve">的在下面签字的 </w:t>
      </w:r>
      <w:r>
        <w:rPr>
          <w:rFonts w:hint="eastAsia" w:hAnsi="宋体"/>
          <w:szCs w:val="21"/>
          <w:u w:val="single"/>
        </w:rPr>
        <w:t xml:space="preserve">   （法定代表人姓名、职务）  </w:t>
      </w:r>
      <w:r>
        <w:rPr>
          <w:rFonts w:hint="eastAsia" w:hAnsi="宋体"/>
          <w:szCs w:val="21"/>
        </w:rPr>
        <w:t>代表本公司授权在下面签名的</w:t>
      </w:r>
      <w:r>
        <w:rPr>
          <w:rFonts w:hint="eastAsia" w:hAnsi="宋体"/>
          <w:szCs w:val="21"/>
          <w:u w:val="single"/>
        </w:rPr>
        <w:t xml:space="preserve">   （被授权人的姓名、职务）  </w:t>
      </w:r>
      <w:r>
        <w:rPr>
          <w:rFonts w:hint="eastAsia" w:hAnsi="宋体"/>
          <w:szCs w:val="21"/>
        </w:rPr>
        <w:t>为本公司的合法代表人，就贵中心所代理的</w:t>
      </w:r>
      <w:r>
        <w:rPr>
          <w:rFonts w:hint="eastAsia" w:hAnsi="宋体"/>
          <w:szCs w:val="21"/>
          <w:u w:val="single"/>
        </w:rPr>
        <w:t xml:space="preserve">                      （</w:t>
      </w:r>
      <w:r>
        <w:rPr>
          <w:rFonts w:hint="eastAsia" w:hAnsi="宋体"/>
          <w:szCs w:val="21"/>
          <w:u w:val="single"/>
          <w:lang w:val="zh-CN"/>
        </w:rPr>
        <w:t>项目名称）</w:t>
      </w:r>
      <w:r>
        <w:rPr>
          <w:rFonts w:hint="eastAsia" w:hAnsi="宋体"/>
          <w:szCs w:val="32"/>
        </w:rPr>
        <w:t>(</w:t>
      </w:r>
      <w:r>
        <w:rPr>
          <w:rFonts w:hint="eastAsia" w:hAnsi="宋体"/>
          <w:szCs w:val="21"/>
          <w:lang w:val="zh-CN"/>
        </w:rPr>
        <w:t>项目编号：</w:t>
      </w:r>
      <w:r>
        <w:rPr>
          <w:rFonts w:hint="eastAsia" w:hAnsi="宋体"/>
          <w:szCs w:val="21"/>
        </w:rPr>
        <w:t xml:space="preserve">   </w:t>
      </w:r>
      <w:r>
        <w:rPr>
          <w:rFonts w:hint="eastAsia" w:hAnsi="宋体"/>
          <w:szCs w:val="21"/>
          <w:lang w:val="zh-CN"/>
        </w:rPr>
        <w:t>)</w:t>
      </w:r>
      <w:r>
        <w:rPr>
          <w:rFonts w:hint="eastAsia" w:hAnsi="宋体"/>
          <w:szCs w:val="21"/>
        </w:rPr>
        <w:t>的投标和合同执行，以我方的名义处理一切与之有关的事宜。</w:t>
      </w:r>
    </w:p>
    <w:p>
      <w:pPr>
        <w:spacing w:line="360" w:lineRule="auto"/>
        <w:ind w:firstLine="420" w:firstLineChars="200"/>
        <w:rPr>
          <w:rFonts w:hAnsi="宋体"/>
          <w:sz w:val="21"/>
          <w:szCs w:val="21"/>
        </w:rPr>
      </w:pPr>
      <w:r>
        <w:rPr>
          <w:rFonts w:hint="eastAsia" w:hAnsi="宋体"/>
          <w:sz w:val="21"/>
          <w:szCs w:val="21"/>
        </w:rPr>
        <w:t>本授权书于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日生效，特此声明。</w:t>
      </w:r>
    </w:p>
    <w:p>
      <w:pPr>
        <w:spacing w:line="360" w:lineRule="auto"/>
        <w:rPr>
          <w:rFonts w:hAnsi="宋体"/>
          <w:sz w:val="21"/>
          <w:szCs w:val="21"/>
        </w:rPr>
      </w:pPr>
    </w:p>
    <w:p>
      <w:pPr>
        <w:spacing w:line="360" w:lineRule="auto"/>
        <w:jc w:val="both"/>
        <w:rPr>
          <w:rFonts w:hAnsi="宋体"/>
          <w:sz w:val="21"/>
          <w:szCs w:val="21"/>
        </w:rPr>
      </w:pPr>
    </w:p>
    <w:p>
      <w:pPr>
        <w:spacing w:line="360" w:lineRule="auto"/>
        <w:jc w:val="both"/>
        <w:rPr>
          <w:rFonts w:hAnsi="宋体"/>
          <w:sz w:val="21"/>
          <w:szCs w:val="21"/>
        </w:rPr>
      </w:pPr>
      <w:r>
        <w:rPr>
          <w:rFonts w:hint="eastAsia" w:hAnsi="宋体"/>
          <w:sz w:val="21"/>
          <w:szCs w:val="21"/>
        </w:rPr>
        <w:t xml:space="preserve">报价人名称（加盖公章）： </w:t>
      </w:r>
    </w:p>
    <w:p>
      <w:pPr>
        <w:spacing w:line="360" w:lineRule="auto"/>
        <w:jc w:val="both"/>
        <w:rPr>
          <w:rFonts w:hAnsi="宋体"/>
          <w:sz w:val="21"/>
          <w:szCs w:val="21"/>
        </w:rPr>
      </w:pPr>
      <w:r>
        <w:rPr>
          <w:rFonts w:hint="eastAsia" w:hAnsi="宋体"/>
          <w:sz w:val="21"/>
          <w:szCs w:val="21"/>
        </w:rPr>
        <w:t>法定代表人</w:t>
      </w:r>
      <w:r>
        <w:rPr>
          <w:rFonts w:hint="eastAsia"/>
          <w:sz w:val="21"/>
          <w:szCs w:val="21"/>
        </w:rPr>
        <w:t>（签名或盖私章）</w:t>
      </w:r>
      <w:r>
        <w:rPr>
          <w:rFonts w:hint="eastAsia" w:hAnsi="宋体"/>
          <w:sz w:val="21"/>
          <w:szCs w:val="21"/>
        </w:rPr>
        <w:t xml:space="preserve">： </w:t>
      </w:r>
    </w:p>
    <w:p>
      <w:pPr>
        <w:spacing w:line="360" w:lineRule="auto"/>
        <w:jc w:val="both"/>
        <w:rPr>
          <w:rFonts w:hAnsi="宋体"/>
          <w:sz w:val="21"/>
          <w:szCs w:val="21"/>
        </w:rPr>
      </w:pPr>
      <w:r>
        <w:rPr>
          <w:rFonts w:hint="eastAsia" w:hAnsi="宋体"/>
          <w:sz w:val="21"/>
          <w:szCs w:val="21"/>
        </w:rPr>
        <w:t>被授权人</w:t>
      </w:r>
      <w:r>
        <w:rPr>
          <w:rFonts w:hint="eastAsia"/>
          <w:sz w:val="21"/>
          <w:szCs w:val="21"/>
        </w:rPr>
        <w:t>（签名）</w:t>
      </w:r>
      <w:r>
        <w:rPr>
          <w:rFonts w:hint="eastAsia" w:hAnsi="宋体"/>
          <w:sz w:val="21"/>
          <w:szCs w:val="21"/>
        </w:rPr>
        <w:t xml:space="preserve">： </w:t>
      </w:r>
    </w:p>
    <w:p>
      <w:pPr>
        <w:spacing w:line="360" w:lineRule="auto"/>
        <w:jc w:val="both"/>
        <w:rPr>
          <w:rFonts w:hAnsi="宋体"/>
          <w:sz w:val="21"/>
          <w:szCs w:val="21"/>
        </w:rPr>
      </w:pPr>
      <w:r>
        <w:rPr>
          <w:rFonts w:hint="eastAsia" w:hAnsi="宋体"/>
          <w:sz w:val="21"/>
          <w:szCs w:val="21"/>
        </w:rPr>
        <w:t>日期：</w:t>
      </w:r>
    </w:p>
    <w:p>
      <w:pPr>
        <w:spacing w:line="360" w:lineRule="auto"/>
        <w:ind w:firstLine="420"/>
        <w:rPr>
          <w:rFonts w:hAnsi="宋体"/>
          <w:sz w:val="21"/>
          <w:szCs w:val="21"/>
          <w:u w:val="single"/>
        </w:rPr>
      </w:pPr>
    </w:p>
    <w:p>
      <w:pPr>
        <w:spacing w:line="360" w:lineRule="auto"/>
        <w:ind w:firstLine="420"/>
        <w:rPr>
          <w:rFonts w:hAnsi="宋体"/>
          <w:sz w:val="21"/>
          <w:szCs w:val="21"/>
          <w:u w:val="single"/>
        </w:rPr>
      </w:pPr>
      <w:r>
        <w:rPr>
          <w:rFonts w:hint="eastAsia" w:hAnsi="宋体"/>
          <w:sz w:val="21"/>
          <w:szCs w:val="21"/>
        </w:rPr>
        <w:t xml:space="preserve"> </w:t>
      </w:r>
      <w:r>
        <w:rPr>
          <w:rFonts w:hint="eastAsia" w:hAnsi="宋体"/>
          <w:b/>
          <w:sz w:val="21"/>
          <w:szCs w:val="21"/>
        </w:rPr>
        <w:t xml:space="preserve"> (为避免废标，请报价人务必提供下列附件)</w:t>
      </w: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r>
        <w:rPr>
          <w:rFonts w:hAnsi="宋体"/>
          <w:sz w:val="21"/>
          <w:szCs w:val="21"/>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2656840" cy="1584325"/>
                <wp:effectExtent l="0" t="0" r="0" b="0"/>
                <wp:wrapNone/>
                <wp:docPr id="2" name="自选图形 3"/>
                <wp:cNvGraphicFramePr/>
                <a:graphic xmlns:a="http://schemas.openxmlformats.org/drawingml/2006/main">
                  <a:graphicData uri="http://schemas.microsoft.com/office/word/2010/wordprocessingShape">
                    <wps:wsp>
                      <wps:cNvSpPr/>
                      <wps:spPr>
                        <a:xfrm>
                          <a:off x="0" y="0"/>
                          <a:ext cx="265684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被授权人身份证（正反面）复印件</w:t>
                            </w:r>
                          </w:p>
                        </w:txbxContent>
                      </wps:txbx>
                      <wps:bodyPr upright="1"/>
                    </wps:wsp>
                  </a:graphicData>
                </a:graphic>
              </wp:anchor>
            </w:drawing>
          </mc:Choice>
          <mc:Fallback>
            <w:pict>
              <v:shape id="自选图形 3" o:spid="_x0000_s1026" o:spt="176" type="#_x0000_t176" style="position:absolute;left:0pt;margin-left:115.5pt;margin-top:2.6pt;height:124.75pt;width:209.2pt;z-index:251660288;mso-width-relative:page;mso-height-relative:page;" fillcolor="#FFFFFF" filled="t" stroked="t" coordsize="21600,21600" o:gfxdata="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17HB+2AAAAAkB&#10;AAAPAAAAAAAAAAEAIAAAACIAAABkcnMvZG93bnJldi54bWxQSwECFAAUAAAACACHTuJAtYwMaRsC&#10;AABFBAAADgAAAAAAAAABACAAAAAnAQAAZHJzL2Uyb0RvYy54bWxQSwUGAAAAAAYABgBZAQAAtAUA&#10;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被授权人身份证（正反面）复印件</w:t>
                      </w:r>
                    </w:p>
                  </w:txbxContent>
                </v:textbox>
              </v:shape>
            </w:pict>
          </mc:Fallback>
        </mc:AlternateContent>
      </w: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ind w:firstLine="420"/>
        <w:rPr>
          <w:rFonts w:hAnsi="宋体"/>
          <w:sz w:val="21"/>
          <w:szCs w:val="21"/>
          <w:u w:val="single"/>
        </w:rPr>
      </w:pPr>
    </w:p>
    <w:p>
      <w:pPr>
        <w:spacing w:line="360" w:lineRule="auto"/>
        <w:rPr>
          <w:rFonts w:hAnsi="宋体"/>
          <w:szCs w:val="21"/>
          <w:u w:val="single"/>
        </w:rPr>
      </w:pPr>
    </w:p>
    <w:p>
      <w:pPr>
        <w:spacing w:line="360" w:lineRule="auto"/>
        <w:jc w:val="center"/>
        <w:rPr>
          <w:rFonts w:hAnsi="宋体"/>
          <w:b/>
          <w:sz w:val="28"/>
          <w:szCs w:val="28"/>
        </w:rPr>
      </w:pPr>
      <w:bookmarkStart w:id="49" w:name="_Toc10548704"/>
    </w:p>
    <w:p>
      <w:pPr>
        <w:pStyle w:val="4"/>
        <w:pageBreakBefore/>
        <w:numPr>
          <w:ilvl w:val="1"/>
          <w:numId w:val="22"/>
        </w:numPr>
        <w:spacing w:line="360" w:lineRule="auto"/>
        <w:ind w:left="0" w:firstLine="0"/>
        <w:jc w:val="center"/>
        <w:rPr>
          <w:b/>
        </w:rPr>
      </w:pPr>
      <w:bookmarkStart w:id="50" w:name="_Toc14711"/>
      <w:bookmarkStart w:id="51" w:name="_Toc6425"/>
      <w:bookmarkStart w:id="52" w:name="_Toc26595"/>
      <w:r>
        <w:rPr>
          <w:rFonts w:hint="eastAsia"/>
          <w:b/>
        </w:rPr>
        <w:t>证明报价人的合格性的证明文件</w:t>
      </w:r>
      <w:bookmarkEnd w:id="50"/>
      <w:bookmarkEnd w:id="51"/>
      <w:bookmarkEnd w:id="52"/>
    </w:p>
    <w:p>
      <w:pPr>
        <w:spacing w:line="360" w:lineRule="auto"/>
        <w:ind w:firstLine="420" w:firstLineChars="200"/>
        <w:rPr>
          <w:rFonts w:hAnsi="宋体"/>
          <w:sz w:val="21"/>
          <w:szCs w:val="21"/>
        </w:rPr>
      </w:pPr>
    </w:p>
    <w:p>
      <w:pPr>
        <w:spacing w:line="360" w:lineRule="auto"/>
        <w:ind w:firstLine="420" w:firstLineChars="200"/>
        <w:rPr>
          <w:rFonts w:hAnsi="宋体"/>
          <w:sz w:val="21"/>
          <w:szCs w:val="21"/>
        </w:rPr>
      </w:pPr>
      <w:r>
        <w:rPr>
          <w:rFonts w:hint="eastAsia" w:hAnsi="宋体"/>
          <w:sz w:val="21"/>
          <w:szCs w:val="21"/>
        </w:rPr>
        <w:t>1、营业执照（或事业单位法人证书）</w:t>
      </w:r>
    </w:p>
    <w:p>
      <w:pPr>
        <w:spacing w:line="360" w:lineRule="auto"/>
        <w:ind w:firstLine="420" w:firstLineChars="200"/>
        <w:rPr>
          <w:rFonts w:hAnsi="宋体"/>
          <w:sz w:val="21"/>
          <w:szCs w:val="21"/>
        </w:rPr>
      </w:pPr>
      <w:r>
        <w:rPr>
          <w:rFonts w:hint="eastAsia" w:hAnsi="宋体"/>
          <w:sz w:val="21"/>
          <w:szCs w:val="21"/>
        </w:rPr>
        <w:t>2、组织机构代码证</w:t>
      </w:r>
    </w:p>
    <w:p>
      <w:pPr>
        <w:spacing w:line="360" w:lineRule="auto"/>
        <w:ind w:firstLine="420" w:firstLineChars="200"/>
        <w:rPr>
          <w:rFonts w:hAnsi="宋体"/>
          <w:sz w:val="21"/>
          <w:szCs w:val="21"/>
        </w:rPr>
      </w:pPr>
      <w:r>
        <w:rPr>
          <w:rFonts w:hint="eastAsia" w:hAnsi="宋体"/>
          <w:sz w:val="21"/>
          <w:szCs w:val="21"/>
        </w:rPr>
        <w:t>3、税务登记证（地税、国税）</w:t>
      </w:r>
    </w:p>
    <w:p>
      <w:pPr>
        <w:spacing w:line="360" w:lineRule="auto"/>
        <w:ind w:firstLine="420" w:firstLineChars="200"/>
        <w:rPr>
          <w:rFonts w:hAnsi="宋体"/>
          <w:sz w:val="21"/>
          <w:szCs w:val="21"/>
        </w:rPr>
      </w:pPr>
      <w:r>
        <w:rPr>
          <w:rFonts w:hint="eastAsia" w:hAnsi="宋体"/>
          <w:sz w:val="21"/>
          <w:szCs w:val="21"/>
        </w:rPr>
        <w:t>（如已经办理工商营业执照、组织机构代码证和税务登记证三证合为一证的，则提供《营业执照》复印件）</w:t>
      </w:r>
    </w:p>
    <w:p>
      <w:pPr>
        <w:spacing w:line="360" w:lineRule="auto"/>
        <w:ind w:firstLine="420" w:firstLineChars="200"/>
        <w:rPr>
          <w:rFonts w:hAnsi="宋体"/>
          <w:sz w:val="21"/>
          <w:szCs w:val="21"/>
        </w:rPr>
      </w:pPr>
      <w:r>
        <w:rPr>
          <w:rFonts w:hint="eastAsia" w:hAnsi="宋体"/>
          <w:sz w:val="21"/>
          <w:szCs w:val="21"/>
        </w:rPr>
        <w:t>4、合格报价人要求的资质证书或证明文件</w:t>
      </w:r>
    </w:p>
    <w:p>
      <w:pPr>
        <w:spacing w:line="360" w:lineRule="auto"/>
        <w:rPr>
          <w:rFonts w:hAnsi="宋体"/>
          <w:sz w:val="28"/>
          <w:szCs w:val="28"/>
        </w:rPr>
      </w:pPr>
    </w:p>
    <w:p>
      <w:pPr>
        <w:pStyle w:val="4"/>
        <w:pageBreakBefore/>
        <w:numPr>
          <w:ilvl w:val="1"/>
          <w:numId w:val="22"/>
        </w:numPr>
        <w:spacing w:line="360" w:lineRule="auto"/>
        <w:ind w:left="0" w:firstLine="0"/>
        <w:jc w:val="center"/>
        <w:rPr>
          <w:b/>
        </w:rPr>
      </w:pPr>
      <w:bookmarkStart w:id="53" w:name="_Toc30154"/>
      <w:bookmarkStart w:id="54" w:name="_Toc19808"/>
      <w:bookmarkStart w:id="55" w:name="_Toc19194"/>
      <w:r>
        <w:rPr>
          <w:rFonts w:hint="eastAsia"/>
          <w:b/>
        </w:rPr>
        <w:t>报价人基本情况表</w:t>
      </w:r>
      <w:bookmarkEnd w:id="53"/>
      <w:bookmarkEnd w:id="54"/>
      <w:bookmarkEnd w:id="55"/>
    </w:p>
    <w:p>
      <w:pPr>
        <w:numPr>
          <w:ilvl w:val="0"/>
          <w:numId w:val="23"/>
        </w:numPr>
        <w:tabs>
          <w:tab w:val="left" w:pos="426"/>
          <w:tab w:val="clear" w:pos="720"/>
        </w:tabs>
        <w:autoSpaceDE/>
        <w:autoSpaceDN/>
        <w:adjustRightInd/>
        <w:spacing w:before="120" w:beforeLines="50" w:after="120" w:afterLines="50" w:line="360" w:lineRule="auto"/>
        <w:jc w:val="both"/>
        <w:rPr>
          <w:rFonts w:hAnsi="宋体" w:cs="Arial"/>
          <w:sz w:val="21"/>
          <w:szCs w:val="21"/>
        </w:rPr>
      </w:pPr>
      <w:r>
        <w:rPr>
          <w:rFonts w:hint="eastAsia" w:hAnsi="宋体" w:cs="Arial"/>
          <w:sz w:val="21"/>
          <w:szCs w:val="21"/>
        </w:rPr>
        <w:t>公司基本情况</w:t>
      </w:r>
    </w:p>
    <w:p>
      <w:pPr>
        <w:spacing w:before="120" w:beforeLines="50" w:after="120" w:afterLines="50" w:line="360" w:lineRule="auto"/>
        <w:rPr>
          <w:rFonts w:hAnsi="宋体" w:cs="Arial"/>
          <w:sz w:val="21"/>
          <w:szCs w:val="21"/>
        </w:rPr>
      </w:pPr>
      <w:r>
        <w:rPr>
          <w:rFonts w:hAnsi="宋体" w:cs="Arial"/>
          <w:sz w:val="21"/>
          <w:szCs w:val="21"/>
        </w:rPr>
        <w:t>1</w:t>
      </w:r>
      <w:r>
        <w:rPr>
          <w:rFonts w:hint="eastAsia" w:hAnsi="宋体" w:cs="Arial"/>
          <w:sz w:val="21"/>
          <w:szCs w:val="21"/>
        </w:rPr>
        <w:t>、公司名称：</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电话号码：</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Ansi="宋体" w:cs="Arial"/>
          <w:sz w:val="21"/>
          <w:szCs w:val="21"/>
        </w:rPr>
        <w:t>2</w:t>
      </w:r>
      <w:r>
        <w:rPr>
          <w:rFonts w:hint="eastAsia" w:hAnsi="宋体" w:cs="Arial"/>
          <w:sz w:val="21"/>
          <w:szCs w:val="21"/>
        </w:rPr>
        <w:t>、地</w:t>
      </w:r>
      <w:r>
        <w:rPr>
          <w:rFonts w:hAnsi="宋体" w:cs="Arial"/>
          <w:sz w:val="21"/>
          <w:szCs w:val="21"/>
        </w:rPr>
        <w:t xml:space="preserve">    </w:t>
      </w:r>
      <w:r>
        <w:rPr>
          <w:rFonts w:hint="eastAsia" w:hAnsi="宋体" w:cs="Arial"/>
          <w:sz w:val="21"/>
          <w:szCs w:val="21"/>
        </w:rPr>
        <w:t>址：</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传</w:t>
      </w:r>
      <w:r>
        <w:rPr>
          <w:rFonts w:hAnsi="宋体" w:cs="Arial"/>
          <w:sz w:val="21"/>
          <w:szCs w:val="21"/>
        </w:rPr>
        <w:t xml:space="preserve">    </w:t>
      </w:r>
      <w:r>
        <w:rPr>
          <w:rFonts w:hint="eastAsia" w:hAnsi="宋体" w:cs="Arial"/>
          <w:sz w:val="21"/>
          <w:szCs w:val="21"/>
        </w:rPr>
        <w:t>真：</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u w:val="single"/>
        </w:rPr>
      </w:pPr>
      <w:r>
        <w:rPr>
          <w:rFonts w:hAnsi="宋体" w:cs="Arial"/>
          <w:sz w:val="21"/>
          <w:szCs w:val="21"/>
        </w:rPr>
        <w:t>3</w:t>
      </w:r>
      <w:r>
        <w:rPr>
          <w:rFonts w:hint="eastAsia" w:hAnsi="宋体" w:cs="Arial"/>
          <w:sz w:val="21"/>
          <w:szCs w:val="21"/>
        </w:rPr>
        <w:t>、注册资金：</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r>
        <w:rPr>
          <w:rFonts w:hAnsi="宋体" w:cs="Arial"/>
          <w:sz w:val="21"/>
          <w:szCs w:val="21"/>
        </w:rPr>
        <w:t xml:space="preserve">  </w:t>
      </w:r>
      <w:r>
        <w:rPr>
          <w:rFonts w:hint="eastAsia" w:hAnsi="宋体" w:cs="Arial"/>
          <w:sz w:val="21"/>
          <w:szCs w:val="21"/>
        </w:rPr>
        <w:t xml:space="preserve">   企业类型：</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rPr>
          <w:rFonts w:hAnsi="宋体" w:cs="Arial"/>
          <w:sz w:val="21"/>
          <w:szCs w:val="21"/>
        </w:rPr>
      </w:pPr>
      <w:r>
        <w:rPr>
          <w:rFonts w:hint="eastAsia" w:hAnsi="宋体" w:cs="Arial"/>
          <w:sz w:val="21"/>
          <w:szCs w:val="21"/>
        </w:rPr>
        <w:t>4、开户名称：</w:t>
      </w:r>
      <w:r>
        <w:rPr>
          <w:rFonts w:hint="eastAsia" w:hAnsi="宋体" w:cs="Arial"/>
          <w:sz w:val="21"/>
          <w:szCs w:val="21"/>
          <w:u w:val="single"/>
        </w:rPr>
        <w:t xml:space="preserve">                     </w:t>
      </w:r>
    </w:p>
    <w:p>
      <w:pPr>
        <w:spacing w:before="120" w:beforeLines="50" w:after="120" w:afterLines="50" w:line="360" w:lineRule="auto"/>
        <w:ind w:left="361" w:leftChars="119" w:hanging="75" w:hangingChars="36"/>
        <w:rPr>
          <w:rFonts w:hAnsi="宋体" w:cs="Arial"/>
          <w:sz w:val="21"/>
          <w:szCs w:val="21"/>
        </w:rPr>
      </w:pPr>
      <w:r>
        <w:rPr>
          <w:rFonts w:hint="eastAsia" w:hAnsi="宋体" w:cs="Arial"/>
          <w:sz w:val="21"/>
          <w:szCs w:val="21"/>
        </w:rPr>
        <w:t>开户银行：</w:t>
      </w:r>
      <w:r>
        <w:rPr>
          <w:rFonts w:hAnsi="宋体" w:cs="Arial"/>
          <w:sz w:val="21"/>
          <w:szCs w:val="21"/>
          <w:u w:val="single"/>
        </w:rPr>
        <w:t xml:space="preserve">             </w:t>
      </w:r>
      <w:r>
        <w:rPr>
          <w:rFonts w:hint="eastAsia" w:hAnsi="宋体" w:cs="Arial"/>
          <w:sz w:val="21"/>
          <w:szCs w:val="21"/>
          <w:u w:val="single"/>
        </w:rPr>
        <w:t xml:space="preserve">       </w:t>
      </w:r>
      <w:r>
        <w:rPr>
          <w:rFonts w:hAnsi="宋体" w:cs="Arial"/>
          <w:sz w:val="21"/>
          <w:szCs w:val="21"/>
          <w:u w:val="single"/>
        </w:rPr>
        <w:t xml:space="preserve"> </w:t>
      </w:r>
    </w:p>
    <w:p>
      <w:pPr>
        <w:spacing w:before="120" w:beforeLines="50" w:after="120" w:afterLines="50" w:line="360" w:lineRule="auto"/>
        <w:ind w:left="361" w:leftChars="119" w:hanging="75" w:hangingChars="36"/>
        <w:rPr>
          <w:rFonts w:hAnsi="宋体" w:cs="Arial"/>
          <w:sz w:val="21"/>
          <w:szCs w:val="21"/>
        </w:rPr>
      </w:pPr>
      <w:r>
        <w:rPr>
          <w:rFonts w:hint="eastAsia" w:hAnsi="宋体" w:cs="Arial"/>
          <w:sz w:val="21"/>
          <w:szCs w:val="21"/>
        </w:rPr>
        <w:t>银行账号：</w:t>
      </w:r>
      <w:r>
        <w:rPr>
          <w:rFonts w:hAnsi="宋体" w:cs="Arial"/>
          <w:sz w:val="21"/>
          <w:szCs w:val="21"/>
          <w:u w:val="single"/>
        </w:rPr>
        <w:t xml:space="preserve">                  </w:t>
      </w:r>
      <w:r>
        <w:rPr>
          <w:rFonts w:hint="eastAsia" w:hAnsi="宋体" w:cs="Arial"/>
          <w:sz w:val="21"/>
          <w:szCs w:val="21"/>
          <w:u w:val="single"/>
        </w:rPr>
        <w:t xml:space="preserve">   </w:t>
      </w:r>
    </w:p>
    <w:p>
      <w:pPr>
        <w:spacing w:before="120" w:beforeLines="50" w:after="120" w:afterLines="50" w:line="360" w:lineRule="auto"/>
        <w:rPr>
          <w:rFonts w:hAnsi="宋体" w:cs="Arial"/>
          <w:sz w:val="21"/>
          <w:szCs w:val="21"/>
        </w:rPr>
      </w:pPr>
      <w:r>
        <w:rPr>
          <w:rFonts w:hint="eastAsia" w:hAnsi="宋体" w:cs="Arial"/>
          <w:sz w:val="21"/>
          <w:szCs w:val="21"/>
        </w:rPr>
        <w:t>5、公司简介</w:t>
      </w:r>
    </w:p>
    <w:p>
      <w:pPr>
        <w:spacing w:before="120" w:beforeLines="50" w:after="120" w:afterLines="50" w:line="360" w:lineRule="auto"/>
        <w:ind w:left="360" w:leftChars="150"/>
        <w:rPr>
          <w:rFonts w:hAnsi="宋体" w:cs="Arial"/>
          <w:sz w:val="21"/>
          <w:szCs w:val="21"/>
        </w:rPr>
      </w:pPr>
      <w:r>
        <w:rPr>
          <w:rFonts w:hint="eastAsia" w:hAnsi="宋体" w:cs="Arial"/>
          <w:sz w:val="21"/>
          <w:szCs w:val="21"/>
        </w:rPr>
        <w:t>（自行描述）</w:t>
      </w:r>
    </w:p>
    <w:p>
      <w:pPr>
        <w:spacing w:before="120" w:beforeLines="50" w:after="120" w:afterLines="50" w:line="360" w:lineRule="auto"/>
        <w:rPr>
          <w:rFonts w:hAnsi="宋体" w:cs="Arial"/>
          <w:sz w:val="21"/>
          <w:szCs w:val="21"/>
        </w:rPr>
      </w:pPr>
      <w:r>
        <w:rPr>
          <w:rFonts w:hint="eastAsia" w:hAnsi="宋体" w:cs="Arial"/>
          <w:sz w:val="21"/>
          <w:szCs w:val="21"/>
        </w:rPr>
        <w:t>6、报价人获得的资质证书、认证证书、获奖证书、荣誉证书等</w:t>
      </w:r>
    </w:p>
    <w:p>
      <w:pPr>
        <w:spacing w:before="120" w:beforeLines="50" w:after="120" w:afterLines="50" w:line="360" w:lineRule="auto"/>
        <w:rPr>
          <w:rFonts w:hAnsi="宋体" w:cs="Arial"/>
          <w:sz w:val="21"/>
          <w:szCs w:val="21"/>
        </w:rPr>
      </w:pPr>
      <w:r>
        <w:rPr>
          <w:rFonts w:hAnsi="宋体" w:cs="Arial"/>
          <w:sz w:val="21"/>
          <w:szCs w:val="21"/>
        </w:rPr>
        <w:t xml:space="preserve">                    </w:t>
      </w:r>
    </w:p>
    <w:p>
      <w:pPr>
        <w:spacing w:before="120" w:beforeLines="50" w:after="120" w:afterLines="50" w:line="360" w:lineRule="auto"/>
        <w:ind w:firstLine="570"/>
        <w:rPr>
          <w:rFonts w:hAnsi="宋体" w:cs="Arial"/>
          <w:sz w:val="21"/>
          <w:szCs w:val="21"/>
        </w:rPr>
      </w:pPr>
      <w:r>
        <w:rPr>
          <w:rFonts w:hint="eastAsia" w:hAnsi="宋体" w:cs="Arial"/>
          <w:sz w:val="21"/>
          <w:szCs w:val="21"/>
        </w:rPr>
        <w:t>我</w:t>
      </w:r>
      <w:r>
        <w:rPr>
          <w:rFonts w:hAnsi="宋体" w:cs="Arial"/>
          <w:sz w:val="21"/>
          <w:szCs w:val="21"/>
        </w:rPr>
        <w:t>/</w:t>
      </w:r>
      <w:r>
        <w:rPr>
          <w:rFonts w:hint="eastAsia" w:hAnsi="宋体" w:cs="Arial"/>
          <w:sz w:val="21"/>
          <w:szCs w:val="21"/>
        </w:rPr>
        <w:t>我们声明以上所述是正确无误的，您有权进行您认为必要的所有调查。</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pacing w:line="360" w:lineRule="auto"/>
        <w:jc w:val="center"/>
        <w:rPr>
          <w:rFonts w:hAnsi="宋体"/>
          <w:b/>
          <w:sz w:val="28"/>
        </w:rPr>
      </w:pPr>
    </w:p>
    <w:p>
      <w:pPr>
        <w:pStyle w:val="4"/>
        <w:pageBreakBefore/>
        <w:numPr>
          <w:ilvl w:val="1"/>
          <w:numId w:val="22"/>
        </w:numPr>
        <w:spacing w:line="360" w:lineRule="auto"/>
        <w:ind w:left="0" w:firstLine="0"/>
        <w:jc w:val="center"/>
        <w:rPr>
          <w:b/>
        </w:rPr>
      </w:pPr>
      <w:bookmarkStart w:id="56" w:name="_Toc30249"/>
      <w:bookmarkStart w:id="57" w:name="_Toc396137255"/>
      <w:bookmarkStart w:id="58" w:name="_Toc3762"/>
      <w:bookmarkStart w:id="59" w:name="_Toc367438814"/>
      <w:bookmarkStart w:id="60" w:name="_Toc9794"/>
      <w:bookmarkStart w:id="61" w:name="_Toc12507"/>
      <w:bookmarkStart w:id="62" w:name="_Toc25164"/>
      <w:r>
        <w:rPr>
          <w:rFonts w:hint="eastAsia"/>
          <w:b/>
        </w:rPr>
        <w:t>报价人业绩情况表</w:t>
      </w:r>
      <w:bookmarkEnd w:id="56"/>
      <w:bookmarkEnd w:id="57"/>
      <w:bookmarkEnd w:id="58"/>
      <w:bookmarkEnd w:id="59"/>
    </w:p>
    <w:p>
      <w:pPr>
        <w:rPr>
          <w:b/>
        </w:rPr>
      </w:pPr>
    </w:p>
    <w:p>
      <w:pPr>
        <w:rPr>
          <w:b/>
        </w:rPr>
      </w:pPr>
    </w:p>
    <w:p>
      <w:pPr>
        <w:tabs>
          <w:tab w:val="left" w:pos="6617"/>
        </w:tabs>
      </w:pPr>
      <w:r>
        <w:rPr>
          <w:rFonts w:hint="eastAsia"/>
          <w:b/>
        </w:rPr>
        <w:tab/>
      </w:r>
    </w:p>
    <w:tbl>
      <w:tblPr>
        <w:tblStyle w:val="49"/>
        <w:tblW w:w="91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74"/>
        <w:gridCol w:w="1277"/>
        <w:gridCol w:w="1459"/>
        <w:gridCol w:w="1712"/>
        <w:gridCol w:w="1571"/>
        <w:gridCol w:w="1419"/>
        <w:gridCol w:w="1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5" w:hRule="atLeast"/>
          <w:jc w:val="center"/>
        </w:trPr>
        <w:tc>
          <w:tcPr>
            <w:tcW w:w="474"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序号</w:t>
            </w:r>
          </w:p>
        </w:tc>
        <w:tc>
          <w:tcPr>
            <w:tcW w:w="1277"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业主名称</w:t>
            </w:r>
          </w:p>
        </w:tc>
        <w:tc>
          <w:tcPr>
            <w:tcW w:w="1459"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项目名称</w:t>
            </w:r>
          </w:p>
        </w:tc>
        <w:tc>
          <w:tcPr>
            <w:tcW w:w="1712"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合同总价</w:t>
            </w:r>
          </w:p>
        </w:tc>
        <w:tc>
          <w:tcPr>
            <w:tcW w:w="1571"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签约时间</w:t>
            </w:r>
          </w:p>
        </w:tc>
        <w:tc>
          <w:tcPr>
            <w:tcW w:w="1419"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完成时间</w:t>
            </w:r>
          </w:p>
        </w:tc>
        <w:tc>
          <w:tcPr>
            <w:tcW w:w="1268"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74" w:type="dxa"/>
            <w:shd w:val="clear" w:color="auto" w:fill="FFFFFF"/>
            <w:vAlign w:val="center"/>
          </w:tcPr>
          <w:p>
            <w:pPr>
              <w:snapToGrid w:val="0"/>
              <w:spacing w:line="360" w:lineRule="auto"/>
              <w:jc w:val="center"/>
              <w:rPr>
                <w:rFonts w:hAnsi="宋体"/>
                <w:sz w:val="21"/>
                <w:szCs w:val="21"/>
              </w:rPr>
            </w:pPr>
            <w:r>
              <w:rPr>
                <w:rFonts w:hint="eastAsia" w:hAnsi="宋体"/>
                <w:sz w:val="21"/>
                <w:szCs w:val="21"/>
              </w:rPr>
              <w:t>1</w:t>
            </w: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74" w:type="dxa"/>
            <w:shd w:val="clear" w:color="auto" w:fill="FFFFFF"/>
            <w:vAlign w:val="center"/>
          </w:tcPr>
          <w:p>
            <w:pPr>
              <w:snapToGrid w:val="0"/>
              <w:spacing w:line="360" w:lineRule="auto"/>
              <w:jc w:val="center"/>
              <w:rPr>
                <w:rFonts w:hAnsi="宋体"/>
                <w:sz w:val="21"/>
                <w:szCs w:val="21"/>
              </w:rPr>
            </w:pPr>
            <w:r>
              <w:rPr>
                <w:rFonts w:hAnsi="宋体"/>
                <w:sz w:val="21"/>
                <w:szCs w:val="21"/>
              </w:rPr>
              <w:t>…</w:t>
            </w: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74" w:type="dxa"/>
            <w:shd w:val="clear" w:color="auto" w:fill="FFFFFF"/>
            <w:vAlign w:val="center"/>
          </w:tcPr>
          <w:p>
            <w:pPr>
              <w:snapToGrid w:val="0"/>
              <w:spacing w:line="360" w:lineRule="auto"/>
              <w:jc w:val="center"/>
              <w:rPr>
                <w:rFonts w:hAnsi="宋体"/>
                <w:sz w:val="21"/>
                <w:szCs w:val="21"/>
              </w:rPr>
            </w:pP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74" w:type="dxa"/>
            <w:shd w:val="clear" w:color="auto" w:fill="FFFFFF"/>
            <w:vAlign w:val="center"/>
          </w:tcPr>
          <w:p>
            <w:pPr>
              <w:snapToGrid w:val="0"/>
              <w:spacing w:line="360" w:lineRule="auto"/>
              <w:jc w:val="center"/>
              <w:rPr>
                <w:rFonts w:hAnsi="宋体"/>
                <w:sz w:val="21"/>
                <w:szCs w:val="21"/>
              </w:rPr>
            </w:pP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4" w:type="dxa"/>
            <w:shd w:val="clear" w:color="auto" w:fill="FFFFFF"/>
            <w:vAlign w:val="center"/>
          </w:tcPr>
          <w:p>
            <w:pPr>
              <w:snapToGrid w:val="0"/>
              <w:spacing w:line="360" w:lineRule="auto"/>
              <w:jc w:val="center"/>
              <w:rPr>
                <w:rFonts w:hAnsi="宋体"/>
                <w:sz w:val="21"/>
                <w:szCs w:val="21"/>
              </w:rPr>
            </w:pP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4" w:type="dxa"/>
            <w:shd w:val="clear" w:color="auto" w:fill="FFFFFF"/>
            <w:vAlign w:val="center"/>
          </w:tcPr>
          <w:p>
            <w:pPr>
              <w:snapToGrid w:val="0"/>
              <w:spacing w:line="360" w:lineRule="auto"/>
              <w:jc w:val="center"/>
              <w:rPr>
                <w:rFonts w:hAnsi="宋体"/>
                <w:sz w:val="21"/>
                <w:szCs w:val="21"/>
              </w:rPr>
            </w:pPr>
          </w:p>
        </w:tc>
        <w:tc>
          <w:tcPr>
            <w:tcW w:w="1277" w:type="dxa"/>
            <w:shd w:val="clear" w:color="auto" w:fill="FFFFFF"/>
            <w:vAlign w:val="center"/>
          </w:tcPr>
          <w:p>
            <w:pPr>
              <w:snapToGrid w:val="0"/>
              <w:spacing w:line="360" w:lineRule="auto"/>
              <w:jc w:val="center"/>
              <w:rPr>
                <w:rFonts w:hAnsi="宋体"/>
                <w:sz w:val="21"/>
                <w:szCs w:val="21"/>
              </w:rPr>
            </w:pPr>
          </w:p>
        </w:tc>
        <w:tc>
          <w:tcPr>
            <w:tcW w:w="1459" w:type="dxa"/>
            <w:shd w:val="clear" w:color="auto" w:fill="FFFFFF"/>
            <w:vAlign w:val="center"/>
          </w:tcPr>
          <w:p>
            <w:pPr>
              <w:snapToGrid w:val="0"/>
              <w:spacing w:line="360" w:lineRule="auto"/>
              <w:jc w:val="center"/>
              <w:rPr>
                <w:rFonts w:hAnsi="宋体"/>
                <w:sz w:val="21"/>
                <w:szCs w:val="21"/>
              </w:rPr>
            </w:pPr>
          </w:p>
        </w:tc>
        <w:tc>
          <w:tcPr>
            <w:tcW w:w="1712" w:type="dxa"/>
            <w:shd w:val="clear" w:color="auto" w:fill="FFFFFF"/>
            <w:vAlign w:val="center"/>
          </w:tcPr>
          <w:p>
            <w:pPr>
              <w:snapToGrid w:val="0"/>
              <w:spacing w:line="360" w:lineRule="auto"/>
              <w:jc w:val="center"/>
              <w:rPr>
                <w:rFonts w:hAnsi="宋体"/>
                <w:sz w:val="21"/>
                <w:szCs w:val="21"/>
              </w:rPr>
            </w:pPr>
          </w:p>
        </w:tc>
        <w:tc>
          <w:tcPr>
            <w:tcW w:w="1571" w:type="dxa"/>
            <w:shd w:val="clear" w:color="auto" w:fill="FFFFFF"/>
            <w:vAlign w:val="center"/>
          </w:tcPr>
          <w:p>
            <w:pPr>
              <w:snapToGrid w:val="0"/>
              <w:spacing w:line="360" w:lineRule="auto"/>
              <w:jc w:val="center"/>
              <w:rPr>
                <w:rFonts w:hAnsi="宋体"/>
                <w:sz w:val="21"/>
                <w:szCs w:val="21"/>
              </w:rPr>
            </w:pPr>
          </w:p>
        </w:tc>
        <w:tc>
          <w:tcPr>
            <w:tcW w:w="1419" w:type="dxa"/>
            <w:shd w:val="clear" w:color="auto" w:fill="FFFFFF"/>
            <w:vAlign w:val="center"/>
          </w:tcPr>
          <w:p>
            <w:pPr>
              <w:snapToGrid w:val="0"/>
              <w:spacing w:line="360" w:lineRule="auto"/>
              <w:jc w:val="center"/>
              <w:rPr>
                <w:rFonts w:hAnsi="宋体"/>
                <w:sz w:val="21"/>
                <w:szCs w:val="21"/>
              </w:rPr>
            </w:pPr>
          </w:p>
        </w:tc>
        <w:tc>
          <w:tcPr>
            <w:tcW w:w="1268" w:type="dxa"/>
            <w:shd w:val="clear" w:color="auto" w:fill="FFFFFF"/>
            <w:vAlign w:val="center"/>
          </w:tcPr>
          <w:p>
            <w:pPr>
              <w:snapToGrid w:val="0"/>
              <w:spacing w:line="360" w:lineRule="auto"/>
              <w:jc w:val="center"/>
              <w:rPr>
                <w:rFonts w:hAnsi="宋体"/>
                <w:sz w:val="21"/>
                <w:szCs w:val="21"/>
              </w:rPr>
            </w:pPr>
          </w:p>
        </w:tc>
      </w:tr>
    </w:tbl>
    <w:p>
      <w:pPr>
        <w:spacing w:before="120" w:line="360" w:lineRule="auto"/>
        <w:ind w:left="510" w:hanging="510"/>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r>
        <w:rPr>
          <w:rFonts w:hint="eastAsia" w:hAnsi="宋体"/>
          <w:sz w:val="21"/>
          <w:szCs w:val="21"/>
        </w:rPr>
        <w:t>报价人法定代表人或受委托人（签名或盖私章）：</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p>
    <w:p>
      <w:pPr>
        <w:tabs>
          <w:tab w:val="left" w:pos="6617"/>
        </w:tabs>
      </w:pPr>
    </w:p>
    <w:p>
      <w:pPr>
        <w:pStyle w:val="4"/>
        <w:pageBreakBefore/>
        <w:numPr>
          <w:ilvl w:val="1"/>
          <w:numId w:val="22"/>
        </w:numPr>
        <w:spacing w:line="360" w:lineRule="auto"/>
        <w:ind w:left="0" w:leftChars="-59" w:hanging="142" w:hangingChars="59"/>
        <w:jc w:val="center"/>
        <w:rPr>
          <w:b/>
        </w:rPr>
      </w:pPr>
      <w:r>
        <w:rPr>
          <w:rFonts w:hint="eastAsia"/>
          <w:b/>
        </w:rPr>
        <w:t>报价人财务状况表</w:t>
      </w:r>
    </w:p>
    <w:p>
      <w:pPr>
        <w:spacing w:line="360" w:lineRule="auto"/>
        <w:rPr>
          <w:rFonts w:hAnsi="宋体"/>
          <w:b/>
          <w:sz w:val="28"/>
          <w:szCs w:val="28"/>
        </w:rPr>
      </w:pPr>
    </w:p>
    <w:p>
      <w:pPr>
        <w:spacing w:line="360" w:lineRule="auto"/>
        <w:jc w:val="center"/>
        <w:rPr>
          <w:rFonts w:hAnsi="宋体"/>
          <w:sz w:val="21"/>
          <w:szCs w:val="21"/>
        </w:rPr>
      </w:pPr>
      <w:r>
        <w:rPr>
          <w:rFonts w:hint="eastAsia" w:hAnsi="宋体"/>
          <w:b/>
          <w:szCs w:val="21"/>
        </w:rPr>
        <w:t xml:space="preserve">                                                </w:t>
      </w:r>
      <w:r>
        <w:rPr>
          <w:rFonts w:hint="eastAsia" w:hAnsi="宋体"/>
          <w:b/>
          <w:sz w:val="21"/>
          <w:szCs w:val="21"/>
        </w:rPr>
        <w:t xml:space="preserve">  </w:t>
      </w:r>
      <w:r>
        <w:rPr>
          <w:rFonts w:hint="eastAsia" w:hAnsi="宋体"/>
          <w:sz w:val="21"/>
          <w:szCs w:val="21"/>
        </w:rPr>
        <w:t>【价格单位：（人民币）万元】</w:t>
      </w:r>
    </w:p>
    <w:tbl>
      <w:tblPr>
        <w:tblStyle w:val="49"/>
        <w:tblW w:w="875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2228"/>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pPr>
              <w:spacing w:line="360" w:lineRule="auto"/>
              <w:jc w:val="center"/>
              <w:rPr>
                <w:rFonts w:hAnsi="宋体"/>
                <w:sz w:val="21"/>
                <w:szCs w:val="21"/>
              </w:rPr>
            </w:pPr>
            <w:r>
              <w:rPr>
                <w:rFonts w:hint="eastAsia" w:hAnsi="宋体"/>
                <w:sz w:val="21"/>
                <w:szCs w:val="21"/>
              </w:rPr>
              <w:t>年  度</w:t>
            </w:r>
          </w:p>
        </w:tc>
        <w:tc>
          <w:tcPr>
            <w:tcW w:w="1800" w:type="dxa"/>
            <w:vAlign w:val="center"/>
          </w:tcPr>
          <w:p>
            <w:pPr>
              <w:spacing w:line="360" w:lineRule="auto"/>
              <w:jc w:val="center"/>
              <w:rPr>
                <w:rFonts w:hAnsi="宋体"/>
                <w:sz w:val="21"/>
                <w:szCs w:val="21"/>
              </w:rPr>
            </w:pPr>
            <w:r>
              <w:rPr>
                <w:rFonts w:hint="eastAsia" w:hAnsi="宋体"/>
                <w:sz w:val="21"/>
                <w:szCs w:val="21"/>
              </w:rPr>
              <w:t>总资产（万元）</w:t>
            </w:r>
          </w:p>
        </w:tc>
        <w:tc>
          <w:tcPr>
            <w:tcW w:w="1800" w:type="dxa"/>
            <w:vAlign w:val="center"/>
          </w:tcPr>
          <w:p>
            <w:pPr>
              <w:spacing w:line="360" w:lineRule="auto"/>
              <w:jc w:val="center"/>
              <w:rPr>
                <w:rFonts w:hAnsi="宋体"/>
                <w:sz w:val="21"/>
                <w:szCs w:val="21"/>
              </w:rPr>
            </w:pPr>
            <w:r>
              <w:rPr>
                <w:rFonts w:hint="eastAsia" w:hAnsi="宋体"/>
                <w:sz w:val="21"/>
                <w:szCs w:val="21"/>
              </w:rPr>
              <w:t>净资产（万元）</w:t>
            </w:r>
          </w:p>
        </w:tc>
        <w:tc>
          <w:tcPr>
            <w:tcW w:w="2228" w:type="dxa"/>
            <w:vAlign w:val="center"/>
          </w:tcPr>
          <w:p>
            <w:pPr>
              <w:spacing w:line="360" w:lineRule="auto"/>
              <w:jc w:val="center"/>
              <w:rPr>
                <w:rFonts w:hAnsi="宋体"/>
                <w:sz w:val="21"/>
                <w:szCs w:val="21"/>
              </w:rPr>
            </w:pPr>
            <w:r>
              <w:rPr>
                <w:rFonts w:hint="eastAsia" w:hAnsi="宋体"/>
                <w:sz w:val="21"/>
                <w:szCs w:val="21"/>
              </w:rPr>
              <w:t>年营业额（万元）</w:t>
            </w:r>
          </w:p>
        </w:tc>
        <w:tc>
          <w:tcPr>
            <w:tcW w:w="1843" w:type="dxa"/>
            <w:vAlign w:val="center"/>
          </w:tcPr>
          <w:p>
            <w:pPr>
              <w:spacing w:line="360" w:lineRule="auto"/>
              <w:jc w:val="center"/>
              <w:rPr>
                <w:rFonts w:hAnsi="宋体"/>
                <w:sz w:val="21"/>
                <w:szCs w:val="21"/>
              </w:rPr>
            </w:pPr>
            <w:r>
              <w:rPr>
                <w:rFonts w:hint="eastAsia" w:hAnsi="宋体"/>
                <w:sz w:val="21"/>
                <w:szCs w:val="21"/>
              </w:rPr>
              <w:t>年净利润（万元）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2228" w:type="dxa"/>
          </w:tcPr>
          <w:p>
            <w:pPr>
              <w:spacing w:line="360" w:lineRule="auto"/>
              <w:jc w:val="center"/>
              <w:rPr>
                <w:rFonts w:hAnsi="宋体"/>
                <w:sz w:val="21"/>
                <w:szCs w:val="21"/>
              </w:rPr>
            </w:pPr>
          </w:p>
        </w:tc>
        <w:tc>
          <w:tcPr>
            <w:tcW w:w="1843"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2228" w:type="dxa"/>
          </w:tcPr>
          <w:p>
            <w:pPr>
              <w:spacing w:line="360" w:lineRule="auto"/>
              <w:jc w:val="center"/>
              <w:rPr>
                <w:rFonts w:hAnsi="宋体"/>
                <w:sz w:val="21"/>
                <w:szCs w:val="21"/>
              </w:rPr>
            </w:pPr>
          </w:p>
        </w:tc>
        <w:tc>
          <w:tcPr>
            <w:tcW w:w="1843"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1800" w:type="dxa"/>
            <w:vAlign w:val="center"/>
          </w:tcPr>
          <w:p>
            <w:pPr>
              <w:spacing w:line="360" w:lineRule="auto"/>
              <w:jc w:val="center"/>
              <w:rPr>
                <w:rFonts w:hAnsi="宋体"/>
                <w:sz w:val="21"/>
                <w:szCs w:val="21"/>
              </w:rPr>
            </w:pPr>
          </w:p>
        </w:tc>
        <w:tc>
          <w:tcPr>
            <w:tcW w:w="2228" w:type="dxa"/>
          </w:tcPr>
          <w:p>
            <w:pPr>
              <w:spacing w:line="360" w:lineRule="auto"/>
              <w:jc w:val="center"/>
              <w:rPr>
                <w:rFonts w:hAnsi="宋体"/>
                <w:sz w:val="21"/>
                <w:szCs w:val="21"/>
              </w:rPr>
            </w:pPr>
          </w:p>
        </w:tc>
        <w:tc>
          <w:tcPr>
            <w:tcW w:w="1843" w:type="dxa"/>
            <w:vAlign w:val="center"/>
          </w:tcPr>
          <w:p>
            <w:pPr>
              <w:spacing w:line="360" w:lineRule="auto"/>
              <w:jc w:val="center"/>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pPr>
              <w:spacing w:line="360" w:lineRule="auto"/>
              <w:jc w:val="center"/>
              <w:rPr>
                <w:rFonts w:hAnsi="宋体"/>
                <w:sz w:val="21"/>
                <w:szCs w:val="21"/>
              </w:rPr>
            </w:pPr>
            <w:r>
              <w:rPr>
                <w:rFonts w:hint="eastAsia" w:hAnsi="宋体"/>
                <w:sz w:val="21"/>
                <w:szCs w:val="21"/>
              </w:rPr>
              <w:t>总计</w:t>
            </w:r>
          </w:p>
        </w:tc>
        <w:tc>
          <w:tcPr>
            <w:tcW w:w="2228" w:type="dxa"/>
          </w:tcPr>
          <w:p>
            <w:pPr>
              <w:spacing w:line="360" w:lineRule="auto"/>
              <w:jc w:val="center"/>
              <w:rPr>
                <w:rFonts w:hAnsi="宋体"/>
                <w:sz w:val="21"/>
                <w:szCs w:val="21"/>
              </w:rPr>
            </w:pPr>
          </w:p>
        </w:tc>
        <w:tc>
          <w:tcPr>
            <w:tcW w:w="1843" w:type="dxa"/>
            <w:vAlign w:val="center"/>
          </w:tcPr>
          <w:p>
            <w:pPr>
              <w:spacing w:line="360" w:lineRule="auto"/>
              <w:jc w:val="center"/>
              <w:rPr>
                <w:rFonts w:hAnsi="宋体"/>
                <w:sz w:val="21"/>
                <w:szCs w:val="21"/>
              </w:rPr>
            </w:pPr>
          </w:p>
        </w:tc>
      </w:tr>
    </w:tbl>
    <w:p>
      <w:pPr>
        <w:pStyle w:val="73"/>
        <w:spacing w:line="360" w:lineRule="auto"/>
        <w:ind w:firstLine="433"/>
        <w:rPr>
          <w:rFonts w:ascii="宋体" w:eastAsia="宋体"/>
          <w:sz w:val="21"/>
          <w:szCs w:val="21"/>
        </w:rPr>
      </w:pPr>
    </w:p>
    <w:p>
      <w:pPr>
        <w:pStyle w:val="73"/>
        <w:spacing w:line="360" w:lineRule="auto"/>
        <w:ind w:left="749" w:leftChars="181" w:hanging="315" w:hangingChars="150"/>
        <w:rPr>
          <w:rFonts w:ascii="宋体" w:eastAsia="宋体"/>
          <w:kern w:val="0"/>
          <w:sz w:val="21"/>
          <w:szCs w:val="21"/>
        </w:rPr>
      </w:pPr>
      <w:r>
        <w:rPr>
          <w:rFonts w:hint="eastAsia" w:ascii="宋体" w:eastAsia="宋体"/>
          <w:kern w:val="0"/>
          <w:sz w:val="21"/>
          <w:szCs w:val="21"/>
        </w:rPr>
        <w:t>注：</w:t>
      </w:r>
      <w:r>
        <w:rPr>
          <w:rFonts w:hint="eastAsia" w:ascii="宋体" w:eastAsia="宋体"/>
          <w:sz w:val="21"/>
          <w:szCs w:val="21"/>
        </w:rPr>
        <w:t>需提供会计师事务所审计的财务报告</w:t>
      </w:r>
      <w:r>
        <w:rPr>
          <w:rFonts w:hint="eastAsia" w:ascii="宋体" w:eastAsia="宋体"/>
          <w:kern w:val="0"/>
          <w:sz w:val="21"/>
          <w:szCs w:val="21"/>
        </w:rPr>
        <w:t>。</w:t>
      </w:r>
    </w:p>
    <w:p>
      <w:pPr>
        <w:spacing w:line="360" w:lineRule="auto"/>
        <w:rPr>
          <w:rFonts w:hAnsi="宋体"/>
          <w:sz w:val="21"/>
          <w:szCs w:val="21"/>
        </w:rPr>
      </w:pPr>
    </w:p>
    <w:p>
      <w:pPr>
        <w:spacing w:line="360" w:lineRule="auto"/>
        <w:rPr>
          <w:rFonts w:hAnsi="宋体"/>
          <w:sz w:val="21"/>
          <w:szCs w:val="21"/>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pacing w:line="360" w:lineRule="auto"/>
        <w:rPr>
          <w:b/>
        </w:rPr>
      </w:pPr>
      <w:r>
        <w:rPr>
          <w:rFonts w:hint="eastAsia" w:hAnsi="宋体"/>
          <w:sz w:val="21"/>
          <w:szCs w:val="21"/>
        </w:rPr>
        <w:t>日期：</w:t>
      </w:r>
    </w:p>
    <w:p>
      <w:pPr>
        <w:pStyle w:val="4"/>
        <w:pageBreakBefore/>
        <w:numPr>
          <w:ilvl w:val="1"/>
          <w:numId w:val="22"/>
        </w:numPr>
        <w:spacing w:line="360" w:lineRule="auto"/>
        <w:ind w:left="0" w:firstLine="0"/>
        <w:jc w:val="center"/>
        <w:rPr>
          <w:b/>
        </w:rPr>
      </w:pPr>
      <w:r>
        <w:rPr>
          <w:rFonts w:hint="eastAsia"/>
          <w:b/>
        </w:rPr>
        <w:t>拟安排本项目技术人员情况表</w:t>
      </w:r>
      <w:bookmarkEnd w:id="60"/>
      <w:bookmarkEnd w:id="61"/>
      <w:bookmarkEnd w:id="62"/>
    </w:p>
    <w:p>
      <w:pPr>
        <w:pStyle w:val="26"/>
        <w:spacing w:line="360" w:lineRule="auto"/>
        <w:ind w:firstLine="420"/>
        <w:jc w:val="center"/>
        <w:rPr>
          <w:rFonts w:hAnsi="宋体"/>
          <w:b/>
          <w:sz w:val="28"/>
          <w:szCs w:val="28"/>
        </w:rPr>
      </w:pPr>
    </w:p>
    <w:p>
      <w:pPr>
        <w:pStyle w:val="26"/>
        <w:spacing w:line="360" w:lineRule="auto"/>
        <w:ind w:firstLine="420"/>
        <w:jc w:val="center"/>
        <w:rPr>
          <w:rFonts w:hAnsi="宋体"/>
          <w:sz w:val="24"/>
          <w:szCs w:val="24"/>
        </w:rPr>
      </w:pPr>
      <w:r>
        <w:rPr>
          <w:rFonts w:hint="eastAsia" w:hAnsi="宋体"/>
          <w:b/>
          <w:sz w:val="24"/>
          <w:szCs w:val="24"/>
        </w:rPr>
        <w:t>项目负责人管理经验和资质情况表</w:t>
      </w:r>
    </w:p>
    <w:tbl>
      <w:tblPr>
        <w:tblStyle w:val="4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48"/>
        <w:gridCol w:w="1299"/>
        <w:gridCol w:w="1357"/>
        <w:gridCol w:w="2247"/>
        <w:gridCol w:w="128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vAlign w:val="center"/>
          </w:tcPr>
          <w:p>
            <w:pPr>
              <w:pStyle w:val="26"/>
              <w:spacing w:line="360" w:lineRule="auto"/>
              <w:jc w:val="center"/>
              <w:rPr>
                <w:rFonts w:hAnsi="宋体"/>
                <w:szCs w:val="24"/>
              </w:rPr>
            </w:pPr>
            <w:r>
              <w:rPr>
                <w:rFonts w:hint="eastAsia" w:hAnsi="宋体"/>
                <w:szCs w:val="24"/>
              </w:rPr>
              <w:t>姓名</w:t>
            </w:r>
          </w:p>
        </w:tc>
        <w:tc>
          <w:tcPr>
            <w:tcW w:w="1847" w:type="dxa"/>
            <w:gridSpan w:val="2"/>
            <w:vAlign w:val="center"/>
          </w:tcPr>
          <w:p>
            <w:pPr>
              <w:pStyle w:val="26"/>
              <w:spacing w:line="360" w:lineRule="auto"/>
              <w:rPr>
                <w:rFonts w:hAnsi="宋体"/>
                <w:szCs w:val="24"/>
              </w:rPr>
            </w:pPr>
          </w:p>
        </w:tc>
        <w:tc>
          <w:tcPr>
            <w:tcW w:w="1357" w:type="dxa"/>
            <w:vAlign w:val="center"/>
          </w:tcPr>
          <w:p>
            <w:pPr>
              <w:pStyle w:val="26"/>
              <w:spacing w:line="360" w:lineRule="auto"/>
              <w:jc w:val="center"/>
              <w:rPr>
                <w:rFonts w:hAnsi="宋体"/>
                <w:szCs w:val="24"/>
              </w:rPr>
            </w:pPr>
            <w:r>
              <w:rPr>
                <w:rFonts w:hint="eastAsia" w:hAnsi="宋体"/>
                <w:szCs w:val="24"/>
              </w:rPr>
              <w:t>性别</w:t>
            </w:r>
          </w:p>
        </w:tc>
        <w:tc>
          <w:tcPr>
            <w:tcW w:w="2247" w:type="dxa"/>
            <w:vAlign w:val="center"/>
          </w:tcPr>
          <w:p>
            <w:pPr>
              <w:pStyle w:val="26"/>
              <w:spacing w:line="360" w:lineRule="auto"/>
              <w:rPr>
                <w:rFonts w:hAnsi="宋体"/>
                <w:szCs w:val="24"/>
              </w:rPr>
            </w:pPr>
          </w:p>
        </w:tc>
        <w:tc>
          <w:tcPr>
            <w:tcW w:w="1287" w:type="dxa"/>
            <w:vAlign w:val="center"/>
          </w:tcPr>
          <w:p>
            <w:pPr>
              <w:pStyle w:val="26"/>
              <w:spacing w:line="360" w:lineRule="auto"/>
              <w:jc w:val="center"/>
              <w:rPr>
                <w:rFonts w:hAnsi="宋体"/>
                <w:szCs w:val="24"/>
              </w:rPr>
            </w:pPr>
            <w:r>
              <w:rPr>
                <w:rFonts w:hint="eastAsia" w:hAnsi="宋体"/>
                <w:szCs w:val="24"/>
              </w:rPr>
              <w:t>年龄</w:t>
            </w:r>
          </w:p>
        </w:tc>
        <w:tc>
          <w:tcPr>
            <w:tcW w:w="1027" w:type="dxa"/>
            <w:vAlign w:val="center"/>
          </w:tcPr>
          <w:p>
            <w:pPr>
              <w:pStyle w:val="26"/>
              <w:spacing w:line="360" w:lineRule="auto"/>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vAlign w:val="center"/>
          </w:tcPr>
          <w:p>
            <w:pPr>
              <w:pStyle w:val="26"/>
              <w:spacing w:line="360" w:lineRule="auto"/>
              <w:jc w:val="center"/>
              <w:rPr>
                <w:rFonts w:hAnsi="宋体"/>
                <w:szCs w:val="24"/>
              </w:rPr>
            </w:pPr>
            <w:r>
              <w:rPr>
                <w:rFonts w:hint="eastAsia" w:hAnsi="宋体"/>
                <w:szCs w:val="24"/>
              </w:rPr>
              <w:t>职务</w:t>
            </w:r>
          </w:p>
        </w:tc>
        <w:tc>
          <w:tcPr>
            <w:tcW w:w="1847" w:type="dxa"/>
            <w:gridSpan w:val="2"/>
            <w:vAlign w:val="center"/>
          </w:tcPr>
          <w:p>
            <w:pPr>
              <w:pStyle w:val="26"/>
              <w:spacing w:line="360" w:lineRule="auto"/>
              <w:rPr>
                <w:rFonts w:hAnsi="宋体"/>
                <w:szCs w:val="24"/>
              </w:rPr>
            </w:pPr>
          </w:p>
        </w:tc>
        <w:tc>
          <w:tcPr>
            <w:tcW w:w="1357" w:type="dxa"/>
            <w:vAlign w:val="center"/>
          </w:tcPr>
          <w:p>
            <w:pPr>
              <w:pStyle w:val="26"/>
              <w:spacing w:line="360" w:lineRule="auto"/>
              <w:jc w:val="center"/>
              <w:rPr>
                <w:rFonts w:hAnsi="宋体"/>
                <w:szCs w:val="24"/>
              </w:rPr>
            </w:pPr>
            <w:r>
              <w:rPr>
                <w:rFonts w:hint="eastAsia" w:hAnsi="宋体"/>
                <w:szCs w:val="24"/>
              </w:rPr>
              <w:t>职称</w:t>
            </w:r>
          </w:p>
        </w:tc>
        <w:tc>
          <w:tcPr>
            <w:tcW w:w="2247" w:type="dxa"/>
            <w:vAlign w:val="center"/>
          </w:tcPr>
          <w:p>
            <w:pPr>
              <w:pStyle w:val="26"/>
              <w:spacing w:line="360" w:lineRule="auto"/>
              <w:rPr>
                <w:rFonts w:hAnsi="宋体"/>
                <w:szCs w:val="24"/>
              </w:rPr>
            </w:pPr>
          </w:p>
        </w:tc>
        <w:tc>
          <w:tcPr>
            <w:tcW w:w="1287" w:type="dxa"/>
            <w:vAlign w:val="center"/>
          </w:tcPr>
          <w:p>
            <w:pPr>
              <w:pStyle w:val="26"/>
              <w:spacing w:line="360" w:lineRule="auto"/>
              <w:jc w:val="center"/>
              <w:rPr>
                <w:rFonts w:hAnsi="宋体"/>
                <w:szCs w:val="24"/>
              </w:rPr>
            </w:pPr>
            <w:r>
              <w:rPr>
                <w:rFonts w:hint="eastAsia" w:hAnsi="宋体"/>
                <w:szCs w:val="24"/>
              </w:rPr>
              <w:t>学历</w:t>
            </w:r>
          </w:p>
        </w:tc>
        <w:tc>
          <w:tcPr>
            <w:tcW w:w="1027" w:type="dxa"/>
            <w:vAlign w:val="center"/>
          </w:tcPr>
          <w:p>
            <w:pPr>
              <w:pStyle w:val="26"/>
              <w:spacing w:line="360" w:lineRule="auto"/>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5" w:type="dxa"/>
            <w:vAlign w:val="center"/>
          </w:tcPr>
          <w:p>
            <w:pPr>
              <w:pStyle w:val="26"/>
              <w:spacing w:line="360" w:lineRule="auto"/>
              <w:jc w:val="center"/>
              <w:rPr>
                <w:rFonts w:hAnsi="宋体"/>
                <w:szCs w:val="24"/>
              </w:rPr>
            </w:pPr>
            <w:r>
              <w:rPr>
                <w:rFonts w:hint="eastAsia" w:hAnsi="宋体"/>
                <w:szCs w:val="24"/>
              </w:rPr>
              <w:t>办公电话</w:t>
            </w:r>
          </w:p>
        </w:tc>
        <w:tc>
          <w:tcPr>
            <w:tcW w:w="1847" w:type="dxa"/>
            <w:gridSpan w:val="2"/>
            <w:vAlign w:val="center"/>
          </w:tcPr>
          <w:p>
            <w:pPr>
              <w:pStyle w:val="26"/>
              <w:spacing w:line="360" w:lineRule="auto"/>
              <w:rPr>
                <w:rFonts w:hAnsi="宋体"/>
                <w:szCs w:val="24"/>
              </w:rPr>
            </w:pPr>
          </w:p>
        </w:tc>
        <w:tc>
          <w:tcPr>
            <w:tcW w:w="1357" w:type="dxa"/>
            <w:vAlign w:val="center"/>
          </w:tcPr>
          <w:p>
            <w:pPr>
              <w:pStyle w:val="26"/>
              <w:spacing w:line="360" w:lineRule="auto"/>
              <w:jc w:val="center"/>
              <w:rPr>
                <w:rFonts w:hAnsi="宋体"/>
                <w:szCs w:val="24"/>
              </w:rPr>
            </w:pPr>
            <w:r>
              <w:rPr>
                <w:rFonts w:hint="eastAsia" w:hAnsi="宋体"/>
                <w:szCs w:val="24"/>
              </w:rPr>
              <w:t>住宅电话</w:t>
            </w:r>
          </w:p>
        </w:tc>
        <w:tc>
          <w:tcPr>
            <w:tcW w:w="2247" w:type="dxa"/>
            <w:vAlign w:val="center"/>
          </w:tcPr>
          <w:p>
            <w:pPr>
              <w:pStyle w:val="26"/>
              <w:spacing w:line="360" w:lineRule="auto"/>
              <w:rPr>
                <w:rFonts w:hAnsi="宋体"/>
                <w:szCs w:val="24"/>
              </w:rPr>
            </w:pPr>
          </w:p>
        </w:tc>
        <w:tc>
          <w:tcPr>
            <w:tcW w:w="1287" w:type="dxa"/>
            <w:vAlign w:val="center"/>
          </w:tcPr>
          <w:p>
            <w:pPr>
              <w:pStyle w:val="26"/>
              <w:spacing w:line="360" w:lineRule="auto"/>
              <w:jc w:val="center"/>
              <w:rPr>
                <w:rFonts w:hAnsi="宋体"/>
                <w:szCs w:val="24"/>
              </w:rPr>
            </w:pPr>
            <w:r>
              <w:rPr>
                <w:rFonts w:hint="eastAsia" w:hAnsi="宋体"/>
                <w:szCs w:val="24"/>
              </w:rPr>
              <w:t>移动电话</w:t>
            </w:r>
          </w:p>
        </w:tc>
        <w:tc>
          <w:tcPr>
            <w:tcW w:w="1027" w:type="dxa"/>
            <w:vAlign w:val="center"/>
          </w:tcPr>
          <w:p>
            <w:pPr>
              <w:pStyle w:val="26"/>
              <w:spacing w:line="360" w:lineRule="auto"/>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vAlign w:val="center"/>
          </w:tcPr>
          <w:p>
            <w:pPr>
              <w:pStyle w:val="26"/>
              <w:spacing w:line="360" w:lineRule="auto"/>
              <w:jc w:val="center"/>
              <w:rPr>
                <w:rFonts w:hAnsi="宋体"/>
                <w:szCs w:val="24"/>
              </w:rPr>
            </w:pPr>
            <w:r>
              <w:rPr>
                <w:rFonts w:hint="eastAsia" w:hAnsi="宋体"/>
                <w:szCs w:val="24"/>
              </w:rPr>
              <w:t>参加工作时间</w:t>
            </w:r>
          </w:p>
        </w:tc>
        <w:tc>
          <w:tcPr>
            <w:tcW w:w="2656" w:type="dxa"/>
            <w:gridSpan w:val="2"/>
            <w:vAlign w:val="center"/>
          </w:tcPr>
          <w:p>
            <w:pPr>
              <w:pStyle w:val="26"/>
              <w:spacing w:line="360" w:lineRule="auto"/>
              <w:jc w:val="center"/>
              <w:rPr>
                <w:rFonts w:hAnsi="宋体"/>
                <w:szCs w:val="24"/>
              </w:rPr>
            </w:pPr>
          </w:p>
        </w:tc>
        <w:tc>
          <w:tcPr>
            <w:tcW w:w="2247" w:type="dxa"/>
            <w:vAlign w:val="center"/>
          </w:tcPr>
          <w:p>
            <w:pPr>
              <w:pStyle w:val="26"/>
              <w:spacing w:line="360" w:lineRule="auto"/>
              <w:jc w:val="center"/>
              <w:rPr>
                <w:rFonts w:hAnsi="宋体"/>
                <w:szCs w:val="24"/>
              </w:rPr>
            </w:pPr>
            <w:r>
              <w:rPr>
                <w:rFonts w:hint="eastAsia" w:hAnsi="宋体"/>
                <w:szCs w:val="24"/>
              </w:rPr>
              <w:t>从事该行业年限</w:t>
            </w:r>
          </w:p>
        </w:tc>
        <w:tc>
          <w:tcPr>
            <w:tcW w:w="2314" w:type="dxa"/>
            <w:gridSpan w:val="2"/>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vAlign w:val="center"/>
          </w:tcPr>
          <w:p>
            <w:pPr>
              <w:pStyle w:val="26"/>
              <w:spacing w:line="360" w:lineRule="auto"/>
              <w:jc w:val="center"/>
              <w:rPr>
                <w:rFonts w:hAnsi="宋体"/>
                <w:szCs w:val="24"/>
              </w:rPr>
            </w:pPr>
            <w:r>
              <w:rPr>
                <w:rFonts w:hint="eastAsia" w:hAnsi="宋体"/>
                <w:szCs w:val="24"/>
              </w:rPr>
              <w:t>具有认证资格</w:t>
            </w:r>
          </w:p>
        </w:tc>
        <w:tc>
          <w:tcPr>
            <w:tcW w:w="7217" w:type="dxa"/>
            <w:gridSpan w:val="5"/>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7"/>
            <w:vAlign w:val="center"/>
          </w:tcPr>
          <w:p>
            <w:pPr>
              <w:pStyle w:val="26"/>
              <w:spacing w:line="360" w:lineRule="auto"/>
              <w:jc w:val="center"/>
              <w:rPr>
                <w:rFonts w:hAnsi="宋体"/>
                <w:szCs w:val="24"/>
              </w:rPr>
            </w:pPr>
            <w:r>
              <w:rPr>
                <w:rFonts w:hint="eastAsia" w:hAnsi="宋体"/>
                <w:szCs w:val="24"/>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vAlign w:val="center"/>
          </w:tcPr>
          <w:p>
            <w:pPr>
              <w:pStyle w:val="26"/>
              <w:spacing w:line="360" w:lineRule="auto"/>
              <w:jc w:val="center"/>
              <w:rPr>
                <w:rFonts w:hAnsi="宋体"/>
                <w:szCs w:val="24"/>
              </w:rPr>
            </w:pPr>
            <w:r>
              <w:rPr>
                <w:rFonts w:hint="eastAsia" w:hAnsi="宋体"/>
                <w:szCs w:val="24"/>
              </w:rPr>
              <w:t>使用单位</w:t>
            </w:r>
          </w:p>
        </w:tc>
        <w:tc>
          <w:tcPr>
            <w:tcW w:w="1299" w:type="dxa"/>
            <w:vAlign w:val="center"/>
          </w:tcPr>
          <w:p>
            <w:pPr>
              <w:pStyle w:val="26"/>
              <w:spacing w:line="360" w:lineRule="auto"/>
              <w:jc w:val="center"/>
              <w:rPr>
                <w:rFonts w:hAnsi="宋体"/>
                <w:szCs w:val="24"/>
              </w:rPr>
            </w:pPr>
            <w:r>
              <w:rPr>
                <w:rFonts w:hint="eastAsia" w:hAnsi="宋体"/>
                <w:szCs w:val="24"/>
              </w:rPr>
              <w:t>项目名称</w:t>
            </w:r>
          </w:p>
        </w:tc>
        <w:tc>
          <w:tcPr>
            <w:tcW w:w="1357" w:type="dxa"/>
            <w:vAlign w:val="center"/>
          </w:tcPr>
          <w:p>
            <w:pPr>
              <w:pStyle w:val="26"/>
              <w:spacing w:line="360" w:lineRule="auto"/>
              <w:jc w:val="center"/>
              <w:rPr>
                <w:rFonts w:hAnsi="宋体"/>
                <w:szCs w:val="24"/>
              </w:rPr>
            </w:pPr>
            <w:r>
              <w:rPr>
                <w:rFonts w:hint="eastAsia" w:hAnsi="宋体"/>
                <w:szCs w:val="24"/>
              </w:rPr>
              <w:t>规模</w:t>
            </w:r>
          </w:p>
        </w:tc>
        <w:tc>
          <w:tcPr>
            <w:tcW w:w="2247" w:type="dxa"/>
            <w:vAlign w:val="center"/>
          </w:tcPr>
          <w:p>
            <w:pPr>
              <w:pStyle w:val="26"/>
              <w:spacing w:line="360" w:lineRule="auto"/>
              <w:jc w:val="center"/>
              <w:rPr>
                <w:rFonts w:hAnsi="宋体"/>
                <w:szCs w:val="24"/>
              </w:rPr>
            </w:pPr>
            <w:r>
              <w:rPr>
                <w:rFonts w:hint="eastAsia" w:hAnsi="宋体"/>
                <w:szCs w:val="24"/>
              </w:rPr>
              <w:t>竣工日期</w:t>
            </w:r>
          </w:p>
        </w:tc>
        <w:tc>
          <w:tcPr>
            <w:tcW w:w="2314" w:type="dxa"/>
            <w:gridSpan w:val="2"/>
            <w:vAlign w:val="center"/>
          </w:tcPr>
          <w:p>
            <w:pPr>
              <w:pStyle w:val="26"/>
              <w:spacing w:line="360" w:lineRule="auto"/>
              <w:jc w:val="center"/>
              <w:rPr>
                <w:rFonts w:hAnsi="宋体"/>
                <w:szCs w:val="24"/>
              </w:rPr>
            </w:pPr>
            <w:r>
              <w:rPr>
                <w:rFonts w:hint="eastAsia" w:hAnsi="宋体"/>
                <w:szCs w:val="24"/>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3" w:type="dxa"/>
            <w:gridSpan w:val="2"/>
            <w:vAlign w:val="center"/>
          </w:tcPr>
          <w:p>
            <w:pPr>
              <w:pStyle w:val="26"/>
              <w:spacing w:line="360" w:lineRule="auto"/>
              <w:jc w:val="center"/>
              <w:rPr>
                <w:rFonts w:hAnsi="宋体"/>
                <w:szCs w:val="24"/>
              </w:rPr>
            </w:pPr>
          </w:p>
        </w:tc>
        <w:tc>
          <w:tcPr>
            <w:tcW w:w="1299" w:type="dxa"/>
            <w:vAlign w:val="center"/>
          </w:tcPr>
          <w:p>
            <w:pPr>
              <w:pStyle w:val="26"/>
              <w:spacing w:line="360" w:lineRule="auto"/>
              <w:jc w:val="center"/>
              <w:rPr>
                <w:rFonts w:hAnsi="宋体"/>
                <w:szCs w:val="24"/>
              </w:rPr>
            </w:pPr>
          </w:p>
        </w:tc>
        <w:tc>
          <w:tcPr>
            <w:tcW w:w="1357" w:type="dxa"/>
            <w:vAlign w:val="center"/>
          </w:tcPr>
          <w:p>
            <w:pPr>
              <w:pStyle w:val="26"/>
              <w:spacing w:line="360" w:lineRule="auto"/>
              <w:jc w:val="center"/>
              <w:rPr>
                <w:rFonts w:hAnsi="宋体"/>
                <w:szCs w:val="24"/>
              </w:rPr>
            </w:pPr>
          </w:p>
        </w:tc>
        <w:tc>
          <w:tcPr>
            <w:tcW w:w="2247" w:type="dxa"/>
            <w:vAlign w:val="center"/>
          </w:tcPr>
          <w:p>
            <w:pPr>
              <w:pStyle w:val="26"/>
              <w:spacing w:line="360" w:lineRule="auto"/>
              <w:jc w:val="center"/>
              <w:rPr>
                <w:rFonts w:hAnsi="宋体"/>
                <w:szCs w:val="24"/>
              </w:rPr>
            </w:pPr>
          </w:p>
        </w:tc>
        <w:tc>
          <w:tcPr>
            <w:tcW w:w="2314" w:type="dxa"/>
            <w:gridSpan w:val="2"/>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vAlign w:val="center"/>
          </w:tcPr>
          <w:p>
            <w:pPr>
              <w:pStyle w:val="26"/>
              <w:spacing w:line="360" w:lineRule="auto"/>
              <w:jc w:val="center"/>
              <w:rPr>
                <w:rFonts w:hAnsi="宋体"/>
                <w:szCs w:val="24"/>
              </w:rPr>
            </w:pPr>
          </w:p>
        </w:tc>
        <w:tc>
          <w:tcPr>
            <w:tcW w:w="1299" w:type="dxa"/>
            <w:vAlign w:val="center"/>
          </w:tcPr>
          <w:p>
            <w:pPr>
              <w:pStyle w:val="26"/>
              <w:spacing w:line="360" w:lineRule="auto"/>
              <w:jc w:val="center"/>
              <w:rPr>
                <w:rFonts w:hAnsi="宋体"/>
                <w:szCs w:val="24"/>
              </w:rPr>
            </w:pPr>
          </w:p>
        </w:tc>
        <w:tc>
          <w:tcPr>
            <w:tcW w:w="1357" w:type="dxa"/>
            <w:vAlign w:val="center"/>
          </w:tcPr>
          <w:p>
            <w:pPr>
              <w:pStyle w:val="26"/>
              <w:spacing w:line="360" w:lineRule="auto"/>
              <w:jc w:val="center"/>
              <w:rPr>
                <w:rFonts w:hAnsi="宋体"/>
                <w:szCs w:val="24"/>
              </w:rPr>
            </w:pPr>
          </w:p>
        </w:tc>
        <w:tc>
          <w:tcPr>
            <w:tcW w:w="2247" w:type="dxa"/>
            <w:vAlign w:val="center"/>
          </w:tcPr>
          <w:p>
            <w:pPr>
              <w:pStyle w:val="26"/>
              <w:spacing w:line="360" w:lineRule="auto"/>
              <w:jc w:val="center"/>
              <w:rPr>
                <w:rFonts w:hAnsi="宋体"/>
                <w:szCs w:val="24"/>
              </w:rPr>
            </w:pPr>
          </w:p>
        </w:tc>
        <w:tc>
          <w:tcPr>
            <w:tcW w:w="2314" w:type="dxa"/>
            <w:gridSpan w:val="2"/>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gridSpan w:val="2"/>
            <w:vAlign w:val="center"/>
          </w:tcPr>
          <w:p>
            <w:pPr>
              <w:pStyle w:val="26"/>
              <w:spacing w:line="360" w:lineRule="auto"/>
              <w:jc w:val="center"/>
              <w:rPr>
                <w:rFonts w:hAnsi="宋体"/>
                <w:szCs w:val="24"/>
              </w:rPr>
            </w:pPr>
          </w:p>
        </w:tc>
        <w:tc>
          <w:tcPr>
            <w:tcW w:w="1299" w:type="dxa"/>
            <w:vAlign w:val="center"/>
          </w:tcPr>
          <w:p>
            <w:pPr>
              <w:pStyle w:val="26"/>
              <w:spacing w:line="360" w:lineRule="auto"/>
              <w:jc w:val="center"/>
              <w:rPr>
                <w:rFonts w:hAnsi="宋体"/>
                <w:szCs w:val="24"/>
              </w:rPr>
            </w:pPr>
          </w:p>
        </w:tc>
        <w:tc>
          <w:tcPr>
            <w:tcW w:w="1357" w:type="dxa"/>
            <w:vAlign w:val="center"/>
          </w:tcPr>
          <w:p>
            <w:pPr>
              <w:pStyle w:val="26"/>
              <w:spacing w:line="360" w:lineRule="auto"/>
              <w:jc w:val="center"/>
              <w:rPr>
                <w:rFonts w:hAnsi="宋体"/>
                <w:szCs w:val="24"/>
              </w:rPr>
            </w:pPr>
          </w:p>
        </w:tc>
        <w:tc>
          <w:tcPr>
            <w:tcW w:w="2247" w:type="dxa"/>
            <w:vAlign w:val="center"/>
          </w:tcPr>
          <w:p>
            <w:pPr>
              <w:pStyle w:val="26"/>
              <w:spacing w:line="360" w:lineRule="auto"/>
              <w:jc w:val="center"/>
              <w:rPr>
                <w:rFonts w:hAnsi="宋体"/>
                <w:szCs w:val="24"/>
              </w:rPr>
            </w:pPr>
          </w:p>
        </w:tc>
        <w:tc>
          <w:tcPr>
            <w:tcW w:w="2314" w:type="dxa"/>
            <w:gridSpan w:val="2"/>
            <w:tcBorders>
              <w:top w:val="nil"/>
            </w:tcBorders>
            <w:vAlign w:val="center"/>
          </w:tcPr>
          <w:p>
            <w:pPr>
              <w:pStyle w:val="26"/>
              <w:spacing w:line="360" w:lineRule="auto"/>
              <w:jc w:val="center"/>
              <w:rPr>
                <w:rFonts w:hAnsi="宋体"/>
                <w:szCs w:val="24"/>
              </w:rPr>
            </w:pPr>
          </w:p>
        </w:tc>
      </w:tr>
    </w:tbl>
    <w:p>
      <w:pPr>
        <w:pStyle w:val="26"/>
        <w:spacing w:line="360" w:lineRule="auto"/>
        <w:rPr>
          <w:rFonts w:hAnsi="宋体"/>
          <w:szCs w:val="21"/>
        </w:rPr>
      </w:pPr>
      <w:r>
        <w:rPr>
          <w:rFonts w:hint="eastAsia" w:hAnsi="宋体"/>
          <w:szCs w:val="21"/>
        </w:rPr>
        <w:t>注：根据评分标准要求提供相应材料。</w:t>
      </w:r>
    </w:p>
    <w:p>
      <w:pPr>
        <w:pStyle w:val="26"/>
        <w:spacing w:line="360" w:lineRule="auto"/>
        <w:rPr>
          <w:rFonts w:hAnsi="宋体"/>
          <w:sz w:val="24"/>
        </w:rPr>
      </w:pPr>
    </w:p>
    <w:p>
      <w:pPr>
        <w:pStyle w:val="26"/>
        <w:spacing w:line="360" w:lineRule="auto"/>
        <w:ind w:firstLine="420"/>
        <w:jc w:val="center"/>
        <w:rPr>
          <w:rFonts w:hAnsi="宋体"/>
          <w:b/>
          <w:sz w:val="24"/>
          <w:szCs w:val="24"/>
        </w:rPr>
      </w:pPr>
      <w:r>
        <w:rPr>
          <w:rFonts w:hint="eastAsia" w:hAnsi="宋体"/>
          <w:b/>
          <w:sz w:val="24"/>
          <w:szCs w:val="24"/>
        </w:rPr>
        <w:t>拟派驻本项目技术人员一览表</w:t>
      </w:r>
    </w:p>
    <w:tbl>
      <w:tblPr>
        <w:tblStyle w:val="4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161"/>
        <w:gridCol w:w="872"/>
        <w:gridCol w:w="867"/>
        <w:gridCol w:w="868"/>
        <w:gridCol w:w="868"/>
        <w:gridCol w:w="870"/>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r>
              <w:rPr>
                <w:rFonts w:hint="eastAsia" w:hAnsi="宋体"/>
                <w:szCs w:val="24"/>
              </w:rPr>
              <w:t>序号</w:t>
            </w:r>
          </w:p>
        </w:tc>
        <w:tc>
          <w:tcPr>
            <w:tcW w:w="1161" w:type="dxa"/>
            <w:vAlign w:val="center"/>
          </w:tcPr>
          <w:p>
            <w:pPr>
              <w:pStyle w:val="26"/>
              <w:spacing w:line="360" w:lineRule="auto"/>
              <w:jc w:val="center"/>
              <w:rPr>
                <w:rFonts w:hAnsi="宋体"/>
                <w:szCs w:val="24"/>
              </w:rPr>
            </w:pPr>
            <w:r>
              <w:rPr>
                <w:rFonts w:hint="eastAsia" w:hAnsi="宋体"/>
                <w:szCs w:val="24"/>
              </w:rPr>
              <w:t>姓名</w:t>
            </w:r>
          </w:p>
        </w:tc>
        <w:tc>
          <w:tcPr>
            <w:tcW w:w="872" w:type="dxa"/>
            <w:vAlign w:val="center"/>
          </w:tcPr>
          <w:p>
            <w:pPr>
              <w:pStyle w:val="26"/>
              <w:spacing w:line="360" w:lineRule="auto"/>
              <w:jc w:val="center"/>
              <w:rPr>
                <w:rFonts w:hAnsi="宋体"/>
                <w:szCs w:val="24"/>
              </w:rPr>
            </w:pPr>
            <w:r>
              <w:rPr>
                <w:rFonts w:hint="eastAsia" w:hAnsi="宋体"/>
                <w:szCs w:val="24"/>
              </w:rPr>
              <w:t>性别</w:t>
            </w:r>
          </w:p>
        </w:tc>
        <w:tc>
          <w:tcPr>
            <w:tcW w:w="867" w:type="dxa"/>
            <w:vAlign w:val="center"/>
          </w:tcPr>
          <w:p>
            <w:pPr>
              <w:pStyle w:val="26"/>
              <w:spacing w:line="360" w:lineRule="auto"/>
              <w:jc w:val="center"/>
              <w:rPr>
                <w:rFonts w:hAnsi="宋体"/>
                <w:szCs w:val="24"/>
              </w:rPr>
            </w:pPr>
            <w:r>
              <w:rPr>
                <w:rFonts w:hint="eastAsia" w:hAnsi="宋体"/>
                <w:szCs w:val="24"/>
              </w:rPr>
              <w:t>年龄</w:t>
            </w:r>
          </w:p>
        </w:tc>
        <w:tc>
          <w:tcPr>
            <w:tcW w:w="868" w:type="dxa"/>
            <w:vAlign w:val="center"/>
          </w:tcPr>
          <w:p>
            <w:pPr>
              <w:pStyle w:val="26"/>
              <w:spacing w:line="360" w:lineRule="auto"/>
              <w:jc w:val="center"/>
              <w:rPr>
                <w:rFonts w:hAnsi="宋体"/>
                <w:szCs w:val="24"/>
              </w:rPr>
            </w:pPr>
            <w:r>
              <w:rPr>
                <w:rFonts w:hint="eastAsia" w:hAnsi="宋体"/>
                <w:szCs w:val="24"/>
              </w:rPr>
              <w:t>职称</w:t>
            </w:r>
          </w:p>
        </w:tc>
        <w:tc>
          <w:tcPr>
            <w:tcW w:w="868" w:type="dxa"/>
            <w:vAlign w:val="center"/>
          </w:tcPr>
          <w:p>
            <w:pPr>
              <w:pStyle w:val="26"/>
              <w:spacing w:line="360" w:lineRule="auto"/>
              <w:jc w:val="center"/>
              <w:rPr>
                <w:rFonts w:hAnsi="宋体"/>
                <w:szCs w:val="24"/>
              </w:rPr>
            </w:pPr>
            <w:r>
              <w:rPr>
                <w:rFonts w:hint="eastAsia" w:hAnsi="宋体"/>
                <w:szCs w:val="24"/>
              </w:rPr>
              <w:t>学历</w:t>
            </w:r>
          </w:p>
        </w:tc>
        <w:tc>
          <w:tcPr>
            <w:tcW w:w="870" w:type="dxa"/>
            <w:vAlign w:val="center"/>
          </w:tcPr>
          <w:p>
            <w:pPr>
              <w:pStyle w:val="26"/>
              <w:spacing w:line="360" w:lineRule="auto"/>
              <w:jc w:val="center"/>
              <w:rPr>
                <w:rFonts w:hAnsi="宋体"/>
                <w:szCs w:val="24"/>
              </w:rPr>
            </w:pPr>
            <w:r>
              <w:rPr>
                <w:rFonts w:hint="eastAsia" w:hAnsi="宋体"/>
                <w:szCs w:val="24"/>
              </w:rPr>
              <w:t>专业</w:t>
            </w:r>
          </w:p>
        </w:tc>
        <w:tc>
          <w:tcPr>
            <w:tcW w:w="1421" w:type="dxa"/>
            <w:vAlign w:val="center"/>
          </w:tcPr>
          <w:p>
            <w:pPr>
              <w:pStyle w:val="26"/>
              <w:spacing w:line="360" w:lineRule="auto"/>
              <w:jc w:val="center"/>
              <w:rPr>
                <w:rFonts w:hAnsi="宋体"/>
                <w:szCs w:val="24"/>
              </w:rPr>
            </w:pPr>
            <w:r>
              <w:rPr>
                <w:rFonts w:hint="eastAsia" w:hAnsi="宋体"/>
                <w:szCs w:val="24"/>
              </w:rPr>
              <w:t>经验年限</w:t>
            </w:r>
          </w:p>
        </w:tc>
        <w:tc>
          <w:tcPr>
            <w:tcW w:w="1417" w:type="dxa"/>
            <w:vAlign w:val="center"/>
          </w:tcPr>
          <w:p>
            <w:pPr>
              <w:pStyle w:val="26"/>
              <w:spacing w:line="360" w:lineRule="auto"/>
              <w:jc w:val="center"/>
              <w:rPr>
                <w:rFonts w:hAnsi="宋体"/>
                <w:szCs w:val="24"/>
              </w:rPr>
            </w:pPr>
            <w:r>
              <w:rPr>
                <w:rFonts w:hint="eastAsia" w:hAnsi="宋体"/>
                <w:szCs w:val="24"/>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pStyle w:val="26"/>
              <w:spacing w:line="360" w:lineRule="auto"/>
              <w:jc w:val="center"/>
              <w:rPr>
                <w:rFonts w:hAnsi="宋体"/>
                <w:szCs w:val="24"/>
              </w:rPr>
            </w:pPr>
          </w:p>
        </w:tc>
        <w:tc>
          <w:tcPr>
            <w:tcW w:w="1161" w:type="dxa"/>
            <w:vAlign w:val="center"/>
          </w:tcPr>
          <w:p>
            <w:pPr>
              <w:pStyle w:val="26"/>
              <w:spacing w:line="360" w:lineRule="auto"/>
              <w:jc w:val="center"/>
              <w:rPr>
                <w:rFonts w:hAnsi="宋体"/>
                <w:szCs w:val="24"/>
              </w:rPr>
            </w:pPr>
          </w:p>
        </w:tc>
        <w:tc>
          <w:tcPr>
            <w:tcW w:w="872" w:type="dxa"/>
            <w:vAlign w:val="center"/>
          </w:tcPr>
          <w:p>
            <w:pPr>
              <w:pStyle w:val="26"/>
              <w:spacing w:line="360" w:lineRule="auto"/>
              <w:jc w:val="center"/>
              <w:rPr>
                <w:rFonts w:hAnsi="宋体"/>
                <w:szCs w:val="24"/>
              </w:rPr>
            </w:pPr>
          </w:p>
        </w:tc>
        <w:tc>
          <w:tcPr>
            <w:tcW w:w="867"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68" w:type="dxa"/>
            <w:vAlign w:val="center"/>
          </w:tcPr>
          <w:p>
            <w:pPr>
              <w:pStyle w:val="26"/>
              <w:spacing w:line="360" w:lineRule="auto"/>
              <w:jc w:val="center"/>
              <w:rPr>
                <w:rFonts w:hAnsi="宋体"/>
                <w:szCs w:val="24"/>
              </w:rPr>
            </w:pPr>
          </w:p>
        </w:tc>
        <w:tc>
          <w:tcPr>
            <w:tcW w:w="870" w:type="dxa"/>
            <w:vAlign w:val="center"/>
          </w:tcPr>
          <w:p>
            <w:pPr>
              <w:pStyle w:val="26"/>
              <w:spacing w:line="360" w:lineRule="auto"/>
              <w:jc w:val="center"/>
              <w:rPr>
                <w:rFonts w:hAnsi="宋体"/>
                <w:szCs w:val="24"/>
              </w:rPr>
            </w:pPr>
          </w:p>
        </w:tc>
        <w:tc>
          <w:tcPr>
            <w:tcW w:w="1421" w:type="dxa"/>
            <w:vAlign w:val="center"/>
          </w:tcPr>
          <w:p>
            <w:pPr>
              <w:pStyle w:val="26"/>
              <w:spacing w:line="360" w:lineRule="auto"/>
              <w:jc w:val="center"/>
              <w:rPr>
                <w:rFonts w:hAnsi="宋体"/>
                <w:szCs w:val="24"/>
              </w:rPr>
            </w:pPr>
          </w:p>
        </w:tc>
        <w:tc>
          <w:tcPr>
            <w:tcW w:w="1417" w:type="dxa"/>
            <w:vAlign w:val="center"/>
          </w:tcPr>
          <w:p>
            <w:pPr>
              <w:pStyle w:val="26"/>
              <w:spacing w:line="360" w:lineRule="auto"/>
              <w:jc w:val="center"/>
              <w:rPr>
                <w:rFonts w:hAnsi="宋体"/>
                <w:szCs w:val="24"/>
              </w:rPr>
            </w:pPr>
          </w:p>
        </w:tc>
      </w:tr>
    </w:tbl>
    <w:p>
      <w:pPr>
        <w:pStyle w:val="26"/>
        <w:spacing w:line="360" w:lineRule="auto"/>
        <w:rPr>
          <w:rFonts w:hAnsi="宋体"/>
          <w:b/>
        </w:rPr>
      </w:pPr>
      <w:r>
        <w:rPr>
          <w:rFonts w:hint="eastAsia" w:hAnsi="宋体"/>
          <w:szCs w:val="21"/>
        </w:rPr>
        <w:t>注：根据评分标准要求提供相应材料。</w:t>
      </w:r>
    </w:p>
    <w:p>
      <w:pPr>
        <w:pStyle w:val="26"/>
        <w:spacing w:line="360" w:lineRule="auto"/>
        <w:ind w:firstLine="420"/>
        <w:rPr>
          <w:rFonts w:hAnsi="宋体"/>
        </w:rPr>
      </w:pPr>
    </w:p>
    <w:p>
      <w:pPr>
        <w:pStyle w:val="4"/>
        <w:pageBreakBefore/>
        <w:numPr>
          <w:ilvl w:val="1"/>
          <w:numId w:val="22"/>
        </w:numPr>
        <w:spacing w:line="360" w:lineRule="auto"/>
        <w:ind w:left="0" w:firstLine="0"/>
        <w:jc w:val="center"/>
        <w:rPr>
          <w:b/>
        </w:rPr>
      </w:pPr>
      <w:bookmarkStart w:id="63" w:name="_Toc14670"/>
      <w:bookmarkStart w:id="64" w:name="_Toc21611"/>
      <w:bookmarkStart w:id="65" w:name="_Toc18817"/>
      <w:r>
        <w:rPr>
          <w:rFonts w:hint="eastAsia"/>
          <w:b/>
        </w:rPr>
        <w:t>合同条款偏离表</w:t>
      </w:r>
      <w:bookmarkEnd w:id="63"/>
      <w:bookmarkEnd w:id="64"/>
      <w:bookmarkEnd w:id="65"/>
    </w:p>
    <w:p>
      <w:pPr>
        <w:spacing w:line="360" w:lineRule="auto"/>
        <w:rPr>
          <w:rFonts w:hAnsi="宋体"/>
          <w:sz w:val="21"/>
          <w:szCs w:val="21"/>
        </w:rPr>
      </w:pPr>
    </w:p>
    <w:tbl>
      <w:tblPr>
        <w:tblStyle w:val="4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420"/>
        <w:gridCol w:w="2520"/>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pacing w:line="360" w:lineRule="auto"/>
              <w:jc w:val="center"/>
              <w:rPr>
                <w:rFonts w:hAnsi="宋体"/>
                <w:sz w:val="21"/>
                <w:szCs w:val="21"/>
              </w:rPr>
            </w:pPr>
            <w:r>
              <w:rPr>
                <w:rFonts w:hint="eastAsia" w:hAnsi="宋体"/>
                <w:sz w:val="21"/>
                <w:szCs w:val="21"/>
              </w:rPr>
              <w:t>招标文件条目号</w:t>
            </w:r>
          </w:p>
        </w:tc>
        <w:tc>
          <w:tcPr>
            <w:tcW w:w="2420" w:type="dxa"/>
          </w:tcPr>
          <w:p>
            <w:pPr>
              <w:spacing w:line="360" w:lineRule="auto"/>
              <w:jc w:val="center"/>
              <w:rPr>
                <w:rFonts w:hAnsi="宋体"/>
                <w:sz w:val="21"/>
                <w:szCs w:val="21"/>
              </w:rPr>
            </w:pPr>
            <w:r>
              <w:rPr>
                <w:rFonts w:hint="eastAsia" w:hAnsi="宋体"/>
                <w:sz w:val="21"/>
                <w:szCs w:val="21"/>
              </w:rPr>
              <w:t>招标文件合同条款</w:t>
            </w:r>
          </w:p>
        </w:tc>
        <w:tc>
          <w:tcPr>
            <w:tcW w:w="2520" w:type="dxa"/>
          </w:tcPr>
          <w:p>
            <w:pPr>
              <w:spacing w:line="360" w:lineRule="auto"/>
              <w:jc w:val="center"/>
              <w:rPr>
                <w:rFonts w:hAnsi="宋体"/>
                <w:sz w:val="21"/>
                <w:szCs w:val="21"/>
              </w:rPr>
            </w:pPr>
            <w:r>
              <w:rPr>
                <w:rFonts w:hint="eastAsia" w:hAnsi="宋体"/>
                <w:sz w:val="21"/>
                <w:szCs w:val="21"/>
              </w:rPr>
              <w:t>报价文件合同条款</w:t>
            </w:r>
          </w:p>
        </w:tc>
        <w:tc>
          <w:tcPr>
            <w:tcW w:w="1195" w:type="dxa"/>
            <w:vAlign w:val="center"/>
          </w:tcPr>
          <w:p>
            <w:pPr>
              <w:spacing w:line="360" w:lineRule="auto"/>
              <w:jc w:val="center"/>
              <w:rPr>
                <w:rFonts w:hAnsi="宋体"/>
                <w:sz w:val="21"/>
                <w:szCs w:val="21"/>
              </w:rPr>
            </w:pPr>
            <w:r>
              <w:rPr>
                <w:rFonts w:hint="eastAsia" w:hAnsi="宋体"/>
                <w:sz w:val="21"/>
                <w:szCs w:val="21"/>
              </w:rPr>
              <w:t>偏离情况</w:t>
            </w:r>
          </w:p>
        </w:tc>
        <w:tc>
          <w:tcPr>
            <w:tcW w:w="1195" w:type="dxa"/>
          </w:tcPr>
          <w:p>
            <w:pPr>
              <w:spacing w:line="360" w:lineRule="auto"/>
              <w:jc w:val="center"/>
              <w:rPr>
                <w:rFonts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pacing w:line="360" w:lineRule="auto"/>
              <w:rPr>
                <w:rFonts w:hAnsi="宋体"/>
                <w:sz w:val="21"/>
                <w:szCs w:val="21"/>
              </w:rPr>
            </w:pPr>
          </w:p>
        </w:tc>
        <w:tc>
          <w:tcPr>
            <w:tcW w:w="2420" w:type="dxa"/>
          </w:tcPr>
          <w:p>
            <w:pPr>
              <w:pStyle w:val="45"/>
              <w:spacing w:before="0" w:beforeAutospacing="0" w:after="0" w:afterAutospacing="0" w:line="360" w:lineRule="auto"/>
              <w:rPr>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6" w:type="dxa"/>
          </w:tcPr>
          <w:p>
            <w:pPr>
              <w:spacing w:line="360" w:lineRule="auto"/>
              <w:rPr>
                <w:rFonts w:hAnsi="宋体"/>
                <w:sz w:val="21"/>
                <w:szCs w:val="21"/>
              </w:rPr>
            </w:pPr>
          </w:p>
        </w:tc>
        <w:tc>
          <w:tcPr>
            <w:tcW w:w="2420" w:type="dxa"/>
          </w:tcPr>
          <w:p>
            <w:pPr>
              <w:spacing w:line="360" w:lineRule="auto"/>
              <w:rPr>
                <w:rFonts w:hAnsi="宋体"/>
                <w:sz w:val="21"/>
                <w:szCs w:val="21"/>
              </w:rPr>
            </w:pPr>
          </w:p>
        </w:tc>
        <w:tc>
          <w:tcPr>
            <w:tcW w:w="2520" w:type="dxa"/>
          </w:tcPr>
          <w:p>
            <w:pPr>
              <w:spacing w:line="360" w:lineRule="auto"/>
              <w:rPr>
                <w:rFonts w:hAnsi="宋体"/>
                <w:sz w:val="21"/>
                <w:szCs w:val="21"/>
              </w:rPr>
            </w:pPr>
          </w:p>
        </w:tc>
        <w:tc>
          <w:tcPr>
            <w:tcW w:w="1195" w:type="dxa"/>
            <w:vAlign w:val="center"/>
          </w:tcPr>
          <w:p>
            <w:pPr>
              <w:spacing w:line="360" w:lineRule="auto"/>
              <w:jc w:val="center"/>
              <w:rPr>
                <w:rFonts w:hAnsi="宋体"/>
                <w:sz w:val="21"/>
                <w:szCs w:val="21"/>
              </w:rPr>
            </w:pPr>
          </w:p>
        </w:tc>
        <w:tc>
          <w:tcPr>
            <w:tcW w:w="1195" w:type="dxa"/>
          </w:tcPr>
          <w:p>
            <w:pPr>
              <w:spacing w:line="360" w:lineRule="auto"/>
              <w:rPr>
                <w:rFonts w:hAnsi="宋体"/>
                <w:sz w:val="21"/>
                <w:szCs w:val="21"/>
              </w:rPr>
            </w:pPr>
          </w:p>
        </w:tc>
      </w:tr>
    </w:tbl>
    <w:p>
      <w:pPr>
        <w:spacing w:line="360" w:lineRule="auto"/>
        <w:ind w:left="1052" w:leftChars="132" w:hanging="735" w:hangingChars="350"/>
        <w:rPr>
          <w:rFonts w:hAnsi="宋体"/>
          <w:sz w:val="21"/>
          <w:szCs w:val="21"/>
        </w:rPr>
      </w:pPr>
    </w:p>
    <w:p>
      <w:pPr>
        <w:spacing w:line="360" w:lineRule="auto"/>
        <w:ind w:left="1052" w:leftChars="132" w:hanging="735" w:hangingChars="350"/>
        <w:rPr>
          <w:rFonts w:hAnsi="宋体"/>
          <w:b/>
          <w:bCs/>
          <w:sz w:val="21"/>
          <w:szCs w:val="21"/>
        </w:rPr>
      </w:pPr>
      <w:r>
        <w:rPr>
          <w:rFonts w:hint="eastAsia" w:hAnsi="宋体"/>
          <w:sz w:val="21"/>
          <w:szCs w:val="21"/>
        </w:rPr>
        <w:t>注：1）报价人应对照招标文件“合同条款”，如实地说明已对招标文件“合同条款”内容的响应情况，并说明与招标文件的偏差和响应情况，若发现虚假填写，作无效投标处理。</w:t>
      </w:r>
    </w:p>
    <w:p>
      <w:pPr>
        <w:spacing w:line="360" w:lineRule="auto"/>
        <w:ind w:left="1054" w:leftChars="308" w:hanging="315" w:hangingChars="150"/>
        <w:rPr>
          <w:rFonts w:hAnsi="宋体"/>
          <w:sz w:val="21"/>
          <w:szCs w:val="21"/>
        </w:rPr>
      </w:pPr>
      <w:r>
        <w:rPr>
          <w:rFonts w:hint="eastAsia" w:hAnsi="宋体"/>
          <w:sz w:val="21"/>
          <w:szCs w:val="21"/>
        </w:rPr>
        <w:t>2）如报价人差异内容较多可另附页说明。</w:t>
      </w:r>
    </w:p>
    <w:p>
      <w:pPr>
        <w:spacing w:line="360" w:lineRule="auto"/>
        <w:ind w:left="1054" w:leftChars="308" w:hanging="315" w:hangingChars="150"/>
        <w:rPr>
          <w:rFonts w:hAnsi="宋体"/>
          <w:sz w:val="21"/>
          <w:szCs w:val="21"/>
        </w:rPr>
      </w:pPr>
      <w:r>
        <w:rPr>
          <w:rFonts w:hint="eastAsia" w:hAnsi="宋体"/>
          <w:sz w:val="21"/>
          <w:szCs w:val="21"/>
        </w:rPr>
        <w:t>3）如报价人对“合同条款”全部响应的，也可以在表格下面用文字总括性的说明。</w:t>
      </w:r>
    </w:p>
    <w:p>
      <w:pPr>
        <w:spacing w:line="360" w:lineRule="auto"/>
        <w:ind w:left="1052" w:leftChars="132" w:hanging="735" w:hangingChars="350"/>
        <w:rPr>
          <w:rFonts w:hAnsi="宋体"/>
          <w:sz w:val="21"/>
          <w:szCs w:val="21"/>
        </w:rPr>
      </w:pPr>
      <w:r>
        <w:rPr>
          <w:rFonts w:hint="eastAsia" w:hAnsi="宋体"/>
          <w:sz w:val="21"/>
          <w:szCs w:val="21"/>
        </w:rPr>
        <w:t xml:space="preserve">    4）如有偏离，应在“偏离情况”栏内注明“有”，并在“说明”栏内予以说明；如无偏离，应在“偏离情况”栏内注明“无”。</w:t>
      </w:r>
    </w:p>
    <w:p>
      <w:pPr>
        <w:pStyle w:val="58"/>
        <w:spacing w:line="360" w:lineRule="auto"/>
        <w:rPr>
          <w:rFonts w:ascii="宋体" w:hAnsi="宋体"/>
          <w:sz w:val="28"/>
          <w:szCs w:val="28"/>
        </w:rPr>
      </w:pPr>
    </w:p>
    <w:p>
      <w:pPr>
        <w:pStyle w:val="58"/>
        <w:spacing w:line="360" w:lineRule="auto"/>
        <w:rPr>
          <w:rFonts w:ascii="宋体" w:hAnsi="宋体"/>
          <w:sz w:val="28"/>
          <w:szCs w:val="28"/>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pacing w:line="360" w:lineRule="auto"/>
        <w:rPr>
          <w:rFonts w:hAnsi="宋体"/>
          <w:b/>
          <w:sz w:val="21"/>
          <w:szCs w:val="21"/>
        </w:rPr>
      </w:pPr>
      <w:r>
        <w:rPr>
          <w:rFonts w:hint="eastAsia" w:hAnsi="宋体"/>
          <w:sz w:val="21"/>
          <w:szCs w:val="21"/>
        </w:rPr>
        <w:t>日期：</w:t>
      </w:r>
    </w:p>
    <w:p>
      <w:pPr>
        <w:spacing w:line="360" w:lineRule="auto"/>
        <w:rPr>
          <w:rFonts w:hAnsi="宋体"/>
          <w:sz w:val="21"/>
          <w:szCs w:val="21"/>
        </w:rPr>
      </w:pPr>
    </w:p>
    <w:p>
      <w:pPr>
        <w:pStyle w:val="4"/>
        <w:pageBreakBefore/>
        <w:numPr>
          <w:ilvl w:val="1"/>
          <w:numId w:val="22"/>
        </w:numPr>
        <w:spacing w:line="360" w:lineRule="auto"/>
        <w:ind w:left="0" w:firstLine="0"/>
        <w:jc w:val="center"/>
        <w:rPr>
          <w:b/>
        </w:rPr>
      </w:pPr>
      <w:bookmarkStart w:id="66" w:name="_Toc12595"/>
      <w:bookmarkStart w:id="67" w:name="_Toc19655"/>
      <w:bookmarkStart w:id="68" w:name="_Toc19316"/>
      <w:r>
        <w:rPr>
          <w:rFonts w:hint="eastAsia"/>
          <w:b/>
        </w:rPr>
        <w:t>报价保证金汇入情况说明</w:t>
      </w:r>
      <w:bookmarkEnd w:id="66"/>
      <w:bookmarkEnd w:id="67"/>
      <w:bookmarkEnd w:id="68"/>
    </w:p>
    <w:p>
      <w:pPr>
        <w:spacing w:line="360" w:lineRule="auto"/>
        <w:rPr>
          <w:rFonts w:hAnsi="宋体"/>
          <w:sz w:val="21"/>
          <w:szCs w:val="21"/>
        </w:rPr>
      </w:pPr>
    </w:p>
    <w:p>
      <w:pPr>
        <w:spacing w:line="360" w:lineRule="auto"/>
        <w:rPr>
          <w:rFonts w:hAnsi="宋体"/>
          <w:b/>
          <w:sz w:val="21"/>
          <w:szCs w:val="21"/>
        </w:rPr>
      </w:pPr>
      <w:r>
        <w:rPr>
          <w:rFonts w:hint="eastAsia" w:hAnsi="宋体"/>
          <w:b/>
          <w:sz w:val="21"/>
          <w:szCs w:val="21"/>
        </w:rPr>
        <w:t xml:space="preserve">致：广东泰通伟业工程咨询有限公司 </w:t>
      </w:r>
    </w:p>
    <w:p>
      <w:pPr>
        <w:spacing w:line="360" w:lineRule="auto"/>
        <w:rPr>
          <w:rFonts w:hAnsi="宋体"/>
          <w:sz w:val="21"/>
          <w:szCs w:val="21"/>
        </w:rPr>
      </w:pPr>
    </w:p>
    <w:p>
      <w:pPr>
        <w:spacing w:line="360" w:lineRule="auto"/>
        <w:ind w:firstLine="420" w:firstLineChars="200"/>
        <w:rPr>
          <w:rFonts w:hAnsi="宋体"/>
          <w:sz w:val="21"/>
          <w:szCs w:val="21"/>
        </w:rPr>
      </w:pPr>
      <w:r>
        <w:rPr>
          <w:rFonts w:hint="eastAsia" w:hAnsi="宋体"/>
          <w:sz w:val="21"/>
          <w:szCs w:val="21"/>
        </w:rPr>
        <w:t>本单位已按</w:t>
      </w:r>
      <w:r>
        <w:rPr>
          <w:rFonts w:hint="eastAsia" w:hAnsi="宋体"/>
          <w:kern w:val="2"/>
          <w:sz w:val="21"/>
          <w:szCs w:val="21"/>
          <w:u w:val="single"/>
        </w:rPr>
        <w:t xml:space="preserve">                      （</w:t>
      </w:r>
      <w:r>
        <w:rPr>
          <w:rFonts w:hint="eastAsia" w:hAnsi="宋体"/>
          <w:kern w:val="2"/>
          <w:sz w:val="21"/>
          <w:szCs w:val="21"/>
          <w:u w:val="single"/>
          <w:lang w:val="zh-CN"/>
        </w:rPr>
        <w:t>项目名称）</w:t>
      </w:r>
      <w:r>
        <w:rPr>
          <w:rFonts w:hint="eastAsia" w:hAnsi="宋体"/>
          <w:sz w:val="21"/>
          <w:szCs w:val="32"/>
        </w:rPr>
        <w:t>(</w:t>
      </w:r>
      <w:r>
        <w:rPr>
          <w:rFonts w:hint="eastAsia" w:hAnsi="宋体"/>
          <w:kern w:val="2"/>
          <w:sz w:val="21"/>
          <w:szCs w:val="21"/>
          <w:lang w:val="zh-CN"/>
        </w:rPr>
        <w:t>项目编号：</w:t>
      </w:r>
      <w:r>
        <w:rPr>
          <w:rFonts w:hint="eastAsia" w:hAnsi="宋体"/>
          <w:kern w:val="2"/>
          <w:sz w:val="21"/>
          <w:szCs w:val="21"/>
        </w:rPr>
        <w:t xml:space="preserve">    </w:t>
      </w:r>
      <w:r>
        <w:rPr>
          <w:rFonts w:hint="eastAsia" w:hAnsi="宋体"/>
          <w:kern w:val="2"/>
          <w:sz w:val="21"/>
          <w:szCs w:val="21"/>
          <w:lang w:val="zh-CN"/>
        </w:rPr>
        <w:t>)</w:t>
      </w:r>
      <w:r>
        <w:rPr>
          <w:rFonts w:hint="eastAsia" w:hAnsi="宋体"/>
          <w:sz w:val="21"/>
          <w:szCs w:val="21"/>
        </w:rPr>
        <w:t>的招标文件要求，于</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日前以</w:t>
      </w:r>
      <w:r>
        <w:rPr>
          <w:rFonts w:hint="eastAsia" w:hAnsi="宋体"/>
          <w:sz w:val="21"/>
          <w:szCs w:val="21"/>
          <w:u w:val="single"/>
        </w:rPr>
        <w:t xml:space="preserve">    （付款形式）  </w:t>
      </w:r>
      <w:r>
        <w:rPr>
          <w:rFonts w:hint="eastAsia" w:hAnsi="宋体"/>
          <w:sz w:val="21"/>
          <w:szCs w:val="21"/>
        </w:rPr>
        <w:t>方式汇入指定帐户（帐户名称：</w:t>
      </w:r>
      <w:r>
        <w:rPr>
          <w:rFonts w:hint="eastAsia" w:hAnsi="宋体"/>
          <w:sz w:val="21"/>
          <w:szCs w:val="21"/>
          <w:u w:val="single"/>
        </w:rPr>
        <w:t xml:space="preserve">        </w:t>
      </w:r>
      <w:r>
        <w:rPr>
          <w:rFonts w:hint="eastAsia" w:hAnsi="宋体"/>
          <w:sz w:val="21"/>
          <w:szCs w:val="21"/>
        </w:rPr>
        <w:t xml:space="preserve">，帐号 </w:t>
      </w:r>
      <w:r>
        <w:rPr>
          <w:rFonts w:hint="eastAsia" w:hAnsi="宋体"/>
          <w:sz w:val="21"/>
          <w:szCs w:val="21"/>
          <w:u w:val="single"/>
        </w:rPr>
        <w:t xml:space="preserve">       </w:t>
      </w:r>
      <w:r>
        <w:rPr>
          <w:rFonts w:hint="eastAsia" w:hAnsi="宋体"/>
          <w:sz w:val="21"/>
          <w:szCs w:val="21"/>
        </w:rPr>
        <w:t xml:space="preserve"> ,开户银行：</w:t>
      </w:r>
      <w:r>
        <w:rPr>
          <w:rFonts w:hint="eastAsia" w:hAnsi="宋体"/>
          <w:sz w:val="21"/>
          <w:szCs w:val="21"/>
          <w:u w:val="single"/>
        </w:rPr>
        <w:t xml:space="preserve">             </w:t>
      </w:r>
      <w:r>
        <w:rPr>
          <w:rFonts w:hint="eastAsia" w:hAnsi="宋体"/>
          <w:sz w:val="21"/>
          <w:szCs w:val="21"/>
        </w:rPr>
        <w:t>）。</w:t>
      </w:r>
    </w:p>
    <w:p>
      <w:pPr>
        <w:spacing w:line="360" w:lineRule="auto"/>
        <w:ind w:firstLine="420" w:firstLineChars="200"/>
        <w:rPr>
          <w:rFonts w:hAnsi="宋体"/>
          <w:sz w:val="21"/>
          <w:szCs w:val="21"/>
        </w:rPr>
      </w:pPr>
      <w:r>
        <w:rPr>
          <w:rFonts w:hint="eastAsia" w:hAnsi="宋体"/>
          <w:sz w:val="21"/>
          <w:szCs w:val="21"/>
        </w:rPr>
        <w:t>本单位报价保证金的汇款情况：（详见附件－报价保证金进帐单）</w:t>
      </w:r>
    </w:p>
    <w:p>
      <w:pPr>
        <w:spacing w:line="360" w:lineRule="auto"/>
        <w:ind w:firstLine="420" w:firstLineChars="200"/>
        <w:rPr>
          <w:rFonts w:hAnsi="宋体"/>
          <w:sz w:val="21"/>
          <w:szCs w:val="21"/>
        </w:rPr>
      </w:pPr>
      <w:r>
        <w:rPr>
          <w:rFonts w:hint="eastAsia" w:hAnsi="宋体"/>
          <w:sz w:val="21"/>
          <w:szCs w:val="21"/>
        </w:rPr>
        <w:t>汇出时间：</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w:t>
      </w:r>
    </w:p>
    <w:p>
      <w:pPr>
        <w:spacing w:line="360" w:lineRule="auto"/>
        <w:ind w:firstLine="420" w:firstLineChars="200"/>
        <w:rPr>
          <w:rFonts w:hAnsi="宋体"/>
          <w:sz w:val="21"/>
          <w:szCs w:val="21"/>
        </w:rPr>
      </w:pPr>
      <w:r>
        <w:rPr>
          <w:rFonts w:hint="eastAsia" w:hAnsi="宋体"/>
          <w:sz w:val="21"/>
          <w:szCs w:val="21"/>
        </w:rPr>
        <w:t>汇款金额：（大写）人民币</w:t>
      </w:r>
      <w:r>
        <w:rPr>
          <w:rFonts w:hint="eastAsia" w:hAnsi="宋体"/>
          <w:sz w:val="21"/>
          <w:szCs w:val="21"/>
          <w:u w:val="single"/>
        </w:rPr>
        <w:t xml:space="preserve">       </w:t>
      </w:r>
      <w:r>
        <w:rPr>
          <w:rFonts w:hint="eastAsia" w:hAnsi="宋体"/>
          <w:sz w:val="21"/>
          <w:szCs w:val="21"/>
        </w:rPr>
        <w:t>元（小写：￥</w:t>
      </w:r>
      <w:r>
        <w:rPr>
          <w:rFonts w:hint="eastAsia" w:hAnsi="宋体"/>
          <w:sz w:val="21"/>
          <w:szCs w:val="21"/>
          <w:u w:val="single"/>
        </w:rPr>
        <w:t xml:space="preserve">      </w:t>
      </w:r>
      <w:r>
        <w:rPr>
          <w:rFonts w:hint="eastAsia" w:hAnsi="宋体"/>
          <w:sz w:val="21"/>
          <w:szCs w:val="21"/>
        </w:rPr>
        <w:t>元）</w:t>
      </w:r>
    </w:p>
    <w:p>
      <w:pPr>
        <w:spacing w:line="360" w:lineRule="auto"/>
        <w:ind w:firstLine="420" w:firstLineChars="200"/>
        <w:rPr>
          <w:rFonts w:hAnsi="宋体"/>
          <w:sz w:val="21"/>
          <w:szCs w:val="21"/>
        </w:rPr>
      </w:pPr>
      <w:r>
        <w:rPr>
          <w:rFonts w:hint="eastAsia" w:hAnsi="宋体"/>
          <w:sz w:val="21"/>
          <w:szCs w:val="21"/>
        </w:rPr>
        <w:t>汇款帐户名称：</w:t>
      </w:r>
      <w:r>
        <w:rPr>
          <w:rFonts w:hint="eastAsia" w:hAnsi="宋体"/>
          <w:sz w:val="21"/>
          <w:szCs w:val="21"/>
          <w:u w:val="single"/>
        </w:rPr>
        <w:t xml:space="preserve">  （必须是投标时使用的帐户名）   </w:t>
      </w:r>
    </w:p>
    <w:p>
      <w:pPr>
        <w:spacing w:line="360" w:lineRule="auto"/>
        <w:ind w:firstLine="420" w:firstLineChars="200"/>
        <w:rPr>
          <w:rFonts w:hAnsi="宋体"/>
          <w:sz w:val="21"/>
          <w:szCs w:val="21"/>
        </w:rPr>
      </w:pPr>
      <w:r>
        <w:rPr>
          <w:rFonts w:hint="eastAsia" w:hAnsi="宋体"/>
          <w:sz w:val="21"/>
          <w:szCs w:val="21"/>
        </w:rPr>
        <w:t>帐    号：</w:t>
      </w:r>
      <w:r>
        <w:rPr>
          <w:rFonts w:hint="eastAsia" w:hAnsi="宋体"/>
          <w:sz w:val="21"/>
          <w:szCs w:val="21"/>
          <w:u w:val="single"/>
        </w:rPr>
        <w:t xml:space="preserve">      （必须是投标时使用的帐号）     </w:t>
      </w:r>
    </w:p>
    <w:p>
      <w:pPr>
        <w:spacing w:line="360" w:lineRule="auto"/>
        <w:ind w:firstLine="420" w:firstLineChars="200"/>
        <w:rPr>
          <w:rFonts w:hAnsi="宋体"/>
          <w:sz w:val="21"/>
          <w:szCs w:val="21"/>
        </w:rPr>
      </w:pPr>
      <w:r>
        <w:rPr>
          <w:rFonts w:hint="eastAsia" w:hAnsi="宋体"/>
          <w:sz w:val="21"/>
          <w:szCs w:val="21"/>
        </w:rPr>
        <w:t>开户银行：</w:t>
      </w:r>
      <w:r>
        <w:rPr>
          <w:rFonts w:hint="eastAsia" w:hAnsi="宋体"/>
          <w:sz w:val="21"/>
          <w:szCs w:val="21"/>
          <w:u w:val="single"/>
        </w:rPr>
        <w:t xml:space="preserve">         省    市                    </w:t>
      </w:r>
    </w:p>
    <w:p>
      <w:pPr>
        <w:spacing w:line="360" w:lineRule="auto"/>
        <w:ind w:firstLine="420" w:firstLineChars="200"/>
        <w:rPr>
          <w:rFonts w:hAnsi="宋体"/>
          <w:sz w:val="21"/>
          <w:szCs w:val="21"/>
        </w:rPr>
      </w:pPr>
      <w:r>
        <w:rPr>
          <w:rFonts w:hint="eastAsia" w:hAnsi="宋体"/>
          <w:sz w:val="21"/>
          <w:szCs w:val="21"/>
        </w:rPr>
        <w:t>本单位谨承诺上述资料是正确、真实的，如因上述证明与事实不符导致的一切损失，本单位保证承担赔偿等一切法律责任。</w:t>
      </w:r>
    </w:p>
    <w:p>
      <w:pPr>
        <w:spacing w:line="360" w:lineRule="auto"/>
        <w:ind w:firstLine="420" w:firstLineChars="200"/>
        <w:rPr>
          <w:rFonts w:hAnsi="宋体"/>
          <w:sz w:val="21"/>
          <w:szCs w:val="21"/>
        </w:rPr>
      </w:pPr>
      <w:r>
        <w:rPr>
          <w:rFonts w:hint="eastAsia" w:hAnsi="宋体"/>
          <w:sz w:val="21"/>
          <w:szCs w:val="21"/>
        </w:rPr>
        <w:t>报价保证金退回时，请按上述资料退回。</w:t>
      </w:r>
    </w:p>
    <w:p>
      <w:pPr>
        <w:spacing w:line="360" w:lineRule="auto"/>
        <w:ind w:right="965" w:rightChars="402"/>
        <w:jc w:val="right"/>
        <w:rPr>
          <w:rFonts w:hAnsi="宋体"/>
          <w:sz w:val="21"/>
          <w:szCs w:val="21"/>
        </w:rPr>
      </w:pPr>
      <w:r>
        <w:rPr>
          <w:rFonts w:hint="eastAsia" w:hAnsi="宋体"/>
          <w:sz w:val="21"/>
          <w:szCs w:val="21"/>
        </w:rPr>
        <w:t>（单位公章）</w:t>
      </w:r>
    </w:p>
    <w:p>
      <w:pPr>
        <w:spacing w:line="360" w:lineRule="auto"/>
        <w:ind w:right="718" w:rightChars="299"/>
        <w:jc w:val="right"/>
        <w:rPr>
          <w:rFonts w:hAnsi="宋体"/>
          <w:sz w:val="21"/>
          <w:szCs w:val="21"/>
        </w:rPr>
      </w:pPr>
      <w:r>
        <w:rPr>
          <w:rFonts w:hint="eastAsia" w:hAnsi="宋体"/>
          <w:sz w:val="21"/>
          <w:szCs w:val="21"/>
        </w:rPr>
        <w:t>年  月  日</w:t>
      </w:r>
    </w:p>
    <w:p>
      <w:pPr>
        <w:spacing w:line="360" w:lineRule="auto"/>
        <w:rPr>
          <w:rFonts w:hAnsi="宋体"/>
          <w:sz w:val="21"/>
          <w:szCs w:val="21"/>
        </w:rPr>
      </w:pPr>
      <w:r>
        <w:rPr>
          <w:rFonts w:hint="eastAsia" w:hAnsi="宋体"/>
          <w:sz w:val="21"/>
          <w:szCs w:val="21"/>
        </w:rPr>
        <w:t>单位名称：</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单位地址：</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联系人：</w:t>
      </w:r>
      <w:r>
        <w:rPr>
          <w:rFonts w:hint="eastAsia" w:hAnsi="宋体"/>
          <w:sz w:val="21"/>
          <w:szCs w:val="21"/>
          <w:u w:val="single"/>
        </w:rPr>
        <w:t xml:space="preserve">                     </w:t>
      </w:r>
    </w:p>
    <w:p>
      <w:pPr>
        <w:spacing w:line="360" w:lineRule="auto"/>
        <w:rPr>
          <w:rFonts w:hAnsi="宋体"/>
          <w:sz w:val="21"/>
          <w:szCs w:val="21"/>
        </w:rPr>
      </w:pPr>
      <w:r>
        <w:rPr>
          <w:rFonts w:hint="eastAsia" w:hAnsi="宋体"/>
          <w:sz w:val="21"/>
          <w:szCs w:val="21"/>
        </w:rPr>
        <w:t>单位电话：</w:t>
      </w:r>
      <w:r>
        <w:rPr>
          <w:rFonts w:hint="eastAsia" w:hAnsi="宋体"/>
          <w:sz w:val="21"/>
          <w:szCs w:val="21"/>
          <w:u w:val="single"/>
        </w:rPr>
        <w:t xml:space="preserve">                  </w:t>
      </w:r>
      <w:r>
        <w:rPr>
          <w:rFonts w:hint="eastAsia" w:hAnsi="宋体"/>
          <w:sz w:val="21"/>
          <w:szCs w:val="21"/>
        </w:rPr>
        <w:t xml:space="preserve"> </w:t>
      </w:r>
    </w:p>
    <w:p>
      <w:pPr>
        <w:spacing w:line="360" w:lineRule="auto"/>
        <w:rPr>
          <w:rFonts w:hAnsi="宋体"/>
          <w:sz w:val="21"/>
          <w:szCs w:val="21"/>
        </w:rPr>
      </w:pPr>
      <w:r>
        <w:rPr>
          <w:rFonts w:hint="eastAsia" w:hAnsi="宋体"/>
          <w:sz w:val="21"/>
          <w:szCs w:val="21"/>
        </w:rPr>
        <w:t>联系人手机：</w:t>
      </w:r>
      <w:r>
        <w:rPr>
          <w:rFonts w:hint="eastAsia" w:hAnsi="宋体"/>
          <w:sz w:val="21"/>
          <w:szCs w:val="21"/>
          <w:u w:val="single"/>
        </w:rPr>
        <w:t xml:space="preserve">                </w:t>
      </w:r>
    </w:p>
    <w:p>
      <w:pPr>
        <w:spacing w:line="360" w:lineRule="auto"/>
        <w:ind w:firstLine="420" w:firstLineChars="200"/>
        <w:rPr>
          <w:rFonts w:hAnsi="宋体"/>
          <w:sz w:val="21"/>
          <w:szCs w:val="21"/>
        </w:rPr>
      </w:pPr>
      <w:r>
        <w:rPr>
          <w:rFonts w:hint="eastAsia" w:hAnsi="宋体"/>
          <w:sz w:val="21"/>
          <w:szCs w:val="21"/>
        </w:rPr>
        <w:t>附：我方报价保证金汇款凭证</w:t>
      </w:r>
    </w:p>
    <w:tbl>
      <w:tblPr>
        <w:tblStyle w:val="49"/>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79" w:type="dxa"/>
            <w:vAlign w:val="center"/>
          </w:tcPr>
          <w:p>
            <w:pPr>
              <w:tabs>
                <w:tab w:val="left" w:pos="3885"/>
              </w:tabs>
              <w:spacing w:line="360" w:lineRule="auto"/>
              <w:jc w:val="center"/>
              <w:rPr>
                <w:rFonts w:hAnsi="宋体"/>
                <w:sz w:val="21"/>
                <w:szCs w:val="21"/>
              </w:rPr>
            </w:pPr>
            <w:r>
              <w:rPr>
                <w:rFonts w:hint="eastAsia" w:hAnsi="宋体"/>
                <w:sz w:val="21"/>
                <w:szCs w:val="21"/>
              </w:rPr>
              <w:t>（粘贴汇款单或转账</w:t>
            </w:r>
            <w:r>
              <w:rPr>
                <w:rFonts w:hAnsi="宋体"/>
                <w:sz w:val="21"/>
                <w:szCs w:val="21"/>
              </w:rPr>
              <w:t>凭证</w:t>
            </w:r>
            <w:r>
              <w:rPr>
                <w:rFonts w:hint="eastAsia" w:hAnsi="宋体"/>
                <w:sz w:val="21"/>
                <w:szCs w:val="21"/>
              </w:rPr>
              <w:t>复印件，并在骑缝上加盖公章，或是直接把转账</w:t>
            </w:r>
            <w:r>
              <w:rPr>
                <w:rFonts w:hAnsi="宋体"/>
                <w:sz w:val="21"/>
                <w:szCs w:val="21"/>
              </w:rPr>
              <w:t>凭证</w:t>
            </w:r>
            <w:r>
              <w:rPr>
                <w:rFonts w:hint="eastAsia" w:hAnsi="宋体"/>
                <w:sz w:val="21"/>
                <w:szCs w:val="21"/>
              </w:rPr>
              <w:t>复印到此张纸上）</w:t>
            </w:r>
          </w:p>
        </w:tc>
      </w:tr>
    </w:tbl>
    <w:p>
      <w:pPr>
        <w:spacing w:line="360" w:lineRule="auto"/>
        <w:rPr>
          <w:rFonts w:hAnsi="宋体"/>
          <w:sz w:val="21"/>
          <w:szCs w:val="21"/>
        </w:rPr>
      </w:pPr>
    </w:p>
    <w:p>
      <w:pPr>
        <w:pStyle w:val="4"/>
        <w:pageBreakBefore/>
        <w:numPr>
          <w:ilvl w:val="1"/>
          <w:numId w:val="22"/>
        </w:numPr>
        <w:ind w:left="0" w:leftChars="-59" w:hanging="142" w:hangingChars="59"/>
        <w:jc w:val="center"/>
        <w:rPr>
          <w:rFonts w:hAnsi="宋体"/>
          <w:b/>
          <w:bCs/>
        </w:rPr>
      </w:pPr>
      <w:bookmarkStart w:id="69" w:name="_Toc10655"/>
      <w:bookmarkStart w:id="70" w:name="_Toc22990"/>
      <w:bookmarkStart w:id="71" w:name="_Toc19385"/>
      <w:r>
        <w:rPr>
          <w:rFonts w:hint="eastAsia" w:hAnsi="宋体"/>
          <w:b/>
          <w:bCs/>
        </w:rPr>
        <w:t>其他资料</w:t>
      </w:r>
      <w:bookmarkEnd w:id="69"/>
      <w:bookmarkEnd w:id="70"/>
      <w:bookmarkEnd w:id="71"/>
    </w:p>
    <w:p>
      <w:pPr>
        <w:spacing w:line="360" w:lineRule="auto"/>
        <w:rPr>
          <w:rFonts w:hAnsi="宋体"/>
          <w:sz w:val="21"/>
          <w:szCs w:val="21"/>
        </w:rPr>
      </w:pPr>
      <w:r>
        <w:rPr>
          <w:rFonts w:hint="eastAsia" w:hAnsi="宋体"/>
          <w:sz w:val="21"/>
          <w:szCs w:val="21"/>
        </w:rPr>
        <w:t>1、招标文件要求提供的其他资料（如有）</w:t>
      </w:r>
    </w:p>
    <w:p>
      <w:pPr>
        <w:spacing w:line="360" w:lineRule="auto"/>
        <w:rPr>
          <w:rFonts w:hAnsi="宋体"/>
          <w:sz w:val="21"/>
          <w:szCs w:val="21"/>
        </w:rPr>
      </w:pPr>
      <w:r>
        <w:rPr>
          <w:rFonts w:hint="eastAsia" w:hAnsi="宋体"/>
          <w:sz w:val="21"/>
          <w:szCs w:val="21"/>
        </w:rPr>
        <w:t>2、报价人认为需要提供的其他资料（如有）</w:t>
      </w:r>
    </w:p>
    <w:p>
      <w:pPr>
        <w:spacing w:line="360" w:lineRule="auto"/>
        <w:rPr>
          <w:rFonts w:hAnsi="宋体"/>
          <w:b/>
          <w:sz w:val="21"/>
          <w:szCs w:val="21"/>
        </w:rPr>
      </w:pPr>
    </w:p>
    <w:p>
      <w:pPr>
        <w:pStyle w:val="2"/>
        <w:pageBreakBefore/>
        <w:spacing w:line="360" w:lineRule="auto"/>
        <w:jc w:val="center"/>
        <w:rPr>
          <w:b w:val="0"/>
          <w:sz w:val="28"/>
          <w:szCs w:val="28"/>
        </w:rPr>
      </w:pPr>
      <w:bookmarkStart w:id="72" w:name="_Toc396137258"/>
      <w:bookmarkStart w:id="73" w:name="_Toc16384"/>
      <w:bookmarkStart w:id="74" w:name="_Toc19688"/>
      <w:bookmarkStart w:id="75" w:name="_Toc109"/>
      <w:r>
        <w:rPr>
          <w:rFonts w:hint="eastAsia"/>
          <w:b w:val="0"/>
          <w:sz w:val="28"/>
          <w:szCs w:val="28"/>
        </w:rPr>
        <w:t xml:space="preserve">第三节 </w:t>
      </w:r>
      <w:bookmarkEnd w:id="72"/>
      <w:bookmarkEnd w:id="73"/>
      <w:bookmarkEnd w:id="74"/>
      <w:bookmarkEnd w:id="75"/>
      <w:r>
        <w:rPr>
          <w:rFonts w:hint="eastAsia"/>
          <w:b w:val="0"/>
          <w:sz w:val="28"/>
          <w:szCs w:val="28"/>
        </w:rPr>
        <w:t>技术文件</w:t>
      </w:r>
    </w:p>
    <w:bookmarkEnd w:id="49"/>
    <w:p>
      <w:pPr>
        <w:pStyle w:val="4"/>
        <w:numPr>
          <w:ilvl w:val="1"/>
          <w:numId w:val="24"/>
        </w:numPr>
        <w:spacing w:line="360" w:lineRule="auto"/>
        <w:ind w:left="0" w:firstLine="0"/>
        <w:jc w:val="center"/>
        <w:rPr>
          <w:b/>
        </w:rPr>
      </w:pPr>
      <w:bookmarkStart w:id="76" w:name="_Toc23803"/>
      <w:bookmarkStart w:id="77" w:name="_Toc29876"/>
      <w:bookmarkStart w:id="78" w:name="_Toc29998"/>
      <w:r>
        <w:rPr>
          <w:rFonts w:hint="eastAsia"/>
          <w:b/>
        </w:rPr>
        <w:t>技术偏离表</w:t>
      </w:r>
      <w:bookmarkEnd w:id="76"/>
      <w:bookmarkEnd w:id="77"/>
      <w:bookmarkEnd w:id="78"/>
    </w:p>
    <w:p>
      <w:pPr>
        <w:spacing w:line="360" w:lineRule="auto"/>
        <w:rPr>
          <w:rFonts w:hAnsi="宋体"/>
          <w:sz w:val="21"/>
          <w:szCs w:val="21"/>
        </w:rPr>
      </w:pPr>
    </w:p>
    <w:tbl>
      <w:tblPr>
        <w:tblStyle w:val="4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033"/>
        <w:gridCol w:w="2551"/>
        <w:gridCol w:w="141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0" w:type="dxa"/>
            <w:vAlign w:val="center"/>
          </w:tcPr>
          <w:p>
            <w:pPr>
              <w:spacing w:line="360" w:lineRule="auto"/>
              <w:jc w:val="center"/>
              <w:rPr>
                <w:rFonts w:hAnsi="宋体"/>
                <w:sz w:val="21"/>
                <w:szCs w:val="21"/>
              </w:rPr>
            </w:pPr>
            <w:r>
              <w:rPr>
                <w:rFonts w:hint="eastAsia" w:hAnsi="宋体"/>
                <w:sz w:val="21"/>
                <w:szCs w:val="21"/>
              </w:rPr>
              <w:t>招标文件条目号</w:t>
            </w:r>
          </w:p>
        </w:tc>
        <w:tc>
          <w:tcPr>
            <w:tcW w:w="2033" w:type="dxa"/>
            <w:vAlign w:val="center"/>
          </w:tcPr>
          <w:p>
            <w:pPr>
              <w:spacing w:line="360" w:lineRule="auto"/>
              <w:jc w:val="center"/>
              <w:rPr>
                <w:rFonts w:hAnsi="宋体"/>
                <w:sz w:val="21"/>
                <w:szCs w:val="21"/>
              </w:rPr>
            </w:pPr>
            <w:r>
              <w:rPr>
                <w:rFonts w:hint="eastAsia" w:hAnsi="宋体"/>
                <w:sz w:val="21"/>
                <w:szCs w:val="21"/>
              </w:rPr>
              <w:t>招标要求</w:t>
            </w:r>
          </w:p>
        </w:tc>
        <w:tc>
          <w:tcPr>
            <w:tcW w:w="2551" w:type="dxa"/>
            <w:vAlign w:val="center"/>
          </w:tcPr>
          <w:p>
            <w:pPr>
              <w:spacing w:line="360" w:lineRule="auto"/>
              <w:jc w:val="center"/>
              <w:rPr>
                <w:rFonts w:hAnsi="宋体"/>
                <w:sz w:val="21"/>
                <w:szCs w:val="21"/>
              </w:rPr>
            </w:pPr>
            <w:r>
              <w:rPr>
                <w:rFonts w:hint="eastAsia" w:hAnsi="宋体"/>
                <w:sz w:val="21"/>
                <w:szCs w:val="21"/>
              </w:rPr>
              <w:t>投标规格</w:t>
            </w:r>
          </w:p>
        </w:tc>
        <w:tc>
          <w:tcPr>
            <w:tcW w:w="1418" w:type="dxa"/>
            <w:vAlign w:val="center"/>
          </w:tcPr>
          <w:p>
            <w:pPr>
              <w:spacing w:line="360" w:lineRule="auto"/>
              <w:jc w:val="center"/>
              <w:rPr>
                <w:rFonts w:hAnsi="宋体"/>
                <w:sz w:val="21"/>
                <w:szCs w:val="21"/>
              </w:rPr>
            </w:pPr>
            <w:r>
              <w:rPr>
                <w:rFonts w:hint="eastAsia" w:hAnsi="宋体"/>
                <w:sz w:val="21"/>
                <w:szCs w:val="21"/>
              </w:rPr>
              <w:t>偏离情况</w:t>
            </w:r>
          </w:p>
        </w:tc>
        <w:tc>
          <w:tcPr>
            <w:tcW w:w="851" w:type="dxa"/>
            <w:vAlign w:val="center"/>
          </w:tcPr>
          <w:p>
            <w:pPr>
              <w:spacing w:line="360" w:lineRule="auto"/>
              <w:jc w:val="center"/>
              <w:rPr>
                <w:rFonts w:hAnsi="宋体"/>
                <w:sz w:val="21"/>
                <w:szCs w:val="21"/>
              </w:rPr>
            </w:pPr>
            <w:r>
              <w:rPr>
                <w:rFonts w:hint="eastAsia" w:hAnsi="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tcPr>
          <w:p>
            <w:pPr>
              <w:spacing w:line="360" w:lineRule="auto"/>
              <w:rPr>
                <w:rFonts w:hAnsi="宋体"/>
                <w:b/>
                <w:sz w:val="21"/>
                <w:szCs w:val="21"/>
              </w:rPr>
            </w:pPr>
          </w:p>
        </w:tc>
        <w:tc>
          <w:tcPr>
            <w:tcW w:w="2033" w:type="dxa"/>
          </w:tcPr>
          <w:p>
            <w:pPr>
              <w:spacing w:line="360" w:lineRule="auto"/>
              <w:rPr>
                <w:rFonts w:hAnsi="宋体"/>
                <w:b/>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vAlign w:val="center"/>
          </w:tcPr>
          <w:p>
            <w:pPr>
              <w:spacing w:line="360" w:lineRule="auto"/>
              <w:rPr>
                <w:rFonts w:hAnsi="宋体" w:cs="宋体"/>
                <w:sz w:val="21"/>
                <w:szCs w:val="21"/>
              </w:rPr>
            </w:pPr>
          </w:p>
        </w:tc>
        <w:tc>
          <w:tcPr>
            <w:tcW w:w="2033" w:type="dxa"/>
            <w:vAlign w:val="center"/>
          </w:tcPr>
          <w:p>
            <w:pPr>
              <w:spacing w:line="360" w:lineRule="auto"/>
              <w:rPr>
                <w:rFonts w:hAnsi="宋体" w:cs="宋体"/>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tcPr>
          <w:p>
            <w:pPr>
              <w:spacing w:line="360" w:lineRule="auto"/>
              <w:rPr>
                <w:rFonts w:hAnsi="宋体"/>
                <w:b/>
                <w:sz w:val="21"/>
                <w:szCs w:val="21"/>
              </w:rPr>
            </w:pPr>
          </w:p>
        </w:tc>
        <w:tc>
          <w:tcPr>
            <w:tcW w:w="2033" w:type="dxa"/>
          </w:tcPr>
          <w:p>
            <w:pPr>
              <w:spacing w:line="360" w:lineRule="auto"/>
              <w:rPr>
                <w:rFonts w:hAnsi="宋体"/>
                <w:b/>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tcPr>
          <w:p>
            <w:pPr>
              <w:spacing w:line="360" w:lineRule="auto"/>
              <w:rPr>
                <w:rFonts w:hAnsi="宋体"/>
                <w:b/>
                <w:sz w:val="21"/>
                <w:szCs w:val="21"/>
              </w:rPr>
            </w:pPr>
          </w:p>
        </w:tc>
        <w:tc>
          <w:tcPr>
            <w:tcW w:w="2033" w:type="dxa"/>
          </w:tcPr>
          <w:p>
            <w:pPr>
              <w:spacing w:line="360" w:lineRule="auto"/>
              <w:rPr>
                <w:rFonts w:hAnsi="宋体"/>
                <w:b/>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tcPr>
          <w:p>
            <w:pPr>
              <w:spacing w:line="360" w:lineRule="auto"/>
              <w:rPr>
                <w:rFonts w:hAnsi="宋体"/>
                <w:b/>
                <w:sz w:val="21"/>
                <w:szCs w:val="21"/>
              </w:rPr>
            </w:pPr>
          </w:p>
        </w:tc>
        <w:tc>
          <w:tcPr>
            <w:tcW w:w="2033" w:type="dxa"/>
          </w:tcPr>
          <w:p>
            <w:pPr>
              <w:spacing w:line="360" w:lineRule="auto"/>
              <w:rPr>
                <w:rFonts w:hAnsi="宋体"/>
                <w:b/>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0" w:type="dxa"/>
          </w:tcPr>
          <w:p>
            <w:pPr>
              <w:spacing w:line="360" w:lineRule="auto"/>
              <w:rPr>
                <w:rFonts w:hAnsi="宋体"/>
                <w:b/>
                <w:sz w:val="21"/>
                <w:szCs w:val="21"/>
              </w:rPr>
            </w:pPr>
          </w:p>
        </w:tc>
        <w:tc>
          <w:tcPr>
            <w:tcW w:w="2033" w:type="dxa"/>
          </w:tcPr>
          <w:p>
            <w:pPr>
              <w:spacing w:line="360" w:lineRule="auto"/>
              <w:rPr>
                <w:rFonts w:hAnsi="宋体"/>
                <w:b/>
                <w:sz w:val="21"/>
                <w:szCs w:val="21"/>
              </w:rPr>
            </w:pPr>
          </w:p>
        </w:tc>
        <w:tc>
          <w:tcPr>
            <w:tcW w:w="2551" w:type="dxa"/>
          </w:tcPr>
          <w:p>
            <w:pPr>
              <w:spacing w:line="360" w:lineRule="auto"/>
              <w:rPr>
                <w:rFonts w:hAnsi="宋体"/>
                <w:b/>
                <w:sz w:val="21"/>
                <w:szCs w:val="21"/>
              </w:rPr>
            </w:pPr>
          </w:p>
        </w:tc>
        <w:tc>
          <w:tcPr>
            <w:tcW w:w="1418" w:type="dxa"/>
          </w:tcPr>
          <w:p>
            <w:pPr>
              <w:spacing w:line="360" w:lineRule="auto"/>
              <w:rPr>
                <w:rFonts w:hAnsi="宋体"/>
                <w:b/>
                <w:sz w:val="21"/>
                <w:szCs w:val="21"/>
              </w:rPr>
            </w:pPr>
          </w:p>
        </w:tc>
        <w:tc>
          <w:tcPr>
            <w:tcW w:w="851" w:type="dxa"/>
          </w:tcPr>
          <w:p>
            <w:pPr>
              <w:spacing w:line="360" w:lineRule="auto"/>
              <w:rPr>
                <w:rFonts w:hAnsi="宋体"/>
                <w:b/>
                <w:sz w:val="21"/>
                <w:szCs w:val="21"/>
              </w:rPr>
            </w:pPr>
          </w:p>
        </w:tc>
      </w:tr>
    </w:tbl>
    <w:p>
      <w:pPr>
        <w:spacing w:line="360" w:lineRule="auto"/>
        <w:rPr>
          <w:rFonts w:hAnsi="宋体"/>
          <w:sz w:val="21"/>
          <w:szCs w:val="21"/>
        </w:rPr>
      </w:pPr>
    </w:p>
    <w:p>
      <w:pPr>
        <w:spacing w:line="360" w:lineRule="auto"/>
        <w:ind w:left="1052" w:leftChars="132" w:hanging="735" w:hangingChars="350"/>
        <w:rPr>
          <w:rFonts w:hAnsi="宋体"/>
          <w:b/>
          <w:bCs/>
          <w:sz w:val="21"/>
          <w:szCs w:val="21"/>
        </w:rPr>
      </w:pPr>
      <w:r>
        <w:rPr>
          <w:rFonts w:hint="eastAsia" w:hAnsi="宋体"/>
          <w:sz w:val="21"/>
          <w:szCs w:val="21"/>
        </w:rPr>
        <w:t>注：1）报价人应对照招标文件“用户需求书”，如实地说明已对招标文件“用户需求书”内容的响应情况，并说明与招标文件的偏差和响应情况，若发现虚假填写，作无效投标处理。</w:t>
      </w:r>
    </w:p>
    <w:p>
      <w:pPr>
        <w:spacing w:line="360" w:lineRule="auto"/>
        <w:ind w:left="1054" w:leftChars="308" w:hanging="315" w:hangingChars="150"/>
        <w:rPr>
          <w:rFonts w:hAnsi="宋体"/>
          <w:sz w:val="21"/>
          <w:szCs w:val="21"/>
        </w:rPr>
      </w:pPr>
      <w:r>
        <w:rPr>
          <w:rFonts w:hint="eastAsia" w:hAnsi="宋体"/>
          <w:sz w:val="21"/>
          <w:szCs w:val="21"/>
        </w:rPr>
        <w:t>2）不论出于何种原因此表未填写，报价人都被认为已清楚了解招标文件“用户需求书”的内容并对招标人所需的服务要求作全面响应，报价人必须承担完成“用户需求书”所描述内容的义务。</w:t>
      </w:r>
    </w:p>
    <w:p>
      <w:pPr>
        <w:spacing w:line="360" w:lineRule="auto"/>
        <w:ind w:left="1054" w:leftChars="308" w:hanging="315" w:hangingChars="150"/>
        <w:rPr>
          <w:rFonts w:hAnsi="宋体"/>
          <w:sz w:val="21"/>
          <w:szCs w:val="21"/>
        </w:rPr>
      </w:pPr>
      <w:r>
        <w:rPr>
          <w:rFonts w:hint="eastAsia" w:hAnsi="宋体"/>
          <w:sz w:val="21"/>
          <w:szCs w:val="21"/>
        </w:rPr>
        <w:t>3）如报价人差异内容较多可另附页说明。</w:t>
      </w:r>
    </w:p>
    <w:p>
      <w:pPr>
        <w:spacing w:line="360" w:lineRule="auto"/>
        <w:ind w:left="1054" w:leftChars="308" w:hanging="315" w:hangingChars="150"/>
        <w:rPr>
          <w:rFonts w:hAnsi="宋体"/>
          <w:sz w:val="21"/>
          <w:szCs w:val="21"/>
        </w:rPr>
      </w:pPr>
      <w:r>
        <w:rPr>
          <w:rFonts w:hint="eastAsia" w:hAnsi="宋体"/>
          <w:sz w:val="21"/>
          <w:szCs w:val="21"/>
        </w:rPr>
        <w:t>4）如报价人对“用户需求书”的条款全部响应的，也可以在表格下面用文字总括性的说明。</w:t>
      </w:r>
    </w:p>
    <w:p>
      <w:pPr>
        <w:spacing w:line="360" w:lineRule="auto"/>
        <w:ind w:left="1054" w:leftChars="308" w:hanging="315" w:hangingChars="150"/>
        <w:rPr>
          <w:rFonts w:hAnsi="宋体"/>
          <w:sz w:val="21"/>
          <w:szCs w:val="21"/>
        </w:rPr>
      </w:pPr>
      <w:r>
        <w:rPr>
          <w:rFonts w:hint="eastAsia" w:hAnsi="宋体"/>
          <w:sz w:val="21"/>
          <w:szCs w:val="21"/>
        </w:rPr>
        <w:t>5）如有偏离，应在“偏离情况”栏内注明“有”，并在“说明”栏内予以说明；如无偏离，应在“偏离情况”栏内注明“无”。</w:t>
      </w:r>
    </w:p>
    <w:p>
      <w:pPr>
        <w:snapToGrid w:val="0"/>
        <w:spacing w:line="360" w:lineRule="auto"/>
        <w:rPr>
          <w:rFonts w:hAnsi="宋体"/>
          <w:sz w:val="21"/>
          <w:szCs w:val="21"/>
        </w:rPr>
      </w:pPr>
    </w:p>
    <w:p>
      <w:pPr>
        <w:snapToGrid w:val="0"/>
        <w:spacing w:line="360" w:lineRule="auto"/>
        <w:rPr>
          <w:rFonts w:hAnsi="宋体"/>
          <w:sz w:val="21"/>
          <w:szCs w:val="21"/>
        </w:rPr>
      </w:pPr>
    </w:p>
    <w:p>
      <w:pPr>
        <w:snapToGrid w:val="0"/>
        <w:spacing w:line="360" w:lineRule="auto"/>
        <w:rPr>
          <w:rFonts w:hAnsi="宋体"/>
          <w:sz w:val="21"/>
          <w:szCs w:val="21"/>
        </w:rPr>
      </w:pPr>
      <w:r>
        <w:rPr>
          <w:rFonts w:hint="eastAsia" w:hAnsi="宋体"/>
          <w:sz w:val="21"/>
          <w:szCs w:val="21"/>
        </w:rPr>
        <w:t>报价人法定代表人（或法定代表人授权代表）签名：</w:t>
      </w:r>
    </w:p>
    <w:p>
      <w:pPr>
        <w:snapToGrid w:val="0"/>
        <w:spacing w:line="360" w:lineRule="auto"/>
        <w:rPr>
          <w:rFonts w:hAnsi="宋体"/>
          <w:sz w:val="21"/>
          <w:szCs w:val="21"/>
          <w:u w:val="single"/>
        </w:rPr>
      </w:pPr>
      <w:r>
        <w:rPr>
          <w:rFonts w:hint="eastAsia" w:hAnsi="宋体"/>
          <w:sz w:val="21"/>
          <w:szCs w:val="21"/>
        </w:rPr>
        <w:t>报价人名称（加盖公章）：</w:t>
      </w:r>
    </w:p>
    <w:p>
      <w:pPr>
        <w:snapToGrid w:val="0"/>
        <w:spacing w:line="360" w:lineRule="auto"/>
        <w:rPr>
          <w:rFonts w:hAnsi="宋体"/>
          <w:sz w:val="21"/>
          <w:szCs w:val="21"/>
        </w:rPr>
      </w:pPr>
      <w:r>
        <w:rPr>
          <w:rFonts w:hint="eastAsia" w:hAnsi="宋体"/>
          <w:sz w:val="21"/>
          <w:szCs w:val="21"/>
        </w:rPr>
        <w:t xml:space="preserve">日期： </w:t>
      </w:r>
    </w:p>
    <w:p>
      <w:pPr>
        <w:snapToGrid w:val="0"/>
        <w:spacing w:line="360" w:lineRule="auto"/>
        <w:jc w:val="center"/>
        <w:rPr>
          <w:rFonts w:hAnsi="宋体"/>
          <w:b/>
          <w:sz w:val="28"/>
          <w:szCs w:val="28"/>
        </w:rPr>
      </w:pPr>
    </w:p>
    <w:p>
      <w:pPr>
        <w:pStyle w:val="4"/>
        <w:pageBreakBefore/>
        <w:numPr>
          <w:ilvl w:val="1"/>
          <w:numId w:val="24"/>
        </w:numPr>
        <w:spacing w:line="360" w:lineRule="auto"/>
        <w:ind w:left="0" w:firstLine="0"/>
        <w:jc w:val="center"/>
        <w:rPr>
          <w:b/>
        </w:rPr>
      </w:pPr>
      <w:bookmarkStart w:id="79" w:name="_Toc21292"/>
      <w:bookmarkStart w:id="80" w:name="_Toc1898"/>
      <w:bookmarkStart w:id="81" w:name="_Toc6528"/>
      <w:r>
        <w:rPr>
          <w:rFonts w:hint="eastAsia"/>
          <w:b/>
        </w:rPr>
        <w:t>技术方案</w:t>
      </w:r>
      <w:bookmarkEnd w:id="79"/>
      <w:bookmarkEnd w:id="80"/>
      <w:bookmarkEnd w:id="81"/>
    </w:p>
    <w:p>
      <w:pPr>
        <w:snapToGrid w:val="0"/>
        <w:spacing w:line="360" w:lineRule="auto"/>
        <w:rPr>
          <w:rFonts w:hAnsi="宋体"/>
          <w:sz w:val="21"/>
          <w:szCs w:val="21"/>
        </w:rPr>
      </w:pPr>
    </w:p>
    <w:p>
      <w:pPr>
        <w:snapToGrid w:val="0"/>
        <w:spacing w:line="360" w:lineRule="auto"/>
        <w:ind w:firstLine="420" w:firstLineChars="200"/>
        <w:rPr>
          <w:rFonts w:hAnsi="宋体"/>
          <w:sz w:val="21"/>
          <w:szCs w:val="21"/>
        </w:rPr>
      </w:pPr>
      <w:r>
        <w:rPr>
          <w:rFonts w:hint="eastAsia" w:hAnsi="宋体"/>
          <w:sz w:val="21"/>
          <w:szCs w:val="21"/>
        </w:rPr>
        <w:t>报价人根据用户需求书编写。</w:t>
      </w:r>
    </w:p>
    <w:p>
      <w:pPr>
        <w:snapToGrid w:val="0"/>
        <w:spacing w:line="360" w:lineRule="auto"/>
        <w:rPr>
          <w:rFonts w:hAnsi="宋体"/>
          <w:sz w:val="21"/>
          <w:szCs w:val="21"/>
        </w:rPr>
      </w:pPr>
    </w:p>
    <w:p>
      <w:pPr>
        <w:pStyle w:val="4"/>
        <w:pageBreakBefore/>
        <w:numPr>
          <w:ilvl w:val="1"/>
          <w:numId w:val="24"/>
        </w:numPr>
        <w:spacing w:line="360" w:lineRule="auto"/>
        <w:ind w:left="0" w:firstLine="0"/>
        <w:jc w:val="center"/>
        <w:rPr>
          <w:b/>
        </w:rPr>
      </w:pPr>
      <w:bookmarkStart w:id="82" w:name="_Toc27323"/>
      <w:bookmarkStart w:id="83" w:name="_Toc11076"/>
      <w:bookmarkStart w:id="84" w:name="_Toc26322"/>
      <w:r>
        <w:rPr>
          <w:rFonts w:hint="eastAsia"/>
          <w:b/>
        </w:rPr>
        <w:t>其他资料</w:t>
      </w:r>
      <w:bookmarkEnd w:id="82"/>
      <w:bookmarkEnd w:id="83"/>
      <w:bookmarkEnd w:id="84"/>
    </w:p>
    <w:p>
      <w:pPr>
        <w:pStyle w:val="26"/>
        <w:spacing w:line="360" w:lineRule="auto"/>
        <w:ind w:firstLine="420"/>
        <w:rPr>
          <w:rFonts w:hAnsi="宋体"/>
        </w:rPr>
      </w:pPr>
    </w:p>
    <w:p>
      <w:pPr>
        <w:spacing w:line="360" w:lineRule="auto"/>
        <w:rPr>
          <w:rFonts w:hAnsi="宋体"/>
          <w:sz w:val="21"/>
          <w:szCs w:val="21"/>
        </w:rPr>
      </w:pPr>
      <w:r>
        <w:rPr>
          <w:rFonts w:hint="eastAsia" w:hAnsi="宋体"/>
          <w:sz w:val="21"/>
          <w:szCs w:val="21"/>
        </w:rPr>
        <w:t>1、招标文件要求提供的其他资料（如有）</w:t>
      </w:r>
    </w:p>
    <w:p>
      <w:pPr>
        <w:spacing w:line="360" w:lineRule="auto"/>
        <w:rPr>
          <w:rFonts w:hAnsi="宋体"/>
          <w:sz w:val="21"/>
          <w:szCs w:val="21"/>
        </w:rPr>
      </w:pPr>
      <w:r>
        <w:rPr>
          <w:rFonts w:hint="eastAsia" w:hAnsi="宋体"/>
          <w:sz w:val="21"/>
          <w:szCs w:val="21"/>
        </w:rPr>
        <w:t>2、报价人认为需要提供的其他资料（如有）</w:t>
      </w:r>
    </w:p>
    <w:p>
      <w:pPr>
        <w:pStyle w:val="26"/>
        <w:spacing w:line="360" w:lineRule="auto"/>
        <w:ind w:firstLine="420"/>
        <w:rPr>
          <w:rFonts w:hAnsi="宋体"/>
        </w:rPr>
      </w:pPr>
    </w:p>
    <w:p>
      <w:pPr>
        <w:pStyle w:val="2"/>
        <w:pageBreakBefore/>
        <w:spacing w:line="360" w:lineRule="auto"/>
        <w:jc w:val="center"/>
        <w:rPr>
          <w:b w:val="0"/>
          <w:sz w:val="28"/>
          <w:szCs w:val="28"/>
        </w:rPr>
      </w:pPr>
      <w:bookmarkStart w:id="85" w:name="_Toc20756"/>
      <w:bookmarkStart w:id="86" w:name="_Toc31993"/>
      <w:bookmarkStart w:id="87" w:name="_Toc18921"/>
      <w:r>
        <w:rPr>
          <w:rFonts w:hint="eastAsia"/>
          <w:b w:val="0"/>
          <w:sz w:val="28"/>
          <w:szCs w:val="28"/>
        </w:rPr>
        <w:t>第四节 唱标信封（单独分装）</w:t>
      </w:r>
      <w:bookmarkEnd w:id="85"/>
      <w:bookmarkEnd w:id="86"/>
      <w:bookmarkEnd w:id="87"/>
    </w:p>
    <w:p>
      <w:pPr>
        <w:spacing w:line="360" w:lineRule="auto"/>
        <w:ind w:left="849" w:leftChars="178" w:hanging="422" w:hangingChars="201"/>
        <w:rPr>
          <w:rFonts w:hAnsi="宋体"/>
          <w:sz w:val="21"/>
          <w:szCs w:val="21"/>
        </w:rPr>
      </w:pPr>
    </w:p>
    <w:p>
      <w:pPr>
        <w:spacing w:line="360" w:lineRule="auto"/>
        <w:ind w:left="849" w:leftChars="178" w:hanging="422" w:hangingChars="201"/>
        <w:rPr>
          <w:rFonts w:hAnsi="宋体"/>
          <w:sz w:val="21"/>
          <w:szCs w:val="21"/>
        </w:rPr>
      </w:pPr>
      <w:r>
        <w:rPr>
          <w:rFonts w:hint="eastAsia" w:hAnsi="宋体"/>
          <w:sz w:val="21"/>
          <w:szCs w:val="21"/>
        </w:rPr>
        <w:t>唱标信封内装：</w:t>
      </w:r>
    </w:p>
    <w:p>
      <w:pPr>
        <w:numPr>
          <w:ilvl w:val="0"/>
          <w:numId w:val="25"/>
        </w:numPr>
        <w:spacing w:line="360" w:lineRule="auto"/>
        <w:ind w:firstLineChars="200"/>
        <w:rPr>
          <w:rFonts w:hAnsi="宋体"/>
          <w:sz w:val="21"/>
          <w:szCs w:val="21"/>
        </w:rPr>
      </w:pPr>
      <w:r>
        <w:rPr>
          <w:rFonts w:hint="eastAsia" w:hAnsi="宋体"/>
          <w:sz w:val="21"/>
          <w:szCs w:val="21"/>
        </w:rPr>
        <w:t>投标函复印件加盖公章；</w:t>
      </w:r>
    </w:p>
    <w:p>
      <w:pPr>
        <w:numPr>
          <w:ilvl w:val="0"/>
          <w:numId w:val="25"/>
        </w:numPr>
        <w:spacing w:line="360" w:lineRule="auto"/>
        <w:ind w:firstLineChars="200"/>
        <w:rPr>
          <w:rFonts w:hAnsi="宋体"/>
          <w:sz w:val="21"/>
          <w:szCs w:val="21"/>
        </w:rPr>
      </w:pPr>
      <w:r>
        <w:rPr>
          <w:rFonts w:hint="eastAsia" w:hAnsi="宋体"/>
          <w:sz w:val="21"/>
          <w:szCs w:val="21"/>
        </w:rPr>
        <w:t>法定代表人证明书复印件加盖公章；</w:t>
      </w:r>
    </w:p>
    <w:p>
      <w:pPr>
        <w:numPr>
          <w:ilvl w:val="0"/>
          <w:numId w:val="25"/>
        </w:numPr>
        <w:spacing w:line="360" w:lineRule="auto"/>
        <w:ind w:firstLineChars="200"/>
        <w:rPr>
          <w:rFonts w:hAnsi="宋体"/>
          <w:sz w:val="21"/>
          <w:szCs w:val="21"/>
        </w:rPr>
      </w:pPr>
      <w:r>
        <w:rPr>
          <w:rFonts w:hint="eastAsia" w:hAnsi="宋体"/>
          <w:sz w:val="21"/>
          <w:szCs w:val="21"/>
        </w:rPr>
        <w:t>法定代表人授权委托书复印件加盖公章（法定代表人投标的除外）；</w:t>
      </w:r>
    </w:p>
    <w:p>
      <w:pPr>
        <w:numPr>
          <w:ilvl w:val="0"/>
          <w:numId w:val="25"/>
        </w:numPr>
        <w:spacing w:line="360" w:lineRule="auto"/>
        <w:ind w:firstLineChars="200"/>
        <w:rPr>
          <w:rFonts w:hAnsi="宋体"/>
          <w:sz w:val="21"/>
          <w:szCs w:val="21"/>
        </w:rPr>
      </w:pPr>
      <w:r>
        <w:rPr>
          <w:rFonts w:hint="eastAsia" w:hAnsi="宋体"/>
          <w:sz w:val="21"/>
          <w:szCs w:val="21"/>
        </w:rPr>
        <w:t>报价总表复印件加盖公章；</w:t>
      </w:r>
    </w:p>
    <w:p>
      <w:pPr>
        <w:numPr>
          <w:ilvl w:val="0"/>
          <w:numId w:val="25"/>
        </w:numPr>
        <w:spacing w:line="360" w:lineRule="auto"/>
        <w:ind w:firstLineChars="200"/>
        <w:rPr>
          <w:rFonts w:hAnsi="宋体"/>
          <w:sz w:val="21"/>
          <w:szCs w:val="21"/>
        </w:rPr>
      </w:pPr>
      <w:r>
        <w:rPr>
          <w:rFonts w:hint="eastAsia" w:hAnsi="宋体"/>
          <w:sz w:val="21"/>
          <w:szCs w:val="21"/>
        </w:rPr>
        <w:t>报价保证金汇入情况说明加盖公章；</w:t>
      </w:r>
    </w:p>
    <w:p>
      <w:pPr>
        <w:numPr>
          <w:ilvl w:val="0"/>
          <w:numId w:val="25"/>
        </w:numPr>
        <w:spacing w:line="360" w:lineRule="auto"/>
        <w:ind w:firstLineChars="200"/>
        <w:rPr>
          <w:rFonts w:hAnsi="宋体"/>
          <w:sz w:val="21"/>
          <w:szCs w:val="21"/>
        </w:rPr>
      </w:pPr>
      <w:r>
        <w:rPr>
          <w:rFonts w:hint="eastAsia" w:hAnsi="宋体"/>
          <w:sz w:val="21"/>
          <w:szCs w:val="21"/>
        </w:rPr>
        <w:t>银行汇款凭证复印件加盖公章；</w:t>
      </w:r>
    </w:p>
    <w:p>
      <w:pPr>
        <w:numPr>
          <w:ilvl w:val="0"/>
          <w:numId w:val="25"/>
        </w:numPr>
        <w:spacing w:line="360" w:lineRule="auto"/>
        <w:ind w:firstLineChars="200"/>
        <w:rPr>
          <w:rFonts w:hAnsi="宋体"/>
          <w:sz w:val="21"/>
          <w:szCs w:val="21"/>
        </w:rPr>
      </w:pPr>
      <w:r>
        <w:rPr>
          <w:rFonts w:hint="eastAsia" w:hAnsi="宋体"/>
          <w:sz w:val="21"/>
          <w:szCs w:val="21"/>
        </w:rPr>
        <w:t>报价文件电子文件（CD-R光盘或U盘）；</w:t>
      </w:r>
    </w:p>
    <w:p/>
    <w:p>
      <w:pPr>
        <w:rPr>
          <w:lang w:val="zh-CN"/>
        </w:rPr>
      </w:pPr>
      <w:bookmarkStart w:id="88" w:name="_Toc396137262"/>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p>
      <w:pPr>
        <w:rPr>
          <w:lang w:val="zh-CN"/>
        </w:rPr>
      </w:pPr>
    </w:p>
    <w:bookmarkEnd w:id="88"/>
    <w:p>
      <w:pPr>
        <w:jc w:val="both"/>
      </w:pPr>
    </w:p>
    <w:sectPr>
      <w:headerReference r:id="rId5" w:type="first"/>
      <w:headerReference r:id="rId3" w:type="default"/>
      <w:footerReference r:id="rId6" w:type="default"/>
      <w:headerReference r:id="rId4" w:type="even"/>
      <w:footerReference r:id="rId7" w:type="even"/>
      <w:type w:val="nextColumn"/>
      <w:pgSz w:w="11907" w:h="16840"/>
      <w:pgMar w:top="1440" w:right="1134" w:bottom="1440" w:left="1134" w:header="850" w:footer="720" w:gutter="0"/>
      <w:pgNumType w:fmt="numberInDash"/>
      <w:cols w:space="720" w:num="1"/>
      <w:titlePg/>
      <w:rtlGutter w:val="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小标宋简体">
    <w:altName w:val="宋体"/>
    <w:panose1 w:val="02010601030101010101"/>
    <w:charset w:val="86"/>
    <w:family w:val="auto"/>
    <w:pitch w:val="default"/>
    <w:sig w:usb0="00000000" w:usb1="00000000" w:usb2="00000010" w:usb3="00000000" w:csb0="00040000" w:csb1="00000000"/>
  </w:font>
  <w:font w:name="时尚中黑简体">
    <w:altName w:val="黑体"/>
    <w:panose1 w:val="00000000000000000000"/>
    <w:charset w:val="86"/>
    <w:family w:val="auto"/>
    <w:pitch w:val="default"/>
    <w:sig w:usb0="00000000" w:usb1="00000000" w:usb2="00000012"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t>- 63 -</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3"/>
      </w:rPr>
    </w:pPr>
    <w:r>
      <w:fldChar w:fldCharType="begin"/>
    </w:r>
    <w:r>
      <w:rPr>
        <w:rStyle w:val="53"/>
      </w:rPr>
      <w:instrText xml:space="preserve">PAGE  </w:instrText>
    </w:r>
    <w:r>
      <w:fldChar w:fldCharType="end"/>
    </w: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thickThinLargeGap" w:color="auto" w:sz="4" w:space="1"/>
      </w:pBdr>
      <w:wordWrap w:val="0"/>
      <w:jc w:val="right"/>
      <w:rPr>
        <w:bCs/>
        <w:sz w:val="21"/>
        <w:szCs w:val="21"/>
      </w:rPr>
    </w:pPr>
    <w:r>
      <w:rPr>
        <w:rFonts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3376930</wp:posOffset>
          </wp:positionH>
          <wp:positionV relativeFrom="paragraph">
            <wp:posOffset>-236855</wp:posOffset>
          </wp:positionV>
          <wp:extent cx="434340" cy="434340"/>
          <wp:effectExtent l="0" t="0" r="0" b="0"/>
          <wp:wrapNone/>
          <wp:docPr id="5"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logo"/>
                  <pic:cNvPicPr>
                    <a:picLocks noChangeAspect="1"/>
                  </pic:cNvPicPr>
                </pic:nvPicPr>
                <pic:blipFill>
                  <a:blip r:embed="rId1"/>
                  <a:stretch>
                    <a:fillRect/>
                  </a:stretch>
                </pic:blipFill>
                <pic:spPr>
                  <a:xfrm>
                    <a:off x="0" y="0"/>
                    <a:ext cx="434340" cy="434340"/>
                  </a:xfrm>
                  <a:prstGeom prst="rect">
                    <a:avLst/>
                  </a:prstGeom>
                  <a:noFill/>
                  <a:ln>
                    <a:noFill/>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B31739"/>
    <w:multiLevelType w:val="singleLevel"/>
    <w:tmpl w:val="8EB31739"/>
    <w:lvl w:ilvl="0" w:tentative="0">
      <w:start w:val="1"/>
      <w:numFmt w:val="chineseCounting"/>
      <w:suff w:val="space"/>
      <w:lvlText w:val="第%1节"/>
      <w:lvlJc w:val="left"/>
      <w:rPr>
        <w:rFonts w:hint="eastAsia"/>
      </w:rPr>
    </w:lvl>
  </w:abstractNum>
  <w:abstractNum w:abstractNumId="1">
    <w:nsid w:val="FF172B29"/>
    <w:multiLevelType w:val="singleLevel"/>
    <w:tmpl w:val="FF172B29"/>
    <w:lvl w:ilvl="0" w:tentative="0">
      <w:start w:val="7"/>
      <w:numFmt w:val="chineseCounting"/>
      <w:suff w:val="nothing"/>
      <w:lvlText w:val="%1、"/>
      <w:lvlJc w:val="left"/>
      <w:rPr>
        <w:rFonts w:hint="eastAsia"/>
      </w:rPr>
    </w:lvl>
  </w:abstractNum>
  <w:abstractNum w:abstractNumId="2">
    <w:nsid w:val="0000000A"/>
    <w:multiLevelType w:val="multilevel"/>
    <w:tmpl w:val="0000000A"/>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F"/>
    <w:multiLevelType w:val="multilevel"/>
    <w:tmpl w:val="0000000F"/>
    <w:lvl w:ilvl="0" w:tentative="0">
      <w:start w:val="1"/>
      <w:numFmt w:val="decimal"/>
      <w:pStyle w:val="15"/>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61"/>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5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multilevel"/>
    <w:tmpl w:val="00000013"/>
    <w:lvl w:ilvl="0" w:tentative="0">
      <w:start w:val="1"/>
      <w:numFmt w:val="decimal"/>
      <w:pStyle w:val="145"/>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6"/>
    <w:multiLevelType w:val="multilevel"/>
    <w:tmpl w:val="00000016"/>
    <w:lvl w:ilvl="0" w:tentative="0">
      <w:start w:val="1"/>
      <w:numFmt w:val="decimal"/>
      <w:pStyle w:val="14"/>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E"/>
    <w:multiLevelType w:val="singleLevel"/>
    <w:tmpl w:val="0000001E"/>
    <w:lvl w:ilvl="0" w:tentative="0">
      <w:start w:val="1"/>
      <w:numFmt w:val="decimal"/>
      <w:suff w:val="nothing"/>
      <w:lvlText w:val="%1）"/>
      <w:lvlJc w:val="left"/>
    </w:lvl>
  </w:abstractNum>
  <w:abstractNum w:abstractNumId="12">
    <w:nsid w:val="0000001F"/>
    <w:multiLevelType w:val="multilevel"/>
    <w:tmpl w:val="0000001F"/>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396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20"/>
    <w:multiLevelType w:val="multilevel"/>
    <w:tmpl w:val="00000020"/>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21"/>
    <w:multiLevelType w:val="singleLevel"/>
    <w:tmpl w:val="00000021"/>
    <w:lvl w:ilvl="0" w:tentative="0">
      <w:start w:val="1"/>
      <w:numFmt w:val="chineseCounting"/>
      <w:suff w:val="nothing"/>
      <w:lvlText w:val="%1、"/>
      <w:lvlJc w:val="left"/>
    </w:lvl>
  </w:abstractNum>
  <w:abstractNum w:abstractNumId="15">
    <w:nsid w:val="00000022"/>
    <w:multiLevelType w:val="multilevel"/>
    <w:tmpl w:val="00000022"/>
    <w:lvl w:ilvl="0" w:tentative="0">
      <w:start w:val="1"/>
      <w:numFmt w:val="decimal"/>
      <w:lvlText w:val="%1."/>
      <w:lvlJc w:val="left"/>
      <w:pPr>
        <w:tabs>
          <w:tab w:val="left" w:pos="420"/>
        </w:tabs>
        <w:ind w:left="0" w:firstLine="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29"/>
    <w:multiLevelType w:val="multilevel"/>
    <w:tmpl w:val="00000029"/>
    <w:lvl w:ilvl="0" w:tentative="0">
      <w:start w:val="1"/>
      <w:numFmt w:val="bullet"/>
      <w:pStyle w:val="46"/>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8">
    <w:nsid w:val="0A57500B"/>
    <w:multiLevelType w:val="multilevel"/>
    <w:tmpl w:val="0A57500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11A18104"/>
    <w:multiLevelType w:val="singleLevel"/>
    <w:tmpl w:val="11A18104"/>
    <w:lvl w:ilvl="0" w:tentative="0">
      <w:start w:val="6"/>
      <w:numFmt w:val="decimal"/>
      <w:suff w:val="nothing"/>
      <w:lvlText w:val="（%1）"/>
      <w:lvlJc w:val="left"/>
    </w:lvl>
  </w:abstractNum>
  <w:abstractNum w:abstractNumId="20">
    <w:nsid w:val="28910231"/>
    <w:multiLevelType w:val="singleLevel"/>
    <w:tmpl w:val="28910231"/>
    <w:lvl w:ilvl="0" w:tentative="0">
      <w:start w:val="1"/>
      <w:numFmt w:val="decimal"/>
      <w:suff w:val="nothing"/>
      <w:lvlText w:val="%1、"/>
      <w:lvlJc w:val="left"/>
    </w:lvl>
  </w:abstractNum>
  <w:abstractNum w:abstractNumId="21">
    <w:nsid w:val="45E64400"/>
    <w:multiLevelType w:val="multilevel"/>
    <w:tmpl w:val="45E6440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D23FE8"/>
    <w:multiLevelType w:val="singleLevel"/>
    <w:tmpl w:val="58D23FE8"/>
    <w:lvl w:ilvl="0" w:tentative="0">
      <w:start w:val="1"/>
      <w:numFmt w:val="decimal"/>
      <w:suff w:val="nothing"/>
      <w:lvlText w:val="%1、"/>
      <w:lvlJc w:val="left"/>
    </w:lvl>
  </w:abstractNum>
  <w:abstractNum w:abstractNumId="23">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24">
    <w:nsid w:val="59FB1E49"/>
    <w:multiLevelType w:val="singleLevel"/>
    <w:tmpl w:val="59FB1E49"/>
    <w:lvl w:ilvl="0" w:tentative="0">
      <w:start w:val="1"/>
      <w:numFmt w:val="decimal"/>
      <w:lvlText w:val="(%1)"/>
      <w:lvlJc w:val="left"/>
      <w:pPr>
        <w:ind w:left="425" w:hanging="425"/>
      </w:pPr>
      <w:rPr>
        <w:rFonts w:hint="default"/>
      </w:rPr>
    </w:lvl>
  </w:abstractNum>
  <w:num w:numId="1">
    <w:abstractNumId w:val="10"/>
  </w:num>
  <w:num w:numId="2">
    <w:abstractNumId w:val="4"/>
  </w:num>
  <w:num w:numId="3">
    <w:abstractNumId w:val="17"/>
  </w:num>
  <w:num w:numId="4">
    <w:abstractNumId w:val="13"/>
  </w:num>
  <w:num w:numId="5">
    <w:abstractNumId w:val="8"/>
  </w:num>
  <w:num w:numId="6">
    <w:abstractNumId w:val="7"/>
  </w:num>
  <w:num w:numId="7">
    <w:abstractNumId w:val="5"/>
  </w:num>
  <w:num w:numId="8">
    <w:abstractNumId w:val="16"/>
  </w:num>
  <w:num w:numId="9">
    <w:abstractNumId w:val="14"/>
  </w:num>
  <w:num w:numId="10">
    <w:abstractNumId w:val="11"/>
  </w:num>
  <w:num w:numId="11">
    <w:abstractNumId w:val="22"/>
  </w:num>
  <w:num w:numId="12">
    <w:abstractNumId w:val="24"/>
  </w:num>
  <w:num w:numId="13">
    <w:abstractNumId w:val="19"/>
  </w:num>
  <w:num w:numId="14">
    <w:abstractNumId w:val="1"/>
  </w:num>
  <w:num w:numId="15">
    <w:abstractNumId w:val="6"/>
  </w:num>
  <w:num w:numId="16">
    <w:abstractNumId w:val="21"/>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5"/>
  </w:num>
  <w:num w:numId="21">
    <w:abstractNumId w:val="20"/>
  </w:num>
  <w:num w:numId="22">
    <w:abstractNumId w:val="12"/>
  </w:num>
  <w:num w:numId="23">
    <w:abstractNumId w:val="2"/>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gutterAtTop/>
  <w:doNotTrackMove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650"/>
    <w:rsid w:val="0006704D"/>
    <w:rsid w:val="000E5BC2"/>
    <w:rsid w:val="000F0DDD"/>
    <w:rsid w:val="00143440"/>
    <w:rsid w:val="00172A27"/>
    <w:rsid w:val="001862B1"/>
    <w:rsid w:val="001B1F29"/>
    <w:rsid w:val="001C2329"/>
    <w:rsid w:val="001D2151"/>
    <w:rsid w:val="001E5A3A"/>
    <w:rsid w:val="002267B1"/>
    <w:rsid w:val="00245E5A"/>
    <w:rsid w:val="003600AB"/>
    <w:rsid w:val="003A68C8"/>
    <w:rsid w:val="004A6688"/>
    <w:rsid w:val="004F1EFF"/>
    <w:rsid w:val="005400C9"/>
    <w:rsid w:val="00592B6B"/>
    <w:rsid w:val="005E76F5"/>
    <w:rsid w:val="00652C1D"/>
    <w:rsid w:val="00656990"/>
    <w:rsid w:val="007459A4"/>
    <w:rsid w:val="007A3D5C"/>
    <w:rsid w:val="00904A9A"/>
    <w:rsid w:val="00923C9B"/>
    <w:rsid w:val="0093263B"/>
    <w:rsid w:val="00945DD1"/>
    <w:rsid w:val="00967CDC"/>
    <w:rsid w:val="009F16AA"/>
    <w:rsid w:val="009F5AA2"/>
    <w:rsid w:val="00A146FE"/>
    <w:rsid w:val="00C47CB5"/>
    <w:rsid w:val="00CF4ADF"/>
    <w:rsid w:val="00DD4287"/>
    <w:rsid w:val="00FD7A3F"/>
    <w:rsid w:val="00FF7726"/>
    <w:rsid w:val="012F6A37"/>
    <w:rsid w:val="01832F82"/>
    <w:rsid w:val="0220400C"/>
    <w:rsid w:val="05855569"/>
    <w:rsid w:val="0629094D"/>
    <w:rsid w:val="06423A4C"/>
    <w:rsid w:val="06EE4CD0"/>
    <w:rsid w:val="09E9141B"/>
    <w:rsid w:val="0A240D62"/>
    <w:rsid w:val="0A96020D"/>
    <w:rsid w:val="0BEF602F"/>
    <w:rsid w:val="0F8C1BD3"/>
    <w:rsid w:val="0FBC58F4"/>
    <w:rsid w:val="117F0C4C"/>
    <w:rsid w:val="123741D7"/>
    <w:rsid w:val="13D00F2B"/>
    <w:rsid w:val="14667867"/>
    <w:rsid w:val="14DC018F"/>
    <w:rsid w:val="18586B18"/>
    <w:rsid w:val="1A59248B"/>
    <w:rsid w:val="1E9024BE"/>
    <w:rsid w:val="1F0C5272"/>
    <w:rsid w:val="2000122C"/>
    <w:rsid w:val="2076509A"/>
    <w:rsid w:val="20A8281E"/>
    <w:rsid w:val="20E50FB2"/>
    <w:rsid w:val="23067437"/>
    <w:rsid w:val="2358474D"/>
    <w:rsid w:val="24F27094"/>
    <w:rsid w:val="25DC1034"/>
    <w:rsid w:val="26E01794"/>
    <w:rsid w:val="27A03F82"/>
    <w:rsid w:val="292234E8"/>
    <w:rsid w:val="29F14085"/>
    <w:rsid w:val="2B31476E"/>
    <w:rsid w:val="2D4B7F24"/>
    <w:rsid w:val="2E053C1B"/>
    <w:rsid w:val="33193FC3"/>
    <w:rsid w:val="3334663D"/>
    <w:rsid w:val="34C37CF7"/>
    <w:rsid w:val="368F13AF"/>
    <w:rsid w:val="376B2734"/>
    <w:rsid w:val="37A22CA5"/>
    <w:rsid w:val="38365A04"/>
    <w:rsid w:val="3B3A7DC8"/>
    <w:rsid w:val="3B912DD7"/>
    <w:rsid w:val="3C6B7829"/>
    <w:rsid w:val="3DCA509F"/>
    <w:rsid w:val="3EF60DE3"/>
    <w:rsid w:val="434B532A"/>
    <w:rsid w:val="468C688A"/>
    <w:rsid w:val="47144431"/>
    <w:rsid w:val="48A5432D"/>
    <w:rsid w:val="48DE50EA"/>
    <w:rsid w:val="495314AB"/>
    <w:rsid w:val="497C1BD8"/>
    <w:rsid w:val="4BC54301"/>
    <w:rsid w:val="4C2D51B4"/>
    <w:rsid w:val="4F402E5F"/>
    <w:rsid w:val="4F91727B"/>
    <w:rsid w:val="501E5760"/>
    <w:rsid w:val="50CF7CDA"/>
    <w:rsid w:val="516107DC"/>
    <w:rsid w:val="538209A9"/>
    <w:rsid w:val="54131AF0"/>
    <w:rsid w:val="56CD6906"/>
    <w:rsid w:val="56F44C4E"/>
    <w:rsid w:val="589F705E"/>
    <w:rsid w:val="59A36043"/>
    <w:rsid w:val="59E848BF"/>
    <w:rsid w:val="59F06957"/>
    <w:rsid w:val="5A512F1C"/>
    <w:rsid w:val="5C8E62D4"/>
    <w:rsid w:val="5E1F20D9"/>
    <w:rsid w:val="5E960459"/>
    <w:rsid w:val="5EBE75A0"/>
    <w:rsid w:val="608E0C83"/>
    <w:rsid w:val="60F55842"/>
    <w:rsid w:val="62807498"/>
    <w:rsid w:val="63E64E07"/>
    <w:rsid w:val="64DA7D96"/>
    <w:rsid w:val="662D7BBA"/>
    <w:rsid w:val="66A43300"/>
    <w:rsid w:val="678B16AD"/>
    <w:rsid w:val="69987969"/>
    <w:rsid w:val="6C451E26"/>
    <w:rsid w:val="6E3353B6"/>
    <w:rsid w:val="6F9F6BB9"/>
    <w:rsid w:val="71685547"/>
    <w:rsid w:val="72A61F59"/>
    <w:rsid w:val="75125587"/>
    <w:rsid w:val="753303E5"/>
    <w:rsid w:val="76152250"/>
    <w:rsid w:val="76F02E16"/>
    <w:rsid w:val="780A3C52"/>
    <w:rsid w:val="780E2646"/>
    <w:rsid w:val="7D6F6F13"/>
    <w:rsid w:val="7E542418"/>
    <w:rsid w:val="7E77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link w:val="70"/>
    <w:qFormat/>
    <w:uiPriority w:val="0"/>
    <w:pPr>
      <w:outlineLvl w:val="0"/>
    </w:pPr>
  </w:style>
  <w:style w:type="paragraph" w:styleId="2">
    <w:name w:val="heading 2"/>
    <w:basedOn w:val="1"/>
    <w:next w:val="1"/>
    <w:qFormat/>
    <w:uiPriority w:val="0"/>
    <w:pPr>
      <w:outlineLvl w:val="1"/>
    </w:pPr>
    <w:rPr>
      <w:rFonts w:hAnsi="宋体"/>
      <w:b/>
    </w:rPr>
  </w:style>
  <w:style w:type="paragraph" w:styleId="4">
    <w:name w:val="heading 3"/>
    <w:basedOn w:val="1"/>
    <w:next w:val="1"/>
    <w:qFormat/>
    <w:uiPriority w:val="0"/>
    <w:pPr>
      <w:outlineLvl w:val="2"/>
    </w:p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7">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8">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9">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0">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pPr>
    <w:rPr>
      <w:rFonts w:ascii="Calibri" w:hAnsi="Calibri" w:cs="Calibri"/>
      <w:sz w:val="18"/>
      <w:szCs w:val="18"/>
    </w:rPr>
  </w:style>
  <w:style w:type="paragraph" w:styleId="12">
    <w:name w:val="Normal Indent"/>
    <w:basedOn w:val="1"/>
    <w:link w:val="86"/>
    <w:qFormat/>
    <w:uiPriority w:val="0"/>
    <w:pPr>
      <w:widowControl/>
      <w:autoSpaceDE/>
      <w:autoSpaceDN/>
      <w:adjustRightInd/>
      <w:ind w:firstLine="420" w:firstLineChars="200"/>
    </w:pPr>
    <w:rPr>
      <w:rFonts w:ascii="Times New Roman"/>
      <w:sz w:val="20"/>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List Bullet"/>
    <w:basedOn w:val="15"/>
    <w:qFormat/>
    <w:uiPriority w:val="0"/>
    <w:pPr>
      <w:widowControl/>
      <w:numPr>
        <w:numId w:val="1"/>
      </w:numPr>
      <w:tabs>
        <w:tab w:val="left" w:pos="360"/>
        <w:tab w:val="left" w:pos="420"/>
      </w:tabs>
      <w:adjustRightInd/>
      <w:snapToGrid/>
      <w:ind w:right="720"/>
    </w:pPr>
    <w:rPr>
      <w:rFonts w:ascii="Garamond" w:hAnsi="Garamond"/>
      <w:kern w:val="0"/>
      <w:sz w:val="24"/>
      <w:szCs w:val="20"/>
    </w:rPr>
  </w:style>
  <w:style w:type="paragraph" w:styleId="15">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18">
    <w:name w:val="annotation text"/>
    <w:basedOn w:val="1"/>
    <w:qFormat/>
    <w:uiPriority w:val="0"/>
    <w:pPr>
      <w:widowControl/>
      <w:autoSpaceDE/>
      <w:autoSpaceDN/>
      <w:adjustRightInd/>
    </w:pPr>
    <w:rPr>
      <w:rFonts w:ascii="Times New Roman"/>
      <w:sz w:val="21"/>
      <w:szCs w:val="20"/>
    </w:rPr>
  </w:style>
  <w:style w:type="paragraph" w:styleId="19">
    <w:name w:val="Body Text 3"/>
    <w:basedOn w:val="1"/>
    <w:qFormat/>
    <w:uiPriority w:val="0"/>
    <w:pPr>
      <w:ind w:right="-26"/>
      <w:jc w:val="center"/>
    </w:pPr>
    <w:rPr>
      <w:b/>
      <w:bCs/>
      <w:color w:val="3366FF"/>
      <w:kern w:val="2"/>
      <w:sz w:val="52"/>
      <w:szCs w:val="52"/>
      <w:lang w:val="zh-CN"/>
    </w:rPr>
  </w:style>
  <w:style w:type="paragraph" w:styleId="20">
    <w:name w:val="Body Text"/>
    <w:basedOn w:val="1"/>
    <w:link w:val="82"/>
    <w:qFormat/>
    <w:uiPriority w:val="0"/>
    <w:pPr>
      <w:ind w:right="-26"/>
      <w:jc w:val="center"/>
    </w:pPr>
    <w:rPr>
      <w:b/>
      <w:bCs/>
      <w:kern w:val="2"/>
      <w:sz w:val="84"/>
      <w:szCs w:val="84"/>
      <w:lang w:val="zh-CN"/>
    </w:rPr>
  </w:style>
  <w:style w:type="paragraph" w:styleId="21">
    <w:name w:val="Body Text Indent"/>
    <w:basedOn w:val="1"/>
    <w:qFormat/>
    <w:uiPriority w:val="0"/>
    <w:pPr>
      <w:autoSpaceDE/>
      <w:autoSpaceDN/>
      <w:adjustRightInd/>
      <w:ind w:left="567" w:leftChars="270"/>
      <w:jc w:val="both"/>
    </w:pPr>
    <w:rPr>
      <w:rFonts w:ascii="Times New Roman"/>
      <w:kern w:val="2"/>
      <w:sz w:val="21"/>
      <w:szCs w:val="20"/>
    </w:rPr>
  </w:style>
  <w:style w:type="paragraph" w:styleId="22">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3">
    <w:name w:val="Block Text"/>
    <w:basedOn w:val="1"/>
    <w:qFormat/>
    <w:uiPriority w:val="0"/>
    <w:pPr>
      <w:spacing w:after="120"/>
      <w:ind w:left="1440" w:leftChars="700" w:right="1440" w:rightChars="700"/>
    </w:pPr>
  </w:style>
  <w:style w:type="paragraph" w:styleId="24">
    <w:name w:val="toc 5"/>
    <w:basedOn w:val="1"/>
    <w:next w:val="1"/>
    <w:qFormat/>
    <w:uiPriority w:val="0"/>
    <w:pPr>
      <w:ind w:left="960"/>
    </w:pPr>
    <w:rPr>
      <w:rFonts w:ascii="Calibri" w:hAnsi="Calibri" w:cs="Calibri"/>
      <w:sz w:val="18"/>
      <w:szCs w:val="18"/>
    </w:rPr>
  </w:style>
  <w:style w:type="paragraph" w:styleId="25">
    <w:name w:val="toc 3"/>
    <w:basedOn w:val="1"/>
    <w:next w:val="1"/>
    <w:qFormat/>
    <w:uiPriority w:val="0"/>
    <w:pPr>
      <w:ind w:left="480"/>
    </w:pPr>
    <w:rPr>
      <w:rFonts w:ascii="Calibri" w:hAnsi="Calibri" w:cs="Calibri"/>
      <w:i/>
      <w:iCs/>
      <w:sz w:val="20"/>
      <w:szCs w:val="20"/>
    </w:rPr>
  </w:style>
  <w:style w:type="paragraph" w:styleId="26">
    <w:name w:val="Plain Text"/>
    <w:basedOn w:val="1"/>
    <w:link w:val="81"/>
    <w:qFormat/>
    <w:uiPriority w:val="0"/>
    <w:pPr>
      <w:autoSpaceDE/>
      <w:autoSpaceDN/>
      <w:adjustRightInd/>
      <w:jc w:val="both"/>
    </w:pPr>
    <w:rPr>
      <w:rFonts w:hAnsi="Courier New"/>
      <w:kern w:val="2"/>
      <w:sz w:val="21"/>
      <w:szCs w:val="20"/>
    </w:rPr>
  </w:style>
  <w:style w:type="paragraph" w:styleId="27">
    <w:name w:val="toc 8"/>
    <w:basedOn w:val="1"/>
    <w:next w:val="1"/>
    <w:qFormat/>
    <w:uiPriority w:val="0"/>
    <w:pPr>
      <w:ind w:left="1680"/>
    </w:pPr>
    <w:rPr>
      <w:rFonts w:ascii="Calibri" w:hAnsi="Calibri" w:cs="Calibri"/>
      <w:sz w:val="18"/>
      <w:szCs w:val="18"/>
    </w:rPr>
  </w:style>
  <w:style w:type="paragraph" w:styleId="28">
    <w:name w:val="Date"/>
    <w:basedOn w:val="1"/>
    <w:next w:val="1"/>
    <w:qFormat/>
    <w:uiPriority w:val="0"/>
    <w:pPr>
      <w:ind w:left="100" w:leftChars="2500"/>
    </w:pPr>
    <w:rPr>
      <w:b/>
      <w:bCs/>
      <w:kern w:val="2"/>
      <w:sz w:val="21"/>
      <w:szCs w:val="21"/>
      <w:lang w:val="zh-CN"/>
    </w:rPr>
  </w:style>
  <w:style w:type="paragraph" w:styleId="29">
    <w:name w:val="Body Text Indent 2"/>
    <w:basedOn w:val="1"/>
    <w:qFormat/>
    <w:uiPriority w:val="0"/>
    <w:pPr>
      <w:tabs>
        <w:tab w:val="left" w:pos="8640"/>
      </w:tabs>
      <w:autoSpaceDE/>
      <w:autoSpaceDN/>
      <w:adjustRightInd/>
      <w:ind w:left="1260"/>
      <w:jc w:val="both"/>
    </w:pPr>
    <w:rPr>
      <w:kern w:val="2"/>
      <w:sz w:val="21"/>
      <w:szCs w:val="20"/>
    </w:rPr>
  </w:style>
  <w:style w:type="paragraph" w:styleId="30">
    <w:name w:val="Balloon Text"/>
    <w:basedOn w:val="1"/>
    <w:qFormat/>
    <w:uiPriority w:val="0"/>
    <w:pPr>
      <w:autoSpaceDE/>
      <w:autoSpaceDN/>
      <w:adjustRightInd/>
      <w:jc w:val="both"/>
    </w:pPr>
    <w:rPr>
      <w:rFonts w:ascii="Times New Roman"/>
      <w:kern w:val="2"/>
      <w:sz w:val="18"/>
      <w:szCs w:val="18"/>
    </w:rPr>
  </w:style>
  <w:style w:type="paragraph" w:styleId="31">
    <w:name w:val="footer"/>
    <w:basedOn w:val="1"/>
    <w:link w:val="61"/>
    <w:qFormat/>
    <w:uiPriority w:val="0"/>
    <w:pPr>
      <w:tabs>
        <w:tab w:val="center" w:pos="4153"/>
        <w:tab w:val="right" w:pos="8306"/>
      </w:tabs>
      <w:snapToGrid w:val="0"/>
    </w:pPr>
    <w:rPr>
      <w:sz w:val="18"/>
      <w:szCs w:val="18"/>
    </w:rPr>
  </w:style>
  <w:style w:type="paragraph" w:styleId="32">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pPr>
    <w:rPr>
      <w:rFonts w:ascii="Calibri" w:hAnsi="Calibri" w:cs="Calibri"/>
      <w:b/>
      <w:bCs/>
      <w:caps/>
      <w:sz w:val="20"/>
      <w:szCs w:val="20"/>
    </w:rPr>
  </w:style>
  <w:style w:type="paragraph" w:styleId="34">
    <w:name w:val="toc 4"/>
    <w:basedOn w:val="1"/>
    <w:next w:val="1"/>
    <w:qFormat/>
    <w:uiPriority w:val="0"/>
    <w:pPr>
      <w:ind w:left="720"/>
    </w:pPr>
    <w:rPr>
      <w:rFonts w:ascii="Calibri" w:hAnsi="Calibri" w:cs="Calibri"/>
      <w:sz w:val="18"/>
      <w:szCs w:val="18"/>
    </w:rPr>
  </w:style>
  <w:style w:type="paragraph" w:styleId="35">
    <w:name w:val="index heading"/>
    <w:basedOn w:val="1"/>
    <w:next w:val="36"/>
    <w:qFormat/>
    <w:uiPriority w:val="0"/>
    <w:pPr>
      <w:autoSpaceDE/>
      <w:autoSpaceDN/>
      <w:adjustRightInd/>
      <w:jc w:val="both"/>
    </w:pPr>
    <w:rPr>
      <w:rFonts w:ascii="Times New Roman"/>
      <w:kern w:val="2"/>
      <w:sz w:val="21"/>
      <w:szCs w:val="20"/>
    </w:rPr>
  </w:style>
  <w:style w:type="paragraph" w:styleId="36">
    <w:name w:val="index 1"/>
    <w:basedOn w:val="1"/>
    <w:next w:val="1"/>
    <w:qFormat/>
    <w:uiPriority w:val="0"/>
    <w:pPr>
      <w:autoSpaceDE/>
      <w:autoSpaceDN/>
      <w:adjustRightInd/>
      <w:ind w:left="540" w:leftChars="257"/>
      <w:jc w:val="both"/>
    </w:pPr>
    <w:rPr>
      <w:rFonts w:ascii="Arial" w:hAnsi="Arial" w:cs="Arial"/>
      <w:kern w:val="2"/>
      <w:sz w:val="21"/>
    </w:rPr>
  </w:style>
  <w:style w:type="paragraph" w:styleId="37">
    <w:name w:val="Subtitle"/>
    <w:basedOn w:val="1"/>
    <w:link w:val="83"/>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38">
    <w:name w:val="toc 6"/>
    <w:basedOn w:val="1"/>
    <w:next w:val="1"/>
    <w:qFormat/>
    <w:uiPriority w:val="0"/>
    <w:pPr>
      <w:ind w:left="1200"/>
    </w:pPr>
    <w:rPr>
      <w:rFonts w:ascii="Calibri" w:hAnsi="Calibri" w:cs="Calibri"/>
      <w:sz w:val="18"/>
      <w:szCs w:val="18"/>
    </w:rPr>
  </w:style>
  <w:style w:type="paragraph" w:styleId="39">
    <w:name w:val="Body Text Indent 3"/>
    <w:basedOn w:val="1"/>
    <w:qFormat/>
    <w:uiPriority w:val="0"/>
    <w:pPr>
      <w:spacing w:line="360" w:lineRule="auto"/>
      <w:ind w:firstLine="480" w:firstLineChars="200"/>
    </w:pPr>
  </w:style>
  <w:style w:type="paragraph" w:styleId="40">
    <w:name w:val="toc 2"/>
    <w:basedOn w:val="1"/>
    <w:next w:val="1"/>
    <w:qFormat/>
    <w:uiPriority w:val="0"/>
    <w:pPr>
      <w:ind w:left="240"/>
    </w:pPr>
    <w:rPr>
      <w:rFonts w:ascii="Calibri" w:hAnsi="Calibri" w:cs="Calibri"/>
      <w:smallCaps/>
      <w:sz w:val="20"/>
      <w:szCs w:val="20"/>
    </w:rPr>
  </w:style>
  <w:style w:type="paragraph" w:styleId="41">
    <w:name w:val="toc 9"/>
    <w:basedOn w:val="1"/>
    <w:next w:val="1"/>
    <w:qFormat/>
    <w:uiPriority w:val="0"/>
    <w:pPr>
      <w:ind w:left="1920"/>
    </w:pPr>
    <w:rPr>
      <w:rFonts w:ascii="Calibri" w:hAnsi="Calibri" w:cs="Calibri"/>
      <w:sz w:val="18"/>
      <w:szCs w:val="18"/>
    </w:rPr>
  </w:style>
  <w:style w:type="paragraph" w:styleId="42">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3">
    <w:name w:val="List 4"/>
    <w:basedOn w:val="1"/>
    <w:qFormat/>
    <w:uiPriority w:val="0"/>
    <w:pPr>
      <w:tabs>
        <w:tab w:val="left" w:pos="750"/>
      </w:tabs>
      <w:autoSpaceDE/>
      <w:autoSpaceDN/>
      <w:adjustRightInd/>
      <w:ind w:left="750" w:hanging="750"/>
      <w:jc w:val="both"/>
    </w:pPr>
    <w:rPr>
      <w:rFonts w:ascii="Times New Roman"/>
      <w:b/>
      <w:kern w:val="2"/>
      <w:sz w:val="21"/>
      <w:szCs w:val="20"/>
    </w:rPr>
  </w:style>
  <w:style w:type="paragraph" w:styleId="44">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5">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6">
    <w:name w:val="Title"/>
    <w:basedOn w:val="1"/>
    <w:next w:val="1"/>
    <w:qFormat/>
    <w:uiPriority w:val="0"/>
    <w:pPr>
      <w:numPr>
        <w:ilvl w:val="0"/>
        <w:numId w:val="3"/>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7">
    <w:name w:val="annotation subject"/>
    <w:basedOn w:val="18"/>
    <w:next w:val="18"/>
    <w:qFormat/>
    <w:uiPriority w:val="0"/>
    <w:rPr>
      <w:b/>
      <w:bCs/>
    </w:rPr>
  </w:style>
  <w:style w:type="paragraph" w:styleId="48">
    <w:name w:val="Body Text First Indent"/>
    <w:basedOn w:val="20"/>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paragraph" w:customStyle="1" w:styleId="58">
    <w:name w:val="表格文字"/>
    <w:basedOn w:val="1"/>
    <w:qFormat/>
    <w:uiPriority w:val="0"/>
    <w:pPr>
      <w:autoSpaceDE/>
      <w:autoSpaceDN/>
      <w:adjustRightInd/>
      <w:spacing w:before="25" w:after="25"/>
    </w:pPr>
    <w:rPr>
      <w:rFonts w:ascii="Times New Roman"/>
      <w:bCs/>
      <w:spacing w:val="10"/>
      <w:szCs w:val="20"/>
    </w:rPr>
  </w:style>
  <w:style w:type="paragraph" w:customStyle="1" w:styleId="59">
    <w:name w:val="首行缩进"/>
    <w:basedOn w:val="1"/>
    <w:qFormat/>
    <w:uiPriority w:val="0"/>
    <w:pPr>
      <w:ind w:firstLine="480" w:firstLineChars="200"/>
    </w:pPr>
    <w:rPr>
      <w:lang w:val="zh-CN"/>
    </w:rPr>
  </w:style>
  <w:style w:type="character" w:customStyle="1" w:styleId="60">
    <w:name w:val="f141"/>
    <w:qFormat/>
    <w:uiPriority w:val="0"/>
    <w:rPr>
      <w:sz w:val="21"/>
      <w:szCs w:val="21"/>
    </w:rPr>
  </w:style>
  <w:style w:type="character" w:customStyle="1" w:styleId="61">
    <w:name w:val="页脚 Char"/>
    <w:link w:val="31"/>
    <w:qFormat/>
    <w:uiPriority w:val="0"/>
    <w:rPr>
      <w:rFonts w:ascii="宋体" w:hAnsi="Times New Roman" w:eastAsia="宋体" w:cs="Times New Roman"/>
      <w:sz w:val="18"/>
      <w:szCs w:val="18"/>
      <w:lang w:val="en-US" w:eastAsia="zh-CN" w:bidi="ar-SA"/>
    </w:rPr>
  </w:style>
  <w:style w:type="character" w:customStyle="1" w:styleId="62">
    <w:name w:val="neir1"/>
    <w:qFormat/>
    <w:uiPriority w:val="0"/>
    <w:rPr>
      <w:rFonts w:hint="default" w:ascii="ˎ̥" w:hAnsi="ˎ̥" w:eastAsia="宋体" w:cs="Times New Roman"/>
      <w:color w:val="333333"/>
      <w:sz w:val="21"/>
      <w:szCs w:val="21"/>
      <w:u w:val="none"/>
    </w:rPr>
  </w:style>
  <w:style w:type="character" w:customStyle="1" w:styleId="63">
    <w:name w:val="HTML 预设格式 Char"/>
    <w:link w:val="44"/>
    <w:qFormat/>
    <w:uiPriority w:val="0"/>
    <w:rPr>
      <w:rFonts w:ascii="Arial" w:hAnsi="Arial" w:eastAsia="宋体" w:cs="Arial"/>
      <w:sz w:val="21"/>
      <w:szCs w:val="21"/>
      <w:lang w:val="en-US" w:eastAsia="zh-CN" w:bidi="ar-SA"/>
    </w:rPr>
  </w:style>
  <w:style w:type="character" w:customStyle="1" w:styleId="64">
    <w:name w:val="DAS正文 Char Char"/>
    <w:qFormat/>
    <w:uiPriority w:val="0"/>
    <w:rPr>
      <w:rFonts w:ascii="Verdana" w:hAnsi="Verdana" w:eastAsia="宋体"/>
      <w:kern w:val="2"/>
      <w:sz w:val="21"/>
      <w:szCs w:val="21"/>
      <w:lang w:val="en-US" w:eastAsia="zh-CN" w:bidi="ar-SA"/>
    </w:rPr>
  </w:style>
  <w:style w:type="character" w:customStyle="1" w:styleId="65">
    <w:name w:val="HTML Markup"/>
    <w:qFormat/>
    <w:uiPriority w:val="0"/>
    <w:rPr>
      <w:rFonts w:ascii="Times New Roman" w:hAnsi="Times New Roman" w:eastAsia="宋体" w:cs="Times New Roman"/>
      <w:vanish/>
      <w:color w:val="FF0000"/>
    </w:rPr>
  </w:style>
  <w:style w:type="character" w:customStyle="1" w:styleId="66">
    <w:name w:val="页眉 Char"/>
    <w:link w:val="32"/>
    <w:qFormat/>
    <w:uiPriority w:val="0"/>
    <w:rPr>
      <w:rFonts w:ascii="宋体"/>
      <w:sz w:val="18"/>
      <w:szCs w:val="18"/>
    </w:rPr>
  </w:style>
  <w:style w:type="character" w:customStyle="1" w:styleId="67">
    <w:name w:val="Highlighted Variable"/>
    <w:qFormat/>
    <w:uiPriority w:val="0"/>
    <w:rPr>
      <w:color w:val="000000"/>
    </w:rPr>
  </w:style>
  <w:style w:type="character" w:customStyle="1" w:styleId="68">
    <w:name w:val="纯文本 Char Char"/>
    <w:qFormat/>
    <w:uiPriority w:val="0"/>
    <w:rPr>
      <w:rFonts w:ascii="宋体" w:hAnsi="Courier New" w:eastAsia="宋体"/>
      <w:kern w:val="2"/>
      <w:sz w:val="21"/>
      <w:lang w:val="en-US" w:eastAsia="zh-CN" w:bidi="ar-SA"/>
    </w:rPr>
  </w:style>
  <w:style w:type="character" w:customStyle="1" w:styleId="69">
    <w:name w:val="style61"/>
    <w:qFormat/>
    <w:uiPriority w:val="0"/>
    <w:rPr>
      <w:b/>
      <w:bCs/>
    </w:rPr>
  </w:style>
  <w:style w:type="character" w:customStyle="1" w:styleId="70">
    <w:name w:val="标题 1 Char"/>
    <w:link w:val="3"/>
    <w:qFormat/>
    <w:uiPriority w:val="0"/>
  </w:style>
  <w:style w:type="character" w:customStyle="1" w:styleId="71">
    <w:name w:val="meuncn1"/>
    <w:qFormat/>
    <w:uiPriority w:val="0"/>
    <w:rPr>
      <w:rFonts w:hint="eastAsia" w:ascii="宋体" w:hAnsi="宋体" w:eastAsia="宋体"/>
      <w:color w:val="666666"/>
      <w:sz w:val="18"/>
      <w:u w:val="none"/>
    </w:rPr>
  </w:style>
  <w:style w:type="character" w:customStyle="1" w:styleId="72">
    <w:name w:val="正文缩进2格 Char Char"/>
    <w:link w:val="73"/>
    <w:qFormat/>
    <w:uiPriority w:val="0"/>
    <w:rPr>
      <w:rFonts w:ascii="仿宋_GB2312" w:hAnsi="宋体" w:eastAsia="仿宋_GB2312"/>
      <w:kern w:val="2"/>
      <w:sz w:val="31"/>
      <w:szCs w:val="28"/>
      <w:lang w:val="en-US" w:eastAsia="zh-CN" w:bidi="ar-SA"/>
    </w:rPr>
  </w:style>
  <w:style w:type="paragraph" w:customStyle="1" w:styleId="73">
    <w:name w:val="正文缩进2格"/>
    <w:basedOn w:val="1"/>
    <w:link w:val="72"/>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4">
    <w:name w:val="页脚 Char Char"/>
    <w:qFormat/>
    <w:uiPriority w:val="0"/>
    <w:rPr>
      <w:rFonts w:ascii="宋体"/>
      <w:sz w:val="18"/>
      <w:szCs w:val="18"/>
    </w:rPr>
  </w:style>
  <w:style w:type="character" w:customStyle="1" w:styleId="75">
    <w:name w:val="keyfeatures1"/>
    <w:qFormat/>
    <w:uiPriority w:val="0"/>
    <w:rPr>
      <w:rFonts w:hint="default" w:ascii="Arial" w:hAnsi="Arial" w:cs="Arial"/>
      <w:color w:val="003366"/>
      <w:sz w:val="17"/>
      <w:szCs w:val="17"/>
      <w:u w:val="none"/>
    </w:rPr>
  </w:style>
  <w:style w:type="character" w:customStyle="1" w:styleId="76">
    <w:name w:val="小 Char"/>
    <w:qFormat/>
    <w:uiPriority w:val="0"/>
    <w:rPr>
      <w:rFonts w:ascii="宋体" w:hAnsi="Courier New" w:eastAsia="宋体" w:cs="Times New Roman"/>
      <w:kern w:val="2"/>
      <w:sz w:val="21"/>
      <w:lang w:val="en-US" w:eastAsia="zh-CN" w:bidi="ar-SA"/>
    </w:rPr>
  </w:style>
  <w:style w:type="character" w:customStyle="1" w:styleId="77">
    <w:name w:val="标题 3.1 Char Char"/>
    <w:link w:val="78"/>
    <w:qFormat/>
    <w:uiPriority w:val="0"/>
    <w:rPr>
      <w:rFonts w:ascii="宋体" w:hAnsi="宋体"/>
      <w:b/>
      <w:bCs/>
      <w:kern w:val="2"/>
      <w:sz w:val="32"/>
      <w:szCs w:val="32"/>
    </w:rPr>
  </w:style>
  <w:style w:type="paragraph" w:customStyle="1" w:styleId="78">
    <w:name w:val="标题 3.1"/>
    <w:basedOn w:val="4"/>
    <w:link w:val="77"/>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9">
    <w:name w:val="font01"/>
    <w:basedOn w:val="51"/>
    <w:qFormat/>
    <w:uiPriority w:val="0"/>
    <w:rPr>
      <w:rFonts w:hint="eastAsia" w:ascii="宋体" w:hAnsi="宋体" w:eastAsia="宋体" w:cs="宋体"/>
      <w:color w:val="000000"/>
      <w:sz w:val="24"/>
      <w:szCs w:val="24"/>
      <w:u w:val="none"/>
    </w:rPr>
  </w:style>
  <w:style w:type="character" w:customStyle="1" w:styleId="80">
    <w:name w:val="wctjfont1"/>
    <w:qFormat/>
    <w:uiPriority w:val="0"/>
    <w:rPr>
      <w:sz w:val="18"/>
    </w:rPr>
  </w:style>
  <w:style w:type="character" w:customStyle="1" w:styleId="81">
    <w:name w:val="纯文本 Char"/>
    <w:link w:val="26"/>
    <w:qFormat/>
    <w:uiPriority w:val="0"/>
    <w:rPr>
      <w:rFonts w:ascii="宋体" w:hAnsi="Courier New" w:eastAsia="宋体" w:cs="Times New Roman"/>
      <w:kern w:val="2"/>
      <w:sz w:val="21"/>
      <w:lang w:val="en-US" w:eastAsia="zh-CN" w:bidi="ar-SA"/>
    </w:rPr>
  </w:style>
  <w:style w:type="character" w:customStyle="1" w:styleId="82">
    <w:name w:val="正文文本 Char"/>
    <w:link w:val="20"/>
    <w:qFormat/>
    <w:uiPriority w:val="0"/>
    <w:rPr>
      <w:rFonts w:ascii="宋体" w:hAnsi="Times New Roman" w:eastAsia="宋体" w:cs="Times New Roman"/>
      <w:b/>
      <w:bCs/>
      <w:kern w:val="2"/>
      <w:sz w:val="84"/>
      <w:szCs w:val="84"/>
      <w:lang w:val="zh-CN" w:eastAsia="zh-CN" w:bidi="ar-SA"/>
    </w:rPr>
  </w:style>
  <w:style w:type="character" w:customStyle="1" w:styleId="83">
    <w:name w:val="副标题 Char"/>
    <w:link w:val="37"/>
    <w:qFormat/>
    <w:uiPriority w:val="0"/>
    <w:rPr>
      <w:rFonts w:ascii="Arial" w:hAnsi="Arial"/>
      <w:b/>
      <w:kern w:val="28"/>
      <w:sz w:val="32"/>
    </w:rPr>
  </w:style>
  <w:style w:type="character" w:customStyle="1" w:styleId="84">
    <w:name w:val="bold1"/>
    <w:qFormat/>
    <w:uiPriority w:val="0"/>
    <w:rPr>
      <w:sz w:val="32"/>
    </w:rPr>
  </w:style>
  <w:style w:type="character" w:customStyle="1" w:styleId="85">
    <w:name w:val="p105"/>
    <w:basedOn w:val="51"/>
    <w:qFormat/>
    <w:uiPriority w:val="0"/>
  </w:style>
  <w:style w:type="character" w:customStyle="1" w:styleId="86">
    <w:name w:val="正文缩进 Char"/>
    <w:link w:val="12"/>
    <w:qFormat/>
    <w:uiPriority w:val="0"/>
    <w:rPr>
      <w:rFonts w:eastAsia="宋体"/>
      <w:lang w:val="en-US" w:eastAsia="zh-CN" w:bidi="ar-SA"/>
    </w:rPr>
  </w:style>
  <w:style w:type="character" w:customStyle="1" w:styleId="87">
    <w:name w:val="s1"/>
    <w:basedOn w:val="51"/>
    <w:qFormat/>
    <w:uiPriority w:val="99"/>
    <w:rPr>
      <w:rFonts w:ascii="Helvetica" w:hAnsi="Helvetica" w:eastAsia="Times New Roman" w:cs="Helvetica"/>
      <w:sz w:val="24"/>
      <w:szCs w:val="24"/>
    </w:rPr>
  </w:style>
  <w:style w:type="paragraph" w:customStyle="1" w:styleId="88">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8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9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9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92">
    <w:name w:val="p0"/>
    <w:basedOn w:val="1"/>
    <w:qFormat/>
    <w:uiPriority w:val="99"/>
    <w:pPr>
      <w:widowControl/>
    </w:pPr>
    <w:rPr>
      <w:szCs w:val="21"/>
    </w:rPr>
  </w:style>
  <w:style w:type="paragraph" w:customStyle="1" w:styleId="93">
    <w:name w:val="技术响应2"/>
    <w:basedOn w:val="1"/>
    <w:qFormat/>
    <w:uiPriority w:val="0"/>
    <w:pPr>
      <w:numPr>
        <w:ilvl w:val="0"/>
        <w:numId w:val="4"/>
      </w:numPr>
      <w:autoSpaceDE/>
      <w:autoSpaceDN/>
      <w:adjustRightInd/>
      <w:jc w:val="both"/>
    </w:pPr>
    <w:rPr>
      <w:rFonts w:hAnsi="宋体"/>
      <w:b/>
      <w:bCs/>
      <w:kern w:val="2"/>
      <w:sz w:val="21"/>
      <w:szCs w:val="20"/>
    </w:rPr>
  </w:style>
  <w:style w:type="paragraph" w:customStyle="1" w:styleId="94">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95">
    <w:name w:val="表头"/>
    <w:basedOn w:val="13"/>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96">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97">
    <w:name w:val="正文列表"/>
    <w:basedOn w:val="1"/>
    <w:qFormat/>
    <w:uiPriority w:val="0"/>
    <w:pPr>
      <w:jc w:val="center"/>
      <w:textAlignment w:val="baseline"/>
    </w:pPr>
    <w:rPr>
      <w:rFonts w:hAnsi="宋体"/>
      <w:szCs w:val="20"/>
    </w:rPr>
  </w:style>
  <w:style w:type="paragraph" w:customStyle="1" w:styleId="98">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99">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00">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cs="宋体"/>
      <w:kern w:val="2"/>
      <w:sz w:val="28"/>
      <w:szCs w:val="20"/>
    </w:rPr>
  </w:style>
  <w:style w:type="paragraph" w:customStyle="1" w:styleId="101">
    <w:name w:val="正文缩进6格"/>
    <w:basedOn w:val="102"/>
    <w:qFormat/>
    <w:uiPriority w:val="0"/>
    <w:pPr>
      <w:ind w:left="1758" w:leftChars="854"/>
    </w:pPr>
  </w:style>
  <w:style w:type="paragraph" w:customStyle="1" w:styleId="102">
    <w:name w:val="正文缩进4格"/>
    <w:basedOn w:val="73"/>
    <w:qFormat/>
    <w:uiPriority w:val="0"/>
    <w:pPr>
      <w:ind w:left="651" w:leftChars="310" w:firstLine="608" w:firstLineChars="196"/>
    </w:pPr>
    <w:rPr>
      <w:color w:val="000000"/>
    </w:rPr>
  </w:style>
  <w:style w:type="paragraph" w:customStyle="1" w:styleId="103">
    <w:name w:val="Char1"/>
    <w:basedOn w:val="16"/>
    <w:qFormat/>
    <w:uiPriority w:val="0"/>
    <w:pPr>
      <w:autoSpaceDE/>
      <w:autoSpaceDN/>
      <w:adjustRightInd/>
      <w:jc w:val="both"/>
    </w:pPr>
    <w:rPr>
      <w:rFonts w:ascii="Tahoma" w:hAnsi="Tahoma"/>
      <w:kern w:val="2"/>
    </w:rPr>
  </w:style>
  <w:style w:type="paragraph" w:customStyle="1" w:styleId="104">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05">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06">
    <w:name w:val="题注4"/>
    <w:basedOn w:val="1"/>
    <w:next w:val="13"/>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07">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08">
    <w:name w:val="Char1 Char Char Char"/>
    <w:basedOn w:val="1"/>
    <w:qFormat/>
    <w:uiPriority w:val="0"/>
    <w:pPr>
      <w:autoSpaceDE/>
      <w:autoSpaceDN/>
      <w:adjustRightInd/>
      <w:jc w:val="both"/>
    </w:pPr>
    <w:rPr>
      <w:rFonts w:ascii="Tahoma" w:hAnsi="Tahoma"/>
      <w:kern w:val="2"/>
      <w:szCs w:val="20"/>
    </w:rPr>
  </w:style>
  <w:style w:type="paragraph" w:customStyle="1" w:styleId="109">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10">
    <w:name w:val="列出段落1"/>
    <w:basedOn w:val="1"/>
    <w:qFormat/>
    <w:uiPriority w:val="0"/>
    <w:pPr>
      <w:autoSpaceDE/>
      <w:autoSpaceDN/>
      <w:adjustRightInd/>
      <w:ind w:firstLine="420" w:firstLineChars="200"/>
      <w:jc w:val="both"/>
    </w:pPr>
    <w:rPr>
      <w:rFonts w:ascii="Calibri" w:hAnsi="Calibri"/>
      <w:kern w:val="2"/>
      <w:sz w:val="21"/>
      <w:szCs w:val="22"/>
    </w:rPr>
  </w:style>
  <w:style w:type="paragraph" w:customStyle="1" w:styleId="111">
    <w:name w:val="需求书2"/>
    <w:basedOn w:val="1"/>
    <w:qFormat/>
    <w:uiPriority w:val="0"/>
    <w:pPr>
      <w:autoSpaceDE/>
      <w:autoSpaceDN/>
      <w:adjustRightInd/>
      <w:jc w:val="both"/>
    </w:pPr>
    <w:rPr>
      <w:rFonts w:hAnsi="宋体"/>
      <w:spacing w:val="10"/>
      <w:kern w:val="2"/>
      <w:sz w:val="18"/>
      <w:szCs w:val="20"/>
    </w:rPr>
  </w:style>
  <w:style w:type="paragraph" w:customStyle="1" w:styleId="112">
    <w:name w:val="保留正文"/>
    <w:basedOn w:val="20"/>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13">
    <w:name w:val="样式 我的标题 + 两端对齐"/>
    <w:basedOn w:val="3"/>
    <w:qFormat/>
    <w:uiPriority w:val="0"/>
    <w:pPr>
      <w:keepNext/>
      <w:keepLines/>
      <w:autoSpaceDE/>
      <w:autoSpaceDN/>
      <w:adjustRightInd/>
      <w:spacing w:before="340" w:after="330" w:line="578" w:lineRule="auto"/>
      <w:jc w:val="center"/>
    </w:pPr>
    <w:rPr>
      <w:rFonts w:ascii="Times New Roman" w:cs="宋体"/>
      <w:b/>
      <w:bCs/>
      <w:kern w:val="44"/>
      <w:sz w:val="32"/>
      <w:szCs w:val="20"/>
    </w:rPr>
  </w:style>
  <w:style w:type="paragraph" w:customStyle="1" w:styleId="114">
    <w:name w:val="表正文"/>
    <w:basedOn w:val="1"/>
    <w:next w:val="23"/>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15">
    <w:name w:val="正文无缩进"/>
    <w:basedOn w:val="73"/>
    <w:qFormat/>
    <w:uiPriority w:val="0"/>
    <w:pPr>
      <w:ind w:firstLine="0" w:firstLineChars="0"/>
    </w:pPr>
  </w:style>
  <w:style w:type="paragraph" w:customStyle="1" w:styleId="116">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17">
    <w:name w:val="_Style 202"/>
    <w:basedOn w:val="1"/>
    <w:qFormat/>
    <w:uiPriority w:val="0"/>
    <w:pPr>
      <w:tabs>
        <w:tab w:val="left" w:pos="360"/>
      </w:tabs>
      <w:autoSpaceDE/>
      <w:autoSpaceDN/>
      <w:adjustRightInd/>
      <w:jc w:val="both"/>
    </w:pPr>
    <w:rPr>
      <w:rFonts w:ascii="Times New Roman"/>
      <w:kern w:val="2"/>
      <w:sz w:val="21"/>
    </w:rPr>
  </w:style>
  <w:style w:type="paragraph" w:customStyle="1" w:styleId="118">
    <w:name w:val="信息标题2"/>
    <w:basedOn w:val="13"/>
    <w:next w:val="13"/>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19">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120">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21">
    <w:name w:val="表格栏头"/>
    <w:basedOn w:val="122"/>
    <w:next w:val="122"/>
    <w:qFormat/>
    <w:uiPriority w:val="0"/>
    <w:rPr>
      <w:b/>
    </w:rPr>
  </w:style>
  <w:style w:type="paragraph" w:customStyle="1" w:styleId="122">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3">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24">
    <w:name w:val="p2"/>
    <w:basedOn w:val="1"/>
    <w:qFormat/>
    <w:uiPriority w:val="99"/>
  </w:style>
  <w:style w:type="paragraph" w:customStyle="1" w:styleId="125">
    <w:name w:val="Char Char2 Char"/>
    <w:basedOn w:val="1"/>
    <w:qFormat/>
    <w:uiPriority w:val="0"/>
    <w:pPr>
      <w:autoSpaceDE/>
      <w:autoSpaceDN/>
      <w:adjustRightInd/>
      <w:jc w:val="both"/>
    </w:pPr>
    <w:rPr>
      <w:rFonts w:hAnsi="宋体"/>
      <w:b/>
      <w:kern w:val="2"/>
      <w:sz w:val="28"/>
      <w:szCs w:val="28"/>
    </w:rPr>
  </w:style>
  <w:style w:type="paragraph" w:customStyle="1" w:styleId="126">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28">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styleId="12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31">
    <w:name w:val="Char11"/>
    <w:basedOn w:val="16"/>
    <w:qFormat/>
    <w:uiPriority w:val="0"/>
    <w:pPr>
      <w:autoSpaceDE/>
      <w:autoSpaceDN/>
      <w:adjustRightInd/>
      <w:jc w:val="both"/>
    </w:pPr>
    <w:rPr>
      <w:rFonts w:ascii="Tahoma" w:hAnsi="Tahoma"/>
      <w:kern w:val="2"/>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33">
    <w:name w:val="Char Char Char"/>
    <w:basedOn w:val="1"/>
    <w:qFormat/>
    <w:uiPriority w:val="0"/>
    <w:pPr>
      <w:autoSpaceDE/>
      <w:autoSpaceDN/>
      <w:adjustRightInd/>
      <w:jc w:val="both"/>
    </w:pPr>
    <w:rPr>
      <w:rFonts w:ascii="Tahoma" w:hAnsi="Tahoma"/>
      <w:b/>
      <w:sz w:val="28"/>
      <w:szCs w:val="20"/>
    </w:rPr>
  </w:style>
  <w:style w:type="paragraph" w:customStyle="1" w:styleId="134">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35">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36">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3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38">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39">
    <w:name w:val="投标文件格式"/>
    <w:basedOn w:val="26"/>
    <w:qFormat/>
    <w:uiPriority w:val="0"/>
    <w:pPr>
      <w:jc w:val="center"/>
    </w:pPr>
    <w:rPr>
      <w:rFonts w:hAnsi="Times New Roman"/>
      <w:b/>
    </w:rPr>
  </w:style>
  <w:style w:type="paragraph" w:customStyle="1" w:styleId="140">
    <w:name w:val="列出段落11"/>
    <w:basedOn w:val="1"/>
    <w:qFormat/>
    <w:uiPriority w:val="0"/>
    <w:pPr>
      <w:spacing w:after="200" w:line="276" w:lineRule="auto"/>
      <w:ind w:left="720"/>
    </w:pPr>
    <w:rPr>
      <w:rFonts w:ascii="Calibri" w:hAnsi="Calibri"/>
      <w:kern w:val="2"/>
      <w:sz w:val="21"/>
    </w:rPr>
  </w:style>
  <w:style w:type="paragraph" w:customStyle="1" w:styleId="141">
    <w:name w:val="Char1 Char Char Char Char Char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42">
    <w:name w:val="题注5"/>
    <w:basedOn w:val="1"/>
    <w:next w:val="13"/>
    <w:qFormat/>
    <w:uiPriority w:val="0"/>
    <w:pPr>
      <w:autoSpaceDE/>
      <w:autoSpaceDN/>
      <w:adjustRightInd/>
      <w:jc w:val="center"/>
    </w:pPr>
    <w:rPr>
      <w:rFonts w:ascii="Times New Roman"/>
      <w:b/>
      <w:color w:val="000000"/>
      <w:kern w:val="2"/>
      <w:szCs w:val="21"/>
    </w:rPr>
  </w:style>
  <w:style w:type="paragraph" w:customStyle="1" w:styleId="143">
    <w:name w:val="标题 3.5"/>
    <w:basedOn w:val="4"/>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45">
    <w:name w:val="D标3"/>
    <w:basedOn w:val="4"/>
    <w:qFormat/>
    <w:uiPriority w:val="0"/>
    <w:pPr>
      <w:numPr>
        <w:ilvl w:val="0"/>
        <w:numId w:val="5"/>
      </w:numPr>
      <w:spacing w:before="120" w:line="480" w:lineRule="atLeast"/>
      <w:jc w:val="both"/>
    </w:pPr>
    <w:rPr>
      <w:rFonts w:ascii="Times New Roman"/>
      <w:szCs w:val="20"/>
    </w:rPr>
  </w:style>
  <w:style w:type="paragraph" w:customStyle="1" w:styleId="146">
    <w:name w:val="Char Char1 Char Char Char Char Char Char Char Char Char Char Char Char Char"/>
    <w:basedOn w:val="1"/>
    <w:qFormat/>
    <w:uiPriority w:val="0"/>
    <w:pPr>
      <w:widowControl/>
      <w:autoSpaceDE/>
      <w:autoSpaceDN/>
      <w:adjustRightInd/>
      <w:spacing w:after="160" w:line="360" w:lineRule="auto"/>
    </w:pPr>
    <w:rPr>
      <w:rFonts w:ascii="Verdana" w:hAnsi="Verdana"/>
      <w:sz w:val="21"/>
      <w:szCs w:val="20"/>
      <w:lang w:eastAsia="en-US"/>
    </w:rPr>
  </w:style>
  <w:style w:type="paragraph" w:customStyle="1" w:styleId="147">
    <w:name w:val="进度表"/>
    <w:basedOn w:val="12"/>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4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49">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50">
    <w:name w:val="题目副题"/>
    <w:basedOn w:val="37"/>
    <w:qFormat/>
    <w:uiPriority w:val="0"/>
    <w:pPr>
      <w:spacing w:before="0" w:after="312"/>
      <w:ind w:left="240" w:firstLine="600"/>
      <w:jc w:val="left"/>
      <w:outlineLvl w:val="9"/>
    </w:pPr>
    <w:rPr>
      <w:rFonts w:ascii="宋体" w:hAnsi="宋体"/>
      <w:sz w:val="30"/>
    </w:rPr>
  </w:style>
  <w:style w:type="paragraph" w:customStyle="1" w:styleId="151">
    <w:name w:val="样式 标题 3Level 3 HeadH3Heading 3 - oldh3sect1.2.3Head33l3..."/>
    <w:basedOn w:val="4"/>
    <w:qFormat/>
    <w:uiPriority w:val="0"/>
    <w:pPr>
      <w:tabs>
        <w:tab w:val="left" w:pos="720"/>
      </w:tabs>
      <w:autoSpaceDE/>
      <w:autoSpaceDN/>
      <w:adjustRightInd/>
      <w:spacing w:line="360" w:lineRule="auto"/>
      <w:ind w:left="720" w:hanging="720"/>
      <w:jc w:val="both"/>
    </w:pPr>
    <w:rPr>
      <w:rFonts w:ascii="Times New Roman" w:cs="宋体"/>
      <w:kern w:val="2"/>
      <w:sz w:val="21"/>
      <w:szCs w:val="20"/>
    </w:rPr>
  </w:style>
  <w:style w:type="paragraph" w:customStyle="1" w:styleId="152">
    <w:name w:val="Blockquote"/>
    <w:basedOn w:val="1"/>
    <w:qFormat/>
    <w:uiPriority w:val="0"/>
    <w:pPr>
      <w:spacing w:before="100" w:after="100"/>
      <w:ind w:left="360" w:right="360"/>
    </w:pPr>
    <w:rPr>
      <w:rFonts w:ascii="Times New Roman"/>
      <w:szCs w:val="20"/>
    </w:rPr>
  </w:style>
  <w:style w:type="paragraph" w:customStyle="1" w:styleId="153">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154">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55">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56">
    <w:name w:val="日期右"/>
    <w:basedOn w:val="28"/>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57">
    <w:name w:val="默认段落字体 Para Char"/>
    <w:basedOn w:val="1"/>
    <w:qFormat/>
    <w:uiPriority w:val="0"/>
    <w:pPr>
      <w:autoSpaceDE/>
      <w:autoSpaceDN/>
      <w:spacing w:line="360" w:lineRule="auto"/>
      <w:jc w:val="both"/>
    </w:pPr>
    <w:rPr>
      <w:rFonts w:ascii="Times New Roman"/>
      <w:szCs w:val="20"/>
    </w:rPr>
  </w:style>
  <w:style w:type="paragraph" w:styleId="158">
    <w:name w:val="List Paragraph"/>
    <w:basedOn w:val="1"/>
    <w:qFormat/>
    <w:uiPriority w:val="0"/>
    <w:pPr>
      <w:autoSpaceDE/>
      <w:autoSpaceDN/>
      <w:adjustRightInd/>
      <w:ind w:firstLine="420" w:firstLineChars="200"/>
      <w:jc w:val="both"/>
    </w:pPr>
    <w:rPr>
      <w:rFonts w:ascii="Calibri" w:hAnsi="Calibri"/>
      <w:kern w:val="2"/>
      <w:sz w:val="21"/>
    </w:rPr>
  </w:style>
  <w:style w:type="paragraph" w:customStyle="1" w:styleId="159">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60">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61">
    <w:name w:val="Char Char Char Char1"/>
    <w:basedOn w:val="2"/>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62">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cs="宋体"/>
      <w:sz w:val="32"/>
      <w:szCs w:val="20"/>
    </w:rPr>
  </w:style>
  <w:style w:type="paragraph" w:customStyle="1" w:styleId="163">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164">
    <w:name w:val="标题4"/>
    <w:basedOn w:val="73"/>
    <w:qFormat/>
    <w:uiPriority w:val="0"/>
    <w:pPr>
      <w:spacing w:line="540" w:lineRule="exact"/>
      <w:ind w:firstLine="0" w:firstLineChars="0"/>
    </w:pPr>
    <w:rPr>
      <w:rFonts w:hAnsi="Times New Roman"/>
      <w:szCs w:val="24"/>
    </w:rPr>
  </w:style>
  <w:style w:type="paragraph" w:customStyle="1" w:styleId="165">
    <w:name w:val="TOC 标题1"/>
    <w:basedOn w:val="3"/>
    <w:next w:val="1"/>
    <w:qFormat/>
    <w:uiPriority w:val="0"/>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66">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67">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68">
    <w:name w:val="目录"/>
    <w:basedOn w:val="1"/>
    <w:qFormat/>
    <w:uiPriority w:val="0"/>
    <w:pPr>
      <w:widowControl/>
      <w:autoSpaceDE/>
      <w:autoSpaceDN/>
      <w:adjustRightInd/>
      <w:spacing w:line="480" w:lineRule="auto"/>
      <w:jc w:val="center"/>
    </w:pPr>
    <w:rPr>
      <w:b/>
      <w:szCs w:val="20"/>
    </w:rPr>
  </w:style>
  <w:style w:type="paragraph" w:customStyle="1" w:styleId="169">
    <w:name w:val="USE 1"/>
    <w:basedOn w:val="1"/>
    <w:qFormat/>
    <w:uiPriority w:val="0"/>
    <w:pPr>
      <w:spacing w:line="200" w:lineRule="atLeast"/>
    </w:pPr>
    <w:rPr>
      <w:rFonts w:hAnsi="宋体"/>
      <w:b/>
    </w:rPr>
  </w:style>
  <w:style w:type="paragraph" w:customStyle="1" w:styleId="170">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71">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2">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73">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B3282-262F-4A5C-ACBC-24BE005C6018}">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63</Pages>
  <Words>5564</Words>
  <Characters>31718</Characters>
  <Lines>264</Lines>
  <Paragraphs>74</Paragraphs>
  <TotalTime>1</TotalTime>
  <ScaleCrop>false</ScaleCrop>
  <LinksUpToDate>false</LinksUpToDate>
  <CharactersWithSpaces>37208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2021-05-06T07:39:00Z</dcterms:created>
  <dc:creator>lyy</dc:creator>
  <cp:lastModifiedBy>lyy</cp:lastModifiedBy>
  <cp:lastPrinted>2020-10-21T07:12:00Z</cp:lastPrinted>
  <dcterms:modified xsi:type="dcterms:W3CDTF">2021-05-07T07:30:09Z</dcterms:modified>
  <dc:title>货物公开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EFD8F3C42A26477AB9D77D1724D6B680</vt:lpwstr>
  </property>
</Properties>
</file>