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pacing w:line="360" w:lineRule="auto"/>
        <w:ind w:right="-26"/>
        <w:jc w:val="center"/>
        <w:textAlignment w:val="bottom"/>
        <w:rPr>
          <w:rFonts w:hAnsi="宋体"/>
          <w:b/>
          <w:color w:val="auto"/>
          <w:sz w:val="72"/>
          <w:highlight w:val="none"/>
        </w:rPr>
      </w:pPr>
    </w:p>
    <w:p>
      <w:pPr>
        <w:pStyle w:val="2"/>
        <w:shd w:val="clear"/>
        <w:rPr>
          <w:color w:val="auto"/>
          <w:highlight w:val="none"/>
        </w:rPr>
      </w:pPr>
    </w:p>
    <w:p>
      <w:pPr>
        <w:widowControl/>
        <w:shd w:val="clear"/>
        <w:spacing w:line="360" w:lineRule="auto"/>
        <w:ind w:right="-26"/>
        <w:jc w:val="center"/>
        <w:textAlignment w:val="bottom"/>
        <w:rPr>
          <w:rFonts w:hAnsi="宋体"/>
          <w:b/>
          <w:color w:val="auto"/>
          <w:sz w:val="72"/>
          <w:highlight w:val="none"/>
        </w:rPr>
      </w:pPr>
    </w:p>
    <w:p>
      <w:pPr>
        <w:shd w:val="clear"/>
        <w:snapToGrid w:val="0"/>
        <w:jc w:val="center"/>
        <w:outlineLvl w:val="0"/>
        <w:rPr>
          <w:rFonts w:ascii="黑体" w:hAnsi="华文中宋" w:eastAsia="黑体" w:cs="华文中宋"/>
          <w:b/>
          <w:bCs/>
          <w:color w:val="auto"/>
          <w:sz w:val="72"/>
          <w:szCs w:val="72"/>
          <w:highlight w:val="none"/>
        </w:rPr>
      </w:pPr>
      <w:bookmarkStart w:id="0" w:name="_Toc5586"/>
      <w:r>
        <w:rPr>
          <w:rFonts w:hint="eastAsia" w:ascii="黑体" w:hAnsi="华文中宋" w:eastAsia="黑体" w:cs="华文中宋"/>
          <w:b/>
          <w:bCs/>
          <w:color w:val="auto"/>
          <w:sz w:val="72"/>
          <w:szCs w:val="72"/>
          <w:highlight w:val="none"/>
        </w:rPr>
        <w:t>竞争性磋商文件</w:t>
      </w:r>
      <w:bookmarkEnd w:id="0"/>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4384"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sz w:val="32"/>
                                <w:lang w:eastAsia="zh-CN"/>
                              </w:rPr>
                            </w:pPr>
                            <w:r>
                              <w:rPr>
                                <w:rFonts w:hint="eastAsia" w:ascii="黑体" w:hAnsi="黑体" w:eastAsia="黑体" w:cs="黑体"/>
                                <w:b/>
                                <w:sz w:val="32"/>
                              </w:rPr>
                              <w:t>项目名称：</w:t>
                            </w:r>
                            <w:r>
                              <w:rPr>
                                <w:rFonts w:hint="eastAsia" w:ascii="黑体" w:hAnsi="黑体" w:eastAsia="黑体" w:cs="黑体"/>
                                <w:b/>
                                <w:sz w:val="32"/>
                                <w:lang w:eastAsia="zh-CN"/>
                              </w:rPr>
                              <w:t>松山湖国际创新创业社区2024年度系列活动采购项目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w:t>
                            </w:r>
                            <w:r>
                              <w:rPr>
                                <w:rFonts w:hint="eastAsia" w:ascii="黑体" w:hAnsi="黑体" w:eastAsia="黑体" w:cs="黑体"/>
                                <w:b/>
                                <w:sz w:val="32"/>
                                <w:lang w:eastAsia="zh-CN"/>
                              </w:rPr>
                              <w:t>TTWY-24015</w:t>
                            </w:r>
                            <w:r>
                              <w:rPr>
                                <w:rFonts w:hint="eastAsia" w:ascii="黑体" w:hAnsi="黑体" w:eastAsia="黑体" w:cs="黑体"/>
                                <w:b/>
                                <w:sz w:val="32"/>
                              </w:rPr>
                              <w:t xml:space="preserve"> </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upright="1"/>
                    </wps:wsp>
                  </a:graphicData>
                </a:graphic>
              </wp:anchor>
            </w:drawing>
          </mc:Choice>
          <mc:Fallback>
            <w:pict>
              <v:shape id="文本框 6" o:spid="_x0000_s1026" o:spt="202" type="#_x0000_t202" style="position:absolute;left:0pt;margin-left:14.3pt;margin-top:16.85pt;height:130.15pt;width:393.05pt;z-index:-251652096;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sz w:val="32"/>
                          <w:lang w:eastAsia="zh-CN"/>
                        </w:rPr>
                      </w:pPr>
                      <w:r>
                        <w:rPr>
                          <w:rFonts w:hint="eastAsia" w:ascii="黑体" w:hAnsi="黑体" w:eastAsia="黑体" w:cs="黑体"/>
                          <w:b/>
                          <w:sz w:val="32"/>
                        </w:rPr>
                        <w:t>项目名称：</w:t>
                      </w:r>
                      <w:r>
                        <w:rPr>
                          <w:rFonts w:hint="eastAsia" w:ascii="黑体" w:hAnsi="黑体" w:eastAsia="黑体" w:cs="黑体"/>
                          <w:b/>
                          <w:sz w:val="32"/>
                          <w:lang w:eastAsia="zh-CN"/>
                        </w:rPr>
                        <w:t>松山湖国际创新创业社区2024年度系列活动采购项目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w:t>
                      </w:r>
                      <w:r>
                        <w:rPr>
                          <w:rFonts w:hint="eastAsia" w:ascii="黑体" w:hAnsi="黑体" w:eastAsia="黑体" w:cs="黑体"/>
                          <w:b/>
                          <w:sz w:val="32"/>
                          <w:lang w:eastAsia="zh-CN"/>
                        </w:rPr>
                        <w:t>TTWY-24015</w:t>
                      </w:r>
                      <w:r>
                        <w:rPr>
                          <w:rFonts w:hint="eastAsia" w:ascii="黑体" w:hAnsi="黑体" w:eastAsia="黑体" w:cs="黑体"/>
                          <w:b/>
                          <w:sz w:val="32"/>
                        </w:rPr>
                        <w:t xml:space="preserve"> </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jc w:val="center"/>
        <w:textAlignment w:val="bottom"/>
        <w:rPr>
          <w:rFonts w:hAnsi="宋体"/>
          <w:b/>
          <w:color w:val="auto"/>
          <w:sz w:val="44"/>
          <w:highlight w:val="none"/>
        </w:rPr>
      </w:pPr>
    </w:p>
    <w:p>
      <w:pPr>
        <w:widowControl/>
        <w:shd w:val="clear"/>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63360"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3"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hd w:val="clear"/>
        <w:spacing w:line="360" w:lineRule="auto"/>
        <w:ind w:right="-26" w:firstLine="2249" w:firstLineChars="700"/>
        <w:textAlignment w:val="bottom"/>
        <w:outlineLvl w:val="0"/>
        <w:rPr>
          <w:rFonts w:ascii="黑体" w:hAnsi="黑体" w:eastAsia="黑体" w:cs="黑体"/>
          <w:b/>
          <w:color w:val="auto"/>
          <w:sz w:val="32"/>
          <w:highlight w:val="none"/>
        </w:rPr>
      </w:pPr>
      <w:bookmarkStart w:id="1" w:name="_Toc21437"/>
      <w:r>
        <w:rPr>
          <w:rFonts w:hint="eastAsia" w:ascii="黑体" w:hAnsi="黑体" w:eastAsia="黑体" w:cs="黑体"/>
          <w:b/>
          <w:color w:val="auto"/>
          <w:sz w:val="32"/>
          <w:highlight w:val="none"/>
        </w:rPr>
        <w:t>广东泰通伟业工程咨询有限公司</w:t>
      </w:r>
      <w:bookmarkEnd w:id="1"/>
      <w:r>
        <w:rPr>
          <w:rFonts w:hint="eastAsia" w:ascii="黑体" w:hAnsi="黑体" w:eastAsia="黑体" w:cs="黑体"/>
          <w:b/>
          <w:color w:val="auto"/>
          <w:sz w:val="32"/>
          <w:highlight w:val="none"/>
        </w:rPr>
        <w:t xml:space="preserve"> </w:t>
      </w:r>
    </w:p>
    <w:p>
      <w:pPr>
        <w:widowControl/>
        <w:shd w:val="clear"/>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w:t>
      </w:r>
      <w:r>
        <w:rPr>
          <w:rFonts w:hint="eastAsia" w:ascii="黑体" w:hAnsi="黑体" w:eastAsia="黑体" w:cs="黑体"/>
          <w:b/>
          <w:color w:val="auto"/>
          <w:sz w:val="32"/>
          <w:highlight w:val="none"/>
          <w:lang w:eastAsia="zh-CN"/>
        </w:rPr>
        <w:t>二〇二四</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eastAsia="zh-CN"/>
        </w:rPr>
        <w:t>三</w:t>
      </w:r>
      <w:r>
        <w:rPr>
          <w:rFonts w:hint="eastAsia" w:ascii="黑体" w:hAnsi="黑体" w:eastAsia="黑体" w:cs="黑体"/>
          <w:b/>
          <w:color w:val="auto"/>
          <w:sz w:val="32"/>
          <w:highlight w:val="none"/>
        </w:rPr>
        <w:t>月</w:t>
      </w:r>
    </w:p>
    <w:p>
      <w:pPr>
        <w:widowControl/>
        <w:shd w:val="clear"/>
        <w:spacing w:line="360" w:lineRule="auto"/>
        <w:ind w:right="-26" w:hanging="480"/>
        <w:jc w:val="center"/>
        <w:textAlignment w:val="bottom"/>
        <w:rPr>
          <w:rFonts w:ascii="黑体" w:hAnsi="黑体" w:eastAsia="黑体" w:cs="黑体"/>
          <w:b/>
          <w:color w:val="auto"/>
          <w:sz w:val="32"/>
          <w:highlight w:val="none"/>
        </w:rPr>
      </w:pPr>
    </w:p>
    <w:p>
      <w:pPr>
        <w:widowControl/>
        <w:shd w:val="clear"/>
        <w:spacing w:line="360" w:lineRule="auto"/>
        <w:ind w:right="-26" w:hanging="480"/>
        <w:jc w:val="center"/>
        <w:textAlignment w:val="bottom"/>
        <w:rPr>
          <w:rFonts w:ascii="黑体" w:hAnsi="黑体" w:eastAsia="黑体" w:cs="黑体"/>
          <w:b/>
          <w:color w:val="auto"/>
          <w:sz w:val="32"/>
          <w:highlight w:val="none"/>
        </w:rPr>
      </w:pPr>
    </w:p>
    <w:p>
      <w:pPr>
        <w:widowControl/>
        <w:shd w:val="clear"/>
        <w:spacing w:line="360" w:lineRule="auto"/>
        <w:ind w:right="-26" w:hanging="480"/>
        <w:jc w:val="center"/>
        <w:textAlignment w:val="bottom"/>
        <w:rPr>
          <w:rFonts w:ascii="黑体" w:hAnsi="黑体" w:eastAsia="黑体" w:cs="黑体"/>
          <w:b/>
          <w:color w:val="auto"/>
          <w:sz w:val="32"/>
          <w:highlight w:val="none"/>
        </w:rPr>
      </w:pPr>
    </w:p>
    <w:p>
      <w:pPr>
        <w:shd w:val="clea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Borders>
            <w:top w:val="none" w:sz="0" w:space="0"/>
            <w:left w:val="none" w:sz="0" w:space="0"/>
            <w:bottom w:val="none" w:sz="0" w:space="0"/>
            <w:right w:val="none" w:sz="0" w:space="0"/>
          </w:pgBorders>
          <w:pgNumType w:fmt="decimal" w:start="0"/>
          <w:cols w:space="720" w:num="1"/>
          <w:docGrid w:type="lines" w:linePitch="312" w:charSpace="0"/>
        </w:sectPr>
      </w:pPr>
      <w:bookmarkStart w:id="2" w:name="_Toc13507"/>
    </w:p>
    <w:bookmarkEnd w:id="2"/>
    <w:p>
      <w:pPr>
        <w:shd w:val="clear"/>
        <w:spacing w:line="360" w:lineRule="auto"/>
        <w:ind w:left="48" w:leftChars="20"/>
        <w:jc w:val="center"/>
        <w:rPr>
          <w:rFonts w:ascii="黑体" w:hAnsi="黑体" w:eastAsia="黑体" w:cs="黑体"/>
          <w:color w:val="auto"/>
          <w:sz w:val="32"/>
          <w:szCs w:val="32"/>
          <w:highlight w:val="none"/>
        </w:rPr>
      </w:pPr>
      <w:bookmarkStart w:id="3" w:name="_Toc27261"/>
      <w:r>
        <w:rPr>
          <w:rFonts w:hint="eastAsia" w:ascii="黑体" w:hAnsi="黑体" w:eastAsia="黑体" w:cs="黑体"/>
          <w:color w:val="auto"/>
          <w:sz w:val="32"/>
          <w:szCs w:val="32"/>
          <w:highlight w:val="none"/>
        </w:rPr>
        <w:t>温馨提示</w:t>
      </w:r>
    </w:p>
    <w:p>
      <w:pPr>
        <w:shd w:val="clea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hd w:val="clear"/>
        <w:spacing w:line="360" w:lineRule="auto"/>
        <w:ind w:left="48" w:leftChars="20"/>
        <w:jc w:val="center"/>
        <w:rPr>
          <w:rFonts w:ascii="黑体" w:hAnsi="黑体" w:eastAsia="黑体" w:cs="黑体"/>
          <w:color w:val="auto"/>
          <w:sz w:val="32"/>
          <w:szCs w:val="32"/>
          <w:highlight w:val="none"/>
        </w:rPr>
      </w:pP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请正确填写《报价一览表》。多子包项目请仔细检查子包号，子包号与子包名称必须对应。</w:t>
      </w: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hd w:val="clear"/>
        <w:spacing w:line="360" w:lineRule="auto"/>
        <w:ind w:left="180" w:firstLine="48" w:firstLineChars="20"/>
        <w:jc w:val="both"/>
        <w:outlineLvl w:val="0"/>
        <w:rPr>
          <w:rFonts w:ascii="黑体" w:hAnsi="黑体" w:eastAsia="黑体" w:cs="黑体"/>
          <w:color w:val="auto"/>
          <w:highlight w:val="none"/>
        </w:rPr>
      </w:pPr>
      <w:bookmarkStart w:id="4" w:name="_Toc17927"/>
      <w:r>
        <w:rPr>
          <w:rFonts w:hint="eastAsia" w:ascii="黑体" w:hAnsi="黑体" w:eastAsia="黑体" w:cs="黑体"/>
          <w:color w:val="auto"/>
          <w:highlight w:val="none"/>
        </w:rPr>
        <w:t>磋商响应文件应按顺序编制页码。</w:t>
      </w:r>
      <w:bookmarkEnd w:id="4"/>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hd w:val="clea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如需供应商支付的各种费用，如磋商文件售价、工程图纸押金、保证金和采购代理服务费等，磋商文件将书面详细告知，请供应商按磋商文件规定的方式和金额支付。</w:t>
      </w:r>
    </w:p>
    <w:p>
      <w:pPr>
        <w:shd w:val="clear"/>
        <w:jc w:val="center"/>
        <w:rPr>
          <w:rFonts w:hAnsi="宋体"/>
          <w:b/>
          <w:bCs/>
          <w:color w:val="auto"/>
          <w:sz w:val="32"/>
          <w:szCs w:val="32"/>
          <w:highlight w:val="none"/>
          <w:lang w:val="zh-CN"/>
        </w:rPr>
      </w:pPr>
    </w:p>
    <w:p>
      <w:pPr>
        <w:shd w:val="clear"/>
        <w:jc w:val="center"/>
        <w:rPr>
          <w:rFonts w:hAnsi="宋体"/>
          <w:b/>
          <w:bCs/>
          <w:color w:val="auto"/>
          <w:sz w:val="32"/>
          <w:szCs w:val="32"/>
          <w:highlight w:val="none"/>
          <w:lang w:val="zh-CN"/>
        </w:rPr>
      </w:pPr>
    </w:p>
    <w:p>
      <w:pPr>
        <w:shd w:val="clear"/>
        <w:jc w:val="center"/>
        <w:rPr>
          <w:rFonts w:hAnsi="宋体"/>
          <w:b/>
          <w:bCs/>
          <w:color w:val="auto"/>
          <w:sz w:val="32"/>
          <w:szCs w:val="32"/>
          <w:highlight w:val="none"/>
          <w:lang w:val="zh-CN"/>
        </w:rPr>
      </w:pPr>
    </w:p>
    <w:p>
      <w:pPr>
        <w:shd w:val="clear"/>
        <w:jc w:val="center"/>
        <w:rPr>
          <w:rFonts w:hAnsi="宋体"/>
          <w:b/>
          <w:bCs/>
          <w:color w:val="auto"/>
          <w:sz w:val="32"/>
          <w:szCs w:val="32"/>
          <w:highlight w:val="none"/>
          <w:lang w:val="zh-CN"/>
        </w:rPr>
      </w:pPr>
    </w:p>
    <w:p>
      <w:pPr>
        <w:shd w:val="clear"/>
        <w:jc w:val="center"/>
        <w:rPr>
          <w:rFonts w:hAnsi="宋体"/>
          <w:b/>
          <w:bCs/>
          <w:color w:val="auto"/>
          <w:sz w:val="32"/>
          <w:szCs w:val="32"/>
          <w:highlight w:val="none"/>
          <w:lang w:val="zh-CN"/>
        </w:rPr>
      </w:pPr>
    </w:p>
    <w:p>
      <w:pPr>
        <w:shd w:val="clear"/>
        <w:jc w:val="center"/>
        <w:rPr>
          <w:rFonts w:hAnsi="宋体"/>
          <w:b/>
          <w:bCs/>
          <w:color w:val="auto"/>
          <w:sz w:val="32"/>
          <w:szCs w:val="32"/>
          <w:highlight w:val="none"/>
          <w:lang w:val="zh-CN"/>
        </w:rPr>
      </w:pPr>
    </w:p>
    <w:p>
      <w:pPr>
        <w:pStyle w:val="14"/>
        <w:shd w:val="clear"/>
        <w:ind w:firstLine="643"/>
        <w:rPr>
          <w:rFonts w:hAnsi="宋体"/>
          <w:b/>
          <w:bCs/>
          <w:color w:val="auto"/>
          <w:sz w:val="32"/>
          <w:szCs w:val="32"/>
          <w:highlight w:val="none"/>
          <w:lang w:val="zh-CN"/>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2"/>
          <w:cols w:space="425" w:num="1"/>
          <w:docGrid w:type="lines" w:linePitch="312" w:charSpace="0"/>
        </w:sectPr>
      </w:pPr>
    </w:p>
    <w:p>
      <w:pPr>
        <w:shd w:val="clear"/>
        <w:rPr>
          <w:color w:val="auto"/>
          <w:highlight w:val="none"/>
        </w:rPr>
      </w:pPr>
    </w:p>
    <w:p>
      <w:pPr>
        <w:shd w:val="clear"/>
        <w:jc w:val="center"/>
        <w:rPr>
          <w:rFonts w:hAnsi="宋体"/>
          <w:b/>
          <w:bCs/>
          <w:color w:val="auto"/>
          <w:sz w:val="32"/>
          <w:szCs w:val="32"/>
          <w:highlight w:val="none"/>
          <w:lang w:val="zh-CN"/>
        </w:rPr>
      </w:pPr>
      <w:r>
        <w:rPr>
          <w:rFonts w:hAnsi="宋体"/>
          <w:b/>
          <w:bCs/>
          <w:color w:val="auto"/>
          <w:sz w:val="32"/>
          <w:szCs w:val="32"/>
          <w:highlight w:val="none"/>
          <w:lang w:val="zh-CN"/>
        </w:rPr>
        <w:t>目录</w:t>
      </w:r>
      <w:bookmarkStart w:id="5" w:name="_Toc396137229"/>
    </w:p>
    <w:sdt>
      <w:sdtPr>
        <w:rPr>
          <w:rFonts w:hAnsi="宋体"/>
          <w:b/>
          <w:bCs/>
          <w:color w:val="auto"/>
          <w:sz w:val="36"/>
          <w:szCs w:val="44"/>
          <w:highlight w:val="none"/>
        </w:rPr>
        <w:id w:val="147463129"/>
        <w15:color w:val="DBDBDB"/>
        <w:docPartObj>
          <w:docPartGallery w:val="Table of Contents"/>
          <w:docPartUnique/>
        </w:docPartObj>
      </w:sdtPr>
      <w:sdtEndPr>
        <w:rPr>
          <w:rFonts w:hAnsi="宋体"/>
          <w:b/>
          <w:bCs/>
          <w:color w:val="auto"/>
          <w:sz w:val="36"/>
          <w:szCs w:val="44"/>
          <w:highlight w:val="none"/>
        </w:rPr>
      </w:sdtEndPr>
      <w:sdtContent>
        <w:p>
          <w:pPr>
            <w:shd w:val="clear"/>
            <w:spacing w:line="360" w:lineRule="auto"/>
            <w:jc w:val="both"/>
            <w:rPr>
              <w:b/>
              <w:bCs/>
              <w:color w:val="auto"/>
              <w:sz w:val="44"/>
              <w:szCs w:val="44"/>
              <w:highlight w:val="none"/>
            </w:rPr>
          </w:pPr>
        </w:p>
        <w:p>
          <w:pPr>
            <w:pStyle w:val="185"/>
            <w:shd w:val="clear"/>
            <w:tabs>
              <w:tab w:val="right" w:leader="dot" w:pos="8306"/>
            </w:tabs>
            <w:spacing w:line="360" w:lineRule="auto"/>
            <w:jc w:val="center"/>
            <w:rPr>
              <w:b/>
              <w:bCs/>
              <w:color w:val="auto"/>
              <w:sz w:val="32"/>
              <w:szCs w:val="32"/>
              <w:highlight w:val="none"/>
            </w:rPr>
          </w:pPr>
          <w:r>
            <w:rPr>
              <w:b/>
              <w:bCs/>
              <w:color w:val="auto"/>
              <w:sz w:val="32"/>
              <w:szCs w:val="32"/>
              <w:highlight w:val="none"/>
            </w:rPr>
            <w:fldChar w:fldCharType="begin"/>
          </w:r>
          <w:r>
            <w:rPr>
              <w:b/>
              <w:bCs/>
              <w:color w:val="auto"/>
              <w:sz w:val="32"/>
              <w:szCs w:val="32"/>
              <w:highlight w:val="none"/>
            </w:rPr>
            <w:instrText xml:space="preserve">TOC \o "1-1" \h \u </w:instrText>
          </w:r>
          <w:r>
            <w:rPr>
              <w:b/>
              <w:bCs/>
              <w:color w:val="auto"/>
              <w:sz w:val="32"/>
              <w:szCs w:val="32"/>
              <w:highlight w:val="none"/>
            </w:rPr>
            <w:fldChar w:fldCharType="separate"/>
          </w:r>
          <w:r>
            <w:rPr>
              <w:color w:val="auto"/>
              <w:highlight w:val="none"/>
            </w:rPr>
            <w:fldChar w:fldCharType="begin"/>
          </w:r>
          <w:r>
            <w:rPr>
              <w:color w:val="auto"/>
              <w:highlight w:val="none"/>
            </w:rPr>
            <w:instrText xml:space="preserve"> HYPERLINK \l "_Toc3573" </w:instrText>
          </w:r>
          <w:r>
            <w:rPr>
              <w:color w:val="auto"/>
              <w:highlight w:val="none"/>
            </w:rPr>
            <w:fldChar w:fldCharType="separate"/>
          </w:r>
          <w:r>
            <w:rPr>
              <w:rFonts w:hAnsi="宋体"/>
              <w:b/>
              <w:bCs/>
              <w:color w:val="auto"/>
              <w:kern w:val="44"/>
              <w:sz w:val="32"/>
              <w:szCs w:val="48"/>
              <w:highlight w:val="none"/>
              <w:lang w:val="zh-CN"/>
            </w:rPr>
            <w:t xml:space="preserve">第一篇 </w:t>
          </w:r>
          <w:r>
            <w:rPr>
              <w:rFonts w:hint="eastAsia" w:hAnsi="宋体"/>
              <w:b/>
              <w:bCs/>
              <w:color w:val="auto"/>
              <w:kern w:val="44"/>
              <w:sz w:val="32"/>
              <w:szCs w:val="48"/>
              <w:highlight w:val="none"/>
            </w:rPr>
            <w:t>磋商邀请书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_Toc3573 \h </w:instrText>
          </w:r>
          <w:r>
            <w:rPr>
              <w:b/>
              <w:bCs/>
              <w:color w:val="auto"/>
              <w:sz w:val="32"/>
              <w:szCs w:val="32"/>
              <w:highlight w:val="none"/>
            </w:rPr>
            <w:fldChar w:fldCharType="separate"/>
          </w:r>
          <w:r>
            <w:rPr>
              <w:b/>
              <w:bCs/>
              <w:color w:val="auto"/>
              <w:sz w:val="32"/>
              <w:szCs w:val="32"/>
              <w:highlight w:val="none"/>
            </w:rPr>
            <w:t>4</w:t>
          </w:r>
          <w:r>
            <w:rPr>
              <w:b/>
              <w:bCs/>
              <w:color w:val="auto"/>
              <w:sz w:val="32"/>
              <w:szCs w:val="32"/>
              <w:highlight w:val="none"/>
            </w:rPr>
            <w:fldChar w:fldCharType="end"/>
          </w:r>
          <w:r>
            <w:rPr>
              <w:b/>
              <w:bCs/>
              <w:color w:val="auto"/>
              <w:sz w:val="32"/>
              <w:szCs w:val="32"/>
              <w:highlight w:val="none"/>
            </w:rPr>
            <w:fldChar w:fldCharType="end"/>
          </w:r>
        </w:p>
        <w:p>
          <w:pPr>
            <w:pStyle w:val="185"/>
            <w:shd w:val="clear"/>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"_Toc17779" </w:instrText>
          </w:r>
          <w:r>
            <w:rPr>
              <w:color w:val="auto"/>
              <w:highlight w:val="none"/>
            </w:rPr>
            <w:fldChar w:fldCharType="separate"/>
          </w:r>
          <w:r>
            <w:rPr>
              <w:rFonts w:hAnsi="宋体"/>
              <w:b/>
              <w:bCs/>
              <w:color w:val="auto"/>
              <w:kern w:val="44"/>
              <w:sz w:val="32"/>
              <w:szCs w:val="48"/>
              <w:highlight w:val="none"/>
              <w:lang w:val="zh-CN"/>
            </w:rPr>
            <w:t xml:space="preserve">第二篇 </w:t>
          </w:r>
          <w:r>
            <w:rPr>
              <w:rFonts w:hint="eastAsia" w:hAnsi="宋体"/>
              <w:b/>
              <w:bCs/>
              <w:color w:val="auto"/>
              <w:kern w:val="44"/>
              <w:sz w:val="32"/>
              <w:szCs w:val="48"/>
              <w:highlight w:val="none"/>
              <w:lang w:val="zh-CN"/>
            </w:rPr>
            <w:t>供应商须知</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_Toc17779 \h </w:instrText>
          </w:r>
          <w:r>
            <w:rPr>
              <w:b/>
              <w:bCs/>
              <w:color w:val="auto"/>
              <w:sz w:val="32"/>
              <w:szCs w:val="32"/>
              <w:highlight w:val="none"/>
            </w:rPr>
            <w:fldChar w:fldCharType="separate"/>
          </w:r>
          <w:r>
            <w:rPr>
              <w:b/>
              <w:bCs/>
              <w:color w:val="auto"/>
              <w:sz w:val="32"/>
              <w:szCs w:val="32"/>
              <w:highlight w:val="none"/>
            </w:rPr>
            <w:t>6</w:t>
          </w:r>
          <w:r>
            <w:rPr>
              <w:b/>
              <w:bCs/>
              <w:color w:val="auto"/>
              <w:sz w:val="32"/>
              <w:szCs w:val="32"/>
              <w:highlight w:val="none"/>
            </w:rPr>
            <w:fldChar w:fldCharType="end"/>
          </w:r>
          <w:r>
            <w:rPr>
              <w:b/>
              <w:bCs/>
              <w:color w:val="auto"/>
              <w:sz w:val="32"/>
              <w:szCs w:val="32"/>
              <w:highlight w:val="none"/>
            </w:rPr>
            <w:fldChar w:fldCharType="end"/>
          </w:r>
        </w:p>
        <w:p>
          <w:pPr>
            <w:pStyle w:val="185"/>
            <w:shd w:val="clear"/>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"_Toc22134" </w:instrText>
          </w:r>
          <w:r>
            <w:rPr>
              <w:color w:val="auto"/>
              <w:highlight w:val="none"/>
            </w:rPr>
            <w:fldChar w:fldCharType="separate"/>
          </w:r>
          <w:r>
            <w:rPr>
              <w:rFonts w:hAnsi="宋体"/>
              <w:b/>
              <w:bCs/>
              <w:color w:val="auto"/>
              <w:kern w:val="44"/>
              <w:sz w:val="32"/>
              <w:szCs w:val="48"/>
              <w:highlight w:val="none"/>
              <w:lang w:val="zh-CN"/>
            </w:rPr>
            <w:t xml:space="preserve">第三篇 </w:t>
          </w:r>
          <w:r>
            <w:rPr>
              <w:rFonts w:hint="eastAsia" w:hAnsi="宋体"/>
              <w:b/>
              <w:bCs/>
              <w:color w:val="auto"/>
              <w:kern w:val="44"/>
              <w:sz w:val="32"/>
              <w:szCs w:val="48"/>
              <w:highlight w:val="none"/>
              <w:lang w:val="zh-CN"/>
            </w:rPr>
            <w:t>用户需求书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_Toc22134 \h </w:instrText>
          </w:r>
          <w:r>
            <w:rPr>
              <w:b/>
              <w:bCs/>
              <w:color w:val="auto"/>
              <w:sz w:val="32"/>
              <w:szCs w:val="32"/>
              <w:highlight w:val="none"/>
            </w:rPr>
            <w:fldChar w:fldCharType="separate"/>
          </w:r>
          <w:r>
            <w:rPr>
              <w:b/>
              <w:bCs/>
              <w:color w:val="auto"/>
              <w:sz w:val="32"/>
              <w:szCs w:val="32"/>
              <w:highlight w:val="none"/>
            </w:rPr>
            <w:t>18</w:t>
          </w:r>
          <w:r>
            <w:rPr>
              <w:b/>
              <w:bCs/>
              <w:color w:val="auto"/>
              <w:sz w:val="32"/>
              <w:szCs w:val="32"/>
              <w:highlight w:val="none"/>
            </w:rPr>
            <w:fldChar w:fldCharType="end"/>
          </w:r>
          <w:r>
            <w:rPr>
              <w:b/>
              <w:bCs/>
              <w:color w:val="auto"/>
              <w:sz w:val="32"/>
              <w:szCs w:val="32"/>
              <w:highlight w:val="none"/>
            </w:rPr>
            <w:fldChar w:fldCharType="end"/>
          </w:r>
        </w:p>
        <w:p>
          <w:pPr>
            <w:pStyle w:val="185"/>
            <w:shd w:val="clear"/>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"_Toc28792" </w:instrText>
          </w:r>
          <w:r>
            <w:rPr>
              <w:color w:val="auto"/>
              <w:highlight w:val="none"/>
            </w:rPr>
            <w:fldChar w:fldCharType="separate"/>
          </w:r>
          <w:r>
            <w:rPr>
              <w:rFonts w:hAnsi="宋体"/>
              <w:b/>
              <w:bCs/>
              <w:color w:val="auto"/>
              <w:kern w:val="44"/>
              <w:sz w:val="32"/>
              <w:szCs w:val="48"/>
              <w:highlight w:val="none"/>
              <w:lang w:val="zh-CN"/>
            </w:rPr>
            <w:t xml:space="preserve">第四篇 </w:t>
          </w:r>
          <w:r>
            <w:rPr>
              <w:rFonts w:hint="eastAsia" w:hAnsi="宋体"/>
              <w:b/>
              <w:bCs/>
              <w:color w:val="auto"/>
              <w:kern w:val="44"/>
              <w:sz w:val="32"/>
              <w:szCs w:val="48"/>
              <w:highlight w:val="none"/>
              <w:lang w:val="zh-CN"/>
            </w:rPr>
            <w:t>评审工作大纲</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_Toc28792 \h </w:instrText>
          </w:r>
          <w:r>
            <w:rPr>
              <w:b/>
              <w:bCs/>
              <w:color w:val="auto"/>
              <w:sz w:val="32"/>
              <w:szCs w:val="32"/>
              <w:highlight w:val="none"/>
            </w:rPr>
            <w:fldChar w:fldCharType="separate"/>
          </w:r>
          <w:r>
            <w:rPr>
              <w:b/>
              <w:bCs/>
              <w:color w:val="auto"/>
              <w:sz w:val="32"/>
              <w:szCs w:val="32"/>
              <w:highlight w:val="none"/>
            </w:rPr>
            <w:t>33</w:t>
          </w:r>
          <w:r>
            <w:rPr>
              <w:b/>
              <w:bCs/>
              <w:color w:val="auto"/>
              <w:sz w:val="32"/>
              <w:szCs w:val="32"/>
              <w:highlight w:val="none"/>
            </w:rPr>
            <w:fldChar w:fldCharType="end"/>
          </w:r>
          <w:r>
            <w:rPr>
              <w:b/>
              <w:bCs/>
              <w:color w:val="auto"/>
              <w:sz w:val="32"/>
              <w:szCs w:val="32"/>
              <w:highlight w:val="none"/>
            </w:rPr>
            <w:fldChar w:fldCharType="end"/>
          </w:r>
        </w:p>
        <w:p>
          <w:pPr>
            <w:pStyle w:val="185"/>
            <w:shd w:val="clear"/>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"_Toc3360" </w:instrText>
          </w:r>
          <w:r>
            <w:rPr>
              <w:color w:val="auto"/>
              <w:highlight w:val="none"/>
            </w:rPr>
            <w:fldChar w:fldCharType="separate"/>
          </w:r>
          <w:r>
            <w:rPr>
              <w:rFonts w:hAnsi="宋体"/>
              <w:b/>
              <w:bCs/>
              <w:color w:val="auto"/>
              <w:sz w:val="32"/>
              <w:szCs w:val="32"/>
              <w:highlight w:val="none"/>
            </w:rPr>
            <w:t xml:space="preserve">第五篇 </w:t>
          </w:r>
          <w:r>
            <w:rPr>
              <w:rFonts w:hint="eastAsia" w:hAnsi="宋体"/>
              <w:b/>
              <w:bCs/>
              <w:color w:val="auto"/>
              <w:kern w:val="44"/>
              <w:sz w:val="32"/>
              <w:szCs w:val="48"/>
              <w:highlight w:val="none"/>
              <w:lang w:val="zh-CN"/>
            </w:rPr>
            <w:t>合同条款格式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_Toc3360 \h </w:instrText>
          </w:r>
          <w:r>
            <w:rPr>
              <w:b/>
              <w:bCs/>
              <w:color w:val="auto"/>
              <w:sz w:val="32"/>
              <w:szCs w:val="32"/>
              <w:highlight w:val="none"/>
            </w:rPr>
            <w:fldChar w:fldCharType="separate"/>
          </w:r>
          <w:r>
            <w:rPr>
              <w:b/>
              <w:bCs/>
              <w:color w:val="auto"/>
              <w:sz w:val="32"/>
              <w:szCs w:val="32"/>
              <w:highlight w:val="none"/>
            </w:rPr>
            <w:t>39</w:t>
          </w:r>
          <w:r>
            <w:rPr>
              <w:b/>
              <w:bCs/>
              <w:color w:val="auto"/>
              <w:sz w:val="32"/>
              <w:szCs w:val="32"/>
              <w:highlight w:val="none"/>
            </w:rPr>
            <w:fldChar w:fldCharType="end"/>
          </w:r>
          <w:r>
            <w:rPr>
              <w:b/>
              <w:bCs/>
              <w:color w:val="auto"/>
              <w:sz w:val="32"/>
              <w:szCs w:val="32"/>
              <w:highlight w:val="none"/>
            </w:rPr>
            <w:fldChar w:fldCharType="end"/>
          </w:r>
        </w:p>
        <w:p>
          <w:pPr>
            <w:pStyle w:val="185"/>
            <w:shd w:val="clear"/>
            <w:tabs>
              <w:tab w:val="right" w:leader="dot" w:pos="8306"/>
            </w:tabs>
            <w:spacing w:line="360" w:lineRule="auto"/>
            <w:jc w:val="center"/>
            <w:rPr>
              <w:rFonts w:hint="eastAsia" w:eastAsia="宋体"/>
              <w:b/>
              <w:bCs/>
              <w:color w:val="auto"/>
              <w:sz w:val="32"/>
              <w:szCs w:val="32"/>
              <w:highlight w:val="none"/>
              <w:lang w:val="en-US" w:eastAsia="zh-CN"/>
            </w:rPr>
          </w:pPr>
          <w:r>
            <w:rPr>
              <w:color w:val="auto"/>
              <w:highlight w:val="none"/>
            </w:rPr>
            <w:fldChar w:fldCharType="begin"/>
          </w:r>
          <w:r>
            <w:rPr>
              <w:color w:val="auto"/>
              <w:highlight w:val="none"/>
            </w:rPr>
            <w:instrText xml:space="preserve"> HYPERLINK \l "_Toc9129" </w:instrText>
          </w:r>
          <w:r>
            <w:rPr>
              <w:color w:val="auto"/>
              <w:highlight w:val="none"/>
            </w:rPr>
            <w:fldChar w:fldCharType="separate"/>
          </w:r>
          <w:r>
            <w:rPr>
              <w:rFonts w:hint="eastAsia" w:hAnsi="宋体"/>
              <w:b/>
              <w:bCs/>
              <w:color w:val="auto"/>
              <w:kern w:val="44"/>
              <w:sz w:val="32"/>
              <w:szCs w:val="48"/>
              <w:highlight w:val="none"/>
              <w:lang w:val="zh-CN"/>
            </w:rPr>
            <w:t>第六篇</w:t>
          </w:r>
          <w:r>
            <w:rPr>
              <w:rFonts w:hint="eastAsia" w:hAnsi="宋体"/>
              <w:b/>
              <w:bCs/>
              <w:color w:val="auto"/>
              <w:kern w:val="44"/>
              <w:sz w:val="32"/>
              <w:szCs w:val="48"/>
              <w:highlight w:val="none"/>
            </w:rPr>
            <w:t xml:space="preserve"> </w:t>
          </w:r>
          <w:r>
            <w:rPr>
              <w:rFonts w:hint="eastAsia" w:hAnsi="宋体"/>
              <w:b/>
              <w:bCs/>
              <w:color w:val="auto"/>
              <w:kern w:val="44"/>
              <w:sz w:val="32"/>
              <w:szCs w:val="48"/>
              <w:highlight w:val="none"/>
              <w:lang w:val="zh-CN"/>
            </w:rPr>
            <w:t>磋商响应文件格式</w:t>
          </w:r>
          <w:r>
            <w:rPr>
              <w:b/>
              <w:bCs/>
              <w:color w:val="auto"/>
              <w:sz w:val="32"/>
              <w:szCs w:val="32"/>
              <w:highlight w:val="none"/>
            </w:rPr>
            <w:tab/>
          </w:r>
          <w:r>
            <w:rPr>
              <w:rFonts w:hint="eastAsia"/>
              <w:b/>
              <w:bCs/>
              <w:color w:val="auto"/>
              <w:sz w:val="32"/>
              <w:szCs w:val="32"/>
              <w:highlight w:val="none"/>
              <w:lang w:val="en-US" w:eastAsia="zh-CN"/>
            </w:rPr>
            <w:t>4</w:t>
          </w:r>
          <w:r>
            <w:rPr>
              <w:b/>
              <w:bCs/>
              <w:color w:val="auto"/>
              <w:sz w:val="32"/>
              <w:szCs w:val="32"/>
              <w:highlight w:val="none"/>
            </w:rPr>
            <w:fldChar w:fldCharType="end"/>
          </w:r>
          <w:r>
            <w:rPr>
              <w:rFonts w:hint="eastAsia"/>
              <w:b/>
              <w:bCs/>
              <w:color w:val="auto"/>
              <w:sz w:val="32"/>
              <w:szCs w:val="32"/>
              <w:highlight w:val="none"/>
              <w:lang w:val="en-US" w:eastAsia="zh-CN"/>
            </w:rPr>
            <w:t>0</w:t>
          </w:r>
        </w:p>
        <w:p>
          <w:pPr>
            <w:shd w:val="clear"/>
            <w:spacing w:line="360" w:lineRule="auto"/>
            <w:jc w:val="center"/>
            <w:rPr>
              <w:color w:val="auto"/>
              <w:highlight w:val="none"/>
            </w:rPr>
          </w:pPr>
          <w:r>
            <w:rPr>
              <w:b/>
              <w:bCs/>
              <w:color w:val="auto"/>
              <w:sz w:val="32"/>
              <w:szCs w:val="32"/>
              <w:highlight w:val="none"/>
            </w:rPr>
            <w:fldChar w:fldCharType="end"/>
          </w:r>
        </w:p>
      </w:sdtContent>
    </w:sdt>
    <w:p>
      <w:pPr>
        <w:shd w:val="clear"/>
        <w:jc w:val="center"/>
        <w:rPr>
          <w:color w:val="auto"/>
          <w:highlight w:val="none"/>
        </w:rPr>
      </w:pPr>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4"/>
        <w:keepNext/>
        <w:keepLines/>
        <w:pageBreakBefore/>
        <w:numPr>
          <w:ilvl w:val="0"/>
          <w:numId w:val="10"/>
        </w:numPr>
        <w:shd w:val="clear"/>
        <w:tabs>
          <w:tab w:val="left" w:pos="1080"/>
        </w:tabs>
        <w:spacing w:line="360" w:lineRule="auto"/>
        <w:ind w:left="1078" w:hanging="1077" w:hangingChars="449"/>
        <w:jc w:val="center"/>
        <w:rPr>
          <w:rFonts w:hAnsi="宋体"/>
          <w:b/>
          <w:bCs/>
          <w:color w:val="auto"/>
          <w:kern w:val="44"/>
          <w:sz w:val="28"/>
          <w:szCs w:val="28"/>
          <w:highlight w:val="none"/>
          <w:lang w:val="zh-CN"/>
        </w:rPr>
      </w:pPr>
      <w:bookmarkStart w:id="6" w:name="_Toc3573"/>
      <w:r>
        <w:rPr>
          <w:color w:val="auto"/>
          <w:highlight w:val="none"/>
        </w:rPr>
        <w:fldChar w:fldCharType="end"/>
      </w:r>
      <w:bookmarkEnd w:id="5"/>
      <w:r>
        <w:rPr>
          <w:rFonts w:hint="eastAsia" w:hAnsi="宋体"/>
          <w:b/>
          <w:bCs/>
          <w:color w:val="auto"/>
          <w:kern w:val="44"/>
          <w:sz w:val="28"/>
          <w:szCs w:val="28"/>
          <w:highlight w:val="none"/>
        </w:rPr>
        <w:t>磋商邀请书</w:t>
      </w:r>
      <w:bookmarkEnd w:id="3"/>
      <w:bookmarkEnd w:id="6"/>
    </w:p>
    <w:p>
      <w:pPr>
        <w:keepNext w:val="0"/>
        <w:keepLines w:val="0"/>
        <w:pageBreakBefore w:val="0"/>
        <w:widowControl/>
        <w:shd w:val="clear"/>
        <w:tabs>
          <w:tab w:val="left" w:pos="-360"/>
        </w:tabs>
        <w:kinsoku/>
        <w:overflowPunct/>
        <w:topLinePunct w:val="0"/>
        <w:bidi w:val="0"/>
        <w:adjustRightInd/>
        <w:snapToGrid/>
        <w:spacing w:line="336"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广东泰通伟业工程咨询有限公司（以下简称“采购代理机构”）受东莞市大学创新城建设发展有限公司（以下简称“采购人”）的委托，为</w:t>
      </w:r>
      <w:r>
        <w:rPr>
          <w:rFonts w:hint="eastAsia" w:hAnsi="宋体"/>
          <w:color w:val="auto"/>
          <w:sz w:val="21"/>
          <w:szCs w:val="21"/>
          <w:highlight w:val="none"/>
          <w:lang w:eastAsia="zh-CN"/>
        </w:rPr>
        <w:t>松山湖国际创新创业社区2024年度系列活动采购项目</w:t>
      </w:r>
      <w:r>
        <w:rPr>
          <w:rFonts w:hint="eastAsia" w:hAnsi="宋体"/>
          <w:color w:val="auto"/>
          <w:sz w:val="21"/>
          <w:szCs w:val="21"/>
          <w:highlight w:val="none"/>
        </w:rPr>
        <w:t>(项目编号：</w:t>
      </w:r>
      <w:r>
        <w:rPr>
          <w:rFonts w:hint="eastAsia" w:hAnsi="宋体"/>
          <w:color w:val="auto"/>
          <w:sz w:val="21"/>
          <w:szCs w:val="21"/>
          <w:highlight w:val="none"/>
          <w:lang w:eastAsia="zh-CN"/>
        </w:rPr>
        <w:t>TTWY-24015</w:t>
      </w:r>
      <w:r>
        <w:rPr>
          <w:rFonts w:hint="eastAsia" w:hAnsi="宋体"/>
          <w:color w:val="auto"/>
          <w:sz w:val="21"/>
          <w:szCs w:val="21"/>
          <w:highlight w:val="none"/>
        </w:rPr>
        <w:t>)采购所需的服务。本项目采用竞争性磋商采购方式，欢迎合格供应商就本项目提交密封磋商。</w:t>
      </w:r>
    </w:p>
    <w:p>
      <w:pPr>
        <w:keepNext w:val="0"/>
        <w:keepLines w:val="0"/>
        <w:pageBreakBefore w:val="0"/>
        <w:shd w:val="clear"/>
        <w:kinsoku/>
        <w:overflowPunct/>
        <w:topLinePunct w:val="0"/>
        <w:bidi w:val="0"/>
        <w:snapToGrid/>
        <w:spacing w:line="336" w:lineRule="auto"/>
        <w:rPr>
          <w:rFonts w:hAnsi="宋体"/>
          <w:b/>
          <w:color w:val="auto"/>
          <w:sz w:val="21"/>
          <w:szCs w:val="21"/>
          <w:highlight w:val="none"/>
        </w:rPr>
      </w:pPr>
      <w:bookmarkStart w:id="7" w:name="_Toc4600"/>
      <w:r>
        <w:rPr>
          <w:rFonts w:hint="eastAsia" w:hAnsi="宋体"/>
          <w:b/>
          <w:color w:val="auto"/>
          <w:sz w:val="21"/>
          <w:szCs w:val="21"/>
          <w:highlight w:val="none"/>
        </w:rPr>
        <w:t>一、采购项目概况</w:t>
      </w:r>
    </w:p>
    <w:p>
      <w:pPr>
        <w:keepNext w:val="0"/>
        <w:keepLines w:val="0"/>
        <w:pageBreakBefore w:val="0"/>
        <w:shd w:val="clear"/>
        <w:kinsoku/>
        <w:overflowPunct/>
        <w:topLinePunct w:val="0"/>
        <w:bidi w:val="0"/>
        <w:snapToGrid/>
        <w:spacing w:line="336" w:lineRule="auto"/>
        <w:ind w:firstLine="420" w:firstLineChars="200"/>
        <w:rPr>
          <w:rFonts w:hint="eastAsia" w:hAnsi="宋体" w:eastAsia="宋体"/>
          <w:color w:val="auto"/>
          <w:sz w:val="21"/>
          <w:szCs w:val="21"/>
          <w:highlight w:val="none"/>
          <w:lang w:eastAsia="zh-CN"/>
        </w:rPr>
      </w:pPr>
      <w:r>
        <w:rPr>
          <w:rFonts w:hAnsi="宋体"/>
          <w:color w:val="auto"/>
          <w:sz w:val="21"/>
          <w:szCs w:val="21"/>
          <w:highlight w:val="none"/>
        </w:rPr>
        <w:t>1</w:t>
      </w:r>
      <w:r>
        <w:rPr>
          <w:rFonts w:hint="eastAsia" w:hAnsi="宋体"/>
          <w:color w:val="auto"/>
          <w:sz w:val="21"/>
          <w:szCs w:val="21"/>
          <w:highlight w:val="none"/>
        </w:rPr>
        <w:t>、采购</w:t>
      </w:r>
      <w:r>
        <w:rPr>
          <w:rFonts w:hAnsi="宋体"/>
          <w:color w:val="auto"/>
          <w:sz w:val="21"/>
          <w:szCs w:val="21"/>
          <w:highlight w:val="none"/>
        </w:rPr>
        <w:t>项目名称</w:t>
      </w:r>
      <w:r>
        <w:rPr>
          <w:rFonts w:hint="eastAsia" w:hAnsi="宋体"/>
          <w:color w:val="auto"/>
          <w:sz w:val="21"/>
          <w:szCs w:val="21"/>
          <w:highlight w:val="none"/>
        </w:rPr>
        <w:t>：</w:t>
      </w:r>
      <w:r>
        <w:rPr>
          <w:rFonts w:hint="eastAsia" w:hAnsi="宋体"/>
          <w:b/>
          <w:color w:val="auto"/>
          <w:sz w:val="21"/>
          <w:szCs w:val="21"/>
          <w:highlight w:val="none"/>
          <w:u w:val="single"/>
          <w:lang w:eastAsia="zh-CN"/>
        </w:rPr>
        <w:t>松山湖国际创新创业社区2024年度系列活动采购项目</w:t>
      </w:r>
    </w:p>
    <w:p>
      <w:pPr>
        <w:keepNext w:val="0"/>
        <w:keepLines w:val="0"/>
        <w:pageBreakBefore w:val="0"/>
        <w:shd w:val="clear"/>
        <w:kinsoku/>
        <w:overflowPunct/>
        <w:topLinePunct w:val="0"/>
        <w:bidi w:val="0"/>
        <w:snapToGrid/>
        <w:spacing w:line="336" w:lineRule="auto"/>
        <w:ind w:firstLine="420" w:firstLineChars="200"/>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预算金额（</w:t>
      </w:r>
      <w:r>
        <w:rPr>
          <w:rFonts w:hint="eastAsia" w:hAnsi="宋体"/>
          <w:color w:val="auto"/>
          <w:sz w:val="21"/>
          <w:szCs w:val="21"/>
          <w:highlight w:val="none"/>
        </w:rPr>
        <w:t>元</w:t>
      </w:r>
      <w:r>
        <w:rPr>
          <w:rFonts w:hAnsi="宋体"/>
          <w:color w:val="auto"/>
          <w:sz w:val="21"/>
          <w:szCs w:val="21"/>
          <w:highlight w:val="none"/>
        </w:rPr>
        <w:t>）</w:t>
      </w:r>
      <w:r>
        <w:rPr>
          <w:rFonts w:hint="eastAsia" w:hAnsi="宋体"/>
          <w:color w:val="auto"/>
          <w:sz w:val="21"/>
          <w:szCs w:val="21"/>
          <w:highlight w:val="none"/>
        </w:rPr>
        <w:t>：</w:t>
      </w:r>
      <w:r>
        <w:rPr>
          <w:rFonts w:hint="eastAsia" w:hAnsi="宋体"/>
          <w:color w:val="auto"/>
          <w:sz w:val="21"/>
          <w:szCs w:val="21"/>
          <w:highlight w:val="none"/>
          <w:u w:val="single"/>
        </w:rPr>
        <w:t>¥</w:t>
      </w:r>
      <w:r>
        <w:rPr>
          <w:rFonts w:hint="eastAsia" w:hAnsi="宋体"/>
          <w:color w:val="auto"/>
          <w:sz w:val="21"/>
          <w:szCs w:val="21"/>
          <w:highlight w:val="none"/>
          <w:u w:val="single"/>
          <w:lang w:val="en-US" w:eastAsia="zh-CN"/>
        </w:rPr>
        <w:t>687548.00</w:t>
      </w:r>
      <w:r>
        <w:rPr>
          <w:rFonts w:hint="eastAsia" w:hAnsi="宋体"/>
          <w:color w:val="auto"/>
          <w:sz w:val="21"/>
          <w:szCs w:val="21"/>
          <w:highlight w:val="none"/>
        </w:rPr>
        <w:t>元（</w:t>
      </w:r>
      <w:r>
        <w:rPr>
          <w:rFonts w:hint="eastAsia" w:hAnsi="宋体"/>
          <w:color w:val="auto"/>
          <w:sz w:val="21"/>
          <w:szCs w:val="21"/>
          <w:highlight w:val="none"/>
          <w:lang w:eastAsia="zh-CN"/>
        </w:rPr>
        <w:t>大写：人民币</w:t>
      </w:r>
      <w:r>
        <w:rPr>
          <w:rFonts w:hint="eastAsia" w:hAnsi="宋体"/>
          <w:color w:val="auto"/>
          <w:sz w:val="21"/>
          <w:szCs w:val="21"/>
          <w:highlight w:val="none"/>
          <w:lang w:val="en-US" w:eastAsia="zh-CN"/>
        </w:rPr>
        <w:t>陆拾捌万柒仟伍佰肆拾捌元整</w:t>
      </w:r>
      <w:r>
        <w:rPr>
          <w:rFonts w:hint="eastAsia" w:hAnsi="宋体"/>
          <w:color w:val="auto"/>
          <w:sz w:val="21"/>
          <w:szCs w:val="21"/>
          <w:highlight w:val="none"/>
        </w:rPr>
        <w:t>）</w:t>
      </w:r>
    </w:p>
    <w:p>
      <w:pPr>
        <w:keepNext w:val="0"/>
        <w:keepLines w:val="0"/>
        <w:pageBreakBefore w:val="0"/>
        <w:shd w:val="clear"/>
        <w:kinsoku/>
        <w:overflowPunct/>
        <w:topLinePunct w:val="0"/>
        <w:bidi w:val="0"/>
        <w:snapToGrid/>
        <w:spacing w:line="336" w:lineRule="auto"/>
        <w:ind w:firstLine="420" w:firstLineChars="200"/>
        <w:rPr>
          <w:rFonts w:hAnsi="宋体"/>
          <w:color w:val="auto"/>
          <w:sz w:val="21"/>
          <w:szCs w:val="21"/>
          <w:highlight w:val="none"/>
        </w:rPr>
      </w:pPr>
      <w:r>
        <w:rPr>
          <w:rFonts w:hint="eastAsia" w:hAnsi="宋体"/>
          <w:color w:val="auto"/>
          <w:sz w:val="21"/>
          <w:szCs w:val="21"/>
          <w:highlight w:val="none"/>
        </w:rPr>
        <w:t>3、项目内容</w:t>
      </w:r>
    </w:p>
    <w:tbl>
      <w:tblPr>
        <w:tblStyle w:val="51"/>
        <w:tblW w:w="45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3"/>
        <w:gridCol w:w="2115"/>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5" w:type="pct"/>
            <w:vAlign w:val="center"/>
          </w:tcPr>
          <w:p>
            <w:pPr>
              <w:keepNext w:val="0"/>
              <w:keepLines w:val="0"/>
              <w:pageBreakBefore w:val="0"/>
              <w:shd w:val="clear"/>
              <w:kinsoku/>
              <w:overflowPunct/>
              <w:topLinePunct w:val="0"/>
              <w:bidi w:val="0"/>
              <w:snapToGrid/>
              <w:spacing w:line="336" w:lineRule="auto"/>
              <w:jc w:val="center"/>
              <w:rPr>
                <w:rFonts w:hAnsi="宋体"/>
                <w:color w:val="auto"/>
                <w:kern w:val="28"/>
                <w:sz w:val="21"/>
                <w:szCs w:val="21"/>
                <w:highlight w:val="none"/>
              </w:rPr>
            </w:pPr>
            <w:r>
              <w:rPr>
                <w:rFonts w:hint="eastAsia" w:hAnsi="宋体"/>
                <w:color w:val="auto"/>
                <w:kern w:val="28"/>
                <w:sz w:val="21"/>
                <w:szCs w:val="21"/>
                <w:highlight w:val="none"/>
              </w:rPr>
              <w:t>项目内容</w:t>
            </w:r>
          </w:p>
        </w:tc>
        <w:tc>
          <w:tcPr>
            <w:tcW w:w="1364" w:type="pct"/>
            <w:vAlign w:val="center"/>
          </w:tcPr>
          <w:p>
            <w:pPr>
              <w:keepNext w:val="0"/>
              <w:keepLines w:val="0"/>
              <w:pageBreakBefore w:val="0"/>
              <w:shd w:val="clear"/>
              <w:kinsoku/>
              <w:overflowPunct/>
              <w:topLinePunct w:val="0"/>
              <w:bidi w:val="0"/>
              <w:snapToGrid/>
              <w:spacing w:line="336" w:lineRule="auto"/>
              <w:jc w:val="center"/>
              <w:rPr>
                <w:rFonts w:hAnsi="宋体"/>
                <w:color w:val="auto"/>
                <w:kern w:val="28"/>
                <w:sz w:val="21"/>
                <w:szCs w:val="21"/>
                <w:highlight w:val="none"/>
              </w:rPr>
            </w:pPr>
            <w:r>
              <w:rPr>
                <w:rFonts w:hint="eastAsia" w:hAnsi="宋体"/>
                <w:color w:val="auto"/>
                <w:kern w:val="28"/>
                <w:sz w:val="21"/>
                <w:szCs w:val="21"/>
                <w:highlight w:val="none"/>
              </w:rPr>
              <w:t>采购服务单位数量</w:t>
            </w:r>
          </w:p>
        </w:tc>
        <w:tc>
          <w:tcPr>
            <w:tcW w:w="840" w:type="pct"/>
            <w:vAlign w:val="center"/>
          </w:tcPr>
          <w:p>
            <w:pPr>
              <w:keepNext w:val="0"/>
              <w:keepLines w:val="0"/>
              <w:pageBreakBefore w:val="0"/>
              <w:shd w:val="clear"/>
              <w:kinsoku/>
              <w:overflowPunct/>
              <w:topLinePunct w:val="0"/>
              <w:bidi w:val="0"/>
              <w:snapToGrid/>
              <w:spacing w:line="336" w:lineRule="auto"/>
              <w:jc w:val="center"/>
              <w:rPr>
                <w:rFonts w:hAnsi="宋体"/>
                <w:color w:val="auto"/>
                <w:kern w:val="28"/>
                <w:sz w:val="21"/>
                <w:szCs w:val="21"/>
                <w:highlight w:val="none"/>
              </w:rPr>
            </w:pPr>
            <w:r>
              <w:rPr>
                <w:rFonts w:hint="eastAsia" w:hAnsi="宋体"/>
                <w:color w:val="auto"/>
                <w:kern w:val="28"/>
                <w:sz w:val="21"/>
                <w:szCs w:val="21"/>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5" w:type="pct"/>
            <w:vAlign w:val="center"/>
          </w:tcPr>
          <w:p>
            <w:pPr>
              <w:keepNext w:val="0"/>
              <w:keepLines w:val="0"/>
              <w:pageBreakBefore w:val="0"/>
              <w:shd w:val="clear"/>
              <w:kinsoku/>
              <w:overflowPunct/>
              <w:topLinePunct w:val="0"/>
              <w:bidi w:val="0"/>
              <w:snapToGrid/>
              <w:spacing w:line="336" w:lineRule="auto"/>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松山湖国际创新创业社区2024年度系列活动采购项目</w:t>
            </w:r>
          </w:p>
        </w:tc>
        <w:tc>
          <w:tcPr>
            <w:tcW w:w="1364" w:type="pct"/>
            <w:vAlign w:val="center"/>
          </w:tcPr>
          <w:p>
            <w:pPr>
              <w:keepNext w:val="0"/>
              <w:keepLines w:val="0"/>
              <w:pageBreakBefore w:val="0"/>
              <w:shd w:val="clear"/>
              <w:kinsoku/>
              <w:overflowPunct/>
              <w:topLinePunct w:val="0"/>
              <w:bidi w:val="0"/>
              <w:snapToGrid/>
              <w:spacing w:line="336" w:lineRule="auto"/>
              <w:jc w:val="center"/>
              <w:rPr>
                <w:rFonts w:hAnsi="宋体"/>
                <w:color w:val="auto"/>
                <w:sz w:val="21"/>
                <w:szCs w:val="21"/>
                <w:highlight w:val="none"/>
              </w:rPr>
            </w:pPr>
            <w:r>
              <w:rPr>
                <w:rFonts w:hint="eastAsia" w:hAnsi="宋体"/>
                <w:color w:val="auto"/>
                <w:sz w:val="21"/>
                <w:szCs w:val="21"/>
                <w:highlight w:val="none"/>
              </w:rPr>
              <w:t>1</w:t>
            </w:r>
          </w:p>
        </w:tc>
        <w:tc>
          <w:tcPr>
            <w:tcW w:w="840" w:type="pct"/>
            <w:vAlign w:val="center"/>
          </w:tcPr>
          <w:p>
            <w:pPr>
              <w:keepNext w:val="0"/>
              <w:keepLines w:val="0"/>
              <w:pageBreakBefore w:val="0"/>
              <w:shd w:val="clear"/>
              <w:kinsoku/>
              <w:overflowPunct/>
              <w:topLinePunct w:val="0"/>
              <w:bidi w:val="0"/>
              <w:snapToGrid/>
              <w:spacing w:line="336" w:lineRule="auto"/>
              <w:jc w:val="center"/>
              <w:rPr>
                <w:rFonts w:hAnsi="宋体"/>
                <w:color w:val="auto"/>
                <w:sz w:val="21"/>
                <w:szCs w:val="21"/>
                <w:highlight w:val="none"/>
              </w:rPr>
            </w:pPr>
            <w:r>
              <w:rPr>
                <w:rFonts w:hint="eastAsia" w:hAnsi="宋体"/>
                <w:color w:val="auto"/>
                <w:sz w:val="21"/>
                <w:szCs w:val="21"/>
                <w:highlight w:val="none"/>
                <w:lang w:val="en-US" w:eastAsia="zh-CN"/>
              </w:rPr>
              <w:t>一</w:t>
            </w:r>
            <w:r>
              <w:rPr>
                <w:rFonts w:hint="eastAsia" w:hAnsi="宋体"/>
                <w:color w:val="auto"/>
                <w:sz w:val="21"/>
                <w:szCs w:val="21"/>
                <w:highlight w:val="none"/>
              </w:rPr>
              <w:t>年</w:t>
            </w:r>
          </w:p>
        </w:tc>
      </w:tr>
    </w:tbl>
    <w:p>
      <w:pPr>
        <w:keepNext w:val="0"/>
        <w:keepLines w:val="0"/>
        <w:pageBreakBefore w:val="0"/>
        <w:shd w:val="clear"/>
        <w:kinsoku/>
        <w:overflowPunct/>
        <w:topLinePunct w:val="0"/>
        <w:bidi w:val="0"/>
        <w:snapToGrid/>
        <w:spacing w:line="336" w:lineRule="auto"/>
        <w:ind w:firstLine="420" w:firstLineChars="200"/>
        <w:rPr>
          <w:rFonts w:hAnsi="宋体"/>
          <w:color w:val="auto"/>
          <w:sz w:val="21"/>
          <w:szCs w:val="21"/>
          <w:highlight w:val="none"/>
        </w:rPr>
      </w:pPr>
      <w:r>
        <w:rPr>
          <w:rFonts w:hint="eastAsia" w:hAnsi="宋体"/>
          <w:color w:val="auto"/>
          <w:sz w:val="21"/>
          <w:szCs w:val="21"/>
          <w:highlight w:val="none"/>
          <w:lang w:val="en-US" w:eastAsia="zh-CN"/>
        </w:rPr>
        <w:t>4</w:t>
      </w:r>
      <w:r>
        <w:rPr>
          <w:rFonts w:hint="eastAsia" w:hAnsi="宋体"/>
          <w:color w:val="auto"/>
          <w:sz w:val="21"/>
          <w:szCs w:val="21"/>
          <w:highlight w:val="none"/>
        </w:rPr>
        <w:t>、项目需求</w:t>
      </w:r>
    </w:p>
    <w:p>
      <w:pPr>
        <w:keepNext w:val="0"/>
        <w:keepLines w:val="0"/>
        <w:pageBreakBefore w:val="0"/>
        <w:shd w:val="clear"/>
        <w:kinsoku/>
        <w:overflowPunct/>
        <w:topLinePunct w:val="0"/>
        <w:bidi w:val="0"/>
        <w:snapToGrid/>
        <w:spacing w:line="336" w:lineRule="auto"/>
        <w:ind w:firstLine="420" w:firstLineChars="200"/>
        <w:rPr>
          <w:rFonts w:hAnsi="宋体"/>
          <w:color w:val="auto"/>
          <w:sz w:val="21"/>
          <w:szCs w:val="21"/>
          <w:highlight w:val="none"/>
        </w:rPr>
      </w:pPr>
      <w:r>
        <w:rPr>
          <w:rFonts w:hint="eastAsia" w:hAnsi="宋体"/>
          <w:color w:val="auto"/>
          <w:sz w:val="21"/>
          <w:szCs w:val="21"/>
          <w:highlight w:val="none"/>
        </w:rPr>
        <w:t>详细内容请参阅采购文件第三部分《用户需求书》。</w:t>
      </w:r>
    </w:p>
    <w:p>
      <w:pPr>
        <w:keepNext w:val="0"/>
        <w:keepLines w:val="0"/>
        <w:pageBreakBefore w:val="0"/>
        <w:widowControl/>
        <w:shd w:val="clear"/>
        <w:kinsoku/>
        <w:overflowPunct/>
        <w:topLinePunct w:val="0"/>
        <w:bidi w:val="0"/>
        <w:adjustRightInd/>
        <w:snapToGrid/>
        <w:spacing w:line="336" w:lineRule="auto"/>
        <w:outlineLvl w:val="0"/>
        <w:rPr>
          <w:rFonts w:hAnsi="宋体"/>
          <w:b/>
          <w:bCs/>
          <w:color w:val="auto"/>
          <w:kern w:val="28"/>
          <w:sz w:val="21"/>
          <w:szCs w:val="21"/>
          <w:highlight w:val="none"/>
        </w:rPr>
      </w:pPr>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bookmarkEnd w:id="7"/>
    </w:p>
    <w:p>
      <w:pPr>
        <w:keepNext w:val="0"/>
        <w:keepLines w:val="0"/>
        <w:pageBreakBefore w:val="0"/>
        <w:widowControl/>
        <w:shd w:val="clear"/>
        <w:kinsoku/>
        <w:overflowPunct/>
        <w:topLinePunct w:val="0"/>
        <w:bidi w:val="0"/>
        <w:adjustRightInd/>
        <w:snapToGrid/>
        <w:spacing w:line="336" w:lineRule="auto"/>
        <w:ind w:firstLine="420" w:firstLineChars="200"/>
        <w:textAlignment w:val="bottom"/>
        <w:rPr>
          <w:rFonts w:hint="default" w:hAnsi="宋体" w:eastAsia="宋体"/>
          <w:color w:val="auto"/>
          <w:kern w:val="2"/>
          <w:sz w:val="21"/>
          <w:szCs w:val="21"/>
          <w:highlight w:val="none"/>
          <w:lang w:val="en-US" w:eastAsia="zh-CN"/>
        </w:rPr>
      </w:pPr>
      <w:bookmarkStart w:id="8" w:name="_Toc396137230"/>
      <w:r>
        <w:rPr>
          <w:rFonts w:hint="eastAsia" w:hAnsi="宋体"/>
          <w:color w:val="auto"/>
          <w:kern w:val="2"/>
          <w:sz w:val="21"/>
          <w:szCs w:val="21"/>
          <w:highlight w:val="none"/>
        </w:rPr>
        <w:t>1、供应商须为在中华人民共和国境内登记注册的具有独立承担民事责任能力的法人或其他组织【提供《营业执照》复印件（加盖公章）或《事业单位法人证书》复印件（加盖公章）或其他主体证书复印件（加盖公章）】。</w:t>
      </w:r>
    </w:p>
    <w:p>
      <w:pPr>
        <w:keepNext w:val="0"/>
        <w:keepLines w:val="0"/>
        <w:pageBreakBefore w:val="0"/>
        <w:widowControl/>
        <w:shd w:val="clear"/>
        <w:kinsoku/>
        <w:overflowPunct/>
        <w:topLinePunct w:val="0"/>
        <w:bidi w:val="0"/>
        <w:adjustRightInd/>
        <w:snapToGrid/>
        <w:spacing w:line="336" w:lineRule="auto"/>
        <w:ind w:firstLine="420" w:firstLineChars="200"/>
        <w:textAlignment w:val="bottom"/>
        <w:rPr>
          <w:rFonts w:hAnsi="宋体"/>
          <w:color w:val="auto"/>
          <w:kern w:val="2"/>
          <w:sz w:val="21"/>
          <w:szCs w:val="21"/>
          <w:highlight w:val="none"/>
        </w:rPr>
      </w:pPr>
      <w:r>
        <w:rPr>
          <w:rFonts w:hint="eastAsia" w:hAnsi="宋体"/>
          <w:color w:val="auto"/>
          <w:kern w:val="2"/>
          <w:sz w:val="21"/>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pPr>
        <w:keepNext w:val="0"/>
        <w:keepLines w:val="0"/>
        <w:pageBreakBefore w:val="0"/>
        <w:widowControl/>
        <w:shd w:val="clear"/>
        <w:kinsoku/>
        <w:overflowPunct/>
        <w:topLinePunct w:val="0"/>
        <w:bidi w:val="0"/>
        <w:adjustRightInd/>
        <w:snapToGrid/>
        <w:spacing w:line="336" w:lineRule="auto"/>
        <w:ind w:firstLine="420" w:firstLineChars="200"/>
        <w:textAlignment w:val="bottom"/>
        <w:rPr>
          <w:rFonts w:hAnsi="宋体"/>
          <w:color w:val="auto"/>
          <w:kern w:val="2"/>
          <w:sz w:val="21"/>
          <w:szCs w:val="21"/>
          <w:highlight w:val="none"/>
        </w:rPr>
      </w:pPr>
      <w:r>
        <w:rPr>
          <w:rFonts w:hint="eastAsia" w:hAnsi="宋体"/>
          <w:color w:val="auto"/>
          <w:kern w:val="2"/>
          <w:sz w:val="21"/>
          <w:szCs w:val="21"/>
          <w:highlight w:val="none"/>
        </w:rPr>
        <w:t>3、供应商的单位负责人为同一人或者存在直接控股、管理关系的不同供应商，不得参加同一合同项下的采购活动。</w:t>
      </w:r>
    </w:p>
    <w:p>
      <w:pPr>
        <w:keepNext w:val="0"/>
        <w:keepLines w:val="0"/>
        <w:pageBreakBefore w:val="0"/>
        <w:widowControl/>
        <w:shd w:val="clear"/>
        <w:kinsoku/>
        <w:overflowPunct/>
        <w:topLinePunct w:val="0"/>
        <w:bidi w:val="0"/>
        <w:adjustRightInd/>
        <w:snapToGrid/>
        <w:spacing w:line="336" w:lineRule="auto"/>
        <w:ind w:firstLine="420" w:firstLineChars="200"/>
        <w:textAlignment w:val="bottom"/>
        <w:rPr>
          <w:rFonts w:hAnsi="宋体"/>
          <w:color w:val="auto"/>
          <w:kern w:val="2"/>
          <w:sz w:val="21"/>
          <w:szCs w:val="21"/>
          <w:highlight w:val="none"/>
        </w:rPr>
      </w:pPr>
      <w:r>
        <w:rPr>
          <w:rFonts w:hint="eastAsia" w:hAnsi="宋体"/>
          <w:color w:val="auto"/>
          <w:kern w:val="2"/>
          <w:sz w:val="21"/>
          <w:szCs w:val="21"/>
          <w:highlight w:val="none"/>
        </w:rPr>
        <w:t>4、未被列入“信用中国”网站(www.creditchina.gov.cn)“记录失信被执行人或重大税收违法失信主体或政府采购严重违法失信行为”记录名单。以代理机构于磋商截止日当天在“信用中国”网站查询结果为准，如相关失信记录已失效，供应商需提供相关证明资料。</w:t>
      </w:r>
    </w:p>
    <w:p>
      <w:pPr>
        <w:keepNext w:val="0"/>
        <w:keepLines w:val="0"/>
        <w:pageBreakBefore w:val="0"/>
        <w:widowControl/>
        <w:shd w:val="clear"/>
        <w:kinsoku/>
        <w:overflowPunct/>
        <w:topLinePunct w:val="0"/>
        <w:bidi w:val="0"/>
        <w:adjustRightInd/>
        <w:snapToGrid/>
        <w:spacing w:line="336" w:lineRule="auto"/>
        <w:ind w:firstLine="420" w:firstLineChars="200"/>
        <w:textAlignment w:val="bottom"/>
        <w:rPr>
          <w:rFonts w:hint="eastAsia" w:hAnsi="宋体" w:eastAsia="宋体"/>
          <w:color w:val="auto"/>
          <w:kern w:val="2"/>
          <w:sz w:val="21"/>
          <w:szCs w:val="21"/>
          <w:highlight w:val="none"/>
          <w:lang w:val="en-US" w:eastAsia="zh-CN"/>
        </w:rPr>
      </w:pPr>
      <w:r>
        <w:rPr>
          <w:rFonts w:hint="eastAsia" w:hAnsi="宋体"/>
          <w:color w:val="auto"/>
          <w:kern w:val="2"/>
          <w:sz w:val="21"/>
          <w:szCs w:val="21"/>
          <w:highlight w:val="none"/>
        </w:rPr>
        <w:t>5、</w:t>
      </w:r>
      <w:r>
        <w:rPr>
          <w:rFonts w:hint="eastAsia" w:hAnsi="宋体"/>
          <w:color w:val="auto"/>
          <w:kern w:val="2"/>
          <w:sz w:val="21"/>
          <w:szCs w:val="21"/>
          <w:highlight w:val="none"/>
          <w:lang w:val="en-US" w:eastAsia="zh-CN"/>
        </w:rPr>
        <w:t>本次项目不接受联合体磋商。</w:t>
      </w:r>
    </w:p>
    <w:p>
      <w:pPr>
        <w:keepNext w:val="0"/>
        <w:keepLines w:val="0"/>
        <w:pageBreakBefore w:val="0"/>
        <w:shd w:val="clear"/>
        <w:kinsoku/>
        <w:overflowPunct/>
        <w:topLinePunct w:val="0"/>
        <w:bidi w:val="0"/>
        <w:snapToGrid/>
        <w:spacing w:line="336" w:lineRule="auto"/>
        <w:outlineLvl w:val="0"/>
        <w:rPr>
          <w:rFonts w:hAnsi="宋体"/>
          <w:b/>
          <w:bCs/>
          <w:color w:val="auto"/>
          <w:sz w:val="21"/>
          <w:szCs w:val="21"/>
          <w:highlight w:val="none"/>
        </w:rPr>
      </w:pPr>
      <w:bookmarkStart w:id="9" w:name="_Toc8581"/>
      <w:r>
        <w:rPr>
          <w:rFonts w:hint="eastAsia" w:hAnsi="宋体"/>
          <w:b/>
          <w:bCs/>
          <w:color w:val="auto"/>
          <w:sz w:val="21"/>
          <w:szCs w:val="21"/>
          <w:highlight w:val="none"/>
        </w:rPr>
        <w:t>三、获取磋商文件：</w:t>
      </w:r>
      <w:bookmarkEnd w:id="9"/>
    </w:p>
    <w:p>
      <w:pPr>
        <w:keepNext w:val="0"/>
        <w:keepLines w:val="0"/>
        <w:pageBreakBefore w:val="0"/>
        <w:widowControl/>
        <w:shd w:val="clear"/>
        <w:kinsoku/>
        <w:overflowPunct/>
        <w:topLinePunct w:val="0"/>
        <w:bidi w:val="0"/>
        <w:adjustRightInd/>
        <w:snapToGrid/>
        <w:spacing w:line="336" w:lineRule="auto"/>
        <w:ind w:left="0" w:right="0" w:firstLine="420" w:firstLineChars="200"/>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不进行实名登记报名，拟参加磋商的供应商于磋商截止时间前自行网上下载采购文件。采购文件下载地址：中国招标投标公共服务平台（http://www.cebpubservice.com/）、东莞实业投资控股集团有限公司-招标采购栏目（http://www.dgsy.com.cn/）、代理公司官网（http://www.weiyecoltd.com/）。</w:t>
      </w:r>
    </w:p>
    <w:p>
      <w:pPr>
        <w:keepNext w:val="0"/>
        <w:keepLines w:val="0"/>
        <w:pageBreakBefore w:val="0"/>
        <w:widowControl/>
        <w:shd w:val="clear"/>
        <w:kinsoku/>
        <w:overflowPunct/>
        <w:topLinePunct w:val="0"/>
        <w:bidi w:val="0"/>
        <w:adjustRightInd/>
        <w:snapToGrid/>
        <w:spacing w:line="336" w:lineRule="auto"/>
        <w:ind w:left="0" w:right="0" w:firstLine="420" w:firstLineChars="200"/>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采购结果公告发布媒介：东莞实业投资控股集团有限公司-招标采购栏目（http://www.dgsy.com.cn/）</w:t>
      </w:r>
    </w:p>
    <w:p>
      <w:pPr>
        <w:keepNext w:val="0"/>
        <w:keepLines w:val="0"/>
        <w:pageBreakBefore w:val="0"/>
        <w:widowControl/>
        <w:shd w:val="clear"/>
        <w:kinsoku/>
        <w:overflowPunct/>
        <w:topLinePunct w:val="0"/>
        <w:bidi w:val="0"/>
        <w:adjustRightInd/>
        <w:snapToGrid/>
        <w:spacing w:line="336" w:lineRule="auto"/>
        <w:ind w:firstLine="420" w:firstLineChars="200"/>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磋商文件公告期限：自公告之日起三个工作日。</w:t>
      </w:r>
    </w:p>
    <w:p>
      <w:pPr>
        <w:pStyle w:val="28"/>
        <w:keepNext w:val="0"/>
        <w:keepLines w:val="0"/>
        <w:pageBreakBefore w:val="0"/>
        <w:shd w:val="clear"/>
        <w:kinsoku/>
        <w:overflowPunct/>
        <w:topLinePunct w:val="0"/>
        <w:bidi w:val="0"/>
        <w:snapToGrid/>
        <w:spacing w:line="336"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keepNext w:val="0"/>
        <w:keepLines w:val="0"/>
        <w:pageBreakBefore w:val="0"/>
        <w:shd w:val="clear"/>
        <w:kinsoku/>
        <w:overflowPunct/>
        <w:topLinePunct w:val="0"/>
        <w:bidi w:val="0"/>
        <w:snapToGrid/>
        <w:spacing w:line="336"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w:t>
      </w:r>
      <w:r>
        <w:rPr>
          <w:rFonts w:hint="eastAsia" w:hAnsi="宋体"/>
          <w:color w:val="auto"/>
          <w:sz w:val="21"/>
          <w:szCs w:val="21"/>
          <w:highlight w:val="none"/>
          <w:lang w:eastAsia="zh-CN"/>
        </w:rPr>
        <w:t>2024</w:t>
      </w:r>
      <w:r>
        <w:rPr>
          <w:rFonts w:hint="eastAsia" w:hAnsi="宋体"/>
          <w:color w:val="auto"/>
          <w:sz w:val="21"/>
          <w:szCs w:val="21"/>
          <w:highlight w:val="none"/>
        </w:rPr>
        <w:t>年</w:t>
      </w:r>
      <w:r>
        <w:rPr>
          <w:rFonts w:hint="eastAsia" w:hAnsi="宋体"/>
          <w:color w:val="auto"/>
          <w:sz w:val="21"/>
          <w:szCs w:val="21"/>
          <w:highlight w:val="none"/>
          <w:lang w:val="en-US" w:eastAsia="zh-CN"/>
        </w:rPr>
        <w:t>4</w:t>
      </w:r>
      <w:r>
        <w:rPr>
          <w:rFonts w:hint="eastAsia" w:hAnsi="宋体"/>
          <w:color w:val="auto"/>
          <w:sz w:val="21"/>
          <w:szCs w:val="21"/>
          <w:highlight w:val="none"/>
        </w:rPr>
        <w:t>月</w:t>
      </w:r>
      <w:r>
        <w:rPr>
          <w:rFonts w:hint="eastAsia" w:hAnsi="宋体"/>
          <w:color w:val="auto"/>
          <w:sz w:val="21"/>
          <w:szCs w:val="21"/>
          <w:highlight w:val="none"/>
          <w:lang w:val="en-US" w:eastAsia="zh-CN"/>
        </w:rPr>
        <w:t>2</w:t>
      </w:r>
      <w:r>
        <w:rPr>
          <w:rFonts w:hint="eastAsia" w:hAnsi="宋体"/>
          <w:color w:val="auto"/>
          <w:sz w:val="21"/>
          <w:szCs w:val="21"/>
          <w:highlight w:val="none"/>
        </w:rPr>
        <w:t>日</w:t>
      </w:r>
      <w:r>
        <w:rPr>
          <w:rFonts w:hint="eastAsia" w:hAnsi="宋体"/>
          <w:color w:val="auto"/>
          <w:sz w:val="21"/>
          <w:szCs w:val="21"/>
          <w:highlight w:val="none"/>
          <w:lang w:eastAsia="zh-CN"/>
        </w:rPr>
        <w:t>上午</w:t>
      </w:r>
      <w:r>
        <w:rPr>
          <w:rFonts w:hint="eastAsia" w:hAnsi="宋体"/>
          <w:color w:val="auto"/>
          <w:sz w:val="21"/>
          <w:szCs w:val="21"/>
          <w:highlight w:val="none"/>
          <w:lang w:val="en-US" w:eastAsia="zh-CN"/>
        </w:rPr>
        <w:t>09</w:t>
      </w:r>
      <w:r>
        <w:rPr>
          <w:rFonts w:hint="eastAsia" w:hAnsi="宋体"/>
          <w:color w:val="auto"/>
          <w:sz w:val="21"/>
          <w:szCs w:val="21"/>
          <w:highlight w:val="none"/>
        </w:rPr>
        <w:t>:00～</w:t>
      </w:r>
      <w:r>
        <w:rPr>
          <w:rFonts w:hint="eastAsia" w:hAnsi="宋体"/>
          <w:color w:val="auto"/>
          <w:sz w:val="21"/>
          <w:szCs w:val="21"/>
          <w:highlight w:val="none"/>
          <w:lang w:val="en-US" w:eastAsia="zh-CN"/>
        </w:rPr>
        <w:t>09</w:t>
      </w:r>
      <w:r>
        <w:rPr>
          <w:rFonts w:hint="eastAsia" w:hAnsi="宋体"/>
          <w:color w:val="auto"/>
          <w:sz w:val="21"/>
          <w:szCs w:val="21"/>
          <w:highlight w:val="none"/>
        </w:rPr>
        <w:t>:30。</w:t>
      </w:r>
    </w:p>
    <w:p>
      <w:pPr>
        <w:keepNext w:val="0"/>
        <w:keepLines w:val="0"/>
        <w:pageBreakBefore w:val="0"/>
        <w:shd w:val="clear"/>
        <w:kinsoku/>
        <w:overflowPunct/>
        <w:topLinePunct w:val="0"/>
        <w:bidi w:val="0"/>
        <w:snapToGrid/>
        <w:spacing w:line="336"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w:t>
      </w:r>
      <w:r>
        <w:rPr>
          <w:rFonts w:hint="eastAsia" w:hAnsi="宋体"/>
          <w:color w:val="auto"/>
          <w:sz w:val="21"/>
          <w:szCs w:val="21"/>
          <w:highlight w:val="none"/>
          <w:lang w:eastAsia="zh-CN"/>
        </w:rPr>
        <w:t>2024</w:t>
      </w:r>
      <w:r>
        <w:rPr>
          <w:rFonts w:hint="eastAsia" w:hAnsi="宋体"/>
          <w:color w:val="auto"/>
          <w:sz w:val="21"/>
          <w:szCs w:val="21"/>
          <w:highlight w:val="none"/>
        </w:rPr>
        <w:t>年</w:t>
      </w:r>
      <w:r>
        <w:rPr>
          <w:rFonts w:hint="eastAsia" w:hAnsi="宋体"/>
          <w:color w:val="auto"/>
          <w:sz w:val="21"/>
          <w:szCs w:val="21"/>
          <w:highlight w:val="none"/>
          <w:lang w:val="en-US" w:eastAsia="zh-CN"/>
        </w:rPr>
        <w:t>4</w:t>
      </w:r>
      <w:r>
        <w:rPr>
          <w:rFonts w:hint="eastAsia" w:hAnsi="宋体"/>
          <w:color w:val="auto"/>
          <w:sz w:val="21"/>
          <w:szCs w:val="21"/>
          <w:highlight w:val="none"/>
        </w:rPr>
        <w:t>月</w:t>
      </w:r>
      <w:r>
        <w:rPr>
          <w:rFonts w:hint="eastAsia" w:hAnsi="宋体"/>
          <w:color w:val="auto"/>
          <w:sz w:val="21"/>
          <w:szCs w:val="21"/>
          <w:highlight w:val="none"/>
          <w:lang w:val="en-US" w:eastAsia="zh-CN"/>
        </w:rPr>
        <w:t>2</w:t>
      </w:r>
      <w:r>
        <w:rPr>
          <w:rFonts w:hint="eastAsia" w:hAnsi="宋体"/>
          <w:color w:val="auto"/>
          <w:sz w:val="21"/>
          <w:szCs w:val="21"/>
          <w:highlight w:val="none"/>
        </w:rPr>
        <w:t>日</w:t>
      </w:r>
      <w:r>
        <w:rPr>
          <w:rFonts w:hint="eastAsia" w:hAnsi="宋体"/>
          <w:color w:val="auto"/>
          <w:sz w:val="21"/>
          <w:szCs w:val="21"/>
          <w:highlight w:val="none"/>
          <w:lang w:val="en-US" w:eastAsia="zh-CN"/>
        </w:rPr>
        <w:t>上</w:t>
      </w:r>
      <w:r>
        <w:rPr>
          <w:rFonts w:hint="eastAsia" w:hAnsi="宋体"/>
          <w:color w:val="auto"/>
          <w:sz w:val="21"/>
          <w:szCs w:val="21"/>
          <w:highlight w:val="none"/>
        </w:rPr>
        <w:t>午</w:t>
      </w:r>
      <w:r>
        <w:rPr>
          <w:rFonts w:hint="eastAsia" w:hAnsi="宋体"/>
          <w:color w:val="auto"/>
          <w:sz w:val="21"/>
          <w:szCs w:val="21"/>
          <w:highlight w:val="none"/>
          <w:lang w:val="en-US" w:eastAsia="zh-CN"/>
        </w:rPr>
        <w:t>09</w:t>
      </w:r>
      <w:r>
        <w:rPr>
          <w:rFonts w:hint="eastAsia" w:hAnsi="宋体"/>
          <w:color w:val="auto"/>
          <w:sz w:val="21"/>
          <w:szCs w:val="21"/>
          <w:highlight w:val="none"/>
        </w:rPr>
        <w:t>:30。</w:t>
      </w:r>
    </w:p>
    <w:p>
      <w:pPr>
        <w:keepNext w:val="0"/>
        <w:keepLines w:val="0"/>
        <w:pageBreakBefore w:val="0"/>
        <w:shd w:val="clear"/>
        <w:kinsoku/>
        <w:overflowPunct/>
        <w:topLinePunct w:val="0"/>
        <w:bidi w:val="0"/>
        <w:snapToGrid/>
        <w:spacing w:line="336"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3、接收响应文件地点：广东省东莞市南城街道科创路100号2栋1302室。</w:t>
      </w:r>
    </w:p>
    <w:p>
      <w:pPr>
        <w:keepNext w:val="0"/>
        <w:keepLines w:val="0"/>
        <w:pageBreakBefore w:val="0"/>
        <w:shd w:val="clear"/>
        <w:kinsoku/>
        <w:overflowPunct/>
        <w:topLinePunct w:val="0"/>
        <w:bidi w:val="0"/>
        <w:snapToGrid/>
        <w:spacing w:line="336" w:lineRule="auto"/>
        <w:outlineLvl w:val="0"/>
        <w:rPr>
          <w:rFonts w:hAnsi="宋体"/>
          <w:b/>
          <w:bCs/>
          <w:color w:val="auto"/>
          <w:sz w:val="21"/>
          <w:szCs w:val="21"/>
          <w:highlight w:val="none"/>
        </w:rPr>
      </w:pPr>
      <w:bookmarkStart w:id="10" w:name="_Toc26926"/>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bookmarkEnd w:id="10"/>
    </w:p>
    <w:p>
      <w:pPr>
        <w:keepNext w:val="0"/>
        <w:keepLines w:val="0"/>
        <w:pageBreakBefore w:val="0"/>
        <w:shd w:val="clear"/>
        <w:kinsoku/>
        <w:overflowPunct/>
        <w:topLinePunct w:val="0"/>
        <w:bidi w:val="0"/>
        <w:snapToGrid/>
        <w:spacing w:line="336"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keepNext w:val="0"/>
        <w:keepLines w:val="0"/>
        <w:pageBreakBefore w:val="0"/>
        <w:shd w:val="clear"/>
        <w:kinsoku/>
        <w:overflowPunct/>
        <w:topLinePunct w:val="0"/>
        <w:bidi w:val="0"/>
        <w:snapToGrid/>
        <w:spacing w:line="336"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广东省东莞市南城街道科创路100号2栋1302室</w:t>
      </w:r>
    </w:p>
    <w:p>
      <w:pPr>
        <w:keepNext w:val="0"/>
        <w:keepLines w:val="0"/>
        <w:pageBreakBefore w:val="0"/>
        <w:shd w:val="clear"/>
        <w:kinsoku/>
        <w:overflowPunct/>
        <w:topLinePunct w:val="0"/>
        <w:bidi w:val="0"/>
        <w:snapToGrid/>
        <w:spacing w:line="336"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冼小姐</w:t>
      </w:r>
    </w:p>
    <w:p>
      <w:pPr>
        <w:keepNext w:val="0"/>
        <w:keepLines w:val="0"/>
        <w:pageBreakBefore w:val="0"/>
        <w:shd w:val="clear"/>
        <w:kinsoku/>
        <w:overflowPunct/>
        <w:topLinePunct w:val="0"/>
        <w:bidi w:val="0"/>
        <w:snapToGrid/>
        <w:spacing w:line="336"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0769-22652033</w:t>
      </w:r>
    </w:p>
    <w:p>
      <w:pPr>
        <w:keepNext w:val="0"/>
        <w:keepLines w:val="0"/>
        <w:pageBreakBefore w:val="0"/>
        <w:shd w:val="clear"/>
        <w:kinsoku/>
        <w:overflowPunct/>
        <w:topLinePunct w:val="0"/>
        <w:bidi w:val="0"/>
        <w:snapToGrid/>
        <w:spacing w:line="336"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keepNext w:val="0"/>
        <w:keepLines w:val="0"/>
        <w:pageBreakBefore w:val="0"/>
        <w:shd w:val="clear"/>
        <w:kinsoku/>
        <w:overflowPunct/>
        <w:topLinePunct w:val="0"/>
        <w:bidi w:val="0"/>
        <w:snapToGrid/>
        <w:spacing w:line="336"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 购 人：东莞市大学创新城建设发展有限公司</w:t>
      </w:r>
    </w:p>
    <w:p>
      <w:pPr>
        <w:keepNext w:val="0"/>
        <w:keepLines w:val="0"/>
        <w:pageBreakBefore w:val="0"/>
        <w:shd w:val="clear"/>
        <w:kinsoku/>
        <w:overflowPunct/>
        <w:topLinePunct w:val="0"/>
        <w:bidi w:val="0"/>
        <w:snapToGrid/>
        <w:spacing w:line="336"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keepNext w:val="0"/>
        <w:keepLines w:val="0"/>
        <w:pageBreakBefore w:val="0"/>
        <w:shd w:val="clear"/>
        <w:kinsoku/>
        <w:overflowPunct/>
        <w:topLinePunct w:val="0"/>
        <w:bidi w:val="0"/>
        <w:snapToGrid/>
        <w:spacing w:line="336" w:lineRule="auto"/>
        <w:ind w:right="-34" w:firstLine="424" w:firstLineChars="202"/>
        <w:jc w:val="both"/>
        <w:rPr>
          <w:rFonts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w:t>
      </w:r>
      <w:r>
        <w:rPr>
          <w:rFonts w:hint="eastAsia" w:hAnsi="宋体"/>
          <w:color w:val="auto"/>
          <w:sz w:val="21"/>
          <w:szCs w:val="21"/>
          <w:highlight w:val="none"/>
          <w:lang w:val="en-US" w:eastAsia="zh-CN"/>
        </w:rPr>
        <w:t>翟</w:t>
      </w:r>
      <w:r>
        <w:rPr>
          <w:rFonts w:hint="eastAsia" w:hAnsi="宋体"/>
          <w:color w:val="auto"/>
          <w:sz w:val="21"/>
          <w:szCs w:val="21"/>
          <w:highlight w:val="none"/>
        </w:rPr>
        <w:t>工</w:t>
      </w:r>
    </w:p>
    <w:p>
      <w:pPr>
        <w:keepNext w:val="0"/>
        <w:keepLines w:val="0"/>
        <w:pageBreakBefore w:val="0"/>
        <w:shd w:val="clear"/>
        <w:kinsoku/>
        <w:overflowPunct/>
        <w:topLinePunct w:val="0"/>
        <w:bidi w:val="0"/>
        <w:snapToGrid/>
        <w:spacing w:line="336" w:lineRule="auto"/>
        <w:ind w:right="-34" w:firstLine="424" w:firstLineChars="202"/>
        <w:jc w:val="both"/>
        <w:rPr>
          <w:rFonts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keepNext w:val="0"/>
        <w:keepLines w:val="0"/>
        <w:pageBreakBefore w:val="0"/>
        <w:shd w:val="clear"/>
        <w:kinsoku/>
        <w:overflowPunct/>
        <w:topLinePunct w:val="0"/>
        <w:bidi w:val="0"/>
        <w:snapToGrid/>
        <w:spacing w:line="336" w:lineRule="auto"/>
        <w:ind w:firstLine="422" w:firstLineChars="200"/>
        <w:jc w:val="right"/>
        <w:rPr>
          <w:b/>
          <w:color w:val="auto"/>
          <w:sz w:val="21"/>
          <w:szCs w:val="21"/>
          <w:highlight w:val="none"/>
        </w:rPr>
      </w:pPr>
      <w:r>
        <w:rPr>
          <w:rFonts w:hint="eastAsia"/>
          <w:b/>
          <w:color w:val="auto"/>
          <w:sz w:val="21"/>
          <w:szCs w:val="21"/>
          <w:highlight w:val="none"/>
        </w:rPr>
        <w:t xml:space="preserve">                                         东莞市大学创新城建设发展有限公司</w:t>
      </w:r>
    </w:p>
    <w:p>
      <w:pPr>
        <w:keepNext w:val="0"/>
        <w:keepLines w:val="0"/>
        <w:pageBreakBefore w:val="0"/>
        <w:shd w:val="clear"/>
        <w:kinsoku/>
        <w:overflowPunct/>
        <w:topLinePunct w:val="0"/>
        <w:bidi w:val="0"/>
        <w:snapToGrid/>
        <w:spacing w:line="336"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pPr>
        <w:keepNext w:val="0"/>
        <w:keepLines w:val="0"/>
        <w:pageBreakBefore w:val="0"/>
        <w:shd w:val="clear"/>
        <w:kinsoku/>
        <w:wordWrap w:val="0"/>
        <w:overflowPunct/>
        <w:topLinePunct w:val="0"/>
        <w:bidi w:val="0"/>
        <w:snapToGrid/>
        <w:spacing w:line="336" w:lineRule="auto"/>
        <w:ind w:right="-34" w:firstLine="426" w:firstLineChars="202"/>
        <w:jc w:val="right"/>
        <w:rPr>
          <w:rFonts w:hAnsi="宋体"/>
          <w:color w:val="auto"/>
          <w:sz w:val="21"/>
          <w:szCs w:val="21"/>
          <w:highlight w:val="none"/>
        </w:rPr>
      </w:pPr>
      <w:r>
        <w:rPr>
          <w:rFonts w:hint="eastAsia" w:hAnsi="宋体"/>
          <w:b/>
          <w:color w:val="auto"/>
          <w:sz w:val="21"/>
          <w:szCs w:val="21"/>
          <w:highlight w:val="none"/>
          <w:lang w:eastAsia="zh-CN"/>
        </w:rPr>
        <w:t>2024</w:t>
      </w:r>
      <w:r>
        <w:rPr>
          <w:rFonts w:hint="eastAsia" w:hAnsi="宋体"/>
          <w:b/>
          <w:color w:val="auto"/>
          <w:sz w:val="21"/>
          <w:szCs w:val="21"/>
          <w:highlight w:val="none"/>
        </w:rPr>
        <w:t>年</w:t>
      </w:r>
      <w:r>
        <w:rPr>
          <w:rFonts w:hint="eastAsia" w:hAnsi="宋体"/>
          <w:b/>
          <w:color w:val="auto"/>
          <w:sz w:val="21"/>
          <w:szCs w:val="21"/>
          <w:highlight w:val="none"/>
          <w:lang w:val="en-US" w:eastAsia="zh-CN"/>
        </w:rPr>
        <w:t>3</w:t>
      </w:r>
      <w:r>
        <w:rPr>
          <w:rFonts w:hint="eastAsia" w:hAnsi="宋体"/>
          <w:b/>
          <w:color w:val="auto"/>
          <w:sz w:val="21"/>
          <w:szCs w:val="21"/>
          <w:highlight w:val="none"/>
        </w:rPr>
        <w:t>月</w:t>
      </w:r>
      <w:r>
        <w:rPr>
          <w:rFonts w:hint="eastAsia" w:hAnsi="宋体"/>
          <w:b/>
          <w:color w:val="auto"/>
          <w:sz w:val="21"/>
          <w:szCs w:val="21"/>
          <w:highlight w:val="none"/>
          <w:lang w:val="en-US" w:eastAsia="zh-CN"/>
        </w:rPr>
        <w:t>22</w:t>
      </w:r>
      <w:r>
        <w:rPr>
          <w:rFonts w:hint="eastAsia" w:hAnsi="宋体"/>
          <w:b/>
          <w:color w:val="auto"/>
          <w:sz w:val="21"/>
          <w:szCs w:val="21"/>
          <w:highlight w:val="none"/>
        </w:rPr>
        <w:t>日</w:t>
      </w:r>
    </w:p>
    <w:p>
      <w:pPr>
        <w:pStyle w:val="4"/>
        <w:keepNext/>
        <w:keepLines/>
        <w:pageBreakBefore/>
        <w:numPr>
          <w:ilvl w:val="0"/>
          <w:numId w:val="10"/>
        </w:numPr>
        <w:shd w:val="clea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1" w:name="_Toc16634"/>
      <w:bookmarkStart w:id="12" w:name="_Toc17779"/>
      <w:r>
        <w:rPr>
          <w:rFonts w:hint="eastAsia" w:hAnsi="宋体"/>
          <w:b/>
          <w:bCs/>
          <w:color w:val="auto"/>
          <w:kern w:val="44"/>
          <w:sz w:val="28"/>
          <w:szCs w:val="28"/>
          <w:highlight w:val="none"/>
          <w:lang w:val="zh-CN"/>
        </w:rPr>
        <w:t>供应商须知</w:t>
      </w:r>
      <w:bookmarkEnd w:id="8"/>
      <w:bookmarkEnd w:id="11"/>
      <w:bookmarkEnd w:id="12"/>
    </w:p>
    <w:p>
      <w:pPr>
        <w:pStyle w:val="5"/>
        <w:shd w:val="clear"/>
        <w:adjustRightInd/>
        <w:spacing w:line="360" w:lineRule="auto"/>
        <w:ind w:firstLine="562" w:firstLineChars="200"/>
        <w:jc w:val="center"/>
        <w:rPr>
          <w:color w:val="auto"/>
          <w:sz w:val="28"/>
          <w:szCs w:val="28"/>
          <w:highlight w:val="none"/>
        </w:rPr>
      </w:pPr>
      <w:bookmarkStart w:id="13" w:name="_Toc6882675"/>
      <w:bookmarkStart w:id="14" w:name="_Toc466786434"/>
      <w:bookmarkStart w:id="15" w:name="_Toc7897861"/>
      <w:bookmarkStart w:id="16" w:name="_Toc5203"/>
      <w:bookmarkStart w:id="17" w:name="_Toc6968687"/>
      <w:bookmarkStart w:id="18" w:name="_Toc12804"/>
      <w:bookmarkStart w:id="19" w:name="_Toc507407359"/>
      <w:bookmarkStart w:id="20" w:name="_Toc102277756"/>
      <w:r>
        <w:rPr>
          <w:rFonts w:hint="eastAsia"/>
          <w:color w:val="auto"/>
          <w:sz w:val="28"/>
          <w:szCs w:val="28"/>
          <w:highlight w:val="none"/>
        </w:rPr>
        <w:t>一、说  明</w:t>
      </w:r>
      <w:bookmarkEnd w:id="13"/>
      <w:bookmarkEnd w:id="14"/>
      <w:bookmarkEnd w:id="15"/>
      <w:bookmarkEnd w:id="16"/>
      <w:bookmarkEnd w:id="17"/>
      <w:bookmarkEnd w:id="18"/>
      <w:bookmarkEnd w:id="19"/>
      <w:bookmarkEnd w:id="20"/>
    </w:p>
    <w:p>
      <w:pPr>
        <w:pStyle w:val="6"/>
        <w:shd w:val="clear"/>
        <w:adjustRightInd/>
        <w:spacing w:line="360" w:lineRule="auto"/>
        <w:ind w:firstLine="420" w:firstLineChars="200"/>
        <w:rPr>
          <w:rFonts w:hAnsi="宋体"/>
          <w:color w:val="auto"/>
          <w:sz w:val="21"/>
          <w:szCs w:val="21"/>
          <w:highlight w:val="none"/>
        </w:rPr>
      </w:pPr>
      <w:bookmarkStart w:id="21" w:name="_Toc3730"/>
      <w:bookmarkStart w:id="22" w:name="_Toc475249114"/>
      <w:bookmarkStart w:id="23" w:name="_Toc24987"/>
      <w:bookmarkStart w:id="24" w:name="_Toc7897862"/>
      <w:r>
        <w:rPr>
          <w:rFonts w:hint="eastAsia" w:hAnsi="宋体"/>
          <w:color w:val="auto"/>
          <w:sz w:val="21"/>
          <w:szCs w:val="21"/>
          <w:highlight w:val="none"/>
        </w:rPr>
        <w:t>1.适用范围</w:t>
      </w:r>
      <w:bookmarkEnd w:id="21"/>
      <w:bookmarkEnd w:id="22"/>
      <w:bookmarkEnd w:id="23"/>
      <w:bookmarkEnd w:id="24"/>
    </w:p>
    <w:p>
      <w:pPr>
        <w:shd w:val="clea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hd w:val="clea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6"/>
        <w:shd w:val="clear"/>
        <w:adjustRightInd/>
        <w:spacing w:line="360" w:lineRule="auto"/>
        <w:ind w:firstLine="420" w:firstLineChars="200"/>
        <w:rPr>
          <w:rFonts w:hAnsi="宋体"/>
          <w:color w:val="auto"/>
          <w:sz w:val="21"/>
          <w:szCs w:val="21"/>
          <w:highlight w:val="none"/>
        </w:rPr>
      </w:pPr>
      <w:bookmarkStart w:id="25" w:name="_Toc475249115"/>
      <w:bookmarkStart w:id="26" w:name="_Toc7897863"/>
      <w:bookmarkStart w:id="27" w:name="_Toc598"/>
      <w:bookmarkStart w:id="28" w:name="_Toc9738"/>
      <w:r>
        <w:rPr>
          <w:rFonts w:hint="eastAsia" w:hAnsi="宋体"/>
          <w:color w:val="auto"/>
          <w:sz w:val="21"/>
          <w:szCs w:val="21"/>
          <w:highlight w:val="none"/>
        </w:rPr>
        <w:t>2.定义</w:t>
      </w:r>
      <w:bookmarkEnd w:id="25"/>
      <w:bookmarkEnd w:id="26"/>
      <w:bookmarkEnd w:id="27"/>
      <w:bookmarkEnd w:id="28"/>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2.1“采购人”是指东莞市大学创新城建设发展有限公司。</w:t>
      </w:r>
    </w:p>
    <w:p>
      <w:pPr>
        <w:shd w:val="clea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语言：磋商文件的语言为简体中文。</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6"/>
        <w:shd w:val="clear"/>
        <w:adjustRightInd/>
        <w:spacing w:line="360" w:lineRule="auto"/>
        <w:ind w:firstLine="420" w:firstLineChars="200"/>
        <w:rPr>
          <w:rFonts w:hAnsi="宋体"/>
          <w:color w:val="auto"/>
          <w:sz w:val="21"/>
          <w:szCs w:val="21"/>
          <w:highlight w:val="none"/>
        </w:rPr>
      </w:pPr>
      <w:bookmarkStart w:id="29" w:name="_Toc367"/>
      <w:bookmarkStart w:id="30" w:name="_Toc110953831"/>
      <w:bookmarkStart w:id="31" w:name="_Toc24709"/>
      <w:bookmarkStart w:id="32" w:name="_Toc7897864"/>
      <w:bookmarkStart w:id="33" w:name="_Toc102277757"/>
      <w:bookmarkStart w:id="34" w:name="_Toc6882676"/>
      <w:bookmarkStart w:id="35" w:name="_Toc466786435"/>
      <w:bookmarkStart w:id="36" w:name="_Toc507407360"/>
      <w:bookmarkStart w:id="37" w:name="_Toc6968688"/>
      <w:r>
        <w:rPr>
          <w:rFonts w:hint="eastAsia" w:hAnsi="宋体"/>
          <w:color w:val="auto"/>
          <w:sz w:val="21"/>
          <w:szCs w:val="21"/>
          <w:highlight w:val="none"/>
        </w:rPr>
        <w:t>3.适用法律</w:t>
      </w:r>
      <w:bookmarkEnd w:id="29"/>
      <w:bookmarkEnd w:id="30"/>
      <w:bookmarkEnd w:id="31"/>
      <w:bookmarkEnd w:id="32"/>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采购人、供应商和采购代理机构均应当参照东莞市大学创新城建设发展有限公司相关招标采购规定执行。</w:t>
      </w:r>
    </w:p>
    <w:p>
      <w:pPr>
        <w:pStyle w:val="6"/>
        <w:shd w:val="clear"/>
        <w:adjustRightInd/>
        <w:spacing w:line="360" w:lineRule="auto"/>
        <w:ind w:firstLine="420" w:firstLineChars="200"/>
        <w:rPr>
          <w:rFonts w:hAnsi="宋体"/>
          <w:color w:val="auto"/>
          <w:sz w:val="21"/>
          <w:szCs w:val="21"/>
          <w:highlight w:val="none"/>
          <w:lang w:val="zh-CN"/>
        </w:rPr>
      </w:pPr>
      <w:bookmarkStart w:id="38" w:name="_Toc20707"/>
      <w:bookmarkStart w:id="39" w:name="_Toc10397"/>
      <w:bookmarkStart w:id="40" w:name="_Toc110953833"/>
      <w:bookmarkStart w:id="41" w:name="_Toc7897866"/>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38"/>
    </w:p>
    <w:p>
      <w:pPr>
        <w:pStyle w:val="6"/>
        <w:shd w:val="clear"/>
        <w:adjustRightInd/>
        <w:spacing w:line="360" w:lineRule="auto"/>
        <w:ind w:firstLine="420" w:firstLineChars="200"/>
        <w:rPr>
          <w:rFonts w:hAnsi="宋体"/>
          <w:bCs/>
          <w:color w:val="auto"/>
          <w:sz w:val="21"/>
          <w:szCs w:val="21"/>
          <w:highlight w:val="none"/>
        </w:rPr>
      </w:pPr>
      <w:bookmarkStart w:id="42" w:name="_Toc10368"/>
      <w:r>
        <w:rPr>
          <w:rFonts w:hint="eastAsia" w:hAnsi="宋体"/>
          <w:color w:val="auto"/>
          <w:sz w:val="21"/>
          <w:szCs w:val="21"/>
          <w:highlight w:val="none"/>
        </w:rPr>
        <w:t>5.禁止事项</w:t>
      </w:r>
      <w:bookmarkEnd w:id="39"/>
      <w:bookmarkEnd w:id="40"/>
      <w:bookmarkEnd w:id="41"/>
      <w:bookmarkEnd w:id="42"/>
    </w:p>
    <w:p>
      <w:pPr>
        <w:shd w:val="clear"/>
        <w:spacing w:line="360" w:lineRule="auto"/>
        <w:ind w:firstLine="420" w:firstLineChars="200"/>
        <w:rPr>
          <w:rFonts w:hAnsi="宋体"/>
          <w:color w:val="auto"/>
          <w:sz w:val="21"/>
          <w:szCs w:val="21"/>
          <w:highlight w:val="none"/>
        </w:rPr>
      </w:pPr>
      <w:bookmarkStart w:id="43" w:name="_Toc98126218"/>
      <w:bookmarkStart w:id="44" w:name="_Toc98126293"/>
      <w:r>
        <w:rPr>
          <w:rFonts w:hint="eastAsia" w:hAnsi="宋体"/>
          <w:color w:val="auto"/>
          <w:sz w:val="21"/>
          <w:szCs w:val="21"/>
          <w:highlight w:val="none"/>
        </w:rPr>
        <w:t>5.1采购人、供应商和采购代理机构不得相互串通损害国家利益、社会公共利益和其他当事人的合法权益。</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43"/>
      <w:bookmarkEnd w:id="44"/>
    </w:p>
    <w:p>
      <w:pPr>
        <w:shd w:val="clear"/>
        <w:spacing w:line="360" w:lineRule="auto"/>
        <w:ind w:firstLine="420" w:firstLineChars="200"/>
        <w:rPr>
          <w:rFonts w:hAnsi="宋体"/>
          <w:color w:val="auto"/>
          <w:sz w:val="21"/>
          <w:szCs w:val="21"/>
          <w:highlight w:val="none"/>
        </w:rPr>
      </w:pPr>
      <w:bookmarkStart w:id="45" w:name="_Toc98126219"/>
      <w:bookmarkStart w:id="46" w:name="_Toc98126294"/>
      <w:r>
        <w:rPr>
          <w:rFonts w:hint="eastAsia" w:hAnsi="宋体"/>
          <w:color w:val="auto"/>
          <w:sz w:val="21"/>
          <w:szCs w:val="21"/>
          <w:highlight w:val="none"/>
        </w:rPr>
        <w:t>5.3采购代理机构不得向采购人行贿或者采取其他不正当手段谋取非法利益。</w:t>
      </w:r>
      <w:bookmarkEnd w:id="45"/>
      <w:bookmarkEnd w:id="46"/>
    </w:p>
    <w:p>
      <w:pPr>
        <w:shd w:val="clear"/>
        <w:spacing w:line="360" w:lineRule="auto"/>
        <w:ind w:firstLine="420" w:firstLineChars="200"/>
        <w:rPr>
          <w:rFonts w:hAnsi="宋体"/>
          <w:color w:val="auto"/>
          <w:sz w:val="21"/>
          <w:szCs w:val="21"/>
          <w:highlight w:val="none"/>
        </w:rPr>
      </w:pPr>
      <w:bookmarkStart w:id="47" w:name="_Toc98126220"/>
      <w:bookmarkStart w:id="48" w:name="_Toc98126295"/>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47"/>
      <w:bookmarkEnd w:id="48"/>
    </w:p>
    <w:p>
      <w:pPr>
        <w:pStyle w:val="6"/>
        <w:shd w:val="clear"/>
        <w:adjustRightInd/>
        <w:spacing w:line="360" w:lineRule="auto"/>
        <w:ind w:firstLine="420" w:firstLineChars="200"/>
        <w:rPr>
          <w:rFonts w:hAnsi="宋体"/>
          <w:bCs/>
          <w:color w:val="auto"/>
          <w:sz w:val="21"/>
          <w:szCs w:val="21"/>
          <w:highlight w:val="none"/>
        </w:rPr>
      </w:pPr>
      <w:bookmarkStart w:id="49" w:name="_Toc110953834"/>
      <w:bookmarkStart w:id="50" w:name="_Toc7897867"/>
      <w:bookmarkStart w:id="51" w:name="_Toc2863"/>
      <w:bookmarkStart w:id="52" w:name="_Toc25870"/>
      <w:r>
        <w:rPr>
          <w:rFonts w:hint="eastAsia" w:hAnsi="宋体"/>
          <w:color w:val="auto"/>
          <w:sz w:val="21"/>
          <w:szCs w:val="21"/>
          <w:highlight w:val="none"/>
        </w:rPr>
        <w:t>6.保密及其它注意事项</w:t>
      </w:r>
      <w:bookmarkEnd w:id="49"/>
      <w:bookmarkEnd w:id="50"/>
      <w:bookmarkEnd w:id="51"/>
      <w:bookmarkEnd w:id="52"/>
    </w:p>
    <w:p>
      <w:pPr>
        <w:shd w:val="clear"/>
        <w:spacing w:line="360" w:lineRule="auto"/>
        <w:ind w:firstLine="420" w:firstLineChars="200"/>
        <w:rPr>
          <w:rFonts w:hAnsi="宋体"/>
          <w:color w:val="auto"/>
          <w:sz w:val="21"/>
          <w:szCs w:val="21"/>
          <w:highlight w:val="none"/>
        </w:rPr>
      </w:pPr>
      <w:bookmarkStart w:id="53" w:name="_Toc98126297"/>
      <w:bookmarkStart w:id="54" w:name="_Toc98126222"/>
      <w:r>
        <w:rPr>
          <w:rFonts w:hint="eastAsia" w:hAnsi="宋体"/>
          <w:color w:val="auto"/>
          <w:sz w:val="21"/>
          <w:szCs w:val="21"/>
          <w:highlight w:val="none"/>
        </w:rPr>
        <w:t>6.1凡参与采购工作的有关人员均应自觉接受有关主管部门的监督，不得向他人透露可能影响公平竞争的有关情况。</w:t>
      </w:r>
      <w:bookmarkEnd w:id="53"/>
      <w:bookmarkEnd w:id="54"/>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6"/>
        <w:shd w:val="clear"/>
        <w:adjustRightInd/>
        <w:spacing w:line="360" w:lineRule="auto"/>
        <w:ind w:firstLine="420" w:firstLineChars="200"/>
        <w:rPr>
          <w:rFonts w:hAnsi="宋体"/>
          <w:color w:val="auto"/>
          <w:sz w:val="21"/>
          <w:szCs w:val="21"/>
          <w:highlight w:val="none"/>
        </w:rPr>
      </w:pPr>
      <w:bookmarkStart w:id="55" w:name="_Toc497016085"/>
      <w:bookmarkStart w:id="56" w:name="_Toc27298"/>
      <w:bookmarkStart w:id="57" w:name="_Toc13371"/>
      <w:bookmarkStart w:id="58" w:name="_Toc7897868"/>
      <w:r>
        <w:rPr>
          <w:rFonts w:hint="eastAsia" w:hAnsi="宋体"/>
          <w:color w:val="auto"/>
          <w:sz w:val="21"/>
          <w:szCs w:val="21"/>
          <w:highlight w:val="none"/>
        </w:rPr>
        <w:t>7.供应商诚信管理</w:t>
      </w:r>
      <w:bookmarkEnd w:id="55"/>
      <w:bookmarkEnd w:id="56"/>
      <w:bookmarkEnd w:id="57"/>
      <w:bookmarkEnd w:id="58"/>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hd w:val="clear"/>
        <w:spacing w:line="360" w:lineRule="auto"/>
        <w:rPr>
          <w:rFonts w:hAnsi="宋体"/>
          <w:color w:val="auto"/>
          <w:sz w:val="21"/>
          <w:szCs w:val="21"/>
          <w:highlight w:val="none"/>
        </w:rPr>
      </w:pPr>
    </w:p>
    <w:p>
      <w:pPr>
        <w:pStyle w:val="5"/>
        <w:shd w:val="clear"/>
        <w:adjustRightInd/>
        <w:spacing w:line="360" w:lineRule="auto"/>
        <w:ind w:firstLine="562" w:firstLineChars="200"/>
        <w:jc w:val="center"/>
        <w:rPr>
          <w:color w:val="auto"/>
          <w:sz w:val="28"/>
          <w:szCs w:val="28"/>
          <w:highlight w:val="none"/>
        </w:rPr>
      </w:pPr>
      <w:bookmarkStart w:id="59" w:name="_Toc7897869"/>
      <w:bookmarkStart w:id="60" w:name="_Toc17498"/>
      <w:bookmarkStart w:id="61" w:name="_Toc23741"/>
      <w:r>
        <w:rPr>
          <w:rFonts w:hint="eastAsia"/>
          <w:color w:val="auto"/>
          <w:sz w:val="28"/>
          <w:szCs w:val="28"/>
          <w:highlight w:val="none"/>
        </w:rPr>
        <w:t>二、磋商文件说明</w:t>
      </w:r>
      <w:bookmarkEnd w:id="33"/>
      <w:bookmarkEnd w:id="34"/>
      <w:bookmarkEnd w:id="35"/>
      <w:bookmarkEnd w:id="36"/>
      <w:bookmarkEnd w:id="37"/>
      <w:bookmarkEnd w:id="59"/>
      <w:bookmarkEnd w:id="60"/>
      <w:bookmarkEnd w:id="61"/>
    </w:p>
    <w:p>
      <w:pPr>
        <w:pStyle w:val="6"/>
        <w:shd w:val="clear"/>
        <w:adjustRightInd/>
        <w:spacing w:line="360" w:lineRule="auto"/>
        <w:ind w:firstLine="420" w:firstLineChars="200"/>
        <w:rPr>
          <w:rFonts w:hAnsi="宋体"/>
          <w:color w:val="auto"/>
          <w:sz w:val="21"/>
          <w:szCs w:val="21"/>
          <w:highlight w:val="none"/>
        </w:rPr>
      </w:pPr>
      <w:bookmarkStart w:id="62" w:name="_Toc29560"/>
      <w:bookmarkStart w:id="63" w:name="_Toc7897870"/>
      <w:bookmarkStart w:id="64" w:name="_Toc23606"/>
      <w:bookmarkStart w:id="65" w:name="_Toc110953836"/>
      <w:bookmarkStart w:id="66" w:name="_Toc102277758"/>
      <w:bookmarkStart w:id="67" w:name="_Toc507407361"/>
      <w:bookmarkStart w:id="68" w:name="_Toc6968689"/>
      <w:bookmarkStart w:id="69" w:name="_Toc6882677"/>
      <w:bookmarkStart w:id="70" w:name="_Toc466786436"/>
      <w:r>
        <w:rPr>
          <w:rFonts w:hint="eastAsia" w:hAnsi="宋体"/>
          <w:color w:val="auto"/>
          <w:sz w:val="21"/>
          <w:szCs w:val="21"/>
          <w:highlight w:val="none"/>
        </w:rPr>
        <w:t>8.磋商文件构成</w:t>
      </w:r>
      <w:bookmarkEnd w:id="62"/>
      <w:bookmarkEnd w:id="63"/>
      <w:bookmarkEnd w:id="64"/>
      <w:bookmarkEnd w:id="65"/>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8.1磋商文件用以阐明项目情况、评审程序、评审办法、定标标准和合同条款参考范本和响应文件的制作等，由磋商邀请书、供应商须知、用户需求书、合同范本和响应文件格式构成。</w:t>
      </w:r>
    </w:p>
    <w:p>
      <w:pPr>
        <w:pStyle w:val="6"/>
        <w:shd w:val="clear"/>
        <w:adjustRightInd/>
        <w:spacing w:line="360" w:lineRule="auto"/>
        <w:ind w:firstLine="420" w:firstLineChars="200"/>
        <w:rPr>
          <w:rFonts w:hAnsi="宋体"/>
          <w:color w:val="auto"/>
          <w:sz w:val="21"/>
          <w:szCs w:val="21"/>
          <w:highlight w:val="none"/>
        </w:rPr>
      </w:pPr>
      <w:bookmarkStart w:id="71" w:name="_Toc110953837"/>
      <w:bookmarkStart w:id="72" w:name="_Toc19701"/>
      <w:bookmarkStart w:id="73" w:name="_Toc16827"/>
      <w:bookmarkStart w:id="74" w:name="_Toc7897871"/>
      <w:r>
        <w:rPr>
          <w:rFonts w:hint="eastAsia" w:hAnsi="宋体"/>
          <w:color w:val="auto"/>
          <w:sz w:val="21"/>
          <w:szCs w:val="21"/>
          <w:highlight w:val="none"/>
        </w:rPr>
        <w:t>9.磋商文件的修改</w:t>
      </w:r>
      <w:bookmarkEnd w:id="71"/>
      <w:bookmarkEnd w:id="72"/>
      <w:bookmarkEnd w:id="73"/>
      <w:bookmarkEnd w:id="74"/>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14"/>
        <w:shd w:val="clear"/>
        <w:ind w:firstLine="400"/>
        <w:rPr>
          <w:color w:val="auto"/>
          <w:highlight w:val="none"/>
        </w:rPr>
      </w:pPr>
    </w:p>
    <w:bookmarkEnd w:id="66"/>
    <w:bookmarkEnd w:id="67"/>
    <w:bookmarkEnd w:id="68"/>
    <w:bookmarkEnd w:id="69"/>
    <w:bookmarkEnd w:id="70"/>
    <w:p>
      <w:pPr>
        <w:pStyle w:val="5"/>
        <w:shd w:val="clear"/>
        <w:adjustRightInd/>
        <w:spacing w:line="360" w:lineRule="auto"/>
        <w:ind w:firstLine="562" w:firstLineChars="200"/>
        <w:jc w:val="center"/>
        <w:rPr>
          <w:color w:val="auto"/>
          <w:sz w:val="28"/>
          <w:szCs w:val="28"/>
          <w:highlight w:val="none"/>
        </w:rPr>
      </w:pPr>
      <w:bookmarkStart w:id="75" w:name="_Toc7897872"/>
      <w:bookmarkStart w:id="76" w:name="_Toc110953838"/>
      <w:bookmarkStart w:id="77" w:name="_Toc18245"/>
      <w:bookmarkStart w:id="78" w:name="_Toc15398"/>
      <w:bookmarkStart w:id="79" w:name="_Toc6968690"/>
      <w:bookmarkStart w:id="80" w:name="_Toc102277759"/>
      <w:bookmarkStart w:id="81" w:name="_Toc507407362"/>
      <w:bookmarkStart w:id="82" w:name="_Toc466786437"/>
      <w:bookmarkStart w:id="83" w:name="_Toc6882678"/>
      <w:r>
        <w:rPr>
          <w:rFonts w:hint="eastAsia"/>
          <w:color w:val="auto"/>
          <w:sz w:val="28"/>
          <w:szCs w:val="28"/>
          <w:highlight w:val="none"/>
        </w:rPr>
        <w:t>三、响应文件的制作</w:t>
      </w:r>
      <w:bookmarkEnd w:id="75"/>
      <w:bookmarkEnd w:id="76"/>
      <w:bookmarkEnd w:id="77"/>
      <w:bookmarkEnd w:id="78"/>
    </w:p>
    <w:p>
      <w:pPr>
        <w:pStyle w:val="6"/>
        <w:shd w:val="clear"/>
        <w:adjustRightInd/>
        <w:spacing w:line="360" w:lineRule="auto"/>
        <w:ind w:firstLine="420" w:firstLineChars="200"/>
        <w:rPr>
          <w:rFonts w:hAnsi="宋体"/>
          <w:color w:val="auto"/>
          <w:sz w:val="21"/>
          <w:szCs w:val="21"/>
          <w:highlight w:val="none"/>
        </w:rPr>
      </w:pPr>
      <w:bookmarkStart w:id="84" w:name="_Toc15756"/>
      <w:bookmarkStart w:id="85" w:name="_Toc110953839"/>
      <w:bookmarkStart w:id="86" w:name="_Toc7897873"/>
      <w:bookmarkStart w:id="87" w:name="_Toc23789"/>
      <w:r>
        <w:rPr>
          <w:rFonts w:hint="eastAsia" w:hAnsi="宋体"/>
          <w:color w:val="auto"/>
          <w:sz w:val="21"/>
          <w:szCs w:val="21"/>
          <w:highlight w:val="none"/>
        </w:rPr>
        <w:t>10.制作要求</w:t>
      </w:r>
      <w:bookmarkEnd w:id="84"/>
      <w:bookmarkEnd w:id="85"/>
      <w:bookmarkEnd w:id="86"/>
      <w:bookmarkEnd w:id="87"/>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w:t>
      </w:r>
      <w:r>
        <w:rPr>
          <w:rFonts w:hint="eastAsia" w:hAnsi="宋体"/>
          <w:b/>
          <w:color w:val="auto"/>
          <w:sz w:val="21"/>
          <w:szCs w:val="21"/>
          <w:highlight w:val="none"/>
          <w:lang w:eastAsia="zh-CN"/>
        </w:rPr>
        <w:t>三</w:t>
      </w:r>
      <w:r>
        <w:rPr>
          <w:rFonts w:hint="eastAsia" w:hAnsi="宋体"/>
          <w:b/>
          <w:color w:val="auto"/>
          <w:sz w:val="21"/>
          <w:szCs w:val="21"/>
          <w:highlight w:val="none"/>
        </w:rPr>
        <w:t>份、唱标信封一份。</w:t>
      </w:r>
      <w:r>
        <w:rPr>
          <w:rFonts w:hint="eastAsia" w:hAnsi="宋体"/>
          <w:color w:val="auto"/>
          <w:sz w:val="21"/>
          <w:szCs w:val="21"/>
          <w:highlight w:val="none"/>
        </w:rPr>
        <w:t>在每一份响应文件上要明确注明“正本”、“副本”或“唱标信封”字样，一旦正本和副本有差异，以正本为准。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6"/>
        <w:shd w:val="clear"/>
        <w:adjustRightInd/>
        <w:spacing w:line="360" w:lineRule="auto"/>
        <w:ind w:firstLine="420" w:firstLineChars="200"/>
        <w:rPr>
          <w:rFonts w:hAnsi="宋体"/>
          <w:color w:val="auto"/>
          <w:sz w:val="21"/>
          <w:szCs w:val="21"/>
          <w:highlight w:val="none"/>
        </w:rPr>
      </w:pPr>
      <w:bookmarkStart w:id="88" w:name="_Toc110953840"/>
      <w:bookmarkStart w:id="89" w:name="_Toc18079"/>
      <w:bookmarkStart w:id="90" w:name="_Toc20552"/>
      <w:bookmarkStart w:id="91" w:name="_Toc7897874"/>
      <w:r>
        <w:rPr>
          <w:rFonts w:hint="eastAsia" w:hAnsi="宋体"/>
          <w:color w:val="auto"/>
          <w:sz w:val="21"/>
          <w:szCs w:val="21"/>
          <w:highlight w:val="none"/>
        </w:rPr>
        <w:t>11.响应文件的内容</w:t>
      </w:r>
      <w:bookmarkEnd w:id="88"/>
      <w:bookmarkEnd w:id="89"/>
      <w:bookmarkEnd w:id="90"/>
      <w:bookmarkEnd w:id="91"/>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hd w:val="clea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hd w:val="clea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hd w:val="clea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供应商每次报价超过预算金额视为非实质性响应磋商而予以拒绝。</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hd w:val="clea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6"/>
        <w:shd w:val="clear"/>
        <w:adjustRightInd/>
        <w:spacing w:line="360" w:lineRule="auto"/>
        <w:ind w:firstLine="420" w:firstLineChars="200"/>
        <w:rPr>
          <w:rFonts w:hAnsi="宋体"/>
          <w:color w:val="auto"/>
          <w:sz w:val="21"/>
          <w:szCs w:val="21"/>
          <w:highlight w:val="none"/>
        </w:rPr>
      </w:pPr>
      <w:bookmarkStart w:id="92" w:name="_Toc7897875"/>
      <w:bookmarkStart w:id="93" w:name="_Toc110953841"/>
      <w:bookmarkStart w:id="94" w:name="_Toc21763"/>
      <w:bookmarkStart w:id="95" w:name="_Toc9150"/>
      <w:r>
        <w:rPr>
          <w:rFonts w:hint="eastAsia" w:hAnsi="宋体"/>
          <w:color w:val="auto"/>
          <w:sz w:val="21"/>
          <w:szCs w:val="21"/>
          <w:highlight w:val="none"/>
        </w:rPr>
        <w:t>12.响应文件格式</w:t>
      </w:r>
      <w:bookmarkEnd w:id="92"/>
      <w:bookmarkEnd w:id="93"/>
      <w:bookmarkEnd w:id="94"/>
      <w:bookmarkEnd w:id="95"/>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6"/>
        <w:shd w:val="clear"/>
        <w:adjustRightInd/>
        <w:spacing w:line="360" w:lineRule="auto"/>
        <w:ind w:firstLine="420" w:firstLineChars="200"/>
        <w:rPr>
          <w:rFonts w:hAnsi="宋体"/>
          <w:color w:val="auto"/>
          <w:sz w:val="21"/>
          <w:szCs w:val="21"/>
          <w:highlight w:val="none"/>
        </w:rPr>
      </w:pPr>
      <w:bookmarkStart w:id="96" w:name="_Toc185150707"/>
      <w:bookmarkStart w:id="97" w:name="_Toc24570"/>
      <w:bookmarkStart w:id="98" w:name="_Toc30889"/>
      <w:bookmarkStart w:id="99" w:name="_Toc7897876"/>
      <w:r>
        <w:rPr>
          <w:rFonts w:hint="eastAsia" w:hAnsi="宋体"/>
          <w:color w:val="auto"/>
          <w:sz w:val="21"/>
          <w:szCs w:val="21"/>
          <w:highlight w:val="none"/>
        </w:rPr>
        <w:t>13.</w:t>
      </w:r>
      <w:bookmarkEnd w:id="96"/>
      <w:r>
        <w:rPr>
          <w:rFonts w:hint="eastAsia" w:hAnsi="宋体"/>
          <w:color w:val="auto"/>
          <w:sz w:val="21"/>
          <w:szCs w:val="21"/>
          <w:highlight w:val="none"/>
        </w:rPr>
        <w:t>磋商保证金</w:t>
      </w:r>
      <w:bookmarkEnd w:id="97"/>
      <w:bookmarkEnd w:id="98"/>
      <w:bookmarkEnd w:id="99"/>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9"/>
        <w:gridCol w:w="3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129" w:type="dxa"/>
            <w:shd w:val="clear" w:color="auto" w:fill="E0E0E0"/>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679" w:type="dxa"/>
            <w:shd w:val="clear" w:color="auto" w:fill="E0E0E0"/>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29" w:type="dxa"/>
            <w:vAlign w:val="center"/>
          </w:tcPr>
          <w:p>
            <w:pPr>
              <w:widowControl/>
              <w:shd w:val="clear"/>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松山湖国际创新创业社区2024年度系列活动采购项目</w:t>
            </w:r>
          </w:p>
        </w:tc>
        <w:tc>
          <w:tcPr>
            <w:tcW w:w="3679" w:type="dxa"/>
            <w:vAlign w:val="center"/>
          </w:tcPr>
          <w:p>
            <w:pPr>
              <w:widowControl/>
              <w:shd w:val="clear"/>
              <w:jc w:val="center"/>
              <w:rPr>
                <w:rFonts w:hAnsi="宋体"/>
                <w:color w:val="auto"/>
                <w:sz w:val="21"/>
                <w:szCs w:val="21"/>
                <w:highlight w:val="none"/>
              </w:rPr>
            </w:pPr>
            <w:r>
              <w:rPr>
                <w:rFonts w:hint="eastAsia" w:hAnsi="宋体"/>
                <w:color w:val="auto"/>
                <w:sz w:val="21"/>
                <w:szCs w:val="21"/>
                <w:highlight w:val="none"/>
              </w:rPr>
              <w:t xml:space="preserve"> 人民币</w:t>
            </w:r>
            <w:r>
              <w:rPr>
                <w:rFonts w:hint="eastAsia" w:hAnsi="宋体"/>
                <w:color w:val="auto"/>
                <w:sz w:val="21"/>
                <w:szCs w:val="21"/>
                <w:highlight w:val="none"/>
                <w:lang w:eastAsia="zh-CN"/>
              </w:rPr>
              <w:t>壹万叁</w:t>
            </w:r>
            <w:r>
              <w:rPr>
                <w:rFonts w:hint="eastAsia" w:hAnsi="宋体"/>
                <w:color w:val="auto"/>
                <w:sz w:val="21"/>
                <w:szCs w:val="21"/>
                <w:highlight w:val="none"/>
                <w:lang w:val="en-US" w:eastAsia="zh-CN"/>
              </w:rPr>
              <w:t>仟柒佰元整</w:t>
            </w:r>
            <w:r>
              <w:rPr>
                <w:rFonts w:hint="eastAsia" w:hAnsi="宋体"/>
                <w:color w:val="auto"/>
                <w:sz w:val="21"/>
                <w:szCs w:val="21"/>
                <w:highlight w:val="none"/>
              </w:rPr>
              <w:t>（¥</w:t>
            </w:r>
            <w:r>
              <w:rPr>
                <w:rFonts w:hint="eastAsia" w:hAnsi="宋体"/>
                <w:color w:val="auto"/>
                <w:sz w:val="21"/>
                <w:szCs w:val="21"/>
                <w:highlight w:val="none"/>
                <w:lang w:val="en-US" w:eastAsia="zh-CN"/>
              </w:rPr>
              <w:t>13700</w:t>
            </w:r>
            <w:r>
              <w:rPr>
                <w:rFonts w:hint="eastAsia" w:hAnsi="宋体"/>
                <w:color w:val="auto"/>
                <w:sz w:val="21"/>
                <w:szCs w:val="21"/>
                <w:highlight w:val="none"/>
              </w:rPr>
              <w:t>.00元）</w:t>
            </w:r>
          </w:p>
        </w:tc>
      </w:tr>
    </w:tbl>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13.2供应商应按要求提交磋商保证金，供应商采用银行转账、</w:t>
      </w:r>
      <w:r>
        <w:rPr>
          <w:rFonts w:hint="eastAsia" w:hAnsi="宋体"/>
          <w:color w:val="auto"/>
          <w:kern w:val="2"/>
          <w:sz w:val="21"/>
          <w:szCs w:val="21"/>
          <w:highlight w:val="none"/>
          <w:lang w:val="zh-CN"/>
        </w:rPr>
        <w:t>电汇</w:t>
      </w:r>
      <w:r>
        <w:rPr>
          <w:rFonts w:hint="eastAsia" w:hAnsi="宋体"/>
          <w:color w:val="auto"/>
          <w:sz w:val="21"/>
          <w:szCs w:val="21"/>
          <w:highlight w:val="none"/>
        </w:rPr>
        <w:t>的形式缴交，磋商供应商与交款人名称必须一致，非磋商供应商缴纳的磋商保证金无效。</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13.3磋商保证金的提交，应符合下列规定： </w:t>
      </w:r>
    </w:p>
    <w:p>
      <w:pPr>
        <w:shd w:val="clea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提交，应符合以下要求：保证金汇入以下磋商保证金专用账户，不接收由以供应商分支机构、私人帐户和其他单位转入的保证金。磋商保证金必须在磋商响应文件递交截止前到账，磋商保证金未按规定时间到达指定账户或提交金额不足的，将被视为无效响应。且在备注或用途中注明本项目的项目编号。</w:t>
      </w:r>
    </w:p>
    <w:p>
      <w:pPr>
        <w:shd w:val="clea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hd w:val="clea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账户名称：广东泰通伟业工程咨询有限公司</w:t>
      </w:r>
    </w:p>
    <w:p>
      <w:pPr>
        <w:shd w:val="clear"/>
        <w:spacing w:line="360" w:lineRule="auto"/>
        <w:ind w:firstLine="422" w:firstLineChars="200"/>
        <w:rPr>
          <w:rFonts w:hint="eastAsia" w:hAnsi="宋体"/>
          <w:b/>
          <w:bCs/>
          <w:color w:val="auto"/>
          <w:kern w:val="2"/>
          <w:sz w:val="21"/>
          <w:szCs w:val="21"/>
          <w:highlight w:val="none"/>
          <w:lang w:val="zh-CN"/>
        </w:rPr>
      </w:pPr>
      <w:r>
        <w:rPr>
          <w:rFonts w:hint="eastAsia" w:hAnsi="宋体"/>
          <w:b/>
          <w:bCs/>
          <w:color w:val="auto"/>
          <w:kern w:val="2"/>
          <w:sz w:val="21"/>
          <w:szCs w:val="21"/>
          <w:highlight w:val="none"/>
          <w:lang w:val="zh-CN"/>
        </w:rPr>
        <w:t>账  号：6232590699050071123</w:t>
      </w:r>
    </w:p>
    <w:p>
      <w:pPr>
        <w:shd w:val="clea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开户行：广发银行股份有限公司东莞东城星城支行</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6"/>
        <w:shd w:val="clear"/>
        <w:adjustRightInd/>
        <w:spacing w:line="360" w:lineRule="auto"/>
        <w:ind w:firstLine="420" w:firstLineChars="200"/>
        <w:rPr>
          <w:rFonts w:hAnsi="宋体"/>
          <w:color w:val="auto"/>
          <w:sz w:val="21"/>
          <w:szCs w:val="21"/>
          <w:highlight w:val="none"/>
        </w:rPr>
      </w:pPr>
      <w:bookmarkStart w:id="100" w:name="_Toc32304"/>
      <w:bookmarkStart w:id="101" w:name="_Toc480010709"/>
      <w:bookmarkStart w:id="102" w:name="_Toc7897877"/>
      <w:bookmarkStart w:id="103" w:name="_Toc503758471"/>
      <w:bookmarkStart w:id="104" w:name="_Toc480020258"/>
      <w:bookmarkStart w:id="105" w:name="_Toc454701382"/>
      <w:bookmarkStart w:id="106" w:name="_Toc458262615"/>
      <w:bookmarkStart w:id="107" w:name="_Toc2525"/>
      <w:bookmarkStart w:id="108" w:name="_Toc480021054"/>
      <w:bookmarkStart w:id="109" w:name="_Toc468157537"/>
      <w:bookmarkStart w:id="110" w:name="_Toc468606030"/>
      <w:bookmarkStart w:id="111" w:name="_Toc110953842"/>
      <w:bookmarkStart w:id="112" w:name="_Toc479991583"/>
      <w:bookmarkStart w:id="113" w:name="_Toc467987824"/>
      <w:bookmarkStart w:id="114" w:name="_Toc467236741"/>
      <w:bookmarkStart w:id="115" w:name="_Toc480171880"/>
      <w:r>
        <w:rPr>
          <w:rFonts w:hint="eastAsia" w:hAnsi="宋体"/>
          <w:color w:val="auto"/>
          <w:sz w:val="21"/>
          <w:szCs w:val="21"/>
          <w:highlight w:val="none"/>
        </w:rPr>
        <w:t>14.响应有效期</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14"/>
        <w:shd w:val="clear"/>
        <w:ind w:firstLine="400"/>
        <w:rPr>
          <w:color w:val="auto"/>
          <w:highlight w:val="none"/>
        </w:rPr>
      </w:pPr>
    </w:p>
    <w:bookmarkEnd w:id="79"/>
    <w:bookmarkEnd w:id="80"/>
    <w:bookmarkEnd w:id="81"/>
    <w:bookmarkEnd w:id="82"/>
    <w:bookmarkEnd w:id="83"/>
    <w:p>
      <w:pPr>
        <w:pStyle w:val="5"/>
        <w:shd w:val="clear"/>
        <w:adjustRightInd/>
        <w:spacing w:line="360" w:lineRule="auto"/>
        <w:ind w:firstLine="562" w:firstLineChars="200"/>
        <w:jc w:val="center"/>
        <w:rPr>
          <w:color w:val="auto"/>
          <w:sz w:val="28"/>
          <w:szCs w:val="28"/>
          <w:highlight w:val="none"/>
        </w:rPr>
      </w:pPr>
      <w:bookmarkStart w:id="116" w:name="_Toc17761"/>
      <w:bookmarkStart w:id="117" w:name="_Toc2740"/>
      <w:bookmarkStart w:id="118" w:name="_Toc7897878"/>
      <w:bookmarkStart w:id="119" w:name="_Toc110953843"/>
      <w:bookmarkStart w:id="120" w:name="_Toc6968691"/>
      <w:bookmarkStart w:id="121" w:name="_Toc507407363"/>
      <w:bookmarkStart w:id="122" w:name="_Toc102277760"/>
      <w:bookmarkStart w:id="123" w:name="_Toc466786438"/>
      <w:bookmarkStart w:id="124" w:name="_Toc6882679"/>
      <w:r>
        <w:rPr>
          <w:rFonts w:hint="eastAsia"/>
          <w:color w:val="auto"/>
          <w:sz w:val="28"/>
          <w:szCs w:val="28"/>
          <w:highlight w:val="none"/>
        </w:rPr>
        <w:t>四、响应文件的递交</w:t>
      </w:r>
      <w:bookmarkEnd w:id="116"/>
      <w:bookmarkEnd w:id="117"/>
      <w:bookmarkEnd w:id="118"/>
      <w:bookmarkEnd w:id="119"/>
    </w:p>
    <w:p>
      <w:pPr>
        <w:pStyle w:val="6"/>
        <w:shd w:val="clear"/>
        <w:adjustRightInd/>
        <w:spacing w:line="360" w:lineRule="auto"/>
        <w:ind w:firstLine="420" w:firstLineChars="200"/>
        <w:rPr>
          <w:rFonts w:hAnsi="宋体"/>
          <w:color w:val="auto"/>
          <w:sz w:val="21"/>
          <w:szCs w:val="21"/>
          <w:highlight w:val="none"/>
        </w:rPr>
      </w:pPr>
      <w:bookmarkStart w:id="125" w:name="_Toc2684"/>
      <w:bookmarkStart w:id="126" w:name="_Toc11500"/>
      <w:bookmarkStart w:id="127" w:name="_Toc110953844"/>
      <w:bookmarkStart w:id="128" w:name="_Toc7897879"/>
      <w:r>
        <w:rPr>
          <w:rFonts w:hint="eastAsia" w:hAnsi="宋体"/>
          <w:color w:val="auto"/>
          <w:sz w:val="21"/>
          <w:szCs w:val="21"/>
          <w:highlight w:val="none"/>
        </w:rPr>
        <w:t>15.响应文件的密封和标记</w:t>
      </w:r>
      <w:bookmarkEnd w:id="125"/>
      <w:bookmarkEnd w:id="126"/>
      <w:bookmarkEnd w:id="127"/>
      <w:bookmarkEnd w:id="128"/>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hd w:val="clea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shd w:val="clea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6"/>
        <w:shd w:val="clear"/>
        <w:adjustRightInd/>
        <w:spacing w:line="360" w:lineRule="auto"/>
        <w:ind w:firstLine="420" w:firstLineChars="200"/>
        <w:rPr>
          <w:rFonts w:hAnsi="宋体"/>
          <w:color w:val="auto"/>
          <w:sz w:val="21"/>
          <w:szCs w:val="21"/>
          <w:highlight w:val="none"/>
        </w:rPr>
      </w:pPr>
      <w:bookmarkStart w:id="129" w:name="_Toc12710"/>
      <w:bookmarkStart w:id="130" w:name="_Toc10017"/>
      <w:bookmarkStart w:id="131" w:name="_Toc7897880"/>
      <w:bookmarkStart w:id="132" w:name="_Toc110953845"/>
      <w:r>
        <w:rPr>
          <w:rFonts w:hint="eastAsia" w:hAnsi="宋体"/>
          <w:color w:val="auto"/>
          <w:sz w:val="21"/>
          <w:szCs w:val="21"/>
          <w:highlight w:val="none"/>
        </w:rPr>
        <w:t>16.响应文件的递交</w:t>
      </w:r>
      <w:bookmarkEnd w:id="129"/>
      <w:bookmarkEnd w:id="130"/>
      <w:bookmarkEnd w:id="131"/>
      <w:bookmarkEnd w:id="132"/>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hd w:val="clea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hd w:val="clear"/>
        <w:spacing w:line="360" w:lineRule="auto"/>
        <w:ind w:firstLine="420" w:firstLineChars="200"/>
        <w:rPr>
          <w:rFonts w:hAnsi="宋体"/>
          <w:color w:val="auto"/>
          <w:sz w:val="21"/>
          <w:szCs w:val="21"/>
          <w:highlight w:val="none"/>
        </w:rPr>
      </w:pPr>
    </w:p>
    <w:p>
      <w:pPr>
        <w:pStyle w:val="5"/>
        <w:shd w:val="clear"/>
        <w:adjustRightInd/>
        <w:spacing w:line="360" w:lineRule="auto"/>
        <w:ind w:firstLine="562" w:firstLineChars="200"/>
        <w:jc w:val="center"/>
        <w:rPr>
          <w:color w:val="auto"/>
          <w:sz w:val="28"/>
          <w:szCs w:val="28"/>
          <w:highlight w:val="none"/>
        </w:rPr>
      </w:pPr>
      <w:bookmarkStart w:id="133" w:name="_Toc7897881"/>
      <w:bookmarkStart w:id="134" w:name="_Toc22874"/>
      <w:bookmarkStart w:id="135" w:name="_Toc3138"/>
      <w:r>
        <w:rPr>
          <w:rFonts w:hint="eastAsia"/>
          <w:color w:val="auto"/>
          <w:sz w:val="28"/>
          <w:szCs w:val="28"/>
          <w:highlight w:val="none"/>
        </w:rPr>
        <w:t>五、采购仪式和</w:t>
      </w:r>
      <w:bookmarkEnd w:id="120"/>
      <w:bookmarkEnd w:id="121"/>
      <w:bookmarkEnd w:id="122"/>
      <w:bookmarkEnd w:id="123"/>
      <w:bookmarkEnd w:id="124"/>
      <w:r>
        <w:rPr>
          <w:rFonts w:hint="eastAsia"/>
          <w:color w:val="auto"/>
          <w:sz w:val="28"/>
          <w:szCs w:val="28"/>
          <w:highlight w:val="none"/>
        </w:rPr>
        <w:t>评审会议</w:t>
      </w:r>
      <w:bookmarkEnd w:id="133"/>
      <w:bookmarkEnd w:id="134"/>
      <w:bookmarkEnd w:id="135"/>
    </w:p>
    <w:p>
      <w:pPr>
        <w:pStyle w:val="6"/>
        <w:shd w:val="clear"/>
        <w:adjustRightInd/>
        <w:spacing w:line="360" w:lineRule="auto"/>
        <w:ind w:firstLine="422" w:firstLineChars="200"/>
        <w:rPr>
          <w:rFonts w:hAnsi="宋体"/>
          <w:b/>
          <w:color w:val="auto"/>
          <w:sz w:val="21"/>
          <w:szCs w:val="21"/>
          <w:highlight w:val="none"/>
        </w:rPr>
      </w:pPr>
      <w:bookmarkStart w:id="136" w:name="_Toc475249134"/>
      <w:r>
        <w:rPr>
          <w:rFonts w:hint="eastAsia" w:hAnsi="宋体"/>
          <w:b/>
          <w:color w:val="auto"/>
          <w:sz w:val="21"/>
          <w:szCs w:val="21"/>
          <w:highlight w:val="none"/>
        </w:rPr>
        <w:t>17.</w:t>
      </w:r>
      <w:bookmarkEnd w:id="136"/>
      <w:r>
        <w:rPr>
          <w:rFonts w:hint="eastAsia" w:hAnsi="宋体"/>
          <w:b/>
          <w:color w:val="auto"/>
          <w:sz w:val="21"/>
          <w:szCs w:val="21"/>
          <w:highlight w:val="none"/>
        </w:rPr>
        <w:t>开启响应文件</w:t>
      </w:r>
    </w:p>
    <w:p>
      <w:pPr>
        <w:shd w:val="clear"/>
        <w:spacing w:line="360" w:lineRule="auto"/>
        <w:ind w:firstLine="420" w:firstLineChars="200"/>
        <w:rPr>
          <w:rFonts w:hAnsi="宋体"/>
          <w:color w:val="auto"/>
          <w:sz w:val="21"/>
          <w:szCs w:val="21"/>
          <w:highlight w:val="none"/>
        </w:rPr>
      </w:pPr>
      <w:bookmarkStart w:id="137" w:name="_Toc475249135"/>
      <w:bookmarkStart w:id="138"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响应文件前，采购人、采购代理机构和供应商将检查响应文件的密封情况。在确认密封完好后，进行拆封唱标。唱标主要内容为响应文件正本中磋商保证金的内容以及采购代理机构认为合适的其他内容，并做记录。</w:t>
      </w:r>
    </w:p>
    <w:p>
      <w:pPr>
        <w:pStyle w:val="6"/>
        <w:shd w:val="clear"/>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37"/>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18.1采购代理机构将根据项目特点组建磋商小组，磋商小组由采购人代表和评审专家共3人或以上单数组成，其中评审专家人数不得少于磋商小组成员总数的2/3。</w:t>
      </w:r>
    </w:p>
    <w:p>
      <w:pPr>
        <w:pStyle w:val="6"/>
        <w:shd w:val="clear"/>
        <w:adjustRightInd/>
        <w:spacing w:line="360" w:lineRule="auto"/>
        <w:ind w:firstLine="422" w:firstLineChars="200"/>
        <w:rPr>
          <w:rFonts w:hAnsi="宋体"/>
          <w:b/>
          <w:color w:val="auto"/>
          <w:sz w:val="21"/>
          <w:szCs w:val="21"/>
          <w:highlight w:val="none"/>
        </w:rPr>
      </w:pPr>
      <w:bookmarkStart w:id="139" w:name="_Toc37121259"/>
      <w:bookmarkStart w:id="140" w:name="_Toc535141844"/>
      <w:r>
        <w:rPr>
          <w:rFonts w:hint="eastAsia" w:hAnsi="宋体"/>
          <w:b/>
          <w:color w:val="auto"/>
          <w:sz w:val="21"/>
          <w:szCs w:val="21"/>
          <w:highlight w:val="none"/>
        </w:rPr>
        <w:t>19.对响应文件的初审</w:t>
      </w:r>
      <w:bookmarkEnd w:id="139"/>
      <w:bookmarkEnd w:id="140"/>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6"/>
        <w:shd w:val="clear"/>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6"/>
        <w:shd w:val="clear"/>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6"/>
        <w:shd w:val="clear"/>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38"/>
    <w:p>
      <w:pPr>
        <w:pStyle w:val="6"/>
        <w:shd w:val="clear"/>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14"/>
        <w:shd w:val="clear"/>
        <w:ind w:firstLine="400"/>
        <w:rPr>
          <w:color w:val="auto"/>
          <w:highlight w:val="none"/>
        </w:rPr>
      </w:pPr>
    </w:p>
    <w:p>
      <w:pPr>
        <w:pStyle w:val="5"/>
        <w:shd w:val="clear"/>
        <w:adjustRightInd/>
        <w:spacing w:line="360" w:lineRule="auto"/>
        <w:ind w:firstLine="562" w:firstLineChars="200"/>
        <w:jc w:val="center"/>
        <w:rPr>
          <w:color w:val="auto"/>
          <w:sz w:val="28"/>
          <w:szCs w:val="28"/>
          <w:highlight w:val="none"/>
        </w:rPr>
      </w:pPr>
      <w:bookmarkStart w:id="141" w:name="_Toc7897882"/>
      <w:bookmarkStart w:id="142" w:name="_Toc21174"/>
      <w:bookmarkStart w:id="143" w:name="_Toc18625"/>
      <w:r>
        <w:rPr>
          <w:rFonts w:hint="eastAsia"/>
          <w:color w:val="auto"/>
          <w:sz w:val="28"/>
          <w:szCs w:val="28"/>
          <w:highlight w:val="none"/>
        </w:rPr>
        <w:t>六、确定成交供应商</w:t>
      </w:r>
      <w:bookmarkEnd w:id="141"/>
      <w:bookmarkEnd w:id="142"/>
      <w:bookmarkEnd w:id="143"/>
    </w:p>
    <w:p>
      <w:pPr>
        <w:pStyle w:val="6"/>
        <w:shd w:val="clear"/>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6"/>
        <w:shd w:val="clear"/>
        <w:adjustRightInd/>
        <w:spacing w:line="360" w:lineRule="auto"/>
        <w:ind w:firstLine="422"/>
        <w:rPr>
          <w:b/>
          <w:color w:val="auto"/>
          <w:sz w:val="21"/>
          <w:szCs w:val="21"/>
          <w:highlight w:val="none"/>
        </w:rPr>
      </w:pPr>
      <w:r>
        <w:rPr>
          <w:rFonts w:hint="eastAsia"/>
          <w:b/>
          <w:color w:val="auto"/>
          <w:sz w:val="21"/>
          <w:szCs w:val="21"/>
          <w:highlight w:val="none"/>
        </w:rPr>
        <w:t>25.资格后审</w:t>
      </w:r>
    </w:p>
    <w:p>
      <w:pPr>
        <w:shd w:val="clea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hd w:val="clea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rPr>
        <w:t>成交</w:t>
      </w:r>
      <w:r>
        <w:rPr>
          <w:color w:val="auto"/>
          <w:sz w:val="21"/>
          <w:szCs w:val="21"/>
          <w:highlight w:val="none"/>
        </w:rPr>
        <w:t>资格。</w:t>
      </w:r>
    </w:p>
    <w:p>
      <w:pPr>
        <w:shd w:val="clea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hd w:val="clea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hd w:val="clea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6"/>
        <w:shd w:val="clear"/>
        <w:adjustRightInd/>
        <w:spacing w:line="360" w:lineRule="auto"/>
        <w:ind w:firstLine="422" w:firstLineChars="200"/>
        <w:rPr>
          <w:rFonts w:hAnsi="宋体"/>
          <w:b/>
          <w:color w:val="auto"/>
          <w:sz w:val="21"/>
          <w:szCs w:val="21"/>
          <w:highlight w:val="none"/>
        </w:rPr>
      </w:pPr>
      <w:bookmarkStart w:id="144" w:name="_Toc475249142"/>
      <w:r>
        <w:rPr>
          <w:rFonts w:hint="eastAsia" w:hAnsi="宋体"/>
          <w:b/>
          <w:color w:val="auto"/>
          <w:sz w:val="21"/>
          <w:szCs w:val="21"/>
          <w:highlight w:val="none"/>
        </w:rPr>
        <w:t>26.成交通知</w:t>
      </w:r>
      <w:bookmarkEnd w:id="144"/>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kern w:val="28"/>
          <w:sz w:val="21"/>
          <w:szCs w:val="21"/>
          <w:highlight w:val="none"/>
        </w:rPr>
        <w:t>东莞实业投资控股集团有限公司-招标采购栏目（http://www.dgsy.com.cn/）</w:t>
      </w:r>
      <w:r>
        <w:rPr>
          <w:rFonts w:hint="eastAsia" w:hAnsi="宋体"/>
          <w:color w:val="auto"/>
          <w:sz w:val="21"/>
          <w:szCs w:val="21"/>
          <w:highlight w:val="none"/>
        </w:rPr>
        <w:t>上公告，同时向成交供应商发出成交通知书。</w:t>
      </w:r>
    </w:p>
    <w:p>
      <w:pPr>
        <w:pStyle w:val="14"/>
        <w:shd w:val="clear"/>
        <w:ind w:firstLine="400"/>
        <w:rPr>
          <w:color w:val="auto"/>
          <w:highlight w:val="none"/>
        </w:rPr>
      </w:pPr>
    </w:p>
    <w:p>
      <w:pPr>
        <w:pStyle w:val="5"/>
        <w:shd w:val="clear"/>
        <w:adjustRightInd/>
        <w:spacing w:line="360" w:lineRule="auto"/>
        <w:ind w:firstLine="562" w:firstLineChars="200"/>
        <w:jc w:val="center"/>
        <w:rPr>
          <w:color w:val="auto"/>
          <w:sz w:val="28"/>
          <w:szCs w:val="28"/>
          <w:highlight w:val="none"/>
        </w:rPr>
      </w:pPr>
      <w:bookmarkStart w:id="145" w:name="_Toc110953852"/>
      <w:bookmarkStart w:id="146" w:name="_Toc20980"/>
      <w:bookmarkStart w:id="147" w:name="_Toc7897883"/>
      <w:bookmarkStart w:id="148" w:name="_Toc37756778"/>
      <w:bookmarkStart w:id="149" w:name="_Toc28276"/>
      <w:bookmarkStart w:id="150" w:name="_Toc475249143"/>
      <w:r>
        <w:rPr>
          <w:rFonts w:hint="eastAsia"/>
          <w:color w:val="auto"/>
          <w:sz w:val="28"/>
          <w:szCs w:val="28"/>
          <w:highlight w:val="none"/>
        </w:rPr>
        <w:t>七、签订采购合同</w:t>
      </w:r>
      <w:bookmarkEnd w:id="145"/>
      <w:bookmarkEnd w:id="146"/>
      <w:bookmarkEnd w:id="147"/>
      <w:bookmarkEnd w:id="148"/>
      <w:bookmarkEnd w:id="149"/>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27.采购人与成交供应商应当在成交通知书发出之日起30日内，按照磋商文件确定的事项签订采购合同。</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hd w:val="clea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银行履约保函；□担保公司履约担保书。履约担保金额：人民币</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合同价的5%</w:t>
      </w:r>
      <w:r>
        <w:rPr>
          <w:rFonts w:hint="eastAsia" w:hAnsi="宋体"/>
          <w:color w:val="auto"/>
          <w:sz w:val="21"/>
          <w:szCs w:val="21"/>
          <w:highlight w:val="none"/>
          <w:lang w:eastAsia="zh-CN"/>
        </w:rPr>
        <w:t>）</w:t>
      </w:r>
      <w:r>
        <w:rPr>
          <w:rFonts w:hint="eastAsia" w:hAnsi="宋体"/>
          <w:color w:val="auto"/>
          <w:sz w:val="21"/>
          <w:szCs w:val="21"/>
          <w:highlight w:val="none"/>
        </w:rPr>
        <w:t>元整。履约担保账户：采购人指定账户。</w:t>
      </w:r>
    </w:p>
    <w:p>
      <w:pPr>
        <w:shd w:val="clea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采购合同的要求。履约保函应在采购合同有效期满后28天内继续有效。</w:t>
      </w:r>
    </w:p>
    <w:p>
      <w:pPr>
        <w:shd w:val="clea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hd w:val="clea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hd w:val="clea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shd w:val="clear"/>
        <w:rPr>
          <w:color w:val="auto"/>
          <w:highlight w:val="none"/>
        </w:rPr>
      </w:pPr>
    </w:p>
    <w:bookmarkEnd w:id="150"/>
    <w:p>
      <w:pPr>
        <w:pStyle w:val="5"/>
        <w:shd w:val="clear"/>
        <w:adjustRightInd/>
        <w:spacing w:line="360" w:lineRule="auto"/>
        <w:ind w:firstLine="562" w:firstLineChars="200"/>
        <w:jc w:val="center"/>
        <w:rPr>
          <w:color w:val="auto"/>
          <w:sz w:val="21"/>
          <w:szCs w:val="21"/>
          <w:highlight w:val="none"/>
        </w:rPr>
      </w:pPr>
      <w:bookmarkStart w:id="151" w:name="_Toc7897884"/>
      <w:bookmarkStart w:id="152" w:name="_Toc8766"/>
      <w:bookmarkStart w:id="153" w:name="_Toc152"/>
      <w:bookmarkStart w:id="154" w:name="_Toc5141"/>
      <w:bookmarkStart w:id="155" w:name="_Toc396137239"/>
      <w:bookmarkStart w:id="156" w:name="_Toc3498"/>
      <w:bookmarkStart w:id="157" w:name="_Toc396137240"/>
      <w:bookmarkStart w:id="158" w:name="_Toc22751"/>
      <w:r>
        <w:rPr>
          <w:rFonts w:hint="eastAsia"/>
          <w:color w:val="auto"/>
          <w:sz w:val="28"/>
          <w:szCs w:val="28"/>
          <w:highlight w:val="none"/>
        </w:rPr>
        <w:t>八、成交服务费</w:t>
      </w:r>
      <w:bookmarkEnd w:id="151"/>
      <w:bookmarkEnd w:id="152"/>
      <w:bookmarkEnd w:id="153"/>
    </w:p>
    <w:p>
      <w:pPr>
        <w:shd w:val="clea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32.成交服务费</w:t>
      </w:r>
    </w:p>
    <w:p>
      <w:pPr>
        <w:shd w:val="clea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32.1成交供应商须向采购代理机构按如下标准和规定交纳成交服务费。</w:t>
      </w:r>
    </w:p>
    <w:p>
      <w:pPr>
        <w:shd w:val="clea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32.2成交服务费参照国家计委[计价格[2002]1980号]文和国家发改委[发改价格[2011]534号]文及相关规定收取，按差额定率累进法计算，按服务类的七折收取，以成交通知书中确定的成交总金额作为收费的计算依据。成交服务费最低收费标准为柒仟元整。</w:t>
      </w:r>
    </w:p>
    <w:p>
      <w:pPr>
        <w:shd w:val="clea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32.3服务费的货币为人民币。</w:t>
      </w:r>
    </w:p>
    <w:p>
      <w:pPr>
        <w:shd w:val="clea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32.4服务费应由成交供应商在采购结果公示发出之后，成交供应商收到《成交服务费收取通知书》后交纳，不在报价中单列。</w:t>
      </w:r>
    </w:p>
    <w:p>
      <w:pPr>
        <w:shd w:val="clea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32.5以转账或现金的形式支付。</w:t>
      </w:r>
    </w:p>
    <w:p>
      <w:pPr>
        <w:pStyle w:val="14"/>
        <w:shd w:val="clear"/>
        <w:ind w:firstLine="400"/>
        <w:rPr>
          <w:color w:val="auto"/>
          <w:highlight w:val="none"/>
        </w:rPr>
      </w:pPr>
    </w:p>
    <w:p>
      <w:pPr>
        <w:pStyle w:val="5"/>
        <w:shd w:val="clear"/>
        <w:adjustRightInd/>
        <w:spacing w:line="360" w:lineRule="auto"/>
        <w:ind w:firstLine="562" w:firstLineChars="200"/>
        <w:jc w:val="center"/>
        <w:rPr>
          <w:color w:val="auto"/>
          <w:sz w:val="28"/>
          <w:szCs w:val="28"/>
          <w:highlight w:val="none"/>
          <w:lang w:val="zh-CN"/>
        </w:rPr>
      </w:pPr>
      <w:bookmarkStart w:id="159" w:name="_Toc17153"/>
      <w:r>
        <w:rPr>
          <w:rFonts w:hint="eastAsia"/>
          <w:color w:val="auto"/>
          <w:sz w:val="28"/>
          <w:szCs w:val="28"/>
          <w:highlight w:val="none"/>
          <w:lang w:val="zh-CN"/>
        </w:rPr>
        <w:t>九、质疑与回复</w:t>
      </w:r>
      <w:bookmarkEnd w:id="154"/>
      <w:bookmarkEnd w:id="155"/>
      <w:bookmarkEnd w:id="156"/>
      <w:bookmarkEnd w:id="159"/>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   质疑与回复</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33.1 质疑书应当包括下列主要内容：</w:t>
      </w:r>
    </w:p>
    <w:p>
      <w:pPr>
        <w:shd w:val="clea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hd w:val="clea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hd w:val="clea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hd w:val="clea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hd w:val="clea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hd w:val="clea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hd w:val="clea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冼小姐/0769-22652033；联系地址：广东省东莞市南城街道科创路100号2栋1302室。</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33.5.供应商在法定质疑期内一次性提出针对同一采购程序环节的质疑。</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hd w:val="clear"/>
        <w:spacing w:line="360" w:lineRule="auto"/>
        <w:ind w:firstLine="420" w:firstLineChars="200"/>
        <w:rPr>
          <w:bCs/>
          <w:color w:val="auto"/>
          <w:sz w:val="21"/>
          <w:szCs w:val="21"/>
          <w:highlight w:val="none"/>
        </w:rPr>
      </w:pPr>
      <w:bookmarkStart w:id="160" w:name="_Toc29421"/>
      <w:r>
        <w:rPr>
          <w:rFonts w:hint="eastAsia"/>
          <w:color w:val="auto"/>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采购监督管理部门提出投诉。投诉事项应该是经过质疑的事项。</w:t>
      </w:r>
      <w:bookmarkEnd w:id="160"/>
    </w:p>
    <w:p>
      <w:pPr>
        <w:pStyle w:val="4"/>
        <w:keepNext/>
        <w:keepLines/>
        <w:pageBreakBefore/>
        <w:numPr>
          <w:ilvl w:val="0"/>
          <w:numId w:val="10"/>
        </w:numPr>
        <w:shd w:val="clea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61" w:name="_Toc22134"/>
      <w:r>
        <w:rPr>
          <w:rFonts w:hint="eastAsia" w:hAnsi="宋体"/>
          <w:b/>
          <w:bCs/>
          <w:color w:val="auto"/>
          <w:kern w:val="44"/>
          <w:sz w:val="28"/>
          <w:szCs w:val="28"/>
          <w:highlight w:val="none"/>
          <w:lang w:val="zh-CN"/>
        </w:rPr>
        <w:t>用户需求书</w:t>
      </w:r>
      <w:bookmarkEnd w:id="157"/>
      <w:bookmarkEnd w:id="158"/>
      <w:bookmarkEnd w:id="161"/>
    </w:p>
    <w:p>
      <w:pPr>
        <w:pStyle w:val="6"/>
        <w:shd w:val="clear"/>
        <w:spacing w:line="360" w:lineRule="auto"/>
        <w:jc w:val="center"/>
        <w:rPr>
          <w:rFonts w:hAnsi="宋体"/>
          <w:b/>
          <w:bCs/>
          <w:color w:val="auto"/>
          <w:highlight w:val="none"/>
        </w:rPr>
      </w:pPr>
      <w:bookmarkStart w:id="162" w:name="_Toc15266"/>
      <w:bookmarkStart w:id="163" w:name="_Toc1593"/>
      <w:bookmarkStart w:id="164" w:name="_Toc308786492"/>
      <w:bookmarkStart w:id="165" w:name="_Toc20858"/>
      <w:bookmarkStart w:id="166" w:name="_Toc13957"/>
      <w:r>
        <w:rPr>
          <w:rFonts w:hint="eastAsia" w:hAnsi="宋体"/>
          <w:b/>
          <w:bCs/>
          <w:color w:val="auto"/>
          <w:highlight w:val="none"/>
        </w:rPr>
        <w:t>第一章 商务需求书</w:t>
      </w:r>
      <w:bookmarkEnd w:id="162"/>
      <w:bookmarkEnd w:id="163"/>
    </w:p>
    <w:tbl>
      <w:tblPr>
        <w:tblStyle w:val="51"/>
        <w:tblW w:w="80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57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8" w:type="dxa"/>
            <w:vAlign w:val="center"/>
          </w:tcPr>
          <w:p>
            <w:pPr>
              <w:shd w:val="clear"/>
              <w:jc w:val="center"/>
              <w:rPr>
                <w:rFonts w:hAnsi="宋体"/>
                <w:color w:val="auto"/>
                <w:sz w:val="21"/>
                <w:szCs w:val="21"/>
                <w:highlight w:val="none"/>
              </w:rPr>
            </w:pPr>
            <w:r>
              <w:rPr>
                <w:rFonts w:hint="eastAsia" w:hAnsi="宋体"/>
                <w:color w:val="auto"/>
                <w:sz w:val="21"/>
                <w:szCs w:val="21"/>
                <w:highlight w:val="none"/>
              </w:rPr>
              <w:t>序号</w:t>
            </w:r>
          </w:p>
        </w:tc>
        <w:tc>
          <w:tcPr>
            <w:tcW w:w="150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条款名称</w:t>
            </w:r>
          </w:p>
        </w:tc>
        <w:tc>
          <w:tcPr>
            <w:tcW w:w="5799" w:type="dxa"/>
            <w:vAlign w:val="center"/>
          </w:tcPr>
          <w:p>
            <w:pPr>
              <w:shd w:val="clear"/>
              <w:jc w:val="center"/>
              <w:rPr>
                <w:rFonts w:hAnsi="宋体"/>
                <w:color w:val="auto"/>
                <w:sz w:val="21"/>
                <w:szCs w:val="21"/>
                <w:highlight w:val="none"/>
              </w:rPr>
            </w:pPr>
            <w:r>
              <w:rPr>
                <w:rFonts w:hint="eastAsia" w:hAnsi="宋体"/>
                <w:color w:val="auto"/>
                <w:sz w:val="21"/>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pPr>
              <w:shd w:val="clear"/>
              <w:jc w:val="center"/>
              <w:rPr>
                <w:rFonts w:hAnsi="宋体"/>
                <w:color w:val="auto"/>
                <w:sz w:val="21"/>
                <w:szCs w:val="21"/>
                <w:highlight w:val="none"/>
              </w:rPr>
            </w:pPr>
            <w:r>
              <w:rPr>
                <w:rFonts w:hint="eastAsia" w:hAnsi="宋体"/>
                <w:color w:val="auto"/>
                <w:sz w:val="21"/>
                <w:szCs w:val="21"/>
                <w:highlight w:val="none"/>
              </w:rPr>
              <w:t>1</w:t>
            </w:r>
          </w:p>
        </w:tc>
        <w:tc>
          <w:tcPr>
            <w:tcW w:w="150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合格供应商</w:t>
            </w:r>
          </w:p>
        </w:tc>
        <w:tc>
          <w:tcPr>
            <w:tcW w:w="5799" w:type="dxa"/>
            <w:vAlign w:val="center"/>
          </w:tcPr>
          <w:p>
            <w:pPr>
              <w:pStyle w:val="144"/>
              <w:shd w:val="clear"/>
              <w:rPr>
                <w:rFonts w:ascii="宋体" w:hAnsi="宋体"/>
                <w:bCs/>
                <w:color w:val="auto"/>
                <w:kern w:val="44"/>
                <w:szCs w:val="21"/>
                <w:highlight w:val="none"/>
              </w:rPr>
            </w:pPr>
            <w:r>
              <w:rPr>
                <w:rFonts w:hint="eastAsia" w:ascii="宋体" w:hAnsi="宋体"/>
                <w:color w:val="auto"/>
                <w:szCs w:val="21"/>
                <w:highlight w:val="none"/>
              </w:rPr>
              <w:t>详见“第一篇 磋商邀请书”中“二、供应商资格要求”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pPr>
              <w:shd w:val="clear"/>
              <w:jc w:val="center"/>
              <w:rPr>
                <w:rFonts w:hAnsi="宋体"/>
                <w:color w:val="auto"/>
                <w:sz w:val="21"/>
                <w:szCs w:val="21"/>
                <w:highlight w:val="none"/>
              </w:rPr>
            </w:pPr>
            <w:r>
              <w:rPr>
                <w:rFonts w:hint="eastAsia" w:hAnsi="宋体"/>
                <w:color w:val="auto"/>
                <w:sz w:val="21"/>
                <w:szCs w:val="21"/>
                <w:highlight w:val="none"/>
              </w:rPr>
              <w:t>2</w:t>
            </w:r>
          </w:p>
        </w:tc>
        <w:tc>
          <w:tcPr>
            <w:tcW w:w="150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服务期</w:t>
            </w:r>
          </w:p>
        </w:tc>
        <w:tc>
          <w:tcPr>
            <w:tcW w:w="5799" w:type="dxa"/>
            <w:vAlign w:val="center"/>
          </w:tcPr>
          <w:p>
            <w:pPr>
              <w:pStyle w:val="62"/>
              <w:shd w:val="clear"/>
              <w:spacing w:line="360" w:lineRule="auto"/>
              <w:ind w:firstLine="420"/>
              <w:rPr>
                <w:rFonts w:hAnsi="宋体"/>
                <w:color w:val="auto"/>
                <w:sz w:val="21"/>
                <w:szCs w:val="21"/>
                <w:highlight w:val="none"/>
              </w:rPr>
            </w:pPr>
            <w:r>
              <w:rPr>
                <w:rFonts w:hint="eastAsia" w:hAnsi="宋体"/>
                <w:color w:val="auto"/>
                <w:sz w:val="21"/>
                <w:szCs w:val="21"/>
                <w:highlight w:val="none"/>
              </w:rPr>
              <w:t>合同签订之日起至2025年</w:t>
            </w:r>
            <w:r>
              <w:rPr>
                <w:rFonts w:hint="eastAsia" w:hAnsi="宋体"/>
                <w:color w:val="auto"/>
                <w:sz w:val="21"/>
                <w:szCs w:val="21"/>
                <w:highlight w:val="none"/>
                <w:lang w:val="en-US" w:eastAsia="zh-CN"/>
              </w:rPr>
              <w:t>4</w:t>
            </w:r>
            <w:r>
              <w:rPr>
                <w:rFonts w:hint="eastAsia" w:hAnsi="宋体"/>
                <w:color w:val="auto"/>
                <w:sz w:val="21"/>
                <w:szCs w:val="21"/>
                <w:highlight w:val="none"/>
              </w:rPr>
              <w:t>月3</w:t>
            </w:r>
            <w:r>
              <w:rPr>
                <w:rFonts w:hint="eastAsia" w:hAnsi="宋体"/>
                <w:color w:val="auto"/>
                <w:sz w:val="21"/>
                <w:szCs w:val="21"/>
                <w:highlight w:val="none"/>
                <w:lang w:val="en-US" w:eastAsia="zh-CN"/>
              </w:rPr>
              <w:t>0</w:t>
            </w:r>
            <w:r>
              <w:rPr>
                <w:rFonts w:hint="eastAsia" w:hAnsi="宋体"/>
                <w:color w:val="auto"/>
                <w:sz w:val="21"/>
                <w:szCs w:val="21"/>
                <w:highlight w:val="none"/>
              </w:rPr>
              <w:t>日</w:t>
            </w:r>
            <w:r>
              <w:rPr>
                <w:rFonts w:hint="eastAsia" w:hAnsi="宋体"/>
                <w:color w:val="auto"/>
                <w:sz w:val="21"/>
                <w:szCs w:val="21"/>
                <w:highlight w:val="none"/>
                <w:lang w:val="en-US" w:eastAsia="zh-CN"/>
              </w:rPr>
              <w:t>或计划场次执行完成（以后到时间为准）</w:t>
            </w:r>
            <w:r>
              <w:rPr>
                <w:rFonts w:hint="eastAsia" w:hAnsi="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718" w:type="dxa"/>
            <w:vAlign w:val="center"/>
          </w:tcPr>
          <w:p>
            <w:pPr>
              <w:shd w:val="clear"/>
              <w:jc w:val="center"/>
              <w:rPr>
                <w:rFonts w:hAnsi="宋体"/>
                <w:color w:val="auto"/>
                <w:sz w:val="21"/>
                <w:szCs w:val="21"/>
                <w:highlight w:val="none"/>
              </w:rPr>
            </w:pPr>
            <w:r>
              <w:rPr>
                <w:rFonts w:hint="eastAsia" w:hAnsi="宋体"/>
                <w:color w:val="auto"/>
                <w:sz w:val="21"/>
                <w:szCs w:val="21"/>
                <w:highlight w:val="none"/>
              </w:rPr>
              <w:t>3</w:t>
            </w:r>
          </w:p>
        </w:tc>
        <w:tc>
          <w:tcPr>
            <w:tcW w:w="150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付款方式</w:t>
            </w:r>
          </w:p>
        </w:tc>
        <w:tc>
          <w:tcPr>
            <w:tcW w:w="5799" w:type="dxa"/>
            <w:vAlign w:val="center"/>
          </w:tcPr>
          <w:p>
            <w:pPr>
              <w:shd w:val="clear"/>
              <w:ind w:firstLine="420" w:firstLineChars="200"/>
              <w:rPr>
                <w:rFonts w:hint="eastAsia"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lang w:val="en-US" w:eastAsia="zh-CN"/>
              </w:rPr>
              <w:t>1</w:t>
            </w:r>
            <w:r>
              <w:rPr>
                <w:rFonts w:hint="eastAsia" w:hAnsi="宋体"/>
                <w:color w:val="auto"/>
                <w:sz w:val="21"/>
                <w:szCs w:val="21"/>
                <w:highlight w:val="none"/>
                <w:lang w:eastAsia="zh-CN"/>
              </w:rPr>
              <w:t>）</w:t>
            </w:r>
            <w:r>
              <w:rPr>
                <w:rFonts w:hint="eastAsia" w:hAnsi="宋体"/>
                <w:color w:val="auto"/>
                <w:sz w:val="21"/>
                <w:szCs w:val="21"/>
                <w:highlight w:val="none"/>
              </w:rPr>
              <w:t>支付方式：供应商完成单个活动后，提交请款资料及相关材料，经甲方审核无误后，支付单个活动项目款项。</w:t>
            </w:r>
          </w:p>
          <w:p>
            <w:pPr>
              <w:shd w:val="clear"/>
              <w:ind w:firstLine="420" w:firstLineChars="200"/>
              <w:rPr>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lang w:val="en-US" w:eastAsia="zh-CN"/>
              </w:rPr>
              <w:t>2</w:t>
            </w:r>
            <w:r>
              <w:rPr>
                <w:rFonts w:hint="eastAsia" w:hAnsi="宋体"/>
                <w:color w:val="auto"/>
                <w:sz w:val="21"/>
                <w:szCs w:val="21"/>
                <w:highlight w:val="none"/>
                <w:lang w:eastAsia="zh-CN"/>
              </w:rPr>
              <w:t>）</w:t>
            </w:r>
            <w:r>
              <w:rPr>
                <w:rFonts w:hint="eastAsia" w:hAnsi="宋体"/>
                <w:color w:val="auto"/>
                <w:sz w:val="21"/>
                <w:szCs w:val="21"/>
                <w:highlight w:val="none"/>
              </w:rPr>
              <w:t>按照现行税收政策规定，每次付款前，</w:t>
            </w:r>
            <w:r>
              <w:rPr>
                <w:rFonts w:hint="eastAsia" w:hAnsi="宋体"/>
                <w:color w:val="auto"/>
                <w:sz w:val="21"/>
                <w:szCs w:val="21"/>
                <w:highlight w:val="none"/>
                <w:lang w:eastAsia="zh-CN"/>
              </w:rPr>
              <w:t>供应商</w:t>
            </w:r>
            <w:r>
              <w:rPr>
                <w:rFonts w:hint="eastAsia" w:hAnsi="宋体"/>
                <w:color w:val="auto"/>
                <w:sz w:val="21"/>
                <w:szCs w:val="21"/>
                <w:highlight w:val="none"/>
              </w:rPr>
              <w:t>必须提供合法有效、与本合同总价款条款中增值税税率</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6%）</w:t>
            </w:r>
            <w:r>
              <w:rPr>
                <w:rFonts w:hint="eastAsia" w:hAnsi="宋体"/>
                <w:color w:val="auto"/>
                <w:sz w:val="21"/>
                <w:szCs w:val="21"/>
                <w:highlight w:val="none"/>
              </w:rPr>
              <w:t>一致的增值税专用发票给甲方，否则甲方有权拒绝付款且不构成违约；若合同执行期间，遇国家税务政策调整所引起的合同价格变化，按照不含税价格调整结算价格。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7" w:hRule="atLeast"/>
        </w:trPr>
        <w:tc>
          <w:tcPr>
            <w:tcW w:w="718" w:type="dxa"/>
            <w:vAlign w:val="center"/>
          </w:tcPr>
          <w:p>
            <w:pPr>
              <w:shd w:val="clear"/>
              <w:jc w:val="center"/>
              <w:rPr>
                <w:rFonts w:hAnsi="宋体"/>
                <w:color w:val="auto"/>
                <w:sz w:val="21"/>
                <w:szCs w:val="21"/>
                <w:highlight w:val="none"/>
              </w:rPr>
            </w:pPr>
            <w:r>
              <w:rPr>
                <w:rFonts w:hint="eastAsia" w:hAnsi="宋体"/>
                <w:color w:val="auto"/>
                <w:sz w:val="21"/>
                <w:szCs w:val="21"/>
                <w:highlight w:val="none"/>
              </w:rPr>
              <w:t>4</w:t>
            </w:r>
          </w:p>
        </w:tc>
        <w:tc>
          <w:tcPr>
            <w:tcW w:w="150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项目地点</w:t>
            </w:r>
          </w:p>
        </w:tc>
        <w:tc>
          <w:tcPr>
            <w:tcW w:w="5799" w:type="dxa"/>
            <w:vAlign w:val="center"/>
          </w:tcPr>
          <w:p>
            <w:pPr>
              <w:shd w:val="clear"/>
              <w:ind w:firstLine="420" w:firstLineChars="200"/>
              <w:rPr>
                <w:rFonts w:hAnsi="宋体"/>
                <w:color w:val="auto"/>
                <w:sz w:val="21"/>
                <w:szCs w:val="21"/>
                <w:highlight w:val="none"/>
              </w:rPr>
            </w:pPr>
            <w:r>
              <w:rPr>
                <w:rFonts w:hint="eastAsia" w:hAnsi="宋体"/>
                <w:color w:val="auto"/>
                <w:sz w:val="21"/>
                <w:szCs w:val="21"/>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6" w:hRule="atLeast"/>
        </w:trPr>
        <w:tc>
          <w:tcPr>
            <w:tcW w:w="718" w:type="dxa"/>
            <w:vAlign w:val="center"/>
          </w:tcPr>
          <w:p>
            <w:pPr>
              <w:shd w:val="clear"/>
              <w:jc w:val="center"/>
              <w:rPr>
                <w:rFonts w:hAnsi="宋体"/>
                <w:color w:val="auto"/>
                <w:sz w:val="21"/>
                <w:szCs w:val="21"/>
                <w:highlight w:val="none"/>
              </w:rPr>
            </w:pPr>
            <w:r>
              <w:rPr>
                <w:rFonts w:hint="eastAsia" w:hAnsi="宋体"/>
                <w:color w:val="auto"/>
                <w:sz w:val="21"/>
                <w:szCs w:val="21"/>
                <w:highlight w:val="none"/>
              </w:rPr>
              <w:t>5</w:t>
            </w:r>
          </w:p>
        </w:tc>
        <w:tc>
          <w:tcPr>
            <w:tcW w:w="150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报价要求</w:t>
            </w:r>
          </w:p>
        </w:tc>
        <w:tc>
          <w:tcPr>
            <w:tcW w:w="5799" w:type="dxa"/>
            <w:vAlign w:val="center"/>
          </w:tcPr>
          <w:p>
            <w:pPr>
              <w:pStyle w:val="20"/>
              <w:shd w:val="clear"/>
              <w:ind w:firstLine="210" w:firstLineChars="100"/>
              <w:rPr>
                <w:rFonts w:hint="eastAsia" w:asciiTheme="minorEastAsia" w:hAnsiTheme="minorEastAsia" w:eastAsiaTheme="minorEastAsia" w:cstheme="minorEastAsia"/>
                <w:color w:val="auto"/>
                <w:szCs w:val="21"/>
                <w:highlight w:val="none"/>
                <w:lang w:val="en-US" w:eastAsia="zh-CN"/>
              </w:rPr>
            </w:pPr>
            <w:r>
              <w:rPr>
                <w:rFonts w:hint="eastAsia" w:hAnsi="宋体"/>
                <w:color w:val="auto"/>
                <w:szCs w:val="21"/>
                <w:highlight w:val="none"/>
              </w:rPr>
              <w:t>报价包含以下两部分：</w:t>
            </w:r>
          </w:p>
          <w:p>
            <w:pPr>
              <w:pStyle w:val="20"/>
              <w:shd w:val="clear"/>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1.总价部分：</w:t>
            </w:r>
            <w:r>
              <w:rPr>
                <w:rFonts w:hint="eastAsia" w:asciiTheme="minorEastAsia" w:hAnsiTheme="minorEastAsia" w:eastAsiaTheme="minorEastAsia" w:cstheme="minorEastAsia"/>
                <w:color w:val="auto"/>
                <w:szCs w:val="21"/>
                <w:highlight w:val="none"/>
              </w:rPr>
              <w:t>实行</w:t>
            </w:r>
            <w:r>
              <w:rPr>
                <w:rFonts w:hint="eastAsia" w:asciiTheme="minorEastAsia" w:hAnsiTheme="minorEastAsia" w:eastAsiaTheme="minorEastAsia" w:cstheme="minorEastAsia"/>
                <w:color w:val="auto"/>
                <w:szCs w:val="21"/>
                <w:highlight w:val="none"/>
                <w:lang w:val="en-US" w:eastAsia="zh-CN"/>
              </w:rPr>
              <w:t>暂定</w:t>
            </w:r>
            <w:r>
              <w:rPr>
                <w:rFonts w:hint="eastAsia" w:asciiTheme="minorEastAsia" w:hAnsiTheme="minorEastAsia" w:eastAsiaTheme="minorEastAsia" w:cstheme="minorEastAsia"/>
                <w:color w:val="auto"/>
                <w:szCs w:val="21"/>
                <w:highlight w:val="none"/>
              </w:rPr>
              <w:t>总价</w:t>
            </w:r>
            <w:r>
              <w:rPr>
                <w:rFonts w:hint="eastAsia" w:asciiTheme="minorEastAsia" w:hAnsiTheme="minorEastAsia" w:eastAsiaTheme="minorEastAsia" w:cstheme="minorEastAsia"/>
                <w:color w:val="auto"/>
                <w:szCs w:val="21"/>
                <w:highlight w:val="none"/>
                <w:lang w:val="en-US" w:eastAsia="zh-CN"/>
              </w:rPr>
              <w:t>单场活动限价</w:t>
            </w:r>
            <w:r>
              <w:rPr>
                <w:rFonts w:hint="eastAsia" w:asciiTheme="minorEastAsia" w:hAnsiTheme="minorEastAsia" w:eastAsiaTheme="minorEastAsia" w:cstheme="minorEastAsia"/>
                <w:color w:val="auto"/>
                <w:szCs w:val="21"/>
                <w:highlight w:val="none"/>
              </w:rPr>
              <w:t>包干方式报价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暂未定部分</w:t>
            </w:r>
            <w:r>
              <w:rPr>
                <w:rFonts w:hint="eastAsia" w:hAnsi="宋体"/>
                <w:szCs w:val="21"/>
                <w:highlight w:val="none"/>
              </w:rPr>
              <w:t>报价时按采购人预算金额填入</w:t>
            </w:r>
            <w:r>
              <w:rPr>
                <w:rFonts w:hint="eastAsia" w:hAnsi="宋体"/>
                <w:szCs w:val="21"/>
                <w:highlight w:val="none"/>
                <w:lang w:eastAsia="zh-CN"/>
              </w:rPr>
              <w:t>，</w:t>
            </w:r>
            <w:r>
              <w:rPr>
                <w:rFonts w:hint="eastAsia" w:hAnsi="宋体"/>
                <w:szCs w:val="21"/>
                <w:highlight w:val="none"/>
              </w:rPr>
              <w:t>最终按采购人需求及合同单价进行结算。</w:t>
            </w:r>
            <w:r>
              <w:rPr>
                <w:rFonts w:hint="eastAsia" w:asciiTheme="minorEastAsia" w:hAnsiTheme="minorEastAsia" w:eastAsiaTheme="minorEastAsia" w:cstheme="minorEastAsia"/>
                <w:color w:val="auto"/>
                <w:szCs w:val="21"/>
                <w:highlight w:val="none"/>
              </w:rPr>
              <w:t>（注：总价中</w:t>
            </w:r>
            <w:r>
              <w:rPr>
                <w:rFonts w:hint="eastAsia" w:asciiTheme="minorEastAsia" w:hAnsiTheme="minorEastAsia" w:eastAsiaTheme="minorEastAsia" w:cstheme="minorEastAsia"/>
                <w:color w:val="auto"/>
                <w:szCs w:val="21"/>
                <w:highlight w:val="none"/>
                <w:lang w:val="en-US" w:eastAsia="zh-CN"/>
              </w:rPr>
              <w:t>应</w:t>
            </w:r>
            <w:r>
              <w:rPr>
                <w:rFonts w:hint="eastAsia" w:asciiTheme="minorEastAsia" w:hAnsiTheme="minorEastAsia" w:eastAsiaTheme="minorEastAsia" w:cstheme="minorEastAsia"/>
                <w:color w:val="auto"/>
                <w:szCs w:val="21"/>
                <w:highlight w:val="none"/>
              </w:rPr>
              <w:t>包括所有本次采购项目的所有相关费用，采购人不再另外支付任何费用），包括</w:t>
            </w:r>
            <w:r>
              <w:rPr>
                <w:rFonts w:hint="eastAsia" w:asciiTheme="minorEastAsia" w:hAnsiTheme="minorEastAsia" w:eastAsiaTheme="minorEastAsia" w:cstheme="minorEastAsia"/>
                <w:color w:val="auto"/>
                <w:szCs w:val="21"/>
                <w:highlight w:val="none"/>
                <w:lang w:val="en-US" w:eastAsia="zh-CN"/>
              </w:rPr>
              <w:t>不限于</w:t>
            </w:r>
            <w:r>
              <w:rPr>
                <w:rFonts w:hint="eastAsia" w:asciiTheme="minorEastAsia" w:hAnsiTheme="minorEastAsia" w:eastAsiaTheme="minorEastAsia" w:cstheme="minorEastAsia"/>
                <w:color w:val="auto"/>
                <w:szCs w:val="21"/>
                <w:highlight w:val="none"/>
              </w:rPr>
              <w:t>：服务过程及安全设施</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所有</w:t>
            </w:r>
            <w:r>
              <w:rPr>
                <w:rFonts w:hint="eastAsia" w:asciiTheme="minorEastAsia" w:hAnsiTheme="minorEastAsia" w:eastAsiaTheme="minorEastAsia" w:cstheme="minorEastAsia"/>
                <w:color w:val="auto"/>
                <w:szCs w:val="21"/>
                <w:highlight w:val="none"/>
                <w:lang w:val="en-US" w:eastAsia="zh-CN"/>
              </w:rPr>
              <w:t>策划、布场、执行等人工</w:t>
            </w:r>
            <w:r>
              <w:rPr>
                <w:rFonts w:hint="eastAsia" w:asciiTheme="minorEastAsia" w:hAnsiTheme="minorEastAsia" w:eastAsiaTheme="minorEastAsia" w:cstheme="minorEastAsia"/>
                <w:color w:val="auto"/>
                <w:szCs w:val="21"/>
                <w:highlight w:val="none"/>
              </w:rPr>
              <w:t>费用（包括工资、福利、交通、食宿、通讯等费用）、</w:t>
            </w:r>
            <w:r>
              <w:rPr>
                <w:rFonts w:hint="eastAsia" w:asciiTheme="minorEastAsia" w:hAnsiTheme="minorEastAsia" w:eastAsiaTheme="minorEastAsia" w:cstheme="minorEastAsia"/>
                <w:color w:val="auto"/>
                <w:szCs w:val="21"/>
                <w:highlight w:val="none"/>
                <w:lang w:val="en-US" w:eastAsia="zh-CN"/>
              </w:rPr>
              <w:t>材料</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验收费、</w:t>
            </w:r>
            <w:r>
              <w:rPr>
                <w:rFonts w:hint="eastAsia" w:asciiTheme="minorEastAsia" w:hAnsiTheme="minorEastAsia" w:eastAsiaTheme="minorEastAsia" w:cstheme="minorEastAsia"/>
                <w:color w:val="auto"/>
                <w:szCs w:val="21"/>
                <w:highlight w:val="none"/>
              </w:rPr>
              <w:t>机械设备费、运输费及管理费、利润、税金等所有费用。（除</w:t>
            </w:r>
            <w:r>
              <w:rPr>
                <w:rFonts w:hint="eastAsia" w:asciiTheme="minorEastAsia" w:hAnsiTheme="minorEastAsia" w:eastAsiaTheme="minorEastAsia" w:cstheme="minorEastAsia"/>
                <w:color w:val="auto"/>
                <w:szCs w:val="21"/>
                <w:highlight w:val="none"/>
                <w:lang w:eastAsia="zh-CN"/>
              </w:rPr>
              <w:t>采购人</w:t>
            </w:r>
            <w:r>
              <w:rPr>
                <w:rFonts w:hint="eastAsia" w:asciiTheme="minorEastAsia" w:hAnsiTheme="minorEastAsia" w:eastAsiaTheme="minorEastAsia" w:cstheme="minorEastAsia"/>
                <w:color w:val="auto"/>
                <w:szCs w:val="21"/>
                <w:highlight w:val="none"/>
              </w:rPr>
              <w:t>认可的变更外，价格不变）</w:t>
            </w:r>
          </w:p>
          <w:p>
            <w:pPr>
              <w:pStyle w:val="20"/>
              <w:shd w:val="clear"/>
              <w:ind w:firstLine="210" w:firstLineChars="100"/>
              <w:rPr>
                <w:rFonts w:hint="eastAsia" w:hAnsi="宋体"/>
                <w:color w:val="auto"/>
                <w:szCs w:val="21"/>
                <w:highlight w:val="none"/>
              </w:rPr>
            </w:pPr>
            <w:r>
              <w:rPr>
                <w:rFonts w:hint="eastAsia" w:hAnsi="宋体"/>
                <w:color w:val="auto"/>
                <w:szCs w:val="21"/>
                <w:highlight w:val="none"/>
                <w:lang w:val="en-US" w:eastAsia="zh-CN"/>
              </w:rPr>
              <w:t>2.单价</w:t>
            </w:r>
            <w:r>
              <w:rPr>
                <w:rFonts w:hint="eastAsia" w:hAnsi="宋体"/>
                <w:color w:val="auto"/>
                <w:szCs w:val="21"/>
                <w:highlight w:val="none"/>
              </w:rPr>
              <w:t>部分：详见</w:t>
            </w:r>
            <w:r>
              <w:rPr>
                <w:rFonts w:hint="eastAsia" w:hAnsi="宋体"/>
                <w:color w:val="auto"/>
                <w:szCs w:val="21"/>
                <w:highlight w:val="none"/>
                <w:lang w:eastAsia="zh-CN"/>
              </w:rPr>
              <w:t>《</w:t>
            </w:r>
            <w:r>
              <w:rPr>
                <w:rFonts w:hint="eastAsia" w:hAnsi="宋体"/>
                <w:color w:val="auto"/>
                <w:szCs w:val="21"/>
                <w:highlight w:val="none"/>
                <w:lang w:val="en-US" w:eastAsia="zh-CN"/>
              </w:rPr>
              <w:t>补充物料清单》</w:t>
            </w:r>
            <w:r>
              <w:rPr>
                <w:rFonts w:hint="eastAsia" w:hAnsi="宋体"/>
                <w:color w:val="auto"/>
                <w:szCs w:val="21"/>
                <w:highlight w:val="none"/>
              </w:rPr>
              <w:t>，按采购人预算清单统一下浮，下浮率≥0.00%；</w:t>
            </w:r>
            <w:r>
              <w:rPr>
                <w:rFonts w:hint="eastAsia" w:hAnsi="宋体"/>
                <w:color w:val="auto"/>
                <w:szCs w:val="21"/>
                <w:highlight w:val="none"/>
                <w:lang w:val="en-US" w:eastAsia="zh-CN"/>
              </w:rPr>
              <w:t>按</w:t>
            </w:r>
            <w:r>
              <w:rPr>
                <w:rFonts w:hint="eastAsia" w:hAnsi="宋体"/>
                <w:color w:val="auto"/>
                <w:szCs w:val="21"/>
                <w:highlight w:val="none"/>
              </w:rPr>
              <w:t>综合单价包干，根据实际需求量及下浮后单价进行结算。成交下浮率</w:t>
            </w:r>
            <w:r>
              <w:rPr>
                <w:rFonts w:hint="eastAsia" w:hAnsi="宋体"/>
                <w:color w:val="auto"/>
                <w:szCs w:val="21"/>
                <w:highlight w:val="none"/>
                <w:lang w:val="en-US" w:eastAsia="zh-CN"/>
              </w:rPr>
              <w:t>在</w:t>
            </w:r>
            <w:r>
              <w:rPr>
                <w:rFonts w:hint="eastAsia" w:hAnsi="宋体"/>
                <w:color w:val="auto"/>
                <w:szCs w:val="21"/>
                <w:highlight w:val="none"/>
              </w:rPr>
              <w:t>合同期内为固定下浮率，不因市场环境变化而调整。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718" w:type="dxa"/>
            <w:vAlign w:val="center"/>
          </w:tcPr>
          <w:p>
            <w:pPr>
              <w:shd w:val="clear"/>
              <w:jc w:val="center"/>
              <w:rPr>
                <w:rFonts w:hAnsi="宋体"/>
                <w:color w:val="auto"/>
                <w:sz w:val="21"/>
                <w:szCs w:val="21"/>
                <w:highlight w:val="none"/>
              </w:rPr>
            </w:pPr>
            <w:r>
              <w:rPr>
                <w:rFonts w:hint="eastAsia" w:hAnsi="宋体"/>
                <w:color w:val="auto"/>
                <w:sz w:val="21"/>
                <w:szCs w:val="21"/>
                <w:highlight w:val="none"/>
              </w:rPr>
              <w:t>6</w:t>
            </w:r>
          </w:p>
        </w:tc>
        <w:tc>
          <w:tcPr>
            <w:tcW w:w="150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磋商响应有效期</w:t>
            </w:r>
          </w:p>
        </w:tc>
        <w:tc>
          <w:tcPr>
            <w:tcW w:w="5799" w:type="dxa"/>
            <w:vAlign w:val="center"/>
          </w:tcPr>
          <w:p>
            <w:pPr>
              <w:shd w:val="clear"/>
              <w:tabs>
                <w:tab w:val="center" w:pos="3125"/>
              </w:tabs>
              <w:ind w:firstLine="420" w:firstLineChars="200"/>
              <w:rPr>
                <w:rFonts w:hAnsi="宋体"/>
                <w:color w:val="auto"/>
                <w:sz w:val="21"/>
                <w:szCs w:val="21"/>
                <w:highlight w:val="none"/>
              </w:rPr>
            </w:pPr>
            <w:r>
              <w:rPr>
                <w:rFonts w:hint="eastAsia" w:hAnsi="宋体"/>
                <w:color w:val="auto"/>
                <w:sz w:val="21"/>
                <w:szCs w:val="21"/>
                <w:highlight w:val="none"/>
              </w:rPr>
              <w:t>自开标之日起90天。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718" w:type="dxa"/>
            <w:vAlign w:val="center"/>
          </w:tcPr>
          <w:p>
            <w:pPr>
              <w:shd w:val="clear"/>
              <w:jc w:val="center"/>
              <w:rPr>
                <w:rFonts w:hAnsi="宋体"/>
                <w:color w:val="auto"/>
                <w:sz w:val="21"/>
                <w:szCs w:val="21"/>
                <w:highlight w:val="none"/>
              </w:rPr>
            </w:pPr>
            <w:r>
              <w:rPr>
                <w:rFonts w:hint="eastAsia" w:hAnsi="宋体"/>
                <w:color w:val="auto"/>
                <w:sz w:val="21"/>
                <w:szCs w:val="21"/>
                <w:highlight w:val="none"/>
              </w:rPr>
              <w:t>7</w:t>
            </w:r>
          </w:p>
        </w:tc>
        <w:tc>
          <w:tcPr>
            <w:tcW w:w="150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合同条款</w:t>
            </w:r>
          </w:p>
        </w:tc>
        <w:tc>
          <w:tcPr>
            <w:tcW w:w="5799" w:type="dxa"/>
            <w:vAlign w:val="center"/>
          </w:tcPr>
          <w:p>
            <w:pPr>
              <w:shd w:val="clear"/>
              <w:ind w:firstLine="420" w:firstLineChars="200"/>
              <w:rPr>
                <w:rFonts w:hAnsi="宋体"/>
                <w:color w:val="auto"/>
                <w:sz w:val="21"/>
                <w:szCs w:val="21"/>
                <w:highlight w:val="none"/>
              </w:rPr>
            </w:pPr>
            <w:r>
              <w:rPr>
                <w:rFonts w:hint="eastAsia" w:hAnsi="宋体"/>
                <w:color w:val="auto"/>
                <w:sz w:val="21"/>
                <w:szCs w:val="21"/>
                <w:highlight w:val="none"/>
              </w:rPr>
              <w:t>供应商实质响应合同各条款。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18" w:type="dxa"/>
            <w:vAlign w:val="center"/>
          </w:tcPr>
          <w:p>
            <w:pPr>
              <w:shd w:val="clear"/>
              <w:jc w:val="center"/>
              <w:rPr>
                <w:rFonts w:hAnsi="宋体"/>
                <w:color w:val="auto"/>
                <w:sz w:val="21"/>
                <w:szCs w:val="21"/>
                <w:highlight w:val="none"/>
              </w:rPr>
            </w:pPr>
            <w:r>
              <w:rPr>
                <w:rFonts w:hint="eastAsia" w:hAnsi="宋体"/>
                <w:color w:val="auto"/>
                <w:sz w:val="21"/>
                <w:szCs w:val="21"/>
                <w:highlight w:val="none"/>
              </w:rPr>
              <w:t>8</w:t>
            </w:r>
          </w:p>
        </w:tc>
        <w:tc>
          <w:tcPr>
            <w:tcW w:w="1501" w:type="dxa"/>
            <w:vAlign w:val="center"/>
          </w:tcPr>
          <w:p>
            <w:pPr>
              <w:shd w:val="clear"/>
              <w:jc w:val="center"/>
              <w:rPr>
                <w:rFonts w:hAnsi="宋体"/>
                <w:color w:val="auto"/>
                <w:sz w:val="21"/>
                <w:szCs w:val="21"/>
                <w:highlight w:val="none"/>
              </w:rPr>
            </w:pPr>
            <w:r>
              <w:rPr>
                <w:rFonts w:hint="eastAsia"/>
                <w:color w:val="auto"/>
                <w:sz w:val="21"/>
                <w:szCs w:val="21"/>
                <w:highlight w:val="none"/>
              </w:rPr>
              <w:t>其他服务要求</w:t>
            </w:r>
          </w:p>
        </w:tc>
        <w:tc>
          <w:tcPr>
            <w:tcW w:w="5799" w:type="dxa"/>
            <w:vAlign w:val="center"/>
          </w:tcPr>
          <w:p>
            <w:pPr>
              <w:shd w:val="clear"/>
              <w:ind w:firstLine="420" w:firstLineChars="200"/>
              <w:rPr>
                <w:rFonts w:hAnsi="宋体"/>
                <w:color w:val="auto"/>
                <w:sz w:val="21"/>
                <w:szCs w:val="21"/>
                <w:highlight w:val="none"/>
              </w:rPr>
            </w:pPr>
            <w:r>
              <w:rPr>
                <w:rFonts w:hint="eastAsia"/>
                <w:color w:val="auto"/>
                <w:sz w:val="21"/>
                <w:szCs w:val="21"/>
                <w:highlight w:val="none"/>
              </w:rPr>
              <w:t>详见技术需求书。</w:t>
            </w:r>
          </w:p>
        </w:tc>
      </w:tr>
    </w:tbl>
    <w:p>
      <w:pPr>
        <w:shd w:val="clear"/>
        <w:spacing w:line="360" w:lineRule="auto"/>
        <w:jc w:val="center"/>
        <w:rPr>
          <w:rFonts w:hAnsi="宋体"/>
          <w:b/>
          <w:bCs/>
          <w:color w:val="auto"/>
          <w:highlight w:val="none"/>
        </w:rPr>
      </w:pPr>
      <w:bookmarkStart w:id="167" w:name="_Toc19316"/>
      <w:bookmarkStart w:id="168" w:name="_Toc30066"/>
    </w:p>
    <w:p>
      <w:pPr>
        <w:shd w:val="clear"/>
        <w:rPr>
          <w:rFonts w:hAnsi="宋体"/>
          <w:b/>
          <w:bCs/>
          <w:color w:val="auto"/>
          <w:highlight w:val="none"/>
        </w:rPr>
      </w:pPr>
      <w:r>
        <w:rPr>
          <w:rFonts w:hint="eastAsia" w:hAnsi="宋体"/>
          <w:b/>
          <w:bCs/>
          <w:color w:val="auto"/>
          <w:highlight w:val="none"/>
        </w:rPr>
        <w:br w:type="page"/>
      </w:r>
    </w:p>
    <w:p>
      <w:pPr>
        <w:pStyle w:val="6"/>
        <w:shd w:val="clear"/>
        <w:spacing w:line="360" w:lineRule="auto"/>
        <w:jc w:val="center"/>
        <w:rPr>
          <w:rFonts w:hAnsi="宋体"/>
          <w:b/>
          <w:bCs/>
          <w:color w:val="auto"/>
          <w:highlight w:val="none"/>
        </w:rPr>
      </w:pPr>
      <w:r>
        <w:rPr>
          <w:rFonts w:hint="eastAsia" w:hAnsi="宋体"/>
          <w:b/>
          <w:bCs/>
          <w:color w:val="auto"/>
          <w:highlight w:val="none"/>
        </w:rPr>
        <w:t>第二章 技术需求书</w:t>
      </w:r>
      <w:bookmarkEnd w:id="167"/>
      <w:bookmarkEnd w:id="168"/>
    </w:p>
    <w:bookmarkEnd w:id="164"/>
    <w:p>
      <w:pPr>
        <w:shd w:val="clear"/>
        <w:spacing w:line="360" w:lineRule="auto"/>
        <w:rPr>
          <w:rFonts w:hAnsi="宋体"/>
          <w:b/>
          <w:bCs/>
          <w:color w:val="auto"/>
          <w:sz w:val="21"/>
          <w:szCs w:val="21"/>
          <w:highlight w:val="none"/>
          <w:lang w:val="zh-CN"/>
        </w:rPr>
      </w:pPr>
    </w:p>
    <w:p>
      <w:pPr>
        <w:pStyle w:val="144"/>
        <w:widowControl/>
        <w:shd w:val="clear"/>
        <w:spacing w:after="200" w:line="520" w:lineRule="exact"/>
        <w:ind w:firstLine="0" w:firstLineChars="0"/>
        <w:contextualSpacing/>
        <w:jc w:val="left"/>
        <w:outlineLvl w:val="3"/>
        <w:rPr>
          <w:rFonts w:ascii="宋体" w:hAnsi="宋体"/>
          <w:b/>
          <w:color w:val="auto"/>
          <w:szCs w:val="21"/>
          <w:highlight w:val="none"/>
        </w:rPr>
      </w:pPr>
      <w:r>
        <w:rPr>
          <w:rFonts w:hint="eastAsia" w:ascii="宋体" w:hAnsi="宋体"/>
          <w:b/>
          <w:color w:val="auto"/>
          <w:szCs w:val="21"/>
          <w:highlight w:val="none"/>
        </w:rPr>
        <w:t>一、项目概况</w:t>
      </w:r>
    </w:p>
    <w:p>
      <w:pPr>
        <w:pStyle w:val="144"/>
        <w:shd w:val="clear"/>
        <w:spacing w:line="360" w:lineRule="auto"/>
        <w:ind w:left="90"/>
        <w:rPr>
          <w:rFonts w:ascii="宋体" w:hAnsi="宋体"/>
          <w:color w:val="auto"/>
          <w:szCs w:val="21"/>
          <w:highlight w:val="none"/>
        </w:rPr>
      </w:pPr>
      <w:r>
        <w:rPr>
          <w:rFonts w:hint="eastAsia" w:ascii="宋体" w:hAnsi="宋体"/>
          <w:color w:val="auto"/>
          <w:szCs w:val="21"/>
          <w:highlight w:val="none"/>
        </w:rPr>
        <w:t>1、采购人：东莞市大学创新城建设发展有限公司。</w:t>
      </w:r>
    </w:p>
    <w:p>
      <w:pPr>
        <w:pStyle w:val="144"/>
        <w:shd w:val="clear"/>
        <w:spacing w:line="360" w:lineRule="auto"/>
        <w:ind w:left="90"/>
        <w:rPr>
          <w:rFonts w:ascii="宋体" w:hAnsi="宋体"/>
          <w:color w:val="auto"/>
          <w:szCs w:val="21"/>
          <w:highlight w:val="none"/>
        </w:rPr>
      </w:pPr>
      <w:r>
        <w:rPr>
          <w:rFonts w:hint="eastAsia" w:ascii="宋体" w:hAnsi="宋体"/>
          <w:color w:val="auto"/>
          <w:szCs w:val="21"/>
          <w:highlight w:val="none"/>
        </w:rPr>
        <w:t>2、项目名称：</w:t>
      </w:r>
      <w:r>
        <w:rPr>
          <w:rFonts w:hint="eastAsia" w:ascii="宋体" w:hAnsi="宋体"/>
          <w:color w:val="auto"/>
          <w:szCs w:val="21"/>
          <w:highlight w:val="none"/>
          <w:lang w:eastAsia="zh-CN"/>
        </w:rPr>
        <w:t>松山湖国际创新创业社区2024年度系列活动采购项目</w:t>
      </w:r>
      <w:r>
        <w:rPr>
          <w:rFonts w:hint="eastAsia" w:ascii="宋体" w:hAnsi="宋体"/>
          <w:color w:val="auto"/>
          <w:szCs w:val="21"/>
          <w:highlight w:val="none"/>
        </w:rPr>
        <w:t>。</w:t>
      </w:r>
    </w:p>
    <w:p>
      <w:pPr>
        <w:shd w:val="clear"/>
        <w:spacing w:line="480" w:lineRule="exact"/>
        <w:ind w:firstLine="420" w:firstLineChars="200"/>
        <w:jc w:val="both"/>
        <w:rPr>
          <w:rFonts w:hAnsi="宋体"/>
          <w:bCs/>
          <w:color w:val="auto"/>
          <w:sz w:val="21"/>
          <w:szCs w:val="21"/>
          <w:highlight w:val="none"/>
        </w:rPr>
      </w:pPr>
      <w:r>
        <w:rPr>
          <w:rFonts w:hint="eastAsia" w:hAnsi="宋体"/>
          <w:bCs/>
          <w:color w:val="auto"/>
          <w:sz w:val="21"/>
          <w:szCs w:val="21"/>
          <w:highlight w:val="none"/>
        </w:rPr>
        <w:t>3、服务时间：合同签订之日起至2025年</w:t>
      </w:r>
      <w:r>
        <w:rPr>
          <w:rFonts w:hint="eastAsia" w:hAnsi="宋体"/>
          <w:bCs/>
          <w:color w:val="auto"/>
          <w:sz w:val="21"/>
          <w:szCs w:val="21"/>
          <w:highlight w:val="none"/>
          <w:lang w:val="en-US" w:eastAsia="zh-CN"/>
        </w:rPr>
        <w:t>4</w:t>
      </w:r>
      <w:r>
        <w:rPr>
          <w:rFonts w:hint="eastAsia" w:hAnsi="宋体"/>
          <w:bCs/>
          <w:color w:val="auto"/>
          <w:sz w:val="21"/>
          <w:szCs w:val="21"/>
          <w:highlight w:val="none"/>
        </w:rPr>
        <w:t>月3</w:t>
      </w:r>
      <w:r>
        <w:rPr>
          <w:rFonts w:hint="eastAsia" w:hAnsi="宋体"/>
          <w:bCs/>
          <w:color w:val="auto"/>
          <w:sz w:val="21"/>
          <w:szCs w:val="21"/>
          <w:highlight w:val="none"/>
          <w:lang w:val="en-US" w:eastAsia="zh-CN"/>
        </w:rPr>
        <w:t>0</w:t>
      </w:r>
      <w:r>
        <w:rPr>
          <w:rFonts w:hint="eastAsia" w:hAnsi="宋体"/>
          <w:bCs/>
          <w:color w:val="auto"/>
          <w:sz w:val="21"/>
          <w:szCs w:val="21"/>
          <w:highlight w:val="none"/>
        </w:rPr>
        <w:t>日</w:t>
      </w:r>
      <w:r>
        <w:rPr>
          <w:rFonts w:hint="eastAsia" w:hAnsi="宋体"/>
          <w:color w:val="auto"/>
          <w:sz w:val="21"/>
          <w:szCs w:val="21"/>
          <w:highlight w:val="none"/>
          <w:lang w:val="en-US" w:eastAsia="zh-CN"/>
        </w:rPr>
        <w:t>或计划场次执行完成（以后到时间为准）</w:t>
      </w:r>
      <w:r>
        <w:rPr>
          <w:rFonts w:hint="eastAsia" w:hAnsi="宋体"/>
          <w:bCs/>
          <w:color w:val="auto"/>
          <w:sz w:val="21"/>
          <w:szCs w:val="21"/>
          <w:highlight w:val="none"/>
        </w:rPr>
        <w:t>。</w:t>
      </w:r>
    </w:p>
    <w:p>
      <w:pPr>
        <w:pStyle w:val="144"/>
        <w:widowControl/>
        <w:shd w:val="clear"/>
        <w:spacing w:after="200" w:line="520" w:lineRule="exact"/>
        <w:ind w:firstLine="0" w:firstLineChars="0"/>
        <w:contextualSpacing/>
        <w:jc w:val="left"/>
        <w:outlineLvl w:val="3"/>
        <w:rPr>
          <w:rFonts w:ascii="宋体" w:hAnsi="宋体"/>
          <w:b/>
          <w:color w:val="auto"/>
          <w:szCs w:val="21"/>
          <w:highlight w:val="none"/>
        </w:rPr>
      </w:pPr>
      <w:r>
        <w:rPr>
          <w:rFonts w:hint="eastAsia" w:ascii="宋体" w:hAnsi="宋体"/>
          <w:b/>
          <w:color w:val="auto"/>
          <w:szCs w:val="21"/>
          <w:highlight w:val="none"/>
        </w:rPr>
        <w:t>二、服务范围：</w:t>
      </w:r>
    </w:p>
    <w:p>
      <w:pPr>
        <w:pStyle w:val="144"/>
        <w:widowControl/>
        <w:shd w:val="clear"/>
        <w:spacing w:after="200" w:line="520" w:lineRule="exact"/>
        <w:contextualSpacing/>
        <w:jc w:val="left"/>
        <w:rPr>
          <w:rFonts w:hint="eastAsia" w:ascii="宋体" w:hAnsi="宋体" w:eastAsia="宋体"/>
          <w:bCs/>
          <w:color w:val="auto"/>
          <w:szCs w:val="21"/>
          <w:highlight w:val="none"/>
          <w:lang w:eastAsia="zh-CN"/>
        </w:rPr>
      </w:pPr>
      <w:r>
        <w:rPr>
          <w:rFonts w:hint="eastAsia" w:ascii="宋体" w:hAnsi="宋体"/>
          <w:bCs/>
          <w:color w:val="auto"/>
          <w:szCs w:val="21"/>
          <w:highlight w:val="none"/>
        </w:rPr>
        <w:t>松山湖国际创新创业社区2024年科创类系列活动，包含科创类活动、节日类活动、文化类活动、休闲娱乐类活动。活动将为企业打开资源渠道、打造企业交流空间、强化人才知识输出、提升社区科创环境。现需采购活动策划执行单位</w:t>
      </w:r>
      <w:r>
        <w:rPr>
          <w:rFonts w:hint="eastAsia" w:ascii="宋体" w:hAnsi="宋体"/>
          <w:bCs/>
          <w:color w:val="auto"/>
          <w:szCs w:val="21"/>
          <w:highlight w:val="none"/>
          <w:lang w:eastAsia="zh-CN"/>
        </w:rPr>
        <w:t>。</w:t>
      </w:r>
    </w:p>
    <w:p>
      <w:pPr>
        <w:numPr>
          <w:ilvl w:val="0"/>
          <w:numId w:val="11"/>
        </w:numPr>
        <w:spacing w:line="520" w:lineRule="exact"/>
        <w:outlineLvl w:val="3"/>
        <w:rPr>
          <w:rFonts w:hint="eastAsia" w:hAnsi="宋体"/>
          <w:b w:val="0"/>
          <w:bCs w:val="0"/>
          <w:color w:val="auto"/>
          <w:kern w:val="0"/>
          <w:sz w:val="21"/>
          <w:szCs w:val="21"/>
          <w:highlight w:val="none"/>
          <w:lang w:val="en-US"/>
        </w:rPr>
      </w:pPr>
      <w:r>
        <w:rPr>
          <w:rFonts w:hint="eastAsia" w:hAnsi="宋体"/>
          <w:b/>
          <w:color w:val="auto"/>
          <w:sz w:val="21"/>
          <w:szCs w:val="21"/>
          <w:highlight w:val="none"/>
        </w:rPr>
        <w:t>全年预计开展活动</w:t>
      </w:r>
      <w:r>
        <w:rPr>
          <w:rFonts w:hint="eastAsia" w:hAnsi="宋体"/>
          <w:b/>
          <w:color w:val="auto"/>
          <w:sz w:val="21"/>
          <w:szCs w:val="21"/>
          <w:highlight w:val="none"/>
          <w:lang w:val="en-US" w:eastAsia="zh-CN"/>
        </w:rPr>
        <w:t>及要求</w:t>
      </w:r>
      <w:r>
        <w:rPr>
          <w:rFonts w:hint="eastAsia" w:hAnsi="宋体"/>
          <w:b/>
          <w:color w:val="auto"/>
          <w:sz w:val="21"/>
          <w:szCs w:val="21"/>
          <w:highlight w:val="none"/>
        </w:rPr>
        <w:t>如下：</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right="0" w:firstLine="420" w:firstLine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科创类活动：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全年预计开展2</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场科创类活动，包括</w:t>
      </w:r>
      <w:r>
        <w:rPr>
          <w:rFonts w:hint="eastAsia" w:hAnsi="宋体" w:cs="宋体"/>
          <w:color w:val="auto"/>
          <w:sz w:val="21"/>
          <w:szCs w:val="21"/>
          <w:highlight w:val="none"/>
          <w:lang w:val="en-US" w:eastAsia="zh-CN"/>
        </w:rPr>
        <w:t>20</w:t>
      </w:r>
      <w:r>
        <w:rPr>
          <w:rFonts w:hint="eastAsia" w:ascii="宋体" w:hAnsi="宋体" w:eastAsia="宋体" w:cs="宋体"/>
          <w:color w:val="auto"/>
          <w:sz w:val="21"/>
          <w:szCs w:val="21"/>
          <w:highlight w:val="none"/>
        </w:rPr>
        <w:t>场I³系列及4场学术论坛、讲座类活动。其中I³系列活动包括6场I³</w:t>
      </w:r>
      <w:r>
        <w:rPr>
          <w:rFonts w:hint="eastAsia" w:ascii="宋体" w:hAnsi="宋体" w:eastAsia="宋体" w:cs="宋体"/>
          <w:color w:val="auto"/>
          <w:sz w:val="21"/>
          <w:szCs w:val="21"/>
          <w:highlight w:val="none"/>
          <w:lang w:eastAsia="zh-Hans"/>
        </w:rPr>
        <w:t>创业·</w:t>
      </w:r>
      <w:r>
        <w:rPr>
          <w:rFonts w:hint="eastAsia" w:ascii="宋体" w:hAnsi="宋体" w:eastAsia="宋体" w:cs="宋体"/>
          <w:color w:val="auto"/>
          <w:sz w:val="21"/>
          <w:szCs w:val="21"/>
          <w:highlight w:val="none"/>
        </w:rPr>
        <w:t>早参会、</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场I³</w:t>
      </w:r>
      <w:r>
        <w:rPr>
          <w:rFonts w:hint="eastAsia" w:ascii="宋体" w:hAnsi="宋体" w:eastAsia="宋体" w:cs="宋体"/>
          <w:color w:val="auto"/>
          <w:sz w:val="21"/>
          <w:szCs w:val="21"/>
          <w:highlight w:val="none"/>
          <w:lang w:eastAsia="zh-Hans"/>
        </w:rPr>
        <w:t>创业·</w:t>
      </w:r>
      <w:r>
        <w:rPr>
          <w:rFonts w:hint="eastAsia" w:ascii="宋体" w:hAnsi="宋体" w:eastAsia="宋体" w:cs="宋体"/>
          <w:color w:val="auto"/>
          <w:sz w:val="21"/>
          <w:szCs w:val="21"/>
          <w:highlight w:val="none"/>
        </w:rPr>
        <w:t>下午茶、2场I³</w:t>
      </w:r>
      <w:r>
        <w:rPr>
          <w:rFonts w:hint="eastAsia" w:ascii="宋体" w:hAnsi="宋体" w:eastAsia="宋体" w:cs="宋体"/>
          <w:color w:val="auto"/>
          <w:sz w:val="21"/>
          <w:szCs w:val="21"/>
          <w:highlight w:val="none"/>
          <w:lang w:eastAsia="zh-Hans"/>
        </w:rPr>
        <w:t>创业·博士论坛</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4场I³</w:t>
      </w:r>
      <w:r>
        <w:rPr>
          <w:rFonts w:hint="eastAsia" w:ascii="宋体" w:hAnsi="宋体" w:eastAsia="宋体" w:cs="宋体"/>
          <w:color w:val="auto"/>
          <w:sz w:val="21"/>
          <w:szCs w:val="21"/>
          <w:highlight w:val="none"/>
          <w:lang w:eastAsia="zh-Hans"/>
        </w:rPr>
        <w:t>创业·</w:t>
      </w:r>
      <w:r>
        <w:rPr>
          <w:rFonts w:hint="eastAsia" w:ascii="宋体" w:hAnsi="宋体" w:eastAsia="宋体" w:cs="宋体"/>
          <w:color w:val="auto"/>
          <w:sz w:val="21"/>
          <w:szCs w:val="21"/>
          <w:highlight w:val="none"/>
        </w:rPr>
        <w:t>星空夜话</w:t>
      </w:r>
      <w:r>
        <w:rPr>
          <w:rFonts w:hint="eastAsia" w:ascii="宋体" w:hAnsi="宋体" w:eastAsia="宋体" w:cs="宋体"/>
          <w:color w:val="auto"/>
          <w:sz w:val="21"/>
          <w:szCs w:val="21"/>
          <w:highlight w:val="none"/>
          <w:lang w:eastAsia="zh-Hans"/>
        </w:rPr>
        <w:t>。科创类系列活动总</w:t>
      </w:r>
      <w:r>
        <w:rPr>
          <w:rFonts w:hint="eastAsia" w:hAnsi="宋体" w:cs="宋体"/>
          <w:color w:val="auto"/>
          <w:sz w:val="21"/>
          <w:szCs w:val="21"/>
          <w:highlight w:val="none"/>
          <w:lang w:val="en-US" w:eastAsia="zh-CN"/>
        </w:rPr>
        <w:t>控制价208</w:t>
      </w:r>
      <w:r>
        <w:rPr>
          <w:rFonts w:hint="eastAsia" w:ascii="宋体" w:hAnsi="宋体" w:eastAsia="宋体" w:cs="宋体"/>
          <w:color w:val="auto"/>
          <w:sz w:val="21"/>
          <w:szCs w:val="21"/>
          <w:highlight w:val="none"/>
          <w:lang w:val="en-US" w:eastAsia="zh-CN"/>
        </w:rPr>
        <w:t>000</w:t>
      </w:r>
      <w:r>
        <w:rPr>
          <w:rFonts w:hint="eastAsia" w:ascii="宋体" w:hAnsi="宋体" w:eastAsia="宋体" w:cs="宋体"/>
          <w:color w:val="auto"/>
          <w:sz w:val="21"/>
          <w:szCs w:val="21"/>
          <w:highlight w:val="none"/>
        </w:rPr>
        <w:t>元。</w:t>
      </w:r>
      <w:r>
        <w:rPr>
          <w:rFonts w:hint="eastAsia" w:hAnsi="宋体" w:cs="宋体"/>
          <w:color w:val="auto"/>
          <w:sz w:val="21"/>
          <w:szCs w:val="21"/>
          <w:highlight w:val="none"/>
          <w:lang w:val="en-US" w:eastAsia="zh-CN"/>
        </w:rPr>
        <w:t>活动限价如下表，活动初步方案或内容详见后附活动清单，</w:t>
      </w:r>
      <w:r>
        <w:rPr>
          <w:rFonts w:hint="eastAsia" w:ascii="宋体" w:hAnsi="宋体" w:eastAsia="宋体" w:cs="宋体"/>
          <w:color w:val="auto"/>
          <w:sz w:val="21"/>
          <w:szCs w:val="21"/>
          <w:highlight w:val="none"/>
          <w:lang w:eastAsia="zh-Hans"/>
        </w:rPr>
        <w:t>最终费用以项目实施情况为准</w:t>
      </w:r>
      <w:r>
        <w:rPr>
          <w:rFonts w:hint="eastAsia" w:ascii="宋体" w:hAnsi="宋体" w:eastAsia="宋体" w:cs="宋体"/>
          <w:color w:val="auto"/>
          <w:sz w:val="21"/>
          <w:szCs w:val="21"/>
          <w:highlight w:val="none"/>
          <w:lang w:eastAsia="zh-CN"/>
        </w:rPr>
        <w:t>。</w:t>
      </w:r>
    </w:p>
    <w:p>
      <w:pPr>
        <w:pStyle w:val="2"/>
        <w:ind w:firstLine="630" w:firstLineChars="300"/>
        <w:jc w:val="left"/>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科创类系列活动主要为邀请企业、社区负责人、行业专家等以早餐会、下午茶、讲座等方式</w:t>
      </w:r>
      <w:r>
        <w:rPr>
          <w:rFonts w:hint="eastAsia" w:hAnsi="宋体" w:cs="宋体"/>
          <w:b w:val="0"/>
          <w:bCs w:val="0"/>
          <w:color w:val="auto"/>
          <w:kern w:val="0"/>
          <w:sz w:val="21"/>
          <w:szCs w:val="21"/>
          <w:highlight w:val="none"/>
          <w:lang w:val="en-US" w:eastAsia="zh-CN" w:bidi="ar-SA"/>
        </w:rPr>
        <w:t>进行，加强</w:t>
      </w:r>
      <w:r>
        <w:rPr>
          <w:rFonts w:hint="eastAsia" w:ascii="宋体" w:hAnsi="宋体" w:eastAsia="宋体" w:cs="宋体"/>
          <w:b w:val="0"/>
          <w:bCs w:val="0"/>
          <w:color w:val="auto"/>
          <w:kern w:val="0"/>
          <w:sz w:val="21"/>
          <w:szCs w:val="21"/>
          <w:highlight w:val="none"/>
          <w:lang w:val="en-US" w:eastAsia="zh-CN" w:bidi="ar-SA"/>
        </w:rPr>
        <w:t>相互沟通、交流分享</w:t>
      </w:r>
      <w:r>
        <w:rPr>
          <w:rFonts w:hint="eastAsia" w:hAnsi="宋体" w:cs="宋体"/>
          <w:b w:val="0"/>
          <w:bCs w:val="0"/>
          <w:color w:val="auto"/>
          <w:kern w:val="0"/>
          <w:sz w:val="21"/>
          <w:szCs w:val="21"/>
          <w:highlight w:val="none"/>
          <w:lang w:val="en-US" w:eastAsia="zh-CN" w:bidi="ar-SA"/>
        </w:rPr>
        <w:t>为会员企业赋能。</w:t>
      </w:r>
    </w:p>
    <w:tbl>
      <w:tblPr>
        <w:tblStyle w:val="51"/>
        <w:tblW w:w="90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2461"/>
        <w:gridCol w:w="2000"/>
        <w:gridCol w:w="1386"/>
        <w:gridCol w:w="1210"/>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44" w:type="dxa"/>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color w:val="auto"/>
                <w:sz w:val="21"/>
                <w:szCs w:val="21"/>
                <w:highlight w:val="none"/>
              </w:rPr>
              <w:t>科创类</w:t>
            </w:r>
            <w:r>
              <w:rPr>
                <w:rFonts w:hint="eastAsia" w:ascii="宋体" w:hAnsi="宋体" w:eastAsia="宋体" w:cs="宋体"/>
                <w:b/>
                <w:bCs/>
                <w:color w:val="auto"/>
                <w:sz w:val="21"/>
                <w:szCs w:val="21"/>
                <w:highlight w:val="none"/>
                <w:lang w:val="en-US" w:eastAsia="zh-CN"/>
              </w:rPr>
              <w:t>活动</w:t>
            </w:r>
            <w:r>
              <w:rPr>
                <w:rFonts w:hint="eastAsia" w:ascii="宋体" w:hAnsi="宋体" w:eastAsia="宋体" w:cs="宋体"/>
                <w:b/>
                <w:bCs/>
                <w:i w:val="0"/>
                <w:iCs w:val="0"/>
                <w:color w:val="auto"/>
                <w:kern w:val="0"/>
                <w:sz w:val="21"/>
                <w:szCs w:val="21"/>
                <w:highlight w:val="none"/>
                <w:u w:val="none"/>
                <w:lang w:val="en-US" w:eastAsia="zh-CN" w:bidi="ar"/>
              </w:rPr>
              <w:t>招标控制价汇总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主体活动</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计划实施时间</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计划场次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default" w:ascii="宋体" w:hAnsi="宋体" w:eastAsia="宋体" w:cs="宋体"/>
                <w:i w:val="0"/>
                <w:iCs w:val="0"/>
                <w:color w:val="auto"/>
                <w:sz w:val="21"/>
                <w:szCs w:val="21"/>
                <w:highlight w:val="none"/>
                <w:u w:val="none"/>
                <w:lang w:val="en-US"/>
              </w:rPr>
            </w:pPr>
            <w:r>
              <w:rPr>
                <w:rFonts w:hint="eastAsia" w:hAnsi="宋体" w:cs="宋体"/>
                <w:i w:val="0"/>
                <w:iCs w:val="0"/>
                <w:color w:val="auto"/>
                <w:kern w:val="0"/>
                <w:sz w:val="21"/>
                <w:szCs w:val="21"/>
                <w:highlight w:val="none"/>
                <w:u w:val="none"/>
                <w:lang w:val="en-US" w:eastAsia="zh-CN" w:bidi="ar"/>
              </w:rPr>
              <w:t>单场限价</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default" w:ascii="宋体" w:hAnsi="宋体" w:eastAsia="宋体" w:cs="宋体"/>
                <w:i w:val="0"/>
                <w:iCs w:val="0"/>
                <w:color w:val="auto"/>
                <w:sz w:val="21"/>
                <w:szCs w:val="21"/>
                <w:highlight w:val="none"/>
                <w:u w:val="none"/>
                <w:lang w:val="en-US"/>
              </w:rPr>
            </w:pPr>
            <w:r>
              <w:rPr>
                <w:rFonts w:hint="eastAsia" w:hAnsi="宋体" w:cs="宋体"/>
                <w:i w:val="0"/>
                <w:iCs w:val="0"/>
                <w:color w:val="auto"/>
                <w:kern w:val="0"/>
                <w:sz w:val="21"/>
                <w:szCs w:val="21"/>
                <w:highlight w:val="none"/>
                <w:u w:val="none"/>
                <w:lang w:val="en-US" w:eastAsia="zh-CN" w:bidi="ar"/>
              </w:rPr>
              <w:t>合计费用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I³创业·早参会</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每2个月一场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8000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I³创业·下午茶</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每季度一场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auto"/>
                <w:kern w:val="0"/>
                <w:sz w:val="21"/>
                <w:szCs w:val="21"/>
                <w:highlight w:val="none"/>
                <w:u w:val="none"/>
                <w:lang w:val="en-US" w:eastAsia="zh-CN"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6500</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rPr>
            </w:pPr>
            <w:r>
              <w:rPr>
                <w:rFonts w:hint="eastAsia" w:hAnsi="宋体" w:cs="宋体"/>
                <w:i w:val="0"/>
                <w:iCs w:val="0"/>
                <w:color w:val="auto"/>
                <w:kern w:val="0"/>
                <w:sz w:val="21"/>
                <w:szCs w:val="21"/>
                <w:highlight w:val="none"/>
                <w:u w:val="none"/>
                <w:lang w:val="en-US" w:eastAsia="zh-CN" w:bidi="ar"/>
              </w:rPr>
              <w:t>52</w:t>
            </w:r>
            <w:r>
              <w:rPr>
                <w:rFonts w:hint="eastAsia" w:ascii="宋体" w:hAnsi="宋体" w:eastAsia="宋体" w:cs="宋体"/>
                <w:i w:val="0"/>
                <w:iCs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I³创新·博士论坛</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每</w:t>
            </w:r>
            <w:r>
              <w:rPr>
                <w:rFonts w:hint="eastAsia"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个月一场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8000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I³创新·星空夜话</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每季度一场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学术论坛、讲座类活动</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每季度一场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right="0"/>
              <w:jc w:val="both"/>
              <w:rPr>
                <w:rFonts w:hint="eastAsia" w:ascii="宋体" w:hAnsi="宋体" w:eastAsia="宋体" w:cs="宋体"/>
                <w:i w:val="0"/>
                <w:iCs w:val="0"/>
                <w:color w:val="auto"/>
                <w:sz w:val="21"/>
                <w:szCs w:val="21"/>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right="0"/>
              <w:jc w:val="both"/>
              <w:rPr>
                <w:rFonts w:hint="eastAsia" w:ascii="宋体" w:hAnsi="宋体" w:eastAsia="宋体" w:cs="宋体"/>
                <w:i w:val="0"/>
                <w:iCs w:val="0"/>
                <w:color w:val="auto"/>
                <w:sz w:val="21"/>
                <w:szCs w:val="21"/>
                <w:highlight w:val="none"/>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hAnsi="宋体" w:cs="宋体"/>
                <w:i w:val="0"/>
                <w:iCs w:val="0"/>
                <w:color w:val="auto"/>
                <w:kern w:val="0"/>
                <w:sz w:val="21"/>
                <w:szCs w:val="21"/>
                <w:highlight w:val="none"/>
                <w:u w:val="none"/>
                <w:lang w:val="en-US" w:eastAsia="zh-CN"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right="0"/>
              <w:jc w:val="both"/>
              <w:rPr>
                <w:rFonts w:hint="eastAsia" w:ascii="宋体" w:hAnsi="宋体" w:eastAsia="宋体" w:cs="宋体"/>
                <w:i w:val="0"/>
                <w:iCs w:val="0"/>
                <w:color w:val="auto"/>
                <w:sz w:val="21"/>
                <w:szCs w:val="21"/>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rPr>
            </w:pPr>
            <w:r>
              <w:rPr>
                <w:rFonts w:hint="eastAsia" w:hAnsi="宋体" w:cs="宋体"/>
                <w:i w:val="0"/>
                <w:iCs w:val="0"/>
                <w:color w:val="auto"/>
                <w:kern w:val="0"/>
                <w:sz w:val="21"/>
                <w:szCs w:val="21"/>
                <w:highlight w:val="none"/>
                <w:u w:val="none"/>
                <w:lang w:val="en-US" w:eastAsia="zh-CN" w:bidi="ar"/>
              </w:rPr>
              <w:t>208</w:t>
            </w:r>
            <w:r>
              <w:rPr>
                <w:rFonts w:hint="eastAsia" w:ascii="宋体" w:hAnsi="宋体" w:eastAsia="宋体" w:cs="宋体"/>
                <w:i w:val="0"/>
                <w:iCs w:val="0"/>
                <w:color w:val="auto"/>
                <w:kern w:val="0"/>
                <w:sz w:val="21"/>
                <w:szCs w:val="21"/>
                <w:highlight w:val="none"/>
                <w:u w:val="none"/>
                <w:lang w:val="en-US" w:eastAsia="zh-CN" w:bidi="ar"/>
              </w:rPr>
              <w:t>000</w:t>
            </w:r>
          </w:p>
        </w:tc>
      </w:tr>
    </w:tbl>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right="0" w:firstLine="420" w:firstLine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节日类活动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预计开展</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场传统节日活动，包括端午、中秋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国庆</w:t>
      </w:r>
      <w:r>
        <w:rPr>
          <w:rFonts w:hint="eastAsia" w:hAnsi="宋体" w:cs="宋体"/>
          <w:color w:val="auto"/>
          <w:sz w:val="21"/>
          <w:szCs w:val="21"/>
          <w:highlight w:val="none"/>
          <w:lang w:val="en-US" w:eastAsia="zh-CN"/>
        </w:rPr>
        <w:t>几</w:t>
      </w:r>
      <w:r>
        <w:rPr>
          <w:rFonts w:hint="eastAsia" w:ascii="宋体" w:hAnsi="宋体" w:eastAsia="宋体" w:cs="宋体"/>
          <w:color w:val="auto"/>
          <w:sz w:val="21"/>
          <w:szCs w:val="21"/>
          <w:highlight w:val="none"/>
        </w:rPr>
        <w:t>个重要传统节日。传统节日活动总预算</w:t>
      </w:r>
      <w:r>
        <w:rPr>
          <w:rFonts w:hint="eastAsia" w:hAnsi="宋体" w:cs="宋体"/>
          <w:color w:val="auto"/>
          <w:sz w:val="21"/>
          <w:szCs w:val="21"/>
          <w:highlight w:val="none"/>
          <w:lang w:val="en-US" w:eastAsia="zh-CN"/>
        </w:rPr>
        <w:t>91448</w:t>
      </w:r>
      <w:r>
        <w:rPr>
          <w:rFonts w:hint="eastAsia" w:ascii="宋体" w:hAnsi="宋体" w:eastAsia="宋体" w:cs="宋体"/>
          <w:color w:val="auto"/>
          <w:sz w:val="21"/>
          <w:szCs w:val="21"/>
          <w:highlight w:val="none"/>
        </w:rPr>
        <w:t>元，</w:t>
      </w:r>
      <w:r>
        <w:rPr>
          <w:rFonts w:hint="eastAsia" w:hAnsi="宋体" w:cs="宋体"/>
          <w:color w:val="auto"/>
          <w:sz w:val="21"/>
          <w:szCs w:val="21"/>
          <w:highlight w:val="none"/>
          <w:lang w:val="en-US" w:eastAsia="zh-CN"/>
        </w:rPr>
        <w:t>活动限价如下表，初步方案或内容详见后附活动清单，</w:t>
      </w:r>
      <w:r>
        <w:rPr>
          <w:rFonts w:hint="eastAsia" w:ascii="宋体" w:hAnsi="宋体" w:eastAsia="宋体" w:cs="宋体"/>
          <w:color w:val="auto"/>
          <w:sz w:val="21"/>
          <w:szCs w:val="21"/>
          <w:highlight w:val="none"/>
        </w:rPr>
        <w:t>最终费用以项目实施情况为准。</w:t>
      </w:r>
    </w:p>
    <w:tbl>
      <w:tblPr>
        <w:tblStyle w:val="51"/>
        <w:tblW w:w="90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2883"/>
        <w:gridCol w:w="1867"/>
        <w:gridCol w:w="1148"/>
        <w:gridCol w:w="1210"/>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44" w:type="dxa"/>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rPr>
              <w:t>节日</w:t>
            </w:r>
            <w:r>
              <w:rPr>
                <w:rFonts w:hint="eastAsia" w:ascii="宋体" w:hAnsi="宋体" w:eastAsia="宋体" w:cs="宋体"/>
                <w:color w:val="auto"/>
                <w:sz w:val="21"/>
                <w:szCs w:val="21"/>
                <w:highlight w:val="none"/>
              </w:rPr>
              <w:t>类</w:t>
            </w:r>
            <w:r>
              <w:rPr>
                <w:rFonts w:hint="eastAsia" w:ascii="宋体" w:hAnsi="宋体" w:eastAsia="宋体" w:cs="宋体"/>
                <w:color w:val="auto"/>
                <w:sz w:val="21"/>
                <w:szCs w:val="21"/>
                <w:highlight w:val="none"/>
                <w:lang w:val="en-US" w:eastAsia="zh-CN"/>
              </w:rPr>
              <w:t>活动</w:t>
            </w:r>
            <w:r>
              <w:rPr>
                <w:rFonts w:hint="eastAsia" w:ascii="宋体" w:hAnsi="宋体" w:eastAsia="宋体" w:cs="宋体"/>
                <w:i w:val="0"/>
                <w:iCs w:val="0"/>
                <w:color w:val="auto"/>
                <w:kern w:val="0"/>
                <w:sz w:val="21"/>
                <w:szCs w:val="21"/>
                <w:highlight w:val="none"/>
                <w:u w:val="none"/>
                <w:lang w:val="en-US" w:eastAsia="zh-CN" w:bidi="ar"/>
              </w:rPr>
              <w:t>招标控制价汇总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主体活动</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计划实施时间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计划场次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rightChars="0"/>
              <w:jc w:val="both"/>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auto"/>
                <w:kern w:val="0"/>
                <w:sz w:val="21"/>
                <w:szCs w:val="21"/>
                <w:highlight w:val="none"/>
                <w:u w:val="none"/>
                <w:lang w:val="en-US" w:eastAsia="zh-CN" w:bidi="ar"/>
              </w:rPr>
              <w:t>单场限价</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rightChars="0"/>
              <w:jc w:val="both"/>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auto"/>
                <w:kern w:val="0"/>
                <w:sz w:val="21"/>
                <w:szCs w:val="21"/>
                <w:highlight w:val="none"/>
                <w:u w:val="none"/>
                <w:lang w:val="en-US" w:eastAsia="zh-CN" w:bidi="ar"/>
              </w:rPr>
              <w:t>合计费用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hAnsi="宋体" w:cs="宋体"/>
                <w:i w:val="0"/>
                <w:iCs w:val="0"/>
                <w:color w:val="auto"/>
                <w:kern w:val="0"/>
                <w:sz w:val="21"/>
                <w:szCs w:val="21"/>
                <w:highlight w:val="none"/>
                <w:u w:val="none"/>
                <w:lang w:val="en-US" w:eastAsia="zh-CN" w:bidi="ar"/>
              </w:rPr>
              <w:t>1</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社区中秋国庆活动</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国庆、中秋节前后</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61448</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hAnsi="宋体" w:cs="宋体"/>
                <w:i w:val="0"/>
                <w:iCs w:val="0"/>
                <w:color w:val="auto"/>
                <w:kern w:val="0"/>
                <w:sz w:val="21"/>
                <w:szCs w:val="21"/>
                <w:highlight w:val="none"/>
                <w:u w:val="none"/>
                <w:lang w:val="en-US" w:eastAsia="zh-CN" w:bidi="ar"/>
              </w:rPr>
              <w:t>2</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科学家活动基地端午节活动</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端午节前后</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hAnsi="宋体" w:cs="宋体"/>
                <w:i w:val="0"/>
                <w:iCs w:val="0"/>
                <w:color w:val="auto"/>
                <w:sz w:val="21"/>
                <w:szCs w:val="21"/>
                <w:highlight w:val="none"/>
                <w:u w:val="none"/>
                <w:lang w:val="en-US" w:eastAsia="zh-CN"/>
              </w:rPr>
              <w:t>3</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科学家活动基地中秋活动</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中秋节前后</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15000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right="0"/>
              <w:jc w:val="both"/>
              <w:rPr>
                <w:rFonts w:hint="eastAsia" w:ascii="宋体" w:hAnsi="宋体" w:eastAsia="宋体" w:cs="宋体"/>
                <w:i w:val="0"/>
                <w:iCs w:val="0"/>
                <w:color w:val="auto"/>
                <w:sz w:val="21"/>
                <w:szCs w:val="21"/>
                <w:highlight w:val="none"/>
                <w:u w:val="none"/>
              </w:rPr>
            </w:pP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right="0"/>
              <w:jc w:val="both"/>
              <w:rPr>
                <w:rFonts w:hint="eastAsia" w:ascii="宋体" w:hAnsi="宋体" w:eastAsia="宋体" w:cs="宋体"/>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auto"/>
                <w:kern w:val="0"/>
                <w:sz w:val="21"/>
                <w:szCs w:val="21"/>
                <w:highlight w:val="none"/>
                <w:u w:val="none"/>
                <w:lang w:val="en-US" w:eastAsia="zh-CN"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right="0"/>
              <w:jc w:val="both"/>
              <w:rPr>
                <w:rFonts w:hint="eastAsia" w:ascii="宋体" w:hAnsi="宋体" w:eastAsia="宋体" w:cs="宋体"/>
                <w:i w:val="0"/>
                <w:iCs w:val="0"/>
                <w:color w:val="auto"/>
                <w:sz w:val="21"/>
                <w:szCs w:val="21"/>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default" w:ascii="宋体" w:hAnsi="宋体" w:eastAsia="宋体" w:cs="宋体"/>
                <w:i w:val="0"/>
                <w:iCs w:val="0"/>
                <w:color w:val="auto"/>
                <w:sz w:val="21"/>
                <w:szCs w:val="21"/>
                <w:highlight w:val="none"/>
                <w:u w:val="none"/>
                <w:lang w:val="en-US"/>
              </w:rPr>
            </w:pPr>
            <w:r>
              <w:rPr>
                <w:rFonts w:hint="eastAsia" w:hAnsi="宋体" w:cs="宋体"/>
                <w:i w:val="0"/>
                <w:iCs w:val="0"/>
                <w:color w:val="auto"/>
                <w:kern w:val="0"/>
                <w:sz w:val="21"/>
                <w:szCs w:val="21"/>
                <w:highlight w:val="none"/>
                <w:u w:val="none"/>
                <w:lang w:val="en-US" w:eastAsia="zh-CN" w:bidi="ar"/>
              </w:rPr>
              <w:t>91448</w:t>
            </w:r>
          </w:p>
        </w:tc>
      </w:tr>
    </w:tbl>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right="0" w:firstLine="42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文化</w:t>
      </w:r>
      <w:r>
        <w:rPr>
          <w:rFonts w:hint="eastAsia" w:ascii="宋体" w:hAnsi="宋体" w:eastAsia="宋体" w:cs="宋体"/>
          <w:b/>
          <w:bCs/>
          <w:color w:val="auto"/>
          <w:sz w:val="21"/>
          <w:szCs w:val="21"/>
          <w:highlight w:val="none"/>
        </w:rPr>
        <w:t>类活动</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预计开展2</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场文化类活动，包括但不限于非遗系列、书法、插花、手工制作等文化活动</w:t>
      </w:r>
      <w:r>
        <w:rPr>
          <w:rFonts w:hint="eastAsia" w:hAnsi="宋体" w:cs="宋体"/>
          <w:color w:val="auto"/>
          <w:sz w:val="21"/>
          <w:szCs w:val="21"/>
          <w:highlight w:val="none"/>
          <w:lang w:val="en-US" w:eastAsia="zh-CN"/>
        </w:rPr>
        <w:t>20场</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社区相亲舞会系列活动2场</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活动总预算1</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hAnsi="宋体" w:cs="宋体"/>
          <w:color w:val="auto"/>
          <w:sz w:val="21"/>
          <w:szCs w:val="21"/>
          <w:highlight w:val="none"/>
          <w:lang w:val="en-US" w:eastAsia="zh-CN"/>
        </w:rPr>
        <w:t>100</w:t>
      </w:r>
      <w:r>
        <w:rPr>
          <w:rFonts w:hint="eastAsia" w:ascii="宋体" w:hAnsi="宋体" w:eastAsia="宋体" w:cs="宋体"/>
          <w:color w:val="auto"/>
          <w:sz w:val="21"/>
          <w:szCs w:val="21"/>
          <w:highlight w:val="none"/>
        </w:rPr>
        <w:t>元，</w:t>
      </w:r>
      <w:r>
        <w:rPr>
          <w:rFonts w:hint="eastAsia" w:hAnsi="宋体" w:cs="宋体"/>
          <w:color w:val="auto"/>
          <w:sz w:val="21"/>
          <w:szCs w:val="21"/>
          <w:highlight w:val="none"/>
          <w:lang w:val="en-US" w:eastAsia="zh-CN"/>
        </w:rPr>
        <w:t>各场活动限价详见下表，初步方案或内容详见后附活动清单，</w:t>
      </w:r>
      <w:r>
        <w:rPr>
          <w:rFonts w:hint="eastAsia" w:ascii="宋体" w:hAnsi="宋体" w:eastAsia="宋体" w:cs="宋体"/>
          <w:color w:val="auto"/>
          <w:sz w:val="21"/>
          <w:szCs w:val="21"/>
          <w:highlight w:val="none"/>
        </w:rPr>
        <w:t>最终费用以项目实施情况为准。</w:t>
      </w:r>
    </w:p>
    <w:tbl>
      <w:tblPr>
        <w:tblStyle w:val="51"/>
        <w:tblW w:w="90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2930"/>
        <w:gridCol w:w="1590"/>
        <w:gridCol w:w="1275"/>
        <w:gridCol w:w="1200"/>
        <w:gridCol w:w="1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44" w:type="dxa"/>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rPr>
              <w:t>文化</w:t>
            </w:r>
            <w:r>
              <w:rPr>
                <w:rFonts w:hint="eastAsia" w:ascii="宋体" w:hAnsi="宋体" w:eastAsia="宋体" w:cs="宋体"/>
                <w:color w:val="auto"/>
                <w:sz w:val="21"/>
                <w:szCs w:val="21"/>
                <w:highlight w:val="none"/>
              </w:rPr>
              <w:t>类</w:t>
            </w:r>
            <w:r>
              <w:rPr>
                <w:rFonts w:hint="eastAsia" w:ascii="宋体" w:hAnsi="宋体" w:eastAsia="宋体" w:cs="宋体"/>
                <w:color w:val="auto"/>
                <w:sz w:val="21"/>
                <w:szCs w:val="21"/>
                <w:highlight w:val="none"/>
                <w:lang w:val="en-US" w:eastAsia="zh-CN"/>
              </w:rPr>
              <w:t>活动</w:t>
            </w:r>
            <w:r>
              <w:rPr>
                <w:rFonts w:hint="eastAsia" w:ascii="宋体" w:hAnsi="宋体" w:eastAsia="宋体" w:cs="宋体"/>
                <w:i w:val="0"/>
                <w:iCs w:val="0"/>
                <w:color w:val="auto"/>
                <w:kern w:val="0"/>
                <w:sz w:val="21"/>
                <w:szCs w:val="21"/>
                <w:highlight w:val="none"/>
                <w:u w:val="none"/>
                <w:lang w:val="en-US" w:eastAsia="zh-CN" w:bidi="ar"/>
              </w:rPr>
              <w:t>招标控制价汇总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hAnsi="宋体" w:cs="宋体"/>
                <w:i w:val="0"/>
                <w:iCs w:val="0"/>
                <w:color w:val="auto"/>
                <w:kern w:val="0"/>
                <w:sz w:val="21"/>
                <w:szCs w:val="21"/>
                <w:highlight w:val="none"/>
                <w:u w:val="none"/>
                <w:lang w:val="en-US" w:eastAsia="zh-CN" w:bidi="ar"/>
              </w:rPr>
              <w:t>一、</w:t>
            </w:r>
            <w:r>
              <w:rPr>
                <w:rFonts w:hint="eastAsia" w:ascii="宋体" w:hAnsi="宋体" w:eastAsia="宋体" w:cs="宋体"/>
                <w:i w:val="0"/>
                <w:iCs w:val="0"/>
                <w:color w:val="auto"/>
                <w:kern w:val="0"/>
                <w:sz w:val="21"/>
                <w:szCs w:val="21"/>
                <w:highlight w:val="none"/>
                <w:u w:val="none"/>
                <w:lang w:val="en-US" w:eastAsia="zh-CN" w:bidi="ar"/>
              </w:rPr>
              <w:t>非遗文化类活动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主体活动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计划实施时间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计划场次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rightChars="0"/>
              <w:jc w:val="both"/>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auto"/>
                <w:kern w:val="0"/>
                <w:sz w:val="21"/>
                <w:szCs w:val="21"/>
                <w:highlight w:val="none"/>
                <w:u w:val="none"/>
                <w:lang w:val="en-US" w:eastAsia="zh-CN" w:bidi="ar"/>
              </w:rPr>
              <w:t>单场限价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rightChars="0"/>
              <w:jc w:val="both"/>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auto"/>
                <w:kern w:val="0"/>
                <w:sz w:val="21"/>
                <w:szCs w:val="21"/>
                <w:highlight w:val="none"/>
                <w:u w:val="none"/>
                <w:lang w:val="en-US" w:eastAsia="zh-CN" w:bidi="ar"/>
              </w:rPr>
              <w:t>合计费用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五谷主题画</w:t>
            </w:r>
          </w:p>
        </w:tc>
        <w:tc>
          <w:tcPr>
            <w:tcW w:w="159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每两周1次</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2700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绕线画、丝线画</w:t>
            </w:r>
          </w:p>
        </w:tc>
        <w:tc>
          <w:tcPr>
            <w:tcW w:w="1590"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2900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掐丝珐琅（非遗掐丝珐琅画）</w:t>
            </w:r>
          </w:p>
        </w:tc>
        <w:tc>
          <w:tcPr>
            <w:tcW w:w="15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非遗螺钿胸针</w:t>
            </w:r>
          </w:p>
        </w:tc>
        <w:tc>
          <w:tcPr>
            <w:tcW w:w="15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2600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广东三宝制作</w:t>
            </w:r>
          </w:p>
        </w:tc>
        <w:tc>
          <w:tcPr>
            <w:tcW w:w="15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莞香香牌制作</w:t>
            </w:r>
          </w:p>
        </w:tc>
        <w:tc>
          <w:tcPr>
            <w:tcW w:w="15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3100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戏曲创意画制作</w:t>
            </w:r>
          </w:p>
        </w:tc>
        <w:tc>
          <w:tcPr>
            <w:tcW w:w="15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3100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戳戳绣</w:t>
            </w:r>
          </w:p>
        </w:tc>
        <w:tc>
          <w:tcPr>
            <w:tcW w:w="15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香囊制作</w:t>
            </w:r>
          </w:p>
        </w:tc>
        <w:tc>
          <w:tcPr>
            <w:tcW w:w="15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10</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非遗烧箔画</w:t>
            </w:r>
          </w:p>
        </w:tc>
        <w:tc>
          <w:tcPr>
            <w:tcW w:w="15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2800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非遗二十四节气文创</w:t>
            </w:r>
          </w:p>
        </w:tc>
        <w:tc>
          <w:tcPr>
            <w:tcW w:w="15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12</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非遗点翠</w:t>
            </w:r>
          </w:p>
        </w:tc>
        <w:tc>
          <w:tcPr>
            <w:tcW w:w="15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2900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13</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非遗传拓</w:t>
            </w:r>
          </w:p>
        </w:tc>
        <w:tc>
          <w:tcPr>
            <w:tcW w:w="15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14</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非遗缠花发簪/胸针DIY</w:t>
            </w:r>
          </w:p>
        </w:tc>
        <w:tc>
          <w:tcPr>
            <w:tcW w:w="15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2700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15</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非遗竹编</w:t>
            </w:r>
          </w:p>
        </w:tc>
        <w:tc>
          <w:tcPr>
            <w:tcW w:w="15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2600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16</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非遗花草纸文创书灯</w:t>
            </w:r>
          </w:p>
        </w:tc>
        <w:tc>
          <w:tcPr>
            <w:tcW w:w="15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17</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非遗岭南押花文创台灯</w:t>
            </w:r>
          </w:p>
        </w:tc>
        <w:tc>
          <w:tcPr>
            <w:tcW w:w="15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18</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锦绣江山流沙画</w:t>
            </w:r>
          </w:p>
        </w:tc>
        <w:tc>
          <w:tcPr>
            <w:tcW w:w="15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3300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19</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非遗绒花DIY</w:t>
            </w:r>
          </w:p>
        </w:tc>
        <w:tc>
          <w:tcPr>
            <w:tcW w:w="15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4300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20</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非遗篆刻体验</w:t>
            </w: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4200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firstLine="210" w:firstLineChars="10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非遗类文化活动合计：</w:t>
            </w:r>
            <w:r>
              <w:rPr>
                <w:rFonts w:hint="eastAsia" w:hAnsi="宋体" w:cs="宋体"/>
                <w:i w:val="0"/>
                <w:iCs w:val="0"/>
                <w:color w:val="auto"/>
                <w:sz w:val="21"/>
                <w:szCs w:val="21"/>
                <w:highlight w:val="none"/>
                <w:u w:val="none"/>
                <w:lang w:val="en-US" w:eastAsia="zh-CN"/>
              </w:rPr>
              <w:t>58800</w:t>
            </w:r>
            <w:r>
              <w:rPr>
                <w:rFonts w:hint="eastAsia" w:ascii="宋体" w:hAnsi="宋体" w:eastAsia="宋体" w:cs="宋体"/>
                <w:i w:val="0"/>
                <w:iCs w:val="0"/>
                <w:color w:val="auto"/>
                <w:sz w:val="21"/>
                <w:szCs w:val="21"/>
                <w:highlight w:val="none"/>
                <w:u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hAnsi="宋体" w:cs="宋体"/>
                <w:i w:val="0"/>
                <w:iCs w:val="0"/>
                <w:color w:val="auto"/>
                <w:sz w:val="21"/>
                <w:szCs w:val="21"/>
                <w:highlight w:val="none"/>
                <w:u w:val="none"/>
                <w:lang w:val="en-US" w:eastAsia="zh-CN"/>
              </w:rPr>
              <w:t>二、</w:t>
            </w:r>
            <w:r>
              <w:rPr>
                <w:rFonts w:hint="eastAsia" w:ascii="宋体" w:hAnsi="宋体" w:eastAsia="宋体" w:cs="宋体"/>
                <w:i w:val="0"/>
                <w:iCs w:val="0"/>
                <w:color w:val="auto"/>
                <w:sz w:val="21"/>
                <w:szCs w:val="21"/>
                <w:highlight w:val="none"/>
                <w:u w:val="none"/>
                <w:lang w:val="en-US" w:eastAsia="zh-CN"/>
              </w:rPr>
              <w:t>社区舞会活动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default" w:ascii="宋体" w:hAnsi="宋体" w:eastAsia="宋体" w:cs="宋体"/>
                <w:i w:val="0"/>
                <w:iCs w:val="0"/>
                <w:color w:val="auto"/>
                <w:sz w:val="21"/>
                <w:szCs w:val="21"/>
                <w:highlight w:val="none"/>
                <w:u w:val="none"/>
                <w:lang w:val="en-US" w:eastAsia="zh-CN"/>
              </w:rPr>
            </w:pPr>
            <w:r>
              <w:rPr>
                <w:rFonts w:hint="eastAsia" w:hAnsi="宋体" w:cs="宋体"/>
                <w:i w:val="0"/>
                <w:iCs w:val="0"/>
                <w:color w:val="auto"/>
                <w:sz w:val="21"/>
                <w:szCs w:val="21"/>
                <w:highlight w:val="none"/>
                <w:u w:val="none"/>
                <w:lang w:val="en-US" w:eastAsia="zh-CN"/>
              </w:rPr>
              <w:t>21</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社区相亲舞会</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5月、10月</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56650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社区舞会项目合计：113300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hAnsi="宋体" w:cs="宋体"/>
                <w:i w:val="0"/>
                <w:iCs w:val="0"/>
                <w:color w:val="auto"/>
                <w:sz w:val="21"/>
                <w:szCs w:val="21"/>
                <w:highlight w:val="none"/>
                <w:u w:val="none"/>
                <w:lang w:val="en-US" w:eastAsia="zh-CN"/>
              </w:rPr>
              <w:t>合计172100</w:t>
            </w:r>
            <w:r>
              <w:rPr>
                <w:rFonts w:hint="eastAsia" w:ascii="宋体" w:hAnsi="宋体" w:eastAsia="宋体" w:cs="宋体"/>
                <w:i w:val="0"/>
                <w:iCs w:val="0"/>
                <w:color w:val="auto"/>
                <w:sz w:val="21"/>
                <w:szCs w:val="21"/>
                <w:highlight w:val="none"/>
                <w:u w:val="none"/>
                <w:lang w:val="en-US" w:eastAsia="zh-CN"/>
              </w:rPr>
              <w:t>元</w:t>
            </w:r>
          </w:p>
        </w:tc>
      </w:tr>
    </w:tbl>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right="0" w:firstLine="420" w:firstLine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休闲娱乐类活动</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预计开展2场“科技创新杯”棋牌友谊赛，</w:t>
      </w:r>
      <w:r>
        <w:rPr>
          <w:rFonts w:hint="eastAsia" w:ascii="宋体" w:hAnsi="宋体" w:eastAsia="宋体" w:cs="宋体"/>
          <w:i w:val="0"/>
          <w:iCs w:val="0"/>
          <w:color w:val="auto"/>
          <w:kern w:val="0"/>
          <w:sz w:val="21"/>
          <w:szCs w:val="21"/>
          <w:highlight w:val="none"/>
          <w:u w:val="none"/>
          <w:lang w:val="en-US" w:eastAsia="zh-CN" w:bidi="ar"/>
        </w:rPr>
        <w:t>时间待定</w:t>
      </w:r>
      <w:r>
        <w:rPr>
          <w:rFonts w:hint="eastAsia" w:hAnsi="宋体" w:cs="宋体"/>
          <w:i w:val="0"/>
          <w:iCs w:val="0"/>
          <w:color w:val="auto"/>
          <w:kern w:val="0"/>
          <w:sz w:val="21"/>
          <w:szCs w:val="21"/>
          <w:highlight w:val="none"/>
          <w:u w:val="none"/>
          <w:lang w:val="en-US" w:eastAsia="zh-CN" w:bidi="ar"/>
        </w:rPr>
        <w:t>，限价8000元/场，</w:t>
      </w:r>
      <w:r>
        <w:rPr>
          <w:rFonts w:hint="eastAsia" w:ascii="宋体" w:hAnsi="宋体" w:eastAsia="宋体" w:cs="宋体"/>
          <w:color w:val="auto"/>
          <w:sz w:val="21"/>
          <w:szCs w:val="21"/>
          <w:highlight w:val="none"/>
        </w:rPr>
        <w:t>总预算不超过1</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000元，以最终项目实施费用为准。</w:t>
      </w:r>
    </w:p>
    <w:tbl>
      <w:tblPr>
        <w:tblStyle w:val="51"/>
        <w:tblW w:w="90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572"/>
        <w:gridCol w:w="2762"/>
        <w:gridCol w:w="1386"/>
        <w:gridCol w:w="1210"/>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44" w:type="dxa"/>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rPr>
              <w:t>休闲娱乐</w:t>
            </w:r>
            <w:r>
              <w:rPr>
                <w:rFonts w:hint="eastAsia" w:ascii="宋体" w:hAnsi="宋体" w:eastAsia="宋体" w:cs="宋体"/>
                <w:color w:val="auto"/>
                <w:sz w:val="21"/>
                <w:szCs w:val="21"/>
                <w:highlight w:val="none"/>
              </w:rPr>
              <w:t>类</w:t>
            </w:r>
            <w:r>
              <w:rPr>
                <w:rFonts w:hint="eastAsia" w:ascii="宋体" w:hAnsi="宋体" w:eastAsia="宋体" w:cs="宋体"/>
                <w:color w:val="auto"/>
                <w:sz w:val="21"/>
                <w:szCs w:val="21"/>
                <w:highlight w:val="none"/>
                <w:lang w:val="en-US" w:eastAsia="zh-CN"/>
              </w:rPr>
              <w:t>活动</w:t>
            </w:r>
            <w:r>
              <w:rPr>
                <w:rFonts w:hint="eastAsia" w:ascii="宋体" w:hAnsi="宋体" w:eastAsia="宋体" w:cs="宋体"/>
                <w:i w:val="0"/>
                <w:iCs w:val="0"/>
                <w:color w:val="auto"/>
                <w:kern w:val="0"/>
                <w:sz w:val="21"/>
                <w:szCs w:val="21"/>
                <w:highlight w:val="none"/>
                <w:u w:val="none"/>
                <w:lang w:val="en-US" w:eastAsia="zh-CN" w:bidi="ar"/>
              </w:rPr>
              <w:t>招标控制价汇总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主体活动</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计划实施时间</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计划场次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rightChars="0"/>
              <w:jc w:val="both"/>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auto"/>
                <w:kern w:val="0"/>
                <w:sz w:val="21"/>
                <w:szCs w:val="21"/>
                <w:highlight w:val="none"/>
                <w:u w:val="none"/>
                <w:lang w:val="en-US" w:eastAsia="zh-CN" w:bidi="ar"/>
              </w:rPr>
              <w:t>单场限价</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rightChars="0"/>
              <w:jc w:val="both"/>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auto"/>
                <w:kern w:val="0"/>
                <w:sz w:val="21"/>
                <w:szCs w:val="21"/>
                <w:highlight w:val="none"/>
                <w:u w:val="none"/>
                <w:lang w:val="en-US" w:eastAsia="zh-CN" w:bidi="ar"/>
              </w:rPr>
              <w:t>合计费用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棋牌竞技赛</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全年2次，时间待定</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autoSpaceDN/>
              <w:adjustRightInd/>
              <w:snapToGrid/>
              <w:spacing w:line="360" w:lineRule="auto"/>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 w:val="21"/>
                <w:szCs w:val="21"/>
                <w:highlight w:val="none"/>
              </w:rPr>
              <w:t>.主题：</w:t>
            </w:r>
            <w:r>
              <w:rPr>
                <w:rFonts w:hint="eastAsia" w:ascii="宋体" w:hAnsi="宋体" w:cs="宋体"/>
                <w:color w:val="auto"/>
                <w:sz w:val="21"/>
                <w:szCs w:val="21"/>
                <w:highlight w:val="none"/>
                <w:lang w:val="en-US" w:eastAsia="zh-CN"/>
              </w:rPr>
              <w:t>棋牌竞技赛</w:t>
            </w:r>
          </w:p>
          <w:p>
            <w:pPr>
              <w:autoSpaceDE/>
              <w:autoSpaceDN/>
              <w:adjustRightInd/>
              <w:snapToGrid/>
              <w:spacing w:line="360" w:lineRule="auto"/>
              <w:ind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.对象：</w:t>
            </w:r>
            <w:r>
              <w:rPr>
                <w:rFonts w:hint="eastAsia" w:ascii="宋体" w:hAnsi="宋体" w:cs="宋体"/>
                <w:color w:val="auto"/>
                <w:sz w:val="21"/>
                <w:szCs w:val="21"/>
                <w:highlight w:val="none"/>
                <w:lang w:val="en-US" w:eastAsia="zh-CN"/>
              </w:rPr>
              <w:t>社区企业员工+俱乐部会员</w:t>
            </w:r>
            <w:r>
              <w:rPr>
                <w:rFonts w:hint="eastAsia" w:ascii="宋体" w:hAnsi="宋体" w:cs="宋体"/>
                <w:color w:val="auto"/>
                <w:sz w:val="21"/>
                <w:szCs w:val="21"/>
                <w:highlight w:val="none"/>
              </w:rPr>
              <w:t>等</w:t>
            </w:r>
          </w:p>
          <w:p>
            <w:pPr>
              <w:autoSpaceDE/>
              <w:autoSpaceDN/>
              <w:adjustRightInd/>
              <w:snapToGrid/>
              <w:spacing w:line="360" w:lineRule="auto"/>
              <w:ind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.场地：</w:t>
            </w:r>
            <w:r>
              <w:rPr>
                <w:rFonts w:hint="eastAsia" w:ascii="宋体" w:hAnsi="宋体" w:cs="宋体"/>
                <w:color w:val="auto"/>
                <w:sz w:val="21"/>
                <w:szCs w:val="21"/>
                <w:highlight w:val="none"/>
                <w:lang w:val="en-US" w:eastAsia="zh-CN"/>
              </w:rPr>
              <w:t>暂定G4栋21楼</w:t>
            </w:r>
          </w:p>
          <w:p>
            <w:pPr>
              <w:autoSpaceDE/>
              <w:autoSpaceDN/>
              <w:adjustRightInd/>
              <w:snapToGrid/>
              <w:spacing w:line="360" w:lineRule="auto"/>
              <w:ind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.规模：暂定</w:t>
            </w:r>
            <w:r>
              <w:rPr>
                <w:rFonts w:hint="eastAsia" w:hAnsi="宋体" w:cs="宋体"/>
                <w:color w:val="auto"/>
                <w:sz w:val="21"/>
                <w:szCs w:val="21"/>
                <w:highlight w:val="none"/>
                <w:lang w:val="en-US" w:eastAsia="zh-CN"/>
              </w:rPr>
              <w:t>100</w:t>
            </w:r>
            <w:r>
              <w:rPr>
                <w:rFonts w:hint="eastAsia" w:ascii="宋体" w:hAnsi="宋体" w:cs="宋体"/>
                <w:color w:val="auto"/>
                <w:sz w:val="21"/>
                <w:szCs w:val="21"/>
                <w:highlight w:val="none"/>
              </w:rPr>
              <w:t>人</w:t>
            </w:r>
          </w:p>
          <w:p>
            <w:pPr>
              <w:keepNext w:val="0"/>
              <w:keepLines w:val="0"/>
              <w:pageBreakBefore w:val="0"/>
              <w:widowControl w:val="0"/>
              <w:suppressLineNumbers w:val="0"/>
              <w:kinsoku/>
              <w:wordWrap/>
              <w:overflowPunct/>
              <w:topLinePunct w:val="0"/>
              <w:autoSpaceDE/>
              <w:autoSpaceDN/>
              <w:bidi w:val="0"/>
              <w:adjustRightInd/>
              <w:snapToGrid/>
              <w:spacing w:line="360" w:lineRule="auto"/>
              <w:ind w:right="0" w:firstLine="0" w:firstLineChars="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.内容：</w:t>
            </w:r>
            <w:r>
              <w:rPr>
                <w:rFonts w:hint="eastAsia" w:ascii="宋体" w:hAnsi="宋体" w:cs="宋体"/>
                <w:color w:val="auto"/>
                <w:sz w:val="21"/>
                <w:szCs w:val="21"/>
                <w:highlight w:val="none"/>
                <w:lang w:val="en-US" w:eastAsia="zh-CN"/>
              </w:rPr>
              <w:t>①</w:t>
            </w:r>
            <w:r>
              <w:rPr>
                <w:rFonts w:hint="eastAsia" w:ascii="宋体" w:hAnsi="宋体" w:cs="宋体"/>
                <w:color w:val="auto"/>
                <w:sz w:val="21"/>
                <w:szCs w:val="21"/>
                <w:highlight w:val="none"/>
              </w:rPr>
              <w:t>按照</w:t>
            </w:r>
            <w:r>
              <w:rPr>
                <w:rFonts w:hint="eastAsia" w:ascii="宋体" w:hAnsi="宋体" w:cs="宋体"/>
                <w:color w:val="auto"/>
                <w:sz w:val="21"/>
                <w:szCs w:val="21"/>
                <w:highlight w:val="none"/>
                <w:lang w:val="en-US" w:eastAsia="zh-CN"/>
              </w:rPr>
              <w:t>报名人员合理分组</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②制订</w:t>
            </w:r>
            <w:r>
              <w:rPr>
                <w:rFonts w:hint="eastAsia" w:ascii="宋体" w:hAnsi="宋体" w:cs="宋体"/>
                <w:color w:val="auto"/>
                <w:sz w:val="21"/>
                <w:szCs w:val="21"/>
                <w:highlight w:val="none"/>
              </w:rPr>
              <w:t>赛制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合理安排赛程</w:t>
            </w:r>
            <w:r>
              <w:rPr>
                <w:rFonts w:hint="eastAsia" w:ascii="宋体" w:hAnsi="宋体" w:cs="宋体"/>
                <w:color w:val="auto"/>
                <w:sz w:val="21"/>
                <w:szCs w:val="21"/>
                <w:highlight w:val="none"/>
              </w:rPr>
              <w:t>赛程；</w:t>
            </w:r>
            <w:r>
              <w:rPr>
                <w:rFonts w:hint="eastAsia" w:ascii="宋体" w:hAnsi="宋体" w:cs="宋体"/>
                <w:color w:val="auto"/>
                <w:sz w:val="21"/>
                <w:szCs w:val="21"/>
                <w:highlight w:val="none"/>
                <w:lang w:val="en-US" w:eastAsia="zh-CN"/>
              </w:rPr>
              <w:t>③</w:t>
            </w:r>
            <w:r>
              <w:rPr>
                <w:rFonts w:hint="eastAsia" w:ascii="宋体" w:hAnsi="宋体" w:cs="宋体"/>
                <w:color w:val="auto"/>
                <w:sz w:val="21"/>
                <w:szCs w:val="21"/>
                <w:highlight w:val="none"/>
              </w:rPr>
              <w:t>活动基本内容要求：设计（赛程设计）、宣传</w:t>
            </w:r>
            <w:r>
              <w:rPr>
                <w:rFonts w:hint="eastAsia" w:hAnsi="宋体" w:cs="宋体"/>
                <w:color w:val="auto"/>
                <w:sz w:val="21"/>
                <w:szCs w:val="21"/>
                <w:highlight w:val="none"/>
                <w:lang w:eastAsia="zh-CN"/>
              </w:rPr>
              <w:t>、</w:t>
            </w:r>
            <w:r>
              <w:rPr>
                <w:rFonts w:hint="eastAsia" w:ascii="宋体" w:hAnsi="宋体" w:cs="宋体"/>
                <w:color w:val="auto"/>
                <w:sz w:val="21"/>
                <w:szCs w:val="21"/>
                <w:highlight w:val="none"/>
              </w:rPr>
              <w:t>物料（</w:t>
            </w:r>
            <w:r>
              <w:rPr>
                <w:rFonts w:hint="eastAsia" w:hAnsi="宋体" w:cs="宋体"/>
                <w:color w:val="auto"/>
                <w:sz w:val="21"/>
                <w:szCs w:val="21"/>
                <w:highlight w:val="none"/>
                <w:lang w:val="en-US" w:eastAsia="zh-CN"/>
              </w:rPr>
              <w:t>含</w:t>
            </w:r>
            <w:r>
              <w:rPr>
                <w:rFonts w:hint="eastAsia" w:ascii="宋体" w:hAnsi="宋体" w:cs="宋体"/>
                <w:color w:val="auto"/>
                <w:sz w:val="21"/>
                <w:szCs w:val="21"/>
                <w:highlight w:val="none"/>
              </w:rPr>
              <w:t>画报</w:t>
            </w:r>
            <w:r>
              <w:rPr>
                <w:rFonts w:hint="eastAsia" w:hAnsi="宋体" w:cs="宋体"/>
                <w:color w:val="auto"/>
                <w:sz w:val="21"/>
                <w:szCs w:val="21"/>
                <w:highlight w:val="none"/>
                <w:lang w:val="en-US" w:eastAsia="zh-CN"/>
              </w:rPr>
              <w:t>等</w:t>
            </w:r>
            <w:r>
              <w:rPr>
                <w:rFonts w:hint="eastAsia" w:ascii="宋体" w:hAnsi="宋体" w:cs="宋体"/>
                <w:color w:val="auto"/>
                <w:sz w:val="21"/>
                <w:szCs w:val="21"/>
                <w:highlight w:val="none"/>
              </w:rPr>
              <w:t>设计），人员配置（每场</w:t>
            </w:r>
            <w:r>
              <w:rPr>
                <w:rFonts w:hint="eastAsia" w:hAnsi="宋体" w:cs="宋体"/>
                <w:color w:val="auto"/>
                <w:sz w:val="21"/>
                <w:szCs w:val="21"/>
                <w:highlight w:val="none"/>
                <w:lang w:val="en-US" w:eastAsia="zh-CN"/>
              </w:rPr>
              <w:t>包含并不限于</w:t>
            </w:r>
            <w:r>
              <w:rPr>
                <w:rFonts w:hint="eastAsia" w:ascii="宋体" w:hAnsi="宋体" w:cs="宋体"/>
                <w:color w:val="auto"/>
                <w:sz w:val="21"/>
                <w:szCs w:val="21"/>
                <w:highlight w:val="none"/>
              </w:rPr>
              <w:t>裁判</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名、计分人员1名</w:t>
            </w:r>
            <w:r>
              <w:rPr>
                <w:rFonts w:hint="eastAsia"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等</w:t>
            </w:r>
          </w:p>
          <w:p>
            <w:pPr>
              <w:keepNext w:val="0"/>
              <w:keepLines w:val="0"/>
              <w:pageBreakBefore w:val="0"/>
              <w:widowControl w:val="0"/>
              <w:suppressLineNumbers w:val="0"/>
              <w:kinsoku/>
              <w:wordWrap/>
              <w:overflowPunct/>
              <w:topLinePunct w:val="0"/>
              <w:autoSpaceDE/>
              <w:autoSpaceDN/>
              <w:bidi w:val="0"/>
              <w:adjustRightInd/>
              <w:snapToGrid/>
              <w:spacing w:line="360" w:lineRule="auto"/>
              <w:ind w:right="0" w:firstLine="0" w:firstLineChars="0"/>
              <w:jc w:val="both"/>
              <w:textAlignment w:val="auto"/>
              <w:rPr>
                <w:rFonts w:hint="default" w:ascii="宋体" w:hAnsi="宋体" w:cs="宋体"/>
                <w:color w:val="auto"/>
                <w:sz w:val="21"/>
                <w:szCs w:val="21"/>
                <w:highlight w:val="none"/>
                <w:lang w:val="en-US" w:eastAsia="zh-CN"/>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设置比赛奖项及奖品</w:t>
            </w:r>
            <w:r>
              <w:rPr>
                <w:rFonts w:hint="eastAsia" w:hAnsi="宋体" w:cs="宋体"/>
                <w:color w:val="auto"/>
                <w:sz w:val="21"/>
                <w:szCs w:val="21"/>
                <w:highlight w:val="none"/>
                <w:lang w:val="en-US" w:eastAsia="zh-CN"/>
              </w:rPr>
              <w:t>：</w:t>
            </w:r>
          </w:p>
        </w:tc>
      </w:tr>
    </w:tbl>
    <w:p>
      <w:pPr>
        <w:shd w:val="clear"/>
        <w:spacing w:line="520" w:lineRule="exact"/>
        <w:outlineLvl w:val="3"/>
        <w:rPr>
          <w:rFonts w:hint="eastAsia"/>
          <w:color w:val="auto"/>
          <w:highlight w:val="none"/>
          <w:lang w:eastAsia="zh-CN"/>
        </w:rPr>
      </w:pPr>
      <w:r>
        <w:rPr>
          <w:rFonts w:hint="eastAsia" w:hAnsi="宋体"/>
          <w:b/>
          <w:color w:val="auto"/>
          <w:sz w:val="21"/>
          <w:szCs w:val="21"/>
          <w:highlight w:val="none"/>
          <w:lang w:eastAsia="zh-CN"/>
        </w:rPr>
        <w:t>四、</w:t>
      </w:r>
      <w:r>
        <w:rPr>
          <w:rFonts w:hint="eastAsia" w:hAnsi="宋体" w:cs="宋体"/>
          <w:b/>
          <w:bCs/>
          <w:color w:val="auto"/>
          <w:sz w:val="21"/>
          <w:szCs w:val="21"/>
          <w:highlight w:val="none"/>
          <w:lang w:val="en-US" w:eastAsia="zh-CN"/>
        </w:rPr>
        <w:t>活动</w:t>
      </w:r>
      <w:r>
        <w:rPr>
          <w:rFonts w:hint="eastAsia" w:hAnsi="宋体"/>
          <w:b/>
          <w:color w:val="auto"/>
          <w:sz w:val="21"/>
          <w:szCs w:val="21"/>
          <w:highlight w:val="none"/>
          <w:lang w:eastAsia="zh-CN"/>
        </w:rPr>
        <w:t>要求</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一</w:t>
      </w:r>
      <w:r>
        <w:rPr>
          <w:rFonts w:hint="eastAsia" w:ascii="宋体" w:hAnsi="宋体" w:eastAsia="宋体" w:cs="宋体"/>
          <w:color w:val="auto"/>
          <w:sz w:val="21"/>
          <w:szCs w:val="21"/>
          <w:highlight w:val="none"/>
          <w:lang w:eastAsia="zh-CN"/>
        </w:rPr>
        <w:t>）方案策划：供应商应对</w:t>
      </w:r>
      <w:r>
        <w:rPr>
          <w:rFonts w:hint="eastAsia" w:hAnsi="宋体" w:cs="宋体"/>
          <w:color w:val="auto"/>
          <w:sz w:val="21"/>
          <w:szCs w:val="21"/>
          <w:highlight w:val="none"/>
          <w:lang w:val="en-US" w:eastAsia="zh-CN"/>
        </w:rPr>
        <w:t>上述</w:t>
      </w:r>
      <w:r>
        <w:rPr>
          <w:rFonts w:hint="eastAsia" w:ascii="宋体" w:hAnsi="宋体" w:eastAsia="宋体" w:cs="宋体"/>
          <w:color w:val="auto"/>
          <w:sz w:val="21"/>
          <w:szCs w:val="21"/>
          <w:highlight w:val="none"/>
          <w:lang w:eastAsia="zh-CN"/>
        </w:rPr>
        <w:t>所有活动进行策划</w:t>
      </w:r>
      <w:r>
        <w:rPr>
          <w:rFonts w:hint="eastAsia" w:hAnsi="宋体" w:cs="宋体"/>
          <w:color w:val="auto"/>
          <w:sz w:val="21"/>
          <w:szCs w:val="21"/>
          <w:highlight w:val="none"/>
          <w:lang w:val="en-US" w:eastAsia="zh-CN"/>
        </w:rPr>
        <w:t>及深化</w:t>
      </w:r>
      <w:r>
        <w:rPr>
          <w:rFonts w:hint="eastAsia" w:ascii="宋体" w:hAnsi="宋体" w:eastAsia="宋体" w:cs="宋体"/>
          <w:color w:val="auto"/>
          <w:sz w:val="21"/>
          <w:szCs w:val="21"/>
          <w:highlight w:val="none"/>
          <w:lang w:eastAsia="zh-CN"/>
        </w:rPr>
        <w:t>，并按照采购人要求的时间、方式向采购人提交策划方案，同时提交相关物料</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活动清单</w:t>
      </w:r>
      <w:r>
        <w:rPr>
          <w:rFonts w:hint="eastAsia" w:hAnsi="宋体" w:cs="宋体"/>
          <w:color w:val="auto"/>
          <w:sz w:val="21"/>
          <w:szCs w:val="21"/>
          <w:highlight w:val="none"/>
          <w:lang w:val="en-US" w:eastAsia="zh-CN"/>
        </w:rPr>
        <w:t>及预算明细</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u w:val="none"/>
          <w:lang w:val="en-US" w:eastAsia="zh-CN"/>
        </w:rPr>
        <w:t>深化活动</w:t>
      </w:r>
      <w:r>
        <w:rPr>
          <w:rFonts w:hint="eastAsia" w:ascii="宋体" w:hAnsi="宋体" w:eastAsia="宋体" w:cs="宋体"/>
          <w:color w:val="auto"/>
          <w:sz w:val="21"/>
          <w:szCs w:val="21"/>
          <w:highlight w:val="none"/>
          <w:lang w:eastAsia="zh-CN"/>
        </w:rPr>
        <w:t>方案</w:t>
      </w:r>
      <w:r>
        <w:rPr>
          <w:rFonts w:hint="eastAsia" w:hAnsi="宋体" w:cs="宋体"/>
          <w:color w:val="auto"/>
          <w:sz w:val="21"/>
          <w:szCs w:val="21"/>
          <w:highlight w:val="none"/>
          <w:lang w:val="en-US" w:eastAsia="zh-CN"/>
        </w:rPr>
        <w:t>后</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实际预算</w:t>
      </w:r>
      <w:r>
        <w:rPr>
          <w:rFonts w:hint="eastAsia" w:hAnsi="宋体" w:cs="宋体"/>
          <w:color w:val="auto"/>
          <w:sz w:val="21"/>
          <w:szCs w:val="21"/>
          <w:highlight w:val="none"/>
          <w:u w:val="none"/>
          <w:lang w:val="en-US" w:eastAsia="zh-CN"/>
        </w:rPr>
        <w:t>原则上不能突破</w:t>
      </w:r>
      <w:r>
        <w:rPr>
          <w:rFonts w:hint="eastAsia" w:hAnsi="宋体" w:cs="宋体"/>
          <w:color w:val="auto"/>
          <w:sz w:val="21"/>
          <w:szCs w:val="21"/>
          <w:highlight w:val="none"/>
          <w:lang w:val="en-US" w:eastAsia="zh-CN"/>
        </w:rPr>
        <w:t>单场活动限价</w:t>
      </w:r>
      <w:r>
        <w:rPr>
          <w:rFonts w:hint="eastAsia"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val="en-US" w:eastAsia="zh-CN"/>
        </w:rPr>
        <w:t>若</w:t>
      </w:r>
      <w:r>
        <w:rPr>
          <w:rFonts w:hint="eastAsia" w:hAnsi="宋体" w:cs="宋体"/>
          <w:color w:val="auto"/>
          <w:sz w:val="21"/>
          <w:szCs w:val="21"/>
          <w:highlight w:val="none"/>
          <w:lang w:val="en-US" w:eastAsia="zh-CN"/>
        </w:rPr>
        <w:t>方案预算</w:t>
      </w:r>
      <w:r>
        <w:rPr>
          <w:rFonts w:hint="eastAsia" w:ascii="宋体" w:hAnsi="宋体" w:eastAsia="宋体" w:cs="宋体"/>
          <w:color w:val="auto"/>
          <w:sz w:val="21"/>
          <w:szCs w:val="21"/>
          <w:highlight w:val="none"/>
          <w:lang w:val="en-US" w:eastAsia="zh-CN"/>
        </w:rPr>
        <w:t>价</w:t>
      </w:r>
      <w:r>
        <w:rPr>
          <w:rFonts w:hint="eastAsia" w:ascii="宋体" w:hAnsi="宋体" w:eastAsia="宋体" w:cs="宋体"/>
          <w:color w:val="auto"/>
          <w:sz w:val="21"/>
          <w:szCs w:val="21"/>
          <w:highlight w:val="none"/>
          <w:lang w:eastAsia="zh-CN"/>
        </w:rPr>
        <w:t>超出</w:t>
      </w:r>
      <w:r>
        <w:rPr>
          <w:rFonts w:hint="eastAsia" w:hAnsi="宋体" w:cs="宋体"/>
          <w:color w:val="auto"/>
          <w:sz w:val="21"/>
          <w:szCs w:val="21"/>
          <w:highlight w:val="none"/>
          <w:lang w:val="en-US" w:eastAsia="zh-CN"/>
        </w:rPr>
        <w:t>合同单场限价（下浮后）</w:t>
      </w:r>
      <w:r>
        <w:rPr>
          <w:rFonts w:hint="eastAsia" w:ascii="宋体" w:hAnsi="宋体" w:eastAsia="宋体" w:cs="宋体"/>
          <w:color w:val="auto"/>
          <w:sz w:val="21"/>
          <w:szCs w:val="21"/>
          <w:highlight w:val="none"/>
          <w:lang w:eastAsia="zh-CN"/>
        </w:rPr>
        <w:t>，则</w:t>
      </w:r>
      <w:r>
        <w:rPr>
          <w:rFonts w:hint="eastAsia" w:hAnsi="宋体" w:cs="宋体"/>
          <w:color w:val="auto"/>
          <w:sz w:val="21"/>
          <w:szCs w:val="21"/>
          <w:highlight w:val="none"/>
          <w:lang w:val="en-US" w:eastAsia="zh-CN"/>
        </w:rPr>
        <w:t>按限价结算</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二</w:t>
      </w:r>
      <w:r>
        <w:rPr>
          <w:rFonts w:hint="eastAsia" w:ascii="宋体" w:hAnsi="宋体" w:eastAsia="宋体" w:cs="宋体"/>
          <w:color w:val="auto"/>
          <w:sz w:val="21"/>
          <w:szCs w:val="21"/>
          <w:highlight w:val="none"/>
          <w:lang w:eastAsia="zh-CN"/>
        </w:rPr>
        <w:t>）物料采购：供应商提供的策划方案及物料清单</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预算</w:t>
      </w:r>
      <w:r>
        <w:rPr>
          <w:rFonts w:hint="eastAsia" w:ascii="宋体" w:hAnsi="宋体" w:eastAsia="宋体" w:cs="宋体"/>
          <w:color w:val="auto"/>
          <w:sz w:val="21"/>
          <w:szCs w:val="21"/>
          <w:highlight w:val="none"/>
          <w:lang w:eastAsia="zh-CN"/>
        </w:rPr>
        <w:t>经采购人书面认可后，供应商负责相关物料及设施的采购（租赁）安装，相关费用由供应商自行承担。采购人提出建议的，供应商应根据采购人意见进行更改，所涉及的调整费</w:t>
      </w:r>
      <w:r>
        <w:rPr>
          <w:rFonts w:hint="eastAsia" w:hAnsi="宋体" w:cs="宋体"/>
          <w:color w:val="auto"/>
          <w:sz w:val="21"/>
          <w:szCs w:val="21"/>
          <w:highlight w:val="none"/>
          <w:lang w:val="en-US" w:eastAsia="zh-CN"/>
        </w:rPr>
        <w:t>超出合同限价的部分由采购人</w:t>
      </w:r>
      <w:r>
        <w:rPr>
          <w:rFonts w:hint="eastAsia" w:ascii="宋体" w:hAnsi="宋体" w:eastAsia="宋体" w:cs="宋体"/>
          <w:color w:val="auto"/>
          <w:sz w:val="21"/>
          <w:szCs w:val="21"/>
          <w:highlight w:val="none"/>
          <w:lang w:eastAsia="zh-CN"/>
        </w:rPr>
        <w:t>承担。</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三</w:t>
      </w:r>
      <w:r>
        <w:rPr>
          <w:rFonts w:hint="eastAsia" w:ascii="宋体" w:hAnsi="宋体" w:eastAsia="宋体" w:cs="宋体"/>
          <w:color w:val="auto"/>
          <w:sz w:val="21"/>
          <w:szCs w:val="21"/>
          <w:highlight w:val="none"/>
          <w:lang w:eastAsia="zh-CN"/>
        </w:rPr>
        <w:t>）活动执行：物料及相关设施采购完毕后，供应商在采购人指定的时间内进行现场摆放、安装、布置，并按合同约定进行相关活动安排及承担活动所需的一切费用等，最终完成活动任务。</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四</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供应商依据清单进行采购（租赁）的物料应是无污染的安全产品，符合国家相关标准、甲方要求和合同目的，不存在任何的纠纷（包括但不限于：知识产权纠纷、所有权纠纷）并享有完整的权利，否则，采购人有权拒绝供应商采购的物料进场安装、使用，拒绝进场的行为并不影响合同、方案约定的进度要求，如有损失则由供应商自行承担。</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五</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供应商应在收到采购人通知后3天内提交策划方案，同时提交相关物料及活动清单。</w:t>
      </w:r>
    </w:p>
    <w:p>
      <w:pPr>
        <w:autoSpaceDE/>
        <w:autoSpaceDN/>
        <w:adjustRightInd/>
        <w:spacing w:line="360" w:lineRule="auto"/>
        <w:ind w:right="0" w:firstLine="420" w:firstLineChars="200"/>
        <w:jc w:val="both"/>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六</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采购人有权依据实际情况要求</w:t>
      </w:r>
      <w:r>
        <w:rPr>
          <w:rFonts w:hint="eastAsia" w:hAnsi="宋体" w:cs="宋体"/>
          <w:color w:val="auto"/>
          <w:sz w:val="21"/>
          <w:szCs w:val="21"/>
          <w:highlight w:val="none"/>
          <w:lang w:val="en-US" w:eastAsia="zh-CN"/>
        </w:rPr>
        <w:t>变更或</w:t>
      </w:r>
      <w:r>
        <w:rPr>
          <w:rFonts w:hint="eastAsia" w:ascii="宋体" w:hAnsi="宋体" w:eastAsia="宋体" w:cs="宋体"/>
          <w:color w:val="auto"/>
          <w:sz w:val="21"/>
          <w:szCs w:val="21"/>
          <w:highlight w:val="none"/>
          <w:lang w:eastAsia="zh-CN"/>
        </w:rPr>
        <w:t>修改方案，</w:t>
      </w:r>
      <w:r>
        <w:rPr>
          <w:rFonts w:hint="eastAsia" w:ascii="宋体" w:hAnsi="宋体" w:cs="宋体"/>
          <w:color w:val="auto"/>
          <w:sz w:val="21"/>
          <w:szCs w:val="21"/>
          <w:highlight w:val="none"/>
        </w:rPr>
        <w:t>供应商需按照采购人的要求进行调整</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七）方案</w:t>
      </w:r>
      <w:r>
        <w:rPr>
          <w:rFonts w:hint="eastAsia" w:ascii="宋体" w:hAnsi="宋体" w:eastAsia="宋体" w:cs="宋体"/>
          <w:color w:val="auto"/>
          <w:sz w:val="21"/>
          <w:szCs w:val="21"/>
          <w:highlight w:val="none"/>
          <w:lang w:eastAsia="zh-CN"/>
        </w:rPr>
        <w:t>已经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确认且</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已遵照</w:t>
      </w:r>
      <w:r>
        <w:rPr>
          <w:rFonts w:hint="eastAsia" w:hAnsi="宋体" w:cs="宋体"/>
          <w:color w:val="auto"/>
          <w:sz w:val="21"/>
          <w:szCs w:val="21"/>
          <w:highlight w:val="none"/>
          <w:lang w:val="en-US" w:eastAsia="zh-CN"/>
        </w:rPr>
        <w:t>方案布场</w:t>
      </w:r>
      <w:r>
        <w:rPr>
          <w:rFonts w:hint="eastAsia" w:ascii="宋体" w:hAnsi="宋体" w:eastAsia="宋体" w:cs="宋体"/>
          <w:color w:val="auto"/>
          <w:sz w:val="21"/>
          <w:szCs w:val="21"/>
          <w:highlight w:val="none"/>
          <w:lang w:eastAsia="zh-CN"/>
        </w:rPr>
        <w:t>安装完成后，采购人要求进行变更导致增加</w:t>
      </w:r>
      <w:r>
        <w:rPr>
          <w:rFonts w:hint="eastAsia" w:hAnsi="宋体" w:cs="宋体"/>
          <w:color w:val="auto"/>
          <w:sz w:val="21"/>
          <w:szCs w:val="21"/>
          <w:highlight w:val="none"/>
          <w:lang w:val="en-US" w:eastAsia="zh-CN"/>
        </w:rPr>
        <w:t>的相应</w:t>
      </w:r>
      <w:r>
        <w:rPr>
          <w:rFonts w:hint="eastAsia" w:ascii="宋体" w:hAnsi="宋体" w:eastAsia="宋体" w:cs="宋体"/>
          <w:color w:val="auto"/>
          <w:sz w:val="21"/>
          <w:szCs w:val="21"/>
          <w:highlight w:val="none"/>
          <w:lang w:eastAsia="zh-CN"/>
        </w:rPr>
        <w:t>材料、设备，因此增加</w:t>
      </w:r>
      <w:r>
        <w:rPr>
          <w:rFonts w:hint="eastAsia" w:ascii="宋体" w:hAnsi="宋体" w:eastAsia="宋体" w:cs="宋体"/>
          <w:color w:val="auto"/>
          <w:sz w:val="21"/>
          <w:szCs w:val="21"/>
          <w:highlight w:val="none"/>
          <w:lang w:val="en-US" w:eastAsia="zh-CN"/>
        </w:rPr>
        <w:t>了</w:t>
      </w:r>
      <w:r>
        <w:rPr>
          <w:rFonts w:hint="eastAsia" w:hAnsi="宋体" w:cs="宋体"/>
          <w:color w:val="auto"/>
          <w:sz w:val="21"/>
          <w:szCs w:val="21"/>
          <w:highlight w:val="none"/>
          <w:lang w:val="en-US" w:eastAsia="zh-CN"/>
        </w:rPr>
        <w:t>费用由采购人</w:t>
      </w:r>
      <w:r>
        <w:rPr>
          <w:rFonts w:hint="eastAsia" w:ascii="宋体" w:hAnsi="宋体" w:eastAsia="宋体" w:cs="宋体"/>
          <w:color w:val="auto"/>
          <w:sz w:val="21"/>
          <w:szCs w:val="21"/>
          <w:highlight w:val="none"/>
          <w:lang w:eastAsia="zh-CN"/>
        </w:rPr>
        <w:t>承担</w:t>
      </w:r>
      <w:r>
        <w:rPr>
          <w:rFonts w:hint="eastAsia" w:hAnsi="宋体" w:cs="宋体"/>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color w:val="auto"/>
          <w:highlight w:val="none"/>
          <w:lang w:eastAsia="zh-CN"/>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八</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供应商应在采购人指定时间内完成全部受托事项，并经采购人书面确认合格。</w:t>
      </w:r>
    </w:p>
    <w:p>
      <w:pPr>
        <w:shd w:val="clear"/>
        <w:spacing w:line="520" w:lineRule="exact"/>
        <w:outlineLvl w:val="3"/>
        <w:rPr>
          <w:rFonts w:hint="eastAsia"/>
          <w:color w:val="auto"/>
          <w:highlight w:val="none"/>
          <w:lang w:eastAsia="zh-CN"/>
        </w:rPr>
      </w:pPr>
      <w:r>
        <w:rPr>
          <w:rFonts w:hint="eastAsia" w:hAnsi="宋体"/>
          <w:b/>
          <w:color w:val="auto"/>
          <w:sz w:val="21"/>
          <w:szCs w:val="21"/>
          <w:highlight w:val="none"/>
          <w:lang w:val="en-US" w:eastAsia="zh-CN"/>
        </w:rPr>
        <w:t>五</w:t>
      </w:r>
      <w:r>
        <w:rPr>
          <w:rFonts w:hint="eastAsia" w:hAnsi="宋体"/>
          <w:b/>
          <w:color w:val="auto"/>
          <w:sz w:val="21"/>
          <w:szCs w:val="21"/>
          <w:highlight w:val="none"/>
          <w:lang w:eastAsia="zh-CN"/>
        </w:rPr>
        <w:t>、其他要求</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★采购人有权根据实际情况调整活动，按实结算。合同执行过程中，采购人如需变更项目计划，应提前以书面形式告知供应商，供应商依据采购人要求变更计划，由于变更所产生的费用及损失由</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承担，采购人有权视情况同意</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将执行周期予以合理顺延。</w:t>
      </w:r>
      <w:r>
        <w:rPr>
          <w:rFonts w:hint="eastAsia" w:hAnsi="宋体" w:cs="宋体"/>
          <w:color w:val="auto"/>
          <w:sz w:val="21"/>
          <w:szCs w:val="21"/>
          <w:highlight w:val="none"/>
          <w:lang w:val="en-US" w:eastAsia="zh-CN"/>
        </w:rPr>
        <w:t>合同期内，</w:t>
      </w:r>
      <w:r>
        <w:rPr>
          <w:rFonts w:hint="eastAsia" w:ascii="宋体" w:hAnsi="宋体" w:eastAsia="宋体" w:cs="宋体"/>
          <w:color w:val="auto"/>
          <w:sz w:val="21"/>
          <w:szCs w:val="21"/>
          <w:highlight w:val="none"/>
          <w:lang w:eastAsia="zh-CN"/>
        </w:rPr>
        <w:t>采购人</w:t>
      </w:r>
      <w:r>
        <w:rPr>
          <w:rFonts w:hint="eastAsia" w:hAnsi="宋体" w:cs="宋体"/>
          <w:color w:val="auto"/>
          <w:sz w:val="21"/>
          <w:szCs w:val="21"/>
          <w:highlight w:val="none"/>
          <w:lang w:val="en-US" w:eastAsia="zh-CN"/>
        </w:rPr>
        <w:t>有权根据实际需求增加计划外活动项目，</w:t>
      </w:r>
      <w:r>
        <w:rPr>
          <w:rFonts w:hint="eastAsia" w:ascii="宋体" w:hAnsi="宋体" w:eastAsia="宋体" w:cs="宋体"/>
          <w:color w:val="auto"/>
          <w:sz w:val="21"/>
          <w:szCs w:val="21"/>
          <w:highlight w:val="none"/>
          <w:lang w:eastAsia="zh-CN"/>
        </w:rPr>
        <w:t>供应商</w:t>
      </w:r>
      <w:r>
        <w:rPr>
          <w:rFonts w:hint="eastAsia" w:hAnsi="宋体" w:cs="宋体"/>
          <w:color w:val="auto"/>
          <w:sz w:val="21"/>
          <w:szCs w:val="21"/>
          <w:highlight w:val="none"/>
          <w:lang w:val="en-US" w:eastAsia="zh-CN"/>
        </w:rPr>
        <w:t>应配合实施，相关费用由</w:t>
      </w:r>
      <w:r>
        <w:rPr>
          <w:rFonts w:hint="eastAsia" w:ascii="宋体" w:hAnsi="宋体" w:eastAsia="宋体" w:cs="宋体"/>
          <w:color w:val="auto"/>
          <w:sz w:val="21"/>
          <w:szCs w:val="21"/>
          <w:highlight w:val="none"/>
          <w:lang w:eastAsia="zh-CN"/>
        </w:rPr>
        <w:t>采购人</w:t>
      </w:r>
      <w:r>
        <w:rPr>
          <w:rFonts w:hint="eastAsia" w:hAnsi="宋体" w:cs="宋体"/>
          <w:color w:val="auto"/>
          <w:sz w:val="21"/>
          <w:szCs w:val="21"/>
          <w:highlight w:val="none"/>
          <w:lang w:val="en-US" w:eastAsia="zh-CN"/>
        </w:rPr>
        <w:t>承担。</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活动涉及物料或清单，优先按《</w:t>
      </w:r>
      <w:r>
        <w:rPr>
          <w:rFonts w:hint="eastAsia" w:hAnsi="宋体"/>
          <w:color w:val="auto"/>
          <w:sz w:val="21"/>
          <w:szCs w:val="21"/>
          <w:highlight w:val="none"/>
          <w:lang w:val="en-US" w:eastAsia="zh-CN"/>
        </w:rPr>
        <w:t>补充物料清单》单价（下浮后）执行。</w:t>
      </w:r>
      <w:r>
        <w:rPr>
          <w:rFonts w:hint="eastAsia" w:hAnsi="宋体" w:cs="宋体"/>
          <w:color w:val="auto"/>
          <w:sz w:val="21"/>
          <w:szCs w:val="21"/>
          <w:highlight w:val="none"/>
          <w:lang w:val="en-US" w:eastAsia="zh-CN"/>
        </w:rPr>
        <w:t xml:space="preserve">没有的参考市场价双方协商确定。 </w:t>
      </w:r>
    </w:p>
    <w:p>
      <w:pPr>
        <w:shd w:val="clear"/>
        <w:autoSpaceDE/>
        <w:autoSpaceDN/>
        <w:adjustRightInd/>
        <w:spacing w:line="360" w:lineRule="auto"/>
        <w:jc w:val="both"/>
        <w:outlineLvl w:val="3"/>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六、附件：预计活动清单（初步方案）</w:t>
      </w:r>
    </w:p>
    <w:p>
      <w:pPr>
        <w:shd w:val="clear"/>
        <w:autoSpaceDE/>
        <w:autoSpaceDN/>
        <w:adjustRightInd/>
        <w:spacing w:line="360" w:lineRule="auto"/>
        <w:jc w:val="both"/>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（一）</w:t>
      </w:r>
      <w:r>
        <w:rPr>
          <w:rFonts w:hint="eastAsia" w:ascii="宋体" w:hAnsi="宋体" w:eastAsia="宋体" w:cs="宋体"/>
          <w:b/>
          <w:color w:val="auto"/>
          <w:kern w:val="2"/>
          <w:sz w:val="21"/>
          <w:szCs w:val="21"/>
          <w:highlight w:val="none"/>
        </w:rPr>
        <w:t>活动清单（初步方案）汇总</w:t>
      </w:r>
    </w:p>
    <w:tbl>
      <w:tblPr>
        <w:tblStyle w:val="5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3"/>
        <w:gridCol w:w="1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活动类型</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一、科创类活动</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1.1.1早餐会</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1.1.2下午茶</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1.1.3博士论坛</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1.1.4星空夜话</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1.1.5学术论坛、讲座</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二、节日类活动</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hAnsi="宋体" w:cs="宋体"/>
                <w:b/>
                <w:bCs/>
                <w:i w:val="0"/>
                <w:iCs w:val="0"/>
                <w:color w:val="auto"/>
                <w:kern w:val="0"/>
                <w:sz w:val="21"/>
                <w:szCs w:val="21"/>
                <w:highlight w:val="none"/>
                <w:u w:val="none"/>
                <w:shd w:val="clear" w:color="auto" w:fill="auto"/>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w:t>
            </w:r>
            <w:r>
              <w:rPr>
                <w:rFonts w:hint="eastAsia" w:hAnsi="宋体" w:cs="宋体"/>
                <w:i w:val="0"/>
                <w:iCs w:val="0"/>
                <w:color w:val="auto"/>
                <w:kern w:val="0"/>
                <w:sz w:val="21"/>
                <w:szCs w:val="21"/>
                <w:highlight w:val="none"/>
                <w:u w:val="none"/>
                <w:shd w:val="clear" w:color="auto" w:fill="auto"/>
                <w:lang w:val="en-US" w:eastAsia="zh-CN" w:bidi="ar"/>
              </w:rPr>
              <w:t>1</w:t>
            </w:r>
            <w:r>
              <w:rPr>
                <w:rFonts w:hint="eastAsia" w:ascii="宋体" w:hAnsi="宋体" w:eastAsia="宋体" w:cs="宋体"/>
                <w:i w:val="0"/>
                <w:iCs w:val="0"/>
                <w:color w:val="auto"/>
                <w:kern w:val="0"/>
                <w:sz w:val="21"/>
                <w:szCs w:val="21"/>
                <w:highlight w:val="none"/>
                <w:u w:val="none"/>
                <w:shd w:val="clear" w:color="auto" w:fill="auto"/>
                <w:lang w:val="en-US" w:eastAsia="zh-CN" w:bidi="ar"/>
              </w:rPr>
              <w:t>-中秋国庆</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w:t>
            </w:r>
            <w:r>
              <w:rPr>
                <w:rFonts w:hint="eastAsia" w:hAnsi="宋体" w:cs="宋体"/>
                <w:i w:val="0"/>
                <w:iCs w:val="0"/>
                <w:color w:val="auto"/>
                <w:kern w:val="0"/>
                <w:sz w:val="21"/>
                <w:szCs w:val="21"/>
                <w:highlight w:val="none"/>
                <w:u w:val="none"/>
                <w:shd w:val="clear" w:color="auto" w:fill="auto"/>
                <w:lang w:val="en-US" w:eastAsia="zh-CN" w:bidi="ar"/>
              </w:rPr>
              <w:t>2</w:t>
            </w:r>
            <w:r>
              <w:rPr>
                <w:rFonts w:hint="eastAsia" w:ascii="宋体" w:hAnsi="宋体" w:eastAsia="宋体" w:cs="宋体"/>
                <w:i w:val="0"/>
                <w:iCs w:val="0"/>
                <w:color w:val="auto"/>
                <w:kern w:val="0"/>
                <w:sz w:val="21"/>
                <w:szCs w:val="21"/>
                <w:highlight w:val="none"/>
                <w:u w:val="none"/>
                <w:shd w:val="clear" w:color="auto" w:fill="auto"/>
                <w:lang w:val="en-US" w:eastAsia="zh-CN" w:bidi="ar"/>
              </w:rPr>
              <w:t>-科学家端午节</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w:t>
            </w:r>
            <w:r>
              <w:rPr>
                <w:rFonts w:hint="eastAsia" w:hAnsi="宋体" w:cs="宋体"/>
                <w:i w:val="0"/>
                <w:iCs w:val="0"/>
                <w:color w:val="auto"/>
                <w:kern w:val="0"/>
                <w:sz w:val="21"/>
                <w:szCs w:val="21"/>
                <w:highlight w:val="none"/>
                <w:u w:val="none"/>
                <w:shd w:val="clear" w:color="auto" w:fill="auto"/>
                <w:lang w:val="en-US" w:eastAsia="zh-CN" w:bidi="ar"/>
              </w:rPr>
              <w:t>3</w:t>
            </w:r>
            <w:r>
              <w:rPr>
                <w:rFonts w:hint="eastAsia" w:ascii="宋体" w:hAnsi="宋体" w:eastAsia="宋体" w:cs="宋体"/>
                <w:i w:val="0"/>
                <w:iCs w:val="0"/>
                <w:color w:val="auto"/>
                <w:kern w:val="0"/>
                <w:sz w:val="21"/>
                <w:szCs w:val="21"/>
                <w:highlight w:val="none"/>
                <w:u w:val="none"/>
                <w:shd w:val="clear" w:color="auto" w:fill="auto"/>
                <w:lang w:val="en-US" w:eastAsia="zh-CN" w:bidi="ar"/>
              </w:rPr>
              <w:t>-科学家中秋节</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三、文化类活动</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3.1-五谷主题画</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3.2-绕线画、丝线画</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3.3-掐丝珐琅（非遗掐丝珐琅画）</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3.4-非遗螺钿胸针</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3.5-广东三宝制作</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3.6-莞香香牌 制作</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3.7-戏曲创意画 制作</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3.8-戳戳绣</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3.9-香囊制作</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3.10-非遗烧箔画</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3.11-非遗二十四节气文创</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3.12-非遗点翠</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3.13-非遗传拓</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3.14-非遗缠花发簪/胸针 DIY</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3.15-非遗竹编</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3.16-非遗花草纸 文创书灯</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3.17-非遗岭南押花 文创台灯</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3.18-锦绣江山流沙画</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3.19-非遗绒花 DIY</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3.20-非遗篆刻 体验</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3.21-相亲舞会</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四、休闲娱乐类活动</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4.1-棋牌竞技赛</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w:t>
            </w:r>
          </w:p>
        </w:tc>
      </w:tr>
    </w:tbl>
    <w:p>
      <w:pPr>
        <w:shd w:val="clear"/>
        <w:autoSpaceDE/>
        <w:autoSpaceDN/>
        <w:adjustRightInd/>
        <w:spacing w:line="360" w:lineRule="auto"/>
        <w:jc w:val="both"/>
        <w:rPr>
          <w:rFonts w:hint="eastAsia" w:ascii="宋体" w:hAnsi="宋体" w:eastAsia="宋体" w:cs="宋体"/>
          <w:b/>
          <w:color w:val="auto"/>
          <w:kern w:val="2"/>
          <w:sz w:val="21"/>
          <w:szCs w:val="21"/>
          <w:highlight w:val="none"/>
          <w:shd w:val="clear" w:color="auto" w:fill="auto"/>
          <w:lang w:eastAsia="zh-CN"/>
        </w:rPr>
      </w:pPr>
      <w:r>
        <w:rPr>
          <w:rFonts w:hint="eastAsia" w:ascii="宋体" w:hAnsi="宋体" w:eastAsia="宋体" w:cs="宋体"/>
          <w:b/>
          <w:color w:val="auto"/>
          <w:kern w:val="2"/>
          <w:sz w:val="21"/>
          <w:szCs w:val="21"/>
          <w:highlight w:val="none"/>
          <w:shd w:val="clear" w:color="auto" w:fill="auto"/>
          <w:lang w:val="en-US" w:eastAsia="zh-CN"/>
        </w:rPr>
        <w:t>（二）</w:t>
      </w:r>
      <w:r>
        <w:rPr>
          <w:rFonts w:hint="eastAsia" w:ascii="宋体" w:hAnsi="宋体" w:eastAsia="宋体" w:cs="宋体"/>
          <w:b/>
          <w:color w:val="auto"/>
          <w:kern w:val="2"/>
          <w:sz w:val="21"/>
          <w:szCs w:val="21"/>
          <w:highlight w:val="none"/>
          <w:shd w:val="clear" w:color="auto" w:fill="auto"/>
        </w:rPr>
        <w:t>活动清单（初步方案）</w:t>
      </w:r>
      <w:r>
        <w:rPr>
          <w:rFonts w:hint="eastAsia" w:ascii="宋体" w:hAnsi="宋体" w:eastAsia="宋体" w:cs="宋体"/>
          <w:b/>
          <w:color w:val="auto"/>
          <w:kern w:val="2"/>
          <w:sz w:val="21"/>
          <w:szCs w:val="21"/>
          <w:highlight w:val="none"/>
          <w:shd w:val="clear" w:color="auto" w:fill="auto"/>
          <w:lang w:eastAsia="zh-CN"/>
        </w:rPr>
        <w:t>明细</w:t>
      </w:r>
    </w:p>
    <w:p>
      <w:pPr>
        <w:pStyle w:val="2"/>
        <w:shd w:val="clear"/>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b/>
          <w:bCs/>
          <w:i w:val="0"/>
          <w:iCs w:val="0"/>
          <w:color w:val="auto"/>
          <w:kern w:val="0"/>
          <w:sz w:val="21"/>
          <w:szCs w:val="21"/>
          <w:highlight w:val="none"/>
          <w:u w:val="none"/>
          <w:shd w:val="clear" w:color="auto" w:fill="auto"/>
          <w:lang w:val="en-US" w:eastAsia="zh-CN" w:bidi="ar"/>
        </w:rPr>
        <w:t>科创类活动</w:t>
      </w:r>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6"/>
        <w:gridCol w:w="2154"/>
        <w:gridCol w:w="5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000" w:type="pct"/>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Style w:val="197"/>
                <w:rFonts w:ascii="宋体" w:hAnsi="宋体" w:eastAsia="宋体" w:cs="宋体"/>
                <w:color w:val="auto"/>
                <w:sz w:val="21"/>
                <w:szCs w:val="21"/>
                <w:highlight w:val="none"/>
                <w:shd w:val="clear" w:color="auto" w:fill="auto"/>
                <w:lang w:val="en-US" w:eastAsia="zh-CN" w:bidi="ar"/>
              </w:rPr>
              <w:t>I</w:t>
            </w:r>
            <w:r>
              <w:rPr>
                <w:rFonts w:hint="eastAsia" w:ascii="宋体" w:hAnsi="宋体" w:eastAsia="宋体" w:cs="宋体"/>
                <w:i w:val="0"/>
                <w:iCs w:val="0"/>
                <w:color w:val="auto"/>
                <w:kern w:val="0"/>
                <w:sz w:val="21"/>
                <w:szCs w:val="21"/>
                <w:highlight w:val="none"/>
                <w:u w:val="none"/>
                <w:shd w:val="clear" w:color="auto" w:fill="auto"/>
                <w:lang w:val="en-US" w:eastAsia="zh-CN" w:bidi="ar"/>
              </w:rPr>
              <w:t>³</w:t>
            </w:r>
            <w:r>
              <w:rPr>
                <w:rStyle w:val="197"/>
                <w:rFonts w:ascii="宋体" w:hAnsi="宋体" w:eastAsia="宋体" w:cs="宋体"/>
                <w:color w:val="auto"/>
                <w:sz w:val="21"/>
                <w:szCs w:val="21"/>
                <w:highlight w:val="none"/>
                <w:shd w:val="clear" w:color="auto" w:fill="auto"/>
                <w:lang w:val="en-US" w:eastAsia="zh-CN" w:bidi="ar"/>
              </w:rPr>
              <w:t>创业·早餐会-明细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序号</w:t>
            </w:r>
          </w:p>
        </w:tc>
        <w:tc>
          <w:tcPr>
            <w:tcW w:w="1264"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名称</w:t>
            </w:r>
          </w:p>
        </w:tc>
        <w:tc>
          <w:tcPr>
            <w:tcW w:w="3320"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活动主要内容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14"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c>
          <w:tcPr>
            <w:tcW w:w="126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物料设计、执行</w:t>
            </w:r>
          </w:p>
        </w:tc>
        <w:tc>
          <w:tcPr>
            <w:tcW w:w="33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各类海报及背景屏幕、PPT扉页等</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活动执行团队统筹及服务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14"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w:t>
            </w:r>
          </w:p>
        </w:tc>
        <w:tc>
          <w:tcPr>
            <w:tcW w:w="126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早餐</w:t>
            </w:r>
          </w:p>
        </w:tc>
        <w:tc>
          <w:tcPr>
            <w:tcW w:w="33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四星级酒店或内知名大酒楼供应的中西餐早餐餐点，要求出品优良，色香味俱全。需包含上餐及侍餐服务。20人份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w:t>
            </w:r>
          </w:p>
        </w:tc>
        <w:tc>
          <w:tcPr>
            <w:tcW w:w="126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台面物料</w:t>
            </w:r>
          </w:p>
        </w:tc>
        <w:tc>
          <w:tcPr>
            <w:tcW w:w="33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白绸桌布、蓝绸台布、餐布（20个）、水牌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4</w:t>
            </w:r>
          </w:p>
        </w:tc>
        <w:tc>
          <w:tcPr>
            <w:tcW w:w="126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一楼指引牌</w:t>
            </w:r>
          </w:p>
        </w:tc>
        <w:tc>
          <w:tcPr>
            <w:tcW w:w="33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A3落地指引牌，2套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Style w:val="197"/>
                <w:rFonts w:ascii="宋体" w:hAnsi="宋体" w:eastAsia="宋体" w:cs="宋体"/>
                <w:color w:val="auto"/>
                <w:sz w:val="21"/>
                <w:szCs w:val="21"/>
                <w:highlight w:val="none"/>
                <w:shd w:val="clear" w:color="auto" w:fill="auto"/>
                <w:lang w:val="en-US" w:eastAsia="zh-CN" w:bidi="ar"/>
              </w:rPr>
              <w:t>I</w:t>
            </w:r>
            <w:r>
              <w:rPr>
                <w:rFonts w:hint="eastAsia" w:ascii="宋体" w:hAnsi="宋体" w:eastAsia="宋体" w:cs="宋体"/>
                <w:i w:val="0"/>
                <w:iCs w:val="0"/>
                <w:color w:val="auto"/>
                <w:kern w:val="0"/>
                <w:sz w:val="21"/>
                <w:szCs w:val="21"/>
                <w:highlight w:val="none"/>
                <w:u w:val="none"/>
                <w:shd w:val="clear" w:color="auto" w:fill="auto"/>
                <w:lang w:val="en-US" w:eastAsia="zh-CN" w:bidi="ar"/>
              </w:rPr>
              <w:t>³</w:t>
            </w:r>
            <w:r>
              <w:rPr>
                <w:rStyle w:val="197"/>
                <w:rFonts w:ascii="宋体" w:hAnsi="宋体" w:eastAsia="宋体" w:cs="宋体"/>
                <w:color w:val="auto"/>
                <w:sz w:val="21"/>
                <w:szCs w:val="21"/>
                <w:highlight w:val="none"/>
                <w:shd w:val="clear" w:color="auto" w:fill="auto"/>
                <w:lang w:val="en-US" w:eastAsia="zh-CN" w:bidi="ar"/>
              </w:rPr>
              <w:t>创业·下午茶-明细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序号</w:t>
            </w:r>
          </w:p>
        </w:tc>
        <w:tc>
          <w:tcPr>
            <w:tcW w:w="1264"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名称</w:t>
            </w:r>
          </w:p>
        </w:tc>
        <w:tc>
          <w:tcPr>
            <w:tcW w:w="3320"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活动主要内容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14"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c>
          <w:tcPr>
            <w:tcW w:w="126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物料设计、执行</w:t>
            </w:r>
          </w:p>
        </w:tc>
        <w:tc>
          <w:tcPr>
            <w:tcW w:w="33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各类海报及背景屏幕、PPT扉页等</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活动执行团队统筹及服务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w:t>
            </w:r>
          </w:p>
        </w:tc>
        <w:tc>
          <w:tcPr>
            <w:tcW w:w="126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下午茶</w:t>
            </w:r>
          </w:p>
        </w:tc>
        <w:tc>
          <w:tcPr>
            <w:tcW w:w="33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自助式茶歇、带餐具等辅助道具，20人位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w:t>
            </w:r>
          </w:p>
        </w:tc>
        <w:tc>
          <w:tcPr>
            <w:tcW w:w="126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台面物料</w:t>
            </w:r>
          </w:p>
        </w:tc>
        <w:tc>
          <w:tcPr>
            <w:tcW w:w="33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圆桌桌布、台卡等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4</w:t>
            </w:r>
          </w:p>
        </w:tc>
        <w:tc>
          <w:tcPr>
            <w:tcW w:w="126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一楼指引牌</w:t>
            </w:r>
          </w:p>
        </w:tc>
        <w:tc>
          <w:tcPr>
            <w:tcW w:w="33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A3落地指引牌，2套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Style w:val="197"/>
                <w:rFonts w:ascii="宋体" w:hAnsi="宋体" w:eastAsia="宋体" w:cs="宋体"/>
                <w:color w:val="auto"/>
                <w:sz w:val="21"/>
                <w:szCs w:val="21"/>
                <w:highlight w:val="none"/>
                <w:shd w:val="clear" w:color="auto" w:fill="auto"/>
                <w:lang w:val="en-US" w:eastAsia="zh-CN" w:bidi="ar"/>
              </w:rPr>
              <w:t>I</w:t>
            </w:r>
            <w:r>
              <w:rPr>
                <w:rFonts w:hint="eastAsia" w:ascii="宋体" w:hAnsi="宋体" w:eastAsia="宋体" w:cs="宋体"/>
                <w:i w:val="0"/>
                <w:iCs w:val="0"/>
                <w:color w:val="auto"/>
                <w:kern w:val="0"/>
                <w:sz w:val="21"/>
                <w:szCs w:val="21"/>
                <w:highlight w:val="none"/>
                <w:u w:val="none"/>
                <w:shd w:val="clear" w:color="auto" w:fill="auto"/>
                <w:lang w:val="en-US" w:eastAsia="zh-CN" w:bidi="ar"/>
              </w:rPr>
              <w:t>³</w:t>
            </w:r>
            <w:r>
              <w:rPr>
                <w:rStyle w:val="197"/>
                <w:rFonts w:ascii="宋体" w:hAnsi="宋体" w:eastAsia="宋体" w:cs="宋体"/>
                <w:color w:val="auto"/>
                <w:sz w:val="21"/>
                <w:szCs w:val="21"/>
                <w:highlight w:val="none"/>
                <w:shd w:val="clear" w:color="auto" w:fill="auto"/>
                <w:lang w:val="en-US" w:eastAsia="zh-CN" w:bidi="ar"/>
              </w:rPr>
              <w:t>创新·博士论坛、学术论坛、讲座类活动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序号</w:t>
            </w:r>
          </w:p>
        </w:tc>
        <w:tc>
          <w:tcPr>
            <w:tcW w:w="1264"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名称</w:t>
            </w:r>
          </w:p>
        </w:tc>
        <w:tc>
          <w:tcPr>
            <w:tcW w:w="3320"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活动主要内容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c>
          <w:tcPr>
            <w:tcW w:w="126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物料设计、统筹执行</w:t>
            </w:r>
          </w:p>
        </w:tc>
        <w:tc>
          <w:tcPr>
            <w:tcW w:w="33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海报及背景屏幕，活动执行团队统筹及服务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w:t>
            </w:r>
          </w:p>
        </w:tc>
        <w:tc>
          <w:tcPr>
            <w:tcW w:w="126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专家邀请费</w:t>
            </w:r>
          </w:p>
        </w:tc>
        <w:tc>
          <w:tcPr>
            <w:tcW w:w="33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根据不同专家的实际费用需求据实调整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w:t>
            </w:r>
          </w:p>
        </w:tc>
        <w:tc>
          <w:tcPr>
            <w:tcW w:w="126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茶歇</w:t>
            </w:r>
          </w:p>
        </w:tc>
        <w:tc>
          <w:tcPr>
            <w:tcW w:w="33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自助式茶歇、带餐具等辅助道具，20人位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4</w:t>
            </w:r>
          </w:p>
        </w:tc>
        <w:tc>
          <w:tcPr>
            <w:tcW w:w="126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台面物料</w:t>
            </w:r>
          </w:p>
        </w:tc>
        <w:tc>
          <w:tcPr>
            <w:tcW w:w="33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圆桌桌布、台卡等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5</w:t>
            </w:r>
          </w:p>
        </w:tc>
        <w:tc>
          <w:tcPr>
            <w:tcW w:w="126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一楼指引牌</w:t>
            </w:r>
          </w:p>
        </w:tc>
        <w:tc>
          <w:tcPr>
            <w:tcW w:w="33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A3落地指引牌，2套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Style w:val="197"/>
                <w:rFonts w:ascii="宋体" w:hAnsi="宋体" w:eastAsia="宋体" w:cs="宋体"/>
                <w:color w:val="auto"/>
                <w:sz w:val="21"/>
                <w:szCs w:val="21"/>
                <w:highlight w:val="none"/>
                <w:shd w:val="clear" w:color="auto" w:fill="auto"/>
                <w:lang w:val="en-US" w:eastAsia="zh-CN" w:bidi="ar"/>
              </w:rPr>
              <w:t>I</w:t>
            </w:r>
            <w:r>
              <w:rPr>
                <w:rFonts w:hint="eastAsia" w:ascii="宋体" w:hAnsi="宋体" w:eastAsia="宋体" w:cs="宋体"/>
                <w:i w:val="0"/>
                <w:iCs w:val="0"/>
                <w:color w:val="auto"/>
                <w:kern w:val="0"/>
                <w:sz w:val="21"/>
                <w:szCs w:val="21"/>
                <w:highlight w:val="none"/>
                <w:u w:val="none"/>
                <w:shd w:val="clear" w:color="auto" w:fill="auto"/>
                <w:lang w:val="en-US" w:eastAsia="zh-CN" w:bidi="ar"/>
              </w:rPr>
              <w:t>³</w:t>
            </w:r>
            <w:r>
              <w:rPr>
                <w:rStyle w:val="197"/>
                <w:rFonts w:ascii="宋体" w:hAnsi="宋体" w:eastAsia="宋体" w:cs="宋体"/>
                <w:color w:val="auto"/>
                <w:sz w:val="21"/>
                <w:szCs w:val="21"/>
                <w:highlight w:val="none"/>
                <w:shd w:val="clear" w:color="auto" w:fill="auto"/>
                <w:lang w:val="en-US" w:eastAsia="zh-CN" w:bidi="ar"/>
              </w:rPr>
              <w:t>创新·星空夜话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序号</w:t>
            </w:r>
          </w:p>
        </w:tc>
        <w:tc>
          <w:tcPr>
            <w:tcW w:w="1264"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名称</w:t>
            </w:r>
          </w:p>
        </w:tc>
        <w:tc>
          <w:tcPr>
            <w:tcW w:w="3320"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活动主要内容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c>
          <w:tcPr>
            <w:tcW w:w="126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物料设计、统筹执行</w:t>
            </w:r>
          </w:p>
        </w:tc>
        <w:tc>
          <w:tcPr>
            <w:tcW w:w="33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海报及背景屏幕，活动执行团队统筹及服务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w:t>
            </w:r>
          </w:p>
        </w:tc>
        <w:tc>
          <w:tcPr>
            <w:tcW w:w="126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下午茶</w:t>
            </w:r>
          </w:p>
        </w:tc>
        <w:tc>
          <w:tcPr>
            <w:tcW w:w="33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自助式茶歇、带餐具等辅助道具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w:t>
            </w:r>
          </w:p>
        </w:tc>
        <w:tc>
          <w:tcPr>
            <w:tcW w:w="126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台面物料</w:t>
            </w:r>
          </w:p>
        </w:tc>
        <w:tc>
          <w:tcPr>
            <w:tcW w:w="33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圆桌桌布、台卡等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4</w:t>
            </w:r>
          </w:p>
        </w:tc>
        <w:tc>
          <w:tcPr>
            <w:tcW w:w="126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一楼指引牌</w:t>
            </w:r>
          </w:p>
        </w:tc>
        <w:tc>
          <w:tcPr>
            <w:tcW w:w="33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A3落地指引牌，2套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1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5</w:t>
            </w:r>
          </w:p>
        </w:tc>
        <w:tc>
          <w:tcPr>
            <w:tcW w:w="126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晚餐自助餐</w:t>
            </w:r>
          </w:p>
        </w:tc>
        <w:tc>
          <w:tcPr>
            <w:tcW w:w="332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四星级酒店或内知名大酒楼供应的中西餐早餐餐点，要求出品优良，色香味俱全。需包含上餐及侍餐服务。40位</w:t>
            </w:r>
          </w:p>
        </w:tc>
      </w:tr>
    </w:tbl>
    <w:p>
      <w:pPr>
        <w:pStyle w:val="3"/>
        <w:shd w:val="clea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2、节日类活动</w:t>
      </w:r>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2106"/>
        <w:gridCol w:w="4354"/>
        <w:gridCol w:w="742"/>
        <w:gridCol w:w="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lang w:val="en-US" w:eastAsia="zh-CN" w:bidi="ar"/>
              </w:rPr>
              <w:t>社区中秋国庆活动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序号</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名称</w:t>
            </w:r>
          </w:p>
        </w:tc>
        <w:tc>
          <w:tcPr>
            <w:tcW w:w="2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活动主要内容</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单位</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c>
          <w:tcPr>
            <w:tcW w:w="12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人才房展板</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550黑底灯布+桁架</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m2</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shd w:val="clear" w:color="auto" w:fill="auto"/>
              </w:rPr>
            </w:pPr>
          </w:p>
        </w:tc>
        <w:tc>
          <w:tcPr>
            <w:tcW w:w="12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shd w:val="clear" w:color="auto" w:fill="auto"/>
              </w:rPr>
            </w:pP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5*3*0.6m</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shd w:val="clear" w:color="auto" w:fill="auto"/>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1"/>
                <w:szCs w:val="21"/>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灯谜龙门</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桁架+KT板10*3*4m</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项</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国庆定制古风灯笼</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异形防水灯笼30*50cm</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4</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灯谜灯带装饰</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异形灯珠+灯泡</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项</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5</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灯谜券</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200克铜版纸异形成品8*15cm</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6</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定制雨伞</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定制防水半穿油纸雨伞82*82cm</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把</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7</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手工DIY一</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如：精致花灯，花草纸灯古风手提花灯42*18*22cm</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8</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手工DIY二</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如：月饼制作</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9</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小活动一</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如：定制中秋主题飞盘装置+桁架背景板+地贴1.8*1.8m</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10</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小活动二</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如：投壶装置+箭矢+桁架背景板+地贴3*2m</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项</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11</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小活动三</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如：套圈圈</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项</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12</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礼品</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如：龙年玩偶（站高20厘米，毛绒）、香薰（200毫升）、招财猫、龙年快充线等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13</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定制礼品</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定制集团及社区logo的纪念品</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14</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音响</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手拉音响</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项</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15</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露营桌椅</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露营风桌子1张椅子4张</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16</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参与活动介绍展架</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展架+KT板</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17</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游园卡</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200克铜版纸双面彩色印刷异形</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18</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通关章</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中秋主题定制章</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19</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DIY老师</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DIY教学</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人</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20</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现场工作人员</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游戏驻场工作人员</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人</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21</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柠檬茶移动餐车</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提供定制社区logo柠檬茶200杯+调配人员+餐车+定制杯套</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人/份</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22</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设计费、运输、执行、安装费</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主背景板、灯谜券、拍照美陈、以及其他延伸物料</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项</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lang w:val="en-US" w:eastAsia="zh-CN" w:bidi="ar"/>
              </w:rPr>
              <w:t>科学家活动基地端午/中秋节活动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序号</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名称</w:t>
            </w:r>
          </w:p>
        </w:tc>
        <w:tc>
          <w:tcPr>
            <w:tcW w:w="2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活动主要内容</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单位</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物料设计、统筹执行</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海报、背景屏幕、培训课件</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活动执行团队统筹及服务</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传统食材教学</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（含教师、学员及使用物料、食材、手工道具等）</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制作饺子、汤圆、月饼、粽子等传统美食</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包括但不限于教师及所需要的食材、制作传统美食所需工具、手工艺品所需道具</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包括但不限于会员学习所需要的食材、制作传统美食所需工具、手工艺品所需道具</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位</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讲师培训费</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包括但不限于讲解传统节日历史、培训传统美食及手工艺品的制作</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次</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4</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音乐演奏</w:t>
            </w:r>
          </w:p>
        </w:tc>
        <w:tc>
          <w:tcPr>
            <w:tcW w:w="2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包括但不限于非遗古琴民乐类演奏，如古琴、古筝、琵琶、古埙等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场</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w:t>
            </w:r>
          </w:p>
        </w:tc>
      </w:tr>
    </w:tbl>
    <w:p>
      <w:pPr>
        <w:pStyle w:val="40"/>
        <w:shd w:val="clear"/>
        <w:ind w:left="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3、文化类活动</w:t>
      </w:r>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791"/>
        <w:gridCol w:w="1880"/>
        <w:gridCol w:w="1802"/>
        <w:gridCol w:w="1495"/>
        <w:gridCol w:w="953"/>
        <w:gridCol w:w="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（1）松山湖科学家活动基地文化系列活动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序号</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活动名称</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活动简介</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参考图例</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活动流程介绍</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备注</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预计人数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2"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五谷主题画</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五谷粮食画是以各类植物种子和五谷杂粮为本体，通过粘、贴、拼、雕等手段，利用其它附料粘贴而成的画面</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bdr w:val="single" w:color="000000" w:sz="4" w:space="0"/>
                <w:shd w:val="clear" w:color="auto" w:fil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15010" cy="715010"/>
                  <wp:effectExtent l="0" t="0" r="8890" b="8890"/>
                  <wp:wrapNone/>
                  <wp:docPr id="12" name="图片_1"/>
                  <wp:cNvGraphicFramePr/>
                  <a:graphic xmlns:a="http://schemas.openxmlformats.org/drawingml/2006/main">
                    <a:graphicData uri="http://schemas.openxmlformats.org/drawingml/2006/picture">
                      <pic:pic xmlns:pic="http://schemas.openxmlformats.org/drawingml/2006/picture">
                        <pic:nvPicPr>
                          <pic:cNvPr id="12" name="图片_1"/>
                          <pic:cNvPicPr/>
                        </pic:nvPicPr>
                        <pic:blipFill>
                          <a:blip r:embed="rId14"/>
                          <a:stretch>
                            <a:fillRect/>
                          </a:stretch>
                        </pic:blipFill>
                        <pic:spPr>
                          <a:xfrm>
                            <a:off x="0" y="0"/>
                            <a:ext cx="715010" cy="715010"/>
                          </a:xfrm>
                          <a:prstGeom prst="rect">
                            <a:avLst/>
                          </a:prstGeom>
                          <a:noFill/>
                          <a:ln>
                            <a:noFill/>
                          </a:ln>
                        </pic:spPr>
                      </pic:pic>
                    </a:graphicData>
                  </a:graphic>
                </wp:anchor>
              </w:drawing>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1节气/节日/文化介绍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2作品文化介绍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3作品指导制作完全</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4合影留念</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6"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绕线画、丝线画</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绕线画，也被称为弦丝画或钉子画，是一种独特的艺术形式。它的创作过程涉及在木板上钉上一圈钉子，然后围绕这些钉子缠绕线条。这种绘画方式不仅需要精细的手工技巧，还需要高度的专注和细心。</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bdr w:val="single" w:color="000000" w:sz="4" w:space="0"/>
                <w:shd w:val="clear" w:color="auto" w:fill="auto"/>
                <w:lang w:val="en-US" w:eastAsia="zh-CN" w:bidi="ar"/>
              </w:rPr>
              <w:drawing>
                <wp:anchor distT="0" distB="0" distL="114300" distR="114300" simplePos="0" relativeHeight="251659264" behindDoc="0" locked="0" layoutInCell="1" allowOverlap="1">
                  <wp:simplePos x="0" y="0"/>
                  <wp:positionH relativeFrom="column">
                    <wp:posOffset>10160</wp:posOffset>
                  </wp:positionH>
                  <wp:positionV relativeFrom="paragraph">
                    <wp:posOffset>135890</wp:posOffset>
                  </wp:positionV>
                  <wp:extent cx="1028700" cy="867410"/>
                  <wp:effectExtent l="0" t="0" r="0" b="8890"/>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15"/>
                          <a:stretch>
                            <a:fillRect/>
                          </a:stretch>
                        </pic:blipFill>
                        <pic:spPr>
                          <a:xfrm>
                            <a:off x="0" y="0"/>
                            <a:ext cx="1028700" cy="867410"/>
                          </a:xfrm>
                          <a:prstGeom prst="rect">
                            <a:avLst/>
                          </a:prstGeom>
                          <a:noFill/>
                          <a:ln>
                            <a:noFill/>
                          </a:ln>
                        </pic:spPr>
                      </pic:pic>
                    </a:graphicData>
                  </a:graphic>
                </wp:anchor>
              </w:drawing>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1节气/节日/文化介绍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2作品文化介绍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3作品指导制作完全</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4合影留念</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9"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掐丝珐琅（非遗掐丝珐琅画）</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掐丝珐琅画，是将珐琅技法移植到画板上的特种绘画艺术形式，其主要材质为仿金丝和珐琅釉料，不仅突破了景泰蓝只能附着于铜胎的限制，而且将珐琅技艺拓展于平面载体并使其产生立体效果，具有很高的观赏价值、收藏价值和人文价值。</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p>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bdr w:val="single" w:color="000000" w:sz="4" w:space="0"/>
                <w:shd w:val="clear" w:color="auto" w:fill="auto"/>
                <w:lang w:val="en-US" w:eastAsia="zh-CN" w:bidi="ar"/>
              </w:rPr>
              <w:drawing>
                <wp:anchor distT="0" distB="0" distL="114300" distR="114300" simplePos="0" relativeHeight="251659264" behindDoc="0" locked="0" layoutInCell="1" allowOverlap="1">
                  <wp:simplePos x="0" y="0"/>
                  <wp:positionH relativeFrom="column">
                    <wp:posOffset>-27305</wp:posOffset>
                  </wp:positionH>
                  <wp:positionV relativeFrom="paragraph">
                    <wp:posOffset>120650</wp:posOffset>
                  </wp:positionV>
                  <wp:extent cx="1117600" cy="1127760"/>
                  <wp:effectExtent l="0" t="0" r="6350" b="15240"/>
                  <wp:wrapNone/>
                  <wp:docPr id="16" name="图片_3"/>
                  <wp:cNvGraphicFramePr/>
                  <a:graphic xmlns:a="http://schemas.openxmlformats.org/drawingml/2006/main">
                    <a:graphicData uri="http://schemas.openxmlformats.org/drawingml/2006/picture">
                      <pic:pic xmlns:pic="http://schemas.openxmlformats.org/drawingml/2006/picture">
                        <pic:nvPicPr>
                          <pic:cNvPr id="16" name="图片_3"/>
                          <pic:cNvPicPr/>
                        </pic:nvPicPr>
                        <pic:blipFill>
                          <a:blip r:embed="rId16"/>
                          <a:srcRect l="5600" r="8000" b="3075"/>
                          <a:stretch>
                            <a:fillRect/>
                          </a:stretch>
                        </pic:blipFill>
                        <pic:spPr>
                          <a:xfrm>
                            <a:off x="0" y="0"/>
                            <a:ext cx="1117600" cy="1127760"/>
                          </a:xfrm>
                          <a:prstGeom prst="rect">
                            <a:avLst/>
                          </a:prstGeom>
                          <a:noFill/>
                          <a:ln>
                            <a:noFill/>
                          </a:ln>
                        </pic:spPr>
                      </pic:pic>
                    </a:graphicData>
                  </a:graphic>
                </wp:anchor>
              </w:drawing>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1节气/节日/文化介绍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2作品文化介绍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3作品指导制作完全</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4合影留念</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3"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非遗螺钿胸针</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螺钿，是指用螺壳与海贝磨制成人物、花鸟、几何图形或文字等薄片，根据画面需要而镶嵌在器物表面的装饰工艺的总称。用螺钿制作胸针，会有十分强烈的视觉效果</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bdr w:val="single" w:color="000000" w:sz="4" w:space="0"/>
                <w:shd w:val="clear" w:color="auto" w:fil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86995</wp:posOffset>
                  </wp:positionV>
                  <wp:extent cx="1057910" cy="1143000"/>
                  <wp:effectExtent l="0" t="0" r="8890" b="0"/>
                  <wp:wrapNone/>
                  <wp:docPr id="20" name="图片_4"/>
                  <wp:cNvGraphicFramePr/>
                  <a:graphic xmlns:a="http://schemas.openxmlformats.org/drawingml/2006/main">
                    <a:graphicData uri="http://schemas.openxmlformats.org/drawingml/2006/picture">
                      <pic:pic xmlns:pic="http://schemas.openxmlformats.org/drawingml/2006/picture">
                        <pic:nvPicPr>
                          <pic:cNvPr id="20" name="图片_4"/>
                          <pic:cNvPicPr/>
                        </pic:nvPicPr>
                        <pic:blipFill>
                          <a:blip r:embed="rId17"/>
                          <a:stretch>
                            <a:fillRect/>
                          </a:stretch>
                        </pic:blipFill>
                        <pic:spPr>
                          <a:xfrm>
                            <a:off x="0" y="0"/>
                            <a:ext cx="1057910" cy="1143000"/>
                          </a:xfrm>
                          <a:prstGeom prst="rect">
                            <a:avLst/>
                          </a:prstGeom>
                          <a:noFill/>
                          <a:ln>
                            <a:noFill/>
                          </a:ln>
                        </pic:spPr>
                      </pic:pic>
                    </a:graphicData>
                  </a:graphic>
                </wp:anchor>
              </w:drawing>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1节气/节日/文化介绍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2作品文化介绍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3作品指导制作完全</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4合影留念</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1"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广东三宝制作</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“广东三宝”指的是陈皮、老姜、禾杆草。老姜、陈皮、禾秆草其原值本来都不高，但经粤人用心却发挥出大量重要用途，物贱而用广，材小而效大无物可及</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bdr w:val="single" w:color="000000" w:sz="4" w:space="0"/>
                <w:shd w:val="clear" w:color="auto" w:fill="auto"/>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146050</wp:posOffset>
                  </wp:positionV>
                  <wp:extent cx="1019810" cy="1066800"/>
                  <wp:effectExtent l="0" t="0" r="8890" b="0"/>
                  <wp:wrapNone/>
                  <wp:docPr id="13" name="图片_5"/>
                  <wp:cNvGraphicFramePr/>
                  <a:graphic xmlns:a="http://schemas.openxmlformats.org/drawingml/2006/main">
                    <a:graphicData uri="http://schemas.openxmlformats.org/drawingml/2006/picture">
                      <pic:pic xmlns:pic="http://schemas.openxmlformats.org/drawingml/2006/picture">
                        <pic:nvPicPr>
                          <pic:cNvPr id="13" name="图片_5"/>
                          <pic:cNvPicPr/>
                        </pic:nvPicPr>
                        <pic:blipFill>
                          <a:blip r:embed="rId18"/>
                          <a:stretch>
                            <a:fillRect/>
                          </a:stretch>
                        </pic:blipFill>
                        <pic:spPr>
                          <a:xfrm>
                            <a:off x="0" y="0"/>
                            <a:ext cx="1019810" cy="1066800"/>
                          </a:xfrm>
                          <a:prstGeom prst="rect">
                            <a:avLst/>
                          </a:prstGeom>
                          <a:noFill/>
                          <a:ln>
                            <a:noFill/>
                          </a:ln>
                        </pic:spPr>
                      </pic:pic>
                    </a:graphicData>
                  </a:graphic>
                </wp:anchor>
              </w:drawing>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1节气/节日/文化介绍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2作品文化介绍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3作品指导制作完全</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4合影留念</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2"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莞香香牌 制作</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“莞香”是东莞特有的一种香料，沉香的一种。东莞种植莞香已有1800多年历史，也有香市之称。制作莞香香牌，感受香道的韵味。</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bdr w:val="single" w:color="000000" w:sz="4" w:space="0"/>
                <w:shd w:val="clear" w:color="auto" w:fil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145415</wp:posOffset>
                  </wp:positionV>
                  <wp:extent cx="981710" cy="1104900"/>
                  <wp:effectExtent l="0" t="0" r="8890" b="0"/>
                  <wp:wrapNone/>
                  <wp:docPr id="19" name="图片_6"/>
                  <wp:cNvGraphicFramePr/>
                  <a:graphic xmlns:a="http://schemas.openxmlformats.org/drawingml/2006/main">
                    <a:graphicData uri="http://schemas.openxmlformats.org/drawingml/2006/picture">
                      <pic:pic xmlns:pic="http://schemas.openxmlformats.org/drawingml/2006/picture">
                        <pic:nvPicPr>
                          <pic:cNvPr id="19" name="图片_6"/>
                          <pic:cNvPicPr/>
                        </pic:nvPicPr>
                        <pic:blipFill>
                          <a:blip r:embed="rId19"/>
                          <a:stretch>
                            <a:fillRect/>
                          </a:stretch>
                        </pic:blipFill>
                        <pic:spPr>
                          <a:xfrm>
                            <a:off x="0" y="0"/>
                            <a:ext cx="981710" cy="1104900"/>
                          </a:xfrm>
                          <a:prstGeom prst="rect">
                            <a:avLst/>
                          </a:prstGeom>
                          <a:noFill/>
                          <a:ln>
                            <a:noFill/>
                          </a:ln>
                        </pic:spPr>
                      </pic:pic>
                    </a:graphicData>
                  </a:graphic>
                </wp:anchor>
              </w:drawing>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1节气/节日/文化介绍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2作品文化介绍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3作品指导制作完全</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4合影留念</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2"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戏曲创意画 制作</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用小道具妆点制作戏曲人物画</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bdr w:val="single" w:color="000000" w:sz="4" w:space="0"/>
                <w:shd w:val="clear" w:color="auto" w:fil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194310</wp:posOffset>
                  </wp:positionV>
                  <wp:extent cx="1009650" cy="1134110"/>
                  <wp:effectExtent l="0" t="0" r="0" b="8890"/>
                  <wp:wrapNone/>
                  <wp:docPr id="18" name="图片_7"/>
                  <wp:cNvGraphicFramePr/>
                  <a:graphic xmlns:a="http://schemas.openxmlformats.org/drawingml/2006/main">
                    <a:graphicData uri="http://schemas.openxmlformats.org/drawingml/2006/picture">
                      <pic:pic xmlns:pic="http://schemas.openxmlformats.org/drawingml/2006/picture">
                        <pic:nvPicPr>
                          <pic:cNvPr id="18" name="图片_7"/>
                          <pic:cNvPicPr/>
                        </pic:nvPicPr>
                        <pic:blipFill>
                          <a:blip r:embed="rId20"/>
                          <a:stretch>
                            <a:fillRect/>
                          </a:stretch>
                        </pic:blipFill>
                        <pic:spPr>
                          <a:xfrm>
                            <a:off x="0" y="0"/>
                            <a:ext cx="1009650" cy="1134110"/>
                          </a:xfrm>
                          <a:prstGeom prst="rect">
                            <a:avLst/>
                          </a:prstGeom>
                          <a:noFill/>
                          <a:ln>
                            <a:noFill/>
                          </a:ln>
                        </pic:spPr>
                      </pic:pic>
                    </a:graphicData>
                  </a:graphic>
                </wp:anchor>
              </w:drawing>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1节气/节日/文化介绍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2作品文化介绍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3作品指导制作完全</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4合影留念</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3"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戳戳绣</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墩绣或剁剁绣，是一种源自中国北方民间的传统手工刺绣技艺。这种技艺的特点是利用针和线在空白布面上进行戳绣，类似于小鸡啄米的动作，从而创造出各种图案。</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bdr w:val="single" w:color="000000" w:sz="4" w:space="0"/>
                <w:shd w:val="clear" w:color="auto" w:fill="auto"/>
                <w:lang w:val="en-US" w:eastAsia="zh-CN" w:bidi="ar"/>
              </w:rPr>
              <w:drawing>
                <wp:anchor distT="0" distB="0" distL="114300" distR="114300" simplePos="0" relativeHeight="251659264" behindDoc="0" locked="0" layoutInCell="1" allowOverlap="1">
                  <wp:simplePos x="0" y="0"/>
                  <wp:positionH relativeFrom="column">
                    <wp:posOffset>19685</wp:posOffset>
                  </wp:positionH>
                  <wp:positionV relativeFrom="paragraph">
                    <wp:posOffset>165100</wp:posOffset>
                  </wp:positionV>
                  <wp:extent cx="1009650" cy="1057910"/>
                  <wp:effectExtent l="0" t="0" r="0" b="8890"/>
                  <wp:wrapNone/>
                  <wp:docPr id="14" name="图片_8"/>
                  <wp:cNvGraphicFramePr/>
                  <a:graphic xmlns:a="http://schemas.openxmlformats.org/drawingml/2006/main">
                    <a:graphicData uri="http://schemas.openxmlformats.org/drawingml/2006/picture">
                      <pic:pic xmlns:pic="http://schemas.openxmlformats.org/drawingml/2006/picture">
                        <pic:nvPicPr>
                          <pic:cNvPr id="14" name="图片_8"/>
                          <pic:cNvPicPr/>
                        </pic:nvPicPr>
                        <pic:blipFill>
                          <a:blip r:embed="rId21"/>
                          <a:stretch>
                            <a:fillRect/>
                          </a:stretch>
                        </pic:blipFill>
                        <pic:spPr>
                          <a:xfrm>
                            <a:off x="0" y="0"/>
                            <a:ext cx="1009650" cy="1057910"/>
                          </a:xfrm>
                          <a:prstGeom prst="rect">
                            <a:avLst/>
                          </a:prstGeom>
                          <a:noFill/>
                          <a:ln>
                            <a:noFill/>
                          </a:ln>
                        </pic:spPr>
                      </pic:pic>
                    </a:graphicData>
                  </a:graphic>
                </wp:anchor>
              </w:drawing>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1节气/节日/文化介绍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2作品文化介绍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3作品指导制作完全</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4合影留念</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9"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香囊制作</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香囊是一种古老的装饰品和香料容器，它的历史可以追溯到古代中国。香囊通常由织物、金属材料或其他材料制成，内部可以填充各种芳香物质，如中草药末。它们的设计多样，有的可以直接挂在身上，有的则可以放入被中或车内进行熏香。</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bdr w:val="single" w:color="000000" w:sz="4" w:space="0"/>
                <w:shd w:val="clear" w:color="auto" w:fill="auto"/>
                <w:lang w:val="en-US" w:eastAsia="zh-CN" w:bidi="ar"/>
              </w:rPr>
              <w:drawing>
                <wp:anchor distT="0" distB="0" distL="114300" distR="114300" simplePos="0" relativeHeight="251659264" behindDoc="0" locked="0" layoutInCell="1" allowOverlap="1">
                  <wp:simplePos x="0" y="0"/>
                  <wp:positionH relativeFrom="column">
                    <wp:posOffset>19685</wp:posOffset>
                  </wp:positionH>
                  <wp:positionV relativeFrom="paragraph">
                    <wp:posOffset>165100</wp:posOffset>
                  </wp:positionV>
                  <wp:extent cx="1066800" cy="1104900"/>
                  <wp:effectExtent l="0" t="0" r="0" b="0"/>
                  <wp:wrapNone/>
                  <wp:docPr id="15" name="图片_9"/>
                  <wp:cNvGraphicFramePr/>
                  <a:graphic xmlns:a="http://schemas.openxmlformats.org/drawingml/2006/main">
                    <a:graphicData uri="http://schemas.openxmlformats.org/drawingml/2006/picture">
                      <pic:pic xmlns:pic="http://schemas.openxmlformats.org/drawingml/2006/picture">
                        <pic:nvPicPr>
                          <pic:cNvPr id="15" name="图片_9"/>
                          <pic:cNvPicPr/>
                        </pic:nvPicPr>
                        <pic:blipFill>
                          <a:blip r:embed="rId22"/>
                          <a:stretch>
                            <a:fillRect/>
                          </a:stretch>
                        </pic:blipFill>
                        <pic:spPr>
                          <a:xfrm>
                            <a:off x="0" y="0"/>
                            <a:ext cx="1066800" cy="1104900"/>
                          </a:xfrm>
                          <a:prstGeom prst="rect">
                            <a:avLst/>
                          </a:prstGeom>
                          <a:noFill/>
                          <a:ln>
                            <a:noFill/>
                          </a:ln>
                        </pic:spPr>
                      </pic:pic>
                    </a:graphicData>
                  </a:graphic>
                </wp:anchor>
              </w:drawing>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1节气/节日/文化介绍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2作品文化介绍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3作品指导制作完全</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4合影留念</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2"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非遗烧箔画</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烧箔，又称贴箔，是一种传统手工艺品，已经被列入国家级非物质文化遗产名录。其制作过程大概分为四个步骤:“画”、“涂”、“贴”、“扫”。</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bdr w:val="single" w:color="000000" w:sz="4" w:space="0"/>
                <w:shd w:val="clear" w:color="auto" w:fill="auto"/>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223520</wp:posOffset>
                  </wp:positionV>
                  <wp:extent cx="1066800" cy="1153160"/>
                  <wp:effectExtent l="0" t="0" r="0" b="8890"/>
                  <wp:wrapNone/>
                  <wp:docPr id="17" name="图片_10"/>
                  <wp:cNvGraphicFramePr/>
                  <a:graphic xmlns:a="http://schemas.openxmlformats.org/drawingml/2006/main">
                    <a:graphicData uri="http://schemas.openxmlformats.org/drawingml/2006/picture">
                      <pic:pic xmlns:pic="http://schemas.openxmlformats.org/drawingml/2006/picture">
                        <pic:nvPicPr>
                          <pic:cNvPr id="17" name="图片_10"/>
                          <pic:cNvPicPr/>
                        </pic:nvPicPr>
                        <pic:blipFill>
                          <a:blip r:embed="rId23"/>
                          <a:stretch>
                            <a:fillRect/>
                          </a:stretch>
                        </pic:blipFill>
                        <pic:spPr>
                          <a:xfrm>
                            <a:off x="0" y="0"/>
                            <a:ext cx="1066800" cy="1153160"/>
                          </a:xfrm>
                          <a:prstGeom prst="rect">
                            <a:avLst/>
                          </a:prstGeom>
                          <a:noFill/>
                          <a:ln>
                            <a:noFill/>
                          </a:ln>
                        </pic:spPr>
                      </pic:pic>
                    </a:graphicData>
                  </a:graphic>
                </wp:anchor>
              </w:drawing>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1节气/节日/文化介绍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2作品文化介绍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3作品指导制作完全</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4合影留念</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3"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11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非遗二十四节气文创</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“二十四节气盘”盘子中心印制节气歌，周围点缀四个季节的树木，从中央向外的圆环分别从节气的季节、月份、具体日期、名称、气候特征进行了划分和定义，美观又实用。</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bdr w:val="single" w:color="000000" w:sz="4" w:space="0"/>
                <w:shd w:val="clear" w:color="auto" w:fill="auto"/>
                <w:lang w:val="en-US" w:eastAsia="zh-CN" w:bidi="ar"/>
              </w:rPr>
              <w:drawing>
                <wp:anchor distT="0" distB="0" distL="114300" distR="114300" simplePos="0" relativeHeight="251659264" behindDoc="0" locked="0" layoutInCell="1" allowOverlap="1">
                  <wp:simplePos x="0" y="0"/>
                  <wp:positionH relativeFrom="column">
                    <wp:posOffset>-7620</wp:posOffset>
                  </wp:positionH>
                  <wp:positionV relativeFrom="paragraph">
                    <wp:posOffset>222885</wp:posOffset>
                  </wp:positionV>
                  <wp:extent cx="1066800" cy="1076325"/>
                  <wp:effectExtent l="0" t="0" r="0" b="9525"/>
                  <wp:wrapNone/>
                  <wp:docPr id="21" name="图片_11"/>
                  <wp:cNvGraphicFramePr/>
                  <a:graphic xmlns:a="http://schemas.openxmlformats.org/drawingml/2006/main">
                    <a:graphicData uri="http://schemas.openxmlformats.org/drawingml/2006/picture">
                      <pic:pic xmlns:pic="http://schemas.openxmlformats.org/drawingml/2006/picture">
                        <pic:nvPicPr>
                          <pic:cNvPr id="21" name="图片_11"/>
                          <pic:cNvPicPr/>
                        </pic:nvPicPr>
                        <pic:blipFill>
                          <a:blip r:embed="rId24"/>
                          <a:stretch>
                            <a:fillRect/>
                          </a:stretch>
                        </pic:blipFill>
                        <pic:spPr>
                          <a:xfrm>
                            <a:off x="0" y="0"/>
                            <a:ext cx="1066800" cy="1076325"/>
                          </a:xfrm>
                          <a:prstGeom prst="rect">
                            <a:avLst/>
                          </a:prstGeom>
                          <a:noFill/>
                          <a:ln>
                            <a:noFill/>
                          </a:ln>
                        </pic:spPr>
                      </pic:pic>
                    </a:graphicData>
                  </a:graphic>
                </wp:anchor>
              </w:drawing>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1节气/节日/文化介绍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2作品文化介绍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3作品指导制作完全</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4合影留念</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3"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非遗点翠</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点翠是中国传统的金属工艺和羽毛工艺的结合，先用金或镏金的金属做成不同图案的底座，再把翠鸟背部亮丽的蓝色的羽毛仔细地镶嵌在座上，以制成各种首饰器物。</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bdr w:val="single" w:color="000000" w:sz="4" w:space="0"/>
                <w:shd w:val="clear" w:color="auto" w:fill="auto"/>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281940</wp:posOffset>
                  </wp:positionV>
                  <wp:extent cx="962660" cy="848360"/>
                  <wp:effectExtent l="0" t="0" r="8890" b="8890"/>
                  <wp:wrapNone/>
                  <wp:docPr id="22" name="图片_12"/>
                  <wp:cNvGraphicFramePr/>
                  <a:graphic xmlns:a="http://schemas.openxmlformats.org/drawingml/2006/main">
                    <a:graphicData uri="http://schemas.openxmlformats.org/drawingml/2006/picture">
                      <pic:pic xmlns:pic="http://schemas.openxmlformats.org/drawingml/2006/picture">
                        <pic:nvPicPr>
                          <pic:cNvPr id="22" name="图片_12"/>
                          <pic:cNvPicPr/>
                        </pic:nvPicPr>
                        <pic:blipFill>
                          <a:blip r:embed="rId25"/>
                          <a:stretch>
                            <a:fillRect/>
                          </a:stretch>
                        </pic:blipFill>
                        <pic:spPr>
                          <a:xfrm>
                            <a:off x="0" y="0"/>
                            <a:ext cx="962660" cy="848360"/>
                          </a:xfrm>
                          <a:prstGeom prst="rect">
                            <a:avLst/>
                          </a:prstGeom>
                          <a:noFill/>
                          <a:ln>
                            <a:noFill/>
                          </a:ln>
                        </pic:spPr>
                      </pic:pic>
                    </a:graphicData>
                  </a:graphic>
                </wp:anchor>
              </w:drawing>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1节气/节日/文化介绍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2作品文化介绍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3作品指导制作完全</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4合影留念</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3"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13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非遗传拓</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传拓技艺，福建省泉州市传统技艺，泉州市市级非物质文化遗产之一。传拓技艺是用纸和墨及传拓工具将铸刻在器物上的文字或图案捶印下来的一种方法，发明于魏晋南北朝时期。</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bdr w:val="single" w:color="000000" w:sz="4" w:space="0"/>
                <w:shd w:val="clear" w:color="auto" w:fil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66800" cy="971550"/>
                  <wp:effectExtent l="0" t="0" r="0" b="0"/>
                  <wp:wrapNone/>
                  <wp:docPr id="24" name="图片_13"/>
                  <wp:cNvGraphicFramePr/>
                  <a:graphic xmlns:a="http://schemas.openxmlformats.org/drawingml/2006/main">
                    <a:graphicData uri="http://schemas.openxmlformats.org/drawingml/2006/picture">
                      <pic:pic xmlns:pic="http://schemas.openxmlformats.org/drawingml/2006/picture">
                        <pic:nvPicPr>
                          <pic:cNvPr id="24" name="图片_13"/>
                          <pic:cNvPicPr/>
                        </pic:nvPicPr>
                        <pic:blipFill>
                          <a:blip r:embed="rId26"/>
                          <a:stretch>
                            <a:fillRect/>
                          </a:stretch>
                        </pic:blipFill>
                        <pic:spPr>
                          <a:xfrm>
                            <a:off x="0" y="0"/>
                            <a:ext cx="1066800" cy="971550"/>
                          </a:xfrm>
                          <a:prstGeom prst="rect">
                            <a:avLst/>
                          </a:prstGeom>
                          <a:noFill/>
                          <a:ln>
                            <a:noFill/>
                          </a:ln>
                        </pic:spPr>
                      </pic:pic>
                    </a:graphicData>
                  </a:graphic>
                </wp:anchor>
              </w:drawing>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1节气/节日/文化介绍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2作品文化介绍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3作品指导制作完全</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4合影留念</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非遗缠花发簪/胸针 DIY</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缠花源于明代，盛于清代，现存于民间的藏品极少，并且被列为湖北省级非物质遗产保护项目。所谓“缠花”，就是用多色丝线在坯架上缠绕出各种美术品。坯架以纸板和铜丝扎成各种形状的坯架。</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bdr w:val="single" w:color="000000" w:sz="4" w:space="0"/>
                <w:shd w:val="clear" w:color="auto" w:fil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8700" cy="962660"/>
                  <wp:effectExtent l="0" t="0" r="0" b="8890"/>
                  <wp:wrapNone/>
                  <wp:docPr id="25" name="图片_14"/>
                  <wp:cNvGraphicFramePr/>
                  <a:graphic xmlns:a="http://schemas.openxmlformats.org/drawingml/2006/main">
                    <a:graphicData uri="http://schemas.openxmlformats.org/drawingml/2006/picture">
                      <pic:pic xmlns:pic="http://schemas.openxmlformats.org/drawingml/2006/picture">
                        <pic:nvPicPr>
                          <pic:cNvPr id="25" name="图片_14"/>
                          <pic:cNvPicPr/>
                        </pic:nvPicPr>
                        <pic:blipFill>
                          <a:blip r:embed="rId27"/>
                          <a:stretch>
                            <a:fillRect/>
                          </a:stretch>
                        </pic:blipFill>
                        <pic:spPr>
                          <a:xfrm>
                            <a:off x="0" y="0"/>
                            <a:ext cx="1028700" cy="962660"/>
                          </a:xfrm>
                          <a:prstGeom prst="rect">
                            <a:avLst/>
                          </a:prstGeom>
                          <a:noFill/>
                          <a:ln>
                            <a:noFill/>
                          </a:ln>
                        </pic:spPr>
                      </pic:pic>
                    </a:graphicData>
                  </a:graphic>
                </wp:anchor>
              </w:drawing>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1节气/节日/文化介绍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2作品文化介绍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3作品指导制作完全</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4合影留念</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6"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15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非遗竹编</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传统竹编工艺有着悠久的历史，竹编工艺品分为细丝工艺品和粗丝竹编工艺品。2008年6月7日，竹编经国务院批准列入第二批国家级非物质文化遗产名录。可用不同颜色竹篾编制纹理制作不同形状的画作</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bdr w:val="single" w:color="000000" w:sz="4" w:space="0"/>
                <w:shd w:val="clear" w:color="auto" w:fill="auto"/>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8700" cy="1047750"/>
                  <wp:effectExtent l="0" t="0" r="0" b="0"/>
                  <wp:wrapNone/>
                  <wp:docPr id="26" name="图片_15"/>
                  <wp:cNvGraphicFramePr/>
                  <a:graphic xmlns:a="http://schemas.openxmlformats.org/drawingml/2006/main">
                    <a:graphicData uri="http://schemas.openxmlformats.org/drawingml/2006/picture">
                      <pic:pic xmlns:pic="http://schemas.openxmlformats.org/drawingml/2006/picture">
                        <pic:nvPicPr>
                          <pic:cNvPr id="26" name="图片_15"/>
                          <pic:cNvPicPr/>
                        </pic:nvPicPr>
                        <pic:blipFill>
                          <a:blip r:embed="rId28"/>
                          <a:stretch>
                            <a:fillRect/>
                          </a:stretch>
                        </pic:blipFill>
                        <pic:spPr>
                          <a:xfrm>
                            <a:off x="0" y="0"/>
                            <a:ext cx="1028700" cy="1047750"/>
                          </a:xfrm>
                          <a:prstGeom prst="rect">
                            <a:avLst/>
                          </a:prstGeom>
                          <a:noFill/>
                          <a:ln>
                            <a:noFill/>
                          </a:ln>
                        </pic:spPr>
                      </pic:pic>
                    </a:graphicData>
                  </a:graphic>
                </wp:anchor>
              </w:drawing>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1节气/节日/文化介绍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2作品文化介绍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3作品指导制作完全</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4合影留念</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4"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非遗花草纸 文创书灯</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shd w:val="clear" w:color="auto" w:fill="auto"/>
                <w:lang w:val="en-US" w:eastAsia="zh-CN" w:bidi="ar"/>
              </w:rPr>
            </w:pPr>
            <w:r>
              <w:rPr>
                <w:rFonts w:hint="eastAsia" w:ascii="宋体" w:hAnsi="宋体" w:eastAsia="宋体" w:cs="宋体"/>
                <w:i w:val="0"/>
                <w:iCs w:val="0"/>
                <w:color w:val="auto"/>
                <w:kern w:val="0"/>
                <w:sz w:val="21"/>
                <w:szCs w:val="21"/>
                <w:highlight w:val="none"/>
                <w:u w:val="none"/>
                <w:bdr w:val="single" w:color="000000" w:sz="4" w:space="0"/>
                <w:shd w:val="clear" w:color="auto" w:fill="auto"/>
                <w:lang w:val="en-US" w:eastAsia="zh-CN" w:bidi="ar"/>
              </w:rPr>
              <w:drawing>
                <wp:anchor distT="0" distB="0" distL="114300" distR="114300" simplePos="0" relativeHeight="251659264" behindDoc="0" locked="0" layoutInCell="1" allowOverlap="1">
                  <wp:simplePos x="0" y="0"/>
                  <wp:positionH relativeFrom="column">
                    <wp:posOffset>1123315</wp:posOffset>
                  </wp:positionH>
                  <wp:positionV relativeFrom="paragraph">
                    <wp:posOffset>93345</wp:posOffset>
                  </wp:positionV>
                  <wp:extent cx="1143000" cy="1057910"/>
                  <wp:effectExtent l="0" t="0" r="0" b="8890"/>
                  <wp:wrapNone/>
                  <wp:docPr id="29" name="图片_16"/>
                  <wp:cNvGraphicFramePr/>
                  <a:graphic xmlns:a="http://schemas.openxmlformats.org/drawingml/2006/main">
                    <a:graphicData uri="http://schemas.openxmlformats.org/drawingml/2006/picture">
                      <pic:pic xmlns:pic="http://schemas.openxmlformats.org/drawingml/2006/picture">
                        <pic:nvPicPr>
                          <pic:cNvPr id="29" name="图片_16"/>
                          <pic:cNvPicPr/>
                        </pic:nvPicPr>
                        <pic:blipFill>
                          <a:blip r:embed="rId29"/>
                          <a:srcRect l="6681" t="4742" r="17209" b="17042"/>
                          <a:stretch>
                            <a:fillRect/>
                          </a:stretch>
                        </pic:blipFill>
                        <pic:spPr>
                          <a:xfrm>
                            <a:off x="0" y="0"/>
                            <a:ext cx="1143000" cy="1057910"/>
                          </a:xfrm>
                          <a:prstGeom prst="rect">
                            <a:avLst/>
                          </a:prstGeom>
                          <a:noFill/>
                          <a:ln>
                            <a:noFill/>
                          </a:ln>
                        </pic:spPr>
                      </pic:pic>
                    </a:graphicData>
                  </a:graphic>
                </wp:anchor>
              </w:drawing>
            </w:r>
          </w:p>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花草纸，起源于苗族，是一种源于中国最古老的手工造纸法制造出的纸张，距今已有一千四五百年的历史。将草、花撒在纸浆中，用简易的工具，在一池花粥中捞出，便能制作出一张张精美各异的花草纸。用花草纸制作书灯别有一番韵味</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1节气/节日/文化介绍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2作品文化介绍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3作品指导制作完全</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4合影留念</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7"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17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shd w:val="clear" w:color="auto" w:fill="auto"/>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非遗岭南押花 文创台灯</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岭南押花一门囊括各种植物粘贴工艺的传统手工技艺，选取各种天然植物花卉，经脱水处理，依其天然形态、纹脉和色泽，经过精心设计，匠心拼贴，真空装裱，将大自然的灵性和美丽长久定格。用押画制作文创台灯会有不一样的情调</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bdr w:val="single" w:color="000000" w:sz="4" w:space="0"/>
                <w:shd w:val="clear" w:color="auto" w:fill="auto"/>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177800</wp:posOffset>
                  </wp:positionV>
                  <wp:extent cx="1019810" cy="838200"/>
                  <wp:effectExtent l="0" t="0" r="8890" b="0"/>
                  <wp:wrapNone/>
                  <wp:docPr id="23" name="图片_17"/>
                  <wp:cNvGraphicFramePr/>
                  <a:graphic xmlns:a="http://schemas.openxmlformats.org/drawingml/2006/main">
                    <a:graphicData uri="http://schemas.openxmlformats.org/drawingml/2006/picture">
                      <pic:pic xmlns:pic="http://schemas.openxmlformats.org/drawingml/2006/picture">
                        <pic:nvPicPr>
                          <pic:cNvPr id="23" name="图片_17"/>
                          <pic:cNvPicPr/>
                        </pic:nvPicPr>
                        <pic:blipFill>
                          <a:blip r:embed="rId30"/>
                          <a:stretch>
                            <a:fillRect/>
                          </a:stretch>
                        </pic:blipFill>
                        <pic:spPr>
                          <a:xfrm>
                            <a:off x="0" y="0"/>
                            <a:ext cx="1019810" cy="838200"/>
                          </a:xfrm>
                          <a:prstGeom prst="rect">
                            <a:avLst/>
                          </a:prstGeom>
                          <a:noFill/>
                          <a:ln>
                            <a:noFill/>
                          </a:ln>
                        </pic:spPr>
                      </pic:pic>
                    </a:graphicData>
                  </a:graphic>
                </wp:anchor>
              </w:drawing>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1节气/节日/文化介绍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2作品文化介绍</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3作品指导制作完全</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4合影留念</w:t>
            </w:r>
            <w:r>
              <w:rPr>
                <w:rFonts w:hint="eastAsia" w:ascii="宋体" w:hAnsi="宋体" w:eastAsia="宋体" w:cs="宋体"/>
                <w:i w:val="0"/>
                <w:iCs w:val="0"/>
                <w:color w:val="auto"/>
                <w:kern w:val="0"/>
                <w:sz w:val="21"/>
                <w:szCs w:val="21"/>
                <w:highlight w:val="none"/>
                <w:u w:val="none"/>
                <w:shd w:val="clear" w:color="auto" w:fill="auto"/>
                <w:lang w:val="en-US" w:eastAsia="zh-CN" w:bidi="ar"/>
              </w:rPr>
              <w:br w:type="textWrapping"/>
            </w:r>
            <w:r>
              <w:rPr>
                <w:rFonts w:hint="eastAsia" w:ascii="宋体" w:hAnsi="宋体" w:eastAsia="宋体" w:cs="宋体"/>
                <w:i w:val="0"/>
                <w:iCs w:val="0"/>
                <w:color w:val="auto"/>
                <w:kern w:val="0"/>
                <w:sz w:val="21"/>
                <w:szCs w:val="21"/>
                <w:highlight w:val="none"/>
                <w:u w:val="none"/>
                <w:shd w:val="clear" w:color="auto" w:fill="auto"/>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shd w:val="clear" w:color="auto" w:fill="auto"/>
              </w:rPr>
            </w:pPr>
            <w:r>
              <w:rPr>
                <w:rFonts w:hint="eastAsia" w:ascii="宋体" w:hAnsi="宋体" w:eastAsia="宋体" w:cs="宋体"/>
                <w:i w:val="0"/>
                <w:iCs w:val="0"/>
                <w:color w:val="auto"/>
                <w:kern w:val="0"/>
                <w:sz w:val="21"/>
                <w:szCs w:val="21"/>
                <w:highlight w:val="none"/>
                <w:u w:val="none"/>
                <w:shd w:val="clear" w:color="auto" w:fill="auto"/>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7"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锦绣江山流沙画</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流沙画，由镜框、透明玻璃腔体、背景画、背板组成，在密封的玻璃腔体的空腔内，有氧化铝、磨刚沙、无色的混合液和适量的气泡。当玻璃腔体倒竖时，利用氧化铝和磨刚沙的比重不同以及气泡的上浮力，形成层次分明跌宕有序的画面</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wp:posOffset>
                  </wp:positionH>
                  <wp:positionV relativeFrom="paragraph">
                    <wp:posOffset>160020</wp:posOffset>
                  </wp:positionV>
                  <wp:extent cx="1019810" cy="1009650"/>
                  <wp:effectExtent l="0" t="0" r="8890" b="0"/>
                  <wp:wrapNone/>
                  <wp:docPr id="27" name="图片_18"/>
                  <wp:cNvGraphicFramePr/>
                  <a:graphic xmlns:a="http://schemas.openxmlformats.org/drawingml/2006/main">
                    <a:graphicData uri="http://schemas.openxmlformats.org/drawingml/2006/picture">
                      <pic:pic xmlns:pic="http://schemas.openxmlformats.org/drawingml/2006/picture">
                        <pic:nvPicPr>
                          <pic:cNvPr id="27" name="图片_18"/>
                          <pic:cNvPicPr/>
                        </pic:nvPicPr>
                        <pic:blipFill>
                          <a:blip r:embed="rId31"/>
                          <a:stretch>
                            <a:fillRect/>
                          </a:stretch>
                        </pic:blipFill>
                        <pic:spPr>
                          <a:xfrm>
                            <a:off x="0" y="0"/>
                            <a:ext cx="1019810" cy="1009650"/>
                          </a:xfrm>
                          <a:prstGeom prst="rect">
                            <a:avLst/>
                          </a:prstGeom>
                          <a:noFill/>
                          <a:ln>
                            <a:noFill/>
                          </a:ln>
                        </pic:spPr>
                      </pic:pic>
                    </a:graphicData>
                  </a:graphic>
                </wp:anchor>
              </w:drawing>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1节气/节日/文化介绍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2作品文化介绍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3作品指导制作完全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4合影留念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9"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非遗绒花 DIY</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绒花，又称宫花、喜花，用丝绣编织，工艺精美，不仅外观雍容华丽，还谐音“荣华”，寓意吉祥富贵.绒花是用天然蚕丝制作而成的传统手工艺品，以头花、胸花、帽花、摆件等装饰品形式出现，用于礼仪事项、民俗节事以及日常生活中。</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-39370</wp:posOffset>
                  </wp:positionH>
                  <wp:positionV relativeFrom="paragraph">
                    <wp:posOffset>242570</wp:posOffset>
                  </wp:positionV>
                  <wp:extent cx="1101090" cy="1184910"/>
                  <wp:effectExtent l="0" t="0" r="3810" b="15240"/>
                  <wp:wrapNone/>
                  <wp:docPr id="30" name="图片_19"/>
                  <wp:cNvGraphicFramePr/>
                  <a:graphic xmlns:a="http://schemas.openxmlformats.org/drawingml/2006/main">
                    <a:graphicData uri="http://schemas.openxmlformats.org/drawingml/2006/picture">
                      <pic:pic xmlns:pic="http://schemas.openxmlformats.org/drawingml/2006/picture">
                        <pic:nvPicPr>
                          <pic:cNvPr id="30" name="图片_19"/>
                          <pic:cNvPicPr/>
                        </pic:nvPicPr>
                        <pic:blipFill>
                          <a:blip r:embed="rId32"/>
                          <a:srcRect r="10687" b="10357"/>
                          <a:stretch>
                            <a:fillRect/>
                          </a:stretch>
                        </pic:blipFill>
                        <pic:spPr>
                          <a:xfrm>
                            <a:off x="0" y="0"/>
                            <a:ext cx="1101090" cy="1184910"/>
                          </a:xfrm>
                          <a:prstGeom prst="rect">
                            <a:avLst/>
                          </a:prstGeom>
                          <a:noFill/>
                          <a:ln>
                            <a:noFill/>
                          </a:ln>
                        </pic:spPr>
                      </pic:pic>
                    </a:graphicData>
                  </a:graphic>
                </wp:anchor>
              </w:drawing>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1节气/节日/文化介绍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2作品文化介绍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3作品指导制作完全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4合影留念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5非遗制作道具及相关物品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含该活动物料物料、设计、布置、执行及教师。</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3" w:hRule="atLeast"/>
        </w:trPr>
        <w:tc>
          <w:tcPr>
            <w:tcW w:w="46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20</w:t>
            </w:r>
          </w:p>
        </w:tc>
        <w:tc>
          <w:tcPr>
            <w:tcW w:w="46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非遗篆刻 体验</w:t>
            </w:r>
          </w:p>
        </w:tc>
        <w:tc>
          <w:tcPr>
            <w:tcW w:w="110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中国篆刻是一种以书法（主要是篆书）和镌刻（包括凿、铸）相结合，从而制作印章的艺术。它由中国古代的印章制作技艺发展而来，以石材为主要材料，以刻刀为工具，以汉字为表象。</w:t>
            </w:r>
          </w:p>
        </w:tc>
        <w:tc>
          <w:tcPr>
            <w:tcW w:w="10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wp:posOffset>
                  </wp:positionH>
                  <wp:positionV relativeFrom="paragraph">
                    <wp:posOffset>135255</wp:posOffset>
                  </wp:positionV>
                  <wp:extent cx="1052830" cy="1158240"/>
                  <wp:effectExtent l="0" t="0" r="13970" b="3810"/>
                  <wp:wrapNone/>
                  <wp:docPr id="28" name="图片_20"/>
                  <wp:cNvGraphicFramePr/>
                  <a:graphic xmlns:a="http://schemas.openxmlformats.org/drawingml/2006/main">
                    <a:graphicData uri="http://schemas.openxmlformats.org/drawingml/2006/picture">
                      <pic:pic xmlns:pic="http://schemas.openxmlformats.org/drawingml/2006/picture">
                        <pic:nvPicPr>
                          <pic:cNvPr id="28" name="图片_20"/>
                          <pic:cNvPicPr/>
                        </pic:nvPicPr>
                        <pic:blipFill>
                          <a:blip r:embed="rId33"/>
                          <a:stretch>
                            <a:fillRect/>
                          </a:stretch>
                        </pic:blipFill>
                        <pic:spPr>
                          <a:xfrm>
                            <a:off x="0" y="0"/>
                            <a:ext cx="1052830" cy="1158240"/>
                          </a:xfrm>
                          <a:prstGeom prst="rect">
                            <a:avLst/>
                          </a:prstGeom>
                          <a:noFill/>
                          <a:ln>
                            <a:noFill/>
                          </a:ln>
                        </pic:spPr>
                      </pic:pic>
                    </a:graphicData>
                  </a:graphic>
                </wp:anchor>
              </w:drawing>
            </w:r>
          </w:p>
        </w:tc>
        <w:tc>
          <w:tcPr>
            <w:tcW w:w="87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1节气/节日/文化介绍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2作品文化介绍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3作品指导制作完全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4合影留念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5非遗制作道具及相关物品</w:t>
            </w:r>
          </w:p>
        </w:tc>
        <w:tc>
          <w:tcPr>
            <w:tcW w:w="55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含该活动物料物料、设计、布置、执行及教师。</w:t>
            </w:r>
          </w:p>
        </w:tc>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r>
    </w:tbl>
    <w:p>
      <w:pPr>
        <w:rPr>
          <w:rFonts w:hint="eastAsia" w:ascii="宋体" w:hAnsi="宋体" w:eastAsia="宋体" w:cs="宋体"/>
          <w:color w:val="auto"/>
          <w:sz w:val="21"/>
          <w:szCs w:val="21"/>
          <w:highlight w:val="none"/>
          <w:lang w:val="en-US" w:eastAsia="zh-CN"/>
        </w:rPr>
      </w:pP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35"/>
        <w:gridCol w:w="2344"/>
        <w:gridCol w:w="5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5000" w:type="pct"/>
            <w:gridSpan w:val="3"/>
            <w:shd w:val="clear" w:color="auto" w:fill="FFFFFF" w:themeFill="background1"/>
            <w:vAlign w:val="center"/>
          </w:tcPr>
          <w:p>
            <w:pPr>
              <w:jc w:val="both"/>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（2）社区相亲舞会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375"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3075"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活动主要内容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4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活动设计、舞台设计\活动执行</w:t>
            </w:r>
          </w:p>
        </w:tc>
        <w:tc>
          <w:tcPr>
            <w:tcW w:w="30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活动执行统筹 （场地踩点勘探、场地沟通，场地氛围布置道具搬运等）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活动预热海报设计、舞台及线下物料设计制作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4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现场灯光</w:t>
            </w:r>
          </w:p>
        </w:tc>
        <w:tc>
          <w:tcPr>
            <w:tcW w:w="30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两组4米灯光柱，面光灯8个，配套LED灯、光束灯等若干，含灯光师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4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3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茶歇区</w:t>
            </w:r>
          </w:p>
        </w:tc>
        <w:tc>
          <w:tcPr>
            <w:tcW w:w="30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自助茶歇（120人）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4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3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搭建及运费</w:t>
            </w:r>
          </w:p>
        </w:tc>
        <w:tc>
          <w:tcPr>
            <w:tcW w:w="30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物料搭建及运费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4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3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舞蹈老师邀请费</w:t>
            </w:r>
          </w:p>
        </w:tc>
        <w:tc>
          <w:tcPr>
            <w:tcW w:w="30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邀请专业的舞蹈老师2名现场教学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4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3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礼品</w:t>
            </w:r>
          </w:p>
        </w:tc>
        <w:tc>
          <w:tcPr>
            <w:tcW w:w="30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30元标准伴手礼（120人）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4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3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主持人</w:t>
            </w:r>
          </w:p>
        </w:tc>
        <w:tc>
          <w:tcPr>
            <w:tcW w:w="30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活动主持1人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4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3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活动游戏互动环节</w:t>
            </w:r>
          </w:p>
        </w:tc>
        <w:tc>
          <w:tcPr>
            <w:tcW w:w="30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线上及线下策划，执行、活动游戏道具等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4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3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舞会吧台桌椅套装</w:t>
            </w:r>
          </w:p>
        </w:tc>
        <w:tc>
          <w:tcPr>
            <w:tcW w:w="30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一桌3椅，桌布，共40套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4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3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签到玫瑰花</w:t>
            </w:r>
          </w:p>
        </w:tc>
        <w:tc>
          <w:tcPr>
            <w:tcW w:w="30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花120支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4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3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签到背景墙</w:t>
            </w:r>
          </w:p>
        </w:tc>
        <w:tc>
          <w:tcPr>
            <w:tcW w:w="30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桁架+黑底灯布，气球装饰、配灯，尺寸4*2.4M，配桌椅、桌布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3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现场氛围装饰布置</w:t>
            </w:r>
          </w:p>
        </w:tc>
        <w:tc>
          <w:tcPr>
            <w:tcW w:w="30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材质：气球、帷幔等装饰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4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3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会场里背景墙</w:t>
            </w:r>
          </w:p>
        </w:tc>
        <w:tc>
          <w:tcPr>
            <w:tcW w:w="30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桁架+黑底灯布，KT板、气球装饰、配灯，尺寸4*2.8M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3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室外指引背景板</w:t>
            </w:r>
          </w:p>
        </w:tc>
        <w:tc>
          <w:tcPr>
            <w:tcW w:w="30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桁架+黑底灯布，尺寸4*2.4M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4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3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水牌</w:t>
            </w:r>
          </w:p>
        </w:tc>
        <w:tc>
          <w:tcPr>
            <w:tcW w:w="30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木质支架、KT板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49"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3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摄影摄像</w:t>
            </w:r>
          </w:p>
        </w:tc>
        <w:tc>
          <w:tcPr>
            <w:tcW w:w="307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摄影、摄像师各1位，含30s先导片剪辑及云上相册</w:t>
            </w:r>
          </w:p>
        </w:tc>
      </w:tr>
    </w:tbl>
    <w:p>
      <w:pPr>
        <w:pStyle w:val="2"/>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4、休闲娱乐类活动</w:t>
      </w:r>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7"/>
        <w:gridCol w:w="3206"/>
        <w:gridCol w:w="4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棋牌竞技赛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3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8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4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活动策划费用、宣传设计及费用</w:t>
            </w:r>
          </w:p>
        </w:tc>
        <w:tc>
          <w:tcPr>
            <w:tcW w:w="2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各类海报及背景屏幕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棋牌物料准备（麻将、扑克牌等）预计约100人参与</w:t>
            </w:r>
          </w:p>
        </w:tc>
        <w:tc>
          <w:tcPr>
            <w:tcW w:w="2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比赛规则指定及裁判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裁判员</w:t>
            </w:r>
          </w:p>
        </w:tc>
        <w:tc>
          <w:tcPr>
            <w:tcW w:w="2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裁判*1</w:t>
            </w:r>
            <w:r>
              <w:rPr>
                <w:rFonts w:hint="eastAsia" w:hAnsi="宋体" w:cs="宋体"/>
                <w:i w:val="0"/>
                <w:iCs w:val="0"/>
                <w:color w:val="auto"/>
                <w:kern w:val="0"/>
                <w:sz w:val="21"/>
                <w:szCs w:val="21"/>
                <w:highlight w:val="none"/>
                <w:u w:val="none"/>
                <w:lang w:val="en-US" w:eastAsia="zh-CN" w:bidi="ar"/>
              </w:rPr>
              <w:t>人</w:t>
            </w:r>
            <w:r>
              <w:rPr>
                <w:rFonts w:hint="eastAsia" w:ascii="宋体" w:hAnsi="宋体" w:eastAsia="宋体" w:cs="宋体"/>
                <w:i w:val="0"/>
                <w:iCs w:val="0"/>
                <w:color w:val="auto"/>
                <w:kern w:val="0"/>
                <w:sz w:val="21"/>
                <w:szCs w:val="21"/>
                <w:highlight w:val="none"/>
                <w:u w:val="none"/>
                <w:lang w:val="en-US" w:eastAsia="zh-CN" w:bidi="ar"/>
              </w:rPr>
              <w:t>，计分*1</w:t>
            </w:r>
            <w:r>
              <w:rPr>
                <w:rFonts w:hint="eastAsia" w:hAnsi="宋体" w:cs="宋体"/>
                <w:i w:val="0"/>
                <w:iCs w:val="0"/>
                <w:color w:val="auto"/>
                <w:kern w:val="0"/>
                <w:sz w:val="21"/>
                <w:szCs w:val="21"/>
                <w:highlight w:val="none"/>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奖品</w:t>
            </w:r>
          </w:p>
        </w:tc>
        <w:tc>
          <w:tcPr>
            <w:tcW w:w="2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小礼品（30/50/80）</w:t>
            </w:r>
          </w:p>
        </w:tc>
      </w:tr>
    </w:tbl>
    <w:p>
      <w:pPr>
        <w:pStyle w:val="3"/>
        <w:numPr>
          <w:ilvl w:val="-1"/>
          <w:numId w:val="0"/>
        </w:numPr>
        <w:ind w:firstLine="0" w:firstLineChars="0"/>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5、暂未定活动</w:t>
      </w:r>
    </w:p>
    <w:p>
      <w:pPr>
        <w:pStyle w:val="3"/>
        <w:numPr>
          <w:ilvl w:val="-1"/>
          <w:numId w:val="0"/>
        </w:numPr>
        <w:ind w:firstLine="0" w:firstLineChars="0"/>
        <w:rPr>
          <w:rFonts w:hint="eastAsia" w:ascii="宋体" w:hAnsi="宋体" w:eastAsia="宋体" w:cs="宋体"/>
          <w:b/>
          <w:bCs/>
          <w:i w:val="0"/>
          <w:iCs w:val="0"/>
          <w:color w:val="auto"/>
          <w:kern w:val="0"/>
          <w:sz w:val="21"/>
          <w:szCs w:val="21"/>
          <w:highlight w:val="none"/>
          <w:u w:val="none"/>
          <w:lang w:val="en-US" w:eastAsia="zh-CN" w:bidi="ar"/>
        </w:rPr>
      </w:pPr>
    </w:p>
    <w:p>
      <w:pPr>
        <w:pStyle w:val="3"/>
        <w:numPr>
          <w:ilvl w:val="0"/>
          <w:numId w:val="13"/>
        </w:numP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补充物料清单</w:t>
      </w:r>
    </w:p>
    <w:p>
      <w:pPr>
        <w:pStyle w:val="3"/>
        <w:numPr>
          <w:ilvl w:val="-1"/>
          <w:numId w:val="0"/>
        </w:numPr>
        <w:ind w:firstLine="843" w:firstLineChars="400"/>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（见后附清单）</w:t>
      </w:r>
    </w:p>
    <w:p>
      <w:pPr>
        <w:pStyle w:val="3"/>
        <w:numPr>
          <w:ilvl w:val="-1"/>
          <w:numId w:val="0"/>
        </w:numPr>
        <w:ind w:firstLine="0" w:firstLineChars="0"/>
        <w:rPr>
          <w:rFonts w:hint="eastAsia" w:ascii="宋体" w:hAnsi="宋体" w:eastAsia="宋体" w:cs="宋体"/>
          <w:b/>
          <w:bCs/>
          <w:i w:val="0"/>
          <w:iCs w:val="0"/>
          <w:color w:val="auto"/>
          <w:kern w:val="0"/>
          <w:sz w:val="21"/>
          <w:szCs w:val="21"/>
          <w:highlight w:val="none"/>
          <w:u w:val="none"/>
          <w:lang w:val="en-US" w:eastAsia="zh-CN" w:bidi="ar"/>
        </w:rPr>
      </w:pPr>
    </w:p>
    <w:bookmarkEnd w:id="165"/>
    <w:bookmarkEnd w:id="166"/>
    <w:p>
      <w:pPr>
        <w:pStyle w:val="4"/>
        <w:keepNext/>
        <w:keepLines/>
        <w:pageBreakBefore/>
        <w:numPr>
          <w:ilvl w:val="0"/>
          <w:numId w:val="14"/>
        </w:numPr>
        <w:shd w:val="clear"/>
        <w:spacing w:line="360" w:lineRule="auto"/>
        <w:jc w:val="center"/>
        <w:rPr>
          <w:rFonts w:hAnsi="宋体"/>
          <w:b/>
          <w:bCs/>
          <w:color w:val="auto"/>
          <w:kern w:val="44"/>
          <w:sz w:val="28"/>
          <w:szCs w:val="28"/>
          <w:highlight w:val="none"/>
          <w:lang w:val="zh-CN"/>
        </w:rPr>
      </w:pPr>
      <w:bookmarkStart w:id="169" w:name="_Toc28792"/>
      <w:bookmarkStart w:id="170" w:name="_Toc4437"/>
      <w:r>
        <w:rPr>
          <w:rFonts w:hint="eastAsia" w:hAnsi="宋体"/>
          <w:b/>
          <w:bCs/>
          <w:color w:val="auto"/>
          <w:kern w:val="44"/>
          <w:sz w:val="28"/>
          <w:szCs w:val="28"/>
          <w:highlight w:val="none"/>
          <w:lang w:val="zh-CN"/>
        </w:rPr>
        <w:t>评审工作大纲</w:t>
      </w:r>
      <w:bookmarkEnd w:id="169"/>
    </w:p>
    <w:p>
      <w:pPr>
        <w:pStyle w:val="2"/>
        <w:shd w:val="clear"/>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hd w:val="clear"/>
              <w:spacing w:before="156" w:beforeLines="50" w:after="156"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hd w:val="clear"/>
              <w:spacing w:before="156" w:beforeLines="50" w:after="156"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hd w:val="clear"/>
              <w:spacing w:before="156" w:beforeLines="50" w:after="156"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hd w:val="clear"/>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hd w:val="clear"/>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hd w:val="clear"/>
              <w:spacing w:line="360" w:lineRule="auto"/>
              <w:ind w:firstLine="0" w:firstLineChars="0"/>
              <w:jc w:val="center"/>
              <w:rPr>
                <w:rFonts w:ascii="宋体" w:hAnsi="宋体"/>
                <w:bCs/>
                <w:color w:val="auto"/>
                <w:szCs w:val="21"/>
                <w:highlight w:val="none"/>
              </w:rPr>
            </w:pPr>
          </w:p>
        </w:tc>
        <w:tc>
          <w:tcPr>
            <w:tcW w:w="5801" w:type="dxa"/>
            <w:vAlign w:val="center"/>
          </w:tcPr>
          <w:p>
            <w:pPr>
              <w:shd w:val="clea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hd w:val="clear"/>
              <w:spacing w:line="360" w:lineRule="auto"/>
              <w:ind w:firstLine="0" w:firstLineChars="0"/>
              <w:jc w:val="left"/>
              <w:rPr>
                <w:rFonts w:ascii="宋体" w:hAnsi="宋体"/>
                <w:bCs/>
                <w:color w:val="auto"/>
                <w:szCs w:val="21"/>
                <w:highlight w:val="none"/>
              </w:rPr>
            </w:pPr>
          </w:p>
        </w:tc>
      </w:tr>
    </w:tbl>
    <w:p>
      <w:pPr>
        <w:pStyle w:val="2"/>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（一）资格性检查</w:t>
      </w:r>
    </w:p>
    <w:p>
      <w:pPr>
        <w:pStyle w:val="2"/>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1)资格瑕疵</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①资格证明文件未提供或不符合磋商文件要求的；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②供应商与采购人、采购代理机构有利害关系的。</w:t>
      </w:r>
    </w:p>
    <w:p>
      <w:pPr>
        <w:pStyle w:val="2"/>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2)磋商保证金瑕疵</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①供应商未提交磋商文件保证金或金额不足；</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②提交方式、提交时间不符合采购要求；</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③磋商文件保证金有效期不符合采购要求的。</w:t>
      </w:r>
    </w:p>
    <w:p>
      <w:pPr>
        <w:pStyle w:val="2"/>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（二）符合性检查</w:t>
      </w:r>
    </w:p>
    <w:p>
      <w:pPr>
        <w:pStyle w:val="2"/>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1)供应商代表身份审查</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①供应商代表无有效授权；</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②核对供应商代表身份时，不能提供相应的身份证明或不相符。</w:t>
      </w:r>
    </w:p>
    <w:p>
      <w:pPr>
        <w:pStyle w:val="2"/>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2)响应文件的有效性、完整性瑕疵</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①响应文件的数量、制作、密封、标记不符合要求；</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②响应文件无法定代表人或其授权代表签字，或签字人无法定代表人有效授权的；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③签字盖章不符合磋商文件要求的；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④响应文件内容有严重缺漏项的；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⑤报价有严重缺漏项的；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⑥响应文件的关键内容字迹模糊、无法辨认的。</w:t>
      </w:r>
    </w:p>
    <w:p>
      <w:pPr>
        <w:pStyle w:val="2"/>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3)技术响应瑕疵</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①响应文件不满足磋商文件中加注星号（★）的主要参数要求或加注星号的主要参数无技术资料支持的；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②一般参数超出允许偏离的最大范围或最高项数的；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③响应文件技术响应与事实不符或虚假磋商的；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④《技术规格偏离表》填写不明或不实的；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⑤将一个包中的内容拆开磋商的；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⑥供应商对同一货物或服务磋商时，同时提供两套或两套以上的磋商方案的；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⑦明显不符合技术规格、技术标准要求的；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⑧其他未实质性响应磋商文件技术要求的。</w:t>
      </w:r>
    </w:p>
    <w:p>
      <w:pPr>
        <w:pStyle w:val="2"/>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4)商务响应瑕疵</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①磋商文件加注星号（★）的商务要求负偏离的；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②项目完成期未满足磋商文件要求的；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③报价超出采购预算的。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④《商务条款偏离表》填写不明或不实的；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⑤供应商低于成本报价竞标的；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⑥响应文件附有采购人不能接受的条件的；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⑦其他未实质性响应磋商文件商务要求的。</w:t>
      </w:r>
    </w:p>
    <w:p>
      <w:pPr>
        <w:pStyle w:val="2"/>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5）报价</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6）违规行为</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①以他人的名义磋商、串通磋商、以行贿手段谋取成交或者以其他弄虚作假方式参与磋商的；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②拒不按照要求对响应文件进行澄清、说明或者补正的；</w:t>
      </w:r>
    </w:p>
    <w:p>
      <w:pPr>
        <w:pStyle w:val="2"/>
        <w:shd w:val="clea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③扰乱开标、评标秩序，干扰磋商工作正常进行的。</w:t>
      </w:r>
    </w:p>
    <w:p>
      <w:pPr>
        <w:pStyle w:val="2"/>
        <w:numPr>
          <w:ilvl w:val="0"/>
          <w:numId w:val="15"/>
        </w:numPr>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法律法规及磋商文件中规定的其它情形。</w:t>
      </w:r>
    </w:p>
    <w:p>
      <w:pPr>
        <w:pStyle w:val="2"/>
        <w:numPr>
          <w:ilvl w:val="0"/>
          <w:numId w:val="16"/>
        </w:numPr>
        <w:shd w:val="clea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经过磋商阶段后，磋商小组按照磋商文件确定的评审标准和方法对提交最后报价的供应商的响应文件进行评审和比较，推荐候选成交供应商，编制评审报告。</w:t>
      </w:r>
    </w:p>
    <w:p>
      <w:pPr>
        <w:pStyle w:val="28"/>
        <w:shd w:val="clear"/>
        <w:spacing w:line="360" w:lineRule="auto"/>
        <w:ind w:firstLine="422" w:firstLineChars="200"/>
        <w:outlineLvl w:val="0"/>
        <w:rPr>
          <w:rFonts w:hAnsi="宋体"/>
          <w:b/>
          <w:bCs/>
          <w:color w:val="auto"/>
          <w:szCs w:val="21"/>
          <w:highlight w:val="none"/>
        </w:rPr>
      </w:pPr>
      <w:r>
        <w:rPr>
          <w:rFonts w:hint="eastAsia" w:hAnsi="宋体"/>
          <w:b/>
          <w:bCs/>
          <w:color w:val="auto"/>
          <w:szCs w:val="21"/>
          <w:highlight w:val="none"/>
        </w:rPr>
        <w:t>三、评审因素及评分权重</w:t>
      </w:r>
      <w:bookmarkEnd w:id="170"/>
    </w:p>
    <w:p>
      <w:pPr>
        <w:shd w:val="clea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0"/>
        <w:gridCol w:w="1747"/>
        <w:gridCol w:w="564"/>
        <w:gridCol w:w="263"/>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75"/>
              <w:shd w:val="clear"/>
              <w:spacing w:line="360" w:lineRule="auto"/>
              <w:ind w:firstLine="0" w:firstLineChars="0"/>
              <w:jc w:val="center"/>
              <w:rPr>
                <w:rFonts w:ascii="宋体" w:eastAsia="宋体"/>
                <w:b/>
                <w:bCs/>
                <w:color w:val="auto"/>
                <w:sz w:val="21"/>
                <w:szCs w:val="21"/>
                <w:highlight w:val="none"/>
              </w:rPr>
            </w:pPr>
            <w:r>
              <w:rPr>
                <w:rFonts w:hint="eastAsia" w:ascii="宋体" w:eastAsia="宋体"/>
                <w:b/>
                <w:bCs/>
                <w:color w:val="auto"/>
                <w:sz w:val="21"/>
                <w:szCs w:val="21"/>
                <w:highlight w:val="none"/>
              </w:rPr>
              <w:t>序号</w:t>
            </w:r>
          </w:p>
        </w:tc>
        <w:tc>
          <w:tcPr>
            <w:tcW w:w="1807" w:type="dxa"/>
            <w:gridSpan w:val="2"/>
            <w:tcBorders>
              <w:top w:val="single" w:color="auto" w:sz="4" w:space="0"/>
              <w:left w:val="single" w:color="auto" w:sz="4" w:space="0"/>
              <w:bottom w:val="single" w:color="auto" w:sz="4" w:space="0"/>
              <w:right w:val="single" w:color="auto" w:sz="4" w:space="0"/>
            </w:tcBorders>
            <w:vAlign w:val="center"/>
          </w:tcPr>
          <w:p>
            <w:pPr>
              <w:pStyle w:val="75"/>
              <w:shd w:val="clear"/>
              <w:spacing w:line="360" w:lineRule="auto"/>
              <w:ind w:firstLine="0" w:firstLineChars="0"/>
              <w:jc w:val="center"/>
              <w:rPr>
                <w:rFonts w:ascii="宋体" w:eastAsia="宋体"/>
                <w:b/>
                <w:bCs/>
                <w:color w:val="auto"/>
                <w:sz w:val="21"/>
                <w:szCs w:val="21"/>
                <w:highlight w:val="none"/>
              </w:rPr>
            </w:pPr>
            <w:r>
              <w:rPr>
                <w:rFonts w:hint="eastAsia" w:ascii="宋体" w:eastAsia="宋体"/>
                <w:b/>
                <w:bCs/>
                <w:color w:val="auto"/>
                <w:sz w:val="21"/>
                <w:szCs w:val="21"/>
                <w:highlight w:val="none"/>
              </w:rPr>
              <w:t>评审项目</w:t>
            </w:r>
          </w:p>
        </w:tc>
        <w:tc>
          <w:tcPr>
            <w:tcW w:w="564" w:type="dxa"/>
            <w:tcBorders>
              <w:top w:val="single" w:color="auto" w:sz="4" w:space="0"/>
              <w:left w:val="single" w:color="auto" w:sz="4" w:space="0"/>
              <w:bottom w:val="single" w:color="auto" w:sz="4" w:space="0"/>
              <w:right w:val="single" w:color="auto" w:sz="4" w:space="0"/>
            </w:tcBorders>
            <w:vAlign w:val="center"/>
          </w:tcPr>
          <w:p>
            <w:pPr>
              <w:pStyle w:val="75"/>
              <w:shd w:val="clear"/>
              <w:spacing w:line="360" w:lineRule="auto"/>
              <w:ind w:firstLine="0" w:firstLineChars="0"/>
              <w:jc w:val="center"/>
              <w:rPr>
                <w:rFonts w:ascii="宋体" w:eastAsia="宋体"/>
                <w:b/>
                <w:bCs/>
                <w:color w:val="auto"/>
                <w:sz w:val="21"/>
                <w:szCs w:val="21"/>
                <w:highlight w:val="none"/>
              </w:rPr>
            </w:pPr>
            <w:r>
              <w:rPr>
                <w:rFonts w:hint="eastAsia" w:ascii="宋体" w:eastAsia="宋体"/>
                <w:b/>
                <w:bCs/>
                <w:color w:val="auto"/>
                <w:sz w:val="21"/>
                <w:szCs w:val="21"/>
                <w:highlight w:val="none"/>
              </w:rPr>
              <w:t>分值</w:t>
            </w:r>
          </w:p>
        </w:tc>
        <w:tc>
          <w:tcPr>
            <w:tcW w:w="6198" w:type="dxa"/>
            <w:gridSpan w:val="2"/>
            <w:tcBorders>
              <w:top w:val="single" w:color="auto" w:sz="4" w:space="0"/>
              <w:left w:val="single" w:color="auto" w:sz="4" w:space="0"/>
              <w:bottom w:val="single" w:color="auto" w:sz="4" w:space="0"/>
              <w:right w:val="single" w:color="auto" w:sz="4" w:space="0"/>
            </w:tcBorders>
            <w:vAlign w:val="center"/>
          </w:tcPr>
          <w:p>
            <w:pPr>
              <w:pStyle w:val="75"/>
              <w:shd w:val="clear"/>
              <w:spacing w:line="360" w:lineRule="auto"/>
              <w:ind w:firstLine="0" w:firstLineChars="0"/>
              <w:jc w:val="center"/>
              <w:rPr>
                <w:rFonts w:ascii="宋体" w:eastAsia="宋体"/>
                <w:b/>
                <w:bCs/>
                <w:color w:val="auto"/>
                <w:sz w:val="21"/>
                <w:szCs w:val="21"/>
                <w:highlight w:val="none"/>
              </w:rPr>
            </w:pPr>
            <w:r>
              <w:rPr>
                <w:rFonts w:hint="eastAsia" w:ascii="宋体" w:eastAsia="宋体"/>
                <w:b/>
                <w:bCs/>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59" w:type="dxa"/>
            <w:gridSpan w:val="6"/>
            <w:tcBorders>
              <w:top w:val="single" w:color="auto" w:sz="4" w:space="0"/>
              <w:left w:val="single" w:color="auto" w:sz="4" w:space="0"/>
              <w:bottom w:val="single" w:color="auto" w:sz="4" w:space="0"/>
              <w:right w:val="single" w:color="auto" w:sz="4" w:space="0"/>
            </w:tcBorders>
            <w:vAlign w:val="center"/>
          </w:tcPr>
          <w:p>
            <w:pPr>
              <w:pStyle w:val="75"/>
              <w:shd w:val="clear"/>
              <w:spacing w:line="360" w:lineRule="auto"/>
              <w:ind w:firstLine="0" w:firstLineChars="0"/>
              <w:jc w:val="center"/>
              <w:rPr>
                <w:rFonts w:ascii="宋体" w:eastAsia="宋体"/>
                <w:b/>
                <w:bCs/>
                <w:color w:val="auto"/>
                <w:sz w:val="21"/>
                <w:szCs w:val="21"/>
                <w:highlight w:val="none"/>
              </w:rPr>
            </w:pPr>
            <w:r>
              <w:rPr>
                <w:rFonts w:hint="eastAsia" w:ascii="宋体" w:eastAsia="宋体"/>
                <w:b/>
                <w:color w:val="auto"/>
                <w:sz w:val="21"/>
                <w:szCs w:val="21"/>
                <w:highlight w:val="none"/>
              </w:rPr>
              <w:t>商务评分（</w:t>
            </w:r>
            <w:r>
              <w:rPr>
                <w:rFonts w:hint="eastAsia" w:ascii="宋体" w:eastAsia="宋体"/>
                <w:b/>
                <w:color w:val="auto"/>
                <w:sz w:val="21"/>
                <w:szCs w:val="21"/>
                <w:highlight w:val="none"/>
                <w:lang w:val="en-US" w:eastAsia="zh-CN"/>
              </w:rPr>
              <w:t>15</w:t>
            </w:r>
            <w:r>
              <w:rPr>
                <w:rFonts w:hint="eastAsia" w:ascii="宋体" w:eastAsia="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0" w:type="dxa"/>
            <w:gridSpan w:val="2"/>
            <w:tcBorders>
              <w:top w:val="single" w:color="auto" w:sz="4" w:space="0"/>
              <w:left w:val="single" w:color="auto" w:sz="4" w:space="0"/>
              <w:right w:val="single" w:color="auto" w:sz="4" w:space="0"/>
            </w:tcBorders>
            <w:vAlign w:val="center"/>
          </w:tcPr>
          <w:p>
            <w:pPr>
              <w:shd w:val="clear"/>
              <w:spacing w:line="360" w:lineRule="auto"/>
              <w:jc w:val="center"/>
              <w:rPr>
                <w:color w:val="auto"/>
                <w:sz w:val="21"/>
                <w:szCs w:val="21"/>
                <w:highlight w:val="none"/>
              </w:rPr>
            </w:pPr>
            <w:r>
              <w:rPr>
                <w:rFonts w:hint="eastAsia" w:hAnsi="宋体"/>
                <w:color w:val="auto"/>
                <w:sz w:val="21"/>
                <w:szCs w:val="21"/>
                <w:highlight w:val="none"/>
              </w:rPr>
              <w:t>1</w:t>
            </w:r>
          </w:p>
        </w:tc>
        <w:tc>
          <w:tcPr>
            <w:tcW w:w="1747" w:type="dxa"/>
            <w:tcBorders>
              <w:top w:val="single" w:color="auto" w:sz="4" w:space="0"/>
              <w:left w:val="single" w:color="auto" w:sz="4" w:space="0"/>
              <w:right w:val="single" w:color="auto" w:sz="4" w:space="0"/>
            </w:tcBorders>
            <w:vAlign w:val="center"/>
          </w:tcPr>
          <w:p>
            <w:pPr>
              <w:shd w:val="clear"/>
              <w:spacing w:before="31" w:beforeLines="10" w:after="30" w:line="440" w:lineRule="exact"/>
              <w:jc w:val="center"/>
              <w:rPr>
                <w:rFonts w:ascii="宋体" w:hAnsi="宋体" w:eastAsia="宋体" w:cs="宋体"/>
                <w:color w:val="auto"/>
                <w:sz w:val="21"/>
                <w:szCs w:val="21"/>
                <w:highlight w:val="none"/>
                <w:lang w:val="en-US" w:eastAsia="zh-CN" w:bidi="ar-SA"/>
              </w:rPr>
            </w:pPr>
            <w:r>
              <w:rPr>
                <w:rFonts w:hint="eastAsia" w:hAnsi="宋体"/>
                <w:color w:val="auto"/>
                <w:sz w:val="21"/>
                <w:szCs w:val="21"/>
                <w:highlight w:val="none"/>
              </w:rPr>
              <w:t>业绩情况</w:t>
            </w:r>
          </w:p>
        </w:tc>
        <w:tc>
          <w:tcPr>
            <w:tcW w:w="827" w:type="dxa"/>
            <w:gridSpan w:val="2"/>
            <w:tcBorders>
              <w:top w:val="single" w:color="auto" w:sz="4" w:space="0"/>
              <w:left w:val="single" w:color="auto" w:sz="4" w:space="0"/>
              <w:bottom w:val="single" w:color="auto" w:sz="4" w:space="0"/>
              <w:right w:val="single" w:color="auto" w:sz="4" w:space="0"/>
            </w:tcBorders>
            <w:vAlign w:val="center"/>
          </w:tcPr>
          <w:p>
            <w:pPr>
              <w:widowControl/>
              <w:shd w:val="clear"/>
              <w:spacing w:before="31" w:beforeLines="10" w:after="30" w:line="440" w:lineRule="exact"/>
              <w:jc w:val="center"/>
              <w:rPr>
                <w:rFonts w:ascii="宋体" w:hAnsi="宋体" w:eastAsia="宋体" w:cs="宋体"/>
                <w:color w:val="auto"/>
                <w:sz w:val="21"/>
                <w:szCs w:val="21"/>
                <w:highlight w:val="none"/>
                <w:lang w:val="en-US" w:eastAsia="zh-CN" w:bidi="ar-SA"/>
              </w:rPr>
            </w:pPr>
            <w:r>
              <w:rPr>
                <w:rFonts w:hint="eastAsia" w:hAnsi="宋体"/>
                <w:bCs/>
                <w:color w:val="auto"/>
                <w:sz w:val="21"/>
                <w:szCs w:val="21"/>
                <w:highlight w:val="none"/>
              </w:rPr>
              <w:t>1</w:t>
            </w:r>
            <w:r>
              <w:rPr>
                <w:rFonts w:hint="eastAsia" w:hAnsi="宋体"/>
                <w:bCs/>
                <w:color w:val="auto"/>
                <w:sz w:val="21"/>
                <w:szCs w:val="21"/>
                <w:highlight w:val="none"/>
                <w:lang w:val="en-US" w:eastAsia="zh-CN"/>
              </w:rPr>
              <w:t>0</w:t>
            </w:r>
            <w:r>
              <w:rPr>
                <w:rFonts w:hint="eastAsia" w:hAnsi="宋体"/>
                <w:bCs/>
                <w:color w:val="auto"/>
                <w:sz w:val="21"/>
                <w:szCs w:val="21"/>
                <w:highlight w:val="none"/>
              </w:rPr>
              <w:t>分</w:t>
            </w:r>
          </w:p>
        </w:tc>
        <w:tc>
          <w:tcPr>
            <w:tcW w:w="5935" w:type="dxa"/>
            <w:tcBorders>
              <w:top w:val="single" w:color="auto" w:sz="4" w:space="0"/>
              <w:left w:val="single" w:color="auto" w:sz="4" w:space="0"/>
              <w:bottom w:val="single" w:color="auto" w:sz="4" w:space="0"/>
              <w:right w:val="single" w:color="auto" w:sz="4" w:space="0"/>
            </w:tcBorders>
            <w:vAlign w:val="center"/>
          </w:tcPr>
          <w:p>
            <w:pPr>
              <w:shd w:val="clear"/>
              <w:spacing w:before="31" w:beforeLines="10" w:after="30" w:line="440" w:lineRule="exact"/>
              <w:rPr>
                <w:rFonts w:hAnsi="宋体"/>
                <w:color w:val="auto"/>
                <w:sz w:val="21"/>
                <w:szCs w:val="21"/>
                <w:highlight w:val="none"/>
              </w:rPr>
            </w:pPr>
            <w:r>
              <w:rPr>
                <w:rFonts w:hint="eastAsia" w:hAnsi="宋体"/>
                <w:color w:val="auto"/>
                <w:sz w:val="21"/>
                <w:szCs w:val="21"/>
                <w:highlight w:val="none"/>
              </w:rPr>
              <w:t>根据供应商20</w:t>
            </w:r>
            <w:r>
              <w:rPr>
                <w:rFonts w:hint="eastAsia" w:hAnsi="宋体"/>
                <w:color w:val="auto"/>
                <w:sz w:val="21"/>
                <w:szCs w:val="21"/>
                <w:highlight w:val="none"/>
                <w:lang w:val="en-US" w:eastAsia="zh-CN"/>
              </w:rPr>
              <w:t>21</w:t>
            </w:r>
            <w:r>
              <w:rPr>
                <w:rFonts w:hint="eastAsia" w:hAnsi="宋体"/>
                <w:color w:val="auto"/>
                <w:sz w:val="21"/>
                <w:szCs w:val="21"/>
                <w:highlight w:val="none"/>
              </w:rPr>
              <w:t>年1月</w:t>
            </w:r>
            <w:r>
              <w:rPr>
                <w:rFonts w:hint="eastAsia" w:hAnsi="宋体"/>
                <w:color w:val="auto"/>
                <w:sz w:val="21"/>
                <w:szCs w:val="21"/>
                <w:highlight w:val="none"/>
                <w:lang w:val="en-US" w:eastAsia="zh-CN"/>
              </w:rPr>
              <w:t>1日</w:t>
            </w:r>
            <w:r>
              <w:rPr>
                <w:rFonts w:hint="eastAsia" w:hAnsi="宋体"/>
                <w:color w:val="auto"/>
                <w:sz w:val="21"/>
                <w:szCs w:val="21"/>
                <w:highlight w:val="none"/>
              </w:rPr>
              <w:t>以来（以合同签订时间为准）承接的</w:t>
            </w:r>
            <w:r>
              <w:rPr>
                <w:rFonts w:hint="eastAsia" w:hAnsi="宋体"/>
                <w:color w:val="auto"/>
                <w:sz w:val="21"/>
                <w:szCs w:val="21"/>
                <w:highlight w:val="none"/>
                <w:lang w:eastAsia="zh-CN"/>
              </w:rPr>
              <w:t>活动策划及执行</w:t>
            </w:r>
            <w:r>
              <w:rPr>
                <w:rFonts w:hint="eastAsia" w:hAnsi="宋体"/>
                <w:color w:val="auto"/>
                <w:sz w:val="21"/>
                <w:szCs w:val="21"/>
                <w:highlight w:val="none"/>
              </w:rPr>
              <w:t>类项目业绩情况进行评审</w:t>
            </w:r>
            <w:r>
              <w:rPr>
                <w:rFonts w:hint="eastAsia" w:hAnsi="宋体"/>
                <w:color w:val="auto"/>
                <w:sz w:val="21"/>
                <w:szCs w:val="21"/>
                <w:highlight w:val="none"/>
                <w:lang w:eastAsia="zh-CN"/>
              </w:rPr>
              <w:t>，</w:t>
            </w:r>
            <w:r>
              <w:rPr>
                <w:rFonts w:hint="eastAsia" w:hAnsi="宋体"/>
                <w:color w:val="auto"/>
                <w:sz w:val="21"/>
                <w:szCs w:val="21"/>
                <w:highlight w:val="none"/>
              </w:rPr>
              <w:t>每提供一个得</w:t>
            </w:r>
            <w:r>
              <w:rPr>
                <w:rFonts w:hint="eastAsia" w:hAnsi="宋体"/>
                <w:color w:val="auto"/>
                <w:sz w:val="21"/>
                <w:szCs w:val="21"/>
                <w:highlight w:val="none"/>
                <w:lang w:val="en-US" w:eastAsia="zh-CN"/>
              </w:rPr>
              <w:t>2</w:t>
            </w:r>
            <w:r>
              <w:rPr>
                <w:rFonts w:hint="eastAsia" w:hAnsi="宋体"/>
                <w:color w:val="auto"/>
                <w:sz w:val="21"/>
                <w:szCs w:val="21"/>
                <w:highlight w:val="none"/>
              </w:rPr>
              <w:t>分，本项最高</w:t>
            </w:r>
            <w:r>
              <w:rPr>
                <w:rFonts w:hint="eastAsia" w:hAnsi="宋体"/>
                <w:color w:val="auto"/>
                <w:sz w:val="21"/>
                <w:szCs w:val="21"/>
                <w:highlight w:val="none"/>
                <w:lang w:val="en-US" w:eastAsia="zh-CN"/>
              </w:rPr>
              <w:t>10</w:t>
            </w:r>
            <w:r>
              <w:rPr>
                <w:rFonts w:hint="eastAsia" w:hAnsi="宋体"/>
                <w:color w:val="auto"/>
                <w:sz w:val="21"/>
                <w:szCs w:val="21"/>
                <w:highlight w:val="none"/>
              </w:rPr>
              <w:t>分。</w:t>
            </w:r>
          </w:p>
          <w:p>
            <w:pPr>
              <w:shd w:val="clear"/>
              <w:spacing w:before="31" w:beforeLines="10" w:after="30" w:line="440" w:lineRule="exact"/>
              <w:rPr>
                <w:rFonts w:ascii="宋体" w:hAnsi="宋体" w:eastAsia="宋体" w:cs="宋体"/>
                <w:bCs/>
                <w:color w:val="auto"/>
                <w:sz w:val="21"/>
                <w:szCs w:val="21"/>
                <w:highlight w:val="none"/>
                <w:lang w:val="zh-CN" w:eastAsia="zh-CN" w:bidi="ar-SA"/>
              </w:rPr>
            </w:pPr>
            <w:r>
              <w:rPr>
                <w:rFonts w:hint="eastAsia" w:hAnsi="宋体"/>
                <w:b/>
                <w:color w:val="auto"/>
                <w:sz w:val="21"/>
                <w:szCs w:val="21"/>
                <w:highlight w:val="none"/>
                <w:u w:val="single"/>
              </w:rPr>
              <w:t>注：须提供合同及合同履行期内任意发票复印件</w:t>
            </w:r>
            <w:r>
              <w:rPr>
                <w:rFonts w:hint="eastAsia" w:hAnsi="宋体"/>
                <w:b/>
                <w:color w:val="auto"/>
                <w:sz w:val="21"/>
                <w:szCs w:val="21"/>
                <w:highlight w:val="none"/>
                <w:u w:val="single"/>
                <w:lang w:eastAsia="zh-CN"/>
              </w:rPr>
              <w:t>并加</w:t>
            </w:r>
            <w:r>
              <w:rPr>
                <w:rFonts w:hint="eastAsia" w:hAnsi="宋体"/>
                <w:b/>
                <w:color w:val="auto"/>
                <w:sz w:val="21"/>
                <w:szCs w:val="21"/>
                <w:highlight w:val="none"/>
                <w:u w:val="single"/>
              </w:rPr>
              <w:t>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0" w:type="dxa"/>
            <w:gridSpan w:val="2"/>
            <w:tcBorders>
              <w:top w:val="single" w:color="auto" w:sz="4" w:space="0"/>
              <w:left w:val="single" w:color="auto" w:sz="4" w:space="0"/>
              <w:right w:val="single" w:color="auto" w:sz="4" w:space="0"/>
            </w:tcBorders>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2</w:t>
            </w:r>
          </w:p>
        </w:tc>
        <w:tc>
          <w:tcPr>
            <w:tcW w:w="1747"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Cs/>
                <w:color w:val="auto"/>
                <w:sz w:val="21"/>
                <w:szCs w:val="21"/>
                <w:highlight w:val="none"/>
                <w:lang w:val="en-US" w:eastAsia="zh-CN" w:bidi="ar-SA"/>
              </w:rPr>
            </w:pPr>
            <w:r>
              <w:rPr>
                <w:rFonts w:hint="eastAsia" w:hAnsi="宋体" w:cs="宋体"/>
                <w:color w:val="auto"/>
                <w:sz w:val="21"/>
                <w:szCs w:val="21"/>
                <w:highlight w:val="none"/>
              </w:rPr>
              <w:t>拟投人员情况</w:t>
            </w:r>
          </w:p>
        </w:tc>
        <w:tc>
          <w:tcPr>
            <w:tcW w:w="82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3分</w:t>
            </w:r>
          </w:p>
        </w:tc>
        <w:tc>
          <w:tcPr>
            <w:tcW w:w="59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hAnsi="宋体" w:cs="宋体"/>
                <w:bCs/>
                <w:color w:val="auto"/>
                <w:sz w:val="21"/>
                <w:szCs w:val="21"/>
                <w:highlight w:val="none"/>
              </w:rPr>
            </w:pPr>
            <w:r>
              <w:rPr>
                <w:rFonts w:hint="eastAsia" w:hAnsi="宋体" w:cs="宋体"/>
                <w:bCs/>
                <w:color w:val="auto"/>
                <w:sz w:val="21"/>
                <w:szCs w:val="21"/>
                <w:highlight w:val="none"/>
              </w:rPr>
              <w:t>1、投入本项目</w:t>
            </w:r>
            <w:r>
              <w:rPr>
                <w:rFonts w:hint="eastAsia" w:hAnsi="宋体" w:cs="宋体"/>
                <w:bCs/>
                <w:color w:val="auto"/>
                <w:sz w:val="21"/>
                <w:szCs w:val="21"/>
                <w:highlight w:val="none"/>
                <w:lang w:eastAsia="zh-CN"/>
              </w:rPr>
              <w:t>主要</w:t>
            </w:r>
            <w:r>
              <w:rPr>
                <w:rFonts w:hint="eastAsia" w:hAnsi="宋体" w:cs="宋体"/>
                <w:bCs/>
                <w:color w:val="auto"/>
                <w:sz w:val="21"/>
                <w:szCs w:val="21"/>
                <w:highlight w:val="none"/>
              </w:rPr>
              <w:t>人员配置，5人以上的，得</w:t>
            </w:r>
            <w:r>
              <w:rPr>
                <w:rFonts w:hint="eastAsia" w:hAnsi="宋体" w:cs="宋体"/>
                <w:bCs/>
                <w:color w:val="auto"/>
                <w:sz w:val="21"/>
                <w:szCs w:val="21"/>
                <w:highlight w:val="none"/>
                <w:lang w:val="en-US" w:eastAsia="zh-CN"/>
              </w:rPr>
              <w:t>3</w:t>
            </w:r>
            <w:r>
              <w:rPr>
                <w:rFonts w:hint="eastAsia" w:hAnsi="宋体" w:cs="宋体"/>
                <w:bCs/>
                <w:color w:val="auto"/>
                <w:sz w:val="21"/>
                <w:szCs w:val="21"/>
                <w:highlight w:val="none"/>
              </w:rPr>
              <w:t>分</w:t>
            </w:r>
            <w:r>
              <w:rPr>
                <w:rFonts w:hint="eastAsia" w:hAnsi="宋体" w:cs="宋体"/>
                <w:bCs/>
                <w:color w:val="auto"/>
                <w:sz w:val="21"/>
                <w:szCs w:val="21"/>
                <w:highlight w:val="none"/>
                <w:lang w:eastAsia="zh-CN"/>
              </w:rPr>
              <w:t>；</w:t>
            </w:r>
            <w:r>
              <w:rPr>
                <w:rFonts w:hint="eastAsia" w:hAnsi="宋体" w:cs="宋体"/>
                <w:bCs/>
                <w:color w:val="auto"/>
                <w:sz w:val="21"/>
                <w:szCs w:val="21"/>
                <w:highlight w:val="none"/>
              </w:rPr>
              <w:t>3-4人的，得</w:t>
            </w:r>
            <w:r>
              <w:rPr>
                <w:rFonts w:hint="eastAsia" w:hAnsi="宋体" w:cs="宋体"/>
                <w:bCs/>
                <w:color w:val="auto"/>
                <w:sz w:val="21"/>
                <w:szCs w:val="21"/>
                <w:highlight w:val="none"/>
                <w:lang w:val="en-US" w:eastAsia="zh-CN"/>
              </w:rPr>
              <w:t>2</w:t>
            </w:r>
            <w:r>
              <w:rPr>
                <w:rFonts w:hint="eastAsia" w:hAnsi="宋体" w:cs="宋体"/>
                <w:bCs/>
                <w:color w:val="auto"/>
                <w:sz w:val="21"/>
                <w:szCs w:val="21"/>
                <w:highlight w:val="none"/>
              </w:rPr>
              <w:t>分</w:t>
            </w:r>
            <w:r>
              <w:rPr>
                <w:rFonts w:hint="eastAsia" w:hAnsi="宋体" w:cs="宋体"/>
                <w:bCs/>
                <w:color w:val="auto"/>
                <w:sz w:val="21"/>
                <w:szCs w:val="21"/>
                <w:highlight w:val="none"/>
                <w:lang w:eastAsia="zh-CN"/>
              </w:rPr>
              <w:t>；</w:t>
            </w:r>
            <w:r>
              <w:rPr>
                <w:rFonts w:hint="eastAsia" w:hAnsi="宋体" w:cs="宋体"/>
                <w:bCs/>
                <w:color w:val="auto"/>
                <w:sz w:val="21"/>
                <w:szCs w:val="21"/>
                <w:highlight w:val="none"/>
              </w:rPr>
              <w:t>1-2人的，得1分。</w:t>
            </w:r>
          </w:p>
          <w:p>
            <w:pPr>
              <w:spacing w:line="360" w:lineRule="auto"/>
              <w:rPr>
                <w:rFonts w:hint="eastAsia" w:ascii="宋体" w:hAnsi="宋体" w:eastAsia="宋体" w:cs="宋体"/>
                <w:bCs/>
                <w:color w:val="auto"/>
                <w:sz w:val="21"/>
                <w:szCs w:val="21"/>
                <w:highlight w:val="none"/>
                <w:lang w:val="zh-CN" w:eastAsia="zh-CN" w:bidi="ar-SA"/>
              </w:rPr>
            </w:pPr>
            <w:r>
              <w:rPr>
                <w:rFonts w:hint="eastAsia" w:hAnsi="宋体" w:cs="宋体"/>
                <w:bCs/>
                <w:color w:val="auto"/>
                <w:sz w:val="21"/>
                <w:szCs w:val="21"/>
                <w:highlight w:val="none"/>
              </w:rPr>
              <w:t>【须提供以上人员需提供投标人（近半年不少于三个月）为其购买的社保证明、职称证、资格证等复印件加盖投标人公章。】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0" w:type="dxa"/>
            <w:gridSpan w:val="2"/>
            <w:tcBorders>
              <w:top w:val="single" w:color="auto" w:sz="4" w:space="0"/>
              <w:left w:val="single" w:color="auto" w:sz="4" w:space="0"/>
              <w:right w:val="single" w:color="auto" w:sz="4" w:space="0"/>
            </w:tcBorders>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3</w:t>
            </w:r>
          </w:p>
        </w:tc>
        <w:tc>
          <w:tcPr>
            <w:tcW w:w="1747" w:type="dxa"/>
            <w:tcBorders>
              <w:top w:val="single" w:color="auto" w:sz="4" w:space="0"/>
              <w:left w:val="single" w:color="auto" w:sz="4" w:space="0"/>
              <w:right w:val="single" w:color="auto" w:sz="4" w:space="0"/>
            </w:tcBorders>
            <w:vAlign w:val="center"/>
          </w:tcPr>
          <w:p>
            <w:pPr>
              <w:shd w:val="clear"/>
              <w:spacing w:line="360" w:lineRule="auto"/>
              <w:jc w:val="center"/>
              <w:rPr>
                <w:rFonts w:hAnsi="宋体"/>
                <w:color w:val="auto"/>
                <w:sz w:val="21"/>
                <w:szCs w:val="21"/>
                <w:highlight w:val="none"/>
              </w:rPr>
            </w:pPr>
            <w:r>
              <w:rPr>
                <w:rFonts w:hint="eastAsia" w:hAnsi="宋体"/>
                <w:bCs/>
                <w:color w:val="auto"/>
                <w:kern w:val="2"/>
                <w:sz w:val="21"/>
                <w:szCs w:val="21"/>
                <w:highlight w:val="none"/>
              </w:rPr>
              <w:t>服务便利性</w:t>
            </w:r>
          </w:p>
        </w:tc>
        <w:tc>
          <w:tcPr>
            <w:tcW w:w="827" w:type="dxa"/>
            <w:gridSpan w:val="2"/>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hAnsi="宋体"/>
                <w:color w:val="auto"/>
                <w:sz w:val="21"/>
                <w:szCs w:val="21"/>
                <w:highlight w:val="none"/>
              </w:rPr>
            </w:pPr>
            <w:r>
              <w:rPr>
                <w:rFonts w:hint="eastAsia" w:hAnsi="宋体"/>
                <w:bCs/>
                <w:color w:val="auto"/>
                <w:kern w:val="2"/>
                <w:sz w:val="21"/>
                <w:szCs w:val="21"/>
                <w:highlight w:val="none"/>
              </w:rPr>
              <w:t>2分</w:t>
            </w:r>
          </w:p>
        </w:tc>
        <w:tc>
          <w:tcPr>
            <w:tcW w:w="5935"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rFonts w:hAnsi="宋体"/>
                <w:bCs/>
                <w:color w:val="auto"/>
                <w:kern w:val="2"/>
                <w:sz w:val="21"/>
                <w:szCs w:val="21"/>
                <w:highlight w:val="none"/>
              </w:rPr>
            </w:pPr>
            <w:r>
              <w:rPr>
                <w:rFonts w:hint="eastAsia" w:hAnsi="宋体"/>
                <w:bCs/>
                <w:color w:val="auto"/>
                <w:kern w:val="2"/>
                <w:sz w:val="21"/>
                <w:szCs w:val="21"/>
                <w:highlight w:val="none"/>
              </w:rPr>
              <w:t>1.供应商承诺在接到采购人通知后</w:t>
            </w:r>
            <w:r>
              <w:rPr>
                <w:rFonts w:hint="eastAsia" w:hAnsi="宋体"/>
                <w:bCs/>
                <w:color w:val="auto"/>
                <w:kern w:val="2"/>
                <w:sz w:val="21"/>
                <w:szCs w:val="21"/>
                <w:highlight w:val="none"/>
                <w:lang w:val="en-US" w:eastAsia="zh-CN"/>
              </w:rPr>
              <w:t>3</w:t>
            </w:r>
            <w:r>
              <w:rPr>
                <w:rFonts w:hint="eastAsia" w:hAnsi="宋体"/>
                <w:bCs/>
                <w:color w:val="auto"/>
                <w:kern w:val="2"/>
                <w:sz w:val="21"/>
                <w:szCs w:val="21"/>
                <w:highlight w:val="none"/>
              </w:rPr>
              <w:t>0分钟内到现场，得2分；</w:t>
            </w:r>
          </w:p>
          <w:p>
            <w:pPr>
              <w:shd w:val="clear"/>
              <w:spacing w:line="360" w:lineRule="auto"/>
              <w:rPr>
                <w:rFonts w:hAnsi="宋体"/>
                <w:bCs/>
                <w:color w:val="auto"/>
                <w:kern w:val="2"/>
                <w:sz w:val="21"/>
                <w:szCs w:val="21"/>
                <w:highlight w:val="none"/>
              </w:rPr>
            </w:pPr>
            <w:r>
              <w:rPr>
                <w:rFonts w:hint="eastAsia" w:hAnsi="宋体"/>
                <w:bCs/>
                <w:color w:val="auto"/>
                <w:kern w:val="2"/>
                <w:sz w:val="21"/>
                <w:szCs w:val="21"/>
                <w:highlight w:val="none"/>
              </w:rPr>
              <w:t>2.供应商承诺在接到采购人通知后</w:t>
            </w:r>
            <w:r>
              <w:rPr>
                <w:rFonts w:hint="eastAsia" w:hAnsi="宋体"/>
                <w:bCs/>
                <w:color w:val="auto"/>
                <w:kern w:val="2"/>
                <w:sz w:val="21"/>
                <w:szCs w:val="21"/>
                <w:highlight w:val="none"/>
                <w:lang w:val="en-US" w:eastAsia="zh-CN"/>
              </w:rPr>
              <w:t>60</w:t>
            </w:r>
            <w:r>
              <w:rPr>
                <w:rFonts w:hint="eastAsia" w:hAnsi="宋体"/>
                <w:bCs/>
                <w:color w:val="auto"/>
                <w:kern w:val="2"/>
                <w:sz w:val="21"/>
                <w:szCs w:val="21"/>
                <w:highlight w:val="none"/>
              </w:rPr>
              <w:t>分钟内到现场，得1分；</w:t>
            </w:r>
          </w:p>
          <w:p>
            <w:pPr>
              <w:pStyle w:val="60"/>
              <w:shd w:val="clear"/>
              <w:rPr>
                <w:color w:val="auto"/>
                <w:highlight w:val="none"/>
              </w:rPr>
            </w:pPr>
            <w:r>
              <w:rPr>
                <w:rFonts w:hint="eastAsia" w:hAnsi="宋体"/>
                <w:color w:val="auto"/>
                <w:kern w:val="2"/>
                <w:sz w:val="21"/>
                <w:szCs w:val="21"/>
                <w:highlight w:val="none"/>
              </w:rPr>
              <w:t>3.</w:t>
            </w:r>
            <w:r>
              <w:rPr>
                <w:rFonts w:hint="eastAsia" w:ascii="宋体" w:hAnsi="宋体"/>
                <w:color w:val="auto"/>
                <w:kern w:val="2"/>
                <w:sz w:val="21"/>
                <w:szCs w:val="21"/>
                <w:highlight w:val="none"/>
              </w:rPr>
              <w:t>其他情况或不提供不得分。</w:t>
            </w:r>
          </w:p>
          <w:p>
            <w:pPr>
              <w:pStyle w:val="2"/>
              <w:shd w:val="clear"/>
              <w:spacing w:line="360" w:lineRule="auto"/>
              <w:jc w:val="left"/>
              <w:rPr>
                <w:rFonts w:hAnsi="宋体"/>
                <w:color w:val="auto"/>
                <w:sz w:val="21"/>
                <w:szCs w:val="21"/>
                <w:highlight w:val="none"/>
              </w:rPr>
            </w:pPr>
            <w:r>
              <w:rPr>
                <w:rFonts w:hint="eastAsia" w:hAnsi="宋体"/>
                <w:color w:val="auto"/>
                <w:sz w:val="21"/>
                <w:szCs w:val="21"/>
                <w:highlight w:val="none"/>
                <w:u w:val="single"/>
                <w:lang w:val="en-US"/>
              </w:rPr>
              <w:t>注：须提供服务承诺书，并加盖供应商公章。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59" w:type="dxa"/>
            <w:gridSpan w:val="6"/>
            <w:tcBorders>
              <w:top w:val="single" w:color="auto" w:sz="4" w:space="0"/>
              <w:left w:val="single" w:color="auto" w:sz="4" w:space="0"/>
              <w:bottom w:val="single" w:color="auto" w:sz="4" w:space="0"/>
              <w:right w:val="single" w:color="auto" w:sz="4" w:space="0"/>
            </w:tcBorders>
            <w:vAlign w:val="center"/>
          </w:tcPr>
          <w:p>
            <w:pPr>
              <w:pStyle w:val="75"/>
              <w:shd w:val="clear"/>
              <w:spacing w:line="360" w:lineRule="auto"/>
              <w:ind w:firstLine="0" w:firstLineChars="0"/>
              <w:jc w:val="center"/>
              <w:rPr>
                <w:rFonts w:ascii="宋体" w:eastAsia="宋体"/>
                <w:bCs/>
                <w:color w:val="auto"/>
                <w:sz w:val="21"/>
                <w:szCs w:val="21"/>
                <w:highlight w:val="none"/>
                <w:lang w:val="zh-CN"/>
              </w:rPr>
            </w:pPr>
            <w:r>
              <w:rPr>
                <w:rFonts w:hint="eastAsia" w:ascii="宋体" w:eastAsia="宋体"/>
                <w:b/>
                <w:color w:val="auto"/>
                <w:sz w:val="21"/>
                <w:szCs w:val="21"/>
                <w:highlight w:val="none"/>
              </w:rPr>
              <w:t>技术评分（3</w:t>
            </w:r>
            <w:r>
              <w:rPr>
                <w:rFonts w:hint="eastAsia" w:ascii="宋体" w:eastAsia="宋体"/>
                <w:b/>
                <w:color w:val="auto"/>
                <w:sz w:val="21"/>
                <w:szCs w:val="21"/>
                <w:highlight w:val="none"/>
                <w:lang w:val="en-US" w:eastAsia="zh-CN"/>
              </w:rPr>
              <w:t>5</w:t>
            </w:r>
            <w:r>
              <w:rPr>
                <w:rFonts w:hint="eastAsia" w:ascii="宋体" w:eastAsia="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0"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Ansi="宋体"/>
                <w:b/>
                <w:color w:val="auto"/>
                <w:sz w:val="21"/>
                <w:szCs w:val="21"/>
                <w:highlight w:val="none"/>
                <w:lang w:val="zh-CN"/>
              </w:rPr>
            </w:pPr>
            <w:r>
              <w:rPr>
                <w:rFonts w:hint="eastAsia" w:hAnsi="宋体"/>
                <w:color w:val="auto"/>
                <w:sz w:val="21"/>
                <w:szCs w:val="21"/>
                <w:highlight w:val="none"/>
              </w:rPr>
              <w:t>1</w:t>
            </w:r>
          </w:p>
        </w:tc>
        <w:tc>
          <w:tcPr>
            <w:tcW w:w="17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rPr>
              <w:t>对服务项目的理解</w:t>
            </w:r>
          </w:p>
        </w:tc>
        <w:tc>
          <w:tcPr>
            <w:tcW w:w="82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8分</w:t>
            </w:r>
          </w:p>
        </w:tc>
        <w:tc>
          <w:tcPr>
            <w:tcW w:w="59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根据投标单位对服务项目工作范围、工作标准理解是否准确、认识是否深刻，以及对项目实施地点的熟悉了解程度等进行横向对比评价：</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优：投标人对服务项目的完全理解，且方案完整合理、可行性强，完全满足或优于采购文件要求，得</w:t>
            </w:r>
            <w:r>
              <w:rPr>
                <w:rFonts w:hint="eastAsia" w:hAnsi="宋体" w:cs="宋体"/>
                <w:color w:val="auto"/>
                <w:sz w:val="21"/>
                <w:szCs w:val="21"/>
                <w:highlight w:val="none"/>
                <w:lang w:val="en-US" w:eastAsia="zh-CN"/>
              </w:rPr>
              <w:t>8</w:t>
            </w:r>
            <w:r>
              <w:rPr>
                <w:rFonts w:hint="eastAsia" w:hAnsi="宋体" w:cs="宋体"/>
                <w:color w:val="auto"/>
                <w:sz w:val="21"/>
                <w:szCs w:val="21"/>
                <w:highlight w:val="none"/>
              </w:rPr>
              <w:t>分；</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良：投标人对服务项目的理解准确，且方案完整、可行性一般，符合采购文件要求，得</w:t>
            </w:r>
            <w:r>
              <w:rPr>
                <w:rFonts w:hint="eastAsia" w:hAnsi="宋体" w:cs="宋体"/>
                <w:color w:val="auto"/>
                <w:sz w:val="21"/>
                <w:szCs w:val="21"/>
                <w:highlight w:val="none"/>
                <w:lang w:val="en-US" w:eastAsia="zh-CN"/>
              </w:rPr>
              <w:t>5</w:t>
            </w:r>
            <w:r>
              <w:rPr>
                <w:rFonts w:hint="eastAsia" w:hAnsi="宋体" w:cs="宋体"/>
                <w:color w:val="auto"/>
                <w:sz w:val="21"/>
                <w:szCs w:val="21"/>
                <w:highlight w:val="none"/>
              </w:rPr>
              <w:t>分；</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中：投标人对服务项目的基本理解，且方案基本完整、可行性较差，基本符合采购文件要求，得</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分。</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差：投标人对本项目的基本不理解，提供对应方案较差，得1分。</w:t>
            </w:r>
          </w:p>
          <w:p>
            <w:pPr>
              <w:spacing w:line="360" w:lineRule="auto"/>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50"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2</w:t>
            </w:r>
          </w:p>
        </w:tc>
        <w:tc>
          <w:tcPr>
            <w:tcW w:w="174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rPr>
              <w:t>服务项目组织架构</w:t>
            </w:r>
          </w:p>
        </w:tc>
        <w:tc>
          <w:tcPr>
            <w:tcW w:w="827" w:type="dxa"/>
            <w:gridSpan w:val="2"/>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jc w:val="center"/>
              <w:rPr>
                <w:rFonts w:hint="eastAsia" w:ascii="仿宋_GB2312" w:hAnsi="宋体" w:eastAsia="宋体" w:cs="宋体"/>
                <w:color w:val="auto"/>
                <w:kern w:val="2"/>
                <w:sz w:val="21"/>
                <w:szCs w:val="21"/>
                <w:highlight w:val="none"/>
                <w:lang w:val="en-US" w:eastAsia="zh-CN" w:bidi="ar-SA"/>
              </w:rPr>
            </w:pPr>
            <w:r>
              <w:rPr>
                <w:rFonts w:hint="eastAsia" w:ascii="宋体" w:eastAsia="宋体" w:cs="宋体"/>
                <w:color w:val="auto"/>
                <w:kern w:val="0"/>
                <w:sz w:val="21"/>
                <w:szCs w:val="21"/>
                <w:highlight w:val="none"/>
                <w:lang w:val="en-US" w:eastAsia="zh-CN"/>
              </w:rPr>
              <w:t>8分</w:t>
            </w:r>
          </w:p>
        </w:tc>
        <w:tc>
          <w:tcPr>
            <w:tcW w:w="59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根据投标人的项目人员配备与管理架构方案进行评比：</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优：项目管理架构完整、分工明确、岗位责任制强,项目负责人管理经验丰富能力高,能全面高效地完成本项目，得</w:t>
            </w:r>
            <w:r>
              <w:rPr>
                <w:rFonts w:hint="eastAsia" w:hAnsi="宋体" w:cs="宋体"/>
                <w:color w:val="auto"/>
                <w:sz w:val="21"/>
                <w:szCs w:val="21"/>
                <w:highlight w:val="none"/>
                <w:lang w:val="en-US" w:eastAsia="zh-CN"/>
              </w:rPr>
              <w:t>8</w:t>
            </w:r>
            <w:r>
              <w:rPr>
                <w:rFonts w:hint="eastAsia" w:hAnsi="宋体" w:cs="宋体"/>
                <w:color w:val="auto"/>
                <w:sz w:val="21"/>
                <w:szCs w:val="21"/>
                <w:highlight w:val="none"/>
              </w:rPr>
              <w:t>分；</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良：项目管理架构基本完整、分工较明确、岗位责任制一般,能较好的完成本项目，得</w:t>
            </w:r>
            <w:r>
              <w:rPr>
                <w:rFonts w:hint="eastAsia" w:hAnsi="宋体" w:cs="宋体"/>
                <w:color w:val="auto"/>
                <w:sz w:val="21"/>
                <w:szCs w:val="21"/>
                <w:highlight w:val="none"/>
                <w:lang w:val="en-US" w:eastAsia="zh-CN"/>
              </w:rPr>
              <w:t>5</w:t>
            </w:r>
            <w:r>
              <w:rPr>
                <w:rFonts w:hint="eastAsia" w:hAnsi="宋体" w:cs="宋体"/>
                <w:color w:val="auto"/>
                <w:sz w:val="21"/>
                <w:szCs w:val="21"/>
                <w:highlight w:val="none"/>
              </w:rPr>
              <w:t>分；</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中：有项目管理架构和分工,项目负责人有一定的管理经验,能从事本项目服务，</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分。</w:t>
            </w:r>
          </w:p>
          <w:p>
            <w:pPr>
              <w:spacing w:line="360" w:lineRule="auto"/>
              <w:rPr>
                <w:rFonts w:hAnsi="宋体" w:cs="宋体"/>
                <w:color w:val="auto"/>
                <w:sz w:val="21"/>
                <w:szCs w:val="21"/>
                <w:highlight w:val="none"/>
              </w:rPr>
            </w:pPr>
            <w:r>
              <w:rPr>
                <w:rFonts w:hint="eastAsia" w:hAnsi="宋体" w:cs="宋体"/>
                <w:color w:val="auto"/>
                <w:sz w:val="21"/>
                <w:szCs w:val="21"/>
                <w:highlight w:val="none"/>
              </w:rPr>
              <w:t>差：项目管理架构和分工凌乱，责任制不明确，难以实施，得1分。</w:t>
            </w:r>
          </w:p>
          <w:p>
            <w:pPr>
              <w:spacing w:line="360" w:lineRule="auto"/>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50"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Ansi="宋体"/>
                <w:color w:val="auto"/>
                <w:sz w:val="21"/>
                <w:szCs w:val="21"/>
                <w:highlight w:val="none"/>
              </w:rPr>
            </w:pPr>
            <w:r>
              <w:rPr>
                <w:rFonts w:hint="eastAsia" w:hAnsi="宋体"/>
                <w:color w:val="auto"/>
                <w:sz w:val="21"/>
                <w:szCs w:val="21"/>
                <w:highlight w:val="none"/>
              </w:rPr>
              <w:t>3</w:t>
            </w:r>
          </w:p>
        </w:tc>
        <w:tc>
          <w:tcPr>
            <w:tcW w:w="17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color w:val="auto"/>
                <w:sz w:val="21"/>
                <w:szCs w:val="21"/>
                <w:highlight w:val="none"/>
              </w:rPr>
              <w:t>重点、难点分析及解决措施</w:t>
            </w:r>
          </w:p>
        </w:tc>
        <w:tc>
          <w:tcPr>
            <w:tcW w:w="82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bidi="ar-SA"/>
              </w:rPr>
            </w:pPr>
            <w:r>
              <w:rPr>
                <w:rFonts w:hint="eastAsia" w:hAnsi="宋体"/>
                <w:color w:val="auto"/>
                <w:sz w:val="21"/>
                <w:szCs w:val="21"/>
                <w:highlight w:val="none"/>
                <w:lang w:val="en-US" w:eastAsia="zh-CN"/>
              </w:rPr>
              <w:t>12分</w:t>
            </w:r>
          </w:p>
        </w:tc>
        <w:tc>
          <w:tcPr>
            <w:tcW w:w="5935" w:type="dxa"/>
            <w:tcBorders>
              <w:top w:val="single" w:color="auto" w:sz="4" w:space="0"/>
              <w:left w:val="single" w:color="auto" w:sz="4" w:space="0"/>
              <w:bottom w:val="single" w:color="auto" w:sz="4" w:space="0"/>
              <w:right w:val="single" w:color="auto" w:sz="4" w:space="0"/>
            </w:tcBorders>
            <w:vAlign w:val="center"/>
          </w:tcPr>
          <w:p>
            <w:pPr>
              <w:spacing w:line="360" w:lineRule="auto"/>
              <w:rPr>
                <w:bCs/>
                <w:color w:val="auto"/>
                <w:sz w:val="21"/>
                <w:szCs w:val="21"/>
                <w:highlight w:val="none"/>
              </w:rPr>
            </w:pPr>
            <w:r>
              <w:rPr>
                <w:rFonts w:hint="eastAsia"/>
                <w:bCs/>
                <w:color w:val="auto"/>
                <w:sz w:val="21"/>
                <w:szCs w:val="21"/>
                <w:highlight w:val="none"/>
              </w:rPr>
              <w:t>根据投标人对服务项目重点和难点进行的分析，以及投标人根据项目重点和难点所采取应对措施等进行综合评价。</w:t>
            </w:r>
          </w:p>
          <w:p>
            <w:pPr>
              <w:spacing w:line="360" w:lineRule="auto"/>
              <w:rPr>
                <w:rFonts w:hAnsi="宋体"/>
                <w:bCs/>
                <w:color w:val="auto"/>
                <w:sz w:val="21"/>
                <w:szCs w:val="21"/>
                <w:highlight w:val="none"/>
              </w:rPr>
            </w:pPr>
            <w:r>
              <w:rPr>
                <w:rFonts w:hint="eastAsia" w:hAnsi="宋体"/>
                <w:bCs/>
                <w:color w:val="auto"/>
                <w:sz w:val="21"/>
                <w:szCs w:val="21"/>
                <w:highlight w:val="none"/>
              </w:rPr>
              <w:t>优：对重点、难点及所采取的应对措施比较得当、科学，得</w:t>
            </w:r>
            <w:r>
              <w:rPr>
                <w:rFonts w:hint="eastAsia" w:hAnsi="宋体"/>
                <w:bCs/>
                <w:color w:val="auto"/>
                <w:sz w:val="21"/>
                <w:szCs w:val="21"/>
                <w:highlight w:val="none"/>
                <w:lang w:val="en-US" w:eastAsia="zh-CN"/>
              </w:rPr>
              <w:t>12</w:t>
            </w:r>
            <w:r>
              <w:rPr>
                <w:rFonts w:hint="eastAsia" w:hAnsi="宋体"/>
                <w:bCs/>
                <w:color w:val="auto"/>
                <w:sz w:val="21"/>
                <w:szCs w:val="21"/>
                <w:highlight w:val="none"/>
              </w:rPr>
              <w:t>分；</w:t>
            </w:r>
          </w:p>
          <w:p>
            <w:pPr>
              <w:spacing w:line="360" w:lineRule="auto"/>
              <w:rPr>
                <w:rFonts w:hAnsi="宋体"/>
                <w:bCs/>
                <w:color w:val="auto"/>
                <w:sz w:val="21"/>
                <w:szCs w:val="21"/>
                <w:highlight w:val="none"/>
              </w:rPr>
            </w:pPr>
            <w:r>
              <w:rPr>
                <w:rFonts w:hint="eastAsia" w:hAnsi="宋体"/>
                <w:bCs/>
                <w:color w:val="auto"/>
                <w:sz w:val="21"/>
                <w:szCs w:val="21"/>
                <w:highlight w:val="none"/>
              </w:rPr>
              <w:t>良：对重点、难点及所采取的应对措施合理，妥当，得</w:t>
            </w:r>
            <w:r>
              <w:rPr>
                <w:rFonts w:hint="eastAsia" w:hAnsi="宋体"/>
                <w:bCs/>
                <w:color w:val="auto"/>
                <w:sz w:val="21"/>
                <w:szCs w:val="21"/>
                <w:highlight w:val="none"/>
                <w:lang w:val="en-US" w:eastAsia="zh-CN"/>
              </w:rPr>
              <w:t>8</w:t>
            </w:r>
            <w:r>
              <w:rPr>
                <w:rFonts w:hint="eastAsia" w:hAnsi="宋体"/>
                <w:bCs/>
                <w:color w:val="auto"/>
                <w:sz w:val="21"/>
                <w:szCs w:val="21"/>
                <w:highlight w:val="none"/>
              </w:rPr>
              <w:t>分。</w:t>
            </w:r>
          </w:p>
          <w:p>
            <w:pPr>
              <w:spacing w:line="360" w:lineRule="auto"/>
              <w:rPr>
                <w:rFonts w:hint="eastAsia" w:hAnsi="宋体"/>
                <w:bCs/>
                <w:color w:val="auto"/>
                <w:sz w:val="21"/>
                <w:szCs w:val="21"/>
                <w:highlight w:val="none"/>
              </w:rPr>
            </w:pPr>
            <w:r>
              <w:rPr>
                <w:rFonts w:hint="eastAsia" w:hAnsi="宋体"/>
                <w:bCs/>
                <w:color w:val="auto"/>
                <w:sz w:val="21"/>
                <w:szCs w:val="21"/>
                <w:highlight w:val="none"/>
              </w:rPr>
              <w:t>中：对重点、难点及所采取的应对措施一般，得</w:t>
            </w:r>
            <w:r>
              <w:rPr>
                <w:rFonts w:hint="eastAsia" w:hAnsi="宋体"/>
                <w:bCs/>
                <w:color w:val="auto"/>
                <w:sz w:val="21"/>
                <w:szCs w:val="21"/>
                <w:highlight w:val="none"/>
                <w:lang w:val="en-US" w:eastAsia="zh-CN"/>
              </w:rPr>
              <w:t>3</w:t>
            </w:r>
            <w:r>
              <w:rPr>
                <w:rFonts w:hint="eastAsia" w:hAnsi="宋体"/>
                <w:bCs/>
                <w:color w:val="auto"/>
                <w:sz w:val="21"/>
                <w:szCs w:val="21"/>
                <w:highlight w:val="none"/>
              </w:rPr>
              <w:t>分。</w:t>
            </w:r>
          </w:p>
          <w:p>
            <w:pPr>
              <w:pStyle w:val="5"/>
              <w:rPr>
                <w:rFonts w:hint="eastAsia"/>
                <w:color w:val="auto"/>
                <w:highlight w:val="none"/>
              </w:rPr>
            </w:pPr>
            <w:r>
              <w:rPr>
                <w:rFonts w:hint="eastAsia"/>
                <w:b w:val="0"/>
                <w:bCs/>
                <w:color w:val="auto"/>
                <w:sz w:val="21"/>
                <w:szCs w:val="21"/>
                <w:highlight w:val="none"/>
              </w:rPr>
              <w:t>差：对重点、难点及所采取的应对措施较差，得1分。</w:t>
            </w:r>
          </w:p>
          <w:p>
            <w:pPr>
              <w:spacing w:line="360" w:lineRule="auto"/>
              <w:rPr>
                <w:rFonts w:hint="eastAsia" w:ascii="宋体" w:hAnsi="宋体" w:eastAsia="宋体" w:cs="宋体"/>
                <w:color w:val="auto"/>
                <w:sz w:val="21"/>
                <w:szCs w:val="21"/>
                <w:highlight w:val="none"/>
                <w:lang w:val="zh-CN" w:eastAsia="zh-CN" w:bidi="ar-SA"/>
              </w:rPr>
            </w:pPr>
            <w:r>
              <w:rPr>
                <w:rFonts w:hint="eastAsia" w:hAnsi="宋体"/>
                <w:bCs/>
                <w:color w:val="auto"/>
                <w:sz w:val="21"/>
                <w:szCs w:val="21"/>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50"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Ansi="宋体"/>
                <w:color w:val="auto"/>
                <w:sz w:val="21"/>
                <w:szCs w:val="21"/>
                <w:highlight w:val="none"/>
              </w:rPr>
            </w:pPr>
            <w:r>
              <w:rPr>
                <w:rFonts w:hint="eastAsia" w:hAnsi="宋体"/>
                <w:bCs/>
                <w:color w:val="auto"/>
                <w:sz w:val="21"/>
                <w:szCs w:val="21"/>
                <w:highlight w:val="none"/>
              </w:rPr>
              <w:t>4</w:t>
            </w:r>
          </w:p>
        </w:tc>
        <w:tc>
          <w:tcPr>
            <w:tcW w:w="17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rPr>
              <w:t>质量保证措施</w:t>
            </w:r>
          </w:p>
        </w:tc>
        <w:tc>
          <w:tcPr>
            <w:tcW w:w="82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7分</w:t>
            </w:r>
          </w:p>
        </w:tc>
        <w:tc>
          <w:tcPr>
            <w:tcW w:w="59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hAnsi="宋体" w:cs="宋体"/>
                <w:bCs/>
                <w:color w:val="auto"/>
                <w:sz w:val="21"/>
                <w:szCs w:val="21"/>
                <w:highlight w:val="none"/>
              </w:rPr>
            </w:pPr>
            <w:r>
              <w:rPr>
                <w:rFonts w:hint="eastAsia" w:hAnsi="宋体" w:cs="宋体"/>
                <w:bCs/>
                <w:color w:val="auto"/>
                <w:sz w:val="21"/>
                <w:szCs w:val="21"/>
                <w:highlight w:val="none"/>
              </w:rPr>
              <w:t>根据各投标人提供的</w:t>
            </w:r>
            <w:r>
              <w:rPr>
                <w:rFonts w:hint="eastAsia" w:hAnsi="宋体" w:cs="宋体"/>
                <w:bCs/>
                <w:color w:val="auto"/>
                <w:sz w:val="21"/>
                <w:szCs w:val="21"/>
                <w:highlight w:val="none"/>
                <w:lang w:eastAsia="zh-CN"/>
              </w:rPr>
              <w:t>活动</w:t>
            </w:r>
            <w:r>
              <w:rPr>
                <w:rFonts w:hint="eastAsia" w:hAnsi="宋体" w:cs="宋体"/>
                <w:bCs/>
                <w:color w:val="auto"/>
                <w:sz w:val="21"/>
                <w:szCs w:val="21"/>
                <w:highlight w:val="none"/>
              </w:rPr>
              <w:t>质量保障措施（包括质量保证、应急方案）进行评比：</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优</w:t>
            </w:r>
            <w:r>
              <w:rPr>
                <w:rFonts w:hint="eastAsia" w:hAnsi="宋体" w:cs="宋体"/>
                <w:color w:val="auto"/>
                <w:sz w:val="21"/>
                <w:szCs w:val="21"/>
                <w:highlight w:val="none"/>
                <w:lang w:val="pt-BR"/>
              </w:rPr>
              <w:t>：</w:t>
            </w:r>
            <w:r>
              <w:rPr>
                <w:rFonts w:hint="eastAsia" w:hAnsi="宋体" w:cs="宋体"/>
                <w:color w:val="auto"/>
                <w:sz w:val="21"/>
                <w:szCs w:val="21"/>
                <w:highlight w:val="none"/>
              </w:rPr>
              <w:t>质量保障措施详细完整，切实可行的，得</w:t>
            </w:r>
            <w:r>
              <w:rPr>
                <w:rFonts w:hint="eastAsia" w:hAnsi="宋体" w:cs="宋体"/>
                <w:color w:val="auto"/>
                <w:sz w:val="21"/>
                <w:szCs w:val="21"/>
                <w:highlight w:val="none"/>
                <w:lang w:val="en-US" w:eastAsia="zh-CN"/>
              </w:rPr>
              <w:t>7</w:t>
            </w:r>
            <w:r>
              <w:rPr>
                <w:rFonts w:hint="eastAsia" w:hAnsi="宋体" w:cs="宋体"/>
                <w:color w:val="auto"/>
                <w:sz w:val="21"/>
                <w:szCs w:val="21"/>
                <w:highlight w:val="none"/>
              </w:rPr>
              <w:t>分；</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良</w:t>
            </w:r>
            <w:r>
              <w:rPr>
                <w:rFonts w:hint="eastAsia" w:hAnsi="宋体" w:cs="宋体"/>
                <w:color w:val="auto"/>
                <w:sz w:val="21"/>
                <w:szCs w:val="21"/>
                <w:highlight w:val="none"/>
                <w:lang w:val="pt-BR"/>
              </w:rPr>
              <w:t>：</w:t>
            </w:r>
            <w:r>
              <w:rPr>
                <w:rFonts w:hint="eastAsia" w:hAnsi="宋体" w:cs="宋体"/>
                <w:color w:val="auto"/>
                <w:sz w:val="21"/>
                <w:szCs w:val="21"/>
                <w:highlight w:val="none"/>
              </w:rPr>
              <w:t>质量保障措施基本完整，可行性一般的，得</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分；</w:t>
            </w:r>
          </w:p>
          <w:p>
            <w:pPr>
              <w:pStyle w:val="60"/>
              <w:spacing w:line="360" w:lineRule="auto"/>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rPr>
              <w:t>中：质量保障措施简单、不完整的，得</w:t>
            </w:r>
            <w:r>
              <w:rPr>
                <w:rFonts w:hint="eastAsia" w:ascii="宋体" w:hAnsi="宋体" w:cs="宋体"/>
                <w:bCs w:val="0"/>
                <w:color w:val="auto"/>
                <w:sz w:val="21"/>
                <w:szCs w:val="21"/>
                <w:highlight w:val="none"/>
                <w:lang w:val="en-US" w:eastAsia="zh-CN"/>
              </w:rPr>
              <w:t>2</w:t>
            </w:r>
            <w:r>
              <w:rPr>
                <w:rFonts w:hint="eastAsia" w:ascii="宋体" w:hAnsi="宋体" w:cs="宋体"/>
                <w:bCs w:val="0"/>
                <w:color w:val="auto"/>
                <w:sz w:val="21"/>
                <w:szCs w:val="21"/>
                <w:highlight w:val="none"/>
              </w:rPr>
              <w:t>分；</w:t>
            </w:r>
          </w:p>
          <w:p>
            <w:pPr>
              <w:spacing w:line="360" w:lineRule="auto"/>
              <w:rPr>
                <w:rFonts w:hint="eastAsia" w:hAnsi="宋体" w:cs="宋体"/>
                <w:color w:val="auto"/>
                <w:sz w:val="21"/>
                <w:szCs w:val="21"/>
                <w:highlight w:val="none"/>
                <w:lang w:val="pt-BR"/>
              </w:rPr>
            </w:pPr>
            <w:r>
              <w:rPr>
                <w:rFonts w:hint="eastAsia" w:hAnsi="宋体" w:cs="宋体"/>
                <w:color w:val="auto"/>
                <w:sz w:val="21"/>
                <w:szCs w:val="21"/>
                <w:highlight w:val="none"/>
              </w:rPr>
              <w:t>差</w:t>
            </w:r>
            <w:r>
              <w:rPr>
                <w:rFonts w:hint="eastAsia" w:hAnsi="宋体" w:cs="宋体"/>
                <w:color w:val="auto"/>
                <w:sz w:val="21"/>
                <w:szCs w:val="21"/>
                <w:highlight w:val="none"/>
                <w:lang w:val="pt-BR"/>
              </w:rPr>
              <w:t>：</w:t>
            </w:r>
            <w:r>
              <w:rPr>
                <w:rFonts w:hint="eastAsia" w:hAnsi="宋体" w:cs="宋体"/>
                <w:color w:val="auto"/>
                <w:sz w:val="21"/>
                <w:szCs w:val="21"/>
                <w:highlight w:val="none"/>
              </w:rPr>
              <w:t>质量保障措施可行性差的，得1分；</w:t>
            </w:r>
          </w:p>
          <w:p>
            <w:pPr>
              <w:spacing w:line="360" w:lineRule="auto"/>
              <w:rPr>
                <w:rFonts w:hint="eastAsia" w:ascii="宋体" w:hAnsi="宋体" w:eastAsia="宋体" w:cs="宋体"/>
                <w:color w:val="auto"/>
                <w:sz w:val="21"/>
                <w:szCs w:val="21"/>
                <w:highlight w:val="none"/>
                <w:lang w:val="zh-CN" w:eastAsia="zh-CN" w:bidi="ar-SA"/>
              </w:rPr>
            </w:pPr>
            <w:r>
              <w:rPr>
                <w:rFonts w:hint="eastAsia" w:hAnsi="宋体" w:cs="宋体"/>
                <w:color w:val="auto"/>
                <w:sz w:val="21"/>
                <w:szCs w:val="21"/>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59" w:type="dxa"/>
            <w:gridSpan w:val="6"/>
            <w:tcBorders>
              <w:top w:val="single" w:color="auto" w:sz="4" w:space="0"/>
              <w:left w:val="single" w:color="auto" w:sz="4" w:space="0"/>
              <w:bottom w:val="single" w:color="auto" w:sz="4" w:space="0"/>
              <w:right w:val="single" w:color="auto" w:sz="4" w:space="0"/>
            </w:tcBorders>
            <w:vAlign w:val="center"/>
          </w:tcPr>
          <w:p>
            <w:pPr>
              <w:pStyle w:val="75"/>
              <w:shd w:val="clear"/>
              <w:spacing w:line="360" w:lineRule="auto"/>
              <w:ind w:firstLine="0" w:firstLineChars="0"/>
              <w:jc w:val="center"/>
              <w:rPr>
                <w:rFonts w:ascii="宋体" w:eastAsia="宋体"/>
                <w:color w:val="auto"/>
                <w:sz w:val="21"/>
                <w:szCs w:val="21"/>
                <w:highlight w:val="none"/>
                <w:lang w:val="zh-CN"/>
              </w:rPr>
            </w:pPr>
            <w:r>
              <w:rPr>
                <w:rFonts w:hint="eastAsia" w:ascii="宋体" w:eastAsia="宋体"/>
                <w:b/>
                <w:bCs/>
                <w:color w:val="auto"/>
                <w:sz w:val="21"/>
                <w:szCs w:val="21"/>
                <w:highlight w:val="none"/>
              </w:rPr>
              <w:t>价格评审（50分）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ascii="宋体" w:eastAsia="宋体"/>
                <w:color w:val="auto"/>
                <w:sz w:val="21"/>
                <w:szCs w:val="21"/>
                <w:highlight w:val="none"/>
              </w:rPr>
            </w:pPr>
            <w:r>
              <w:rPr>
                <w:rFonts w:hint="eastAsia"/>
                <w:color w:val="auto"/>
                <w:kern w:val="2"/>
                <w:sz w:val="21"/>
                <w:szCs w:val="21"/>
                <w:highlight w:val="none"/>
              </w:rPr>
              <w:t>1</w:t>
            </w:r>
          </w:p>
        </w:tc>
        <w:tc>
          <w:tcPr>
            <w:tcW w:w="1807"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Ansi="宋体"/>
                <w:color w:val="auto"/>
                <w:kern w:val="2"/>
                <w:sz w:val="21"/>
                <w:szCs w:val="21"/>
                <w:highlight w:val="none"/>
              </w:rPr>
            </w:pPr>
            <w:r>
              <w:rPr>
                <w:rFonts w:hint="eastAsia"/>
                <w:color w:val="auto"/>
                <w:kern w:val="2"/>
                <w:sz w:val="21"/>
                <w:szCs w:val="21"/>
                <w:highlight w:val="none"/>
                <w:lang w:eastAsia="zh-CN"/>
              </w:rPr>
              <w:t>总价部分</w:t>
            </w:r>
          </w:p>
        </w:tc>
        <w:tc>
          <w:tcPr>
            <w:tcW w:w="827"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Ansi="宋体"/>
                <w:color w:val="auto"/>
                <w:kern w:val="2"/>
                <w:sz w:val="21"/>
                <w:szCs w:val="21"/>
                <w:highlight w:val="none"/>
              </w:rPr>
            </w:pPr>
            <w:r>
              <w:rPr>
                <w:rFonts w:hint="eastAsia"/>
                <w:color w:val="auto"/>
                <w:kern w:val="2"/>
                <w:sz w:val="21"/>
                <w:szCs w:val="21"/>
                <w:highlight w:val="none"/>
                <w:lang w:val="en-US" w:eastAsia="zh-CN"/>
              </w:rPr>
              <w:t>25</w:t>
            </w:r>
            <w:r>
              <w:rPr>
                <w:rFonts w:hint="eastAsia"/>
                <w:color w:val="auto"/>
                <w:kern w:val="2"/>
                <w:sz w:val="21"/>
                <w:szCs w:val="21"/>
                <w:highlight w:val="none"/>
              </w:rPr>
              <w:t>分</w:t>
            </w:r>
          </w:p>
        </w:tc>
        <w:tc>
          <w:tcPr>
            <w:tcW w:w="5935" w:type="dxa"/>
            <w:tcBorders>
              <w:top w:val="single" w:color="auto" w:sz="4" w:space="0"/>
              <w:left w:val="single" w:color="auto" w:sz="4" w:space="0"/>
              <w:bottom w:val="single" w:color="auto" w:sz="4" w:space="0"/>
              <w:right w:val="single" w:color="auto" w:sz="4" w:space="0"/>
            </w:tcBorders>
            <w:vAlign w:val="center"/>
          </w:tcPr>
          <w:p>
            <w:pPr>
              <w:pStyle w:val="47"/>
              <w:spacing w:line="360" w:lineRule="auto"/>
              <w:rPr>
                <w:rFonts w:hAnsi="宋体"/>
                <w:color w:val="auto"/>
                <w:kern w:val="2"/>
                <w:sz w:val="21"/>
                <w:szCs w:val="21"/>
                <w:highlight w:val="none"/>
              </w:rPr>
            </w:pPr>
            <w:r>
              <w:rPr>
                <w:rFonts w:hint="eastAsia"/>
                <w:color w:val="auto"/>
                <w:kern w:val="2"/>
                <w:sz w:val="21"/>
                <w:szCs w:val="21"/>
                <w:highlight w:val="none"/>
              </w:rPr>
              <w:t>价格分计算方法：满足磋商文件要求且磋商价格最低的磋商报价为评标基准价，其价格分为满分。其他供应商的价格分统一按照下列公式计算：磋商报价得分=(评标基准价／磋商报价)×价格权重×100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eastAsia="宋体"/>
                <w:color w:val="auto"/>
                <w:sz w:val="21"/>
                <w:szCs w:val="21"/>
                <w:highlight w:val="none"/>
              </w:rPr>
            </w:pPr>
            <w:r>
              <w:rPr>
                <w:rFonts w:hint="eastAsia"/>
                <w:color w:val="auto"/>
                <w:kern w:val="2"/>
                <w:sz w:val="21"/>
                <w:szCs w:val="21"/>
                <w:highlight w:val="none"/>
                <w:lang w:val="en-US" w:eastAsia="zh-CN"/>
              </w:rPr>
              <w:t>2</w:t>
            </w:r>
          </w:p>
        </w:tc>
        <w:tc>
          <w:tcPr>
            <w:tcW w:w="1807"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hAnsi="宋体"/>
                <w:color w:val="auto"/>
                <w:kern w:val="2"/>
                <w:sz w:val="21"/>
                <w:szCs w:val="21"/>
                <w:highlight w:val="none"/>
              </w:rPr>
            </w:pPr>
            <w:r>
              <w:rPr>
                <w:rFonts w:hint="eastAsia"/>
                <w:color w:val="auto"/>
                <w:kern w:val="2"/>
                <w:sz w:val="21"/>
                <w:szCs w:val="21"/>
                <w:highlight w:val="none"/>
                <w:lang w:eastAsia="zh-CN"/>
              </w:rPr>
              <w:t>单价部分</w:t>
            </w:r>
          </w:p>
        </w:tc>
        <w:tc>
          <w:tcPr>
            <w:tcW w:w="827"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hAnsi="宋体"/>
                <w:color w:val="auto"/>
                <w:kern w:val="2"/>
                <w:sz w:val="21"/>
                <w:szCs w:val="21"/>
                <w:highlight w:val="none"/>
              </w:rPr>
            </w:pPr>
            <w:r>
              <w:rPr>
                <w:rFonts w:hint="eastAsia"/>
                <w:color w:val="auto"/>
                <w:kern w:val="2"/>
                <w:sz w:val="21"/>
                <w:szCs w:val="21"/>
                <w:highlight w:val="none"/>
                <w:lang w:val="en-US" w:eastAsia="zh-CN"/>
              </w:rPr>
              <w:t>25分</w:t>
            </w:r>
          </w:p>
        </w:tc>
        <w:tc>
          <w:tcPr>
            <w:tcW w:w="5935" w:type="dxa"/>
            <w:tcBorders>
              <w:top w:val="single" w:color="auto" w:sz="4" w:space="0"/>
              <w:left w:val="single" w:color="auto" w:sz="4" w:space="0"/>
              <w:bottom w:val="single" w:color="auto" w:sz="4" w:space="0"/>
              <w:right w:val="single" w:color="auto" w:sz="4" w:space="0"/>
            </w:tcBorders>
            <w:vAlign w:val="center"/>
          </w:tcPr>
          <w:p>
            <w:pPr>
              <w:pStyle w:val="47"/>
              <w:spacing w:line="360" w:lineRule="auto"/>
              <w:rPr>
                <w:rFonts w:hint="eastAsia" w:hAnsi="宋体"/>
                <w:color w:val="auto"/>
                <w:kern w:val="2"/>
                <w:sz w:val="21"/>
                <w:szCs w:val="21"/>
                <w:highlight w:val="none"/>
                <w:lang w:val="zh-CN"/>
              </w:rPr>
            </w:pPr>
            <w:r>
              <w:rPr>
                <w:rFonts w:hint="eastAsia" w:hAnsi="宋体"/>
                <w:color w:val="auto"/>
                <w:kern w:val="2"/>
                <w:sz w:val="21"/>
                <w:szCs w:val="21"/>
                <w:highlight w:val="none"/>
                <w:lang w:val="zh-CN"/>
              </w:rPr>
              <w:t>满足招标文件要求且磋商响应报价下浮率最多的报价为基准价，其价格分为满分，各供应商的价格评分统一按照下列公式计算：价格得分＝（1-评标基准下浮率）/（1-评标下浮率）×价格分值</w:t>
            </w:r>
          </w:p>
        </w:tc>
      </w:tr>
    </w:tbl>
    <w:p>
      <w:pPr>
        <w:widowControl/>
        <w:shd w:val="clear"/>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shd w:val="clear"/>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shd w:val="clear"/>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磋商小组需要查看以上证明文件原件，供应商请在接到通知后规定时间内携带原件到达评标会场，接受核查，如因迟到或是其他原因不能携原件到达现场接受检查，其造成的所有后果供应商自行承担。</w:t>
      </w:r>
    </w:p>
    <w:p>
      <w:pPr>
        <w:widowControl/>
        <w:shd w:val="clear"/>
        <w:spacing w:line="360" w:lineRule="auto"/>
        <w:rPr>
          <w:rFonts w:hAnsi="宋体"/>
          <w:bCs/>
          <w:color w:val="auto"/>
          <w:sz w:val="21"/>
          <w:szCs w:val="21"/>
          <w:highlight w:val="none"/>
        </w:rPr>
      </w:pPr>
      <w:r>
        <w:rPr>
          <w:rFonts w:hint="eastAsia" w:hAnsi="宋体"/>
          <w:bCs/>
          <w:color w:val="auto"/>
          <w:sz w:val="21"/>
          <w:szCs w:val="21"/>
          <w:highlight w:val="none"/>
        </w:rPr>
        <w:t>（3）若成交将在发放成交通知书前逐一核对核查原件，请勿提供虚假、过期材料，否则将依据相关规定严肃处理。</w:t>
      </w:r>
    </w:p>
    <w:p>
      <w:pPr>
        <w:pStyle w:val="28"/>
        <w:shd w:val="clear"/>
        <w:spacing w:line="360" w:lineRule="auto"/>
        <w:ind w:firstLine="422" w:firstLineChars="200"/>
        <w:rPr>
          <w:rFonts w:hAnsi="宋体"/>
          <w:b/>
          <w:color w:val="auto"/>
          <w:szCs w:val="21"/>
          <w:highlight w:val="none"/>
        </w:rPr>
      </w:pPr>
    </w:p>
    <w:p>
      <w:pPr>
        <w:pStyle w:val="28"/>
        <w:shd w:val="clear"/>
        <w:spacing w:line="360" w:lineRule="auto"/>
        <w:ind w:firstLine="422" w:firstLineChars="200"/>
        <w:outlineLvl w:val="0"/>
        <w:rPr>
          <w:rFonts w:hAnsi="宋体"/>
          <w:b/>
          <w:color w:val="auto"/>
          <w:szCs w:val="21"/>
          <w:highlight w:val="none"/>
        </w:rPr>
      </w:pPr>
      <w:bookmarkStart w:id="171" w:name="_Toc15603"/>
      <w:r>
        <w:rPr>
          <w:rFonts w:hint="eastAsia" w:hAnsi="宋体"/>
          <w:b/>
          <w:color w:val="auto"/>
          <w:szCs w:val="21"/>
          <w:highlight w:val="none"/>
        </w:rPr>
        <w:t>四、技术评审</w:t>
      </w:r>
      <w:bookmarkEnd w:id="171"/>
    </w:p>
    <w:p>
      <w:pPr>
        <w:shd w:val="clea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8"/>
        <w:shd w:val="clear"/>
        <w:spacing w:line="360" w:lineRule="auto"/>
        <w:ind w:firstLine="420" w:firstLineChars="200"/>
        <w:rPr>
          <w:rFonts w:hAnsi="宋体"/>
          <w:color w:val="auto"/>
          <w:szCs w:val="21"/>
          <w:highlight w:val="none"/>
        </w:rPr>
      </w:pPr>
      <w:r>
        <w:rPr>
          <w:rFonts w:hint="eastAsia" w:hAnsi="宋体"/>
          <w:color w:val="auto"/>
          <w:szCs w:val="21"/>
          <w:highlight w:val="none"/>
        </w:rPr>
        <w:t>2.磋商小组按评标标准独立对技术标进行评审，得出技术标评分。当磋商小组为五人时，在所有评委对同一份投标文件技术标评审的总评分中，去掉一个最高分和一个最低分，计算剩余总评分的算术平均值即为该供应商技术标的最终综合得分；当磋商小组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供应商技术部分的最终综合得分。</w:t>
      </w:r>
    </w:p>
    <w:p>
      <w:pPr>
        <w:pStyle w:val="28"/>
        <w:shd w:val="clear"/>
        <w:spacing w:line="360" w:lineRule="auto"/>
        <w:ind w:firstLine="422" w:firstLineChars="200"/>
        <w:rPr>
          <w:rFonts w:hAnsi="宋体"/>
          <w:b/>
          <w:color w:val="auto"/>
          <w:szCs w:val="21"/>
          <w:highlight w:val="none"/>
        </w:rPr>
      </w:pPr>
    </w:p>
    <w:p>
      <w:pPr>
        <w:pStyle w:val="28"/>
        <w:shd w:val="clear"/>
        <w:spacing w:line="360" w:lineRule="auto"/>
        <w:ind w:firstLine="422" w:firstLineChars="200"/>
        <w:outlineLvl w:val="0"/>
        <w:rPr>
          <w:rFonts w:hAnsi="宋体"/>
          <w:b/>
          <w:color w:val="auto"/>
          <w:szCs w:val="21"/>
          <w:highlight w:val="none"/>
        </w:rPr>
      </w:pPr>
      <w:bookmarkStart w:id="172" w:name="_Toc4394"/>
      <w:r>
        <w:rPr>
          <w:rFonts w:hint="eastAsia" w:hAnsi="宋体"/>
          <w:b/>
          <w:color w:val="auto"/>
          <w:szCs w:val="21"/>
          <w:highlight w:val="none"/>
        </w:rPr>
        <w:t>五、商务评审</w:t>
      </w:r>
      <w:bookmarkEnd w:id="172"/>
    </w:p>
    <w:p>
      <w:pPr>
        <w:pStyle w:val="28"/>
        <w:shd w:val="clear"/>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8"/>
        <w:shd w:val="clear"/>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8"/>
        <w:shd w:val="clear"/>
        <w:spacing w:line="360" w:lineRule="auto"/>
        <w:ind w:firstLine="422" w:firstLineChars="200"/>
        <w:rPr>
          <w:rFonts w:hAnsi="宋体"/>
          <w:b/>
          <w:color w:val="auto"/>
          <w:szCs w:val="21"/>
          <w:highlight w:val="none"/>
        </w:rPr>
      </w:pPr>
    </w:p>
    <w:p>
      <w:pPr>
        <w:pStyle w:val="28"/>
        <w:shd w:val="clear"/>
        <w:spacing w:line="360" w:lineRule="auto"/>
        <w:ind w:firstLine="422" w:firstLineChars="200"/>
        <w:outlineLvl w:val="0"/>
        <w:rPr>
          <w:rFonts w:hAnsi="宋体"/>
          <w:b/>
          <w:color w:val="auto"/>
          <w:szCs w:val="21"/>
          <w:highlight w:val="none"/>
        </w:rPr>
      </w:pPr>
      <w:bookmarkStart w:id="173" w:name="_Toc19007"/>
      <w:r>
        <w:rPr>
          <w:rFonts w:hint="eastAsia" w:hAnsi="宋体"/>
          <w:b/>
          <w:color w:val="auto"/>
          <w:szCs w:val="21"/>
          <w:highlight w:val="none"/>
        </w:rPr>
        <w:t>六、报价评审</w:t>
      </w:r>
      <w:bookmarkEnd w:id="173"/>
    </w:p>
    <w:p>
      <w:pPr>
        <w:shd w:val="clea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shd w:val="clea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shd w:val="clea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shd w:val="clea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shd w:val="clea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shd w:val="clear"/>
        <w:tabs>
          <w:tab w:val="left" w:pos="1365"/>
        </w:tabs>
        <w:spacing w:line="360" w:lineRule="auto"/>
        <w:ind w:left="16" w:firstLine="422" w:firstLineChars="200"/>
        <w:rPr>
          <w:rFonts w:hAnsi="宋体"/>
          <w:b/>
          <w:color w:val="auto"/>
          <w:szCs w:val="21"/>
          <w:highlight w:val="none"/>
        </w:rPr>
      </w:pPr>
    </w:p>
    <w:p>
      <w:pPr>
        <w:pStyle w:val="28"/>
        <w:shd w:val="clear"/>
        <w:tabs>
          <w:tab w:val="left" w:pos="1365"/>
        </w:tabs>
        <w:spacing w:line="360" w:lineRule="auto"/>
        <w:ind w:left="16" w:firstLine="422" w:firstLineChars="200"/>
        <w:outlineLvl w:val="0"/>
        <w:rPr>
          <w:rFonts w:hAnsi="宋体"/>
          <w:b/>
          <w:color w:val="auto"/>
          <w:szCs w:val="21"/>
          <w:highlight w:val="none"/>
        </w:rPr>
      </w:pPr>
      <w:bookmarkStart w:id="174" w:name="_Toc3331"/>
      <w:r>
        <w:rPr>
          <w:rFonts w:hint="eastAsia" w:hAnsi="宋体"/>
          <w:b/>
          <w:color w:val="auto"/>
          <w:szCs w:val="21"/>
          <w:highlight w:val="none"/>
        </w:rPr>
        <w:t>七、综合得分的计算</w:t>
      </w:r>
      <w:bookmarkEnd w:id="174"/>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shd w:val="clear"/>
        <w:rPr>
          <w:color w:val="auto"/>
          <w:highlight w:val="none"/>
          <w:lang w:val="zh-CN"/>
        </w:rPr>
      </w:pPr>
    </w:p>
    <w:p>
      <w:pPr>
        <w:pStyle w:val="4"/>
        <w:keepNext/>
        <w:keepLines/>
        <w:pageBreakBefore/>
        <w:numPr>
          <w:ilvl w:val="0"/>
          <w:numId w:val="14"/>
        </w:numPr>
        <w:shd w:val="clear"/>
        <w:spacing w:line="360" w:lineRule="auto"/>
        <w:jc w:val="center"/>
        <w:rPr>
          <w:rFonts w:hAnsi="宋体"/>
          <w:b/>
          <w:bCs/>
          <w:color w:val="auto"/>
          <w:highlight w:val="none"/>
        </w:rPr>
      </w:pPr>
      <w:bookmarkStart w:id="175" w:name="_Toc15636"/>
      <w:bookmarkStart w:id="176" w:name="_Toc3360"/>
      <w:bookmarkStart w:id="177" w:name="_Toc9129"/>
      <w:bookmarkStart w:id="178" w:name="_Toc8470"/>
      <w:bookmarkStart w:id="179" w:name="_Toc396137242"/>
      <w:r>
        <w:rPr>
          <w:rFonts w:hint="eastAsia" w:hAnsi="宋体"/>
          <w:b/>
          <w:bCs/>
          <w:color w:val="auto"/>
          <w:kern w:val="44"/>
          <w:sz w:val="28"/>
          <w:szCs w:val="28"/>
          <w:highlight w:val="none"/>
          <w:lang w:val="zh-CN"/>
        </w:rPr>
        <w:t>合同条款格式</w:t>
      </w:r>
      <w:bookmarkEnd w:id="175"/>
      <w:bookmarkEnd w:id="176"/>
    </w:p>
    <w:p>
      <w:pPr>
        <w:shd w:val="clear"/>
        <w:spacing w:line="360" w:lineRule="auto"/>
        <w:jc w:val="center"/>
        <w:rPr>
          <w:rFonts w:ascii="黑体" w:hAnsi="黑体" w:eastAsia="黑体"/>
          <w:b/>
          <w:bCs/>
          <w:color w:val="auto"/>
          <w:spacing w:val="60"/>
          <w:sz w:val="52"/>
          <w:szCs w:val="52"/>
          <w:highlight w:val="none"/>
        </w:rPr>
      </w:pPr>
    </w:p>
    <w:p>
      <w:pPr>
        <w:shd w:val="clear"/>
        <w:spacing w:line="360" w:lineRule="auto"/>
        <w:jc w:val="center"/>
        <w:rPr>
          <w:rFonts w:ascii="黑体" w:hAnsi="黑体" w:eastAsia="黑体"/>
          <w:b/>
          <w:bCs/>
          <w:color w:val="auto"/>
          <w:spacing w:val="60"/>
          <w:sz w:val="32"/>
          <w:szCs w:val="32"/>
          <w:highlight w:val="none"/>
        </w:rPr>
      </w:pPr>
      <w:r>
        <w:rPr>
          <w:rFonts w:hint="eastAsia" w:ascii="黑体" w:hAnsi="黑体" w:eastAsia="黑体"/>
          <w:b/>
          <w:bCs/>
          <w:color w:val="auto"/>
          <w:spacing w:val="60"/>
          <w:sz w:val="32"/>
          <w:szCs w:val="32"/>
          <w:highlight w:val="none"/>
          <w:lang w:eastAsia="zh-CN"/>
        </w:rPr>
        <w:t>松山湖国际创新创业社区2024年度系列活动采购项目</w:t>
      </w:r>
      <w:r>
        <w:rPr>
          <w:rFonts w:hint="eastAsia" w:ascii="黑体" w:hAnsi="黑体" w:eastAsia="黑体"/>
          <w:b/>
          <w:bCs/>
          <w:color w:val="auto"/>
          <w:spacing w:val="60"/>
          <w:sz w:val="32"/>
          <w:szCs w:val="32"/>
          <w:highlight w:val="none"/>
        </w:rPr>
        <w:t>合同文件</w:t>
      </w:r>
    </w:p>
    <w:p>
      <w:pPr>
        <w:pStyle w:val="2"/>
        <w:shd w:val="clear"/>
        <w:rPr>
          <w:rFonts w:hint="default" w:ascii="黑体" w:hAnsi="黑体" w:eastAsia="黑体"/>
          <w:color w:val="auto"/>
          <w:spacing w:val="60"/>
          <w:sz w:val="52"/>
          <w:szCs w:val="52"/>
          <w:highlight w:val="none"/>
          <w:lang w:val="en-US" w:eastAsia="zh-CN"/>
        </w:rPr>
      </w:pPr>
      <w:r>
        <w:rPr>
          <w:rFonts w:hint="eastAsia" w:ascii="黑体" w:hAnsi="黑体" w:eastAsia="黑体"/>
          <w:color w:val="auto"/>
          <w:spacing w:val="60"/>
          <w:sz w:val="52"/>
          <w:szCs w:val="52"/>
          <w:highlight w:val="none"/>
          <w:lang w:eastAsia="zh-CN"/>
        </w:rPr>
        <w:t>（</w:t>
      </w:r>
      <w:r>
        <w:rPr>
          <w:rFonts w:hint="eastAsia" w:ascii="黑体" w:hAnsi="黑体" w:eastAsia="黑体"/>
          <w:color w:val="auto"/>
          <w:spacing w:val="60"/>
          <w:sz w:val="52"/>
          <w:szCs w:val="52"/>
          <w:highlight w:val="none"/>
          <w:lang w:val="en-US" w:eastAsia="zh-CN"/>
        </w:rPr>
        <w:t>参考格式）</w:t>
      </w:r>
    </w:p>
    <w:p>
      <w:pPr>
        <w:pStyle w:val="3"/>
        <w:shd w:val="clear"/>
        <w:ind w:firstLine="642"/>
        <w:rPr>
          <w:rFonts w:ascii="黑体" w:hAnsi="黑体" w:eastAsia="黑体"/>
          <w:b/>
          <w:bCs/>
          <w:color w:val="auto"/>
          <w:spacing w:val="60"/>
          <w:sz w:val="52"/>
          <w:szCs w:val="52"/>
          <w:highlight w:val="none"/>
        </w:rPr>
      </w:pPr>
    </w:p>
    <w:p>
      <w:pPr>
        <w:pStyle w:val="40"/>
        <w:shd w:val="clear"/>
        <w:rPr>
          <w:rFonts w:ascii="黑体" w:hAnsi="黑体" w:eastAsia="黑体"/>
          <w:b/>
          <w:bCs/>
          <w:color w:val="auto"/>
          <w:spacing w:val="60"/>
          <w:sz w:val="52"/>
          <w:szCs w:val="52"/>
          <w:highlight w:val="none"/>
        </w:rPr>
      </w:pPr>
    </w:p>
    <w:p>
      <w:pPr>
        <w:shd w:val="clear"/>
        <w:rPr>
          <w:rFonts w:ascii="黑体" w:hAnsi="黑体" w:eastAsia="黑体"/>
          <w:b/>
          <w:bCs/>
          <w:color w:val="auto"/>
          <w:spacing w:val="60"/>
          <w:sz w:val="52"/>
          <w:szCs w:val="52"/>
          <w:highlight w:val="none"/>
        </w:rPr>
      </w:pPr>
    </w:p>
    <w:p>
      <w:pPr>
        <w:pStyle w:val="2"/>
        <w:shd w:val="clear"/>
        <w:rPr>
          <w:color w:val="auto"/>
          <w:highlight w:val="none"/>
        </w:rPr>
      </w:pPr>
    </w:p>
    <w:tbl>
      <w:tblPr>
        <w:tblStyle w:val="51"/>
        <w:tblW w:w="5000" w:type="pct"/>
        <w:jc w:val="center"/>
        <w:tblLayout w:type="autofit"/>
        <w:tblCellMar>
          <w:top w:w="0" w:type="dxa"/>
          <w:left w:w="108" w:type="dxa"/>
          <w:bottom w:w="0" w:type="dxa"/>
          <w:right w:w="108" w:type="dxa"/>
        </w:tblCellMar>
      </w:tblPr>
      <w:tblGrid>
        <w:gridCol w:w="2739"/>
        <w:gridCol w:w="5783"/>
      </w:tblGrid>
      <w:tr>
        <w:trPr>
          <w:trHeight w:val="770" w:hRule="atLeast"/>
          <w:jc w:val="center"/>
        </w:trPr>
        <w:tc>
          <w:tcPr>
            <w:tcW w:w="1607" w:type="pct"/>
          </w:tcPr>
          <w:p>
            <w:pPr>
              <w:shd w:val="clear"/>
              <w:spacing w:line="360" w:lineRule="auto"/>
              <w:rPr>
                <w:rFonts w:ascii="黑体" w:hAnsi="黑体" w:eastAsia="黑体"/>
                <w:b/>
                <w:bCs/>
                <w:color w:val="auto"/>
                <w:sz w:val="28"/>
                <w:szCs w:val="21"/>
                <w:highlight w:val="none"/>
              </w:rPr>
            </w:pPr>
            <w:r>
              <w:rPr>
                <w:rFonts w:hint="eastAsia" w:ascii="黑体" w:hAnsi="黑体" w:eastAsia="黑体"/>
                <w:b/>
                <w:bCs/>
                <w:color w:val="auto"/>
                <w:sz w:val="28"/>
                <w:szCs w:val="21"/>
                <w:highlight w:val="none"/>
              </w:rPr>
              <w:t>甲方（采购人）：</w:t>
            </w:r>
          </w:p>
        </w:tc>
        <w:tc>
          <w:tcPr>
            <w:tcW w:w="3393" w:type="pct"/>
          </w:tcPr>
          <w:p>
            <w:pPr>
              <w:shd w:val="clear"/>
              <w:spacing w:line="360" w:lineRule="auto"/>
              <w:rPr>
                <w:rFonts w:hint="eastAsia" w:ascii="黑体" w:hAnsi="黑体" w:eastAsia="黑体"/>
                <w:b/>
                <w:bCs/>
                <w:color w:val="auto"/>
                <w:sz w:val="28"/>
                <w:szCs w:val="21"/>
                <w:highlight w:val="none"/>
                <w:u w:val="single"/>
                <w:lang w:eastAsia="zh-CN"/>
              </w:rPr>
            </w:pPr>
            <w:r>
              <w:rPr>
                <w:rFonts w:hint="eastAsia" w:ascii="黑体" w:hAnsi="黑体" w:eastAsia="黑体"/>
                <w:b/>
                <w:bCs/>
                <w:color w:val="auto"/>
                <w:sz w:val="28"/>
                <w:szCs w:val="21"/>
                <w:highlight w:val="none"/>
                <w:u w:val="single"/>
              </w:rPr>
              <w:t>东莞市大学创新城建设发展有限公司</w:t>
            </w:r>
          </w:p>
        </w:tc>
      </w:tr>
      <w:tr>
        <w:tblPrEx>
          <w:tblCellMar>
            <w:top w:w="0" w:type="dxa"/>
            <w:left w:w="108" w:type="dxa"/>
            <w:bottom w:w="0" w:type="dxa"/>
            <w:right w:w="108" w:type="dxa"/>
          </w:tblCellMar>
        </w:tblPrEx>
        <w:trPr>
          <w:trHeight w:val="708" w:hRule="atLeast"/>
          <w:jc w:val="center"/>
        </w:trPr>
        <w:tc>
          <w:tcPr>
            <w:tcW w:w="1607" w:type="pct"/>
          </w:tcPr>
          <w:p>
            <w:pPr>
              <w:shd w:val="clear"/>
              <w:spacing w:line="360" w:lineRule="auto"/>
              <w:rPr>
                <w:rFonts w:ascii="黑体" w:hAnsi="黑体" w:eastAsia="黑体"/>
                <w:b/>
                <w:bCs/>
                <w:color w:val="auto"/>
                <w:sz w:val="28"/>
                <w:szCs w:val="21"/>
                <w:highlight w:val="none"/>
              </w:rPr>
            </w:pPr>
            <w:r>
              <w:rPr>
                <w:rFonts w:hint="eastAsia" w:ascii="黑体" w:hAnsi="黑体" w:eastAsia="黑体"/>
                <w:b/>
                <w:bCs/>
                <w:color w:val="auto"/>
                <w:sz w:val="28"/>
                <w:szCs w:val="21"/>
                <w:highlight w:val="none"/>
              </w:rPr>
              <w:t>乙方（成交人）：</w:t>
            </w:r>
          </w:p>
        </w:tc>
        <w:tc>
          <w:tcPr>
            <w:tcW w:w="3393" w:type="pct"/>
          </w:tcPr>
          <w:p>
            <w:pPr>
              <w:shd w:val="clear"/>
              <w:spacing w:line="360" w:lineRule="auto"/>
              <w:rPr>
                <w:rFonts w:ascii="黑体" w:hAnsi="黑体" w:eastAsia="黑体"/>
                <w:b/>
                <w:bCs/>
                <w:color w:val="auto"/>
                <w:sz w:val="28"/>
                <w:szCs w:val="21"/>
                <w:highlight w:val="none"/>
                <w:u w:val="single"/>
              </w:rPr>
            </w:pPr>
          </w:p>
        </w:tc>
      </w:tr>
      <w:tr>
        <w:tblPrEx>
          <w:tblCellMar>
            <w:top w:w="0" w:type="dxa"/>
            <w:left w:w="108" w:type="dxa"/>
            <w:bottom w:w="0" w:type="dxa"/>
            <w:right w:w="108" w:type="dxa"/>
          </w:tblCellMar>
        </w:tblPrEx>
        <w:trPr>
          <w:trHeight w:val="706" w:hRule="atLeast"/>
          <w:jc w:val="center"/>
        </w:trPr>
        <w:tc>
          <w:tcPr>
            <w:tcW w:w="1607" w:type="pct"/>
          </w:tcPr>
          <w:p>
            <w:pPr>
              <w:shd w:val="clear"/>
              <w:spacing w:line="360" w:lineRule="auto"/>
              <w:rPr>
                <w:rFonts w:ascii="黑体" w:hAnsi="黑体" w:eastAsia="黑体"/>
                <w:b/>
                <w:bCs/>
                <w:color w:val="auto"/>
                <w:spacing w:val="9"/>
                <w:sz w:val="28"/>
                <w:szCs w:val="21"/>
                <w:highlight w:val="none"/>
              </w:rPr>
            </w:pPr>
            <w:r>
              <w:rPr>
                <w:rFonts w:hint="eastAsia" w:ascii="黑体" w:hAnsi="黑体" w:eastAsia="黑体"/>
                <w:b/>
                <w:bCs/>
                <w:color w:val="auto"/>
                <w:spacing w:val="9"/>
                <w:sz w:val="28"/>
                <w:szCs w:val="21"/>
                <w:highlight w:val="none"/>
              </w:rPr>
              <w:t>协议签订时间：</w:t>
            </w:r>
          </w:p>
        </w:tc>
        <w:tc>
          <w:tcPr>
            <w:tcW w:w="3393" w:type="pct"/>
          </w:tcPr>
          <w:p>
            <w:pPr>
              <w:shd w:val="clear"/>
              <w:spacing w:line="360" w:lineRule="auto"/>
              <w:rPr>
                <w:rFonts w:ascii="黑体" w:hAnsi="黑体" w:eastAsia="黑体"/>
                <w:b/>
                <w:bCs/>
                <w:color w:val="auto"/>
                <w:sz w:val="28"/>
                <w:szCs w:val="21"/>
                <w:highlight w:val="none"/>
                <w:u w:val="single"/>
              </w:rPr>
            </w:pPr>
          </w:p>
        </w:tc>
      </w:tr>
    </w:tbl>
    <w:p>
      <w:pPr>
        <w:pStyle w:val="2"/>
        <w:shd w:val="clear"/>
        <w:rPr>
          <w:color w:val="auto"/>
          <w:highlight w:val="none"/>
        </w:rPr>
      </w:pPr>
    </w:p>
    <w:p>
      <w:pPr>
        <w:shd w:val="clear"/>
        <w:rPr>
          <w:rFonts w:hAnsi="宋体"/>
          <w:color w:val="auto"/>
          <w:sz w:val="21"/>
          <w:szCs w:val="21"/>
          <w:highlight w:val="none"/>
        </w:rPr>
      </w:pPr>
      <w:r>
        <w:rPr>
          <w:rFonts w:hint="eastAsia" w:hAnsi="宋体"/>
          <w:color w:val="auto"/>
          <w:sz w:val="21"/>
          <w:szCs w:val="21"/>
          <w:highlight w:val="none"/>
        </w:rPr>
        <w:br w:type="page"/>
      </w:r>
    </w:p>
    <w:p>
      <w:pPr>
        <w:shd w:val="clear"/>
        <w:spacing w:line="360" w:lineRule="auto"/>
        <w:ind w:firstLine="315" w:firstLineChars="150"/>
        <w:rPr>
          <w:rFonts w:hAnsi="宋体"/>
          <w:color w:val="auto"/>
          <w:sz w:val="21"/>
          <w:szCs w:val="21"/>
          <w:highlight w:val="none"/>
        </w:rPr>
      </w:pPr>
      <w:r>
        <w:rPr>
          <w:rFonts w:hint="eastAsia" w:hAnsi="宋体"/>
          <w:color w:val="auto"/>
          <w:sz w:val="21"/>
          <w:szCs w:val="21"/>
          <w:highlight w:val="none"/>
        </w:rPr>
        <w:t>甲方（采购人）：东莞市大学创新城建设发展有限公司</w:t>
      </w:r>
    </w:p>
    <w:p>
      <w:pPr>
        <w:shd w:val="clear"/>
        <w:spacing w:line="360" w:lineRule="auto"/>
        <w:ind w:firstLine="315" w:firstLineChars="150"/>
        <w:rPr>
          <w:rFonts w:hint="eastAsia" w:hAnsi="宋体" w:eastAsia="宋体"/>
          <w:color w:val="auto"/>
          <w:sz w:val="21"/>
          <w:szCs w:val="21"/>
          <w:highlight w:val="none"/>
          <w:lang w:eastAsia="zh-CN"/>
        </w:rPr>
      </w:pPr>
      <w:r>
        <w:rPr>
          <w:rFonts w:hint="eastAsia" w:hAnsi="宋体"/>
          <w:color w:val="auto"/>
          <w:sz w:val="21"/>
          <w:szCs w:val="21"/>
          <w:highlight w:val="none"/>
        </w:rPr>
        <w:t>乙方（成交人）：</w:t>
      </w:r>
    </w:p>
    <w:p>
      <w:pPr>
        <w:shd w:val="clear"/>
        <w:spacing w:line="360" w:lineRule="auto"/>
        <w:ind w:firstLine="315" w:firstLineChars="150"/>
        <w:rPr>
          <w:rFonts w:hAnsi="宋体"/>
          <w:color w:val="auto"/>
          <w:sz w:val="21"/>
          <w:szCs w:val="21"/>
          <w:highlight w:val="none"/>
        </w:rPr>
      </w:pPr>
      <w:r>
        <w:rPr>
          <w:rFonts w:hint="eastAsia" w:hAnsi="宋体"/>
          <w:color w:val="auto"/>
          <w:sz w:val="21"/>
          <w:szCs w:val="21"/>
          <w:highlight w:val="none"/>
        </w:rPr>
        <w:t>根据《中华人民共和国民法典》及采购代理有限公司的磋商文件、成交通知书等相关资料的要求，经双方协商一致，签订本合同，共同遵守如下条款。</w:t>
      </w:r>
    </w:p>
    <w:p>
      <w:pPr>
        <w:shd w:val="clear"/>
        <w:spacing w:line="6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 项目概况</w:t>
      </w:r>
    </w:p>
    <w:p>
      <w:pPr>
        <w:shd w:val="clear"/>
        <w:spacing w:line="600" w:lineRule="exact"/>
        <w:ind w:firstLine="420" w:firstLineChars="200"/>
        <w:rPr>
          <w:rFonts w:hint="eastAsia" w:hAnsi="宋体" w:eastAsia="宋体"/>
          <w:color w:val="auto"/>
          <w:sz w:val="21"/>
          <w:szCs w:val="21"/>
          <w:highlight w:val="none"/>
          <w:lang w:eastAsia="zh-CN"/>
        </w:rPr>
      </w:pPr>
      <w:r>
        <w:rPr>
          <w:rFonts w:hint="eastAsia" w:hAnsi="宋体"/>
          <w:color w:val="auto"/>
          <w:sz w:val="21"/>
          <w:szCs w:val="21"/>
          <w:highlight w:val="none"/>
        </w:rPr>
        <w:t>1、项目名称：</w:t>
      </w:r>
      <w:r>
        <w:rPr>
          <w:rFonts w:hint="eastAsia" w:hAnsi="宋体"/>
          <w:color w:val="auto"/>
          <w:sz w:val="21"/>
          <w:szCs w:val="21"/>
          <w:highlight w:val="none"/>
          <w:lang w:eastAsia="zh-CN"/>
        </w:rPr>
        <w:t>松山湖国际创新创业社区2024年度系列活动采购项目</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2、项目地点：东莞市松山湖</w:t>
      </w:r>
    </w:p>
    <w:p>
      <w:pPr>
        <w:shd w:val="clear"/>
        <w:spacing w:line="600" w:lineRule="exact"/>
        <w:ind w:firstLine="420"/>
        <w:rPr>
          <w:rFonts w:hint="eastAsia" w:ascii="宋体" w:hAnsi="宋体"/>
          <w:color w:val="auto"/>
          <w:sz w:val="21"/>
          <w:szCs w:val="21"/>
          <w:highlight w:val="none"/>
        </w:rPr>
      </w:pPr>
      <w:r>
        <w:rPr>
          <w:rFonts w:hint="eastAsia" w:hAnsi="宋体"/>
          <w:color w:val="auto"/>
          <w:sz w:val="21"/>
          <w:szCs w:val="21"/>
          <w:highlight w:val="none"/>
        </w:rPr>
        <w:t>3、</w:t>
      </w:r>
      <w:r>
        <w:rPr>
          <w:rFonts w:hint="eastAsia" w:ascii="宋体" w:hAnsi="宋体"/>
          <w:color w:val="auto"/>
          <w:sz w:val="21"/>
          <w:szCs w:val="21"/>
          <w:highlight w:val="none"/>
        </w:rPr>
        <w:t>项目范围：松山湖国际创新创业社区2024年科创类系列活动，包含科创类活动、节日类活动、文化类活动、休闲娱乐类活动。活动将为企业打开资源渠道、打造企业交流空间、强化人才知识输出、提升社区科创环境。</w:t>
      </w:r>
    </w:p>
    <w:p>
      <w:pPr>
        <w:shd w:val="clear"/>
        <w:spacing w:line="600" w:lineRule="exact"/>
        <w:ind w:firstLine="420"/>
        <w:rPr>
          <w:rFonts w:hAnsi="宋体"/>
          <w:color w:val="auto"/>
          <w:sz w:val="21"/>
          <w:szCs w:val="21"/>
          <w:highlight w:val="none"/>
          <w:u w:val="single"/>
        </w:rPr>
      </w:pPr>
      <w:r>
        <w:rPr>
          <w:rFonts w:hint="eastAsia" w:hAnsi="宋体"/>
          <w:color w:val="auto"/>
          <w:sz w:val="21"/>
          <w:szCs w:val="21"/>
          <w:highlight w:val="none"/>
        </w:rPr>
        <w:t>4、服务期限：合同签订之日起至2025年</w:t>
      </w:r>
      <w:r>
        <w:rPr>
          <w:rFonts w:hint="eastAsia" w:hAnsi="宋体"/>
          <w:color w:val="auto"/>
          <w:sz w:val="21"/>
          <w:szCs w:val="21"/>
          <w:highlight w:val="none"/>
          <w:lang w:val="en-US" w:eastAsia="zh-CN"/>
        </w:rPr>
        <w:t>4</w:t>
      </w:r>
      <w:r>
        <w:rPr>
          <w:rFonts w:hint="eastAsia" w:hAnsi="宋体"/>
          <w:color w:val="auto"/>
          <w:sz w:val="21"/>
          <w:szCs w:val="21"/>
          <w:highlight w:val="none"/>
        </w:rPr>
        <w:t>月3</w:t>
      </w:r>
      <w:r>
        <w:rPr>
          <w:rFonts w:hint="eastAsia" w:hAnsi="宋体"/>
          <w:color w:val="auto"/>
          <w:sz w:val="21"/>
          <w:szCs w:val="21"/>
          <w:highlight w:val="none"/>
          <w:lang w:val="en-US" w:eastAsia="zh-CN"/>
        </w:rPr>
        <w:t>0</w:t>
      </w:r>
      <w:r>
        <w:rPr>
          <w:rFonts w:hint="eastAsia" w:hAnsi="宋体"/>
          <w:color w:val="auto"/>
          <w:sz w:val="21"/>
          <w:szCs w:val="21"/>
          <w:highlight w:val="none"/>
        </w:rPr>
        <w:t>日</w:t>
      </w:r>
      <w:r>
        <w:rPr>
          <w:rFonts w:hint="eastAsia" w:hAnsi="宋体"/>
          <w:color w:val="auto"/>
          <w:sz w:val="21"/>
          <w:szCs w:val="21"/>
          <w:highlight w:val="none"/>
          <w:lang w:val="en-US" w:eastAsia="zh-CN"/>
        </w:rPr>
        <w:t>（以后到时间为准）</w:t>
      </w:r>
      <w:r>
        <w:rPr>
          <w:rFonts w:hint="eastAsia" w:asciiTheme="minorEastAsia" w:hAnsiTheme="minorEastAsia" w:eastAsiaTheme="minorEastAsia" w:cstheme="minorEastAsia"/>
          <w:color w:val="auto"/>
          <w:sz w:val="21"/>
          <w:szCs w:val="21"/>
          <w:highlight w:val="none"/>
        </w:rPr>
        <w:t>。</w:t>
      </w:r>
    </w:p>
    <w:p>
      <w:pPr>
        <w:shd w:val="clear"/>
        <w:spacing w:line="600" w:lineRule="exact"/>
        <w:ind w:firstLine="422" w:firstLineChars="200"/>
        <w:rPr>
          <w:rFonts w:hint="eastAsia" w:hAnsi="宋体"/>
          <w:color w:val="auto"/>
          <w:sz w:val="21"/>
          <w:szCs w:val="21"/>
          <w:highlight w:val="none"/>
          <w:lang w:val="en-US" w:eastAsia="zh-CN"/>
        </w:rPr>
      </w:pPr>
      <w:r>
        <w:rPr>
          <w:rFonts w:hint="eastAsia" w:hAnsi="宋体"/>
          <w:b/>
          <w:bCs/>
          <w:color w:val="auto"/>
          <w:sz w:val="21"/>
          <w:szCs w:val="21"/>
          <w:highlight w:val="none"/>
        </w:rPr>
        <w:t xml:space="preserve">二 </w:t>
      </w:r>
      <w:r>
        <w:rPr>
          <w:rFonts w:hint="eastAsia" w:hAnsi="宋体"/>
          <w:b/>
          <w:bCs/>
          <w:color w:val="auto"/>
          <w:sz w:val="21"/>
          <w:szCs w:val="21"/>
          <w:highlight w:val="none"/>
          <w:lang w:eastAsia="zh-CN"/>
        </w:rPr>
        <w:t>合同价款及</w:t>
      </w:r>
      <w:r>
        <w:rPr>
          <w:rFonts w:hint="eastAsia" w:hAnsi="宋体"/>
          <w:b/>
          <w:bCs/>
          <w:color w:val="auto"/>
          <w:sz w:val="21"/>
          <w:szCs w:val="21"/>
          <w:highlight w:val="none"/>
        </w:rPr>
        <w:t>付款方式</w:t>
      </w:r>
    </w:p>
    <w:p>
      <w:pPr>
        <w:shd w:val="clear"/>
        <w:tabs>
          <w:tab w:val="left" w:pos="3405"/>
        </w:tabs>
        <w:spacing w:line="600" w:lineRule="exact"/>
        <w:ind w:firstLine="420" w:firstLineChars="200"/>
        <w:rPr>
          <w:rFonts w:hAnsi="宋体"/>
          <w:color w:val="auto"/>
          <w:sz w:val="21"/>
          <w:szCs w:val="21"/>
          <w:highlight w:val="none"/>
        </w:rPr>
      </w:pPr>
      <w:r>
        <w:rPr>
          <w:rFonts w:hint="eastAsia" w:hAnsi="宋体"/>
          <w:color w:val="auto"/>
          <w:sz w:val="21"/>
          <w:szCs w:val="21"/>
          <w:highlight w:val="none"/>
          <w:lang w:val="en-US" w:eastAsia="zh-CN"/>
        </w:rPr>
        <w:t>1、</w:t>
      </w:r>
      <w:r>
        <w:rPr>
          <w:rFonts w:hint="eastAsia" w:hAnsi="宋体"/>
          <w:color w:val="auto"/>
          <w:sz w:val="21"/>
          <w:szCs w:val="21"/>
          <w:highlight w:val="none"/>
        </w:rPr>
        <w:t>合同价款</w:t>
      </w:r>
    </w:p>
    <w:p>
      <w:pPr>
        <w:shd w:val="clear"/>
        <w:tabs>
          <w:tab w:val="left" w:pos="3405"/>
        </w:tabs>
        <w:spacing w:line="600" w:lineRule="exact"/>
        <w:ind w:firstLine="640"/>
        <w:rPr>
          <w:rFonts w:hint="eastAsia" w:asciiTheme="minorEastAsia" w:hAnsiTheme="minorEastAsia" w:eastAsiaTheme="minorEastAsia" w:cstheme="minorEastAsia"/>
          <w:color w:val="auto"/>
          <w:sz w:val="21"/>
          <w:szCs w:val="21"/>
          <w:highlight w:val="none"/>
        </w:rPr>
      </w:pPr>
      <w:r>
        <w:rPr>
          <w:rFonts w:hint="eastAsia" w:hAnsi="宋体"/>
          <w:color w:val="auto"/>
          <w:sz w:val="21"/>
          <w:szCs w:val="21"/>
          <w:highlight w:val="none"/>
        </w:rPr>
        <w:t>总价部分：实行单场活动限价包干方式报价，合同总价款（含税）为￥</w:t>
      </w:r>
      <w:r>
        <w:rPr>
          <w:rFonts w:hint="eastAsia" w:hAnsi="宋体"/>
          <w:color w:val="auto"/>
          <w:sz w:val="21"/>
          <w:szCs w:val="21"/>
          <w:highlight w:val="none"/>
          <w:u w:val="single"/>
        </w:rPr>
        <w:t xml:space="preserve">        </w:t>
      </w:r>
      <w:r>
        <w:rPr>
          <w:rFonts w:hint="eastAsia" w:hAnsi="宋体"/>
          <w:color w:val="auto"/>
          <w:sz w:val="21"/>
          <w:szCs w:val="21"/>
          <w:highlight w:val="none"/>
        </w:rPr>
        <w:t>元（大写人民币</w:t>
      </w:r>
      <w:r>
        <w:rPr>
          <w:rFonts w:hint="eastAsia" w:hAnsi="宋体"/>
          <w:color w:val="auto"/>
          <w:sz w:val="21"/>
          <w:szCs w:val="21"/>
          <w:highlight w:val="none"/>
          <w:u w:val="single"/>
        </w:rPr>
        <w:t xml:space="preserve">                 </w:t>
      </w:r>
      <w:r>
        <w:rPr>
          <w:rFonts w:hint="eastAsia" w:hAnsi="宋体"/>
          <w:color w:val="auto"/>
          <w:sz w:val="21"/>
          <w:szCs w:val="21"/>
          <w:highlight w:val="none"/>
        </w:rPr>
        <w:t>元），其中：增值税率为</w:t>
      </w:r>
      <w:r>
        <w:rPr>
          <w:rFonts w:hint="eastAsia" w:hAnsi="宋体"/>
          <w:color w:val="auto"/>
          <w:sz w:val="21"/>
          <w:szCs w:val="21"/>
          <w:highlight w:val="none"/>
          <w:u w:val="single"/>
        </w:rPr>
        <w:t xml:space="preserve"> </w:t>
      </w:r>
      <w:r>
        <w:rPr>
          <w:rFonts w:hint="eastAsia" w:hAnsi="宋体"/>
          <w:color w:val="auto"/>
          <w:sz w:val="21"/>
          <w:szCs w:val="21"/>
          <w:highlight w:val="none"/>
          <w:u w:val="single"/>
          <w:lang w:val="en-US" w:eastAsia="zh-CN"/>
        </w:rPr>
        <w:t>6</w:t>
      </w:r>
      <w:r>
        <w:rPr>
          <w:rFonts w:hint="eastAsia" w:hAnsi="宋体"/>
          <w:color w:val="auto"/>
          <w:sz w:val="21"/>
          <w:szCs w:val="21"/>
          <w:highlight w:val="none"/>
          <w:u w:val="single"/>
        </w:rPr>
        <w:t xml:space="preserve"> </w:t>
      </w:r>
      <w:r>
        <w:rPr>
          <w:rFonts w:hint="eastAsia" w:hAnsi="宋体"/>
          <w:color w:val="auto"/>
          <w:sz w:val="21"/>
          <w:szCs w:val="21"/>
          <w:highlight w:val="none"/>
        </w:rPr>
        <w:t>%，税金金额￥</w:t>
      </w:r>
      <w:r>
        <w:rPr>
          <w:rFonts w:hint="eastAsia" w:hAnsi="宋体"/>
          <w:color w:val="auto"/>
          <w:sz w:val="21"/>
          <w:szCs w:val="21"/>
          <w:highlight w:val="none"/>
          <w:u w:val="single"/>
        </w:rPr>
        <w:t xml:space="preserve">       </w:t>
      </w:r>
      <w:r>
        <w:rPr>
          <w:rFonts w:hint="eastAsia" w:hAnsi="宋体"/>
          <w:color w:val="auto"/>
          <w:sz w:val="21"/>
          <w:szCs w:val="21"/>
          <w:highlight w:val="none"/>
        </w:rPr>
        <w:t>元，不含税合同总价款为￥</w:t>
      </w:r>
      <w:r>
        <w:rPr>
          <w:rFonts w:hint="eastAsia" w:hAnsi="宋体"/>
          <w:color w:val="auto"/>
          <w:sz w:val="21"/>
          <w:szCs w:val="21"/>
          <w:highlight w:val="none"/>
          <w:u w:val="single"/>
        </w:rPr>
        <w:t xml:space="preserve">          </w:t>
      </w:r>
      <w:r>
        <w:rPr>
          <w:rFonts w:hint="eastAsia" w:hAnsi="宋体"/>
          <w:color w:val="auto"/>
          <w:sz w:val="21"/>
          <w:szCs w:val="21"/>
          <w:highlight w:val="none"/>
        </w:rPr>
        <w:t>元。注：总价中应包括所有本次采购项目的所有相关费用，</w:t>
      </w:r>
      <w:r>
        <w:rPr>
          <w:rFonts w:hint="eastAsia" w:hAnsi="宋体"/>
          <w:color w:val="auto"/>
          <w:sz w:val="21"/>
          <w:szCs w:val="21"/>
          <w:highlight w:val="none"/>
          <w:lang w:eastAsia="zh-CN"/>
        </w:rPr>
        <w:t>甲方</w:t>
      </w:r>
      <w:r>
        <w:rPr>
          <w:rFonts w:hint="eastAsia" w:hAnsi="宋体"/>
          <w:color w:val="auto"/>
          <w:sz w:val="21"/>
          <w:szCs w:val="21"/>
          <w:highlight w:val="none"/>
        </w:rPr>
        <w:t>不再另外支付任何费用），包括不限于：服务过程及安全设施；所有策划、布场、执行等人工费用（包括工资、福利、交通、食宿、通讯等费用）、材料、验收费、机械设备费、运输费及管理费、利润、税金等所有费用</w:t>
      </w:r>
      <w:r>
        <w:rPr>
          <w:rFonts w:hint="eastAsia" w:asciiTheme="minorEastAsia" w:hAnsiTheme="minorEastAsia" w:eastAsiaTheme="minorEastAsia" w:cstheme="minorEastAsia"/>
          <w:color w:val="auto"/>
          <w:sz w:val="21"/>
          <w:szCs w:val="21"/>
          <w:highlight w:val="none"/>
        </w:rPr>
        <w:t>。（除</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认可的变更外，价格不变）</w:t>
      </w:r>
    </w:p>
    <w:p>
      <w:pPr>
        <w:shd w:val="clear"/>
        <w:tabs>
          <w:tab w:val="left" w:pos="3405"/>
        </w:tabs>
        <w:spacing w:line="600" w:lineRule="exact"/>
        <w:ind w:firstLine="640"/>
        <w:rPr>
          <w:rFonts w:hint="eastAsia" w:ascii="宋体" w:hAnsi="宋体" w:eastAsiaTheme="minorEastAsia"/>
          <w:b/>
          <w:color w:val="auto"/>
          <w:spacing w:val="0"/>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单价部分：按甲方预算清单统一下浮，下浮率</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eastAsia="zh-CN"/>
        </w:rPr>
        <w:t>%；按综合单价包干，根据实际需求量及下浮后单价进行结算。成交下浮率在合同期内为固定下浮率，不因市场环境变化而调整。</w:t>
      </w:r>
    </w:p>
    <w:p>
      <w:pPr>
        <w:shd w:val="clear"/>
        <w:tabs>
          <w:tab w:val="left" w:pos="3405"/>
        </w:tabs>
        <w:spacing w:line="600" w:lineRule="exact"/>
        <w:ind w:firstLine="420" w:firstLineChars="200"/>
        <w:rPr>
          <w:rFonts w:hint="eastAsia" w:hAnsi="宋体"/>
          <w:color w:val="auto"/>
          <w:sz w:val="21"/>
          <w:szCs w:val="21"/>
          <w:highlight w:val="none"/>
          <w:lang w:val="en-US" w:eastAsia="zh-CN"/>
        </w:rPr>
      </w:pPr>
      <w:r>
        <w:rPr>
          <w:rFonts w:hint="eastAsia" w:hAnsi="宋体"/>
          <w:color w:val="auto"/>
          <w:sz w:val="21"/>
          <w:szCs w:val="21"/>
          <w:highlight w:val="none"/>
          <w:lang w:val="en-US" w:eastAsia="zh-CN"/>
        </w:rPr>
        <w:t>2、付款方式</w:t>
      </w:r>
    </w:p>
    <w:p>
      <w:pPr>
        <w:pStyle w:val="100"/>
        <w:shd w:val="clear"/>
        <w:spacing w:line="360" w:lineRule="auto"/>
        <w:rPr>
          <w:rFonts w:hint="eastAsia" w:ascii="宋体" w:hAnsi="宋体" w:cs="宋体"/>
          <w:color w:val="auto"/>
          <w:szCs w:val="21"/>
          <w:highlight w:val="none"/>
        </w:rPr>
      </w:pPr>
      <w:bookmarkStart w:id="180" w:name="OLE_LINK1"/>
      <w:r>
        <w:rPr>
          <w:rFonts w:hint="eastAsia" w:ascii="宋体" w:hAnsi="宋体" w:cs="宋体"/>
          <w:color w:val="auto"/>
          <w:szCs w:val="21"/>
          <w:highlight w:val="none"/>
        </w:rPr>
        <w:t>（1）支付方式：</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完成单个活动后，提交请款资料及相关材料，经甲方审核无误后，支付单个活动项目款项。</w:t>
      </w:r>
    </w:p>
    <w:p>
      <w:pPr>
        <w:pStyle w:val="100"/>
        <w:shd w:val="clear"/>
        <w:spacing w:line="360" w:lineRule="auto"/>
        <w:rPr>
          <w:rFonts w:hint="eastAsia" w:hAnsi="宋体"/>
          <w:color w:val="auto"/>
          <w:szCs w:val="21"/>
          <w:highlight w:val="none"/>
        </w:rPr>
      </w:pPr>
      <w:r>
        <w:rPr>
          <w:rFonts w:hint="eastAsia" w:ascii="宋体" w:hAnsi="宋体" w:cs="宋体"/>
          <w:color w:val="auto"/>
          <w:szCs w:val="21"/>
          <w:highlight w:val="none"/>
        </w:rPr>
        <w:t>（2）按照现行税收政策规定，每次付款前，乙方必须提供合法有效、与本合同总价款条款中增值税税率一致的增值税专用发票给甲方，否则甲方有权拒绝付款且不构成违约；若合同执行期间，遇国家税务政策调整所引起的合同价格变化，按照不含税价格调整结算价格</w:t>
      </w:r>
      <w:r>
        <w:rPr>
          <w:rFonts w:hint="eastAsia" w:hAnsi="宋体"/>
          <w:color w:val="auto"/>
          <w:szCs w:val="21"/>
          <w:highlight w:val="none"/>
        </w:rPr>
        <w:t>。</w:t>
      </w:r>
    </w:p>
    <w:p>
      <w:pPr>
        <w:spacing w:line="336" w:lineRule="auto"/>
        <w:ind w:firstLine="480" w:firstLineChars="200"/>
        <w:rPr>
          <w:rFonts w:hint="eastAsia" w:ascii="宋体" w:hAnsi="宋体" w:eastAsia="宋体" w:cs="宋体"/>
          <w:color w:val="auto"/>
          <w:kern w:val="2"/>
          <w:sz w:val="21"/>
          <w:szCs w:val="21"/>
          <w:highlight w:val="none"/>
          <w:lang w:val="en-US" w:eastAsia="zh-CN" w:bidi="ar-SA"/>
        </w:rPr>
      </w:pPr>
      <w:r>
        <w:rPr>
          <w:rFonts w:hint="eastAsia" w:hAnsi="宋体"/>
          <w:color w:val="auto"/>
          <w:szCs w:val="21"/>
          <w:highlight w:val="none"/>
          <w:lang w:eastAsia="zh-CN"/>
        </w:rPr>
        <w:t>（</w:t>
      </w:r>
      <w:r>
        <w:rPr>
          <w:rFonts w:hint="eastAsia" w:hAnsi="宋体"/>
          <w:color w:val="auto"/>
          <w:szCs w:val="21"/>
          <w:highlight w:val="none"/>
          <w:lang w:val="en-US" w:eastAsia="zh-CN"/>
        </w:rPr>
        <w:t>3</w:t>
      </w:r>
      <w:r>
        <w:rPr>
          <w:rFonts w:hint="eastAsia" w:hAnsi="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乙方收款账户信息如下：</w:t>
      </w:r>
    </w:p>
    <w:p>
      <w:pPr>
        <w:keepNext w:val="0"/>
        <w:keepLines w:val="0"/>
        <w:pageBreakBefore w:val="0"/>
        <w:widowControl w:val="0"/>
        <w:kinsoku/>
        <w:wordWrap/>
        <w:overflowPunct/>
        <w:topLinePunct w:val="0"/>
        <w:autoSpaceDE w:val="0"/>
        <w:autoSpaceDN w:val="0"/>
        <w:bidi w:val="0"/>
        <w:adjustRightInd w:val="0"/>
        <w:snapToGrid/>
        <w:spacing w:line="336" w:lineRule="auto"/>
        <w:ind w:firstLine="840" w:firstLineChars="4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开户行：                             </w:t>
      </w:r>
    </w:p>
    <w:p>
      <w:pPr>
        <w:keepNext w:val="0"/>
        <w:keepLines w:val="0"/>
        <w:pageBreakBefore w:val="0"/>
        <w:widowControl w:val="0"/>
        <w:kinsoku/>
        <w:wordWrap/>
        <w:overflowPunct/>
        <w:topLinePunct w:val="0"/>
        <w:autoSpaceDE w:val="0"/>
        <w:autoSpaceDN w:val="0"/>
        <w:bidi w:val="0"/>
        <w:adjustRightInd w:val="0"/>
        <w:snapToGrid/>
        <w:spacing w:line="336" w:lineRule="auto"/>
        <w:ind w:firstLine="840" w:firstLineChars="4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户  名：                             </w:t>
      </w:r>
    </w:p>
    <w:p>
      <w:pPr>
        <w:keepNext w:val="0"/>
        <w:keepLines w:val="0"/>
        <w:pageBreakBefore w:val="0"/>
        <w:widowControl w:val="0"/>
        <w:kinsoku/>
        <w:wordWrap/>
        <w:overflowPunct/>
        <w:topLinePunct w:val="0"/>
        <w:autoSpaceDE w:val="0"/>
        <w:autoSpaceDN w:val="0"/>
        <w:bidi w:val="0"/>
        <w:adjustRightInd w:val="0"/>
        <w:snapToGrid/>
        <w:spacing w:line="336" w:lineRule="auto"/>
        <w:ind w:firstLine="840" w:firstLineChars="4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账  号：</w:t>
      </w:r>
      <w:r>
        <w:rPr>
          <w:rFonts w:hint="eastAsia" w:ascii="宋体" w:hAnsi="宋体" w:eastAsia="宋体" w:cs="宋体"/>
          <w:color w:val="auto"/>
          <w:kern w:val="2"/>
          <w:sz w:val="21"/>
          <w:szCs w:val="21"/>
          <w:highlight w:val="none"/>
          <w:u w:val="single"/>
          <w:lang w:val="en-US" w:eastAsia="zh-CN" w:bidi="ar-SA"/>
        </w:rPr>
        <w:t xml:space="preserve">                             </w:t>
      </w:r>
    </w:p>
    <w:p>
      <w:pPr>
        <w:pStyle w:val="50"/>
        <w:ind w:left="0" w:leftChars="0" w:firstLine="0" w:firstLineChars="0"/>
        <w:rPr>
          <w:rFonts w:hint="eastAsia" w:hAnsi="宋体"/>
          <w:b/>
          <w:bCs/>
          <w:color w:val="auto"/>
          <w:sz w:val="21"/>
          <w:szCs w:val="21"/>
          <w:highlight w:val="none"/>
          <w:lang w:val="en-US" w:eastAsia="zh-CN"/>
        </w:rPr>
      </w:pPr>
      <w:r>
        <w:rPr>
          <w:rFonts w:hint="eastAsia" w:hAnsi="宋体"/>
          <w:b/>
          <w:bCs/>
          <w:color w:val="auto"/>
          <w:sz w:val="21"/>
          <w:szCs w:val="21"/>
          <w:highlight w:val="none"/>
          <w:lang w:val="en-US" w:eastAsia="zh-CN"/>
        </w:rPr>
        <w:t>三、合同价格清单</w:t>
      </w:r>
    </w:p>
    <w:p>
      <w:pPr>
        <w:pStyle w:val="50"/>
        <w:ind w:left="0" w:leftChars="0" w:firstLine="0" w:firstLineChars="0"/>
        <w:rPr>
          <w:rFonts w:hint="eastAsia" w:ascii="Times New Roman" w:hAnsi="宋体" w:eastAsia="宋体" w:cs="宋体"/>
          <w:b/>
          <w:bCs/>
          <w:color w:val="auto"/>
          <w:szCs w:val="21"/>
          <w:highlight w:val="none"/>
          <w:lang w:eastAsia="zh-CN"/>
        </w:rPr>
      </w:pPr>
      <w:r>
        <w:rPr>
          <w:rFonts w:hint="eastAsia" w:ascii="Times New Roman" w:hAnsi="宋体" w:eastAsia="宋体" w:cs="宋体"/>
          <w:b/>
          <w:bCs/>
          <w:color w:val="auto"/>
          <w:szCs w:val="21"/>
          <w:highlight w:val="none"/>
          <w:lang w:eastAsia="zh-CN"/>
        </w:rPr>
        <w:t>（一）</w:t>
      </w:r>
      <w:r>
        <w:rPr>
          <w:rFonts w:hint="eastAsia" w:ascii="Times New Roman" w:hAnsi="宋体" w:eastAsia="宋体" w:cs="宋体"/>
          <w:b/>
          <w:bCs/>
          <w:i w:val="0"/>
          <w:iCs w:val="0"/>
          <w:color w:val="auto"/>
          <w:kern w:val="2"/>
          <w:sz w:val="21"/>
          <w:szCs w:val="21"/>
          <w:highlight w:val="none"/>
          <w:u w:val="none"/>
          <w:lang w:val="en-US" w:eastAsia="zh-CN" w:bidi="ar"/>
        </w:rPr>
        <w:t>活动清单（初步方案）汇总</w:t>
      </w:r>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30"/>
        <w:gridCol w:w="1028"/>
        <w:gridCol w:w="1028"/>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gridSpan w:val="4"/>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活动清单（初步方案）汇总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活动类型</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场次</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w:t>
            </w:r>
          </w:p>
        </w:tc>
        <w:tc>
          <w:tcPr>
            <w:tcW w:w="6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一、科创类活动</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1.1.1早餐会</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1.1.2下午茶</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1.1.3博士论坛</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1.1.4星空夜话</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1.1.5学术论坛、讲座</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二、节日类活动</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auto"/>
                <w:kern w:val="0"/>
                <w:sz w:val="21"/>
                <w:szCs w:val="21"/>
                <w:highlight w:val="none"/>
                <w:u w:val="none"/>
                <w:lang w:val="en-US" w:eastAsia="zh-CN" w:bidi="ar"/>
              </w:rPr>
              <w:t>3</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-中秋国庆</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-科学家端午节</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-科学家中秋节</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三、文化类活动</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3.1-五谷主题画</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3.2-绕线画、丝线画</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3.3-掐丝珐琅（非遗掐丝珐琅画）</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3.4-非遗螺钿胸针</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3.5-广东三宝制作</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3.6-莞香香牌 制作</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3.7-戏曲创意画 制作</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3.8-戳戳绣</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3.9-香囊制作</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3.10-非遗烧箔画</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3.11-非遗二十四节气文创</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3.12-非遗点翠</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3.13-非遗传拓</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3.14-非遗缠花发簪/胸针 DIY</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3.15-非遗竹编</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3.16-非遗花草纸 文创书灯</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3.17-非遗岭南押花 文创台灯</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3.18-锦绣江山流沙画</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3.19-非遗绒花 DIY</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3.20-非遗篆刻 体验</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3.21-相亲舞会</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四、休闲娱乐类活动</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4.1-棋牌竞技赛</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0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auto"/>
                <w:sz w:val="21"/>
                <w:szCs w:val="21"/>
                <w:highlight w:val="none"/>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hAnsi="宋体" w:cs="宋体"/>
                <w:i w:val="0"/>
                <w:iCs w:val="0"/>
                <w:color w:val="auto"/>
                <w:kern w:val="0"/>
                <w:sz w:val="21"/>
                <w:szCs w:val="21"/>
                <w:highlight w:val="none"/>
                <w:u w:val="none"/>
                <w:lang w:val="en-US" w:eastAsia="zh-CN" w:bidi="ar"/>
              </w:rPr>
              <w:t>五、暂未定活动</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hAnsi="宋体" w:cs="宋体"/>
                <w:i w:val="0"/>
                <w:iCs w:val="0"/>
                <w:color w:val="auto"/>
                <w:kern w:val="0"/>
                <w:sz w:val="21"/>
                <w:szCs w:val="21"/>
                <w:highlight w:val="none"/>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auto"/>
                <w:sz w:val="21"/>
                <w:szCs w:val="21"/>
                <w:highlight w:val="none"/>
                <w:u w:val="none"/>
                <w:lang w:val="en-US" w:eastAsia="zh-CN"/>
              </w:rPr>
            </w:pPr>
            <w:r>
              <w:rPr>
                <w:rFonts w:hint="eastAsia" w:hAnsi="宋体" w:cs="宋体"/>
                <w:i w:val="0"/>
                <w:iCs w:val="0"/>
                <w:color w:val="auto"/>
                <w:sz w:val="21"/>
                <w:szCs w:val="21"/>
                <w:highlight w:val="none"/>
                <w:u w:val="none"/>
                <w:lang w:val="en-US" w:eastAsia="zh-CN"/>
              </w:rPr>
              <w:t>200000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bl>
    <w:p>
      <w:pPr>
        <w:rPr>
          <w:color w:val="auto"/>
          <w:highlight w:val="none"/>
        </w:rPr>
      </w:pPr>
    </w:p>
    <w:p>
      <w:pPr>
        <w:pStyle w:val="2"/>
        <w:jc w:val="left"/>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eastAsia="zh-CN"/>
        </w:rPr>
        <w:t>（二）</w:t>
      </w:r>
      <w:r>
        <w:rPr>
          <w:rFonts w:hint="eastAsia" w:ascii="宋体" w:hAnsi="宋体" w:eastAsia="宋体" w:cs="宋体"/>
          <w:b/>
          <w:bCs/>
          <w:i w:val="0"/>
          <w:iCs w:val="0"/>
          <w:color w:val="auto"/>
          <w:kern w:val="0"/>
          <w:sz w:val="21"/>
          <w:szCs w:val="21"/>
          <w:highlight w:val="none"/>
          <w:u w:val="none"/>
          <w:lang w:val="en-US" w:eastAsia="zh-CN" w:bidi="ar"/>
        </w:rPr>
        <w:t>补充物料清单单价</w:t>
      </w:r>
    </w:p>
    <w:p>
      <w:pPr>
        <w:pStyle w:val="3"/>
        <w:ind w:firstLine="630" w:firstLineChars="300"/>
        <w:rPr>
          <w:rFonts w:hint="default"/>
          <w:color w:val="auto"/>
          <w:highlight w:val="none"/>
          <w:lang w:val="en-US" w:eastAsia="zh-CN"/>
        </w:rPr>
      </w:pPr>
      <w:r>
        <w:rPr>
          <w:rFonts w:hint="eastAsia"/>
          <w:color w:val="auto"/>
          <w:highlight w:val="none"/>
          <w:lang w:val="en-US" w:eastAsia="zh-CN"/>
        </w:rPr>
        <w:t>见后附清单</w:t>
      </w:r>
    </w:p>
    <w:p>
      <w:pPr>
        <w:shd w:val="clear"/>
        <w:spacing w:line="600" w:lineRule="exact"/>
        <w:ind w:firstLine="0" w:firstLineChars="0"/>
        <w:rPr>
          <w:rFonts w:hint="eastAsia" w:hAnsi="宋体"/>
          <w:b/>
          <w:bCs/>
          <w:color w:val="auto"/>
          <w:sz w:val="21"/>
          <w:szCs w:val="21"/>
          <w:highlight w:val="none"/>
          <w:lang w:val="en-US" w:eastAsia="zh-CN"/>
        </w:rPr>
      </w:pPr>
    </w:p>
    <w:p>
      <w:pPr>
        <w:shd w:val="clea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lang w:eastAsia="zh-CN"/>
        </w:rPr>
        <w:t>四</w:t>
      </w:r>
      <w:r>
        <w:rPr>
          <w:rFonts w:hint="eastAsia" w:hAnsi="宋体"/>
          <w:b/>
          <w:bCs/>
          <w:color w:val="auto"/>
          <w:sz w:val="21"/>
          <w:szCs w:val="21"/>
          <w:highlight w:val="none"/>
        </w:rPr>
        <w:t xml:space="preserve"> 履约担保</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乙方在签订本合同前5个工作日内，必须提交履约担保，履约担保可采用履约保函或履约保证金形式：</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（一）若乙方提交履约保函，履约保函的内容及格式应先征求甲方同意，并应满足以下规定：</w:t>
      </w:r>
    </w:p>
    <w:p>
      <w:pPr>
        <w:shd w:val="clear"/>
        <w:spacing w:line="520" w:lineRule="exact"/>
        <w:ind w:firstLine="630"/>
        <w:rPr>
          <w:rFonts w:hAnsi="宋体"/>
          <w:color w:val="auto"/>
          <w:sz w:val="21"/>
          <w:szCs w:val="21"/>
          <w:highlight w:val="none"/>
        </w:rPr>
      </w:pPr>
      <w:r>
        <w:rPr>
          <w:rFonts w:hint="eastAsia" w:hAnsi="宋体"/>
          <w:color w:val="auto"/>
          <w:sz w:val="21"/>
          <w:szCs w:val="21"/>
          <w:highlight w:val="none"/>
        </w:rPr>
        <w:t>1.履约保函必须是无条件不可撤销保函。</w:t>
      </w:r>
    </w:p>
    <w:p>
      <w:pPr>
        <w:shd w:val="clear"/>
        <w:spacing w:line="520" w:lineRule="exact"/>
        <w:ind w:firstLine="630"/>
        <w:rPr>
          <w:rFonts w:hAnsi="宋体"/>
          <w:color w:val="auto"/>
          <w:sz w:val="21"/>
          <w:szCs w:val="21"/>
          <w:highlight w:val="none"/>
        </w:rPr>
      </w:pPr>
      <w:r>
        <w:rPr>
          <w:rFonts w:hint="eastAsia" w:hAnsi="宋体"/>
          <w:color w:val="auto"/>
          <w:sz w:val="21"/>
          <w:szCs w:val="21"/>
          <w:highlight w:val="none"/>
        </w:rPr>
        <w:t>2.履约保函必须由银行支行或以上级别机构出具，由非东莞市行政区域内的银行出具的履约保函需经银行所在地公证机关公证。</w:t>
      </w:r>
    </w:p>
    <w:p>
      <w:pPr>
        <w:shd w:val="clear"/>
        <w:spacing w:line="520" w:lineRule="exact"/>
        <w:ind w:firstLine="630"/>
        <w:rPr>
          <w:rFonts w:hAnsi="宋体"/>
          <w:color w:val="auto"/>
          <w:sz w:val="21"/>
          <w:szCs w:val="21"/>
          <w:highlight w:val="none"/>
        </w:rPr>
      </w:pPr>
      <w:r>
        <w:rPr>
          <w:rFonts w:hint="eastAsia" w:hAnsi="宋体"/>
          <w:color w:val="auto"/>
          <w:sz w:val="21"/>
          <w:szCs w:val="21"/>
          <w:highlight w:val="none"/>
        </w:rPr>
        <w:t>3.履约保函担保金额为合同价的</w:t>
      </w:r>
      <w:r>
        <w:rPr>
          <w:rFonts w:hint="eastAsia" w:hAnsi="宋体"/>
          <w:color w:val="auto"/>
          <w:sz w:val="21"/>
          <w:szCs w:val="21"/>
          <w:highlight w:val="none"/>
          <w:lang w:val="en-US" w:eastAsia="zh-CN"/>
        </w:rPr>
        <w:t>5</w:t>
      </w:r>
      <w:r>
        <w:rPr>
          <w:rFonts w:hint="eastAsia" w:hAnsi="宋体"/>
          <w:color w:val="auto"/>
          <w:sz w:val="21"/>
          <w:szCs w:val="21"/>
          <w:highlight w:val="none"/>
        </w:rPr>
        <w:t>％。</w:t>
      </w:r>
    </w:p>
    <w:p>
      <w:pPr>
        <w:shd w:val="clear"/>
        <w:spacing w:line="520" w:lineRule="exact"/>
        <w:ind w:firstLine="630"/>
        <w:rPr>
          <w:rFonts w:hAnsi="宋体"/>
          <w:color w:val="auto"/>
          <w:sz w:val="21"/>
          <w:szCs w:val="21"/>
          <w:highlight w:val="none"/>
        </w:rPr>
      </w:pPr>
      <w:r>
        <w:rPr>
          <w:rFonts w:hint="eastAsia" w:hAnsi="宋体"/>
          <w:color w:val="auto"/>
          <w:sz w:val="21"/>
          <w:szCs w:val="21"/>
          <w:highlight w:val="none"/>
        </w:rPr>
        <w:t>4.履约保函的期限应从合同签订到工程竣工验收合格并按有关规定审核结算后28天内保持有效。</w:t>
      </w:r>
    </w:p>
    <w:p>
      <w:pPr>
        <w:shd w:val="clear"/>
        <w:spacing w:line="520" w:lineRule="exact"/>
        <w:ind w:firstLine="630"/>
        <w:rPr>
          <w:rFonts w:hAnsi="宋体"/>
          <w:color w:val="auto"/>
          <w:sz w:val="21"/>
          <w:szCs w:val="21"/>
          <w:highlight w:val="none"/>
        </w:rPr>
      </w:pPr>
      <w:r>
        <w:rPr>
          <w:rFonts w:hint="eastAsia" w:hAnsi="宋体"/>
          <w:color w:val="auto"/>
          <w:sz w:val="21"/>
          <w:szCs w:val="21"/>
          <w:highlight w:val="none"/>
        </w:rPr>
        <w:t>5.如果乙方提交的履约保函的有效期届满时间先于合同文件要求的，乙方应在原提交的履约保函有效期届满前15天内，无条件办理保函延期手续，否则视为乙方违约，甲方可在保函到期前将保函金额转为现金存入履约保证金专户。</w:t>
      </w:r>
    </w:p>
    <w:p>
      <w:pPr>
        <w:shd w:val="clear"/>
        <w:spacing w:line="520" w:lineRule="exact"/>
        <w:ind w:firstLine="630"/>
        <w:rPr>
          <w:rFonts w:hAnsi="宋体"/>
          <w:color w:val="auto"/>
          <w:sz w:val="21"/>
          <w:szCs w:val="21"/>
          <w:highlight w:val="none"/>
        </w:rPr>
      </w:pPr>
      <w:r>
        <w:rPr>
          <w:rFonts w:hint="eastAsia" w:hAnsi="宋体"/>
          <w:color w:val="auto"/>
          <w:sz w:val="21"/>
          <w:szCs w:val="21"/>
          <w:highlight w:val="none"/>
        </w:rPr>
        <w:t>6.履约保函开具或延期所产生的费用由乙方承担</w:t>
      </w:r>
    </w:p>
    <w:p>
      <w:pPr>
        <w:shd w:val="clear"/>
        <w:spacing w:line="520" w:lineRule="exact"/>
        <w:ind w:firstLine="420" w:firstLineChars="200"/>
        <w:rPr>
          <w:rFonts w:hAnsi="宋体"/>
          <w:color w:val="auto"/>
          <w:sz w:val="21"/>
          <w:szCs w:val="21"/>
          <w:highlight w:val="none"/>
        </w:rPr>
      </w:pPr>
      <w:r>
        <w:rPr>
          <w:rFonts w:hint="eastAsia" w:hAnsi="宋体"/>
          <w:color w:val="auto"/>
          <w:sz w:val="21"/>
          <w:szCs w:val="21"/>
          <w:highlight w:val="none"/>
        </w:rPr>
        <w:t>（二）若乙方提交履约保证金（金额为【      元】），可采用电汇、银行转账方式提交，但不可以采用现金方式（包括存现方式）提交。乙方必须保证资金以乙方的名称（以分公司或子公司汇款无效）在约定的日期前（即签订本合同前5个工作日内）到账（以银行收到为准）。在汇入履约保证金时在汇款单备注中注明：合同名称。</w:t>
      </w:r>
    </w:p>
    <w:p>
      <w:pPr>
        <w:shd w:val="clear"/>
        <w:spacing w:line="520" w:lineRule="exact"/>
        <w:rPr>
          <w:rFonts w:hAnsi="宋体"/>
          <w:color w:val="auto"/>
          <w:sz w:val="21"/>
          <w:szCs w:val="21"/>
          <w:highlight w:val="none"/>
        </w:rPr>
      </w:pPr>
      <w:r>
        <w:rPr>
          <w:rFonts w:hint="eastAsia" w:hAnsi="宋体"/>
          <w:color w:val="auto"/>
          <w:sz w:val="21"/>
          <w:szCs w:val="21"/>
          <w:highlight w:val="none"/>
        </w:rPr>
        <w:t>履约保证金汇入以下专用账户：</w:t>
      </w:r>
    </w:p>
    <w:p>
      <w:pPr>
        <w:shd w:val="clear"/>
        <w:spacing w:line="520" w:lineRule="exact"/>
        <w:rPr>
          <w:rFonts w:hAnsi="宋体"/>
          <w:color w:val="auto"/>
          <w:sz w:val="21"/>
          <w:szCs w:val="21"/>
          <w:highlight w:val="none"/>
        </w:rPr>
      </w:pPr>
      <w:r>
        <w:rPr>
          <w:rFonts w:hint="eastAsia" w:hAnsi="宋体"/>
          <w:color w:val="auto"/>
          <w:sz w:val="21"/>
          <w:szCs w:val="21"/>
          <w:highlight w:val="none"/>
        </w:rPr>
        <w:t>账户名称：东莞市大学创新城建设发展有限公司</w:t>
      </w:r>
    </w:p>
    <w:p>
      <w:pPr>
        <w:shd w:val="clear"/>
        <w:spacing w:line="520" w:lineRule="exact"/>
        <w:rPr>
          <w:rFonts w:hAnsi="宋体"/>
          <w:color w:val="auto"/>
          <w:sz w:val="21"/>
          <w:szCs w:val="21"/>
          <w:highlight w:val="none"/>
        </w:rPr>
      </w:pPr>
      <w:r>
        <w:rPr>
          <w:rFonts w:hint="eastAsia" w:hAnsi="宋体"/>
          <w:color w:val="auto"/>
          <w:sz w:val="21"/>
          <w:szCs w:val="21"/>
          <w:highlight w:val="none"/>
        </w:rPr>
        <w:t>账    号：1060 1651 6010 0036 35</w:t>
      </w:r>
    </w:p>
    <w:p>
      <w:pPr>
        <w:shd w:val="clear"/>
        <w:spacing w:line="600" w:lineRule="exact"/>
        <w:rPr>
          <w:rFonts w:hAnsi="宋体"/>
          <w:color w:val="auto"/>
          <w:sz w:val="21"/>
          <w:szCs w:val="21"/>
          <w:highlight w:val="none"/>
        </w:rPr>
      </w:pPr>
      <w:r>
        <w:rPr>
          <w:rFonts w:hint="eastAsia" w:hAnsi="宋体"/>
          <w:color w:val="auto"/>
          <w:sz w:val="21"/>
          <w:szCs w:val="21"/>
          <w:highlight w:val="none"/>
        </w:rPr>
        <w:t>开 户 行：广发银行松山湖支行</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（三）乙方如逾期未能缴纳履约保证金或提供银行履约保函，甲方有权废除乙方的成交资格，并保留没收磋商保证金的权利。</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（四）履约保证金的退还</w:t>
      </w:r>
    </w:p>
    <w:p>
      <w:pPr>
        <w:shd w:val="clear"/>
        <w:spacing w:line="600" w:lineRule="exact"/>
        <w:ind w:firstLine="420" w:firstLineChars="200"/>
        <w:rPr>
          <w:rFonts w:hAnsi="宋体"/>
          <w:b/>
          <w:bCs/>
          <w:color w:val="auto"/>
          <w:sz w:val="21"/>
          <w:szCs w:val="21"/>
          <w:highlight w:val="none"/>
        </w:rPr>
      </w:pPr>
      <w:r>
        <w:rPr>
          <w:rFonts w:hint="eastAsia" w:hAnsi="宋体"/>
          <w:color w:val="auto"/>
          <w:sz w:val="21"/>
          <w:szCs w:val="21"/>
          <w:highlight w:val="none"/>
        </w:rPr>
        <w:t>乙方向甲方缴纳的上述履约保证金，在工程竣工验收合格并按有关规定审核结算后无息退还。</w:t>
      </w:r>
      <w:bookmarkEnd w:id="180"/>
    </w:p>
    <w:p>
      <w:pPr>
        <w:shd w:val="clea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lang w:eastAsia="zh-CN"/>
        </w:rPr>
        <w:t>五</w:t>
      </w:r>
      <w:r>
        <w:rPr>
          <w:rFonts w:hint="eastAsia" w:hAnsi="宋体"/>
          <w:b/>
          <w:bCs/>
          <w:color w:val="auto"/>
          <w:sz w:val="21"/>
          <w:szCs w:val="21"/>
          <w:highlight w:val="none"/>
        </w:rPr>
        <w:t xml:space="preserve"> 转包和分包</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（一）本合同为总承包合同，不能以任何形式进行分包；</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（二） 乙方不得部分转让或全部转让其应履行的合同义务。若甲方发现乙方存在转包或分包情形的， 甲方有权单方解除合同，乙方已提交的成果无偿归甲方所有。如甲方有已支付的合同款，乙方需全额退还甲方，并向甲方支付合同总金额20%的违约金。违约金不足以弥补甲方损失的，乙方应予以补足。</w:t>
      </w:r>
    </w:p>
    <w:p>
      <w:pPr>
        <w:shd w:val="clear"/>
        <w:spacing w:line="600" w:lineRule="exact"/>
        <w:ind w:firstLine="422" w:firstLineChars="200"/>
        <w:rPr>
          <w:rFonts w:hAnsi="宋体"/>
          <w:color w:val="auto"/>
          <w:sz w:val="21"/>
          <w:szCs w:val="21"/>
          <w:highlight w:val="none"/>
        </w:rPr>
      </w:pPr>
      <w:r>
        <w:rPr>
          <w:rFonts w:hint="eastAsia" w:hAnsi="宋体"/>
          <w:b/>
          <w:bCs/>
          <w:color w:val="auto"/>
          <w:sz w:val="21"/>
          <w:szCs w:val="21"/>
          <w:highlight w:val="none"/>
          <w:lang w:eastAsia="zh-CN"/>
        </w:rPr>
        <w:t>六</w:t>
      </w:r>
      <w:r>
        <w:rPr>
          <w:rFonts w:hint="eastAsia" w:hAnsi="宋体"/>
          <w:b/>
          <w:bCs/>
          <w:color w:val="auto"/>
          <w:sz w:val="21"/>
          <w:szCs w:val="21"/>
          <w:highlight w:val="none"/>
        </w:rPr>
        <w:t xml:space="preserve"> 违约责任</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（一）合同签订后，一方擅自违约或毁约导致合同无法履行，违约或毁约方应向守约方承担相应的违约责任，包括向守约方支付合同总价款10%的违约金，并赔偿因其违约给对方造成的其他损失。</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（二）在合同期内，乙方不得转让本项目任何的权利和义务。否则， 由此造成的一切损失均由乙方承担，并赔偿甲方合同总金额10%的违约金， 甲方有权提前终止本合同。</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（三）乙方提供假冒、劣质或以次充好的产品，一经质检部门证实， 由此造成的一切损失均由乙方承担，并赔偿甲方合同总金额10%的违约金， 甲方有权提前终止本合同，同时乙方必须承担由于产品质量、安装不当等引发的事故 (财产损失、人身伤亡) 责任和全部费用。</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（四）由于乙方的原因导致上述电梯未能通过东莞市质量技术监督局 (或相关主管部门) 年审的，因此造成的责任和费用由乙方全部承担。</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 xml:space="preserve"> （五）对在履行本合同过程中知悉的对方的客户资料、非专利技术等商业秘密和本合同信息， 甲乙双方均负有保密义务。除为履行本合同需要外，未经对方书面同意不得以任何方式向任何第三方泄漏。任何一方未履行本保密条款约定之义务者，除赔偿对方因此而遭受的损失外，还应向对方支付相当于本合同总价款 20 %的违约金。</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六）由于乙方的原因，导致项目迟延的，每逾期一日乙方按合同金额的5‰向甲方支付违约金，违约金不足以弥补甲方损失的，乙方应予以补足；因乙方原因导致在规定时间内项目无法开展，或在规定时间未能完成，甲方有权解除合同；若甲方决定解除合同，乙方须退回甲方已支付的服务款并支付合同价款总额的20%作为违约金给甲方。若违约金不足以弥补甲方损失的，乙方应予以补足。</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（七）甲方发现乙方存在转包或分包的， 甲方有权单方面解除合同，乙方已提交的成果无偿归甲方所有。另外，如甲方有已支付款项的，乙方需全额退还 甲方已支付的货款，并向甲方支付合同总金额的20％的违约金。</w:t>
      </w:r>
    </w:p>
    <w:p>
      <w:pPr>
        <w:shd w:val="clea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lang w:eastAsia="zh-CN"/>
        </w:rPr>
        <w:t>七</w:t>
      </w:r>
      <w:r>
        <w:rPr>
          <w:rFonts w:hint="eastAsia" w:hAnsi="宋体"/>
          <w:b/>
          <w:bCs/>
          <w:color w:val="auto"/>
          <w:sz w:val="21"/>
          <w:szCs w:val="21"/>
          <w:highlight w:val="none"/>
        </w:rPr>
        <w:t xml:space="preserve"> 争议解决</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（一）本合同在履行期间，双方发生争议时，在不影响项目进度的前提下，双方可协商解决，或交由甲方母公司东莞实业投资控股集团有限公司业务办公会决议。</w:t>
      </w:r>
    </w:p>
    <w:p>
      <w:pPr>
        <w:pStyle w:val="47"/>
        <w:shd w:val="clear"/>
        <w:spacing w:line="600" w:lineRule="exact"/>
        <w:ind w:firstLine="420" w:firstLineChars="200"/>
        <w:jc w:val="both"/>
        <w:rPr>
          <w:color w:val="auto"/>
          <w:sz w:val="21"/>
          <w:szCs w:val="21"/>
          <w:highlight w:val="none"/>
        </w:rPr>
      </w:pPr>
      <w:r>
        <w:rPr>
          <w:rFonts w:hint="eastAsia"/>
          <w:color w:val="auto"/>
          <w:sz w:val="21"/>
          <w:szCs w:val="21"/>
          <w:highlight w:val="none"/>
        </w:rPr>
        <w:t>（二）</w:t>
      </w:r>
      <w:r>
        <w:rPr>
          <w:rFonts w:hint="eastAsia"/>
          <w:color w:val="auto"/>
          <w:sz w:val="21"/>
          <w:szCs w:val="21"/>
          <w:highlight w:val="none"/>
          <w:shd w:val="clear" w:color="auto" w:fill="FFFFFF"/>
        </w:rPr>
        <w:t>若双方不能通过协商达成协议，可依据《中华人民共和国民事诉讼法》和《中华人民共和国民法典》的有关规定，</w:t>
      </w:r>
      <w:r>
        <w:rPr>
          <w:rFonts w:hint="eastAsia"/>
          <w:color w:val="auto"/>
          <w:sz w:val="21"/>
          <w:szCs w:val="21"/>
          <w:highlight w:val="none"/>
        </w:rPr>
        <w:t>任何一方应向向不动产所在地即东莞市松山湖有管辖权的人民法院提出诉讼。</w:t>
      </w:r>
    </w:p>
    <w:p>
      <w:pPr>
        <w:shd w:val="clea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lang w:eastAsia="zh-CN"/>
        </w:rPr>
        <w:t>八</w:t>
      </w:r>
      <w:r>
        <w:rPr>
          <w:rFonts w:hint="eastAsia" w:hAnsi="宋体"/>
          <w:b/>
          <w:bCs/>
          <w:color w:val="auto"/>
          <w:sz w:val="21"/>
          <w:szCs w:val="21"/>
          <w:highlight w:val="none"/>
        </w:rPr>
        <w:t xml:space="preserve"> 合同解除和终止</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（一）有下列情形之一的，可以解除合同：</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1.甲、乙双方协商一致；</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2.因不可抗力致使合同无法履行。</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3.因一方违约致使合同无法履行。</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（二）甲、乙双方履行完本合同全部义务，工程竣工结算价款支付完毕，本合同即告终止。</w:t>
      </w:r>
    </w:p>
    <w:p>
      <w:pPr>
        <w:shd w:val="clea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lang w:eastAsia="zh-CN"/>
        </w:rPr>
        <w:t>九</w:t>
      </w:r>
      <w:r>
        <w:rPr>
          <w:rFonts w:hint="eastAsia" w:hAnsi="宋体"/>
          <w:b/>
          <w:bCs/>
          <w:color w:val="auto"/>
          <w:sz w:val="21"/>
          <w:szCs w:val="21"/>
          <w:highlight w:val="none"/>
          <w:lang w:val="en-US" w:eastAsia="zh-CN"/>
        </w:rPr>
        <w:t xml:space="preserve"> </w:t>
      </w:r>
      <w:r>
        <w:rPr>
          <w:rFonts w:hint="eastAsia" w:hAnsi="宋体"/>
          <w:b/>
          <w:bCs/>
          <w:color w:val="auto"/>
          <w:sz w:val="21"/>
          <w:szCs w:val="21"/>
          <w:highlight w:val="none"/>
        </w:rPr>
        <w:t>附则</w:t>
      </w:r>
    </w:p>
    <w:p>
      <w:pPr>
        <w:shd w:val="clear"/>
        <w:spacing w:line="600" w:lineRule="exact"/>
        <w:ind w:firstLine="420" w:firstLineChars="200"/>
        <w:rPr>
          <w:rFonts w:hAnsi="宋体"/>
          <w:color w:val="auto"/>
          <w:sz w:val="21"/>
          <w:szCs w:val="21"/>
          <w:highlight w:val="none"/>
        </w:rPr>
      </w:pPr>
      <w:r>
        <w:rPr>
          <w:rFonts w:hint="eastAsia" w:hAnsi="宋体"/>
          <w:color w:val="auto"/>
          <w:sz w:val="21"/>
          <w:szCs w:val="21"/>
          <w:highlight w:val="none"/>
        </w:rPr>
        <w:t>本合同正本一式柒份，甲方执肆份，乙方执贰份，采购代理执壹份均具同等法律效力，双方签字盖章后生效。</w:t>
      </w:r>
    </w:p>
    <w:p>
      <w:pPr>
        <w:shd w:val="clear" w:color="auto"/>
        <w:spacing w:line="600" w:lineRule="exact"/>
        <w:ind w:firstLine="422" w:firstLineChars="200"/>
        <w:textAlignment w:val="baseline"/>
        <w:rPr>
          <w:rFonts w:hAnsi="宋体"/>
          <w:b/>
          <w:bCs/>
          <w:color w:val="auto"/>
          <w:sz w:val="21"/>
          <w:szCs w:val="21"/>
          <w:highlight w:val="none"/>
          <w:shd w:val="clear" w:color="auto" w:fill="FFFFFF"/>
        </w:rPr>
      </w:pPr>
      <w:bookmarkStart w:id="181" w:name="_Toc15417"/>
      <w:r>
        <w:rPr>
          <w:rFonts w:hint="eastAsia" w:hAnsi="宋体"/>
          <w:b/>
          <w:bCs/>
          <w:color w:val="auto"/>
          <w:sz w:val="21"/>
          <w:szCs w:val="21"/>
          <w:highlight w:val="none"/>
          <w:shd w:val="clear" w:color="auto" w:fill="FFFFFF"/>
        </w:rPr>
        <w:t>十 其它约定事项</w:t>
      </w:r>
      <w:bookmarkEnd w:id="181"/>
    </w:p>
    <w:p>
      <w:pPr>
        <w:shd w:val="clear" w:color="auto"/>
        <w:spacing w:line="600" w:lineRule="exact"/>
        <w:ind w:firstLine="420" w:firstLineChars="200"/>
        <w:textAlignment w:val="baseline"/>
        <w:rPr>
          <w:color w:val="auto"/>
          <w:sz w:val="21"/>
          <w:szCs w:val="21"/>
          <w:highlight w:val="none"/>
          <w:shd w:val="clear" w:color="auto" w:fill="FFFFFF"/>
        </w:rPr>
      </w:pPr>
      <w:r>
        <w:rPr>
          <w:rFonts w:hint="eastAsia" w:hAnsi="宋体"/>
          <w:color w:val="auto"/>
          <w:sz w:val="21"/>
          <w:szCs w:val="21"/>
          <w:highlight w:val="none"/>
          <w:shd w:val="clear" w:color="auto" w:fill="FFFFFF"/>
        </w:rPr>
        <w:t>本合同未尽事宜，可由甲乙双方商定，并签署书面补充协议。如果有附件，附件也是本合同不可缺少之组成部分，具有同等法律效力。</w:t>
      </w:r>
    </w:p>
    <w:p>
      <w:pPr>
        <w:shd w:val="clear"/>
        <w:spacing w:line="600" w:lineRule="exact"/>
        <w:ind w:firstLine="420" w:firstLineChars="200"/>
        <w:rPr>
          <w:rFonts w:hAnsi="宋体"/>
          <w:color w:val="auto"/>
          <w:sz w:val="21"/>
          <w:szCs w:val="21"/>
          <w:highlight w:val="none"/>
          <w:shd w:val="clear" w:color="auto" w:fill="FFFFFF"/>
        </w:rPr>
      </w:pPr>
    </w:p>
    <w:p>
      <w:pPr>
        <w:shd w:val="clear"/>
        <w:spacing w:line="600" w:lineRule="exact"/>
        <w:ind w:firstLine="420" w:firstLineChars="200"/>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合同附件</w:t>
      </w:r>
    </w:p>
    <w:p>
      <w:pPr>
        <w:pStyle w:val="14"/>
        <w:shd w:val="clear"/>
        <w:rPr>
          <w:rFonts w:hAnsi="宋体"/>
          <w:color w:val="auto"/>
          <w:sz w:val="21"/>
          <w:szCs w:val="21"/>
          <w:highlight w:val="none"/>
          <w:shd w:val="clear" w:color="auto" w:fill="FFFFFF"/>
        </w:rPr>
      </w:pPr>
    </w:p>
    <w:p>
      <w:pPr>
        <w:pStyle w:val="14"/>
        <w:shd w:val="clear"/>
        <w:rPr>
          <w:rFonts w:hAnsi="宋体"/>
          <w:color w:val="auto"/>
          <w:sz w:val="21"/>
          <w:szCs w:val="21"/>
          <w:highlight w:val="none"/>
          <w:shd w:val="clear" w:color="auto" w:fill="FFFFFF"/>
        </w:rPr>
      </w:pPr>
    </w:p>
    <w:p>
      <w:pPr>
        <w:shd w:val="clear"/>
        <w:spacing w:line="600" w:lineRule="exact"/>
        <w:ind w:firstLine="640" w:firstLineChars="200"/>
        <w:rPr>
          <w:rFonts w:eastAsia="仿宋_GB2312"/>
          <w:color w:val="auto"/>
          <w:sz w:val="32"/>
          <w:szCs w:val="32"/>
          <w:highlight w:val="none"/>
          <w:shd w:val="clear" w:color="auto" w:fill="FFFFFF"/>
        </w:rPr>
      </w:pPr>
    </w:p>
    <w:p>
      <w:pPr>
        <w:shd w:val="clear"/>
        <w:spacing w:line="600" w:lineRule="exact"/>
        <w:ind w:firstLine="422" w:firstLineChars="200"/>
        <w:rPr>
          <w:rFonts w:hAnsi="宋体"/>
          <w:b/>
          <w:bCs/>
          <w:color w:val="auto"/>
          <w:sz w:val="21"/>
          <w:szCs w:val="21"/>
          <w:highlight w:val="none"/>
          <w:u w:val="single"/>
          <w:shd w:val="clear" w:color="auto" w:fill="FFFFFF"/>
        </w:rPr>
      </w:pPr>
      <w:r>
        <w:rPr>
          <w:rFonts w:hint="eastAsia" w:hAnsi="宋体"/>
          <w:b/>
          <w:bCs/>
          <w:color w:val="auto"/>
          <w:sz w:val="21"/>
          <w:szCs w:val="21"/>
          <w:highlight w:val="none"/>
          <w:shd w:val="clear" w:color="auto" w:fill="FFFFFF"/>
        </w:rPr>
        <w:t>甲方（盖章）：　                  乙方（盖章）：</w:t>
      </w:r>
    </w:p>
    <w:p>
      <w:pPr>
        <w:shd w:val="clea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法定代表人或其委托                法定代表人或其委托</w:t>
      </w:r>
    </w:p>
    <w:p>
      <w:pPr>
        <w:shd w:val="clea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代理人（签字）：                  代理人（签字）：</w:t>
      </w:r>
    </w:p>
    <w:p>
      <w:pPr>
        <w:shd w:val="clear"/>
        <w:snapToGrid w:val="0"/>
        <w:spacing w:line="600" w:lineRule="exact"/>
        <w:ind w:left="4767" w:leftChars="760" w:hanging="2943" w:hangingChars="1396"/>
        <w:rPr>
          <w:rFonts w:hAnsi="宋体"/>
          <w:bCs/>
          <w:color w:val="auto"/>
          <w:sz w:val="21"/>
          <w:szCs w:val="21"/>
          <w:highlight w:val="none"/>
        </w:rPr>
      </w:pPr>
      <w:r>
        <w:rPr>
          <w:rFonts w:hint="eastAsia" w:hAnsi="宋体"/>
          <w:b/>
          <w:bCs/>
          <w:color w:val="auto"/>
          <w:sz w:val="21"/>
          <w:szCs w:val="21"/>
          <w:highlight w:val="none"/>
        </w:rPr>
        <w:t xml:space="preserve">                     开户名称：</w:t>
      </w:r>
      <w:r>
        <w:rPr>
          <w:rFonts w:hint="eastAsia" w:hAnsi="宋体"/>
          <w:bCs/>
          <w:color w:val="auto"/>
          <w:sz w:val="21"/>
          <w:szCs w:val="21"/>
          <w:highlight w:val="none"/>
        </w:rPr>
        <w:t xml:space="preserve">      </w:t>
      </w:r>
    </w:p>
    <w:p>
      <w:pPr>
        <w:shd w:val="clear"/>
        <w:snapToGrid w:val="0"/>
        <w:spacing w:line="600" w:lineRule="exact"/>
        <w:ind w:left="4010" w:hanging="4010" w:hangingChars="1902"/>
        <w:rPr>
          <w:rFonts w:hAnsi="宋体"/>
          <w:bCs/>
          <w:color w:val="auto"/>
          <w:sz w:val="21"/>
          <w:szCs w:val="21"/>
          <w:highlight w:val="none"/>
        </w:rPr>
      </w:pPr>
      <w:r>
        <w:rPr>
          <w:rFonts w:hint="eastAsia" w:hAnsi="宋体"/>
          <w:b/>
          <w:bCs/>
          <w:color w:val="auto"/>
          <w:sz w:val="21"/>
          <w:szCs w:val="21"/>
          <w:highlight w:val="none"/>
        </w:rPr>
        <w:t xml:space="preserve">                                      开户银行：</w:t>
      </w:r>
    </w:p>
    <w:p>
      <w:pPr>
        <w:shd w:val="clear"/>
        <w:snapToGrid w:val="0"/>
        <w:spacing w:line="600" w:lineRule="exact"/>
        <w:rPr>
          <w:rFonts w:hAnsi="宋体"/>
          <w:b/>
          <w:bCs/>
          <w:color w:val="auto"/>
          <w:sz w:val="21"/>
          <w:szCs w:val="21"/>
          <w:highlight w:val="none"/>
        </w:rPr>
      </w:pPr>
      <w:r>
        <w:rPr>
          <w:rFonts w:hint="eastAsia" w:hAnsi="宋体"/>
          <w:b/>
          <w:bCs/>
          <w:color w:val="auto"/>
          <w:sz w:val="21"/>
          <w:szCs w:val="21"/>
          <w:highlight w:val="none"/>
        </w:rPr>
        <w:t xml:space="preserve">                                      帐号：        </w:t>
      </w:r>
    </w:p>
    <w:p>
      <w:pPr>
        <w:shd w:val="clear"/>
        <w:snapToGrid w:val="0"/>
        <w:spacing w:line="600" w:lineRule="exact"/>
        <w:rPr>
          <w:rFonts w:hAnsi="宋体"/>
          <w:b/>
          <w:bCs/>
          <w:color w:val="auto"/>
          <w:sz w:val="21"/>
          <w:szCs w:val="21"/>
          <w:highlight w:val="none"/>
        </w:rPr>
      </w:pPr>
      <w:r>
        <w:rPr>
          <w:rFonts w:hint="eastAsia" w:hAnsi="宋体"/>
          <w:b/>
          <w:bCs/>
          <w:color w:val="auto"/>
          <w:sz w:val="21"/>
          <w:szCs w:val="21"/>
          <w:highlight w:val="none"/>
        </w:rPr>
        <w:t xml:space="preserve">                                      </w:t>
      </w:r>
    </w:p>
    <w:p>
      <w:pPr>
        <w:shd w:val="clea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合同订立时间：        年     月     日</w:t>
      </w:r>
    </w:p>
    <w:p>
      <w:pPr>
        <w:shd w:val="clea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合同签订地点：</w:t>
      </w:r>
    </w:p>
    <w:p>
      <w:pPr>
        <w:pStyle w:val="2"/>
        <w:shd w:val="clear"/>
        <w:rPr>
          <w:color w:val="auto"/>
          <w:sz w:val="21"/>
          <w:szCs w:val="21"/>
          <w:highlight w:val="none"/>
          <w:lang w:val="en-US"/>
        </w:rPr>
      </w:pPr>
    </w:p>
    <w:p>
      <w:pPr>
        <w:pStyle w:val="2"/>
        <w:shd w:val="clear"/>
        <w:rPr>
          <w:color w:val="auto"/>
          <w:sz w:val="21"/>
          <w:szCs w:val="21"/>
          <w:highlight w:val="none"/>
          <w:lang w:val="en-US"/>
        </w:rPr>
      </w:pPr>
    </w:p>
    <w:p>
      <w:pPr>
        <w:pStyle w:val="2"/>
        <w:shd w:val="clear"/>
        <w:rPr>
          <w:color w:val="auto"/>
          <w:sz w:val="21"/>
          <w:szCs w:val="21"/>
          <w:highlight w:val="none"/>
          <w:lang w:val="en-US"/>
        </w:rPr>
      </w:pPr>
    </w:p>
    <w:p>
      <w:pPr>
        <w:shd w:val="clear"/>
        <w:rPr>
          <w:bCs/>
          <w:color w:val="auto"/>
          <w:sz w:val="21"/>
          <w:szCs w:val="21"/>
          <w:highlight w:val="none"/>
        </w:rPr>
      </w:pPr>
      <w:r>
        <w:rPr>
          <w:rFonts w:hint="eastAsia"/>
          <w:bCs/>
          <w:color w:val="auto"/>
          <w:sz w:val="21"/>
          <w:szCs w:val="21"/>
          <w:highlight w:val="none"/>
        </w:rPr>
        <w:br w:type="page"/>
      </w:r>
    </w:p>
    <w:p>
      <w:pPr>
        <w:pStyle w:val="2"/>
        <w:shd w:val="clear"/>
        <w:jc w:val="left"/>
        <w:rPr>
          <w:color w:val="auto"/>
          <w:highlight w:val="none"/>
          <w:lang w:val="en-US"/>
        </w:rPr>
      </w:pPr>
      <w:r>
        <w:rPr>
          <w:rFonts w:hint="eastAsia"/>
          <w:color w:val="auto"/>
          <w:sz w:val="21"/>
          <w:szCs w:val="21"/>
          <w:highlight w:val="none"/>
          <w:lang w:val="en-US"/>
        </w:rPr>
        <w:t>附件一：</w:t>
      </w:r>
    </w:p>
    <w:p>
      <w:pPr>
        <w:shd w:val="clear"/>
        <w:jc w:val="center"/>
        <w:rPr>
          <w:rFonts w:ascii="Arial Unicode MS" w:hAnsi="黑体" w:eastAsia="Arial Unicode MS"/>
          <w:b/>
          <w:color w:val="auto"/>
          <w:sz w:val="44"/>
          <w:szCs w:val="44"/>
          <w:highlight w:val="none"/>
        </w:rPr>
      </w:pPr>
      <w:r>
        <w:rPr>
          <w:rFonts w:hint="eastAsia" w:ascii="Arial Unicode MS" w:hAnsi="黑体" w:eastAsia="Arial Unicode MS"/>
          <w:b/>
          <w:color w:val="auto"/>
          <w:sz w:val="44"/>
          <w:szCs w:val="44"/>
          <w:highlight w:val="none"/>
        </w:rPr>
        <w:t>阳光合作协议</w:t>
      </w:r>
    </w:p>
    <w:p>
      <w:pPr>
        <w:shd w:val="clear"/>
        <w:spacing w:before="156" w:beforeLines="50" w:after="156"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p>
    <w:p>
      <w:pPr>
        <w:shd w:val="clear"/>
        <w:spacing w:before="156" w:beforeLines="50" w:after="156"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shd w:val="clear"/>
        <w:spacing w:line="400" w:lineRule="exact"/>
        <w:rPr>
          <w:color w:val="auto"/>
          <w:sz w:val="21"/>
          <w:szCs w:val="21"/>
          <w:highlight w:val="none"/>
        </w:rPr>
      </w:pPr>
      <w:r>
        <w:rPr>
          <w:rFonts w:hint="eastAsia" w:hAnsi="宋体"/>
          <w:color w:val="auto"/>
          <w:sz w:val="21"/>
          <w:szCs w:val="21"/>
          <w:highlight w:val="none"/>
        </w:rPr>
        <w:t xml:space="preserve">   甲乙双方于</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日签署了《          合同》（以下简称原合同），为加强双方阳光合作，保证职员职业安全，甲乙双方经协商签订本协议并作为双方共同遵守的阳光合作行为准则。</w:t>
      </w:r>
    </w:p>
    <w:p>
      <w:pPr>
        <w:shd w:val="clear"/>
        <w:adjustRightInd/>
        <w:spacing w:before="156" w:beforeLines="50" w:after="156" w:afterLines="5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一、甲方责任</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shd w:val="clear"/>
        <w:adjustRightInd/>
        <w:spacing w:before="156" w:beforeLines="50" w:after="156" w:afterLines="5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二、乙方责任</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举报受理部门：东莞实业投资控股集团有限公司法律合规部</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东实集团举报邮箱：dgsyxf@163.com</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东实集团举报电话：0769-28820703（周一至周五9:00-12:00和14:00-18:00）</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邮寄地址：东莞市东城区八一路1号机关二号大院9号楼，东莞实业投资控股集团有限公司法律合规部收，邮编523000。</w:t>
      </w:r>
    </w:p>
    <w:p>
      <w:pPr>
        <w:shd w:val="clear"/>
        <w:adjustRightInd/>
        <w:spacing w:before="156" w:beforeLines="50" w:after="156" w:afterLines="5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三、其他</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本</w:t>
      </w:r>
      <w:r>
        <w:rPr>
          <w:rFonts w:hint="eastAsia" w:hAnsi="宋体"/>
          <w:color w:val="auto"/>
          <w:sz w:val="21"/>
          <w:szCs w:val="21"/>
          <w:highlight w:val="none"/>
        </w:rPr>
        <w:t>协议</w:t>
      </w:r>
      <w:r>
        <w:rPr>
          <w:rFonts w:hAnsi="宋体"/>
          <w:color w:val="auto"/>
          <w:sz w:val="21"/>
          <w:szCs w:val="21"/>
          <w:highlight w:val="none"/>
        </w:rPr>
        <w:t>一式</w:t>
      </w:r>
      <w:r>
        <w:rPr>
          <w:rFonts w:hint="eastAsia" w:hAnsi="宋体"/>
          <w:color w:val="auto"/>
          <w:sz w:val="21"/>
          <w:szCs w:val="21"/>
          <w:highlight w:val="none"/>
        </w:rPr>
        <w:t>四</w:t>
      </w:r>
      <w:r>
        <w:rPr>
          <w:rFonts w:hAnsi="宋体"/>
          <w:color w:val="auto"/>
          <w:sz w:val="21"/>
          <w:szCs w:val="21"/>
          <w:highlight w:val="none"/>
        </w:rPr>
        <w:t>份，甲方执</w:t>
      </w:r>
      <w:r>
        <w:rPr>
          <w:rFonts w:hint="eastAsia" w:hAnsi="宋体"/>
          <w:color w:val="auto"/>
          <w:sz w:val="21"/>
          <w:szCs w:val="21"/>
          <w:highlight w:val="none"/>
        </w:rPr>
        <w:t>贰</w:t>
      </w:r>
      <w:r>
        <w:rPr>
          <w:rFonts w:hAnsi="宋体"/>
          <w:color w:val="auto"/>
          <w:sz w:val="21"/>
          <w:szCs w:val="21"/>
          <w:highlight w:val="none"/>
        </w:rPr>
        <w:t>份，乙方执</w:t>
      </w:r>
      <w:r>
        <w:rPr>
          <w:rFonts w:hint="eastAsia" w:hAnsi="宋体"/>
          <w:color w:val="auto"/>
          <w:sz w:val="21"/>
          <w:szCs w:val="21"/>
          <w:highlight w:val="none"/>
        </w:rPr>
        <w:t>贰</w:t>
      </w:r>
      <w:r>
        <w:rPr>
          <w:rFonts w:hAnsi="宋体"/>
          <w:color w:val="auto"/>
          <w:sz w:val="21"/>
          <w:szCs w:val="21"/>
          <w:highlight w:val="none"/>
        </w:rPr>
        <w:t>份</w:t>
      </w:r>
      <w:r>
        <w:rPr>
          <w:rFonts w:hint="eastAsia" w:hAnsi="宋体"/>
          <w:color w:val="auto"/>
          <w:sz w:val="21"/>
          <w:szCs w:val="21"/>
          <w:highlight w:val="none"/>
        </w:rPr>
        <w:t>,具有同等法律效力。</w:t>
      </w:r>
    </w:p>
    <w:p>
      <w:pPr>
        <w:shd w:val="clea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pPr>
        <w:shd w:val="clear"/>
        <w:adjustRightInd/>
        <w:spacing w:before="156" w:beforeLines="50" w:after="156" w:afterLines="50" w:line="360" w:lineRule="auto"/>
        <w:ind w:firstLine="420" w:firstLineChars="200"/>
        <w:contextualSpacing/>
        <w:rPr>
          <w:rFonts w:hAnsi="宋体"/>
          <w:color w:val="auto"/>
          <w:sz w:val="21"/>
          <w:szCs w:val="21"/>
          <w:highlight w:val="none"/>
        </w:rPr>
      </w:pPr>
    </w:p>
    <w:p>
      <w:pPr>
        <w:shd w:val="clear"/>
        <w:adjustRightInd/>
        <w:spacing w:before="156" w:beforeLines="50" w:after="156"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甲方（盖章）：                      乙方（盖章）：</w:t>
      </w:r>
      <w:r>
        <w:rPr>
          <w:color w:val="auto"/>
          <w:sz w:val="21"/>
          <w:szCs w:val="21"/>
          <w:highlight w:val="none"/>
        </w:rPr>
        <w:t xml:space="preserve"> </w:t>
      </w:r>
    </w:p>
    <w:p>
      <w:pPr>
        <w:shd w:val="clear"/>
        <w:adjustRightInd/>
        <w:spacing w:before="156" w:beforeLines="50" w:after="156" w:afterLines="50" w:line="360" w:lineRule="auto"/>
        <w:ind w:firstLine="420" w:firstLineChars="200"/>
        <w:contextualSpacing/>
        <w:rPr>
          <w:rFonts w:hAnsi="宋体"/>
          <w:color w:val="auto"/>
          <w:sz w:val="21"/>
          <w:szCs w:val="21"/>
          <w:highlight w:val="none"/>
        </w:rPr>
      </w:pPr>
    </w:p>
    <w:p>
      <w:pPr>
        <w:shd w:val="clear"/>
        <w:adjustRightInd/>
        <w:spacing w:before="156" w:beforeLines="50" w:after="156"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法定代表人（授权代表）：</w:t>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 xml:space="preserve">   </w:t>
      </w:r>
      <w:r>
        <w:rPr>
          <w:rFonts w:hint="eastAsia" w:hAnsi="宋体"/>
          <w:color w:val="auto"/>
          <w:sz w:val="21"/>
          <w:szCs w:val="21"/>
          <w:highlight w:val="none"/>
        </w:rPr>
        <w:t>法定代表人（授权代表）：</w:t>
      </w:r>
    </w:p>
    <w:p>
      <w:pPr>
        <w:shd w:val="clear"/>
        <w:adjustRightInd/>
        <w:spacing w:before="156" w:beforeLines="50" w:after="156" w:afterLines="50" w:line="360" w:lineRule="auto"/>
        <w:ind w:firstLine="420" w:firstLineChars="200"/>
        <w:contextualSpacing/>
        <w:rPr>
          <w:rFonts w:hAnsi="宋体"/>
          <w:color w:val="auto"/>
          <w:sz w:val="21"/>
          <w:szCs w:val="21"/>
          <w:highlight w:val="none"/>
        </w:rPr>
      </w:pPr>
    </w:p>
    <w:p>
      <w:pPr>
        <w:shd w:val="clear"/>
        <w:adjustRightInd/>
        <w:spacing w:before="156" w:beforeLines="50" w:after="156"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签约日期：   年   月   日</w:t>
      </w:r>
      <w:bookmarkStart w:id="182" w:name="现场签证通知单"/>
      <w:bookmarkEnd w:id="182"/>
      <w:bookmarkStart w:id="183" w:name="设计变更通知单"/>
      <w:bookmarkEnd w:id="183"/>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hAnsi="宋体"/>
          <w:color w:val="auto"/>
          <w:sz w:val="21"/>
          <w:szCs w:val="21"/>
          <w:highlight w:val="none"/>
        </w:rPr>
        <w:t>签约日期：   年   月   日</w:t>
      </w:r>
    </w:p>
    <w:p>
      <w:pPr>
        <w:pStyle w:val="2"/>
        <w:shd w:val="clear"/>
        <w:rPr>
          <w:color w:val="auto"/>
          <w:highlight w:val="none"/>
          <w:lang w:val="en-US"/>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keepNext/>
        <w:keepLines/>
        <w:pageBreakBefore/>
        <w:shd w:val="clear"/>
        <w:spacing w:line="360" w:lineRule="auto"/>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第六篇磋商响应文件格式</w:t>
      </w:r>
      <w:bookmarkEnd w:id="177"/>
      <w:bookmarkEnd w:id="178"/>
      <w:bookmarkEnd w:id="179"/>
    </w:p>
    <w:p>
      <w:pPr>
        <w:shd w:val="clear"/>
        <w:ind w:firstLine="1800" w:firstLineChars="750"/>
        <w:rPr>
          <w:rFonts w:hAnsi="宋体"/>
          <w:color w:val="auto"/>
          <w:highlight w:val="none"/>
        </w:rPr>
      </w:pPr>
    </w:p>
    <w:p>
      <w:pPr>
        <w:pStyle w:val="5"/>
        <w:jc w:val="center"/>
        <w:rPr>
          <w:rFonts w:hAnsi="宋体"/>
          <w:color w:val="auto"/>
          <w:highlight w:val="none"/>
        </w:rPr>
      </w:pPr>
      <w:bookmarkStart w:id="184" w:name="_Toc9566"/>
      <w:bookmarkStart w:id="185" w:name="_Toc19311"/>
      <w:r>
        <w:rPr>
          <w:rFonts w:hint="eastAsia"/>
          <w:color w:val="auto"/>
          <w:sz w:val="28"/>
          <w:szCs w:val="28"/>
          <w:highlight w:val="none"/>
        </w:rPr>
        <w:t>第一部分 价格文件（单独编制装订成册）</w:t>
      </w:r>
      <w:bookmarkEnd w:id="184"/>
      <w:bookmarkEnd w:id="185"/>
    </w:p>
    <w:p>
      <w:pPr>
        <w:pStyle w:val="5"/>
        <w:numPr>
          <w:ilvl w:val="0"/>
          <w:numId w:val="17"/>
        </w:numPr>
        <w:jc w:val="center"/>
        <w:rPr>
          <w:rFonts w:hAnsi="宋体"/>
          <w:color w:val="auto"/>
          <w:sz w:val="21"/>
          <w:szCs w:val="21"/>
          <w:highlight w:val="none"/>
        </w:rPr>
      </w:pPr>
      <w:bookmarkStart w:id="186" w:name="_Toc12373"/>
      <w:bookmarkStart w:id="187" w:name="_Toc7897888"/>
      <w:bookmarkStart w:id="188" w:name="_Toc20730"/>
      <w:bookmarkStart w:id="189" w:name="_Toc21786"/>
      <w:bookmarkStart w:id="190" w:name="_Toc2544"/>
      <w:bookmarkStart w:id="191" w:name="_Toc12383"/>
      <w:bookmarkStart w:id="192" w:name="_Toc467236769"/>
      <w:bookmarkStart w:id="193" w:name="_Toc476976201"/>
      <w:bookmarkStart w:id="194" w:name="_Toc18848"/>
      <w:bookmarkStart w:id="195" w:name="_Toc454701406"/>
      <w:bookmarkStart w:id="196" w:name="_Toc29841"/>
      <w:bookmarkStart w:id="197" w:name="_Toc32405"/>
      <w:bookmarkStart w:id="198" w:name="_Toc15960"/>
      <w:bookmarkStart w:id="199" w:name="_Toc9348"/>
      <w:bookmarkStart w:id="200" w:name="_Toc458262639"/>
      <w:bookmarkStart w:id="201" w:name="_Toc30637"/>
      <w:bookmarkStart w:id="202" w:name="_Toc32273"/>
      <w:bookmarkStart w:id="203" w:name="_Toc396137244"/>
      <w:bookmarkStart w:id="204" w:name="_Toc32736"/>
      <w:bookmarkStart w:id="205" w:name="_Toc19671"/>
      <w:bookmarkStart w:id="206" w:name="_Toc28095"/>
      <w:bookmarkStart w:id="207" w:name="_Toc486671573"/>
      <w:r>
        <w:rPr>
          <w:rFonts w:hint="eastAsia"/>
          <w:color w:val="auto"/>
          <w:sz w:val="28"/>
          <w:szCs w:val="28"/>
          <w:highlight w:val="none"/>
        </w:rPr>
        <w:t>报价一览表</w:t>
      </w:r>
      <w:bookmarkEnd w:id="186"/>
      <w:bookmarkEnd w:id="187"/>
      <w:bookmarkEnd w:id="188"/>
      <w:bookmarkEnd w:id="189"/>
    </w:p>
    <w:p>
      <w:pPr>
        <w:shd w:val="clear"/>
        <w:rPr>
          <w:rFonts w:hAnsi="宋体"/>
          <w:color w:val="auto"/>
          <w:sz w:val="21"/>
          <w:szCs w:val="21"/>
          <w:highlight w:val="none"/>
        </w:rPr>
      </w:pPr>
      <w:r>
        <w:rPr>
          <w:rFonts w:hint="eastAsia" w:hAnsi="宋体"/>
          <w:color w:val="auto"/>
          <w:sz w:val="21"/>
          <w:szCs w:val="21"/>
          <w:highlight w:val="none"/>
        </w:rPr>
        <w:t>供应商名称：</w:t>
      </w:r>
    </w:p>
    <w:p>
      <w:pPr>
        <w:shd w:val="clear"/>
        <w:rPr>
          <w:color w:val="auto"/>
          <w:sz w:val="21"/>
          <w:szCs w:val="21"/>
          <w:highlight w:val="none"/>
        </w:rPr>
      </w:pPr>
      <w:r>
        <w:rPr>
          <w:rFonts w:hint="eastAsia" w:hAnsi="宋体"/>
          <w:color w:val="auto"/>
          <w:sz w:val="21"/>
          <w:szCs w:val="21"/>
          <w:highlight w:val="none"/>
        </w:rPr>
        <w:t>采购项目编号：</w:t>
      </w:r>
    </w:p>
    <w:tbl>
      <w:tblPr>
        <w:tblStyle w:val="51"/>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55"/>
        <w:gridCol w:w="2824"/>
        <w:gridCol w:w="3654"/>
        <w:gridCol w:w="2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86" w:type="pct"/>
            <w:vAlign w:val="center"/>
          </w:tcPr>
          <w:p>
            <w:pPr>
              <w:shd w:val="clear"/>
              <w:overflowPunct w:val="0"/>
              <w:spacing w:line="240" w:lineRule="auto"/>
              <w:jc w:val="center"/>
              <w:rPr>
                <w:rFonts w:hAnsi="宋体"/>
                <w:b/>
                <w:color w:val="auto"/>
                <w:sz w:val="21"/>
                <w:szCs w:val="21"/>
                <w:highlight w:val="none"/>
              </w:rPr>
            </w:pPr>
            <w:r>
              <w:rPr>
                <w:rFonts w:hint="eastAsia" w:hAnsi="宋体"/>
                <w:b/>
                <w:color w:val="auto"/>
                <w:sz w:val="21"/>
                <w:szCs w:val="21"/>
                <w:highlight w:val="none"/>
              </w:rPr>
              <w:t>序号</w:t>
            </w:r>
          </w:p>
        </w:tc>
        <w:tc>
          <w:tcPr>
            <w:tcW w:w="1433" w:type="pct"/>
            <w:vAlign w:val="center"/>
          </w:tcPr>
          <w:p>
            <w:pPr>
              <w:shd w:val="clear"/>
              <w:overflowPunct w:val="0"/>
              <w:spacing w:line="240" w:lineRule="auto"/>
              <w:jc w:val="center"/>
              <w:rPr>
                <w:rFonts w:hAnsi="宋体"/>
                <w:b/>
                <w:color w:val="auto"/>
                <w:sz w:val="21"/>
                <w:szCs w:val="21"/>
                <w:highlight w:val="none"/>
              </w:rPr>
            </w:pPr>
            <w:r>
              <w:rPr>
                <w:rFonts w:hint="eastAsia" w:hAnsi="宋体"/>
                <w:b/>
                <w:color w:val="auto"/>
                <w:sz w:val="21"/>
                <w:szCs w:val="21"/>
                <w:highlight w:val="none"/>
                <w:lang w:eastAsia="zh-CN"/>
              </w:rPr>
              <w:t>项目</w:t>
            </w:r>
            <w:r>
              <w:rPr>
                <w:rFonts w:hint="eastAsia" w:hAnsi="宋体"/>
                <w:b/>
                <w:color w:val="auto"/>
                <w:sz w:val="21"/>
                <w:szCs w:val="21"/>
                <w:highlight w:val="none"/>
              </w:rPr>
              <w:t>名称</w:t>
            </w:r>
          </w:p>
        </w:tc>
        <w:tc>
          <w:tcPr>
            <w:tcW w:w="1854" w:type="pct"/>
            <w:vAlign w:val="center"/>
          </w:tcPr>
          <w:p>
            <w:pPr>
              <w:shd w:val="clear"/>
              <w:overflowPunct w:val="0"/>
              <w:spacing w:line="240" w:lineRule="auto"/>
              <w:jc w:val="center"/>
              <w:rPr>
                <w:rFonts w:hAnsi="宋体"/>
                <w:b/>
                <w:color w:val="auto"/>
                <w:sz w:val="21"/>
                <w:szCs w:val="21"/>
                <w:highlight w:val="none"/>
              </w:rPr>
            </w:pPr>
            <w:r>
              <w:rPr>
                <w:rFonts w:hint="eastAsia" w:hAnsi="宋体"/>
                <w:b/>
                <w:color w:val="auto"/>
                <w:sz w:val="21"/>
                <w:szCs w:val="21"/>
                <w:highlight w:val="none"/>
              </w:rPr>
              <w:t>报价</w:t>
            </w:r>
          </w:p>
        </w:tc>
        <w:tc>
          <w:tcPr>
            <w:tcW w:w="1125" w:type="pct"/>
            <w:vAlign w:val="center"/>
          </w:tcPr>
          <w:p>
            <w:pPr>
              <w:shd w:val="clear"/>
              <w:overflowPunct w:val="0"/>
              <w:jc w:val="center"/>
              <w:rPr>
                <w:rFonts w:hAnsi="宋体"/>
                <w:b/>
                <w:color w:val="auto"/>
                <w:sz w:val="21"/>
                <w:szCs w:val="21"/>
                <w:highlight w:val="none"/>
              </w:rPr>
            </w:pPr>
            <w:r>
              <w:rPr>
                <w:rFonts w:hint="eastAsia" w:hAnsi="宋体"/>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2" w:hRule="atLeast"/>
          <w:jc w:val="center"/>
        </w:trPr>
        <w:tc>
          <w:tcPr>
            <w:tcW w:w="586" w:type="pct"/>
            <w:vAlign w:val="center"/>
          </w:tcPr>
          <w:p>
            <w:pPr>
              <w:shd w:val="clear"/>
              <w:overflowPunct w:val="0"/>
              <w:spacing w:line="460" w:lineRule="exact"/>
              <w:jc w:val="center"/>
              <w:rPr>
                <w:rFonts w:hAnsi="宋体"/>
                <w:color w:val="auto"/>
                <w:sz w:val="21"/>
                <w:szCs w:val="21"/>
                <w:highlight w:val="none"/>
              </w:rPr>
            </w:pPr>
            <w:r>
              <w:rPr>
                <w:rFonts w:hint="eastAsia" w:hAnsi="宋体"/>
                <w:color w:val="auto"/>
                <w:sz w:val="21"/>
                <w:szCs w:val="21"/>
                <w:highlight w:val="none"/>
              </w:rPr>
              <w:t>1</w:t>
            </w:r>
          </w:p>
        </w:tc>
        <w:tc>
          <w:tcPr>
            <w:tcW w:w="1433" w:type="pct"/>
            <w:vAlign w:val="center"/>
          </w:tcPr>
          <w:p>
            <w:pPr>
              <w:shd w:val="clea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暂定总报价</w:t>
            </w:r>
          </w:p>
        </w:tc>
        <w:tc>
          <w:tcPr>
            <w:tcW w:w="1854" w:type="pct"/>
            <w:vAlign w:val="center"/>
          </w:tcPr>
          <w:p>
            <w:pPr>
              <w:shd w:val="clear"/>
              <w:overflowPunct w:val="0"/>
              <w:spacing w:line="460" w:lineRule="exact"/>
              <w:ind w:firstLine="210" w:firstLineChars="100"/>
              <w:jc w:val="both"/>
              <w:rPr>
                <w:color w:val="auto"/>
                <w:sz w:val="21"/>
                <w:szCs w:val="21"/>
                <w:highlight w:val="none"/>
              </w:rPr>
            </w:pPr>
            <w:r>
              <w:rPr>
                <w:rFonts w:hint="eastAsia"/>
                <w:color w:val="auto"/>
                <w:sz w:val="21"/>
                <w:szCs w:val="21"/>
                <w:highlight w:val="none"/>
              </w:rPr>
              <w:t>含税报价：</w:t>
            </w:r>
          </w:p>
          <w:p>
            <w:pPr>
              <w:pStyle w:val="62"/>
              <w:shd w:val="clear"/>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2"/>
              <w:shd w:val="clear"/>
              <w:ind w:firstLine="630" w:firstLineChars="300"/>
              <w:rPr>
                <w:color w:val="auto"/>
                <w:sz w:val="21"/>
                <w:szCs w:val="21"/>
                <w:highlight w:val="none"/>
                <w:lang w:val="en-US"/>
              </w:rPr>
            </w:pPr>
            <w:r>
              <w:rPr>
                <w:rFonts w:hint="eastAsia"/>
                <w:color w:val="auto"/>
                <w:sz w:val="21"/>
                <w:szCs w:val="21"/>
                <w:highlight w:val="none"/>
                <w:lang w:val="en-US"/>
              </w:rPr>
              <w:t>大写：</w:t>
            </w:r>
          </w:p>
          <w:p>
            <w:pPr>
              <w:shd w:val="clear"/>
              <w:overflowPunct w:val="0"/>
              <w:spacing w:line="460" w:lineRule="exact"/>
              <w:jc w:val="both"/>
              <w:rPr>
                <w:color w:val="auto"/>
                <w:sz w:val="21"/>
                <w:szCs w:val="21"/>
                <w:highlight w:val="none"/>
              </w:rPr>
            </w:pPr>
            <w:r>
              <w:rPr>
                <w:rFonts w:hint="eastAsia"/>
                <w:color w:val="auto"/>
                <w:sz w:val="21"/>
                <w:szCs w:val="21"/>
                <w:highlight w:val="none"/>
              </w:rPr>
              <w:t>不含税报价：</w:t>
            </w:r>
          </w:p>
          <w:p>
            <w:pPr>
              <w:pStyle w:val="62"/>
              <w:shd w:val="clear"/>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2"/>
              <w:shd w:val="clear"/>
              <w:ind w:firstLine="630" w:firstLineChars="300"/>
              <w:rPr>
                <w:color w:val="auto"/>
                <w:sz w:val="21"/>
                <w:szCs w:val="21"/>
                <w:highlight w:val="none"/>
              </w:rPr>
            </w:pPr>
            <w:r>
              <w:rPr>
                <w:rFonts w:hint="eastAsia"/>
                <w:color w:val="auto"/>
                <w:sz w:val="21"/>
                <w:szCs w:val="21"/>
                <w:highlight w:val="none"/>
                <w:lang w:val="en-US"/>
              </w:rPr>
              <w:t>大写：</w:t>
            </w:r>
          </w:p>
        </w:tc>
        <w:tc>
          <w:tcPr>
            <w:tcW w:w="1125" w:type="pct"/>
            <w:vAlign w:val="center"/>
          </w:tcPr>
          <w:p>
            <w:pPr>
              <w:shd w:val="clea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2" w:hRule="atLeast"/>
          <w:jc w:val="center"/>
        </w:trPr>
        <w:tc>
          <w:tcPr>
            <w:tcW w:w="586" w:type="pct"/>
            <w:vAlign w:val="center"/>
          </w:tcPr>
          <w:p>
            <w:pPr>
              <w:shd w:val="clear"/>
              <w:overflowPunct w:val="0"/>
              <w:spacing w:line="460" w:lineRule="exac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2</w:t>
            </w:r>
          </w:p>
        </w:tc>
        <w:tc>
          <w:tcPr>
            <w:tcW w:w="1433" w:type="pct"/>
            <w:vAlign w:val="center"/>
          </w:tcPr>
          <w:p>
            <w:pPr>
              <w:overflowPunct w:val="0"/>
              <w:spacing w:line="460" w:lineRule="exact"/>
              <w:jc w:val="center"/>
              <w:rPr>
                <w:rFonts w:ascii="宋体" w:hAnsi="宋体" w:eastAsia="宋体" w:cs="宋体"/>
                <w:color w:val="auto"/>
                <w:sz w:val="21"/>
                <w:szCs w:val="21"/>
                <w:highlight w:val="none"/>
                <w:lang w:val="en-US" w:eastAsia="zh-CN" w:bidi="ar-SA"/>
              </w:rPr>
            </w:pPr>
            <w:r>
              <w:rPr>
                <w:rFonts w:hint="eastAsia" w:hAnsi="宋体"/>
                <w:color w:val="auto"/>
                <w:sz w:val="21"/>
                <w:szCs w:val="21"/>
                <w:highlight w:val="none"/>
              </w:rPr>
              <w:t>补充物料单价统一下浮率</w:t>
            </w:r>
          </w:p>
        </w:tc>
        <w:tc>
          <w:tcPr>
            <w:tcW w:w="1854" w:type="pct"/>
            <w:vAlign w:val="center"/>
          </w:tcPr>
          <w:p>
            <w:pPr>
              <w:pStyle w:val="62"/>
              <w:ind w:firstLine="630" w:firstLineChars="300"/>
              <w:rPr>
                <w:color w:val="auto"/>
                <w:sz w:val="21"/>
                <w:szCs w:val="21"/>
                <w:highlight w:val="none"/>
                <w:u w:val="single"/>
                <w:lang w:val="en-US"/>
              </w:rPr>
            </w:pPr>
            <w:r>
              <w:rPr>
                <w:rFonts w:hint="eastAsia"/>
                <w:color w:val="auto"/>
                <w:sz w:val="21"/>
                <w:szCs w:val="21"/>
                <w:highlight w:val="none"/>
                <w:lang w:val="en-US"/>
              </w:rPr>
              <w:t>小写：下浮</w:t>
            </w:r>
            <w:r>
              <w:rPr>
                <w:rFonts w:hint="eastAsia"/>
                <w:color w:val="auto"/>
                <w:sz w:val="21"/>
                <w:szCs w:val="21"/>
                <w:highlight w:val="none"/>
                <w:u w:val="single"/>
                <w:lang w:val="en-US"/>
              </w:rPr>
              <w:t xml:space="preserve">         %</w:t>
            </w:r>
          </w:p>
          <w:p>
            <w:pPr>
              <w:pStyle w:val="62"/>
              <w:ind w:firstLine="630" w:firstLineChars="300"/>
              <w:rPr>
                <w:rFonts w:hint="eastAsia" w:ascii="宋体" w:hAnsi="Calibri" w:eastAsia="宋体" w:cs="宋体"/>
                <w:color w:val="auto"/>
                <w:sz w:val="21"/>
                <w:szCs w:val="21"/>
                <w:highlight w:val="none"/>
                <w:u w:val="single"/>
                <w:lang w:val="en-US" w:eastAsia="zh-CN" w:bidi="ar-SA"/>
              </w:rPr>
            </w:pPr>
            <w:r>
              <w:rPr>
                <w:rFonts w:hint="eastAsia"/>
                <w:color w:val="auto"/>
                <w:sz w:val="21"/>
                <w:szCs w:val="21"/>
                <w:highlight w:val="none"/>
                <w:u w:val="single"/>
                <w:lang w:val="en-US"/>
              </w:rPr>
              <w:t xml:space="preserve">大写：下浮百分之    </w:t>
            </w:r>
          </w:p>
        </w:tc>
        <w:tc>
          <w:tcPr>
            <w:tcW w:w="1125" w:type="pct"/>
            <w:vAlign w:val="center"/>
          </w:tcPr>
          <w:p>
            <w:pPr>
              <w:shd w:val="clear"/>
              <w:overflowPunct w:val="0"/>
              <w:spacing w:line="460" w:lineRule="exact"/>
              <w:jc w:val="center"/>
              <w:rPr>
                <w:rFonts w:hAnsi="宋体"/>
                <w:color w:val="auto"/>
                <w:sz w:val="21"/>
                <w:szCs w:val="21"/>
                <w:highlight w:val="none"/>
              </w:rPr>
            </w:pPr>
          </w:p>
        </w:tc>
      </w:tr>
    </w:tbl>
    <w:p>
      <w:pPr>
        <w:shd w:val="clear"/>
        <w:rPr>
          <w:rFonts w:hAnsi="宋体"/>
          <w:color w:val="auto"/>
          <w:sz w:val="21"/>
          <w:szCs w:val="21"/>
          <w:highlight w:val="none"/>
        </w:rPr>
      </w:pP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hd w:val="clear"/>
        <w:ind w:firstLine="359" w:firstLineChars="171"/>
        <w:rPr>
          <w:rFonts w:hAnsi="宋体"/>
          <w:color w:val="auto"/>
          <w:sz w:val="21"/>
          <w:szCs w:val="21"/>
          <w:highlight w:val="none"/>
        </w:rPr>
      </w:pPr>
    </w:p>
    <w:p>
      <w:pPr>
        <w:shd w:val="clear"/>
        <w:ind w:left="391" w:hanging="390" w:hangingChars="186"/>
        <w:rPr>
          <w:rFonts w:hAnsi="宋体"/>
          <w:color w:val="auto"/>
          <w:sz w:val="21"/>
          <w:szCs w:val="21"/>
          <w:highlight w:val="none"/>
        </w:rPr>
      </w:pPr>
      <w:r>
        <w:rPr>
          <w:rFonts w:hint="eastAsia" w:hAnsi="宋体"/>
          <w:color w:val="auto"/>
          <w:sz w:val="21"/>
          <w:szCs w:val="21"/>
          <w:highlight w:val="none"/>
        </w:rPr>
        <w:t xml:space="preserve">    注：</w:t>
      </w:r>
    </w:p>
    <w:p>
      <w:pPr>
        <w:shd w:val="clear"/>
        <w:ind w:firstLine="420" w:firstLineChars="200"/>
        <w:rPr>
          <w:rFonts w:hAnsi="宋体"/>
          <w:color w:val="auto"/>
          <w:sz w:val="21"/>
          <w:szCs w:val="21"/>
          <w:highlight w:val="none"/>
        </w:rPr>
      </w:pPr>
      <w:r>
        <w:rPr>
          <w:rFonts w:hint="eastAsia" w:hAnsi="宋体"/>
          <w:color w:val="auto"/>
          <w:sz w:val="21"/>
          <w:szCs w:val="21"/>
          <w:highlight w:val="none"/>
        </w:rPr>
        <w:t>1、磋商响应总价栏须</w:t>
      </w:r>
      <w:r>
        <w:rPr>
          <w:rFonts w:hAnsi="宋体"/>
          <w:color w:val="auto"/>
          <w:sz w:val="21"/>
          <w:szCs w:val="21"/>
          <w:highlight w:val="none"/>
        </w:rPr>
        <w:t>用</w:t>
      </w:r>
      <w:r>
        <w:rPr>
          <w:rFonts w:hint="eastAsia" w:hAnsi="宋体"/>
          <w:color w:val="auto"/>
          <w:sz w:val="21"/>
          <w:szCs w:val="21"/>
          <w:highlight w:val="none"/>
        </w:rPr>
        <w:t>大写金额和小写金额两种方式</w:t>
      </w:r>
      <w:r>
        <w:rPr>
          <w:rFonts w:hAnsi="宋体"/>
          <w:color w:val="auto"/>
          <w:sz w:val="21"/>
          <w:szCs w:val="21"/>
          <w:highlight w:val="none"/>
        </w:rPr>
        <w:t>表示的</w:t>
      </w:r>
      <w:r>
        <w:rPr>
          <w:rFonts w:hint="eastAsia" w:hAnsi="宋体"/>
          <w:color w:val="auto"/>
          <w:sz w:val="21"/>
          <w:szCs w:val="21"/>
          <w:highlight w:val="none"/>
        </w:rPr>
        <w:t>磋商</w:t>
      </w:r>
      <w:r>
        <w:rPr>
          <w:rFonts w:hAnsi="宋体"/>
          <w:color w:val="auto"/>
          <w:sz w:val="21"/>
          <w:szCs w:val="21"/>
          <w:highlight w:val="none"/>
        </w:rPr>
        <w:t>总价</w:t>
      </w:r>
      <w:r>
        <w:rPr>
          <w:rFonts w:hint="eastAsia" w:hAnsi="宋体"/>
          <w:color w:val="auto"/>
          <w:sz w:val="21"/>
          <w:szCs w:val="21"/>
          <w:highlight w:val="none"/>
        </w:rPr>
        <w:t>，报价保留小数点后两位。磋商总价大小写不一致，以大写为准。磋商总价必须准确唯一且应包含采购文件要求的所有费用。</w:t>
      </w:r>
    </w:p>
    <w:p>
      <w:pPr>
        <w:shd w:val="clear"/>
        <w:ind w:firstLine="420" w:firstLineChars="200"/>
        <w:rPr>
          <w:rFonts w:hAnsi="宋体"/>
          <w:color w:val="auto"/>
          <w:sz w:val="21"/>
          <w:szCs w:val="21"/>
          <w:highlight w:val="none"/>
        </w:rPr>
      </w:pPr>
      <w:r>
        <w:rPr>
          <w:rFonts w:hint="eastAsia" w:hAnsi="宋体"/>
          <w:color w:val="auto"/>
          <w:sz w:val="21"/>
          <w:szCs w:val="21"/>
          <w:highlight w:val="none"/>
        </w:rPr>
        <w:t>2、温馨提示：未按采购文件要求报价、填写报价一览表是导致供应商废标的常见问题，请供应商仔细填写，认真核对。</w:t>
      </w:r>
    </w:p>
    <w:p>
      <w:pPr>
        <w:rPr>
          <w:color w:val="auto"/>
          <w:highlight w:val="none"/>
        </w:rPr>
      </w:pPr>
      <w:r>
        <w:rPr>
          <w:color w:val="auto"/>
          <w:highlight w:val="none"/>
        </w:rPr>
        <w:br w:type="page"/>
      </w:r>
    </w:p>
    <w:p>
      <w:pPr>
        <w:pStyle w:val="5"/>
        <w:numPr>
          <w:ilvl w:val="0"/>
          <w:numId w:val="17"/>
        </w:numPr>
        <w:jc w:val="center"/>
        <w:rPr>
          <w:rFonts w:hAnsi="宋体"/>
          <w:color w:val="auto"/>
          <w:sz w:val="21"/>
          <w:szCs w:val="21"/>
          <w:highlight w:val="none"/>
        </w:rPr>
      </w:pPr>
      <w:r>
        <w:rPr>
          <w:rFonts w:hint="eastAsia"/>
          <w:color w:val="auto"/>
          <w:sz w:val="21"/>
          <w:szCs w:val="21"/>
          <w:highlight w:val="none"/>
          <w:lang w:eastAsia="zh-CN"/>
        </w:rPr>
        <w:t>分项报价表</w:t>
      </w:r>
    </w:p>
    <w:p>
      <w:pPr>
        <w:pStyle w:val="50"/>
        <w:ind w:left="0" w:leftChars="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活动清单（初步方案）汇总</w:t>
      </w:r>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75"/>
        <w:gridCol w:w="754"/>
        <w:gridCol w:w="964"/>
        <w:gridCol w:w="979"/>
        <w:gridCol w:w="1656"/>
        <w:gridCol w:w="1611"/>
        <w:gridCol w:w="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174" w:type="pct"/>
            <w:gridSpan w:val="5"/>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活动清单（初步方案）汇总</w:t>
            </w:r>
          </w:p>
        </w:tc>
        <w:tc>
          <w:tcPr>
            <w:tcW w:w="825"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活动类型</w:t>
            </w:r>
          </w:p>
        </w:tc>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场次</w:t>
            </w:r>
          </w:p>
        </w:tc>
        <w:tc>
          <w:tcPr>
            <w:tcW w:w="4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hAnsi="宋体" w:cs="宋体"/>
                <w:b/>
                <w:bCs/>
                <w:i w:val="0"/>
                <w:iCs w:val="0"/>
                <w:color w:val="auto"/>
                <w:kern w:val="0"/>
                <w:sz w:val="21"/>
                <w:szCs w:val="21"/>
                <w:highlight w:val="none"/>
                <w:u w:val="none"/>
                <w:lang w:val="en-US" w:eastAsia="zh-CN" w:bidi="ar"/>
              </w:rPr>
              <w:t>单价</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1657"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hAnsi="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一、科创类活动</w:t>
            </w:r>
          </w:p>
        </w:tc>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4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1.1.1早餐会</w:t>
            </w:r>
          </w:p>
        </w:tc>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restart"/>
            <w:tcBorders>
              <w:top w:val="single" w:color="000000" w:sz="4" w:space="0"/>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default" w:ascii="宋体" w:hAnsi="宋体" w:eastAsia="宋体" w:cs="宋体"/>
                <w:i w:val="0"/>
                <w:iCs w:val="0"/>
                <w:color w:val="auto"/>
                <w:sz w:val="21"/>
                <w:szCs w:val="21"/>
                <w:highlight w:val="none"/>
                <w:u w:val="none"/>
                <w:lang w:val="en-US" w:eastAsia="zh-CN"/>
              </w:rPr>
            </w:pPr>
            <w:r>
              <w:rPr>
                <w:rFonts w:hint="eastAsia" w:hAnsi="宋体" w:cs="宋体"/>
                <w:i w:val="0"/>
                <w:iCs w:val="0"/>
                <w:color w:val="auto"/>
                <w:sz w:val="21"/>
                <w:szCs w:val="21"/>
                <w:highlight w:val="none"/>
                <w:u w:val="none"/>
                <w:lang w:val="en-US" w:eastAsia="zh-CN"/>
              </w:rPr>
              <w:t>每场活动需结合要求编制明细报价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1.1.2下午茶</w:t>
            </w:r>
          </w:p>
        </w:tc>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1.1.3博士论坛</w:t>
            </w:r>
          </w:p>
        </w:tc>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1.1.4星空夜话</w:t>
            </w:r>
          </w:p>
        </w:tc>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1.1.5学术论坛、讲座</w:t>
            </w:r>
          </w:p>
        </w:tc>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二、节日类活动</w:t>
            </w:r>
          </w:p>
        </w:tc>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auto"/>
                <w:kern w:val="0"/>
                <w:sz w:val="21"/>
                <w:szCs w:val="21"/>
                <w:highlight w:val="none"/>
                <w:u w:val="none"/>
                <w:lang w:val="en-US" w:eastAsia="zh-CN"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-中秋国庆</w:t>
            </w:r>
          </w:p>
        </w:tc>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restart"/>
            <w:tcBorders>
              <w:top w:val="single" w:color="000000" w:sz="4" w:space="0"/>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auto"/>
                <w:sz w:val="21"/>
                <w:szCs w:val="21"/>
                <w:highlight w:val="none"/>
                <w:u w:val="none"/>
                <w:lang w:val="en-US" w:eastAsia="zh-CN"/>
              </w:rPr>
              <w:t>每场活动需结合要求编制明细报价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-科学家端午节</w:t>
            </w:r>
          </w:p>
        </w:tc>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-科学家中秋节</w:t>
            </w:r>
          </w:p>
        </w:tc>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三、文化类活动</w:t>
            </w:r>
          </w:p>
        </w:tc>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4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3.1-五谷主题画</w:t>
            </w:r>
          </w:p>
        </w:tc>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restart"/>
            <w:tcBorders>
              <w:top w:val="single" w:color="000000" w:sz="4" w:space="0"/>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auto"/>
                <w:sz w:val="21"/>
                <w:szCs w:val="21"/>
                <w:highlight w:val="none"/>
                <w:u w:val="none"/>
                <w:lang w:val="en-US" w:eastAsia="zh-CN"/>
              </w:rPr>
              <w:t>每场活动需结合要求编制明细报价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3.2-绕线画、丝线画</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3.3-掐丝珐琅（非遗掐丝珐琅画）</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3.4-非遗螺钿胸针</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3.5-广东三宝制作</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3.6-莞香香牌 制作</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3.7-戏曲创意画 制作</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3.8-戳戳绣</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3.9-香囊制作</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3.10-非遗烧箔画</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3.11-非遗二十四节气文创</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3.12-非遗点翠</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3.13-非遗传拓</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3.14-非遗缠花发簪/胸针 DIY</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3.15-非遗竹编</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3.16-非遗花草纸 文创书灯</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3.17-非遗岭南押花 文创台灯</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3.18-锦绣江山流沙画</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3.19-非遗绒花 DIY</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bookmarkStart w:id="312" w:name="_GoBack" w:colFirst="0" w:colLast="4"/>
            <w:r>
              <w:rPr>
                <w:rFonts w:hint="eastAsia" w:ascii="宋体" w:hAnsi="宋体" w:eastAsia="宋体" w:cs="宋体"/>
                <w:i w:val="0"/>
                <w:iCs w:val="0"/>
                <w:color w:val="auto"/>
                <w:kern w:val="0"/>
                <w:sz w:val="21"/>
                <w:szCs w:val="21"/>
                <w:highlight w:val="none"/>
                <w:u w:val="none"/>
                <w:lang w:val="en-US" w:eastAsia="zh-CN" w:bidi="ar"/>
              </w:rPr>
              <w:t>3.20-非遗篆刻 体验</w:t>
            </w:r>
          </w:p>
        </w:tc>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3.21-相亲舞会</w:t>
            </w:r>
          </w:p>
        </w:tc>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vMerge w:val="continue"/>
            <w:tcBorders>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四、休闲娱乐类活动</w:t>
            </w:r>
          </w:p>
        </w:tc>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4.1-棋牌竞技赛</w:t>
            </w:r>
          </w:p>
        </w:tc>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657"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auto"/>
                <w:sz w:val="21"/>
                <w:szCs w:val="21"/>
                <w:highlight w:val="none"/>
                <w:u w:val="none"/>
                <w:lang w:val="en-US" w:eastAsia="zh-CN"/>
              </w:rPr>
              <w:t>每场活动需结合要求编制明细报价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五、暂未定活动</w:t>
            </w:r>
          </w:p>
        </w:tc>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c>
          <w:tcPr>
            <w:tcW w:w="4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200000</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200000</w:t>
            </w:r>
          </w:p>
        </w:tc>
        <w:tc>
          <w:tcPr>
            <w:tcW w:w="1657"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hAnsi="宋体" w:cs="宋体"/>
                <w:b w:val="0"/>
                <w:bCs w:val="0"/>
                <w:i w:val="0"/>
                <w:iCs w:val="0"/>
                <w:color w:val="auto"/>
                <w:kern w:val="0"/>
                <w:sz w:val="21"/>
                <w:szCs w:val="21"/>
                <w:highlight w:val="none"/>
                <w:u w:val="single"/>
                <w:lang w:val="en-US" w:eastAsia="zh-CN" w:bidi="ar"/>
              </w:rPr>
              <w:t>（</w:t>
            </w:r>
            <w:r>
              <w:rPr>
                <w:rFonts w:hint="eastAsia" w:asciiTheme="minorEastAsia" w:hAnsiTheme="minorEastAsia" w:eastAsiaTheme="minorEastAsia" w:cstheme="minorEastAsia"/>
                <w:b w:val="0"/>
                <w:bCs w:val="0"/>
                <w:color w:val="auto"/>
                <w:sz w:val="21"/>
                <w:szCs w:val="21"/>
                <w:highlight w:val="none"/>
                <w:u w:val="single"/>
                <w:lang w:val="en-US" w:eastAsia="zh-CN"/>
              </w:rPr>
              <w:t>暂未定部分</w:t>
            </w:r>
            <w:r>
              <w:rPr>
                <w:rFonts w:hint="eastAsia" w:hAnsi="宋体"/>
                <w:b w:val="0"/>
                <w:bCs w:val="0"/>
                <w:sz w:val="21"/>
                <w:szCs w:val="21"/>
                <w:highlight w:val="none"/>
                <w:u w:val="single"/>
              </w:rPr>
              <w:t>报价时按采购人预算金额填入</w:t>
            </w:r>
            <w:r>
              <w:rPr>
                <w:rFonts w:hint="eastAsia" w:hAnsi="宋体"/>
                <w:b w:val="0"/>
                <w:bCs w:val="0"/>
                <w:sz w:val="21"/>
                <w:szCs w:val="21"/>
                <w:highlight w:val="none"/>
                <w:u w:val="single"/>
                <w:lang w:eastAsia="zh-CN"/>
              </w:rPr>
              <w:t>，</w:t>
            </w:r>
            <w:r>
              <w:rPr>
                <w:rFonts w:hint="eastAsia" w:hAnsi="宋体"/>
                <w:b w:val="0"/>
                <w:bCs w:val="0"/>
                <w:sz w:val="21"/>
                <w:szCs w:val="21"/>
                <w:highlight w:val="none"/>
                <w:u w:val="single"/>
              </w:rPr>
              <w:t>最终按采购人需求及合同单价进行结算</w:t>
            </w:r>
            <w:r>
              <w:rPr>
                <w:rFonts w:hint="eastAsia" w:hAnsi="宋体" w:cs="宋体"/>
                <w:b w:val="0"/>
                <w:bCs w:val="0"/>
                <w:i w:val="0"/>
                <w:iCs w:val="0"/>
                <w:color w:val="auto"/>
                <w:kern w:val="0"/>
                <w:sz w:val="21"/>
                <w:szCs w:val="21"/>
                <w:highlight w:val="none"/>
                <w:u w:val="single"/>
                <w:lang w:val="en-US" w:eastAsia="zh-CN" w:bidi="ar"/>
              </w:rPr>
              <w:t>）</w:t>
            </w:r>
          </w:p>
        </w:tc>
      </w:tr>
      <w:bookmarkEnd w:id="312"/>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highlight w:val="none"/>
                <w:u w:val="none"/>
                <w:lang w:val="en-US" w:eastAsia="zh-CN"/>
              </w:rPr>
            </w:pPr>
            <w:r>
              <w:rPr>
                <w:rFonts w:hint="eastAsia" w:hAnsi="宋体" w:cs="宋体"/>
                <w:b/>
                <w:bCs/>
                <w:i w:val="0"/>
                <w:iCs w:val="0"/>
                <w:color w:val="auto"/>
                <w:sz w:val="24"/>
                <w:szCs w:val="24"/>
                <w:highlight w:val="none"/>
                <w:u w:val="none"/>
                <w:lang w:val="en-US" w:eastAsia="zh-CN"/>
              </w:rPr>
              <w:t>合计（一+二+三+四）</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4"/>
                <w:szCs w:val="24"/>
                <w:highlight w:val="none"/>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4"/>
                <w:szCs w:val="24"/>
                <w:highlight w:val="none"/>
                <w:u w:val="none"/>
                <w:lang w:val="en-US" w:eastAsia="zh-CN"/>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4"/>
                <w:szCs w:val="24"/>
                <w:highlight w:val="none"/>
                <w:u w:val="none"/>
              </w:rPr>
            </w:pPr>
          </w:p>
        </w:tc>
        <w:tc>
          <w:tcPr>
            <w:tcW w:w="16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4"/>
                <w:szCs w:val="24"/>
                <w:highlight w:val="none"/>
                <w:u w:val="none"/>
              </w:rPr>
            </w:pPr>
          </w:p>
        </w:tc>
      </w:tr>
    </w:tbl>
    <w:p>
      <w:pPr>
        <w:pStyle w:val="50"/>
        <w:ind w:left="0" w:leftChars="0" w:firstLine="0" w:firstLineChars="0"/>
        <w:rPr>
          <w:rFonts w:hint="eastAsia"/>
          <w:color w:val="auto"/>
          <w:highlight w:val="none"/>
          <w:lang w:eastAsia="zh-CN"/>
        </w:rPr>
      </w:pP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50"/>
        <w:rPr>
          <w:color w:val="auto"/>
          <w:highlight w:val="none"/>
        </w:rPr>
      </w:pPr>
    </w:p>
    <w:p>
      <w:pPr>
        <w:rPr>
          <w:color w:val="auto"/>
          <w:highlight w:val="none"/>
        </w:rPr>
      </w:pPr>
    </w:p>
    <w:p>
      <w:pPr>
        <w:rPr>
          <w:color w:val="auto"/>
          <w:highlight w:val="none"/>
        </w:rPr>
      </w:pPr>
    </w:p>
    <w:p>
      <w:pPr>
        <w:rPr>
          <w:color w:val="auto"/>
          <w:highlight w:val="none"/>
        </w:rPr>
      </w:pPr>
    </w:p>
    <w:p>
      <w:pPr>
        <w:rPr>
          <w:rFonts w:hint="eastAsia" w:hAnsi="宋体" w:cs="宋体"/>
          <w:i w:val="0"/>
          <w:iCs w:val="0"/>
          <w:color w:val="auto"/>
          <w:sz w:val="21"/>
          <w:szCs w:val="21"/>
          <w:highlight w:val="none"/>
          <w:u w:val="none"/>
          <w:lang w:val="en-US" w:eastAsia="zh-CN"/>
        </w:rPr>
      </w:pPr>
      <w:r>
        <w:rPr>
          <w:rFonts w:hint="eastAsia" w:hAnsi="宋体" w:cs="宋体"/>
          <w:i w:val="0"/>
          <w:iCs w:val="0"/>
          <w:color w:val="auto"/>
          <w:sz w:val="21"/>
          <w:szCs w:val="21"/>
          <w:highlight w:val="none"/>
          <w:u w:val="none"/>
          <w:lang w:val="en-US" w:eastAsia="zh-CN"/>
        </w:rPr>
        <w:br w:type="page"/>
      </w:r>
    </w:p>
    <w:p>
      <w:pPr>
        <w:rPr>
          <w:color w:val="auto"/>
          <w:highlight w:val="none"/>
        </w:rPr>
      </w:pPr>
      <w:r>
        <w:rPr>
          <w:rFonts w:hint="eastAsia" w:hAnsi="宋体" w:cs="宋体"/>
          <w:i w:val="0"/>
          <w:iCs w:val="0"/>
          <w:color w:val="auto"/>
          <w:sz w:val="21"/>
          <w:szCs w:val="21"/>
          <w:highlight w:val="none"/>
          <w:u w:val="none"/>
          <w:lang w:val="en-US" w:eastAsia="zh-CN"/>
        </w:rPr>
        <w:t>（二）每场活动需结合要求编制明细报价（自编格式）</w:t>
      </w:r>
      <w:r>
        <w:rPr>
          <w:color w:val="auto"/>
          <w:highlight w:val="none"/>
        </w:rPr>
        <w:br w:type="page"/>
      </w:r>
    </w:p>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Pr>
        <w:pStyle w:val="5"/>
        <w:shd w:val="clear"/>
        <w:jc w:val="center"/>
        <w:rPr>
          <w:color w:val="auto"/>
          <w:sz w:val="28"/>
          <w:szCs w:val="28"/>
          <w:highlight w:val="none"/>
        </w:rPr>
      </w:pPr>
      <w:bookmarkStart w:id="208" w:name="_Toc18450"/>
      <w:bookmarkStart w:id="209" w:name="_Toc12158"/>
      <w:bookmarkStart w:id="210" w:name="_Toc476976200"/>
      <w:bookmarkStart w:id="211" w:name="_Toc454701405"/>
      <w:bookmarkStart w:id="212" w:name="_Toc458262638"/>
      <w:bookmarkStart w:id="213" w:name="_Toc467236768"/>
      <w:bookmarkStart w:id="214" w:name="_Toc7897890"/>
      <w:bookmarkStart w:id="215" w:name="_Toc486671572"/>
      <w:bookmarkStart w:id="216" w:name="_Toc27849"/>
      <w:bookmarkStart w:id="217" w:name="_Toc110953866"/>
      <w:bookmarkStart w:id="218" w:name="_Toc480020289"/>
      <w:bookmarkStart w:id="219" w:name="_Toc480010742"/>
      <w:bookmarkStart w:id="220" w:name="_Toc467987856"/>
      <w:bookmarkStart w:id="221" w:name="_Toc479991616"/>
      <w:bookmarkStart w:id="222" w:name="_Toc468157569"/>
      <w:bookmarkStart w:id="223" w:name="_Toc480021085"/>
      <w:bookmarkStart w:id="224" w:name="_Toc468606064"/>
      <w:r>
        <w:rPr>
          <w:rFonts w:hint="eastAsia"/>
          <w:color w:val="auto"/>
          <w:sz w:val="28"/>
          <w:szCs w:val="28"/>
          <w:highlight w:val="none"/>
        </w:rPr>
        <w:t>第二部分  商务文件</w:t>
      </w:r>
      <w:bookmarkEnd w:id="208"/>
      <w:bookmarkEnd w:id="209"/>
      <w:bookmarkStart w:id="225" w:name="_Hlt10519799"/>
      <w:bookmarkEnd w:id="225"/>
      <w:bookmarkStart w:id="226" w:name="_Hlt10456397"/>
      <w:bookmarkEnd w:id="226"/>
    </w:p>
    <w:p>
      <w:pPr>
        <w:shd w:val="clear"/>
        <w:rPr>
          <w:color w:val="auto"/>
          <w:highlight w:val="none"/>
        </w:rPr>
      </w:pPr>
    </w:p>
    <w:p>
      <w:pPr>
        <w:pStyle w:val="5"/>
        <w:numPr>
          <w:ilvl w:val="0"/>
          <w:numId w:val="18"/>
        </w:numPr>
        <w:shd w:val="clear"/>
        <w:jc w:val="center"/>
        <w:rPr>
          <w:b w:val="0"/>
          <w:color w:val="auto"/>
          <w:sz w:val="28"/>
          <w:szCs w:val="28"/>
          <w:highlight w:val="none"/>
        </w:rPr>
      </w:pPr>
      <w:bookmarkStart w:id="227" w:name="_Toc18728"/>
      <w:bookmarkStart w:id="228" w:name="_Toc8815"/>
      <w:r>
        <w:rPr>
          <w:rFonts w:hint="eastAsia"/>
          <w:color w:val="auto"/>
          <w:sz w:val="28"/>
          <w:szCs w:val="28"/>
          <w:highlight w:val="none"/>
        </w:rPr>
        <w:t>响应书</w:t>
      </w:r>
      <w:bookmarkEnd w:id="210"/>
      <w:bookmarkEnd w:id="211"/>
      <w:bookmarkEnd w:id="212"/>
      <w:bookmarkEnd w:id="213"/>
      <w:bookmarkEnd w:id="214"/>
      <w:bookmarkEnd w:id="215"/>
      <w:bookmarkEnd w:id="216"/>
      <w:bookmarkEnd w:id="227"/>
      <w:bookmarkEnd w:id="228"/>
    </w:p>
    <w:p>
      <w:pPr>
        <w:pStyle w:val="30"/>
        <w:shd w:val="clear"/>
        <w:autoSpaceDE/>
        <w:autoSpaceDN/>
        <w:adjustRightInd/>
        <w:spacing w:line="480" w:lineRule="exact"/>
        <w:ind w:left="6000"/>
        <w:rPr>
          <w:rFonts w:hAnsi="宋体"/>
          <w:color w:val="auto"/>
          <w:sz w:val="24"/>
          <w:highlight w:val="none"/>
        </w:rPr>
      </w:pPr>
    </w:p>
    <w:p>
      <w:pPr>
        <w:pStyle w:val="30"/>
        <w:shd w:val="clear"/>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hd w:val="clear"/>
        <w:spacing w:line="480" w:lineRule="exact"/>
        <w:ind w:firstLine="420" w:firstLineChars="200"/>
        <w:rPr>
          <w:rFonts w:hAnsi="宋体"/>
          <w:color w:val="auto"/>
          <w:sz w:val="21"/>
          <w:szCs w:val="21"/>
          <w:highlight w:val="none"/>
        </w:rPr>
      </w:pP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hd w:val="clea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hd w:val="clea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5"/>
        <w:numPr>
          <w:ilvl w:val="0"/>
          <w:numId w:val="18"/>
        </w:numPr>
        <w:shd w:val="clear"/>
        <w:jc w:val="center"/>
        <w:rPr>
          <w:bCs/>
          <w:color w:val="auto"/>
          <w:sz w:val="28"/>
          <w:szCs w:val="28"/>
          <w:highlight w:val="none"/>
        </w:rPr>
      </w:pPr>
      <w:r>
        <w:rPr>
          <w:color w:val="auto"/>
          <w:sz w:val="22"/>
          <w:szCs w:val="22"/>
          <w:highlight w:val="none"/>
        </w:rPr>
        <w:br w:type="page"/>
      </w:r>
      <w:bookmarkStart w:id="229" w:name="_Toc24748"/>
      <w:bookmarkStart w:id="230" w:name="_Toc31943"/>
      <w:bookmarkStart w:id="231" w:name="_Toc7897891"/>
      <w:bookmarkStart w:id="232" w:name="_Toc10808"/>
      <w:r>
        <w:rPr>
          <w:rFonts w:hint="eastAsia"/>
          <w:bCs/>
          <w:color w:val="auto"/>
          <w:sz w:val="28"/>
          <w:szCs w:val="28"/>
          <w:highlight w:val="none"/>
        </w:rPr>
        <w:t>法定代表人证明书</w:t>
      </w:r>
      <w:bookmarkEnd w:id="229"/>
      <w:bookmarkEnd w:id="230"/>
      <w:bookmarkEnd w:id="231"/>
      <w:bookmarkEnd w:id="232"/>
    </w:p>
    <w:p>
      <w:pPr>
        <w:shd w:val="clear"/>
        <w:jc w:val="center"/>
        <w:rPr>
          <w:rFonts w:hAnsi="宋体"/>
          <w:color w:val="auto"/>
          <w:sz w:val="28"/>
          <w:szCs w:val="28"/>
          <w:highlight w:val="none"/>
        </w:rPr>
      </w:pPr>
    </w:p>
    <w:p>
      <w:pPr>
        <w:shd w:val="clear"/>
        <w:rPr>
          <w:rFonts w:hAnsi="宋体"/>
          <w:color w:val="auto"/>
          <w:sz w:val="28"/>
          <w:szCs w:val="28"/>
          <w:highlight w:val="none"/>
        </w:rPr>
      </w:pPr>
    </w:p>
    <w:p>
      <w:pPr>
        <w:shd w:val="clea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hd w:val="clear"/>
        <w:spacing w:line="420" w:lineRule="atLeast"/>
        <w:ind w:firstLine="433"/>
        <w:rPr>
          <w:rFonts w:ascii="宋体" w:eastAsia="宋体"/>
          <w:color w:val="auto"/>
          <w:sz w:val="21"/>
          <w:szCs w:val="21"/>
          <w:highlight w:val="none"/>
        </w:rPr>
      </w:pP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hd w:val="clea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hd w:val="clear"/>
        <w:spacing w:line="500" w:lineRule="atLeast"/>
        <w:ind w:firstLine="3517" w:firstLineChars="1675"/>
        <w:rPr>
          <w:rFonts w:ascii="宋体" w:eastAsia="宋体"/>
          <w:color w:val="auto"/>
          <w:sz w:val="21"/>
          <w:szCs w:val="21"/>
          <w:highlight w:val="none"/>
        </w:rPr>
      </w:pPr>
    </w:p>
    <w:p>
      <w:pPr>
        <w:pStyle w:val="75"/>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hd w:val="clear"/>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hd w:val="clear"/>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hd w:val="clear"/>
        <w:spacing w:line="460" w:lineRule="exact"/>
        <w:ind w:firstLine="433"/>
        <w:rPr>
          <w:rFonts w:ascii="宋体" w:eastAsia="宋体"/>
          <w:color w:val="auto"/>
          <w:sz w:val="21"/>
          <w:szCs w:val="21"/>
          <w:highlight w:val="none"/>
        </w:rPr>
      </w:pPr>
    </w:p>
    <w:p>
      <w:pPr>
        <w:shd w:val="clear"/>
        <w:spacing w:line="420" w:lineRule="atLeast"/>
        <w:ind w:firstLine="422" w:firstLineChars="200"/>
        <w:rPr>
          <w:rFonts w:hAnsi="宋体"/>
          <w:b/>
          <w:color w:val="auto"/>
          <w:sz w:val="21"/>
          <w:szCs w:val="21"/>
          <w:highlight w:val="none"/>
        </w:rPr>
      </w:pPr>
    </w:p>
    <w:p>
      <w:pPr>
        <w:shd w:val="clea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w:t>
      </w:r>
    </w:p>
    <w:p>
      <w:pPr>
        <w:shd w:val="clear"/>
        <w:spacing w:line="420" w:lineRule="atLeast"/>
        <w:ind w:firstLine="422" w:firstLineChars="200"/>
        <w:rPr>
          <w:b/>
          <w:color w:val="auto"/>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517" w:hRule="atLeast"/>
          <w:jc w:val="center"/>
        </w:trPr>
        <w:tc>
          <w:tcPr>
            <w:tcW w:w="4182" w:type="dxa"/>
            <w:vAlign w:val="center"/>
          </w:tcPr>
          <w:p>
            <w:pPr>
              <w:pStyle w:val="75"/>
              <w:shd w:val="clear"/>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hd w:val="clear"/>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shd w:val="clear"/>
        <w:rPr>
          <w:rFonts w:hAnsi="宋体"/>
          <w:color w:val="auto"/>
          <w:highlight w:val="none"/>
        </w:rPr>
      </w:pPr>
    </w:p>
    <w:p>
      <w:pPr>
        <w:shd w:val="clear"/>
        <w:rPr>
          <w:rFonts w:hAnsi="宋体"/>
          <w:color w:val="auto"/>
          <w:sz w:val="28"/>
          <w:szCs w:val="28"/>
          <w:highlight w:val="none"/>
        </w:rPr>
      </w:pPr>
    </w:p>
    <w:p>
      <w:pPr>
        <w:pStyle w:val="5"/>
        <w:numPr>
          <w:ilvl w:val="0"/>
          <w:numId w:val="18"/>
        </w:numPr>
        <w:shd w:val="clear"/>
        <w:jc w:val="center"/>
        <w:rPr>
          <w:bCs/>
          <w:color w:val="auto"/>
          <w:sz w:val="28"/>
          <w:szCs w:val="28"/>
          <w:highlight w:val="none"/>
        </w:rPr>
      </w:pPr>
      <w:r>
        <w:rPr>
          <w:rFonts w:hint="eastAsia"/>
          <w:bCs/>
          <w:color w:val="auto"/>
          <w:sz w:val="28"/>
          <w:szCs w:val="28"/>
          <w:highlight w:val="none"/>
        </w:rPr>
        <w:br w:type="page"/>
      </w:r>
      <w:bookmarkStart w:id="233" w:name="_Toc7897892"/>
      <w:bookmarkStart w:id="234" w:name="_Toc28882"/>
      <w:bookmarkStart w:id="235" w:name="_Toc19634"/>
      <w:bookmarkStart w:id="236" w:name="_Toc18590"/>
      <w:r>
        <w:rPr>
          <w:rFonts w:hint="eastAsia"/>
          <w:bCs/>
          <w:color w:val="auto"/>
          <w:sz w:val="28"/>
          <w:szCs w:val="28"/>
          <w:highlight w:val="none"/>
        </w:rPr>
        <w:t>授权委托书（加法人证明书）</w:t>
      </w:r>
      <w:bookmarkEnd w:id="233"/>
      <w:bookmarkEnd w:id="234"/>
      <w:bookmarkEnd w:id="235"/>
      <w:bookmarkEnd w:id="236"/>
    </w:p>
    <w:p>
      <w:pPr>
        <w:pStyle w:val="14"/>
        <w:shd w:val="clear"/>
        <w:ind w:firstLine="400"/>
        <w:rPr>
          <w:color w:val="auto"/>
          <w:highlight w:val="none"/>
        </w:rPr>
      </w:pPr>
    </w:p>
    <w:p>
      <w:pPr>
        <w:shd w:val="clear"/>
        <w:spacing w:line="420" w:lineRule="exact"/>
        <w:rPr>
          <w:rFonts w:hAnsi="宋体"/>
          <w:color w:val="auto"/>
          <w:sz w:val="22"/>
          <w:szCs w:val="22"/>
          <w:highlight w:val="none"/>
        </w:rPr>
      </w:pPr>
    </w:p>
    <w:p>
      <w:pPr>
        <w:shd w:val="clea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hd w:val="clear"/>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hd w:val="clear"/>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hd w:val="clear"/>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hd w:val="clear"/>
        <w:spacing w:line="420" w:lineRule="exact"/>
        <w:ind w:firstLine="450" w:firstLineChars="0"/>
        <w:rPr>
          <w:rFonts w:ascii="宋体" w:eastAsia="宋体"/>
          <w:color w:val="auto"/>
          <w:sz w:val="21"/>
          <w:szCs w:val="21"/>
          <w:highlight w:val="none"/>
        </w:rPr>
      </w:pPr>
    </w:p>
    <w:p>
      <w:pPr>
        <w:pStyle w:val="75"/>
        <w:shd w:val="clear"/>
        <w:spacing w:line="420" w:lineRule="exact"/>
        <w:ind w:firstLine="428" w:firstLineChars="204"/>
        <w:rPr>
          <w:rFonts w:ascii="宋体" w:eastAsia="宋体"/>
          <w:color w:val="auto"/>
          <w:sz w:val="21"/>
          <w:szCs w:val="21"/>
          <w:highlight w:val="none"/>
        </w:rPr>
      </w:pPr>
    </w:p>
    <w:p>
      <w:pPr>
        <w:pStyle w:val="75"/>
        <w:shd w:val="clear"/>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hd w:val="clear"/>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hd w:val="clear"/>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hd w:val="clear"/>
        <w:spacing w:line="420" w:lineRule="exact"/>
        <w:ind w:firstLine="3517" w:firstLineChars="1675"/>
        <w:rPr>
          <w:rFonts w:ascii="宋体" w:eastAsia="宋体"/>
          <w:color w:val="auto"/>
          <w:sz w:val="21"/>
          <w:szCs w:val="21"/>
          <w:highlight w:val="none"/>
        </w:rPr>
      </w:pPr>
    </w:p>
    <w:p>
      <w:pPr>
        <w:pStyle w:val="75"/>
        <w:shd w:val="clear"/>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hd w:val="clear"/>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hd w:val="clear"/>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hd w:val="clear"/>
        <w:spacing w:line="420" w:lineRule="atLeast"/>
        <w:ind w:firstLine="422" w:firstLineChars="200"/>
        <w:rPr>
          <w:rFonts w:hAnsi="宋体"/>
          <w:b/>
          <w:color w:val="auto"/>
          <w:sz w:val="21"/>
          <w:szCs w:val="21"/>
          <w:highlight w:val="none"/>
        </w:rPr>
      </w:pPr>
    </w:p>
    <w:p>
      <w:pPr>
        <w:shd w:val="clear"/>
        <w:spacing w:line="420" w:lineRule="atLeast"/>
        <w:ind w:firstLine="422" w:firstLineChars="200"/>
        <w:rPr>
          <w:rFonts w:hAnsi="宋体"/>
          <w:b/>
          <w:color w:val="auto"/>
          <w:sz w:val="21"/>
          <w:szCs w:val="21"/>
          <w:highlight w:val="none"/>
        </w:rPr>
      </w:pPr>
    </w:p>
    <w:p>
      <w:pPr>
        <w:shd w:val="clea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w:t>
      </w:r>
    </w:p>
    <w:p>
      <w:pPr>
        <w:shd w:val="clea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hd w:val="clear"/>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hd w:val="clear"/>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14"/>
        <w:shd w:val="clear"/>
        <w:ind w:firstLine="482"/>
        <w:rPr>
          <w:b/>
          <w:color w:val="auto"/>
          <w:sz w:val="24"/>
          <w:szCs w:val="24"/>
          <w:highlight w:val="none"/>
        </w:rPr>
      </w:pPr>
    </w:p>
    <w:p>
      <w:pPr>
        <w:shd w:val="clear"/>
        <w:tabs>
          <w:tab w:val="left" w:pos="7740"/>
        </w:tabs>
        <w:spacing w:line="360" w:lineRule="auto"/>
        <w:rPr>
          <w:rFonts w:hAnsi="宋体"/>
          <w:color w:val="auto"/>
          <w:sz w:val="21"/>
          <w:szCs w:val="21"/>
          <w:highlight w:val="none"/>
        </w:rPr>
      </w:pPr>
      <w:bookmarkStart w:id="237" w:name="_Toc7897893"/>
      <w:bookmarkStart w:id="238" w:name="_Toc4592"/>
    </w:p>
    <w:p>
      <w:pPr>
        <w:pStyle w:val="14"/>
        <w:shd w:val="clear"/>
        <w:ind w:firstLine="0" w:firstLineChars="0"/>
        <w:rPr>
          <w:color w:val="auto"/>
          <w:highlight w:val="none"/>
        </w:rPr>
      </w:pPr>
    </w:p>
    <w:p>
      <w:pPr>
        <w:pStyle w:val="14"/>
        <w:shd w:val="clear"/>
        <w:ind w:firstLine="0" w:firstLineChars="0"/>
        <w:rPr>
          <w:color w:val="auto"/>
          <w:highlight w:val="none"/>
        </w:rPr>
      </w:pPr>
    </w:p>
    <w:p>
      <w:pPr>
        <w:pStyle w:val="14"/>
        <w:shd w:val="clear"/>
        <w:ind w:firstLine="0" w:firstLineChars="0"/>
        <w:rPr>
          <w:color w:val="auto"/>
          <w:highlight w:val="none"/>
        </w:rPr>
      </w:pPr>
    </w:p>
    <w:p>
      <w:pPr>
        <w:pStyle w:val="5"/>
        <w:numPr>
          <w:ilvl w:val="0"/>
          <w:numId w:val="18"/>
        </w:numPr>
        <w:shd w:val="clear"/>
        <w:jc w:val="center"/>
        <w:rPr>
          <w:color w:val="auto"/>
          <w:sz w:val="28"/>
          <w:szCs w:val="28"/>
          <w:highlight w:val="none"/>
        </w:rPr>
      </w:pPr>
      <w:bookmarkStart w:id="239" w:name="_Toc1276"/>
      <w:bookmarkStart w:id="240" w:name="_Toc17363"/>
      <w:r>
        <w:rPr>
          <w:rFonts w:hint="eastAsia"/>
          <w:color w:val="auto"/>
          <w:sz w:val="28"/>
          <w:szCs w:val="28"/>
          <w:highlight w:val="none"/>
        </w:rPr>
        <w:t>供应商基本情况说明</w:t>
      </w:r>
      <w:bookmarkEnd w:id="237"/>
      <w:bookmarkEnd w:id="238"/>
      <w:bookmarkEnd w:id="239"/>
      <w:bookmarkEnd w:id="240"/>
    </w:p>
    <w:p>
      <w:pPr>
        <w:shd w:val="clear"/>
        <w:spacing w:line="360" w:lineRule="auto"/>
        <w:rPr>
          <w:rFonts w:hAnsi="宋体"/>
          <w:color w:val="auto"/>
          <w:sz w:val="22"/>
          <w:szCs w:val="22"/>
          <w:highlight w:val="none"/>
        </w:rPr>
      </w:pPr>
    </w:p>
    <w:p>
      <w:pPr>
        <w:shd w:val="clea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shd w:val="clea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hd w:val="clear"/>
        <w:spacing w:line="360" w:lineRule="auto"/>
        <w:rPr>
          <w:rFonts w:hAnsi="宋体"/>
          <w:color w:val="auto"/>
          <w:sz w:val="21"/>
          <w:szCs w:val="21"/>
          <w:highlight w:val="none"/>
        </w:rPr>
      </w:pPr>
      <w:r>
        <w:rPr>
          <w:rFonts w:hAnsi="宋体"/>
          <w:color w:val="auto"/>
          <w:sz w:val="21"/>
          <w:szCs w:val="21"/>
          <w:highlight w:val="none"/>
        </w:rPr>
        <w:t>2、地  址： 传  真：</w:t>
      </w:r>
    </w:p>
    <w:p>
      <w:pPr>
        <w:shd w:val="clea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hd w:val="clea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hd w:val="clea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hd w:val="clear"/>
        <w:spacing w:line="360" w:lineRule="auto"/>
        <w:rPr>
          <w:rFonts w:hAnsi="宋体"/>
          <w:color w:val="auto"/>
          <w:sz w:val="21"/>
          <w:szCs w:val="21"/>
          <w:highlight w:val="none"/>
        </w:rPr>
      </w:pPr>
      <w:r>
        <w:rPr>
          <w:rFonts w:hAnsi="宋体"/>
          <w:color w:val="auto"/>
          <w:sz w:val="21"/>
          <w:szCs w:val="21"/>
          <w:highlight w:val="none"/>
        </w:rPr>
        <w:t>6、公司简介:</w:t>
      </w:r>
    </w:p>
    <w:p>
      <w:pPr>
        <w:shd w:val="clear"/>
        <w:spacing w:line="360" w:lineRule="auto"/>
        <w:rPr>
          <w:rFonts w:hAnsi="宋体"/>
          <w:color w:val="auto"/>
          <w:sz w:val="21"/>
          <w:szCs w:val="21"/>
          <w:highlight w:val="none"/>
        </w:rPr>
      </w:pPr>
      <w:r>
        <w:rPr>
          <w:rFonts w:hAnsi="宋体"/>
          <w:color w:val="auto"/>
          <w:sz w:val="21"/>
          <w:szCs w:val="21"/>
          <w:highlight w:val="none"/>
        </w:rPr>
        <w:t>7、公司财务情况：</w:t>
      </w:r>
    </w:p>
    <w:p>
      <w:pPr>
        <w:shd w:val="clea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shd w:val="clea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shd w:val="clea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shd w:val="clea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shd w:val="clea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shd w:val="clea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hd w:val="clear"/>
              <w:spacing w:line="360" w:lineRule="auto"/>
              <w:jc w:val="center"/>
              <w:rPr>
                <w:rFonts w:hAnsi="宋体"/>
                <w:color w:val="auto"/>
                <w:sz w:val="21"/>
                <w:szCs w:val="21"/>
                <w:highlight w:val="none"/>
              </w:rPr>
            </w:pPr>
          </w:p>
        </w:tc>
        <w:tc>
          <w:tcPr>
            <w:tcW w:w="1809" w:type="dxa"/>
            <w:vAlign w:val="center"/>
          </w:tcPr>
          <w:p>
            <w:pPr>
              <w:shd w:val="clear"/>
              <w:spacing w:line="360" w:lineRule="auto"/>
              <w:jc w:val="center"/>
              <w:rPr>
                <w:rFonts w:hAnsi="宋体"/>
                <w:color w:val="auto"/>
                <w:sz w:val="21"/>
                <w:szCs w:val="21"/>
                <w:highlight w:val="none"/>
              </w:rPr>
            </w:pPr>
          </w:p>
        </w:tc>
        <w:tc>
          <w:tcPr>
            <w:tcW w:w="1809" w:type="dxa"/>
            <w:vAlign w:val="center"/>
          </w:tcPr>
          <w:p>
            <w:pPr>
              <w:shd w:val="clear"/>
              <w:spacing w:line="360" w:lineRule="auto"/>
              <w:jc w:val="center"/>
              <w:rPr>
                <w:rFonts w:hAnsi="宋体"/>
                <w:color w:val="auto"/>
                <w:sz w:val="21"/>
                <w:szCs w:val="21"/>
                <w:highlight w:val="none"/>
              </w:rPr>
            </w:pPr>
          </w:p>
        </w:tc>
        <w:tc>
          <w:tcPr>
            <w:tcW w:w="1839" w:type="dxa"/>
            <w:vAlign w:val="center"/>
          </w:tcPr>
          <w:p>
            <w:pPr>
              <w:shd w:val="clear"/>
              <w:spacing w:line="360" w:lineRule="auto"/>
              <w:jc w:val="center"/>
              <w:rPr>
                <w:rFonts w:hAnsi="宋体"/>
                <w:color w:val="auto"/>
                <w:sz w:val="21"/>
                <w:szCs w:val="21"/>
                <w:highlight w:val="none"/>
              </w:rPr>
            </w:pPr>
          </w:p>
        </w:tc>
        <w:tc>
          <w:tcPr>
            <w:tcW w:w="1851" w:type="dxa"/>
            <w:vAlign w:val="center"/>
          </w:tcPr>
          <w:p>
            <w:pPr>
              <w:shd w:val="clea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hd w:val="clear"/>
              <w:spacing w:line="360" w:lineRule="auto"/>
              <w:jc w:val="center"/>
              <w:rPr>
                <w:rFonts w:hAnsi="宋体"/>
                <w:color w:val="auto"/>
                <w:sz w:val="21"/>
                <w:szCs w:val="21"/>
                <w:highlight w:val="none"/>
              </w:rPr>
            </w:pPr>
          </w:p>
        </w:tc>
        <w:tc>
          <w:tcPr>
            <w:tcW w:w="1809" w:type="dxa"/>
            <w:vAlign w:val="center"/>
          </w:tcPr>
          <w:p>
            <w:pPr>
              <w:shd w:val="clear"/>
              <w:spacing w:line="360" w:lineRule="auto"/>
              <w:jc w:val="center"/>
              <w:rPr>
                <w:rFonts w:hAnsi="宋体"/>
                <w:color w:val="auto"/>
                <w:sz w:val="21"/>
                <w:szCs w:val="21"/>
                <w:highlight w:val="none"/>
              </w:rPr>
            </w:pPr>
          </w:p>
        </w:tc>
        <w:tc>
          <w:tcPr>
            <w:tcW w:w="1809" w:type="dxa"/>
            <w:vAlign w:val="center"/>
          </w:tcPr>
          <w:p>
            <w:pPr>
              <w:shd w:val="clear"/>
              <w:spacing w:line="360" w:lineRule="auto"/>
              <w:jc w:val="center"/>
              <w:rPr>
                <w:rFonts w:hAnsi="宋体"/>
                <w:color w:val="auto"/>
                <w:sz w:val="21"/>
                <w:szCs w:val="21"/>
                <w:highlight w:val="none"/>
              </w:rPr>
            </w:pPr>
          </w:p>
        </w:tc>
        <w:tc>
          <w:tcPr>
            <w:tcW w:w="1839" w:type="dxa"/>
            <w:vAlign w:val="center"/>
          </w:tcPr>
          <w:p>
            <w:pPr>
              <w:shd w:val="clear"/>
              <w:spacing w:line="360" w:lineRule="auto"/>
              <w:jc w:val="center"/>
              <w:rPr>
                <w:rFonts w:hAnsi="宋体"/>
                <w:color w:val="auto"/>
                <w:sz w:val="21"/>
                <w:szCs w:val="21"/>
                <w:highlight w:val="none"/>
              </w:rPr>
            </w:pPr>
          </w:p>
        </w:tc>
        <w:tc>
          <w:tcPr>
            <w:tcW w:w="1851" w:type="dxa"/>
            <w:vAlign w:val="center"/>
          </w:tcPr>
          <w:p>
            <w:pPr>
              <w:shd w:val="clea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hd w:val="clear"/>
              <w:spacing w:line="360" w:lineRule="auto"/>
              <w:jc w:val="center"/>
              <w:rPr>
                <w:rFonts w:hAnsi="宋体"/>
                <w:color w:val="auto"/>
                <w:sz w:val="21"/>
                <w:szCs w:val="21"/>
                <w:highlight w:val="none"/>
              </w:rPr>
            </w:pPr>
          </w:p>
        </w:tc>
        <w:tc>
          <w:tcPr>
            <w:tcW w:w="1809" w:type="dxa"/>
            <w:vAlign w:val="center"/>
          </w:tcPr>
          <w:p>
            <w:pPr>
              <w:shd w:val="clear"/>
              <w:spacing w:line="360" w:lineRule="auto"/>
              <w:jc w:val="center"/>
              <w:rPr>
                <w:rFonts w:hAnsi="宋体"/>
                <w:color w:val="auto"/>
                <w:sz w:val="21"/>
                <w:szCs w:val="21"/>
                <w:highlight w:val="none"/>
              </w:rPr>
            </w:pPr>
          </w:p>
        </w:tc>
        <w:tc>
          <w:tcPr>
            <w:tcW w:w="1809" w:type="dxa"/>
            <w:vAlign w:val="center"/>
          </w:tcPr>
          <w:p>
            <w:pPr>
              <w:shd w:val="clear"/>
              <w:spacing w:line="360" w:lineRule="auto"/>
              <w:jc w:val="center"/>
              <w:rPr>
                <w:rFonts w:hAnsi="宋体"/>
                <w:color w:val="auto"/>
                <w:sz w:val="21"/>
                <w:szCs w:val="21"/>
                <w:highlight w:val="none"/>
              </w:rPr>
            </w:pPr>
          </w:p>
        </w:tc>
        <w:tc>
          <w:tcPr>
            <w:tcW w:w="1839" w:type="dxa"/>
            <w:vAlign w:val="center"/>
          </w:tcPr>
          <w:p>
            <w:pPr>
              <w:shd w:val="clear"/>
              <w:spacing w:line="360" w:lineRule="auto"/>
              <w:jc w:val="center"/>
              <w:rPr>
                <w:rFonts w:hAnsi="宋体"/>
                <w:color w:val="auto"/>
                <w:sz w:val="21"/>
                <w:szCs w:val="21"/>
                <w:highlight w:val="none"/>
              </w:rPr>
            </w:pPr>
          </w:p>
        </w:tc>
        <w:tc>
          <w:tcPr>
            <w:tcW w:w="1851" w:type="dxa"/>
            <w:vAlign w:val="center"/>
          </w:tcPr>
          <w:p>
            <w:pPr>
              <w:shd w:val="clear"/>
              <w:spacing w:line="360" w:lineRule="auto"/>
              <w:jc w:val="center"/>
              <w:rPr>
                <w:rFonts w:hAnsi="宋体"/>
                <w:color w:val="auto"/>
                <w:sz w:val="21"/>
                <w:szCs w:val="21"/>
                <w:highlight w:val="none"/>
              </w:rPr>
            </w:pPr>
          </w:p>
        </w:tc>
      </w:tr>
    </w:tbl>
    <w:p>
      <w:pPr>
        <w:shd w:val="clear"/>
        <w:spacing w:line="360" w:lineRule="auto"/>
        <w:rPr>
          <w:rFonts w:hAnsi="宋体"/>
          <w:b/>
          <w:color w:val="auto"/>
          <w:sz w:val="21"/>
          <w:szCs w:val="21"/>
          <w:highlight w:val="none"/>
        </w:rPr>
      </w:pPr>
    </w:p>
    <w:p>
      <w:pPr>
        <w:shd w:val="clear"/>
        <w:tabs>
          <w:tab w:val="left" w:pos="420"/>
          <w:tab w:val="left" w:pos="1485"/>
        </w:tabs>
        <w:spacing w:line="360" w:lineRule="auto"/>
        <w:rPr>
          <w:rFonts w:hAnsi="宋体"/>
          <w:color w:val="auto"/>
          <w:sz w:val="21"/>
          <w:szCs w:val="21"/>
          <w:highlight w:val="none"/>
        </w:rPr>
      </w:pPr>
      <w:bookmarkStart w:id="241" w:name="_Toc7860"/>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bookmarkEnd w:id="241"/>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shd w:val="clea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shd w:val="clea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shd w:val="clea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shd w:val="clea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shd w:val="clea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hd w:val="clear"/>
              <w:spacing w:line="360" w:lineRule="auto"/>
              <w:jc w:val="center"/>
              <w:rPr>
                <w:rFonts w:hAnsi="宋体"/>
                <w:color w:val="auto"/>
                <w:sz w:val="21"/>
                <w:szCs w:val="21"/>
                <w:highlight w:val="none"/>
              </w:rPr>
            </w:pPr>
          </w:p>
        </w:tc>
        <w:tc>
          <w:tcPr>
            <w:tcW w:w="1800" w:type="dxa"/>
            <w:vAlign w:val="center"/>
          </w:tcPr>
          <w:p>
            <w:pPr>
              <w:shd w:val="clear"/>
              <w:spacing w:line="360" w:lineRule="auto"/>
              <w:jc w:val="center"/>
              <w:rPr>
                <w:rFonts w:hAnsi="宋体"/>
                <w:color w:val="auto"/>
                <w:sz w:val="21"/>
                <w:szCs w:val="21"/>
                <w:highlight w:val="none"/>
              </w:rPr>
            </w:pPr>
          </w:p>
        </w:tc>
        <w:tc>
          <w:tcPr>
            <w:tcW w:w="1800" w:type="dxa"/>
            <w:vAlign w:val="center"/>
          </w:tcPr>
          <w:p>
            <w:pPr>
              <w:shd w:val="clear"/>
              <w:spacing w:line="360" w:lineRule="auto"/>
              <w:jc w:val="center"/>
              <w:rPr>
                <w:rFonts w:hAnsi="宋体"/>
                <w:color w:val="auto"/>
                <w:sz w:val="21"/>
                <w:szCs w:val="21"/>
                <w:highlight w:val="none"/>
              </w:rPr>
            </w:pPr>
          </w:p>
        </w:tc>
        <w:tc>
          <w:tcPr>
            <w:tcW w:w="1830" w:type="dxa"/>
            <w:vAlign w:val="center"/>
          </w:tcPr>
          <w:p>
            <w:pPr>
              <w:shd w:val="clear"/>
              <w:spacing w:line="360" w:lineRule="auto"/>
              <w:jc w:val="center"/>
              <w:rPr>
                <w:rFonts w:hAnsi="宋体"/>
                <w:color w:val="auto"/>
                <w:sz w:val="21"/>
                <w:szCs w:val="21"/>
                <w:highlight w:val="none"/>
              </w:rPr>
            </w:pPr>
          </w:p>
        </w:tc>
        <w:tc>
          <w:tcPr>
            <w:tcW w:w="1842" w:type="dxa"/>
            <w:vAlign w:val="center"/>
          </w:tcPr>
          <w:p>
            <w:pPr>
              <w:shd w:val="clea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hd w:val="clear"/>
              <w:spacing w:line="360" w:lineRule="auto"/>
              <w:jc w:val="center"/>
              <w:rPr>
                <w:rFonts w:hAnsi="宋体"/>
                <w:color w:val="auto"/>
                <w:sz w:val="21"/>
                <w:szCs w:val="21"/>
                <w:highlight w:val="none"/>
              </w:rPr>
            </w:pPr>
          </w:p>
        </w:tc>
        <w:tc>
          <w:tcPr>
            <w:tcW w:w="1800" w:type="dxa"/>
            <w:vAlign w:val="center"/>
          </w:tcPr>
          <w:p>
            <w:pPr>
              <w:shd w:val="clear"/>
              <w:spacing w:line="360" w:lineRule="auto"/>
              <w:jc w:val="center"/>
              <w:rPr>
                <w:rFonts w:hAnsi="宋体"/>
                <w:color w:val="auto"/>
                <w:sz w:val="21"/>
                <w:szCs w:val="21"/>
                <w:highlight w:val="none"/>
              </w:rPr>
            </w:pPr>
          </w:p>
        </w:tc>
        <w:tc>
          <w:tcPr>
            <w:tcW w:w="1800" w:type="dxa"/>
            <w:vAlign w:val="center"/>
          </w:tcPr>
          <w:p>
            <w:pPr>
              <w:shd w:val="clear"/>
              <w:spacing w:line="360" w:lineRule="auto"/>
              <w:jc w:val="center"/>
              <w:rPr>
                <w:rFonts w:hAnsi="宋体"/>
                <w:color w:val="auto"/>
                <w:sz w:val="21"/>
                <w:szCs w:val="21"/>
                <w:highlight w:val="none"/>
              </w:rPr>
            </w:pPr>
          </w:p>
        </w:tc>
        <w:tc>
          <w:tcPr>
            <w:tcW w:w="1830" w:type="dxa"/>
            <w:vAlign w:val="center"/>
          </w:tcPr>
          <w:p>
            <w:pPr>
              <w:shd w:val="clear"/>
              <w:spacing w:line="360" w:lineRule="auto"/>
              <w:jc w:val="center"/>
              <w:rPr>
                <w:rFonts w:hAnsi="宋体"/>
                <w:color w:val="auto"/>
                <w:sz w:val="21"/>
                <w:szCs w:val="21"/>
                <w:highlight w:val="none"/>
              </w:rPr>
            </w:pPr>
          </w:p>
        </w:tc>
        <w:tc>
          <w:tcPr>
            <w:tcW w:w="1842" w:type="dxa"/>
            <w:vAlign w:val="center"/>
          </w:tcPr>
          <w:p>
            <w:pPr>
              <w:shd w:val="clear"/>
              <w:spacing w:line="360" w:lineRule="auto"/>
              <w:jc w:val="center"/>
              <w:rPr>
                <w:rFonts w:hAnsi="宋体"/>
                <w:color w:val="auto"/>
                <w:sz w:val="21"/>
                <w:szCs w:val="21"/>
                <w:highlight w:val="none"/>
              </w:rPr>
            </w:pPr>
          </w:p>
        </w:tc>
      </w:tr>
    </w:tbl>
    <w:p>
      <w:pPr>
        <w:shd w:val="clea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hd w:val="clea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5"/>
        <w:numPr>
          <w:ilvl w:val="0"/>
          <w:numId w:val="18"/>
        </w:numPr>
        <w:shd w:val="clear"/>
        <w:jc w:val="center"/>
        <w:rPr>
          <w:b w:val="0"/>
          <w:color w:val="auto"/>
          <w:sz w:val="28"/>
          <w:szCs w:val="28"/>
          <w:highlight w:val="none"/>
          <w:u w:val="single"/>
        </w:rPr>
      </w:pPr>
      <w:r>
        <w:rPr>
          <w:color w:val="auto"/>
          <w:sz w:val="22"/>
          <w:szCs w:val="22"/>
          <w:highlight w:val="none"/>
        </w:rPr>
        <w:br w:type="page"/>
      </w:r>
      <w:bookmarkStart w:id="242" w:name="_Toc8896"/>
      <w:bookmarkStart w:id="243" w:name="_Toc17704"/>
      <w:bookmarkStart w:id="244" w:name="_Toc27094"/>
      <w:bookmarkStart w:id="245" w:name="_Toc7897894"/>
      <w:r>
        <w:rPr>
          <w:rFonts w:hint="eastAsia"/>
          <w:bCs/>
          <w:color w:val="auto"/>
          <w:sz w:val="28"/>
          <w:szCs w:val="28"/>
          <w:highlight w:val="none"/>
        </w:rPr>
        <w:t>偏离表</w:t>
      </w:r>
      <w:bookmarkEnd w:id="217"/>
      <w:bookmarkEnd w:id="242"/>
      <w:bookmarkEnd w:id="243"/>
      <w:bookmarkEnd w:id="244"/>
      <w:bookmarkEnd w:id="245"/>
    </w:p>
    <w:p>
      <w:pPr>
        <w:pStyle w:val="14"/>
        <w:shd w:val="clear"/>
        <w:ind w:firstLine="480"/>
        <w:rPr>
          <w:color w:val="auto"/>
          <w:sz w:val="24"/>
          <w:szCs w:val="21"/>
          <w:highlight w:val="none"/>
        </w:rPr>
      </w:pP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shd w:val="clea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shd w:val="clea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shd w:val="clea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shd w:val="clear"/>
              <w:jc w:val="center"/>
              <w:rPr>
                <w:rFonts w:hAnsi="宋体"/>
                <w:b/>
                <w:bCs/>
                <w:color w:val="auto"/>
                <w:sz w:val="21"/>
                <w:szCs w:val="21"/>
                <w:highlight w:val="none"/>
              </w:rPr>
            </w:pPr>
            <w:r>
              <w:rPr>
                <w:rFonts w:hint="eastAsia" w:hAnsi="宋体"/>
                <w:b/>
                <w:bCs/>
                <w:color w:val="auto"/>
                <w:sz w:val="21"/>
                <w:szCs w:val="21"/>
                <w:highlight w:val="none"/>
              </w:rPr>
              <w:t>响应文件</w:t>
            </w:r>
          </w:p>
          <w:p>
            <w:pPr>
              <w:shd w:val="clea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shd w:val="clea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shd w:val="clear"/>
              <w:jc w:val="center"/>
              <w:rPr>
                <w:rFonts w:hAnsi="宋体"/>
                <w:b/>
                <w:bCs/>
                <w:color w:val="auto"/>
                <w:sz w:val="21"/>
                <w:szCs w:val="21"/>
                <w:highlight w:val="none"/>
              </w:rPr>
            </w:pPr>
            <w:r>
              <w:rPr>
                <w:rFonts w:hint="eastAsia" w:hAnsi="宋体"/>
                <w:b/>
                <w:bCs/>
                <w:color w:val="auto"/>
                <w:sz w:val="21"/>
                <w:szCs w:val="21"/>
                <w:highlight w:val="none"/>
              </w:rPr>
              <w:t>偏离情况</w:t>
            </w:r>
          </w:p>
          <w:p>
            <w:pPr>
              <w:shd w:val="clea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shd w:val="clear"/>
              <w:rPr>
                <w:rFonts w:hAnsi="宋体"/>
                <w:bCs/>
                <w:color w:val="auto"/>
                <w:sz w:val="21"/>
                <w:szCs w:val="21"/>
                <w:highlight w:val="none"/>
              </w:rPr>
            </w:pP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ind w:left="-446" w:leftChars="-186" w:firstLine="390" w:firstLineChars="186"/>
              <w:jc w:val="center"/>
              <w:rPr>
                <w:rFonts w:hAnsi="宋体"/>
                <w:color w:val="auto"/>
                <w:sz w:val="21"/>
                <w:szCs w:val="21"/>
                <w:highlight w:val="none"/>
              </w:rPr>
            </w:pPr>
          </w:p>
        </w:tc>
        <w:tc>
          <w:tcPr>
            <w:tcW w:w="1594" w:type="dxa"/>
            <w:vAlign w:val="center"/>
          </w:tcPr>
          <w:p>
            <w:pPr>
              <w:shd w:val="clea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shd w:val="clear"/>
              <w:rPr>
                <w:rFonts w:hAnsi="宋体"/>
                <w:bCs/>
                <w:color w:val="auto"/>
                <w:sz w:val="21"/>
                <w:szCs w:val="21"/>
                <w:highlight w:val="none"/>
              </w:rPr>
            </w:pP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jc w:val="center"/>
              <w:rPr>
                <w:rFonts w:hAnsi="宋体"/>
                <w:color w:val="auto"/>
                <w:sz w:val="21"/>
                <w:szCs w:val="21"/>
                <w:highlight w:val="none"/>
              </w:rPr>
            </w:pPr>
          </w:p>
        </w:tc>
        <w:tc>
          <w:tcPr>
            <w:tcW w:w="1594" w:type="dxa"/>
            <w:vAlign w:val="center"/>
          </w:tcPr>
          <w:p>
            <w:pPr>
              <w:shd w:val="clea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shd w:val="clear"/>
              <w:rPr>
                <w:rFonts w:hAnsi="宋体"/>
                <w:bCs/>
                <w:color w:val="auto"/>
                <w:sz w:val="21"/>
                <w:szCs w:val="21"/>
                <w:highlight w:val="none"/>
              </w:rPr>
            </w:pP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jc w:val="center"/>
              <w:rPr>
                <w:rFonts w:hAnsi="宋体"/>
                <w:color w:val="auto"/>
                <w:sz w:val="21"/>
                <w:szCs w:val="21"/>
                <w:highlight w:val="none"/>
              </w:rPr>
            </w:pPr>
          </w:p>
        </w:tc>
        <w:tc>
          <w:tcPr>
            <w:tcW w:w="1594" w:type="dxa"/>
            <w:vAlign w:val="center"/>
          </w:tcPr>
          <w:p>
            <w:pPr>
              <w:shd w:val="clea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shd w:val="clear"/>
              <w:rPr>
                <w:rFonts w:hAnsi="宋体"/>
                <w:bCs/>
                <w:color w:val="auto"/>
                <w:sz w:val="21"/>
                <w:szCs w:val="21"/>
                <w:highlight w:val="none"/>
              </w:rPr>
            </w:pP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jc w:val="center"/>
              <w:rPr>
                <w:rFonts w:hAnsi="宋体"/>
                <w:color w:val="auto"/>
                <w:sz w:val="21"/>
                <w:szCs w:val="21"/>
                <w:highlight w:val="none"/>
              </w:rPr>
            </w:pPr>
          </w:p>
        </w:tc>
        <w:tc>
          <w:tcPr>
            <w:tcW w:w="1594" w:type="dxa"/>
            <w:vAlign w:val="center"/>
          </w:tcPr>
          <w:p>
            <w:pPr>
              <w:shd w:val="clea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p>
        </w:tc>
        <w:tc>
          <w:tcPr>
            <w:tcW w:w="2161" w:type="dxa"/>
            <w:vAlign w:val="center"/>
          </w:tcPr>
          <w:p>
            <w:pPr>
              <w:shd w:val="clear"/>
              <w:rPr>
                <w:rFonts w:hAnsi="宋体"/>
                <w:bCs/>
                <w:color w:val="auto"/>
                <w:sz w:val="21"/>
                <w:szCs w:val="21"/>
                <w:highlight w:val="none"/>
              </w:rPr>
            </w:pP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jc w:val="center"/>
              <w:rPr>
                <w:rFonts w:hAnsi="宋体"/>
                <w:color w:val="auto"/>
                <w:sz w:val="21"/>
                <w:szCs w:val="21"/>
                <w:highlight w:val="none"/>
              </w:rPr>
            </w:pPr>
          </w:p>
        </w:tc>
        <w:tc>
          <w:tcPr>
            <w:tcW w:w="1594" w:type="dxa"/>
            <w:vAlign w:val="center"/>
          </w:tcPr>
          <w:p>
            <w:pPr>
              <w:shd w:val="clea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p>
        </w:tc>
        <w:tc>
          <w:tcPr>
            <w:tcW w:w="2161" w:type="dxa"/>
            <w:vAlign w:val="center"/>
          </w:tcPr>
          <w:p>
            <w:pPr>
              <w:shd w:val="clear"/>
              <w:rPr>
                <w:rFonts w:hAnsi="宋体"/>
                <w:bCs/>
                <w:color w:val="auto"/>
                <w:sz w:val="21"/>
                <w:szCs w:val="21"/>
                <w:highlight w:val="none"/>
              </w:rPr>
            </w:pP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jc w:val="center"/>
              <w:rPr>
                <w:rFonts w:hAnsi="宋体"/>
                <w:color w:val="auto"/>
                <w:sz w:val="21"/>
                <w:szCs w:val="21"/>
                <w:highlight w:val="none"/>
              </w:rPr>
            </w:pPr>
          </w:p>
        </w:tc>
        <w:tc>
          <w:tcPr>
            <w:tcW w:w="1594" w:type="dxa"/>
            <w:vAlign w:val="center"/>
          </w:tcPr>
          <w:p>
            <w:pPr>
              <w:shd w:val="clea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shd w:val="clear"/>
              <w:jc w:val="center"/>
              <w:rPr>
                <w:rFonts w:hAnsi="宋体"/>
                <w:b/>
                <w:color w:val="auto"/>
                <w:sz w:val="21"/>
                <w:szCs w:val="21"/>
                <w:highlight w:val="none"/>
              </w:rPr>
            </w:pPr>
          </w:p>
        </w:tc>
        <w:tc>
          <w:tcPr>
            <w:tcW w:w="2161" w:type="dxa"/>
            <w:vAlign w:val="center"/>
          </w:tcPr>
          <w:p>
            <w:pPr>
              <w:shd w:val="clea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shd w:val="clear"/>
              <w:jc w:val="center"/>
              <w:rPr>
                <w:rFonts w:hAnsi="宋体"/>
                <w:color w:val="auto"/>
                <w:sz w:val="21"/>
                <w:szCs w:val="21"/>
                <w:highlight w:val="none"/>
              </w:rPr>
            </w:pPr>
          </w:p>
        </w:tc>
        <w:tc>
          <w:tcPr>
            <w:tcW w:w="1984" w:type="dxa"/>
            <w:vAlign w:val="center"/>
          </w:tcPr>
          <w:p>
            <w:pPr>
              <w:shd w:val="clear"/>
              <w:jc w:val="center"/>
              <w:rPr>
                <w:rFonts w:hAnsi="宋体"/>
                <w:color w:val="auto"/>
                <w:sz w:val="21"/>
                <w:szCs w:val="21"/>
                <w:highlight w:val="none"/>
              </w:rPr>
            </w:pPr>
          </w:p>
        </w:tc>
        <w:tc>
          <w:tcPr>
            <w:tcW w:w="1276" w:type="dxa"/>
            <w:vAlign w:val="center"/>
          </w:tcPr>
          <w:p>
            <w:pPr>
              <w:shd w:val="clear"/>
              <w:jc w:val="center"/>
              <w:rPr>
                <w:rFonts w:hAnsi="宋体"/>
                <w:color w:val="auto"/>
                <w:sz w:val="21"/>
                <w:szCs w:val="21"/>
                <w:highlight w:val="none"/>
              </w:rPr>
            </w:pPr>
          </w:p>
        </w:tc>
        <w:tc>
          <w:tcPr>
            <w:tcW w:w="1594" w:type="dxa"/>
            <w:vAlign w:val="center"/>
          </w:tcPr>
          <w:p>
            <w:pPr>
              <w:shd w:val="clear"/>
              <w:jc w:val="center"/>
              <w:rPr>
                <w:rFonts w:hAnsi="宋体"/>
                <w:color w:val="auto"/>
                <w:sz w:val="21"/>
                <w:szCs w:val="21"/>
                <w:highlight w:val="none"/>
              </w:rPr>
            </w:pPr>
          </w:p>
        </w:tc>
      </w:tr>
    </w:tbl>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1.“磋商文件要求”见磋商文件“用户需求书”，“响应文件响应情况”是指供应商的投报情况。</w:t>
      </w: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pStyle w:val="5"/>
        <w:numPr>
          <w:ilvl w:val="0"/>
          <w:numId w:val="18"/>
        </w:numPr>
        <w:shd w:val="clear"/>
        <w:jc w:val="center"/>
        <w:rPr>
          <w:rFonts w:ascii="Calibri" w:hAnsi="Times New Roman"/>
          <w:color w:val="auto"/>
          <w:sz w:val="28"/>
          <w:szCs w:val="28"/>
          <w:highlight w:val="none"/>
        </w:rPr>
      </w:pPr>
      <w:bookmarkStart w:id="246" w:name="_Toc8299"/>
      <w:bookmarkStart w:id="247" w:name="_Toc10734"/>
      <w:bookmarkStart w:id="248" w:name="_Toc31965"/>
      <w:bookmarkStart w:id="249" w:name="_Toc789789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46"/>
      <w:bookmarkEnd w:id="247"/>
    </w:p>
    <w:p>
      <w:pPr>
        <w:shd w:val="clear"/>
        <w:rPr>
          <w:rFonts w:hAnsi="宋体"/>
          <w:b/>
          <w:bCs/>
          <w:color w:val="auto"/>
          <w:highlight w:val="none"/>
        </w:rPr>
      </w:pPr>
    </w:p>
    <w:p>
      <w:pPr>
        <w:shd w:val="clea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shd w:val="clea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shd w:val="clea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shd w:val="clea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shd w:val="clear"/>
              <w:autoSpaceDE/>
              <w:autoSpaceDN/>
              <w:adjustRightInd/>
              <w:spacing w:before="120" w:after="120" w:line="360" w:lineRule="auto"/>
              <w:ind w:left="629"/>
              <w:jc w:val="center"/>
              <w:rPr>
                <w:rFonts w:hAnsi="宋体"/>
                <w:color w:val="auto"/>
                <w:sz w:val="21"/>
                <w:szCs w:val="21"/>
                <w:highlight w:val="none"/>
              </w:rPr>
            </w:pPr>
          </w:p>
        </w:tc>
        <w:tc>
          <w:tcPr>
            <w:tcW w:w="1266" w:type="dxa"/>
            <w:vAlign w:val="center"/>
          </w:tcPr>
          <w:p>
            <w:pPr>
              <w:shd w:val="clea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shd w:val="clea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shd w:val="clea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shd w:val="clea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shd w:val="clea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hd w:val="clear"/>
              <w:spacing w:line="360" w:lineRule="auto"/>
              <w:jc w:val="center"/>
              <w:rPr>
                <w:rFonts w:hAnsi="宋体"/>
                <w:color w:val="auto"/>
                <w:sz w:val="21"/>
                <w:szCs w:val="21"/>
                <w:highlight w:val="none"/>
              </w:rPr>
            </w:pPr>
          </w:p>
          <w:p>
            <w:pPr>
              <w:shd w:val="clear"/>
              <w:spacing w:line="360" w:lineRule="auto"/>
              <w:jc w:val="center"/>
              <w:rPr>
                <w:rFonts w:hAnsi="宋体"/>
                <w:color w:val="auto"/>
                <w:sz w:val="21"/>
                <w:szCs w:val="21"/>
                <w:highlight w:val="none"/>
              </w:rPr>
            </w:pPr>
          </w:p>
          <w:p>
            <w:pPr>
              <w:shd w:val="clear"/>
              <w:spacing w:line="360" w:lineRule="auto"/>
              <w:jc w:val="center"/>
              <w:rPr>
                <w:rFonts w:hAnsi="宋体"/>
                <w:color w:val="auto"/>
                <w:sz w:val="21"/>
                <w:szCs w:val="21"/>
                <w:highlight w:val="none"/>
              </w:rPr>
            </w:pPr>
          </w:p>
          <w:p>
            <w:pPr>
              <w:shd w:val="clear"/>
              <w:spacing w:line="360" w:lineRule="auto"/>
              <w:jc w:val="center"/>
              <w:rPr>
                <w:rFonts w:hAnsi="宋体"/>
                <w:color w:val="auto"/>
                <w:sz w:val="21"/>
                <w:szCs w:val="21"/>
                <w:highlight w:val="none"/>
              </w:rPr>
            </w:pPr>
          </w:p>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vAlign w:val="center"/>
          </w:tcPr>
          <w:p>
            <w:pPr>
              <w:keepNext/>
              <w:keepLines/>
              <w:shd w:val="clear"/>
              <w:autoSpaceDE/>
              <w:autoSpaceDN/>
              <w:adjustRightInd/>
              <w:spacing w:before="120" w:after="120" w:line="360" w:lineRule="auto"/>
              <w:ind w:left="629"/>
              <w:jc w:val="center"/>
              <w:rPr>
                <w:rFonts w:hAnsi="宋体"/>
                <w:color w:val="auto"/>
                <w:sz w:val="21"/>
                <w:szCs w:val="21"/>
                <w:highlight w:val="none"/>
              </w:rPr>
            </w:pPr>
          </w:p>
        </w:tc>
        <w:tc>
          <w:tcPr>
            <w:tcW w:w="2079" w:type="dxa"/>
            <w:vAlign w:val="center"/>
          </w:tcPr>
          <w:p>
            <w:pPr>
              <w:keepNext/>
              <w:keepLines/>
              <w:shd w:val="clear"/>
              <w:autoSpaceDE/>
              <w:autoSpaceDN/>
              <w:adjustRightInd/>
              <w:spacing w:before="120" w:after="120" w:line="360" w:lineRule="auto"/>
              <w:ind w:left="629"/>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shd w:val="clea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629"/>
              <w:jc w:val="both"/>
              <w:rPr>
                <w:rFonts w:hAnsi="宋体"/>
                <w:color w:val="auto"/>
                <w:sz w:val="21"/>
                <w:szCs w:val="21"/>
                <w:highlight w:val="none"/>
              </w:rPr>
            </w:pPr>
          </w:p>
        </w:tc>
        <w:tc>
          <w:tcPr>
            <w:tcW w:w="2079" w:type="dxa"/>
            <w:vAlign w:val="center"/>
          </w:tcPr>
          <w:p>
            <w:pPr>
              <w:keepNext/>
              <w:keepLines/>
              <w:shd w:val="clear"/>
              <w:autoSpaceDE/>
              <w:autoSpaceDN/>
              <w:adjustRightInd/>
              <w:spacing w:before="120" w:after="120" w:line="360" w:lineRule="auto"/>
              <w:ind w:left="629"/>
              <w:jc w:val="both"/>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shd w:val="clea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shd w:val="clea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hd w:val="clear"/>
              <w:spacing w:line="360" w:lineRule="auto"/>
              <w:jc w:val="center"/>
              <w:rPr>
                <w:rFonts w:hAnsi="宋体"/>
                <w:color w:val="auto"/>
                <w:sz w:val="21"/>
                <w:szCs w:val="21"/>
                <w:highlight w:val="none"/>
              </w:rPr>
            </w:pPr>
          </w:p>
        </w:tc>
        <w:tc>
          <w:tcPr>
            <w:tcW w:w="3371" w:type="dxa"/>
            <w:vAlign w:val="center"/>
          </w:tcPr>
          <w:p>
            <w:pPr>
              <w:shd w:val="clear"/>
              <w:spacing w:line="360" w:lineRule="auto"/>
              <w:jc w:val="center"/>
              <w:rPr>
                <w:rFonts w:hAnsi="宋体"/>
                <w:color w:val="auto"/>
                <w:sz w:val="21"/>
                <w:szCs w:val="21"/>
                <w:highlight w:val="none"/>
              </w:rPr>
            </w:pPr>
          </w:p>
        </w:tc>
        <w:tc>
          <w:tcPr>
            <w:tcW w:w="2113"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shd w:val="clear"/>
              <w:autoSpaceDE/>
              <w:autoSpaceDN/>
              <w:adjustRightInd/>
              <w:spacing w:before="120" w:after="120" w:line="360" w:lineRule="auto"/>
              <w:ind w:left="-122" w:leftChars="-51"/>
              <w:jc w:val="center"/>
              <w:rPr>
                <w:rFonts w:hAnsi="宋体"/>
                <w:color w:val="auto"/>
                <w:kern w:val="2"/>
                <w:sz w:val="21"/>
                <w:szCs w:val="21"/>
                <w:highlight w:val="none"/>
              </w:rPr>
            </w:pPr>
          </w:p>
        </w:tc>
      </w:tr>
    </w:tbl>
    <w:p>
      <w:pPr>
        <w:shd w:val="clea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shd w:val="clea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rPr>
          <w:rFonts w:hAnsi="宋体"/>
          <w:color w:val="auto"/>
          <w:sz w:val="22"/>
          <w:szCs w:val="22"/>
          <w:highlight w:val="none"/>
        </w:rPr>
      </w:pPr>
      <w:r>
        <w:rPr>
          <w:rFonts w:hint="eastAsia" w:hAnsi="宋体"/>
          <w:color w:val="auto"/>
          <w:sz w:val="21"/>
          <w:szCs w:val="21"/>
          <w:highlight w:val="none"/>
        </w:rPr>
        <w:t>日期：年月日</w:t>
      </w:r>
    </w:p>
    <w:p>
      <w:pPr>
        <w:pStyle w:val="14"/>
        <w:shd w:val="clear"/>
        <w:ind w:firstLine="400"/>
        <w:rPr>
          <w:color w:val="auto"/>
          <w:highlight w:val="none"/>
        </w:rPr>
      </w:pPr>
    </w:p>
    <w:p>
      <w:pPr>
        <w:pStyle w:val="5"/>
        <w:numPr>
          <w:ilvl w:val="0"/>
          <w:numId w:val="18"/>
        </w:numPr>
        <w:shd w:val="clear"/>
        <w:jc w:val="center"/>
        <w:rPr>
          <w:color w:val="auto"/>
          <w:sz w:val="28"/>
          <w:szCs w:val="28"/>
          <w:highlight w:val="none"/>
        </w:rPr>
      </w:pPr>
      <w:bookmarkStart w:id="250" w:name="_Toc1441"/>
      <w:bookmarkStart w:id="251" w:name="_Toc12735"/>
      <w:r>
        <w:rPr>
          <w:rFonts w:hint="eastAsia"/>
          <w:bCs/>
          <w:color w:val="auto"/>
          <w:sz w:val="28"/>
          <w:szCs w:val="28"/>
          <w:highlight w:val="none"/>
        </w:rPr>
        <w:t>供应商所获资质或奖项证书一览表</w:t>
      </w:r>
      <w:bookmarkEnd w:id="248"/>
      <w:bookmarkEnd w:id="249"/>
      <w:bookmarkEnd w:id="250"/>
      <w:bookmarkEnd w:id="251"/>
    </w:p>
    <w:p>
      <w:pPr>
        <w:pStyle w:val="14"/>
        <w:shd w:val="clear"/>
        <w:tabs>
          <w:tab w:val="left" w:pos="8280"/>
        </w:tabs>
        <w:spacing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shd w:val="clear"/>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14"/>
              <w:shd w:val="clear"/>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14"/>
              <w:shd w:val="clear"/>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14"/>
              <w:shd w:val="clear"/>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14"/>
              <w:shd w:val="clear"/>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1862" w:type="dxa"/>
            <w:vAlign w:val="center"/>
          </w:tcPr>
          <w:p>
            <w:pPr>
              <w:pStyle w:val="14"/>
              <w:shd w:val="clear"/>
              <w:ind w:firstLine="422"/>
              <w:jc w:val="center"/>
              <w:rPr>
                <w:rFonts w:ascii="Times New Roman" w:hAnsi="宋体"/>
                <w:b/>
                <w:bCs/>
                <w:color w:val="auto"/>
                <w:sz w:val="21"/>
                <w:szCs w:val="21"/>
                <w:highlight w:val="none"/>
              </w:rPr>
            </w:pPr>
          </w:p>
        </w:tc>
        <w:tc>
          <w:tcPr>
            <w:tcW w:w="1529" w:type="dxa"/>
            <w:vAlign w:val="center"/>
          </w:tcPr>
          <w:p>
            <w:pPr>
              <w:pStyle w:val="14"/>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1862" w:type="dxa"/>
            <w:vAlign w:val="center"/>
          </w:tcPr>
          <w:p>
            <w:pPr>
              <w:pStyle w:val="14"/>
              <w:shd w:val="clear"/>
              <w:ind w:firstLine="422"/>
              <w:jc w:val="center"/>
              <w:rPr>
                <w:rFonts w:ascii="Times New Roman" w:hAnsi="宋体"/>
                <w:b/>
                <w:bCs/>
                <w:color w:val="auto"/>
                <w:sz w:val="21"/>
                <w:szCs w:val="21"/>
                <w:highlight w:val="none"/>
              </w:rPr>
            </w:pPr>
          </w:p>
        </w:tc>
        <w:tc>
          <w:tcPr>
            <w:tcW w:w="1529" w:type="dxa"/>
            <w:vAlign w:val="center"/>
          </w:tcPr>
          <w:p>
            <w:pPr>
              <w:pStyle w:val="14"/>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1862" w:type="dxa"/>
            <w:vAlign w:val="center"/>
          </w:tcPr>
          <w:p>
            <w:pPr>
              <w:pStyle w:val="14"/>
              <w:shd w:val="clear"/>
              <w:ind w:firstLine="422"/>
              <w:jc w:val="center"/>
              <w:rPr>
                <w:rFonts w:ascii="Times New Roman" w:hAnsi="宋体"/>
                <w:b/>
                <w:bCs/>
                <w:color w:val="auto"/>
                <w:sz w:val="21"/>
                <w:szCs w:val="21"/>
                <w:highlight w:val="none"/>
              </w:rPr>
            </w:pPr>
          </w:p>
        </w:tc>
        <w:tc>
          <w:tcPr>
            <w:tcW w:w="1529" w:type="dxa"/>
            <w:vAlign w:val="center"/>
          </w:tcPr>
          <w:p>
            <w:pPr>
              <w:pStyle w:val="14"/>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1862" w:type="dxa"/>
            <w:vAlign w:val="center"/>
          </w:tcPr>
          <w:p>
            <w:pPr>
              <w:pStyle w:val="14"/>
              <w:shd w:val="clear"/>
              <w:ind w:firstLine="422"/>
              <w:jc w:val="center"/>
              <w:rPr>
                <w:rFonts w:ascii="Times New Roman" w:hAnsi="宋体"/>
                <w:b/>
                <w:bCs/>
                <w:color w:val="auto"/>
                <w:sz w:val="21"/>
                <w:szCs w:val="21"/>
                <w:highlight w:val="none"/>
              </w:rPr>
            </w:pPr>
          </w:p>
        </w:tc>
        <w:tc>
          <w:tcPr>
            <w:tcW w:w="1529" w:type="dxa"/>
            <w:vAlign w:val="center"/>
          </w:tcPr>
          <w:p>
            <w:pPr>
              <w:pStyle w:val="14"/>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1862" w:type="dxa"/>
            <w:vAlign w:val="center"/>
          </w:tcPr>
          <w:p>
            <w:pPr>
              <w:pStyle w:val="14"/>
              <w:shd w:val="clear"/>
              <w:ind w:firstLine="422"/>
              <w:jc w:val="center"/>
              <w:rPr>
                <w:rFonts w:ascii="Times New Roman" w:hAnsi="宋体"/>
                <w:b/>
                <w:bCs/>
                <w:color w:val="auto"/>
                <w:sz w:val="21"/>
                <w:szCs w:val="21"/>
                <w:highlight w:val="none"/>
              </w:rPr>
            </w:pPr>
          </w:p>
        </w:tc>
        <w:tc>
          <w:tcPr>
            <w:tcW w:w="1529" w:type="dxa"/>
            <w:vAlign w:val="center"/>
          </w:tcPr>
          <w:p>
            <w:pPr>
              <w:pStyle w:val="14"/>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1862" w:type="dxa"/>
            <w:vAlign w:val="center"/>
          </w:tcPr>
          <w:p>
            <w:pPr>
              <w:pStyle w:val="14"/>
              <w:shd w:val="clear"/>
              <w:ind w:firstLine="422"/>
              <w:jc w:val="center"/>
              <w:rPr>
                <w:rFonts w:ascii="Times New Roman" w:hAnsi="宋体"/>
                <w:b/>
                <w:bCs/>
                <w:color w:val="auto"/>
                <w:sz w:val="21"/>
                <w:szCs w:val="21"/>
                <w:highlight w:val="none"/>
              </w:rPr>
            </w:pPr>
          </w:p>
        </w:tc>
        <w:tc>
          <w:tcPr>
            <w:tcW w:w="1529" w:type="dxa"/>
            <w:vAlign w:val="center"/>
          </w:tcPr>
          <w:p>
            <w:pPr>
              <w:pStyle w:val="14"/>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1862" w:type="dxa"/>
            <w:vAlign w:val="center"/>
          </w:tcPr>
          <w:p>
            <w:pPr>
              <w:pStyle w:val="14"/>
              <w:shd w:val="clear"/>
              <w:ind w:firstLine="422"/>
              <w:jc w:val="center"/>
              <w:rPr>
                <w:rFonts w:ascii="Times New Roman" w:hAnsi="宋体"/>
                <w:b/>
                <w:bCs/>
                <w:color w:val="auto"/>
                <w:sz w:val="21"/>
                <w:szCs w:val="21"/>
                <w:highlight w:val="none"/>
              </w:rPr>
            </w:pPr>
          </w:p>
        </w:tc>
        <w:tc>
          <w:tcPr>
            <w:tcW w:w="1529" w:type="dxa"/>
            <w:vAlign w:val="center"/>
          </w:tcPr>
          <w:p>
            <w:pPr>
              <w:pStyle w:val="14"/>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1862" w:type="dxa"/>
            <w:vAlign w:val="center"/>
          </w:tcPr>
          <w:p>
            <w:pPr>
              <w:pStyle w:val="14"/>
              <w:shd w:val="clear"/>
              <w:ind w:firstLine="422"/>
              <w:jc w:val="center"/>
              <w:rPr>
                <w:rFonts w:ascii="Times New Roman" w:hAnsi="宋体"/>
                <w:b/>
                <w:bCs/>
                <w:color w:val="auto"/>
                <w:sz w:val="21"/>
                <w:szCs w:val="21"/>
                <w:highlight w:val="none"/>
              </w:rPr>
            </w:pPr>
          </w:p>
        </w:tc>
        <w:tc>
          <w:tcPr>
            <w:tcW w:w="1529" w:type="dxa"/>
            <w:vAlign w:val="center"/>
          </w:tcPr>
          <w:p>
            <w:pPr>
              <w:pStyle w:val="14"/>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1862" w:type="dxa"/>
            <w:vAlign w:val="center"/>
          </w:tcPr>
          <w:p>
            <w:pPr>
              <w:pStyle w:val="14"/>
              <w:shd w:val="clear"/>
              <w:ind w:firstLine="422"/>
              <w:jc w:val="center"/>
              <w:rPr>
                <w:rFonts w:ascii="Times New Roman" w:hAnsi="宋体"/>
                <w:b/>
                <w:bCs/>
                <w:color w:val="auto"/>
                <w:sz w:val="21"/>
                <w:szCs w:val="21"/>
                <w:highlight w:val="none"/>
              </w:rPr>
            </w:pPr>
          </w:p>
        </w:tc>
        <w:tc>
          <w:tcPr>
            <w:tcW w:w="1529" w:type="dxa"/>
            <w:vAlign w:val="center"/>
          </w:tcPr>
          <w:p>
            <w:pPr>
              <w:pStyle w:val="14"/>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1862" w:type="dxa"/>
            <w:vAlign w:val="center"/>
          </w:tcPr>
          <w:p>
            <w:pPr>
              <w:pStyle w:val="14"/>
              <w:shd w:val="clear"/>
              <w:ind w:firstLine="422"/>
              <w:jc w:val="center"/>
              <w:rPr>
                <w:rFonts w:ascii="Times New Roman" w:hAnsi="宋体"/>
                <w:b/>
                <w:bCs/>
                <w:color w:val="auto"/>
                <w:sz w:val="21"/>
                <w:szCs w:val="21"/>
                <w:highlight w:val="none"/>
              </w:rPr>
            </w:pPr>
          </w:p>
        </w:tc>
        <w:tc>
          <w:tcPr>
            <w:tcW w:w="1529" w:type="dxa"/>
            <w:vAlign w:val="center"/>
          </w:tcPr>
          <w:p>
            <w:pPr>
              <w:pStyle w:val="14"/>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1862" w:type="dxa"/>
            <w:vAlign w:val="center"/>
          </w:tcPr>
          <w:p>
            <w:pPr>
              <w:pStyle w:val="14"/>
              <w:shd w:val="clear"/>
              <w:ind w:firstLine="422"/>
              <w:jc w:val="center"/>
              <w:rPr>
                <w:rFonts w:ascii="Times New Roman" w:hAnsi="宋体"/>
                <w:b/>
                <w:bCs/>
                <w:color w:val="auto"/>
                <w:sz w:val="21"/>
                <w:szCs w:val="21"/>
                <w:highlight w:val="none"/>
              </w:rPr>
            </w:pPr>
          </w:p>
        </w:tc>
        <w:tc>
          <w:tcPr>
            <w:tcW w:w="1529" w:type="dxa"/>
            <w:vAlign w:val="center"/>
          </w:tcPr>
          <w:p>
            <w:pPr>
              <w:pStyle w:val="14"/>
              <w:shd w:val="clear"/>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2218" w:type="dxa"/>
            <w:vAlign w:val="center"/>
          </w:tcPr>
          <w:p>
            <w:pPr>
              <w:pStyle w:val="14"/>
              <w:shd w:val="clear"/>
              <w:ind w:firstLine="422"/>
              <w:jc w:val="center"/>
              <w:rPr>
                <w:rFonts w:ascii="Times New Roman" w:hAnsi="宋体"/>
                <w:b/>
                <w:bCs/>
                <w:color w:val="auto"/>
                <w:sz w:val="21"/>
                <w:szCs w:val="21"/>
                <w:highlight w:val="none"/>
              </w:rPr>
            </w:pPr>
          </w:p>
        </w:tc>
        <w:tc>
          <w:tcPr>
            <w:tcW w:w="1862" w:type="dxa"/>
            <w:vAlign w:val="center"/>
          </w:tcPr>
          <w:p>
            <w:pPr>
              <w:pStyle w:val="14"/>
              <w:shd w:val="clear"/>
              <w:ind w:firstLine="422"/>
              <w:jc w:val="center"/>
              <w:rPr>
                <w:rFonts w:ascii="Times New Roman" w:hAnsi="宋体"/>
                <w:b/>
                <w:bCs/>
                <w:color w:val="auto"/>
                <w:sz w:val="21"/>
                <w:szCs w:val="21"/>
                <w:highlight w:val="none"/>
              </w:rPr>
            </w:pPr>
          </w:p>
        </w:tc>
        <w:tc>
          <w:tcPr>
            <w:tcW w:w="1529" w:type="dxa"/>
            <w:vAlign w:val="center"/>
          </w:tcPr>
          <w:p>
            <w:pPr>
              <w:pStyle w:val="14"/>
              <w:shd w:val="clear"/>
              <w:ind w:firstLine="422"/>
              <w:jc w:val="center"/>
              <w:rPr>
                <w:rFonts w:ascii="Times New Roman" w:hAnsi="宋体"/>
                <w:b/>
                <w:bCs/>
                <w:color w:val="auto"/>
                <w:sz w:val="21"/>
                <w:szCs w:val="21"/>
                <w:highlight w:val="none"/>
              </w:rPr>
            </w:pPr>
          </w:p>
        </w:tc>
      </w:tr>
    </w:tbl>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hd w:val="clear"/>
        <w:spacing w:line="480" w:lineRule="exact"/>
        <w:rPr>
          <w:rFonts w:hAnsi="宋体"/>
          <w:b/>
          <w:color w:val="auto"/>
          <w:szCs w:val="21"/>
          <w:highlight w:val="none"/>
          <w:u w:val="single"/>
        </w:rPr>
      </w:pPr>
    </w:p>
    <w:p>
      <w:pPr>
        <w:shd w:val="clear"/>
        <w:spacing w:line="480" w:lineRule="exact"/>
        <w:rPr>
          <w:rFonts w:hAnsi="宋体"/>
          <w:b/>
          <w:bCs/>
          <w:color w:val="auto"/>
          <w:szCs w:val="21"/>
          <w:highlight w:val="none"/>
        </w:rPr>
      </w:pPr>
    </w:p>
    <w:p>
      <w:pPr>
        <w:shd w:val="clear"/>
        <w:spacing w:line="480" w:lineRule="exact"/>
        <w:rPr>
          <w:rFonts w:hAnsi="宋体"/>
          <w:b/>
          <w:bCs/>
          <w:color w:val="auto"/>
          <w:szCs w:val="21"/>
          <w:highlight w:val="none"/>
        </w:rPr>
      </w:pPr>
    </w:p>
    <w:p>
      <w:pPr>
        <w:shd w:val="clear"/>
        <w:rPr>
          <w:color w:val="auto"/>
          <w:highlight w:val="none"/>
        </w:rPr>
      </w:pPr>
    </w:p>
    <w:p>
      <w:pPr>
        <w:pStyle w:val="5"/>
        <w:numPr>
          <w:ilvl w:val="0"/>
          <w:numId w:val="18"/>
        </w:numPr>
        <w:shd w:val="clear"/>
        <w:jc w:val="center"/>
        <w:rPr>
          <w:color w:val="auto"/>
          <w:sz w:val="28"/>
          <w:szCs w:val="28"/>
          <w:highlight w:val="none"/>
        </w:rPr>
      </w:pPr>
      <w:r>
        <w:rPr>
          <w:color w:val="auto"/>
          <w:highlight w:val="none"/>
        </w:rPr>
        <w:br w:type="page"/>
      </w:r>
      <w:bookmarkStart w:id="252" w:name="_Toc7897896"/>
      <w:bookmarkStart w:id="253" w:name="_Toc23874"/>
      <w:bookmarkStart w:id="254" w:name="_Toc4539"/>
      <w:bookmarkStart w:id="255" w:name="_Toc4884"/>
      <w:r>
        <w:rPr>
          <w:rFonts w:hint="eastAsia"/>
          <w:bCs/>
          <w:color w:val="auto"/>
          <w:sz w:val="28"/>
          <w:szCs w:val="28"/>
          <w:highlight w:val="none"/>
        </w:rPr>
        <w:t>项目业绩一览表</w:t>
      </w:r>
      <w:bookmarkEnd w:id="252"/>
      <w:bookmarkEnd w:id="253"/>
      <w:bookmarkEnd w:id="254"/>
      <w:bookmarkEnd w:id="255"/>
    </w:p>
    <w:p>
      <w:pPr>
        <w:pStyle w:val="28"/>
        <w:shd w:val="clear"/>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shd w:val="clear"/>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shd w:val="clear"/>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shd w:val="clear"/>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shd w:val="clear"/>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shd w:val="clear"/>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shd w:val="clear"/>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shd w:val="clear"/>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shd w:val="clear"/>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hd w:val="clear"/>
              <w:snapToGrid w:val="0"/>
              <w:spacing w:line="360" w:lineRule="auto"/>
              <w:rPr>
                <w:rFonts w:hAnsi="宋体"/>
                <w:color w:val="auto"/>
                <w:sz w:val="21"/>
                <w:szCs w:val="21"/>
                <w:highlight w:val="none"/>
                <w:u w:val="single"/>
              </w:rPr>
            </w:pPr>
          </w:p>
        </w:tc>
      </w:tr>
    </w:tbl>
    <w:p>
      <w:pPr>
        <w:pStyle w:val="28"/>
        <w:shd w:val="clear"/>
        <w:spacing w:line="480" w:lineRule="exact"/>
        <w:rPr>
          <w:rFonts w:hAnsi="宋体"/>
          <w:color w:val="auto"/>
          <w:sz w:val="22"/>
          <w:szCs w:val="22"/>
          <w:highlight w:val="none"/>
        </w:rPr>
      </w:pPr>
    </w:p>
    <w:p>
      <w:pPr>
        <w:pStyle w:val="28"/>
        <w:shd w:val="clear"/>
        <w:spacing w:line="480" w:lineRule="exact"/>
        <w:rPr>
          <w:rFonts w:hAnsi="宋体"/>
          <w:color w:val="auto"/>
          <w:sz w:val="22"/>
          <w:szCs w:val="22"/>
          <w:highlight w:val="none"/>
        </w:rPr>
      </w:pPr>
      <w:r>
        <w:rPr>
          <w:rFonts w:hint="eastAsia" w:hAnsi="宋体"/>
          <w:color w:val="auto"/>
          <w:sz w:val="22"/>
          <w:szCs w:val="22"/>
          <w:highlight w:val="none"/>
        </w:rPr>
        <w:t>要求：</w:t>
      </w:r>
    </w:p>
    <w:p>
      <w:pPr>
        <w:pStyle w:val="28"/>
        <w:shd w:val="clear"/>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供应商应当如实、完整地填写本表格，内容包括所有同类或近似项目业绩。根据评分标准提供相应的证明材料。在填写过程中请按年份顺序填写。</w:t>
      </w:r>
    </w:p>
    <w:p>
      <w:pPr>
        <w:pStyle w:val="28"/>
        <w:shd w:val="clear"/>
        <w:spacing w:line="480" w:lineRule="exact"/>
        <w:rPr>
          <w:rFonts w:hAnsi="宋体"/>
          <w:color w:val="auto"/>
          <w:sz w:val="22"/>
          <w:szCs w:val="22"/>
          <w:highlight w:val="none"/>
        </w:rPr>
      </w:pPr>
    </w:p>
    <w:p>
      <w:pPr>
        <w:shd w:val="clea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shd w:val="clea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shd w:val="clea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5"/>
        <w:numPr>
          <w:ilvl w:val="0"/>
          <w:numId w:val="18"/>
        </w:numPr>
        <w:shd w:val="clear"/>
        <w:jc w:val="center"/>
        <w:rPr>
          <w:b w:val="0"/>
          <w:bCs/>
          <w:color w:val="auto"/>
          <w:sz w:val="28"/>
          <w:highlight w:val="none"/>
        </w:rPr>
      </w:pPr>
      <w:r>
        <w:rPr>
          <w:color w:val="auto"/>
          <w:sz w:val="22"/>
          <w:szCs w:val="22"/>
          <w:highlight w:val="none"/>
        </w:rPr>
        <w:br w:type="page"/>
      </w:r>
      <w:bookmarkStart w:id="256" w:name="_Toc6882"/>
      <w:bookmarkStart w:id="257" w:name="_Toc17432"/>
      <w:bookmarkStart w:id="258" w:name="_Toc23633"/>
      <w:bookmarkStart w:id="259" w:name="_Toc7897897"/>
      <w:r>
        <w:rPr>
          <w:rFonts w:hint="eastAsia"/>
          <w:bCs/>
          <w:color w:val="auto"/>
          <w:sz w:val="28"/>
          <w:highlight w:val="none"/>
        </w:rPr>
        <w:t>在经营活动中没有重大违法记录的书面声明</w:t>
      </w:r>
      <w:bookmarkEnd w:id="256"/>
      <w:bookmarkEnd w:id="257"/>
      <w:bookmarkEnd w:id="258"/>
      <w:bookmarkEnd w:id="259"/>
    </w:p>
    <w:p>
      <w:pPr>
        <w:pStyle w:val="75"/>
        <w:shd w:val="clear"/>
        <w:ind w:firstLine="0" w:firstLineChars="0"/>
        <w:jc w:val="center"/>
        <w:rPr>
          <w:rFonts w:ascii="宋体" w:eastAsia="宋体"/>
          <w:b/>
          <w:color w:val="auto"/>
          <w:sz w:val="28"/>
          <w:highlight w:val="none"/>
        </w:rPr>
      </w:pPr>
    </w:p>
    <w:p>
      <w:pPr>
        <w:shd w:val="clear"/>
        <w:spacing w:line="360" w:lineRule="auto"/>
        <w:rPr>
          <w:rFonts w:hAnsi="宋体"/>
          <w:color w:val="auto"/>
          <w:sz w:val="21"/>
          <w:szCs w:val="21"/>
          <w:highlight w:val="none"/>
          <w:u w:val="single"/>
        </w:rPr>
      </w:pPr>
      <w:r>
        <w:rPr>
          <w:rFonts w:hint="eastAsia" w:hAnsi="宋体"/>
          <w:color w:val="auto"/>
          <w:sz w:val="21"/>
          <w:szCs w:val="21"/>
          <w:highlight w:val="none"/>
        </w:rPr>
        <w:t>致：</w:t>
      </w:r>
    </w:p>
    <w:p>
      <w:pPr>
        <w:shd w:val="clea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hd w:val="clea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hd w:val="clea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shd w:val="clear"/>
        <w:rPr>
          <w:rFonts w:hAnsi="宋体"/>
          <w:color w:val="auto"/>
          <w:sz w:val="21"/>
          <w:szCs w:val="21"/>
          <w:highlight w:val="none"/>
        </w:rPr>
      </w:pPr>
    </w:p>
    <w:p>
      <w:pPr>
        <w:shd w:val="clear"/>
        <w:rPr>
          <w:rFonts w:hAnsi="宋体"/>
          <w:color w:val="auto"/>
          <w:sz w:val="21"/>
          <w:szCs w:val="21"/>
          <w:highlight w:val="none"/>
        </w:rPr>
      </w:pP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18"/>
    <w:bookmarkEnd w:id="219"/>
    <w:bookmarkEnd w:id="220"/>
    <w:bookmarkEnd w:id="221"/>
    <w:bookmarkEnd w:id="222"/>
    <w:bookmarkEnd w:id="223"/>
    <w:bookmarkEnd w:id="224"/>
    <w:p>
      <w:pPr>
        <w:pStyle w:val="5"/>
        <w:numPr>
          <w:ilvl w:val="0"/>
          <w:numId w:val="18"/>
        </w:numPr>
        <w:shd w:val="clear"/>
        <w:jc w:val="center"/>
        <w:rPr>
          <w:b w:val="0"/>
          <w:color w:val="auto"/>
          <w:sz w:val="28"/>
          <w:szCs w:val="28"/>
          <w:highlight w:val="none"/>
        </w:rPr>
      </w:pPr>
      <w:bookmarkStart w:id="260" w:name="_Toc110953865"/>
      <w:bookmarkStart w:id="261" w:name="_Toc480020290"/>
      <w:bookmarkStart w:id="262" w:name="_Toc454701411"/>
      <w:bookmarkStart w:id="263" w:name="_Toc479991617"/>
      <w:bookmarkStart w:id="264" w:name="_Toc468606065"/>
      <w:bookmarkStart w:id="265" w:name="_Toc458262644"/>
      <w:bookmarkStart w:id="266" w:name="_Toc467987857"/>
      <w:bookmarkStart w:id="267" w:name="_Toc467236774"/>
      <w:bookmarkStart w:id="268" w:name="_Toc468157570"/>
      <w:bookmarkStart w:id="269" w:name="_Toc480021086"/>
      <w:bookmarkStart w:id="270" w:name="_Toc480010743"/>
      <w:bookmarkStart w:id="271" w:name="_Toc480171915"/>
      <w:bookmarkStart w:id="272" w:name="_Toc35233726"/>
      <w:r>
        <w:rPr>
          <w:color w:val="auto"/>
          <w:sz w:val="22"/>
          <w:szCs w:val="22"/>
          <w:highlight w:val="none"/>
        </w:rPr>
        <w:br w:type="page"/>
      </w:r>
      <w:bookmarkEnd w:id="260"/>
      <w:bookmarkStart w:id="273" w:name="_Toc7897900"/>
      <w:bookmarkStart w:id="274" w:name="_Toc8181"/>
      <w:bookmarkStart w:id="275" w:name="_Toc2461"/>
      <w:bookmarkStart w:id="276" w:name="_Toc18024"/>
      <w:r>
        <w:rPr>
          <w:rFonts w:hint="eastAsia"/>
          <w:color w:val="auto"/>
          <w:sz w:val="28"/>
          <w:szCs w:val="28"/>
          <w:highlight w:val="none"/>
        </w:rPr>
        <w:t>针对本项目拟派人员及其技术资格一览表</w:t>
      </w:r>
      <w:bookmarkEnd w:id="273"/>
      <w:bookmarkEnd w:id="274"/>
      <w:bookmarkEnd w:id="275"/>
      <w:bookmarkEnd w:id="276"/>
    </w:p>
    <w:p>
      <w:pPr>
        <w:pStyle w:val="28"/>
        <w:shd w:val="clear"/>
        <w:spacing w:line="480" w:lineRule="exact"/>
        <w:ind w:left="-202" w:leftChars="-84" w:firstLine="241" w:firstLineChars="100"/>
        <w:rPr>
          <w:rFonts w:hAnsi="宋体"/>
          <w:b/>
          <w:color w:val="auto"/>
          <w:sz w:val="24"/>
          <w:szCs w:val="21"/>
          <w:highlight w:val="none"/>
        </w:rPr>
      </w:pPr>
    </w:p>
    <w:p>
      <w:pPr>
        <w:pStyle w:val="28"/>
        <w:shd w:val="clear"/>
        <w:spacing w:line="480" w:lineRule="exact"/>
        <w:ind w:left="-202" w:leftChars="-84" w:firstLine="221" w:firstLineChars="100"/>
        <w:rPr>
          <w:rFonts w:hAnsi="宋体"/>
          <w:b/>
          <w:color w:val="auto"/>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hd w:val="clear"/>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8"/>
              <w:shd w:val="clear"/>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8"/>
              <w:shd w:val="clear"/>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8"/>
              <w:shd w:val="clear"/>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8"/>
              <w:shd w:val="clear"/>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8"/>
              <w:shd w:val="clear"/>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8"/>
              <w:shd w:val="clear"/>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8"/>
              <w:shd w:val="clear"/>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hd w:val="clear"/>
              <w:spacing w:line="480" w:lineRule="exact"/>
              <w:jc w:val="center"/>
              <w:rPr>
                <w:rFonts w:hAnsi="宋体"/>
                <w:color w:val="auto"/>
                <w:szCs w:val="21"/>
                <w:highlight w:val="none"/>
              </w:rPr>
            </w:pPr>
          </w:p>
        </w:tc>
        <w:tc>
          <w:tcPr>
            <w:tcW w:w="1026" w:type="dxa"/>
            <w:vAlign w:val="center"/>
          </w:tcPr>
          <w:p>
            <w:pPr>
              <w:pStyle w:val="28"/>
              <w:shd w:val="clear"/>
              <w:spacing w:line="480" w:lineRule="exact"/>
              <w:jc w:val="center"/>
              <w:rPr>
                <w:rFonts w:hAnsi="宋体"/>
                <w:color w:val="auto"/>
                <w:szCs w:val="21"/>
                <w:highlight w:val="none"/>
              </w:rPr>
            </w:pPr>
          </w:p>
        </w:tc>
        <w:tc>
          <w:tcPr>
            <w:tcW w:w="877" w:type="dxa"/>
            <w:vAlign w:val="center"/>
          </w:tcPr>
          <w:p>
            <w:pPr>
              <w:pStyle w:val="28"/>
              <w:shd w:val="clear"/>
              <w:spacing w:line="480" w:lineRule="exact"/>
              <w:jc w:val="center"/>
              <w:rPr>
                <w:rFonts w:hAnsi="宋体"/>
                <w:color w:val="auto"/>
                <w:szCs w:val="21"/>
                <w:highlight w:val="none"/>
              </w:rPr>
            </w:pPr>
          </w:p>
        </w:tc>
        <w:tc>
          <w:tcPr>
            <w:tcW w:w="1533" w:type="dxa"/>
          </w:tcPr>
          <w:p>
            <w:pPr>
              <w:pStyle w:val="28"/>
              <w:shd w:val="clear"/>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8"/>
              <w:shd w:val="clear"/>
              <w:spacing w:line="480" w:lineRule="exact"/>
              <w:jc w:val="center"/>
              <w:rPr>
                <w:rFonts w:hAnsi="宋体"/>
                <w:color w:val="auto"/>
                <w:szCs w:val="21"/>
                <w:highlight w:val="none"/>
              </w:rPr>
            </w:pPr>
          </w:p>
        </w:tc>
        <w:tc>
          <w:tcPr>
            <w:tcW w:w="1200" w:type="dxa"/>
            <w:vAlign w:val="center"/>
          </w:tcPr>
          <w:p>
            <w:pPr>
              <w:pStyle w:val="28"/>
              <w:shd w:val="clear"/>
              <w:spacing w:line="480" w:lineRule="exact"/>
              <w:jc w:val="center"/>
              <w:rPr>
                <w:rFonts w:hAnsi="宋体"/>
                <w:color w:val="auto"/>
                <w:szCs w:val="21"/>
                <w:highlight w:val="none"/>
              </w:rPr>
            </w:pPr>
          </w:p>
        </w:tc>
        <w:tc>
          <w:tcPr>
            <w:tcW w:w="1403" w:type="dxa"/>
            <w:vAlign w:val="center"/>
          </w:tcPr>
          <w:p>
            <w:pPr>
              <w:pStyle w:val="28"/>
              <w:shd w:val="clear"/>
              <w:spacing w:line="480" w:lineRule="exact"/>
              <w:jc w:val="center"/>
              <w:rPr>
                <w:rFonts w:hAnsi="宋体"/>
                <w:color w:val="auto"/>
                <w:szCs w:val="21"/>
                <w:highlight w:val="none"/>
              </w:rPr>
            </w:pPr>
          </w:p>
        </w:tc>
        <w:tc>
          <w:tcPr>
            <w:tcW w:w="1403" w:type="dxa"/>
          </w:tcPr>
          <w:p>
            <w:pPr>
              <w:pStyle w:val="28"/>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hd w:val="clear"/>
              <w:spacing w:line="480" w:lineRule="exact"/>
              <w:jc w:val="center"/>
              <w:rPr>
                <w:rFonts w:hAnsi="宋体"/>
                <w:color w:val="auto"/>
                <w:szCs w:val="21"/>
                <w:highlight w:val="none"/>
              </w:rPr>
            </w:pPr>
          </w:p>
        </w:tc>
        <w:tc>
          <w:tcPr>
            <w:tcW w:w="1026" w:type="dxa"/>
            <w:vAlign w:val="center"/>
          </w:tcPr>
          <w:p>
            <w:pPr>
              <w:pStyle w:val="28"/>
              <w:shd w:val="clear"/>
              <w:spacing w:line="480" w:lineRule="exact"/>
              <w:jc w:val="center"/>
              <w:rPr>
                <w:rFonts w:hAnsi="宋体"/>
                <w:color w:val="auto"/>
                <w:szCs w:val="21"/>
                <w:highlight w:val="none"/>
              </w:rPr>
            </w:pPr>
          </w:p>
        </w:tc>
        <w:tc>
          <w:tcPr>
            <w:tcW w:w="877" w:type="dxa"/>
            <w:vAlign w:val="center"/>
          </w:tcPr>
          <w:p>
            <w:pPr>
              <w:pStyle w:val="28"/>
              <w:shd w:val="clear"/>
              <w:spacing w:line="480" w:lineRule="exact"/>
              <w:jc w:val="center"/>
              <w:rPr>
                <w:rFonts w:hAnsi="宋体"/>
                <w:color w:val="auto"/>
                <w:szCs w:val="21"/>
                <w:highlight w:val="none"/>
              </w:rPr>
            </w:pPr>
          </w:p>
        </w:tc>
        <w:tc>
          <w:tcPr>
            <w:tcW w:w="1533" w:type="dxa"/>
            <w:vAlign w:val="center"/>
          </w:tcPr>
          <w:p>
            <w:pPr>
              <w:shd w:val="clea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8"/>
              <w:shd w:val="clear"/>
              <w:spacing w:line="480" w:lineRule="exact"/>
              <w:jc w:val="center"/>
              <w:rPr>
                <w:rFonts w:hAnsi="宋体"/>
                <w:color w:val="auto"/>
                <w:szCs w:val="21"/>
                <w:highlight w:val="none"/>
              </w:rPr>
            </w:pPr>
          </w:p>
        </w:tc>
        <w:tc>
          <w:tcPr>
            <w:tcW w:w="1200" w:type="dxa"/>
            <w:vAlign w:val="center"/>
          </w:tcPr>
          <w:p>
            <w:pPr>
              <w:pStyle w:val="28"/>
              <w:shd w:val="clear"/>
              <w:spacing w:line="480" w:lineRule="exact"/>
              <w:jc w:val="center"/>
              <w:rPr>
                <w:rFonts w:hAnsi="宋体"/>
                <w:color w:val="auto"/>
                <w:szCs w:val="21"/>
                <w:highlight w:val="none"/>
              </w:rPr>
            </w:pPr>
          </w:p>
        </w:tc>
        <w:tc>
          <w:tcPr>
            <w:tcW w:w="1403" w:type="dxa"/>
            <w:vAlign w:val="center"/>
          </w:tcPr>
          <w:p>
            <w:pPr>
              <w:pStyle w:val="28"/>
              <w:shd w:val="clear"/>
              <w:spacing w:line="480" w:lineRule="exact"/>
              <w:jc w:val="center"/>
              <w:rPr>
                <w:rFonts w:hAnsi="宋体"/>
                <w:color w:val="auto"/>
                <w:szCs w:val="21"/>
                <w:highlight w:val="none"/>
              </w:rPr>
            </w:pPr>
          </w:p>
        </w:tc>
        <w:tc>
          <w:tcPr>
            <w:tcW w:w="1403" w:type="dxa"/>
          </w:tcPr>
          <w:p>
            <w:pPr>
              <w:pStyle w:val="28"/>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hd w:val="clear"/>
              <w:spacing w:line="480" w:lineRule="exact"/>
              <w:jc w:val="center"/>
              <w:rPr>
                <w:rFonts w:hAnsi="宋体"/>
                <w:color w:val="auto"/>
                <w:szCs w:val="21"/>
                <w:highlight w:val="none"/>
              </w:rPr>
            </w:pPr>
          </w:p>
        </w:tc>
        <w:tc>
          <w:tcPr>
            <w:tcW w:w="1026" w:type="dxa"/>
            <w:vAlign w:val="center"/>
          </w:tcPr>
          <w:p>
            <w:pPr>
              <w:pStyle w:val="28"/>
              <w:shd w:val="clear"/>
              <w:spacing w:line="480" w:lineRule="exact"/>
              <w:jc w:val="center"/>
              <w:rPr>
                <w:rFonts w:hAnsi="宋体"/>
                <w:color w:val="auto"/>
                <w:szCs w:val="21"/>
                <w:highlight w:val="none"/>
              </w:rPr>
            </w:pPr>
          </w:p>
        </w:tc>
        <w:tc>
          <w:tcPr>
            <w:tcW w:w="877" w:type="dxa"/>
            <w:vAlign w:val="center"/>
          </w:tcPr>
          <w:p>
            <w:pPr>
              <w:pStyle w:val="28"/>
              <w:shd w:val="clear"/>
              <w:spacing w:line="480" w:lineRule="exact"/>
              <w:jc w:val="center"/>
              <w:rPr>
                <w:rFonts w:hAnsi="宋体"/>
                <w:color w:val="auto"/>
                <w:szCs w:val="21"/>
                <w:highlight w:val="none"/>
              </w:rPr>
            </w:pPr>
          </w:p>
        </w:tc>
        <w:tc>
          <w:tcPr>
            <w:tcW w:w="1533" w:type="dxa"/>
          </w:tcPr>
          <w:p>
            <w:pPr>
              <w:pStyle w:val="28"/>
              <w:shd w:val="clear"/>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8"/>
              <w:shd w:val="clear"/>
              <w:spacing w:line="480" w:lineRule="exact"/>
              <w:jc w:val="center"/>
              <w:rPr>
                <w:rFonts w:hAnsi="宋体"/>
                <w:color w:val="auto"/>
                <w:szCs w:val="21"/>
                <w:highlight w:val="none"/>
              </w:rPr>
            </w:pPr>
          </w:p>
        </w:tc>
        <w:tc>
          <w:tcPr>
            <w:tcW w:w="1200" w:type="dxa"/>
            <w:vAlign w:val="center"/>
          </w:tcPr>
          <w:p>
            <w:pPr>
              <w:pStyle w:val="28"/>
              <w:shd w:val="clear"/>
              <w:spacing w:line="480" w:lineRule="exact"/>
              <w:jc w:val="center"/>
              <w:rPr>
                <w:rFonts w:hAnsi="宋体"/>
                <w:color w:val="auto"/>
                <w:szCs w:val="21"/>
                <w:highlight w:val="none"/>
              </w:rPr>
            </w:pPr>
          </w:p>
        </w:tc>
        <w:tc>
          <w:tcPr>
            <w:tcW w:w="1403" w:type="dxa"/>
            <w:vAlign w:val="center"/>
          </w:tcPr>
          <w:p>
            <w:pPr>
              <w:pStyle w:val="28"/>
              <w:shd w:val="clear"/>
              <w:spacing w:line="480" w:lineRule="exact"/>
              <w:jc w:val="center"/>
              <w:rPr>
                <w:rFonts w:hAnsi="宋体"/>
                <w:color w:val="auto"/>
                <w:szCs w:val="21"/>
                <w:highlight w:val="none"/>
              </w:rPr>
            </w:pPr>
          </w:p>
        </w:tc>
        <w:tc>
          <w:tcPr>
            <w:tcW w:w="1403" w:type="dxa"/>
          </w:tcPr>
          <w:p>
            <w:pPr>
              <w:pStyle w:val="28"/>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hd w:val="clear"/>
              <w:spacing w:line="480" w:lineRule="exact"/>
              <w:jc w:val="center"/>
              <w:rPr>
                <w:rFonts w:hAnsi="宋体"/>
                <w:color w:val="auto"/>
                <w:szCs w:val="21"/>
                <w:highlight w:val="none"/>
              </w:rPr>
            </w:pPr>
          </w:p>
        </w:tc>
        <w:tc>
          <w:tcPr>
            <w:tcW w:w="1026" w:type="dxa"/>
            <w:vAlign w:val="center"/>
          </w:tcPr>
          <w:p>
            <w:pPr>
              <w:pStyle w:val="28"/>
              <w:shd w:val="clear"/>
              <w:spacing w:line="480" w:lineRule="exact"/>
              <w:jc w:val="center"/>
              <w:rPr>
                <w:rFonts w:hAnsi="宋体"/>
                <w:color w:val="auto"/>
                <w:szCs w:val="21"/>
                <w:highlight w:val="none"/>
              </w:rPr>
            </w:pPr>
          </w:p>
        </w:tc>
        <w:tc>
          <w:tcPr>
            <w:tcW w:w="877" w:type="dxa"/>
            <w:vAlign w:val="center"/>
          </w:tcPr>
          <w:p>
            <w:pPr>
              <w:pStyle w:val="28"/>
              <w:shd w:val="clear"/>
              <w:spacing w:line="480" w:lineRule="exact"/>
              <w:jc w:val="center"/>
              <w:rPr>
                <w:rFonts w:hAnsi="宋体"/>
                <w:color w:val="auto"/>
                <w:szCs w:val="21"/>
                <w:highlight w:val="none"/>
              </w:rPr>
            </w:pPr>
          </w:p>
        </w:tc>
        <w:tc>
          <w:tcPr>
            <w:tcW w:w="1533" w:type="dxa"/>
          </w:tcPr>
          <w:p>
            <w:pPr>
              <w:pStyle w:val="28"/>
              <w:shd w:val="clear"/>
              <w:spacing w:line="480" w:lineRule="exact"/>
              <w:jc w:val="center"/>
              <w:rPr>
                <w:rFonts w:hAnsi="宋体"/>
                <w:color w:val="auto"/>
                <w:szCs w:val="21"/>
                <w:highlight w:val="none"/>
              </w:rPr>
            </w:pPr>
          </w:p>
        </w:tc>
        <w:tc>
          <w:tcPr>
            <w:tcW w:w="1357" w:type="dxa"/>
            <w:vAlign w:val="center"/>
          </w:tcPr>
          <w:p>
            <w:pPr>
              <w:pStyle w:val="28"/>
              <w:shd w:val="clear"/>
              <w:spacing w:line="480" w:lineRule="exact"/>
              <w:jc w:val="center"/>
              <w:rPr>
                <w:rFonts w:hAnsi="宋体"/>
                <w:color w:val="auto"/>
                <w:szCs w:val="21"/>
                <w:highlight w:val="none"/>
              </w:rPr>
            </w:pPr>
          </w:p>
        </w:tc>
        <w:tc>
          <w:tcPr>
            <w:tcW w:w="1200" w:type="dxa"/>
            <w:vAlign w:val="center"/>
          </w:tcPr>
          <w:p>
            <w:pPr>
              <w:pStyle w:val="28"/>
              <w:shd w:val="clear"/>
              <w:spacing w:line="480" w:lineRule="exact"/>
              <w:jc w:val="center"/>
              <w:rPr>
                <w:rFonts w:hAnsi="宋体"/>
                <w:color w:val="auto"/>
                <w:szCs w:val="21"/>
                <w:highlight w:val="none"/>
              </w:rPr>
            </w:pPr>
          </w:p>
        </w:tc>
        <w:tc>
          <w:tcPr>
            <w:tcW w:w="1403" w:type="dxa"/>
            <w:vAlign w:val="center"/>
          </w:tcPr>
          <w:p>
            <w:pPr>
              <w:pStyle w:val="28"/>
              <w:shd w:val="clear"/>
              <w:spacing w:line="480" w:lineRule="exact"/>
              <w:jc w:val="center"/>
              <w:rPr>
                <w:rFonts w:hAnsi="宋体"/>
                <w:color w:val="auto"/>
                <w:szCs w:val="21"/>
                <w:highlight w:val="none"/>
              </w:rPr>
            </w:pPr>
          </w:p>
        </w:tc>
        <w:tc>
          <w:tcPr>
            <w:tcW w:w="1403" w:type="dxa"/>
          </w:tcPr>
          <w:p>
            <w:pPr>
              <w:pStyle w:val="28"/>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hd w:val="clear"/>
              <w:spacing w:line="480" w:lineRule="exact"/>
              <w:jc w:val="center"/>
              <w:rPr>
                <w:rFonts w:hAnsi="宋体"/>
                <w:color w:val="auto"/>
                <w:szCs w:val="21"/>
                <w:highlight w:val="none"/>
              </w:rPr>
            </w:pPr>
          </w:p>
        </w:tc>
        <w:tc>
          <w:tcPr>
            <w:tcW w:w="1026" w:type="dxa"/>
            <w:vAlign w:val="center"/>
          </w:tcPr>
          <w:p>
            <w:pPr>
              <w:pStyle w:val="28"/>
              <w:shd w:val="clear"/>
              <w:spacing w:line="480" w:lineRule="exact"/>
              <w:jc w:val="center"/>
              <w:rPr>
                <w:rFonts w:hAnsi="宋体"/>
                <w:color w:val="auto"/>
                <w:szCs w:val="21"/>
                <w:highlight w:val="none"/>
              </w:rPr>
            </w:pPr>
          </w:p>
        </w:tc>
        <w:tc>
          <w:tcPr>
            <w:tcW w:w="877" w:type="dxa"/>
            <w:vAlign w:val="center"/>
          </w:tcPr>
          <w:p>
            <w:pPr>
              <w:pStyle w:val="28"/>
              <w:shd w:val="clear"/>
              <w:spacing w:line="480" w:lineRule="exact"/>
              <w:jc w:val="center"/>
              <w:rPr>
                <w:rFonts w:hAnsi="宋体"/>
                <w:color w:val="auto"/>
                <w:szCs w:val="21"/>
                <w:highlight w:val="none"/>
              </w:rPr>
            </w:pPr>
          </w:p>
        </w:tc>
        <w:tc>
          <w:tcPr>
            <w:tcW w:w="1533" w:type="dxa"/>
          </w:tcPr>
          <w:p>
            <w:pPr>
              <w:pStyle w:val="28"/>
              <w:shd w:val="clear"/>
              <w:spacing w:line="480" w:lineRule="exact"/>
              <w:jc w:val="center"/>
              <w:rPr>
                <w:rFonts w:hAnsi="宋体"/>
                <w:color w:val="auto"/>
                <w:szCs w:val="21"/>
                <w:highlight w:val="none"/>
              </w:rPr>
            </w:pPr>
          </w:p>
        </w:tc>
        <w:tc>
          <w:tcPr>
            <w:tcW w:w="1357" w:type="dxa"/>
            <w:vAlign w:val="center"/>
          </w:tcPr>
          <w:p>
            <w:pPr>
              <w:pStyle w:val="28"/>
              <w:shd w:val="clear"/>
              <w:spacing w:line="480" w:lineRule="exact"/>
              <w:jc w:val="center"/>
              <w:rPr>
                <w:rFonts w:hAnsi="宋体"/>
                <w:color w:val="auto"/>
                <w:szCs w:val="21"/>
                <w:highlight w:val="none"/>
              </w:rPr>
            </w:pPr>
          </w:p>
        </w:tc>
        <w:tc>
          <w:tcPr>
            <w:tcW w:w="1200" w:type="dxa"/>
            <w:vAlign w:val="center"/>
          </w:tcPr>
          <w:p>
            <w:pPr>
              <w:pStyle w:val="28"/>
              <w:shd w:val="clear"/>
              <w:spacing w:line="480" w:lineRule="exact"/>
              <w:jc w:val="center"/>
              <w:rPr>
                <w:rFonts w:hAnsi="宋体"/>
                <w:color w:val="auto"/>
                <w:szCs w:val="21"/>
                <w:highlight w:val="none"/>
              </w:rPr>
            </w:pPr>
          </w:p>
        </w:tc>
        <w:tc>
          <w:tcPr>
            <w:tcW w:w="1403" w:type="dxa"/>
            <w:vAlign w:val="center"/>
          </w:tcPr>
          <w:p>
            <w:pPr>
              <w:pStyle w:val="28"/>
              <w:shd w:val="clear"/>
              <w:spacing w:line="480" w:lineRule="exact"/>
              <w:jc w:val="center"/>
              <w:rPr>
                <w:rFonts w:hAnsi="宋体"/>
                <w:color w:val="auto"/>
                <w:szCs w:val="21"/>
                <w:highlight w:val="none"/>
              </w:rPr>
            </w:pPr>
          </w:p>
        </w:tc>
        <w:tc>
          <w:tcPr>
            <w:tcW w:w="1403" w:type="dxa"/>
          </w:tcPr>
          <w:p>
            <w:pPr>
              <w:pStyle w:val="28"/>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hd w:val="clear"/>
              <w:spacing w:line="480" w:lineRule="exact"/>
              <w:jc w:val="center"/>
              <w:rPr>
                <w:rFonts w:hAnsi="宋体"/>
                <w:color w:val="auto"/>
                <w:szCs w:val="21"/>
                <w:highlight w:val="none"/>
              </w:rPr>
            </w:pPr>
          </w:p>
        </w:tc>
        <w:tc>
          <w:tcPr>
            <w:tcW w:w="1026" w:type="dxa"/>
            <w:vAlign w:val="center"/>
          </w:tcPr>
          <w:p>
            <w:pPr>
              <w:pStyle w:val="28"/>
              <w:shd w:val="clear"/>
              <w:spacing w:line="480" w:lineRule="exact"/>
              <w:jc w:val="center"/>
              <w:rPr>
                <w:rFonts w:hAnsi="宋体"/>
                <w:color w:val="auto"/>
                <w:szCs w:val="21"/>
                <w:highlight w:val="none"/>
              </w:rPr>
            </w:pPr>
          </w:p>
        </w:tc>
        <w:tc>
          <w:tcPr>
            <w:tcW w:w="877" w:type="dxa"/>
            <w:vAlign w:val="center"/>
          </w:tcPr>
          <w:p>
            <w:pPr>
              <w:pStyle w:val="28"/>
              <w:shd w:val="clear"/>
              <w:spacing w:line="480" w:lineRule="exact"/>
              <w:jc w:val="center"/>
              <w:rPr>
                <w:rFonts w:hAnsi="宋体"/>
                <w:color w:val="auto"/>
                <w:szCs w:val="21"/>
                <w:highlight w:val="none"/>
              </w:rPr>
            </w:pPr>
          </w:p>
        </w:tc>
        <w:tc>
          <w:tcPr>
            <w:tcW w:w="1533" w:type="dxa"/>
          </w:tcPr>
          <w:p>
            <w:pPr>
              <w:pStyle w:val="28"/>
              <w:shd w:val="clear"/>
              <w:spacing w:line="480" w:lineRule="exact"/>
              <w:jc w:val="center"/>
              <w:rPr>
                <w:rFonts w:hAnsi="宋体"/>
                <w:color w:val="auto"/>
                <w:szCs w:val="21"/>
                <w:highlight w:val="none"/>
              </w:rPr>
            </w:pPr>
          </w:p>
        </w:tc>
        <w:tc>
          <w:tcPr>
            <w:tcW w:w="1357" w:type="dxa"/>
            <w:vAlign w:val="center"/>
          </w:tcPr>
          <w:p>
            <w:pPr>
              <w:pStyle w:val="28"/>
              <w:shd w:val="clear"/>
              <w:spacing w:line="480" w:lineRule="exact"/>
              <w:jc w:val="center"/>
              <w:rPr>
                <w:rFonts w:hAnsi="宋体"/>
                <w:color w:val="auto"/>
                <w:szCs w:val="21"/>
                <w:highlight w:val="none"/>
              </w:rPr>
            </w:pPr>
          </w:p>
        </w:tc>
        <w:tc>
          <w:tcPr>
            <w:tcW w:w="1200" w:type="dxa"/>
            <w:vAlign w:val="center"/>
          </w:tcPr>
          <w:p>
            <w:pPr>
              <w:pStyle w:val="28"/>
              <w:shd w:val="clear"/>
              <w:spacing w:line="480" w:lineRule="exact"/>
              <w:jc w:val="center"/>
              <w:rPr>
                <w:rFonts w:hAnsi="宋体"/>
                <w:color w:val="auto"/>
                <w:szCs w:val="21"/>
                <w:highlight w:val="none"/>
              </w:rPr>
            </w:pPr>
          </w:p>
        </w:tc>
        <w:tc>
          <w:tcPr>
            <w:tcW w:w="1403" w:type="dxa"/>
            <w:vAlign w:val="center"/>
          </w:tcPr>
          <w:p>
            <w:pPr>
              <w:pStyle w:val="28"/>
              <w:shd w:val="clear"/>
              <w:spacing w:line="480" w:lineRule="exact"/>
              <w:jc w:val="center"/>
              <w:rPr>
                <w:rFonts w:hAnsi="宋体"/>
                <w:color w:val="auto"/>
                <w:szCs w:val="21"/>
                <w:highlight w:val="none"/>
              </w:rPr>
            </w:pPr>
          </w:p>
        </w:tc>
        <w:tc>
          <w:tcPr>
            <w:tcW w:w="1403" w:type="dxa"/>
          </w:tcPr>
          <w:p>
            <w:pPr>
              <w:pStyle w:val="28"/>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hd w:val="clear"/>
              <w:spacing w:line="480" w:lineRule="exact"/>
              <w:jc w:val="center"/>
              <w:rPr>
                <w:rFonts w:hAnsi="宋体"/>
                <w:color w:val="auto"/>
                <w:szCs w:val="21"/>
                <w:highlight w:val="none"/>
              </w:rPr>
            </w:pPr>
          </w:p>
        </w:tc>
        <w:tc>
          <w:tcPr>
            <w:tcW w:w="1026" w:type="dxa"/>
            <w:vAlign w:val="center"/>
          </w:tcPr>
          <w:p>
            <w:pPr>
              <w:pStyle w:val="28"/>
              <w:shd w:val="clear"/>
              <w:spacing w:line="480" w:lineRule="exact"/>
              <w:jc w:val="center"/>
              <w:rPr>
                <w:rFonts w:hAnsi="宋体"/>
                <w:color w:val="auto"/>
                <w:szCs w:val="21"/>
                <w:highlight w:val="none"/>
              </w:rPr>
            </w:pPr>
          </w:p>
        </w:tc>
        <w:tc>
          <w:tcPr>
            <w:tcW w:w="877" w:type="dxa"/>
            <w:vAlign w:val="center"/>
          </w:tcPr>
          <w:p>
            <w:pPr>
              <w:pStyle w:val="28"/>
              <w:shd w:val="clear"/>
              <w:spacing w:line="480" w:lineRule="exact"/>
              <w:jc w:val="center"/>
              <w:rPr>
                <w:rFonts w:hAnsi="宋体"/>
                <w:color w:val="auto"/>
                <w:szCs w:val="21"/>
                <w:highlight w:val="none"/>
              </w:rPr>
            </w:pPr>
          </w:p>
        </w:tc>
        <w:tc>
          <w:tcPr>
            <w:tcW w:w="1533" w:type="dxa"/>
          </w:tcPr>
          <w:p>
            <w:pPr>
              <w:pStyle w:val="28"/>
              <w:shd w:val="clear"/>
              <w:spacing w:line="480" w:lineRule="exact"/>
              <w:jc w:val="center"/>
              <w:rPr>
                <w:rFonts w:hAnsi="宋体"/>
                <w:color w:val="auto"/>
                <w:szCs w:val="21"/>
                <w:highlight w:val="none"/>
              </w:rPr>
            </w:pPr>
          </w:p>
        </w:tc>
        <w:tc>
          <w:tcPr>
            <w:tcW w:w="1357" w:type="dxa"/>
            <w:vAlign w:val="center"/>
          </w:tcPr>
          <w:p>
            <w:pPr>
              <w:pStyle w:val="28"/>
              <w:shd w:val="clear"/>
              <w:spacing w:line="480" w:lineRule="exact"/>
              <w:jc w:val="center"/>
              <w:rPr>
                <w:rFonts w:hAnsi="宋体"/>
                <w:color w:val="auto"/>
                <w:szCs w:val="21"/>
                <w:highlight w:val="none"/>
              </w:rPr>
            </w:pPr>
          </w:p>
        </w:tc>
        <w:tc>
          <w:tcPr>
            <w:tcW w:w="1200" w:type="dxa"/>
            <w:vAlign w:val="center"/>
          </w:tcPr>
          <w:p>
            <w:pPr>
              <w:pStyle w:val="28"/>
              <w:shd w:val="clear"/>
              <w:spacing w:line="480" w:lineRule="exact"/>
              <w:jc w:val="center"/>
              <w:rPr>
                <w:rFonts w:hAnsi="宋体"/>
                <w:color w:val="auto"/>
                <w:szCs w:val="21"/>
                <w:highlight w:val="none"/>
              </w:rPr>
            </w:pPr>
          </w:p>
        </w:tc>
        <w:tc>
          <w:tcPr>
            <w:tcW w:w="1403" w:type="dxa"/>
            <w:vAlign w:val="center"/>
          </w:tcPr>
          <w:p>
            <w:pPr>
              <w:pStyle w:val="28"/>
              <w:shd w:val="clear"/>
              <w:spacing w:line="480" w:lineRule="exact"/>
              <w:jc w:val="center"/>
              <w:rPr>
                <w:rFonts w:hAnsi="宋体"/>
                <w:color w:val="auto"/>
                <w:szCs w:val="21"/>
                <w:highlight w:val="none"/>
              </w:rPr>
            </w:pPr>
          </w:p>
        </w:tc>
        <w:tc>
          <w:tcPr>
            <w:tcW w:w="1403" w:type="dxa"/>
          </w:tcPr>
          <w:p>
            <w:pPr>
              <w:pStyle w:val="28"/>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hd w:val="clear"/>
              <w:spacing w:line="480" w:lineRule="exact"/>
              <w:jc w:val="center"/>
              <w:rPr>
                <w:rFonts w:hAnsi="宋体"/>
                <w:color w:val="auto"/>
                <w:szCs w:val="21"/>
                <w:highlight w:val="none"/>
              </w:rPr>
            </w:pPr>
          </w:p>
        </w:tc>
        <w:tc>
          <w:tcPr>
            <w:tcW w:w="1026" w:type="dxa"/>
            <w:vAlign w:val="center"/>
          </w:tcPr>
          <w:p>
            <w:pPr>
              <w:pStyle w:val="28"/>
              <w:shd w:val="clear"/>
              <w:spacing w:line="480" w:lineRule="exact"/>
              <w:jc w:val="center"/>
              <w:rPr>
                <w:rFonts w:hAnsi="宋体"/>
                <w:color w:val="auto"/>
                <w:szCs w:val="21"/>
                <w:highlight w:val="none"/>
              </w:rPr>
            </w:pPr>
          </w:p>
        </w:tc>
        <w:tc>
          <w:tcPr>
            <w:tcW w:w="877" w:type="dxa"/>
            <w:vAlign w:val="center"/>
          </w:tcPr>
          <w:p>
            <w:pPr>
              <w:pStyle w:val="28"/>
              <w:shd w:val="clear"/>
              <w:spacing w:line="480" w:lineRule="exact"/>
              <w:jc w:val="center"/>
              <w:rPr>
                <w:rFonts w:hAnsi="宋体"/>
                <w:color w:val="auto"/>
                <w:szCs w:val="21"/>
                <w:highlight w:val="none"/>
              </w:rPr>
            </w:pPr>
          </w:p>
        </w:tc>
        <w:tc>
          <w:tcPr>
            <w:tcW w:w="1533" w:type="dxa"/>
          </w:tcPr>
          <w:p>
            <w:pPr>
              <w:pStyle w:val="28"/>
              <w:shd w:val="clear"/>
              <w:spacing w:line="480" w:lineRule="exact"/>
              <w:jc w:val="center"/>
              <w:rPr>
                <w:rFonts w:hAnsi="宋体"/>
                <w:color w:val="auto"/>
                <w:szCs w:val="21"/>
                <w:highlight w:val="none"/>
              </w:rPr>
            </w:pPr>
          </w:p>
        </w:tc>
        <w:tc>
          <w:tcPr>
            <w:tcW w:w="1357" w:type="dxa"/>
            <w:vAlign w:val="center"/>
          </w:tcPr>
          <w:p>
            <w:pPr>
              <w:pStyle w:val="28"/>
              <w:shd w:val="clear"/>
              <w:spacing w:line="480" w:lineRule="exact"/>
              <w:jc w:val="center"/>
              <w:rPr>
                <w:rFonts w:hAnsi="宋体"/>
                <w:color w:val="auto"/>
                <w:szCs w:val="21"/>
                <w:highlight w:val="none"/>
              </w:rPr>
            </w:pPr>
          </w:p>
        </w:tc>
        <w:tc>
          <w:tcPr>
            <w:tcW w:w="1200" w:type="dxa"/>
            <w:vAlign w:val="center"/>
          </w:tcPr>
          <w:p>
            <w:pPr>
              <w:pStyle w:val="28"/>
              <w:shd w:val="clear"/>
              <w:spacing w:line="480" w:lineRule="exact"/>
              <w:jc w:val="center"/>
              <w:rPr>
                <w:rFonts w:hAnsi="宋体"/>
                <w:color w:val="auto"/>
                <w:szCs w:val="21"/>
                <w:highlight w:val="none"/>
              </w:rPr>
            </w:pPr>
          </w:p>
        </w:tc>
        <w:tc>
          <w:tcPr>
            <w:tcW w:w="1403" w:type="dxa"/>
            <w:vAlign w:val="center"/>
          </w:tcPr>
          <w:p>
            <w:pPr>
              <w:pStyle w:val="28"/>
              <w:shd w:val="clear"/>
              <w:spacing w:line="480" w:lineRule="exact"/>
              <w:jc w:val="center"/>
              <w:rPr>
                <w:rFonts w:hAnsi="宋体"/>
                <w:color w:val="auto"/>
                <w:szCs w:val="21"/>
                <w:highlight w:val="none"/>
              </w:rPr>
            </w:pPr>
          </w:p>
        </w:tc>
        <w:tc>
          <w:tcPr>
            <w:tcW w:w="1403" w:type="dxa"/>
          </w:tcPr>
          <w:p>
            <w:pPr>
              <w:pStyle w:val="28"/>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hd w:val="clear"/>
              <w:spacing w:line="480" w:lineRule="exact"/>
              <w:jc w:val="center"/>
              <w:rPr>
                <w:rFonts w:hAnsi="宋体"/>
                <w:color w:val="auto"/>
                <w:szCs w:val="21"/>
                <w:highlight w:val="none"/>
              </w:rPr>
            </w:pPr>
          </w:p>
        </w:tc>
        <w:tc>
          <w:tcPr>
            <w:tcW w:w="1026" w:type="dxa"/>
            <w:vAlign w:val="center"/>
          </w:tcPr>
          <w:p>
            <w:pPr>
              <w:pStyle w:val="28"/>
              <w:shd w:val="clear"/>
              <w:spacing w:line="480" w:lineRule="exact"/>
              <w:jc w:val="center"/>
              <w:rPr>
                <w:rFonts w:hAnsi="宋体"/>
                <w:color w:val="auto"/>
                <w:szCs w:val="21"/>
                <w:highlight w:val="none"/>
              </w:rPr>
            </w:pPr>
          </w:p>
        </w:tc>
        <w:tc>
          <w:tcPr>
            <w:tcW w:w="877" w:type="dxa"/>
            <w:vAlign w:val="center"/>
          </w:tcPr>
          <w:p>
            <w:pPr>
              <w:pStyle w:val="28"/>
              <w:shd w:val="clear"/>
              <w:spacing w:line="480" w:lineRule="exact"/>
              <w:jc w:val="center"/>
              <w:rPr>
                <w:rFonts w:hAnsi="宋体"/>
                <w:color w:val="auto"/>
                <w:szCs w:val="21"/>
                <w:highlight w:val="none"/>
              </w:rPr>
            </w:pPr>
          </w:p>
        </w:tc>
        <w:tc>
          <w:tcPr>
            <w:tcW w:w="1533" w:type="dxa"/>
          </w:tcPr>
          <w:p>
            <w:pPr>
              <w:pStyle w:val="28"/>
              <w:shd w:val="clear"/>
              <w:spacing w:line="480" w:lineRule="exact"/>
              <w:jc w:val="center"/>
              <w:rPr>
                <w:rFonts w:hAnsi="宋体"/>
                <w:color w:val="auto"/>
                <w:szCs w:val="21"/>
                <w:highlight w:val="none"/>
              </w:rPr>
            </w:pPr>
          </w:p>
        </w:tc>
        <w:tc>
          <w:tcPr>
            <w:tcW w:w="1357" w:type="dxa"/>
            <w:vAlign w:val="center"/>
          </w:tcPr>
          <w:p>
            <w:pPr>
              <w:pStyle w:val="28"/>
              <w:shd w:val="clear"/>
              <w:spacing w:line="480" w:lineRule="exact"/>
              <w:jc w:val="center"/>
              <w:rPr>
                <w:rFonts w:hAnsi="宋体"/>
                <w:color w:val="auto"/>
                <w:szCs w:val="21"/>
                <w:highlight w:val="none"/>
              </w:rPr>
            </w:pPr>
          </w:p>
        </w:tc>
        <w:tc>
          <w:tcPr>
            <w:tcW w:w="1200" w:type="dxa"/>
            <w:vAlign w:val="center"/>
          </w:tcPr>
          <w:p>
            <w:pPr>
              <w:pStyle w:val="28"/>
              <w:shd w:val="clear"/>
              <w:spacing w:line="480" w:lineRule="exact"/>
              <w:jc w:val="center"/>
              <w:rPr>
                <w:rFonts w:hAnsi="宋体"/>
                <w:color w:val="auto"/>
                <w:szCs w:val="21"/>
                <w:highlight w:val="none"/>
              </w:rPr>
            </w:pPr>
          </w:p>
        </w:tc>
        <w:tc>
          <w:tcPr>
            <w:tcW w:w="1403" w:type="dxa"/>
            <w:vAlign w:val="center"/>
          </w:tcPr>
          <w:p>
            <w:pPr>
              <w:pStyle w:val="28"/>
              <w:shd w:val="clear"/>
              <w:spacing w:line="480" w:lineRule="exact"/>
              <w:jc w:val="center"/>
              <w:rPr>
                <w:rFonts w:hAnsi="宋体"/>
                <w:color w:val="auto"/>
                <w:szCs w:val="21"/>
                <w:highlight w:val="none"/>
              </w:rPr>
            </w:pPr>
          </w:p>
        </w:tc>
        <w:tc>
          <w:tcPr>
            <w:tcW w:w="1403" w:type="dxa"/>
          </w:tcPr>
          <w:p>
            <w:pPr>
              <w:pStyle w:val="28"/>
              <w:shd w:val="clear"/>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hd w:val="clear"/>
              <w:spacing w:line="480" w:lineRule="exact"/>
              <w:jc w:val="center"/>
              <w:rPr>
                <w:rFonts w:hAnsi="宋体"/>
                <w:color w:val="auto"/>
                <w:szCs w:val="21"/>
                <w:highlight w:val="none"/>
              </w:rPr>
            </w:pPr>
          </w:p>
        </w:tc>
        <w:tc>
          <w:tcPr>
            <w:tcW w:w="1026" w:type="dxa"/>
            <w:vAlign w:val="center"/>
          </w:tcPr>
          <w:p>
            <w:pPr>
              <w:pStyle w:val="28"/>
              <w:shd w:val="clear"/>
              <w:spacing w:line="480" w:lineRule="exact"/>
              <w:jc w:val="center"/>
              <w:rPr>
                <w:rFonts w:hAnsi="宋体"/>
                <w:color w:val="auto"/>
                <w:szCs w:val="21"/>
                <w:highlight w:val="none"/>
              </w:rPr>
            </w:pPr>
          </w:p>
        </w:tc>
        <w:tc>
          <w:tcPr>
            <w:tcW w:w="877" w:type="dxa"/>
            <w:vAlign w:val="center"/>
          </w:tcPr>
          <w:p>
            <w:pPr>
              <w:pStyle w:val="28"/>
              <w:shd w:val="clear"/>
              <w:spacing w:line="480" w:lineRule="exact"/>
              <w:jc w:val="center"/>
              <w:rPr>
                <w:rFonts w:hAnsi="宋体"/>
                <w:color w:val="auto"/>
                <w:szCs w:val="21"/>
                <w:highlight w:val="none"/>
              </w:rPr>
            </w:pPr>
          </w:p>
        </w:tc>
        <w:tc>
          <w:tcPr>
            <w:tcW w:w="1533" w:type="dxa"/>
          </w:tcPr>
          <w:p>
            <w:pPr>
              <w:pStyle w:val="28"/>
              <w:shd w:val="clear"/>
              <w:spacing w:line="480" w:lineRule="exact"/>
              <w:jc w:val="center"/>
              <w:rPr>
                <w:rFonts w:hAnsi="宋体"/>
                <w:color w:val="auto"/>
                <w:szCs w:val="21"/>
                <w:highlight w:val="none"/>
              </w:rPr>
            </w:pPr>
          </w:p>
        </w:tc>
        <w:tc>
          <w:tcPr>
            <w:tcW w:w="1357" w:type="dxa"/>
            <w:vAlign w:val="center"/>
          </w:tcPr>
          <w:p>
            <w:pPr>
              <w:pStyle w:val="28"/>
              <w:shd w:val="clear"/>
              <w:spacing w:line="480" w:lineRule="exact"/>
              <w:jc w:val="center"/>
              <w:rPr>
                <w:rFonts w:hAnsi="宋体"/>
                <w:color w:val="auto"/>
                <w:szCs w:val="21"/>
                <w:highlight w:val="none"/>
              </w:rPr>
            </w:pPr>
          </w:p>
        </w:tc>
        <w:tc>
          <w:tcPr>
            <w:tcW w:w="1200" w:type="dxa"/>
            <w:vAlign w:val="center"/>
          </w:tcPr>
          <w:p>
            <w:pPr>
              <w:pStyle w:val="28"/>
              <w:shd w:val="clear"/>
              <w:spacing w:line="480" w:lineRule="exact"/>
              <w:jc w:val="center"/>
              <w:rPr>
                <w:rFonts w:hAnsi="宋体"/>
                <w:color w:val="auto"/>
                <w:szCs w:val="21"/>
                <w:highlight w:val="none"/>
              </w:rPr>
            </w:pPr>
          </w:p>
        </w:tc>
        <w:tc>
          <w:tcPr>
            <w:tcW w:w="1403" w:type="dxa"/>
            <w:vAlign w:val="center"/>
          </w:tcPr>
          <w:p>
            <w:pPr>
              <w:pStyle w:val="28"/>
              <w:shd w:val="clear"/>
              <w:spacing w:line="480" w:lineRule="exact"/>
              <w:jc w:val="center"/>
              <w:rPr>
                <w:rFonts w:hAnsi="宋体"/>
                <w:color w:val="auto"/>
                <w:szCs w:val="21"/>
                <w:highlight w:val="none"/>
              </w:rPr>
            </w:pPr>
          </w:p>
        </w:tc>
        <w:tc>
          <w:tcPr>
            <w:tcW w:w="1403" w:type="dxa"/>
          </w:tcPr>
          <w:p>
            <w:pPr>
              <w:pStyle w:val="28"/>
              <w:shd w:val="clear"/>
              <w:spacing w:line="480" w:lineRule="exact"/>
              <w:jc w:val="center"/>
              <w:rPr>
                <w:rFonts w:hAnsi="宋体"/>
                <w:color w:val="auto"/>
                <w:szCs w:val="21"/>
                <w:highlight w:val="none"/>
              </w:rPr>
            </w:pPr>
          </w:p>
        </w:tc>
      </w:tr>
    </w:tbl>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shd w:val="clea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
        <w:shd w:val="clear"/>
        <w:rPr>
          <w:rFonts w:hAnsi="宋体"/>
          <w:color w:val="auto"/>
          <w:sz w:val="21"/>
          <w:szCs w:val="21"/>
          <w:highlight w:val="none"/>
        </w:rPr>
      </w:pP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shd w:val="clea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shd w:val="clea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hd w:val="clear"/>
        <w:spacing w:line="480" w:lineRule="exact"/>
        <w:rPr>
          <w:rFonts w:hAnsi="宋体"/>
          <w:b/>
          <w:bCs/>
          <w:color w:val="auto"/>
          <w:szCs w:val="21"/>
          <w:highlight w:val="none"/>
          <w:u w:val="single"/>
        </w:rPr>
      </w:pPr>
    </w:p>
    <w:p>
      <w:pPr>
        <w:pStyle w:val="5"/>
        <w:numPr>
          <w:ilvl w:val="0"/>
          <w:numId w:val="18"/>
        </w:numPr>
        <w:shd w:val="clear"/>
        <w:jc w:val="center"/>
        <w:rPr>
          <w:bCs/>
          <w:color w:val="auto"/>
          <w:sz w:val="28"/>
          <w:szCs w:val="28"/>
          <w:highlight w:val="none"/>
        </w:rPr>
      </w:pPr>
      <w:r>
        <w:rPr>
          <w:bCs/>
          <w:color w:val="auto"/>
          <w:szCs w:val="21"/>
          <w:highlight w:val="none"/>
        </w:rPr>
        <w:br w:type="page"/>
      </w:r>
      <w:bookmarkEnd w:id="261"/>
      <w:bookmarkEnd w:id="262"/>
      <w:bookmarkEnd w:id="263"/>
      <w:bookmarkEnd w:id="264"/>
      <w:bookmarkEnd w:id="265"/>
      <w:bookmarkEnd w:id="266"/>
      <w:bookmarkEnd w:id="267"/>
      <w:bookmarkEnd w:id="268"/>
      <w:bookmarkEnd w:id="269"/>
      <w:bookmarkEnd w:id="270"/>
      <w:bookmarkEnd w:id="271"/>
      <w:bookmarkEnd w:id="272"/>
      <w:bookmarkStart w:id="277" w:name="_Toc13441"/>
      <w:bookmarkStart w:id="278" w:name="_Toc16598"/>
      <w:r>
        <w:rPr>
          <w:rFonts w:hint="eastAsia"/>
          <w:bCs/>
          <w:color w:val="auto"/>
          <w:sz w:val="28"/>
          <w:szCs w:val="28"/>
          <w:highlight w:val="none"/>
        </w:rPr>
        <w:t>磋商保证金汇入情况说明（适用于转账、电汇方式）</w:t>
      </w:r>
      <w:bookmarkEnd w:id="277"/>
      <w:bookmarkEnd w:id="278"/>
    </w:p>
    <w:p>
      <w:pPr>
        <w:shd w:val="clear"/>
        <w:spacing w:line="460" w:lineRule="exact"/>
        <w:rPr>
          <w:rFonts w:hAnsi="宋体"/>
          <w:b/>
          <w:bCs/>
          <w:color w:val="auto"/>
          <w:sz w:val="22"/>
          <w:szCs w:val="22"/>
          <w:highlight w:val="none"/>
        </w:rPr>
      </w:pPr>
    </w:p>
    <w:p>
      <w:pPr>
        <w:shd w:val="clea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hd w:val="clea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hd w:val="clea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hd w:val="clea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hd w:val="clea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hd w:val="clea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hd w:val="clea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hd w:val="clea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hd w:val="clea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hd w:val="clea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hd w:val="clear"/>
        <w:spacing w:line="460" w:lineRule="exact"/>
        <w:rPr>
          <w:rFonts w:hAnsi="宋体"/>
          <w:b/>
          <w:bCs/>
          <w:color w:val="auto"/>
          <w:sz w:val="21"/>
          <w:szCs w:val="21"/>
          <w:highlight w:val="none"/>
        </w:rPr>
      </w:pPr>
    </w:p>
    <w:p>
      <w:pPr>
        <w:shd w:val="clea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hd w:val="clea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hd w:val="clea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hd w:val="clea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hd w:val="clea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hd w:val="clea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hd w:val="clea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hd w:val="clear"/>
        <w:spacing w:line="360" w:lineRule="auto"/>
        <w:rPr>
          <w:rFonts w:hAnsi="宋体"/>
          <w:b/>
          <w:color w:val="auto"/>
          <w:sz w:val="21"/>
          <w:szCs w:val="21"/>
          <w:highlight w:val="none"/>
        </w:rPr>
      </w:pPr>
    </w:p>
    <w:p>
      <w:pPr>
        <w:shd w:val="clear"/>
        <w:jc w:val="center"/>
        <w:rPr>
          <w:rFonts w:hint="eastAsia"/>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bookmarkStart w:id="279" w:name="_Toc10038"/>
      <w:bookmarkStart w:id="280" w:name="_Toc23871"/>
      <w:bookmarkStart w:id="281" w:name="_Toc32258"/>
      <w:bookmarkStart w:id="282" w:name="_Toc3469"/>
      <w:bookmarkStart w:id="283" w:name="_Toc1711"/>
      <w:bookmarkStart w:id="284" w:name="_Toc28312"/>
      <w:bookmarkStart w:id="285" w:name="_Toc3023"/>
      <w:bookmarkStart w:id="286" w:name="_Toc25023"/>
      <w:bookmarkStart w:id="287" w:name="_Toc9804"/>
      <w:bookmarkStart w:id="288" w:name="_Toc24921"/>
      <w:bookmarkStart w:id="289" w:name="_Toc5810"/>
    </w:p>
    <w:p>
      <w:pPr>
        <w:rPr>
          <w:rFonts w:hint="eastAsia"/>
          <w:b/>
          <w:bCs/>
          <w:color w:val="auto"/>
          <w:highlight w:val="none"/>
          <w:lang w:eastAsia="zh-CN"/>
        </w:rPr>
      </w:pPr>
      <w:r>
        <w:rPr>
          <w:rFonts w:hint="eastAsia"/>
          <w:b/>
          <w:bCs/>
          <w:color w:val="auto"/>
          <w:highlight w:val="none"/>
          <w:lang w:eastAsia="zh-CN"/>
        </w:rPr>
        <w:br w:type="page"/>
      </w:r>
    </w:p>
    <w:p>
      <w:pPr>
        <w:pStyle w:val="5"/>
        <w:numPr>
          <w:ilvl w:val="0"/>
          <w:numId w:val="18"/>
        </w:numPr>
        <w:shd w:val="clear"/>
        <w:jc w:val="center"/>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lang w:val="en-US" w:eastAsia="zh-CN"/>
        </w:rPr>
        <w:t>成交服务费承诺书</w:t>
      </w:r>
      <w:bookmarkEnd w:id="279"/>
      <w:bookmarkEnd w:id="280"/>
      <w:bookmarkEnd w:id="281"/>
      <w:bookmarkEnd w:id="282"/>
      <w:bookmarkEnd w:id="283"/>
      <w:bookmarkEnd w:id="284"/>
      <w:bookmarkEnd w:id="285"/>
      <w:bookmarkEnd w:id="286"/>
      <w:bookmarkEnd w:id="287"/>
      <w:bookmarkEnd w:id="288"/>
      <w:bookmarkEnd w:id="289"/>
    </w:p>
    <w:p>
      <w:pPr>
        <w:spacing w:line="360" w:lineRule="auto"/>
        <w:ind w:right="893" w:rightChars="372" w:firstLine="420"/>
        <w:jc w:val="both"/>
        <w:rPr>
          <w:rFonts w:hint="eastAsia" w:hAnsi="宋体"/>
          <w:color w:val="auto"/>
          <w:kern w:val="2"/>
          <w:sz w:val="21"/>
          <w:szCs w:val="21"/>
          <w:highlight w:val="none"/>
          <w:lang w:val="zh-CN"/>
        </w:rPr>
      </w:pPr>
    </w:p>
    <w:p>
      <w:pPr>
        <w:spacing w:line="360" w:lineRule="auto"/>
        <w:ind w:right="893" w:rightChars="372"/>
        <w:jc w:val="both"/>
        <w:rPr>
          <w:rFonts w:hAnsi="宋体"/>
          <w:b/>
          <w:bCs/>
          <w:color w:val="auto"/>
          <w:kern w:val="2"/>
          <w:sz w:val="21"/>
          <w:szCs w:val="21"/>
          <w:highlight w:val="none"/>
          <w:lang w:val="zh-CN"/>
        </w:rPr>
      </w:pPr>
      <w:r>
        <w:rPr>
          <w:rFonts w:hint="eastAsia" w:hAnsi="宋体"/>
          <w:b/>
          <w:bCs/>
          <w:color w:val="auto"/>
          <w:kern w:val="2"/>
          <w:sz w:val="21"/>
          <w:szCs w:val="21"/>
          <w:highlight w:val="none"/>
          <w:lang w:val="zh-CN"/>
        </w:rPr>
        <w:t>致：广东泰通伟业工程咨询有限公司</w:t>
      </w:r>
    </w:p>
    <w:p>
      <w:pPr>
        <w:spacing w:line="360" w:lineRule="auto"/>
        <w:ind w:right="893" w:rightChars="372" w:firstLine="420"/>
        <w:jc w:val="both"/>
        <w:rPr>
          <w:rFonts w:hAnsi="宋体"/>
          <w:color w:val="auto"/>
          <w:kern w:val="2"/>
          <w:sz w:val="21"/>
          <w:szCs w:val="21"/>
          <w:highlight w:val="none"/>
          <w:lang w:val="zh-CN"/>
        </w:rPr>
      </w:pPr>
    </w:p>
    <w:p>
      <w:pPr>
        <w:tabs>
          <w:tab w:val="left" w:pos="-142"/>
        </w:tabs>
        <w:spacing w:line="360" w:lineRule="auto"/>
        <w:ind w:right="17" w:rightChars="7" w:firstLine="457" w:firstLineChars="218"/>
        <w:jc w:val="both"/>
        <w:rPr>
          <w:rFonts w:hAnsi="宋体"/>
          <w:color w:val="auto"/>
          <w:kern w:val="2"/>
          <w:sz w:val="21"/>
          <w:highlight w:val="none"/>
          <w:lang w:val="zh-CN"/>
        </w:rPr>
      </w:pPr>
      <w:r>
        <w:rPr>
          <w:rFonts w:hint="eastAsia" w:hAnsi="宋体"/>
          <w:color w:val="auto"/>
          <w:kern w:val="2"/>
          <w:sz w:val="21"/>
          <w:highlight w:val="none"/>
          <w:lang w:val="zh-CN"/>
        </w:rPr>
        <w:t>我单位在贵司代理的</w:t>
      </w:r>
      <w:r>
        <w:rPr>
          <w:rFonts w:hint="eastAsia" w:hAnsi="宋体"/>
          <w:color w:val="auto"/>
          <w:kern w:val="2"/>
          <w:sz w:val="21"/>
          <w:szCs w:val="21"/>
          <w:highlight w:val="none"/>
          <w:u w:val="single"/>
        </w:rPr>
        <w:t xml:space="preserve">                      （</w:t>
      </w:r>
      <w:r>
        <w:rPr>
          <w:rFonts w:hint="eastAsia" w:hAnsi="宋体"/>
          <w:color w:val="auto"/>
          <w:kern w:val="2"/>
          <w:sz w:val="21"/>
          <w:szCs w:val="21"/>
          <w:highlight w:val="none"/>
          <w:u w:val="single"/>
          <w:lang w:val="zh-CN"/>
        </w:rPr>
        <w:t>项目名称）</w:t>
      </w:r>
      <w:r>
        <w:rPr>
          <w:rFonts w:hint="eastAsia" w:hAnsi="宋体"/>
          <w:color w:val="auto"/>
          <w:sz w:val="21"/>
          <w:szCs w:val="32"/>
          <w:highlight w:val="none"/>
        </w:rPr>
        <w:t>(</w:t>
      </w:r>
      <w:r>
        <w:rPr>
          <w:rFonts w:hint="eastAsia" w:hAnsi="宋体"/>
          <w:color w:val="auto"/>
          <w:kern w:val="2"/>
          <w:sz w:val="21"/>
          <w:szCs w:val="21"/>
          <w:highlight w:val="none"/>
          <w:lang w:val="zh-CN"/>
        </w:rPr>
        <w:t>项目编号：</w:t>
      </w:r>
      <w:r>
        <w:rPr>
          <w:rFonts w:hint="eastAsia" w:hAnsi="宋体"/>
          <w:color w:val="auto"/>
          <w:kern w:val="2"/>
          <w:sz w:val="21"/>
          <w:szCs w:val="21"/>
          <w:highlight w:val="none"/>
        </w:rPr>
        <w:t xml:space="preserve">  </w:t>
      </w:r>
      <w:r>
        <w:rPr>
          <w:rFonts w:hint="eastAsia" w:hAnsi="宋体"/>
          <w:color w:val="auto"/>
          <w:kern w:val="2"/>
          <w:sz w:val="21"/>
          <w:szCs w:val="21"/>
          <w:highlight w:val="none"/>
          <w:lang w:val="zh-CN"/>
        </w:rPr>
        <w:t>)</w:t>
      </w:r>
      <w:r>
        <w:rPr>
          <w:rFonts w:hint="eastAsia" w:hAnsi="宋体"/>
          <w:color w:val="auto"/>
          <w:kern w:val="2"/>
          <w:sz w:val="21"/>
          <w:highlight w:val="none"/>
          <w:lang w:val="zh-CN"/>
        </w:rPr>
        <w:t>采购中若获成交，我们承诺</w:t>
      </w:r>
      <w:r>
        <w:rPr>
          <w:rFonts w:hint="eastAsia" w:hAnsi="宋体"/>
          <w:color w:val="auto"/>
          <w:kern w:val="2"/>
          <w:sz w:val="21"/>
          <w:szCs w:val="21"/>
          <w:highlight w:val="none"/>
          <w:lang w:val="zh-CN"/>
        </w:rPr>
        <w:t>收到领取《成交通知书》通知后，在五个工作日内向贵司缴纳成交服务费，否则视为放弃成交权利和义务。成交服务费参照国家计委[计价格[2002]1980号]文和国家发改委[发改价格[2011]534号]文及相关规定收取，按差额定率累进法计算，按服务类的</w:t>
      </w:r>
      <w:r>
        <w:rPr>
          <w:rFonts w:hint="eastAsia" w:hAnsi="宋体"/>
          <w:color w:val="auto"/>
          <w:kern w:val="2"/>
          <w:sz w:val="21"/>
          <w:szCs w:val="21"/>
          <w:highlight w:val="none"/>
        </w:rPr>
        <w:t>70%</w:t>
      </w:r>
      <w:r>
        <w:rPr>
          <w:rFonts w:hint="eastAsia" w:hAnsi="宋体"/>
          <w:color w:val="auto"/>
          <w:kern w:val="2"/>
          <w:sz w:val="21"/>
          <w:szCs w:val="21"/>
          <w:highlight w:val="none"/>
          <w:lang w:val="zh-CN"/>
        </w:rPr>
        <w:t>收取。以成交通知书中确定的成交总金额作为收费的计算依据。</w:t>
      </w:r>
      <w:r>
        <w:rPr>
          <w:rFonts w:hint="eastAsia" w:hAnsi="宋体"/>
          <w:color w:val="auto"/>
          <w:kern w:val="2"/>
          <w:sz w:val="21"/>
          <w:highlight w:val="none"/>
          <w:lang w:val="zh-CN"/>
        </w:rPr>
        <w:t>成交服务费以电汇、现金或经贵公司认可的一种方式，向贵公司即广东泰通伟业工程咨询有限公司指定的银行帐号，一次性支付成交服务费。</w:t>
      </w:r>
    </w:p>
    <w:p>
      <w:pPr>
        <w:spacing w:line="360" w:lineRule="auto"/>
        <w:ind w:right="893" w:rightChars="372"/>
        <w:jc w:val="both"/>
        <w:rPr>
          <w:rFonts w:hAnsi="宋体"/>
          <w:color w:val="auto"/>
          <w:kern w:val="2"/>
          <w:sz w:val="21"/>
          <w:highlight w:val="none"/>
          <w:lang w:val="zh-CN"/>
        </w:rPr>
      </w:pPr>
    </w:p>
    <w:p>
      <w:pPr>
        <w:spacing w:line="360" w:lineRule="auto"/>
        <w:ind w:right="893" w:rightChars="372" w:firstLine="480"/>
        <w:jc w:val="both"/>
        <w:rPr>
          <w:rFonts w:hAnsi="宋体"/>
          <w:color w:val="auto"/>
          <w:kern w:val="2"/>
          <w:sz w:val="21"/>
          <w:highlight w:val="none"/>
          <w:lang w:val="zh-CN"/>
        </w:rPr>
      </w:pPr>
      <w:r>
        <w:rPr>
          <w:rFonts w:hint="eastAsia" w:hAnsi="宋体"/>
          <w:color w:val="auto"/>
          <w:kern w:val="2"/>
          <w:sz w:val="21"/>
          <w:highlight w:val="none"/>
          <w:lang w:val="zh-CN"/>
        </w:rPr>
        <w:t>特此承诺！</w:t>
      </w:r>
    </w:p>
    <w:p>
      <w:pPr>
        <w:spacing w:line="360" w:lineRule="auto"/>
        <w:ind w:right="893" w:rightChars="372"/>
        <w:jc w:val="both"/>
        <w:rPr>
          <w:rFonts w:hint="eastAsia" w:hAnsi="宋体"/>
          <w:color w:val="auto"/>
          <w:kern w:val="2"/>
          <w:sz w:val="21"/>
          <w:highlight w:val="none"/>
          <w:lang w:val="zh-CN"/>
        </w:rPr>
      </w:pPr>
    </w:p>
    <w:p>
      <w:pPr>
        <w:spacing w:line="360" w:lineRule="auto"/>
        <w:ind w:right="893" w:rightChars="372"/>
        <w:jc w:val="both"/>
        <w:rPr>
          <w:rFonts w:hAnsi="宋体"/>
          <w:color w:val="auto"/>
          <w:kern w:val="2"/>
          <w:sz w:val="21"/>
          <w:highlight w:val="none"/>
          <w:lang w:val="zh-CN"/>
        </w:rPr>
      </w:pPr>
    </w:p>
    <w:p>
      <w:pPr>
        <w:spacing w:line="360" w:lineRule="auto"/>
        <w:ind w:right="893" w:rightChars="372"/>
        <w:jc w:val="both"/>
        <w:rPr>
          <w:rFonts w:hint="eastAsia" w:hAnsi="宋体"/>
          <w:color w:val="auto"/>
          <w:sz w:val="21"/>
          <w:szCs w:val="21"/>
          <w:highlight w:val="none"/>
          <w:u w:val="single"/>
        </w:rPr>
      </w:pPr>
      <w:r>
        <w:rPr>
          <w:rFonts w:hint="eastAsia" w:hAnsi="宋体"/>
          <w:color w:val="auto"/>
          <w:sz w:val="21"/>
          <w:szCs w:val="21"/>
          <w:highlight w:val="none"/>
        </w:rPr>
        <w:t>投标人名称（盖章）：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投标人法定代表人或其授权代表（签名或盖私章）：</w:t>
      </w:r>
    </w:p>
    <w:p>
      <w:pPr>
        <w:spacing w:line="360" w:lineRule="auto"/>
        <w:ind w:right="893" w:rightChars="372"/>
        <w:jc w:val="both"/>
        <w:rPr>
          <w:rFonts w:hAnsi="宋体"/>
          <w:color w:val="auto"/>
          <w:kern w:val="2"/>
          <w:sz w:val="21"/>
          <w:highlight w:val="none"/>
          <w:lang w:val="zh-CN"/>
        </w:rPr>
      </w:pPr>
      <w:r>
        <w:rPr>
          <w:rFonts w:hint="eastAsia" w:hAnsi="宋体"/>
          <w:color w:val="auto"/>
          <w:kern w:val="2"/>
          <w:sz w:val="21"/>
          <w:highlight w:val="none"/>
          <w:lang w:val="zh-CN"/>
        </w:rPr>
        <w:t>地址：</w:t>
      </w:r>
      <w:r>
        <w:rPr>
          <w:rFonts w:hAnsi="宋体"/>
          <w:color w:val="auto"/>
          <w:kern w:val="2"/>
          <w:sz w:val="21"/>
          <w:highlight w:val="none"/>
          <w:lang w:val="zh-CN"/>
        </w:rPr>
        <w:t xml:space="preserve"> </w:t>
      </w:r>
    </w:p>
    <w:p>
      <w:pPr>
        <w:spacing w:line="360" w:lineRule="auto"/>
        <w:ind w:right="893" w:rightChars="372"/>
        <w:jc w:val="both"/>
        <w:rPr>
          <w:rFonts w:hint="eastAsia" w:hAnsi="宋体"/>
          <w:color w:val="auto"/>
          <w:kern w:val="2"/>
          <w:sz w:val="21"/>
          <w:highlight w:val="none"/>
          <w:lang w:val="zh-CN"/>
        </w:rPr>
      </w:pPr>
      <w:r>
        <w:rPr>
          <w:rFonts w:hint="eastAsia" w:hAnsi="宋体"/>
          <w:color w:val="auto"/>
          <w:kern w:val="2"/>
          <w:sz w:val="21"/>
          <w:highlight w:val="none"/>
          <w:lang w:val="zh-CN"/>
        </w:rPr>
        <w:t>电话：</w:t>
      </w:r>
      <w:r>
        <w:rPr>
          <w:rFonts w:hAnsi="宋体"/>
          <w:color w:val="auto"/>
          <w:kern w:val="2"/>
          <w:sz w:val="21"/>
          <w:highlight w:val="none"/>
          <w:lang w:val="zh-CN"/>
        </w:rPr>
        <w:t xml:space="preserve"> </w:t>
      </w:r>
    </w:p>
    <w:p>
      <w:pPr>
        <w:spacing w:line="360" w:lineRule="auto"/>
        <w:ind w:right="893" w:rightChars="372"/>
        <w:jc w:val="both"/>
        <w:rPr>
          <w:rFonts w:hAnsi="宋体"/>
          <w:color w:val="auto"/>
          <w:kern w:val="2"/>
          <w:sz w:val="21"/>
          <w:highlight w:val="none"/>
          <w:lang w:val="zh-CN"/>
        </w:rPr>
      </w:pPr>
      <w:r>
        <w:rPr>
          <w:rFonts w:hint="eastAsia" w:hAnsi="宋体"/>
          <w:color w:val="auto"/>
          <w:kern w:val="2"/>
          <w:sz w:val="21"/>
          <w:highlight w:val="none"/>
          <w:lang w:val="zh-CN"/>
        </w:rPr>
        <w:t>传真：</w:t>
      </w:r>
      <w:r>
        <w:rPr>
          <w:rFonts w:hAnsi="宋体"/>
          <w:color w:val="auto"/>
          <w:kern w:val="2"/>
          <w:sz w:val="21"/>
          <w:highlight w:val="none"/>
          <w:lang w:val="zh-CN"/>
        </w:rPr>
        <w:t xml:space="preserve"> </w:t>
      </w:r>
    </w:p>
    <w:p>
      <w:pPr>
        <w:spacing w:line="360" w:lineRule="auto"/>
        <w:rPr>
          <w:rFonts w:hint="eastAsia" w:hAnsi="宋体"/>
          <w:color w:val="auto"/>
          <w:kern w:val="2"/>
          <w:sz w:val="21"/>
          <w:highlight w:val="none"/>
          <w:lang w:val="zh-CN"/>
        </w:rPr>
      </w:pPr>
      <w:r>
        <w:rPr>
          <w:rFonts w:hint="eastAsia" w:hAnsi="宋体"/>
          <w:color w:val="auto"/>
          <w:kern w:val="2"/>
          <w:sz w:val="21"/>
          <w:highlight w:val="none"/>
          <w:lang w:val="zh-CN"/>
        </w:rPr>
        <w:t>承诺日期：</w:t>
      </w:r>
    </w:p>
    <w:p>
      <w:pPr>
        <w:shd w:val="clear"/>
        <w:overflowPunct w:val="0"/>
        <w:spacing w:line="460" w:lineRule="exact"/>
        <w:rPr>
          <w:rFonts w:hAnsi="宋体"/>
          <w:color w:val="auto"/>
          <w:sz w:val="22"/>
          <w:szCs w:val="22"/>
          <w:highlight w:val="none"/>
        </w:rPr>
      </w:pPr>
    </w:p>
    <w:p>
      <w:pPr>
        <w:pStyle w:val="5"/>
        <w:pageBreakBefore/>
        <w:shd w:val="clear"/>
        <w:spacing w:line="360" w:lineRule="auto"/>
        <w:jc w:val="center"/>
        <w:rPr>
          <w:bCs/>
          <w:color w:val="auto"/>
          <w:sz w:val="28"/>
          <w:szCs w:val="28"/>
          <w:highlight w:val="none"/>
        </w:rPr>
      </w:pPr>
      <w:bookmarkStart w:id="290" w:name="_Toc19888"/>
      <w:bookmarkStart w:id="291" w:name="_Toc20966"/>
      <w:r>
        <w:rPr>
          <w:rFonts w:hint="eastAsia"/>
          <w:bCs/>
          <w:color w:val="auto"/>
          <w:sz w:val="28"/>
          <w:szCs w:val="28"/>
          <w:highlight w:val="none"/>
        </w:rPr>
        <w:t>第三部分 技术文件</w:t>
      </w:r>
      <w:bookmarkEnd w:id="290"/>
      <w:bookmarkEnd w:id="291"/>
    </w:p>
    <w:p>
      <w:pPr>
        <w:shd w:val="clear"/>
        <w:jc w:val="center"/>
        <w:rPr>
          <w:color w:val="auto"/>
          <w:highlight w:val="none"/>
        </w:rPr>
      </w:pPr>
    </w:p>
    <w:p>
      <w:pPr>
        <w:pStyle w:val="5"/>
        <w:numPr>
          <w:ilvl w:val="0"/>
          <w:numId w:val="19"/>
        </w:numPr>
        <w:shd w:val="clear"/>
        <w:jc w:val="center"/>
        <w:rPr>
          <w:color w:val="auto"/>
          <w:highlight w:val="none"/>
        </w:rPr>
      </w:pPr>
      <w:bookmarkStart w:id="292" w:name="_Toc9540"/>
      <w:bookmarkStart w:id="293" w:name="_Toc9579"/>
      <w:bookmarkStart w:id="294" w:name="_Toc7161"/>
      <w:bookmarkStart w:id="295" w:name="_Toc25949"/>
      <w:bookmarkStart w:id="296" w:name="_Toc15167"/>
      <w:bookmarkStart w:id="297" w:name="_Toc31683"/>
      <w:bookmarkStart w:id="298" w:name="_Toc28884"/>
      <w:bookmarkStart w:id="299" w:name="_Toc1852"/>
      <w:bookmarkStart w:id="300" w:name="_Toc24064"/>
      <w:r>
        <w:rPr>
          <w:rFonts w:hint="eastAsia"/>
          <w:color w:val="auto"/>
          <w:highlight w:val="none"/>
        </w:rPr>
        <w:t>技术方案</w:t>
      </w:r>
      <w:bookmarkEnd w:id="292"/>
      <w:bookmarkEnd w:id="293"/>
      <w:bookmarkEnd w:id="294"/>
      <w:bookmarkEnd w:id="295"/>
      <w:bookmarkEnd w:id="296"/>
      <w:bookmarkEnd w:id="297"/>
      <w:bookmarkEnd w:id="298"/>
      <w:bookmarkEnd w:id="299"/>
      <w:bookmarkEnd w:id="300"/>
    </w:p>
    <w:p>
      <w:pPr>
        <w:shd w:val="clear"/>
        <w:snapToGrid w:val="0"/>
        <w:spacing w:line="360" w:lineRule="auto"/>
        <w:rPr>
          <w:rFonts w:hAnsi="宋体"/>
          <w:color w:val="auto"/>
          <w:sz w:val="21"/>
          <w:szCs w:val="21"/>
          <w:highlight w:val="none"/>
        </w:rPr>
      </w:pPr>
    </w:p>
    <w:p>
      <w:pPr>
        <w:shd w:val="clea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hd w:val="clear"/>
        <w:snapToGrid w:val="0"/>
        <w:spacing w:line="360" w:lineRule="auto"/>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5"/>
        <w:numPr>
          <w:ilvl w:val="0"/>
          <w:numId w:val="19"/>
        </w:numPr>
        <w:shd w:val="clear"/>
        <w:jc w:val="center"/>
        <w:rPr>
          <w:color w:val="auto"/>
          <w:highlight w:val="none"/>
        </w:rPr>
      </w:pPr>
      <w:bookmarkStart w:id="301" w:name="_Toc28953"/>
      <w:bookmarkStart w:id="302" w:name="_Toc15530"/>
      <w:bookmarkStart w:id="303" w:name="_Toc11036"/>
      <w:bookmarkStart w:id="304" w:name="_Toc24947"/>
      <w:bookmarkStart w:id="305" w:name="_Toc9982"/>
      <w:bookmarkStart w:id="306" w:name="_Toc9619"/>
      <w:bookmarkStart w:id="307" w:name="_Toc30049"/>
      <w:bookmarkStart w:id="308" w:name="_Toc23849"/>
      <w:bookmarkStart w:id="309" w:name="_Toc12278"/>
      <w:r>
        <w:rPr>
          <w:rFonts w:hint="eastAsia"/>
          <w:color w:val="auto"/>
          <w:highlight w:val="none"/>
        </w:rPr>
        <w:t>其他资料</w:t>
      </w:r>
      <w:bookmarkEnd w:id="301"/>
      <w:bookmarkEnd w:id="302"/>
      <w:bookmarkEnd w:id="303"/>
      <w:bookmarkEnd w:id="304"/>
      <w:bookmarkEnd w:id="305"/>
      <w:bookmarkEnd w:id="306"/>
      <w:bookmarkEnd w:id="307"/>
      <w:bookmarkEnd w:id="308"/>
      <w:bookmarkEnd w:id="309"/>
    </w:p>
    <w:p>
      <w:pPr>
        <w:pStyle w:val="28"/>
        <w:shd w:val="clear"/>
        <w:spacing w:line="360" w:lineRule="auto"/>
        <w:ind w:firstLine="420"/>
        <w:rPr>
          <w:rFonts w:hAnsi="宋体"/>
          <w:color w:val="auto"/>
          <w:highlight w:val="none"/>
        </w:rPr>
      </w:pPr>
    </w:p>
    <w:p>
      <w:pPr>
        <w:shd w:val="clea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hd w:val="clea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14"/>
        <w:shd w:val="clear"/>
        <w:rPr>
          <w:rFonts w:hAnsi="宋体"/>
          <w:color w:val="auto"/>
          <w:sz w:val="21"/>
          <w:szCs w:val="21"/>
          <w:highlight w:val="none"/>
        </w:rPr>
      </w:pPr>
    </w:p>
    <w:p>
      <w:pPr>
        <w:pStyle w:val="5"/>
        <w:shd w:val="clear"/>
        <w:jc w:val="center"/>
        <w:rPr>
          <w:color w:val="auto"/>
          <w:sz w:val="28"/>
          <w:szCs w:val="28"/>
          <w:highlight w:val="none"/>
        </w:rPr>
      </w:pPr>
      <w:bookmarkStart w:id="310"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310"/>
    </w:p>
    <w:p>
      <w:pPr>
        <w:pStyle w:val="75"/>
        <w:shd w:val="clear"/>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hd w:val="clear"/>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（1）磋商保证金汇入情况说明及银行汇款凭证复印件加盖公章；</w:t>
      </w:r>
    </w:p>
    <w:p>
      <w:pPr>
        <w:pStyle w:val="75"/>
        <w:shd w:val="clear"/>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（2）法定代表人证明书原件或正本复印件加盖公章；</w:t>
      </w:r>
    </w:p>
    <w:p>
      <w:pPr>
        <w:pStyle w:val="75"/>
        <w:shd w:val="clear"/>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（3）法定代表人授权委托书原件或正本复印件加盖公章（法定代表人磋商的除外）；</w:t>
      </w:r>
    </w:p>
    <w:p>
      <w:pPr>
        <w:pStyle w:val="75"/>
        <w:shd w:val="clear"/>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（4）磋商文件电子文件（须含盖章版PDF磋商响应文件和WORD版磋商响应文件各一版，文字采用WORD文档，计算表格采用 EXCEL文档, 可采用光盘介质或U盘装载）；</w:t>
      </w:r>
    </w:p>
    <w:p>
      <w:pPr>
        <w:pStyle w:val="75"/>
        <w:shd w:val="clear"/>
        <w:spacing w:line="460" w:lineRule="exact"/>
        <w:ind w:firstLine="453"/>
        <w:rPr>
          <w:rFonts w:ascii="宋体" w:eastAsia="宋体"/>
          <w:color w:val="auto"/>
          <w:sz w:val="22"/>
          <w:szCs w:val="22"/>
          <w:highlight w:val="none"/>
        </w:rPr>
      </w:pPr>
    </w:p>
    <w:p>
      <w:pPr>
        <w:shd w:val="clear"/>
        <w:rPr>
          <w:color w:val="auto"/>
          <w:highlight w:val="none"/>
        </w:rPr>
      </w:pPr>
    </w:p>
    <w:p>
      <w:pPr>
        <w:shd w:val="clear"/>
        <w:rPr>
          <w:color w:val="auto"/>
          <w:highlight w:val="none"/>
          <w:lang w:val="zh-CN"/>
        </w:rPr>
      </w:pPr>
      <w:bookmarkStart w:id="311" w:name="_Toc396137262"/>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pStyle w:val="14"/>
        <w:shd w:val="clear"/>
        <w:ind w:firstLine="400"/>
        <w:rPr>
          <w:color w:val="auto"/>
          <w:highlight w:val="none"/>
          <w:lang w:val="zh-CN"/>
        </w:rPr>
      </w:pPr>
    </w:p>
    <w:p>
      <w:pPr>
        <w:pStyle w:val="14"/>
        <w:shd w:val="clear"/>
        <w:ind w:firstLine="400"/>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p>
      <w:pPr>
        <w:shd w:val="clear"/>
        <w:rPr>
          <w:color w:val="auto"/>
          <w:highlight w:val="none"/>
          <w:lang w:val="zh-CN"/>
        </w:rPr>
      </w:pPr>
    </w:p>
    <w:bookmarkEnd w:id="311"/>
    <w:p>
      <w:pPr>
        <w:shd w:val="clear"/>
        <w:rPr>
          <w:color w:val="auto"/>
          <w:highlight w:val="none"/>
          <w:lang w:val="zh-CN"/>
        </w:rPr>
      </w:pPr>
    </w:p>
    <w:sectPr>
      <w:headerReference r:id="rId10" w:type="default"/>
      <w:footerReference r:id="rId11" w:type="default"/>
      <w:pgSz w:w="11907" w:h="16840"/>
      <w:pgMar w:top="1440" w:right="1134" w:bottom="1440" w:left="1134" w:header="850" w:footer="720" w:gutter="0"/>
      <w:pgBorders>
        <w:top w:val="none" w:sz="0" w:space="0"/>
        <w:left w:val="none" w:sz="0" w:space="0"/>
        <w:bottom w:val="none" w:sz="0" w:space="0"/>
        <w:right w:val="none" w:sz="0" w:space="0"/>
      </w:pgBorders>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2FF016-5047-4B93-958F-A37B38F933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8626D95-075A-466A-8D9C-0C1310557B9F}"/>
  </w:font>
  <w:font w:name="Garamond">
    <w:panose1 w:val="02020502050306020203"/>
    <w:charset w:val="00"/>
    <w:family w:val="roman"/>
    <w:pitch w:val="default"/>
    <w:sig w:usb0="00000007" w:usb1="00000000" w:usb2="00000000" w:usb3="00000000" w:csb0="00000093" w:csb1="00000000"/>
  </w:font>
  <w:font w:name="仿宋">
    <w:panose1 w:val="02010609060101010101"/>
    <w:charset w:val="86"/>
    <w:family w:val="modern"/>
    <w:pitch w:val="default"/>
    <w:sig w:usb0="800002BF" w:usb1="38CF7CFA" w:usb2="00000016" w:usb3="00000000" w:csb0="00040001" w:csb1="00000000"/>
    <w:embedRegular r:id="rId3" w:fontKey="{3EE00ACF-BC26-4550-9CBA-880B75ABACCE}"/>
  </w:font>
  <w:font w:name="Helvetica">
    <w:panose1 w:val="020B0504020202030204"/>
    <w:charset w:val="00"/>
    <w:family w:val="swiss"/>
    <w:pitch w:val="default"/>
    <w:sig w:usb0="00000007"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embedRegular r:id="rId4" w:fontKey="{11345673-40E6-4F4A-B045-80637F8C6DA6}"/>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embedRegular r:id="rId5" w:fontKey="{B9C9DE9E-FCB5-4AB5-8A41-0D2A52D86161}"/>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6" w:fontKey="{B89163B1-A60D-414D-90FE-2DE83D44ABB9}"/>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思源黑体 CN Regular">
    <w:altName w:val="黑体"/>
    <w:panose1 w:val="00000000000000000000"/>
    <w:charset w:val="00"/>
    <w:family w:val="auto"/>
    <w:pitch w:val="default"/>
    <w:sig w:usb0="00000000" w:usb1="00000000" w:usb2="00000000" w:usb3="00000000" w:csb0="00040001" w:csb1="00000000"/>
  </w:font>
  <w:font w:name="时尚中黑简体">
    <w:altName w:val="黑体"/>
    <w:panose1 w:val="00000000000000000000"/>
    <w:charset w:val="86"/>
    <w:family w:val="auto"/>
    <w:pitch w:val="default"/>
    <w:sig w:usb0="00000000" w:usb1="00000000" w:usb2="00000012" w:usb3="00000000" w:csb0="00040001" w:csb1="00000000"/>
    <w:embedRegular r:id="rId7" w:fontKey="{F9CCB259-BAE7-4470-9BE9-6F3DD1EBA66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260"/>
      <w:rPr>
        <w:rFonts w:hAnsi="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fldChar w:fldCharType="begin"/>
                          </w:r>
                          <w:r>
                            <w:instrText xml:space="preserve"> PAGE  \* MERGEFORMAT </w:instrText>
                          </w:r>
                          <w:r>
                            <w:fldChar w:fldCharType="separate"/>
                          </w:r>
                          <w:r>
                            <w:t>75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6432" behindDoc="1" locked="0" layoutInCell="1" allowOverlap="1">
          <wp:simplePos x="0" y="0"/>
          <wp:positionH relativeFrom="column">
            <wp:posOffset>2621915</wp:posOffset>
          </wp:positionH>
          <wp:positionV relativeFrom="paragraph">
            <wp:posOffset>-259080</wp:posOffset>
          </wp:positionV>
          <wp:extent cx="434340" cy="434340"/>
          <wp:effectExtent l="0" t="0" r="3810" b="3810"/>
          <wp:wrapNone/>
          <wp:docPr id="9" name="图片 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2336" behindDoc="1" locked="0" layoutInCell="1" allowOverlap="1">
          <wp:simplePos x="0" y="0"/>
          <wp:positionH relativeFrom="column">
            <wp:posOffset>2621915</wp:posOffset>
          </wp:positionH>
          <wp:positionV relativeFrom="paragraph">
            <wp:posOffset>-259080</wp:posOffset>
          </wp:positionV>
          <wp:extent cx="434340" cy="434340"/>
          <wp:effectExtent l="0" t="0" r="3810" b="3810"/>
          <wp:wrapNone/>
          <wp:docPr id="11" name="图片 1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34"/>
      <w:pBdr>
        <w:bottom w:val="none" w:color="auto" w:sz="0" w:space="1"/>
      </w:pBdr>
      <w:tabs>
        <w:tab w:val="left" w:pos="5049"/>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2D0D6"/>
    <w:multiLevelType w:val="singleLevel"/>
    <w:tmpl w:val="8062D0D6"/>
    <w:lvl w:ilvl="0" w:tentative="0">
      <w:start w:val="1"/>
      <w:numFmt w:val="chineseCounting"/>
      <w:suff w:val="nothing"/>
      <w:lvlText w:val="（%1）"/>
      <w:lvlJc w:val="left"/>
      <w:pPr>
        <w:ind w:left="0" w:firstLine="420"/>
      </w:pPr>
      <w:rPr>
        <w:rFonts w:hint="eastAsia"/>
      </w:rPr>
    </w:lvl>
  </w:abstractNum>
  <w:abstractNum w:abstractNumId="1">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16"/>
    <w:multiLevelType w:val="multilevel"/>
    <w:tmpl w:val="00000016"/>
    <w:lvl w:ilvl="0" w:tentative="0">
      <w:start w:val="1"/>
      <w:numFmt w:val="decimal"/>
      <w:pStyle w:val="16"/>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2">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727DD9B"/>
    <w:multiLevelType w:val="multilevel"/>
    <w:tmpl w:val="2727DD9B"/>
    <w:lvl w:ilvl="0" w:tentative="0">
      <w:start w:val="1"/>
      <w:numFmt w:val="decimal"/>
      <w:pStyle w:val="17"/>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4">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5">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6">
    <w:nsid w:val="57289543"/>
    <w:multiLevelType w:val="singleLevel"/>
    <w:tmpl w:val="57289543"/>
    <w:lvl w:ilvl="0" w:tentative="0">
      <w:start w:val="7"/>
      <w:numFmt w:val="decimal"/>
      <w:suff w:val="nothing"/>
      <w:lvlText w:val="%1)"/>
      <w:lvlJc w:val="left"/>
    </w:lvl>
  </w:abstractNum>
  <w:abstractNum w:abstractNumId="17">
    <w:nsid w:val="6630DE0B"/>
    <w:multiLevelType w:val="singleLevel"/>
    <w:tmpl w:val="6630DE0B"/>
    <w:lvl w:ilvl="0" w:tentative="0">
      <w:start w:val="2"/>
      <w:numFmt w:val="chineseCounting"/>
      <w:suff w:val="nothing"/>
      <w:lvlText w:val="（%1）"/>
      <w:lvlJc w:val="left"/>
      <w:rPr>
        <w:rFonts w:hint="eastAsia"/>
      </w:rPr>
    </w:lvl>
  </w:abstractNum>
  <w:abstractNum w:abstractNumId="18">
    <w:nsid w:val="68C0E286"/>
    <w:multiLevelType w:val="singleLevel"/>
    <w:tmpl w:val="68C0E286"/>
    <w:lvl w:ilvl="0" w:tentative="0">
      <w:start w:val="3"/>
      <w:numFmt w:val="chineseCounting"/>
      <w:suff w:val="nothing"/>
      <w:lvlText w:val="%1、"/>
      <w:lvlJc w:val="left"/>
      <w:rPr>
        <w:rFonts w:hint="eastAsia"/>
      </w:rPr>
    </w:lvl>
  </w:abstractNum>
  <w:num w:numId="1">
    <w:abstractNumId w:val="7"/>
  </w:num>
  <w:num w:numId="2">
    <w:abstractNumId w:val="13"/>
  </w:num>
  <w:num w:numId="3">
    <w:abstractNumId w:val="14"/>
  </w:num>
  <w:num w:numId="4">
    <w:abstractNumId w:val="11"/>
  </w:num>
  <w:num w:numId="5">
    <w:abstractNumId w:val="8"/>
  </w:num>
  <w:num w:numId="6">
    <w:abstractNumId w:val="5"/>
  </w:num>
  <w:num w:numId="7">
    <w:abstractNumId w:val="3"/>
  </w:num>
  <w:num w:numId="8">
    <w:abstractNumId w:val="6"/>
  </w:num>
  <w:num w:numId="9">
    <w:abstractNumId w:val="12"/>
  </w:num>
  <w:num w:numId="10">
    <w:abstractNumId w:val="10"/>
  </w:num>
  <w:num w:numId="11">
    <w:abstractNumId w:val="18"/>
  </w:num>
  <w:num w:numId="12">
    <w:abstractNumId w:val="0"/>
  </w:num>
  <w:num w:numId="13">
    <w:abstractNumId w:val="17"/>
  </w:num>
  <w:num w:numId="14">
    <w:abstractNumId w:val="4"/>
  </w:num>
  <w:num w:numId="15">
    <w:abstractNumId w:val="16"/>
  </w:num>
  <w:num w:numId="16">
    <w:abstractNumId w:val="9"/>
  </w:num>
  <w:num w:numId="17">
    <w:abstractNumId w:val="1"/>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5ZjNkMzNmYTMwMzE2MjA0MDU3MDRkODNkNGViZmIifQ=="/>
  </w:docVars>
  <w:rsids>
    <w:rsidRoot w:val="00172A27"/>
    <w:rsid w:val="00003320"/>
    <w:rsid w:val="00010435"/>
    <w:rsid w:val="0002249C"/>
    <w:rsid w:val="00027890"/>
    <w:rsid w:val="000310C4"/>
    <w:rsid w:val="00036141"/>
    <w:rsid w:val="00055CD6"/>
    <w:rsid w:val="00060BFF"/>
    <w:rsid w:val="000656BF"/>
    <w:rsid w:val="00075200"/>
    <w:rsid w:val="000823D9"/>
    <w:rsid w:val="000E3D5A"/>
    <w:rsid w:val="000F69BF"/>
    <w:rsid w:val="00106809"/>
    <w:rsid w:val="00113D74"/>
    <w:rsid w:val="00114009"/>
    <w:rsid w:val="0011439F"/>
    <w:rsid w:val="00114927"/>
    <w:rsid w:val="00124125"/>
    <w:rsid w:val="00135223"/>
    <w:rsid w:val="00145E79"/>
    <w:rsid w:val="00152EFD"/>
    <w:rsid w:val="001617C8"/>
    <w:rsid w:val="00172A27"/>
    <w:rsid w:val="001749FA"/>
    <w:rsid w:val="001B549E"/>
    <w:rsid w:val="001B72E4"/>
    <w:rsid w:val="001C49E6"/>
    <w:rsid w:val="001C51E0"/>
    <w:rsid w:val="001D4260"/>
    <w:rsid w:val="001E2687"/>
    <w:rsid w:val="001E68CA"/>
    <w:rsid w:val="002002A4"/>
    <w:rsid w:val="00201FF9"/>
    <w:rsid w:val="00216ABC"/>
    <w:rsid w:val="002172C9"/>
    <w:rsid w:val="00217AB8"/>
    <w:rsid w:val="002326CA"/>
    <w:rsid w:val="0025621E"/>
    <w:rsid w:val="00265319"/>
    <w:rsid w:val="00265A37"/>
    <w:rsid w:val="00267764"/>
    <w:rsid w:val="00270A95"/>
    <w:rsid w:val="002877C1"/>
    <w:rsid w:val="002908F6"/>
    <w:rsid w:val="00291FAB"/>
    <w:rsid w:val="002C0888"/>
    <w:rsid w:val="002C53F2"/>
    <w:rsid w:val="002D14E4"/>
    <w:rsid w:val="002D4AB1"/>
    <w:rsid w:val="002D687C"/>
    <w:rsid w:val="002E58AE"/>
    <w:rsid w:val="003537B6"/>
    <w:rsid w:val="00354336"/>
    <w:rsid w:val="003613BD"/>
    <w:rsid w:val="00376337"/>
    <w:rsid w:val="003824C3"/>
    <w:rsid w:val="00391ED7"/>
    <w:rsid w:val="00393E42"/>
    <w:rsid w:val="003A2560"/>
    <w:rsid w:val="003C228D"/>
    <w:rsid w:val="003C2F31"/>
    <w:rsid w:val="00414870"/>
    <w:rsid w:val="004167E4"/>
    <w:rsid w:val="004207FB"/>
    <w:rsid w:val="0044257A"/>
    <w:rsid w:val="0045071E"/>
    <w:rsid w:val="0046288B"/>
    <w:rsid w:val="00465BC3"/>
    <w:rsid w:val="00473DA1"/>
    <w:rsid w:val="004D1919"/>
    <w:rsid w:val="004D2652"/>
    <w:rsid w:val="005471BA"/>
    <w:rsid w:val="00553F3A"/>
    <w:rsid w:val="00555F92"/>
    <w:rsid w:val="00563F71"/>
    <w:rsid w:val="005663EA"/>
    <w:rsid w:val="00585BAB"/>
    <w:rsid w:val="005A06DF"/>
    <w:rsid w:val="005A5A0D"/>
    <w:rsid w:val="005B5C14"/>
    <w:rsid w:val="005C3A06"/>
    <w:rsid w:val="005C7F93"/>
    <w:rsid w:val="005E0DBE"/>
    <w:rsid w:val="005F37C4"/>
    <w:rsid w:val="006023DD"/>
    <w:rsid w:val="006071A1"/>
    <w:rsid w:val="00636A66"/>
    <w:rsid w:val="00637720"/>
    <w:rsid w:val="006421D2"/>
    <w:rsid w:val="00643C95"/>
    <w:rsid w:val="006529BE"/>
    <w:rsid w:val="00661DDF"/>
    <w:rsid w:val="00662A8A"/>
    <w:rsid w:val="00675141"/>
    <w:rsid w:val="006B678C"/>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13E25"/>
    <w:rsid w:val="00821042"/>
    <w:rsid w:val="00821BD7"/>
    <w:rsid w:val="00823A4E"/>
    <w:rsid w:val="00831E15"/>
    <w:rsid w:val="00835AD1"/>
    <w:rsid w:val="00847835"/>
    <w:rsid w:val="008A0878"/>
    <w:rsid w:val="008A3562"/>
    <w:rsid w:val="008B5078"/>
    <w:rsid w:val="008B52E4"/>
    <w:rsid w:val="008C4084"/>
    <w:rsid w:val="008C4968"/>
    <w:rsid w:val="008D2C58"/>
    <w:rsid w:val="008E129D"/>
    <w:rsid w:val="008E37B0"/>
    <w:rsid w:val="008E464C"/>
    <w:rsid w:val="008E4970"/>
    <w:rsid w:val="009009BC"/>
    <w:rsid w:val="00904619"/>
    <w:rsid w:val="00915614"/>
    <w:rsid w:val="00915F7F"/>
    <w:rsid w:val="00921F1A"/>
    <w:rsid w:val="009229CB"/>
    <w:rsid w:val="00926978"/>
    <w:rsid w:val="009368EA"/>
    <w:rsid w:val="009422CE"/>
    <w:rsid w:val="00944D1A"/>
    <w:rsid w:val="00951A8F"/>
    <w:rsid w:val="009628FD"/>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C148A"/>
    <w:rsid w:val="00AF6912"/>
    <w:rsid w:val="00B04B0E"/>
    <w:rsid w:val="00B16495"/>
    <w:rsid w:val="00B225FD"/>
    <w:rsid w:val="00B248DA"/>
    <w:rsid w:val="00B50EA0"/>
    <w:rsid w:val="00B71A50"/>
    <w:rsid w:val="00B74DE3"/>
    <w:rsid w:val="00B80D89"/>
    <w:rsid w:val="00B818AE"/>
    <w:rsid w:val="00B96173"/>
    <w:rsid w:val="00BB48AD"/>
    <w:rsid w:val="00BB6F89"/>
    <w:rsid w:val="00BC02E2"/>
    <w:rsid w:val="00BE183C"/>
    <w:rsid w:val="00BE779E"/>
    <w:rsid w:val="00BF09ED"/>
    <w:rsid w:val="00BF27E1"/>
    <w:rsid w:val="00C00F5A"/>
    <w:rsid w:val="00C03F08"/>
    <w:rsid w:val="00C12379"/>
    <w:rsid w:val="00C16CB7"/>
    <w:rsid w:val="00C25C61"/>
    <w:rsid w:val="00C40AF8"/>
    <w:rsid w:val="00C41180"/>
    <w:rsid w:val="00C5753E"/>
    <w:rsid w:val="00C61390"/>
    <w:rsid w:val="00C62932"/>
    <w:rsid w:val="00C760CD"/>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19FA"/>
    <w:rsid w:val="00E438D2"/>
    <w:rsid w:val="00E53F8C"/>
    <w:rsid w:val="00E61200"/>
    <w:rsid w:val="00E63FBE"/>
    <w:rsid w:val="00E678C7"/>
    <w:rsid w:val="00E80F9B"/>
    <w:rsid w:val="00E82600"/>
    <w:rsid w:val="00E90F29"/>
    <w:rsid w:val="00EB1ABE"/>
    <w:rsid w:val="00EB4346"/>
    <w:rsid w:val="00ED1779"/>
    <w:rsid w:val="00EE7CA8"/>
    <w:rsid w:val="00EF189B"/>
    <w:rsid w:val="00EF6736"/>
    <w:rsid w:val="00EF6B76"/>
    <w:rsid w:val="00F014C7"/>
    <w:rsid w:val="00F02C24"/>
    <w:rsid w:val="00F04A9D"/>
    <w:rsid w:val="00F07594"/>
    <w:rsid w:val="00F31719"/>
    <w:rsid w:val="00F32C3A"/>
    <w:rsid w:val="00F53394"/>
    <w:rsid w:val="00F54AFB"/>
    <w:rsid w:val="00F67D80"/>
    <w:rsid w:val="00F718C6"/>
    <w:rsid w:val="00FC4DD8"/>
    <w:rsid w:val="00FC6B2E"/>
    <w:rsid w:val="00FD40C9"/>
    <w:rsid w:val="01016788"/>
    <w:rsid w:val="010B18A0"/>
    <w:rsid w:val="01101FD4"/>
    <w:rsid w:val="013511BC"/>
    <w:rsid w:val="01547328"/>
    <w:rsid w:val="01630778"/>
    <w:rsid w:val="01857C73"/>
    <w:rsid w:val="01964C25"/>
    <w:rsid w:val="01A12C3F"/>
    <w:rsid w:val="01CD1195"/>
    <w:rsid w:val="01D142D7"/>
    <w:rsid w:val="021F4C81"/>
    <w:rsid w:val="02414B92"/>
    <w:rsid w:val="028339A0"/>
    <w:rsid w:val="028366E4"/>
    <w:rsid w:val="02A56B80"/>
    <w:rsid w:val="02B5383F"/>
    <w:rsid w:val="02C560C8"/>
    <w:rsid w:val="02F741FF"/>
    <w:rsid w:val="03077BF2"/>
    <w:rsid w:val="03240B2D"/>
    <w:rsid w:val="03404A6C"/>
    <w:rsid w:val="035324D3"/>
    <w:rsid w:val="036719BE"/>
    <w:rsid w:val="03772BBD"/>
    <w:rsid w:val="038413BE"/>
    <w:rsid w:val="038C71B9"/>
    <w:rsid w:val="0396442E"/>
    <w:rsid w:val="03C53166"/>
    <w:rsid w:val="03E3700D"/>
    <w:rsid w:val="04082941"/>
    <w:rsid w:val="0437435F"/>
    <w:rsid w:val="043948C2"/>
    <w:rsid w:val="0441683D"/>
    <w:rsid w:val="04755FE3"/>
    <w:rsid w:val="04897AAE"/>
    <w:rsid w:val="048D3C72"/>
    <w:rsid w:val="04946A57"/>
    <w:rsid w:val="049E01CA"/>
    <w:rsid w:val="04A67F3F"/>
    <w:rsid w:val="04AA7A54"/>
    <w:rsid w:val="04DC1E95"/>
    <w:rsid w:val="05056F9C"/>
    <w:rsid w:val="053B507A"/>
    <w:rsid w:val="056B6415"/>
    <w:rsid w:val="056F7E9D"/>
    <w:rsid w:val="05A04252"/>
    <w:rsid w:val="05B531D5"/>
    <w:rsid w:val="05D17368"/>
    <w:rsid w:val="05D64E8C"/>
    <w:rsid w:val="05D70893"/>
    <w:rsid w:val="05D879EE"/>
    <w:rsid w:val="05E66954"/>
    <w:rsid w:val="05EF3BF5"/>
    <w:rsid w:val="061B4DCC"/>
    <w:rsid w:val="0631131C"/>
    <w:rsid w:val="065C4ACB"/>
    <w:rsid w:val="0684556E"/>
    <w:rsid w:val="06B72B51"/>
    <w:rsid w:val="06D773BE"/>
    <w:rsid w:val="07005EC6"/>
    <w:rsid w:val="07144968"/>
    <w:rsid w:val="071F2807"/>
    <w:rsid w:val="074D0B91"/>
    <w:rsid w:val="07667537"/>
    <w:rsid w:val="076F789A"/>
    <w:rsid w:val="0784472B"/>
    <w:rsid w:val="079B0031"/>
    <w:rsid w:val="079F5559"/>
    <w:rsid w:val="07B00267"/>
    <w:rsid w:val="07B55B45"/>
    <w:rsid w:val="07E16810"/>
    <w:rsid w:val="08091249"/>
    <w:rsid w:val="08213B81"/>
    <w:rsid w:val="084C0B9D"/>
    <w:rsid w:val="0873640D"/>
    <w:rsid w:val="08783888"/>
    <w:rsid w:val="087D7A26"/>
    <w:rsid w:val="08AE00F7"/>
    <w:rsid w:val="08C30F20"/>
    <w:rsid w:val="08D23011"/>
    <w:rsid w:val="08DD3BDB"/>
    <w:rsid w:val="08ED6EB4"/>
    <w:rsid w:val="093F4ABD"/>
    <w:rsid w:val="09583AE9"/>
    <w:rsid w:val="09717CB2"/>
    <w:rsid w:val="099F3397"/>
    <w:rsid w:val="09A37C42"/>
    <w:rsid w:val="09B71979"/>
    <w:rsid w:val="09CA4C87"/>
    <w:rsid w:val="09EC0032"/>
    <w:rsid w:val="0A1846AD"/>
    <w:rsid w:val="0A334DE9"/>
    <w:rsid w:val="0A3673D1"/>
    <w:rsid w:val="0A391C61"/>
    <w:rsid w:val="0A747C95"/>
    <w:rsid w:val="0A99628C"/>
    <w:rsid w:val="0AA12C61"/>
    <w:rsid w:val="0AD50B07"/>
    <w:rsid w:val="0B0D3780"/>
    <w:rsid w:val="0B192E69"/>
    <w:rsid w:val="0B1E5674"/>
    <w:rsid w:val="0B481D54"/>
    <w:rsid w:val="0B567FBC"/>
    <w:rsid w:val="0BA32867"/>
    <w:rsid w:val="0C405D06"/>
    <w:rsid w:val="0C417DC3"/>
    <w:rsid w:val="0C5F45C4"/>
    <w:rsid w:val="0C6352C9"/>
    <w:rsid w:val="0C694A19"/>
    <w:rsid w:val="0C6E22F8"/>
    <w:rsid w:val="0C752414"/>
    <w:rsid w:val="0C781DA4"/>
    <w:rsid w:val="0CA4014A"/>
    <w:rsid w:val="0CC23CB2"/>
    <w:rsid w:val="0CD86DE7"/>
    <w:rsid w:val="0CE51F42"/>
    <w:rsid w:val="0CF9441B"/>
    <w:rsid w:val="0CFE63A4"/>
    <w:rsid w:val="0D0807FC"/>
    <w:rsid w:val="0D33119A"/>
    <w:rsid w:val="0D4A2577"/>
    <w:rsid w:val="0D4D7EA2"/>
    <w:rsid w:val="0D596969"/>
    <w:rsid w:val="0D6D348A"/>
    <w:rsid w:val="0D9C0739"/>
    <w:rsid w:val="0DC77E1F"/>
    <w:rsid w:val="0DE500C7"/>
    <w:rsid w:val="0DFF5312"/>
    <w:rsid w:val="0E30061A"/>
    <w:rsid w:val="0E565A26"/>
    <w:rsid w:val="0E6759EA"/>
    <w:rsid w:val="0E693E94"/>
    <w:rsid w:val="0E88287D"/>
    <w:rsid w:val="0EAB15DF"/>
    <w:rsid w:val="0EB71B66"/>
    <w:rsid w:val="0EBD4ECC"/>
    <w:rsid w:val="0EC12B61"/>
    <w:rsid w:val="0ECB16D0"/>
    <w:rsid w:val="0F0F3E67"/>
    <w:rsid w:val="0F36681E"/>
    <w:rsid w:val="0F4B3B77"/>
    <w:rsid w:val="0F554B61"/>
    <w:rsid w:val="0F684139"/>
    <w:rsid w:val="0FA658B8"/>
    <w:rsid w:val="0FA725F9"/>
    <w:rsid w:val="0FB125A0"/>
    <w:rsid w:val="0FD32B55"/>
    <w:rsid w:val="0FF75B36"/>
    <w:rsid w:val="1007384E"/>
    <w:rsid w:val="107962EB"/>
    <w:rsid w:val="107D7A08"/>
    <w:rsid w:val="109E5300"/>
    <w:rsid w:val="10BF5108"/>
    <w:rsid w:val="10C4053D"/>
    <w:rsid w:val="10D064F7"/>
    <w:rsid w:val="10D24A7B"/>
    <w:rsid w:val="10D763F7"/>
    <w:rsid w:val="10DA580F"/>
    <w:rsid w:val="10DF7BBC"/>
    <w:rsid w:val="111A2A3D"/>
    <w:rsid w:val="11244D2A"/>
    <w:rsid w:val="114253E0"/>
    <w:rsid w:val="11461A94"/>
    <w:rsid w:val="115D274C"/>
    <w:rsid w:val="115E3727"/>
    <w:rsid w:val="11B472DB"/>
    <w:rsid w:val="11EC1420"/>
    <w:rsid w:val="11EE2FAE"/>
    <w:rsid w:val="11FA2120"/>
    <w:rsid w:val="1207493D"/>
    <w:rsid w:val="120D27E9"/>
    <w:rsid w:val="124364E9"/>
    <w:rsid w:val="12835C65"/>
    <w:rsid w:val="129E014D"/>
    <w:rsid w:val="12AC1D0D"/>
    <w:rsid w:val="12BA6A0A"/>
    <w:rsid w:val="12C2266E"/>
    <w:rsid w:val="12CB160F"/>
    <w:rsid w:val="12D77FEC"/>
    <w:rsid w:val="12DB00BA"/>
    <w:rsid w:val="12F90EE0"/>
    <w:rsid w:val="1306089F"/>
    <w:rsid w:val="13276FF6"/>
    <w:rsid w:val="134F0DA1"/>
    <w:rsid w:val="13693296"/>
    <w:rsid w:val="139726F4"/>
    <w:rsid w:val="139B4F53"/>
    <w:rsid w:val="13CE5FC4"/>
    <w:rsid w:val="13F53443"/>
    <w:rsid w:val="144C6770"/>
    <w:rsid w:val="147778EA"/>
    <w:rsid w:val="14943CCC"/>
    <w:rsid w:val="14BA4603"/>
    <w:rsid w:val="14CD7B2A"/>
    <w:rsid w:val="14F16B6F"/>
    <w:rsid w:val="14F865C3"/>
    <w:rsid w:val="14FD2DF1"/>
    <w:rsid w:val="150F189B"/>
    <w:rsid w:val="1517294D"/>
    <w:rsid w:val="153642D6"/>
    <w:rsid w:val="15457698"/>
    <w:rsid w:val="154A5906"/>
    <w:rsid w:val="155558C2"/>
    <w:rsid w:val="15753037"/>
    <w:rsid w:val="158A75E1"/>
    <w:rsid w:val="1592511B"/>
    <w:rsid w:val="159C567E"/>
    <w:rsid w:val="15A520DA"/>
    <w:rsid w:val="15BA178C"/>
    <w:rsid w:val="15C0221F"/>
    <w:rsid w:val="15D77617"/>
    <w:rsid w:val="15D85E33"/>
    <w:rsid w:val="15E6513C"/>
    <w:rsid w:val="15E819C1"/>
    <w:rsid w:val="15F81571"/>
    <w:rsid w:val="161124BB"/>
    <w:rsid w:val="16554F68"/>
    <w:rsid w:val="165B5F0F"/>
    <w:rsid w:val="166320D6"/>
    <w:rsid w:val="166C4896"/>
    <w:rsid w:val="167B7AAC"/>
    <w:rsid w:val="169140C1"/>
    <w:rsid w:val="169B4AF9"/>
    <w:rsid w:val="16DB0595"/>
    <w:rsid w:val="16DF2F08"/>
    <w:rsid w:val="16E051E8"/>
    <w:rsid w:val="16ED26EB"/>
    <w:rsid w:val="17066EDE"/>
    <w:rsid w:val="1713214D"/>
    <w:rsid w:val="17945C52"/>
    <w:rsid w:val="17970727"/>
    <w:rsid w:val="17DD1C51"/>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1D464D"/>
    <w:rsid w:val="1A6E6871"/>
    <w:rsid w:val="1A8635C8"/>
    <w:rsid w:val="1AB56D4E"/>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43363D"/>
    <w:rsid w:val="1C4628F7"/>
    <w:rsid w:val="1C5E28E7"/>
    <w:rsid w:val="1C79295A"/>
    <w:rsid w:val="1CA03602"/>
    <w:rsid w:val="1CC16689"/>
    <w:rsid w:val="1CCC24BC"/>
    <w:rsid w:val="1CE512E6"/>
    <w:rsid w:val="1CEF2480"/>
    <w:rsid w:val="1D061139"/>
    <w:rsid w:val="1D870AB9"/>
    <w:rsid w:val="1D8A0E3C"/>
    <w:rsid w:val="1D8F4459"/>
    <w:rsid w:val="1D9254CD"/>
    <w:rsid w:val="1DA15E50"/>
    <w:rsid w:val="1DB27B15"/>
    <w:rsid w:val="1DB87E85"/>
    <w:rsid w:val="1DC85751"/>
    <w:rsid w:val="1DC934BA"/>
    <w:rsid w:val="1DEB61F5"/>
    <w:rsid w:val="1E0A627C"/>
    <w:rsid w:val="1E16086E"/>
    <w:rsid w:val="1E80319B"/>
    <w:rsid w:val="1E927FD6"/>
    <w:rsid w:val="1E9860A5"/>
    <w:rsid w:val="1EA838E7"/>
    <w:rsid w:val="1ED20877"/>
    <w:rsid w:val="1ED94E4B"/>
    <w:rsid w:val="1EDE5D5E"/>
    <w:rsid w:val="1EF77DC5"/>
    <w:rsid w:val="1F383ACC"/>
    <w:rsid w:val="1F394458"/>
    <w:rsid w:val="1F596305"/>
    <w:rsid w:val="1F8811C7"/>
    <w:rsid w:val="1F9062F5"/>
    <w:rsid w:val="1FEB5C6A"/>
    <w:rsid w:val="1FFF5A5F"/>
    <w:rsid w:val="202209B9"/>
    <w:rsid w:val="20280066"/>
    <w:rsid w:val="202C0E96"/>
    <w:rsid w:val="20304AD2"/>
    <w:rsid w:val="203B6599"/>
    <w:rsid w:val="204F6722"/>
    <w:rsid w:val="20782C9F"/>
    <w:rsid w:val="20902778"/>
    <w:rsid w:val="20AF30C4"/>
    <w:rsid w:val="20C20F88"/>
    <w:rsid w:val="20FD5C7C"/>
    <w:rsid w:val="21096CBA"/>
    <w:rsid w:val="2115662C"/>
    <w:rsid w:val="211E06F8"/>
    <w:rsid w:val="21361A04"/>
    <w:rsid w:val="214418DF"/>
    <w:rsid w:val="21B95143"/>
    <w:rsid w:val="21C04FD1"/>
    <w:rsid w:val="21D51B3D"/>
    <w:rsid w:val="21FE0CB2"/>
    <w:rsid w:val="2201295E"/>
    <w:rsid w:val="220D6242"/>
    <w:rsid w:val="22196712"/>
    <w:rsid w:val="2272212A"/>
    <w:rsid w:val="22EC4950"/>
    <w:rsid w:val="22ED5F44"/>
    <w:rsid w:val="23197F12"/>
    <w:rsid w:val="231A56E2"/>
    <w:rsid w:val="231F7C19"/>
    <w:rsid w:val="232B5FAF"/>
    <w:rsid w:val="233F76E0"/>
    <w:rsid w:val="23481CC9"/>
    <w:rsid w:val="235F1272"/>
    <w:rsid w:val="23AE10BA"/>
    <w:rsid w:val="23E56B32"/>
    <w:rsid w:val="24142B46"/>
    <w:rsid w:val="24183F62"/>
    <w:rsid w:val="241D037F"/>
    <w:rsid w:val="2433149D"/>
    <w:rsid w:val="246270E4"/>
    <w:rsid w:val="24703D25"/>
    <w:rsid w:val="24772C2B"/>
    <w:rsid w:val="248B2E3F"/>
    <w:rsid w:val="24DF22D5"/>
    <w:rsid w:val="25241FCD"/>
    <w:rsid w:val="25314C51"/>
    <w:rsid w:val="257008BE"/>
    <w:rsid w:val="258A0443"/>
    <w:rsid w:val="25E86FC2"/>
    <w:rsid w:val="260C3AE7"/>
    <w:rsid w:val="261B35E2"/>
    <w:rsid w:val="261D7A35"/>
    <w:rsid w:val="263A612D"/>
    <w:rsid w:val="26483965"/>
    <w:rsid w:val="26684108"/>
    <w:rsid w:val="268B0B22"/>
    <w:rsid w:val="26BB607A"/>
    <w:rsid w:val="26BB7E4E"/>
    <w:rsid w:val="26C10F08"/>
    <w:rsid w:val="26D075A8"/>
    <w:rsid w:val="26D17DBC"/>
    <w:rsid w:val="26D24757"/>
    <w:rsid w:val="274D17E4"/>
    <w:rsid w:val="27506176"/>
    <w:rsid w:val="275D4096"/>
    <w:rsid w:val="276C3DD0"/>
    <w:rsid w:val="277B4947"/>
    <w:rsid w:val="27A57C3A"/>
    <w:rsid w:val="27D20BC1"/>
    <w:rsid w:val="27EB7AF0"/>
    <w:rsid w:val="280553D3"/>
    <w:rsid w:val="280F6C60"/>
    <w:rsid w:val="281253C2"/>
    <w:rsid w:val="28163476"/>
    <w:rsid w:val="282455AC"/>
    <w:rsid w:val="28261D0F"/>
    <w:rsid w:val="2838738D"/>
    <w:rsid w:val="286F250E"/>
    <w:rsid w:val="287D2504"/>
    <w:rsid w:val="2886147E"/>
    <w:rsid w:val="28A87389"/>
    <w:rsid w:val="28AB0694"/>
    <w:rsid w:val="28AE6A69"/>
    <w:rsid w:val="28B81772"/>
    <w:rsid w:val="290A4DA8"/>
    <w:rsid w:val="291176CC"/>
    <w:rsid w:val="291C67BC"/>
    <w:rsid w:val="2944347B"/>
    <w:rsid w:val="29503AAE"/>
    <w:rsid w:val="29573123"/>
    <w:rsid w:val="297F7A53"/>
    <w:rsid w:val="2992095F"/>
    <w:rsid w:val="29AC6651"/>
    <w:rsid w:val="29C4608A"/>
    <w:rsid w:val="29E769C8"/>
    <w:rsid w:val="29F21662"/>
    <w:rsid w:val="29F51AC1"/>
    <w:rsid w:val="29F51D07"/>
    <w:rsid w:val="29FC30C2"/>
    <w:rsid w:val="2A406B43"/>
    <w:rsid w:val="2A481CFC"/>
    <w:rsid w:val="2A6D3E9B"/>
    <w:rsid w:val="2A706411"/>
    <w:rsid w:val="2A783D0E"/>
    <w:rsid w:val="2A9C0461"/>
    <w:rsid w:val="2AD0515C"/>
    <w:rsid w:val="2AE8528D"/>
    <w:rsid w:val="2AF16E8B"/>
    <w:rsid w:val="2B0B7CEC"/>
    <w:rsid w:val="2B27452A"/>
    <w:rsid w:val="2B2D4BDC"/>
    <w:rsid w:val="2B4503EF"/>
    <w:rsid w:val="2B767712"/>
    <w:rsid w:val="2BBA7AC6"/>
    <w:rsid w:val="2BFC26B9"/>
    <w:rsid w:val="2BFF2965"/>
    <w:rsid w:val="2C3C0A88"/>
    <w:rsid w:val="2C51001B"/>
    <w:rsid w:val="2C596FFF"/>
    <w:rsid w:val="2C906216"/>
    <w:rsid w:val="2C9A17D6"/>
    <w:rsid w:val="2CA6566A"/>
    <w:rsid w:val="2CAE7599"/>
    <w:rsid w:val="2CB749B3"/>
    <w:rsid w:val="2CBB6294"/>
    <w:rsid w:val="2CBF39BD"/>
    <w:rsid w:val="2D016EDC"/>
    <w:rsid w:val="2D2E04D4"/>
    <w:rsid w:val="2D3878C4"/>
    <w:rsid w:val="2D3A4057"/>
    <w:rsid w:val="2D5343E6"/>
    <w:rsid w:val="2D994DBE"/>
    <w:rsid w:val="2DD53F02"/>
    <w:rsid w:val="2E0A0263"/>
    <w:rsid w:val="2E73484D"/>
    <w:rsid w:val="2E734C4D"/>
    <w:rsid w:val="2E9A7164"/>
    <w:rsid w:val="2ED21188"/>
    <w:rsid w:val="2EE1137A"/>
    <w:rsid w:val="2EE6759F"/>
    <w:rsid w:val="2EEB0819"/>
    <w:rsid w:val="2EF44200"/>
    <w:rsid w:val="2F010E90"/>
    <w:rsid w:val="2F0C69E6"/>
    <w:rsid w:val="2F0D5CED"/>
    <w:rsid w:val="2F110235"/>
    <w:rsid w:val="2F16689C"/>
    <w:rsid w:val="2F1C6FC0"/>
    <w:rsid w:val="2F236129"/>
    <w:rsid w:val="2F2C56BA"/>
    <w:rsid w:val="2F2D0218"/>
    <w:rsid w:val="2F356A16"/>
    <w:rsid w:val="2F4614DA"/>
    <w:rsid w:val="2F636A54"/>
    <w:rsid w:val="2FA00DAE"/>
    <w:rsid w:val="30081603"/>
    <w:rsid w:val="30420830"/>
    <w:rsid w:val="309C224F"/>
    <w:rsid w:val="31190489"/>
    <w:rsid w:val="311C3987"/>
    <w:rsid w:val="31232963"/>
    <w:rsid w:val="312C101E"/>
    <w:rsid w:val="313071E7"/>
    <w:rsid w:val="314C7D21"/>
    <w:rsid w:val="31540C79"/>
    <w:rsid w:val="315857B1"/>
    <w:rsid w:val="31650177"/>
    <w:rsid w:val="31A43DC9"/>
    <w:rsid w:val="31AB6658"/>
    <w:rsid w:val="31BC3F1B"/>
    <w:rsid w:val="31C37B9C"/>
    <w:rsid w:val="31EA7F55"/>
    <w:rsid w:val="32137CF0"/>
    <w:rsid w:val="321E50BD"/>
    <w:rsid w:val="32224344"/>
    <w:rsid w:val="32340C69"/>
    <w:rsid w:val="32363F32"/>
    <w:rsid w:val="32471F5A"/>
    <w:rsid w:val="3253078F"/>
    <w:rsid w:val="325E3A96"/>
    <w:rsid w:val="32B7356F"/>
    <w:rsid w:val="330C088A"/>
    <w:rsid w:val="330D0F43"/>
    <w:rsid w:val="332A5E08"/>
    <w:rsid w:val="33310C6F"/>
    <w:rsid w:val="333E728C"/>
    <w:rsid w:val="334F202E"/>
    <w:rsid w:val="33A03A4B"/>
    <w:rsid w:val="33A04007"/>
    <w:rsid w:val="33A60671"/>
    <w:rsid w:val="33AF4FB4"/>
    <w:rsid w:val="33CF2119"/>
    <w:rsid w:val="33DE4357"/>
    <w:rsid w:val="341D5AAB"/>
    <w:rsid w:val="342732F1"/>
    <w:rsid w:val="342B2E3E"/>
    <w:rsid w:val="3454463B"/>
    <w:rsid w:val="346B507B"/>
    <w:rsid w:val="347A0A28"/>
    <w:rsid w:val="347B293F"/>
    <w:rsid w:val="348C37FE"/>
    <w:rsid w:val="34AA4F73"/>
    <w:rsid w:val="34CE6938"/>
    <w:rsid w:val="34F52FDD"/>
    <w:rsid w:val="352B6C5A"/>
    <w:rsid w:val="35520294"/>
    <w:rsid w:val="357A04F1"/>
    <w:rsid w:val="357C1D84"/>
    <w:rsid w:val="35887A53"/>
    <w:rsid w:val="35AF4576"/>
    <w:rsid w:val="35B4397E"/>
    <w:rsid w:val="360300F8"/>
    <w:rsid w:val="36034EE1"/>
    <w:rsid w:val="36237D2D"/>
    <w:rsid w:val="363503EB"/>
    <w:rsid w:val="3647637B"/>
    <w:rsid w:val="367F686D"/>
    <w:rsid w:val="36A14C50"/>
    <w:rsid w:val="36B412F5"/>
    <w:rsid w:val="36B66A91"/>
    <w:rsid w:val="36CC7A6D"/>
    <w:rsid w:val="36E17616"/>
    <w:rsid w:val="37076693"/>
    <w:rsid w:val="372B30FF"/>
    <w:rsid w:val="372F768E"/>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6D019E"/>
    <w:rsid w:val="38894B13"/>
    <w:rsid w:val="38A42A5B"/>
    <w:rsid w:val="38C10BFB"/>
    <w:rsid w:val="38DD791D"/>
    <w:rsid w:val="3920221B"/>
    <w:rsid w:val="39334BFF"/>
    <w:rsid w:val="393667C3"/>
    <w:rsid w:val="39457CAF"/>
    <w:rsid w:val="3948048E"/>
    <w:rsid w:val="39812B9C"/>
    <w:rsid w:val="399208A7"/>
    <w:rsid w:val="39B565E1"/>
    <w:rsid w:val="39D4235F"/>
    <w:rsid w:val="39FD6163"/>
    <w:rsid w:val="3A257802"/>
    <w:rsid w:val="3A606A76"/>
    <w:rsid w:val="3A8231F1"/>
    <w:rsid w:val="3A921749"/>
    <w:rsid w:val="3AA81B41"/>
    <w:rsid w:val="3ADD242D"/>
    <w:rsid w:val="3B143086"/>
    <w:rsid w:val="3B147A5B"/>
    <w:rsid w:val="3B1A2D8C"/>
    <w:rsid w:val="3B4042AB"/>
    <w:rsid w:val="3B4E6CEA"/>
    <w:rsid w:val="3B66210B"/>
    <w:rsid w:val="3B814E71"/>
    <w:rsid w:val="3B964D74"/>
    <w:rsid w:val="3B972AF7"/>
    <w:rsid w:val="3BB62FA9"/>
    <w:rsid w:val="3BB70D15"/>
    <w:rsid w:val="3BBB09FC"/>
    <w:rsid w:val="3BC91BB9"/>
    <w:rsid w:val="3C120308"/>
    <w:rsid w:val="3C42650A"/>
    <w:rsid w:val="3C762DF2"/>
    <w:rsid w:val="3C7D1D40"/>
    <w:rsid w:val="3C9B51F8"/>
    <w:rsid w:val="3CDD0DBD"/>
    <w:rsid w:val="3D101034"/>
    <w:rsid w:val="3D544EBB"/>
    <w:rsid w:val="3D882CF1"/>
    <w:rsid w:val="3D9814F2"/>
    <w:rsid w:val="3DE32AFA"/>
    <w:rsid w:val="3E0456CC"/>
    <w:rsid w:val="3E115C36"/>
    <w:rsid w:val="3E136ED4"/>
    <w:rsid w:val="3E2418CD"/>
    <w:rsid w:val="3E2726B6"/>
    <w:rsid w:val="3E3A6B14"/>
    <w:rsid w:val="3E8A1A02"/>
    <w:rsid w:val="3E8E765E"/>
    <w:rsid w:val="3EA9393D"/>
    <w:rsid w:val="3EAD0498"/>
    <w:rsid w:val="3EC56D78"/>
    <w:rsid w:val="3EC7715A"/>
    <w:rsid w:val="3ED16A4F"/>
    <w:rsid w:val="3ED17EBE"/>
    <w:rsid w:val="3EDC543E"/>
    <w:rsid w:val="3EED5016"/>
    <w:rsid w:val="3EF52FF7"/>
    <w:rsid w:val="3EF62F89"/>
    <w:rsid w:val="3EF75B65"/>
    <w:rsid w:val="3EFB570C"/>
    <w:rsid w:val="3F204493"/>
    <w:rsid w:val="3F2B7413"/>
    <w:rsid w:val="3F5871FB"/>
    <w:rsid w:val="3F8E35DC"/>
    <w:rsid w:val="3F8F5DC2"/>
    <w:rsid w:val="3FA46F4F"/>
    <w:rsid w:val="3FA624AC"/>
    <w:rsid w:val="3FB00475"/>
    <w:rsid w:val="3FBF5991"/>
    <w:rsid w:val="3FE10717"/>
    <w:rsid w:val="40023F34"/>
    <w:rsid w:val="40090025"/>
    <w:rsid w:val="40181902"/>
    <w:rsid w:val="402F5A4D"/>
    <w:rsid w:val="40411288"/>
    <w:rsid w:val="404742BD"/>
    <w:rsid w:val="40600DD5"/>
    <w:rsid w:val="40660F91"/>
    <w:rsid w:val="407D57C8"/>
    <w:rsid w:val="40B26892"/>
    <w:rsid w:val="40E21CB8"/>
    <w:rsid w:val="410F31C3"/>
    <w:rsid w:val="4112553B"/>
    <w:rsid w:val="41344AAB"/>
    <w:rsid w:val="41550C30"/>
    <w:rsid w:val="41875FCE"/>
    <w:rsid w:val="4190424D"/>
    <w:rsid w:val="41BA6E78"/>
    <w:rsid w:val="41E43D07"/>
    <w:rsid w:val="41F6399A"/>
    <w:rsid w:val="41F94DC7"/>
    <w:rsid w:val="41FA3A29"/>
    <w:rsid w:val="42137C42"/>
    <w:rsid w:val="422E57D7"/>
    <w:rsid w:val="42555DF7"/>
    <w:rsid w:val="42A27001"/>
    <w:rsid w:val="42C507A4"/>
    <w:rsid w:val="42F07508"/>
    <w:rsid w:val="43270B23"/>
    <w:rsid w:val="43366434"/>
    <w:rsid w:val="434A0913"/>
    <w:rsid w:val="436A64E9"/>
    <w:rsid w:val="4370434B"/>
    <w:rsid w:val="43711057"/>
    <w:rsid w:val="43891ADB"/>
    <w:rsid w:val="439C4F5E"/>
    <w:rsid w:val="43E630D7"/>
    <w:rsid w:val="43EF2D9F"/>
    <w:rsid w:val="43F02783"/>
    <w:rsid w:val="44656E26"/>
    <w:rsid w:val="4468183E"/>
    <w:rsid w:val="44786783"/>
    <w:rsid w:val="449457D3"/>
    <w:rsid w:val="44A25A9F"/>
    <w:rsid w:val="44A61055"/>
    <w:rsid w:val="44BE5C95"/>
    <w:rsid w:val="44DD6EB7"/>
    <w:rsid w:val="44E01145"/>
    <w:rsid w:val="450018DF"/>
    <w:rsid w:val="450F2BC2"/>
    <w:rsid w:val="451D2C75"/>
    <w:rsid w:val="45203860"/>
    <w:rsid w:val="454746DD"/>
    <w:rsid w:val="455367B2"/>
    <w:rsid w:val="45555732"/>
    <w:rsid w:val="455F10D7"/>
    <w:rsid w:val="456355DA"/>
    <w:rsid w:val="45741675"/>
    <w:rsid w:val="459C4648"/>
    <w:rsid w:val="45A02EDD"/>
    <w:rsid w:val="45E61BCA"/>
    <w:rsid w:val="45EE32D7"/>
    <w:rsid w:val="460A6FE4"/>
    <w:rsid w:val="461A323C"/>
    <w:rsid w:val="4638018C"/>
    <w:rsid w:val="46416C3D"/>
    <w:rsid w:val="46433285"/>
    <w:rsid w:val="46526D41"/>
    <w:rsid w:val="46584865"/>
    <w:rsid w:val="46681B67"/>
    <w:rsid w:val="468200E4"/>
    <w:rsid w:val="46903F4D"/>
    <w:rsid w:val="469815BE"/>
    <w:rsid w:val="46A14FC5"/>
    <w:rsid w:val="46B27CB1"/>
    <w:rsid w:val="46D34E98"/>
    <w:rsid w:val="47001117"/>
    <w:rsid w:val="47246805"/>
    <w:rsid w:val="47492E75"/>
    <w:rsid w:val="474F7F9F"/>
    <w:rsid w:val="475F3AC1"/>
    <w:rsid w:val="47844901"/>
    <w:rsid w:val="479A2ED2"/>
    <w:rsid w:val="47B328B4"/>
    <w:rsid w:val="47C13542"/>
    <w:rsid w:val="48113D01"/>
    <w:rsid w:val="484C7B11"/>
    <w:rsid w:val="485E0A04"/>
    <w:rsid w:val="48740F1D"/>
    <w:rsid w:val="48761BE3"/>
    <w:rsid w:val="489E0EB1"/>
    <w:rsid w:val="48A4548A"/>
    <w:rsid w:val="48A57E1F"/>
    <w:rsid w:val="48B50D92"/>
    <w:rsid w:val="48D80297"/>
    <w:rsid w:val="48DE3BBF"/>
    <w:rsid w:val="48E77164"/>
    <w:rsid w:val="491D19DF"/>
    <w:rsid w:val="49304CB2"/>
    <w:rsid w:val="49620FF1"/>
    <w:rsid w:val="496F6EBE"/>
    <w:rsid w:val="49814F4C"/>
    <w:rsid w:val="49836E4C"/>
    <w:rsid w:val="49A364F7"/>
    <w:rsid w:val="49B42429"/>
    <w:rsid w:val="49C4569B"/>
    <w:rsid w:val="4A074043"/>
    <w:rsid w:val="4A090DC7"/>
    <w:rsid w:val="4A091441"/>
    <w:rsid w:val="4A14567E"/>
    <w:rsid w:val="4A1C1271"/>
    <w:rsid w:val="4A1E6180"/>
    <w:rsid w:val="4A2308FE"/>
    <w:rsid w:val="4A287AB1"/>
    <w:rsid w:val="4A5133EE"/>
    <w:rsid w:val="4A5D4EF8"/>
    <w:rsid w:val="4A915C19"/>
    <w:rsid w:val="4A955A49"/>
    <w:rsid w:val="4A9C5501"/>
    <w:rsid w:val="4AAF7BD4"/>
    <w:rsid w:val="4AD80F53"/>
    <w:rsid w:val="4B2C75A6"/>
    <w:rsid w:val="4B2F25FD"/>
    <w:rsid w:val="4BB15678"/>
    <w:rsid w:val="4BB635D2"/>
    <w:rsid w:val="4BB76960"/>
    <w:rsid w:val="4BC655C8"/>
    <w:rsid w:val="4BD03593"/>
    <w:rsid w:val="4BD63363"/>
    <w:rsid w:val="4BD87666"/>
    <w:rsid w:val="4BE63621"/>
    <w:rsid w:val="4BE6691C"/>
    <w:rsid w:val="4BF467F9"/>
    <w:rsid w:val="4BF83E44"/>
    <w:rsid w:val="4C276C17"/>
    <w:rsid w:val="4C73767A"/>
    <w:rsid w:val="4C7C0669"/>
    <w:rsid w:val="4C7D0871"/>
    <w:rsid w:val="4C850277"/>
    <w:rsid w:val="4C9904F2"/>
    <w:rsid w:val="4CC52EB8"/>
    <w:rsid w:val="4D2572CD"/>
    <w:rsid w:val="4D354FF0"/>
    <w:rsid w:val="4D4C32B8"/>
    <w:rsid w:val="4DBB048A"/>
    <w:rsid w:val="4DCE336E"/>
    <w:rsid w:val="4DE07DE4"/>
    <w:rsid w:val="4E0D5D14"/>
    <w:rsid w:val="4E2809CC"/>
    <w:rsid w:val="4E2F45C0"/>
    <w:rsid w:val="4E363F2F"/>
    <w:rsid w:val="4E682F97"/>
    <w:rsid w:val="4EA42281"/>
    <w:rsid w:val="4EA546F0"/>
    <w:rsid w:val="4EAF3AED"/>
    <w:rsid w:val="4EB0019E"/>
    <w:rsid w:val="4ECB1385"/>
    <w:rsid w:val="4ED32851"/>
    <w:rsid w:val="4ED35762"/>
    <w:rsid w:val="4EDF1745"/>
    <w:rsid w:val="4EF5014E"/>
    <w:rsid w:val="4EFA3C4E"/>
    <w:rsid w:val="4F235A8E"/>
    <w:rsid w:val="4F26262A"/>
    <w:rsid w:val="4F33554E"/>
    <w:rsid w:val="4F612BE4"/>
    <w:rsid w:val="4F6461D6"/>
    <w:rsid w:val="4F7B292B"/>
    <w:rsid w:val="4F865749"/>
    <w:rsid w:val="4F9E59ED"/>
    <w:rsid w:val="4FDC58FD"/>
    <w:rsid w:val="4FDE1C0C"/>
    <w:rsid w:val="4FE54A2D"/>
    <w:rsid w:val="4FF958E6"/>
    <w:rsid w:val="50202BC7"/>
    <w:rsid w:val="50216FE4"/>
    <w:rsid w:val="502D2C76"/>
    <w:rsid w:val="50614DD7"/>
    <w:rsid w:val="506B628A"/>
    <w:rsid w:val="50787CFE"/>
    <w:rsid w:val="50AE1AE4"/>
    <w:rsid w:val="50FE2631"/>
    <w:rsid w:val="51151D83"/>
    <w:rsid w:val="51167E7F"/>
    <w:rsid w:val="51390032"/>
    <w:rsid w:val="515426DE"/>
    <w:rsid w:val="515C74D2"/>
    <w:rsid w:val="51652C0F"/>
    <w:rsid w:val="518D4538"/>
    <w:rsid w:val="51960DFD"/>
    <w:rsid w:val="51BB2BF3"/>
    <w:rsid w:val="51C87FCE"/>
    <w:rsid w:val="51FD0367"/>
    <w:rsid w:val="52377D55"/>
    <w:rsid w:val="525F7483"/>
    <w:rsid w:val="52862351"/>
    <w:rsid w:val="52984624"/>
    <w:rsid w:val="52F10B24"/>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82C0E"/>
    <w:rsid w:val="564E3203"/>
    <w:rsid w:val="568C03E5"/>
    <w:rsid w:val="56E60496"/>
    <w:rsid w:val="57360834"/>
    <w:rsid w:val="57374E0B"/>
    <w:rsid w:val="57444728"/>
    <w:rsid w:val="575B090B"/>
    <w:rsid w:val="577439B5"/>
    <w:rsid w:val="57926FF9"/>
    <w:rsid w:val="57A355F8"/>
    <w:rsid w:val="57E6509B"/>
    <w:rsid w:val="57E738F8"/>
    <w:rsid w:val="57EB5B27"/>
    <w:rsid w:val="57EC2D60"/>
    <w:rsid w:val="58263426"/>
    <w:rsid w:val="583C0E12"/>
    <w:rsid w:val="5856757B"/>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658B9"/>
    <w:rsid w:val="59693F87"/>
    <w:rsid w:val="59851D75"/>
    <w:rsid w:val="59B42F07"/>
    <w:rsid w:val="59BB77BA"/>
    <w:rsid w:val="5A2C4220"/>
    <w:rsid w:val="5A316507"/>
    <w:rsid w:val="5A497C34"/>
    <w:rsid w:val="5A4C0E52"/>
    <w:rsid w:val="5A7B33E5"/>
    <w:rsid w:val="5A8C664D"/>
    <w:rsid w:val="5ABD43B1"/>
    <w:rsid w:val="5AC20EBF"/>
    <w:rsid w:val="5ACD5B73"/>
    <w:rsid w:val="5ADF42CD"/>
    <w:rsid w:val="5B050809"/>
    <w:rsid w:val="5B1038C0"/>
    <w:rsid w:val="5B366061"/>
    <w:rsid w:val="5B3846E5"/>
    <w:rsid w:val="5B440B6E"/>
    <w:rsid w:val="5B553BEC"/>
    <w:rsid w:val="5B5B4ABD"/>
    <w:rsid w:val="5B5C5E93"/>
    <w:rsid w:val="5B5E3394"/>
    <w:rsid w:val="5B74024A"/>
    <w:rsid w:val="5B792560"/>
    <w:rsid w:val="5B8A7735"/>
    <w:rsid w:val="5B9D0E06"/>
    <w:rsid w:val="5BA172F8"/>
    <w:rsid w:val="5BB151A5"/>
    <w:rsid w:val="5BB6027C"/>
    <w:rsid w:val="5BBB47C2"/>
    <w:rsid w:val="5BF62976"/>
    <w:rsid w:val="5C16597D"/>
    <w:rsid w:val="5C576F8B"/>
    <w:rsid w:val="5C707C6C"/>
    <w:rsid w:val="5C8E0CD7"/>
    <w:rsid w:val="5C9E2C36"/>
    <w:rsid w:val="5CB6579C"/>
    <w:rsid w:val="5CBB2347"/>
    <w:rsid w:val="5CC6320E"/>
    <w:rsid w:val="5CC76C7C"/>
    <w:rsid w:val="5CF36024"/>
    <w:rsid w:val="5CFF01AA"/>
    <w:rsid w:val="5D1344DD"/>
    <w:rsid w:val="5D7726AE"/>
    <w:rsid w:val="5D7B6EDD"/>
    <w:rsid w:val="5D806796"/>
    <w:rsid w:val="5D827D40"/>
    <w:rsid w:val="5DC43C07"/>
    <w:rsid w:val="5DCA3A55"/>
    <w:rsid w:val="5DCD3255"/>
    <w:rsid w:val="5DE640E1"/>
    <w:rsid w:val="5E297761"/>
    <w:rsid w:val="5E33770D"/>
    <w:rsid w:val="5E532ADD"/>
    <w:rsid w:val="5E610B28"/>
    <w:rsid w:val="5E66579C"/>
    <w:rsid w:val="5E91320F"/>
    <w:rsid w:val="5E915A7A"/>
    <w:rsid w:val="5EA33A97"/>
    <w:rsid w:val="5ED134B6"/>
    <w:rsid w:val="5EF55DBA"/>
    <w:rsid w:val="5F6B1358"/>
    <w:rsid w:val="5F803CFA"/>
    <w:rsid w:val="5FC51458"/>
    <w:rsid w:val="5FC866E5"/>
    <w:rsid w:val="5FDC13D8"/>
    <w:rsid w:val="60090629"/>
    <w:rsid w:val="60413F7F"/>
    <w:rsid w:val="60660F52"/>
    <w:rsid w:val="606A3C6B"/>
    <w:rsid w:val="609B5019"/>
    <w:rsid w:val="60B4769E"/>
    <w:rsid w:val="60B55083"/>
    <w:rsid w:val="610242F6"/>
    <w:rsid w:val="6119401A"/>
    <w:rsid w:val="611D2CA6"/>
    <w:rsid w:val="61200642"/>
    <w:rsid w:val="61652DB1"/>
    <w:rsid w:val="61970BE7"/>
    <w:rsid w:val="61A20E5D"/>
    <w:rsid w:val="61B8332B"/>
    <w:rsid w:val="61F17268"/>
    <w:rsid w:val="61FC7432"/>
    <w:rsid w:val="620A3859"/>
    <w:rsid w:val="62204E0F"/>
    <w:rsid w:val="62207D5C"/>
    <w:rsid w:val="624063A3"/>
    <w:rsid w:val="62533606"/>
    <w:rsid w:val="62845968"/>
    <w:rsid w:val="628E2B97"/>
    <w:rsid w:val="62A86B6F"/>
    <w:rsid w:val="62B35B81"/>
    <w:rsid w:val="62B75EDD"/>
    <w:rsid w:val="62C01D55"/>
    <w:rsid w:val="62C92F2D"/>
    <w:rsid w:val="62D93169"/>
    <w:rsid w:val="62E40282"/>
    <w:rsid w:val="631D5B18"/>
    <w:rsid w:val="631E201F"/>
    <w:rsid w:val="63320961"/>
    <w:rsid w:val="634E6C76"/>
    <w:rsid w:val="63577D60"/>
    <w:rsid w:val="636514C6"/>
    <w:rsid w:val="636F701B"/>
    <w:rsid w:val="6382662F"/>
    <w:rsid w:val="63B23C71"/>
    <w:rsid w:val="63C95202"/>
    <w:rsid w:val="63CB4107"/>
    <w:rsid w:val="63DB551D"/>
    <w:rsid w:val="63ED3A09"/>
    <w:rsid w:val="64090834"/>
    <w:rsid w:val="64116EAE"/>
    <w:rsid w:val="64272A3B"/>
    <w:rsid w:val="6467063D"/>
    <w:rsid w:val="648F4A0E"/>
    <w:rsid w:val="64937E71"/>
    <w:rsid w:val="6495646A"/>
    <w:rsid w:val="64C02EBC"/>
    <w:rsid w:val="64FA320D"/>
    <w:rsid w:val="65797FD4"/>
    <w:rsid w:val="658D5E16"/>
    <w:rsid w:val="65953363"/>
    <w:rsid w:val="65B841DE"/>
    <w:rsid w:val="65CA03C9"/>
    <w:rsid w:val="65E1661E"/>
    <w:rsid w:val="65E36C18"/>
    <w:rsid w:val="660918F9"/>
    <w:rsid w:val="663C1302"/>
    <w:rsid w:val="665F0112"/>
    <w:rsid w:val="667F18FA"/>
    <w:rsid w:val="669A5886"/>
    <w:rsid w:val="66BF54E4"/>
    <w:rsid w:val="67101119"/>
    <w:rsid w:val="67151BB5"/>
    <w:rsid w:val="671C67EA"/>
    <w:rsid w:val="67400D4D"/>
    <w:rsid w:val="677A414A"/>
    <w:rsid w:val="67C952B3"/>
    <w:rsid w:val="67CB697C"/>
    <w:rsid w:val="67DB4341"/>
    <w:rsid w:val="68720AE2"/>
    <w:rsid w:val="689554F5"/>
    <w:rsid w:val="68AA7215"/>
    <w:rsid w:val="68ED6911"/>
    <w:rsid w:val="6903642B"/>
    <w:rsid w:val="690F1870"/>
    <w:rsid w:val="692F5E27"/>
    <w:rsid w:val="69466675"/>
    <w:rsid w:val="698C2B7F"/>
    <w:rsid w:val="69AB5D7A"/>
    <w:rsid w:val="69DF7BDF"/>
    <w:rsid w:val="69F21353"/>
    <w:rsid w:val="69F575F2"/>
    <w:rsid w:val="6A1E730C"/>
    <w:rsid w:val="6A4C7335"/>
    <w:rsid w:val="6A531E39"/>
    <w:rsid w:val="6A545ADB"/>
    <w:rsid w:val="6A5D05BD"/>
    <w:rsid w:val="6A6B273C"/>
    <w:rsid w:val="6A703222"/>
    <w:rsid w:val="6AAA18E6"/>
    <w:rsid w:val="6AB66294"/>
    <w:rsid w:val="6AC60849"/>
    <w:rsid w:val="6AC938A9"/>
    <w:rsid w:val="6B2F05BC"/>
    <w:rsid w:val="6B435167"/>
    <w:rsid w:val="6BB237C9"/>
    <w:rsid w:val="6BB37104"/>
    <w:rsid w:val="6BDF1336"/>
    <w:rsid w:val="6C3161F1"/>
    <w:rsid w:val="6C3745DF"/>
    <w:rsid w:val="6C3D4127"/>
    <w:rsid w:val="6C6253EB"/>
    <w:rsid w:val="6C666B72"/>
    <w:rsid w:val="6C6D2D24"/>
    <w:rsid w:val="6C8F3EF6"/>
    <w:rsid w:val="6CAD55CC"/>
    <w:rsid w:val="6CBE1616"/>
    <w:rsid w:val="6CC15D2B"/>
    <w:rsid w:val="6CC15F94"/>
    <w:rsid w:val="6CDA118A"/>
    <w:rsid w:val="6D0C01A9"/>
    <w:rsid w:val="6D2A44DD"/>
    <w:rsid w:val="6D493A0A"/>
    <w:rsid w:val="6D551BE3"/>
    <w:rsid w:val="6D5C2995"/>
    <w:rsid w:val="6D8E2C9C"/>
    <w:rsid w:val="6DAD51A4"/>
    <w:rsid w:val="6E017D0E"/>
    <w:rsid w:val="6E053E0B"/>
    <w:rsid w:val="6E1E1DB6"/>
    <w:rsid w:val="6E3F4BAC"/>
    <w:rsid w:val="6E524DE3"/>
    <w:rsid w:val="6E735A03"/>
    <w:rsid w:val="6E7D3005"/>
    <w:rsid w:val="6EA04E08"/>
    <w:rsid w:val="6EAA18F7"/>
    <w:rsid w:val="6EBB6601"/>
    <w:rsid w:val="6ECF710B"/>
    <w:rsid w:val="6EEE5D94"/>
    <w:rsid w:val="6F050882"/>
    <w:rsid w:val="6F0B5A13"/>
    <w:rsid w:val="6F1579C7"/>
    <w:rsid w:val="6F62521C"/>
    <w:rsid w:val="6FBC6483"/>
    <w:rsid w:val="6FC130A1"/>
    <w:rsid w:val="6FC26F58"/>
    <w:rsid w:val="6FD761EC"/>
    <w:rsid w:val="6FE52312"/>
    <w:rsid w:val="6FF1085F"/>
    <w:rsid w:val="700F6510"/>
    <w:rsid w:val="70750A7A"/>
    <w:rsid w:val="70991D59"/>
    <w:rsid w:val="709A5C21"/>
    <w:rsid w:val="70C51917"/>
    <w:rsid w:val="70D02722"/>
    <w:rsid w:val="70F067F3"/>
    <w:rsid w:val="711A09D1"/>
    <w:rsid w:val="71275E70"/>
    <w:rsid w:val="712F60DB"/>
    <w:rsid w:val="714B6CD7"/>
    <w:rsid w:val="71D8215F"/>
    <w:rsid w:val="71DF1D07"/>
    <w:rsid w:val="71FB7CB1"/>
    <w:rsid w:val="720D209A"/>
    <w:rsid w:val="7221044F"/>
    <w:rsid w:val="72252F84"/>
    <w:rsid w:val="722F089D"/>
    <w:rsid w:val="723126FD"/>
    <w:rsid w:val="723E2E01"/>
    <w:rsid w:val="72404D8A"/>
    <w:rsid w:val="724C22E8"/>
    <w:rsid w:val="725F0F01"/>
    <w:rsid w:val="729D5E1F"/>
    <w:rsid w:val="72E72EAA"/>
    <w:rsid w:val="72F27051"/>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280680"/>
    <w:rsid w:val="744F658E"/>
    <w:rsid w:val="7463178E"/>
    <w:rsid w:val="746371B3"/>
    <w:rsid w:val="746E5228"/>
    <w:rsid w:val="747A43C9"/>
    <w:rsid w:val="74922B66"/>
    <w:rsid w:val="7508529D"/>
    <w:rsid w:val="752C3218"/>
    <w:rsid w:val="75397634"/>
    <w:rsid w:val="75537CD8"/>
    <w:rsid w:val="75595BE3"/>
    <w:rsid w:val="755E58D5"/>
    <w:rsid w:val="757606EF"/>
    <w:rsid w:val="75844FC1"/>
    <w:rsid w:val="75EE069B"/>
    <w:rsid w:val="75FC15CE"/>
    <w:rsid w:val="7615419A"/>
    <w:rsid w:val="76172D6A"/>
    <w:rsid w:val="761A409E"/>
    <w:rsid w:val="762F02D7"/>
    <w:rsid w:val="763D7340"/>
    <w:rsid w:val="76512EE8"/>
    <w:rsid w:val="767A6C09"/>
    <w:rsid w:val="767F5650"/>
    <w:rsid w:val="76880BA0"/>
    <w:rsid w:val="76885BC7"/>
    <w:rsid w:val="768C19C1"/>
    <w:rsid w:val="768C2564"/>
    <w:rsid w:val="76991D18"/>
    <w:rsid w:val="76BA43D5"/>
    <w:rsid w:val="76BE21DC"/>
    <w:rsid w:val="76CD5B13"/>
    <w:rsid w:val="76DF3C76"/>
    <w:rsid w:val="76EB41A9"/>
    <w:rsid w:val="76F71295"/>
    <w:rsid w:val="76FC2CE2"/>
    <w:rsid w:val="7706359E"/>
    <w:rsid w:val="771A5653"/>
    <w:rsid w:val="771B5FB2"/>
    <w:rsid w:val="772A75AD"/>
    <w:rsid w:val="7734542F"/>
    <w:rsid w:val="774073C9"/>
    <w:rsid w:val="77460079"/>
    <w:rsid w:val="77567D26"/>
    <w:rsid w:val="77574E5D"/>
    <w:rsid w:val="775D2B17"/>
    <w:rsid w:val="7760235E"/>
    <w:rsid w:val="777D4FBC"/>
    <w:rsid w:val="77C64121"/>
    <w:rsid w:val="77CD3C5D"/>
    <w:rsid w:val="77FD4667"/>
    <w:rsid w:val="781200C6"/>
    <w:rsid w:val="78150104"/>
    <w:rsid w:val="786B1829"/>
    <w:rsid w:val="78C7234E"/>
    <w:rsid w:val="791063B8"/>
    <w:rsid w:val="79235A1B"/>
    <w:rsid w:val="793842B6"/>
    <w:rsid w:val="793E7F2E"/>
    <w:rsid w:val="796362D3"/>
    <w:rsid w:val="79827C27"/>
    <w:rsid w:val="798834D2"/>
    <w:rsid w:val="799B7D73"/>
    <w:rsid w:val="79B07BB3"/>
    <w:rsid w:val="79B7369F"/>
    <w:rsid w:val="79C03278"/>
    <w:rsid w:val="79D510F0"/>
    <w:rsid w:val="79ED59B1"/>
    <w:rsid w:val="79F56CDC"/>
    <w:rsid w:val="7A032271"/>
    <w:rsid w:val="7A320BDB"/>
    <w:rsid w:val="7A491583"/>
    <w:rsid w:val="7A5B6EDF"/>
    <w:rsid w:val="7A5D2F7E"/>
    <w:rsid w:val="7A676444"/>
    <w:rsid w:val="7A72534A"/>
    <w:rsid w:val="7A832DB1"/>
    <w:rsid w:val="7A8F7D69"/>
    <w:rsid w:val="7A9C5FF5"/>
    <w:rsid w:val="7AA27F96"/>
    <w:rsid w:val="7AB320ED"/>
    <w:rsid w:val="7AC2422A"/>
    <w:rsid w:val="7AD44A1D"/>
    <w:rsid w:val="7B045A0E"/>
    <w:rsid w:val="7B137629"/>
    <w:rsid w:val="7B1B29C2"/>
    <w:rsid w:val="7B5D2C25"/>
    <w:rsid w:val="7B832034"/>
    <w:rsid w:val="7BA57F90"/>
    <w:rsid w:val="7BBC18FF"/>
    <w:rsid w:val="7C100290"/>
    <w:rsid w:val="7C151FE3"/>
    <w:rsid w:val="7C1D63E0"/>
    <w:rsid w:val="7C2925EF"/>
    <w:rsid w:val="7C463AF9"/>
    <w:rsid w:val="7C4673AC"/>
    <w:rsid w:val="7C691C0E"/>
    <w:rsid w:val="7C7654E0"/>
    <w:rsid w:val="7C9D56FC"/>
    <w:rsid w:val="7C9E2AE3"/>
    <w:rsid w:val="7CA34E3A"/>
    <w:rsid w:val="7CC7797E"/>
    <w:rsid w:val="7CDE5607"/>
    <w:rsid w:val="7D0D23F8"/>
    <w:rsid w:val="7D1819A4"/>
    <w:rsid w:val="7D57537E"/>
    <w:rsid w:val="7D657DFF"/>
    <w:rsid w:val="7D79413D"/>
    <w:rsid w:val="7D7F5BFA"/>
    <w:rsid w:val="7D872924"/>
    <w:rsid w:val="7D8B2DD3"/>
    <w:rsid w:val="7D8F5F9C"/>
    <w:rsid w:val="7D97637C"/>
    <w:rsid w:val="7DE5359B"/>
    <w:rsid w:val="7E180A37"/>
    <w:rsid w:val="7E252BD1"/>
    <w:rsid w:val="7E2D4483"/>
    <w:rsid w:val="7E324C0E"/>
    <w:rsid w:val="7E327A3B"/>
    <w:rsid w:val="7E621BA9"/>
    <w:rsid w:val="7E665892"/>
    <w:rsid w:val="7E782BA9"/>
    <w:rsid w:val="7E8926E1"/>
    <w:rsid w:val="7E9213CC"/>
    <w:rsid w:val="7EA926FF"/>
    <w:rsid w:val="7EAA18EA"/>
    <w:rsid w:val="7EC93E9C"/>
    <w:rsid w:val="7ED12906"/>
    <w:rsid w:val="7EF33F65"/>
    <w:rsid w:val="7EFA1C61"/>
    <w:rsid w:val="7F0300DD"/>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4">
    <w:name w:val="heading 1"/>
    <w:basedOn w:val="1"/>
    <w:next w:val="1"/>
    <w:link w:val="70"/>
    <w:autoRedefine/>
    <w:qFormat/>
    <w:uiPriority w:val="0"/>
    <w:pPr>
      <w:outlineLvl w:val="0"/>
    </w:pPr>
  </w:style>
  <w:style w:type="paragraph" w:styleId="5">
    <w:name w:val="heading 2"/>
    <w:basedOn w:val="1"/>
    <w:next w:val="1"/>
    <w:autoRedefine/>
    <w:qFormat/>
    <w:uiPriority w:val="0"/>
    <w:pPr>
      <w:outlineLvl w:val="1"/>
    </w:pPr>
    <w:rPr>
      <w:rFonts w:hAnsi="宋体"/>
      <w:b/>
    </w:rPr>
  </w:style>
  <w:style w:type="paragraph" w:styleId="6">
    <w:name w:val="heading 3"/>
    <w:basedOn w:val="1"/>
    <w:next w:val="1"/>
    <w:autoRedefine/>
    <w:qFormat/>
    <w:uiPriority w:val="0"/>
    <w:pPr>
      <w:outlineLvl w:val="2"/>
    </w:p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9">
    <w:name w:val="heading 6"/>
    <w:basedOn w:val="1"/>
    <w:next w:val="1"/>
    <w:autoRedefine/>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0">
    <w:name w:val="heading 7"/>
    <w:basedOn w:val="1"/>
    <w:next w:val="1"/>
    <w:autoRedefine/>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1">
    <w:name w:val="heading 8"/>
    <w:basedOn w:val="1"/>
    <w:next w:val="1"/>
    <w:autoRedefine/>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2">
    <w:name w:val="heading 9"/>
    <w:basedOn w:val="1"/>
    <w:next w:val="1"/>
    <w:autoRedefine/>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81"/>
    <w:autoRedefine/>
    <w:qFormat/>
    <w:uiPriority w:val="0"/>
    <w:pPr>
      <w:ind w:right="-26"/>
      <w:jc w:val="center"/>
    </w:pPr>
    <w:rPr>
      <w:rFonts w:hAnsi="Times New Roman"/>
      <w:b/>
      <w:bCs/>
      <w:kern w:val="2"/>
      <w:sz w:val="84"/>
      <w:szCs w:val="84"/>
      <w:lang w:val="zh-CN"/>
    </w:rPr>
  </w:style>
  <w:style w:type="paragraph" w:styleId="3">
    <w:name w:val="Body Text First Indent"/>
    <w:basedOn w:val="2"/>
    <w:autoRedefine/>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13">
    <w:name w:val="toc 7"/>
    <w:basedOn w:val="1"/>
    <w:next w:val="1"/>
    <w:autoRedefine/>
    <w:qFormat/>
    <w:uiPriority w:val="0"/>
    <w:pPr>
      <w:ind w:left="1440"/>
    </w:pPr>
    <w:rPr>
      <w:rFonts w:ascii="Calibri" w:cs="Calibri"/>
      <w:sz w:val="18"/>
      <w:szCs w:val="18"/>
    </w:rPr>
  </w:style>
  <w:style w:type="paragraph" w:styleId="14">
    <w:name w:val="Normal Indent"/>
    <w:basedOn w:val="1"/>
    <w:link w:val="76"/>
    <w:autoRedefine/>
    <w:qFormat/>
    <w:uiPriority w:val="0"/>
    <w:pPr>
      <w:widowControl/>
      <w:autoSpaceDE/>
      <w:autoSpaceDN/>
      <w:adjustRightInd/>
      <w:ind w:firstLine="420" w:firstLineChars="200"/>
    </w:pPr>
    <w:rPr>
      <w:rFonts w:ascii="Calibri"/>
      <w:sz w:val="20"/>
      <w:szCs w:val="20"/>
    </w:rPr>
  </w:style>
  <w:style w:type="paragraph" w:styleId="15">
    <w:name w:val="caption"/>
    <w:basedOn w:val="1"/>
    <w:next w:val="1"/>
    <w:autoRedefine/>
    <w:qFormat/>
    <w:uiPriority w:val="0"/>
    <w:pPr>
      <w:spacing w:before="152" w:after="160"/>
    </w:pPr>
    <w:rPr>
      <w:rFonts w:ascii="Arial" w:hAnsi="Arial" w:eastAsia="黑体" w:cs="Arial"/>
      <w:sz w:val="20"/>
      <w:szCs w:val="20"/>
    </w:rPr>
  </w:style>
  <w:style w:type="paragraph" w:styleId="16">
    <w:name w:val="List Bullet"/>
    <w:basedOn w:val="17"/>
    <w:autoRedefine/>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7">
    <w:name w:val="List"/>
    <w:basedOn w:val="1"/>
    <w:autoRedefine/>
    <w:qFormat/>
    <w:uiPriority w:val="0"/>
    <w:pPr>
      <w:numPr>
        <w:ilvl w:val="0"/>
        <w:numId w:val="2"/>
      </w:numPr>
      <w:autoSpaceDE/>
      <w:autoSpaceDN/>
      <w:snapToGrid w:val="0"/>
      <w:spacing w:line="300" w:lineRule="auto"/>
      <w:jc w:val="both"/>
    </w:pPr>
    <w:rPr>
      <w:rFonts w:ascii="Times New Roman"/>
      <w:kern w:val="2"/>
      <w:sz w:val="21"/>
    </w:rPr>
  </w:style>
  <w:style w:type="paragraph" w:styleId="18">
    <w:name w:val="Document Map"/>
    <w:basedOn w:val="1"/>
    <w:autoRedefine/>
    <w:qFormat/>
    <w:uiPriority w:val="0"/>
    <w:pPr>
      <w:shd w:val="clear" w:color="auto" w:fill="000080"/>
    </w:pPr>
  </w:style>
  <w:style w:type="paragraph" w:styleId="19">
    <w:name w:val="toa heading"/>
    <w:basedOn w:val="1"/>
    <w:next w:val="1"/>
    <w:autoRedefine/>
    <w:qFormat/>
    <w:uiPriority w:val="0"/>
    <w:pPr>
      <w:snapToGrid w:val="0"/>
      <w:spacing w:before="120" w:line="360" w:lineRule="auto"/>
      <w:jc w:val="both"/>
    </w:pPr>
    <w:rPr>
      <w:rFonts w:ascii="Arial" w:hAnsi="Arial"/>
      <w:snapToGrid w:val="0"/>
      <w:color w:val="000000"/>
      <w:sz w:val="21"/>
      <w:szCs w:val="20"/>
    </w:rPr>
  </w:style>
  <w:style w:type="paragraph" w:styleId="20">
    <w:name w:val="annotation text"/>
    <w:basedOn w:val="1"/>
    <w:link w:val="183"/>
    <w:autoRedefine/>
    <w:qFormat/>
    <w:uiPriority w:val="0"/>
    <w:pPr>
      <w:widowControl/>
      <w:autoSpaceDE/>
      <w:autoSpaceDN/>
      <w:adjustRightInd/>
    </w:pPr>
    <w:rPr>
      <w:rFonts w:ascii="Times New Roman"/>
      <w:sz w:val="21"/>
      <w:szCs w:val="20"/>
    </w:rPr>
  </w:style>
  <w:style w:type="paragraph" w:styleId="21">
    <w:name w:val="Body Text 3"/>
    <w:basedOn w:val="1"/>
    <w:autoRedefine/>
    <w:qFormat/>
    <w:uiPriority w:val="0"/>
    <w:pPr>
      <w:ind w:right="-26"/>
      <w:jc w:val="center"/>
    </w:pPr>
    <w:rPr>
      <w:b/>
      <w:bCs/>
      <w:color w:val="3366FF"/>
      <w:kern w:val="2"/>
      <w:sz w:val="52"/>
      <w:szCs w:val="52"/>
      <w:lang w:val="zh-CN"/>
    </w:rPr>
  </w:style>
  <w:style w:type="paragraph" w:styleId="22">
    <w:name w:val="Body Text Indent"/>
    <w:basedOn w:val="1"/>
    <w:autoRedefine/>
    <w:qFormat/>
    <w:uiPriority w:val="0"/>
    <w:pPr>
      <w:autoSpaceDE/>
      <w:autoSpaceDN/>
      <w:adjustRightInd/>
      <w:ind w:left="567" w:leftChars="270"/>
      <w:jc w:val="both"/>
    </w:pPr>
    <w:rPr>
      <w:rFonts w:ascii="Times New Roman"/>
      <w:kern w:val="2"/>
      <w:sz w:val="21"/>
      <w:szCs w:val="20"/>
    </w:rPr>
  </w:style>
  <w:style w:type="paragraph" w:styleId="23">
    <w:name w:val="List Number 3"/>
    <w:basedOn w:val="1"/>
    <w:autoRedefine/>
    <w:qFormat/>
    <w:uiPriority w:val="0"/>
    <w:pPr>
      <w:numPr>
        <w:ilvl w:val="0"/>
        <w:numId w:val="3"/>
      </w:numPr>
    </w:pPr>
  </w:style>
  <w:style w:type="paragraph" w:styleId="24">
    <w:name w:val="List 2"/>
    <w:basedOn w:val="1"/>
    <w:autoRedefine/>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autoRedefine/>
    <w:qFormat/>
    <w:uiPriority w:val="0"/>
    <w:pPr>
      <w:spacing w:after="120"/>
      <w:ind w:left="1440" w:leftChars="700" w:right="1440" w:rightChars="700"/>
    </w:pPr>
  </w:style>
  <w:style w:type="paragraph" w:styleId="26">
    <w:name w:val="toc 5"/>
    <w:basedOn w:val="1"/>
    <w:next w:val="1"/>
    <w:autoRedefine/>
    <w:qFormat/>
    <w:uiPriority w:val="0"/>
    <w:pPr>
      <w:ind w:left="960"/>
    </w:pPr>
    <w:rPr>
      <w:rFonts w:ascii="Calibri" w:cs="Calibri"/>
      <w:sz w:val="18"/>
      <w:szCs w:val="18"/>
    </w:rPr>
  </w:style>
  <w:style w:type="paragraph" w:styleId="27">
    <w:name w:val="toc 3"/>
    <w:basedOn w:val="1"/>
    <w:next w:val="1"/>
    <w:autoRedefine/>
    <w:qFormat/>
    <w:uiPriority w:val="0"/>
    <w:pPr>
      <w:ind w:left="480"/>
    </w:pPr>
    <w:rPr>
      <w:rFonts w:ascii="Calibri" w:cs="Calibri"/>
      <w:i/>
      <w:iCs/>
      <w:sz w:val="20"/>
      <w:szCs w:val="20"/>
    </w:rPr>
  </w:style>
  <w:style w:type="paragraph" w:styleId="28">
    <w:name w:val="Plain Text"/>
    <w:basedOn w:val="1"/>
    <w:next w:val="1"/>
    <w:link w:val="77"/>
    <w:autoRedefine/>
    <w:qFormat/>
    <w:uiPriority w:val="0"/>
    <w:pPr>
      <w:autoSpaceDE/>
      <w:autoSpaceDN/>
      <w:adjustRightInd/>
      <w:jc w:val="both"/>
    </w:pPr>
    <w:rPr>
      <w:rFonts w:hAnsi="Courier New"/>
      <w:kern w:val="2"/>
      <w:sz w:val="21"/>
      <w:szCs w:val="20"/>
    </w:rPr>
  </w:style>
  <w:style w:type="paragraph" w:styleId="29">
    <w:name w:val="toc 8"/>
    <w:basedOn w:val="1"/>
    <w:next w:val="1"/>
    <w:autoRedefine/>
    <w:qFormat/>
    <w:uiPriority w:val="0"/>
    <w:pPr>
      <w:ind w:left="1680"/>
    </w:pPr>
    <w:rPr>
      <w:rFonts w:ascii="Calibri" w:cs="Calibri"/>
      <w:sz w:val="18"/>
      <w:szCs w:val="18"/>
    </w:rPr>
  </w:style>
  <w:style w:type="paragraph" w:styleId="30">
    <w:name w:val="Date"/>
    <w:basedOn w:val="1"/>
    <w:next w:val="1"/>
    <w:autoRedefine/>
    <w:qFormat/>
    <w:uiPriority w:val="0"/>
    <w:pPr>
      <w:ind w:left="100" w:leftChars="2500"/>
    </w:pPr>
    <w:rPr>
      <w:b/>
      <w:bCs/>
      <w:kern w:val="2"/>
      <w:sz w:val="21"/>
      <w:szCs w:val="21"/>
      <w:lang w:val="zh-CN"/>
    </w:rPr>
  </w:style>
  <w:style w:type="paragraph" w:styleId="31">
    <w:name w:val="Body Text Indent 2"/>
    <w:basedOn w:val="1"/>
    <w:autoRedefine/>
    <w:qFormat/>
    <w:uiPriority w:val="0"/>
    <w:pPr>
      <w:tabs>
        <w:tab w:val="left" w:pos="8640"/>
      </w:tabs>
      <w:autoSpaceDE/>
      <w:autoSpaceDN/>
      <w:adjustRightInd/>
      <w:ind w:left="1260"/>
      <w:jc w:val="both"/>
    </w:pPr>
    <w:rPr>
      <w:kern w:val="2"/>
      <w:sz w:val="21"/>
      <w:szCs w:val="20"/>
    </w:rPr>
  </w:style>
  <w:style w:type="paragraph" w:styleId="32">
    <w:name w:val="Balloon Text"/>
    <w:basedOn w:val="1"/>
    <w:autoRedefine/>
    <w:qFormat/>
    <w:uiPriority w:val="0"/>
    <w:pPr>
      <w:autoSpaceDE/>
      <w:autoSpaceDN/>
      <w:adjustRightInd/>
      <w:jc w:val="both"/>
    </w:pPr>
    <w:rPr>
      <w:rFonts w:ascii="Times New Roman"/>
      <w:kern w:val="2"/>
      <w:sz w:val="18"/>
      <w:szCs w:val="18"/>
    </w:rPr>
  </w:style>
  <w:style w:type="paragraph" w:styleId="33">
    <w:name w:val="footer"/>
    <w:basedOn w:val="1"/>
    <w:link w:val="90"/>
    <w:autoRedefine/>
    <w:qFormat/>
    <w:uiPriority w:val="0"/>
    <w:pPr>
      <w:tabs>
        <w:tab w:val="center" w:pos="4153"/>
        <w:tab w:val="right" w:pos="8306"/>
      </w:tabs>
      <w:snapToGrid w:val="0"/>
    </w:pPr>
    <w:rPr>
      <w:rFonts w:hAnsi="Times New Roman"/>
      <w:sz w:val="18"/>
      <w:szCs w:val="18"/>
    </w:rPr>
  </w:style>
  <w:style w:type="paragraph" w:styleId="34">
    <w:name w:val="header"/>
    <w:basedOn w:val="1"/>
    <w:link w:val="86"/>
    <w:autoRedefine/>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0"/>
    <w:pPr>
      <w:spacing w:before="120" w:after="120"/>
    </w:pPr>
    <w:rPr>
      <w:rFonts w:ascii="Calibri" w:cs="Calibri"/>
      <w:b/>
      <w:bCs/>
      <w:caps/>
      <w:sz w:val="20"/>
      <w:szCs w:val="20"/>
    </w:rPr>
  </w:style>
  <w:style w:type="paragraph" w:styleId="36">
    <w:name w:val="toc 4"/>
    <w:basedOn w:val="1"/>
    <w:next w:val="1"/>
    <w:autoRedefine/>
    <w:qFormat/>
    <w:uiPriority w:val="0"/>
    <w:pPr>
      <w:ind w:left="720"/>
    </w:pPr>
    <w:rPr>
      <w:rFonts w:ascii="Calibri" w:cs="Calibri"/>
      <w:sz w:val="18"/>
      <w:szCs w:val="18"/>
    </w:rPr>
  </w:style>
  <w:style w:type="paragraph" w:styleId="37">
    <w:name w:val="index heading"/>
    <w:basedOn w:val="1"/>
    <w:next w:val="38"/>
    <w:autoRedefine/>
    <w:qFormat/>
    <w:uiPriority w:val="0"/>
    <w:pPr>
      <w:autoSpaceDE/>
      <w:autoSpaceDN/>
      <w:adjustRightInd/>
      <w:jc w:val="both"/>
    </w:pPr>
    <w:rPr>
      <w:rFonts w:ascii="Times New Roman"/>
      <w:kern w:val="2"/>
      <w:sz w:val="21"/>
      <w:szCs w:val="20"/>
    </w:rPr>
  </w:style>
  <w:style w:type="paragraph" w:styleId="38">
    <w:name w:val="index 1"/>
    <w:basedOn w:val="1"/>
    <w:next w:val="1"/>
    <w:autoRedefine/>
    <w:qFormat/>
    <w:uiPriority w:val="0"/>
    <w:pPr>
      <w:autoSpaceDE/>
      <w:autoSpaceDN/>
      <w:adjustRightInd/>
      <w:ind w:left="540" w:leftChars="257"/>
      <w:jc w:val="both"/>
    </w:pPr>
    <w:rPr>
      <w:rFonts w:ascii="Arial" w:hAnsi="Arial" w:cs="Arial"/>
      <w:kern w:val="2"/>
      <w:sz w:val="21"/>
    </w:rPr>
  </w:style>
  <w:style w:type="paragraph" w:styleId="39">
    <w:name w:val="Subtitle"/>
    <w:basedOn w:val="1"/>
    <w:link w:val="89"/>
    <w:autoRedefine/>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autoRedefine/>
    <w:qFormat/>
    <w:uiPriority w:val="0"/>
    <w:pPr>
      <w:ind w:left="1200"/>
    </w:pPr>
    <w:rPr>
      <w:rFonts w:ascii="Calibri" w:cs="Calibri"/>
      <w:sz w:val="18"/>
      <w:szCs w:val="18"/>
    </w:rPr>
  </w:style>
  <w:style w:type="paragraph" w:styleId="41">
    <w:name w:val="Body Text Indent 3"/>
    <w:basedOn w:val="1"/>
    <w:autoRedefine/>
    <w:qFormat/>
    <w:uiPriority w:val="0"/>
    <w:pPr>
      <w:spacing w:line="360" w:lineRule="auto"/>
      <w:ind w:firstLine="480" w:firstLineChars="200"/>
    </w:pPr>
  </w:style>
  <w:style w:type="paragraph" w:styleId="42">
    <w:name w:val="toc 2"/>
    <w:basedOn w:val="1"/>
    <w:next w:val="1"/>
    <w:autoRedefine/>
    <w:qFormat/>
    <w:uiPriority w:val="0"/>
    <w:pPr>
      <w:ind w:left="240"/>
    </w:pPr>
    <w:rPr>
      <w:rFonts w:ascii="Calibri" w:cs="Calibri"/>
      <w:smallCaps/>
      <w:sz w:val="20"/>
      <w:szCs w:val="20"/>
    </w:rPr>
  </w:style>
  <w:style w:type="paragraph" w:styleId="43">
    <w:name w:val="toc 9"/>
    <w:basedOn w:val="1"/>
    <w:next w:val="1"/>
    <w:autoRedefine/>
    <w:qFormat/>
    <w:uiPriority w:val="0"/>
    <w:pPr>
      <w:ind w:left="1920"/>
    </w:pPr>
    <w:rPr>
      <w:rFonts w:ascii="Calibri" w:cs="Calibri"/>
      <w:sz w:val="18"/>
      <w:szCs w:val="18"/>
    </w:rPr>
  </w:style>
  <w:style w:type="paragraph" w:styleId="44">
    <w:name w:val="Body Text 2"/>
    <w:basedOn w:val="1"/>
    <w:autoRedefine/>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autoRedefine/>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autoRedefine/>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autoRedefine/>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0"/>
    <w:next w:val="20"/>
    <w:autoRedefine/>
    <w:qFormat/>
    <w:uiPriority w:val="0"/>
    <w:rPr>
      <w:b/>
      <w:bCs/>
    </w:rPr>
  </w:style>
  <w:style w:type="paragraph" w:styleId="50">
    <w:name w:val="Body Text First Indent 2"/>
    <w:basedOn w:val="22"/>
    <w:autoRedefine/>
    <w:semiHidden/>
    <w:unhideWhenUsed/>
    <w:qFormat/>
    <w:uiPriority w:val="99"/>
    <w:pPr>
      <w:ind w:firstLine="420" w:firstLineChars="200"/>
    </w:pPr>
  </w:style>
  <w:style w:type="table" w:styleId="52">
    <w:name w:val="Table Grid"/>
    <w:basedOn w:val="5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autoRedefine/>
    <w:qFormat/>
    <w:uiPriority w:val="0"/>
    <w:rPr>
      <w:b/>
      <w:bCs/>
    </w:rPr>
  </w:style>
  <w:style w:type="character" w:styleId="55">
    <w:name w:val="page number"/>
    <w:basedOn w:val="53"/>
    <w:autoRedefine/>
    <w:qFormat/>
    <w:uiPriority w:val="0"/>
  </w:style>
  <w:style w:type="character" w:styleId="56">
    <w:name w:val="FollowedHyperlink"/>
    <w:autoRedefine/>
    <w:qFormat/>
    <w:uiPriority w:val="0"/>
    <w:rPr>
      <w:color w:val="333333"/>
      <w:u w:val="none"/>
    </w:rPr>
  </w:style>
  <w:style w:type="character" w:styleId="57">
    <w:name w:val="Emphasis"/>
    <w:autoRedefine/>
    <w:qFormat/>
    <w:uiPriority w:val="0"/>
    <w:rPr>
      <w:i/>
      <w:iCs/>
    </w:rPr>
  </w:style>
  <w:style w:type="character" w:styleId="58">
    <w:name w:val="Hyperlink"/>
    <w:autoRedefine/>
    <w:qFormat/>
    <w:uiPriority w:val="0"/>
    <w:rPr>
      <w:color w:val="333333"/>
      <w:u w:val="none"/>
    </w:rPr>
  </w:style>
  <w:style w:type="character" w:styleId="59">
    <w:name w:val="annotation reference"/>
    <w:basedOn w:val="53"/>
    <w:autoRedefine/>
    <w:qFormat/>
    <w:uiPriority w:val="0"/>
    <w:rPr>
      <w:sz w:val="21"/>
      <w:szCs w:val="21"/>
    </w:rPr>
  </w:style>
  <w:style w:type="paragraph" w:customStyle="1" w:styleId="60">
    <w:name w:val="表格文字"/>
    <w:basedOn w:val="1"/>
    <w:autoRedefine/>
    <w:qFormat/>
    <w:uiPriority w:val="0"/>
    <w:pPr>
      <w:autoSpaceDE/>
      <w:autoSpaceDN/>
      <w:adjustRightInd/>
      <w:spacing w:before="25" w:after="25"/>
    </w:pPr>
    <w:rPr>
      <w:rFonts w:ascii="Times New Roman"/>
      <w:bCs/>
      <w:spacing w:val="10"/>
      <w:szCs w:val="20"/>
    </w:rPr>
  </w:style>
  <w:style w:type="paragraph" w:customStyle="1" w:styleId="61">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2">
    <w:name w:val="首行缩进"/>
    <w:basedOn w:val="1"/>
    <w:autoRedefine/>
    <w:qFormat/>
    <w:uiPriority w:val="0"/>
    <w:pPr>
      <w:ind w:firstLine="480" w:firstLineChars="200"/>
    </w:pPr>
    <w:rPr>
      <w:lang w:val="zh-CN"/>
    </w:rPr>
  </w:style>
  <w:style w:type="character" w:customStyle="1" w:styleId="63">
    <w:name w:val="s1"/>
    <w:autoRedefine/>
    <w:qFormat/>
    <w:uiPriority w:val="0"/>
    <w:rPr>
      <w:rFonts w:ascii="Helvetica" w:hAnsi="Helvetica" w:eastAsia="Helvetica" w:cs="Helvetica"/>
      <w:sz w:val="24"/>
      <w:szCs w:val="24"/>
    </w:rPr>
  </w:style>
  <w:style w:type="character" w:customStyle="1" w:styleId="64">
    <w:name w:val="keyfeatures1"/>
    <w:autoRedefine/>
    <w:qFormat/>
    <w:uiPriority w:val="0"/>
    <w:rPr>
      <w:rFonts w:hint="default" w:ascii="Arial" w:hAnsi="Arial" w:cs="Arial"/>
      <w:color w:val="003366"/>
      <w:sz w:val="17"/>
      <w:szCs w:val="17"/>
      <w:u w:val="none"/>
    </w:rPr>
  </w:style>
  <w:style w:type="character" w:customStyle="1" w:styleId="65">
    <w:name w:val="小 Char"/>
    <w:autoRedefine/>
    <w:qFormat/>
    <w:uiPriority w:val="0"/>
    <w:rPr>
      <w:rFonts w:ascii="宋体" w:hAnsi="Courier New" w:eastAsia="宋体" w:cs="Times New Roman"/>
      <w:kern w:val="2"/>
      <w:sz w:val="21"/>
      <w:lang w:val="en-US" w:eastAsia="zh-CN" w:bidi="ar-SA"/>
    </w:rPr>
  </w:style>
  <w:style w:type="character" w:customStyle="1" w:styleId="66">
    <w:name w:val="纯文本 Char Char"/>
    <w:autoRedefine/>
    <w:qFormat/>
    <w:uiPriority w:val="0"/>
    <w:rPr>
      <w:rFonts w:ascii="宋体" w:hAnsi="Courier New" w:eastAsia="宋体"/>
      <w:kern w:val="2"/>
      <w:sz w:val="21"/>
      <w:lang w:val="en-US" w:eastAsia="zh-CN" w:bidi="ar-SA"/>
    </w:rPr>
  </w:style>
  <w:style w:type="character" w:customStyle="1" w:styleId="67">
    <w:name w:val="meuncn1"/>
    <w:autoRedefine/>
    <w:qFormat/>
    <w:uiPriority w:val="0"/>
    <w:rPr>
      <w:rFonts w:hint="eastAsia" w:ascii="宋体" w:hAnsi="宋体" w:eastAsia="宋体"/>
      <w:color w:val="666666"/>
      <w:sz w:val="18"/>
      <w:u w:val="none"/>
    </w:rPr>
  </w:style>
  <w:style w:type="character" w:customStyle="1" w:styleId="68">
    <w:name w:val="标题 3.1 Char Char"/>
    <w:link w:val="69"/>
    <w:autoRedefine/>
    <w:qFormat/>
    <w:uiPriority w:val="0"/>
    <w:rPr>
      <w:rFonts w:ascii="宋体" w:hAnsi="宋体"/>
      <w:b/>
      <w:bCs/>
      <w:kern w:val="2"/>
      <w:sz w:val="32"/>
      <w:szCs w:val="32"/>
    </w:rPr>
  </w:style>
  <w:style w:type="paragraph" w:customStyle="1" w:styleId="69">
    <w:name w:val="标题 3.1"/>
    <w:basedOn w:val="6"/>
    <w:link w:val="68"/>
    <w:autoRedefine/>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字符"/>
    <w:link w:val="4"/>
    <w:autoRedefine/>
    <w:qFormat/>
    <w:uiPriority w:val="0"/>
  </w:style>
  <w:style w:type="character" w:customStyle="1" w:styleId="71">
    <w:name w:val="HTML Markup"/>
    <w:autoRedefine/>
    <w:qFormat/>
    <w:uiPriority w:val="0"/>
    <w:rPr>
      <w:rFonts w:ascii="Times New Roman" w:hAnsi="Times New Roman" w:eastAsia="宋体" w:cs="Times New Roman"/>
      <w:vanish/>
      <w:color w:val="FF0000"/>
    </w:rPr>
  </w:style>
  <w:style w:type="character" w:customStyle="1" w:styleId="72">
    <w:name w:val="页脚 Char Char"/>
    <w:autoRedefine/>
    <w:qFormat/>
    <w:uiPriority w:val="0"/>
    <w:rPr>
      <w:rFonts w:ascii="宋体"/>
      <w:sz w:val="18"/>
      <w:szCs w:val="18"/>
    </w:rPr>
  </w:style>
  <w:style w:type="character" w:customStyle="1" w:styleId="73">
    <w:name w:val="p105"/>
    <w:basedOn w:val="53"/>
    <w:autoRedefine/>
    <w:qFormat/>
    <w:uiPriority w:val="0"/>
  </w:style>
  <w:style w:type="character" w:customStyle="1" w:styleId="74">
    <w:name w:val="正文缩进2格 Char Char"/>
    <w:link w:val="75"/>
    <w:autoRedefine/>
    <w:qFormat/>
    <w:uiPriority w:val="0"/>
    <w:rPr>
      <w:rFonts w:ascii="仿宋_GB2312" w:hAnsi="宋体" w:eastAsia="仿宋_GB2312"/>
      <w:kern w:val="2"/>
      <w:sz w:val="31"/>
      <w:szCs w:val="28"/>
      <w:lang w:val="en-US" w:eastAsia="zh-CN" w:bidi="ar-SA"/>
    </w:rPr>
  </w:style>
  <w:style w:type="paragraph" w:customStyle="1" w:styleId="75">
    <w:name w:val="正文缩进2格"/>
    <w:basedOn w:val="1"/>
    <w:link w:val="74"/>
    <w:autoRedefine/>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字符"/>
    <w:link w:val="14"/>
    <w:autoRedefine/>
    <w:qFormat/>
    <w:uiPriority w:val="0"/>
    <w:rPr>
      <w:rFonts w:eastAsia="宋体"/>
      <w:lang w:val="en-US" w:eastAsia="zh-CN" w:bidi="ar-SA"/>
    </w:rPr>
  </w:style>
  <w:style w:type="character" w:customStyle="1" w:styleId="77">
    <w:name w:val="纯文本 字符"/>
    <w:link w:val="28"/>
    <w:autoRedefine/>
    <w:qFormat/>
    <w:uiPriority w:val="0"/>
    <w:rPr>
      <w:rFonts w:ascii="宋体" w:hAnsi="Courier New" w:eastAsia="宋体" w:cs="Times New Roman"/>
      <w:kern w:val="2"/>
      <w:sz w:val="21"/>
      <w:lang w:val="en-US" w:eastAsia="zh-CN" w:bidi="ar-SA"/>
    </w:rPr>
  </w:style>
  <w:style w:type="character" w:customStyle="1" w:styleId="78">
    <w:name w:val="font01"/>
    <w:autoRedefine/>
    <w:qFormat/>
    <w:uiPriority w:val="0"/>
    <w:rPr>
      <w:rFonts w:hint="eastAsia" w:ascii="宋体" w:hAnsi="宋体" w:eastAsia="宋体" w:cs="宋体"/>
      <w:color w:val="000000"/>
      <w:sz w:val="24"/>
      <w:szCs w:val="24"/>
      <w:u w:val="none"/>
    </w:rPr>
  </w:style>
  <w:style w:type="character" w:customStyle="1" w:styleId="79">
    <w:name w:val="wctjfont1"/>
    <w:autoRedefine/>
    <w:qFormat/>
    <w:uiPriority w:val="0"/>
    <w:rPr>
      <w:sz w:val="18"/>
    </w:rPr>
  </w:style>
  <w:style w:type="character" w:customStyle="1" w:styleId="80">
    <w:name w:val="bold1"/>
    <w:autoRedefine/>
    <w:qFormat/>
    <w:uiPriority w:val="0"/>
    <w:rPr>
      <w:sz w:val="32"/>
    </w:rPr>
  </w:style>
  <w:style w:type="character" w:customStyle="1" w:styleId="81">
    <w:name w:val="正文文本 字符"/>
    <w:link w:val="2"/>
    <w:autoRedefine/>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autoRedefine/>
    <w:qFormat/>
    <w:uiPriority w:val="0"/>
    <w:rPr>
      <w:rFonts w:ascii="Verdana" w:hAnsi="Verdana" w:eastAsia="宋体"/>
      <w:kern w:val="2"/>
      <w:sz w:val="21"/>
      <w:szCs w:val="21"/>
      <w:lang w:val="en-US" w:eastAsia="zh-CN" w:bidi="ar-SA"/>
    </w:rPr>
  </w:style>
  <w:style w:type="character" w:customStyle="1" w:styleId="83">
    <w:name w:val="Highlighted Variable"/>
    <w:autoRedefine/>
    <w:qFormat/>
    <w:uiPriority w:val="0"/>
    <w:rPr>
      <w:color w:val="000000"/>
    </w:rPr>
  </w:style>
  <w:style w:type="character" w:customStyle="1" w:styleId="84">
    <w:name w:val="neir1"/>
    <w:autoRedefine/>
    <w:qFormat/>
    <w:uiPriority w:val="0"/>
    <w:rPr>
      <w:rFonts w:hint="default" w:ascii="ˎ̥" w:hAnsi="ˎ̥" w:eastAsia="宋体" w:cs="Times New Roman"/>
      <w:color w:val="333333"/>
      <w:sz w:val="21"/>
      <w:szCs w:val="21"/>
      <w:u w:val="none"/>
    </w:rPr>
  </w:style>
  <w:style w:type="character" w:customStyle="1" w:styleId="85">
    <w:name w:val="style61"/>
    <w:autoRedefine/>
    <w:qFormat/>
    <w:uiPriority w:val="0"/>
    <w:rPr>
      <w:b/>
      <w:bCs/>
    </w:rPr>
  </w:style>
  <w:style w:type="character" w:customStyle="1" w:styleId="86">
    <w:name w:val="页眉 字符"/>
    <w:link w:val="34"/>
    <w:autoRedefine/>
    <w:qFormat/>
    <w:uiPriority w:val="0"/>
    <w:rPr>
      <w:rFonts w:ascii="宋体"/>
      <w:sz w:val="18"/>
      <w:szCs w:val="18"/>
    </w:rPr>
  </w:style>
  <w:style w:type="character" w:customStyle="1" w:styleId="87">
    <w:name w:val="HTML 预设格式 字符"/>
    <w:link w:val="46"/>
    <w:autoRedefine/>
    <w:qFormat/>
    <w:uiPriority w:val="0"/>
    <w:rPr>
      <w:rFonts w:ascii="Arial" w:hAnsi="Arial" w:eastAsia="宋体" w:cs="Arial"/>
      <w:sz w:val="21"/>
      <w:szCs w:val="21"/>
      <w:lang w:val="en-US" w:eastAsia="zh-CN" w:bidi="ar-SA"/>
    </w:rPr>
  </w:style>
  <w:style w:type="character" w:customStyle="1" w:styleId="88">
    <w:name w:val="f141"/>
    <w:autoRedefine/>
    <w:qFormat/>
    <w:uiPriority w:val="0"/>
    <w:rPr>
      <w:sz w:val="21"/>
      <w:szCs w:val="21"/>
    </w:rPr>
  </w:style>
  <w:style w:type="character" w:customStyle="1" w:styleId="89">
    <w:name w:val="副标题 字符"/>
    <w:link w:val="39"/>
    <w:autoRedefine/>
    <w:qFormat/>
    <w:uiPriority w:val="0"/>
    <w:rPr>
      <w:rFonts w:ascii="Arial" w:hAnsi="Arial"/>
      <w:b/>
      <w:kern w:val="28"/>
      <w:sz w:val="32"/>
    </w:rPr>
  </w:style>
  <w:style w:type="character" w:customStyle="1" w:styleId="90">
    <w:name w:val="页脚 字符"/>
    <w:link w:val="33"/>
    <w:autoRedefine/>
    <w:qFormat/>
    <w:uiPriority w:val="0"/>
    <w:rPr>
      <w:rFonts w:ascii="宋体" w:hAnsi="Times New Roman" w:eastAsia="宋体" w:cs="Times New Roman"/>
      <w:sz w:val="18"/>
      <w:szCs w:val="18"/>
      <w:lang w:val="en-US" w:eastAsia="zh-CN" w:bidi="ar-SA"/>
    </w:rPr>
  </w:style>
  <w:style w:type="paragraph" w:customStyle="1" w:styleId="91">
    <w:name w:val="技术响应2"/>
    <w:basedOn w:val="1"/>
    <w:autoRedefine/>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autoRedefine/>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autoRedefine/>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autoRedefine/>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autoRedefine/>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4"/>
    <w:autoRedefine/>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autoRedefine/>
    <w:qFormat/>
    <w:uiPriority w:val="0"/>
    <w:pPr>
      <w:autoSpaceDE/>
      <w:autoSpaceDN/>
      <w:spacing w:line="360" w:lineRule="auto"/>
      <w:jc w:val="both"/>
    </w:pPr>
    <w:rPr>
      <w:rFonts w:ascii="Times New Roman"/>
      <w:szCs w:val="20"/>
    </w:rPr>
  </w:style>
  <w:style w:type="paragraph" w:customStyle="1" w:styleId="98">
    <w:name w:val="Char Char Char Char"/>
    <w:basedOn w:val="1"/>
    <w:autoRedefine/>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4"/>
    <w:next w:val="1"/>
    <w:autoRedefine/>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autoRedefine/>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autoRedefine/>
    <w:qFormat/>
    <w:uiPriority w:val="0"/>
    <w:pPr>
      <w:autoSpaceDE/>
      <w:autoSpaceDN/>
      <w:adjustRightInd/>
      <w:jc w:val="both"/>
    </w:pPr>
    <w:rPr>
      <w:rFonts w:hAnsi="宋体"/>
      <w:spacing w:val="10"/>
      <w:kern w:val="2"/>
      <w:sz w:val="18"/>
      <w:szCs w:val="20"/>
    </w:rPr>
  </w:style>
  <w:style w:type="paragraph" w:customStyle="1" w:styleId="102">
    <w:name w:val="Char Char Char Char1"/>
    <w:basedOn w:val="5"/>
    <w:autoRedefine/>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8"/>
    <w:autoRedefine/>
    <w:qFormat/>
    <w:uiPriority w:val="0"/>
    <w:pPr>
      <w:autoSpaceDE/>
      <w:autoSpaceDN/>
      <w:adjustRightInd/>
      <w:jc w:val="both"/>
    </w:pPr>
    <w:rPr>
      <w:rFonts w:ascii="Tahoma" w:hAnsi="Tahoma"/>
      <w:kern w:val="2"/>
    </w:rPr>
  </w:style>
  <w:style w:type="paragraph" w:customStyle="1" w:styleId="104">
    <w:name w:val="xl39"/>
    <w:basedOn w:val="1"/>
    <w:autoRedefine/>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autoRedefine/>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5"/>
    <w:autoRedefine/>
    <w:qFormat/>
    <w:uiPriority w:val="0"/>
    <w:pPr>
      <w:spacing w:before="100" w:line="400" w:lineRule="exact"/>
    </w:pPr>
    <w:rPr>
      <w:rFonts w:ascii="Times New Roman" w:hAnsi="Times New Roman"/>
      <w:b w:val="0"/>
      <w:sz w:val="28"/>
      <w:szCs w:val="20"/>
    </w:rPr>
  </w:style>
  <w:style w:type="paragraph" w:customStyle="1" w:styleId="107">
    <w:name w:val="Char"/>
    <w:basedOn w:val="1"/>
    <w:autoRedefine/>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autoRedefine/>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6"/>
    <w:autoRedefine/>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autoRedefine/>
    <w:qFormat/>
    <w:uiPriority w:val="0"/>
    <w:pPr>
      <w:tabs>
        <w:tab w:val="left" w:pos="360"/>
      </w:tabs>
      <w:autoSpaceDE/>
      <w:autoSpaceDN/>
      <w:adjustRightInd/>
      <w:jc w:val="both"/>
    </w:pPr>
    <w:rPr>
      <w:rFonts w:ascii="Times New Roman"/>
      <w:kern w:val="2"/>
      <w:sz w:val="21"/>
    </w:rPr>
  </w:style>
  <w:style w:type="paragraph" w:customStyle="1" w:styleId="113">
    <w:name w:val="xl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autoRedefine/>
    <w:qFormat/>
    <w:uiPriority w:val="0"/>
    <w:pPr>
      <w:snapToGrid w:val="0"/>
      <w:spacing w:beforeLines="30" w:line="288" w:lineRule="auto"/>
      <w:ind w:firstLine="200" w:firstLineChars="200"/>
    </w:pPr>
    <w:rPr>
      <w:rFonts w:eastAsia="华文细黑"/>
    </w:rPr>
  </w:style>
  <w:style w:type="paragraph" w:customStyle="1" w:styleId="115">
    <w:name w:val="xl38"/>
    <w:basedOn w:val="1"/>
    <w:autoRedefine/>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autoRedefine/>
    <w:qFormat/>
    <w:uiPriority w:val="0"/>
    <w:rPr>
      <w:rFonts w:cs="Times New Roman"/>
    </w:rPr>
  </w:style>
  <w:style w:type="paragraph" w:customStyle="1" w:styleId="117">
    <w:name w:val="Char Char Char Char Char Char"/>
    <w:basedOn w:val="1"/>
    <w:autoRedefine/>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autoRedefine/>
    <w:qFormat/>
    <w:uiPriority w:val="0"/>
    <w:pPr>
      <w:spacing w:line="540" w:lineRule="exact"/>
      <w:ind w:firstLine="0" w:firstLineChars="0"/>
    </w:pPr>
    <w:rPr>
      <w:rFonts w:hAnsi="Times New Roman"/>
      <w:szCs w:val="24"/>
    </w:rPr>
  </w:style>
  <w:style w:type="paragraph" w:styleId="119">
    <w:name w:val="No Spacing"/>
    <w:autoRedefine/>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autoRedefine/>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autoRedefine/>
    <w:qFormat/>
    <w:uiPriority w:val="0"/>
    <w:pPr>
      <w:autoSpaceDE/>
      <w:autoSpaceDN/>
      <w:adjustRightInd/>
      <w:jc w:val="both"/>
    </w:pPr>
    <w:rPr>
      <w:rFonts w:hAnsi="宋体"/>
      <w:b/>
      <w:kern w:val="2"/>
      <w:sz w:val="28"/>
      <w:szCs w:val="28"/>
    </w:rPr>
  </w:style>
  <w:style w:type="paragraph" w:customStyle="1" w:styleId="123">
    <w:name w:val="版权"/>
    <w:basedOn w:val="1"/>
    <w:autoRedefine/>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autoRedefine/>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autoRedefine/>
    <w:qFormat/>
    <w:uiPriority w:val="0"/>
    <w:rPr>
      <w:b/>
    </w:rPr>
  </w:style>
  <w:style w:type="paragraph" w:customStyle="1" w:styleId="126">
    <w:name w:val="表格正文"/>
    <w:basedOn w:val="1"/>
    <w:autoRedefine/>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autoRedefine/>
    <w:qFormat/>
    <w:uiPriority w:val="0"/>
    <w:pPr>
      <w:jc w:val="center"/>
      <w:textAlignment w:val="baseline"/>
    </w:pPr>
    <w:rPr>
      <w:rFonts w:hAnsi="宋体"/>
      <w:szCs w:val="20"/>
    </w:rPr>
  </w:style>
  <w:style w:type="paragraph" w:customStyle="1" w:styleId="128">
    <w:name w:val="图"/>
    <w:basedOn w:val="1"/>
    <w:autoRedefine/>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5"/>
    <w:autoRedefine/>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9"/>
    <w:autoRedefine/>
    <w:qFormat/>
    <w:uiPriority w:val="0"/>
    <w:pPr>
      <w:spacing w:before="0" w:after="312"/>
      <w:ind w:left="240" w:firstLine="600"/>
      <w:jc w:val="left"/>
      <w:outlineLvl w:val="9"/>
    </w:pPr>
    <w:rPr>
      <w:rFonts w:ascii="宋体" w:hAnsi="宋体"/>
      <w:sz w:val="30"/>
    </w:rPr>
  </w:style>
  <w:style w:type="paragraph" w:customStyle="1" w:styleId="131">
    <w:name w:val="列出段落1"/>
    <w:basedOn w:val="1"/>
    <w:autoRedefine/>
    <w:qFormat/>
    <w:uiPriority w:val="34"/>
    <w:pPr>
      <w:ind w:firstLine="420" w:firstLineChars="200"/>
    </w:pPr>
    <w:rPr>
      <w:rFonts w:ascii="Calibri" w:cs="黑体"/>
    </w:rPr>
  </w:style>
  <w:style w:type="paragraph" w:customStyle="1" w:styleId="132">
    <w:name w:val="xl25"/>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autoRedefine/>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autoRedefine/>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14"/>
    <w:autoRedefine/>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4"/>
    <w:autoRedefine/>
    <w:qFormat/>
    <w:uiPriority w:val="0"/>
    <w:rPr>
      <w:snapToGrid w:val="0"/>
      <w:sz w:val="52"/>
      <w:szCs w:val="72"/>
    </w:rPr>
  </w:style>
  <w:style w:type="paragraph" w:customStyle="1" w:styleId="137">
    <w:name w:val="正文无缩进"/>
    <w:basedOn w:val="75"/>
    <w:autoRedefine/>
    <w:qFormat/>
    <w:uiPriority w:val="0"/>
    <w:pPr>
      <w:ind w:firstLine="0" w:firstLineChars="0"/>
    </w:pPr>
  </w:style>
  <w:style w:type="paragraph" w:customStyle="1" w:styleId="138">
    <w:name w:val="标题 3.5"/>
    <w:basedOn w:val="6"/>
    <w:autoRedefine/>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5"/>
    <w:autoRedefine/>
    <w:qFormat/>
    <w:uiPriority w:val="0"/>
    <w:pPr>
      <w:autoSpaceDE/>
      <w:autoSpaceDN/>
      <w:adjustRightInd/>
      <w:jc w:val="center"/>
    </w:pPr>
    <w:rPr>
      <w:rFonts w:ascii="Times New Roman"/>
      <w:b/>
      <w:color w:val="000000"/>
      <w:kern w:val="2"/>
      <w:szCs w:val="21"/>
    </w:rPr>
  </w:style>
  <w:style w:type="paragraph" w:customStyle="1" w:styleId="140">
    <w:name w:val="xl44"/>
    <w:basedOn w:val="1"/>
    <w:autoRedefine/>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autoRedefine/>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autoRedefine/>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autoRedefine/>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autoRedefine/>
    <w:qFormat/>
    <w:uiPriority w:val="0"/>
    <w:pPr>
      <w:autoSpaceDE/>
      <w:autoSpaceDN/>
      <w:adjustRightInd/>
      <w:ind w:firstLine="420" w:firstLineChars="200"/>
      <w:jc w:val="both"/>
    </w:pPr>
    <w:rPr>
      <w:rFonts w:ascii="Calibri"/>
      <w:kern w:val="2"/>
      <w:sz w:val="21"/>
    </w:rPr>
  </w:style>
  <w:style w:type="paragraph" w:customStyle="1" w:styleId="145">
    <w:name w:val="xl3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autoRedefine/>
    <w:qFormat/>
    <w:uiPriority w:val="0"/>
    <w:pPr>
      <w:widowControl/>
      <w:autoSpaceDE/>
      <w:autoSpaceDN/>
      <w:adjustRightInd/>
      <w:spacing w:line="480" w:lineRule="auto"/>
      <w:jc w:val="center"/>
    </w:pPr>
    <w:rPr>
      <w:b/>
      <w:szCs w:val="20"/>
    </w:rPr>
  </w:style>
  <w:style w:type="paragraph" w:customStyle="1" w:styleId="147">
    <w:name w:val="xl26"/>
    <w:basedOn w:val="1"/>
    <w:autoRedefine/>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8"/>
    <w:autoRedefine/>
    <w:qFormat/>
    <w:uiPriority w:val="0"/>
    <w:pPr>
      <w:autoSpaceDE/>
      <w:autoSpaceDN/>
      <w:adjustRightInd/>
      <w:jc w:val="both"/>
    </w:pPr>
    <w:rPr>
      <w:rFonts w:ascii="Tahoma" w:hAnsi="Tahoma" w:cs="Times New Roman"/>
      <w:kern w:val="2"/>
    </w:rPr>
  </w:style>
  <w:style w:type="paragraph" w:customStyle="1" w:styleId="149">
    <w:name w:val="Char21"/>
    <w:basedOn w:val="1"/>
    <w:autoRedefine/>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autoRedefine/>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5"/>
    <w:next w:val="15"/>
    <w:autoRedefine/>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autoRedefine/>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autoRedefine/>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autoRedefine/>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autoRedefine/>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6"/>
    <w:autoRedefine/>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autoRedefine/>
    <w:qFormat/>
    <w:uiPriority w:val="99"/>
    <w:pPr>
      <w:widowControl/>
    </w:pPr>
    <w:rPr>
      <w:szCs w:val="21"/>
    </w:rPr>
  </w:style>
  <w:style w:type="paragraph" w:customStyle="1" w:styleId="161">
    <w:name w:val="font5"/>
    <w:basedOn w:val="1"/>
    <w:autoRedefine/>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autoRedefine/>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autoRedefine/>
    <w:qFormat/>
    <w:uiPriority w:val="0"/>
    <w:pPr>
      <w:jc w:val="center"/>
    </w:pPr>
    <w:rPr>
      <w:rFonts w:hAnsi="Times New Roman"/>
      <w:b/>
    </w:rPr>
  </w:style>
  <w:style w:type="paragraph" w:customStyle="1" w:styleId="164">
    <w:name w:val="日期右"/>
    <w:basedOn w:val="30"/>
    <w:autoRedefine/>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autoRedefine/>
    <w:qFormat/>
    <w:uiPriority w:val="0"/>
    <w:pPr>
      <w:autoSpaceDE/>
      <w:autoSpaceDN/>
      <w:adjustRightInd/>
      <w:jc w:val="both"/>
    </w:pPr>
    <w:rPr>
      <w:rFonts w:ascii="Tahoma" w:hAnsi="Tahoma"/>
      <w:kern w:val="2"/>
      <w:szCs w:val="20"/>
    </w:rPr>
  </w:style>
  <w:style w:type="paragraph" w:customStyle="1" w:styleId="166">
    <w:name w:val="List Paragraph1"/>
    <w:basedOn w:val="1"/>
    <w:autoRedefine/>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autoRedefine/>
    <w:qFormat/>
    <w:uiPriority w:val="0"/>
    <w:pPr>
      <w:autoSpaceDE/>
      <w:autoSpaceDN/>
      <w:adjustRightInd/>
      <w:jc w:val="both"/>
    </w:pPr>
    <w:rPr>
      <w:rFonts w:ascii="Tahoma" w:hAnsi="Tahoma"/>
      <w:b/>
      <w:sz w:val="28"/>
      <w:szCs w:val="20"/>
    </w:rPr>
  </w:style>
  <w:style w:type="paragraph" w:customStyle="1" w:styleId="168">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autoRedefine/>
    <w:qFormat/>
    <w:uiPriority w:val="0"/>
    <w:pPr>
      <w:ind w:left="1758" w:leftChars="854"/>
    </w:pPr>
  </w:style>
  <w:style w:type="paragraph" w:customStyle="1" w:styleId="170">
    <w:name w:val="正文缩进4格"/>
    <w:basedOn w:val="75"/>
    <w:autoRedefine/>
    <w:qFormat/>
    <w:uiPriority w:val="0"/>
    <w:pPr>
      <w:ind w:left="651" w:leftChars="310" w:firstLine="608" w:firstLineChars="196"/>
    </w:pPr>
    <w:rPr>
      <w:color w:val="000000"/>
    </w:rPr>
  </w:style>
  <w:style w:type="paragraph" w:customStyle="1" w:styleId="171">
    <w:name w:val="Char1 Char Char Char Char Char Char1"/>
    <w:basedOn w:val="1"/>
    <w:autoRedefine/>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5"/>
    <w:autoRedefine/>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autoRedefine/>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autoRedefine/>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autoRedefine/>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autoRedefine/>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autoRedefine/>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autoRedefine/>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autoRedefine/>
    <w:qFormat/>
    <w:uiPriority w:val="0"/>
    <w:pPr>
      <w:widowControl/>
      <w:spacing w:line="360" w:lineRule="auto"/>
    </w:pPr>
    <w:rPr>
      <w:rFonts w:hAnsi="宋体"/>
      <w:spacing w:val="-2"/>
      <w:szCs w:val="21"/>
    </w:rPr>
  </w:style>
  <w:style w:type="paragraph" w:customStyle="1" w:styleId="181">
    <w:name w:val="文档正文"/>
    <w:basedOn w:val="1"/>
    <w:autoRedefine/>
    <w:qFormat/>
    <w:uiPriority w:val="0"/>
    <w:pPr>
      <w:spacing w:line="460" w:lineRule="exact"/>
      <w:ind w:firstLine="567"/>
      <w:textAlignment w:val="baseline"/>
    </w:pPr>
    <w:rPr>
      <w:rFonts w:ascii="Arial" w:hAnsi="Arial"/>
    </w:rPr>
  </w:style>
  <w:style w:type="paragraph" w:customStyle="1" w:styleId="182">
    <w:name w:val="正文列序2"/>
    <w:basedOn w:val="1"/>
    <w:autoRedefine/>
    <w:qFormat/>
    <w:uiPriority w:val="0"/>
    <w:pPr>
      <w:spacing w:line="360" w:lineRule="auto"/>
      <w:ind w:firstLine="425"/>
    </w:pPr>
    <w:rPr>
      <w:rFonts w:hAnsi="宋体"/>
    </w:rPr>
  </w:style>
  <w:style w:type="character" w:customStyle="1" w:styleId="183">
    <w:name w:val="批注文字 字符"/>
    <w:basedOn w:val="53"/>
    <w:link w:val="20"/>
    <w:autoRedefine/>
    <w:qFormat/>
    <w:uiPriority w:val="0"/>
    <w:rPr>
      <w:rFonts w:ascii="Times New Roman" w:hAnsi="Calibri" w:eastAsia="宋体" w:cs="宋体"/>
      <w:sz w:val="21"/>
    </w:rPr>
  </w:style>
  <w:style w:type="paragraph" w:customStyle="1" w:styleId="184">
    <w:name w:val="正文文本缩进 21"/>
    <w:basedOn w:val="1"/>
    <w:autoRedefine/>
    <w:qFormat/>
    <w:uiPriority w:val="99"/>
    <w:pPr>
      <w:spacing w:line="480" w:lineRule="auto"/>
      <w:ind w:firstLine="540"/>
    </w:pPr>
    <w:rPr>
      <w:sz w:val="20"/>
      <w:szCs w:val="20"/>
    </w:rPr>
  </w:style>
  <w:style w:type="paragraph" w:customStyle="1" w:styleId="185">
    <w:name w:val="WPSOffice手动目录 1"/>
    <w:autoRedefine/>
    <w:qFormat/>
    <w:uiPriority w:val="0"/>
    <w:rPr>
      <w:rFonts w:ascii="Times New Roman" w:hAnsi="Times New Roman" w:eastAsia="宋体" w:cs="Times New Roman"/>
      <w:lang w:val="en-US" w:eastAsia="zh-CN" w:bidi="ar-SA"/>
    </w:rPr>
  </w:style>
  <w:style w:type="character" w:customStyle="1" w:styleId="186">
    <w:name w:val="font121"/>
    <w:basedOn w:val="53"/>
    <w:autoRedefine/>
    <w:qFormat/>
    <w:uiPriority w:val="0"/>
    <w:rPr>
      <w:rFonts w:hint="default" w:ascii="思源黑体 CN Regular" w:hAnsi="思源黑体 CN Regular" w:eastAsia="思源黑体 CN Regular" w:cs="思源黑体 CN Regular"/>
      <w:b/>
      <w:bCs/>
      <w:color w:val="545454"/>
      <w:sz w:val="24"/>
      <w:szCs w:val="24"/>
      <w:u w:val="none"/>
    </w:rPr>
  </w:style>
  <w:style w:type="character" w:customStyle="1" w:styleId="187">
    <w:name w:val="font112"/>
    <w:basedOn w:val="53"/>
    <w:autoRedefine/>
    <w:qFormat/>
    <w:uiPriority w:val="0"/>
    <w:rPr>
      <w:rFonts w:hint="default" w:ascii="思源黑体 CN Regular" w:hAnsi="思源黑体 CN Regular" w:eastAsia="思源黑体 CN Regular" w:cs="思源黑体 CN Regular"/>
      <w:b/>
      <w:bCs/>
      <w:color w:val="444444"/>
      <w:sz w:val="24"/>
      <w:szCs w:val="24"/>
      <w:u w:val="none"/>
    </w:rPr>
  </w:style>
  <w:style w:type="character" w:customStyle="1" w:styleId="188">
    <w:name w:val="font131"/>
    <w:basedOn w:val="53"/>
    <w:autoRedefine/>
    <w:qFormat/>
    <w:uiPriority w:val="0"/>
    <w:rPr>
      <w:rFonts w:hint="default" w:ascii="思源黑体 CN Regular" w:hAnsi="思源黑体 CN Regular" w:eastAsia="思源黑体 CN Regular" w:cs="思源黑体 CN Regular"/>
      <w:b/>
      <w:bCs/>
      <w:color w:val="646464"/>
      <w:sz w:val="24"/>
      <w:szCs w:val="24"/>
      <w:u w:val="none"/>
    </w:rPr>
  </w:style>
  <w:style w:type="character" w:customStyle="1" w:styleId="189">
    <w:name w:val="font291"/>
    <w:basedOn w:val="53"/>
    <w:autoRedefine/>
    <w:qFormat/>
    <w:uiPriority w:val="0"/>
    <w:rPr>
      <w:rFonts w:hint="default" w:ascii="思源黑体 CN Regular" w:hAnsi="思源黑体 CN Regular" w:eastAsia="思源黑体 CN Regular" w:cs="思源黑体 CN Regular"/>
      <w:b/>
      <w:bCs/>
      <w:color w:val="212121"/>
      <w:sz w:val="24"/>
      <w:szCs w:val="24"/>
      <w:u w:val="none"/>
    </w:rPr>
  </w:style>
  <w:style w:type="character" w:customStyle="1" w:styleId="190">
    <w:name w:val="font301"/>
    <w:basedOn w:val="53"/>
    <w:autoRedefine/>
    <w:qFormat/>
    <w:uiPriority w:val="0"/>
    <w:rPr>
      <w:rFonts w:hint="default" w:ascii="思源黑体 CN Regular" w:hAnsi="思源黑体 CN Regular" w:eastAsia="思源黑体 CN Regular" w:cs="思源黑体 CN Regular"/>
      <w:b/>
      <w:bCs/>
      <w:color w:val="444444"/>
      <w:sz w:val="24"/>
      <w:szCs w:val="24"/>
      <w:u w:val="none"/>
    </w:rPr>
  </w:style>
  <w:style w:type="paragraph" w:customStyle="1" w:styleId="191">
    <w:name w:val="修订1"/>
    <w:autoRedefine/>
    <w:hidden/>
    <w:semiHidden/>
    <w:qFormat/>
    <w:uiPriority w:val="99"/>
    <w:rPr>
      <w:rFonts w:ascii="宋体" w:hAnsi="Calibri" w:eastAsia="宋体" w:cs="宋体"/>
      <w:sz w:val="24"/>
      <w:szCs w:val="24"/>
      <w:lang w:val="en-US" w:eastAsia="zh-CN" w:bidi="ar-SA"/>
    </w:rPr>
  </w:style>
  <w:style w:type="character" w:customStyle="1" w:styleId="192">
    <w:name w:val="font51"/>
    <w:basedOn w:val="53"/>
    <w:autoRedefine/>
    <w:qFormat/>
    <w:uiPriority w:val="0"/>
    <w:rPr>
      <w:rFonts w:hint="eastAsia" w:ascii="宋体" w:hAnsi="宋体" w:eastAsia="宋体" w:cs="宋体"/>
      <w:color w:val="000000"/>
      <w:sz w:val="20"/>
      <w:szCs w:val="20"/>
      <w:u w:val="none"/>
    </w:rPr>
  </w:style>
  <w:style w:type="paragraph" w:customStyle="1" w:styleId="193">
    <w:name w:val="列出段落11"/>
    <w:basedOn w:val="1"/>
    <w:autoRedefine/>
    <w:qFormat/>
    <w:uiPriority w:val="99"/>
    <w:pPr>
      <w:adjustRightInd/>
      <w:spacing w:line="360" w:lineRule="auto"/>
      <w:ind w:firstLine="420" w:firstLineChars="200"/>
      <w:jc w:val="both"/>
    </w:pPr>
    <w:rPr>
      <w:rFonts w:ascii="Times New Roman" w:hAnsi="Times New Roman" w:cs="Times New Roman"/>
      <w:kern w:val="2"/>
    </w:rPr>
  </w:style>
  <w:style w:type="character" w:customStyle="1" w:styleId="194">
    <w:name w:val="font31"/>
    <w:basedOn w:val="53"/>
    <w:autoRedefine/>
    <w:qFormat/>
    <w:uiPriority w:val="0"/>
    <w:rPr>
      <w:rFonts w:hint="default" w:ascii="Times New Roman" w:hAnsi="Times New Roman" w:cs="Times New Roman"/>
      <w:color w:val="FF0000"/>
      <w:sz w:val="22"/>
      <w:szCs w:val="22"/>
      <w:u w:val="none"/>
    </w:rPr>
  </w:style>
  <w:style w:type="character" w:customStyle="1" w:styleId="195">
    <w:name w:val="font41"/>
    <w:basedOn w:val="53"/>
    <w:autoRedefine/>
    <w:qFormat/>
    <w:uiPriority w:val="0"/>
    <w:rPr>
      <w:rFonts w:hint="eastAsia" w:ascii="宋体" w:hAnsi="宋体" w:eastAsia="宋体" w:cs="宋体"/>
      <w:color w:val="FF0000"/>
      <w:sz w:val="22"/>
      <w:szCs w:val="22"/>
      <w:u w:val="none"/>
    </w:rPr>
  </w:style>
  <w:style w:type="character" w:customStyle="1" w:styleId="196">
    <w:name w:val="font11"/>
    <w:basedOn w:val="53"/>
    <w:autoRedefine/>
    <w:qFormat/>
    <w:uiPriority w:val="0"/>
    <w:rPr>
      <w:rFonts w:hint="default" w:ascii="Times New Roman" w:hAnsi="Times New Roman" w:cs="Times New Roman"/>
      <w:color w:val="FF0000"/>
      <w:sz w:val="22"/>
      <w:szCs w:val="22"/>
      <w:u w:val="none"/>
    </w:rPr>
  </w:style>
  <w:style w:type="character" w:customStyle="1" w:styleId="197">
    <w:name w:val="font21"/>
    <w:basedOn w:val="53"/>
    <w:autoRedefine/>
    <w:qFormat/>
    <w:uiPriority w:val="0"/>
    <w:rPr>
      <w:rFonts w:hint="eastAsia" w:ascii="仿宋" w:hAnsi="仿宋" w:eastAsia="仿宋" w:cs="仿宋"/>
      <w:color w:val="000000"/>
      <w:sz w:val="24"/>
      <w:szCs w:val="24"/>
      <w:u w:val="none"/>
    </w:rPr>
  </w:style>
  <w:style w:type="character" w:customStyle="1" w:styleId="198">
    <w:name w:val="font151"/>
    <w:basedOn w:val="53"/>
    <w:autoRedefine/>
    <w:qFormat/>
    <w:uiPriority w:val="0"/>
    <w:rPr>
      <w:rFonts w:hint="eastAsia" w:ascii="宋体" w:hAnsi="宋体" w:eastAsia="宋体" w:cs="宋体"/>
      <w:color w:val="000000"/>
      <w:sz w:val="18"/>
      <w:szCs w:val="18"/>
      <w:u w:val="none"/>
    </w:rPr>
  </w:style>
  <w:style w:type="character" w:customStyle="1" w:styleId="199">
    <w:name w:val="font141"/>
    <w:basedOn w:val="53"/>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1.png"/><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92</Pages>
  <Words>7906</Words>
  <Characters>45067</Characters>
  <Lines>375</Lines>
  <Paragraphs>105</Paragraphs>
  <TotalTime>3</TotalTime>
  <ScaleCrop>false</ScaleCrop>
  <LinksUpToDate>false</LinksUpToDate>
  <CharactersWithSpaces>52868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2023-11-23T12:45:00Z</dcterms:created>
  <dc:creator>lyy</dc:creator>
  <cp:lastModifiedBy>T</cp:lastModifiedBy>
  <cp:lastPrinted>2020-07-10T09:47:00Z</cp:lastPrinted>
  <dcterms:modified xsi:type="dcterms:W3CDTF">2024-03-22T08:20:38Z</dcterms:modified>
  <dc:title>货物公开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F0EBB6564EEE4C9EAF2C24A0DBB7206A_13</vt:lpwstr>
  </property>
</Properties>
</file>