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right="-26"/>
        <w:jc w:val="center"/>
        <w:textAlignment w:val="bottom"/>
        <w:rPr>
          <w:rFonts w:hAnsi="宋体"/>
          <w:b/>
          <w:color w:val="auto"/>
          <w:sz w:val="72"/>
          <w:highlight w:val="none"/>
        </w:rPr>
      </w:pPr>
    </w:p>
    <w:p>
      <w:pPr>
        <w:widowControl/>
        <w:spacing w:line="360" w:lineRule="auto"/>
        <w:ind w:right="-26"/>
        <w:jc w:val="center"/>
        <w:textAlignment w:val="bottom"/>
        <w:rPr>
          <w:rFonts w:hAnsi="宋体"/>
          <w:b/>
          <w:color w:val="auto"/>
          <w:sz w:val="72"/>
          <w:highlight w:val="none"/>
        </w:rPr>
      </w:pPr>
    </w:p>
    <w:p>
      <w:pPr>
        <w:snapToGrid w:val="0"/>
        <w:jc w:val="center"/>
        <w:rPr>
          <w:rFonts w:ascii="黑体" w:hAnsi="华文中宋" w:eastAsia="黑体" w:cs="华文中宋"/>
          <w:b/>
          <w:bCs/>
          <w:color w:val="auto"/>
          <w:sz w:val="72"/>
          <w:szCs w:val="72"/>
          <w:highlight w:val="none"/>
        </w:rPr>
      </w:pPr>
      <w:r>
        <w:rPr>
          <w:rFonts w:hint="eastAsia" w:ascii="黑体" w:hAnsi="华文中宋" w:eastAsia="黑体" w:cs="华文中宋"/>
          <w:b/>
          <w:bCs/>
          <w:color w:val="auto"/>
          <w:sz w:val="72"/>
          <w:szCs w:val="72"/>
          <w:highlight w:val="none"/>
        </w:rPr>
        <w:t>竞争性磋商文件</w:t>
      </w: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autoSpaceDE/>
        <w:autoSpaceDN/>
        <w:adjustRightInd/>
        <w:spacing w:line="600" w:lineRule="auto"/>
        <w:ind w:left="1606" w:hanging="1606" w:hangingChars="500"/>
        <w:jc w:val="both"/>
        <w:rPr>
          <w:rFonts w:hint="eastAsia" w:hAnsi="宋体"/>
          <w:b/>
          <w:bCs/>
          <w:color w:val="auto"/>
          <w:kern w:val="2"/>
          <w:sz w:val="32"/>
          <w:highlight w:val="none"/>
        </w:rPr>
      </w:pPr>
      <w:r>
        <w:rPr>
          <w:rFonts w:hint="eastAsia" w:hAnsi="宋体"/>
          <w:b/>
          <w:color w:val="auto"/>
          <w:kern w:val="2"/>
          <w:sz w:val="32"/>
          <w:highlight w:val="none"/>
        </w:rPr>
        <w:t>项目名称：</w:t>
      </w:r>
      <w:r>
        <w:rPr>
          <w:rFonts w:hint="eastAsia" w:hAnsi="宋体"/>
          <w:b/>
          <w:bCs/>
          <w:color w:val="auto"/>
          <w:kern w:val="2"/>
          <w:sz w:val="32"/>
          <w:highlight w:val="none"/>
        </w:rPr>
        <w:t>东莞市湾区国际制造中心总部2台630kVA箱变安装工程</w:t>
      </w:r>
    </w:p>
    <w:p>
      <w:pPr>
        <w:autoSpaceDE/>
        <w:autoSpaceDN/>
        <w:adjustRightInd/>
        <w:spacing w:line="600" w:lineRule="auto"/>
        <w:jc w:val="both"/>
        <w:rPr>
          <w:rFonts w:hint="eastAsia" w:hAnsi="宋体"/>
          <w:b/>
          <w:color w:val="auto"/>
          <w:kern w:val="2"/>
          <w:sz w:val="32"/>
          <w:highlight w:val="none"/>
        </w:rPr>
      </w:pPr>
      <w:r>
        <w:rPr>
          <w:rFonts w:hint="eastAsia" w:hAnsi="宋体"/>
          <w:b/>
          <w:color w:val="auto"/>
          <w:kern w:val="2"/>
          <w:sz w:val="32"/>
          <w:highlight w:val="none"/>
        </w:rPr>
        <w:t>采购编号：DGQS-WQ-01-002-02</w:t>
      </w:r>
      <w:r>
        <w:rPr>
          <w:rFonts w:hint="eastAsia" w:hAnsi="宋体"/>
          <w:b/>
          <w:color w:val="auto"/>
          <w:kern w:val="2"/>
          <w:sz w:val="32"/>
          <w:highlight w:val="none"/>
          <w:lang w:val="en-US" w:eastAsia="zh-CN"/>
        </w:rPr>
        <w:t>5</w:t>
      </w:r>
      <w:r>
        <w:rPr>
          <w:rFonts w:hint="eastAsia" w:hAnsi="宋体"/>
          <w:b/>
          <w:color w:val="auto"/>
          <w:kern w:val="2"/>
          <w:sz w:val="32"/>
          <w:highlight w:val="none"/>
        </w:rPr>
        <w:t>（2021）</w:t>
      </w:r>
    </w:p>
    <w:p>
      <w:pPr>
        <w:autoSpaceDE/>
        <w:autoSpaceDN/>
        <w:adjustRightInd/>
        <w:spacing w:line="600" w:lineRule="auto"/>
        <w:jc w:val="both"/>
        <w:rPr>
          <w:rFonts w:hint="eastAsia" w:hAnsi="宋体" w:eastAsia="宋体"/>
          <w:b/>
          <w:color w:val="auto"/>
          <w:kern w:val="2"/>
          <w:sz w:val="32"/>
          <w:highlight w:val="none"/>
          <w:lang w:eastAsia="zh-CN"/>
        </w:rPr>
      </w:pPr>
      <w:r>
        <w:rPr>
          <w:rFonts w:hint="eastAsia" w:hAnsi="宋体"/>
          <w:b/>
          <w:color w:val="auto"/>
          <w:kern w:val="2"/>
          <w:sz w:val="32"/>
          <w:highlight w:val="none"/>
        </w:rPr>
        <w:t>采购单位：东莞市旗美投资发展有限公司</w:t>
      </w:r>
    </w:p>
    <w:p>
      <w:pPr>
        <w:autoSpaceDE/>
        <w:autoSpaceDN/>
        <w:adjustRightInd/>
        <w:spacing w:line="600" w:lineRule="auto"/>
        <w:jc w:val="both"/>
        <w:rPr>
          <w:rFonts w:hint="eastAsia" w:hAnsi="宋体" w:eastAsia="宋体"/>
          <w:b/>
          <w:color w:val="auto"/>
          <w:sz w:val="32"/>
          <w:highlight w:val="none"/>
          <w:lang w:eastAsia="zh-CN"/>
        </w:rPr>
      </w:pPr>
      <w:r>
        <w:rPr>
          <w:rFonts w:hint="eastAsia" w:hAnsi="宋体"/>
          <w:b/>
          <w:color w:val="auto"/>
          <w:kern w:val="2"/>
          <w:sz w:val="32"/>
          <w:highlight w:val="none"/>
        </w:rPr>
        <w:t>采购代理：</w:t>
      </w:r>
      <w:r>
        <w:rPr>
          <w:rFonts w:hint="eastAsia" w:hAnsi="宋体"/>
          <w:b/>
          <w:color w:val="auto"/>
          <w:kern w:val="2"/>
          <w:sz w:val="32"/>
          <w:highlight w:val="none"/>
          <w:lang w:eastAsia="zh-CN"/>
        </w:rPr>
        <w:t>广东泰通伟业工程咨询有限公司</w:t>
      </w: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jc w:val="center"/>
        <w:rPr>
          <w:rFonts w:hAnsi="宋体" w:cs="Times New Roman"/>
          <w:b/>
          <w:bCs/>
          <w:color w:val="auto"/>
          <w:kern w:val="2"/>
          <w:sz w:val="32"/>
          <w:szCs w:val="21"/>
          <w:highlight w:val="none"/>
        </w:rPr>
      </w:pPr>
      <w:r>
        <w:rPr>
          <w:rFonts w:hint="eastAsia" w:hAnsi="宋体" w:cs="Times New Roman"/>
          <w:b/>
          <w:bCs/>
          <w:color w:val="auto"/>
          <w:kern w:val="2"/>
          <w:sz w:val="32"/>
          <w:szCs w:val="21"/>
          <w:highlight w:val="none"/>
        </w:rPr>
        <w:t>2</w:t>
      </w:r>
      <w:r>
        <w:rPr>
          <w:rFonts w:hAnsi="宋体" w:cs="Times New Roman"/>
          <w:b/>
          <w:bCs/>
          <w:color w:val="auto"/>
          <w:kern w:val="2"/>
          <w:sz w:val="32"/>
          <w:szCs w:val="21"/>
          <w:highlight w:val="none"/>
        </w:rPr>
        <w:t>021</w:t>
      </w:r>
      <w:r>
        <w:rPr>
          <w:rFonts w:hint="eastAsia" w:hAnsi="宋体" w:cs="Times New Roman"/>
          <w:b/>
          <w:bCs/>
          <w:color w:val="auto"/>
          <w:kern w:val="2"/>
          <w:sz w:val="32"/>
          <w:szCs w:val="21"/>
          <w:highlight w:val="none"/>
        </w:rPr>
        <w:t>年0</w:t>
      </w:r>
      <w:r>
        <w:rPr>
          <w:rFonts w:hint="eastAsia" w:hAnsi="宋体" w:cs="Times New Roman"/>
          <w:b/>
          <w:bCs/>
          <w:color w:val="auto"/>
          <w:kern w:val="2"/>
          <w:sz w:val="32"/>
          <w:szCs w:val="21"/>
          <w:highlight w:val="none"/>
          <w:lang w:val="en-US" w:eastAsia="zh-CN"/>
        </w:rPr>
        <w:t>9</w:t>
      </w:r>
      <w:r>
        <w:rPr>
          <w:rFonts w:hint="eastAsia" w:hAnsi="宋体" w:cs="Times New Roman"/>
          <w:b/>
          <w:bCs/>
          <w:color w:val="auto"/>
          <w:kern w:val="2"/>
          <w:sz w:val="32"/>
          <w:szCs w:val="21"/>
          <w:highlight w:val="none"/>
        </w:rPr>
        <w:t>月</w:t>
      </w:r>
    </w:p>
    <w:p>
      <w:pPr>
        <w:jc w:val="both"/>
        <w:rPr>
          <w:rFonts w:hAnsi="宋体" w:cs="Times New Roman"/>
          <w:b/>
          <w:bCs/>
          <w:color w:val="auto"/>
          <w:kern w:val="2"/>
          <w:sz w:val="32"/>
          <w:szCs w:val="21"/>
          <w:highlight w:val="none"/>
        </w:rPr>
        <w:sectPr>
          <w:headerReference r:id="rId4" w:type="first"/>
          <w:headerReference r:id="rId3" w:type="default"/>
          <w:footerReference r:id="rId5" w:type="default"/>
          <w:footerReference r:id="rId6" w:type="even"/>
          <w:type w:val="nextColumn"/>
          <w:pgSz w:w="11907" w:h="16840"/>
          <w:pgMar w:top="1440" w:right="1800" w:bottom="1440" w:left="1800" w:header="851" w:footer="992" w:gutter="0"/>
          <w:pgNumType w:start="0"/>
          <w:cols w:space="720" w:num="1"/>
          <w:docGrid w:type="lines" w:linePitch="312" w:charSpace="0"/>
        </w:sectPr>
      </w:pPr>
      <w:bookmarkStart w:id="0" w:name="_Toc13507"/>
    </w:p>
    <w:bookmarkEnd w:id="0"/>
    <w:p>
      <w:pPr>
        <w:spacing w:line="360" w:lineRule="auto"/>
        <w:ind w:left="48" w:leftChars="20"/>
        <w:jc w:val="center"/>
        <w:rPr>
          <w:rFonts w:ascii="黑体" w:hAnsi="黑体" w:eastAsia="黑体" w:cs="黑体"/>
          <w:color w:val="auto"/>
          <w:sz w:val="32"/>
          <w:szCs w:val="32"/>
          <w:highlight w:val="none"/>
        </w:rPr>
      </w:pPr>
      <w:bookmarkStart w:id="1" w:name="_Toc27261"/>
      <w:r>
        <w:rPr>
          <w:rFonts w:hint="eastAsia" w:ascii="黑体" w:hAnsi="黑体" w:eastAsia="黑体" w:cs="黑体"/>
          <w:color w:val="auto"/>
          <w:sz w:val="32"/>
          <w:szCs w:val="32"/>
          <w:highlight w:val="none"/>
        </w:rPr>
        <w:t>温馨提示</w:t>
      </w:r>
    </w:p>
    <w:p>
      <w:pPr>
        <w:jc w:val="center"/>
        <w:rPr>
          <w:rFonts w:ascii="黑体" w:hAnsi="黑体" w:eastAsia="黑体" w:cs="黑体"/>
          <w:color w:val="auto"/>
          <w:highlight w:val="none"/>
        </w:rPr>
      </w:pPr>
      <w:r>
        <w:rPr>
          <w:rFonts w:hint="eastAsia" w:ascii="黑体" w:hAnsi="黑体" w:eastAsia="黑体" w:cs="黑体"/>
          <w:color w:val="auto"/>
          <w:highlight w:val="none"/>
        </w:rPr>
        <w:t>（本提示内容非磋商文件的组成部分，仅为善意提醒。如有不一致，以磋商文件为准）</w:t>
      </w:r>
    </w:p>
    <w:p>
      <w:pPr>
        <w:spacing w:line="360" w:lineRule="auto"/>
        <w:ind w:left="48" w:leftChars="20"/>
        <w:jc w:val="center"/>
        <w:rPr>
          <w:rFonts w:ascii="黑体" w:hAnsi="黑体" w:eastAsia="黑体" w:cs="黑体"/>
          <w:color w:val="auto"/>
          <w:sz w:val="32"/>
          <w:szCs w:val="32"/>
          <w:highlight w:val="none"/>
        </w:rPr>
      </w:pP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磋商截止时间一到，采购代理机构不接收供应商的任何相关磋商资料、文件。为此，请适当提前到达。</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磋商保证金必须于磋商截止时间前到达磋商文件中所注明账户。由于转账当天不一定能够达账，为避免因磋商保证金未到账而导致磋商被拒，建议至少提前2个工作日转账。</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请正确填写《报价一览表》。多子包项目请仔细检查子包号，子包号与子包名称必须对应。</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请仔细检查磋商响应文件是否已按磋商文件要求盖章、签名、签署日期。</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磋商响应文件应按顺序编制页码。</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如所投产品属于许可证管理范围内的，须提交相应的许可证复印件。</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为了提高采购效率，节约社会交易成本与时间，望缴纳了磋商保证金而决定不参加本次磋商的供应商，在磋商响应文件递交截止时间的3日前，按《磋商邀请书》中的联系方式，告知采购代理机构。对您的支持与配合，谨此致谢。</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如需供应商支付的各种费用，如磋商文件售价、工程图纸押金、保证金和招标代理服务费等，磋商文件将书面详细告知，请供应商按磋商文件规定的方式和金额支付。</w:t>
      </w:r>
    </w:p>
    <w:p>
      <w:pPr>
        <w:jc w:val="center"/>
        <w:rPr>
          <w:rFonts w:hAnsi="宋体"/>
          <w:b/>
          <w:bCs/>
          <w:color w:val="auto"/>
          <w:sz w:val="32"/>
          <w:szCs w:val="32"/>
          <w:highlight w:val="none"/>
          <w:lang w:val="zh-CN"/>
        </w:rPr>
      </w:pPr>
    </w:p>
    <w:p>
      <w:pPr>
        <w:widowControl/>
        <w:autoSpaceDE/>
        <w:autoSpaceDN/>
        <w:adjustRightInd/>
        <w:rPr>
          <w:rFonts w:hAnsi="宋体"/>
          <w:b/>
          <w:bCs/>
          <w:color w:val="auto"/>
          <w:sz w:val="32"/>
          <w:szCs w:val="32"/>
          <w:highlight w:val="none"/>
          <w:lang w:val="zh-CN"/>
        </w:rPr>
      </w:pPr>
      <w:r>
        <w:rPr>
          <w:rFonts w:hAnsi="宋体"/>
          <w:b/>
          <w:bCs/>
          <w:color w:val="auto"/>
          <w:sz w:val="32"/>
          <w:szCs w:val="32"/>
          <w:highlight w:val="none"/>
          <w:lang w:val="zh-CN"/>
        </w:rPr>
        <w:br w:type="page"/>
      </w:r>
    </w:p>
    <w:p>
      <w:pPr>
        <w:jc w:val="center"/>
        <w:rPr>
          <w:color w:val="auto"/>
          <w:highlight w:val="none"/>
        </w:rPr>
      </w:pPr>
      <w:r>
        <w:rPr>
          <w:rFonts w:hAnsi="宋体"/>
          <w:b/>
          <w:bCs/>
          <w:color w:val="auto"/>
          <w:sz w:val="32"/>
          <w:szCs w:val="32"/>
          <w:highlight w:val="none"/>
          <w:lang w:val="zh-CN"/>
        </w:rPr>
        <w:t>目录</w:t>
      </w:r>
      <w:bookmarkStart w:id="2" w:name="_Toc396137229"/>
      <w:r>
        <w:rPr>
          <w:rFonts w:hAnsi="宋体"/>
          <w:b/>
          <w:bCs/>
          <w:caps/>
          <w:color w:val="auto"/>
          <w:sz w:val="21"/>
          <w:szCs w:val="21"/>
          <w:highlight w:val="none"/>
        </w:rPr>
        <w:fldChar w:fldCharType="begin"/>
      </w:r>
      <w:r>
        <w:rPr>
          <w:rStyle w:val="58"/>
          <w:rFonts w:hAnsi="宋体"/>
          <w:b/>
          <w:bCs/>
          <w:caps/>
          <w:color w:val="auto"/>
          <w:sz w:val="21"/>
          <w:szCs w:val="21"/>
          <w:highlight w:val="none"/>
        </w:rPr>
        <w:instrText xml:space="preserve"> TOC \o "1-3" \h \z \u </w:instrText>
      </w:r>
      <w:r>
        <w:rPr>
          <w:rFonts w:hAnsi="宋体"/>
          <w:b/>
          <w:bCs/>
          <w:caps/>
          <w:color w:val="auto"/>
          <w:sz w:val="21"/>
          <w:szCs w:val="21"/>
          <w:highlight w:val="none"/>
        </w:rPr>
        <w:fldChar w:fldCharType="separate"/>
      </w:r>
    </w:p>
    <w:p>
      <w:pPr>
        <w:pStyle w:val="35"/>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"_Toc27261" </w:instrText>
      </w:r>
      <w:r>
        <w:rPr>
          <w:color w:val="auto"/>
          <w:highlight w:val="none"/>
        </w:rPr>
        <w:fldChar w:fldCharType="separate"/>
      </w:r>
      <w:r>
        <w:rPr>
          <w:rFonts w:hAnsi="宋体"/>
          <w:color w:val="auto"/>
          <w:kern w:val="44"/>
          <w:sz w:val="24"/>
          <w:szCs w:val="24"/>
          <w:highlight w:val="none"/>
          <w:lang w:val="zh-CN"/>
        </w:rPr>
        <w:t xml:space="preserve">第一篇 </w:t>
      </w:r>
      <w:r>
        <w:rPr>
          <w:rFonts w:hint="eastAsia" w:hAnsi="宋体"/>
          <w:color w:val="auto"/>
          <w:kern w:val="44"/>
          <w:sz w:val="24"/>
          <w:szCs w:val="24"/>
          <w:highlight w:val="none"/>
        </w:rPr>
        <w:t>磋商邀请书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_Toc27261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p>
    <w:p>
      <w:pPr>
        <w:pStyle w:val="35"/>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"_Toc16634" </w:instrText>
      </w:r>
      <w:r>
        <w:rPr>
          <w:color w:val="auto"/>
          <w:highlight w:val="none"/>
        </w:rPr>
        <w:fldChar w:fldCharType="separate"/>
      </w:r>
      <w:r>
        <w:rPr>
          <w:rFonts w:hAnsi="宋体"/>
          <w:color w:val="auto"/>
          <w:kern w:val="44"/>
          <w:sz w:val="24"/>
          <w:szCs w:val="24"/>
          <w:highlight w:val="none"/>
          <w:lang w:val="zh-CN"/>
        </w:rPr>
        <w:t xml:space="preserve">第二篇 </w:t>
      </w:r>
      <w:r>
        <w:rPr>
          <w:rFonts w:hint="eastAsia" w:hAnsi="宋体"/>
          <w:color w:val="auto"/>
          <w:kern w:val="44"/>
          <w:sz w:val="24"/>
          <w:szCs w:val="24"/>
          <w:highlight w:val="none"/>
          <w:lang w:val="zh-CN"/>
        </w:rPr>
        <w:t>供应商须知</w:t>
      </w:r>
      <w:r>
        <w:rPr>
          <w:color w:val="auto"/>
          <w:sz w:val="24"/>
          <w:szCs w:val="24"/>
          <w:highlight w:val="none"/>
        </w:rPr>
        <w:tab/>
      </w:r>
      <w:bookmarkStart w:id="274" w:name="_GoBack"/>
      <w:bookmarkEnd w:id="274"/>
      <w:r>
        <w:rPr>
          <w:color w:val="auto"/>
          <w:sz w:val="24"/>
          <w:szCs w:val="24"/>
          <w:highlight w:val="none"/>
        </w:rPr>
        <w:fldChar w:fldCharType="begin"/>
      </w:r>
      <w:r>
        <w:rPr>
          <w:color w:val="auto"/>
          <w:sz w:val="24"/>
          <w:szCs w:val="24"/>
          <w:highlight w:val="none"/>
        </w:rPr>
        <w:instrText xml:space="preserve"> PAGEREF _Toc16634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color w:val="auto"/>
          <w:sz w:val="24"/>
          <w:szCs w:val="24"/>
          <w:highlight w:val="none"/>
        </w:rPr>
        <w:fldChar w:fldCharType="end"/>
      </w:r>
    </w:p>
    <w:p>
      <w:pPr>
        <w:pStyle w:val="35"/>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"_Toc22751" </w:instrText>
      </w:r>
      <w:r>
        <w:rPr>
          <w:color w:val="auto"/>
          <w:highlight w:val="none"/>
        </w:rPr>
        <w:fldChar w:fldCharType="separate"/>
      </w:r>
      <w:r>
        <w:rPr>
          <w:rFonts w:hAnsi="宋体"/>
          <w:color w:val="auto"/>
          <w:kern w:val="44"/>
          <w:sz w:val="24"/>
          <w:szCs w:val="24"/>
          <w:highlight w:val="none"/>
          <w:lang w:val="zh-CN"/>
        </w:rPr>
        <w:t xml:space="preserve">第三篇 </w:t>
      </w:r>
      <w:r>
        <w:rPr>
          <w:rFonts w:hint="eastAsia" w:hAnsi="宋体"/>
          <w:color w:val="auto"/>
          <w:kern w:val="44"/>
          <w:sz w:val="24"/>
          <w:szCs w:val="24"/>
          <w:highlight w:val="none"/>
          <w:lang w:val="zh-CN"/>
        </w:rPr>
        <w:t>用户需求书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_Toc22751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color w:val="auto"/>
          <w:sz w:val="24"/>
          <w:szCs w:val="24"/>
          <w:highlight w:val="none"/>
        </w:rPr>
        <w:fldChar w:fldCharType="end"/>
      </w:r>
    </w:p>
    <w:p>
      <w:pPr>
        <w:pStyle w:val="35"/>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"_Toc13957" </w:instrText>
      </w:r>
      <w:r>
        <w:rPr>
          <w:color w:val="auto"/>
          <w:highlight w:val="none"/>
        </w:rPr>
        <w:fldChar w:fldCharType="separate"/>
      </w:r>
      <w:r>
        <w:rPr>
          <w:rFonts w:hAnsi="宋体"/>
          <w:color w:val="auto"/>
          <w:kern w:val="44"/>
          <w:sz w:val="24"/>
          <w:szCs w:val="24"/>
          <w:highlight w:val="none"/>
          <w:lang w:val="zh-CN"/>
        </w:rPr>
        <w:t xml:space="preserve">第四篇 </w:t>
      </w:r>
      <w:r>
        <w:rPr>
          <w:rFonts w:hint="eastAsia" w:hAnsi="宋体"/>
          <w:color w:val="auto"/>
          <w:kern w:val="44"/>
          <w:sz w:val="24"/>
          <w:szCs w:val="24"/>
          <w:highlight w:val="none"/>
          <w:lang w:val="zh-CN"/>
        </w:rPr>
        <w:t>评标工作大纲</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_Toc13957 </w:instrText>
      </w:r>
      <w:r>
        <w:rPr>
          <w:color w:val="auto"/>
          <w:sz w:val="24"/>
          <w:szCs w:val="24"/>
          <w:highlight w:val="none"/>
        </w:rPr>
        <w:fldChar w:fldCharType="separate"/>
      </w:r>
      <w:r>
        <w:rPr>
          <w:color w:val="auto"/>
          <w:sz w:val="24"/>
          <w:szCs w:val="24"/>
          <w:highlight w:val="none"/>
        </w:rPr>
        <w:t>22</w:t>
      </w:r>
      <w:r>
        <w:rPr>
          <w:color w:val="auto"/>
          <w:sz w:val="24"/>
          <w:szCs w:val="24"/>
          <w:highlight w:val="none"/>
        </w:rPr>
        <w:fldChar w:fldCharType="end"/>
      </w:r>
      <w:r>
        <w:rPr>
          <w:color w:val="auto"/>
          <w:sz w:val="24"/>
          <w:szCs w:val="24"/>
          <w:highlight w:val="none"/>
        </w:rPr>
        <w:fldChar w:fldCharType="end"/>
      </w:r>
    </w:p>
    <w:p>
      <w:pPr>
        <w:pStyle w:val="35"/>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"_Toc15636" </w:instrText>
      </w:r>
      <w:r>
        <w:rPr>
          <w:color w:val="auto"/>
          <w:highlight w:val="none"/>
        </w:rPr>
        <w:fldChar w:fldCharType="separate"/>
      </w:r>
      <w:r>
        <w:rPr>
          <w:rFonts w:hAnsi="宋体"/>
          <w:color w:val="auto"/>
          <w:sz w:val="24"/>
          <w:szCs w:val="24"/>
          <w:highlight w:val="none"/>
        </w:rPr>
        <w:t xml:space="preserve">第五篇 </w:t>
      </w:r>
      <w:r>
        <w:rPr>
          <w:rFonts w:hint="eastAsia" w:hAnsi="宋体"/>
          <w:color w:val="auto"/>
          <w:kern w:val="44"/>
          <w:sz w:val="24"/>
          <w:szCs w:val="24"/>
          <w:highlight w:val="none"/>
          <w:lang w:val="zh-CN"/>
        </w:rPr>
        <w:t>合同条款格式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_Toc15636 </w:instrText>
      </w:r>
      <w:r>
        <w:rPr>
          <w:color w:val="auto"/>
          <w:sz w:val="24"/>
          <w:szCs w:val="24"/>
          <w:highlight w:val="none"/>
        </w:rPr>
        <w:fldChar w:fldCharType="separate"/>
      </w:r>
      <w:r>
        <w:rPr>
          <w:color w:val="auto"/>
          <w:sz w:val="24"/>
          <w:szCs w:val="24"/>
          <w:highlight w:val="none"/>
        </w:rPr>
        <w:t>30</w:t>
      </w:r>
      <w:r>
        <w:rPr>
          <w:color w:val="auto"/>
          <w:sz w:val="24"/>
          <w:szCs w:val="24"/>
          <w:highlight w:val="none"/>
        </w:rPr>
        <w:fldChar w:fldCharType="end"/>
      </w:r>
      <w:r>
        <w:rPr>
          <w:color w:val="auto"/>
          <w:sz w:val="24"/>
          <w:szCs w:val="24"/>
          <w:highlight w:val="none"/>
        </w:rPr>
        <w:fldChar w:fldCharType="end"/>
      </w:r>
    </w:p>
    <w:p>
      <w:pPr>
        <w:pStyle w:val="35"/>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"_Toc8470" </w:instrText>
      </w:r>
      <w:r>
        <w:rPr>
          <w:color w:val="auto"/>
          <w:highlight w:val="none"/>
        </w:rPr>
        <w:fldChar w:fldCharType="separate"/>
      </w:r>
      <w:r>
        <w:rPr>
          <w:rFonts w:hint="eastAsia" w:hAnsi="宋体"/>
          <w:color w:val="auto"/>
          <w:kern w:val="44"/>
          <w:sz w:val="24"/>
          <w:szCs w:val="24"/>
          <w:highlight w:val="none"/>
          <w:lang w:val="zh-CN"/>
        </w:rPr>
        <w:t>第六篇 磋商响应文件格式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_Toc8470 </w:instrText>
      </w:r>
      <w:r>
        <w:rPr>
          <w:color w:val="auto"/>
          <w:sz w:val="24"/>
          <w:szCs w:val="24"/>
          <w:highlight w:val="none"/>
        </w:rPr>
        <w:fldChar w:fldCharType="separate"/>
      </w:r>
      <w:r>
        <w:rPr>
          <w:color w:val="auto"/>
          <w:sz w:val="24"/>
          <w:szCs w:val="24"/>
          <w:highlight w:val="none"/>
        </w:rPr>
        <w:t>39</w:t>
      </w:r>
      <w:r>
        <w:rPr>
          <w:color w:val="auto"/>
          <w:sz w:val="24"/>
          <w:szCs w:val="24"/>
          <w:highlight w:val="none"/>
        </w:rPr>
        <w:fldChar w:fldCharType="end"/>
      </w:r>
      <w:r>
        <w:rPr>
          <w:color w:val="auto"/>
          <w:sz w:val="24"/>
          <w:szCs w:val="24"/>
          <w:highlight w:val="none"/>
        </w:rPr>
        <w:fldChar w:fldCharType="end"/>
      </w:r>
    </w:p>
    <w:p>
      <w:pPr>
        <w:pStyle w:val="3"/>
        <w:keepNext/>
        <w:keepLines/>
        <w:pageBreakBefore/>
        <w:numPr>
          <w:ilvl w:val="0"/>
          <w:numId w:val="10"/>
        </w:numPr>
        <w:tabs>
          <w:tab w:val="left" w:pos="1080"/>
        </w:tabs>
        <w:spacing w:line="360" w:lineRule="auto"/>
        <w:ind w:left="1078" w:hanging="1077" w:hangingChars="449"/>
        <w:jc w:val="center"/>
        <w:rPr>
          <w:rFonts w:hAnsi="宋体"/>
          <w:b/>
          <w:bCs/>
          <w:color w:val="auto"/>
          <w:kern w:val="44"/>
          <w:sz w:val="28"/>
          <w:szCs w:val="28"/>
          <w:highlight w:val="none"/>
          <w:lang w:val="zh-CN"/>
        </w:rPr>
      </w:pPr>
      <w:r>
        <w:rPr>
          <w:color w:val="auto"/>
          <w:highlight w:val="none"/>
        </w:rPr>
        <w:fldChar w:fldCharType="end"/>
      </w:r>
      <w:bookmarkEnd w:id="2"/>
      <w:r>
        <w:rPr>
          <w:rFonts w:hint="eastAsia" w:hAnsi="宋体"/>
          <w:b/>
          <w:bCs/>
          <w:color w:val="auto"/>
          <w:kern w:val="44"/>
          <w:sz w:val="28"/>
          <w:szCs w:val="28"/>
          <w:highlight w:val="none"/>
        </w:rPr>
        <w:t>磋商邀请书</w:t>
      </w:r>
      <w:bookmarkEnd w:id="1"/>
    </w:p>
    <w:p>
      <w:pPr>
        <w:widowControl/>
        <w:tabs>
          <w:tab w:val="left" w:pos="-360"/>
        </w:tabs>
        <w:adjustRightInd/>
        <w:spacing w:line="360" w:lineRule="auto"/>
        <w:ind w:right="-34" w:firstLine="420" w:firstLineChars="200"/>
        <w:jc w:val="both"/>
        <w:textAlignment w:val="bottom"/>
        <w:rPr>
          <w:rFonts w:hAnsi="宋体"/>
          <w:color w:val="auto"/>
          <w:sz w:val="21"/>
          <w:szCs w:val="21"/>
          <w:highlight w:val="none"/>
        </w:rPr>
      </w:pPr>
      <w:r>
        <w:rPr>
          <w:rFonts w:hint="eastAsia" w:hAnsi="宋体"/>
          <w:color w:val="auto"/>
          <w:sz w:val="21"/>
          <w:szCs w:val="21"/>
          <w:highlight w:val="none"/>
          <w:lang w:eastAsia="zh-CN"/>
        </w:rPr>
        <w:t>广东泰通伟业工程咨询有限公司</w:t>
      </w:r>
      <w:r>
        <w:rPr>
          <w:rFonts w:hint="eastAsia" w:hAnsi="宋体"/>
          <w:color w:val="auto"/>
          <w:sz w:val="21"/>
          <w:szCs w:val="21"/>
          <w:highlight w:val="none"/>
        </w:rPr>
        <w:t>（以下简称“采购代理机构”）受</w:t>
      </w:r>
      <w:r>
        <w:rPr>
          <w:rFonts w:hint="eastAsia" w:hAnsi="宋体"/>
          <w:color w:val="auto"/>
          <w:sz w:val="21"/>
          <w:szCs w:val="21"/>
          <w:highlight w:val="none"/>
          <w:lang w:eastAsia="zh-CN"/>
        </w:rPr>
        <w:t>东莞市旗美投资发展有限公司</w:t>
      </w:r>
      <w:r>
        <w:rPr>
          <w:rFonts w:hint="eastAsia" w:hAnsi="宋体"/>
          <w:color w:val="auto"/>
          <w:sz w:val="21"/>
          <w:szCs w:val="21"/>
          <w:highlight w:val="none"/>
        </w:rPr>
        <w:t>（以下简称“采购人”）的委托，为东莞市湾区国际制造中心总部2台630kVA箱变安装工程 (</w:t>
      </w:r>
      <w:r>
        <w:rPr>
          <w:rFonts w:hint="eastAsia" w:hAnsi="宋体"/>
          <w:color w:val="auto"/>
          <w:sz w:val="21"/>
          <w:szCs w:val="21"/>
          <w:highlight w:val="none"/>
          <w:u w:val="single"/>
        </w:rPr>
        <w:t>采购编号：</w:t>
      </w:r>
      <w:r>
        <w:rPr>
          <w:rFonts w:hint="eastAsia" w:hAnsi="宋体"/>
          <w:color w:val="auto"/>
          <w:sz w:val="21"/>
          <w:szCs w:val="21"/>
          <w:highlight w:val="none"/>
          <w:u w:val="single"/>
          <w:lang w:val="en-US" w:eastAsia="zh-CN"/>
        </w:rPr>
        <w:t xml:space="preserve">DGQS-WQ-01-002-025（2021） </w:t>
      </w:r>
      <w:r>
        <w:rPr>
          <w:rFonts w:hint="eastAsia" w:hAnsi="宋体"/>
          <w:color w:val="auto"/>
          <w:sz w:val="21"/>
          <w:szCs w:val="21"/>
          <w:highlight w:val="none"/>
        </w:rPr>
        <w:t>) 采购所需的服务。本项目采用竞争性磋商采购方式，欢迎合格供应商就本项目提交密封磋商响应文件。</w:t>
      </w:r>
    </w:p>
    <w:p>
      <w:pPr>
        <w:widowControl/>
        <w:adjustRightInd/>
        <w:spacing w:line="360" w:lineRule="auto"/>
        <w:rPr>
          <w:rFonts w:hAnsi="宋体"/>
          <w:color w:val="auto"/>
          <w:sz w:val="21"/>
          <w:szCs w:val="21"/>
          <w:highlight w:val="none"/>
        </w:rPr>
      </w:pPr>
      <w:r>
        <w:rPr>
          <w:rFonts w:hint="eastAsia" w:hAnsi="宋体"/>
          <w:b/>
          <w:bCs/>
          <w:color w:val="auto"/>
          <w:kern w:val="28"/>
          <w:sz w:val="21"/>
          <w:szCs w:val="21"/>
          <w:highlight w:val="none"/>
        </w:rPr>
        <w:t>一、邀请合格供应商就下列所有服务提交密封磋商：</w:t>
      </w:r>
    </w:p>
    <w:p>
      <w:pPr>
        <w:widowControl/>
        <w:tabs>
          <w:tab w:val="left" w:pos="-360"/>
        </w:tabs>
        <w:adjustRightInd/>
        <w:spacing w:line="360" w:lineRule="auto"/>
        <w:ind w:left="426" w:right="-34"/>
        <w:jc w:val="both"/>
        <w:textAlignment w:val="bottom"/>
        <w:rPr>
          <w:rFonts w:hAnsi="宋体"/>
          <w:color w:val="auto"/>
          <w:sz w:val="21"/>
          <w:szCs w:val="21"/>
          <w:highlight w:val="none"/>
        </w:rPr>
      </w:pPr>
      <w:r>
        <w:rPr>
          <w:rFonts w:hint="eastAsia" w:hAnsi="宋体"/>
          <w:color w:val="auto"/>
          <w:sz w:val="21"/>
          <w:szCs w:val="21"/>
          <w:highlight w:val="none"/>
        </w:rPr>
        <w:t>1、项目名称：东莞市湾区国际制造中心总部2台630kVA箱变安装工程</w:t>
      </w:r>
    </w:p>
    <w:p>
      <w:pPr>
        <w:widowControl/>
        <w:tabs>
          <w:tab w:val="left" w:pos="-360"/>
        </w:tabs>
        <w:adjustRightInd/>
        <w:spacing w:line="360" w:lineRule="auto"/>
        <w:ind w:left="426" w:right="-34"/>
        <w:jc w:val="both"/>
        <w:textAlignment w:val="bottom"/>
        <w:rPr>
          <w:rFonts w:hAnsi="宋体"/>
          <w:color w:val="auto"/>
          <w:sz w:val="21"/>
          <w:szCs w:val="21"/>
          <w:highlight w:val="none"/>
        </w:rPr>
      </w:pPr>
      <w:r>
        <w:rPr>
          <w:rFonts w:hint="eastAsia" w:hAnsi="宋体"/>
          <w:color w:val="auto"/>
          <w:sz w:val="21"/>
          <w:szCs w:val="21"/>
          <w:highlight w:val="none"/>
        </w:rPr>
        <w:t>2、采购编号：DGQS-WQ-01-002-02</w:t>
      </w:r>
      <w:r>
        <w:rPr>
          <w:rFonts w:hint="eastAsia" w:hAnsi="宋体"/>
          <w:color w:val="auto"/>
          <w:sz w:val="21"/>
          <w:szCs w:val="21"/>
          <w:highlight w:val="none"/>
          <w:lang w:val="en-US" w:eastAsia="zh-CN"/>
        </w:rPr>
        <w:t>5</w:t>
      </w:r>
      <w:r>
        <w:rPr>
          <w:rFonts w:hint="eastAsia" w:hAnsi="宋体"/>
          <w:color w:val="auto"/>
          <w:sz w:val="21"/>
          <w:szCs w:val="21"/>
          <w:highlight w:val="none"/>
        </w:rPr>
        <w:t>（2021）</w:t>
      </w:r>
    </w:p>
    <w:p>
      <w:pPr>
        <w:widowControl/>
        <w:tabs>
          <w:tab w:val="left" w:pos="-360"/>
        </w:tabs>
        <w:adjustRightInd/>
        <w:spacing w:line="360" w:lineRule="auto"/>
        <w:ind w:left="426" w:right="-34"/>
        <w:jc w:val="both"/>
        <w:textAlignment w:val="bottom"/>
        <w:rPr>
          <w:rFonts w:hAnsi="宋体"/>
          <w:color w:val="auto"/>
          <w:sz w:val="21"/>
          <w:szCs w:val="21"/>
          <w:highlight w:val="none"/>
        </w:rPr>
      </w:pPr>
      <w:r>
        <w:rPr>
          <w:rFonts w:hint="eastAsia" w:hAnsi="宋体"/>
          <w:color w:val="auto"/>
          <w:sz w:val="21"/>
          <w:szCs w:val="21"/>
          <w:highlight w:val="none"/>
        </w:rPr>
        <w:t>3、项目预算金额：¥</w:t>
      </w:r>
      <w:r>
        <w:rPr>
          <w:rFonts w:hint="eastAsia" w:hAnsi="宋体"/>
          <w:color w:val="auto"/>
          <w:sz w:val="21"/>
          <w:szCs w:val="21"/>
          <w:highlight w:val="none"/>
          <w:lang w:val="en-US" w:eastAsia="zh-CN"/>
        </w:rPr>
        <w:t>1,096,935.48</w:t>
      </w:r>
      <w:r>
        <w:rPr>
          <w:rFonts w:hint="eastAsia" w:hAnsi="宋体"/>
          <w:color w:val="auto"/>
          <w:sz w:val="21"/>
          <w:szCs w:val="21"/>
          <w:highlight w:val="none"/>
        </w:rPr>
        <w:t>（人民币壹佰零玖万陆仟玖佰叁拾伍元肆角捌分）。</w:t>
      </w:r>
    </w:p>
    <w:p>
      <w:pPr>
        <w:widowControl/>
        <w:tabs>
          <w:tab w:val="left" w:pos="-360"/>
        </w:tabs>
        <w:adjustRightInd/>
        <w:spacing w:line="360" w:lineRule="auto"/>
        <w:ind w:left="426" w:right="-34"/>
        <w:jc w:val="both"/>
        <w:textAlignment w:val="bottom"/>
        <w:rPr>
          <w:rFonts w:hAnsi="宋体"/>
          <w:color w:val="auto"/>
          <w:sz w:val="21"/>
          <w:szCs w:val="21"/>
          <w:highlight w:val="none"/>
        </w:rPr>
      </w:pPr>
      <w:r>
        <w:rPr>
          <w:rFonts w:hint="eastAsia" w:hAnsi="宋体"/>
          <w:color w:val="auto"/>
          <w:sz w:val="21"/>
          <w:szCs w:val="21"/>
          <w:highlight w:val="none"/>
        </w:rPr>
        <w:t>4、项目需求：详见磋商文件第三篇用户需求书。</w:t>
      </w:r>
    </w:p>
    <w:p>
      <w:pPr>
        <w:widowControl/>
        <w:adjustRightInd/>
        <w:spacing w:line="360" w:lineRule="auto"/>
        <w:rPr>
          <w:rFonts w:hAnsi="宋体"/>
          <w:b/>
          <w:bCs/>
          <w:color w:val="auto"/>
          <w:kern w:val="28"/>
          <w:sz w:val="21"/>
          <w:szCs w:val="21"/>
          <w:highlight w:val="none"/>
        </w:rPr>
      </w:pPr>
      <w:r>
        <w:rPr>
          <w:rFonts w:hint="eastAsia" w:hAnsi="宋体"/>
          <w:b/>
          <w:bCs/>
          <w:color w:val="auto"/>
          <w:kern w:val="28"/>
          <w:sz w:val="21"/>
          <w:szCs w:val="21"/>
          <w:highlight w:val="none"/>
          <w:lang w:val="zh-CN"/>
        </w:rPr>
        <w:t>二、供应商须满足以下资格条件</w:t>
      </w:r>
      <w:r>
        <w:rPr>
          <w:rFonts w:hint="eastAsia" w:hAnsi="宋体"/>
          <w:b/>
          <w:bCs/>
          <w:color w:val="auto"/>
          <w:kern w:val="28"/>
          <w:sz w:val="21"/>
          <w:szCs w:val="21"/>
          <w:highlight w:val="none"/>
        </w:rPr>
        <w:t>：</w:t>
      </w:r>
    </w:p>
    <w:p>
      <w:pPr>
        <w:widowControl/>
        <w:adjustRightInd/>
        <w:spacing w:line="360" w:lineRule="auto"/>
        <w:ind w:firstLine="420" w:firstLineChars="200"/>
        <w:textAlignment w:val="bottom"/>
        <w:rPr>
          <w:rFonts w:hAnsi="宋体"/>
          <w:color w:val="auto"/>
          <w:kern w:val="2"/>
          <w:sz w:val="21"/>
          <w:szCs w:val="21"/>
          <w:highlight w:val="none"/>
        </w:rPr>
      </w:pPr>
      <w:bookmarkStart w:id="3" w:name="_Toc396137230"/>
      <w:r>
        <w:rPr>
          <w:rFonts w:hint="eastAsia" w:hAnsi="宋体"/>
          <w:color w:val="auto"/>
          <w:kern w:val="2"/>
          <w:sz w:val="21"/>
          <w:szCs w:val="21"/>
          <w:highlight w:val="none"/>
        </w:rPr>
        <w:t>1、供应商须为在中华人民共和国境内登记注册的具有独立承担民事责任能力的法人或其他组织。</w:t>
      </w:r>
    </w:p>
    <w:p>
      <w:pPr>
        <w:widowControl/>
        <w:adjustRightInd/>
        <w:spacing w:line="360" w:lineRule="auto"/>
        <w:ind w:firstLine="420" w:firstLineChars="200"/>
        <w:textAlignment w:val="bottom"/>
        <w:rPr>
          <w:rFonts w:hAnsi="宋体"/>
          <w:color w:val="auto"/>
          <w:kern w:val="2"/>
          <w:sz w:val="21"/>
          <w:szCs w:val="21"/>
          <w:highlight w:val="none"/>
        </w:rPr>
      </w:pPr>
      <w:r>
        <w:rPr>
          <w:rFonts w:hint="eastAsia" w:hAnsi="宋体"/>
          <w:color w:val="auto"/>
          <w:kern w:val="2"/>
          <w:sz w:val="21"/>
          <w:szCs w:val="21"/>
          <w:highlight w:val="none"/>
        </w:rPr>
        <w:t>2、供应商的单位负责人为同一人或者存在直接控股、管理关系的不同供应商，不得参加同一合同项下的采购活动。</w:t>
      </w:r>
    </w:p>
    <w:p>
      <w:pPr>
        <w:widowControl/>
        <w:adjustRightInd/>
        <w:spacing w:line="360" w:lineRule="auto"/>
        <w:ind w:firstLine="420" w:firstLineChars="200"/>
        <w:textAlignment w:val="bottom"/>
        <w:rPr>
          <w:rFonts w:hAnsi="宋体"/>
          <w:color w:val="auto"/>
          <w:kern w:val="2"/>
          <w:sz w:val="21"/>
          <w:szCs w:val="21"/>
          <w:highlight w:val="none"/>
        </w:rPr>
      </w:pPr>
      <w:r>
        <w:rPr>
          <w:rFonts w:hint="eastAsia" w:hAnsi="宋体"/>
          <w:color w:val="auto"/>
          <w:kern w:val="2"/>
          <w:sz w:val="21"/>
          <w:szCs w:val="21"/>
          <w:highlight w:val="none"/>
        </w:rPr>
        <w:t>3、供应商参加采购活动前三年内，在经营活动中没有重大违法记录。（须提供书面声明）。</w:t>
      </w:r>
    </w:p>
    <w:p>
      <w:pPr>
        <w:widowControl/>
        <w:adjustRightInd/>
        <w:spacing w:line="360" w:lineRule="auto"/>
        <w:ind w:firstLine="420" w:firstLineChars="200"/>
        <w:textAlignment w:val="bottom"/>
        <w:rPr>
          <w:rFonts w:hAnsi="宋体"/>
          <w:color w:val="auto"/>
          <w:kern w:val="2"/>
          <w:sz w:val="21"/>
          <w:szCs w:val="21"/>
          <w:highlight w:val="none"/>
        </w:rPr>
      </w:pPr>
      <w:r>
        <w:rPr>
          <w:rFonts w:hint="eastAsia" w:hAnsi="宋体"/>
          <w:color w:val="auto"/>
          <w:kern w:val="2"/>
          <w:sz w:val="21"/>
          <w:szCs w:val="21"/>
          <w:highlight w:val="none"/>
        </w:rPr>
        <w:t>4、供应商未被列入“信用中国”网站(www.creditchina.gov.cn)“记录失信被执行人或重大税收违法案件当事人名单或政府采购严重违法失信行为”记录名单（以采购代理机构磋商截止日当天在“信用中国”网站（www.creditchina.gov.cn）查询结果为准，如相关失信记录已失效，供应商需提供相关证明资料）。</w:t>
      </w:r>
    </w:p>
    <w:p>
      <w:pPr>
        <w:widowControl/>
        <w:adjustRightInd/>
        <w:spacing w:line="360" w:lineRule="auto"/>
        <w:ind w:firstLine="420" w:firstLineChars="200"/>
        <w:textAlignment w:val="bottom"/>
        <w:rPr>
          <w:rFonts w:hAnsi="宋体"/>
          <w:color w:val="auto"/>
          <w:kern w:val="2"/>
          <w:sz w:val="21"/>
          <w:szCs w:val="21"/>
          <w:highlight w:val="none"/>
        </w:rPr>
      </w:pPr>
      <w:r>
        <w:rPr>
          <w:rFonts w:hint="eastAsia" w:hAnsi="宋体"/>
          <w:color w:val="auto"/>
          <w:kern w:val="2"/>
          <w:sz w:val="21"/>
          <w:szCs w:val="21"/>
          <w:highlight w:val="none"/>
        </w:rPr>
        <w:t>5、供应商其他资格要求：（1）资质要求：同时具备①电力工程施工总承包三级（或以上）或者输变电工程专业承包三级（或以上）资质；②《承装（修、试）电力设施许可证》承装类及承试类五级或以上许可（必须在有效期内）。（2）项目经理（项目负责人）要求：同时具备①贰级或以上注册建造师建造师注册证书中列明的专业类别为机电工程，注册单位为供应商本单位；②安全生产考核合格证（须为项目负责人安全生产考核合格证，即“B”类证，且在有效期内）；③未在其他任何在建工程中任职项目负责人。注：（1）由各级主管部门审批的企业、人员资质资格的有效期于投标截止日已过期的供应商，如能提供对应主管部门有关资质资格有效期顺延的文件且供应商企业、人员资质资格情况符合文件规定，则视为仍然有效。（2）根据《住房和城乡建设部办公厅关于取消一级建造师临时执业证书的通知》（建办市〔2019〕50号）和《广东省住房和城乡建设厅关于取消二级建造师临时执业证书的通知》（粤建市〔2019〕153号）的相关规定，本项目不接受一级临时注册建造师和二级临时注册建造师参加投标。（3）根据广东省住房和城乡建设厅《关于明确省外二级建造师入粤注册和执业有关问题的通知》（粤建市函〔2011〕218号），二级建造师执业资格证书、注册证书仅限所在行政区域内有效，不得跨省执业。</w:t>
      </w:r>
    </w:p>
    <w:p>
      <w:pPr>
        <w:widowControl/>
        <w:adjustRightInd/>
        <w:spacing w:line="360" w:lineRule="auto"/>
        <w:ind w:firstLine="420" w:firstLineChars="200"/>
        <w:textAlignment w:val="bottom"/>
        <w:rPr>
          <w:rFonts w:hAnsi="宋体"/>
          <w:color w:val="auto"/>
          <w:kern w:val="2"/>
          <w:sz w:val="21"/>
          <w:szCs w:val="21"/>
          <w:highlight w:val="none"/>
        </w:rPr>
      </w:pPr>
      <w:r>
        <w:rPr>
          <w:rFonts w:hint="eastAsia" w:hAnsi="宋体"/>
          <w:color w:val="auto"/>
          <w:kern w:val="2"/>
          <w:sz w:val="21"/>
          <w:szCs w:val="21"/>
          <w:highlight w:val="none"/>
        </w:rPr>
        <w:t>6、本项目不接受联合体磋商。</w:t>
      </w:r>
    </w:p>
    <w:p>
      <w:pPr>
        <w:spacing w:line="360" w:lineRule="auto"/>
        <w:rPr>
          <w:rFonts w:hAnsi="宋体"/>
          <w:b/>
          <w:bCs/>
          <w:color w:val="auto"/>
          <w:sz w:val="21"/>
          <w:szCs w:val="21"/>
          <w:highlight w:val="none"/>
        </w:rPr>
      </w:pPr>
      <w:r>
        <w:rPr>
          <w:rFonts w:hint="eastAsia" w:hAnsi="宋体"/>
          <w:b/>
          <w:bCs/>
          <w:color w:val="auto"/>
          <w:sz w:val="21"/>
          <w:szCs w:val="21"/>
          <w:highlight w:val="none"/>
        </w:rPr>
        <w:t>三、获取磋商文件：</w:t>
      </w:r>
    </w:p>
    <w:p>
      <w:pPr>
        <w:spacing w:line="360" w:lineRule="auto"/>
        <w:ind w:firstLine="420" w:firstLineChars="200"/>
        <w:rPr>
          <w:rFonts w:asciiTheme="minorEastAsia" w:hAnsiTheme="minorEastAsia" w:eastAsiaTheme="minorEastAsia"/>
          <w:color w:val="auto"/>
          <w:sz w:val="21"/>
          <w:szCs w:val="21"/>
          <w:highlight w:val="none"/>
        </w:rPr>
      </w:pPr>
      <w:r>
        <w:rPr>
          <w:rFonts w:hint="eastAsia" w:hAnsi="宋体"/>
          <w:bCs/>
          <w:color w:val="auto"/>
          <w:kern w:val="28"/>
          <w:sz w:val="21"/>
          <w:szCs w:val="21"/>
          <w:highlight w:val="none"/>
          <w:lang w:val="zh-CN"/>
        </w:rPr>
        <w:t>本项目磋商文件，由供应商自行网上免费下载</w:t>
      </w:r>
      <w:r>
        <w:rPr>
          <w:rFonts w:hint="eastAsia" w:asciiTheme="minorEastAsia" w:hAnsiTheme="minorEastAsia" w:eastAsiaTheme="minorEastAsia"/>
          <w:color w:val="auto"/>
          <w:sz w:val="21"/>
          <w:szCs w:val="21"/>
          <w:highlight w:val="none"/>
        </w:rPr>
        <w:t>。</w:t>
      </w:r>
    </w:p>
    <w:p>
      <w:pPr>
        <w:pStyle w:val="28"/>
        <w:spacing w:line="360" w:lineRule="auto"/>
        <w:rPr>
          <w:rFonts w:hAnsi="宋体"/>
          <w:b/>
          <w:bCs/>
          <w:color w:val="auto"/>
          <w:szCs w:val="21"/>
          <w:highlight w:val="none"/>
        </w:rPr>
      </w:pPr>
      <w:r>
        <w:rPr>
          <w:rFonts w:hint="eastAsia" w:hAnsi="宋体"/>
          <w:b/>
          <w:bCs/>
          <w:color w:val="auto"/>
          <w:szCs w:val="21"/>
          <w:highlight w:val="none"/>
        </w:rPr>
        <w:t>四、公告发布媒体：</w:t>
      </w:r>
    </w:p>
    <w:p>
      <w:pPr>
        <w:widowControl/>
        <w:adjustRightInd/>
        <w:spacing w:line="360" w:lineRule="auto"/>
        <w:ind w:right="53" w:firstLine="420" w:firstLineChars="200"/>
        <w:textAlignment w:val="bottom"/>
        <w:rPr>
          <w:rFonts w:hAnsi="宋体"/>
          <w:color w:val="auto"/>
          <w:kern w:val="28"/>
          <w:sz w:val="21"/>
          <w:szCs w:val="21"/>
          <w:highlight w:val="none"/>
        </w:rPr>
      </w:pPr>
      <w:r>
        <w:rPr>
          <w:rFonts w:hint="eastAsia" w:hAnsi="宋体"/>
          <w:color w:val="auto"/>
          <w:kern w:val="28"/>
          <w:sz w:val="21"/>
          <w:szCs w:val="21"/>
          <w:highlight w:val="none"/>
        </w:rPr>
        <w:t>中国采购与招标网（http://www.chinabidding.com.cn/）、东莞实业投资控股集团有限公司-招标采购栏目（http://www.dgsy.com.cn/）、</w:t>
      </w:r>
      <w:r>
        <w:rPr>
          <w:rFonts w:hint="eastAsia" w:hAnsi="宋体"/>
          <w:color w:val="auto"/>
          <w:kern w:val="28"/>
          <w:sz w:val="21"/>
          <w:szCs w:val="21"/>
          <w:highlight w:val="none"/>
          <w:lang w:eastAsia="zh-CN"/>
        </w:rPr>
        <w:t>广东泰通伟业工程咨询有限公司</w:t>
      </w:r>
      <w:r>
        <w:rPr>
          <w:rFonts w:hint="eastAsia" w:hAnsi="宋体"/>
          <w:color w:val="auto"/>
          <w:kern w:val="28"/>
          <w:sz w:val="21"/>
          <w:szCs w:val="21"/>
          <w:highlight w:val="none"/>
        </w:rPr>
        <w:t>官网-招标采购栏目（</w:t>
      </w:r>
      <w:r>
        <w:rPr>
          <w:rFonts w:hint="eastAsia" w:hAnsi="宋体"/>
          <w:color w:val="auto"/>
          <w:kern w:val="28"/>
          <w:sz w:val="21"/>
          <w:szCs w:val="21"/>
          <w:highlight w:val="none"/>
          <w:lang w:eastAsia="zh-CN"/>
        </w:rPr>
        <w:t>http://www.weiyecoltd.com/</w:t>
      </w:r>
      <w:r>
        <w:rPr>
          <w:rFonts w:hint="eastAsia" w:hAnsi="宋体"/>
          <w:color w:val="auto"/>
          <w:kern w:val="28"/>
          <w:sz w:val="21"/>
          <w:szCs w:val="21"/>
          <w:highlight w:val="none"/>
        </w:rPr>
        <w:t>）。本公告在各媒介发布的文本如有不同之处，以在东莞实业投资控股集团有限公司网站发布的文本为准。</w:t>
      </w:r>
    </w:p>
    <w:p>
      <w:pPr>
        <w:pStyle w:val="28"/>
        <w:spacing w:line="360" w:lineRule="auto"/>
        <w:rPr>
          <w:rFonts w:hAnsi="宋体"/>
          <w:b/>
          <w:bCs/>
          <w:color w:val="auto"/>
          <w:szCs w:val="21"/>
          <w:highlight w:val="none"/>
        </w:rPr>
      </w:pPr>
      <w:r>
        <w:rPr>
          <w:rFonts w:hint="eastAsia" w:hAnsi="宋体"/>
          <w:b/>
          <w:bCs/>
          <w:color w:val="auto"/>
          <w:szCs w:val="21"/>
          <w:highlight w:val="none"/>
        </w:rPr>
        <w:t>五、接收响应文件的时间、地点、截止时间，开启响应文件时间、地点</w:t>
      </w:r>
      <w:r>
        <w:rPr>
          <w:rFonts w:hint="eastAsia" w:hAnsi="宋体"/>
          <w:b/>
          <w:color w:val="auto"/>
          <w:szCs w:val="21"/>
          <w:highlight w:val="none"/>
        </w:rPr>
        <w:t>：</w:t>
      </w:r>
    </w:p>
    <w:p>
      <w:pPr>
        <w:spacing w:line="360" w:lineRule="auto"/>
        <w:ind w:firstLine="420" w:firstLineChars="200"/>
        <w:rPr>
          <w:rFonts w:hAnsi="宋体"/>
          <w:color w:val="auto"/>
          <w:sz w:val="21"/>
          <w:szCs w:val="21"/>
          <w:highlight w:val="none"/>
          <w:u w:val="none"/>
        </w:rPr>
      </w:pPr>
      <w:r>
        <w:rPr>
          <w:rFonts w:hint="eastAsia" w:hAnsi="宋体"/>
          <w:color w:val="auto"/>
          <w:sz w:val="21"/>
          <w:szCs w:val="21"/>
          <w:highlight w:val="none"/>
        </w:rPr>
        <w:t>1、接收响应文件的时间：</w:t>
      </w:r>
      <w:r>
        <w:rPr>
          <w:rFonts w:hint="eastAsia" w:hAnsi="宋体"/>
          <w:color w:val="auto"/>
          <w:sz w:val="21"/>
          <w:szCs w:val="21"/>
          <w:highlight w:val="none"/>
          <w:u w:val="none"/>
        </w:rPr>
        <w:t>2021年</w:t>
      </w:r>
      <w:r>
        <w:rPr>
          <w:rFonts w:hint="eastAsia" w:hAnsi="宋体"/>
          <w:color w:val="auto"/>
          <w:sz w:val="21"/>
          <w:szCs w:val="21"/>
          <w:highlight w:val="none"/>
          <w:u w:val="none"/>
          <w:lang w:val="en-US" w:eastAsia="zh-CN"/>
        </w:rPr>
        <w:t>10</w:t>
      </w:r>
      <w:r>
        <w:rPr>
          <w:rFonts w:hint="eastAsia" w:hAnsi="宋体"/>
          <w:color w:val="auto"/>
          <w:sz w:val="21"/>
          <w:szCs w:val="21"/>
          <w:highlight w:val="none"/>
          <w:u w:val="none"/>
        </w:rPr>
        <w:t>月</w:t>
      </w:r>
      <w:r>
        <w:rPr>
          <w:rFonts w:hint="eastAsia" w:hAnsi="宋体"/>
          <w:color w:val="auto"/>
          <w:sz w:val="21"/>
          <w:szCs w:val="21"/>
          <w:highlight w:val="none"/>
          <w:u w:val="none"/>
          <w:lang w:val="en-US" w:eastAsia="zh-CN"/>
        </w:rPr>
        <w:t>12</w:t>
      </w:r>
      <w:r>
        <w:rPr>
          <w:rFonts w:hint="eastAsia" w:hAnsi="宋体"/>
          <w:color w:val="auto"/>
          <w:sz w:val="21"/>
          <w:szCs w:val="21"/>
          <w:highlight w:val="none"/>
          <w:u w:val="none"/>
        </w:rPr>
        <w:t>日上午09:00～09:30。</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u w:val="none"/>
        </w:rPr>
        <w:t>2、接收响应文件截止时间及开启响应文件时间：2021年</w:t>
      </w:r>
      <w:r>
        <w:rPr>
          <w:rFonts w:hint="eastAsia" w:hAnsi="宋体"/>
          <w:color w:val="auto"/>
          <w:sz w:val="21"/>
          <w:szCs w:val="21"/>
          <w:highlight w:val="none"/>
          <w:lang w:val="en-US" w:eastAsia="zh-CN"/>
        </w:rPr>
        <w:t>10</w:t>
      </w:r>
      <w:r>
        <w:rPr>
          <w:rFonts w:hint="eastAsia" w:hAnsi="宋体"/>
          <w:color w:val="auto"/>
          <w:sz w:val="21"/>
          <w:szCs w:val="21"/>
          <w:highlight w:val="none"/>
        </w:rPr>
        <w:t>月</w:t>
      </w:r>
      <w:r>
        <w:rPr>
          <w:rFonts w:hint="eastAsia" w:hAnsi="宋体"/>
          <w:color w:val="auto"/>
          <w:sz w:val="21"/>
          <w:szCs w:val="21"/>
          <w:highlight w:val="none"/>
          <w:lang w:val="en-US" w:eastAsia="zh-CN"/>
        </w:rPr>
        <w:t>12</w:t>
      </w:r>
      <w:r>
        <w:rPr>
          <w:rFonts w:hint="eastAsia" w:hAnsi="宋体"/>
          <w:color w:val="auto"/>
          <w:sz w:val="21"/>
          <w:szCs w:val="21"/>
          <w:highlight w:val="none"/>
        </w:rPr>
        <w:t>日上午09:30。</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3、接收响应文件地点：</w:t>
      </w:r>
      <w:r>
        <w:rPr>
          <w:rFonts w:hint="eastAsia" w:hAnsi="宋体"/>
          <w:color w:val="auto"/>
          <w:sz w:val="21"/>
          <w:szCs w:val="21"/>
          <w:highlight w:val="none"/>
          <w:lang w:eastAsia="zh-CN"/>
        </w:rPr>
        <w:t>东莞市东城莞龙路下桥银门街一号办公楼六楼6</w:t>
      </w:r>
      <w:r>
        <w:rPr>
          <w:rFonts w:hint="eastAsia" w:hAnsi="宋体"/>
          <w:color w:val="auto"/>
          <w:sz w:val="21"/>
          <w:szCs w:val="21"/>
          <w:highlight w:val="none"/>
          <w:lang w:val="en-US" w:eastAsia="zh-CN"/>
        </w:rPr>
        <w:t>18室</w:t>
      </w:r>
      <w:r>
        <w:rPr>
          <w:rFonts w:hint="eastAsia" w:hAnsi="宋体"/>
          <w:color w:val="auto"/>
          <w:sz w:val="21"/>
          <w:szCs w:val="21"/>
          <w:highlight w:val="none"/>
        </w:rPr>
        <w:t>。</w:t>
      </w:r>
    </w:p>
    <w:p>
      <w:pPr>
        <w:spacing w:line="360" w:lineRule="auto"/>
        <w:rPr>
          <w:rFonts w:hAnsi="宋体"/>
          <w:b/>
          <w:bCs/>
          <w:color w:val="auto"/>
          <w:sz w:val="21"/>
          <w:szCs w:val="21"/>
          <w:highlight w:val="none"/>
        </w:rPr>
      </w:pPr>
      <w:r>
        <w:rPr>
          <w:rFonts w:hint="eastAsia" w:hAnsi="宋体"/>
          <w:b/>
          <w:bCs/>
          <w:color w:val="auto"/>
          <w:sz w:val="21"/>
          <w:szCs w:val="21"/>
          <w:highlight w:val="none"/>
        </w:rPr>
        <w:t>六、</w:t>
      </w:r>
      <w:r>
        <w:rPr>
          <w:rFonts w:hint="eastAsia" w:hAnsi="宋体"/>
          <w:b/>
          <w:color w:val="auto"/>
          <w:sz w:val="21"/>
          <w:szCs w:val="21"/>
          <w:highlight w:val="none"/>
        </w:rPr>
        <w:t>采购代理机构</w:t>
      </w:r>
      <w:r>
        <w:rPr>
          <w:rFonts w:hint="eastAsia" w:hAnsi="宋体"/>
          <w:b/>
          <w:bCs/>
          <w:color w:val="auto"/>
          <w:sz w:val="21"/>
          <w:szCs w:val="21"/>
          <w:highlight w:val="none"/>
        </w:rPr>
        <w:t>及采购人</w:t>
      </w:r>
      <w:r>
        <w:rPr>
          <w:rFonts w:hint="eastAsia" w:hAnsi="宋体"/>
          <w:b/>
          <w:color w:val="auto"/>
          <w:sz w:val="21"/>
          <w:szCs w:val="21"/>
          <w:highlight w:val="none"/>
        </w:rPr>
        <w:t>的地址和联系方式</w:t>
      </w:r>
      <w:r>
        <w:rPr>
          <w:rFonts w:hint="eastAsia" w:hAnsi="宋体"/>
          <w:b/>
          <w:bCs/>
          <w:color w:val="auto"/>
          <w:sz w:val="21"/>
          <w:szCs w:val="21"/>
          <w:highlight w:val="none"/>
        </w:rPr>
        <w:t>：</w:t>
      </w:r>
    </w:p>
    <w:p>
      <w:pPr>
        <w:spacing w:line="360" w:lineRule="auto"/>
        <w:ind w:right="-34" w:firstLine="424" w:firstLineChars="202"/>
        <w:jc w:val="both"/>
        <w:rPr>
          <w:rFonts w:hint="eastAsia" w:hAnsi="宋体" w:eastAsia="宋体"/>
          <w:color w:val="auto"/>
          <w:sz w:val="21"/>
          <w:szCs w:val="21"/>
          <w:highlight w:val="none"/>
          <w:lang w:eastAsia="zh-CN"/>
        </w:rPr>
      </w:pPr>
      <w:r>
        <w:rPr>
          <w:rFonts w:hint="eastAsia" w:hAnsi="宋体"/>
          <w:color w:val="auto"/>
          <w:sz w:val="21"/>
          <w:szCs w:val="21"/>
          <w:highlight w:val="none"/>
        </w:rPr>
        <w:t>采购代理机构：</w:t>
      </w:r>
      <w:r>
        <w:rPr>
          <w:rFonts w:hint="eastAsia" w:hAnsi="宋体"/>
          <w:color w:val="auto"/>
          <w:sz w:val="21"/>
          <w:szCs w:val="21"/>
          <w:highlight w:val="none"/>
          <w:lang w:eastAsia="zh-CN"/>
        </w:rPr>
        <w:t>广东泰通伟业工程咨询有限公司</w:t>
      </w:r>
    </w:p>
    <w:p>
      <w:pPr>
        <w:spacing w:line="360" w:lineRule="auto"/>
        <w:ind w:right="-34" w:firstLine="424" w:firstLineChars="202"/>
        <w:jc w:val="both"/>
        <w:rPr>
          <w:rFonts w:hint="eastAsia" w:hAnsi="宋体" w:eastAsia="宋体"/>
          <w:color w:val="auto"/>
          <w:sz w:val="21"/>
          <w:szCs w:val="21"/>
          <w:highlight w:val="none"/>
          <w:lang w:eastAsia="zh-CN"/>
        </w:rPr>
      </w:pPr>
      <w:r>
        <w:rPr>
          <w:rFonts w:hint="eastAsia" w:hAnsi="宋体"/>
          <w:color w:val="auto"/>
          <w:sz w:val="21"/>
          <w:szCs w:val="21"/>
          <w:highlight w:val="none"/>
        </w:rPr>
        <w:t>地    址：</w:t>
      </w:r>
      <w:r>
        <w:rPr>
          <w:rFonts w:hint="eastAsia" w:hAnsi="宋体"/>
          <w:color w:val="auto"/>
          <w:sz w:val="21"/>
          <w:szCs w:val="21"/>
          <w:highlight w:val="none"/>
          <w:lang w:eastAsia="zh-CN"/>
        </w:rPr>
        <w:t>东莞市东城莞龙路下桥银门街一号办公楼六楼606招标采购部</w:t>
      </w:r>
    </w:p>
    <w:p>
      <w:pPr>
        <w:spacing w:line="360" w:lineRule="auto"/>
        <w:ind w:right="-34" w:firstLine="424" w:firstLineChars="202"/>
        <w:jc w:val="both"/>
        <w:rPr>
          <w:rFonts w:hint="eastAsia" w:hAnsi="宋体" w:eastAsia="宋体"/>
          <w:color w:val="auto"/>
          <w:sz w:val="21"/>
          <w:szCs w:val="21"/>
          <w:highlight w:val="none"/>
          <w:lang w:eastAsia="zh-CN"/>
        </w:rPr>
      </w:pPr>
      <w:r>
        <w:rPr>
          <w:rFonts w:hint="eastAsia" w:hAnsi="宋体"/>
          <w:color w:val="auto"/>
          <w:sz w:val="21"/>
          <w:szCs w:val="21"/>
          <w:highlight w:val="none"/>
        </w:rPr>
        <w:t>项目联系人：</w:t>
      </w:r>
      <w:r>
        <w:rPr>
          <w:rFonts w:hint="eastAsia" w:hAnsi="宋体"/>
          <w:color w:val="auto"/>
          <w:sz w:val="21"/>
          <w:szCs w:val="21"/>
          <w:highlight w:val="none"/>
          <w:lang w:eastAsia="zh-CN"/>
        </w:rPr>
        <w:t>冼小姐</w:t>
      </w:r>
    </w:p>
    <w:p>
      <w:pPr>
        <w:spacing w:line="360" w:lineRule="auto"/>
        <w:ind w:right="-34" w:firstLine="424" w:firstLineChars="202"/>
        <w:jc w:val="both"/>
        <w:rPr>
          <w:rFonts w:hint="eastAsia" w:hAnsi="宋体" w:eastAsia="宋体"/>
          <w:color w:val="auto"/>
          <w:sz w:val="21"/>
          <w:szCs w:val="21"/>
          <w:highlight w:val="none"/>
          <w:lang w:eastAsia="zh-CN"/>
        </w:rPr>
      </w:pPr>
      <w:r>
        <w:rPr>
          <w:rFonts w:hint="eastAsia" w:hAnsi="宋体"/>
          <w:color w:val="auto"/>
          <w:sz w:val="21"/>
          <w:szCs w:val="21"/>
          <w:highlight w:val="none"/>
        </w:rPr>
        <w:t>电    话：</w:t>
      </w:r>
      <w:r>
        <w:rPr>
          <w:rFonts w:hint="eastAsia" w:hAnsi="宋体"/>
          <w:color w:val="auto"/>
          <w:sz w:val="21"/>
          <w:szCs w:val="21"/>
          <w:highlight w:val="none"/>
          <w:lang w:eastAsia="zh-CN"/>
        </w:rPr>
        <w:t>0769-22088829</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邮    箱</w:t>
      </w:r>
      <w:r>
        <w:rPr>
          <w:rFonts w:hAnsi="宋体"/>
          <w:color w:val="auto"/>
          <w:sz w:val="21"/>
          <w:szCs w:val="21"/>
          <w:highlight w:val="none"/>
        </w:rPr>
        <w:t>：</w:t>
      </w:r>
      <w:r>
        <w:rPr>
          <w:rFonts w:hint="eastAsia" w:hAnsi="宋体"/>
          <w:color w:val="auto"/>
          <w:sz w:val="21"/>
          <w:szCs w:val="21"/>
          <w:highlight w:val="none"/>
        </w:rPr>
        <w:t>gdcmdg@163.com</w:t>
      </w:r>
    </w:p>
    <w:p>
      <w:pPr>
        <w:spacing w:line="360" w:lineRule="auto"/>
        <w:ind w:right="-34" w:firstLine="424" w:firstLineChars="202"/>
        <w:jc w:val="both"/>
        <w:rPr>
          <w:rFonts w:hint="eastAsia" w:hAnsi="宋体" w:eastAsia="宋体"/>
          <w:color w:val="auto"/>
          <w:sz w:val="21"/>
          <w:szCs w:val="21"/>
          <w:highlight w:val="none"/>
          <w:lang w:eastAsia="zh-CN"/>
        </w:rPr>
      </w:pPr>
      <w:r>
        <w:rPr>
          <w:rFonts w:hint="eastAsia" w:hAnsi="宋体"/>
          <w:color w:val="auto"/>
          <w:sz w:val="21"/>
          <w:szCs w:val="21"/>
          <w:highlight w:val="none"/>
        </w:rPr>
        <w:t>采 购 人：</w:t>
      </w:r>
      <w:r>
        <w:rPr>
          <w:rFonts w:hint="eastAsia" w:hAnsi="宋体"/>
          <w:color w:val="auto"/>
          <w:sz w:val="21"/>
          <w:szCs w:val="21"/>
          <w:highlight w:val="none"/>
          <w:lang w:eastAsia="zh-CN"/>
        </w:rPr>
        <w:t>东莞市旗美投资发展有限公司</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地    址：</w:t>
      </w:r>
      <w:r>
        <w:rPr>
          <w:rFonts w:hint="eastAsia" w:hAnsi="宋体"/>
          <w:color w:val="auto"/>
          <w:sz w:val="21"/>
          <w:szCs w:val="21"/>
          <w:highlight w:val="none"/>
        </w:rPr>
        <w:t>东莞市东城区八一路机关二号大院9号楼</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联 系 人</w:t>
      </w:r>
      <w:r>
        <w:rPr>
          <w:rFonts w:hint="eastAsia" w:hAnsi="宋体"/>
          <w:color w:val="auto"/>
          <w:sz w:val="21"/>
          <w:szCs w:val="21"/>
          <w:highlight w:val="none"/>
        </w:rPr>
        <w:t>：</w:t>
      </w:r>
      <w:r>
        <w:rPr>
          <w:rFonts w:hAnsi="宋体"/>
          <w:color w:val="auto"/>
          <w:sz w:val="21"/>
          <w:szCs w:val="21"/>
          <w:highlight w:val="none"/>
        </w:rPr>
        <w:t>曾小姐</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电    话：</w:t>
      </w:r>
      <w:r>
        <w:rPr>
          <w:rFonts w:hint="eastAsia" w:hAnsi="宋体"/>
          <w:color w:val="auto"/>
          <w:sz w:val="21"/>
          <w:szCs w:val="21"/>
          <w:highlight w:val="none"/>
        </w:rPr>
        <w:t>0769-28681293</w:t>
      </w:r>
    </w:p>
    <w:p>
      <w:pPr>
        <w:wordWrap w:val="0"/>
        <w:spacing w:line="360" w:lineRule="auto"/>
        <w:ind w:right="-34" w:firstLine="424" w:firstLineChars="202"/>
        <w:jc w:val="right"/>
        <w:rPr>
          <w:rFonts w:hAnsi="宋体"/>
          <w:color w:val="auto"/>
          <w:sz w:val="21"/>
          <w:szCs w:val="21"/>
          <w:highlight w:val="none"/>
        </w:rPr>
      </w:pPr>
    </w:p>
    <w:p>
      <w:pPr>
        <w:pStyle w:val="3"/>
        <w:keepNext/>
        <w:keepLines/>
        <w:pageBreakBefore/>
        <w:numPr>
          <w:ilvl w:val="0"/>
          <w:numId w:val="10"/>
        </w:numPr>
        <w:tabs>
          <w:tab w:val="left" w:pos="1080"/>
        </w:tabs>
        <w:spacing w:line="360" w:lineRule="auto"/>
        <w:ind w:left="1262" w:hanging="1262" w:hangingChars="449"/>
        <w:jc w:val="center"/>
        <w:rPr>
          <w:rFonts w:hAnsi="宋体"/>
          <w:b/>
          <w:bCs/>
          <w:color w:val="auto"/>
          <w:kern w:val="44"/>
          <w:sz w:val="28"/>
          <w:szCs w:val="28"/>
          <w:highlight w:val="none"/>
          <w:lang w:val="zh-CN"/>
        </w:rPr>
      </w:pPr>
      <w:bookmarkStart w:id="4" w:name="_Toc16634"/>
      <w:r>
        <w:rPr>
          <w:rFonts w:hint="eastAsia" w:hAnsi="宋体"/>
          <w:b/>
          <w:bCs/>
          <w:color w:val="auto"/>
          <w:kern w:val="44"/>
          <w:sz w:val="28"/>
          <w:szCs w:val="28"/>
          <w:highlight w:val="none"/>
          <w:lang w:val="zh-CN"/>
        </w:rPr>
        <w:t>供应商须知</w:t>
      </w:r>
      <w:bookmarkEnd w:id="3"/>
      <w:bookmarkEnd w:id="4"/>
    </w:p>
    <w:p>
      <w:pPr>
        <w:pStyle w:val="2"/>
        <w:adjustRightInd/>
        <w:spacing w:line="360" w:lineRule="auto"/>
        <w:ind w:firstLine="562" w:firstLineChars="200"/>
        <w:jc w:val="center"/>
        <w:rPr>
          <w:color w:val="auto"/>
          <w:sz w:val="28"/>
          <w:szCs w:val="28"/>
          <w:highlight w:val="none"/>
        </w:rPr>
      </w:pPr>
      <w:bookmarkStart w:id="5" w:name="_Toc6882675"/>
      <w:bookmarkStart w:id="6" w:name="_Toc7897861"/>
      <w:bookmarkStart w:id="7" w:name="_Toc466786434"/>
      <w:bookmarkStart w:id="8" w:name="_Toc6968687"/>
      <w:bookmarkStart w:id="9" w:name="_Toc102277756"/>
      <w:bookmarkStart w:id="10" w:name="_Toc12804"/>
      <w:bookmarkStart w:id="11" w:name="_Toc507407359"/>
      <w:r>
        <w:rPr>
          <w:rFonts w:hint="eastAsia"/>
          <w:color w:val="auto"/>
          <w:sz w:val="28"/>
          <w:szCs w:val="28"/>
          <w:highlight w:val="none"/>
        </w:rPr>
        <w:t>一、说  明</w:t>
      </w:r>
      <w:bookmarkEnd w:id="5"/>
      <w:bookmarkEnd w:id="6"/>
      <w:bookmarkEnd w:id="7"/>
      <w:bookmarkEnd w:id="8"/>
      <w:bookmarkEnd w:id="9"/>
      <w:bookmarkEnd w:id="10"/>
      <w:bookmarkEnd w:id="11"/>
    </w:p>
    <w:p>
      <w:pPr>
        <w:pStyle w:val="4"/>
        <w:adjustRightInd/>
        <w:spacing w:line="360" w:lineRule="auto"/>
        <w:ind w:firstLine="420" w:firstLineChars="200"/>
        <w:rPr>
          <w:rFonts w:hAnsi="宋体"/>
          <w:color w:val="auto"/>
          <w:sz w:val="21"/>
          <w:szCs w:val="21"/>
          <w:highlight w:val="none"/>
        </w:rPr>
      </w:pPr>
      <w:bookmarkStart w:id="12" w:name="_Toc3730"/>
      <w:bookmarkStart w:id="13" w:name="_Toc24987"/>
      <w:bookmarkStart w:id="14" w:name="_Toc7897862"/>
      <w:bookmarkStart w:id="15" w:name="_Toc475249114"/>
      <w:r>
        <w:rPr>
          <w:rFonts w:hint="eastAsia" w:hAnsi="宋体"/>
          <w:color w:val="auto"/>
          <w:sz w:val="21"/>
          <w:szCs w:val="21"/>
          <w:highlight w:val="none"/>
        </w:rPr>
        <w:t>1.适用范围</w:t>
      </w:r>
      <w:bookmarkEnd w:id="12"/>
      <w:bookmarkEnd w:id="13"/>
      <w:bookmarkEnd w:id="14"/>
      <w:bookmarkEnd w:id="15"/>
    </w:p>
    <w:p>
      <w:pPr>
        <w:spacing w:line="360" w:lineRule="auto"/>
        <w:ind w:firstLine="420" w:firstLineChars="200"/>
        <w:textAlignment w:val="baseline"/>
        <w:rPr>
          <w:rFonts w:hAnsi="宋体"/>
          <w:color w:val="auto"/>
          <w:sz w:val="21"/>
          <w:szCs w:val="21"/>
          <w:highlight w:val="none"/>
        </w:rPr>
      </w:pPr>
      <w:r>
        <w:rPr>
          <w:rFonts w:hint="eastAsia" w:hAnsi="宋体"/>
          <w:color w:val="auto"/>
          <w:sz w:val="21"/>
          <w:szCs w:val="21"/>
          <w:highlight w:val="none"/>
        </w:rPr>
        <w:t>1.1本磋商文件仅适用于本次采购邀请中所叙述的项目。</w:t>
      </w:r>
    </w:p>
    <w:p>
      <w:pPr>
        <w:spacing w:line="360" w:lineRule="auto"/>
        <w:ind w:firstLine="420" w:firstLineChars="200"/>
        <w:textAlignment w:val="baseline"/>
        <w:rPr>
          <w:rFonts w:hAnsi="宋体"/>
          <w:color w:val="auto"/>
          <w:sz w:val="21"/>
          <w:szCs w:val="21"/>
          <w:highlight w:val="none"/>
        </w:rPr>
      </w:pPr>
      <w:r>
        <w:rPr>
          <w:rFonts w:hint="eastAsia" w:hAnsi="宋体"/>
          <w:color w:val="auto"/>
          <w:sz w:val="21"/>
          <w:szCs w:val="21"/>
          <w:highlight w:val="none"/>
        </w:rPr>
        <w:t>1.2本磋商文件的解释权在采购代理机构。</w:t>
      </w:r>
    </w:p>
    <w:p>
      <w:pPr>
        <w:pStyle w:val="4"/>
        <w:adjustRightInd/>
        <w:spacing w:line="360" w:lineRule="auto"/>
        <w:ind w:firstLine="420" w:firstLineChars="200"/>
        <w:rPr>
          <w:rFonts w:hAnsi="宋体"/>
          <w:color w:val="auto"/>
          <w:sz w:val="21"/>
          <w:szCs w:val="21"/>
          <w:highlight w:val="none"/>
        </w:rPr>
      </w:pPr>
      <w:bookmarkStart w:id="16" w:name="_Toc475249115"/>
      <w:bookmarkStart w:id="17" w:name="_Toc9738"/>
      <w:bookmarkStart w:id="18" w:name="_Toc598"/>
      <w:bookmarkStart w:id="19" w:name="_Toc7897863"/>
      <w:r>
        <w:rPr>
          <w:rFonts w:hint="eastAsia" w:hAnsi="宋体"/>
          <w:color w:val="auto"/>
          <w:sz w:val="21"/>
          <w:szCs w:val="21"/>
          <w:highlight w:val="none"/>
        </w:rPr>
        <w:t>2.定义</w:t>
      </w:r>
      <w:bookmarkEnd w:id="16"/>
      <w:bookmarkEnd w:id="17"/>
      <w:bookmarkEnd w:id="18"/>
      <w:bookmarkEnd w:id="19"/>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2.1“采购人”是指</w:t>
      </w:r>
      <w:r>
        <w:rPr>
          <w:rFonts w:hint="eastAsia" w:hAnsi="宋体"/>
          <w:color w:val="auto"/>
          <w:sz w:val="21"/>
          <w:szCs w:val="21"/>
          <w:highlight w:val="none"/>
          <w:lang w:eastAsia="zh-CN"/>
        </w:rPr>
        <w:t>东莞市旗美投资发展有限公司</w:t>
      </w:r>
      <w:r>
        <w:rPr>
          <w:rFonts w:hint="eastAsia" w:hAnsi="宋体"/>
          <w:color w:val="auto"/>
          <w:sz w:val="21"/>
          <w:szCs w:val="21"/>
          <w:highlight w:val="none"/>
        </w:rPr>
        <w:t>。</w:t>
      </w:r>
    </w:p>
    <w:p>
      <w:pPr>
        <w:spacing w:line="360" w:lineRule="auto"/>
        <w:ind w:firstLine="420" w:firstLineChars="200"/>
        <w:rPr>
          <w:rFonts w:hAnsi="宋体"/>
          <w:b/>
          <w:color w:val="auto"/>
          <w:sz w:val="21"/>
          <w:szCs w:val="21"/>
          <w:highlight w:val="none"/>
        </w:rPr>
      </w:pPr>
      <w:r>
        <w:rPr>
          <w:rFonts w:hint="eastAsia" w:hAnsi="宋体"/>
          <w:color w:val="auto"/>
          <w:sz w:val="21"/>
          <w:szCs w:val="21"/>
          <w:highlight w:val="none"/>
        </w:rPr>
        <w:t>2.2“采购代理机构”是指</w:t>
      </w:r>
      <w:r>
        <w:rPr>
          <w:rFonts w:hint="eastAsia" w:hAnsi="宋体"/>
          <w:color w:val="auto"/>
          <w:sz w:val="21"/>
          <w:szCs w:val="21"/>
          <w:highlight w:val="none"/>
          <w:lang w:eastAsia="zh-CN"/>
        </w:rPr>
        <w:t>广东泰通伟业工程咨询有限公司</w:t>
      </w:r>
      <w:r>
        <w:rPr>
          <w:rFonts w:hint="eastAsia" w:hAnsi="宋体"/>
          <w:color w:val="auto"/>
          <w:sz w:val="21"/>
          <w:szCs w:val="21"/>
          <w:highlight w:val="none"/>
        </w:rPr>
        <w:t>。</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2.3“供应商”指向采购代理机构提交响应文件的法人。</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 货物：卖方按磋商文件规定向买方提供的货物。</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2.5 服务：磋商文件规定卖方必须承担的咨询、技术协助、培训及其它相关义务。</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 语言：采购文件的语言为简体中文。</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2.7 日期：指公历日。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2.8 时间：指北京时间。</w:t>
      </w:r>
    </w:p>
    <w:p>
      <w:pPr>
        <w:pStyle w:val="4"/>
        <w:adjustRightInd/>
        <w:spacing w:line="360" w:lineRule="auto"/>
        <w:ind w:firstLine="420" w:firstLineChars="200"/>
        <w:rPr>
          <w:rFonts w:hAnsi="宋体"/>
          <w:color w:val="auto"/>
          <w:sz w:val="21"/>
          <w:szCs w:val="21"/>
          <w:highlight w:val="none"/>
        </w:rPr>
      </w:pPr>
      <w:bookmarkStart w:id="20" w:name="_Toc24709"/>
      <w:bookmarkStart w:id="21" w:name="_Toc110953831"/>
      <w:bookmarkStart w:id="22" w:name="_Toc7897864"/>
      <w:bookmarkStart w:id="23" w:name="_Toc367"/>
      <w:bookmarkStart w:id="24" w:name="_Toc6882676"/>
      <w:bookmarkStart w:id="25" w:name="_Toc507407360"/>
      <w:bookmarkStart w:id="26" w:name="_Toc466786435"/>
      <w:bookmarkStart w:id="27" w:name="_Toc102277757"/>
      <w:bookmarkStart w:id="28" w:name="_Toc6968688"/>
      <w:r>
        <w:rPr>
          <w:rFonts w:hint="eastAsia" w:hAnsi="宋体"/>
          <w:color w:val="auto"/>
          <w:sz w:val="21"/>
          <w:szCs w:val="21"/>
          <w:highlight w:val="none"/>
        </w:rPr>
        <w:t>3.适用法律</w:t>
      </w:r>
      <w:bookmarkEnd w:id="20"/>
      <w:bookmarkEnd w:id="21"/>
      <w:bookmarkEnd w:id="22"/>
      <w:bookmarkEnd w:id="23"/>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采购人、供应商和采购代理机构均应当参照</w:t>
      </w:r>
      <w:r>
        <w:rPr>
          <w:rFonts w:hint="eastAsia" w:hAnsi="宋体"/>
          <w:color w:val="auto"/>
          <w:sz w:val="21"/>
          <w:szCs w:val="21"/>
          <w:highlight w:val="none"/>
          <w:lang w:eastAsia="zh-CN"/>
        </w:rPr>
        <w:t>东莞市旗美投资发展有限公司</w:t>
      </w:r>
      <w:r>
        <w:rPr>
          <w:rFonts w:hint="eastAsia" w:hAnsi="宋体"/>
          <w:color w:val="auto"/>
          <w:sz w:val="21"/>
          <w:szCs w:val="21"/>
          <w:highlight w:val="none"/>
        </w:rPr>
        <w:t>相关招标采购规定执行。</w:t>
      </w:r>
    </w:p>
    <w:p>
      <w:pPr>
        <w:pStyle w:val="4"/>
        <w:adjustRightInd/>
        <w:spacing w:line="360" w:lineRule="auto"/>
        <w:ind w:firstLine="420" w:firstLineChars="200"/>
        <w:rPr>
          <w:rFonts w:hAnsi="宋体"/>
          <w:color w:val="auto"/>
          <w:sz w:val="21"/>
          <w:szCs w:val="21"/>
          <w:highlight w:val="none"/>
          <w:lang w:val="zh-CN"/>
        </w:rPr>
      </w:pPr>
      <w:bookmarkStart w:id="29" w:name="_Toc20707"/>
      <w:bookmarkStart w:id="30" w:name="_Toc10397"/>
      <w:bookmarkStart w:id="31" w:name="_Toc110953833"/>
      <w:bookmarkStart w:id="32" w:name="_Toc7897866"/>
      <w:r>
        <w:rPr>
          <w:rFonts w:hint="eastAsia" w:hAnsi="宋体"/>
          <w:color w:val="auto"/>
          <w:sz w:val="21"/>
          <w:szCs w:val="21"/>
          <w:highlight w:val="none"/>
          <w:lang w:val="zh-CN"/>
        </w:rPr>
        <w:t>4</w:t>
      </w:r>
      <w:r>
        <w:rPr>
          <w:rFonts w:hint="eastAsia" w:hAnsi="宋体"/>
          <w:color w:val="auto"/>
          <w:sz w:val="21"/>
          <w:szCs w:val="21"/>
          <w:highlight w:val="none"/>
        </w:rPr>
        <w:t>.</w:t>
      </w:r>
      <w:r>
        <w:rPr>
          <w:rFonts w:hint="eastAsia" w:hAnsi="宋体"/>
          <w:color w:val="auto"/>
          <w:sz w:val="21"/>
          <w:szCs w:val="21"/>
          <w:highlight w:val="none"/>
          <w:lang w:val="zh-CN"/>
        </w:rPr>
        <w:t>本项目不接受联合体磋商。</w:t>
      </w:r>
      <w:bookmarkEnd w:id="29"/>
    </w:p>
    <w:p>
      <w:pPr>
        <w:pStyle w:val="4"/>
        <w:adjustRightInd/>
        <w:spacing w:line="360" w:lineRule="auto"/>
        <w:ind w:firstLine="420" w:firstLineChars="200"/>
        <w:rPr>
          <w:rFonts w:hAnsi="宋体"/>
          <w:bCs/>
          <w:color w:val="auto"/>
          <w:sz w:val="21"/>
          <w:szCs w:val="21"/>
          <w:highlight w:val="none"/>
        </w:rPr>
      </w:pPr>
      <w:bookmarkStart w:id="33" w:name="_Toc10368"/>
      <w:r>
        <w:rPr>
          <w:rFonts w:hint="eastAsia" w:hAnsi="宋体"/>
          <w:color w:val="auto"/>
          <w:sz w:val="21"/>
          <w:szCs w:val="21"/>
          <w:highlight w:val="none"/>
        </w:rPr>
        <w:t>5.禁止事项</w:t>
      </w:r>
      <w:bookmarkEnd w:id="30"/>
      <w:bookmarkEnd w:id="31"/>
      <w:bookmarkEnd w:id="32"/>
      <w:bookmarkEnd w:id="33"/>
    </w:p>
    <w:p>
      <w:pPr>
        <w:spacing w:line="360" w:lineRule="auto"/>
        <w:ind w:firstLine="420" w:firstLineChars="200"/>
        <w:rPr>
          <w:rFonts w:hAnsi="宋体"/>
          <w:color w:val="auto"/>
          <w:sz w:val="21"/>
          <w:szCs w:val="21"/>
          <w:highlight w:val="none"/>
        </w:rPr>
      </w:pPr>
      <w:bookmarkStart w:id="34" w:name="_Toc98126293"/>
      <w:bookmarkStart w:id="35" w:name="_Toc98126218"/>
      <w:r>
        <w:rPr>
          <w:rFonts w:hint="eastAsia" w:hAnsi="宋体"/>
          <w:color w:val="auto"/>
          <w:sz w:val="21"/>
          <w:szCs w:val="21"/>
          <w:highlight w:val="none"/>
        </w:rPr>
        <w:t>5.1采购人、供应商和采购代理机构不得相互串通损害国家利益、社会公共利益和其他当事人的合法权益。</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5.2供应商不得向采购人、采购代理机构、磋商小组的组成人员行贿或者采取其他不正当手段谋取成交。</w:t>
      </w:r>
      <w:bookmarkEnd w:id="34"/>
      <w:bookmarkEnd w:id="35"/>
    </w:p>
    <w:p>
      <w:pPr>
        <w:spacing w:line="360" w:lineRule="auto"/>
        <w:ind w:firstLine="420" w:firstLineChars="200"/>
        <w:rPr>
          <w:rFonts w:hAnsi="宋体"/>
          <w:color w:val="auto"/>
          <w:sz w:val="21"/>
          <w:szCs w:val="21"/>
          <w:highlight w:val="none"/>
        </w:rPr>
      </w:pPr>
      <w:bookmarkStart w:id="36" w:name="_Toc98126294"/>
      <w:bookmarkStart w:id="37" w:name="_Toc98126219"/>
      <w:r>
        <w:rPr>
          <w:rFonts w:hint="eastAsia" w:hAnsi="宋体"/>
          <w:color w:val="auto"/>
          <w:sz w:val="21"/>
          <w:szCs w:val="21"/>
          <w:highlight w:val="none"/>
        </w:rPr>
        <w:t>5.3采购代理机构不得向采购人行贿或者采取其他不正当手段谋取非法利益。</w:t>
      </w:r>
      <w:bookmarkEnd w:id="36"/>
      <w:bookmarkEnd w:id="37"/>
    </w:p>
    <w:p>
      <w:pPr>
        <w:spacing w:line="360" w:lineRule="auto"/>
        <w:ind w:firstLine="420" w:firstLineChars="200"/>
        <w:rPr>
          <w:rFonts w:hAnsi="宋体"/>
          <w:color w:val="auto"/>
          <w:sz w:val="21"/>
          <w:szCs w:val="21"/>
          <w:highlight w:val="none"/>
        </w:rPr>
      </w:pPr>
      <w:bookmarkStart w:id="38" w:name="_Toc98126295"/>
      <w:bookmarkStart w:id="39" w:name="_Toc98126220"/>
      <w:r>
        <w:rPr>
          <w:rFonts w:hint="eastAsia" w:hAnsi="宋体"/>
          <w:color w:val="auto"/>
          <w:sz w:val="21"/>
          <w:szCs w:val="21"/>
          <w:highlight w:val="none"/>
        </w:rPr>
        <w:t>5.4除供应商被要求对响应文件进行质疑澄清外，从开启响应文件之时起至授予合同止，供应商不得就与其响应文件有关的事项主动与磋商小组、采购人以及采购代理机构接触。</w:t>
      </w:r>
      <w:bookmarkEnd w:id="38"/>
      <w:bookmarkEnd w:id="39"/>
    </w:p>
    <w:p>
      <w:pPr>
        <w:pStyle w:val="4"/>
        <w:adjustRightInd/>
        <w:spacing w:line="360" w:lineRule="auto"/>
        <w:ind w:firstLine="420" w:firstLineChars="200"/>
        <w:rPr>
          <w:rFonts w:hAnsi="宋体"/>
          <w:bCs/>
          <w:color w:val="auto"/>
          <w:sz w:val="21"/>
          <w:szCs w:val="21"/>
          <w:highlight w:val="none"/>
        </w:rPr>
      </w:pPr>
      <w:bookmarkStart w:id="40" w:name="_Toc25870"/>
      <w:bookmarkStart w:id="41" w:name="_Toc2863"/>
      <w:bookmarkStart w:id="42" w:name="_Toc7897867"/>
      <w:bookmarkStart w:id="43" w:name="_Toc110953834"/>
      <w:r>
        <w:rPr>
          <w:rFonts w:hint="eastAsia" w:hAnsi="宋体"/>
          <w:color w:val="auto"/>
          <w:sz w:val="21"/>
          <w:szCs w:val="21"/>
          <w:highlight w:val="none"/>
        </w:rPr>
        <w:t>6.保密及其它注意事项</w:t>
      </w:r>
      <w:bookmarkEnd w:id="40"/>
      <w:bookmarkEnd w:id="41"/>
      <w:bookmarkEnd w:id="42"/>
      <w:bookmarkEnd w:id="43"/>
    </w:p>
    <w:p>
      <w:pPr>
        <w:spacing w:line="360" w:lineRule="auto"/>
        <w:ind w:firstLine="420" w:firstLineChars="200"/>
        <w:rPr>
          <w:rFonts w:hAnsi="宋体"/>
          <w:color w:val="auto"/>
          <w:sz w:val="21"/>
          <w:szCs w:val="21"/>
          <w:highlight w:val="none"/>
        </w:rPr>
      </w:pPr>
      <w:bookmarkStart w:id="44" w:name="_Toc98126297"/>
      <w:bookmarkStart w:id="45" w:name="_Toc98126222"/>
      <w:r>
        <w:rPr>
          <w:rFonts w:hint="eastAsia" w:hAnsi="宋体"/>
          <w:color w:val="auto"/>
          <w:sz w:val="21"/>
          <w:szCs w:val="21"/>
          <w:highlight w:val="none"/>
        </w:rPr>
        <w:t>6.1凡参与采购工作的有关人员均应自觉接受有关主管部门的监督，不得向他人透露可能影响公平竞争的有关情况。</w:t>
      </w:r>
      <w:bookmarkEnd w:id="44"/>
      <w:bookmarkEnd w:id="45"/>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磋商小组人员之外。</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6.3在评审期间，供应商不得向磋商小组成员询问评审情况，不得进行旨在影响评审结果的活动。</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6.4磋商小组不向未成交供应商解释落选原因，不退还响应文件。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6.5所有供应商自行承担与响应有关的全部费用。采购人和采购代理机构在任何情况下均不承担该费用。</w:t>
      </w:r>
    </w:p>
    <w:p>
      <w:pPr>
        <w:pStyle w:val="4"/>
        <w:adjustRightInd/>
        <w:spacing w:line="360" w:lineRule="auto"/>
        <w:ind w:firstLine="420" w:firstLineChars="200"/>
        <w:rPr>
          <w:rFonts w:hAnsi="宋体"/>
          <w:color w:val="auto"/>
          <w:sz w:val="21"/>
          <w:szCs w:val="21"/>
          <w:highlight w:val="none"/>
        </w:rPr>
      </w:pPr>
      <w:bookmarkStart w:id="46" w:name="_Toc497016085"/>
      <w:bookmarkStart w:id="47" w:name="_Toc7897868"/>
      <w:bookmarkStart w:id="48" w:name="_Toc13371"/>
      <w:bookmarkStart w:id="49" w:name="_Toc27298"/>
      <w:r>
        <w:rPr>
          <w:rFonts w:hint="eastAsia" w:hAnsi="宋体"/>
          <w:color w:val="auto"/>
          <w:sz w:val="21"/>
          <w:szCs w:val="21"/>
          <w:highlight w:val="none"/>
        </w:rPr>
        <w:t>7.供应商诚信管理</w:t>
      </w:r>
      <w:bookmarkEnd w:id="46"/>
      <w:bookmarkEnd w:id="47"/>
      <w:bookmarkEnd w:id="48"/>
      <w:bookmarkEnd w:id="49"/>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7.1供应商在本磋商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7.2如果采购人或采购代理机构有证据表明供应商在本磋商项目的竞争中存在腐败、欺诈或其他严重违背诚信原则的行为，则将拒绝其响应。</w:t>
      </w:r>
    </w:p>
    <w:p>
      <w:pPr>
        <w:spacing w:line="360" w:lineRule="auto"/>
        <w:rPr>
          <w:rFonts w:hAnsi="宋体"/>
          <w:color w:val="auto"/>
          <w:sz w:val="21"/>
          <w:szCs w:val="21"/>
          <w:highlight w:val="none"/>
        </w:rPr>
      </w:pPr>
    </w:p>
    <w:p>
      <w:pPr>
        <w:pStyle w:val="2"/>
        <w:adjustRightInd/>
        <w:spacing w:line="360" w:lineRule="auto"/>
        <w:ind w:firstLine="562" w:firstLineChars="200"/>
        <w:jc w:val="center"/>
        <w:rPr>
          <w:color w:val="auto"/>
          <w:sz w:val="28"/>
          <w:szCs w:val="28"/>
          <w:highlight w:val="none"/>
        </w:rPr>
      </w:pPr>
      <w:bookmarkStart w:id="50" w:name="_Toc23741"/>
      <w:bookmarkStart w:id="51" w:name="_Toc7897869"/>
      <w:r>
        <w:rPr>
          <w:rFonts w:hint="eastAsia"/>
          <w:color w:val="auto"/>
          <w:sz w:val="28"/>
          <w:szCs w:val="28"/>
          <w:highlight w:val="none"/>
        </w:rPr>
        <w:t>二、磋商文件说明</w:t>
      </w:r>
      <w:bookmarkEnd w:id="24"/>
      <w:bookmarkEnd w:id="25"/>
      <w:bookmarkEnd w:id="26"/>
      <w:bookmarkEnd w:id="27"/>
      <w:bookmarkEnd w:id="28"/>
      <w:bookmarkEnd w:id="50"/>
      <w:bookmarkEnd w:id="51"/>
    </w:p>
    <w:p>
      <w:pPr>
        <w:pStyle w:val="4"/>
        <w:adjustRightInd/>
        <w:spacing w:line="360" w:lineRule="auto"/>
        <w:ind w:firstLine="420" w:firstLineChars="200"/>
        <w:rPr>
          <w:rFonts w:hAnsi="宋体"/>
          <w:color w:val="auto"/>
          <w:sz w:val="21"/>
          <w:szCs w:val="21"/>
          <w:highlight w:val="none"/>
        </w:rPr>
      </w:pPr>
      <w:bookmarkStart w:id="52" w:name="_Toc7897870"/>
      <w:bookmarkStart w:id="53" w:name="_Toc23606"/>
      <w:bookmarkStart w:id="54" w:name="_Toc29560"/>
      <w:bookmarkStart w:id="55" w:name="_Toc110953836"/>
      <w:bookmarkStart w:id="56" w:name="_Toc6882677"/>
      <w:bookmarkStart w:id="57" w:name="_Toc6968689"/>
      <w:bookmarkStart w:id="58" w:name="_Toc507407361"/>
      <w:bookmarkStart w:id="59" w:name="_Toc102277758"/>
      <w:bookmarkStart w:id="60" w:name="_Toc466786436"/>
      <w:r>
        <w:rPr>
          <w:rFonts w:hint="eastAsia" w:hAnsi="宋体"/>
          <w:color w:val="auto"/>
          <w:sz w:val="21"/>
          <w:szCs w:val="21"/>
          <w:highlight w:val="none"/>
        </w:rPr>
        <w:t>8.磋商文件构成</w:t>
      </w:r>
      <w:bookmarkEnd w:id="52"/>
      <w:bookmarkEnd w:id="53"/>
      <w:bookmarkEnd w:id="54"/>
      <w:bookmarkEnd w:id="55"/>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8.1磋商文件用以阐明项目情况、评审程序、评审办法、定标标准和合同条款参考范本和响应文件的制作等，由采购邀请函、采购需求、供应商须知、响应文件格式和合同范本构成。</w:t>
      </w:r>
    </w:p>
    <w:p>
      <w:pPr>
        <w:pStyle w:val="4"/>
        <w:adjustRightInd/>
        <w:spacing w:line="360" w:lineRule="auto"/>
        <w:ind w:firstLine="420" w:firstLineChars="200"/>
        <w:rPr>
          <w:rFonts w:hAnsi="宋体"/>
          <w:color w:val="auto"/>
          <w:sz w:val="21"/>
          <w:szCs w:val="21"/>
          <w:highlight w:val="none"/>
        </w:rPr>
      </w:pPr>
      <w:bookmarkStart w:id="61" w:name="_Toc16827"/>
      <w:bookmarkStart w:id="62" w:name="_Toc7897871"/>
      <w:bookmarkStart w:id="63" w:name="_Toc19701"/>
      <w:bookmarkStart w:id="64" w:name="_Toc110953837"/>
      <w:r>
        <w:rPr>
          <w:rFonts w:hint="eastAsia" w:hAnsi="宋体"/>
          <w:color w:val="auto"/>
          <w:sz w:val="21"/>
          <w:szCs w:val="21"/>
          <w:highlight w:val="none"/>
        </w:rPr>
        <w:t>9.磋商文件的修改</w:t>
      </w:r>
      <w:bookmarkEnd w:id="61"/>
      <w:bookmarkEnd w:id="62"/>
      <w:bookmarkEnd w:id="63"/>
      <w:bookmarkEnd w:id="6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9.1供应商应仔细阅读和检查磋商文件的全部内容。如发现缺页或附件不全，应及时向采购代理机构或采购人提出，以便补齐。供应商若对谈磋商文件有任何疑问，应按本邀请书所述限期前以书面形式（包括邮件、信函、传真等可以有形地表现所载内容的形式）向采购代理机构或采购人提出澄清要求，送交地点详见本须知前附表。</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9.2提交首次响应文件截止之日前，采购人、采购代理机构或者磋商小组可以对已发出的磋商文件进行必要的澄清或者修改，澄清或者修改的内容作为磋商文件的组成部分。澄清或者修改的内容可能影响响应文件编制的，将在提交首次响应文件截止时间5日前以公告形式通知潜在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9.3如果修改的时间距响应文件递交截止时间不足5日的，将相应顺延递交首次响应文件截止时间。</w:t>
      </w:r>
    </w:p>
    <w:p>
      <w:pPr>
        <w:pStyle w:val="12"/>
        <w:ind w:firstLine="400"/>
        <w:rPr>
          <w:color w:val="auto"/>
          <w:highlight w:val="none"/>
        </w:rPr>
      </w:pPr>
    </w:p>
    <w:bookmarkEnd w:id="56"/>
    <w:bookmarkEnd w:id="57"/>
    <w:bookmarkEnd w:id="58"/>
    <w:bookmarkEnd w:id="59"/>
    <w:bookmarkEnd w:id="60"/>
    <w:p>
      <w:pPr>
        <w:pStyle w:val="2"/>
        <w:adjustRightInd/>
        <w:spacing w:line="360" w:lineRule="auto"/>
        <w:ind w:firstLine="562" w:firstLineChars="200"/>
        <w:jc w:val="center"/>
        <w:rPr>
          <w:color w:val="auto"/>
          <w:sz w:val="28"/>
          <w:szCs w:val="28"/>
          <w:highlight w:val="none"/>
        </w:rPr>
      </w:pPr>
      <w:bookmarkStart w:id="65" w:name="_Toc15398"/>
      <w:bookmarkStart w:id="66" w:name="_Toc110953838"/>
      <w:bookmarkStart w:id="67" w:name="_Toc7897872"/>
      <w:bookmarkStart w:id="68" w:name="_Toc6968690"/>
      <w:bookmarkStart w:id="69" w:name="_Toc466786437"/>
      <w:bookmarkStart w:id="70" w:name="_Toc102277759"/>
      <w:bookmarkStart w:id="71" w:name="_Toc6882678"/>
      <w:bookmarkStart w:id="72" w:name="_Toc507407362"/>
      <w:r>
        <w:rPr>
          <w:rFonts w:hint="eastAsia"/>
          <w:color w:val="auto"/>
          <w:sz w:val="28"/>
          <w:szCs w:val="28"/>
          <w:highlight w:val="none"/>
        </w:rPr>
        <w:t>三、响应文件的制作</w:t>
      </w:r>
      <w:bookmarkEnd w:id="65"/>
      <w:bookmarkEnd w:id="66"/>
      <w:bookmarkEnd w:id="67"/>
    </w:p>
    <w:p>
      <w:pPr>
        <w:pStyle w:val="4"/>
        <w:adjustRightInd/>
        <w:spacing w:line="360" w:lineRule="auto"/>
        <w:ind w:firstLine="420" w:firstLineChars="200"/>
        <w:rPr>
          <w:rFonts w:hAnsi="宋体"/>
          <w:color w:val="auto"/>
          <w:sz w:val="21"/>
          <w:szCs w:val="21"/>
          <w:highlight w:val="none"/>
        </w:rPr>
      </w:pPr>
      <w:bookmarkStart w:id="73" w:name="_Toc23789"/>
      <w:bookmarkStart w:id="74" w:name="_Toc15756"/>
      <w:bookmarkStart w:id="75" w:name="_Toc110953839"/>
      <w:bookmarkStart w:id="76" w:name="_Toc7897873"/>
      <w:r>
        <w:rPr>
          <w:rFonts w:hint="eastAsia" w:hAnsi="宋体"/>
          <w:color w:val="auto"/>
          <w:sz w:val="21"/>
          <w:szCs w:val="21"/>
          <w:highlight w:val="none"/>
        </w:rPr>
        <w:t>10.制作要求</w:t>
      </w:r>
      <w:bookmarkEnd w:id="73"/>
      <w:bookmarkEnd w:id="74"/>
      <w:bookmarkEnd w:id="75"/>
      <w:bookmarkEnd w:id="76"/>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10.1供应商应当仔细阅读磋商文件的所有内容，按磋商文件的要求提供响应文件，并保证所提供的全部资料的真实性及对磋商文件作出实质性响应。</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10.2供应商应按磋商文件中提供的响应文件格式制作响应文件。如有关表格不能满足填报需要，可以对表格格式作出相应调整，但不得更改表格的实质性内容。</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w:t>
      </w:r>
      <w:r>
        <w:rPr>
          <w:rFonts w:hint="eastAsia" w:hAnsi="宋体"/>
          <w:b/>
          <w:color w:val="auto"/>
          <w:sz w:val="21"/>
          <w:szCs w:val="21"/>
          <w:highlight w:val="none"/>
        </w:rPr>
        <w:t>3供应商应提供正本一份、副本三份、唱标信封一份。</w:t>
      </w:r>
      <w:r>
        <w:rPr>
          <w:rFonts w:hint="eastAsia" w:hAnsi="宋体"/>
          <w:color w:val="auto"/>
          <w:sz w:val="21"/>
          <w:szCs w:val="21"/>
          <w:highlight w:val="none"/>
        </w:rPr>
        <w:t>在每一份响应文件上要明确注明“正本”、“副本”或“唱标信封”字样，一旦正本和副本有差异，以正本为准。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10.4响应文件的正本必须打印，并由供应商的法定代表人或经正式授权对供应商有约束力的委托代理人在响应文件上签字并加盖公章。委托代理人必须出具书面形式的《授权委托书》并附在响应文件中。响应文件的副本可采用正本的复印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10.5除供应商对错处作必要修改外，响应文件中不许有加行、涂改或改写。任何行间插字、涂改和增删，必须由供应商的法定代表人或委托代理人在修改处签字或加盖公章才有效。</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10.6电报、电话、传真、电子邮件形式的响应概不接受。</w:t>
      </w:r>
    </w:p>
    <w:p>
      <w:pPr>
        <w:pStyle w:val="4"/>
        <w:adjustRightInd/>
        <w:spacing w:line="360" w:lineRule="auto"/>
        <w:ind w:firstLine="420" w:firstLineChars="200"/>
        <w:rPr>
          <w:rFonts w:hAnsi="宋体"/>
          <w:color w:val="auto"/>
          <w:sz w:val="21"/>
          <w:szCs w:val="21"/>
          <w:highlight w:val="none"/>
        </w:rPr>
      </w:pPr>
      <w:bookmarkStart w:id="77" w:name="_Toc7897874"/>
      <w:bookmarkStart w:id="78" w:name="_Toc18079"/>
      <w:bookmarkStart w:id="79" w:name="_Toc20552"/>
      <w:bookmarkStart w:id="80" w:name="_Toc110953840"/>
      <w:r>
        <w:rPr>
          <w:rFonts w:hint="eastAsia" w:hAnsi="宋体"/>
          <w:color w:val="auto"/>
          <w:sz w:val="21"/>
          <w:szCs w:val="21"/>
          <w:highlight w:val="none"/>
        </w:rPr>
        <w:t>11.响应文件的内容</w:t>
      </w:r>
      <w:bookmarkEnd w:id="77"/>
      <w:bookmarkEnd w:id="78"/>
      <w:bookmarkEnd w:id="79"/>
      <w:bookmarkEnd w:id="8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11.1响应文件应包括下列部分：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11.1.1价格文件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11.1.2商务、技术文件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11.1.3唱标信封（须独立密封）</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供应商应如实详细提供第11.1款所要求的全部资料，价格部分文件必须单独装订成册，商务、技术和其他证明资料等磋商响应文件不能出现磋商价格。</w:t>
      </w:r>
    </w:p>
    <w:p>
      <w:pPr>
        <w:spacing w:line="360" w:lineRule="auto"/>
        <w:rPr>
          <w:rFonts w:hAnsi="宋体"/>
          <w:color w:val="auto"/>
          <w:sz w:val="21"/>
          <w:szCs w:val="21"/>
          <w:highlight w:val="none"/>
        </w:rPr>
      </w:pPr>
      <w:r>
        <w:rPr>
          <w:rFonts w:hint="eastAsia" w:hAnsi="宋体"/>
          <w:color w:val="auto"/>
          <w:sz w:val="21"/>
          <w:szCs w:val="21"/>
          <w:highlight w:val="none"/>
        </w:rPr>
        <w:t>11.2响应（磋商）报价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（1）响应（磋商）报价应为人民币含税全包价，报价应包含服务及所需的各种税费、售后服务费及合同实施过程中的应预见和不可预见费用等完成合同规定责任和义务、达到合同目的的一切费用。</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（2）磋商报价应包括所有应支付的对专利权和版权、设计或其他知识产权而需要向其他方支付的版税。</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（3）供应商应按响应文件的《报价一览表》格式填写响应内容的单价和总价。</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（4）</w:t>
      </w:r>
      <w:r>
        <w:rPr>
          <w:rFonts w:hint="eastAsia" w:hAnsi="宋体"/>
          <w:b/>
          <w:bCs/>
          <w:color w:val="auto"/>
          <w:sz w:val="21"/>
          <w:szCs w:val="21"/>
          <w:highlight w:val="none"/>
        </w:rPr>
        <w:t>供应商每次报价超过最高限价视为非实质性响应磋商而予以拒绝。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（5）经磋商后，供应商所报的最后磋商报价在合同执行过程中是固定不变的，不得以任何理由予以变更。</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（6）供应商只能就单个项目提供唯一的方案和报价，不接受选择性的方案和报价。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11.3证明供应商合格和资格的文件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11.4供应商应当提交具备履行合同的证明文件。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11.5证明文件包括：履行合同所必须具备的财务能力证明、技术能力证明，符合磋商文件资格要求的证明等。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11.6证明服务的合格性和符合磋商文件规定的文件。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11.7供应商应提交其拟供的合同项下的服务的合格性符合磋商文件规定的证明文件，并作为其响应文件的一部分。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11.8服务合格性的证明文件应包括服务来源地的说明，服务与磋商文件的要求相一致的证明文件，其他说明所提供服务已对技术要求做出了实质性响应的文件或说明与技术规格条文的偏差和例外等，形式可以是文字说明、图纸及其他资料。</w:t>
      </w:r>
    </w:p>
    <w:p>
      <w:pPr>
        <w:pStyle w:val="4"/>
        <w:adjustRightInd/>
        <w:spacing w:line="360" w:lineRule="auto"/>
        <w:ind w:firstLine="420" w:firstLineChars="200"/>
        <w:rPr>
          <w:rFonts w:hAnsi="宋体"/>
          <w:color w:val="auto"/>
          <w:sz w:val="21"/>
          <w:szCs w:val="21"/>
          <w:highlight w:val="none"/>
        </w:rPr>
      </w:pPr>
      <w:bookmarkStart w:id="81" w:name="_Toc7897875"/>
      <w:bookmarkStart w:id="82" w:name="_Toc9150"/>
      <w:bookmarkStart w:id="83" w:name="_Toc21763"/>
      <w:bookmarkStart w:id="84" w:name="_Toc110953841"/>
      <w:r>
        <w:rPr>
          <w:rFonts w:hint="eastAsia" w:hAnsi="宋体"/>
          <w:color w:val="auto"/>
          <w:sz w:val="21"/>
          <w:szCs w:val="21"/>
          <w:highlight w:val="none"/>
        </w:rPr>
        <w:t>12.响应文件格式</w:t>
      </w:r>
      <w:bookmarkEnd w:id="81"/>
      <w:bookmarkEnd w:id="82"/>
      <w:bookmarkEnd w:id="83"/>
      <w:bookmarkEnd w:id="8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12.1供应商应将响应文件装订成册，并填写“响应文件目录”。上述文件及表格为供应商必须提交的文件，各供应商可以根据实际情况增加内容，但不得擅自减少有关内容。响应文件的完整性是评审的内容之一。</w:t>
      </w:r>
    </w:p>
    <w:p>
      <w:pPr>
        <w:pStyle w:val="4"/>
        <w:adjustRightInd/>
        <w:spacing w:line="360" w:lineRule="auto"/>
        <w:ind w:firstLine="420" w:firstLineChars="200"/>
        <w:rPr>
          <w:rFonts w:hAnsi="宋体"/>
          <w:color w:val="auto"/>
          <w:sz w:val="21"/>
          <w:szCs w:val="21"/>
          <w:highlight w:val="none"/>
        </w:rPr>
      </w:pPr>
      <w:bookmarkStart w:id="85" w:name="_Toc185150707"/>
      <w:bookmarkStart w:id="86" w:name="_Toc30889"/>
      <w:bookmarkStart w:id="87" w:name="_Toc24570"/>
      <w:bookmarkStart w:id="88" w:name="_Toc7897876"/>
      <w:r>
        <w:rPr>
          <w:rFonts w:hint="eastAsia" w:hAnsi="宋体"/>
          <w:color w:val="auto"/>
          <w:sz w:val="21"/>
          <w:szCs w:val="21"/>
          <w:highlight w:val="none"/>
        </w:rPr>
        <w:t>13.</w:t>
      </w:r>
      <w:bookmarkEnd w:id="85"/>
      <w:r>
        <w:rPr>
          <w:rFonts w:hint="eastAsia" w:hAnsi="宋体"/>
          <w:color w:val="auto"/>
          <w:sz w:val="21"/>
          <w:szCs w:val="21"/>
          <w:highlight w:val="none"/>
        </w:rPr>
        <w:t>磋商保证金</w:t>
      </w:r>
      <w:bookmarkEnd w:id="86"/>
      <w:bookmarkEnd w:id="87"/>
      <w:bookmarkEnd w:id="88"/>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13.1供应商应向采购代理机构提交磋商保证金，并作为其响应文件的一部分。磋商保证金的金额：</w:t>
      </w:r>
    </w:p>
    <w:tbl>
      <w:tblPr>
        <w:tblStyle w:val="51"/>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7"/>
        <w:gridCol w:w="3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exact"/>
          <w:jc w:val="center"/>
        </w:trPr>
        <w:tc>
          <w:tcPr>
            <w:tcW w:w="5347" w:type="dxa"/>
            <w:shd w:val="clear" w:color="auto" w:fill="E0E0E0"/>
            <w:vAlign w:val="center"/>
          </w:tcPr>
          <w:p>
            <w:pPr>
              <w:snapToGrid w:val="0"/>
              <w:jc w:val="center"/>
              <w:rPr>
                <w:rFonts w:hAnsi="宋体"/>
                <w:b/>
                <w:color w:val="auto"/>
                <w:sz w:val="21"/>
                <w:szCs w:val="21"/>
                <w:highlight w:val="none"/>
              </w:rPr>
            </w:pPr>
            <w:r>
              <w:rPr>
                <w:rFonts w:hint="eastAsia" w:hAnsi="宋体"/>
                <w:b/>
                <w:color w:val="auto"/>
                <w:sz w:val="21"/>
                <w:szCs w:val="21"/>
                <w:highlight w:val="none"/>
              </w:rPr>
              <w:t>内容</w:t>
            </w:r>
          </w:p>
        </w:tc>
        <w:tc>
          <w:tcPr>
            <w:tcW w:w="3461" w:type="dxa"/>
            <w:shd w:val="clear" w:color="auto" w:fill="E0E0E0"/>
            <w:vAlign w:val="center"/>
          </w:tcPr>
          <w:p>
            <w:pPr>
              <w:snapToGrid w:val="0"/>
              <w:jc w:val="center"/>
              <w:rPr>
                <w:rFonts w:hAnsi="宋体"/>
                <w:b/>
                <w:color w:val="auto"/>
                <w:sz w:val="21"/>
                <w:szCs w:val="21"/>
                <w:highlight w:val="none"/>
              </w:rPr>
            </w:pPr>
            <w:r>
              <w:rPr>
                <w:rFonts w:hint="eastAsia" w:hAnsi="宋体"/>
                <w:b/>
                <w:color w:val="auto"/>
                <w:sz w:val="21"/>
                <w:szCs w:val="21"/>
                <w:highlight w:val="none"/>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47" w:type="dxa"/>
            <w:vAlign w:val="center"/>
          </w:tcPr>
          <w:p>
            <w:pPr>
              <w:widowControl/>
              <w:jc w:val="center"/>
              <w:rPr>
                <w:rFonts w:hAnsi="宋体"/>
                <w:color w:val="auto"/>
                <w:sz w:val="21"/>
                <w:szCs w:val="21"/>
                <w:highlight w:val="none"/>
              </w:rPr>
            </w:pPr>
            <w:r>
              <w:rPr>
                <w:rFonts w:hint="eastAsia" w:hAnsi="宋体"/>
                <w:color w:val="auto"/>
                <w:sz w:val="21"/>
                <w:szCs w:val="21"/>
                <w:highlight w:val="none"/>
              </w:rPr>
              <w:t>东莞市湾区国际制造中心总部2台630kVA箱变安装工程</w:t>
            </w:r>
          </w:p>
        </w:tc>
        <w:tc>
          <w:tcPr>
            <w:tcW w:w="3461" w:type="dxa"/>
            <w:vAlign w:val="center"/>
          </w:tcPr>
          <w:p>
            <w:pPr>
              <w:widowControl/>
              <w:jc w:val="center"/>
              <w:rPr>
                <w:rFonts w:hAnsi="宋体"/>
                <w:color w:val="auto"/>
                <w:sz w:val="21"/>
                <w:szCs w:val="21"/>
                <w:highlight w:val="none"/>
              </w:rPr>
            </w:pPr>
            <w:r>
              <w:rPr>
                <w:rFonts w:hint="eastAsia" w:hAnsi="宋体"/>
                <w:color w:val="auto"/>
                <w:sz w:val="21"/>
                <w:szCs w:val="21"/>
                <w:highlight w:val="none"/>
              </w:rPr>
              <w:t xml:space="preserve">   贰万元整（¥</w:t>
            </w:r>
            <w:r>
              <w:rPr>
                <w:rFonts w:hAnsi="宋体"/>
                <w:color w:val="auto"/>
                <w:sz w:val="21"/>
                <w:szCs w:val="21"/>
                <w:highlight w:val="none"/>
              </w:rPr>
              <w:t>20</w:t>
            </w:r>
            <w:r>
              <w:rPr>
                <w:rFonts w:hint="eastAsia" w:hAnsi="宋体"/>
                <w:color w:val="auto"/>
                <w:sz w:val="21"/>
                <w:szCs w:val="21"/>
                <w:highlight w:val="none"/>
              </w:rPr>
              <w:t>,000.00元）</w:t>
            </w:r>
          </w:p>
        </w:tc>
      </w:tr>
    </w:tbl>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13.2供应商应按要求提交磋商保证金，供应商必须采用银行转账的形式缴交，磋商供应商与交款人名称必须一致，非磋商供应商缴纳的磋商保证金无效。</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 xml:space="preserve">13.3磋商保证金以银行划账形式提交，应符合下列规定： </w:t>
      </w:r>
    </w:p>
    <w:p>
      <w:pPr>
        <w:tabs>
          <w:tab w:val="left" w:pos="567"/>
        </w:tabs>
        <w:spacing w:line="360" w:lineRule="auto"/>
        <w:ind w:firstLine="420" w:firstLineChars="200"/>
        <w:jc w:val="both"/>
        <w:rPr>
          <w:rFonts w:hAnsi="宋体"/>
          <w:b/>
          <w:bCs/>
          <w:color w:val="auto"/>
          <w:kern w:val="2"/>
          <w:sz w:val="21"/>
          <w:szCs w:val="21"/>
          <w:highlight w:val="none"/>
          <w:lang w:val="zh-CN"/>
        </w:rPr>
      </w:pPr>
      <w:r>
        <w:rPr>
          <w:rFonts w:hint="eastAsia" w:hAnsi="宋体"/>
          <w:color w:val="auto"/>
          <w:kern w:val="2"/>
          <w:sz w:val="21"/>
          <w:szCs w:val="21"/>
          <w:highlight w:val="none"/>
          <w:lang w:val="zh-CN"/>
        </w:rPr>
        <w:t>磋商保证金采用转帐、电汇方式或银行保函方式提交，应符合以下要求：</w:t>
      </w:r>
      <w:r>
        <w:rPr>
          <w:rFonts w:hint="eastAsia" w:hAnsi="宋体"/>
          <w:b/>
          <w:bCs/>
          <w:color w:val="auto"/>
          <w:kern w:val="2"/>
          <w:sz w:val="21"/>
          <w:szCs w:val="21"/>
          <w:highlight w:val="none"/>
          <w:lang w:val="zh-CN"/>
        </w:rPr>
        <w:t>采用银行转账、电汇方式提交的，保证金汇入以下磋商保证金专用账户，不接收由以供应商分支机构、私人帐户和其他单位转入的保证金。</w:t>
      </w:r>
      <w:r>
        <w:rPr>
          <w:rFonts w:hint="eastAsia" w:hAnsi="宋体"/>
          <w:color w:val="auto"/>
          <w:kern w:val="2"/>
          <w:sz w:val="21"/>
          <w:szCs w:val="21"/>
          <w:highlight w:val="none"/>
          <w:lang w:val="zh-CN"/>
        </w:rPr>
        <w:t>磋商保证金必须在磋商文件递交截止前到账，磋商保证金未按规定时间到达指定账户或提交金额不足的，将被视为无效磋商。且在备注或用途中注明本项目的采购编号。</w:t>
      </w:r>
      <w:r>
        <w:rPr>
          <w:rFonts w:hint="eastAsia" w:hAnsi="宋体"/>
          <w:b/>
          <w:bCs/>
          <w:color w:val="auto"/>
          <w:kern w:val="2"/>
          <w:sz w:val="21"/>
          <w:szCs w:val="21"/>
          <w:highlight w:val="none"/>
          <w:lang w:val="zh-CN"/>
        </w:rPr>
        <w:t>采用银行保函方式递交的，请将保函原件于开标当天磋商截止时间前递交至采购代理机构。</w:t>
      </w:r>
    </w:p>
    <w:p>
      <w:pPr>
        <w:tabs>
          <w:tab w:val="left" w:pos="567"/>
        </w:tabs>
        <w:spacing w:line="360" w:lineRule="auto"/>
        <w:ind w:left="567" w:hanging="567"/>
        <w:jc w:val="both"/>
        <w:rPr>
          <w:rFonts w:hAnsi="宋体"/>
          <w:color w:val="auto"/>
          <w:kern w:val="2"/>
          <w:sz w:val="21"/>
          <w:szCs w:val="21"/>
          <w:highlight w:val="none"/>
          <w:lang w:val="zh-CN"/>
        </w:rPr>
      </w:pPr>
      <w:r>
        <w:rPr>
          <w:rFonts w:hint="eastAsia" w:hAnsi="宋体"/>
          <w:color w:val="auto"/>
          <w:kern w:val="2"/>
          <w:sz w:val="21"/>
          <w:szCs w:val="21"/>
          <w:highlight w:val="none"/>
          <w:lang w:val="zh-CN"/>
        </w:rPr>
        <w:t>磋商保证金专用账户如下：</w:t>
      </w:r>
    </w:p>
    <w:p>
      <w:pPr>
        <w:autoSpaceDE/>
        <w:autoSpaceDN/>
        <w:adjustRightInd/>
        <w:spacing w:line="360" w:lineRule="auto"/>
        <w:ind w:firstLine="422" w:firstLineChars="200"/>
        <w:jc w:val="both"/>
        <w:rPr>
          <w:rFonts w:hint="eastAsia" w:hAnsi="宋体" w:eastAsia="宋体"/>
          <w:b/>
          <w:color w:val="auto"/>
          <w:sz w:val="21"/>
          <w:szCs w:val="21"/>
          <w:highlight w:val="none"/>
          <w:lang w:eastAsia="zh-CN"/>
        </w:rPr>
      </w:pPr>
      <w:r>
        <w:rPr>
          <w:rFonts w:hint="eastAsia" w:hAnsi="宋体"/>
          <w:b/>
          <w:color w:val="auto"/>
          <w:sz w:val="21"/>
          <w:szCs w:val="21"/>
          <w:highlight w:val="none"/>
        </w:rPr>
        <w:t>账户名称：</w:t>
      </w:r>
      <w:r>
        <w:rPr>
          <w:rFonts w:hint="eastAsia" w:hAnsi="宋体"/>
          <w:b/>
          <w:color w:val="auto"/>
          <w:sz w:val="21"/>
          <w:szCs w:val="21"/>
          <w:highlight w:val="none"/>
          <w:lang w:eastAsia="zh-CN"/>
        </w:rPr>
        <w:t>广东泰通伟业工程咨询有限公司</w:t>
      </w:r>
    </w:p>
    <w:p>
      <w:pPr>
        <w:autoSpaceDE/>
        <w:autoSpaceDN/>
        <w:adjustRightInd/>
        <w:spacing w:line="360" w:lineRule="auto"/>
        <w:ind w:firstLine="422" w:firstLineChars="200"/>
        <w:jc w:val="both"/>
        <w:rPr>
          <w:rFonts w:hAnsi="宋体"/>
          <w:b/>
          <w:color w:val="auto"/>
          <w:sz w:val="21"/>
          <w:szCs w:val="21"/>
          <w:highlight w:val="none"/>
        </w:rPr>
      </w:pPr>
      <w:r>
        <w:rPr>
          <w:rFonts w:hint="eastAsia" w:hAnsi="宋体"/>
          <w:b/>
          <w:color w:val="auto"/>
          <w:sz w:val="21"/>
          <w:szCs w:val="21"/>
          <w:highlight w:val="none"/>
        </w:rPr>
        <w:t>账号：6232590699050039476</w:t>
      </w:r>
    </w:p>
    <w:p>
      <w:pPr>
        <w:spacing w:line="360" w:lineRule="auto"/>
        <w:ind w:firstLine="422" w:firstLineChars="200"/>
        <w:jc w:val="both"/>
        <w:rPr>
          <w:rFonts w:hAnsi="宋体"/>
          <w:b/>
          <w:color w:val="auto"/>
          <w:sz w:val="21"/>
          <w:szCs w:val="21"/>
          <w:highlight w:val="none"/>
        </w:rPr>
      </w:pPr>
      <w:r>
        <w:rPr>
          <w:rFonts w:hint="eastAsia" w:hAnsi="宋体"/>
          <w:b/>
          <w:color w:val="auto"/>
          <w:sz w:val="21"/>
          <w:szCs w:val="21"/>
          <w:highlight w:val="none"/>
        </w:rPr>
        <w:t>开户行：广发银行股份有限公司东莞东翔支行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供应商必须保证资金以其供应商的名称（以分公司或子公司汇款无效）在本项目磋商响应文件截止前汇入到保证金专用账户（以银行到帐为准），可采用银行转帐方式提交，但不可以采用现金方式（包括以存现方式）提交，未按要求提交磋商保证金的将导致废标。</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13.4供应商应将汇款底单复印件附在《磋商保证金汇入情况说明》中。并将《磋商保证金汇入情况说明》连同开标一览表一起密封在单独的唱标信封内。磋商保证金的汇入单位名称须与磋商供应商名称一致，不接受以分支机构名义或个人账户代替供应商进行汇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13.5凡没有根据规定递交磋商保证金的，应视为非响应性磋商予以拒绝。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13.6未成交供应商的磋商保证金自成交通知书发出后5个工作日内退还（不计利息）；成交供应商的磋商保证金，将在其签署合同后，采购代理机构在5个工作日内退还（不计利息）。逾期办理的，采购人不承担迟延退款责任。</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13.7下列任何情况发生时，磋商保证金将被没收：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13.7.1供应商在磋商文件中规定的磋商有效期内撤回其磋商；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13.7.2供应商串通磋商或者以其他弄虚作假方式磋商；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13.7.3成交供应商在规定期限内未能按规定签订合同；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13.7.4法律法规规定和磋商文件中规定的其它情况。</w:t>
      </w:r>
    </w:p>
    <w:p>
      <w:pPr>
        <w:pStyle w:val="4"/>
        <w:adjustRightInd/>
        <w:spacing w:line="360" w:lineRule="auto"/>
        <w:ind w:firstLine="420" w:firstLineChars="200"/>
        <w:rPr>
          <w:rFonts w:hAnsi="宋体"/>
          <w:color w:val="auto"/>
          <w:sz w:val="21"/>
          <w:szCs w:val="21"/>
          <w:highlight w:val="none"/>
        </w:rPr>
      </w:pPr>
      <w:bookmarkStart w:id="89" w:name="_Toc110953842"/>
      <w:bookmarkStart w:id="90" w:name="_Toc480020258"/>
      <w:bookmarkStart w:id="91" w:name="_Toc2525"/>
      <w:bookmarkStart w:id="92" w:name="_Toc468606030"/>
      <w:bookmarkStart w:id="93" w:name="_Toc503758471"/>
      <w:bookmarkStart w:id="94" w:name="_Toc480021054"/>
      <w:bookmarkStart w:id="95" w:name="_Toc32304"/>
      <w:bookmarkStart w:id="96" w:name="_Toc479991583"/>
      <w:bookmarkStart w:id="97" w:name="_Toc480010709"/>
      <w:bookmarkStart w:id="98" w:name="_Toc7897877"/>
      <w:bookmarkStart w:id="99" w:name="_Toc467987824"/>
      <w:bookmarkStart w:id="100" w:name="_Toc467236741"/>
      <w:bookmarkStart w:id="101" w:name="_Toc468157537"/>
      <w:bookmarkStart w:id="102" w:name="_Toc458262615"/>
      <w:bookmarkStart w:id="103" w:name="_Toc454701382"/>
      <w:bookmarkStart w:id="104" w:name="_Toc480171880"/>
      <w:r>
        <w:rPr>
          <w:rFonts w:hint="eastAsia" w:hAnsi="宋体"/>
          <w:color w:val="auto"/>
          <w:sz w:val="21"/>
          <w:szCs w:val="21"/>
          <w:highlight w:val="none"/>
        </w:rPr>
        <w:t>14.响应有效期</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14.1响应文件从开启响应文件之日起，响应有效期为90个日历日。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14.2特殊情况下，采购代理机构可于响应有效期期满之前，要求供应商同意延长响应有效期，要求与答复均应为书面形式。对于同意该要求的供应商，既不要求也不允许其修改响应文件。</w:t>
      </w:r>
    </w:p>
    <w:p>
      <w:pPr>
        <w:pStyle w:val="12"/>
        <w:ind w:firstLine="400"/>
        <w:rPr>
          <w:color w:val="auto"/>
          <w:highlight w:val="none"/>
        </w:rPr>
      </w:pPr>
    </w:p>
    <w:bookmarkEnd w:id="68"/>
    <w:bookmarkEnd w:id="69"/>
    <w:bookmarkEnd w:id="70"/>
    <w:bookmarkEnd w:id="71"/>
    <w:bookmarkEnd w:id="72"/>
    <w:p>
      <w:pPr>
        <w:pStyle w:val="2"/>
        <w:adjustRightInd/>
        <w:spacing w:line="360" w:lineRule="auto"/>
        <w:ind w:firstLine="562" w:firstLineChars="200"/>
        <w:jc w:val="center"/>
        <w:rPr>
          <w:color w:val="auto"/>
          <w:sz w:val="28"/>
          <w:szCs w:val="28"/>
          <w:highlight w:val="none"/>
        </w:rPr>
      </w:pPr>
      <w:bookmarkStart w:id="105" w:name="_Toc7897878"/>
      <w:bookmarkStart w:id="106" w:name="_Toc110953843"/>
      <w:bookmarkStart w:id="107" w:name="_Toc17761"/>
      <w:bookmarkStart w:id="108" w:name="_Toc102277760"/>
      <w:bookmarkStart w:id="109" w:name="_Toc466786438"/>
      <w:bookmarkStart w:id="110" w:name="_Toc6968691"/>
      <w:bookmarkStart w:id="111" w:name="_Toc507407363"/>
      <w:bookmarkStart w:id="112" w:name="_Toc6882679"/>
      <w:r>
        <w:rPr>
          <w:rFonts w:hint="eastAsia"/>
          <w:color w:val="auto"/>
          <w:sz w:val="28"/>
          <w:szCs w:val="28"/>
          <w:highlight w:val="none"/>
        </w:rPr>
        <w:t>四、响应文件的递交</w:t>
      </w:r>
      <w:bookmarkEnd w:id="105"/>
      <w:bookmarkEnd w:id="106"/>
      <w:bookmarkEnd w:id="107"/>
    </w:p>
    <w:p>
      <w:pPr>
        <w:pStyle w:val="4"/>
        <w:adjustRightInd/>
        <w:spacing w:line="360" w:lineRule="auto"/>
        <w:ind w:firstLine="420" w:firstLineChars="200"/>
        <w:rPr>
          <w:rFonts w:hAnsi="宋体"/>
          <w:color w:val="auto"/>
          <w:sz w:val="21"/>
          <w:szCs w:val="21"/>
          <w:highlight w:val="none"/>
        </w:rPr>
      </w:pPr>
      <w:bookmarkStart w:id="113" w:name="_Toc110953844"/>
      <w:bookmarkStart w:id="114" w:name="_Toc2684"/>
      <w:bookmarkStart w:id="115" w:name="_Toc11500"/>
      <w:bookmarkStart w:id="116" w:name="_Toc7897879"/>
      <w:r>
        <w:rPr>
          <w:rFonts w:hint="eastAsia" w:hAnsi="宋体"/>
          <w:color w:val="auto"/>
          <w:sz w:val="21"/>
          <w:szCs w:val="21"/>
          <w:highlight w:val="none"/>
        </w:rPr>
        <w:t>15.响应文件的密封和标记</w:t>
      </w:r>
      <w:bookmarkEnd w:id="113"/>
      <w:bookmarkEnd w:id="114"/>
      <w:bookmarkEnd w:id="115"/>
      <w:bookmarkEnd w:id="116"/>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15.1供应商应将响应文件正本和副本用信封分别密封，并标明供应商的名称、采购编号及“正本”或“副本”字样。</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15.2唱标信封应单独密封，与磋商响应文件一同提交。</w:t>
      </w:r>
    </w:p>
    <w:p>
      <w:pPr>
        <w:tabs>
          <w:tab w:val="left" w:pos="567"/>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15.3在磋商响应文件密封袋上均应标明以下内容：</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① 收 件 人：；</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② 项目名称：；</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③ 采购编号：；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④        年   月   日   时   分开标，此时间以前不得开封；</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⑤ 标明供应商名称、地址、联系人和电话以及文件的种类（如价格文件、商务技术文件、唱标信封等）。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15.4供应商应按上述规定进行密封和标记后，将响应文件按照磋商文件中规定的时间和地址送至采购代理机构。</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15.5未按上述规定进行密封、标记和递交的，采购代理机构对响应文件的不依时间递交、误投、破损、封装不合格或提前拆封不负责。</w:t>
      </w:r>
    </w:p>
    <w:p>
      <w:pPr>
        <w:pStyle w:val="4"/>
        <w:adjustRightInd/>
        <w:spacing w:line="360" w:lineRule="auto"/>
        <w:ind w:firstLine="420" w:firstLineChars="200"/>
        <w:rPr>
          <w:rFonts w:hAnsi="宋体"/>
          <w:color w:val="auto"/>
          <w:sz w:val="21"/>
          <w:szCs w:val="21"/>
          <w:highlight w:val="none"/>
        </w:rPr>
      </w:pPr>
      <w:bookmarkStart w:id="117" w:name="_Toc7897880"/>
      <w:bookmarkStart w:id="118" w:name="_Toc10017"/>
      <w:bookmarkStart w:id="119" w:name="_Toc12710"/>
      <w:bookmarkStart w:id="120" w:name="_Toc110953845"/>
      <w:r>
        <w:rPr>
          <w:rFonts w:hint="eastAsia" w:hAnsi="宋体"/>
          <w:color w:val="auto"/>
          <w:sz w:val="21"/>
          <w:szCs w:val="21"/>
          <w:highlight w:val="none"/>
        </w:rPr>
        <w:t>16.响应文件的递交</w:t>
      </w:r>
      <w:bookmarkEnd w:id="117"/>
      <w:bookmarkEnd w:id="118"/>
      <w:bookmarkEnd w:id="119"/>
      <w:bookmarkEnd w:id="12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16.1所有响应文件都必须在响应截止时间之前送至采购代理机构。</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16.2采购代理机构拒绝接受以下文件：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（1）提前递交的文件，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（2）在响应截止时间后递交的响应文件，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（3）未按规定包装和密封的响应文件。</w:t>
      </w:r>
    </w:p>
    <w:p>
      <w:pPr>
        <w:spacing w:line="360" w:lineRule="auto"/>
        <w:ind w:firstLine="420" w:firstLineChars="200"/>
        <w:rPr>
          <w:rFonts w:hAnsi="宋体"/>
          <w:b/>
          <w:bCs/>
          <w:color w:val="auto"/>
          <w:sz w:val="21"/>
          <w:szCs w:val="21"/>
          <w:highlight w:val="none"/>
          <w:lang w:val="zh-CN"/>
        </w:rPr>
      </w:pPr>
      <w:r>
        <w:rPr>
          <w:rFonts w:hint="eastAsia" w:hAnsi="宋体"/>
          <w:color w:val="auto"/>
          <w:sz w:val="21"/>
          <w:szCs w:val="21"/>
          <w:highlight w:val="none"/>
        </w:rPr>
        <w:t>16.3响应文件的修改与撤回</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（1）供应商在递交响应文件后到响应截止时间之前，可以补充、修改或撤回其响应文件，但供应商必须以书面形式通知采购代理机构。补充、修改的内容与响应文件不一致的，以补偿、修改的内容为准。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（2）除法律法规允许的情况外，在响应截止时间之后至响应有效期之间的这段时间内，供应商不得对其响应文件做任何修改，亦不得撤回其响应，否则磋商保证金将不予退还。</w:t>
      </w:r>
    </w:p>
    <w:p>
      <w:pPr>
        <w:spacing w:line="360" w:lineRule="auto"/>
        <w:ind w:firstLine="420" w:firstLineChars="200"/>
        <w:rPr>
          <w:rFonts w:hAnsi="宋体"/>
          <w:color w:val="auto"/>
          <w:sz w:val="21"/>
          <w:szCs w:val="21"/>
          <w:highlight w:val="none"/>
        </w:rPr>
      </w:pPr>
    </w:p>
    <w:p>
      <w:pPr>
        <w:bidi w:val="0"/>
        <w:rPr>
          <w:rFonts w:hint="eastAsia"/>
          <w:color w:val="auto"/>
          <w:highlight w:val="none"/>
        </w:rPr>
      </w:pPr>
      <w:bookmarkStart w:id="121" w:name="_Toc22874"/>
      <w:bookmarkStart w:id="122" w:name="_Toc7897881"/>
    </w:p>
    <w:p>
      <w:pPr>
        <w:pStyle w:val="2"/>
        <w:adjustRightInd/>
        <w:spacing w:line="360" w:lineRule="auto"/>
        <w:ind w:firstLine="562" w:firstLineChars="200"/>
        <w:jc w:val="center"/>
        <w:rPr>
          <w:color w:val="auto"/>
          <w:sz w:val="28"/>
          <w:szCs w:val="28"/>
          <w:highlight w:val="none"/>
        </w:rPr>
      </w:pPr>
      <w:r>
        <w:rPr>
          <w:rFonts w:hint="eastAsia"/>
          <w:color w:val="auto"/>
          <w:sz w:val="28"/>
          <w:szCs w:val="28"/>
          <w:highlight w:val="none"/>
        </w:rPr>
        <w:t>五、采购仪式和</w:t>
      </w:r>
      <w:bookmarkEnd w:id="108"/>
      <w:bookmarkEnd w:id="109"/>
      <w:bookmarkEnd w:id="110"/>
      <w:bookmarkEnd w:id="111"/>
      <w:bookmarkEnd w:id="112"/>
      <w:r>
        <w:rPr>
          <w:rFonts w:hint="eastAsia"/>
          <w:color w:val="auto"/>
          <w:sz w:val="28"/>
          <w:szCs w:val="28"/>
          <w:highlight w:val="none"/>
        </w:rPr>
        <w:t>评审会议</w:t>
      </w:r>
      <w:bookmarkEnd w:id="121"/>
      <w:bookmarkEnd w:id="122"/>
    </w:p>
    <w:p>
      <w:pPr>
        <w:pStyle w:val="4"/>
        <w:adjustRightInd/>
        <w:spacing w:line="360" w:lineRule="auto"/>
        <w:ind w:firstLine="422" w:firstLineChars="200"/>
        <w:rPr>
          <w:rFonts w:hAnsi="宋体"/>
          <w:b/>
          <w:color w:val="auto"/>
          <w:sz w:val="21"/>
          <w:szCs w:val="21"/>
          <w:highlight w:val="none"/>
        </w:rPr>
      </w:pPr>
      <w:bookmarkStart w:id="123" w:name="_Toc475249134"/>
      <w:r>
        <w:rPr>
          <w:rFonts w:hint="eastAsia" w:hAnsi="宋体"/>
          <w:b/>
          <w:color w:val="auto"/>
          <w:sz w:val="21"/>
          <w:szCs w:val="21"/>
          <w:highlight w:val="none"/>
        </w:rPr>
        <w:t>17.</w:t>
      </w:r>
      <w:bookmarkEnd w:id="123"/>
      <w:r>
        <w:rPr>
          <w:rFonts w:hint="eastAsia" w:hAnsi="宋体"/>
          <w:b/>
          <w:color w:val="auto"/>
          <w:sz w:val="21"/>
          <w:szCs w:val="21"/>
          <w:highlight w:val="none"/>
        </w:rPr>
        <w:t>开启响应文件</w:t>
      </w:r>
    </w:p>
    <w:p>
      <w:pPr>
        <w:spacing w:line="360" w:lineRule="auto"/>
        <w:ind w:firstLine="420" w:firstLineChars="200"/>
        <w:rPr>
          <w:rFonts w:hAnsi="宋体"/>
          <w:color w:val="auto"/>
          <w:sz w:val="21"/>
          <w:szCs w:val="21"/>
          <w:highlight w:val="none"/>
        </w:rPr>
      </w:pPr>
      <w:bookmarkStart w:id="124" w:name="_Toc475249135"/>
      <w:bookmarkStart w:id="125" w:name="_Toc475249138"/>
      <w:r>
        <w:rPr>
          <w:rFonts w:hint="eastAsia" w:hAnsi="宋体"/>
          <w:color w:val="auto"/>
          <w:sz w:val="21"/>
          <w:szCs w:val="21"/>
          <w:highlight w:val="none"/>
        </w:rPr>
        <w:t>17.1采购代理机构在《磋商邀请书》规定的日期、时间和地点在有供应商代表在场的场合组织采购仪式，参加采购仪式的代表应签名报到以证明其出席。</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17.2开启采购文件前，采购人、采购代理机构和供应商将检查响应文件的密封情况。在确认密封完好后，进行拆封唱标。唱标主要内容为响应文件正本中《报价一览表》的内容以及采购代理机构认为合适的其他内容，并做唱标记录。</w:t>
      </w:r>
    </w:p>
    <w:p>
      <w:pPr>
        <w:pStyle w:val="4"/>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18.磋商小组</w:t>
      </w:r>
      <w:bookmarkEnd w:id="12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18.1采购代理机构将根据项目特点组建磋商小组，磋商小组由采购人代表和评审专家共3人以上单数组成，其中评审专家人数不得少于磋商小组成员总数的2/3。</w:t>
      </w:r>
    </w:p>
    <w:p>
      <w:pPr>
        <w:pStyle w:val="4"/>
        <w:adjustRightInd/>
        <w:spacing w:line="360" w:lineRule="auto"/>
        <w:ind w:firstLine="422" w:firstLineChars="200"/>
        <w:rPr>
          <w:rFonts w:hAnsi="宋体"/>
          <w:b/>
          <w:color w:val="auto"/>
          <w:sz w:val="21"/>
          <w:szCs w:val="21"/>
          <w:highlight w:val="none"/>
        </w:rPr>
      </w:pPr>
      <w:bookmarkStart w:id="126" w:name="_Toc535141844"/>
      <w:bookmarkStart w:id="127" w:name="_Toc37121259"/>
      <w:r>
        <w:rPr>
          <w:rFonts w:hint="eastAsia" w:hAnsi="宋体"/>
          <w:b/>
          <w:color w:val="auto"/>
          <w:sz w:val="21"/>
          <w:szCs w:val="21"/>
          <w:highlight w:val="none"/>
        </w:rPr>
        <w:t>19.对响应文件的初审</w:t>
      </w:r>
      <w:bookmarkEnd w:id="126"/>
      <w:bookmarkEnd w:id="127"/>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19.1开启响应文件后，采购代理机构将组织磋商小组对响应文件进行初审，初审包括资格性审查和符合性审查。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19.2资格性审查是指依据法律规定和磋商文件的规定，对响应文件中的资格证明等进行审查，确定供应商是否具备响应资格。</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19.3符合性审查是指依据磋商文件的规定，从响应文件的有效性、完整性和对磋商文件的响应程度进行审查，以确定是否对磋商文件的实质性要求作出响应，包括审查响应文件是否完整，有否计算错误，文件签署是否合格，响应书的编排是否有序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19.4在对响应文件进行详细评估之前，磋商小组将审查每份响应文件是否实质上响应了磋商文件的要求。实质性响应的响应应该是与磋商文件要求的全部条款、条件和规格相符，没有重大偏离的响应。对关键条文的偏离、保留或反对，例如关于适用法律、税及关税等的偏离将被认为是实质上的偏离，而纠正这些偏离将影响到其他提交实质性响应响应的供应商的公平竞争地位。</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19.5磋商小组确定响应文件的响应性，只根据响应文件本身的内容，而不寻找外部的证据。</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19.6实质上没有响应磋商文件要求的响应文件将被拒绝。供应商不得通过修正或撤销不合要求的偏离或保留从而使其响应成为实质上的响应。</w:t>
      </w:r>
    </w:p>
    <w:p>
      <w:pPr>
        <w:pStyle w:val="4"/>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20.对响应文件的澄清</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20.1磋商小组在对响应文件的有效性、完整性和响应程度进行审查时，可以要求供应商对响应文件中含义不明确、同类问题表述不一致或者有明显文字和计算错误的内容等作出必要的澄清、说明或者更正。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磋商小组不接受响应人主动提出的澄清、说明或更正。</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20.2响应文件内容表述不一致按照以下方法处理：响应文件中报价一览表内容与响应文件明细表内容不一致的，以报价一览表为准；响应文件的大写金额和小写金额不一致的，以大写金额为准；总价金额与按单价汇总金额不一致的，以单价金额计算结果为准；单价金额小数点有明显错位的，应以单价为准，并修改总价；对不同文字文本响应文件的解释发生异议的，应以中文文本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20.3供应商的法定代表人或委托代理人应当按照采购代理机构通知的时间和地点接受询问，对响应文件中含义不明确的内容作必要的澄清、说明或者纠正。</w:t>
      </w:r>
    </w:p>
    <w:p>
      <w:pPr>
        <w:pStyle w:val="4"/>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21.开展磋商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21.1主持人宣布评审纪律，磋商小组所有成员及相关工作人员签名确认。</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21.2磋商小组所有成员应当集中与单一供应商分别进行一轮或多轮的磋商（具体磋商轮次由磋商小组视情况决定）在磋商中，磋商小组及有关当事人应当严格遵循保密原则，任何人不得透露与磋商有关的供应商的技术、价格和其他信息。</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21.3在磋商过程中，磋商小组可以根据磋商文件和磋商情况实质性变动采购需求中的技术、服务要求以及合同草案条款，但不得变动磋商文件中的其他内容，并应当以书面形式通知所有参加磋商的供应商。实质性变动的内容，须经采购人代表确认。对磋商文件作出的实质性变动是磋商文件的有效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21.4供应商应当按照磋商文件的变动情况和磋商小组的要求重新提交响应文件（或补充以书面材料），并由其法定代表人或授权代表签字或者加盖公章。由授权代表签字的，应当附法定代表人授权书。供应商为自然人的，应当由本人签字并附身份证明。补充文件是响应文件的组成部分。</w:t>
      </w:r>
    </w:p>
    <w:p>
      <w:pPr>
        <w:pStyle w:val="4"/>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22.最后报价</w:t>
      </w: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22.1磋商文件能够详细列明采购标的的技术、服务要求的，磋商结束后，磋商小组应当要求所有实质性响应的供应商在规定时间内提交最后报价，除法律法规规定的允许的情况外，提交最后报价的供应商不得少于3家。最后报价是供应商响应文件的有效组成部分</w:t>
      </w:r>
      <w:r>
        <w:rPr>
          <w:rFonts w:hint="eastAsia" w:hAnsi="宋体"/>
          <w:color w:val="auto"/>
          <w:sz w:val="21"/>
          <w:szCs w:val="21"/>
          <w:highlight w:val="none"/>
          <w:lang w:eastAsia="zh-CN"/>
        </w:rPr>
        <w:t>，</w:t>
      </w:r>
      <w:r>
        <w:rPr>
          <w:rFonts w:hint="eastAsia" w:hAnsi="宋体"/>
          <w:color w:val="auto"/>
          <w:sz w:val="21"/>
          <w:szCs w:val="21"/>
          <w:highlight w:val="none"/>
        </w:rPr>
        <w:t>后一轮报价不得高于前一轮报价。</w:t>
      </w:r>
    </w:p>
    <w:p>
      <w:pPr>
        <w:numPr>
          <w:ilvl w:val="-1"/>
          <w:numId w:val="0"/>
        </w:numPr>
        <w:spacing w:line="360" w:lineRule="auto"/>
        <w:ind w:firstLine="422" w:firstLineChars="200"/>
        <w:rPr>
          <w:rFonts w:hint="eastAsia"/>
          <w:b/>
          <w:color w:val="auto"/>
          <w:sz w:val="21"/>
          <w:szCs w:val="21"/>
          <w:highlight w:val="none"/>
        </w:rPr>
      </w:pPr>
      <w:r>
        <w:rPr>
          <w:rFonts w:hint="eastAsia"/>
          <w:b/>
          <w:color w:val="auto"/>
          <w:sz w:val="21"/>
          <w:szCs w:val="21"/>
          <w:highlight w:val="none"/>
          <w:lang w:val="en-US" w:eastAsia="zh-CN"/>
        </w:rPr>
        <w:t>22.2</w:t>
      </w:r>
      <w:r>
        <w:rPr>
          <w:rFonts w:hint="eastAsia"/>
          <w:b/>
          <w:color w:val="auto"/>
          <w:sz w:val="21"/>
          <w:szCs w:val="21"/>
          <w:highlight w:val="none"/>
        </w:rPr>
        <w:t>磋商过程中，成交供应商最终报价对比投标报价如有下浮，最终清单价格按下浮比例，整体等比例下浮调整</w:t>
      </w:r>
      <w:r>
        <w:rPr>
          <w:rFonts w:hint="eastAsia" w:hAnsi="Calibri"/>
          <w:b/>
          <w:color w:val="auto"/>
          <w:sz w:val="21"/>
          <w:szCs w:val="21"/>
          <w:highlight w:val="none"/>
        </w:rPr>
        <w:t>，但</w:t>
      </w:r>
      <w:r>
        <w:rPr>
          <w:rFonts w:hint="eastAsia" w:ascii="宋体" w:hAnsi="Calibri" w:cs="宋体"/>
          <w:b/>
          <w:color w:val="auto"/>
          <w:sz w:val="21"/>
          <w:szCs w:val="21"/>
          <w:highlight w:val="none"/>
        </w:rPr>
        <w:t>绿色施工安全防护措施单列费为不可竞争费用，不参与下浮</w:t>
      </w:r>
      <w:r>
        <w:rPr>
          <w:rFonts w:hint="eastAsia"/>
          <w:b/>
          <w:color w:val="auto"/>
          <w:sz w:val="21"/>
          <w:szCs w:val="21"/>
          <w:highlight w:val="none"/>
        </w:rPr>
        <w:t>。</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22.</w:t>
      </w:r>
      <w:r>
        <w:rPr>
          <w:rFonts w:hint="eastAsia" w:hAnsi="宋体"/>
          <w:color w:val="auto"/>
          <w:sz w:val="21"/>
          <w:szCs w:val="21"/>
          <w:highlight w:val="none"/>
          <w:lang w:val="en-US" w:eastAsia="zh-CN"/>
        </w:rPr>
        <w:t>3</w:t>
      </w:r>
      <w:r>
        <w:rPr>
          <w:rFonts w:hint="eastAsia" w:hAnsi="宋体"/>
          <w:color w:val="auto"/>
          <w:sz w:val="21"/>
          <w:szCs w:val="21"/>
          <w:highlight w:val="none"/>
        </w:rPr>
        <w:t>已提交响应文件的供应商，在提交最后报价之前，可以根据磋商情况退出磋商。采购人、采购代理机构应当退还退出磋商的供应商的磋商保证金。</w:t>
      </w:r>
    </w:p>
    <w:bookmarkEnd w:id="125"/>
    <w:p>
      <w:pPr>
        <w:pStyle w:val="4"/>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23.综合评分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经磋商确定最终采购需求和提交最后报价的供应商后，由磋商小组采用综合评分法对提交最后报价的供应商的响应文件和最后报价进行综合评分。详见本文件《第四篇 评标工作大纲》。</w:t>
      </w:r>
    </w:p>
    <w:p>
      <w:pPr>
        <w:pStyle w:val="12"/>
        <w:ind w:firstLine="400"/>
        <w:rPr>
          <w:color w:val="auto"/>
          <w:highlight w:val="none"/>
        </w:rPr>
      </w:pPr>
    </w:p>
    <w:p>
      <w:pPr>
        <w:pStyle w:val="2"/>
        <w:adjustRightInd/>
        <w:spacing w:line="360" w:lineRule="auto"/>
        <w:ind w:firstLine="562" w:firstLineChars="200"/>
        <w:jc w:val="center"/>
        <w:rPr>
          <w:color w:val="auto"/>
          <w:sz w:val="28"/>
          <w:szCs w:val="28"/>
          <w:highlight w:val="none"/>
        </w:rPr>
      </w:pPr>
      <w:bookmarkStart w:id="128" w:name="_Toc7897882"/>
      <w:bookmarkStart w:id="129" w:name="_Toc18625"/>
      <w:r>
        <w:rPr>
          <w:rFonts w:hint="eastAsia"/>
          <w:color w:val="auto"/>
          <w:sz w:val="28"/>
          <w:szCs w:val="28"/>
          <w:highlight w:val="none"/>
        </w:rPr>
        <w:t>六、确定成交供应商</w:t>
      </w:r>
      <w:bookmarkEnd w:id="128"/>
      <w:bookmarkEnd w:id="129"/>
    </w:p>
    <w:p>
      <w:pPr>
        <w:pStyle w:val="4"/>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24.确定成交</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24.1磋商小组完成评审工作后，出具评审报告，推荐</w:t>
      </w:r>
      <w:r>
        <w:rPr>
          <w:rFonts w:hAnsi="宋体"/>
          <w:color w:val="auto"/>
          <w:sz w:val="21"/>
          <w:szCs w:val="21"/>
          <w:highlight w:val="none"/>
        </w:rPr>
        <w:t>2</w:t>
      </w:r>
      <w:r>
        <w:rPr>
          <w:rFonts w:hint="eastAsia" w:hAnsi="宋体"/>
          <w:color w:val="auto"/>
          <w:sz w:val="21"/>
          <w:szCs w:val="21"/>
          <w:highlight w:val="none"/>
        </w:rPr>
        <w:t>名成交候选供应商。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24.2采购人从成交候选供应商名单中按照综合得分排序确定1名成交供应商。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24.3根据响应或评审情况，采购代理机构保留在确定成交供应商之前任何时候接受或拒绝任何响应，以及宣布评审程序无效或拒绝所有响应的权力，对受影响的供应商不承担任何责任，也无义务向受影响的供应商解释这一行动的理由。</w:t>
      </w:r>
    </w:p>
    <w:p>
      <w:pPr>
        <w:pStyle w:val="4"/>
        <w:adjustRightInd/>
        <w:spacing w:line="360" w:lineRule="auto"/>
        <w:ind w:firstLine="422"/>
        <w:rPr>
          <w:b/>
          <w:color w:val="auto"/>
          <w:sz w:val="21"/>
          <w:szCs w:val="21"/>
          <w:highlight w:val="none"/>
        </w:rPr>
      </w:pPr>
      <w:r>
        <w:rPr>
          <w:rFonts w:hint="eastAsia"/>
          <w:b/>
          <w:color w:val="auto"/>
          <w:sz w:val="21"/>
          <w:szCs w:val="21"/>
          <w:highlight w:val="none"/>
        </w:rPr>
        <w:t>25.资格后审</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.1</w:t>
      </w:r>
      <w:r>
        <w:rPr>
          <w:rFonts w:hint="eastAsia"/>
          <w:color w:val="auto"/>
          <w:sz w:val="21"/>
          <w:szCs w:val="21"/>
          <w:highlight w:val="none"/>
        </w:rPr>
        <w:t>采购人</w:t>
      </w:r>
      <w:r>
        <w:rPr>
          <w:color w:val="auto"/>
          <w:sz w:val="21"/>
          <w:szCs w:val="21"/>
          <w:highlight w:val="none"/>
        </w:rPr>
        <w:t>将根据</w:t>
      </w:r>
      <w:r>
        <w:rPr>
          <w:rFonts w:hint="eastAsia"/>
          <w:color w:val="auto"/>
          <w:sz w:val="21"/>
          <w:szCs w:val="21"/>
          <w:highlight w:val="none"/>
        </w:rPr>
        <w:t>磋商文件</w:t>
      </w:r>
      <w:r>
        <w:rPr>
          <w:color w:val="auto"/>
          <w:sz w:val="21"/>
          <w:szCs w:val="21"/>
          <w:highlight w:val="none"/>
        </w:rPr>
        <w:t>中的要求，对评委会推荐的</w:t>
      </w:r>
      <w:r>
        <w:rPr>
          <w:rFonts w:hint="eastAsia"/>
          <w:color w:val="auto"/>
          <w:sz w:val="21"/>
          <w:szCs w:val="21"/>
          <w:highlight w:val="none"/>
        </w:rPr>
        <w:t>成交候选人</w:t>
      </w:r>
      <w:r>
        <w:rPr>
          <w:color w:val="auto"/>
          <w:sz w:val="21"/>
          <w:szCs w:val="21"/>
          <w:highlight w:val="none"/>
        </w:rPr>
        <w:t>进行资格后审。</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.2</w:t>
      </w:r>
      <w:r>
        <w:rPr>
          <w:rFonts w:hint="eastAsia"/>
          <w:color w:val="auto"/>
          <w:sz w:val="21"/>
          <w:szCs w:val="21"/>
          <w:highlight w:val="none"/>
        </w:rPr>
        <w:t>成交候选人</w:t>
      </w:r>
      <w:r>
        <w:rPr>
          <w:color w:val="auto"/>
          <w:sz w:val="21"/>
          <w:szCs w:val="21"/>
          <w:highlight w:val="none"/>
        </w:rPr>
        <w:t>须无条件配合资格后审，否则</w:t>
      </w:r>
      <w:r>
        <w:rPr>
          <w:rFonts w:hint="eastAsia"/>
          <w:color w:val="auto"/>
          <w:sz w:val="21"/>
          <w:szCs w:val="21"/>
          <w:highlight w:val="none"/>
        </w:rPr>
        <w:t>采购人</w:t>
      </w:r>
      <w:r>
        <w:rPr>
          <w:color w:val="auto"/>
          <w:sz w:val="21"/>
          <w:szCs w:val="21"/>
          <w:highlight w:val="none"/>
        </w:rPr>
        <w:t>有权取消中标资格。</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.3资格</w:t>
      </w:r>
      <w:r>
        <w:rPr>
          <w:rFonts w:hint="eastAsia"/>
          <w:color w:val="auto"/>
          <w:sz w:val="21"/>
          <w:szCs w:val="21"/>
          <w:highlight w:val="none"/>
        </w:rPr>
        <w:t>后审</w:t>
      </w:r>
      <w:r>
        <w:rPr>
          <w:color w:val="auto"/>
          <w:sz w:val="21"/>
          <w:szCs w:val="21"/>
          <w:highlight w:val="none"/>
        </w:rPr>
        <w:t>须提供包括但不限于营业执照、税务登记证和在</w:t>
      </w:r>
      <w:r>
        <w:rPr>
          <w:rFonts w:hint="eastAsia"/>
          <w:color w:val="auto"/>
          <w:sz w:val="21"/>
          <w:szCs w:val="21"/>
          <w:highlight w:val="none"/>
        </w:rPr>
        <w:t>磋商响应文件</w:t>
      </w:r>
      <w:r>
        <w:rPr>
          <w:color w:val="auto"/>
          <w:sz w:val="21"/>
          <w:szCs w:val="21"/>
          <w:highlight w:val="none"/>
        </w:rPr>
        <w:t>中提供的资质证明文件、合同等重要证明文件的原件进行核对，综合考察</w:t>
      </w:r>
      <w:r>
        <w:rPr>
          <w:rFonts w:hint="eastAsia"/>
          <w:color w:val="auto"/>
          <w:sz w:val="21"/>
          <w:szCs w:val="21"/>
          <w:highlight w:val="none"/>
        </w:rPr>
        <w:t>成交供应商</w:t>
      </w:r>
      <w:r>
        <w:rPr>
          <w:color w:val="auto"/>
          <w:sz w:val="21"/>
          <w:szCs w:val="21"/>
          <w:highlight w:val="none"/>
        </w:rPr>
        <w:t>的履约能力。如</w:t>
      </w:r>
      <w:r>
        <w:rPr>
          <w:rFonts w:hint="eastAsia"/>
          <w:color w:val="auto"/>
          <w:sz w:val="21"/>
          <w:szCs w:val="21"/>
          <w:highlight w:val="none"/>
        </w:rPr>
        <w:t>采购人</w:t>
      </w:r>
      <w:r>
        <w:rPr>
          <w:color w:val="auto"/>
          <w:sz w:val="21"/>
          <w:szCs w:val="21"/>
          <w:highlight w:val="none"/>
        </w:rPr>
        <w:t>要求还须提供业绩证明的其他材料,</w:t>
      </w:r>
      <w:r>
        <w:rPr>
          <w:rFonts w:hint="eastAsia"/>
          <w:color w:val="auto"/>
          <w:sz w:val="21"/>
          <w:szCs w:val="21"/>
          <w:highlight w:val="none"/>
        </w:rPr>
        <w:t>成交候选人</w:t>
      </w:r>
      <w:r>
        <w:rPr>
          <w:color w:val="auto"/>
          <w:sz w:val="21"/>
          <w:szCs w:val="21"/>
          <w:highlight w:val="none"/>
        </w:rPr>
        <w:t>须配合提供。如授权其分支机构进行项目实施或提供售后服务的，亦应提供其与分支机构关系的法律证明材料。</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.4如发现</w:t>
      </w:r>
      <w:r>
        <w:rPr>
          <w:rFonts w:hint="eastAsia"/>
          <w:color w:val="auto"/>
          <w:sz w:val="21"/>
          <w:szCs w:val="21"/>
          <w:highlight w:val="none"/>
        </w:rPr>
        <w:t>供应商</w:t>
      </w:r>
      <w:r>
        <w:rPr>
          <w:color w:val="auto"/>
          <w:sz w:val="21"/>
          <w:szCs w:val="21"/>
          <w:highlight w:val="none"/>
        </w:rPr>
        <w:t>提交虚假资料谋取中标的，</w:t>
      </w:r>
      <w:r>
        <w:rPr>
          <w:rFonts w:hint="eastAsia"/>
          <w:color w:val="auto"/>
          <w:sz w:val="21"/>
          <w:szCs w:val="21"/>
          <w:highlight w:val="none"/>
        </w:rPr>
        <w:t>采购人</w:t>
      </w:r>
      <w:r>
        <w:rPr>
          <w:color w:val="auto"/>
          <w:sz w:val="21"/>
          <w:szCs w:val="21"/>
          <w:highlight w:val="none"/>
        </w:rPr>
        <w:t>有权没收其</w:t>
      </w:r>
      <w:r>
        <w:rPr>
          <w:rFonts w:hint="eastAsia"/>
          <w:color w:val="auto"/>
          <w:sz w:val="21"/>
          <w:szCs w:val="21"/>
          <w:highlight w:val="none"/>
        </w:rPr>
        <w:t>磋商</w:t>
      </w:r>
      <w:r>
        <w:rPr>
          <w:color w:val="auto"/>
          <w:sz w:val="21"/>
          <w:szCs w:val="21"/>
          <w:highlight w:val="none"/>
        </w:rPr>
        <w:t>保证金，并保留追究其赔偿</w:t>
      </w:r>
      <w:r>
        <w:rPr>
          <w:rFonts w:hint="eastAsia"/>
          <w:color w:val="auto"/>
          <w:sz w:val="21"/>
          <w:szCs w:val="21"/>
          <w:highlight w:val="none"/>
        </w:rPr>
        <w:t>采购人</w:t>
      </w:r>
      <w:r>
        <w:rPr>
          <w:color w:val="auto"/>
          <w:sz w:val="21"/>
          <w:szCs w:val="21"/>
          <w:highlight w:val="none"/>
        </w:rPr>
        <w:t>由此而造成一切损失的责任。</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.5</w:t>
      </w:r>
      <w:r>
        <w:rPr>
          <w:rFonts w:hint="eastAsia"/>
          <w:color w:val="auto"/>
          <w:sz w:val="21"/>
          <w:szCs w:val="21"/>
          <w:highlight w:val="none"/>
        </w:rPr>
        <w:t>采购人</w:t>
      </w:r>
      <w:r>
        <w:rPr>
          <w:color w:val="auto"/>
          <w:sz w:val="21"/>
          <w:szCs w:val="21"/>
          <w:highlight w:val="none"/>
        </w:rPr>
        <w:t>保留审查</w:t>
      </w:r>
      <w:r>
        <w:rPr>
          <w:rFonts w:hint="eastAsia"/>
          <w:color w:val="auto"/>
          <w:sz w:val="21"/>
          <w:szCs w:val="21"/>
          <w:highlight w:val="none"/>
        </w:rPr>
        <w:t>成交供应商</w:t>
      </w:r>
      <w:r>
        <w:rPr>
          <w:color w:val="auto"/>
          <w:sz w:val="21"/>
          <w:szCs w:val="21"/>
          <w:highlight w:val="none"/>
        </w:rPr>
        <w:t>是否有能力令</w:t>
      </w:r>
      <w:r>
        <w:rPr>
          <w:rFonts w:hint="eastAsia"/>
          <w:color w:val="auto"/>
          <w:sz w:val="21"/>
          <w:szCs w:val="21"/>
          <w:highlight w:val="none"/>
        </w:rPr>
        <w:t>采购人</w:t>
      </w:r>
      <w:r>
        <w:rPr>
          <w:color w:val="auto"/>
          <w:sz w:val="21"/>
          <w:szCs w:val="21"/>
          <w:highlight w:val="none"/>
        </w:rPr>
        <w:t>满意的履行合同的权利，包括但不限于对</w:t>
      </w:r>
      <w:r>
        <w:rPr>
          <w:rFonts w:hint="eastAsia"/>
          <w:color w:val="auto"/>
          <w:sz w:val="21"/>
          <w:szCs w:val="21"/>
          <w:highlight w:val="none"/>
        </w:rPr>
        <w:t>成交供应商</w:t>
      </w:r>
      <w:r>
        <w:rPr>
          <w:color w:val="auto"/>
          <w:sz w:val="21"/>
          <w:szCs w:val="21"/>
          <w:highlight w:val="none"/>
        </w:rPr>
        <w:t>的规模、人员、场地、生产能力、供货能力等方面的核实或现场考察。如果审查通过，</w:t>
      </w:r>
      <w:r>
        <w:rPr>
          <w:rFonts w:hint="eastAsia"/>
          <w:color w:val="auto"/>
          <w:sz w:val="21"/>
          <w:szCs w:val="21"/>
          <w:highlight w:val="none"/>
        </w:rPr>
        <w:t>采购人</w:t>
      </w:r>
      <w:r>
        <w:rPr>
          <w:color w:val="auto"/>
          <w:sz w:val="21"/>
          <w:szCs w:val="21"/>
          <w:highlight w:val="none"/>
        </w:rPr>
        <w:t>将把合同授予该</w:t>
      </w:r>
      <w:r>
        <w:rPr>
          <w:rFonts w:hint="eastAsia"/>
          <w:color w:val="auto"/>
          <w:sz w:val="21"/>
          <w:szCs w:val="21"/>
          <w:highlight w:val="none"/>
        </w:rPr>
        <w:t>供应商；</w:t>
      </w:r>
      <w:r>
        <w:rPr>
          <w:color w:val="auto"/>
          <w:sz w:val="21"/>
          <w:szCs w:val="21"/>
          <w:highlight w:val="none"/>
        </w:rPr>
        <w:t>如果审查没有通过，</w:t>
      </w:r>
      <w:r>
        <w:rPr>
          <w:rFonts w:hint="eastAsia"/>
          <w:color w:val="auto"/>
          <w:sz w:val="21"/>
          <w:szCs w:val="21"/>
          <w:highlight w:val="none"/>
        </w:rPr>
        <w:t>采购人</w:t>
      </w:r>
      <w:r>
        <w:rPr>
          <w:color w:val="auto"/>
          <w:sz w:val="21"/>
          <w:szCs w:val="21"/>
          <w:highlight w:val="none"/>
        </w:rPr>
        <w:t>将拒绝其</w:t>
      </w:r>
      <w:r>
        <w:rPr>
          <w:rFonts w:hint="eastAsia"/>
          <w:color w:val="auto"/>
          <w:sz w:val="21"/>
          <w:szCs w:val="21"/>
          <w:highlight w:val="none"/>
        </w:rPr>
        <w:t>磋商</w:t>
      </w:r>
      <w:r>
        <w:rPr>
          <w:color w:val="auto"/>
          <w:sz w:val="21"/>
          <w:szCs w:val="21"/>
          <w:highlight w:val="none"/>
        </w:rPr>
        <w:t>，并对下一个候选的</w:t>
      </w:r>
      <w:r>
        <w:rPr>
          <w:rFonts w:hint="eastAsia"/>
          <w:color w:val="auto"/>
          <w:sz w:val="21"/>
          <w:szCs w:val="21"/>
          <w:highlight w:val="none"/>
        </w:rPr>
        <w:t>供应商</w:t>
      </w:r>
      <w:r>
        <w:rPr>
          <w:color w:val="auto"/>
          <w:sz w:val="21"/>
          <w:szCs w:val="21"/>
          <w:highlight w:val="none"/>
        </w:rPr>
        <w:t>能否令人满意地履行合同作类似的审查或重新采购。</w:t>
      </w:r>
    </w:p>
    <w:p>
      <w:pPr>
        <w:pStyle w:val="4"/>
        <w:adjustRightInd/>
        <w:spacing w:line="360" w:lineRule="auto"/>
        <w:ind w:firstLine="422" w:firstLineChars="200"/>
        <w:rPr>
          <w:rFonts w:hAnsi="宋体"/>
          <w:b/>
          <w:color w:val="auto"/>
          <w:sz w:val="21"/>
          <w:szCs w:val="21"/>
          <w:highlight w:val="none"/>
        </w:rPr>
      </w:pPr>
      <w:bookmarkStart w:id="130" w:name="_Toc475249142"/>
      <w:r>
        <w:rPr>
          <w:rFonts w:hint="eastAsia" w:hAnsi="宋体"/>
          <w:b/>
          <w:color w:val="auto"/>
          <w:sz w:val="21"/>
          <w:szCs w:val="21"/>
          <w:highlight w:val="none"/>
        </w:rPr>
        <w:t>26.成交通知</w:t>
      </w:r>
      <w:bookmarkEnd w:id="13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26.1采购代理机构将在采购人确定成交供应商后之日起的2个工作日内发出《成交通知书》，并公告成交结果。</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26.2《成交通知书》是签订采购合同的依据和组成部分。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26.3成交结果将在采购文件指定的采购信息发布媒体上公告，同时向成交供应商发出成交通知书，并将磋商文件随成交结果同时公告。</w:t>
      </w:r>
    </w:p>
    <w:p>
      <w:pPr>
        <w:pStyle w:val="12"/>
        <w:ind w:firstLine="400"/>
        <w:rPr>
          <w:color w:val="auto"/>
          <w:highlight w:val="none"/>
        </w:rPr>
      </w:pPr>
    </w:p>
    <w:p>
      <w:pPr>
        <w:pStyle w:val="2"/>
        <w:adjustRightInd/>
        <w:spacing w:line="360" w:lineRule="auto"/>
        <w:ind w:firstLine="562" w:firstLineChars="200"/>
        <w:jc w:val="center"/>
        <w:rPr>
          <w:color w:val="auto"/>
          <w:sz w:val="28"/>
          <w:szCs w:val="28"/>
          <w:highlight w:val="none"/>
        </w:rPr>
      </w:pPr>
      <w:bookmarkStart w:id="131" w:name="_Toc28276"/>
      <w:bookmarkStart w:id="132" w:name="_Toc110953852"/>
      <w:bookmarkStart w:id="133" w:name="_Toc37756778"/>
      <w:bookmarkStart w:id="134" w:name="_Toc7897883"/>
      <w:bookmarkStart w:id="135" w:name="_Toc475249143"/>
      <w:r>
        <w:rPr>
          <w:rFonts w:hint="eastAsia"/>
          <w:color w:val="auto"/>
          <w:sz w:val="28"/>
          <w:szCs w:val="28"/>
          <w:highlight w:val="none"/>
        </w:rPr>
        <w:t>七、签订采购合同</w:t>
      </w:r>
      <w:bookmarkEnd w:id="131"/>
      <w:bookmarkEnd w:id="132"/>
      <w:bookmarkEnd w:id="133"/>
      <w:bookmarkEnd w:id="13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27.采购人与成交供应商应当在成交通知书发出之日起30日内，按照采购文件确定的事项签订采购合同。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28.合同内容不得与磋商文件和响应文件内容有实质性偏离。</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29.采购合同自签订之日起7个工作日内，采购人应将合同副本报采购代理机构归档。</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w:t>
      </w:r>
      <w:r>
        <w:rPr>
          <w:rFonts w:hint="eastAsia" w:hAnsi="宋体"/>
          <w:color w:val="auto"/>
          <w:sz w:val="21"/>
          <w:szCs w:val="21"/>
          <w:highlight w:val="none"/>
          <w:lang w:val="zh-CN"/>
        </w:rPr>
        <w:tab/>
      </w:r>
      <w:r>
        <w:rPr>
          <w:rFonts w:hint="eastAsia" w:hAnsi="宋体"/>
          <w:color w:val="auto"/>
          <w:sz w:val="21"/>
          <w:szCs w:val="21"/>
          <w:highlight w:val="none"/>
          <w:lang w:val="zh-CN"/>
        </w:rPr>
        <w:t>履约</w:t>
      </w:r>
      <w:r>
        <w:rPr>
          <w:rFonts w:hint="eastAsia" w:hAnsi="宋体"/>
          <w:color w:val="auto"/>
          <w:sz w:val="21"/>
          <w:szCs w:val="21"/>
          <w:highlight w:val="none"/>
        </w:rPr>
        <w:t>担保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w:t>
      </w:r>
      <w:r>
        <w:rPr>
          <w:rFonts w:hint="eastAsia" w:hAnsi="宋体"/>
          <w:color w:val="auto"/>
          <w:sz w:val="21"/>
          <w:szCs w:val="21"/>
          <w:highlight w:val="none"/>
          <w:lang w:val="zh-CN"/>
        </w:rPr>
        <w:t>.1</w:t>
      </w:r>
      <w:r>
        <w:rPr>
          <w:rFonts w:hint="eastAsia" w:hAnsi="宋体"/>
          <w:color w:val="auto"/>
          <w:sz w:val="21"/>
          <w:szCs w:val="21"/>
          <w:highlight w:val="none"/>
        </w:rPr>
        <w:t>签订合同前，成交供应商应提交履约担保。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30.2成交供应商向采购人提交履约担保，履约担保形式：☑履约保证金；☑ 银行履约保函；□担保公司履约担保书。履约担保金额：合同金额的10%。履约担保账户：采购人指定账户。</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30.3</w:t>
      </w:r>
      <w:r>
        <w:rPr>
          <w:rFonts w:hint="eastAsia" w:hAnsi="宋体"/>
          <w:color w:val="auto"/>
          <w:sz w:val="21"/>
          <w:szCs w:val="21"/>
          <w:highlight w:val="none"/>
          <w:lang w:val="zh-CN"/>
        </w:rPr>
        <w:t>履约保函应是由银行支行一级或以上银行机构出具，并经甲方同意，非东莞市行政区内的银行出具的保函需经担保银行所在地公证机关公证并出具公证书。履约保函应为见索即付保函，履约保函的内容，应符合磋商文件、磋商响应文件和招标合同的要求。履约保函应从合同签订日至发包人向承包人颁发工程竣工验收合格证书后30 日内保持有效。</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30.4</w:t>
      </w:r>
      <w:r>
        <w:rPr>
          <w:rFonts w:hint="eastAsia" w:hAnsi="宋体"/>
          <w:color w:val="auto"/>
          <w:sz w:val="21"/>
          <w:szCs w:val="21"/>
          <w:highlight w:val="none"/>
          <w:lang w:val="zh-CN"/>
        </w:rPr>
        <w:t>若成交供应商不按规定提交履约担保，采购人将有充分的理由解除合同，给采购人造成的损失超过履约保证金数额的，还应当对超过部分予以赔偿。</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30.5在整个项目验收合格后，成交供应商向采购人提交退回履约担保的申请，采购人办理履约担保退还手续，将履约担保退回原成交供应商的汇入帐户。</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31.发票</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31</w:t>
      </w:r>
      <w:r>
        <w:rPr>
          <w:rFonts w:hint="eastAsia" w:hAnsi="宋体"/>
          <w:color w:val="auto"/>
          <w:sz w:val="21"/>
          <w:szCs w:val="21"/>
          <w:highlight w:val="none"/>
          <w:lang w:val="zh-CN"/>
        </w:rPr>
        <w:t>.1该项目获得中标的成交供应商在执行合同过程中，向采购人出具的发票必须是由成交供应商开具，不得以其他单位或个人名义出具。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31.2成交供应商需提交增值税专用发票，并于备注栏写明项目名称及合同名称。</w:t>
      </w:r>
    </w:p>
    <w:p>
      <w:pPr>
        <w:spacing w:line="360" w:lineRule="auto"/>
        <w:ind w:firstLine="420" w:firstLineChars="200"/>
        <w:rPr>
          <w:rStyle w:val="59"/>
          <w:rFonts w:ascii="Times New Roman"/>
          <w:color w:val="auto"/>
          <w:highlight w:val="none"/>
        </w:rPr>
      </w:pPr>
      <w:r>
        <w:rPr>
          <w:rFonts w:hint="eastAsia" w:hAnsi="宋体"/>
          <w:color w:val="auto"/>
          <w:sz w:val="21"/>
          <w:szCs w:val="21"/>
          <w:highlight w:val="none"/>
        </w:rPr>
        <w:t>31.3在合同履行期间，如遇国家的税率调整，则以开具发票的时间为准，以原合同约定价格不含税金额不变作为基准，按照新税率重新计算含税价格。</w:t>
      </w:r>
    </w:p>
    <w:p>
      <w:pPr>
        <w:snapToGrid w:val="0"/>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32</w:t>
      </w:r>
      <w:r>
        <w:rPr>
          <w:rFonts w:hint="eastAsia" w:hAnsi="宋体"/>
          <w:color w:val="auto"/>
          <w:sz w:val="21"/>
          <w:szCs w:val="21"/>
          <w:highlight w:val="none"/>
          <w:lang w:val="zh-CN"/>
        </w:rPr>
        <w:t>．供应商有下列情形之一的，属于以其他方式弄虚作假的行为：</w:t>
      </w:r>
    </w:p>
    <w:p>
      <w:pPr>
        <w:snapToGrid w:val="0"/>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（1）使用伪造、变造的许可证件；</w:t>
      </w:r>
    </w:p>
    <w:p>
      <w:pPr>
        <w:snapToGrid w:val="0"/>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 xml:space="preserve">（2）提供虚假的财务状况或者业绩； </w:t>
      </w:r>
    </w:p>
    <w:p>
      <w:pPr>
        <w:snapToGrid w:val="0"/>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 xml:space="preserve">（3）提供虚假的项目负责人或者主要技术人员简历、劳动关系证明； </w:t>
      </w:r>
    </w:p>
    <w:p>
      <w:pPr>
        <w:snapToGrid w:val="0"/>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（4）提供虚假的信用状况；</w:t>
      </w:r>
    </w:p>
    <w:p>
      <w:pPr>
        <w:snapToGrid w:val="0"/>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（5）其他弄虚作假的行为。</w:t>
      </w:r>
    </w:p>
    <w:p>
      <w:pPr>
        <w:snapToGrid w:val="0"/>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33</w:t>
      </w:r>
      <w:r>
        <w:rPr>
          <w:rFonts w:hint="eastAsia" w:hAnsi="宋体"/>
          <w:color w:val="auto"/>
          <w:sz w:val="21"/>
          <w:szCs w:val="21"/>
          <w:highlight w:val="none"/>
          <w:lang w:val="zh-CN"/>
        </w:rPr>
        <w:t>. 有下列情形之一的，视为供应商串通报价，其报价无效：</w:t>
      </w:r>
    </w:p>
    <w:p>
      <w:pPr>
        <w:snapToGrid w:val="0"/>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33</w:t>
      </w:r>
      <w:r>
        <w:rPr>
          <w:rFonts w:hint="eastAsia" w:hAnsi="宋体"/>
          <w:color w:val="auto"/>
          <w:sz w:val="21"/>
          <w:szCs w:val="21"/>
          <w:highlight w:val="none"/>
          <w:lang w:val="zh-CN"/>
        </w:rPr>
        <w:t>.1 不同供应商的磋商响应文件由同一单位或者个人编制；</w:t>
      </w:r>
    </w:p>
    <w:p>
      <w:pPr>
        <w:snapToGrid w:val="0"/>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33</w:t>
      </w:r>
      <w:r>
        <w:rPr>
          <w:rFonts w:hint="eastAsia" w:hAnsi="宋体"/>
          <w:color w:val="auto"/>
          <w:sz w:val="21"/>
          <w:szCs w:val="21"/>
          <w:highlight w:val="none"/>
          <w:lang w:val="zh-CN"/>
        </w:rPr>
        <w:t>.2 不同供应商委托同一单位或者个人办理报价事宜；</w:t>
      </w:r>
    </w:p>
    <w:p>
      <w:pPr>
        <w:snapToGrid w:val="0"/>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33</w:t>
      </w:r>
      <w:r>
        <w:rPr>
          <w:rFonts w:hint="eastAsia" w:hAnsi="宋体"/>
          <w:color w:val="auto"/>
          <w:sz w:val="21"/>
          <w:szCs w:val="21"/>
          <w:highlight w:val="none"/>
          <w:lang w:val="zh-CN"/>
        </w:rPr>
        <w:t>.3 不同供应商的磋商响应文件载明的项目管理成员或者联系人员为同一人；</w:t>
      </w:r>
    </w:p>
    <w:p>
      <w:pPr>
        <w:snapToGrid w:val="0"/>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33</w:t>
      </w:r>
      <w:r>
        <w:rPr>
          <w:rFonts w:hint="eastAsia" w:hAnsi="宋体"/>
          <w:color w:val="auto"/>
          <w:sz w:val="21"/>
          <w:szCs w:val="21"/>
          <w:highlight w:val="none"/>
          <w:lang w:val="zh-CN"/>
        </w:rPr>
        <w:t>.4 不同供应商的磋商响应文件异常一致或者报价呈规律性差异；</w:t>
      </w:r>
    </w:p>
    <w:p>
      <w:pPr>
        <w:snapToGrid w:val="0"/>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33</w:t>
      </w:r>
      <w:r>
        <w:rPr>
          <w:rFonts w:hint="eastAsia" w:hAnsi="宋体"/>
          <w:color w:val="auto"/>
          <w:sz w:val="21"/>
          <w:szCs w:val="21"/>
          <w:highlight w:val="none"/>
          <w:lang w:val="zh-CN"/>
        </w:rPr>
        <w:t>.5 不同供应商的磋商响应文件相互混装；</w:t>
      </w:r>
    </w:p>
    <w:p>
      <w:pPr>
        <w:snapToGrid w:val="0"/>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33</w:t>
      </w:r>
      <w:r>
        <w:rPr>
          <w:rFonts w:hint="eastAsia" w:hAnsi="宋体"/>
          <w:color w:val="auto"/>
          <w:sz w:val="21"/>
          <w:szCs w:val="21"/>
          <w:highlight w:val="none"/>
          <w:lang w:val="zh-CN"/>
        </w:rPr>
        <w:t>.6 不同供应商的磋商保证金从同一单位或者个人的账户转出。</w:t>
      </w:r>
    </w:p>
    <w:p>
      <w:pPr>
        <w:rPr>
          <w:color w:val="auto"/>
          <w:highlight w:val="none"/>
        </w:rPr>
      </w:pPr>
    </w:p>
    <w:bookmarkEnd w:id="135"/>
    <w:p>
      <w:pPr>
        <w:pStyle w:val="2"/>
        <w:adjustRightInd/>
        <w:spacing w:line="360" w:lineRule="auto"/>
        <w:ind w:firstLine="562" w:firstLineChars="200"/>
        <w:jc w:val="center"/>
        <w:rPr>
          <w:color w:val="auto"/>
          <w:sz w:val="28"/>
          <w:szCs w:val="28"/>
          <w:highlight w:val="none"/>
          <w:lang w:val="zh-CN"/>
        </w:rPr>
      </w:pPr>
      <w:bookmarkStart w:id="136" w:name="_Toc5141"/>
      <w:bookmarkStart w:id="137" w:name="_Toc3498"/>
      <w:bookmarkStart w:id="138" w:name="_Toc396137239"/>
      <w:r>
        <w:rPr>
          <w:rFonts w:hint="eastAsia"/>
          <w:color w:val="auto"/>
          <w:sz w:val="28"/>
          <w:szCs w:val="28"/>
          <w:highlight w:val="none"/>
          <w:lang w:val="zh-CN"/>
        </w:rPr>
        <w:t>八、询问、质疑与回复</w:t>
      </w:r>
      <w:bookmarkEnd w:id="136"/>
      <w:bookmarkEnd w:id="137"/>
      <w:bookmarkEnd w:id="138"/>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34 询问</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34.1 供应商应仔细阅读和检查磋商文件的全部内容。如发现缺页或附件不全，应及时向采购代理机构或采购人提出，以便补齐。供应商若对谈磋商文件有任何疑问，应按本邀请书所述限期前以书面形式（包括邮件、信函、传真等可以有形地表现所载内容的形式）向采购代理机构或采购人提出澄清要求。</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35   质疑与回复</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35.1 质疑书应当包括下列主要内容：</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（1）供应商的姓名或者名称、地址、邮编、联系人及联系电话；</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（2）质疑项目的名称、编号；</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（3）具体、明确的质疑事项和与质疑事项相关的请求；</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（4）事实依据；</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（5）必要的法律依据；</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（6）提出质疑的日期。</w:t>
      </w:r>
    </w:p>
    <w:p>
      <w:pPr>
        <w:spacing w:line="360" w:lineRule="auto"/>
        <w:ind w:firstLine="420" w:firstLineChars="200"/>
        <w:rPr>
          <w:rFonts w:hAnsi="宋体"/>
          <w:color w:val="auto"/>
          <w:sz w:val="21"/>
          <w:szCs w:val="21"/>
          <w:highlight w:val="none"/>
        </w:rPr>
      </w:pPr>
      <w:r>
        <w:rPr>
          <w:rFonts w:hint="eastAsia" w:hAnsi="宋体"/>
          <w:color w:val="auto"/>
          <w:kern w:val="2"/>
          <w:sz w:val="21"/>
          <w:szCs w:val="21"/>
          <w:highlight w:val="none"/>
        </w:rPr>
        <w:t>35</w:t>
      </w:r>
      <w:r>
        <w:rPr>
          <w:rFonts w:hint="eastAsia" w:hAnsi="宋体"/>
          <w:color w:val="auto"/>
          <w:sz w:val="21"/>
          <w:szCs w:val="21"/>
          <w:highlight w:val="none"/>
        </w:rPr>
        <w:t>.2. 质疑书应当署名。质疑人为自然人的，应当由本人签名；质疑人为法人或者</w:t>
      </w:r>
      <w:r>
        <w:rPr>
          <w:rFonts w:hint="eastAsia" w:hAnsi="宋体"/>
          <w:color w:val="auto"/>
          <w:kern w:val="2"/>
          <w:sz w:val="21"/>
          <w:szCs w:val="21"/>
          <w:highlight w:val="none"/>
          <w:lang w:val="zh-CN"/>
        </w:rPr>
        <w:t>其他</w:t>
      </w:r>
      <w:r>
        <w:rPr>
          <w:rFonts w:hint="eastAsia" w:hAnsi="宋体"/>
          <w:color w:val="auto"/>
          <w:sz w:val="21"/>
          <w:szCs w:val="21"/>
          <w:highlight w:val="none"/>
        </w:rPr>
        <w:t>组织的，应当由法定代表人或者主要负责人签名并加盖公章。</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35.3. 供应商认为磋商文件的内容损害其权益的，应当以书面形式（加盖公章）在领购磋商文件截止之日起3天内向采购代理机构提交质疑书原件，逾期质疑无效。供应商以电话、传真或电邮形式提交的质疑属于无效质疑。</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35.4. 供应商认为采购过程和中标结果使自己的权益受到损害的，应当以书面形式（加盖公章）在成交结果发之日起3个工作日内向采购代理机构提交质疑书原件，逾期质疑无效。供应商以电话、传真或电邮形式提交的质疑属于无效质疑。联系人：</w:t>
      </w:r>
      <w:r>
        <w:rPr>
          <w:rFonts w:hint="eastAsia" w:hAnsi="宋体"/>
          <w:color w:val="auto"/>
          <w:sz w:val="21"/>
          <w:szCs w:val="21"/>
          <w:highlight w:val="none"/>
          <w:u w:val="single"/>
          <w:lang w:eastAsia="zh-CN"/>
        </w:rPr>
        <w:t>冼小姐</w:t>
      </w:r>
      <w:r>
        <w:rPr>
          <w:rFonts w:hint="eastAsia" w:hAnsi="宋体"/>
          <w:color w:val="auto"/>
          <w:sz w:val="21"/>
          <w:szCs w:val="21"/>
          <w:highlight w:val="none"/>
          <w:u w:val="single"/>
        </w:rPr>
        <w:t>/</w:t>
      </w:r>
      <w:r>
        <w:rPr>
          <w:rFonts w:hint="eastAsia" w:hAnsi="宋体"/>
          <w:color w:val="auto"/>
          <w:sz w:val="21"/>
          <w:szCs w:val="21"/>
          <w:highlight w:val="none"/>
          <w:u w:val="single"/>
          <w:lang w:eastAsia="zh-CN"/>
        </w:rPr>
        <w:t>0769-22088829</w:t>
      </w:r>
      <w:r>
        <w:rPr>
          <w:rFonts w:hint="eastAsia" w:hAnsi="宋体"/>
          <w:color w:val="auto"/>
          <w:sz w:val="21"/>
          <w:szCs w:val="21"/>
          <w:highlight w:val="none"/>
        </w:rPr>
        <w:t>；联系地址：</w:t>
      </w:r>
      <w:r>
        <w:rPr>
          <w:rFonts w:hint="eastAsia" w:hAnsi="宋体"/>
          <w:color w:val="auto"/>
          <w:sz w:val="21"/>
          <w:szCs w:val="21"/>
          <w:highlight w:val="none"/>
          <w:u w:val="single"/>
          <w:lang w:eastAsia="zh-CN"/>
        </w:rPr>
        <w:t>东莞市东城莞龙路下桥银门街一号办公楼六楼606招标采购部</w:t>
      </w:r>
      <w:r>
        <w:rPr>
          <w:rFonts w:hint="eastAsia" w:hAnsi="宋体"/>
          <w:color w:val="auto"/>
          <w:sz w:val="21"/>
          <w:szCs w:val="21"/>
          <w:highlight w:val="none"/>
        </w:rPr>
        <w:t>。</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35.5.供应商在法定质疑期内一次性提出针对同一采购程序环节的质疑。</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35.6.质疑内容不得含有虚假、恶意成分。依据谁主张谁举证的原则，质疑者提供的质疑书应当包括下列主要内容：具体的质疑事项、事实依据及相关确凿的证明材料和注明事实的确切来源、供应商名称、联系人与联系电话、质疑时间，质疑书应当署名并由法定代表人或授权代表签名并加盖公章。采购代理机构受理书面质疑书原件之日起，在规定的期限内作出答复。供应商捏造事实、提供虚假材料或者以非法手段取得证明材料进行投诉的，列入不良行为记录名单，禁止其1至3年内参加采购活动。</w:t>
      </w:r>
    </w:p>
    <w:p>
      <w:pPr>
        <w:spacing w:line="360" w:lineRule="auto"/>
        <w:ind w:firstLine="420" w:firstLineChars="200"/>
        <w:rPr>
          <w:bCs/>
          <w:color w:val="auto"/>
          <w:sz w:val="21"/>
          <w:szCs w:val="21"/>
          <w:highlight w:val="none"/>
        </w:rPr>
      </w:pPr>
      <w:bookmarkStart w:id="139" w:name="_Toc29421"/>
      <w:r>
        <w:rPr>
          <w:rFonts w:hint="eastAsia"/>
          <w:color w:val="auto"/>
          <w:sz w:val="21"/>
          <w:szCs w:val="21"/>
          <w:highlight w:val="none"/>
        </w:rPr>
        <w:t>35.7.采购代理机构在收到供应商的有效书面质疑后7个工作日内作出答复，但答复的内容不涉及商业秘密，质疑供应商对采购人、采购代理机构的质疑答复不满意，或采购人、采购代理机构未在规定期限内作出答复的，可以在答复期满后15个工作日内向同级采购监督管理部门提出投诉。投诉事项应该是经过质疑的事项。</w:t>
      </w:r>
      <w:bookmarkEnd w:id="139"/>
    </w:p>
    <w:p>
      <w:pPr>
        <w:pStyle w:val="3"/>
        <w:keepNext/>
        <w:keepLines/>
        <w:pageBreakBefore/>
        <w:numPr>
          <w:ilvl w:val="0"/>
          <w:numId w:val="10"/>
        </w:numPr>
        <w:tabs>
          <w:tab w:val="left" w:pos="1080"/>
        </w:tabs>
        <w:spacing w:line="360" w:lineRule="auto"/>
        <w:ind w:left="1262" w:hanging="1262" w:hangingChars="449"/>
        <w:jc w:val="center"/>
        <w:rPr>
          <w:rFonts w:hAnsi="宋体"/>
          <w:b/>
          <w:bCs/>
          <w:color w:val="auto"/>
          <w:kern w:val="44"/>
          <w:sz w:val="28"/>
          <w:szCs w:val="28"/>
          <w:highlight w:val="none"/>
          <w:lang w:val="zh-CN"/>
        </w:rPr>
      </w:pPr>
      <w:bookmarkStart w:id="140" w:name="_Toc22751"/>
      <w:bookmarkStart w:id="141" w:name="_Toc396137240"/>
      <w:r>
        <w:rPr>
          <w:rFonts w:hint="eastAsia" w:hAnsi="宋体"/>
          <w:b/>
          <w:bCs/>
          <w:color w:val="auto"/>
          <w:kern w:val="44"/>
          <w:sz w:val="28"/>
          <w:szCs w:val="28"/>
          <w:highlight w:val="none"/>
          <w:lang w:val="zh-CN"/>
        </w:rPr>
        <w:t>用户需求书</w:t>
      </w:r>
      <w:bookmarkEnd w:id="140"/>
      <w:bookmarkEnd w:id="141"/>
    </w:p>
    <w:p>
      <w:pPr>
        <w:pStyle w:val="3"/>
        <w:spacing w:line="360" w:lineRule="auto"/>
        <w:ind w:left="425" w:hanging="425"/>
        <w:rPr>
          <w:rFonts w:hAnsi="宋体"/>
          <w:b/>
          <w:bCs/>
          <w:color w:val="auto"/>
          <w:highlight w:val="none"/>
        </w:rPr>
      </w:pPr>
      <w:bookmarkStart w:id="142" w:name="_Toc435458299"/>
      <w:bookmarkStart w:id="143" w:name="_Toc435457364"/>
      <w:bookmarkStart w:id="144" w:name="_Toc435458226"/>
      <w:bookmarkStart w:id="145" w:name="_Toc435461578"/>
      <w:bookmarkStart w:id="146" w:name="_Toc435458060"/>
      <w:bookmarkStart w:id="147" w:name="_Toc333932652"/>
      <w:r>
        <w:rPr>
          <w:rFonts w:hint="eastAsia" w:hAnsi="宋体"/>
          <w:b/>
          <w:bCs/>
          <w:color w:val="auto"/>
          <w:highlight w:val="none"/>
        </w:rPr>
        <w:t>一、项目概况</w:t>
      </w:r>
      <w:bookmarkEnd w:id="142"/>
      <w:bookmarkEnd w:id="143"/>
      <w:bookmarkEnd w:id="144"/>
      <w:bookmarkEnd w:id="145"/>
      <w:bookmarkEnd w:id="146"/>
      <w:bookmarkEnd w:id="147"/>
    </w:p>
    <w:p>
      <w:pPr>
        <w:spacing w:line="360" w:lineRule="auto"/>
        <w:ind w:firstLine="420" w:firstLineChars="200"/>
        <w:rPr>
          <w:rFonts w:hAnsi="宋体"/>
          <w:bCs/>
          <w:color w:val="auto"/>
          <w:sz w:val="21"/>
          <w:szCs w:val="21"/>
          <w:highlight w:val="none"/>
        </w:rPr>
      </w:pPr>
      <w:r>
        <w:rPr>
          <w:rFonts w:hint="eastAsia" w:hAnsi="宋体"/>
          <w:bCs/>
          <w:color w:val="auto"/>
          <w:sz w:val="21"/>
          <w:szCs w:val="21"/>
          <w:highlight w:val="none"/>
        </w:rPr>
        <w:t>本项目建筑面积</w:t>
      </w:r>
      <w:r>
        <w:rPr>
          <w:color w:val="auto"/>
          <w:sz w:val="24"/>
          <w:szCs w:val="24"/>
          <w:highlight w:val="none"/>
        </w:rPr>
        <w:t>158604.99</w:t>
      </w:r>
      <w:r>
        <w:rPr>
          <w:rFonts w:hint="eastAsia"/>
          <w:color w:val="auto"/>
          <w:sz w:val="24"/>
          <w:szCs w:val="24"/>
          <w:highlight w:val="none"/>
        </w:rPr>
        <w:t xml:space="preserve"> </w:t>
      </w:r>
      <w:r>
        <w:rPr>
          <w:rFonts w:hint="eastAsia" w:hAnsi="宋体"/>
          <w:bCs/>
          <w:color w:val="auto"/>
          <w:sz w:val="21"/>
          <w:szCs w:val="21"/>
          <w:highlight w:val="none"/>
        </w:rPr>
        <w:t>㎡ ，施工用电采用高供高计计量方式，功率因数应达到0.9以上，因此，</w:t>
      </w:r>
      <w:r>
        <w:rPr>
          <w:rFonts w:hint="eastAsia" w:hAnsi="宋体"/>
          <w:color w:val="auto"/>
          <w:sz w:val="21"/>
          <w:szCs w:val="21"/>
          <w:highlight w:val="none"/>
        </w:rPr>
        <w:t>东莞市湾区国际制造中心总部</w:t>
      </w:r>
      <w:r>
        <w:rPr>
          <w:rFonts w:hint="eastAsia" w:hAnsi="宋体"/>
          <w:bCs/>
          <w:color w:val="auto"/>
          <w:sz w:val="21"/>
          <w:szCs w:val="21"/>
          <w:highlight w:val="none"/>
        </w:rPr>
        <w:t>施工用电选用2台630kVA欧式箱变，分别为新建SCB12-630/10-NX3预装式环网型箱变1台，新建SCB12-630/10-NX3预装式终端型箱变1台。</w:t>
      </w:r>
    </w:p>
    <w:p>
      <w:pPr>
        <w:spacing w:line="360" w:lineRule="auto"/>
        <w:ind w:firstLine="420" w:firstLineChars="200"/>
        <w:rPr>
          <w:rFonts w:hAnsi="宋体"/>
          <w:bCs/>
          <w:color w:val="auto"/>
          <w:sz w:val="21"/>
          <w:szCs w:val="21"/>
          <w:highlight w:val="none"/>
        </w:rPr>
      </w:pPr>
      <w:r>
        <w:rPr>
          <w:rFonts w:hint="eastAsia" w:hAnsi="宋体"/>
          <w:bCs/>
          <w:color w:val="auto"/>
          <w:sz w:val="21"/>
          <w:szCs w:val="21"/>
          <w:highlight w:val="none"/>
        </w:rPr>
        <w:t>施工临电箱变布置如下：</w:t>
      </w:r>
    </w:p>
    <w:p>
      <w:pPr>
        <w:spacing w:line="360" w:lineRule="auto"/>
        <w:ind w:firstLine="420" w:firstLineChars="200"/>
        <w:rPr>
          <w:rFonts w:hint="eastAsia" w:hAnsi="宋体" w:eastAsia="宋体"/>
          <w:bCs/>
          <w:color w:val="auto"/>
          <w:sz w:val="21"/>
          <w:szCs w:val="21"/>
          <w:highlight w:val="none"/>
          <w:lang w:eastAsia="zh-CN"/>
        </w:rPr>
      </w:pPr>
      <w:r>
        <w:rPr>
          <w:rFonts w:hint="eastAsia" w:hAnsi="宋体" w:eastAsia="宋体"/>
          <w:bCs/>
          <w:color w:val="auto"/>
          <w:sz w:val="21"/>
          <w:szCs w:val="21"/>
          <w:highlight w:val="none"/>
          <w:lang w:eastAsia="zh-CN"/>
        </w:rPr>
        <w:drawing>
          <wp:inline distT="0" distB="0" distL="114300" distR="114300">
            <wp:extent cx="6112510" cy="4665980"/>
            <wp:effectExtent l="0" t="0" r="2540" b="1270"/>
            <wp:docPr id="3" name="图片 3" descr="16315265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31526560(1)"/>
                    <pic:cNvPicPr>
                      <a:picLocks noChangeAspect="1"/>
                    </pic:cNvPicPr>
                  </pic:nvPicPr>
                  <pic:blipFill>
                    <a:blip r:embed="rId13"/>
                    <a:stretch>
                      <a:fillRect/>
                    </a:stretch>
                  </pic:blipFill>
                  <pic:spPr>
                    <a:xfrm>
                      <a:off x="0" y="0"/>
                      <a:ext cx="6112510" cy="4665980"/>
                    </a:xfrm>
                    <a:prstGeom prst="rect">
                      <a:avLst/>
                    </a:prstGeom>
                  </pic:spPr>
                </pic:pic>
              </a:graphicData>
            </a:graphic>
          </wp:inline>
        </w:drawing>
      </w:r>
    </w:p>
    <w:p>
      <w:pPr>
        <w:spacing w:line="360" w:lineRule="auto"/>
        <w:ind w:firstLine="420" w:firstLineChars="200"/>
        <w:rPr>
          <w:rFonts w:hAnsi="宋体"/>
          <w:bCs/>
          <w:color w:val="auto"/>
          <w:sz w:val="21"/>
          <w:szCs w:val="21"/>
          <w:highlight w:val="none"/>
        </w:rPr>
      </w:pPr>
    </w:p>
    <w:p>
      <w:pPr>
        <w:widowControl/>
        <w:autoSpaceDE/>
        <w:autoSpaceDN/>
        <w:adjustRightInd/>
        <w:rPr>
          <w:rFonts w:hAnsi="宋体"/>
          <w:bCs/>
          <w:color w:val="auto"/>
          <w:sz w:val="21"/>
          <w:szCs w:val="21"/>
          <w:highlight w:val="none"/>
        </w:rPr>
      </w:pPr>
      <w:r>
        <w:rPr>
          <w:rFonts w:hAnsi="宋体"/>
          <w:bCs/>
          <w:color w:val="auto"/>
          <w:sz w:val="21"/>
          <w:szCs w:val="21"/>
          <w:highlight w:val="none"/>
        </w:rPr>
        <w:br w:type="page"/>
      </w:r>
    </w:p>
    <w:p>
      <w:pPr>
        <w:spacing w:line="360" w:lineRule="auto"/>
        <w:ind w:firstLine="420" w:firstLineChars="200"/>
        <w:rPr>
          <w:rFonts w:hAnsi="宋体"/>
          <w:bCs/>
          <w:color w:val="auto"/>
          <w:sz w:val="21"/>
          <w:szCs w:val="21"/>
          <w:highlight w:val="none"/>
        </w:rPr>
      </w:pPr>
      <w:r>
        <w:rPr>
          <w:rFonts w:hint="eastAsia" w:hAnsi="宋体"/>
          <w:bCs/>
          <w:color w:val="auto"/>
          <w:sz w:val="21"/>
          <w:szCs w:val="21"/>
          <w:highlight w:val="none"/>
        </w:rPr>
        <w:t>电缆走向图总图如下：</w:t>
      </w:r>
    </w:p>
    <w:p>
      <w:pPr>
        <w:pStyle w:val="21"/>
        <w:ind w:firstLine="0" w:firstLineChars="0"/>
        <w:jc w:val="center"/>
        <w:rPr>
          <w:rFonts w:hint="eastAsia" w:eastAsia="宋体"/>
          <w:color w:val="auto"/>
          <w:highlight w:val="none"/>
          <w:lang w:eastAsia="zh-CN"/>
        </w:rPr>
      </w:pPr>
      <w:r>
        <w:rPr>
          <w:rFonts w:hint="eastAsia" w:eastAsia="宋体"/>
          <w:color w:val="auto"/>
          <w:highlight w:val="none"/>
          <w:lang w:eastAsia="zh-CN"/>
        </w:rPr>
        <w:drawing>
          <wp:inline distT="0" distB="0" distL="114300" distR="114300">
            <wp:extent cx="6116320" cy="4719955"/>
            <wp:effectExtent l="0" t="0" r="17780" b="4445"/>
            <wp:docPr id="4" name="图片 4" descr="1631527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31527114(1)"/>
                    <pic:cNvPicPr>
                      <a:picLocks noChangeAspect="1"/>
                    </pic:cNvPicPr>
                  </pic:nvPicPr>
                  <pic:blipFill>
                    <a:blip r:embed="rId14"/>
                    <a:stretch>
                      <a:fillRect/>
                    </a:stretch>
                  </pic:blipFill>
                  <pic:spPr>
                    <a:xfrm>
                      <a:off x="0" y="0"/>
                      <a:ext cx="6116320" cy="4719955"/>
                    </a:xfrm>
                    <a:prstGeom prst="rect">
                      <a:avLst/>
                    </a:prstGeom>
                  </pic:spPr>
                </pic:pic>
              </a:graphicData>
            </a:graphic>
          </wp:inline>
        </w:drawing>
      </w:r>
    </w:p>
    <w:p>
      <w:pPr>
        <w:pStyle w:val="3"/>
        <w:spacing w:line="360" w:lineRule="auto"/>
        <w:ind w:left="425" w:hanging="425"/>
        <w:rPr>
          <w:rFonts w:hAnsi="宋体"/>
          <w:b/>
          <w:bCs/>
          <w:color w:val="auto"/>
          <w:highlight w:val="none"/>
        </w:rPr>
      </w:pPr>
      <w:bookmarkStart w:id="148" w:name="_Toc435461581"/>
      <w:bookmarkStart w:id="149" w:name="_Toc26426"/>
      <w:bookmarkStart w:id="150" w:name="_Toc435458230"/>
      <w:bookmarkStart w:id="151" w:name="_Toc435458064"/>
      <w:bookmarkStart w:id="152" w:name="_Toc435457368"/>
      <w:bookmarkStart w:id="153" w:name="_Toc435458303"/>
      <w:r>
        <w:rPr>
          <w:rFonts w:hint="eastAsia" w:hAnsi="宋体"/>
          <w:b/>
          <w:bCs/>
          <w:color w:val="auto"/>
          <w:highlight w:val="none"/>
        </w:rPr>
        <w:t>二、主要设备材料</w:t>
      </w:r>
    </w:p>
    <w:tbl>
      <w:tblPr>
        <w:tblStyle w:val="51"/>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985"/>
        <w:gridCol w:w="2126"/>
        <w:gridCol w:w="3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851"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序号</w:t>
            </w:r>
          </w:p>
        </w:tc>
        <w:tc>
          <w:tcPr>
            <w:tcW w:w="1985"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材料设备名称</w:t>
            </w:r>
          </w:p>
        </w:tc>
        <w:tc>
          <w:tcPr>
            <w:tcW w:w="2126"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选用规格型号</w:t>
            </w:r>
          </w:p>
        </w:tc>
        <w:tc>
          <w:tcPr>
            <w:tcW w:w="3660"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851" w:type="dxa"/>
            <w:vAlign w:val="center"/>
          </w:tcPr>
          <w:p>
            <w:pPr>
              <w:spacing w:line="360" w:lineRule="auto"/>
              <w:jc w:val="center"/>
              <w:rPr>
                <w:rFonts w:hAnsi="宋体"/>
                <w:color w:val="auto"/>
                <w:sz w:val="21"/>
                <w:szCs w:val="21"/>
                <w:highlight w:val="none"/>
              </w:rPr>
            </w:pPr>
            <w:r>
              <w:rPr>
                <w:rFonts w:hAnsi="宋体"/>
                <w:color w:val="auto"/>
                <w:sz w:val="21"/>
                <w:szCs w:val="21"/>
                <w:highlight w:val="none"/>
              </w:rPr>
              <w:t>1</w:t>
            </w:r>
          </w:p>
        </w:tc>
        <w:tc>
          <w:tcPr>
            <w:tcW w:w="1985"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电线电缆</w:t>
            </w:r>
          </w:p>
        </w:tc>
        <w:tc>
          <w:tcPr>
            <w:tcW w:w="2126"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按设计标配</w:t>
            </w:r>
          </w:p>
        </w:tc>
        <w:tc>
          <w:tcPr>
            <w:tcW w:w="3660" w:type="dxa"/>
            <w:vAlign w:val="center"/>
          </w:tcPr>
          <w:p>
            <w:pPr>
              <w:spacing w:line="300" w:lineRule="auto"/>
              <w:rPr>
                <w:rFonts w:hAnsi="宋体"/>
                <w:color w:val="auto"/>
                <w:sz w:val="21"/>
                <w:szCs w:val="21"/>
                <w:highlight w:val="none"/>
              </w:rPr>
            </w:pPr>
            <w:r>
              <w:rPr>
                <w:rFonts w:hint="eastAsia" w:hAnsi="宋体"/>
                <w:color w:val="auto"/>
                <w:sz w:val="21"/>
                <w:szCs w:val="21"/>
                <w:highlight w:val="none"/>
              </w:rPr>
              <w:t>外观完好无损，铠装无锈蚀，无机械损伤，无明显皱褶和扭曲现象，外皮绝缘层无老化和裂纹。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51" w:type="dxa"/>
            <w:vAlign w:val="center"/>
          </w:tcPr>
          <w:p>
            <w:pPr>
              <w:spacing w:line="360" w:lineRule="auto"/>
              <w:jc w:val="center"/>
              <w:rPr>
                <w:rFonts w:hAnsi="宋体"/>
                <w:color w:val="auto"/>
                <w:sz w:val="21"/>
                <w:szCs w:val="21"/>
                <w:highlight w:val="none"/>
              </w:rPr>
            </w:pPr>
            <w:r>
              <w:rPr>
                <w:rFonts w:hAnsi="宋体"/>
                <w:color w:val="auto"/>
                <w:sz w:val="21"/>
                <w:szCs w:val="21"/>
                <w:highlight w:val="none"/>
              </w:rPr>
              <w:t>2</w:t>
            </w:r>
          </w:p>
        </w:tc>
        <w:tc>
          <w:tcPr>
            <w:tcW w:w="1985" w:type="dxa"/>
            <w:vAlign w:val="center"/>
          </w:tcPr>
          <w:p>
            <w:pPr>
              <w:spacing w:line="360" w:lineRule="auto"/>
              <w:rPr>
                <w:rFonts w:hAnsi="宋体"/>
                <w:color w:val="auto"/>
                <w:sz w:val="21"/>
                <w:szCs w:val="21"/>
                <w:highlight w:val="none"/>
              </w:rPr>
            </w:pPr>
            <w:r>
              <w:rPr>
                <w:rFonts w:hAnsi="宋体"/>
                <w:color w:val="auto"/>
                <w:sz w:val="21"/>
                <w:szCs w:val="21"/>
                <w:highlight w:val="none"/>
              </w:rPr>
              <w:t>PVC</w:t>
            </w:r>
            <w:r>
              <w:rPr>
                <w:rFonts w:hint="eastAsia" w:hAnsi="宋体"/>
                <w:color w:val="auto"/>
                <w:sz w:val="21"/>
                <w:szCs w:val="21"/>
                <w:highlight w:val="none"/>
              </w:rPr>
              <w:t>线管</w:t>
            </w:r>
          </w:p>
        </w:tc>
        <w:tc>
          <w:tcPr>
            <w:tcW w:w="2126"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按设计标配</w:t>
            </w:r>
          </w:p>
        </w:tc>
        <w:tc>
          <w:tcPr>
            <w:tcW w:w="3660" w:type="dxa"/>
            <w:vAlign w:val="center"/>
          </w:tcPr>
          <w:p>
            <w:pPr>
              <w:spacing w:line="300" w:lineRule="auto"/>
              <w:rPr>
                <w:rFonts w:hAnsi="宋体"/>
                <w:color w:val="auto"/>
                <w:sz w:val="21"/>
                <w:szCs w:val="21"/>
                <w:highlight w:val="none"/>
              </w:rPr>
            </w:pPr>
            <w:r>
              <w:rPr>
                <w:rFonts w:hint="eastAsia" w:hAnsi="宋体"/>
                <w:color w:val="auto"/>
                <w:sz w:val="21"/>
                <w:szCs w:val="21"/>
                <w:highlight w:val="none"/>
              </w:rPr>
              <w:t>管子内外壁应光滑、无突棱、凹陷、针孔及气泡，管壁厚度应均匀一致。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51" w:type="dxa"/>
            <w:vAlign w:val="center"/>
          </w:tcPr>
          <w:p>
            <w:pPr>
              <w:jc w:val="center"/>
              <w:rPr>
                <w:rFonts w:hAnsi="宋体"/>
                <w:color w:val="auto"/>
                <w:sz w:val="21"/>
                <w:szCs w:val="21"/>
                <w:highlight w:val="none"/>
              </w:rPr>
            </w:pPr>
            <w:r>
              <w:rPr>
                <w:rFonts w:hAnsi="宋体"/>
                <w:color w:val="auto"/>
                <w:sz w:val="21"/>
                <w:szCs w:val="21"/>
                <w:highlight w:val="none"/>
              </w:rPr>
              <w:t>3</w:t>
            </w:r>
          </w:p>
        </w:tc>
        <w:tc>
          <w:tcPr>
            <w:tcW w:w="1985" w:type="dxa"/>
            <w:vAlign w:val="center"/>
          </w:tcPr>
          <w:p>
            <w:pPr>
              <w:rPr>
                <w:rFonts w:hAnsi="宋体"/>
                <w:color w:val="auto"/>
                <w:sz w:val="21"/>
                <w:szCs w:val="21"/>
                <w:highlight w:val="none"/>
              </w:rPr>
            </w:pPr>
            <w:r>
              <w:rPr>
                <w:rFonts w:hint="eastAsia" w:hAnsi="宋体"/>
                <w:color w:val="auto"/>
                <w:sz w:val="21"/>
                <w:szCs w:val="21"/>
                <w:highlight w:val="none"/>
              </w:rPr>
              <w:t>变压器</w:t>
            </w:r>
          </w:p>
        </w:tc>
        <w:tc>
          <w:tcPr>
            <w:tcW w:w="2126" w:type="dxa"/>
            <w:vAlign w:val="center"/>
          </w:tcPr>
          <w:p>
            <w:pPr>
              <w:spacing w:line="360" w:lineRule="auto"/>
              <w:rPr>
                <w:rFonts w:hAnsi="宋体"/>
                <w:color w:val="auto"/>
                <w:sz w:val="21"/>
                <w:szCs w:val="21"/>
                <w:highlight w:val="none"/>
              </w:rPr>
            </w:pPr>
            <w:r>
              <w:rPr>
                <w:rFonts w:hint="eastAsia" w:hAnsi="宋体"/>
                <w:bCs/>
                <w:color w:val="auto"/>
                <w:sz w:val="21"/>
                <w:szCs w:val="21"/>
                <w:highlight w:val="none"/>
              </w:rPr>
              <w:t>SCB12-630/10-NX3</w:t>
            </w:r>
            <w:r>
              <w:rPr>
                <w:rFonts w:hint="eastAsia" w:hAnsi="宋体"/>
                <w:color w:val="auto"/>
                <w:sz w:val="21"/>
                <w:szCs w:val="21"/>
                <w:highlight w:val="none"/>
              </w:rPr>
              <w:t>,按设计图</w:t>
            </w:r>
          </w:p>
        </w:tc>
        <w:tc>
          <w:tcPr>
            <w:tcW w:w="3660" w:type="dxa"/>
            <w:vAlign w:val="center"/>
          </w:tcPr>
          <w:p>
            <w:pPr>
              <w:rPr>
                <w:rFonts w:hAnsi="宋体"/>
                <w:color w:val="auto"/>
                <w:sz w:val="21"/>
                <w:szCs w:val="21"/>
                <w:highlight w:val="none"/>
              </w:rPr>
            </w:pPr>
            <w:r>
              <w:rPr>
                <w:rFonts w:hint="eastAsia" w:hAnsi="宋体"/>
                <w:color w:val="auto"/>
                <w:sz w:val="21"/>
                <w:szCs w:val="21"/>
                <w:highlight w:val="none"/>
              </w:rPr>
              <w:t>全铜，外观包装完好，无损伤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851" w:type="dxa"/>
            <w:vAlign w:val="center"/>
          </w:tcPr>
          <w:p>
            <w:pPr>
              <w:jc w:val="center"/>
              <w:rPr>
                <w:rFonts w:hAnsi="宋体"/>
                <w:color w:val="auto"/>
                <w:sz w:val="21"/>
                <w:szCs w:val="21"/>
                <w:highlight w:val="none"/>
              </w:rPr>
            </w:pPr>
            <w:r>
              <w:rPr>
                <w:rFonts w:hAnsi="宋体"/>
                <w:color w:val="auto"/>
                <w:sz w:val="21"/>
                <w:szCs w:val="21"/>
                <w:highlight w:val="none"/>
              </w:rPr>
              <w:t>4</w:t>
            </w:r>
          </w:p>
        </w:tc>
        <w:tc>
          <w:tcPr>
            <w:tcW w:w="1985" w:type="dxa"/>
            <w:vAlign w:val="center"/>
          </w:tcPr>
          <w:p>
            <w:pPr>
              <w:rPr>
                <w:rFonts w:hAnsi="宋体"/>
                <w:color w:val="auto"/>
                <w:sz w:val="21"/>
                <w:szCs w:val="21"/>
                <w:highlight w:val="none"/>
              </w:rPr>
            </w:pPr>
            <w:r>
              <w:rPr>
                <w:rFonts w:hint="eastAsia" w:hAnsi="宋体"/>
                <w:color w:val="auto"/>
                <w:sz w:val="21"/>
                <w:szCs w:val="21"/>
                <w:highlight w:val="none"/>
              </w:rPr>
              <w:t>高压柜</w:t>
            </w:r>
          </w:p>
        </w:tc>
        <w:tc>
          <w:tcPr>
            <w:tcW w:w="2126"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按设计图</w:t>
            </w:r>
          </w:p>
        </w:tc>
        <w:tc>
          <w:tcPr>
            <w:tcW w:w="3660" w:type="dxa"/>
            <w:vAlign w:val="center"/>
          </w:tcPr>
          <w:p>
            <w:pPr>
              <w:rPr>
                <w:rFonts w:hAnsi="宋体"/>
                <w:color w:val="auto"/>
                <w:sz w:val="21"/>
                <w:szCs w:val="21"/>
                <w:highlight w:val="none"/>
              </w:rPr>
            </w:pPr>
            <w:r>
              <w:rPr>
                <w:rFonts w:hint="eastAsia" w:hAnsi="宋体"/>
                <w:color w:val="auto"/>
                <w:sz w:val="21"/>
                <w:szCs w:val="21"/>
                <w:highlight w:val="none"/>
              </w:rPr>
              <w:t>外观包装完好，无损伤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51" w:type="dxa"/>
            <w:vAlign w:val="center"/>
          </w:tcPr>
          <w:p>
            <w:pPr>
              <w:ind w:left="-26" w:leftChars="-85" w:hanging="178" w:hangingChars="85"/>
              <w:jc w:val="center"/>
              <w:rPr>
                <w:rFonts w:hAnsi="宋体"/>
                <w:color w:val="auto"/>
                <w:sz w:val="21"/>
                <w:szCs w:val="21"/>
                <w:highlight w:val="none"/>
              </w:rPr>
            </w:pPr>
            <w:r>
              <w:rPr>
                <w:rFonts w:hAnsi="宋体"/>
                <w:color w:val="auto"/>
                <w:sz w:val="21"/>
                <w:szCs w:val="21"/>
                <w:highlight w:val="none"/>
              </w:rPr>
              <w:t xml:space="preserve"> 5</w:t>
            </w:r>
          </w:p>
        </w:tc>
        <w:tc>
          <w:tcPr>
            <w:tcW w:w="1985" w:type="dxa"/>
            <w:vAlign w:val="center"/>
          </w:tcPr>
          <w:p>
            <w:pPr>
              <w:rPr>
                <w:rFonts w:hAnsi="宋体"/>
                <w:color w:val="auto"/>
                <w:sz w:val="21"/>
                <w:szCs w:val="21"/>
                <w:highlight w:val="none"/>
              </w:rPr>
            </w:pPr>
            <w:r>
              <w:rPr>
                <w:rFonts w:hint="eastAsia" w:hAnsi="宋体"/>
                <w:color w:val="auto"/>
                <w:sz w:val="21"/>
                <w:szCs w:val="21"/>
                <w:highlight w:val="none"/>
              </w:rPr>
              <w:t>低压柜</w:t>
            </w:r>
          </w:p>
        </w:tc>
        <w:tc>
          <w:tcPr>
            <w:tcW w:w="2126"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按设计图</w:t>
            </w:r>
          </w:p>
        </w:tc>
        <w:tc>
          <w:tcPr>
            <w:tcW w:w="3660" w:type="dxa"/>
            <w:vAlign w:val="center"/>
          </w:tcPr>
          <w:p>
            <w:pPr>
              <w:rPr>
                <w:rFonts w:hAnsi="宋体"/>
                <w:color w:val="auto"/>
                <w:sz w:val="21"/>
                <w:szCs w:val="21"/>
                <w:highlight w:val="none"/>
              </w:rPr>
            </w:pPr>
            <w:r>
              <w:rPr>
                <w:rFonts w:hint="eastAsia" w:hAnsi="宋体"/>
                <w:color w:val="auto"/>
                <w:sz w:val="21"/>
                <w:szCs w:val="21"/>
                <w:highlight w:val="none"/>
              </w:rPr>
              <w:t>外观包装完好，无损伤</w:t>
            </w:r>
          </w:p>
        </w:tc>
      </w:tr>
    </w:tbl>
    <w:p>
      <w:pPr>
        <w:pStyle w:val="3"/>
        <w:spacing w:line="360" w:lineRule="auto"/>
        <w:ind w:left="425" w:hanging="425"/>
        <w:rPr>
          <w:rFonts w:hAnsi="宋体"/>
          <w:b/>
          <w:bCs/>
          <w:color w:val="auto"/>
          <w:highlight w:val="none"/>
        </w:rPr>
      </w:pPr>
      <w:r>
        <w:rPr>
          <w:rFonts w:hint="eastAsia" w:hAnsi="宋体"/>
          <w:b/>
          <w:bCs/>
          <w:color w:val="auto"/>
          <w:highlight w:val="none"/>
        </w:rPr>
        <w:t>三、主要设备技术要求</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（一）箱式变压器技术要求：</w:t>
      </w:r>
    </w:p>
    <w:p>
      <w:pPr>
        <w:pStyle w:val="75"/>
        <w:spacing w:line="360" w:lineRule="auto"/>
        <w:ind w:firstLine="428" w:firstLineChars="204"/>
        <w:rPr>
          <w:rFonts w:ascii="宋体" w:eastAsia="宋体"/>
          <w:color w:val="auto"/>
          <w:sz w:val="21"/>
          <w:szCs w:val="21"/>
          <w:highlight w:val="none"/>
        </w:rPr>
      </w:pPr>
      <w:r>
        <w:rPr>
          <w:rFonts w:ascii="宋体" w:eastAsia="宋体"/>
          <w:color w:val="auto"/>
          <w:sz w:val="21"/>
          <w:szCs w:val="21"/>
          <w:highlight w:val="none"/>
        </w:rPr>
        <w:t>1.</w:t>
      </w:r>
      <w:r>
        <w:rPr>
          <w:rFonts w:hint="eastAsia" w:ascii="宋体" w:eastAsia="宋体"/>
          <w:color w:val="auto"/>
          <w:sz w:val="21"/>
          <w:szCs w:val="21"/>
          <w:highlight w:val="none"/>
        </w:rPr>
        <w:t>系统额定电压：</w:t>
      </w:r>
      <w:r>
        <w:rPr>
          <w:rFonts w:ascii="宋体" w:eastAsia="宋体"/>
          <w:color w:val="auto"/>
          <w:sz w:val="21"/>
          <w:szCs w:val="21"/>
          <w:highlight w:val="none"/>
        </w:rPr>
        <w:t>10kV</w:t>
      </w:r>
      <w:r>
        <w:rPr>
          <w:rFonts w:hint="eastAsia" w:ascii="宋体" w:eastAsia="宋体"/>
          <w:color w:val="auto"/>
          <w:sz w:val="21"/>
          <w:szCs w:val="21"/>
          <w:highlight w:val="none"/>
        </w:rPr>
        <w:t>；</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2</w:t>
      </w:r>
      <w:r>
        <w:rPr>
          <w:rFonts w:ascii="宋体" w:eastAsia="宋体"/>
          <w:color w:val="auto"/>
          <w:sz w:val="21"/>
          <w:szCs w:val="21"/>
          <w:highlight w:val="none"/>
        </w:rPr>
        <w:t>.</w:t>
      </w:r>
      <w:r>
        <w:rPr>
          <w:rFonts w:hint="eastAsia" w:ascii="宋体" w:eastAsia="宋体"/>
          <w:color w:val="auto"/>
          <w:sz w:val="21"/>
          <w:szCs w:val="21"/>
          <w:highlight w:val="none"/>
        </w:rPr>
        <w:t>变压器高压侧额定电压</w:t>
      </w:r>
      <w:r>
        <w:rPr>
          <w:rFonts w:ascii="宋体" w:eastAsia="宋体"/>
          <w:color w:val="auto"/>
          <w:sz w:val="21"/>
          <w:szCs w:val="21"/>
          <w:highlight w:val="none"/>
        </w:rPr>
        <w:t>10</w:t>
      </w:r>
      <w:r>
        <w:rPr>
          <w:rFonts w:hint="eastAsia" w:ascii="宋体" w:eastAsia="宋体"/>
          <w:color w:val="auto"/>
          <w:sz w:val="21"/>
          <w:szCs w:val="21"/>
          <w:highlight w:val="none"/>
        </w:rPr>
        <w:t>±</w:t>
      </w:r>
      <w:r>
        <w:rPr>
          <w:rFonts w:hint="eastAsia" w:ascii="宋体" w:eastAsia="宋体"/>
          <w:color w:val="auto"/>
          <w:sz w:val="21"/>
          <w:szCs w:val="21"/>
          <w:highlight w:val="none"/>
          <w:lang w:val="en-US" w:eastAsia="zh-CN"/>
        </w:rPr>
        <w:t>2*</w:t>
      </w:r>
      <w:r>
        <w:rPr>
          <w:rFonts w:hint="eastAsia" w:ascii="宋体" w:eastAsia="宋体"/>
          <w:color w:val="auto"/>
          <w:sz w:val="21"/>
          <w:szCs w:val="21"/>
          <w:highlight w:val="none"/>
        </w:rPr>
        <w:t>2.5</w:t>
      </w:r>
      <w:r>
        <w:rPr>
          <w:rFonts w:ascii="宋体" w:eastAsia="宋体"/>
          <w:color w:val="auto"/>
          <w:sz w:val="21"/>
          <w:szCs w:val="21"/>
          <w:highlight w:val="none"/>
        </w:rPr>
        <w:t>%kV</w:t>
      </w:r>
      <w:r>
        <w:rPr>
          <w:rFonts w:hint="eastAsia" w:ascii="宋体" w:eastAsia="宋体"/>
          <w:color w:val="auto"/>
          <w:sz w:val="21"/>
          <w:szCs w:val="21"/>
          <w:highlight w:val="none"/>
        </w:rPr>
        <w:t>，低压侧额定电压：</w:t>
      </w:r>
      <w:r>
        <w:rPr>
          <w:rFonts w:ascii="宋体" w:eastAsia="宋体"/>
          <w:color w:val="auto"/>
          <w:sz w:val="21"/>
          <w:szCs w:val="21"/>
          <w:highlight w:val="none"/>
        </w:rPr>
        <w:t>0.4kV</w:t>
      </w:r>
      <w:r>
        <w:rPr>
          <w:rFonts w:hint="eastAsia" w:ascii="宋体" w:eastAsia="宋体"/>
          <w:color w:val="auto"/>
          <w:sz w:val="21"/>
          <w:szCs w:val="21"/>
          <w:highlight w:val="none"/>
        </w:rPr>
        <w:t>；</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3.箱变设为独立配电室，变压器选用</w:t>
      </w:r>
      <w:r>
        <w:rPr>
          <w:rFonts w:hint="eastAsia" w:hAnsi="宋体"/>
          <w:bCs/>
          <w:color w:val="auto"/>
          <w:sz w:val="21"/>
          <w:szCs w:val="21"/>
          <w:highlight w:val="none"/>
        </w:rPr>
        <w:t>SCB12-630/10-NX3</w:t>
      </w:r>
      <w:r>
        <w:rPr>
          <w:rFonts w:hint="eastAsia"/>
          <w:bCs/>
          <w:color w:val="auto"/>
          <w:sz w:val="21"/>
          <w:szCs w:val="21"/>
          <w:highlight w:val="none"/>
          <w:lang w:eastAsia="zh-CN"/>
        </w:rPr>
        <w:t>干</w:t>
      </w:r>
      <w:r>
        <w:rPr>
          <w:rFonts w:hint="eastAsia" w:ascii="宋体" w:eastAsia="宋体"/>
          <w:color w:val="auto"/>
          <w:sz w:val="21"/>
          <w:szCs w:val="21"/>
          <w:highlight w:val="none"/>
        </w:rPr>
        <w:t>式变压器。</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4．高压进线柜采用全绝缘型负荷开关柜，过流、速断、高压零序保护由断路器实现；高压出线柜采用全绝缘型熔断器式负荷开关柜，过流、过负荷保护由熔断器式负荷开关实现，外壳防护等级</w:t>
      </w:r>
      <w:r>
        <w:rPr>
          <w:rFonts w:ascii="宋体" w:eastAsia="宋体"/>
          <w:color w:val="auto"/>
          <w:sz w:val="21"/>
          <w:szCs w:val="21"/>
          <w:highlight w:val="none"/>
        </w:rPr>
        <w:t>IP30</w:t>
      </w:r>
      <w:r>
        <w:rPr>
          <w:rFonts w:hint="eastAsia" w:ascii="宋体" w:eastAsia="宋体"/>
          <w:color w:val="auto"/>
          <w:sz w:val="21"/>
          <w:szCs w:val="21"/>
          <w:highlight w:val="none"/>
        </w:rPr>
        <w:t>。</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5.低压配电柜采用</w:t>
      </w:r>
      <w:r>
        <w:rPr>
          <w:rFonts w:ascii="宋体" w:eastAsia="宋体"/>
          <w:color w:val="auto"/>
          <w:sz w:val="21"/>
          <w:szCs w:val="21"/>
          <w:highlight w:val="none"/>
        </w:rPr>
        <w:t>GGD</w:t>
      </w:r>
      <w:r>
        <w:rPr>
          <w:rFonts w:hint="eastAsia" w:ascii="宋体" w:eastAsia="宋体"/>
          <w:color w:val="auto"/>
          <w:sz w:val="21"/>
          <w:szCs w:val="21"/>
          <w:highlight w:val="none"/>
        </w:rPr>
        <w:t>型，外壳防护等级</w:t>
      </w:r>
      <w:r>
        <w:rPr>
          <w:rFonts w:ascii="宋体" w:eastAsia="宋体"/>
          <w:color w:val="auto"/>
          <w:sz w:val="21"/>
          <w:szCs w:val="21"/>
          <w:highlight w:val="none"/>
        </w:rPr>
        <w:t>IP30</w:t>
      </w:r>
      <w:r>
        <w:rPr>
          <w:rFonts w:hint="eastAsia" w:ascii="宋体" w:eastAsia="宋体"/>
          <w:color w:val="auto"/>
          <w:sz w:val="21"/>
          <w:szCs w:val="21"/>
          <w:highlight w:val="none"/>
        </w:rPr>
        <w:t>，进出线方式：下进下出。</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（二）断路器要求：</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1.高压进线柜装断路器作过流、速断、高压零序保护；高压出线柜装熔断器式负荷开关作过流、过负荷保护；</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2.低压进线断路器装设过设置过载长延时、短路短延时两段保护。</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3.低压出线断路器设过载长延时、短路瞬时两段保护。</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4.时限过流：整定值取电房内配变定时限过流定值电流之和，动作时间为</w:t>
      </w:r>
      <w:r>
        <w:rPr>
          <w:rFonts w:ascii="宋体" w:eastAsia="宋体"/>
          <w:color w:val="auto"/>
          <w:sz w:val="21"/>
          <w:szCs w:val="21"/>
          <w:highlight w:val="none"/>
        </w:rPr>
        <w:t>0.3</w:t>
      </w:r>
      <w:r>
        <w:rPr>
          <w:rFonts w:hint="eastAsia" w:ascii="宋体" w:eastAsia="宋体"/>
          <w:color w:val="auto"/>
          <w:sz w:val="21"/>
          <w:szCs w:val="21"/>
          <w:highlight w:val="none"/>
        </w:rPr>
        <w:t>秒。</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5.速切：定值取电房内最大配变的速切定值，</w:t>
      </w:r>
      <w:r>
        <w:rPr>
          <w:rFonts w:ascii="宋体" w:eastAsia="宋体"/>
          <w:color w:val="auto"/>
          <w:sz w:val="21"/>
          <w:szCs w:val="21"/>
          <w:highlight w:val="none"/>
        </w:rPr>
        <w:t>0</w:t>
      </w:r>
      <w:r>
        <w:rPr>
          <w:rFonts w:hint="eastAsia" w:ascii="宋体" w:eastAsia="宋体"/>
          <w:color w:val="auto"/>
          <w:sz w:val="21"/>
          <w:szCs w:val="21"/>
          <w:highlight w:val="none"/>
        </w:rPr>
        <w:t>秒。</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6.高压侧零序过流整定值取</w:t>
      </w:r>
      <w:r>
        <w:rPr>
          <w:rFonts w:ascii="宋体" w:eastAsia="宋体"/>
          <w:color w:val="auto"/>
          <w:sz w:val="21"/>
          <w:szCs w:val="21"/>
          <w:highlight w:val="none"/>
        </w:rPr>
        <w:t>40A</w:t>
      </w:r>
      <w:r>
        <w:rPr>
          <w:rFonts w:hint="eastAsia" w:ascii="宋体" w:eastAsia="宋体"/>
          <w:color w:val="auto"/>
          <w:sz w:val="21"/>
          <w:szCs w:val="21"/>
          <w:highlight w:val="none"/>
        </w:rPr>
        <w:t>，动作时间为</w:t>
      </w:r>
      <w:r>
        <w:rPr>
          <w:rFonts w:ascii="宋体" w:eastAsia="宋体"/>
          <w:color w:val="auto"/>
          <w:sz w:val="21"/>
          <w:szCs w:val="21"/>
          <w:highlight w:val="none"/>
        </w:rPr>
        <w:t>0.1</w:t>
      </w:r>
      <w:r>
        <w:rPr>
          <w:rFonts w:hint="eastAsia" w:ascii="宋体" w:eastAsia="宋体"/>
          <w:color w:val="auto"/>
          <w:sz w:val="21"/>
          <w:szCs w:val="21"/>
          <w:highlight w:val="none"/>
        </w:rPr>
        <w:t>秒。</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（三）箱变护栏技术要求</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1.支架采用4寸镀锌钢管及L50×5镀锌角铁,支架连接点采用电焊焊接,所有焊接驳口采用连续双面焊,焊缝厚度不小于8mm，焊接后除渣并在焊接口涂防锈漆两遍,5厘镀锌铁丝网(网孔不大于40×40)焊接定在支撑架上, 安装完毕后需在护栏上喷涂红白相间防撞漆。接地用φ16圆钢。</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2.箱变基础含操作平台,具体情况可根据现场实施。</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3.围栏主架刷200mm高红白相间分格 。</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4.安全警示牌子的位置为建议安装位置，安装原则参照《东莞供电局配网设备安健环技术标准》。</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（四）排管施工技术要求</w:t>
      </w:r>
    </w:p>
    <w:p>
      <w:pPr>
        <w:pStyle w:val="75"/>
        <w:spacing w:line="360" w:lineRule="auto"/>
        <w:ind w:firstLine="428" w:firstLineChars="204"/>
        <w:rPr>
          <w:rFonts w:ascii="宋体" w:eastAsia="宋体"/>
          <w:color w:val="auto"/>
          <w:sz w:val="21"/>
          <w:szCs w:val="21"/>
          <w:highlight w:val="none"/>
        </w:rPr>
      </w:pPr>
      <w:r>
        <w:rPr>
          <w:rFonts w:ascii="宋体" w:eastAsia="宋体"/>
          <w:color w:val="auto"/>
          <w:sz w:val="21"/>
          <w:szCs w:val="21"/>
          <w:highlight w:val="none"/>
        </w:rPr>
        <w:t>1</w:t>
      </w:r>
      <w:r>
        <w:rPr>
          <w:rFonts w:hint="eastAsia" w:ascii="宋体" w:eastAsia="宋体"/>
          <w:color w:val="auto"/>
          <w:sz w:val="21"/>
          <w:szCs w:val="21"/>
          <w:highlight w:val="none"/>
        </w:rPr>
        <w:t>.开挖时按</w:t>
      </w:r>
      <w:r>
        <w:rPr>
          <w:rFonts w:ascii="宋体" w:eastAsia="宋体"/>
          <w:color w:val="auto"/>
          <w:sz w:val="21"/>
          <w:szCs w:val="21"/>
          <w:highlight w:val="none"/>
        </w:rPr>
        <w:t>1:0.25</w:t>
      </w:r>
      <w:r>
        <w:rPr>
          <w:rFonts w:hint="eastAsia" w:ascii="宋体" w:eastAsia="宋体"/>
          <w:color w:val="auto"/>
          <w:sz w:val="21"/>
          <w:szCs w:val="21"/>
          <w:highlight w:val="none"/>
        </w:rPr>
        <w:t>放坡系数进行放坡</w:t>
      </w:r>
      <w:r>
        <w:rPr>
          <w:rFonts w:ascii="宋体" w:eastAsia="宋体"/>
          <w:color w:val="auto"/>
          <w:sz w:val="21"/>
          <w:szCs w:val="21"/>
          <w:highlight w:val="none"/>
        </w:rPr>
        <w:t>(</w:t>
      </w:r>
      <w:r>
        <w:rPr>
          <w:rFonts w:hint="eastAsia" w:ascii="宋体" w:eastAsia="宋体"/>
          <w:color w:val="auto"/>
          <w:sz w:val="21"/>
          <w:szCs w:val="21"/>
          <w:highlight w:val="none"/>
        </w:rPr>
        <w:t>若遇到土质较差情况</w:t>
      </w:r>
      <w:r>
        <w:rPr>
          <w:rFonts w:ascii="宋体" w:eastAsia="宋体"/>
          <w:color w:val="auto"/>
          <w:sz w:val="21"/>
          <w:szCs w:val="21"/>
          <w:highlight w:val="none"/>
        </w:rPr>
        <w:t>,</w:t>
      </w:r>
      <w:r>
        <w:rPr>
          <w:rFonts w:hint="eastAsia" w:ascii="宋体" w:eastAsia="宋体"/>
          <w:color w:val="auto"/>
          <w:sz w:val="21"/>
          <w:szCs w:val="21"/>
          <w:highlight w:val="none"/>
        </w:rPr>
        <w:t>需相应调整放坡系数或采用挡土板支护</w:t>
      </w:r>
      <w:r>
        <w:rPr>
          <w:rFonts w:ascii="宋体" w:eastAsia="宋体"/>
          <w:color w:val="auto"/>
          <w:sz w:val="21"/>
          <w:szCs w:val="21"/>
          <w:highlight w:val="none"/>
        </w:rPr>
        <w:t>)</w:t>
      </w:r>
      <w:r>
        <w:rPr>
          <w:rFonts w:hint="eastAsia" w:ascii="宋体" w:eastAsia="宋体"/>
          <w:color w:val="auto"/>
          <w:sz w:val="21"/>
          <w:szCs w:val="21"/>
          <w:highlight w:val="none"/>
        </w:rPr>
        <w:t>，在电缆沟开挖至足够深度后，把沟底土层夯实，找平后，才捣垫层混凝土层。</w:t>
      </w:r>
    </w:p>
    <w:p>
      <w:pPr>
        <w:pStyle w:val="75"/>
        <w:spacing w:line="360" w:lineRule="auto"/>
        <w:ind w:firstLine="428" w:firstLineChars="204"/>
        <w:rPr>
          <w:rFonts w:ascii="宋体" w:eastAsia="宋体"/>
          <w:color w:val="auto"/>
          <w:sz w:val="21"/>
          <w:szCs w:val="21"/>
          <w:highlight w:val="none"/>
        </w:rPr>
      </w:pPr>
      <w:r>
        <w:rPr>
          <w:rFonts w:ascii="宋体" w:eastAsia="宋体"/>
          <w:color w:val="auto"/>
          <w:sz w:val="21"/>
          <w:szCs w:val="21"/>
          <w:highlight w:val="none"/>
        </w:rPr>
        <w:t>2</w:t>
      </w:r>
      <w:r>
        <w:rPr>
          <w:rFonts w:hint="eastAsia" w:ascii="宋体" w:eastAsia="宋体"/>
          <w:color w:val="auto"/>
          <w:sz w:val="21"/>
          <w:szCs w:val="21"/>
          <w:highlight w:val="none"/>
        </w:rPr>
        <w:t>.铺填石粉时需按</w:t>
      </w:r>
      <w:r>
        <w:rPr>
          <w:rFonts w:ascii="宋体" w:eastAsia="宋体"/>
          <w:color w:val="auto"/>
          <w:sz w:val="21"/>
          <w:szCs w:val="21"/>
          <w:highlight w:val="none"/>
        </w:rPr>
        <w:t>200mm</w:t>
      </w:r>
      <w:r>
        <w:rPr>
          <w:rFonts w:hint="eastAsia" w:ascii="宋体" w:eastAsia="宋体"/>
          <w:color w:val="auto"/>
          <w:sz w:val="21"/>
          <w:szCs w:val="21"/>
          <w:highlight w:val="none"/>
        </w:rPr>
        <w:t>逐层洒水夯实。</w:t>
      </w:r>
    </w:p>
    <w:p>
      <w:pPr>
        <w:pStyle w:val="75"/>
        <w:spacing w:line="360" w:lineRule="auto"/>
        <w:ind w:firstLine="428" w:firstLineChars="204"/>
        <w:rPr>
          <w:rFonts w:ascii="宋体" w:eastAsia="宋体"/>
          <w:color w:val="auto"/>
          <w:sz w:val="21"/>
          <w:szCs w:val="21"/>
          <w:highlight w:val="none"/>
        </w:rPr>
      </w:pPr>
      <w:r>
        <w:rPr>
          <w:rFonts w:ascii="宋体" w:eastAsia="宋体"/>
          <w:color w:val="auto"/>
          <w:sz w:val="21"/>
          <w:szCs w:val="21"/>
          <w:highlight w:val="none"/>
        </w:rPr>
        <w:t>3</w:t>
      </w:r>
      <w:r>
        <w:rPr>
          <w:rFonts w:hint="eastAsia" w:ascii="宋体" w:eastAsia="宋体"/>
          <w:color w:val="auto"/>
          <w:sz w:val="21"/>
          <w:szCs w:val="21"/>
          <w:highlight w:val="none"/>
        </w:rPr>
        <w:t>.电缆管必须保持平直，采用复合材料管枕对电缆管进行卡位和固定，施工中防止水泥及砂石漏入管中，覆土前电缆管端口必须用管盖封好。</w:t>
      </w:r>
    </w:p>
    <w:p>
      <w:pPr>
        <w:pStyle w:val="75"/>
        <w:spacing w:line="360" w:lineRule="auto"/>
        <w:ind w:firstLine="428" w:firstLineChars="204"/>
        <w:rPr>
          <w:rFonts w:ascii="宋体" w:eastAsia="宋体"/>
          <w:color w:val="auto"/>
          <w:sz w:val="21"/>
          <w:szCs w:val="21"/>
          <w:highlight w:val="none"/>
        </w:rPr>
      </w:pPr>
      <w:r>
        <w:rPr>
          <w:rFonts w:ascii="宋体" w:eastAsia="宋体"/>
          <w:color w:val="auto"/>
          <w:sz w:val="21"/>
          <w:szCs w:val="21"/>
          <w:highlight w:val="none"/>
        </w:rPr>
        <w:t>4</w:t>
      </w:r>
      <w:r>
        <w:rPr>
          <w:rFonts w:hint="eastAsia" w:ascii="宋体" w:eastAsia="宋体"/>
          <w:color w:val="auto"/>
          <w:sz w:val="21"/>
          <w:szCs w:val="21"/>
          <w:highlight w:val="none"/>
        </w:rPr>
        <w:t>.建议使用单条管长度</w:t>
      </w:r>
      <w:r>
        <w:rPr>
          <w:rFonts w:ascii="宋体" w:eastAsia="宋体"/>
          <w:color w:val="auto"/>
          <w:sz w:val="21"/>
          <w:szCs w:val="21"/>
          <w:highlight w:val="none"/>
        </w:rPr>
        <w:t>6</w:t>
      </w:r>
      <w:r>
        <w:rPr>
          <w:rFonts w:hint="eastAsia" w:ascii="宋体" w:eastAsia="宋体"/>
          <w:color w:val="auto"/>
          <w:sz w:val="21"/>
          <w:szCs w:val="21"/>
          <w:highlight w:val="none"/>
        </w:rPr>
        <w:t>米。</w:t>
      </w:r>
    </w:p>
    <w:p>
      <w:pPr>
        <w:pStyle w:val="75"/>
        <w:spacing w:line="360" w:lineRule="auto"/>
        <w:ind w:firstLine="428" w:firstLineChars="204"/>
        <w:rPr>
          <w:rFonts w:ascii="宋体" w:eastAsia="宋体"/>
          <w:color w:val="auto"/>
          <w:sz w:val="21"/>
          <w:szCs w:val="21"/>
          <w:highlight w:val="none"/>
        </w:rPr>
      </w:pPr>
      <w:r>
        <w:rPr>
          <w:rFonts w:ascii="宋体" w:eastAsia="宋体"/>
          <w:color w:val="auto"/>
          <w:sz w:val="21"/>
          <w:szCs w:val="21"/>
          <w:highlight w:val="none"/>
        </w:rPr>
        <w:t>5</w:t>
      </w:r>
      <w:r>
        <w:rPr>
          <w:rFonts w:hint="eastAsia" w:ascii="宋体" w:eastAsia="宋体"/>
          <w:color w:val="auto"/>
          <w:sz w:val="21"/>
          <w:szCs w:val="21"/>
          <w:highlight w:val="none"/>
        </w:rPr>
        <w:t>.管沟每隔</w:t>
      </w:r>
      <w:r>
        <w:rPr>
          <w:rFonts w:ascii="宋体" w:eastAsia="宋体"/>
          <w:color w:val="auto"/>
          <w:sz w:val="21"/>
          <w:szCs w:val="21"/>
          <w:highlight w:val="none"/>
        </w:rPr>
        <w:t>50</w:t>
      </w:r>
      <w:r>
        <w:rPr>
          <w:rFonts w:hint="eastAsia" w:ascii="宋体" w:eastAsia="宋体"/>
          <w:color w:val="auto"/>
          <w:sz w:val="21"/>
          <w:szCs w:val="21"/>
          <w:highlight w:val="none"/>
        </w:rPr>
        <w:t>米和转弯处设工作井</w:t>
      </w:r>
      <w:r>
        <w:rPr>
          <w:rFonts w:ascii="宋体" w:eastAsia="宋体"/>
          <w:color w:val="auto"/>
          <w:sz w:val="21"/>
          <w:szCs w:val="21"/>
          <w:highlight w:val="none"/>
        </w:rPr>
        <w:t>,</w:t>
      </w:r>
      <w:r>
        <w:rPr>
          <w:rFonts w:hint="eastAsia" w:ascii="宋体" w:eastAsia="宋体"/>
          <w:color w:val="auto"/>
          <w:sz w:val="21"/>
          <w:szCs w:val="21"/>
          <w:highlight w:val="none"/>
        </w:rPr>
        <w:t>位置详见具体工程设计平面图。</w:t>
      </w:r>
    </w:p>
    <w:p>
      <w:pPr>
        <w:pStyle w:val="75"/>
        <w:spacing w:line="360" w:lineRule="auto"/>
        <w:ind w:firstLine="428" w:firstLineChars="204"/>
        <w:rPr>
          <w:rFonts w:ascii="宋体" w:eastAsia="宋体"/>
          <w:color w:val="auto"/>
          <w:sz w:val="21"/>
          <w:szCs w:val="21"/>
          <w:highlight w:val="none"/>
        </w:rPr>
      </w:pPr>
      <w:r>
        <w:rPr>
          <w:rFonts w:ascii="宋体" w:eastAsia="宋体"/>
          <w:color w:val="auto"/>
          <w:sz w:val="21"/>
          <w:szCs w:val="21"/>
          <w:highlight w:val="none"/>
        </w:rPr>
        <w:t>6</w:t>
      </w:r>
      <w:r>
        <w:rPr>
          <w:rFonts w:hint="eastAsia" w:ascii="宋体" w:eastAsia="宋体"/>
          <w:color w:val="auto"/>
          <w:sz w:val="21"/>
          <w:szCs w:val="21"/>
          <w:highlight w:val="none"/>
        </w:rPr>
        <w:t>.电缆通道上，每隔</w:t>
      </w:r>
      <w:r>
        <w:rPr>
          <w:rFonts w:ascii="宋体" w:eastAsia="宋体"/>
          <w:color w:val="auto"/>
          <w:sz w:val="21"/>
          <w:szCs w:val="21"/>
          <w:highlight w:val="none"/>
        </w:rPr>
        <w:t>15</w:t>
      </w:r>
      <w:r>
        <w:rPr>
          <w:rFonts w:hint="eastAsia" w:ascii="宋体" w:eastAsia="宋体"/>
          <w:color w:val="auto"/>
          <w:sz w:val="21"/>
          <w:szCs w:val="21"/>
          <w:highlight w:val="none"/>
        </w:rPr>
        <w:t>米左右设置电缆标志牌</w:t>
      </w:r>
      <w:r>
        <w:rPr>
          <w:rFonts w:ascii="宋体" w:eastAsia="宋体"/>
          <w:color w:val="auto"/>
          <w:sz w:val="21"/>
          <w:szCs w:val="21"/>
          <w:highlight w:val="none"/>
        </w:rPr>
        <w:t>(</w:t>
      </w:r>
      <w:r>
        <w:rPr>
          <w:rFonts w:hint="eastAsia" w:ascii="宋体" w:eastAsia="宋体"/>
          <w:color w:val="auto"/>
          <w:sz w:val="21"/>
          <w:szCs w:val="21"/>
          <w:highlight w:val="none"/>
        </w:rPr>
        <w:t>每处</w:t>
      </w:r>
      <w:r>
        <w:rPr>
          <w:rFonts w:ascii="宋体" w:eastAsia="宋体"/>
          <w:color w:val="auto"/>
          <w:sz w:val="21"/>
          <w:szCs w:val="21"/>
          <w:highlight w:val="none"/>
        </w:rPr>
        <w:t>3</w:t>
      </w:r>
      <w:r>
        <w:rPr>
          <w:rFonts w:hint="eastAsia" w:ascii="宋体" w:eastAsia="宋体"/>
          <w:color w:val="auto"/>
          <w:sz w:val="21"/>
          <w:szCs w:val="21"/>
          <w:highlight w:val="none"/>
        </w:rPr>
        <w:t>个</w:t>
      </w:r>
      <w:r>
        <w:rPr>
          <w:rFonts w:ascii="宋体" w:eastAsia="宋体"/>
          <w:color w:val="auto"/>
          <w:sz w:val="21"/>
          <w:szCs w:val="21"/>
          <w:highlight w:val="none"/>
        </w:rPr>
        <w:t>)</w:t>
      </w:r>
      <w:r>
        <w:rPr>
          <w:rFonts w:hint="eastAsia" w:ascii="宋体" w:eastAsia="宋体"/>
          <w:color w:val="auto"/>
          <w:sz w:val="21"/>
          <w:szCs w:val="21"/>
          <w:highlight w:val="none"/>
        </w:rPr>
        <w:t>。</w:t>
      </w:r>
    </w:p>
    <w:p>
      <w:pPr>
        <w:pStyle w:val="75"/>
        <w:spacing w:line="360" w:lineRule="auto"/>
        <w:ind w:firstLine="428" w:firstLineChars="204"/>
        <w:rPr>
          <w:rFonts w:ascii="宋体" w:eastAsia="宋体"/>
          <w:color w:val="auto"/>
          <w:sz w:val="21"/>
          <w:szCs w:val="21"/>
          <w:highlight w:val="none"/>
        </w:rPr>
      </w:pPr>
      <w:r>
        <w:rPr>
          <w:rFonts w:ascii="宋体" w:eastAsia="宋体"/>
          <w:color w:val="auto"/>
          <w:sz w:val="21"/>
          <w:szCs w:val="21"/>
          <w:highlight w:val="none"/>
        </w:rPr>
        <w:t>7</w:t>
      </w:r>
      <w:r>
        <w:rPr>
          <w:rFonts w:hint="eastAsia" w:ascii="宋体" w:eastAsia="宋体"/>
          <w:color w:val="auto"/>
          <w:sz w:val="21"/>
          <w:szCs w:val="21"/>
          <w:highlight w:val="none"/>
        </w:rPr>
        <w:t>.本图按</w:t>
      </w:r>
      <w:r>
        <w:rPr>
          <w:rFonts w:ascii="宋体" w:eastAsia="宋体"/>
          <w:color w:val="auto"/>
          <w:sz w:val="21"/>
          <w:szCs w:val="21"/>
          <w:highlight w:val="none"/>
        </w:rPr>
        <w:t>C30</w:t>
      </w:r>
      <w:r>
        <w:rPr>
          <w:rFonts w:hint="eastAsia" w:ascii="宋体" w:eastAsia="宋体"/>
          <w:color w:val="auto"/>
          <w:sz w:val="21"/>
          <w:szCs w:val="21"/>
          <w:highlight w:val="none"/>
        </w:rPr>
        <w:t>路面修复设计，需回填至与路面平齐</w:t>
      </w:r>
      <w:r>
        <w:rPr>
          <w:rFonts w:ascii="宋体" w:eastAsia="宋体"/>
          <w:color w:val="auto"/>
          <w:sz w:val="21"/>
          <w:szCs w:val="21"/>
          <w:highlight w:val="none"/>
        </w:rPr>
        <w:t>;</w:t>
      </w:r>
      <w:r>
        <w:rPr>
          <w:rFonts w:hint="eastAsia" w:ascii="宋体" w:eastAsia="宋体"/>
          <w:color w:val="auto"/>
          <w:sz w:val="21"/>
          <w:szCs w:val="21"/>
          <w:highlight w:val="none"/>
        </w:rPr>
        <w:t>当路面情况不一致时</w:t>
      </w:r>
      <w:r>
        <w:rPr>
          <w:rFonts w:ascii="宋体" w:eastAsia="宋体"/>
          <w:color w:val="auto"/>
          <w:sz w:val="21"/>
          <w:szCs w:val="21"/>
          <w:highlight w:val="none"/>
        </w:rPr>
        <w:t>,</w:t>
      </w:r>
      <w:r>
        <w:rPr>
          <w:rFonts w:hint="eastAsia" w:ascii="宋体" w:eastAsia="宋体"/>
          <w:color w:val="auto"/>
          <w:sz w:val="21"/>
          <w:szCs w:val="21"/>
          <w:highlight w:val="none"/>
        </w:rPr>
        <w:t>需以实际路面情况进行修复。</w:t>
      </w:r>
    </w:p>
    <w:p>
      <w:pPr>
        <w:pStyle w:val="75"/>
        <w:spacing w:line="360" w:lineRule="auto"/>
        <w:ind w:firstLine="428" w:firstLineChars="204"/>
        <w:rPr>
          <w:rFonts w:ascii="宋体" w:eastAsia="宋体"/>
          <w:color w:val="auto"/>
          <w:sz w:val="21"/>
          <w:szCs w:val="21"/>
          <w:highlight w:val="none"/>
        </w:rPr>
      </w:pPr>
      <w:r>
        <w:rPr>
          <w:rFonts w:ascii="宋体" w:eastAsia="宋体"/>
          <w:color w:val="auto"/>
          <w:sz w:val="21"/>
          <w:szCs w:val="21"/>
          <w:highlight w:val="none"/>
        </w:rPr>
        <w:t>8</w:t>
      </w:r>
      <w:r>
        <w:rPr>
          <w:rFonts w:hint="eastAsia" w:ascii="宋体" w:eastAsia="宋体"/>
          <w:color w:val="auto"/>
          <w:sz w:val="21"/>
          <w:szCs w:val="21"/>
          <w:highlight w:val="none"/>
        </w:rPr>
        <w:t>.当排管线行路径条件受限制时，排管中心距可缩减为</w:t>
      </w:r>
      <w:r>
        <w:rPr>
          <w:rFonts w:ascii="宋体" w:eastAsia="宋体"/>
          <w:color w:val="auto"/>
          <w:sz w:val="21"/>
          <w:szCs w:val="21"/>
          <w:highlight w:val="none"/>
        </w:rPr>
        <w:t>220mm</w:t>
      </w:r>
      <w:r>
        <w:rPr>
          <w:rFonts w:hint="eastAsia" w:ascii="宋体" w:eastAsia="宋体"/>
          <w:color w:val="auto"/>
          <w:sz w:val="21"/>
          <w:szCs w:val="21"/>
          <w:highlight w:val="none"/>
        </w:rPr>
        <w:t>。</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lang w:val="en-US" w:eastAsia="zh-CN"/>
        </w:rPr>
        <w:t>9</w:t>
      </w:r>
      <w:r>
        <w:rPr>
          <w:rFonts w:hint="eastAsia" w:ascii="宋体" w:eastAsia="宋体"/>
          <w:color w:val="auto"/>
          <w:sz w:val="21"/>
          <w:szCs w:val="21"/>
          <w:highlight w:val="none"/>
        </w:rPr>
        <w:t>.除注明外本图尺寸均以毫米为单位。</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（五）箱变基础技术要求</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1.基础基底承载力按</w:t>
      </w:r>
      <w:r>
        <w:rPr>
          <w:rFonts w:ascii="宋体" w:eastAsia="宋体"/>
          <w:color w:val="auto"/>
          <w:sz w:val="21"/>
          <w:szCs w:val="21"/>
          <w:highlight w:val="none"/>
        </w:rPr>
        <w:t>fak</w:t>
      </w:r>
      <w:r>
        <w:rPr>
          <w:rFonts w:hint="eastAsia" w:ascii="宋体" w:eastAsia="宋体"/>
          <w:color w:val="auto"/>
          <w:sz w:val="21"/>
          <w:szCs w:val="21"/>
          <w:highlight w:val="none"/>
        </w:rPr>
        <w:t>≥</w:t>
      </w:r>
      <w:r>
        <w:rPr>
          <w:rFonts w:ascii="宋体" w:eastAsia="宋体"/>
          <w:color w:val="auto"/>
          <w:sz w:val="21"/>
          <w:szCs w:val="21"/>
          <w:highlight w:val="none"/>
        </w:rPr>
        <w:t>100KPa</w:t>
      </w:r>
      <w:r>
        <w:rPr>
          <w:rFonts w:hint="eastAsia" w:ascii="宋体" w:eastAsia="宋体"/>
          <w:color w:val="auto"/>
          <w:sz w:val="21"/>
          <w:szCs w:val="21"/>
          <w:highlight w:val="none"/>
        </w:rPr>
        <w:t>设计。</w:t>
      </w:r>
    </w:p>
    <w:p>
      <w:pPr>
        <w:pStyle w:val="75"/>
        <w:spacing w:line="360" w:lineRule="auto"/>
        <w:ind w:firstLine="428" w:firstLineChars="204"/>
        <w:rPr>
          <w:rFonts w:ascii="宋体" w:eastAsia="宋体"/>
          <w:color w:val="auto"/>
          <w:sz w:val="21"/>
          <w:szCs w:val="21"/>
          <w:highlight w:val="none"/>
        </w:rPr>
      </w:pPr>
      <w:r>
        <w:rPr>
          <w:rFonts w:ascii="宋体" w:eastAsia="宋体"/>
          <w:color w:val="auto"/>
          <w:sz w:val="21"/>
          <w:szCs w:val="21"/>
          <w:highlight w:val="none"/>
        </w:rPr>
        <w:t>2</w:t>
      </w:r>
      <w:r>
        <w:rPr>
          <w:rFonts w:hint="eastAsia" w:ascii="宋体" w:eastAsia="宋体"/>
          <w:color w:val="auto"/>
          <w:sz w:val="21"/>
          <w:szCs w:val="21"/>
          <w:highlight w:val="none"/>
        </w:rPr>
        <w:t>.设备基础采用</w:t>
      </w:r>
      <w:r>
        <w:rPr>
          <w:rFonts w:ascii="宋体" w:eastAsia="宋体"/>
          <w:color w:val="auto"/>
          <w:sz w:val="21"/>
          <w:szCs w:val="21"/>
          <w:highlight w:val="none"/>
        </w:rPr>
        <w:t>C25</w:t>
      </w:r>
      <w:r>
        <w:rPr>
          <w:rFonts w:hint="eastAsia" w:ascii="宋体" w:eastAsia="宋体"/>
          <w:color w:val="auto"/>
          <w:sz w:val="21"/>
          <w:szCs w:val="21"/>
          <w:highlight w:val="none"/>
        </w:rPr>
        <w:t>砼现浇。</w:t>
      </w:r>
    </w:p>
    <w:p>
      <w:pPr>
        <w:pStyle w:val="75"/>
        <w:spacing w:line="360" w:lineRule="auto"/>
        <w:ind w:firstLine="428" w:firstLineChars="204"/>
        <w:rPr>
          <w:rFonts w:ascii="宋体" w:eastAsia="宋体"/>
          <w:color w:val="auto"/>
          <w:sz w:val="21"/>
          <w:szCs w:val="21"/>
          <w:highlight w:val="none"/>
        </w:rPr>
      </w:pPr>
      <w:r>
        <w:rPr>
          <w:rFonts w:ascii="宋体" w:eastAsia="宋体"/>
          <w:color w:val="auto"/>
          <w:sz w:val="21"/>
          <w:szCs w:val="21"/>
          <w:highlight w:val="none"/>
        </w:rPr>
        <w:t>3</w:t>
      </w:r>
      <w:r>
        <w:rPr>
          <w:rFonts w:hint="eastAsia" w:ascii="宋体" w:eastAsia="宋体"/>
          <w:color w:val="auto"/>
          <w:sz w:val="21"/>
          <w:szCs w:val="21"/>
          <w:highlight w:val="none"/>
        </w:rPr>
        <w:t>.材料：垫层</w:t>
      </w:r>
      <w:r>
        <w:rPr>
          <w:rFonts w:ascii="宋体" w:eastAsia="宋体"/>
          <w:color w:val="auto"/>
          <w:sz w:val="21"/>
          <w:szCs w:val="21"/>
          <w:highlight w:val="none"/>
        </w:rPr>
        <w:t xml:space="preserve">C15 </w:t>
      </w:r>
      <w:r>
        <w:rPr>
          <w:rFonts w:hint="eastAsia" w:ascii="宋体" w:eastAsia="宋体"/>
          <w:color w:val="auto"/>
          <w:sz w:val="21"/>
          <w:szCs w:val="21"/>
          <w:highlight w:val="none"/>
        </w:rPr>
        <w:t>基础为</w:t>
      </w:r>
      <w:r>
        <w:rPr>
          <w:rFonts w:ascii="宋体" w:eastAsia="宋体"/>
          <w:color w:val="auto"/>
          <w:sz w:val="21"/>
          <w:szCs w:val="21"/>
          <w:highlight w:val="none"/>
        </w:rPr>
        <w:t>C25</w:t>
      </w:r>
    </w:p>
    <w:p>
      <w:pPr>
        <w:pStyle w:val="75"/>
        <w:spacing w:line="360" w:lineRule="auto"/>
        <w:ind w:firstLine="428" w:firstLineChars="204"/>
        <w:rPr>
          <w:rFonts w:ascii="宋体" w:eastAsia="宋体"/>
          <w:color w:val="auto"/>
          <w:sz w:val="21"/>
          <w:szCs w:val="21"/>
          <w:highlight w:val="none"/>
        </w:rPr>
      </w:pPr>
      <w:r>
        <w:rPr>
          <w:rFonts w:ascii="宋体" w:eastAsia="宋体"/>
          <w:color w:val="auto"/>
          <w:sz w:val="21"/>
          <w:szCs w:val="21"/>
          <w:highlight w:val="none"/>
        </w:rPr>
        <w:t xml:space="preserve">         </w:t>
      </w:r>
      <w:r>
        <w:rPr>
          <w:rFonts w:hint="eastAsia" w:ascii="宋体" w:eastAsia="宋体"/>
          <w:color w:val="auto"/>
          <w:sz w:val="21"/>
          <w:szCs w:val="21"/>
          <w:highlight w:val="none"/>
        </w:rPr>
        <w:t>钢筋Ⅰ级</w:t>
      </w:r>
      <w:r>
        <w:rPr>
          <w:rFonts w:ascii="宋体" w:eastAsia="宋体"/>
          <w:color w:val="auto"/>
          <w:sz w:val="21"/>
          <w:szCs w:val="21"/>
          <w:highlight w:val="none"/>
        </w:rPr>
        <w:t xml:space="preserve"> fy=210N/mm2</w:t>
      </w:r>
    </w:p>
    <w:p>
      <w:pPr>
        <w:pStyle w:val="75"/>
        <w:spacing w:line="360" w:lineRule="auto"/>
        <w:ind w:firstLine="428" w:firstLineChars="204"/>
        <w:rPr>
          <w:rFonts w:ascii="宋体" w:eastAsia="宋体"/>
          <w:color w:val="auto"/>
          <w:sz w:val="21"/>
          <w:szCs w:val="21"/>
          <w:highlight w:val="none"/>
        </w:rPr>
      </w:pPr>
      <w:r>
        <w:rPr>
          <w:rFonts w:ascii="宋体" w:eastAsia="宋体"/>
          <w:color w:val="auto"/>
          <w:sz w:val="21"/>
          <w:szCs w:val="21"/>
          <w:highlight w:val="none"/>
        </w:rPr>
        <w:t xml:space="preserve">             </w:t>
      </w:r>
      <w:r>
        <w:rPr>
          <w:rFonts w:hint="eastAsia" w:ascii="宋体" w:eastAsia="宋体"/>
          <w:color w:val="auto"/>
          <w:sz w:val="21"/>
          <w:szCs w:val="21"/>
          <w:highlight w:val="none"/>
        </w:rPr>
        <w:t>Ⅱ级</w:t>
      </w:r>
      <w:r>
        <w:rPr>
          <w:rFonts w:ascii="宋体" w:eastAsia="宋体"/>
          <w:color w:val="auto"/>
          <w:sz w:val="21"/>
          <w:szCs w:val="21"/>
          <w:highlight w:val="none"/>
        </w:rPr>
        <w:t xml:space="preserve"> fy=310N/mm2</w:t>
      </w:r>
    </w:p>
    <w:p>
      <w:pPr>
        <w:pStyle w:val="75"/>
        <w:spacing w:line="360" w:lineRule="auto"/>
        <w:ind w:firstLine="428" w:firstLineChars="204"/>
        <w:rPr>
          <w:rFonts w:ascii="宋体" w:eastAsia="宋体"/>
          <w:color w:val="auto"/>
          <w:sz w:val="21"/>
          <w:szCs w:val="21"/>
          <w:highlight w:val="none"/>
        </w:rPr>
      </w:pPr>
      <w:r>
        <w:rPr>
          <w:rFonts w:ascii="宋体" w:eastAsia="宋体"/>
          <w:color w:val="auto"/>
          <w:sz w:val="21"/>
          <w:szCs w:val="21"/>
          <w:highlight w:val="none"/>
        </w:rPr>
        <w:t>4</w:t>
      </w:r>
      <w:r>
        <w:rPr>
          <w:rFonts w:hint="eastAsia" w:ascii="宋体" w:eastAsia="宋体"/>
          <w:color w:val="auto"/>
          <w:sz w:val="21"/>
          <w:szCs w:val="21"/>
          <w:highlight w:val="none"/>
        </w:rPr>
        <w:t>.为防止渗水，基础侧墙内外面及底面抹防水砂浆</w:t>
      </w:r>
      <w:r>
        <w:rPr>
          <w:rFonts w:ascii="宋体" w:eastAsia="宋体"/>
          <w:color w:val="auto"/>
          <w:sz w:val="21"/>
          <w:szCs w:val="21"/>
          <w:highlight w:val="none"/>
        </w:rPr>
        <w:t>,</w:t>
      </w:r>
      <w:r>
        <w:rPr>
          <w:rFonts w:hint="eastAsia" w:ascii="宋体" w:eastAsia="宋体"/>
          <w:color w:val="auto"/>
          <w:sz w:val="21"/>
          <w:szCs w:val="21"/>
          <w:highlight w:val="none"/>
        </w:rPr>
        <w:t>厚度</w:t>
      </w:r>
      <w:r>
        <w:rPr>
          <w:rFonts w:ascii="宋体" w:eastAsia="宋体"/>
          <w:color w:val="auto"/>
          <w:sz w:val="21"/>
          <w:szCs w:val="21"/>
          <w:highlight w:val="none"/>
        </w:rPr>
        <w:t>20mm</w:t>
      </w:r>
      <w:r>
        <w:rPr>
          <w:rFonts w:hint="eastAsia" w:ascii="宋体" w:eastAsia="宋体"/>
          <w:color w:val="auto"/>
          <w:sz w:val="21"/>
          <w:szCs w:val="21"/>
          <w:highlight w:val="none"/>
        </w:rPr>
        <w:t>。</w:t>
      </w:r>
    </w:p>
    <w:p>
      <w:pPr>
        <w:pStyle w:val="75"/>
        <w:spacing w:line="360" w:lineRule="auto"/>
        <w:ind w:firstLine="428" w:firstLineChars="204"/>
        <w:rPr>
          <w:rFonts w:ascii="宋体" w:eastAsia="宋体"/>
          <w:color w:val="auto"/>
          <w:sz w:val="21"/>
          <w:szCs w:val="21"/>
          <w:highlight w:val="none"/>
        </w:rPr>
      </w:pPr>
      <w:r>
        <w:rPr>
          <w:rFonts w:ascii="宋体" w:eastAsia="宋体"/>
          <w:color w:val="auto"/>
          <w:sz w:val="21"/>
          <w:szCs w:val="21"/>
          <w:highlight w:val="none"/>
        </w:rPr>
        <w:t>5</w:t>
      </w:r>
      <w:r>
        <w:rPr>
          <w:rFonts w:hint="eastAsia" w:ascii="宋体" w:eastAsia="宋体"/>
          <w:color w:val="auto"/>
          <w:sz w:val="21"/>
          <w:szCs w:val="21"/>
          <w:highlight w:val="none"/>
        </w:rPr>
        <w:t>.基础应预留入孔以便安装人员进入基础小室安装进出电缆。基础小室底部应有排水排施，以免积水。</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（六）其他技术要求</w:t>
      </w:r>
    </w:p>
    <w:p>
      <w:pPr>
        <w:pStyle w:val="75"/>
        <w:spacing w:line="360" w:lineRule="auto"/>
        <w:ind w:firstLine="428" w:firstLineChars="204"/>
        <w:rPr>
          <w:rFonts w:ascii="宋体" w:eastAsia="宋体"/>
          <w:color w:val="auto"/>
          <w:sz w:val="21"/>
          <w:szCs w:val="21"/>
          <w:highlight w:val="none"/>
        </w:rPr>
      </w:pPr>
      <w:r>
        <w:rPr>
          <w:rFonts w:ascii="宋体" w:eastAsia="宋体"/>
          <w:color w:val="auto"/>
          <w:sz w:val="21"/>
          <w:szCs w:val="21"/>
          <w:highlight w:val="none"/>
        </w:rPr>
        <w:t>1.</w:t>
      </w:r>
      <w:r>
        <w:rPr>
          <w:rFonts w:hint="eastAsia" w:ascii="宋体" w:eastAsia="宋体"/>
          <w:color w:val="auto"/>
          <w:sz w:val="21"/>
          <w:szCs w:val="21"/>
          <w:highlight w:val="none"/>
        </w:rPr>
        <w:t>箱变主要配置要求：高压部分采用全绝缘断路器开关柜型；低压部分采用固定式柜型；配变选用</w:t>
      </w:r>
      <w:r>
        <w:rPr>
          <w:rFonts w:hint="eastAsia" w:hAnsi="宋体"/>
          <w:bCs/>
          <w:color w:val="auto"/>
          <w:sz w:val="21"/>
          <w:szCs w:val="21"/>
          <w:highlight w:val="none"/>
        </w:rPr>
        <w:t>SCB12</w:t>
      </w:r>
      <w:r>
        <w:rPr>
          <w:rFonts w:hint="eastAsia" w:ascii="宋体" w:eastAsia="宋体"/>
          <w:color w:val="auto"/>
          <w:sz w:val="21"/>
          <w:szCs w:val="21"/>
          <w:highlight w:val="none"/>
        </w:rPr>
        <w:t>型。</w:t>
      </w:r>
    </w:p>
    <w:p>
      <w:pPr>
        <w:pStyle w:val="75"/>
        <w:spacing w:line="360" w:lineRule="auto"/>
        <w:ind w:firstLine="428" w:firstLineChars="204"/>
        <w:rPr>
          <w:rFonts w:ascii="宋体" w:eastAsia="宋体"/>
          <w:color w:val="auto"/>
          <w:sz w:val="21"/>
          <w:szCs w:val="21"/>
          <w:highlight w:val="none"/>
        </w:rPr>
      </w:pPr>
      <w:r>
        <w:rPr>
          <w:rFonts w:ascii="宋体" w:eastAsia="宋体"/>
          <w:color w:val="auto"/>
          <w:sz w:val="21"/>
          <w:szCs w:val="21"/>
          <w:highlight w:val="none"/>
        </w:rPr>
        <w:t>2.</w:t>
      </w:r>
      <w:r>
        <w:rPr>
          <w:rFonts w:hint="eastAsia" w:ascii="宋体" w:eastAsia="宋体"/>
          <w:color w:val="auto"/>
          <w:sz w:val="21"/>
          <w:szCs w:val="21"/>
          <w:highlight w:val="none"/>
        </w:rPr>
        <w:t>高压柜必须满足</w:t>
      </w:r>
      <w:r>
        <w:rPr>
          <w:rFonts w:ascii="宋体" w:eastAsia="宋体"/>
          <w:color w:val="auto"/>
          <w:sz w:val="21"/>
          <w:szCs w:val="21"/>
          <w:highlight w:val="none"/>
        </w:rPr>
        <w:t>"</w:t>
      </w:r>
      <w:r>
        <w:rPr>
          <w:rFonts w:hint="eastAsia" w:ascii="宋体" w:eastAsia="宋体"/>
          <w:color w:val="auto"/>
          <w:sz w:val="21"/>
          <w:szCs w:val="21"/>
          <w:highlight w:val="none"/>
        </w:rPr>
        <w:t>五防</w:t>
      </w:r>
      <w:r>
        <w:rPr>
          <w:rFonts w:ascii="宋体" w:eastAsia="宋体"/>
          <w:color w:val="auto"/>
          <w:sz w:val="21"/>
          <w:szCs w:val="21"/>
          <w:highlight w:val="none"/>
        </w:rPr>
        <w:t>"</w:t>
      </w:r>
      <w:r>
        <w:rPr>
          <w:rFonts w:hint="eastAsia" w:ascii="宋体" w:eastAsia="宋体"/>
          <w:color w:val="auto"/>
          <w:sz w:val="21"/>
          <w:szCs w:val="21"/>
          <w:highlight w:val="none"/>
        </w:rPr>
        <w:t>要求，排列次序如图正视。</w:t>
      </w:r>
    </w:p>
    <w:p>
      <w:pPr>
        <w:pStyle w:val="75"/>
        <w:spacing w:line="360" w:lineRule="auto"/>
        <w:ind w:firstLine="428" w:firstLineChars="204"/>
        <w:rPr>
          <w:rFonts w:ascii="宋体" w:eastAsia="宋体"/>
          <w:color w:val="auto"/>
          <w:sz w:val="21"/>
          <w:szCs w:val="21"/>
          <w:highlight w:val="none"/>
        </w:rPr>
      </w:pPr>
      <w:r>
        <w:rPr>
          <w:rFonts w:ascii="宋体" w:eastAsia="宋体"/>
          <w:color w:val="auto"/>
          <w:sz w:val="21"/>
          <w:szCs w:val="21"/>
          <w:highlight w:val="none"/>
        </w:rPr>
        <w:t>3.</w:t>
      </w:r>
      <w:r>
        <w:rPr>
          <w:rFonts w:hint="eastAsia" w:ascii="宋体" w:eastAsia="宋体"/>
          <w:color w:val="auto"/>
          <w:sz w:val="21"/>
          <w:szCs w:val="21"/>
          <w:highlight w:val="none"/>
        </w:rPr>
        <w:t>高压侧采用断路器保护，保护方式：过流、速断、高压零序及温度保护；高压断路器柜保护装置工作电源和断路器操作电源采用</w:t>
      </w:r>
      <w:r>
        <w:rPr>
          <w:rFonts w:hint="eastAsia" w:ascii="宋体" w:eastAsia="宋体"/>
          <w:color w:val="auto"/>
          <w:sz w:val="21"/>
          <w:szCs w:val="21"/>
          <w:highlight w:val="none"/>
          <w:lang w:eastAsia="zh-CN"/>
        </w:rPr>
        <w:t>交</w:t>
      </w:r>
      <w:r>
        <w:rPr>
          <w:rFonts w:hint="eastAsia" w:ascii="宋体" w:eastAsia="宋体"/>
          <w:color w:val="auto"/>
          <w:sz w:val="21"/>
          <w:szCs w:val="21"/>
          <w:highlight w:val="none"/>
        </w:rPr>
        <w:t>流</w:t>
      </w:r>
      <w:r>
        <w:rPr>
          <w:rFonts w:hint="eastAsia" w:ascii="宋体" w:eastAsia="宋体"/>
          <w:color w:val="auto"/>
          <w:sz w:val="21"/>
          <w:szCs w:val="21"/>
          <w:highlight w:val="none"/>
          <w:lang w:val="en-US" w:eastAsia="zh-CN"/>
        </w:rPr>
        <w:t>A</w:t>
      </w:r>
      <w:r>
        <w:rPr>
          <w:rFonts w:ascii="宋体" w:eastAsia="宋体"/>
          <w:color w:val="auto"/>
          <w:sz w:val="21"/>
          <w:szCs w:val="21"/>
          <w:highlight w:val="none"/>
        </w:rPr>
        <w:t>C</w:t>
      </w:r>
      <w:r>
        <w:rPr>
          <w:rFonts w:hint="eastAsia" w:ascii="宋体" w:eastAsia="宋体"/>
          <w:color w:val="auto"/>
          <w:sz w:val="21"/>
          <w:szCs w:val="21"/>
          <w:highlight w:val="none"/>
          <w:lang w:val="en-US" w:eastAsia="zh-CN"/>
        </w:rPr>
        <w:t>22</w:t>
      </w:r>
      <w:r>
        <w:rPr>
          <w:rFonts w:ascii="宋体" w:eastAsia="宋体"/>
          <w:color w:val="auto"/>
          <w:sz w:val="21"/>
          <w:szCs w:val="21"/>
          <w:highlight w:val="none"/>
        </w:rPr>
        <w:t>0V</w:t>
      </w:r>
      <w:r>
        <w:rPr>
          <w:rFonts w:hint="eastAsia" w:ascii="宋体" w:eastAsia="宋体"/>
          <w:color w:val="auto"/>
          <w:sz w:val="21"/>
          <w:szCs w:val="21"/>
          <w:highlight w:val="none"/>
        </w:rPr>
        <w:t>，电源取自进线</w:t>
      </w:r>
      <w:r>
        <w:rPr>
          <w:rFonts w:ascii="宋体" w:eastAsia="宋体"/>
          <w:color w:val="auto"/>
          <w:sz w:val="21"/>
          <w:szCs w:val="21"/>
          <w:highlight w:val="none"/>
        </w:rPr>
        <w:t>PT</w:t>
      </w:r>
      <w:r>
        <w:rPr>
          <w:rFonts w:hint="eastAsia" w:ascii="宋体" w:eastAsia="宋体"/>
          <w:color w:val="auto"/>
          <w:sz w:val="21"/>
          <w:szCs w:val="21"/>
          <w:highlight w:val="none"/>
        </w:rPr>
        <w:t>。</w:t>
      </w:r>
    </w:p>
    <w:p>
      <w:pPr>
        <w:pStyle w:val="75"/>
        <w:spacing w:line="360" w:lineRule="auto"/>
        <w:ind w:firstLine="428" w:firstLineChars="204"/>
        <w:rPr>
          <w:rFonts w:ascii="宋体" w:eastAsia="宋体"/>
          <w:color w:val="auto"/>
          <w:sz w:val="21"/>
          <w:szCs w:val="21"/>
          <w:highlight w:val="none"/>
        </w:rPr>
      </w:pPr>
      <w:r>
        <w:rPr>
          <w:rFonts w:ascii="宋体" w:eastAsia="宋体"/>
          <w:color w:val="auto"/>
          <w:sz w:val="21"/>
          <w:szCs w:val="21"/>
          <w:highlight w:val="none"/>
        </w:rPr>
        <w:t>4.</w:t>
      </w:r>
      <w:r>
        <w:rPr>
          <w:rFonts w:hint="eastAsia" w:ascii="宋体" w:eastAsia="宋体"/>
          <w:color w:val="auto"/>
          <w:sz w:val="21"/>
          <w:szCs w:val="21"/>
          <w:highlight w:val="none"/>
        </w:rPr>
        <w:t>低压进线断路器配置分励脱扣，退出失压脱扣装置。</w:t>
      </w:r>
    </w:p>
    <w:p>
      <w:pPr>
        <w:pStyle w:val="75"/>
        <w:spacing w:line="360" w:lineRule="auto"/>
        <w:ind w:firstLine="428" w:firstLineChars="204"/>
        <w:rPr>
          <w:rFonts w:ascii="宋体" w:eastAsia="宋体"/>
          <w:color w:val="auto"/>
          <w:sz w:val="21"/>
          <w:szCs w:val="21"/>
          <w:highlight w:val="none"/>
        </w:rPr>
      </w:pPr>
      <w:r>
        <w:rPr>
          <w:rFonts w:ascii="宋体" w:eastAsia="宋体"/>
          <w:color w:val="auto"/>
          <w:sz w:val="21"/>
          <w:szCs w:val="21"/>
          <w:highlight w:val="none"/>
        </w:rPr>
        <w:t>5.</w:t>
      </w:r>
      <w:r>
        <w:rPr>
          <w:rFonts w:hint="eastAsia" w:ascii="宋体" w:eastAsia="宋体"/>
          <w:color w:val="auto"/>
          <w:sz w:val="21"/>
          <w:szCs w:val="21"/>
          <w:highlight w:val="none"/>
        </w:rPr>
        <w:t>低压浪涌保护器采用</w:t>
      </w:r>
      <w:r>
        <w:rPr>
          <w:rFonts w:ascii="宋体" w:eastAsia="宋体"/>
          <w:color w:val="auto"/>
          <w:sz w:val="21"/>
          <w:szCs w:val="21"/>
          <w:highlight w:val="none"/>
        </w:rPr>
        <w:t>(I</w:t>
      </w:r>
      <w:r>
        <w:rPr>
          <w:rFonts w:hint="eastAsia" w:ascii="宋体" w:eastAsia="宋体"/>
          <w:color w:val="auto"/>
          <w:sz w:val="21"/>
          <w:szCs w:val="21"/>
          <w:highlight w:val="none"/>
        </w:rPr>
        <w:t>级</w:t>
      </w:r>
      <w:r>
        <w:rPr>
          <w:rFonts w:ascii="宋体" w:eastAsia="宋体"/>
          <w:color w:val="auto"/>
          <w:sz w:val="21"/>
          <w:szCs w:val="21"/>
          <w:highlight w:val="none"/>
        </w:rPr>
        <w:t>)Uc=350V/4P</w:t>
      </w:r>
      <w:r>
        <w:rPr>
          <w:rFonts w:hint="eastAsia" w:ascii="宋体" w:eastAsia="宋体"/>
          <w:color w:val="auto"/>
          <w:sz w:val="21"/>
          <w:szCs w:val="21"/>
          <w:highlight w:val="none"/>
        </w:rPr>
        <w:t>，</w:t>
      </w:r>
      <w:r>
        <w:rPr>
          <w:rFonts w:ascii="宋体" w:eastAsia="宋体"/>
          <w:color w:val="auto"/>
          <w:sz w:val="21"/>
          <w:szCs w:val="21"/>
          <w:highlight w:val="none"/>
        </w:rPr>
        <w:t>Up</w:t>
      </w:r>
      <w:r>
        <w:rPr>
          <w:rFonts w:hint="eastAsia" w:ascii="宋体" w:eastAsia="宋体"/>
          <w:color w:val="auto"/>
          <w:sz w:val="21"/>
          <w:szCs w:val="21"/>
          <w:highlight w:val="none"/>
        </w:rPr>
        <w:t>≤</w:t>
      </w:r>
      <w:r>
        <w:rPr>
          <w:rFonts w:ascii="宋体" w:eastAsia="宋体"/>
          <w:color w:val="auto"/>
          <w:sz w:val="21"/>
          <w:szCs w:val="21"/>
          <w:highlight w:val="none"/>
        </w:rPr>
        <w:t>2kV</w:t>
      </w:r>
      <w:r>
        <w:rPr>
          <w:rFonts w:hint="eastAsia" w:ascii="宋体" w:eastAsia="宋体"/>
          <w:color w:val="auto"/>
          <w:sz w:val="21"/>
          <w:szCs w:val="21"/>
          <w:highlight w:val="none"/>
        </w:rPr>
        <w:t>，</w:t>
      </w:r>
      <w:r>
        <w:rPr>
          <w:rFonts w:ascii="宋体" w:eastAsia="宋体"/>
          <w:color w:val="auto"/>
          <w:sz w:val="21"/>
          <w:szCs w:val="21"/>
          <w:highlight w:val="none"/>
        </w:rPr>
        <w:t>Iimp=20kA (10/350</w:t>
      </w:r>
      <w:r>
        <w:rPr>
          <w:rFonts w:hint="eastAsia" w:ascii="宋体" w:eastAsia="宋体"/>
          <w:color w:val="auto"/>
          <w:sz w:val="21"/>
          <w:szCs w:val="21"/>
          <w:highlight w:val="none"/>
        </w:rPr>
        <w:t>μ</w:t>
      </w:r>
      <w:r>
        <w:rPr>
          <w:rFonts w:ascii="宋体" w:eastAsia="宋体"/>
          <w:color w:val="auto"/>
          <w:sz w:val="21"/>
          <w:szCs w:val="21"/>
          <w:highlight w:val="none"/>
        </w:rPr>
        <w:t>s)</w:t>
      </w:r>
      <w:r>
        <w:rPr>
          <w:rFonts w:hint="eastAsia" w:ascii="宋体" w:eastAsia="宋体"/>
          <w:color w:val="auto"/>
          <w:sz w:val="21"/>
          <w:szCs w:val="21"/>
          <w:highlight w:val="none"/>
        </w:rPr>
        <w:t>；</w:t>
      </w:r>
      <w:r>
        <w:rPr>
          <w:rFonts w:ascii="宋体" w:eastAsia="宋体"/>
          <w:color w:val="auto"/>
          <w:sz w:val="21"/>
          <w:szCs w:val="21"/>
          <w:highlight w:val="none"/>
        </w:rPr>
        <w:t>(II</w:t>
      </w:r>
      <w:r>
        <w:rPr>
          <w:rFonts w:hint="eastAsia" w:ascii="宋体" w:eastAsia="宋体"/>
          <w:color w:val="auto"/>
          <w:sz w:val="21"/>
          <w:szCs w:val="21"/>
          <w:highlight w:val="none"/>
        </w:rPr>
        <w:t>级</w:t>
      </w:r>
      <w:r>
        <w:rPr>
          <w:rFonts w:ascii="宋体" w:eastAsia="宋体"/>
          <w:color w:val="auto"/>
          <w:sz w:val="21"/>
          <w:szCs w:val="21"/>
          <w:highlight w:val="none"/>
        </w:rPr>
        <w:t>)Uc=350V/4P</w:t>
      </w:r>
      <w:r>
        <w:rPr>
          <w:rFonts w:hint="eastAsia" w:ascii="宋体" w:eastAsia="宋体"/>
          <w:color w:val="auto"/>
          <w:sz w:val="21"/>
          <w:szCs w:val="21"/>
          <w:highlight w:val="none"/>
        </w:rPr>
        <w:t>，</w:t>
      </w:r>
      <w:r>
        <w:rPr>
          <w:rFonts w:ascii="宋体" w:eastAsia="宋体"/>
          <w:color w:val="auto"/>
          <w:sz w:val="21"/>
          <w:szCs w:val="21"/>
          <w:highlight w:val="none"/>
        </w:rPr>
        <w:t>Up</w:t>
      </w:r>
      <w:r>
        <w:rPr>
          <w:rFonts w:hint="eastAsia" w:ascii="宋体" w:eastAsia="宋体"/>
          <w:color w:val="auto"/>
          <w:sz w:val="21"/>
          <w:szCs w:val="21"/>
          <w:highlight w:val="none"/>
        </w:rPr>
        <w:t>≤</w:t>
      </w:r>
      <w:r>
        <w:rPr>
          <w:rFonts w:ascii="宋体" w:eastAsia="宋体"/>
          <w:color w:val="auto"/>
          <w:sz w:val="21"/>
          <w:szCs w:val="21"/>
          <w:highlight w:val="none"/>
        </w:rPr>
        <w:t>1.4kV</w:t>
      </w:r>
      <w:r>
        <w:rPr>
          <w:rFonts w:hint="eastAsia" w:ascii="宋体" w:eastAsia="宋体"/>
          <w:color w:val="auto"/>
          <w:sz w:val="21"/>
          <w:szCs w:val="21"/>
          <w:highlight w:val="none"/>
        </w:rPr>
        <w:t>，</w:t>
      </w:r>
      <w:r>
        <w:rPr>
          <w:rFonts w:ascii="宋体" w:eastAsia="宋体"/>
          <w:color w:val="auto"/>
          <w:sz w:val="21"/>
          <w:szCs w:val="21"/>
          <w:highlight w:val="none"/>
        </w:rPr>
        <w:t>Iimp=20kA (8/20</w:t>
      </w:r>
      <w:r>
        <w:rPr>
          <w:rFonts w:hint="eastAsia" w:ascii="宋体" w:eastAsia="宋体"/>
          <w:color w:val="auto"/>
          <w:sz w:val="21"/>
          <w:szCs w:val="21"/>
          <w:highlight w:val="none"/>
        </w:rPr>
        <w:t>μ</w:t>
      </w:r>
      <w:r>
        <w:rPr>
          <w:rFonts w:ascii="宋体" w:eastAsia="宋体"/>
          <w:color w:val="auto"/>
          <w:sz w:val="21"/>
          <w:szCs w:val="21"/>
          <w:highlight w:val="none"/>
        </w:rPr>
        <w:t>s)</w:t>
      </w:r>
      <w:r>
        <w:rPr>
          <w:rFonts w:hint="eastAsia" w:ascii="宋体" w:eastAsia="宋体"/>
          <w:color w:val="auto"/>
          <w:sz w:val="21"/>
          <w:szCs w:val="21"/>
          <w:highlight w:val="none"/>
        </w:rPr>
        <w:t>。</w:t>
      </w:r>
    </w:p>
    <w:p>
      <w:pPr>
        <w:pStyle w:val="75"/>
        <w:spacing w:line="360" w:lineRule="auto"/>
        <w:ind w:firstLine="428" w:firstLineChars="204"/>
        <w:rPr>
          <w:rFonts w:ascii="宋体" w:eastAsia="宋体"/>
          <w:color w:val="auto"/>
          <w:sz w:val="21"/>
          <w:szCs w:val="21"/>
          <w:highlight w:val="none"/>
        </w:rPr>
      </w:pPr>
      <w:r>
        <w:rPr>
          <w:rFonts w:ascii="宋体" w:eastAsia="宋体"/>
          <w:color w:val="auto"/>
          <w:sz w:val="21"/>
          <w:szCs w:val="21"/>
          <w:highlight w:val="none"/>
        </w:rPr>
        <w:t>6.</w:t>
      </w:r>
      <w:r>
        <w:rPr>
          <w:rFonts w:hint="eastAsia" w:ascii="宋体" w:eastAsia="宋体"/>
          <w:color w:val="auto"/>
          <w:sz w:val="21"/>
          <w:szCs w:val="21"/>
          <w:highlight w:val="none"/>
        </w:rPr>
        <w:t>无功补偿装置，补偿容量为变压器容量的</w:t>
      </w:r>
      <w:r>
        <w:rPr>
          <w:rFonts w:ascii="宋体" w:eastAsia="宋体"/>
          <w:color w:val="auto"/>
          <w:sz w:val="21"/>
          <w:szCs w:val="21"/>
          <w:highlight w:val="none"/>
        </w:rPr>
        <w:t>20</w:t>
      </w:r>
      <w:r>
        <w:rPr>
          <w:rFonts w:hint="eastAsia" w:ascii="宋体" w:eastAsia="宋体"/>
          <w:color w:val="auto"/>
          <w:sz w:val="21"/>
          <w:szCs w:val="21"/>
          <w:highlight w:val="none"/>
        </w:rPr>
        <w:t>～</w:t>
      </w:r>
      <w:r>
        <w:rPr>
          <w:rFonts w:ascii="宋体" w:eastAsia="宋体"/>
          <w:color w:val="auto"/>
          <w:sz w:val="21"/>
          <w:szCs w:val="21"/>
          <w:highlight w:val="none"/>
        </w:rPr>
        <w:t>40%</w:t>
      </w:r>
      <w:r>
        <w:rPr>
          <w:rFonts w:hint="eastAsia" w:ascii="宋体" w:eastAsia="宋体"/>
          <w:color w:val="auto"/>
          <w:sz w:val="21"/>
          <w:szCs w:val="21"/>
          <w:highlight w:val="none"/>
        </w:rPr>
        <w:t>，电容器需分组配手、自动投切；无功补偿控制器</w:t>
      </w:r>
      <w:r>
        <w:rPr>
          <w:rFonts w:ascii="宋体" w:eastAsia="宋体"/>
          <w:color w:val="auto"/>
          <w:sz w:val="21"/>
          <w:szCs w:val="21"/>
          <w:highlight w:val="none"/>
        </w:rPr>
        <w:t>(E)</w:t>
      </w:r>
      <w:r>
        <w:rPr>
          <w:rFonts w:hint="eastAsia" w:ascii="宋体" w:eastAsia="宋体"/>
          <w:color w:val="auto"/>
          <w:sz w:val="21"/>
          <w:szCs w:val="21"/>
          <w:highlight w:val="none"/>
        </w:rPr>
        <w:t>需具备采集电容电容器投切状态，功率因数、低压侧三相电压、三相电流等基本运行参数功能；无功补偿控制器采用</w:t>
      </w:r>
      <w:r>
        <w:rPr>
          <w:rFonts w:ascii="宋体" w:eastAsia="宋体"/>
          <w:color w:val="auto"/>
          <w:sz w:val="21"/>
          <w:szCs w:val="21"/>
          <w:highlight w:val="none"/>
        </w:rPr>
        <w:t>485</w:t>
      </w:r>
      <w:r>
        <w:rPr>
          <w:rFonts w:hint="eastAsia" w:ascii="宋体" w:eastAsia="宋体"/>
          <w:color w:val="auto"/>
          <w:sz w:val="21"/>
          <w:szCs w:val="21"/>
          <w:highlight w:val="none"/>
        </w:rPr>
        <w:t>数据线与配变监测计量终端连接。</w:t>
      </w:r>
    </w:p>
    <w:p>
      <w:pPr>
        <w:pStyle w:val="75"/>
        <w:spacing w:line="360" w:lineRule="auto"/>
        <w:ind w:firstLine="428" w:firstLineChars="204"/>
        <w:rPr>
          <w:rFonts w:ascii="宋体" w:eastAsia="宋体"/>
          <w:color w:val="auto"/>
          <w:sz w:val="21"/>
          <w:szCs w:val="21"/>
          <w:highlight w:val="none"/>
        </w:rPr>
      </w:pPr>
      <w:r>
        <w:rPr>
          <w:rFonts w:ascii="宋体" w:eastAsia="宋体"/>
          <w:color w:val="auto"/>
          <w:sz w:val="21"/>
          <w:szCs w:val="21"/>
          <w:highlight w:val="none"/>
        </w:rPr>
        <w:t>7.</w:t>
      </w:r>
      <w:r>
        <w:rPr>
          <w:rFonts w:hint="eastAsia" w:ascii="宋体" w:eastAsia="宋体"/>
          <w:color w:val="auto"/>
          <w:sz w:val="21"/>
          <w:szCs w:val="21"/>
          <w:highlight w:val="none"/>
        </w:rPr>
        <w:t>高压计量柜</w:t>
      </w:r>
      <w:r>
        <w:rPr>
          <w:rFonts w:ascii="宋体" w:eastAsia="宋体"/>
          <w:color w:val="auto"/>
          <w:sz w:val="21"/>
          <w:szCs w:val="21"/>
          <w:highlight w:val="none"/>
        </w:rPr>
        <w:t>CT</w:t>
      </w:r>
      <w:r>
        <w:rPr>
          <w:rFonts w:hint="eastAsia" w:ascii="宋体" w:eastAsia="宋体"/>
          <w:color w:val="auto"/>
          <w:sz w:val="21"/>
          <w:szCs w:val="21"/>
          <w:highlight w:val="none"/>
        </w:rPr>
        <w:t>采用</w:t>
      </w:r>
      <w:r>
        <w:rPr>
          <w:rFonts w:ascii="宋体" w:eastAsia="宋体"/>
          <w:color w:val="auto"/>
          <w:sz w:val="21"/>
          <w:szCs w:val="21"/>
          <w:highlight w:val="none"/>
        </w:rPr>
        <w:t>0.2S</w:t>
      </w:r>
      <w:r>
        <w:rPr>
          <w:rFonts w:hint="eastAsia" w:ascii="宋体" w:eastAsia="宋体"/>
          <w:color w:val="auto"/>
          <w:sz w:val="21"/>
          <w:szCs w:val="21"/>
          <w:highlight w:val="none"/>
        </w:rPr>
        <w:t>级，计量</w:t>
      </w:r>
      <w:r>
        <w:rPr>
          <w:rFonts w:ascii="宋体" w:eastAsia="宋体"/>
          <w:color w:val="auto"/>
          <w:sz w:val="21"/>
          <w:szCs w:val="21"/>
          <w:highlight w:val="none"/>
        </w:rPr>
        <w:t>PT</w:t>
      </w:r>
      <w:r>
        <w:rPr>
          <w:rFonts w:hint="eastAsia" w:ascii="宋体" w:eastAsia="宋体"/>
          <w:color w:val="auto"/>
          <w:sz w:val="21"/>
          <w:szCs w:val="21"/>
          <w:highlight w:val="none"/>
        </w:rPr>
        <w:t>采用</w:t>
      </w:r>
      <w:r>
        <w:rPr>
          <w:rFonts w:ascii="宋体" w:eastAsia="宋体"/>
          <w:color w:val="auto"/>
          <w:sz w:val="21"/>
          <w:szCs w:val="21"/>
          <w:highlight w:val="none"/>
        </w:rPr>
        <w:t>0.2</w:t>
      </w:r>
      <w:r>
        <w:rPr>
          <w:rFonts w:hint="eastAsia" w:ascii="宋体" w:eastAsia="宋体"/>
          <w:color w:val="auto"/>
          <w:sz w:val="21"/>
          <w:szCs w:val="21"/>
          <w:highlight w:val="none"/>
        </w:rPr>
        <w:t>级。计量室门、计量</w:t>
      </w:r>
      <w:r>
        <w:rPr>
          <w:rFonts w:ascii="宋体" w:eastAsia="宋体"/>
          <w:color w:val="auto"/>
          <w:sz w:val="21"/>
          <w:szCs w:val="21"/>
          <w:highlight w:val="none"/>
        </w:rPr>
        <w:t>CT</w:t>
      </w:r>
      <w:r>
        <w:rPr>
          <w:rFonts w:hint="eastAsia" w:ascii="宋体" w:eastAsia="宋体"/>
          <w:color w:val="auto"/>
          <w:sz w:val="21"/>
          <w:szCs w:val="21"/>
          <w:highlight w:val="none"/>
        </w:rPr>
        <w:t>及</w:t>
      </w:r>
      <w:r>
        <w:rPr>
          <w:rFonts w:ascii="宋体" w:eastAsia="宋体"/>
          <w:color w:val="auto"/>
          <w:sz w:val="21"/>
          <w:szCs w:val="21"/>
          <w:highlight w:val="none"/>
        </w:rPr>
        <w:t>PT</w:t>
      </w:r>
      <w:r>
        <w:rPr>
          <w:rFonts w:hint="eastAsia" w:ascii="宋体" w:eastAsia="宋体"/>
          <w:color w:val="auto"/>
          <w:sz w:val="21"/>
          <w:szCs w:val="21"/>
          <w:highlight w:val="none"/>
        </w:rPr>
        <w:t>二次接线端子盒应配有供电部门的铅封装置口。</w:t>
      </w:r>
    </w:p>
    <w:p>
      <w:pPr>
        <w:pStyle w:val="75"/>
        <w:spacing w:line="360" w:lineRule="auto"/>
        <w:ind w:firstLine="428" w:firstLineChars="204"/>
        <w:rPr>
          <w:rFonts w:ascii="宋体" w:eastAsia="宋体"/>
          <w:color w:val="auto"/>
          <w:sz w:val="21"/>
          <w:szCs w:val="21"/>
          <w:highlight w:val="none"/>
        </w:rPr>
      </w:pPr>
      <w:r>
        <w:rPr>
          <w:rFonts w:ascii="宋体" w:eastAsia="宋体"/>
          <w:color w:val="auto"/>
          <w:sz w:val="21"/>
          <w:szCs w:val="21"/>
          <w:highlight w:val="none"/>
        </w:rPr>
        <w:t>8.</w:t>
      </w:r>
      <w:r>
        <w:rPr>
          <w:rFonts w:hint="eastAsia" w:ascii="宋体" w:eastAsia="宋体"/>
          <w:color w:val="auto"/>
          <w:sz w:val="21"/>
          <w:szCs w:val="21"/>
          <w:highlight w:val="none"/>
        </w:rPr>
        <w:t>变压器中性点及所有电气设备金属外壳均可靠接地</w:t>
      </w:r>
      <w:r>
        <w:rPr>
          <w:rFonts w:ascii="宋体" w:eastAsia="宋体"/>
          <w:color w:val="auto"/>
          <w:sz w:val="21"/>
          <w:szCs w:val="21"/>
          <w:highlight w:val="none"/>
        </w:rPr>
        <w:t>,</w:t>
      </w:r>
      <w:r>
        <w:rPr>
          <w:rFonts w:hint="eastAsia" w:ascii="宋体" w:eastAsia="宋体"/>
          <w:color w:val="auto"/>
          <w:sz w:val="21"/>
          <w:szCs w:val="21"/>
          <w:highlight w:val="none"/>
        </w:rPr>
        <w:t>接地电阻不大于</w:t>
      </w:r>
      <w:r>
        <w:rPr>
          <w:rFonts w:ascii="宋体" w:eastAsia="宋体"/>
          <w:color w:val="auto"/>
          <w:sz w:val="21"/>
          <w:szCs w:val="21"/>
          <w:highlight w:val="none"/>
        </w:rPr>
        <w:t>4</w:t>
      </w:r>
      <w:r>
        <w:rPr>
          <w:rFonts w:hint="eastAsia" w:ascii="宋体" w:eastAsia="宋体"/>
          <w:color w:val="auto"/>
          <w:sz w:val="21"/>
          <w:szCs w:val="21"/>
          <w:highlight w:val="none"/>
        </w:rPr>
        <w:t>欧姆。</w:t>
      </w:r>
    </w:p>
    <w:p>
      <w:pPr>
        <w:pStyle w:val="75"/>
        <w:spacing w:line="360" w:lineRule="auto"/>
        <w:ind w:firstLine="428" w:firstLineChars="204"/>
        <w:rPr>
          <w:rFonts w:ascii="宋体" w:eastAsia="宋体"/>
          <w:color w:val="auto"/>
          <w:sz w:val="21"/>
          <w:szCs w:val="21"/>
          <w:highlight w:val="none"/>
        </w:rPr>
      </w:pPr>
      <w:r>
        <w:rPr>
          <w:rFonts w:ascii="宋体" w:eastAsia="宋体"/>
          <w:color w:val="auto"/>
          <w:sz w:val="21"/>
          <w:szCs w:val="21"/>
          <w:highlight w:val="none"/>
        </w:rPr>
        <w:t>9.</w:t>
      </w:r>
      <w:r>
        <w:rPr>
          <w:rFonts w:hint="eastAsia" w:ascii="宋体" w:eastAsia="宋体"/>
          <w:color w:val="auto"/>
          <w:sz w:val="21"/>
          <w:szCs w:val="21"/>
          <w:highlight w:val="none"/>
        </w:rPr>
        <w:t>高压柜内均安装自动加热除湿器，电源取自进线</w:t>
      </w:r>
      <w:r>
        <w:rPr>
          <w:rFonts w:ascii="宋体" w:eastAsia="宋体"/>
          <w:color w:val="auto"/>
          <w:sz w:val="21"/>
          <w:szCs w:val="21"/>
          <w:highlight w:val="none"/>
        </w:rPr>
        <w:t>PT</w:t>
      </w:r>
      <w:r>
        <w:rPr>
          <w:rFonts w:hint="eastAsia" w:ascii="宋体" w:eastAsia="宋体"/>
          <w:color w:val="auto"/>
          <w:sz w:val="21"/>
          <w:szCs w:val="21"/>
          <w:highlight w:val="none"/>
        </w:rPr>
        <w:t>。</w:t>
      </w:r>
    </w:p>
    <w:bookmarkEnd w:id="148"/>
    <w:bookmarkEnd w:id="149"/>
    <w:bookmarkEnd w:id="150"/>
    <w:bookmarkEnd w:id="151"/>
    <w:bookmarkEnd w:id="152"/>
    <w:bookmarkEnd w:id="153"/>
    <w:p>
      <w:pPr>
        <w:pStyle w:val="3"/>
        <w:spacing w:line="360" w:lineRule="auto"/>
        <w:ind w:left="425" w:hanging="425"/>
        <w:rPr>
          <w:rFonts w:hAnsi="宋体"/>
          <w:b/>
          <w:bCs/>
          <w:color w:val="auto"/>
          <w:highlight w:val="none"/>
        </w:rPr>
      </w:pPr>
      <w:r>
        <w:rPr>
          <w:rFonts w:hint="eastAsia" w:hAnsi="宋体"/>
          <w:b/>
          <w:bCs/>
          <w:color w:val="auto"/>
          <w:highlight w:val="none"/>
        </w:rPr>
        <w:t>四、服务要求</w:t>
      </w:r>
    </w:p>
    <w:p>
      <w:pPr>
        <w:pStyle w:val="75"/>
        <w:spacing w:line="360" w:lineRule="auto"/>
        <w:ind w:firstLine="430" w:firstLineChars="204"/>
        <w:rPr>
          <w:rFonts w:ascii="宋体" w:eastAsia="宋体"/>
          <w:b/>
          <w:bCs/>
          <w:color w:val="auto"/>
          <w:sz w:val="21"/>
          <w:szCs w:val="21"/>
          <w:highlight w:val="none"/>
        </w:rPr>
      </w:pPr>
      <w:r>
        <w:rPr>
          <w:rFonts w:hint="eastAsia" w:ascii="宋体" w:eastAsia="宋体"/>
          <w:b/>
          <w:bCs/>
          <w:color w:val="auto"/>
          <w:sz w:val="21"/>
          <w:szCs w:val="21"/>
          <w:highlight w:val="none"/>
        </w:rPr>
        <w:t>（一）包装、保险及发运、保管要求</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1、货物材料的包装须是制造商原厂包装，其包装均应有良好的防湿、防锈、防潮、防雨、防腐及防碰撞的措施。凡由于包装不良造成的损失和由此产生的费用均由供应商承担。</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2、成交供应商负责将货物材料到达现场过程中的全部运输，包括装卸车、货物现场的搬运。</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3、各种货物必须提供装箱清单，按装箱清单验收货物。</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4、货物在现场的保管由成交供应商负责，直至项目安装、验收完毕。</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5、货物在工程安装调试验收合格前的保险由成交供应商负责，成交供应商负责其派出的现场服务人员人身意外保险。</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6、货物至采购人指定的使用现场的包装、保险及发运等环节和费用均由成交供应商负责。</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（二）安装、调试与验收</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1、成交供应商必须依照采购文件中施工图纸的要求和响应文件的承诺，将电力设施系统安装并调试至正常运行的最佳状态。安装中，成交供应商应注意成品保护，如因粗暴作业引起损坏甲方设备设施的，须作修复或照价赔偿。另，拆除出来的设备统一移交回甲方保管。</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2、货物若有国家标准按照国家标准验收，若无国家标准按行业标准验收，货物为原制造商制造的全新产品，整机无污染，无侵权行为、表面无划损、无任何缺陷隐患，在中国境内可依常规安全合法使用。</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3、货物为原制造商未启封全新包装，具出厂合格证，序列号、包装箱号与出厂批号一致，并可追索查阅。所有随货物的附件必须齐全。</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4、成交供应商应将关键主机货物的用户手册、保修手册、有关单证资料及配备件、随机工具等交付给采购人，使用操作及安全须知等重要资料应附有中文说明。</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5、采购人组成验收小组按国家有关规定、规范进行验收，必要时邀请相关的专业人员或机构参与验收。因工程或货物的质量问题发生争议时，由本地质量技术监督部门鉴定。货物符合质量技术标准的，鉴定费由采购人承担，否则鉴定费由成交供应商承担。</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（三）质保期及售后服务要求</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1、质保期：工程从验收合格之日起要求保修不少于二年，所需全部费用包括在本项目总报价中。</w:t>
      </w:r>
    </w:p>
    <w:p>
      <w:pPr>
        <w:pStyle w:val="75"/>
        <w:spacing w:line="360" w:lineRule="auto"/>
        <w:ind w:firstLine="428" w:firstLineChars="204"/>
        <w:rPr>
          <w:rFonts w:hint="eastAsia" w:ascii="宋体" w:eastAsia="宋体"/>
          <w:color w:val="auto"/>
          <w:sz w:val="21"/>
          <w:szCs w:val="21"/>
          <w:highlight w:val="none"/>
          <w:lang w:eastAsia="zh-CN"/>
        </w:rPr>
      </w:pPr>
      <w:r>
        <w:rPr>
          <w:rFonts w:hint="eastAsia" w:ascii="宋体" w:eastAsia="宋体"/>
          <w:color w:val="auto"/>
          <w:sz w:val="21"/>
          <w:szCs w:val="21"/>
          <w:highlight w:val="none"/>
        </w:rPr>
        <w:t>2、质保期内成交供应商对所供货物实行包修、包换、包退。</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3、质保期内，如货物或零部件因非人为因素出现故障而造成短期停用时，则质保期和免费维修期相应顺延。如停用时间累计超过60天则质保期重新计算。</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4、在质保期内，成交供应商应对影响货物正常运转的故障负责，相关费用由成交供应商承担，所有服务由成交供应商上门进行，不得收取任何费用。</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5、服务响应时间：对采购人的服务通知，成交供应商在接报后4小时内响应，8小时内到达现场，24小时内处理完毕。</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6、若设备</w:t>
      </w:r>
      <w:r>
        <w:rPr>
          <w:rFonts w:ascii="宋体" w:eastAsia="宋体"/>
          <w:color w:val="auto"/>
          <w:sz w:val="21"/>
          <w:szCs w:val="21"/>
          <w:highlight w:val="none"/>
        </w:rPr>
        <w:t>发生故障，</w:t>
      </w:r>
      <w:r>
        <w:rPr>
          <w:rFonts w:hint="eastAsia" w:ascii="宋体" w:eastAsia="宋体"/>
          <w:color w:val="auto"/>
          <w:sz w:val="21"/>
          <w:szCs w:val="21"/>
          <w:highlight w:val="none"/>
        </w:rPr>
        <w:t>在24小时内仍未能有效解决，成交供应商须免费提供同档次的设备予采购人临时使用。</w:t>
      </w:r>
    </w:p>
    <w:p>
      <w:pPr>
        <w:pStyle w:val="3"/>
        <w:spacing w:line="360" w:lineRule="auto"/>
        <w:ind w:left="425" w:hanging="425"/>
        <w:rPr>
          <w:rFonts w:hAnsi="宋体"/>
          <w:b/>
          <w:bCs/>
          <w:color w:val="auto"/>
          <w:highlight w:val="none"/>
        </w:rPr>
      </w:pPr>
      <w:bookmarkStart w:id="154" w:name="_Toc435458236"/>
      <w:bookmarkStart w:id="155" w:name="_Toc435461587"/>
      <w:bookmarkStart w:id="156" w:name="_Toc435458067"/>
      <w:bookmarkStart w:id="157" w:name="_Toc435458309"/>
      <w:bookmarkStart w:id="158" w:name="_Toc435457371"/>
      <w:bookmarkStart w:id="159" w:name="_Toc435457372"/>
      <w:bookmarkStart w:id="160" w:name="_Toc435458068"/>
      <w:bookmarkStart w:id="161" w:name="_Toc435458316"/>
      <w:bookmarkStart w:id="162" w:name="_Toc435461594"/>
      <w:bookmarkStart w:id="163" w:name="_Toc435458243"/>
      <w:r>
        <w:rPr>
          <w:rFonts w:hint="eastAsia" w:hAnsi="宋体"/>
          <w:b/>
          <w:bCs/>
          <w:color w:val="auto"/>
          <w:highlight w:val="none"/>
        </w:rPr>
        <w:t>五、</w:t>
      </w:r>
      <w:bookmarkEnd w:id="154"/>
      <w:bookmarkEnd w:id="155"/>
      <w:bookmarkEnd w:id="156"/>
      <w:bookmarkEnd w:id="157"/>
      <w:bookmarkEnd w:id="158"/>
      <w:r>
        <w:rPr>
          <w:rFonts w:hint="eastAsia" w:hAnsi="宋体"/>
          <w:b/>
          <w:bCs/>
          <w:color w:val="auto"/>
          <w:highlight w:val="none"/>
        </w:rPr>
        <w:t>付款方式</w:t>
      </w:r>
    </w:p>
    <w:p>
      <w:pPr>
        <w:spacing w:line="360" w:lineRule="auto"/>
        <w:ind w:firstLine="460" w:firstLineChars="200"/>
        <w:rPr>
          <w:rFonts w:hAnsi="宋体"/>
          <w:bCs/>
          <w:color w:val="auto"/>
          <w:spacing w:val="10"/>
          <w:sz w:val="21"/>
          <w:szCs w:val="21"/>
          <w:highlight w:val="none"/>
        </w:rPr>
      </w:pPr>
      <w:r>
        <w:rPr>
          <w:rFonts w:hint="eastAsia" w:hAnsi="宋体"/>
          <w:bCs/>
          <w:color w:val="auto"/>
          <w:spacing w:val="10"/>
          <w:sz w:val="21"/>
          <w:szCs w:val="21"/>
          <w:highlight w:val="none"/>
        </w:rPr>
        <w:t>1、</w:t>
      </w:r>
      <w:r>
        <w:rPr>
          <w:rFonts w:hint="eastAsia" w:hAnsi="宋体"/>
          <w:color w:val="auto"/>
          <w:sz w:val="21"/>
          <w:szCs w:val="21"/>
          <w:highlight w:val="none"/>
        </w:rPr>
        <w:t>合同签订后，成交供应商在</w:t>
      </w:r>
      <w:r>
        <w:rPr>
          <w:rFonts w:hint="eastAsia" w:hAnsi="宋体"/>
          <w:bCs/>
          <w:color w:val="auto"/>
          <w:spacing w:val="10"/>
          <w:sz w:val="21"/>
          <w:szCs w:val="21"/>
          <w:highlight w:val="none"/>
        </w:rPr>
        <w:t>取得供电局批复的正式供电方案后，</w:t>
      </w:r>
      <w:r>
        <w:rPr>
          <w:rFonts w:hint="eastAsia" w:hAnsi="宋体"/>
          <w:color w:val="auto"/>
          <w:sz w:val="21"/>
          <w:szCs w:val="21"/>
          <w:highlight w:val="none"/>
        </w:rPr>
        <w:t>支付合同总价的</w:t>
      </w:r>
      <w:r>
        <w:rPr>
          <w:rFonts w:hint="eastAsia" w:hAnsi="宋体"/>
          <w:bCs/>
          <w:color w:val="auto"/>
          <w:spacing w:val="10"/>
          <w:sz w:val="21"/>
          <w:szCs w:val="21"/>
          <w:highlight w:val="none"/>
        </w:rPr>
        <w:t>10%；</w:t>
      </w:r>
    </w:p>
    <w:p>
      <w:pPr>
        <w:spacing w:line="360" w:lineRule="auto"/>
        <w:ind w:firstLine="460" w:firstLineChars="200"/>
        <w:rPr>
          <w:rFonts w:hint="eastAsia" w:hAnsi="宋体" w:eastAsia="宋体"/>
          <w:bCs/>
          <w:color w:val="auto"/>
          <w:spacing w:val="10"/>
          <w:sz w:val="21"/>
          <w:szCs w:val="21"/>
          <w:highlight w:val="none"/>
          <w:lang w:val="en-US" w:eastAsia="zh-CN"/>
        </w:rPr>
      </w:pPr>
      <w:r>
        <w:rPr>
          <w:rFonts w:hint="eastAsia" w:hAnsi="宋体"/>
          <w:bCs/>
          <w:color w:val="auto"/>
          <w:spacing w:val="10"/>
          <w:sz w:val="21"/>
          <w:szCs w:val="21"/>
          <w:highlight w:val="none"/>
        </w:rPr>
        <w:t>2、全部设备进场后，</w:t>
      </w:r>
      <w:r>
        <w:rPr>
          <w:rFonts w:hint="eastAsia" w:hAnsi="宋体"/>
          <w:color w:val="auto"/>
          <w:sz w:val="21"/>
          <w:szCs w:val="21"/>
          <w:highlight w:val="none"/>
        </w:rPr>
        <w:t>支付至合同总价的</w:t>
      </w:r>
      <w:r>
        <w:rPr>
          <w:rFonts w:hint="eastAsia" w:hAnsi="宋体"/>
          <w:bCs/>
          <w:color w:val="auto"/>
          <w:spacing w:val="10"/>
          <w:sz w:val="21"/>
          <w:szCs w:val="21"/>
          <w:highlight w:val="none"/>
        </w:rPr>
        <w:t>70%；</w:t>
      </w:r>
    </w:p>
    <w:p>
      <w:pPr>
        <w:spacing w:line="360" w:lineRule="auto"/>
        <w:ind w:firstLine="460" w:firstLineChars="200"/>
        <w:rPr>
          <w:rFonts w:hAnsi="宋体"/>
          <w:bCs/>
          <w:color w:val="auto"/>
          <w:spacing w:val="10"/>
          <w:sz w:val="21"/>
          <w:szCs w:val="21"/>
          <w:highlight w:val="none"/>
        </w:rPr>
      </w:pPr>
      <w:r>
        <w:rPr>
          <w:rFonts w:hint="eastAsia" w:hAnsi="宋体"/>
          <w:bCs/>
          <w:color w:val="auto"/>
          <w:spacing w:val="10"/>
          <w:sz w:val="21"/>
          <w:szCs w:val="21"/>
          <w:highlight w:val="none"/>
        </w:rPr>
        <w:t>3、工程完工并通过验收结算后，</w:t>
      </w:r>
      <w:r>
        <w:rPr>
          <w:rFonts w:hint="eastAsia" w:hAnsi="宋体"/>
          <w:color w:val="auto"/>
          <w:sz w:val="21"/>
          <w:szCs w:val="21"/>
          <w:highlight w:val="none"/>
        </w:rPr>
        <w:t>支付至结算总价的</w:t>
      </w:r>
      <w:r>
        <w:rPr>
          <w:rFonts w:hint="eastAsia" w:hAnsi="宋体"/>
          <w:bCs/>
          <w:color w:val="auto"/>
          <w:spacing w:val="10"/>
          <w:sz w:val="21"/>
          <w:szCs w:val="21"/>
          <w:highlight w:val="none"/>
        </w:rPr>
        <w:t>97%；</w:t>
      </w:r>
    </w:p>
    <w:p>
      <w:pPr>
        <w:spacing w:line="360" w:lineRule="auto"/>
        <w:ind w:firstLine="460" w:firstLineChars="200"/>
        <w:rPr>
          <w:rFonts w:hAnsi="宋体"/>
          <w:bCs/>
          <w:color w:val="auto"/>
          <w:spacing w:val="10"/>
          <w:sz w:val="21"/>
          <w:szCs w:val="21"/>
          <w:highlight w:val="none"/>
        </w:rPr>
      </w:pPr>
      <w:r>
        <w:rPr>
          <w:rFonts w:hint="eastAsia" w:hAnsi="宋体"/>
          <w:bCs/>
          <w:color w:val="auto"/>
          <w:spacing w:val="10"/>
          <w:sz w:val="21"/>
          <w:szCs w:val="21"/>
          <w:highlight w:val="none"/>
        </w:rPr>
        <w:t>4、质保期满通过质保期验收后，支付</w:t>
      </w:r>
      <w:r>
        <w:rPr>
          <w:rFonts w:hint="eastAsia" w:hAnsi="宋体"/>
          <w:color w:val="auto"/>
          <w:sz w:val="21"/>
          <w:szCs w:val="21"/>
          <w:highlight w:val="none"/>
        </w:rPr>
        <w:t>结算总价的</w:t>
      </w:r>
      <w:r>
        <w:rPr>
          <w:rFonts w:hint="eastAsia" w:hAnsi="宋体"/>
          <w:bCs/>
          <w:color w:val="auto"/>
          <w:spacing w:val="10"/>
          <w:sz w:val="21"/>
          <w:szCs w:val="21"/>
          <w:highlight w:val="none"/>
        </w:rPr>
        <w:t>3%。</w:t>
      </w:r>
    </w:p>
    <w:p>
      <w:pPr>
        <w:pStyle w:val="3"/>
        <w:spacing w:line="360" w:lineRule="auto"/>
        <w:ind w:left="425" w:hanging="425"/>
        <w:rPr>
          <w:rFonts w:hAnsi="宋体"/>
          <w:b/>
          <w:bCs/>
          <w:color w:val="auto"/>
          <w:highlight w:val="none"/>
        </w:rPr>
      </w:pPr>
      <w:r>
        <w:rPr>
          <w:rFonts w:hint="eastAsia" w:hAnsi="宋体"/>
          <w:b/>
          <w:bCs/>
          <w:color w:val="auto"/>
          <w:highlight w:val="none"/>
        </w:rPr>
        <w:t>六、</w:t>
      </w:r>
      <w:bookmarkEnd w:id="159"/>
      <w:bookmarkEnd w:id="160"/>
      <w:bookmarkEnd w:id="161"/>
      <w:bookmarkEnd w:id="162"/>
      <w:bookmarkEnd w:id="163"/>
      <w:bookmarkStart w:id="164" w:name="_Toc435458244"/>
      <w:bookmarkStart w:id="165" w:name="_Toc435461595"/>
      <w:bookmarkStart w:id="166" w:name="_Toc435458317"/>
      <w:r>
        <w:rPr>
          <w:rFonts w:hint="eastAsia" w:hAnsi="宋体"/>
          <w:b/>
          <w:bCs/>
          <w:color w:val="auto"/>
          <w:highlight w:val="none"/>
        </w:rPr>
        <w:t>报价要求</w:t>
      </w:r>
    </w:p>
    <w:bookmarkEnd w:id="164"/>
    <w:bookmarkEnd w:id="165"/>
    <w:bookmarkEnd w:id="166"/>
    <w:p>
      <w:pPr>
        <w:spacing w:line="360" w:lineRule="auto"/>
        <w:ind w:firstLine="420"/>
        <w:rPr>
          <w:rFonts w:hint="eastAsia"/>
          <w:color w:val="auto"/>
          <w:highlight w:val="none"/>
          <w:lang w:val="en-US" w:eastAsia="zh-CN"/>
        </w:rPr>
      </w:pPr>
      <w:bookmarkStart w:id="167" w:name="_Toc13957"/>
      <w:r>
        <w:rPr>
          <w:rFonts w:hint="eastAsia"/>
          <w:color w:val="auto"/>
          <w:sz w:val="21"/>
          <w:szCs w:val="21"/>
          <w:highlight w:val="none"/>
        </w:rPr>
        <w:t>本项目采用</w:t>
      </w:r>
      <w:r>
        <w:rPr>
          <w:rFonts w:hint="eastAsia"/>
          <w:color w:val="auto"/>
          <w:sz w:val="21"/>
          <w:szCs w:val="21"/>
          <w:highlight w:val="none"/>
          <w:lang w:val="en-US" w:eastAsia="zh-CN"/>
        </w:rPr>
        <w:t>固定</w:t>
      </w:r>
      <w:r>
        <w:rPr>
          <w:rFonts w:hint="eastAsia"/>
          <w:color w:val="auto"/>
          <w:sz w:val="21"/>
          <w:szCs w:val="21"/>
          <w:highlight w:val="none"/>
        </w:rPr>
        <w:t>总价包干的形式进行报价。成交价包图纸深化设计、包报装、包验收通电、包工包料、包机械设备、包工期、包质量、包安全、包税收、利润和相关部门验收费等与本项目有关的所有费用。供应商应综合考虑并自行填报该工程实际发生的规费、税金情况，未填报或填报内容及费率错误的视为报价中已包含在各分项综合单价中。</w:t>
      </w:r>
      <w:r>
        <w:rPr>
          <w:rFonts w:hint="eastAsia"/>
          <w:color w:val="auto"/>
          <w:sz w:val="21"/>
          <w:szCs w:val="21"/>
          <w:highlight w:val="none"/>
          <w:lang w:eastAsia="zh-CN"/>
        </w:rPr>
        <w:t>乙方自行考虑工程成功验收通电的所有风险因素，</w:t>
      </w:r>
      <w:r>
        <w:rPr>
          <w:rFonts w:hint="eastAsia"/>
          <w:b/>
          <w:bCs/>
          <w:color w:val="auto"/>
          <w:sz w:val="21"/>
          <w:szCs w:val="21"/>
          <w:highlight w:val="none"/>
          <w:lang w:eastAsia="zh-CN"/>
        </w:rPr>
        <w:t>除了超出合同承包范围的签证工程、甲方主动针对合同范围内材料设备的型号规格下达增大或着选择更优质的指令以及在现有招标图纸与投标清单的基础上主动增加增大项目施工规模规格（如</w:t>
      </w:r>
      <w:r>
        <w:rPr>
          <w:rFonts w:hint="eastAsia"/>
          <w:b/>
          <w:bCs/>
          <w:color w:val="auto"/>
          <w:sz w:val="21"/>
          <w:szCs w:val="21"/>
          <w:highlight w:val="none"/>
          <w:lang w:val="en-US" w:eastAsia="zh-CN"/>
        </w:rPr>
        <w:t>加大变压器容量、</w:t>
      </w:r>
      <w:r>
        <w:rPr>
          <w:rFonts w:hint="eastAsia"/>
          <w:b/>
          <w:bCs/>
          <w:color w:val="auto"/>
          <w:sz w:val="21"/>
          <w:szCs w:val="21"/>
          <w:highlight w:val="none"/>
          <w:lang w:eastAsia="zh-CN"/>
        </w:rPr>
        <w:t>增加埋管根数、顶管根数、电缆根数、增大电井规格等）、国家税务政策调整以外</w:t>
      </w:r>
      <w:r>
        <w:rPr>
          <w:rFonts w:hint="eastAsia"/>
          <w:color w:val="auto"/>
          <w:sz w:val="21"/>
          <w:szCs w:val="21"/>
          <w:highlight w:val="none"/>
          <w:lang w:eastAsia="zh-CN"/>
        </w:rPr>
        <w:t>，甲方在履约过程中以及结算阶段对于合同清单的工程量、综合单价、合同总价不做任何调整，价格包干</w:t>
      </w:r>
      <w:r>
        <w:rPr>
          <w:rFonts w:hint="eastAsia" w:asciiTheme="minorEastAsia" w:hAnsiTheme="minorEastAsia" w:eastAsiaTheme="minorEastAsia" w:cstheme="minorEastAsia"/>
          <w:b/>
          <w:bCs/>
          <w:color w:val="auto"/>
          <w:sz w:val="21"/>
          <w:szCs w:val="21"/>
          <w:highlight w:val="none"/>
          <w:lang w:eastAsia="zh-CN"/>
        </w:rPr>
        <w:t>（包括</w:t>
      </w:r>
      <w:r>
        <w:rPr>
          <w:rFonts w:hint="eastAsia"/>
          <w:b/>
          <w:bCs/>
          <w:color w:val="auto"/>
          <w:sz w:val="21"/>
          <w:szCs w:val="21"/>
          <w:highlight w:val="none"/>
          <w:lang w:eastAsia="zh-CN"/>
        </w:rPr>
        <w:t>合同范围内甲方主动提出的材料设备型号规格减小、降质以及项目施工规模规格减少、降低等，均不对合同价格进行任何调整</w:t>
      </w:r>
      <w:r>
        <w:rPr>
          <w:rFonts w:hint="eastAsia" w:asciiTheme="minorEastAsia" w:hAnsiTheme="minorEastAsia" w:eastAsiaTheme="minorEastAsia" w:cstheme="minorEastAsia"/>
          <w:b/>
          <w:bCs/>
          <w:color w:val="auto"/>
          <w:sz w:val="21"/>
          <w:szCs w:val="21"/>
          <w:highlight w:val="none"/>
          <w:lang w:eastAsia="zh-CN"/>
        </w:rPr>
        <w:t>）</w:t>
      </w:r>
      <w:r>
        <w:rPr>
          <w:rFonts w:hint="eastAsia"/>
          <w:color w:val="auto"/>
          <w:sz w:val="21"/>
          <w:szCs w:val="21"/>
          <w:highlight w:val="none"/>
          <w:lang w:eastAsia="zh-CN"/>
        </w:rPr>
        <w:t>。</w:t>
      </w:r>
    </w:p>
    <w:p>
      <w:pPr>
        <w:pStyle w:val="3"/>
        <w:spacing w:line="360" w:lineRule="auto"/>
        <w:rPr>
          <w:rFonts w:hAnsi="宋体"/>
          <w:b/>
          <w:bCs/>
          <w:color w:val="auto"/>
          <w:highlight w:val="none"/>
        </w:rPr>
      </w:pPr>
      <w:r>
        <w:rPr>
          <w:rFonts w:hint="eastAsia" w:hAnsi="宋体"/>
          <w:b/>
          <w:bCs/>
          <w:color w:val="auto"/>
          <w:highlight w:val="none"/>
        </w:rPr>
        <w:t>七、工程建设及质量技术要求</w:t>
      </w:r>
    </w:p>
    <w:p>
      <w:pPr>
        <w:spacing w:line="360" w:lineRule="auto"/>
        <w:ind w:firstLine="420" w:firstLineChars="200"/>
        <w:rPr>
          <w:color w:val="auto"/>
          <w:sz w:val="21"/>
          <w:szCs w:val="21"/>
          <w:highlight w:val="none"/>
        </w:rPr>
      </w:pPr>
      <w:r>
        <w:rPr>
          <w:rFonts w:hint="eastAsia"/>
          <w:color w:val="auto"/>
          <w:sz w:val="21"/>
          <w:szCs w:val="21"/>
          <w:highlight w:val="none"/>
        </w:rPr>
        <w:t>（一）工程建设要求</w:t>
      </w:r>
    </w:p>
    <w:p>
      <w:pPr>
        <w:spacing w:line="360" w:lineRule="auto"/>
        <w:ind w:firstLine="420" w:firstLineChars="200"/>
        <w:rPr>
          <w:color w:val="auto"/>
          <w:sz w:val="21"/>
          <w:szCs w:val="21"/>
          <w:highlight w:val="none"/>
        </w:rPr>
      </w:pPr>
      <w:r>
        <w:rPr>
          <w:rFonts w:hint="eastAsia"/>
          <w:color w:val="auto"/>
          <w:sz w:val="21"/>
          <w:szCs w:val="21"/>
          <w:highlight w:val="none"/>
        </w:rPr>
        <w:t>1、施工工期：合同签订后3日内进场，30日历天内完工；</w:t>
      </w:r>
    </w:p>
    <w:p>
      <w:pPr>
        <w:spacing w:line="360" w:lineRule="auto"/>
        <w:ind w:firstLine="420" w:firstLineChars="200"/>
        <w:rPr>
          <w:color w:val="auto"/>
          <w:sz w:val="21"/>
          <w:szCs w:val="21"/>
          <w:highlight w:val="none"/>
        </w:rPr>
      </w:pPr>
      <w:r>
        <w:rPr>
          <w:rFonts w:hint="eastAsia"/>
          <w:color w:val="auto"/>
          <w:sz w:val="21"/>
          <w:szCs w:val="21"/>
          <w:highlight w:val="none"/>
        </w:rPr>
        <w:t>2、技术要求：工程施工内容满足国家、省、市及行业规范要求。</w:t>
      </w:r>
    </w:p>
    <w:p>
      <w:pPr>
        <w:spacing w:line="360" w:lineRule="auto"/>
        <w:ind w:firstLine="420" w:firstLineChars="200"/>
        <w:rPr>
          <w:color w:val="auto"/>
          <w:sz w:val="21"/>
          <w:szCs w:val="21"/>
          <w:highlight w:val="none"/>
        </w:rPr>
      </w:pPr>
      <w:r>
        <w:rPr>
          <w:rFonts w:hint="eastAsia"/>
          <w:color w:val="auto"/>
          <w:sz w:val="21"/>
          <w:szCs w:val="21"/>
          <w:highlight w:val="none"/>
        </w:rPr>
        <w:t>3、工程验收：由采购人及供电部门或行业主管部门组织验收。</w:t>
      </w:r>
    </w:p>
    <w:p>
      <w:pPr>
        <w:spacing w:line="360" w:lineRule="auto"/>
        <w:ind w:firstLine="420" w:firstLineChars="200"/>
        <w:rPr>
          <w:color w:val="auto"/>
          <w:sz w:val="21"/>
          <w:szCs w:val="21"/>
          <w:highlight w:val="none"/>
        </w:rPr>
      </w:pPr>
      <w:r>
        <w:rPr>
          <w:rFonts w:hint="eastAsia"/>
          <w:color w:val="auto"/>
          <w:sz w:val="21"/>
          <w:szCs w:val="21"/>
          <w:highlight w:val="none"/>
        </w:rPr>
        <w:t>（二）建设质量要求</w:t>
      </w:r>
    </w:p>
    <w:p>
      <w:pPr>
        <w:spacing w:line="360" w:lineRule="auto"/>
        <w:ind w:firstLine="420" w:firstLineChars="200"/>
        <w:rPr>
          <w:color w:val="auto"/>
          <w:sz w:val="21"/>
          <w:szCs w:val="21"/>
          <w:highlight w:val="none"/>
        </w:rPr>
      </w:pPr>
      <w:r>
        <w:rPr>
          <w:rFonts w:hint="eastAsia"/>
          <w:color w:val="auto"/>
          <w:sz w:val="21"/>
          <w:szCs w:val="21"/>
          <w:highlight w:val="none"/>
        </w:rPr>
        <w:t>1、合格，通过主管部门的验收，并正常供电；</w:t>
      </w:r>
    </w:p>
    <w:p>
      <w:pPr>
        <w:spacing w:line="360" w:lineRule="auto"/>
        <w:ind w:firstLine="420" w:firstLineChars="200"/>
        <w:rPr>
          <w:color w:val="auto"/>
          <w:sz w:val="21"/>
          <w:szCs w:val="21"/>
          <w:highlight w:val="none"/>
        </w:rPr>
      </w:pPr>
      <w:r>
        <w:rPr>
          <w:rFonts w:hint="eastAsia"/>
          <w:color w:val="auto"/>
          <w:sz w:val="21"/>
          <w:szCs w:val="21"/>
          <w:highlight w:val="none"/>
        </w:rPr>
        <w:t>2、工程保质期（自竣工验收合格并送电之日算起）：2年。</w:t>
      </w:r>
    </w:p>
    <w:p>
      <w:pPr>
        <w:spacing w:line="360" w:lineRule="auto"/>
        <w:ind w:firstLine="420" w:firstLineChars="200"/>
        <w:rPr>
          <w:color w:val="auto"/>
          <w:sz w:val="21"/>
          <w:szCs w:val="21"/>
          <w:highlight w:val="none"/>
        </w:rPr>
      </w:pPr>
      <w:r>
        <w:rPr>
          <w:rFonts w:hint="eastAsia"/>
          <w:color w:val="auto"/>
          <w:sz w:val="21"/>
          <w:szCs w:val="21"/>
          <w:highlight w:val="none"/>
        </w:rPr>
        <w:t>（三）施工要求</w:t>
      </w:r>
    </w:p>
    <w:p>
      <w:pPr>
        <w:spacing w:line="360" w:lineRule="auto"/>
        <w:ind w:firstLine="420" w:firstLineChars="200"/>
        <w:rPr>
          <w:color w:val="auto"/>
          <w:sz w:val="21"/>
          <w:szCs w:val="21"/>
          <w:highlight w:val="none"/>
        </w:rPr>
      </w:pPr>
      <w:r>
        <w:rPr>
          <w:rFonts w:hint="eastAsia"/>
          <w:color w:val="auto"/>
          <w:sz w:val="21"/>
          <w:szCs w:val="21"/>
          <w:highlight w:val="none"/>
        </w:rPr>
        <w:t>1、按施工图要求施工。</w:t>
      </w:r>
    </w:p>
    <w:p>
      <w:pPr>
        <w:pStyle w:val="3"/>
        <w:keepNext/>
        <w:keepLines/>
        <w:pageBreakBefore/>
        <w:numPr>
          <w:ilvl w:val="0"/>
          <w:numId w:val="11"/>
        </w:numPr>
        <w:spacing w:line="360" w:lineRule="auto"/>
        <w:jc w:val="center"/>
        <w:rPr>
          <w:rFonts w:hAnsi="宋体"/>
          <w:b/>
          <w:bCs/>
          <w:color w:val="auto"/>
          <w:kern w:val="44"/>
          <w:sz w:val="28"/>
          <w:szCs w:val="28"/>
          <w:highlight w:val="none"/>
          <w:lang w:val="zh-CN"/>
        </w:rPr>
      </w:pPr>
      <w:r>
        <w:rPr>
          <w:rFonts w:hint="eastAsia" w:hAnsi="宋体"/>
          <w:b/>
          <w:bCs/>
          <w:color w:val="auto"/>
          <w:kern w:val="44"/>
          <w:sz w:val="28"/>
          <w:szCs w:val="28"/>
          <w:highlight w:val="none"/>
          <w:lang w:val="zh-CN"/>
        </w:rPr>
        <w:t>评标工作大纲</w:t>
      </w:r>
      <w:bookmarkEnd w:id="167"/>
    </w:p>
    <w:p>
      <w:pPr>
        <w:pStyle w:val="20"/>
        <w:spacing w:line="360" w:lineRule="auto"/>
        <w:ind w:firstLine="422" w:firstLineChars="200"/>
        <w:jc w:val="both"/>
        <w:rPr>
          <w:rFonts w:hAnsi="宋体"/>
          <w:color w:val="auto"/>
          <w:sz w:val="21"/>
          <w:szCs w:val="21"/>
          <w:highlight w:val="none"/>
        </w:rPr>
      </w:pPr>
      <w:r>
        <w:rPr>
          <w:rFonts w:hint="eastAsia" w:hAnsi="宋体"/>
          <w:color w:val="auto"/>
          <w:sz w:val="21"/>
          <w:szCs w:val="21"/>
          <w:highlight w:val="none"/>
        </w:rPr>
        <w:t>一、磋商小组对响应文件进行初审，初审包括资格性审查和符合性审查。</w:t>
      </w:r>
    </w:p>
    <w:tbl>
      <w:tblPr>
        <w:tblStyle w:val="51"/>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5801"/>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Align w:val="center"/>
          </w:tcPr>
          <w:p>
            <w:pPr>
              <w:pStyle w:val="144"/>
              <w:spacing w:before="163" w:beforeLines="50" w:after="163"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审查项目</w:t>
            </w:r>
          </w:p>
        </w:tc>
        <w:tc>
          <w:tcPr>
            <w:tcW w:w="5801" w:type="dxa"/>
            <w:vAlign w:val="center"/>
          </w:tcPr>
          <w:p>
            <w:pPr>
              <w:pStyle w:val="144"/>
              <w:spacing w:before="163" w:beforeLines="50" w:after="163"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内容</w:t>
            </w:r>
          </w:p>
        </w:tc>
        <w:tc>
          <w:tcPr>
            <w:tcW w:w="1230" w:type="dxa"/>
          </w:tcPr>
          <w:p>
            <w:pPr>
              <w:pStyle w:val="144"/>
              <w:spacing w:before="163" w:beforeLines="50" w:after="163"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color w:val="auto"/>
                <w:szCs w:val="21"/>
                <w:highlight w:val="none"/>
              </w:rPr>
            </w:pPr>
            <w:r>
              <w:rPr>
                <w:rFonts w:hint="eastAsia" w:ascii="宋体" w:hAnsi="宋体"/>
                <w:bCs/>
                <w:color w:val="auto"/>
                <w:szCs w:val="21"/>
                <w:highlight w:val="none"/>
              </w:rPr>
              <w:t>资格性审查</w:t>
            </w: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资格瑕疵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磋商保证金瑕疵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color w:val="auto"/>
                <w:szCs w:val="21"/>
                <w:highlight w:val="none"/>
              </w:rPr>
            </w:pPr>
            <w:r>
              <w:rPr>
                <w:rFonts w:hint="eastAsia" w:ascii="宋体" w:hAnsi="宋体"/>
                <w:bCs/>
                <w:color w:val="auto"/>
                <w:szCs w:val="21"/>
                <w:highlight w:val="none"/>
              </w:rPr>
              <w:t>符合性审查</w:t>
            </w: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供应商代表身份审查</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磋商响应文件的有效性、完整性瑕疵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技术响应瑕疵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商务响应瑕疵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报价</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违规行为</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法律法规及磋商文件中规定的其它情形</w:t>
            </w:r>
          </w:p>
        </w:tc>
        <w:tc>
          <w:tcPr>
            <w:tcW w:w="1230" w:type="dxa"/>
          </w:tcPr>
          <w:p>
            <w:pPr>
              <w:pStyle w:val="144"/>
              <w:spacing w:line="360" w:lineRule="auto"/>
              <w:ind w:firstLine="0" w:firstLineChars="0"/>
              <w:jc w:val="left"/>
              <w:rPr>
                <w:rFonts w:ascii="宋体" w:hAnsi="宋体"/>
                <w:bCs/>
                <w:color w:val="auto"/>
                <w:szCs w:val="21"/>
                <w:highlight w:val="none"/>
              </w:rPr>
            </w:pPr>
          </w:p>
        </w:tc>
      </w:tr>
    </w:tbl>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（一）资格性检查</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1) 资格瑕疵</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包括但不限于：①资格证明文件未提供或不符合磋商文件要求的；②供应商与采购人、采购代理机构有利害关系的。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2) 磋商保证金瑕疵</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包括但不限于：①供应商未提交磋商文件保证金或金额不足；②提交方式、提交时间不符合采购要求；③磋商文件保证金有效期不符合采购要求的。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（二）符合性检查</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1) 供应商代表身份审查</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包括但不限于：①供应商代表未参加开标会；②供应商代表无有效授权；③核对供应商代表身份时，不能提供相应的身份证明或不相符。</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2) 响应文件的有效性、完整性瑕疵</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①响应文件的数量、制作、密封、标记不符合要求；②响应文件无法定代表人或其授权代表签字，或签字人无法定代表人有效授权的；③签字盖章不符合磋商文件要求的；④响应文件内容有严重缺漏项的；⑤报价有严重缺漏项的；⑥响应文件的关键内容字迹模糊、无法辨认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3) 技术响应瑕疵</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①响应文件不满足磋商文件中加注星号（★）的主要参数要求或加注星号的主要参数无技术资料支持的；②一般参数超出允许偏离的最大范围或最高项数的；③响应文件技术响应与事实不符或虚假磋商的；④供应商复制磋商文件的技术规格相关部分内容作为其响应文件的一部分的；⑤《技术规格偏离表》填写不明或不实的；⑥将一个包中的内容拆开磋商的；⑦供应商对同一货物或服务磋商时，同时提供两套或两套以上的磋商方案的；⑧明显不符合技术规格、技术标准要求的；⑨其他未实质性响应磋商文件技术要求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4) 商务响应瑕疵</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①磋商文件加注星号（★）的商务要求负偏离的；②项目完成期未满足磋商文件要求的；③报价超出采购预算的。④《商务条款偏离表》填写不明或不实的；⑤供应商低于成本报价竞标的；⑥响应文件附有采购人不能接受的条件的；⑦其他未实质性响应磋商文件商务要求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5）报价</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包括但不限于：报价不得超过本磋商文件明确的项目预算。</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6）违规行为</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①以他人的名义磋商、串通磋商、以行贿手段谋取成交或者以其他弄虚作假方式参与磋商的；②拒不按照要求对响应文件进行澄清、说明或者补正的；③扰乱开标、评标秩序，干扰磋商工作正常进行的。</w:t>
      </w:r>
    </w:p>
    <w:p>
      <w:pPr>
        <w:pStyle w:val="20"/>
        <w:numPr>
          <w:ilvl w:val="0"/>
          <w:numId w:val="12"/>
        </w:numP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法律法规及磋商文件中规定的其它情形。</w:t>
      </w:r>
    </w:p>
    <w:p>
      <w:pPr>
        <w:pStyle w:val="20"/>
        <w:spacing w:line="360" w:lineRule="auto"/>
        <w:jc w:val="left"/>
        <w:rPr>
          <w:rFonts w:hAnsi="宋体"/>
          <w:b w:val="0"/>
          <w:bCs w:val="0"/>
          <w:color w:val="auto"/>
          <w:sz w:val="21"/>
          <w:szCs w:val="21"/>
          <w:highlight w:val="none"/>
        </w:rPr>
      </w:pPr>
    </w:p>
    <w:p>
      <w:pPr>
        <w:pStyle w:val="28"/>
        <w:spacing w:line="360" w:lineRule="auto"/>
        <w:ind w:firstLine="422" w:firstLineChars="200"/>
        <w:rPr>
          <w:rFonts w:hAnsi="宋体"/>
          <w:b/>
          <w:bCs/>
          <w:color w:val="auto"/>
          <w:szCs w:val="21"/>
          <w:highlight w:val="none"/>
        </w:rPr>
      </w:pPr>
      <w:r>
        <w:rPr>
          <w:rFonts w:hint="eastAsia" w:hAnsi="宋体"/>
          <w:b/>
          <w:bCs/>
          <w:color w:val="auto"/>
          <w:szCs w:val="21"/>
          <w:highlight w:val="none"/>
        </w:rPr>
        <w:t>二、经过磋商阶段后，磋商小组按照磋商文件确定的评审标准和方法对提交最后报价的供应商的响应文件进行评审和比较，推荐候选成交供应商，编制评审报告。</w:t>
      </w:r>
    </w:p>
    <w:p>
      <w:pPr>
        <w:pStyle w:val="20"/>
        <w:spacing w:line="360" w:lineRule="auto"/>
        <w:ind w:left="480" w:leftChars="200"/>
        <w:jc w:val="left"/>
        <w:rPr>
          <w:rFonts w:hAnsi="宋体"/>
          <w:color w:val="auto"/>
          <w:sz w:val="21"/>
          <w:szCs w:val="21"/>
          <w:highlight w:val="none"/>
        </w:rPr>
      </w:pPr>
    </w:p>
    <w:p>
      <w:pPr>
        <w:pStyle w:val="28"/>
        <w:spacing w:line="360" w:lineRule="auto"/>
        <w:ind w:firstLine="422" w:firstLineChars="200"/>
        <w:rPr>
          <w:rFonts w:hAnsi="宋体"/>
          <w:b/>
          <w:bCs/>
          <w:color w:val="auto"/>
          <w:szCs w:val="21"/>
          <w:highlight w:val="none"/>
        </w:rPr>
      </w:pPr>
      <w:r>
        <w:rPr>
          <w:rFonts w:hint="eastAsia" w:hAnsi="宋体"/>
          <w:b/>
          <w:bCs/>
          <w:color w:val="auto"/>
          <w:szCs w:val="21"/>
          <w:highlight w:val="none"/>
        </w:rPr>
        <w:t>三、评审因素及评分权重</w:t>
      </w:r>
    </w:p>
    <w:tbl>
      <w:tblPr>
        <w:tblStyle w:val="51"/>
        <w:tblpPr w:leftFromText="180" w:rightFromText="180" w:vertAnchor="text" w:horzAnchor="page" w:tblpX="1526" w:tblpY="494"/>
        <w:tblOverlap w:val="never"/>
        <w:tblW w:w="9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450"/>
        <w:gridCol w:w="816"/>
        <w:gridCol w:w="6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815" w:type="dxa"/>
            <w:tcBorders>
              <w:top w:val="single" w:color="auto" w:sz="4" w:space="0"/>
              <w:left w:val="single" w:color="auto" w:sz="4" w:space="0"/>
              <w:bottom w:val="single" w:color="auto" w:sz="4" w:space="0"/>
              <w:right w:val="single" w:color="auto" w:sz="4" w:space="0"/>
            </w:tcBorders>
            <w:vAlign w:val="center"/>
          </w:tcPr>
          <w:p>
            <w:pPr>
              <w:pStyle w:val="75"/>
              <w:keepNext w:val="0"/>
              <w:keepLines w:val="0"/>
              <w:pageBreakBefore w:val="0"/>
              <w:kinsoku/>
              <w:wordWrap/>
              <w:overflowPunct/>
              <w:topLinePunct w:val="0"/>
              <w:bidi w:val="0"/>
              <w:spacing w:line="360" w:lineRule="auto"/>
              <w:ind w:left="-125" w:leftChars="-52" w:right="-223" w:rightChars="-93"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450" w:type="dxa"/>
            <w:tcBorders>
              <w:top w:val="single" w:color="auto" w:sz="4" w:space="0"/>
              <w:left w:val="single" w:color="auto" w:sz="4" w:space="0"/>
              <w:bottom w:val="single" w:color="auto" w:sz="4" w:space="0"/>
              <w:right w:val="single" w:color="auto" w:sz="4" w:space="0"/>
            </w:tcBorders>
            <w:vAlign w:val="center"/>
          </w:tcPr>
          <w:p>
            <w:pPr>
              <w:pStyle w:val="75"/>
              <w:keepNext w:val="0"/>
              <w:keepLines w:val="0"/>
              <w:pageBreakBefore w:val="0"/>
              <w:kinsoku/>
              <w:wordWrap/>
              <w:overflowPunct/>
              <w:topLinePunct w:val="0"/>
              <w:bidi w:val="0"/>
              <w:spacing w:line="360" w:lineRule="auto"/>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评分内容</w:t>
            </w:r>
          </w:p>
        </w:tc>
        <w:tc>
          <w:tcPr>
            <w:tcW w:w="816" w:type="dxa"/>
            <w:tcBorders>
              <w:top w:val="single" w:color="auto" w:sz="4" w:space="0"/>
              <w:left w:val="single" w:color="auto" w:sz="4" w:space="0"/>
              <w:bottom w:val="single" w:color="auto" w:sz="4" w:space="0"/>
              <w:right w:val="single" w:color="auto" w:sz="4" w:space="0"/>
            </w:tcBorders>
            <w:vAlign w:val="center"/>
          </w:tcPr>
          <w:p>
            <w:pPr>
              <w:pStyle w:val="75"/>
              <w:keepNext w:val="0"/>
              <w:keepLines w:val="0"/>
              <w:pageBreakBefore w:val="0"/>
              <w:kinsoku/>
              <w:wordWrap/>
              <w:overflowPunct/>
              <w:topLinePunct w:val="0"/>
              <w:bidi w:val="0"/>
              <w:spacing w:line="360" w:lineRule="auto"/>
              <w:ind w:left="-221" w:leftChars="-92" w:right="-137" w:rightChars="-57"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6003" w:type="dxa"/>
            <w:tcBorders>
              <w:top w:val="single" w:color="auto" w:sz="4" w:space="0"/>
              <w:left w:val="single" w:color="auto" w:sz="4" w:space="0"/>
              <w:bottom w:val="single" w:color="auto" w:sz="4" w:space="0"/>
              <w:right w:val="single" w:color="auto" w:sz="4" w:space="0"/>
            </w:tcBorders>
            <w:vAlign w:val="center"/>
          </w:tcPr>
          <w:p>
            <w:pPr>
              <w:pStyle w:val="75"/>
              <w:keepNext w:val="0"/>
              <w:keepLines w:val="0"/>
              <w:pageBreakBefore w:val="0"/>
              <w:kinsoku/>
              <w:wordWrap/>
              <w:overflowPunct/>
              <w:topLinePunct w:val="0"/>
              <w:bidi w:val="0"/>
              <w:spacing w:line="360" w:lineRule="auto"/>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084" w:type="dxa"/>
            <w:gridSpan w:val="4"/>
            <w:tcBorders>
              <w:top w:val="single" w:color="auto" w:sz="4" w:space="0"/>
              <w:left w:val="single" w:color="auto" w:sz="4" w:space="0"/>
              <w:bottom w:val="single" w:color="auto" w:sz="4" w:space="0"/>
              <w:right w:val="single" w:color="auto" w:sz="4" w:space="0"/>
            </w:tcBorders>
            <w:vAlign w:val="center"/>
          </w:tcPr>
          <w:p>
            <w:pPr>
              <w:pStyle w:val="75"/>
              <w:keepNext w:val="0"/>
              <w:keepLines w:val="0"/>
              <w:pageBreakBefore w:val="0"/>
              <w:kinsoku/>
              <w:wordWrap/>
              <w:overflowPunct/>
              <w:topLinePunct w:val="0"/>
              <w:bidi w:val="0"/>
              <w:spacing w:line="360" w:lineRule="auto"/>
              <w:ind w:left="1"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商务评分（30分）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1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5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企业实力</w:t>
            </w:r>
          </w:p>
        </w:tc>
        <w:tc>
          <w:tcPr>
            <w:tcW w:w="816"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val="en-US" w:eastAsia="zh-CN"/>
              </w:rPr>
              <w:t>6</w:t>
            </w:r>
          </w:p>
        </w:tc>
        <w:tc>
          <w:tcPr>
            <w:tcW w:w="60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auto"/>
              <w:jc w:val="left"/>
              <w:textAlignment w:val="auto"/>
              <w:rPr>
                <w:rFonts w:hint="eastAsia" w:hAnsi="宋体" w:cs="宋体"/>
                <w:color w:val="auto"/>
                <w:sz w:val="21"/>
                <w:szCs w:val="21"/>
                <w:highlight w:val="none"/>
                <w:lang w:eastAsia="zh-CN"/>
              </w:rPr>
            </w:pPr>
            <w:r>
              <w:rPr>
                <w:rFonts w:hint="eastAsia" w:hAnsi="宋体" w:cs="宋体"/>
                <w:color w:val="auto"/>
                <w:sz w:val="21"/>
                <w:szCs w:val="21"/>
                <w:highlight w:val="none"/>
                <w:lang w:eastAsia="zh-CN"/>
              </w:rPr>
              <w:t>供应商获得</w:t>
            </w:r>
            <w:r>
              <w:rPr>
                <w:rFonts w:hint="eastAsia" w:ascii="宋体" w:hAnsi="宋体" w:eastAsia="宋体" w:cs="宋体"/>
                <w:color w:val="auto"/>
                <w:sz w:val="21"/>
                <w:szCs w:val="21"/>
                <w:highlight w:val="none"/>
              </w:rPr>
              <w:t>由国家认证认可监督管理部门批准设立的认证机构颁发并在有效期内的质量管理体系认证,环境管理体系</w:t>
            </w:r>
            <w:r>
              <w:rPr>
                <w:rFonts w:hint="eastAsia" w:hAnsi="宋体" w:cs="宋体"/>
                <w:color w:val="auto"/>
                <w:sz w:val="21"/>
                <w:szCs w:val="21"/>
                <w:highlight w:val="none"/>
                <w:lang w:eastAsia="zh-CN"/>
              </w:rPr>
              <w:t>认</w:t>
            </w:r>
            <w:r>
              <w:rPr>
                <w:rFonts w:hint="eastAsia" w:ascii="宋体" w:hAnsi="宋体" w:eastAsia="宋体" w:cs="宋体"/>
                <w:color w:val="auto"/>
                <w:sz w:val="21"/>
                <w:szCs w:val="21"/>
                <w:highlight w:val="none"/>
              </w:rPr>
              <w:t>证,职业健康安全管理体系认证，每个得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分，最高得</w:t>
            </w: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hAnsi="宋体" w:cs="宋体"/>
                <w:color w:val="auto"/>
                <w:sz w:val="21"/>
                <w:szCs w:val="21"/>
                <w:highlight w:val="none"/>
                <w:lang w:eastAsia="zh-CN"/>
              </w:rPr>
              <w:t>。</w:t>
            </w:r>
          </w:p>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color w:val="auto"/>
                <w:sz w:val="21"/>
                <w:szCs w:val="21"/>
                <w:highlight w:val="none"/>
              </w:rPr>
            </w:pPr>
            <w:r>
              <w:rPr>
                <w:rFonts w:hint="eastAsia" w:hAnsi="宋体"/>
                <w:color w:val="auto"/>
                <w:sz w:val="21"/>
                <w:szCs w:val="21"/>
                <w:highlight w:val="none"/>
                <w:lang w:eastAsia="zh-CN"/>
              </w:rPr>
              <w:t>（须提供相关证书复印件并加盖公章）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81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2</w:t>
            </w:r>
          </w:p>
        </w:tc>
        <w:tc>
          <w:tcPr>
            <w:tcW w:w="145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同类项目</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p>
        </w:tc>
        <w:tc>
          <w:tcPr>
            <w:tcW w:w="816"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60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w:t>
            </w:r>
            <w:r>
              <w:rPr>
                <w:rFonts w:hint="eastAsia" w:hAnsi="宋体" w:cs="宋体"/>
                <w:color w:val="auto"/>
                <w:sz w:val="21"/>
                <w:szCs w:val="21"/>
                <w:highlight w:val="none"/>
                <w:lang w:eastAsia="zh-CN"/>
              </w:rPr>
              <w:t>商</w:t>
            </w:r>
            <w:r>
              <w:rPr>
                <w:rFonts w:hint="eastAsia" w:ascii="宋体" w:hAnsi="宋体" w:eastAsia="宋体" w:cs="宋体"/>
                <w:color w:val="auto"/>
                <w:sz w:val="21"/>
                <w:szCs w:val="21"/>
                <w:highlight w:val="none"/>
              </w:rPr>
              <w:t>2017年01月01日至2021年08月01日（以合同签订时间为准）具有配电类项目业绩</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每个得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w:t>
            </w:r>
            <w:r>
              <w:rPr>
                <w:rFonts w:hint="eastAsia" w:hAnsi="宋体"/>
                <w:b w:val="0"/>
                <w:color w:val="auto"/>
                <w:sz w:val="21"/>
                <w:szCs w:val="21"/>
                <w:highlight w:val="none"/>
              </w:rPr>
              <w:t>①</w:t>
            </w:r>
            <w:r>
              <w:rPr>
                <w:rFonts w:hint="eastAsia" w:ascii="宋体" w:hAnsi="宋体" w:eastAsia="宋体" w:cs="宋体"/>
                <w:color w:val="auto"/>
                <w:sz w:val="21"/>
                <w:szCs w:val="21"/>
                <w:highlight w:val="none"/>
              </w:rPr>
              <w:t>提供合同复印件加盖公章</w:t>
            </w:r>
            <w:r>
              <w:rPr>
                <w:rFonts w:hint="eastAsia" w:hAnsi="宋体"/>
                <w:b w:val="0"/>
                <w:color w:val="auto"/>
                <w:sz w:val="21"/>
                <w:szCs w:val="21"/>
                <w:highlight w:val="none"/>
              </w:rPr>
              <w:t>；②提供与项目相关的发票等材料。</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81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val="en-US" w:eastAsia="zh-CN"/>
              </w:rPr>
              <w:t>3</w:t>
            </w:r>
          </w:p>
        </w:tc>
        <w:tc>
          <w:tcPr>
            <w:tcW w:w="1450"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技术力量</w:t>
            </w:r>
          </w:p>
        </w:tc>
        <w:tc>
          <w:tcPr>
            <w:tcW w:w="816"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val="en-US" w:eastAsia="zh-CN"/>
              </w:rPr>
              <w:t>4</w:t>
            </w:r>
          </w:p>
        </w:tc>
        <w:tc>
          <w:tcPr>
            <w:tcW w:w="60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（1）拟派本项目的项目经理（项目负责人）业绩（仅</w:t>
            </w:r>
            <w:r>
              <w:rPr>
                <w:rFonts w:hint="eastAsia" w:ascii="宋体" w:hAnsi="宋体" w:eastAsia="宋体" w:cs="宋体"/>
                <w:color w:val="auto"/>
                <w:sz w:val="21"/>
                <w:szCs w:val="21"/>
                <w:highlight w:val="none"/>
                <w:lang w:eastAsia="zh-CN"/>
              </w:rPr>
              <w:t>同</w:t>
            </w:r>
            <w:r>
              <w:rPr>
                <w:rFonts w:hint="eastAsia" w:ascii="宋体" w:hAnsi="宋体" w:eastAsia="宋体" w:cs="宋体"/>
                <w:color w:val="auto"/>
                <w:sz w:val="21"/>
                <w:szCs w:val="21"/>
                <w:highlight w:val="none"/>
              </w:rPr>
              <w:t>一人）：</w:t>
            </w:r>
          </w:p>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拟投入本项目的项目</w:t>
            </w:r>
            <w:r>
              <w:rPr>
                <w:rFonts w:hint="eastAsia" w:ascii="宋体" w:hAnsi="宋体" w:eastAsia="宋体" w:cs="宋体"/>
                <w:color w:val="auto"/>
                <w:sz w:val="21"/>
                <w:szCs w:val="21"/>
                <w:highlight w:val="none"/>
                <w:lang w:eastAsia="zh-CN"/>
              </w:rPr>
              <w:t>经理从</w:t>
            </w:r>
            <w:r>
              <w:rPr>
                <w:rFonts w:hint="eastAsia" w:ascii="宋体" w:hAnsi="宋体" w:eastAsia="宋体" w:cs="宋体"/>
                <w:color w:val="auto"/>
                <w:sz w:val="21"/>
                <w:szCs w:val="21"/>
                <w:highlight w:val="none"/>
              </w:rPr>
              <w:t>2017年01月01日至2021年08月01日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曾经担任过</w:t>
            </w:r>
            <w:r>
              <w:rPr>
                <w:rFonts w:hint="eastAsia" w:hAnsi="宋体" w:cs="宋体"/>
                <w:color w:val="auto"/>
                <w:sz w:val="21"/>
                <w:szCs w:val="21"/>
                <w:highlight w:val="none"/>
                <w:lang w:eastAsia="zh-CN"/>
              </w:rPr>
              <w:t>相同电压</w:t>
            </w:r>
            <w:r>
              <w:rPr>
                <w:rFonts w:hint="eastAsia" w:ascii="宋体" w:hAnsi="宋体" w:eastAsia="宋体" w:cs="宋体"/>
                <w:color w:val="auto"/>
                <w:sz w:val="21"/>
                <w:szCs w:val="21"/>
                <w:highlight w:val="none"/>
                <w:lang w:eastAsia="zh-CN"/>
              </w:rPr>
              <w:t>的同类工程项目，每个业绩得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分；最高得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w:t>
            </w:r>
          </w:p>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）拟派本项目的项目经理</w:t>
            </w:r>
            <w:r>
              <w:rPr>
                <w:rFonts w:hint="eastAsia" w:ascii="宋体" w:hAnsi="宋体" w:eastAsia="宋体" w:cs="宋体"/>
                <w:color w:val="auto"/>
                <w:sz w:val="21"/>
                <w:szCs w:val="21"/>
                <w:highlight w:val="none"/>
                <w:lang w:eastAsia="zh-CN"/>
              </w:rPr>
              <w:t>为一级（机电工程）注册建造师得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提供①供应商连续为其缴纳的社保证明文件（社保证明应为响应文件递交截止日前半年时间内连续不少于三个月的有效证明材料，可以是在供应商总公司或分公司的社保缴纳证明文件，可以是原件或复印件，社保缴纳证明文件应具备社保管理机构印章）复印件加盖公章；②竣工验收报告；③相同电压：10KV；④同类工程项目：配电类项目</w:t>
            </w:r>
            <w:r>
              <w:rPr>
                <w:rFonts w:hint="eastAsia" w:hAnsi="宋体" w:cs="宋体"/>
                <w:color w:val="auto"/>
                <w:sz w:val="21"/>
                <w:szCs w:val="21"/>
                <w:highlight w:val="none"/>
                <w:lang w:eastAsia="zh-CN"/>
              </w:rPr>
              <w:t>；⑤业绩证明材料应能体现项目经理</w:t>
            </w:r>
            <w:r>
              <w:rPr>
                <w:rFonts w:hint="eastAsia" w:ascii="宋体" w:hAnsi="宋体" w:eastAsia="宋体" w:cs="宋体"/>
                <w:color w:val="auto"/>
                <w:sz w:val="21"/>
                <w:szCs w:val="21"/>
                <w:highlight w:val="none"/>
              </w:rPr>
              <w:t>（项目负责人）</w:t>
            </w:r>
            <w:r>
              <w:rPr>
                <w:rFonts w:hint="eastAsia" w:hAnsi="宋体" w:cs="宋体"/>
                <w:color w:val="auto"/>
                <w:sz w:val="21"/>
                <w:szCs w:val="21"/>
                <w:highlight w:val="none"/>
                <w:lang w:eastAsia="zh-CN"/>
              </w:rPr>
              <w:t>名字等相关信息，否则不得分。</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81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450" w:type="dxa"/>
            <w:vMerge w:val="continue"/>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816"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val="en-US" w:eastAsia="zh-CN"/>
              </w:rPr>
              <w:t>8</w:t>
            </w:r>
          </w:p>
        </w:tc>
        <w:tc>
          <w:tcPr>
            <w:tcW w:w="60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）供应商拟派本项目的技术人员（项目负责人除外）：</w:t>
            </w:r>
          </w:p>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①具有电气（力）类或机电工程类</w:t>
            </w:r>
            <w:r>
              <w:rPr>
                <w:rFonts w:hint="eastAsia" w:ascii="宋体" w:hAnsi="宋体" w:eastAsia="宋体" w:cs="宋体"/>
                <w:color w:val="auto"/>
                <w:sz w:val="21"/>
                <w:szCs w:val="21"/>
                <w:highlight w:val="none"/>
                <w:lang w:eastAsia="zh-CN"/>
              </w:rPr>
              <w:t>高级</w:t>
            </w:r>
            <w:r>
              <w:rPr>
                <w:rFonts w:hint="eastAsia" w:ascii="宋体" w:hAnsi="宋体" w:eastAsia="宋体" w:cs="宋体"/>
                <w:color w:val="auto"/>
                <w:sz w:val="21"/>
                <w:szCs w:val="21"/>
                <w:highlight w:val="none"/>
              </w:rPr>
              <w:t>技术职称的每个得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分，最高得</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分，其他不得分。</w:t>
            </w:r>
          </w:p>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）具有安全员安全生产考核合格证书（证书信息须为安全生产专职人员或以上，即“建安C”类或以上）的每个得0.5分，最高得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）具有特种作业操作证（准操项目为高压电工作业）或电工进网作业许可证，每个得0.5分，最高得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本项最高得6分；其他情况不得分。</w:t>
            </w:r>
          </w:p>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提供以上人员的相关证书及供应商连续为其缴纳的社保证明文件（社保证明应为响应文件递交截止日前半年时间内连续不少于三个月的有效证明材料，可以是在供应商总公司或分公司的社保缴纳证明文件，可以是原件或复印件，社保缴纳证明文件应具备社保管理机构印章）复印件加盖公章；同一人员获得多个证书可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084" w:type="dxa"/>
            <w:gridSpan w:val="4"/>
            <w:tcBorders>
              <w:top w:val="single" w:color="auto" w:sz="4" w:space="0"/>
              <w:left w:val="single" w:color="auto" w:sz="4" w:space="0"/>
              <w:bottom w:val="single" w:color="auto" w:sz="4" w:space="0"/>
              <w:right w:val="single" w:color="auto" w:sz="4" w:space="0"/>
            </w:tcBorders>
            <w:vAlign w:val="center"/>
          </w:tcPr>
          <w:p>
            <w:pPr>
              <w:pStyle w:val="75"/>
              <w:keepNext w:val="0"/>
              <w:keepLines w:val="0"/>
              <w:pageBreakBefore w:val="0"/>
              <w:kinsoku/>
              <w:wordWrap/>
              <w:overflowPunct/>
              <w:topLinePunct w:val="0"/>
              <w:bidi w:val="0"/>
              <w:spacing w:line="360" w:lineRule="auto"/>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技术评分（40分）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进度保障计划方案</w:t>
            </w:r>
          </w:p>
        </w:tc>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60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312"/>
              </w:tabs>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根据供应商制定的</w:t>
            </w:r>
            <w:r>
              <w:rPr>
                <w:rFonts w:hint="eastAsia" w:ascii="宋体" w:hAnsi="宋体" w:eastAsia="宋体" w:cs="宋体"/>
                <w:color w:val="auto"/>
                <w:sz w:val="21"/>
                <w:szCs w:val="21"/>
                <w:highlight w:val="none"/>
              </w:rPr>
              <w:t>进度保障计划方案</w:t>
            </w:r>
            <w:r>
              <w:rPr>
                <w:rFonts w:hint="eastAsia" w:ascii="宋体" w:hAnsi="宋体" w:eastAsia="宋体" w:cs="宋体"/>
                <w:bCs/>
                <w:color w:val="auto"/>
                <w:sz w:val="21"/>
                <w:szCs w:val="21"/>
                <w:highlight w:val="none"/>
              </w:rPr>
              <w:t>进行评分：</w:t>
            </w:r>
          </w:p>
          <w:p>
            <w:pPr>
              <w:keepNext w:val="0"/>
              <w:keepLines w:val="0"/>
              <w:pageBreakBefore w:val="0"/>
              <w:tabs>
                <w:tab w:val="left" w:pos="312"/>
              </w:tabs>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①方案详尽完整、科学合理、有利于项目实施得10分；</w:t>
            </w:r>
          </w:p>
          <w:p>
            <w:pPr>
              <w:keepNext w:val="0"/>
              <w:keepLines w:val="0"/>
              <w:pageBreakBefore w:val="0"/>
              <w:tabs>
                <w:tab w:val="left" w:pos="312"/>
              </w:tabs>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bCs/>
                <w:color w:val="auto"/>
                <w:sz w:val="21"/>
                <w:szCs w:val="21"/>
                <w:highlight w:val="none"/>
              </w:rPr>
              <w:t>具备合理可行的进度保障计划方案</w:t>
            </w:r>
            <w:r>
              <w:rPr>
                <w:rFonts w:hint="eastAsia" w:ascii="宋体" w:hAnsi="宋体" w:eastAsia="宋体" w:cs="宋体"/>
                <w:color w:val="auto"/>
                <w:sz w:val="21"/>
                <w:szCs w:val="21"/>
                <w:highlight w:val="none"/>
              </w:rPr>
              <w:t>得7分；</w:t>
            </w:r>
          </w:p>
          <w:p>
            <w:pPr>
              <w:keepNext w:val="0"/>
              <w:keepLines w:val="0"/>
              <w:pageBreakBefore w:val="0"/>
              <w:tabs>
                <w:tab w:val="left" w:pos="312"/>
              </w:tabs>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w:t>
            </w:r>
            <w:r>
              <w:rPr>
                <w:rFonts w:hint="eastAsia" w:ascii="宋体" w:hAnsi="宋体" w:eastAsia="宋体" w:cs="宋体"/>
                <w:bCs/>
                <w:color w:val="auto"/>
                <w:sz w:val="21"/>
                <w:szCs w:val="21"/>
                <w:highlight w:val="none"/>
              </w:rPr>
              <w:t>方案缺乏合理性或可行性</w:t>
            </w:r>
            <w:r>
              <w:rPr>
                <w:rFonts w:hint="eastAsia" w:ascii="宋体" w:hAnsi="宋体" w:eastAsia="宋体" w:cs="宋体"/>
                <w:color w:val="auto"/>
                <w:sz w:val="21"/>
                <w:szCs w:val="21"/>
                <w:highlight w:val="none"/>
              </w:rPr>
              <w:t>得3分；</w:t>
            </w:r>
          </w:p>
          <w:p>
            <w:pPr>
              <w:keepNext w:val="0"/>
              <w:keepLines w:val="0"/>
              <w:pageBreakBefore w:val="0"/>
              <w:tabs>
                <w:tab w:val="left" w:pos="312"/>
              </w:tabs>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④未提供不得分</w:t>
            </w:r>
            <w:r>
              <w:rPr>
                <w:rFonts w:hint="eastAsia" w:ascii="宋体" w:hAnsi="宋体" w:eastAsia="宋体" w:cs="宋体"/>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安全文明施工制度及保障措施</w:t>
            </w:r>
          </w:p>
        </w:tc>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60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312"/>
              </w:tabs>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根据供应商制定的</w:t>
            </w:r>
            <w:r>
              <w:rPr>
                <w:rFonts w:hint="eastAsia" w:ascii="宋体" w:hAnsi="宋体" w:eastAsia="宋体" w:cs="宋体"/>
                <w:color w:val="auto"/>
                <w:sz w:val="21"/>
                <w:szCs w:val="21"/>
                <w:highlight w:val="none"/>
              </w:rPr>
              <w:t>安全文明施工制度及保障措施</w:t>
            </w:r>
            <w:r>
              <w:rPr>
                <w:rFonts w:hint="eastAsia" w:ascii="宋体" w:hAnsi="宋体" w:eastAsia="宋体" w:cs="宋体"/>
                <w:bCs/>
                <w:color w:val="auto"/>
                <w:sz w:val="21"/>
                <w:szCs w:val="21"/>
                <w:highlight w:val="none"/>
              </w:rPr>
              <w:t>进行评分：</w:t>
            </w:r>
          </w:p>
          <w:p>
            <w:pPr>
              <w:keepNext w:val="0"/>
              <w:keepLines w:val="0"/>
              <w:pageBreakBefore w:val="0"/>
              <w:tabs>
                <w:tab w:val="left" w:pos="312"/>
              </w:tabs>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①保障</w:t>
            </w:r>
            <w:r>
              <w:rPr>
                <w:rFonts w:hint="eastAsia" w:ascii="宋体" w:hAnsi="宋体" w:eastAsia="宋体" w:cs="宋体"/>
                <w:bCs/>
                <w:color w:val="auto"/>
                <w:sz w:val="21"/>
                <w:szCs w:val="21"/>
                <w:highlight w:val="none"/>
              </w:rPr>
              <w:t>措施详尽完整、科学合理，制度严谨规范、能高效地保障项目实施</w:t>
            </w:r>
            <w:r>
              <w:rPr>
                <w:rFonts w:hint="eastAsia" w:ascii="宋体" w:hAnsi="宋体" w:eastAsia="宋体" w:cs="宋体"/>
                <w:color w:val="auto"/>
                <w:sz w:val="21"/>
                <w:szCs w:val="21"/>
                <w:highlight w:val="none"/>
              </w:rPr>
              <w:t>得10分；</w:t>
            </w:r>
          </w:p>
          <w:p>
            <w:pPr>
              <w:keepNext w:val="0"/>
              <w:keepLines w:val="0"/>
              <w:pageBreakBefore w:val="0"/>
              <w:tabs>
                <w:tab w:val="left" w:pos="312"/>
              </w:tabs>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②具备可行的保障</w:t>
            </w:r>
            <w:r>
              <w:rPr>
                <w:rFonts w:hint="eastAsia" w:ascii="宋体" w:hAnsi="宋体" w:eastAsia="宋体" w:cs="宋体"/>
                <w:bCs/>
                <w:color w:val="auto"/>
                <w:sz w:val="21"/>
                <w:szCs w:val="21"/>
                <w:highlight w:val="none"/>
              </w:rPr>
              <w:t>措施、制度完整，能保障项目实施</w:t>
            </w:r>
            <w:r>
              <w:rPr>
                <w:rFonts w:hint="eastAsia" w:ascii="宋体" w:hAnsi="宋体" w:eastAsia="宋体" w:cs="宋体"/>
                <w:color w:val="auto"/>
                <w:sz w:val="21"/>
                <w:szCs w:val="21"/>
                <w:highlight w:val="none"/>
              </w:rPr>
              <w:t>得7分；</w:t>
            </w:r>
          </w:p>
          <w:p>
            <w:pPr>
              <w:keepNext w:val="0"/>
              <w:keepLines w:val="0"/>
              <w:pageBreakBefore w:val="0"/>
              <w:tabs>
                <w:tab w:val="left" w:pos="312"/>
              </w:tabs>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③保障措施及制度</w:t>
            </w:r>
            <w:r>
              <w:rPr>
                <w:rFonts w:hint="eastAsia" w:ascii="宋体" w:hAnsi="宋体" w:eastAsia="宋体" w:cs="宋体"/>
                <w:bCs/>
                <w:color w:val="auto"/>
                <w:sz w:val="21"/>
                <w:szCs w:val="21"/>
                <w:highlight w:val="none"/>
              </w:rPr>
              <w:t>缺乏可行性及完整性</w:t>
            </w:r>
            <w:r>
              <w:rPr>
                <w:rFonts w:hint="eastAsia" w:ascii="宋体" w:hAnsi="宋体" w:eastAsia="宋体" w:cs="宋体"/>
                <w:color w:val="auto"/>
                <w:sz w:val="21"/>
                <w:szCs w:val="21"/>
                <w:highlight w:val="none"/>
              </w:rPr>
              <w:t>得3分；</w:t>
            </w:r>
          </w:p>
          <w:p>
            <w:pPr>
              <w:keepNext w:val="0"/>
              <w:keepLines w:val="0"/>
              <w:pageBreakBefore w:val="0"/>
              <w:tabs>
                <w:tab w:val="left" w:pos="312"/>
              </w:tabs>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④未提供不得分</w:t>
            </w:r>
            <w:r>
              <w:rPr>
                <w:rFonts w:hint="eastAsia" w:ascii="宋体" w:hAnsi="宋体" w:eastAsia="宋体" w:cs="宋体"/>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4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项目质量控制和检验方法</w:t>
            </w:r>
          </w:p>
        </w:tc>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60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312"/>
              </w:tabs>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根据供应商制定的</w:t>
            </w:r>
            <w:r>
              <w:rPr>
                <w:rFonts w:hint="eastAsia" w:ascii="宋体" w:hAnsi="宋体" w:eastAsia="宋体" w:cs="宋体"/>
                <w:color w:val="auto"/>
                <w:sz w:val="21"/>
                <w:szCs w:val="21"/>
                <w:highlight w:val="none"/>
              </w:rPr>
              <w:t>项目质量控制和检验方法</w:t>
            </w:r>
            <w:r>
              <w:rPr>
                <w:rFonts w:hint="eastAsia" w:ascii="宋体" w:hAnsi="宋体" w:eastAsia="宋体" w:cs="宋体"/>
                <w:bCs/>
                <w:color w:val="auto"/>
                <w:sz w:val="21"/>
                <w:szCs w:val="21"/>
                <w:highlight w:val="none"/>
              </w:rPr>
              <w:t>进行评分：</w:t>
            </w:r>
          </w:p>
          <w:p>
            <w:pPr>
              <w:keepNext w:val="0"/>
              <w:keepLines w:val="0"/>
              <w:pageBreakBefore w:val="0"/>
              <w:tabs>
                <w:tab w:val="left" w:pos="312"/>
              </w:tabs>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①质量控制严谨</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检验方法</w:t>
            </w:r>
            <w:r>
              <w:rPr>
                <w:rFonts w:hint="eastAsia" w:ascii="宋体" w:hAnsi="宋体" w:eastAsia="宋体" w:cs="宋体"/>
                <w:bCs/>
                <w:color w:val="auto"/>
                <w:sz w:val="21"/>
                <w:szCs w:val="21"/>
                <w:highlight w:val="none"/>
              </w:rPr>
              <w:t>科学合理、能高效地保障项目实施</w:t>
            </w:r>
            <w:r>
              <w:rPr>
                <w:rFonts w:hint="eastAsia" w:ascii="宋体" w:hAnsi="宋体" w:eastAsia="宋体" w:cs="宋体"/>
                <w:color w:val="auto"/>
                <w:sz w:val="21"/>
                <w:szCs w:val="21"/>
                <w:highlight w:val="none"/>
              </w:rPr>
              <w:t>得5分；</w:t>
            </w:r>
          </w:p>
          <w:p>
            <w:pPr>
              <w:keepNext w:val="0"/>
              <w:keepLines w:val="0"/>
              <w:pageBreakBefore w:val="0"/>
              <w:tabs>
                <w:tab w:val="left" w:pos="312"/>
              </w:tabs>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②具备规范可操作的质量控制和可行的检验方法、能保障项目实施得3分；</w:t>
            </w:r>
          </w:p>
          <w:p>
            <w:pPr>
              <w:keepNext w:val="0"/>
              <w:keepLines w:val="0"/>
              <w:pageBreakBefore w:val="0"/>
              <w:tabs>
                <w:tab w:val="left" w:pos="312"/>
              </w:tabs>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③质量控制和检验方法缺乏可行性或合理性得1分；</w:t>
            </w:r>
          </w:p>
          <w:p>
            <w:pPr>
              <w:keepNext w:val="0"/>
              <w:keepLines w:val="0"/>
              <w:pageBreakBefore w:val="0"/>
              <w:tabs>
                <w:tab w:val="left" w:pos="312"/>
              </w:tabs>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45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施工技术方案</w:t>
            </w:r>
          </w:p>
        </w:tc>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60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根据供应商制定的</w:t>
            </w:r>
            <w:r>
              <w:rPr>
                <w:rFonts w:hint="eastAsia" w:ascii="宋体" w:hAnsi="宋体" w:eastAsia="宋体" w:cs="宋体"/>
                <w:color w:val="auto"/>
                <w:sz w:val="21"/>
                <w:szCs w:val="21"/>
                <w:highlight w:val="none"/>
              </w:rPr>
              <w:t>施工技术方案</w:t>
            </w:r>
            <w:r>
              <w:rPr>
                <w:rFonts w:hint="eastAsia" w:ascii="宋体" w:hAnsi="宋体" w:eastAsia="宋体" w:cs="宋体"/>
                <w:bCs/>
                <w:color w:val="auto"/>
                <w:sz w:val="21"/>
                <w:szCs w:val="21"/>
                <w:highlight w:val="none"/>
              </w:rPr>
              <w:t>进行评分：</w:t>
            </w:r>
          </w:p>
          <w:p>
            <w:pPr>
              <w:keepNext w:val="0"/>
              <w:keepLines w:val="0"/>
              <w:pageBreakBefore w:val="0"/>
              <w:widowControl/>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①施工技术方案完善，工作流程科学、可操作性强得10分；</w:t>
            </w:r>
          </w:p>
          <w:p>
            <w:pPr>
              <w:keepNext w:val="0"/>
              <w:keepLines w:val="0"/>
              <w:pageBreakBefore w:val="0"/>
              <w:widowControl/>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②施工技术方案较为完善，工作流程较为科学、可操作性较强得7分；</w:t>
            </w:r>
          </w:p>
          <w:p>
            <w:pPr>
              <w:keepNext w:val="0"/>
              <w:keepLines w:val="0"/>
              <w:pageBreakBefore w:val="0"/>
              <w:widowControl/>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③实施技术方案不够完善，工作流程不够科学，可操作性不强得3分；</w:t>
            </w:r>
          </w:p>
          <w:p>
            <w:pPr>
              <w:keepNext w:val="0"/>
              <w:keepLines w:val="0"/>
              <w:pageBreakBefore w:val="0"/>
              <w:numPr>
                <w:ilvl w:val="255"/>
                <w:numId w:val="0"/>
              </w:numPr>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4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应急预案及服务承诺</w:t>
            </w:r>
          </w:p>
        </w:tc>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60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根据磋商响应人针对本项目制定的应急预案及服务承诺方案进行评分：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①应急预案及应对措施科学合理，服务承诺方案详尽完整、可行性高的得5分；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②具备应急预案及应对措施，服务承诺方案完整的得3分；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③方案措施完整性或可行性差的得1分；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9084" w:type="dxa"/>
            <w:gridSpan w:val="4"/>
            <w:tcBorders>
              <w:top w:val="single" w:color="auto" w:sz="4" w:space="0"/>
              <w:left w:val="single" w:color="auto" w:sz="4" w:space="0"/>
              <w:bottom w:val="single" w:color="auto" w:sz="4" w:space="0"/>
              <w:right w:val="single" w:color="auto" w:sz="4" w:space="0"/>
            </w:tcBorders>
            <w:vAlign w:val="center"/>
          </w:tcPr>
          <w:p>
            <w:pPr>
              <w:pStyle w:val="75"/>
              <w:keepNext w:val="0"/>
              <w:keepLines w:val="0"/>
              <w:pageBreakBefore w:val="0"/>
              <w:kinsoku/>
              <w:wordWrap/>
              <w:overflowPunct/>
              <w:topLinePunct w:val="0"/>
              <w:bidi w:val="0"/>
              <w:spacing w:line="360" w:lineRule="auto"/>
              <w:ind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
                <w:color w:val="auto"/>
                <w:kern w:val="0"/>
                <w:sz w:val="21"/>
                <w:szCs w:val="21"/>
                <w:highlight w:val="none"/>
              </w:rPr>
              <w:t>价格评分（30分）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Borders>
              <w:top w:val="single" w:color="auto" w:sz="4" w:space="0"/>
              <w:left w:val="single" w:color="auto" w:sz="4" w:space="0"/>
              <w:bottom w:val="single" w:color="auto" w:sz="4" w:space="0"/>
              <w:right w:val="single" w:color="auto" w:sz="4" w:space="0"/>
            </w:tcBorders>
            <w:vAlign w:val="center"/>
          </w:tcPr>
          <w:p>
            <w:pPr>
              <w:pStyle w:val="75"/>
              <w:keepNext w:val="0"/>
              <w:keepLines w:val="0"/>
              <w:pageBreakBefore w:val="0"/>
              <w:kinsoku/>
              <w:wordWrap/>
              <w:overflowPunct/>
              <w:topLinePunct w:val="0"/>
              <w:bidi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c>
          <w:tcPr>
            <w:tcW w:w="14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p>
        </w:tc>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30分</w:t>
            </w:r>
          </w:p>
        </w:tc>
        <w:tc>
          <w:tcPr>
            <w:tcW w:w="60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价格分计算方法：满足磋商文件要求且磋商价格（含税报价）最低的磋商报价为评标基准价，其价格分为满分。其他供应商的价格分统一按照下列公式计算：磋商报价得分=(评标基准价／磋商报价)×价格权重×100。</w:t>
            </w:r>
          </w:p>
        </w:tc>
      </w:tr>
    </w:tbl>
    <w:p>
      <w:pPr>
        <w:pStyle w:val="28"/>
        <w:spacing w:line="360" w:lineRule="auto"/>
        <w:ind w:firstLine="422" w:firstLineChars="200"/>
        <w:rPr>
          <w:rFonts w:hAnsi="宋体"/>
          <w:b/>
          <w:color w:val="auto"/>
          <w:szCs w:val="21"/>
          <w:highlight w:val="none"/>
        </w:rPr>
      </w:pPr>
      <w:r>
        <w:rPr>
          <w:rFonts w:hint="eastAsia" w:hAnsi="宋体"/>
          <w:b/>
          <w:color w:val="auto"/>
          <w:szCs w:val="21"/>
          <w:highlight w:val="none"/>
        </w:rPr>
        <w:t>四、技术评审</w:t>
      </w:r>
    </w:p>
    <w:p>
      <w:pPr>
        <w:spacing w:line="360" w:lineRule="auto"/>
        <w:ind w:firstLine="420" w:firstLineChars="200"/>
        <w:rPr>
          <w:rFonts w:hAnsi="宋体"/>
          <w:bCs/>
          <w:color w:val="auto"/>
          <w:sz w:val="21"/>
          <w:szCs w:val="21"/>
          <w:highlight w:val="none"/>
        </w:rPr>
      </w:pPr>
      <w:r>
        <w:rPr>
          <w:rFonts w:hint="eastAsia" w:hAnsi="宋体"/>
          <w:color w:val="auto"/>
          <w:sz w:val="21"/>
          <w:szCs w:val="21"/>
          <w:highlight w:val="none"/>
        </w:rPr>
        <w:t>1.由磋商小组对所有响应文件的技术部分响应和指标进行审核和分析；对响应文件中文字、图纸说明和指标响应进行评分，填写《技术评分表》。</w:t>
      </w:r>
    </w:p>
    <w:p>
      <w:pPr>
        <w:pStyle w:val="28"/>
        <w:spacing w:line="360" w:lineRule="auto"/>
        <w:ind w:firstLine="420" w:firstLineChars="200"/>
        <w:rPr>
          <w:rFonts w:hAnsi="宋体"/>
          <w:color w:val="auto"/>
          <w:szCs w:val="21"/>
          <w:highlight w:val="none"/>
        </w:rPr>
      </w:pPr>
      <w:r>
        <w:rPr>
          <w:rFonts w:hint="eastAsia" w:hAnsi="宋体"/>
          <w:color w:val="auto"/>
          <w:szCs w:val="21"/>
          <w:highlight w:val="none"/>
        </w:rPr>
        <w:t>2.将每一个磋商小组成员的评分汇总，取其算术平均值，为该供应商的技术评定得分。</w:t>
      </w:r>
    </w:p>
    <w:p>
      <w:pPr>
        <w:pStyle w:val="28"/>
        <w:spacing w:line="288" w:lineRule="auto"/>
        <w:ind w:firstLine="422" w:firstLineChars="200"/>
        <w:rPr>
          <w:rFonts w:hAnsi="宋体"/>
          <w:b/>
          <w:color w:val="auto"/>
          <w:szCs w:val="21"/>
          <w:highlight w:val="none"/>
        </w:rPr>
      </w:pPr>
    </w:p>
    <w:p>
      <w:pPr>
        <w:pStyle w:val="28"/>
        <w:spacing w:line="360" w:lineRule="auto"/>
        <w:ind w:firstLine="422" w:firstLineChars="200"/>
        <w:rPr>
          <w:rFonts w:hAnsi="宋体"/>
          <w:b/>
          <w:color w:val="auto"/>
          <w:szCs w:val="21"/>
          <w:highlight w:val="none"/>
        </w:rPr>
      </w:pPr>
      <w:r>
        <w:rPr>
          <w:rFonts w:hint="eastAsia" w:hAnsi="宋体"/>
          <w:b/>
          <w:color w:val="auto"/>
          <w:szCs w:val="21"/>
          <w:highlight w:val="none"/>
        </w:rPr>
        <w:t>五、商务评审</w:t>
      </w:r>
    </w:p>
    <w:p>
      <w:pPr>
        <w:pStyle w:val="28"/>
        <w:spacing w:line="360" w:lineRule="auto"/>
        <w:ind w:firstLine="420" w:firstLineChars="200"/>
        <w:rPr>
          <w:rFonts w:hAnsi="宋体"/>
          <w:color w:val="auto"/>
          <w:szCs w:val="21"/>
          <w:highlight w:val="none"/>
        </w:rPr>
      </w:pPr>
      <w:r>
        <w:rPr>
          <w:rFonts w:hint="eastAsia" w:hAnsi="宋体"/>
          <w:color w:val="auto"/>
          <w:szCs w:val="21"/>
          <w:highlight w:val="none"/>
        </w:rPr>
        <w:t>1.由磋商小组评价每个供应商的商务条件，填写《商务评分表》。</w:t>
      </w:r>
    </w:p>
    <w:p>
      <w:pPr>
        <w:pStyle w:val="28"/>
        <w:spacing w:line="360" w:lineRule="auto"/>
        <w:ind w:firstLine="420" w:firstLineChars="200"/>
        <w:rPr>
          <w:rFonts w:hAnsi="宋体"/>
          <w:color w:val="auto"/>
          <w:szCs w:val="21"/>
          <w:highlight w:val="none"/>
        </w:rPr>
      </w:pPr>
      <w:r>
        <w:rPr>
          <w:rFonts w:hint="eastAsia" w:hAnsi="宋体"/>
          <w:color w:val="auto"/>
          <w:szCs w:val="21"/>
          <w:highlight w:val="none"/>
        </w:rPr>
        <w:t>2.将每一个磋商小组成员的评分汇总，取其算术平均值，为该供应商的商务得分。</w:t>
      </w:r>
    </w:p>
    <w:p>
      <w:pPr>
        <w:pStyle w:val="28"/>
        <w:spacing w:line="288" w:lineRule="auto"/>
        <w:ind w:firstLine="422" w:firstLineChars="200"/>
        <w:rPr>
          <w:rFonts w:hAnsi="宋体"/>
          <w:b/>
          <w:color w:val="auto"/>
          <w:szCs w:val="21"/>
          <w:highlight w:val="none"/>
        </w:rPr>
      </w:pPr>
    </w:p>
    <w:p>
      <w:pPr>
        <w:pStyle w:val="28"/>
        <w:spacing w:line="360" w:lineRule="auto"/>
        <w:ind w:firstLine="422" w:firstLineChars="200"/>
        <w:rPr>
          <w:rFonts w:hAnsi="宋体"/>
          <w:b/>
          <w:color w:val="auto"/>
          <w:szCs w:val="21"/>
          <w:highlight w:val="none"/>
        </w:rPr>
      </w:pPr>
      <w:r>
        <w:rPr>
          <w:rFonts w:hint="eastAsia" w:hAnsi="宋体"/>
          <w:b/>
          <w:color w:val="auto"/>
          <w:szCs w:val="21"/>
          <w:highlight w:val="none"/>
        </w:rPr>
        <w:t>六、报价评审</w:t>
      </w:r>
    </w:p>
    <w:p>
      <w:pPr>
        <w:tabs>
          <w:tab w:val="left" w:pos="1365"/>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1.价格核准：磋商小组对有效供应商的详细报价进行复核，审查是否有计算上的错误或供货范围上的错误。对错误修正的原则如下：</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1.1响应文件的大写金额和小写金额不一致的，以大写金额为准；</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1.2当单价和数量的乘积与总价不一致时，以总价为准，并修正单价；</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1.3当分项之和与总价不一致时，以总价为准，并修正分项价格；</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1.4最终报价与原报价价差折算下浮率，单价按下浮率等比例下浮，如下浮率与不含税报价价差算术值不一致的，以不含税报价价差算术值为准，并修正下浮率；</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1.5当不含税报价和税金之和与含税报价不一致时，以含税总价为准，并修正不含税报价。</w:t>
      </w:r>
    </w:p>
    <w:p>
      <w:pPr>
        <w:tabs>
          <w:tab w:val="left" w:pos="1365"/>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2.价格评分：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将磋商小组修正后的入围供应商的磋商报价，以最后报价最低的供应商的价格为磋商基准价，定基准价的价格评分。其他磋商报价得分＝价格评分×(磋商基准价／最后磋商报价)。由此算出各供应商的报价得分。</w:t>
      </w:r>
    </w:p>
    <w:p>
      <w:pPr>
        <w:pStyle w:val="28"/>
        <w:spacing w:line="288" w:lineRule="auto"/>
        <w:ind w:firstLine="422" w:firstLineChars="200"/>
        <w:rPr>
          <w:rFonts w:hAnsi="宋体"/>
          <w:b/>
          <w:color w:val="auto"/>
          <w:szCs w:val="21"/>
          <w:highlight w:val="none"/>
        </w:rPr>
      </w:pPr>
    </w:p>
    <w:p>
      <w:pPr>
        <w:pStyle w:val="28"/>
        <w:tabs>
          <w:tab w:val="left" w:pos="1365"/>
        </w:tabs>
        <w:spacing w:line="360" w:lineRule="auto"/>
        <w:ind w:left="16" w:firstLine="422" w:firstLineChars="200"/>
        <w:rPr>
          <w:rFonts w:hAnsi="宋体"/>
          <w:b/>
          <w:color w:val="auto"/>
          <w:szCs w:val="21"/>
          <w:highlight w:val="none"/>
        </w:rPr>
      </w:pPr>
      <w:r>
        <w:rPr>
          <w:rFonts w:hint="eastAsia" w:hAnsi="宋体"/>
          <w:b/>
          <w:color w:val="auto"/>
          <w:szCs w:val="21"/>
          <w:highlight w:val="none"/>
        </w:rPr>
        <w:t>七、综合得分的计算</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1.综合得分=技术评审得分+商务评审得分+磋商报价得分。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将综合得分从高到低排出名次，本项目推荐两名成交候选供应商，总分第一名为第一成交候选供应商，第二名为第二成交候选供应商（综合得分相同的，按磋商报价得分顺序推荐；综合得分相同且磋商报价得分相同的，按技术得分顺序排列；综合得分、磋商报价得分、技术得分均相同的，由磋商小组投票决定排序）。</w:t>
      </w:r>
    </w:p>
    <w:p>
      <w:pPr>
        <w:pStyle w:val="3"/>
        <w:keepNext/>
        <w:keepLines/>
        <w:pageBreakBefore/>
        <w:numPr>
          <w:ilvl w:val="0"/>
          <w:numId w:val="11"/>
        </w:numPr>
        <w:spacing w:line="360" w:lineRule="auto"/>
        <w:jc w:val="center"/>
        <w:rPr>
          <w:rFonts w:hAnsi="宋体"/>
          <w:b/>
          <w:bCs/>
          <w:color w:val="auto"/>
          <w:highlight w:val="none"/>
        </w:rPr>
      </w:pPr>
      <w:bookmarkStart w:id="168" w:name="_Toc15636"/>
      <w:r>
        <w:rPr>
          <w:rFonts w:hint="eastAsia" w:hAnsi="宋体"/>
          <w:b/>
          <w:bCs/>
          <w:color w:val="auto"/>
          <w:kern w:val="44"/>
          <w:sz w:val="28"/>
          <w:szCs w:val="28"/>
          <w:highlight w:val="none"/>
          <w:lang w:val="zh-CN"/>
        </w:rPr>
        <w:t>合同条款格式</w:t>
      </w:r>
      <w:bookmarkEnd w:id="168"/>
    </w:p>
    <w:p>
      <w:pPr>
        <w:widowControl/>
        <w:wordWrap w:val="0"/>
        <w:jc w:val="right"/>
        <w:rPr>
          <w:rFonts w:eastAsia="仿宋_GB2312"/>
          <w:color w:val="auto"/>
          <w:highlight w:val="none"/>
          <w:shd w:val="clear" w:color="auto" w:fill="FFFFFF"/>
        </w:rPr>
      </w:pPr>
      <w:r>
        <w:rPr>
          <w:rFonts w:eastAsia="仿宋_GB2312"/>
          <w:color w:val="auto"/>
          <w:highlight w:val="none"/>
          <w:shd w:val="clear" w:color="auto" w:fill="FFFFFF"/>
        </w:rPr>
        <w:t>合同编号：</w:t>
      </w:r>
      <w:r>
        <w:rPr>
          <w:rFonts w:hint="eastAsia" w:eastAsia="仿宋_GB2312"/>
          <w:color w:val="auto"/>
          <w:highlight w:val="none"/>
          <w:shd w:val="clear" w:color="auto" w:fill="FFFFFF"/>
        </w:rPr>
        <w:t xml:space="preserve">             </w:t>
      </w:r>
    </w:p>
    <w:p>
      <w:pPr>
        <w:rPr>
          <w:rFonts w:hAnsi="宋体"/>
          <w:color w:val="auto"/>
          <w:highlight w:val="none"/>
        </w:rPr>
      </w:pPr>
    </w:p>
    <w:p>
      <w:pPr>
        <w:spacing w:line="400" w:lineRule="exact"/>
        <w:rPr>
          <w:rFonts w:eastAsia="方正小标宋简体"/>
          <w:b/>
          <w:bCs/>
          <w:color w:val="auto"/>
          <w:sz w:val="36"/>
          <w:szCs w:val="36"/>
          <w:highlight w:val="none"/>
        </w:rPr>
      </w:pPr>
    </w:p>
    <w:p>
      <w:pPr>
        <w:spacing w:line="400" w:lineRule="exact"/>
        <w:jc w:val="center"/>
        <w:rPr>
          <w:rFonts w:hAnsi="宋体"/>
          <w:b/>
          <w:bCs/>
          <w:color w:val="auto"/>
          <w:sz w:val="36"/>
          <w:szCs w:val="36"/>
          <w:highlight w:val="none"/>
        </w:rPr>
      </w:pPr>
      <w:r>
        <w:rPr>
          <w:rFonts w:hint="eastAsia" w:hAnsi="宋体"/>
          <w:b/>
          <w:bCs/>
          <w:color w:val="auto"/>
          <w:sz w:val="36"/>
          <w:szCs w:val="36"/>
          <w:highlight w:val="none"/>
        </w:rPr>
        <w:t>东莞市湾区国际制造中心总部2台630kVA箱变安装工程合同</w:t>
      </w:r>
    </w:p>
    <w:p>
      <w:pPr>
        <w:widowControl/>
        <w:ind w:firstLine="5400" w:firstLineChars="1800"/>
        <w:rPr>
          <w:rFonts w:hAnsi="宋体"/>
          <w:color w:val="auto"/>
          <w:sz w:val="30"/>
          <w:szCs w:val="30"/>
          <w:highlight w:val="none"/>
        </w:rPr>
      </w:pPr>
    </w:p>
    <w:p>
      <w:pPr>
        <w:spacing w:line="600" w:lineRule="exact"/>
        <w:ind w:firstLine="422" w:firstLineChars="200"/>
        <w:rPr>
          <w:rFonts w:hAnsi="宋体"/>
          <w:color w:val="auto"/>
          <w:sz w:val="21"/>
          <w:szCs w:val="21"/>
          <w:highlight w:val="none"/>
        </w:rPr>
      </w:pPr>
      <w:r>
        <w:rPr>
          <w:rFonts w:hint="eastAsia" w:hAnsi="宋体"/>
          <w:b/>
          <w:color w:val="auto"/>
          <w:sz w:val="21"/>
          <w:szCs w:val="21"/>
          <w:highlight w:val="none"/>
        </w:rPr>
        <w:t xml:space="preserve">发包人： </w:t>
      </w:r>
      <w:r>
        <w:rPr>
          <w:rFonts w:hint="eastAsia" w:hAnsi="宋体"/>
          <w:b/>
          <w:color w:val="auto"/>
          <w:sz w:val="21"/>
          <w:szCs w:val="21"/>
          <w:highlight w:val="none"/>
          <w:u w:val="single"/>
        </w:rPr>
        <w:t xml:space="preserve">                         </w:t>
      </w:r>
      <w:r>
        <w:rPr>
          <w:rFonts w:hint="eastAsia" w:hAnsi="宋体"/>
          <w:b/>
          <w:color w:val="auto"/>
          <w:sz w:val="21"/>
          <w:szCs w:val="21"/>
          <w:highlight w:val="none"/>
        </w:rPr>
        <w:t xml:space="preserve"> </w:t>
      </w:r>
      <w:r>
        <w:rPr>
          <w:rFonts w:hint="eastAsia" w:hAnsi="宋体"/>
          <w:color w:val="auto"/>
          <w:sz w:val="21"/>
          <w:szCs w:val="21"/>
          <w:highlight w:val="none"/>
        </w:rPr>
        <w:t>（以下简称甲方）</w:t>
      </w:r>
    </w:p>
    <w:p>
      <w:pPr>
        <w:spacing w:line="600" w:lineRule="exact"/>
        <w:ind w:firstLine="422" w:firstLineChars="200"/>
        <w:rPr>
          <w:rFonts w:hAnsi="宋体"/>
          <w:color w:val="auto"/>
          <w:sz w:val="21"/>
          <w:szCs w:val="21"/>
          <w:highlight w:val="none"/>
        </w:rPr>
      </w:pPr>
      <w:r>
        <w:rPr>
          <w:rFonts w:hint="eastAsia" w:hAnsi="宋体"/>
          <w:b/>
          <w:color w:val="auto"/>
          <w:sz w:val="21"/>
          <w:szCs w:val="21"/>
          <w:highlight w:val="none"/>
        </w:rPr>
        <w:t>承包人：</w:t>
      </w:r>
      <w:r>
        <w:rPr>
          <w:rFonts w:hint="eastAsia" w:hAnsi="宋体"/>
          <w:b/>
          <w:color w:val="auto"/>
          <w:sz w:val="21"/>
          <w:szCs w:val="21"/>
          <w:highlight w:val="none"/>
          <w:u w:val="single"/>
        </w:rPr>
        <w:t xml:space="preserve">                          </w:t>
      </w:r>
      <w:r>
        <w:rPr>
          <w:rFonts w:hint="eastAsia" w:hAnsi="宋体"/>
          <w:color w:val="auto"/>
          <w:sz w:val="21"/>
          <w:szCs w:val="21"/>
          <w:highlight w:val="none"/>
        </w:rPr>
        <w:t>（以下简称乙方）</w:t>
      </w:r>
    </w:p>
    <w:p>
      <w:pPr>
        <w:spacing w:line="600" w:lineRule="exact"/>
        <w:rPr>
          <w:rFonts w:hAnsi="宋体"/>
          <w:color w:val="auto"/>
          <w:sz w:val="21"/>
          <w:szCs w:val="21"/>
          <w:highlight w:val="none"/>
        </w:rPr>
      </w:pP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按照《中华人民共和国民法典》等有关法律法规的规定，结合本工程实际情况，遵守平等、自愿、公平和诚实信用原则，经双方协商达成如下协议：</w:t>
      </w:r>
    </w:p>
    <w:p>
      <w:pPr>
        <w:spacing w:line="360" w:lineRule="auto"/>
        <w:ind w:firstLine="422" w:firstLineChars="200"/>
        <w:rPr>
          <w:rFonts w:hAnsi="宋体"/>
          <w:b/>
          <w:bCs/>
          <w:color w:val="auto"/>
          <w:sz w:val="21"/>
          <w:szCs w:val="21"/>
          <w:highlight w:val="none"/>
        </w:rPr>
      </w:pPr>
      <w:r>
        <w:rPr>
          <w:rFonts w:hint="eastAsia" w:hAnsi="宋体"/>
          <w:b/>
          <w:bCs/>
          <w:color w:val="auto"/>
          <w:sz w:val="21"/>
          <w:szCs w:val="21"/>
          <w:highlight w:val="none"/>
        </w:rPr>
        <w:t>一、工程概况</w:t>
      </w:r>
    </w:p>
    <w:p>
      <w:pPr>
        <w:spacing w:line="360" w:lineRule="auto"/>
        <w:ind w:firstLine="420" w:firstLineChars="200"/>
        <w:rPr>
          <w:rFonts w:hAnsi="宋体"/>
          <w:color w:val="auto"/>
          <w:sz w:val="21"/>
          <w:szCs w:val="21"/>
          <w:highlight w:val="none"/>
          <w:u w:val="single"/>
        </w:rPr>
      </w:pPr>
      <w:r>
        <w:rPr>
          <w:rFonts w:hint="eastAsia" w:hAnsi="宋体"/>
          <w:color w:val="auto"/>
          <w:sz w:val="21"/>
          <w:szCs w:val="21"/>
          <w:highlight w:val="none"/>
        </w:rPr>
        <w:t>1、名称：</w:t>
      </w:r>
      <w:r>
        <w:rPr>
          <w:rFonts w:hint="eastAsia" w:hAnsi="宋体"/>
          <w:color w:val="auto"/>
          <w:sz w:val="21"/>
          <w:szCs w:val="21"/>
          <w:highlight w:val="none"/>
          <w:u w:val="single"/>
        </w:rPr>
        <w:t>东莞市湾区国际制造中心总部2台630kVA箱变安装工程</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2、地点：</w:t>
      </w:r>
      <w:r>
        <w:rPr>
          <w:rFonts w:hint="eastAsia" w:hAnsi="宋体"/>
          <w:color w:val="auto"/>
          <w:sz w:val="21"/>
          <w:szCs w:val="21"/>
          <w:highlight w:val="none"/>
          <w:u w:val="single"/>
        </w:rPr>
        <w:t>东莞市</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3、概况：</w:t>
      </w:r>
      <w:r>
        <w:rPr>
          <w:rFonts w:hint="eastAsia" w:hAnsi="宋体"/>
          <w:bCs/>
          <w:color w:val="auto"/>
          <w:sz w:val="21"/>
          <w:szCs w:val="21"/>
          <w:highlight w:val="none"/>
        </w:rPr>
        <w:t>本项目建筑面积158604.99㎡ ，施工用电采用高供高计计量方式，功率因数应达到0.9以上</w:t>
      </w:r>
      <w:r>
        <w:rPr>
          <w:rFonts w:hint="eastAsia" w:hAnsi="宋体"/>
          <w:color w:val="auto"/>
          <w:sz w:val="21"/>
          <w:szCs w:val="21"/>
          <w:highlight w:val="none"/>
        </w:rPr>
        <w:t>。</w:t>
      </w:r>
    </w:p>
    <w:p>
      <w:pPr>
        <w:spacing w:line="360" w:lineRule="auto"/>
        <w:ind w:firstLine="422" w:firstLineChars="200"/>
        <w:rPr>
          <w:rFonts w:hAnsi="宋体"/>
          <w:b/>
          <w:bCs/>
          <w:color w:val="auto"/>
          <w:sz w:val="21"/>
          <w:szCs w:val="21"/>
          <w:highlight w:val="none"/>
        </w:rPr>
      </w:pPr>
      <w:r>
        <w:rPr>
          <w:rFonts w:hint="eastAsia" w:hAnsi="宋体"/>
          <w:b/>
          <w:bCs/>
          <w:color w:val="auto"/>
          <w:sz w:val="21"/>
          <w:szCs w:val="21"/>
          <w:highlight w:val="none"/>
        </w:rPr>
        <w:t>二、工程内容及服务要求：</w:t>
      </w:r>
    </w:p>
    <w:p>
      <w:pPr>
        <w:spacing w:line="360" w:lineRule="auto"/>
        <w:ind w:firstLine="422" w:firstLineChars="200"/>
        <w:rPr>
          <w:rFonts w:hAnsi="宋体"/>
          <w:color w:val="auto"/>
          <w:sz w:val="21"/>
          <w:szCs w:val="21"/>
          <w:highlight w:val="none"/>
        </w:rPr>
      </w:pPr>
      <w:r>
        <w:rPr>
          <w:rFonts w:hint="eastAsia" w:hAnsi="宋体"/>
          <w:b/>
          <w:bCs/>
          <w:color w:val="auto"/>
          <w:sz w:val="21"/>
          <w:szCs w:val="21"/>
          <w:highlight w:val="none"/>
        </w:rPr>
        <w:t>（一）工程内容：</w:t>
      </w:r>
      <w:r>
        <w:rPr>
          <w:rFonts w:hint="eastAsia" w:hAnsi="宋体"/>
          <w:color w:val="auto"/>
          <w:sz w:val="21"/>
          <w:szCs w:val="21"/>
          <w:highlight w:val="none"/>
        </w:rPr>
        <w:t>东莞市湾区国际制造中心总部2台630kVA箱变安装工程图纸范围内的全部施工及保修等内容，具体内容详见工程量清单及图纸。</w:t>
      </w:r>
    </w:p>
    <w:p>
      <w:pPr>
        <w:pStyle w:val="62"/>
        <w:spacing w:line="360" w:lineRule="auto"/>
        <w:ind w:firstLine="420"/>
        <w:rPr>
          <w:rFonts w:hAnsi="宋体"/>
          <w:color w:val="auto"/>
          <w:kern w:val="2"/>
          <w:sz w:val="21"/>
          <w:szCs w:val="21"/>
          <w:highlight w:val="none"/>
          <w:lang w:val="en-US"/>
        </w:rPr>
      </w:pPr>
      <w:r>
        <w:rPr>
          <w:rFonts w:hint="eastAsia" w:hAnsi="宋体"/>
          <w:color w:val="auto"/>
          <w:kern w:val="2"/>
          <w:sz w:val="21"/>
          <w:szCs w:val="21"/>
          <w:highlight w:val="none"/>
          <w:lang w:val="en-US"/>
        </w:rPr>
        <w:t>（二）服务要求：</w:t>
      </w:r>
    </w:p>
    <w:p>
      <w:pPr>
        <w:pStyle w:val="75"/>
        <w:spacing w:line="360" w:lineRule="auto"/>
        <w:ind w:firstLine="420" w:firstLineChars="200"/>
        <w:rPr>
          <w:rFonts w:ascii="宋体" w:eastAsia="宋体"/>
          <w:color w:val="auto"/>
          <w:sz w:val="21"/>
          <w:szCs w:val="21"/>
          <w:highlight w:val="none"/>
        </w:rPr>
      </w:pPr>
      <w:r>
        <w:rPr>
          <w:rFonts w:hint="eastAsia" w:ascii="宋体" w:eastAsia="宋体"/>
          <w:color w:val="auto"/>
          <w:sz w:val="21"/>
          <w:szCs w:val="21"/>
          <w:highlight w:val="none"/>
        </w:rPr>
        <w:t>1、包装、保险及发运、保管要求</w:t>
      </w:r>
    </w:p>
    <w:p>
      <w:pPr>
        <w:pStyle w:val="75"/>
        <w:spacing w:line="360" w:lineRule="auto"/>
        <w:ind w:firstLine="433"/>
        <w:rPr>
          <w:rFonts w:ascii="宋体" w:eastAsia="宋体"/>
          <w:color w:val="auto"/>
          <w:sz w:val="21"/>
          <w:szCs w:val="21"/>
          <w:highlight w:val="none"/>
        </w:rPr>
      </w:pPr>
      <w:r>
        <w:rPr>
          <w:rFonts w:hint="eastAsia" w:ascii="宋体" w:eastAsia="宋体"/>
          <w:color w:val="auto"/>
          <w:sz w:val="21"/>
          <w:szCs w:val="21"/>
          <w:highlight w:val="none"/>
        </w:rPr>
        <w:t>（1）货物材料的包装须是制造商原厂包装，其包装均应有良好的防湿、防锈、防潮、防雨、防腐及防碰撞的措施。对于包装不良的货物材料，乙方应要求供应商更换，否则由于包装不良造成货物材料损失，由乙方承担。</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（2）乙方负责将货物材料到达现场过程中的全部运输，包括装卸车、货物现场的搬运。</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（3）各种货物必须提供装箱清单，按装箱清单验收货物。</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（4）货物在现场的保管由乙方负责，直至项目安装、验收完毕。</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（5）货物在工程验收合格前的保险由乙方负责，乙方负责其派出的现场服务人员人身意外保险。</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（6）货物至甲方指定的使用现场的包装、保险及发运等环节和费用均由乙方负责。</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2、安装、调试与验收</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1）乙方必须依照采购文件中施工图纸的要求和响应文件的承诺，将电力设施系统安装并调试至正常运行的最佳状态。安装中，乙方应注意成品保护，如因粗暴作业引起损坏甲方设备设施的，须作修复或照价赔偿。另，拆除出来的设备统一移交回甲方保管。</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（2）货物若有国家标准按照国家标准验收，若无国家标准按行业标准验收，货物应为原制造商制造的全新产品，整机无污染，无侵权行为、表面无划损、无任何缺陷隐患，在中国境内可依常规安全合法使用。</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（3）货物应为原制造商未启封全新包装，具出厂合格证，序列号、包装箱号应与出厂批号一致，并可追索查阅。所有随货物的附件必须齐全。</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（4）乙方应将关键主机货物的用户手册、保修手册、有关单证资料及配备件、随机工具等交付给甲方，使用操作及安全须知等重要资料应附有中文说明。</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5）甲方组成验收小组按国家有关规定、规范进行验收，必要时邀请相关的专业人员或机构参与验收。因工程或货物的质量问题发生争议时，由本地质量技术监督部门鉴定。货物符合质量技术标准的，鉴定费由甲方承担，否则鉴定费由乙方承担。</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（6）若工程未能通过验收，乙方应于3个日历天内整改完毕。</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3、质保期及售后服务要求</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（1）质保期：工程从验收合格之日起要求保修不少于二年，所需全部费用包括在本项目总报价中。</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（2）质保期内乙方对所供货物实行包修、包换、包退。</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（3）质保期内，如货物或零部件因非人为因素出现故障而造成短期停用时，则质保期和免费维修期相应顺延。如停用时间累计超过60天则质保期重新计算。</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（4）在质保期内，乙方应对影响货物正常运转的故障负责，相关费用由乙方承担，所有服务由乙方上门进行，不得收取任何费用。</w:t>
      </w:r>
    </w:p>
    <w:p>
      <w:pPr>
        <w:pStyle w:val="75"/>
        <w:spacing w:line="360" w:lineRule="auto"/>
        <w:ind w:firstLine="428" w:firstLineChars="204"/>
        <w:rPr>
          <w:rFonts w:ascii="宋体" w:eastAsia="宋体"/>
          <w:color w:val="auto"/>
          <w:sz w:val="21"/>
          <w:szCs w:val="21"/>
          <w:highlight w:val="none"/>
        </w:rPr>
      </w:pPr>
      <w:r>
        <w:rPr>
          <w:rFonts w:hint="eastAsia" w:ascii="宋体" w:eastAsia="宋体"/>
          <w:color w:val="auto"/>
          <w:sz w:val="21"/>
          <w:szCs w:val="21"/>
          <w:highlight w:val="none"/>
        </w:rPr>
        <w:t>（5）服务响应时间：对甲方的服务通知，乙方在接报后4小时内响应，8小时内到达现场，24小时内处理完毕。</w:t>
      </w:r>
    </w:p>
    <w:p>
      <w:pPr>
        <w:pStyle w:val="61"/>
        <w:spacing w:line="360" w:lineRule="auto"/>
        <w:ind w:firstLine="460" w:firstLineChars="200"/>
        <w:rPr>
          <w:rFonts w:ascii="宋体" w:hAnsi="宋体"/>
          <w:color w:val="auto"/>
          <w:sz w:val="21"/>
          <w:szCs w:val="21"/>
          <w:highlight w:val="none"/>
        </w:rPr>
      </w:pPr>
      <w:r>
        <w:rPr>
          <w:rFonts w:hint="eastAsia" w:ascii="宋体" w:hAnsi="宋体"/>
          <w:color w:val="auto"/>
          <w:sz w:val="21"/>
          <w:szCs w:val="21"/>
          <w:highlight w:val="none"/>
        </w:rPr>
        <w:t>（6）若设备发生故障，在24小时内仍未能有效解决，乙方须免费提供同档次的设备予甲方临时使用。</w:t>
      </w:r>
    </w:p>
    <w:p>
      <w:pPr>
        <w:spacing w:line="360" w:lineRule="auto"/>
        <w:ind w:firstLine="422" w:firstLineChars="200"/>
        <w:rPr>
          <w:rFonts w:hAnsi="宋体"/>
          <w:b/>
          <w:bCs/>
          <w:color w:val="auto"/>
          <w:sz w:val="21"/>
          <w:szCs w:val="21"/>
          <w:highlight w:val="none"/>
        </w:rPr>
      </w:pPr>
      <w:r>
        <w:rPr>
          <w:rFonts w:hint="eastAsia" w:hAnsi="宋体"/>
          <w:b/>
          <w:bCs/>
          <w:color w:val="auto"/>
          <w:sz w:val="21"/>
          <w:szCs w:val="21"/>
          <w:highlight w:val="none"/>
        </w:rPr>
        <w:t>三、承包方式</w:t>
      </w:r>
    </w:p>
    <w:p>
      <w:pPr>
        <w:spacing w:line="360" w:lineRule="auto"/>
        <w:ind w:firstLine="422" w:firstLineChars="200"/>
        <w:rPr>
          <w:rFonts w:hAnsi="宋体"/>
          <w:b/>
          <w:bCs/>
          <w:color w:val="auto"/>
          <w:sz w:val="21"/>
          <w:szCs w:val="21"/>
          <w:highlight w:val="none"/>
        </w:rPr>
      </w:pPr>
      <w:r>
        <w:rPr>
          <w:rFonts w:hint="eastAsia" w:hAnsi="宋体"/>
          <w:b/>
          <w:bCs/>
          <w:color w:val="auto"/>
          <w:sz w:val="21"/>
          <w:szCs w:val="21"/>
          <w:highlight w:val="none"/>
        </w:rPr>
        <w:t xml:space="preserve"> </w:t>
      </w:r>
      <w:r>
        <w:rPr>
          <w:rFonts w:hint="eastAsia" w:hAnsi="宋体"/>
          <w:bCs/>
          <w:color w:val="auto"/>
          <w:spacing w:val="10"/>
          <w:sz w:val="21"/>
          <w:szCs w:val="21"/>
          <w:highlight w:val="none"/>
        </w:rPr>
        <w:t>总价包干，成交价包图纸深化设计、包报装、包验收通电、包工包料、包机械设备、包工期、包质量、包安全、包税收、利润和相关部门验收费等与本项目有关的所有费用。履约过程可预见和不可预见的一切费用，且在合同执行过程中不作任何调整。</w:t>
      </w:r>
    </w:p>
    <w:p>
      <w:pPr>
        <w:spacing w:line="360" w:lineRule="auto"/>
        <w:ind w:firstLine="422" w:firstLineChars="200"/>
        <w:rPr>
          <w:rFonts w:hAnsi="宋体"/>
          <w:b/>
          <w:bCs/>
          <w:color w:val="auto"/>
          <w:sz w:val="21"/>
          <w:szCs w:val="21"/>
          <w:highlight w:val="none"/>
        </w:rPr>
      </w:pPr>
      <w:r>
        <w:rPr>
          <w:rFonts w:hint="eastAsia" w:hAnsi="宋体"/>
          <w:b/>
          <w:bCs/>
          <w:color w:val="auto"/>
          <w:sz w:val="21"/>
          <w:szCs w:val="21"/>
          <w:highlight w:val="none"/>
        </w:rPr>
        <w:t>四、工期</w:t>
      </w:r>
    </w:p>
    <w:p>
      <w:pPr>
        <w:spacing w:line="360" w:lineRule="auto"/>
        <w:ind w:firstLine="420" w:firstLineChars="200"/>
        <w:rPr>
          <w:color w:val="auto"/>
          <w:sz w:val="21"/>
          <w:szCs w:val="21"/>
          <w:highlight w:val="none"/>
        </w:rPr>
      </w:pPr>
      <w:r>
        <w:rPr>
          <w:rFonts w:hint="eastAsia"/>
          <w:color w:val="auto"/>
          <w:sz w:val="21"/>
          <w:szCs w:val="21"/>
          <w:highlight w:val="none"/>
        </w:rPr>
        <w:t>（一）工程建设要求</w:t>
      </w:r>
    </w:p>
    <w:p>
      <w:pPr>
        <w:spacing w:line="360" w:lineRule="auto"/>
        <w:ind w:firstLine="420" w:firstLineChars="200"/>
        <w:rPr>
          <w:color w:val="auto"/>
          <w:sz w:val="21"/>
          <w:szCs w:val="21"/>
          <w:highlight w:val="none"/>
        </w:rPr>
      </w:pPr>
      <w:r>
        <w:rPr>
          <w:rFonts w:hint="eastAsia"/>
          <w:color w:val="auto"/>
          <w:sz w:val="21"/>
          <w:szCs w:val="21"/>
          <w:highlight w:val="none"/>
        </w:rPr>
        <w:t>1、施工工期：合同签订后</w:t>
      </w:r>
      <w:r>
        <w:rPr>
          <w:rFonts w:hint="eastAsia"/>
          <w:color w:val="auto"/>
          <w:sz w:val="21"/>
          <w:szCs w:val="21"/>
          <w:highlight w:val="none"/>
          <w:u w:val="single"/>
        </w:rPr>
        <w:t xml:space="preserve">  3 </w:t>
      </w:r>
      <w:r>
        <w:rPr>
          <w:rFonts w:hint="eastAsia"/>
          <w:color w:val="auto"/>
          <w:sz w:val="21"/>
          <w:szCs w:val="21"/>
          <w:highlight w:val="none"/>
        </w:rPr>
        <w:t>日内进场，</w:t>
      </w:r>
      <w:r>
        <w:rPr>
          <w:rFonts w:hint="eastAsia"/>
          <w:color w:val="auto"/>
          <w:sz w:val="21"/>
          <w:szCs w:val="21"/>
          <w:highlight w:val="none"/>
          <w:u w:val="single"/>
        </w:rPr>
        <w:t xml:space="preserve">  </w:t>
      </w:r>
      <w:r>
        <w:rPr>
          <w:color w:val="auto"/>
          <w:sz w:val="21"/>
          <w:szCs w:val="21"/>
          <w:highlight w:val="none"/>
          <w:u w:val="single"/>
        </w:rPr>
        <w:t>6</w:t>
      </w:r>
      <w:r>
        <w:rPr>
          <w:rFonts w:hint="eastAsia"/>
          <w:color w:val="auto"/>
          <w:sz w:val="21"/>
          <w:szCs w:val="21"/>
          <w:highlight w:val="none"/>
          <w:u w:val="single"/>
        </w:rPr>
        <w:t xml:space="preserve">0 </w:t>
      </w:r>
      <w:r>
        <w:rPr>
          <w:rFonts w:hint="eastAsia"/>
          <w:color w:val="auto"/>
          <w:sz w:val="21"/>
          <w:szCs w:val="21"/>
          <w:highlight w:val="none"/>
        </w:rPr>
        <w:t>日历天内完工；</w:t>
      </w:r>
    </w:p>
    <w:p>
      <w:pPr>
        <w:spacing w:line="360" w:lineRule="auto"/>
        <w:ind w:firstLine="420" w:firstLineChars="200"/>
        <w:rPr>
          <w:color w:val="auto"/>
          <w:sz w:val="21"/>
          <w:szCs w:val="21"/>
          <w:highlight w:val="none"/>
        </w:rPr>
      </w:pPr>
      <w:r>
        <w:rPr>
          <w:rFonts w:hint="eastAsia"/>
          <w:color w:val="auto"/>
          <w:sz w:val="21"/>
          <w:szCs w:val="21"/>
          <w:highlight w:val="none"/>
        </w:rPr>
        <w:t>2、技术要求：工程施工内容满足国家、省、市及行业规范要求。</w:t>
      </w:r>
    </w:p>
    <w:p>
      <w:pPr>
        <w:spacing w:line="360" w:lineRule="auto"/>
        <w:ind w:firstLine="420" w:firstLineChars="200"/>
        <w:rPr>
          <w:color w:val="auto"/>
          <w:sz w:val="21"/>
          <w:szCs w:val="21"/>
          <w:highlight w:val="none"/>
        </w:rPr>
      </w:pPr>
      <w:r>
        <w:rPr>
          <w:rFonts w:hint="eastAsia"/>
          <w:color w:val="auto"/>
          <w:sz w:val="21"/>
          <w:szCs w:val="21"/>
          <w:highlight w:val="none"/>
        </w:rPr>
        <w:t>3、工程验收：由甲方及供电部门或行业主管部门组织验收。</w:t>
      </w:r>
    </w:p>
    <w:p>
      <w:pPr>
        <w:spacing w:line="360" w:lineRule="auto"/>
        <w:ind w:firstLine="420" w:firstLineChars="200"/>
        <w:rPr>
          <w:color w:val="auto"/>
          <w:sz w:val="21"/>
          <w:szCs w:val="21"/>
          <w:highlight w:val="none"/>
        </w:rPr>
      </w:pPr>
      <w:r>
        <w:rPr>
          <w:rFonts w:hint="eastAsia"/>
          <w:color w:val="auto"/>
          <w:sz w:val="21"/>
          <w:szCs w:val="21"/>
          <w:highlight w:val="none"/>
        </w:rPr>
        <w:t>（二）建设质量要求</w:t>
      </w:r>
    </w:p>
    <w:p>
      <w:pPr>
        <w:spacing w:line="360" w:lineRule="auto"/>
        <w:ind w:firstLine="420" w:firstLineChars="200"/>
        <w:rPr>
          <w:color w:val="auto"/>
          <w:sz w:val="21"/>
          <w:szCs w:val="21"/>
          <w:highlight w:val="none"/>
        </w:rPr>
      </w:pPr>
      <w:r>
        <w:rPr>
          <w:rFonts w:hint="eastAsia"/>
          <w:color w:val="auto"/>
          <w:sz w:val="21"/>
          <w:szCs w:val="21"/>
          <w:highlight w:val="none"/>
        </w:rPr>
        <w:t>1、合格，通过主管部门的验收，并正常供电；</w:t>
      </w:r>
    </w:p>
    <w:p>
      <w:pPr>
        <w:spacing w:line="360" w:lineRule="auto"/>
        <w:ind w:firstLine="420" w:firstLineChars="200"/>
        <w:rPr>
          <w:color w:val="auto"/>
          <w:sz w:val="21"/>
          <w:szCs w:val="21"/>
          <w:highlight w:val="none"/>
        </w:rPr>
      </w:pPr>
      <w:r>
        <w:rPr>
          <w:rFonts w:hint="eastAsia"/>
          <w:color w:val="auto"/>
          <w:sz w:val="21"/>
          <w:szCs w:val="21"/>
          <w:highlight w:val="none"/>
        </w:rPr>
        <w:t>2、工程保质期（自竣工验收合格并送电之日算起）：</w:t>
      </w:r>
      <w:r>
        <w:rPr>
          <w:rFonts w:hint="eastAsia"/>
          <w:color w:val="auto"/>
          <w:sz w:val="21"/>
          <w:szCs w:val="21"/>
          <w:highlight w:val="none"/>
          <w:u w:val="single"/>
        </w:rPr>
        <w:t xml:space="preserve"> </w:t>
      </w:r>
      <w:r>
        <w:rPr>
          <w:color w:val="auto"/>
          <w:sz w:val="21"/>
          <w:szCs w:val="21"/>
          <w:highlight w:val="none"/>
          <w:u w:val="single"/>
        </w:rPr>
        <w:t>2</w:t>
      </w:r>
      <w:r>
        <w:rPr>
          <w:rFonts w:hint="eastAsia"/>
          <w:color w:val="auto"/>
          <w:sz w:val="21"/>
          <w:szCs w:val="21"/>
          <w:highlight w:val="none"/>
          <w:u w:val="single"/>
        </w:rPr>
        <w:t xml:space="preserve"> </w:t>
      </w:r>
      <w:r>
        <w:rPr>
          <w:rFonts w:hint="eastAsia"/>
          <w:color w:val="auto"/>
          <w:sz w:val="21"/>
          <w:szCs w:val="21"/>
          <w:highlight w:val="none"/>
        </w:rPr>
        <w:t>年。</w:t>
      </w:r>
    </w:p>
    <w:p>
      <w:pPr>
        <w:spacing w:line="360" w:lineRule="auto"/>
        <w:ind w:firstLine="420" w:firstLineChars="200"/>
        <w:rPr>
          <w:color w:val="auto"/>
          <w:sz w:val="21"/>
          <w:szCs w:val="21"/>
          <w:highlight w:val="none"/>
        </w:rPr>
      </w:pPr>
      <w:r>
        <w:rPr>
          <w:rFonts w:hint="eastAsia"/>
          <w:color w:val="auto"/>
          <w:sz w:val="21"/>
          <w:szCs w:val="21"/>
          <w:highlight w:val="none"/>
        </w:rPr>
        <w:t>（三）施工要求</w:t>
      </w:r>
    </w:p>
    <w:p>
      <w:pPr>
        <w:spacing w:line="360" w:lineRule="auto"/>
        <w:ind w:firstLine="420" w:firstLineChars="200"/>
        <w:rPr>
          <w:color w:val="auto"/>
          <w:sz w:val="21"/>
          <w:szCs w:val="21"/>
          <w:highlight w:val="none"/>
        </w:rPr>
      </w:pPr>
      <w:r>
        <w:rPr>
          <w:rFonts w:hint="eastAsia"/>
          <w:color w:val="auto"/>
          <w:sz w:val="21"/>
          <w:szCs w:val="21"/>
          <w:highlight w:val="none"/>
        </w:rPr>
        <w:t>1、按施工图要求施工。</w:t>
      </w:r>
    </w:p>
    <w:p>
      <w:pPr>
        <w:spacing w:line="360" w:lineRule="auto"/>
        <w:ind w:firstLine="422" w:firstLineChars="200"/>
        <w:rPr>
          <w:rFonts w:hAnsi="宋体"/>
          <w:color w:val="auto"/>
          <w:sz w:val="21"/>
          <w:szCs w:val="21"/>
          <w:highlight w:val="none"/>
        </w:rPr>
      </w:pPr>
      <w:r>
        <w:rPr>
          <w:rFonts w:hint="eastAsia" w:hAnsi="宋体"/>
          <w:b/>
          <w:bCs/>
          <w:color w:val="auto"/>
          <w:sz w:val="21"/>
          <w:szCs w:val="21"/>
          <w:highlight w:val="none"/>
        </w:rPr>
        <w:t>五、合同价款</w:t>
      </w:r>
    </w:p>
    <w:p>
      <w:pPr>
        <w:tabs>
          <w:tab w:val="left" w:pos="3405"/>
        </w:tabs>
        <w:spacing w:line="360" w:lineRule="auto"/>
        <w:ind w:firstLine="640"/>
        <w:rPr>
          <w:rFonts w:hAnsi="宋体"/>
          <w:color w:val="auto"/>
          <w:sz w:val="21"/>
          <w:szCs w:val="21"/>
          <w:highlight w:val="none"/>
        </w:rPr>
      </w:pPr>
      <w:r>
        <w:rPr>
          <w:rFonts w:hint="eastAsia" w:hAnsi="宋体"/>
          <w:color w:val="auto"/>
          <w:sz w:val="21"/>
          <w:szCs w:val="21"/>
          <w:highlight w:val="none"/>
        </w:rPr>
        <w:t>1、</w:t>
      </w:r>
      <w:r>
        <w:rPr>
          <w:rFonts w:hint="eastAsia" w:asciiTheme="minorEastAsia" w:hAnsiTheme="minorEastAsia" w:eastAsiaTheme="minorEastAsia" w:cstheme="minorEastAsia"/>
          <w:color w:val="auto"/>
          <w:sz w:val="21"/>
          <w:szCs w:val="21"/>
          <w:highlight w:val="none"/>
        </w:rPr>
        <w:t>本合同（含税）总价款为￥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元（大写人民币</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元），其中：增值税率为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%，税金金额￥</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元，不含税合同总价款为￥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元。</w:t>
      </w:r>
    </w:p>
    <w:p>
      <w:pPr>
        <w:tabs>
          <w:tab w:val="left" w:pos="3405"/>
        </w:tabs>
        <w:spacing w:line="360" w:lineRule="auto"/>
        <w:ind w:firstLine="640"/>
        <w:rPr>
          <w:rFonts w:hAnsi="宋体"/>
          <w:color w:val="auto"/>
          <w:sz w:val="21"/>
          <w:szCs w:val="21"/>
          <w:highlight w:val="none"/>
        </w:rPr>
      </w:pPr>
      <w:r>
        <w:rPr>
          <w:rFonts w:hint="eastAsia" w:hAnsi="宋体"/>
          <w:color w:val="auto"/>
          <w:sz w:val="21"/>
          <w:szCs w:val="21"/>
          <w:highlight w:val="none"/>
        </w:rPr>
        <w:t>2、</w:t>
      </w:r>
      <w:r>
        <w:rPr>
          <w:rFonts w:hint="eastAsia" w:hAnsi="宋体"/>
          <w:color w:val="auto"/>
          <w:sz w:val="21"/>
          <w:szCs w:val="21"/>
          <w:highlight w:val="none"/>
          <w:lang w:val="zh-CN"/>
        </w:rPr>
        <w:t>按照现行税收政策规定，每次付款前，乙方必须提供合法、有效、与本合同总价款条款中增值税税率一致的增值税专用发票给甲方，否则甲方有权拒绝付款且不构成违约；在甲方除支付质保金外的最后一期款项前，乙方须连同当期支付款项发票和质保金发票一并提交给甲方；若后期出现质保问题，按照质保责任和条款，部分或全部扣除质保金的，不退还相应金额的发票。若合同执行期间，遇国家税务政策调整所引起的合同价格变化，按照不含税价格调整结算价格。</w:t>
      </w:r>
    </w:p>
    <w:p>
      <w:pPr>
        <w:spacing w:line="360" w:lineRule="auto"/>
        <w:ind w:firstLine="632" w:firstLineChars="300"/>
        <w:rPr>
          <w:rFonts w:hAnsi="宋体"/>
          <w:b/>
          <w:bCs/>
          <w:color w:val="auto"/>
          <w:sz w:val="21"/>
          <w:szCs w:val="21"/>
          <w:highlight w:val="none"/>
        </w:rPr>
      </w:pPr>
      <w:r>
        <w:rPr>
          <w:rFonts w:hint="eastAsia" w:hAnsi="宋体"/>
          <w:b/>
          <w:bCs/>
          <w:color w:val="auto"/>
          <w:sz w:val="21"/>
          <w:szCs w:val="21"/>
          <w:highlight w:val="none"/>
        </w:rPr>
        <w:t>六、工程质量及验收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（一）工程质量</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乙方应严格按照供电局及相关部门审批通过的设计图纸、说明文件和国家颁发的建筑工程规范、规程和标准进行施工，符合工程所在地相关施工规范及中华人民共和国现行国家标准、国家优质工程验收标准，并接受甲方现场代表的监督。乙方应在施工现场采取维护安全、防范风险、预防火灾等措施并对施工现场实行封闭管理。乙方应当遵守有关环境保护和安全生产的法律、法规的规定，采取控制和处理施工现场的各种粉尘、废气、废水、固体废物以及噪声、振动对环境的污染和危害的措施。乙方负责市容、环保、交通、派出所、街道等部门和周边居民的协调工作，甲方应提供协助。</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（二）验收</w:t>
      </w:r>
    </w:p>
    <w:p>
      <w:pPr>
        <w:pStyle w:val="144"/>
        <w:spacing w:line="360" w:lineRule="auto"/>
        <w:rPr>
          <w:rFonts w:ascii="宋体" w:hAnsi="宋体"/>
          <w:color w:val="auto"/>
          <w:szCs w:val="21"/>
          <w:highlight w:val="none"/>
        </w:rPr>
      </w:pPr>
      <w:r>
        <w:rPr>
          <w:rFonts w:hint="eastAsia" w:ascii="宋体" w:hAnsi="宋体"/>
          <w:color w:val="auto"/>
          <w:szCs w:val="21"/>
          <w:highlight w:val="none"/>
        </w:rPr>
        <w:t>1.达到国家或行业质量检验评定的合格标准，且需满足南方电网及广东电网的有关技术标准；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2.满足设计和使用要求，严格按照设计图纸和施工验收规范进行施工，符合国家和当地供电局的质量检验评定标准。本工程质量验收等级：合格，并满足国家及地方现行最新规范要求。</w:t>
      </w:r>
    </w:p>
    <w:p>
      <w:pPr>
        <w:spacing w:line="360" w:lineRule="auto"/>
        <w:ind w:firstLine="422" w:firstLineChars="200"/>
        <w:rPr>
          <w:rFonts w:hAnsi="宋体"/>
          <w:b/>
          <w:bCs/>
          <w:color w:val="auto"/>
          <w:sz w:val="21"/>
          <w:szCs w:val="21"/>
          <w:highlight w:val="none"/>
        </w:rPr>
      </w:pPr>
      <w:r>
        <w:rPr>
          <w:rFonts w:hint="eastAsia" w:hAnsi="宋体"/>
          <w:b/>
          <w:bCs/>
          <w:color w:val="auto"/>
          <w:sz w:val="21"/>
          <w:szCs w:val="21"/>
          <w:highlight w:val="none"/>
        </w:rPr>
        <w:t>七、工程付款方式</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本合同采用按工期节点进度付款，具体付款方式如下：</w:t>
      </w:r>
    </w:p>
    <w:p>
      <w:pPr>
        <w:spacing w:line="360" w:lineRule="auto"/>
        <w:ind w:firstLine="422" w:firstLineChars="200"/>
        <w:rPr>
          <w:rFonts w:hAnsi="宋体"/>
          <w:b/>
          <w:bCs/>
          <w:color w:val="auto"/>
          <w:sz w:val="21"/>
          <w:szCs w:val="21"/>
          <w:highlight w:val="none"/>
        </w:rPr>
      </w:pPr>
      <w:r>
        <w:rPr>
          <w:rFonts w:hint="eastAsia" w:hAnsi="宋体"/>
          <w:b/>
          <w:bCs/>
          <w:color w:val="auto"/>
          <w:sz w:val="21"/>
          <w:szCs w:val="21"/>
          <w:highlight w:val="none"/>
        </w:rPr>
        <w:t>1、合同签订后，乙方在取得供电局批复的正式供电方案后，支付合同总价的10%；</w:t>
      </w:r>
    </w:p>
    <w:p>
      <w:pPr>
        <w:spacing w:line="360" w:lineRule="auto"/>
        <w:ind w:firstLine="422" w:firstLineChars="200"/>
        <w:rPr>
          <w:rFonts w:hAnsi="宋体"/>
          <w:b/>
          <w:bCs/>
          <w:color w:val="auto"/>
          <w:sz w:val="21"/>
          <w:szCs w:val="21"/>
          <w:highlight w:val="none"/>
        </w:rPr>
      </w:pPr>
      <w:r>
        <w:rPr>
          <w:rFonts w:hint="eastAsia" w:hAnsi="宋体"/>
          <w:b/>
          <w:bCs/>
          <w:color w:val="auto"/>
          <w:sz w:val="21"/>
          <w:szCs w:val="21"/>
          <w:highlight w:val="none"/>
        </w:rPr>
        <w:t>2、全部设备进场后，支付至合同总价的70%；</w:t>
      </w:r>
    </w:p>
    <w:p>
      <w:pPr>
        <w:spacing w:line="360" w:lineRule="auto"/>
        <w:ind w:firstLine="422" w:firstLineChars="200"/>
        <w:rPr>
          <w:rFonts w:hAnsi="宋体"/>
          <w:b/>
          <w:bCs/>
          <w:color w:val="auto"/>
          <w:sz w:val="21"/>
          <w:szCs w:val="21"/>
          <w:highlight w:val="none"/>
        </w:rPr>
      </w:pPr>
      <w:r>
        <w:rPr>
          <w:rFonts w:hint="eastAsia" w:hAnsi="宋体"/>
          <w:b/>
          <w:bCs/>
          <w:color w:val="auto"/>
          <w:sz w:val="21"/>
          <w:szCs w:val="21"/>
          <w:highlight w:val="none"/>
        </w:rPr>
        <w:t>3、工程完工并通过验收结算后，支付至结算总价的97%；</w:t>
      </w:r>
    </w:p>
    <w:p>
      <w:pPr>
        <w:spacing w:line="360" w:lineRule="auto"/>
        <w:ind w:firstLine="422" w:firstLineChars="200"/>
        <w:rPr>
          <w:rFonts w:hAnsi="宋体"/>
          <w:b/>
          <w:bCs/>
          <w:color w:val="auto"/>
          <w:sz w:val="21"/>
          <w:szCs w:val="21"/>
          <w:highlight w:val="none"/>
        </w:rPr>
      </w:pPr>
      <w:r>
        <w:rPr>
          <w:rFonts w:hint="eastAsia" w:hAnsi="宋体"/>
          <w:b/>
          <w:bCs/>
          <w:color w:val="auto"/>
          <w:sz w:val="21"/>
          <w:szCs w:val="21"/>
          <w:highlight w:val="none"/>
        </w:rPr>
        <w:t>4、质保期满通过质保期验收后，支付结算总价的3%。</w:t>
      </w:r>
    </w:p>
    <w:p>
      <w:pPr>
        <w:spacing w:line="360" w:lineRule="auto"/>
        <w:ind w:firstLine="422" w:firstLineChars="200"/>
        <w:rPr>
          <w:rFonts w:hAnsi="宋体"/>
          <w:b/>
          <w:bCs/>
          <w:color w:val="auto"/>
          <w:sz w:val="21"/>
          <w:szCs w:val="21"/>
          <w:highlight w:val="none"/>
        </w:rPr>
      </w:pPr>
      <w:r>
        <w:rPr>
          <w:rFonts w:hint="eastAsia" w:hAnsi="宋体"/>
          <w:b/>
          <w:bCs/>
          <w:color w:val="auto"/>
          <w:sz w:val="21"/>
          <w:szCs w:val="21"/>
          <w:highlight w:val="none"/>
        </w:rPr>
        <w:t>5、乙方账户信息：</w:t>
      </w:r>
    </w:p>
    <w:p>
      <w:pPr>
        <w:spacing w:line="360" w:lineRule="auto"/>
        <w:ind w:firstLine="420" w:firstLineChars="200"/>
        <w:rPr>
          <w:color w:val="auto"/>
          <w:sz w:val="21"/>
          <w:szCs w:val="21"/>
          <w:highlight w:val="none"/>
        </w:rPr>
      </w:pPr>
      <w:r>
        <w:rPr>
          <w:rFonts w:hint="eastAsia"/>
          <w:color w:val="auto"/>
          <w:sz w:val="21"/>
          <w:szCs w:val="21"/>
          <w:highlight w:val="none"/>
        </w:rPr>
        <w:t>户名：</w:t>
      </w:r>
    </w:p>
    <w:p>
      <w:pPr>
        <w:spacing w:line="360" w:lineRule="auto"/>
        <w:ind w:firstLine="420" w:firstLineChars="200"/>
        <w:rPr>
          <w:rFonts w:hAnsi="宋体"/>
          <w:bCs/>
          <w:color w:val="auto"/>
          <w:sz w:val="21"/>
          <w:szCs w:val="21"/>
          <w:highlight w:val="none"/>
        </w:rPr>
      </w:pPr>
      <w:r>
        <w:rPr>
          <w:rFonts w:hint="eastAsia" w:hAnsi="宋体"/>
          <w:bCs/>
          <w:color w:val="auto"/>
          <w:sz w:val="21"/>
          <w:szCs w:val="21"/>
          <w:highlight w:val="none"/>
        </w:rPr>
        <w:t>账号：</w:t>
      </w:r>
    </w:p>
    <w:p>
      <w:pPr>
        <w:ind w:firstLine="420" w:firstLineChars="200"/>
        <w:rPr>
          <w:rFonts w:hAnsi="宋体"/>
          <w:bCs/>
          <w:color w:val="auto"/>
          <w:sz w:val="21"/>
          <w:szCs w:val="21"/>
          <w:highlight w:val="none"/>
        </w:rPr>
      </w:pPr>
      <w:r>
        <w:rPr>
          <w:rFonts w:hint="eastAsia" w:hAnsi="宋体"/>
          <w:bCs/>
          <w:color w:val="auto"/>
          <w:sz w:val="21"/>
          <w:szCs w:val="21"/>
          <w:highlight w:val="none"/>
        </w:rPr>
        <w:t xml:space="preserve"> 开户行：</w:t>
      </w:r>
    </w:p>
    <w:p>
      <w:pPr>
        <w:autoSpaceDE/>
        <w:autoSpaceDN/>
        <w:adjustRightInd/>
        <w:spacing w:line="360" w:lineRule="auto"/>
        <w:ind w:left="480" w:leftChars="200"/>
        <w:jc w:val="both"/>
        <w:rPr>
          <w:color w:val="auto"/>
          <w:sz w:val="21"/>
          <w:szCs w:val="21"/>
          <w:highlight w:val="none"/>
        </w:rPr>
      </w:pPr>
      <w:r>
        <w:rPr>
          <w:rFonts w:hint="eastAsia"/>
          <w:color w:val="auto"/>
          <w:sz w:val="21"/>
          <w:szCs w:val="21"/>
          <w:highlight w:val="none"/>
        </w:rPr>
        <w:t>甲方发票信息：</w:t>
      </w:r>
    </w:p>
    <w:p>
      <w:pPr>
        <w:spacing w:line="360" w:lineRule="auto"/>
        <w:ind w:left="480" w:leftChars="200"/>
        <w:rPr>
          <w:color w:val="auto"/>
          <w:sz w:val="21"/>
          <w:szCs w:val="21"/>
          <w:highlight w:val="none"/>
        </w:rPr>
      </w:pPr>
      <w:r>
        <w:rPr>
          <w:rFonts w:hint="eastAsia"/>
          <w:color w:val="auto"/>
          <w:sz w:val="21"/>
          <w:szCs w:val="21"/>
          <w:highlight w:val="none"/>
        </w:rPr>
        <w:t>纳税人名称：</w:t>
      </w:r>
      <w:r>
        <w:rPr>
          <w:color w:val="auto"/>
          <w:sz w:val="21"/>
          <w:szCs w:val="21"/>
          <w:highlight w:val="none"/>
        </w:rPr>
        <w:t xml:space="preserve"> </w:t>
      </w:r>
    </w:p>
    <w:p>
      <w:pPr>
        <w:spacing w:line="360" w:lineRule="auto"/>
        <w:ind w:left="480" w:leftChars="200"/>
        <w:rPr>
          <w:color w:val="auto"/>
          <w:sz w:val="21"/>
          <w:szCs w:val="21"/>
          <w:highlight w:val="none"/>
        </w:rPr>
      </w:pPr>
      <w:r>
        <w:rPr>
          <w:rFonts w:hint="eastAsia"/>
          <w:color w:val="auto"/>
          <w:sz w:val="21"/>
          <w:szCs w:val="21"/>
          <w:highlight w:val="none"/>
        </w:rPr>
        <w:t>纳税人识别号：</w:t>
      </w:r>
    </w:p>
    <w:p>
      <w:pPr>
        <w:spacing w:line="360" w:lineRule="auto"/>
        <w:ind w:left="480" w:leftChars="200"/>
        <w:rPr>
          <w:color w:val="auto"/>
          <w:sz w:val="21"/>
          <w:szCs w:val="21"/>
          <w:highlight w:val="none"/>
        </w:rPr>
      </w:pPr>
      <w:r>
        <w:rPr>
          <w:rFonts w:hint="eastAsia"/>
          <w:color w:val="auto"/>
          <w:sz w:val="21"/>
          <w:szCs w:val="21"/>
          <w:highlight w:val="none"/>
        </w:rPr>
        <w:t>公司地址、电话：</w:t>
      </w:r>
    </w:p>
    <w:p>
      <w:pPr>
        <w:spacing w:line="360" w:lineRule="auto"/>
        <w:ind w:left="480" w:leftChars="200"/>
        <w:rPr>
          <w:color w:val="auto"/>
          <w:highlight w:val="none"/>
        </w:rPr>
      </w:pPr>
      <w:r>
        <w:rPr>
          <w:rFonts w:hint="eastAsia"/>
          <w:color w:val="auto"/>
          <w:sz w:val="21"/>
          <w:szCs w:val="21"/>
          <w:highlight w:val="none"/>
        </w:rPr>
        <w:t>开户行及账号：</w:t>
      </w:r>
      <w:r>
        <w:rPr>
          <w:rFonts w:hint="eastAsia"/>
          <w:color w:val="auto"/>
          <w:highlight w:val="none"/>
        </w:rPr>
        <w:t xml:space="preserve"> </w:t>
      </w:r>
    </w:p>
    <w:p>
      <w:pPr>
        <w:spacing w:line="360" w:lineRule="auto"/>
        <w:ind w:firstLine="422" w:firstLineChars="200"/>
        <w:rPr>
          <w:rFonts w:hAnsi="宋体"/>
          <w:b/>
          <w:bCs/>
          <w:color w:val="auto"/>
          <w:sz w:val="21"/>
          <w:szCs w:val="21"/>
          <w:highlight w:val="none"/>
        </w:rPr>
      </w:pPr>
      <w:r>
        <w:rPr>
          <w:rFonts w:hint="eastAsia" w:hAnsi="宋体"/>
          <w:b/>
          <w:bCs/>
          <w:color w:val="auto"/>
          <w:sz w:val="21"/>
          <w:szCs w:val="21"/>
          <w:highlight w:val="none"/>
        </w:rPr>
        <w:t>八、工程变更</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本项目，总价包干，包设计、包报建、包施工、包安装调试、包验收、包通电，以及包括项目的服务及其他附属服务的服务费用、相关人员工资、一切税费、保险费、仓储费、税费、资料等履约过程可预见和不可预见的一切费用，且在合同执行过程中不作任何调整。</w:t>
      </w:r>
    </w:p>
    <w:p>
      <w:pPr>
        <w:pStyle w:val="60"/>
        <w:numPr>
          <w:ilvl w:val="0"/>
          <w:numId w:val="9"/>
        </w:numPr>
        <w:spacing w:line="360" w:lineRule="auto"/>
        <w:ind w:left="180" w:firstLine="42" w:firstLineChars="20"/>
        <w:rPr>
          <w:rFonts w:hAnsi="宋体"/>
          <w:b/>
          <w:bCs/>
          <w:color w:val="auto"/>
          <w:sz w:val="21"/>
          <w:szCs w:val="21"/>
          <w:highlight w:val="none"/>
        </w:rPr>
      </w:pPr>
      <w:r>
        <w:rPr>
          <w:rFonts w:hint="eastAsia" w:hAnsi="宋体"/>
          <w:b/>
          <w:bCs/>
          <w:color w:val="auto"/>
          <w:sz w:val="21"/>
          <w:szCs w:val="21"/>
          <w:highlight w:val="none"/>
        </w:rPr>
        <w:t>双方义务</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（一）甲方义务</w:t>
      </w:r>
    </w:p>
    <w:p>
      <w:pPr>
        <w:spacing w:line="360" w:lineRule="auto"/>
        <w:ind w:firstLine="432" w:firstLineChars="206"/>
        <w:rPr>
          <w:rFonts w:hAnsi="宋体"/>
          <w:color w:val="auto"/>
          <w:sz w:val="21"/>
          <w:szCs w:val="21"/>
          <w:highlight w:val="none"/>
        </w:rPr>
      </w:pPr>
      <w:r>
        <w:rPr>
          <w:rFonts w:hint="eastAsia" w:hAnsi="宋体"/>
          <w:color w:val="auto"/>
          <w:sz w:val="21"/>
          <w:szCs w:val="21"/>
          <w:highlight w:val="none"/>
        </w:rPr>
        <w:t>1、委派现场代表负责对工程建设进行全面管理，解决施工过程中出现的需要甲方协调的相关问题，并参与工程的初验、各种验收工作。</w:t>
      </w:r>
    </w:p>
    <w:p>
      <w:pPr>
        <w:spacing w:line="360" w:lineRule="auto"/>
        <w:ind w:firstLine="432" w:firstLineChars="206"/>
        <w:rPr>
          <w:rFonts w:hAnsi="宋体"/>
          <w:color w:val="auto"/>
          <w:sz w:val="21"/>
          <w:szCs w:val="21"/>
          <w:highlight w:val="none"/>
        </w:rPr>
      </w:pPr>
      <w:r>
        <w:rPr>
          <w:rFonts w:hint="eastAsia" w:hAnsi="宋体"/>
          <w:color w:val="auto"/>
          <w:sz w:val="21"/>
          <w:szCs w:val="21"/>
          <w:highlight w:val="none"/>
        </w:rPr>
        <w:t>2、及时对工程进度、工程质量进行监督检查，参加材料报验、样板验收、组织工程的初验，接乙方书面通知起</w:t>
      </w:r>
      <w:r>
        <w:rPr>
          <w:rFonts w:hint="eastAsia" w:hAnsi="宋体"/>
          <w:color w:val="auto"/>
          <w:sz w:val="21"/>
          <w:szCs w:val="21"/>
          <w:highlight w:val="none"/>
          <w:u w:val="single"/>
        </w:rPr>
        <w:t xml:space="preserve"> 24 </w:t>
      </w:r>
      <w:r>
        <w:rPr>
          <w:rFonts w:hint="eastAsia" w:hAnsi="宋体"/>
          <w:color w:val="auto"/>
          <w:sz w:val="21"/>
          <w:szCs w:val="21"/>
          <w:highlight w:val="none"/>
        </w:rPr>
        <w:t>个工作小时内参加隐蔽工程验收。</w:t>
      </w:r>
    </w:p>
    <w:p>
      <w:pPr>
        <w:spacing w:line="360" w:lineRule="auto"/>
        <w:ind w:firstLine="432" w:firstLineChars="206"/>
        <w:rPr>
          <w:rFonts w:hAnsi="宋体"/>
          <w:color w:val="auto"/>
          <w:sz w:val="21"/>
          <w:szCs w:val="21"/>
          <w:highlight w:val="none"/>
        </w:rPr>
      </w:pPr>
      <w:r>
        <w:rPr>
          <w:rFonts w:hint="eastAsia" w:hAnsi="宋体"/>
          <w:color w:val="auto"/>
          <w:sz w:val="21"/>
          <w:szCs w:val="21"/>
          <w:highlight w:val="none"/>
        </w:rPr>
        <w:t>3、接到乙方书面竣工验收通知后应在</w:t>
      </w:r>
      <w:r>
        <w:rPr>
          <w:rFonts w:hint="eastAsia" w:hAnsi="宋体"/>
          <w:color w:val="auto"/>
          <w:sz w:val="21"/>
          <w:szCs w:val="21"/>
          <w:highlight w:val="none"/>
          <w:u w:val="single"/>
        </w:rPr>
        <w:t xml:space="preserve"> 10 </w:t>
      </w:r>
      <w:r>
        <w:rPr>
          <w:rFonts w:hint="eastAsia" w:hAnsi="宋体"/>
          <w:color w:val="auto"/>
          <w:sz w:val="21"/>
          <w:szCs w:val="21"/>
          <w:highlight w:val="none"/>
        </w:rPr>
        <w:t>个工作日内组织竣工验收。</w:t>
      </w:r>
    </w:p>
    <w:p>
      <w:pPr>
        <w:spacing w:line="360" w:lineRule="auto"/>
        <w:ind w:firstLine="432" w:firstLineChars="206"/>
        <w:rPr>
          <w:rFonts w:hAnsi="宋体"/>
          <w:color w:val="auto"/>
          <w:sz w:val="21"/>
          <w:szCs w:val="21"/>
          <w:highlight w:val="none"/>
        </w:rPr>
      </w:pPr>
      <w:r>
        <w:rPr>
          <w:rFonts w:hint="eastAsia" w:hAnsi="宋体"/>
          <w:color w:val="auto"/>
          <w:sz w:val="21"/>
          <w:szCs w:val="21"/>
          <w:highlight w:val="none"/>
        </w:rPr>
        <w:t>4、负责协调乙方与其他各承包单位的关系，并协助解决材料堆放场地。</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（二）乙方义务</w:t>
      </w:r>
    </w:p>
    <w:p>
      <w:pPr>
        <w:pStyle w:val="61"/>
        <w:spacing w:line="360" w:lineRule="auto"/>
        <w:ind w:firstLine="460" w:firstLineChars="200"/>
        <w:rPr>
          <w:rFonts w:ascii="宋体" w:hAnsi="宋体"/>
          <w:color w:val="auto"/>
          <w:sz w:val="21"/>
          <w:szCs w:val="21"/>
          <w:highlight w:val="none"/>
        </w:rPr>
      </w:pPr>
      <w:r>
        <w:rPr>
          <w:rFonts w:hint="eastAsia" w:ascii="宋体" w:hAnsi="宋体"/>
          <w:color w:val="auto"/>
          <w:sz w:val="21"/>
          <w:szCs w:val="21"/>
          <w:highlight w:val="none"/>
        </w:rPr>
        <w:t>1、委派现场代表负责施工期间的全面管理，如变更现场代表应事先经甲方书面同意(1.拟派驻的项目经理要求已取得二级注册建造师执业证书（专业类别为：机电工程）；2.持有项目经理安全生产考核合格证（B类）；3.施工作业人员持有高压电工证及供电局认可的进网作业许可证；4.安全员持有专职安全员证。</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2、根据供电局及相关部门审批通过的设计图纸，按照本合同约定完成承包范围内的施工工作，并按甲方要求的格式书面提请办理验收和确认手续。</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3、按相关安全法规进行安全施工，遵守甲方施工现场管理的有关规定。</w:t>
      </w:r>
    </w:p>
    <w:p>
      <w:pPr>
        <w:spacing w:line="360" w:lineRule="auto"/>
        <w:ind w:right="24" w:firstLine="445" w:firstLineChars="212"/>
        <w:rPr>
          <w:rFonts w:hAnsi="宋体"/>
          <w:color w:val="auto"/>
          <w:sz w:val="21"/>
          <w:szCs w:val="21"/>
          <w:highlight w:val="none"/>
        </w:rPr>
      </w:pPr>
      <w:r>
        <w:rPr>
          <w:rFonts w:hint="eastAsia" w:hAnsi="宋体"/>
          <w:color w:val="auto"/>
          <w:sz w:val="21"/>
          <w:szCs w:val="21"/>
          <w:highlight w:val="none"/>
        </w:rPr>
        <w:t>4、乙方应处理好与其他在建专业施工队伍（或单位）的关系，须按工程情况与其他单位进行密切协调与配合。</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5、乙方须保证施工场地的清洁卫生符合相关环境卫生、环境保护及整治管理的规定，防止扬尘及保持场地出入口及场外周边道路的清洁卫生，做到工完场清。</w:t>
      </w:r>
    </w:p>
    <w:p>
      <w:pPr>
        <w:spacing w:line="360" w:lineRule="auto"/>
        <w:rPr>
          <w:rFonts w:hAnsi="宋体"/>
          <w:color w:val="auto"/>
          <w:sz w:val="21"/>
          <w:szCs w:val="21"/>
          <w:highlight w:val="none"/>
        </w:rPr>
      </w:pPr>
      <w:r>
        <w:rPr>
          <w:rFonts w:hint="eastAsia" w:hAnsi="宋体"/>
          <w:color w:val="auto"/>
          <w:sz w:val="21"/>
          <w:szCs w:val="21"/>
          <w:highlight w:val="none"/>
        </w:rPr>
        <w:t xml:space="preserve">    6、竣工验收后，乙方人员必须在一周内清理并撤离施工场地。如因乙方人员逾期未清理或未撤离导致甲方无法正常使用场地的，每逾期一日应按照总合同价0.5%每日的标准支付违约金，由此给甲方造成其他损失的，乙方应一并赔偿。</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7、图纸，由发包人提供参考图纸，由承包人按相关部门的要求负责高低压图纸的深化设计。并确保通过供电局等有关部门的审批通过。</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8、乙方应具备法律法规或国家规定的电力工程相应资质，相应的资质文件作为本合同附件。如因乙方隐瞒或提供虚假文件导致本合同全部或部分条款无效的，乙方应赔偿甲方由此产生的全部直接损失及间接损失。</w:t>
      </w:r>
    </w:p>
    <w:p>
      <w:pPr>
        <w:spacing w:line="360" w:lineRule="auto"/>
        <w:ind w:firstLine="422" w:firstLineChars="200"/>
        <w:rPr>
          <w:rFonts w:hAnsi="宋体"/>
          <w:b/>
          <w:bCs/>
          <w:color w:val="auto"/>
          <w:sz w:val="21"/>
          <w:szCs w:val="21"/>
          <w:highlight w:val="none"/>
        </w:rPr>
      </w:pPr>
      <w:r>
        <w:rPr>
          <w:rFonts w:hint="eastAsia" w:hAnsi="宋体"/>
          <w:b/>
          <w:bCs/>
          <w:color w:val="auto"/>
          <w:sz w:val="21"/>
          <w:szCs w:val="21"/>
          <w:highlight w:val="none"/>
        </w:rPr>
        <w:t>十、安全生产和防火</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（一）由承包人按相关部门的要求负责高低压图纸的深化设计或作法说明，应符合《中华人民共和国消防条例》和有关防火设计规范。</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（二）乙方在施工期间应严格遵守《建筑安装工程安全技术规程》《建筑安装工程安全操作规程》《中华人民共和国消防条例》和其它相关的法规、规范。</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（三）参与本装修工程的设计和施工管理的从业人员，应是经过行业培训的持证上岗人员。</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四）乙方在本工程竣工验收前，负责保护工程成品和工程现场的全部安全。由于乙方在施工生产过程中自身安全措施不力及违反相关安全操作规程、消防条例，导致发生安全、火灾事故，乙方应承担由此产生的一切责任后果和经济费用。　　</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五）乙方必须做好施工现场及工地现场的管线和邻近建筑物的保护工作，由于该类影响所造成的额外费用和赔偿均由乙方承担。乙方应当自行购买其工程范围内人员和设备的保险，以及第三者责任险等一切涉及本工程的保险。因可归责于乙方原因导致的施工人员或其他第三人发生人身、财产安全事故的，由乙方承担全部法律责任，与甲方无关。如因此给甲方造成的损失（包括但不限于律师费、诉讼费或仲裁费、担保费等），乙方应承担相应的赔偿责任。</w:t>
      </w:r>
    </w:p>
    <w:p>
      <w:pPr>
        <w:spacing w:line="360" w:lineRule="auto"/>
        <w:ind w:firstLine="422" w:firstLineChars="200"/>
        <w:rPr>
          <w:rFonts w:hAnsi="宋体"/>
          <w:color w:val="auto"/>
          <w:sz w:val="21"/>
          <w:szCs w:val="21"/>
          <w:highlight w:val="none"/>
        </w:rPr>
      </w:pPr>
      <w:r>
        <w:rPr>
          <w:rFonts w:hint="eastAsia" w:hAnsi="宋体"/>
          <w:b/>
          <w:bCs/>
          <w:color w:val="auto"/>
          <w:sz w:val="21"/>
          <w:szCs w:val="21"/>
          <w:highlight w:val="none"/>
        </w:rPr>
        <w:t>十</w:t>
      </w:r>
      <w:r>
        <w:rPr>
          <w:rFonts w:hint="eastAsia" w:hAnsi="宋体"/>
          <w:b/>
          <w:bCs/>
          <w:color w:val="auto"/>
          <w:sz w:val="21"/>
          <w:szCs w:val="21"/>
          <w:highlight w:val="none"/>
          <w:lang w:val="en-US" w:eastAsia="zh-CN"/>
        </w:rPr>
        <w:t>一</w:t>
      </w:r>
      <w:r>
        <w:rPr>
          <w:rFonts w:hint="eastAsia" w:hAnsi="宋体"/>
          <w:b/>
          <w:bCs/>
          <w:color w:val="auto"/>
          <w:sz w:val="21"/>
          <w:szCs w:val="21"/>
          <w:highlight w:val="none"/>
        </w:rPr>
        <w:t>、违约责任</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（一）合同签订后，一方擅自违约或毁约导致合同无法履行，违约或毁约方应向守约方承担相应的违约责任，包括向守约方支付合同总价款10%的违约金，并赔偿因其违约给对方造成的损失。</w:t>
      </w:r>
    </w:p>
    <w:p>
      <w:pPr>
        <w:spacing w:line="360" w:lineRule="auto"/>
        <w:ind w:firstLine="420" w:firstLineChars="200"/>
        <w:rPr>
          <w:rFonts w:hAnsi="宋体"/>
          <w:strike/>
          <w:color w:val="auto"/>
          <w:sz w:val="21"/>
          <w:szCs w:val="21"/>
          <w:highlight w:val="none"/>
        </w:rPr>
      </w:pPr>
      <w:r>
        <w:rPr>
          <w:rFonts w:hint="eastAsia" w:hAnsi="宋体"/>
          <w:color w:val="auto"/>
          <w:sz w:val="21"/>
          <w:szCs w:val="21"/>
          <w:highlight w:val="none"/>
        </w:rPr>
        <w:t>（二）合同签订后，在履约过程中，因甲方原因导致合同无法继续履行，乙方已经履行了部分合同义务的，甲方除了支付相应款项外，还应承担违约金责任和因此给对方造成的其他损失。</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（三）乙方提供的材料、设备是假冒伪劣产品的，应按材料、设备价款的双倍赔偿给甲方。</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（四）对于不符合施工质量验收标准中的部分项目，甲方提出施工质量整改要求，乙方未按规定时间内履行整改工作或无正当理由拒绝整改。每逾期一天，乙方支付甲方本合同价款总额0.5%的违约金。</w:t>
      </w:r>
    </w:p>
    <w:p>
      <w:pPr>
        <w:keepNext w:val="0"/>
        <w:keepLines w:val="0"/>
        <w:pageBreakBefore w:val="0"/>
        <w:widowControl w:val="0"/>
        <w:kinsoku/>
        <w:wordWrap/>
        <w:overflowPunct/>
        <w:topLinePunct w:val="0"/>
        <w:autoSpaceDE w:val="0"/>
        <w:autoSpaceDN w:val="0"/>
        <w:bidi w:val="0"/>
        <w:adjustRightInd w:val="0"/>
        <w:snapToGrid/>
        <w:ind w:firstLine="420" w:firstLineChars="200"/>
        <w:textAlignment w:val="auto"/>
        <w:outlineLvl w:val="9"/>
        <w:rPr>
          <w:color w:val="auto"/>
          <w:highlight w:val="none"/>
        </w:rPr>
      </w:pPr>
      <w:r>
        <w:rPr>
          <w:rFonts w:hint="eastAsia"/>
          <w:color w:val="auto"/>
          <w:sz w:val="21"/>
          <w:szCs w:val="21"/>
          <w:highlight w:val="none"/>
        </w:rPr>
        <w:t>（五）乙方未按约定时间完成工程的，每逾期一天，乙方支付甲方本合同价款总额0.5%的违约金。</w:t>
      </w:r>
    </w:p>
    <w:p>
      <w:pPr>
        <w:spacing w:line="360" w:lineRule="auto"/>
        <w:ind w:firstLine="422" w:firstLineChars="200"/>
        <w:rPr>
          <w:rFonts w:hAnsi="宋体"/>
          <w:b/>
          <w:bCs/>
          <w:color w:val="auto"/>
          <w:sz w:val="21"/>
          <w:szCs w:val="21"/>
          <w:highlight w:val="none"/>
        </w:rPr>
      </w:pPr>
      <w:r>
        <w:rPr>
          <w:rFonts w:hint="eastAsia" w:hAnsi="宋体"/>
          <w:b/>
          <w:bCs/>
          <w:color w:val="auto"/>
          <w:sz w:val="21"/>
          <w:szCs w:val="21"/>
          <w:highlight w:val="none"/>
        </w:rPr>
        <w:t>十</w:t>
      </w:r>
      <w:r>
        <w:rPr>
          <w:rFonts w:hint="eastAsia" w:hAnsi="宋体"/>
          <w:b/>
          <w:bCs/>
          <w:color w:val="auto"/>
          <w:sz w:val="21"/>
          <w:szCs w:val="21"/>
          <w:highlight w:val="none"/>
          <w:lang w:val="en-US" w:eastAsia="zh-CN"/>
        </w:rPr>
        <w:t>二</w:t>
      </w:r>
      <w:r>
        <w:rPr>
          <w:rFonts w:hint="eastAsia" w:hAnsi="宋体"/>
          <w:b/>
          <w:bCs/>
          <w:color w:val="auto"/>
          <w:sz w:val="21"/>
          <w:szCs w:val="21"/>
          <w:highlight w:val="none"/>
        </w:rPr>
        <w:t>、争议解决</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（一）本合同在履行期间，双方发生争议时，在不影响工程进度的前提下，双方可协商解决。</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（二）若双方不能通过协商达成协议，可依据《中华人民共和国民事诉讼法》和《中华人民共和国民法典》的有关规定，任何一方应向甲方所在地人民法院提出诉讼。</w:t>
      </w:r>
    </w:p>
    <w:p>
      <w:pPr>
        <w:spacing w:line="360" w:lineRule="auto"/>
        <w:ind w:firstLine="422" w:firstLineChars="200"/>
        <w:rPr>
          <w:rFonts w:hAnsi="宋体"/>
          <w:b/>
          <w:bCs/>
          <w:color w:val="auto"/>
          <w:sz w:val="21"/>
          <w:szCs w:val="21"/>
          <w:highlight w:val="none"/>
        </w:rPr>
      </w:pPr>
      <w:r>
        <w:rPr>
          <w:rFonts w:hint="eastAsia" w:hAnsi="宋体"/>
          <w:b/>
          <w:bCs/>
          <w:color w:val="auto"/>
          <w:sz w:val="21"/>
          <w:szCs w:val="21"/>
          <w:highlight w:val="none"/>
        </w:rPr>
        <w:t>十</w:t>
      </w:r>
      <w:r>
        <w:rPr>
          <w:rFonts w:hint="eastAsia" w:hAnsi="宋体"/>
          <w:b/>
          <w:bCs/>
          <w:color w:val="auto"/>
          <w:sz w:val="21"/>
          <w:szCs w:val="21"/>
          <w:highlight w:val="none"/>
          <w:lang w:val="en-US" w:eastAsia="zh-CN"/>
        </w:rPr>
        <w:t>三</w:t>
      </w:r>
      <w:r>
        <w:rPr>
          <w:rFonts w:hint="eastAsia" w:hAnsi="宋体"/>
          <w:b/>
          <w:bCs/>
          <w:color w:val="auto"/>
          <w:sz w:val="21"/>
          <w:szCs w:val="21"/>
          <w:highlight w:val="none"/>
        </w:rPr>
        <w:t>、保修</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（一）工程竣工后，乙方施工项目在保修期限内出现问题，由乙方进行保修，保修范围为乙方施工的工程项目（以工程结算书所列项目为准）。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（二）本工程保修责任期： 2年，均从双方签署竣工验收合格文件之日起算。</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（三）保修期间本工程项目因乙方原因出现质量问题由乙方负责保修的人工费和材料费，因乙方工程质量原因造成的其它损失，由乙方按当时市场价格全额赔偿。</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四）乙方要提供24小时联系电话，并在接到甲方保修通知电话后4小时内派人到工程现场处理，研究拟定维修方案，在不影响正常上班的情况下，尽快修复,不得故意拖延，否则，甲方在书面通知未果的情况下有权委托其它单位或人员进行修复，维修费用甲方有权从质保金中优先扣除，不足部分由乙方承担，且本工程的整体保修责任继续由乙方承担，直至保修期结束。</w:t>
      </w:r>
    </w:p>
    <w:p>
      <w:pPr>
        <w:spacing w:line="360" w:lineRule="auto"/>
        <w:ind w:firstLine="422" w:firstLineChars="200"/>
        <w:rPr>
          <w:rFonts w:hAnsi="宋体"/>
          <w:b/>
          <w:bCs/>
          <w:color w:val="auto"/>
          <w:sz w:val="21"/>
          <w:szCs w:val="21"/>
          <w:highlight w:val="none"/>
        </w:rPr>
      </w:pPr>
      <w:r>
        <w:rPr>
          <w:rFonts w:hint="eastAsia" w:hAnsi="宋体"/>
          <w:b/>
          <w:bCs/>
          <w:color w:val="auto"/>
          <w:sz w:val="21"/>
          <w:szCs w:val="21"/>
          <w:highlight w:val="none"/>
        </w:rPr>
        <w:t>十</w:t>
      </w:r>
      <w:r>
        <w:rPr>
          <w:rFonts w:hint="eastAsia" w:hAnsi="宋体"/>
          <w:b/>
          <w:bCs/>
          <w:color w:val="auto"/>
          <w:sz w:val="21"/>
          <w:szCs w:val="21"/>
          <w:highlight w:val="none"/>
          <w:lang w:val="en-US" w:eastAsia="zh-CN"/>
        </w:rPr>
        <w:t>四</w:t>
      </w:r>
      <w:r>
        <w:rPr>
          <w:rFonts w:hint="eastAsia" w:hAnsi="宋体"/>
          <w:b/>
          <w:bCs/>
          <w:color w:val="auto"/>
          <w:sz w:val="21"/>
          <w:szCs w:val="21"/>
          <w:highlight w:val="none"/>
        </w:rPr>
        <w:t>、合同解除和终止</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（一）有下列情形之一的，可以解除合同：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1.甲、乙双方协商一致；</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2.因不可抗力致使合同无法履行。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3.因一方违约致使合同无法履行。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4.如因乙方未按约定时间进场、完工、整改，且逾期超过10天，甲方有权解除合同。</w:t>
      </w:r>
    </w:p>
    <w:p>
      <w:pPr>
        <w:spacing w:line="360" w:lineRule="auto"/>
        <w:ind w:firstLine="420" w:firstLineChars="200"/>
        <w:rPr>
          <w:rFonts w:hAnsi="宋体"/>
          <w:b/>
          <w:bCs/>
          <w:color w:val="auto"/>
          <w:sz w:val="21"/>
          <w:szCs w:val="21"/>
          <w:highlight w:val="none"/>
        </w:rPr>
      </w:pPr>
      <w:r>
        <w:rPr>
          <w:rFonts w:hint="eastAsia" w:hAnsi="宋体"/>
          <w:color w:val="auto"/>
          <w:sz w:val="21"/>
          <w:szCs w:val="21"/>
          <w:highlight w:val="none"/>
        </w:rPr>
        <w:t>（二）甲、乙双方履行完本合同全部义务，工程竣工结算价款支付完毕，本合同即告终止。</w:t>
      </w:r>
    </w:p>
    <w:p>
      <w:pPr>
        <w:spacing w:line="360" w:lineRule="auto"/>
        <w:ind w:firstLine="422" w:firstLineChars="200"/>
        <w:rPr>
          <w:rFonts w:hAnsi="宋体"/>
          <w:b/>
          <w:bCs/>
          <w:color w:val="auto"/>
          <w:sz w:val="21"/>
          <w:szCs w:val="21"/>
          <w:highlight w:val="none"/>
        </w:rPr>
      </w:pPr>
      <w:r>
        <w:rPr>
          <w:rFonts w:hint="eastAsia" w:hAnsi="宋体"/>
          <w:b/>
          <w:bCs/>
          <w:color w:val="auto"/>
          <w:sz w:val="21"/>
          <w:szCs w:val="21"/>
          <w:highlight w:val="none"/>
        </w:rPr>
        <w:t>十</w:t>
      </w:r>
      <w:r>
        <w:rPr>
          <w:rFonts w:hint="eastAsia" w:hAnsi="宋体"/>
          <w:b/>
          <w:bCs/>
          <w:color w:val="auto"/>
          <w:sz w:val="21"/>
          <w:szCs w:val="21"/>
          <w:highlight w:val="none"/>
          <w:lang w:val="en-US" w:eastAsia="zh-CN"/>
        </w:rPr>
        <w:t>五</w:t>
      </w:r>
      <w:r>
        <w:rPr>
          <w:rFonts w:hint="eastAsia" w:hAnsi="宋体"/>
          <w:b/>
          <w:bCs/>
          <w:color w:val="auto"/>
          <w:sz w:val="21"/>
          <w:szCs w:val="21"/>
          <w:highlight w:val="none"/>
        </w:rPr>
        <w:t>、附则</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本合同正本一式陆份，甲方执肆份，乙方执贰份，均具同等法律效力，双方法定代表人或授权代表签字并加盖公章后生效。</w:t>
      </w:r>
    </w:p>
    <w:p>
      <w:pPr>
        <w:spacing w:line="360" w:lineRule="auto"/>
        <w:ind w:firstLine="422" w:firstLineChars="200"/>
        <w:rPr>
          <w:rFonts w:hAnsi="宋体"/>
          <w:b/>
          <w:bCs/>
          <w:color w:val="auto"/>
          <w:sz w:val="21"/>
          <w:szCs w:val="21"/>
          <w:highlight w:val="none"/>
        </w:rPr>
      </w:pPr>
      <w:r>
        <w:rPr>
          <w:rFonts w:hint="eastAsia" w:hAnsi="宋体"/>
          <w:b/>
          <w:bCs/>
          <w:color w:val="auto"/>
          <w:sz w:val="21"/>
          <w:szCs w:val="21"/>
          <w:highlight w:val="none"/>
        </w:rPr>
        <w:t>十</w:t>
      </w:r>
      <w:r>
        <w:rPr>
          <w:rFonts w:hint="eastAsia" w:hAnsi="宋体"/>
          <w:b/>
          <w:bCs/>
          <w:color w:val="auto"/>
          <w:sz w:val="21"/>
          <w:szCs w:val="21"/>
          <w:highlight w:val="none"/>
          <w:lang w:val="en-US" w:eastAsia="zh-CN"/>
        </w:rPr>
        <w:t>六</w:t>
      </w:r>
      <w:r>
        <w:rPr>
          <w:rFonts w:hint="eastAsia" w:hAnsi="宋体"/>
          <w:b/>
          <w:bCs/>
          <w:color w:val="auto"/>
          <w:sz w:val="21"/>
          <w:szCs w:val="21"/>
          <w:highlight w:val="none"/>
        </w:rPr>
        <w:t>、其它约定事项</w:t>
      </w:r>
    </w:p>
    <w:p>
      <w:pPr>
        <w:spacing w:line="360" w:lineRule="auto"/>
        <w:ind w:firstLine="420" w:firstLineChars="200"/>
        <w:rPr>
          <w:rFonts w:hAnsi="宋体"/>
          <w:color w:val="auto"/>
          <w:sz w:val="21"/>
          <w:szCs w:val="21"/>
          <w:highlight w:val="none"/>
          <w:shd w:val="clear" w:color="auto" w:fill="FFFFFF"/>
        </w:rPr>
      </w:pPr>
      <w:r>
        <w:rPr>
          <w:rFonts w:hint="eastAsia" w:hAnsi="宋体"/>
          <w:color w:val="auto"/>
          <w:sz w:val="21"/>
          <w:szCs w:val="21"/>
          <w:highlight w:val="none"/>
        </w:rPr>
        <w:t>本合同未尽事宜，可由甲乙双方商定，并签署书面补充协议。如果有附件，附件也是本合同不可缺少之组成部分，具有同等法律效力。</w:t>
      </w:r>
    </w:p>
    <w:p>
      <w:pPr>
        <w:spacing w:line="360" w:lineRule="auto"/>
        <w:ind w:firstLine="420" w:firstLineChars="200"/>
        <w:rPr>
          <w:rFonts w:hAnsi="宋体"/>
          <w:color w:val="auto"/>
          <w:sz w:val="21"/>
          <w:szCs w:val="21"/>
          <w:highlight w:val="none"/>
          <w:shd w:val="clear" w:color="auto" w:fill="FFFFFF"/>
        </w:rPr>
      </w:pPr>
    </w:p>
    <w:p>
      <w:pPr>
        <w:spacing w:line="360" w:lineRule="auto"/>
        <w:ind w:firstLine="420" w:firstLineChars="200"/>
        <w:rPr>
          <w:rFonts w:hAnsi="宋体"/>
          <w:color w:val="auto"/>
          <w:sz w:val="21"/>
          <w:szCs w:val="21"/>
          <w:highlight w:val="none"/>
          <w:shd w:val="clear" w:color="auto" w:fill="FFFFFF"/>
        </w:rPr>
      </w:pPr>
      <w:r>
        <w:rPr>
          <w:rFonts w:hint="eastAsia" w:hAnsi="宋体"/>
          <w:color w:val="auto"/>
          <w:sz w:val="21"/>
          <w:szCs w:val="21"/>
          <w:highlight w:val="none"/>
          <w:shd w:val="clear" w:color="auto" w:fill="FFFFFF"/>
        </w:rPr>
        <w:t>合同附件（共4件）</w:t>
      </w:r>
    </w:p>
    <w:p>
      <w:pPr>
        <w:spacing w:line="360" w:lineRule="auto"/>
        <w:ind w:firstLine="420" w:firstLineChars="200"/>
        <w:rPr>
          <w:rFonts w:hAnsi="宋体"/>
          <w:color w:val="auto"/>
          <w:sz w:val="21"/>
          <w:szCs w:val="21"/>
          <w:highlight w:val="none"/>
          <w:shd w:val="clear" w:color="auto" w:fill="FFFFFF"/>
        </w:rPr>
      </w:pPr>
      <w:r>
        <w:rPr>
          <w:rFonts w:hint="eastAsia" w:hAnsi="宋体"/>
          <w:color w:val="auto"/>
          <w:sz w:val="21"/>
          <w:szCs w:val="21"/>
          <w:highlight w:val="none"/>
          <w:shd w:val="clear" w:color="auto" w:fill="FFFFFF"/>
        </w:rPr>
        <w:t>附件1：阳光合作协议</w:t>
      </w:r>
    </w:p>
    <w:p>
      <w:pPr>
        <w:spacing w:line="360" w:lineRule="auto"/>
        <w:ind w:firstLine="420" w:firstLineChars="200"/>
        <w:rPr>
          <w:rFonts w:hAnsi="宋体"/>
          <w:color w:val="auto"/>
          <w:sz w:val="21"/>
          <w:szCs w:val="21"/>
          <w:highlight w:val="none"/>
          <w:shd w:val="clear" w:color="auto" w:fill="FFFFFF"/>
        </w:rPr>
      </w:pPr>
      <w:r>
        <w:rPr>
          <w:rFonts w:hint="eastAsia" w:hAnsi="宋体"/>
          <w:color w:val="auto"/>
          <w:sz w:val="21"/>
          <w:szCs w:val="21"/>
          <w:highlight w:val="none"/>
          <w:shd w:val="clear" w:color="auto" w:fill="FFFFFF"/>
        </w:rPr>
        <w:t>附件2：图纸</w:t>
      </w:r>
    </w:p>
    <w:p>
      <w:pPr>
        <w:spacing w:line="360" w:lineRule="auto"/>
        <w:ind w:firstLine="420" w:firstLineChars="200"/>
        <w:rPr>
          <w:rFonts w:hAnsi="宋体"/>
          <w:color w:val="auto"/>
          <w:sz w:val="21"/>
          <w:szCs w:val="21"/>
          <w:highlight w:val="none"/>
          <w:shd w:val="clear" w:color="auto" w:fill="FFFFFF"/>
        </w:rPr>
      </w:pPr>
      <w:r>
        <w:rPr>
          <w:rFonts w:hint="eastAsia" w:hAnsi="宋体"/>
          <w:color w:val="auto"/>
          <w:sz w:val="21"/>
          <w:szCs w:val="21"/>
          <w:highlight w:val="none"/>
          <w:shd w:val="clear" w:color="auto" w:fill="FFFFFF"/>
        </w:rPr>
        <w:t>附件3：报价清单</w:t>
      </w:r>
    </w:p>
    <w:p>
      <w:pPr>
        <w:spacing w:line="360" w:lineRule="auto"/>
        <w:ind w:firstLine="420" w:firstLineChars="200"/>
        <w:rPr>
          <w:rFonts w:hAnsi="宋体"/>
          <w:color w:val="auto"/>
          <w:sz w:val="21"/>
          <w:szCs w:val="21"/>
          <w:highlight w:val="none"/>
          <w:shd w:val="clear" w:color="auto" w:fill="FFFFFF"/>
        </w:rPr>
      </w:pPr>
      <w:r>
        <w:rPr>
          <w:rFonts w:hint="eastAsia" w:hAnsi="宋体"/>
          <w:color w:val="auto"/>
          <w:sz w:val="21"/>
          <w:szCs w:val="21"/>
          <w:highlight w:val="none"/>
          <w:shd w:val="clear" w:color="auto" w:fill="FFFFFF"/>
        </w:rPr>
        <w:t>附件4：技术需求书</w:t>
      </w:r>
    </w:p>
    <w:p>
      <w:pPr>
        <w:spacing w:line="360" w:lineRule="auto"/>
        <w:ind w:firstLine="420" w:firstLineChars="200"/>
        <w:rPr>
          <w:rFonts w:hAnsi="宋体"/>
          <w:color w:val="auto"/>
          <w:sz w:val="21"/>
          <w:szCs w:val="21"/>
          <w:highlight w:val="none"/>
          <w:shd w:val="clear" w:color="auto" w:fill="FFFFFF"/>
        </w:rPr>
      </w:pPr>
    </w:p>
    <w:p>
      <w:pPr>
        <w:snapToGrid w:val="0"/>
        <w:spacing w:line="360" w:lineRule="auto"/>
        <w:ind w:left="3994" w:hanging="3994" w:hangingChars="1902"/>
        <w:rPr>
          <w:rFonts w:hAnsi="宋体"/>
          <w:color w:val="auto"/>
          <w:sz w:val="21"/>
          <w:szCs w:val="21"/>
          <w:highlight w:val="none"/>
          <w:shd w:val="clear" w:color="auto" w:fill="FFFFFF"/>
        </w:rPr>
      </w:pPr>
      <w:r>
        <w:rPr>
          <w:rFonts w:hint="eastAsia" w:hAnsi="宋体"/>
          <w:color w:val="auto"/>
          <w:sz w:val="21"/>
          <w:szCs w:val="21"/>
          <w:highlight w:val="none"/>
          <w:shd w:val="clear" w:color="auto" w:fill="FFFFFF"/>
        </w:rPr>
        <w:t xml:space="preserve">甲方（盖章）：　                         </w:t>
      </w:r>
      <w:r>
        <w:rPr>
          <w:rFonts w:hint="eastAsia" w:hAnsi="宋体"/>
          <w:b/>
          <w:bCs/>
          <w:color w:val="auto"/>
          <w:sz w:val="21"/>
          <w:szCs w:val="21"/>
          <w:highlight w:val="none"/>
        </w:rPr>
        <w:t xml:space="preserve">  </w:t>
      </w:r>
      <w:r>
        <w:rPr>
          <w:rFonts w:hint="eastAsia" w:hAnsi="宋体"/>
          <w:color w:val="auto"/>
          <w:sz w:val="21"/>
          <w:szCs w:val="21"/>
          <w:highlight w:val="none"/>
          <w:shd w:val="clear" w:color="auto" w:fill="FFFFFF"/>
        </w:rPr>
        <w:t>乙方（盖章）：</w:t>
      </w:r>
    </w:p>
    <w:p>
      <w:pPr>
        <w:spacing w:line="360" w:lineRule="auto"/>
        <w:rPr>
          <w:rFonts w:hAnsi="宋体"/>
          <w:color w:val="auto"/>
          <w:sz w:val="21"/>
          <w:szCs w:val="21"/>
          <w:highlight w:val="none"/>
          <w:shd w:val="clear" w:color="auto" w:fill="FFFFFF"/>
        </w:rPr>
      </w:pPr>
    </w:p>
    <w:p>
      <w:pPr>
        <w:spacing w:line="360" w:lineRule="auto"/>
        <w:rPr>
          <w:rFonts w:hAnsi="宋体"/>
          <w:color w:val="auto"/>
          <w:sz w:val="21"/>
          <w:szCs w:val="21"/>
          <w:highlight w:val="none"/>
          <w:shd w:val="clear" w:color="auto" w:fill="FFFFFF"/>
        </w:rPr>
      </w:pPr>
      <w:r>
        <w:rPr>
          <w:rFonts w:hint="eastAsia" w:hAnsi="宋体"/>
          <w:color w:val="auto"/>
          <w:sz w:val="21"/>
          <w:szCs w:val="21"/>
          <w:highlight w:val="none"/>
          <w:shd w:val="clear" w:color="auto" w:fill="FFFFFF"/>
        </w:rPr>
        <w:t>法定代表人或其委托代理人：               法定代表人或其委托代理人：</w:t>
      </w:r>
    </w:p>
    <w:p>
      <w:pPr>
        <w:snapToGrid w:val="0"/>
        <w:spacing w:line="360" w:lineRule="auto"/>
        <w:rPr>
          <w:rFonts w:hAnsi="宋体"/>
          <w:color w:val="auto"/>
          <w:sz w:val="21"/>
          <w:szCs w:val="21"/>
          <w:highlight w:val="none"/>
          <w:shd w:val="clear" w:color="auto" w:fill="FFFFFF"/>
        </w:rPr>
      </w:pPr>
    </w:p>
    <w:p>
      <w:pPr>
        <w:snapToGrid w:val="0"/>
        <w:spacing w:line="360" w:lineRule="auto"/>
        <w:rPr>
          <w:rFonts w:hAnsi="宋体"/>
          <w:b/>
          <w:bCs/>
          <w:color w:val="auto"/>
          <w:sz w:val="21"/>
          <w:szCs w:val="21"/>
          <w:highlight w:val="none"/>
        </w:rPr>
      </w:pPr>
      <w:r>
        <w:rPr>
          <w:rFonts w:hint="eastAsia" w:hAnsi="宋体"/>
          <w:b/>
          <w:bCs/>
          <w:color w:val="auto"/>
          <w:sz w:val="21"/>
          <w:szCs w:val="21"/>
          <w:highlight w:val="none"/>
        </w:rPr>
        <w:t>合同订立时间：   年    月    日</w:t>
      </w:r>
    </w:p>
    <w:p>
      <w:pPr>
        <w:snapToGrid w:val="0"/>
        <w:spacing w:line="360" w:lineRule="auto"/>
        <w:rPr>
          <w:rFonts w:hAnsi="宋体"/>
          <w:b/>
          <w:color w:val="auto"/>
          <w:sz w:val="44"/>
          <w:szCs w:val="44"/>
          <w:highlight w:val="none"/>
        </w:rPr>
      </w:pPr>
      <w:r>
        <w:rPr>
          <w:rFonts w:hint="eastAsia" w:hAnsi="宋体"/>
          <w:b/>
          <w:bCs/>
          <w:color w:val="auto"/>
          <w:sz w:val="21"/>
          <w:szCs w:val="21"/>
          <w:highlight w:val="none"/>
        </w:rPr>
        <w:t>合同签订地点：东莞市</w:t>
      </w:r>
    </w:p>
    <w:p>
      <w:pPr>
        <w:jc w:val="center"/>
        <w:rPr>
          <w:rFonts w:hAnsi="宋体"/>
          <w:b/>
          <w:color w:val="auto"/>
          <w:sz w:val="44"/>
          <w:szCs w:val="44"/>
          <w:highlight w:val="none"/>
        </w:rPr>
      </w:pPr>
      <w:r>
        <w:rPr>
          <w:rFonts w:hint="eastAsia" w:hAnsi="宋体"/>
          <w:b/>
          <w:color w:val="auto"/>
          <w:sz w:val="44"/>
          <w:szCs w:val="44"/>
          <w:highlight w:val="none"/>
        </w:rPr>
        <w:t>阳光合作协议</w:t>
      </w:r>
    </w:p>
    <w:p>
      <w:pPr>
        <w:spacing w:before="163" w:beforeLines="50" w:after="163" w:afterLines="50"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 xml:space="preserve">甲方： </w:t>
      </w:r>
    </w:p>
    <w:p>
      <w:pPr>
        <w:spacing w:before="163" w:beforeLines="50" w:after="163" w:afterLines="50"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 xml:space="preserve">乙方： </w:t>
      </w:r>
    </w:p>
    <w:p>
      <w:pPr>
        <w:spacing w:before="163" w:beforeLines="50" w:after="163" w:afterLines="50"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 xml:space="preserve">    甲乙双方于 2021年     月     日签署了《东莞市湾区国际制造中心总部2台630kVA箱变安装工程合同》（以下简称原合同），为加强双方阳光合作，保证职员职业安全，甲乙双方经协商签订本协议并作为双方共同遵守的阳光合作行为准则。</w:t>
      </w:r>
    </w:p>
    <w:p>
      <w:pPr>
        <w:widowControl/>
        <w:numPr>
          <w:ilvl w:val="0"/>
          <w:numId w:val="13"/>
        </w:numPr>
        <w:autoSpaceDE/>
        <w:autoSpaceDN/>
        <w:adjustRightInd/>
        <w:spacing w:before="163" w:beforeLines="50" w:after="163" w:afterLines="50" w:line="360" w:lineRule="auto"/>
        <w:ind w:left="0" w:firstLine="422" w:firstLineChars="200"/>
        <w:contextualSpacing/>
        <w:rPr>
          <w:rFonts w:hAnsi="宋体"/>
          <w:b/>
          <w:color w:val="auto"/>
          <w:sz w:val="21"/>
          <w:szCs w:val="21"/>
          <w:highlight w:val="none"/>
        </w:rPr>
      </w:pPr>
      <w:r>
        <w:rPr>
          <w:rFonts w:hint="eastAsia" w:hAnsi="宋体"/>
          <w:b/>
          <w:color w:val="auto"/>
          <w:sz w:val="21"/>
          <w:szCs w:val="21"/>
          <w:highlight w:val="none"/>
        </w:rPr>
        <w:t>甲方责任</w:t>
      </w:r>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1.甲方有责任向乙方介绍本单位有关采购管理通用原则和本协议的规定。</w:t>
      </w:r>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2.甲方有责任对本单位相关人员进行阳光合作教育。</w:t>
      </w:r>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4.甲方人员如违反阳光合作管理制度及本协议规定，甲方视情节轻重、影响大小给予行政及经济处罚。</w:t>
      </w:r>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5．对于乙方举报甲方人员违反阳光合作规定的情况，甲方应及时进行调查，根据调查情况进行处理，并将调查结果向乙方反馈。</w:t>
      </w:r>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6.接受举报的一方应为举报方保密，不得对举报方进行报复，对举报属实和严格遵守《阳光合作协议》的合作方，在同等条件下给予后续合作的优先权。</w:t>
      </w:r>
    </w:p>
    <w:p>
      <w:pPr>
        <w:widowControl/>
        <w:numPr>
          <w:ilvl w:val="0"/>
          <w:numId w:val="13"/>
        </w:numPr>
        <w:autoSpaceDE/>
        <w:autoSpaceDN/>
        <w:adjustRightInd/>
        <w:spacing w:before="163" w:beforeLines="50" w:after="163" w:afterLines="50" w:line="360" w:lineRule="auto"/>
        <w:ind w:left="0" w:firstLine="422" w:firstLineChars="200"/>
        <w:contextualSpacing/>
        <w:rPr>
          <w:rFonts w:hAnsi="宋体"/>
          <w:b/>
          <w:color w:val="auto"/>
          <w:sz w:val="21"/>
          <w:szCs w:val="21"/>
          <w:highlight w:val="none"/>
        </w:rPr>
      </w:pPr>
      <w:r>
        <w:rPr>
          <w:rFonts w:hint="eastAsia" w:hAnsi="宋体"/>
          <w:b/>
          <w:color w:val="auto"/>
          <w:sz w:val="21"/>
          <w:szCs w:val="21"/>
          <w:highlight w:val="none"/>
        </w:rPr>
        <w:t>乙方责任</w:t>
      </w:r>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1.乙方应保证乙方人员了解甲方有关采购管理通用原则和及本协议的规定，并遵照执行。</w:t>
      </w:r>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2.乙方不得以任何形式给予甲方人员回扣、赠送实物、现金、有价证券、礼券等有价物品或提供旅游等其他可能影响职务行为公正履行的活动（以下统称“财物”）。</w:t>
      </w:r>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3.乙方有责任接受甲方对乙方在合作期间阳光合作管理执行情况的监督，并对甲方相关调查工作主动配合。</w:t>
      </w:r>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4.乙方有义务就甲方人员任何形式的索取或收受财物行为及时向甲方（直接联系人为东莞实业投资控股集团有限公司纪检监察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 xml:space="preserve">5．甲方接受乙方实名或匿名举报，保证为举报者的信息保密，常设举报部门及电话： </w:t>
      </w:r>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举报受理部门：东莞实业投资控股集团有限公司纪检监察部</w:t>
      </w:r>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东实集团举报邮箱：dgsyjjjc@163.com</w:t>
      </w:r>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东实集团举报电话：0769-28822331（周一至周五9:00-12:00和14:00-18:00）</w:t>
      </w:r>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邮寄地址：东莞市东城区八一路1号机关二号大院9号楼204室，东莞实业投资控股集团有限公司纪检监察部收，邮编523000。</w:t>
      </w:r>
    </w:p>
    <w:p>
      <w:pPr>
        <w:widowControl/>
        <w:numPr>
          <w:ilvl w:val="0"/>
          <w:numId w:val="13"/>
        </w:numPr>
        <w:autoSpaceDE/>
        <w:autoSpaceDN/>
        <w:adjustRightInd/>
        <w:spacing w:before="163" w:beforeLines="50" w:after="163" w:afterLines="50" w:line="360" w:lineRule="auto"/>
        <w:ind w:left="0" w:firstLine="422" w:firstLineChars="200"/>
        <w:contextualSpacing/>
        <w:rPr>
          <w:rFonts w:hAnsi="宋体"/>
          <w:b/>
          <w:color w:val="auto"/>
          <w:sz w:val="21"/>
          <w:szCs w:val="21"/>
          <w:highlight w:val="none"/>
        </w:rPr>
      </w:pPr>
      <w:r>
        <w:rPr>
          <w:rFonts w:hint="eastAsia" w:hAnsi="宋体"/>
          <w:b/>
          <w:color w:val="auto"/>
          <w:sz w:val="21"/>
          <w:szCs w:val="21"/>
          <w:highlight w:val="none"/>
        </w:rPr>
        <w:t>其他</w:t>
      </w:r>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1.本协议是原合同的补充协议，与原合同有同等法律效力。</w:t>
      </w:r>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2.本协议一式四份，甲方执贰份，乙方执贰份,具有同等法律效力。</w:t>
      </w:r>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3.本协议经双方签署后生效。</w:t>
      </w:r>
    </w:p>
    <w:p>
      <w:pPr>
        <w:spacing w:before="163" w:beforeLines="50" w:after="163" w:afterLines="50" w:line="360" w:lineRule="auto"/>
        <w:ind w:firstLine="420" w:firstLineChars="200"/>
        <w:contextualSpacing/>
        <w:rPr>
          <w:rFonts w:hAnsi="宋体"/>
          <w:color w:val="auto"/>
          <w:sz w:val="21"/>
          <w:szCs w:val="21"/>
          <w:highlight w:val="none"/>
        </w:rPr>
      </w:pPr>
    </w:p>
    <w:p>
      <w:pPr>
        <w:spacing w:before="163" w:beforeLines="50" w:after="163" w:afterLines="50"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 xml:space="preserve">甲方（盖章）：                            乙方（盖章）： </w:t>
      </w:r>
    </w:p>
    <w:p>
      <w:pPr>
        <w:spacing w:before="163" w:beforeLines="50" w:after="163" w:afterLines="50" w:line="360" w:lineRule="auto"/>
        <w:ind w:firstLine="420" w:firstLineChars="200"/>
        <w:contextualSpacing/>
        <w:rPr>
          <w:rFonts w:hAnsi="宋体"/>
          <w:color w:val="auto"/>
          <w:sz w:val="21"/>
          <w:szCs w:val="21"/>
          <w:highlight w:val="none"/>
        </w:rPr>
      </w:pPr>
    </w:p>
    <w:p>
      <w:pPr>
        <w:spacing w:before="163" w:beforeLines="50" w:after="163" w:afterLines="50"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法定代表人（授权代表）：</w:t>
      </w:r>
      <w:r>
        <w:rPr>
          <w:rFonts w:hint="eastAsia" w:hAnsi="宋体"/>
          <w:color w:val="auto"/>
          <w:sz w:val="21"/>
          <w:szCs w:val="21"/>
          <w:highlight w:val="none"/>
        </w:rPr>
        <w:tab/>
      </w:r>
      <w:r>
        <w:rPr>
          <w:rFonts w:hint="eastAsia" w:hAnsi="宋体"/>
          <w:color w:val="auto"/>
          <w:sz w:val="21"/>
          <w:szCs w:val="21"/>
          <w:highlight w:val="none"/>
        </w:rPr>
        <w:tab/>
      </w:r>
      <w:r>
        <w:rPr>
          <w:rFonts w:hint="eastAsia" w:hAnsi="宋体"/>
          <w:color w:val="auto"/>
          <w:sz w:val="21"/>
          <w:szCs w:val="21"/>
          <w:highlight w:val="none"/>
        </w:rPr>
        <w:t xml:space="preserve">     法定代表人（授权代表）：</w:t>
      </w:r>
    </w:p>
    <w:p>
      <w:pPr>
        <w:spacing w:before="163" w:beforeLines="50" w:after="163" w:afterLines="50" w:line="360" w:lineRule="auto"/>
        <w:ind w:firstLine="420" w:firstLineChars="200"/>
        <w:contextualSpacing/>
        <w:rPr>
          <w:rFonts w:hAnsi="宋体"/>
          <w:color w:val="auto"/>
          <w:sz w:val="21"/>
          <w:szCs w:val="21"/>
          <w:highlight w:val="none"/>
        </w:rPr>
      </w:pPr>
    </w:p>
    <w:p>
      <w:pPr>
        <w:spacing w:before="163" w:beforeLines="50" w:after="163" w:afterLines="50"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签约日期：   年   月   日</w:t>
      </w:r>
      <w:bookmarkStart w:id="169" w:name="现场签证通知单"/>
      <w:bookmarkEnd w:id="169"/>
      <w:bookmarkStart w:id="170" w:name="设计变更通知单"/>
      <w:bookmarkEnd w:id="170"/>
      <w:r>
        <w:rPr>
          <w:rFonts w:hint="eastAsia" w:hAnsi="宋体"/>
          <w:color w:val="auto"/>
          <w:sz w:val="21"/>
          <w:szCs w:val="21"/>
          <w:highlight w:val="none"/>
        </w:rPr>
        <w:tab/>
      </w:r>
      <w:r>
        <w:rPr>
          <w:rFonts w:hint="eastAsia" w:hAnsi="宋体"/>
          <w:color w:val="auto"/>
          <w:sz w:val="21"/>
          <w:szCs w:val="21"/>
          <w:highlight w:val="none"/>
        </w:rPr>
        <w:t xml:space="preserve">            签约日期：   年   月   日</w:t>
      </w:r>
    </w:p>
    <w:p>
      <w:pPr>
        <w:widowControl/>
        <w:rPr>
          <w:rFonts w:asciiTheme="minorEastAsia" w:hAnsiTheme="minorEastAsia" w:eastAsiaTheme="minorEastAsia"/>
          <w:color w:val="auto"/>
          <w:spacing w:val="20"/>
          <w:sz w:val="22"/>
          <w:highlight w:val="none"/>
        </w:rPr>
      </w:pPr>
    </w:p>
    <w:p>
      <w:pPr>
        <w:pStyle w:val="3"/>
        <w:keepNext/>
        <w:keepLines/>
        <w:pageBreakBefore/>
        <w:spacing w:line="360" w:lineRule="auto"/>
        <w:jc w:val="center"/>
        <w:rPr>
          <w:rFonts w:hAnsi="宋体"/>
          <w:b/>
          <w:bCs/>
          <w:color w:val="auto"/>
          <w:kern w:val="44"/>
          <w:sz w:val="28"/>
          <w:szCs w:val="28"/>
          <w:highlight w:val="none"/>
          <w:lang w:val="zh-CN"/>
        </w:rPr>
      </w:pPr>
      <w:bookmarkStart w:id="171" w:name="_Toc396137242"/>
      <w:bookmarkStart w:id="172" w:name="_Toc8470"/>
      <w:r>
        <w:rPr>
          <w:rFonts w:hint="eastAsia" w:hAnsi="宋体"/>
          <w:b/>
          <w:bCs/>
          <w:color w:val="auto"/>
          <w:kern w:val="44"/>
          <w:sz w:val="28"/>
          <w:szCs w:val="28"/>
          <w:highlight w:val="none"/>
          <w:lang w:val="zh-CN"/>
        </w:rPr>
        <w:t>第六篇磋商响应文件格式</w:t>
      </w:r>
      <w:bookmarkEnd w:id="171"/>
      <w:bookmarkEnd w:id="172"/>
    </w:p>
    <w:p>
      <w:pPr>
        <w:ind w:firstLine="1800" w:firstLineChars="750"/>
        <w:rPr>
          <w:rFonts w:hAnsi="宋体"/>
          <w:color w:val="auto"/>
          <w:highlight w:val="none"/>
        </w:rPr>
      </w:pPr>
    </w:p>
    <w:p>
      <w:pPr>
        <w:pStyle w:val="2"/>
        <w:jc w:val="center"/>
        <w:rPr>
          <w:color w:val="auto"/>
          <w:sz w:val="28"/>
          <w:szCs w:val="28"/>
          <w:highlight w:val="none"/>
        </w:rPr>
      </w:pPr>
      <w:bookmarkStart w:id="173" w:name="_Toc19311"/>
      <w:bookmarkStart w:id="174" w:name="_Toc9566"/>
      <w:r>
        <w:rPr>
          <w:rFonts w:hint="eastAsia"/>
          <w:color w:val="auto"/>
          <w:sz w:val="28"/>
          <w:szCs w:val="28"/>
          <w:highlight w:val="none"/>
        </w:rPr>
        <w:t>第一部分 价格文件（单独编制装订成册）</w:t>
      </w:r>
      <w:bookmarkEnd w:id="173"/>
      <w:bookmarkEnd w:id="174"/>
    </w:p>
    <w:p>
      <w:pPr>
        <w:ind w:firstLine="1800" w:firstLineChars="750"/>
        <w:rPr>
          <w:rFonts w:hAnsi="宋体"/>
          <w:color w:val="auto"/>
          <w:highlight w:val="none"/>
        </w:rPr>
      </w:pPr>
    </w:p>
    <w:p>
      <w:pPr>
        <w:pStyle w:val="2"/>
        <w:numPr>
          <w:ilvl w:val="0"/>
          <w:numId w:val="14"/>
        </w:numPr>
        <w:jc w:val="center"/>
        <w:rPr>
          <w:color w:val="auto"/>
          <w:sz w:val="28"/>
          <w:szCs w:val="28"/>
          <w:highlight w:val="none"/>
        </w:rPr>
      </w:pPr>
      <w:bookmarkStart w:id="175" w:name="_Toc7897888"/>
      <w:bookmarkStart w:id="176" w:name="_Toc12373"/>
      <w:bookmarkStart w:id="177" w:name="_Toc20730"/>
      <w:bookmarkStart w:id="178" w:name="_Toc467236769"/>
      <w:bookmarkStart w:id="179" w:name="_Toc454701406"/>
      <w:bookmarkStart w:id="180" w:name="_Toc486671573"/>
      <w:bookmarkStart w:id="181" w:name="_Toc476976201"/>
      <w:bookmarkStart w:id="182" w:name="_Toc458262639"/>
      <w:bookmarkStart w:id="183" w:name="_Toc15960"/>
      <w:bookmarkStart w:id="184" w:name="_Toc32273"/>
      <w:bookmarkStart w:id="185" w:name="_Toc32405"/>
      <w:bookmarkStart w:id="186" w:name="_Toc396137244"/>
      <w:bookmarkStart w:id="187" w:name="_Toc2544"/>
      <w:bookmarkStart w:id="188" w:name="_Toc12383"/>
      <w:bookmarkStart w:id="189" w:name="_Toc9348"/>
      <w:bookmarkStart w:id="190" w:name="_Toc30637"/>
      <w:bookmarkStart w:id="191" w:name="_Toc32736"/>
      <w:bookmarkStart w:id="192" w:name="_Toc18848"/>
      <w:bookmarkStart w:id="193" w:name="_Toc28095"/>
      <w:bookmarkStart w:id="194" w:name="_Toc19671"/>
      <w:bookmarkStart w:id="195" w:name="_Toc29841"/>
      <w:r>
        <w:rPr>
          <w:rFonts w:hint="eastAsia"/>
          <w:color w:val="auto"/>
          <w:sz w:val="28"/>
          <w:szCs w:val="28"/>
          <w:highlight w:val="none"/>
        </w:rPr>
        <w:t>报价一览表</w:t>
      </w:r>
      <w:bookmarkEnd w:id="175"/>
      <w:bookmarkEnd w:id="176"/>
      <w:bookmarkEnd w:id="177"/>
    </w:p>
    <w:p>
      <w:pPr>
        <w:pStyle w:val="12"/>
        <w:ind w:firstLine="400"/>
        <w:rPr>
          <w:rFonts w:hAnsi="宋体"/>
          <w:color w:val="auto"/>
          <w:highlight w:val="none"/>
        </w:rPr>
      </w:pPr>
    </w:p>
    <w:p>
      <w:pPr>
        <w:overflowPunct w:val="0"/>
        <w:spacing w:line="460" w:lineRule="exact"/>
        <w:jc w:val="right"/>
        <w:rPr>
          <w:rFonts w:hAnsi="宋体"/>
          <w:color w:val="auto"/>
          <w:highlight w:val="none"/>
        </w:rPr>
      </w:pPr>
      <w:r>
        <w:rPr>
          <w:rFonts w:hint="eastAsia" w:hAnsi="宋体"/>
          <w:color w:val="auto"/>
          <w:highlight w:val="none"/>
        </w:rPr>
        <w:t>单位：元/（人民币）</w:t>
      </w:r>
    </w:p>
    <w:tbl>
      <w:tblPr>
        <w:tblStyle w:val="51"/>
        <w:tblW w:w="8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4"/>
        <w:gridCol w:w="2138"/>
        <w:gridCol w:w="2811"/>
        <w:gridCol w:w="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jc w:val="center"/>
        </w:trPr>
        <w:tc>
          <w:tcPr>
            <w:tcW w:w="1884" w:type="dxa"/>
            <w:shd w:val="clear" w:color="auto" w:fill="auto"/>
            <w:vAlign w:val="center"/>
          </w:tcPr>
          <w:p>
            <w:pPr>
              <w:jc w:val="center"/>
              <w:rPr>
                <w:rFonts w:hAnsi="宋体"/>
                <w:color w:val="auto"/>
                <w:sz w:val="21"/>
                <w:szCs w:val="21"/>
                <w:highlight w:val="none"/>
              </w:rPr>
            </w:pPr>
            <w:r>
              <w:rPr>
                <w:rFonts w:hint="eastAsia" w:hAnsi="宋体"/>
                <w:color w:val="auto"/>
                <w:sz w:val="21"/>
                <w:szCs w:val="21"/>
                <w:highlight w:val="none"/>
              </w:rPr>
              <w:t>招标编号</w:t>
            </w:r>
          </w:p>
        </w:tc>
        <w:tc>
          <w:tcPr>
            <w:tcW w:w="2138" w:type="dxa"/>
            <w:shd w:val="clear" w:color="auto" w:fill="auto"/>
            <w:vAlign w:val="center"/>
          </w:tcPr>
          <w:p>
            <w:pPr>
              <w:jc w:val="center"/>
              <w:rPr>
                <w:rFonts w:hAnsi="宋体"/>
                <w:color w:val="auto"/>
                <w:sz w:val="21"/>
                <w:szCs w:val="21"/>
                <w:highlight w:val="none"/>
              </w:rPr>
            </w:pPr>
            <w:r>
              <w:rPr>
                <w:rFonts w:hint="eastAsia" w:hAnsi="宋体"/>
                <w:color w:val="auto"/>
                <w:sz w:val="21"/>
                <w:szCs w:val="21"/>
                <w:highlight w:val="none"/>
              </w:rPr>
              <w:t>项目名称</w:t>
            </w:r>
          </w:p>
        </w:tc>
        <w:tc>
          <w:tcPr>
            <w:tcW w:w="2811" w:type="dxa"/>
            <w:shd w:val="clear" w:color="auto" w:fill="auto"/>
            <w:vAlign w:val="center"/>
          </w:tcPr>
          <w:p>
            <w:pPr>
              <w:jc w:val="center"/>
              <w:rPr>
                <w:rFonts w:hAnsi="宋体"/>
                <w:bCs/>
                <w:color w:val="auto"/>
                <w:kern w:val="2"/>
                <w:sz w:val="21"/>
                <w:szCs w:val="21"/>
                <w:highlight w:val="none"/>
                <w:lang w:bidi="ar"/>
              </w:rPr>
            </w:pPr>
            <w:r>
              <w:rPr>
                <w:rFonts w:hint="eastAsia" w:hAnsi="宋体"/>
                <w:bCs/>
                <w:color w:val="auto"/>
                <w:kern w:val="2"/>
                <w:sz w:val="21"/>
                <w:szCs w:val="21"/>
                <w:highlight w:val="none"/>
                <w:lang w:bidi="ar"/>
              </w:rPr>
              <w:t>总报价（含税）</w:t>
            </w:r>
          </w:p>
        </w:tc>
        <w:tc>
          <w:tcPr>
            <w:tcW w:w="1563" w:type="dxa"/>
            <w:shd w:val="clear" w:color="auto" w:fill="auto"/>
            <w:vAlign w:val="center"/>
          </w:tcPr>
          <w:p>
            <w:pPr>
              <w:jc w:val="center"/>
              <w:rPr>
                <w:rFonts w:hAnsi="宋体"/>
                <w:bCs/>
                <w:color w:val="auto"/>
                <w:kern w:val="2"/>
                <w:sz w:val="21"/>
                <w:szCs w:val="21"/>
                <w:highlight w:val="none"/>
                <w:lang w:bidi="ar"/>
              </w:rPr>
            </w:pPr>
            <w:r>
              <w:rPr>
                <w:rFonts w:hint="eastAsia" w:hAnsi="宋体"/>
                <w:bCs/>
                <w:color w:val="auto"/>
                <w:kern w:val="2"/>
                <w:sz w:val="21"/>
                <w:szCs w:val="21"/>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exact"/>
          <w:jc w:val="center"/>
        </w:trPr>
        <w:tc>
          <w:tcPr>
            <w:tcW w:w="1884" w:type="dxa"/>
            <w:shd w:val="clear" w:color="auto" w:fill="auto"/>
            <w:vAlign w:val="center"/>
          </w:tcPr>
          <w:p>
            <w:pPr>
              <w:jc w:val="center"/>
              <w:rPr>
                <w:rFonts w:hAnsi="宋体"/>
                <w:color w:val="auto"/>
                <w:sz w:val="21"/>
                <w:szCs w:val="21"/>
                <w:highlight w:val="none"/>
              </w:rPr>
            </w:pPr>
          </w:p>
        </w:tc>
        <w:tc>
          <w:tcPr>
            <w:tcW w:w="2138" w:type="dxa"/>
            <w:shd w:val="clear" w:color="auto" w:fill="auto"/>
            <w:vAlign w:val="center"/>
          </w:tcPr>
          <w:p>
            <w:pPr>
              <w:spacing w:line="240" w:lineRule="atLeast"/>
              <w:jc w:val="center"/>
              <w:rPr>
                <w:rFonts w:hAnsi="宋体"/>
                <w:color w:val="auto"/>
                <w:sz w:val="21"/>
                <w:szCs w:val="21"/>
                <w:highlight w:val="none"/>
              </w:rPr>
            </w:pPr>
          </w:p>
        </w:tc>
        <w:tc>
          <w:tcPr>
            <w:tcW w:w="2811" w:type="dxa"/>
            <w:shd w:val="clear" w:color="auto" w:fill="auto"/>
            <w:vAlign w:val="center"/>
          </w:tcPr>
          <w:p>
            <w:pPr>
              <w:rPr>
                <w:rFonts w:hAnsi="宋体"/>
                <w:color w:val="auto"/>
                <w:sz w:val="21"/>
                <w:szCs w:val="21"/>
                <w:highlight w:val="none"/>
              </w:rPr>
            </w:pPr>
            <w:r>
              <w:rPr>
                <w:rFonts w:hint="eastAsia" w:hAnsi="宋体"/>
                <w:color w:val="auto"/>
                <w:sz w:val="21"/>
                <w:szCs w:val="21"/>
                <w:highlight w:val="none"/>
              </w:rPr>
              <w:t>大写：</w:t>
            </w:r>
          </w:p>
          <w:p>
            <w:pPr>
              <w:pStyle w:val="61"/>
              <w:rPr>
                <w:color w:val="auto"/>
                <w:highlight w:val="none"/>
              </w:rPr>
            </w:pPr>
          </w:p>
          <w:p>
            <w:pPr>
              <w:rPr>
                <w:rFonts w:hAnsi="宋体"/>
                <w:color w:val="auto"/>
                <w:sz w:val="21"/>
                <w:szCs w:val="21"/>
                <w:highlight w:val="none"/>
              </w:rPr>
            </w:pPr>
            <w:r>
              <w:rPr>
                <w:rFonts w:hint="eastAsia" w:hAnsi="宋体"/>
                <w:color w:val="auto"/>
                <w:sz w:val="21"/>
                <w:szCs w:val="21"/>
                <w:highlight w:val="none"/>
              </w:rPr>
              <w:t xml:space="preserve">小写： </w:t>
            </w:r>
          </w:p>
        </w:tc>
        <w:tc>
          <w:tcPr>
            <w:tcW w:w="1563" w:type="dxa"/>
            <w:shd w:val="clear" w:color="auto" w:fill="auto"/>
            <w:vAlign w:val="center"/>
          </w:tcPr>
          <w:p>
            <w:pPr>
              <w:jc w:val="center"/>
              <w:rPr>
                <w:rFonts w:hAnsi="宋体"/>
                <w:color w:val="auto"/>
                <w:sz w:val="21"/>
                <w:szCs w:val="21"/>
                <w:highlight w:val="none"/>
              </w:rPr>
            </w:pPr>
            <w:r>
              <w:rPr>
                <w:rFonts w:hAnsi="宋体"/>
                <w:color w:val="auto"/>
                <w:sz w:val="21"/>
                <w:szCs w:val="21"/>
                <w:highlight w:val="none"/>
              </w:rPr>
              <w:t>税率</w:t>
            </w:r>
            <w:r>
              <w:rPr>
                <w:rFonts w:hint="eastAsia" w:hAnsi="宋体"/>
                <w:color w:val="auto"/>
                <w:sz w:val="21"/>
                <w:szCs w:val="21"/>
                <w:highlight w:val="none"/>
                <w:u w:val="single"/>
              </w:rPr>
              <w:t xml:space="preserve">   </w:t>
            </w:r>
            <w:r>
              <w:rPr>
                <w:rFonts w:hint="eastAsia" w:hAnsi="宋体"/>
                <w:color w:val="auto"/>
                <w:sz w:val="21"/>
                <w:szCs w:val="21"/>
                <w:highlight w:val="none"/>
              </w:rPr>
              <w:t>%</w:t>
            </w:r>
          </w:p>
          <w:p>
            <w:pPr>
              <w:pStyle w:val="2"/>
              <w:rPr>
                <w:color w:val="auto"/>
                <w:highlight w:val="none"/>
              </w:rPr>
            </w:pPr>
            <w:r>
              <w:rPr>
                <w:rFonts w:hint="eastAsia"/>
                <w:color w:val="auto"/>
                <w:highlight w:val="none"/>
              </w:rPr>
              <w:t>（必填）</w:t>
            </w:r>
          </w:p>
        </w:tc>
      </w:tr>
    </w:tbl>
    <w:p>
      <w:pPr>
        <w:overflowPunct w:val="0"/>
        <w:spacing w:line="460" w:lineRule="exact"/>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pStyle w:val="137"/>
        <w:spacing w:line="460" w:lineRule="exact"/>
        <w:ind w:firstLine="1583" w:firstLineChars="754"/>
        <w:rPr>
          <w:rFonts w:ascii="宋体" w:eastAsia="宋体"/>
          <w:color w:val="auto"/>
          <w:sz w:val="21"/>
          <w:szCs w:val="21"/>
          <w:highlight w:val="none"/>
        </w:rPr>
      </w:pPr>
    </w:p>
    <w:p>
      <w:pPr>
        <w:pStyle w:val="12"/>
        <w:spacing w:line="360" w:lineRule="auto"/>
        <w:rPr>
          <w:color w:val="auto"/>
          <w:sz w:val="22"/>
          <w:szCs w:val="22"/>
          <w:highlight w:val="none"/>
        </w:rPr>
      </w:pPr>
      <w:r>
        <w:rPr>
          <w:rFonts w:hint="eastAsia"/>
          <w:color w:val="auto"/>
          <w:sz w:val="21"/>
          <w:szCs w:val="21"/>
          <w:highlight w:val="none"/>
        </w:rPr>
        <w:t>注：磋商总价栏须用文字和数字两种方式表示的磋商总价。磋商总价大小写不一致，以大写为准。磋商总价必须准确唯一且应包含完成本项目的所有费用</w:t>
      </w:r>
      <w:bookmarkEnd w:id="178"/>
      <w:bookmarkEnd w:id="179"/>
      <w:bookmarkEnd w:id="180"/>
      <w:bookmarkEnd w:id="181"/>
      <w:bookmarkEnd w:id="182"/>
      <w:r>
        <w:rPr>
          <w:rFonts w:hint="eastAsia"/>
          <w:color w:val="auto"/>
          <w:sz w:val="21"/>
          <w:szCs w:val="21"/>
          <w:highlight w:val="none"/>
        </w:rPr>
        <w:t>。</w:t>
      </w:r>
    </w:p>
    <w:p>
      <w:pPr>
        <w:rPr>
          <w:color w:val="auto"/>
          <w:highlight w:val="none"/>
        </w:rPr>
      </w:pPr>
    </w:p>
    <w:p>
      <w:pPr>
        <w:rPr>
          <w:color w:val="auto"/>
          <w:highlight w:val="none"/>
        </w:rPr>
      </w:pPr>
    </w:p>
    <w:p>
      <w:pPr>
        <w:widowControl/>
        <w:autoSpaceDE/>
        <w:autoSpaceDN/>
        <w:adjustRightInd/>
        <w:rPr>
          <w:color w:val="auto"/>
          <w:highlight w:val="none"/>
        </w:rPr>
      </w:pPr>
      <w:r>
        <w:rPr>
          <w:color w:val="auto"/>
          <w:highlight w:val="none"/>
        </w:rPr>
        <w:br w:type="page"/>
      </w:r>
    </w:p>
    <w:p>
      <w:pPr>
        <w:rPr>
          <w:color w:val="auto"/>
          <w:highlight w:val="none"/>
        </w:rPr>
      </w:pPr>
    </w:p>
    <w:p>
      <w:pPr>
        <w:pStyle w:val="2"/>
        <w:numPr>
          <w:ilvl w:val="0"/>
          <w:numId w:val="14"/>
        </w:numPr>
        <w:jc w:val="center"/>
        <w:rPr>
          <w:color w:val="auto"/>
          <w:sz w:val="28"/>
          <w:szCs w:val="28"/>
          <w:highlight w:val="none"/>
        </w:rPr>
      </w:pPr>
      <w:r>
        <w:rPr>
          <w:rFonts w:hint="eastAsia"/>
          <w:color w:val="auto"/>
          <w:sz w:val="28"/>
          <w:szCs w:val="28"/>
          <w:highlight w:val="none"/>
        </w:rPr>
        <w:t>工程报价清单</w:t>
      </w:r>
    </w:p>
    <w:p>
      <w:pPr>
        <w:pStyle w:val="61"/>
        <w:rPr>
          <w:rFonts w:hAnsi="宋体"/>
          <w:color w:val="auto"/>
          <w:sz w:val="21"/>
          <w:szCs w:val="21"/>
          <w:highlight w:val="none"/>
        </w:rPr>
      </w:pP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说明：</w:t>
      </w:r>
    </w:p>
    <w:p>
      <w:pPr>
        <w:numPr>
          <w:ilvl w:val="0"/>
          <w:numId w:val="15"/>
        </w:numPr>
        <w:spacing w:line="360" w:lineRule="auto"/>
        <w:ind w:firstLine="422" w:firstLineChars="200"/>
        <w:rPr>
          <w:rFonts w:hAnsi="宋体"/>
          <w:b/>
          <w:bCs/>
          <w:color w:val="auto"/>
          <w:sz w:val="21"/>
          <w:szCs w:val="21"/>
          <w:highlight w:val="none"/>
        </w:rPr>
      </w:pPr>
      <w:r>
        <w:rPr>
          <w:rFonts w:hint="eastAsia" w:hAnsi="宋体"/>
          <w:b/>
          <w:bCs/>
          <w:color w:val="auto"/>
          <w:sz w:val="21"/>
          <w:szCs w:val="21"/>
          <w:highlight w:val="none"/>
        </w:rPr>
        <w:t>工程报价清单</w:t>
      </w:r>
      <w:r>
        <w:rPr>
          <w:rFonts w:hint="eastAsia" w:hAnsi="宋体"/>
          <w:b/>
          <w:bCs/>
          <w:color w:val="auto"/>
          <w:spacing w:val="6"/>
          <w:sz w:val="21"/>
          <w:szCs w:val="21"/>
          <w:highlight w:val="none"/>
        </w:rPr>
        <w:t>必须使用采购人发出的</w:t>
      </w:r>
      <w:r>
        <w:rPr>
          <w:rFonts w:hint="eastAsia" w:hAnsi="宋体"/>
          <w:b/>
          <w:bCs/>
          <w:color w:val="auto"/>
          <w:sz w:val="21"/>
          <w:szCs w:val="21"/>
          <w:highlight w:val="none"/>
        </w:rPr>
        <w:t>工程量清单，不得擅自删除或增加。</w:t>
      </w:r>
    </w:p>
    <w:p>
      <w:pPr>
        <w:numPr>
          <w:ilvl w:val="0"/>
          <w:numId w:val="15"/>
        </w:numPr>
        <w:spacing w:line="360" w:lineRule="auto"/>
        <w:ind w:firstLine="422" w:firstLineChars="200"/>
        <w:rPr>
          <w:rFonts w:hAnsi="宋体"/>
          <w:color w:val="auto"/>
          <w:sz w:val="21"/>
          <w:szCs w:val="21"/>
          <w:highlight w:val="none"/>
        </w:rPr>
      </w:pPr>
      <w:r>
        <w:rPr>
          <w:rFonts w:hint="eastAsia" w:hAnsi="宋体"/>
          <w:b/>
          <w:bCs/>
          <w:color w:val="auto"/>
          <w:sz w:val="21"/>
          <w:szCs w:val="21"/>
          <w:highlight w:val="none"/>
        </w:rPr>
        <w:t>综合单价包图纸深化设计、包报装、包验收通电、包工包料、包机械设备、包工期、包质量、包安全、包税收，以及包括项目的服务及其他附属服务的服务费用、相关人员工资、一切税费、保险费、仓储费、税费、资料等履约过程可预见和不可预见的一切费用，且在合同执行过程中不作任何调整。</w:t>
      </w:r>
    </w:p>
    <w:p>
      <w:pPr>
        <w:numPr>
          <w:ilvl w:val="0"/>
          <w:numId w:val="15"/>
        </w:numPr>
        <w:spacing w:line="360" w:lineRule="auto"/>
        <w:ind w:firstLine="420" w:firstLineChars="200"/>
        <w:rPr>
          <w:rFonts w:hAnsi="宋体"/>
          <w:color w:val="auto"/>
          <w:sz w:val="21"/>
          <w:szCs w:val="21"/>
          <w:highlight w:val="none"/>
        </w:rPr>
      </w:pPr>
      <w:r>
        <w:rPr>
          <w:rFonts w:hint="eastAsia" w:hAnsi="宋体"/>
          <w:color w:val="auto"/>
          <w:sz w:val="21"/>
          <w:szCs w:val="21"/>
          <w:highlight w:val="none"/>
        </w:rPr>
        <w:t>总价金额与清单算术总额不一致的，以总价金额为准。</w:t>
      </w:r>
    </w:p>
    <w:p>
      <w:pPr>
        <w:numPr>
          <w:ilvl w:val="0"/>
          <w:numId w:val="15"/>
        </w:numPr>
        <w:spacing w:line="360" w:lineRule="auto"/>
        <w:ind w:firstLine="420" w:firstLineChars="200"/>
        <w:rPr>
          <w:rFonts w:hAnsi="宋体"/>
          <w:color w:val="auto"/>
          <w:sz w:val="21"/>
          <w:szCs w:val="21"/>
          <w:highlight w:val="none"/>
        </w:rPr>
      </w:pPr>
      <w:r>
        <w:rPr>
          <w:rFonts w:hint="eastAsia" w:hAnsi="宋体"/>
          <w:color w:val="auto"/>
          <w:sz w:val="21"/>
          <w:szCs w:val="21"/>
          <w:highlight w:val="none"/>
        </w:rPr>
        <w:t>工程报价清单须每页加盖供应商公章。</w:t>
      </w:r>
    </w:p>
    <w:p>
      <w:pPr>
        <w:rPr>
          <w:color w:val="auto"/>
          <w:highlight w:val="none"/>
        </w:rPr>
      </w:pPr>
    </w:p>
    <w:p>
      <w:pPr>
        <w:rPr>
          <w:color w:val="auto"/>
          <w:highlight w:val="none"/>
        </w:rPr>
      </w:pPr>
    </w:p>
    <w:bookmarkEnd w:id="183"/>
    <w:bookmarkEnd w:id="184"/>
    <w:bookmarkEnd w:id="185"/>
    <w:bookmarkEnd w:id="186"/>
    <w:bookmarkEnd w:id="187"/>
    <w:bookmarkEnd w:id="188"/>
    <w:bookmarkEnd w:id="189"/>
    <w:bookmarkEnd w:id="190"/>
    <w:bookmarkEnd w:id="191"/>
    <w:bookmarkEnd w:id="192"/>
    <w:bookmarkEnd w:id="193"/>
    <w:bookmarkEnd w:id="194"/>
    <w:bookmarkEnd w:id="195"/>
    <w:p>
      <w:pPr>
        <w:pStyle w:val="2"/>
        <w:pageBreakBefore/>
        <w:spacing w:line="360" w:lineRule="auto"/>
        <w:jc w:val="center"/>
        <w:rPr>
          <w:bCs/>
          <w:color w:val="auto"/>
          <w:sz w:val="28"/>
          <w:szCs w:val="28"/>
          <w:highlight w:val="none"/>
        </w:rPr>
      </w:pPr>
      <w:bookmarkStart w:id="196" w:name="_Toc18450"/>
      <w:bookmarkStart w:id="197" w:name="_Toc12158"/>
      <w:bookmarkStart w:id="198" w:name="_Toc454701405"/>
      <w:bookmarkStart w:id="199" w:name="_Toc7897890"/>
      <w:bookmarkStart w:id="200" w:name="_Toc458262638"/>
      <w:bookmarkStart w:id="201" w:name="_Toc486671572"/>
      <w:bookmarkStart w:id="202" w:name="_Toc27849"/>
      <w:bookmarkStart w:id="203" w:name="_Toc467236768"/>
      <w:bookmarkStart w:id="204" w:name="_Toc476976200"/>
      <w:bookmarkStart w:id="205" w:name="_Toc110953866"/>
      <w:bookmarkStart w:id="206" w:name="_Toc479991616"/>
      <w:bookmarkStart w:id="207" w:name="_Toc468606064"/>
      <w:bookmarkStart w:id="208" w:name="_Toc468157569"/>
      <w:bookmarkStart w:id="209" w:name="_Toc480010742"/>
      <w:bookmarkStart w:id="210" w:name="_Toc480020289"/>
      <w:bookmarkStart w:id="211" w:name="_Toc480021085"/>
      <w:bookmarkStart w:id="212" w:name="_Toc467987856"/>
      <w:r>
        <w:rPr>
          <w:rFonts w:hint="eastAsia"/>
          <w:bCs/>
          <w:color w:val="auto"/>
          <w:sz w:val="28"/>
          <w:szCs w:val="28"/>
          <w:highlight w:val="none"/>
        </w:rPr>
        <w:t>第二部分  商务文件</w:t>
      </w:r>
      <w:bookmarkEnd w:id="196"/>
      <w:bookmarkEnd w:id="197"/>
      <w:bookmarkStart w:id="213" w:name="_Hlt10456397"/>
      <w:bookmarkEnd w:id="213"/>
      <w:bookmarkStart w:id="214" w:name="_Hlt10519799"/>
      <w:bookmarkEnd w:id="214"/>
    </w:p>
    <w:p>
      <w:pPr>
        <w:rPr>
          <w:color w:val="auto"/>
          <w:highlight w:val="none"/>
        </w:rPr>
      </w:pPr>
    </w:p>
    <w:p>
      <w:pPr>
        <w:pStyle w:val="2"/>
        <w:numPr>
          <w:ilvl w:val="0"/>
          <w:numId w:val="16"/>
        </w:numPr>
        <w:jc w:val="center"/>
        <w:rPr>
          <w:b w:val="0"/>
          <w:color w:val="auto"/>
          <w:sz w:val="28"/>
          <w:szCs w:val="28"/>
          <w:highlight w:val="none"/>
        </w:rPr>
      </w:pPr>
      <w:bookmarkStart w:id="215" w:name="_Toc18728"/>
      <w:r>
        <w:rPr>
          <w:rFonts w:hint="eastAsia"/>
          <w:color w:val="auto"/>
          <w:sz w:val="28"/>
          <w:szCs w:val="28"/>
          <w:highlight w:val="none"/>
        </w:rPr>
        <w:t>响应书</w:t>
      </w:r>
      <w:bookmarkEnd w:id="198"/>
      <w:bookmarkEnd w:id="199"/>
      <w:bookmarkEnd w:id="200"/>
      <w:bookmarkEnd w:id="201"/>
      <w:bookmarkEnd w:id="202"/>
      <w:bookmarkEnd w:id="203"/>
      <w:bookmarkEnd w:id="204"/>
      <w:bookmarkEnd w:id="215"/>
    </w:p>
    <w:p>
      <w:pPr>
        <w:pStyle w:val="30"/>
        <w:autoSpaceDE/>
        <w:autoSpaceDN/>
        <w:adjustRightInd/>
        <w:spacing w:line="480" w:lineRule="exact"/>
        <w:ind w:left="6000"/>
        <w:rPr>
          <w:rFonts w:hAnsi="宋体"/>
          <w:color w:val="auto"/>
          <w:sz w:val="24"/>
          <w:highlight w:val="none"/>
        </w:rPr>
      </w:pPr>
    </w:p>
    <w:p>
      <w:pPr>
        <w:pStyle w:val="30"/>
        <w:autoSpaceDE/>
        <w:autoSpaceDN/>
        <w:adjustRightInd/>
        <w:spacing w:line="480" w:lineRule="exact"/>
        <w:ind w:left="0" w:leftChars="0"/>
        <w:rPr>
          <w:rFonts w:hint="eastAsia" w:hAnsi="宋体" w:eastAsia="宋体"/>
          <w:color w:val="auto"/>
          <w:highlight w:val="none"/>
          <w:lang w:eastAsia="zh-CN"/>
        </w:rPr>
      </w:pPr>
      <w:r>
        <w:rPr>
          <w:rFonts w:hint="eastAsia" w:hAnsi="宋体"/>
          <w:color w:val="auto"/>
          <w:highlight w:val="none"/>
        </w:rPr>
        <w:t>致：</w:t>
      </w:r>
      <w:r>
        <w:rPr>
          <w:rFonts w:hint="eastAsia" w:hAnsi="宋体"/>
          <w:color w:val="auto"/>
          <w:highlight w:val="none"/>
          <w:lang w:eastAsia="zh-CN"/>
        </w:rPr>
        <w:t>广东泰通伟业工程咨询有限公司</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根据贵方（采购编号：）的采购邀请和磋商文件，供应商承诺如下：</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1.签字代表</w:t>
      </w:r>
      <w:r>
        <w:rPr>
          <w:rFonts w:hint="eastAsia" w:hAnsi="宋体"/>
          <w:color w:val="auto"/>
          <w:sz w:val="21"/>
          <w:szCs w:val="21"/>
          <w:highlight w:val="none"/>
          <w:u w:val="single"/>
        </w:rPr>
        <w:t>（姓名、职务）</w:t>
      </w:r>
      <w:r>
        <w:rPr>
          <w:rFonts w:hint="eastAsia" w:hAnsi="宋体"/>
          <w:color w:val="auto"/>
          <w:sz w:val="21"/>
          <w:szCs w:val="21"/>
          <w:highlight w:val="none"/>
        </w:rPr>
        <w:t>经正式授权并代表供应商</w:t>
      </w:r>
      <w:r>
        <w:rPr>
          <w:rFonts w:hint="eastAsia" w:hAnsi="宋体"/>
          <w:color w:val="auto"/>
          <w:sz w:val="21"/>
          <w:szCs w:val="21"/>
          <w:highlight w:val="none"/>
          <w:u w:val="single"/>
        </w:rPr>
        <w:t>（供应商名称、地址）</w:t>
      </w:r>
      <w:r>
        <w:rPr>
          <w:rFonts w:hint="eastAsia" w:hAnsi="宋体"/>
          <w:color w:val="auto"/>
          <w:sz w:val="21"/>
          <w:szCs w:val="21"/>
          <w:highlight w:val="none"/>
        </w:rPr>
        <w:t>提交响应文件正本份和副本份。</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2.供应商愿意参加响应并在成交后按磋商文件规定履行义务。</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3.供应商已详细审查全部磋商文件，包括澄清或修改文件（如有的话）等全部资料。供应商完全理解磋商文件的内容，不存在对磋商文件不明白和误解。</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4.响应文件中所提交的所有资料均是准确的和真实的，否则，我单位愿意放弃成交的权利和接受采购监督管理部门的处罚。</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5.参加本项目采购活动前3年内，在经营活动中没有重大违法记录。</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6.响应有效期为90个日历日，自开启响应文件之日起算。</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7.同意在成交后按照磋商文件的规定缴纳成交服务费。</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8.如果开启响应文件后，在响应有效期内撤回文件的，我单位愿意承担贵单位由此而产生的损失。</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9.供应商同意提供按照贵方可能要求的有关的一切资料，理解贵单位不一定要接受最低价的响应或收到的任何响应。</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1</w:t>
      </w:r>
      <w:r>
        <w:rPr>
          <w:rFonts w:hAnsi="宋体"/>
          <w:color w:val="auto"/>
          <w:sz w:val="21"/>
          <w:szCs w:val="21"/>
          <w:highlight w:val="none"/>
        </w:rPr>
        <w:t>0.</w:t>
      </w:r>
      <w:r>
        <w:rPr>
          <w:rFonts w:hint="eastAsia" w:hAnsi="宋体"/>
          <w:color w:val="auto"/>
          <w:sz w:val="21"/>
          <w:szCs w:val="21"/>
          <w:highlight w:val="none"/>
        </w:rPr>
        <w:t>拟投入本项目的项目经理（项目负责人）未在其他任何在建工程中任职项目负责人。</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1</w:t>
      </w:r>
      <w:r>
        <w:rPr>
          <w:rFonts w:hAnsi="宋体"/>
          <w:color w:val="auto"/>
          <w:sz w:val="21"/>
          <w:szCs w:val="21"/>
          <w:highlight w:val="none"/>
        </w:rPr>
        <w:t>1</w:t>
      </w:r>
      <w:r>
        <w:rPr>
          <w:rFonts w:hint="eastAsia" w:hAnsi="宋体"/>
          <w:color w:val="auto"/>
          <w:sz w:val="21"/>
          <w:szCs w:val="21"/>
          <w:highlight w:val="none"/>
        </w:rPr>
        <w:t>.与本响应有关的一切正式往来通讯请寄：</w:t>
      </w:r>
    </w:p>
    <w:p>
      <w:pPr>
        <w:spacing w:line="480" w:lineRule="exact"/>
        <w:ind w:firstLine="420" w:firstLineChars="200"/>
        <w:rPr>
          <w:rFonts w:hAnsi="宋体"/>
          <w:color w:val="auto"/>
          <w:sz w:val="21"/>
          <w:szCs w:val="21"/>
          <w:highlight w:val="none"/>
        </w:rPr>
      </w:pP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供应商名称：</w:t>
      </w:r>
      <w:r>
        <w:rPr>
          <w:rFonts w:hint="eastAsia" w:hAnsi="宋体"/>
          <w:color w:val="auto"/>
          <w:sz w:val="21"/>
          <w:szCs w:val="21"/>
          <w:highlight w:val="none"/>
          <w:u w:val="single"/>
        </w:rPr>
        <w:t xml:space="preserve">            （盖公章） </w:t>
      </w:r>
    </w:p>
    <w:p>
      <w:pPr>
        <w:spacing w:line="480" w:lineRule="exact"/>
        <w:ind w:firstLine="420" w:firstLineChars="200"/>
        <w:rPr>
          <w:rFonts w:hAnsi="宋体"/>
          <w:color w:val="auto"/>
          <w:sz w:val="21"/>
          <w:szCs w:val="21"/>
          <w:highlight w:val="none"/>
          <w:u w:val="single"/>
        </w:rPr>
      </w:pPr>
      <w:r>
        <w:rPr>
          <w:rFonts w:hint="eastAsia" w:hAnsi="宋体"/>
          <w:color w:val="auto"/>
          <w:sz w:val="21"/>
          <w:szCs w:val="21"/>
          <w:highlight w:val="none"/>
        </w:rPr>
        <w:t>供应商代表姓名、职务（印刷体）：</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供应商联系电话、传真：</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日期：年月日</w:t>
      </w:r>
    </w:p>
    <w:p>
      <w:pPr>
        <w:pStyle w:val="2"/>
        <w:numPr>
          <w:ilvl w:val="0"/>
          <w:numId w:val="16"/>
        </w:numPr>
        <w:jc w:val="center"/>
        <w:rPr>
          <w:bCs/>
          <w:color w:val="auto"/>
          <w:sz w:val="28"/>
          <w:szCs w:val="28"/>
          <w:highlight w:val="none"/>
        </w:rPr>
      </w:pPr>
      <w:r>
        <w:rPr>
          <w:color w:val="auto"/>
          <w:sz w:val="22"/>
          <w:szCs w:val="22"/>
          <w:highlight w:val="none"/>
        </w:rPr>
        <w:br w:type="page"/>
      </w:r>
      <w:bookmarkStart w:id="216" w:name="_Toc10808"/>
      <w:bookmarkStart w:id="217" w:name="_Toc7897891"/>
      <w:bookmarkStart w:id="218" w:name="_Toc31943"/>
      <w:r>
        <w:rPr>
          <w:rFonts w:hint="eastAsia"/>
          <w:bCs/>
          <w:color w:val="auto"/>
          <w:sz w:val="28"/>
          <w:szCs w:val="28"/>
          <w:highlight w:val="none"/>
        </w:rPr>
        <w:t>法定代表人证明书</w:t>
      </w:r>
      <w:bookmarkEnd w:id="216"/>
      <w:bookmarkEnd w:id="217"/>
      <w:bookmarkEnd w:id="218"/>
    </w:p>
    <w:p>
      <w:pPr>
        <w:spacing w:line="420" w:lineRule="atLeast"/>
        <w:rPr>
          <w:rFonts w:hint="eastAsia" w:hAnsi="宋体" w:eastAsia="宋体"/>
          <w:color w:val="auto"/>
          <w:sz w:val="21"/>
          <w:szCs w:val="21"/>
          <w:highlight w:val="none"/>
          <w:lang w:eastAsia="zh-CN"/>
        </w:rPr>
      </w:pPr>
      <w:r>
        <w:rPr>
          <w:rFonts w:hint="eastAsia" w:hAnsi="宋体"/>
          <w:color w:val="auto"/>
          <w:sz w:val="21"/>
          <w:szCs w:val="21"/>
          <w:highlight w:val="none"/>
        </w:rPr>
        <w:t>致：</w:t>
      </w:r>
      <w:r>
        <w:rPr>
          <w:rFonts w:hint="eastAsia" w:hAnsi="宋体"/>
          <w:color w:val="auto"/>
          <w:sz w:val="21"/>
          <w:szCs w:val="21"/>
          <w:highlight w:val="none"/>
          <w:lang w:eastAsia="zh-CN"/>
        </w:rPr>
        <w:t>广东泰通伟业工程咨询有限公司</w:t>
      </w:r>
    </w:p>
    <w:p>
      <w:pPr>
        <w:pStyle w:val="75"/>
        <w:spacing w:line="420" w:lineRule="atLeast"/>
        <w:ind w:firstLine="433"/>
        <w:rPr>
          <w:rFonts w:ascii="宋体" w:eastAsia="宋体"/>
          <w:color w:val="auto"/>
          <w:sz w:val="21"/>
          <w:szCs w:val="21"/>
          <w:highlight w:val="none"/>
        </w:rPr>
      </w:pP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 xml:space="preserve">供应商名称: </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单 位 性质：</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地      址：</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成 立 时间：年月日</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经 营 期限：</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姓名：性别：年龄：职务：</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系（供应商名称）的法定代表人。</w:t>
      </w:r>
    </w:p>
    <w:p>
      <w:pPr>
        <w:spacing w:line="420" w:lineRule="atLeast"/>
        <w:ind w:firstLine="420" w:firstLineChars="200"/>
        <w:rPr>
          <w:rFonts w:hAnsi="宋体"/>
          <w:color w:val="auto"/>
          <w:sz w:val="21"/>
          <w:szCs w:val="21"/>
          <w:highlight w:val="none"/>
        </w:rPr>
      </w:pPr>
      <w:r>
        <w:rPr>
          <w:rFonts w:hint="eastAsia" w:hAnsi="宋体"/>
          <w:color w:val="auto"/>
          <w:sz w:val="21"/>
          <w:szCs w:val="21"/>
          <w:highlight w:val="none"/>
        </w:rPr>
        <w:t>特此证明。</w:t>
      </w:r>
    </w:p>
    <w:p>
      <w:pPr>
        <w:pStyle w:val="75"/>
        <w:spacing w:line="500" w:lineRule="atLeast"/>
        <w:ind w:firstLine="3517" w:firstLineChars="1675"/>
        <w:rPr>
          <w:rFonts w:ascii="宋体" w:eastAsia="宋体"/>
          <w:color w:val="auto"/>
          <w:sz w:val="21"/>
          <w:szCs w:val="21"/>
          <w:highlight w:val="none"/>
        </w:rPr>
      </w:pPr>
    </w:p>
    <w:p>
      <w:pPr>
        <w:pStyle w:val="75"/>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75"/>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75"/>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75"/>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期：年月日</w:t>
      </w:r>
    </w:p>
    <w:p>
      <w:pPr>
        <w:pStyle w:val="75"/>
        <w:spacing w:line="460" w:lineRule="exact"/>
        <w:ind w:firstLine="433"/>
        <w:rPr>
          <w:rFonts w:ascii="宋体" w:eastAsia="宋体"/>
          <w:color w:val="auto"/>
          <w:sz w:val="21"/>
          <w:szCs w:val="21"/>
          <w:highlight w:val="none"/>
        </w:rPr>
      </w:pP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r>
        <w:rPr>
          <w:rFonts w:hint="eastAsia" w:hAnsi="宋体"/>
          <w:b/>
          <w:color w:val="auto"/>
          <w:sz w:val="21"/>
          <w:szCs w:val="21"/>
          <w:highlight w:val="none"/>
        </w:rPr>
        <w:t>须附：法定代表人身份证复印件（加盖公章）</w:t>
      </w:r>
    </w:p>
    <w:p>
      <w:pPr>
        <w:spacing w:line="420" w:lineRule="atLeast"/>
        <w:ind w:firstLine="422" w:firstLineChars="200"/>
        <w:rPr>
          <w:b/>
          <w:color w:val="auto"/>
          <w:sz w:val="21"/>
          <w:szCs w:val="21"/>
          <w:highlight w:val="none"/>
        </w:rPr>
      </w:pPr>
    </w:p>
    <w:tbl>
      <w:tblPr>
        <w:tblStyle w:val="51"/>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2517" w:hRule="atLeast"/>
          <w:jc w:val="center"/>
        </w:trPr>
        <w:tc>
          <w:tcPr>
            <w:tcW w:w="418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正面</w:t>
            </w:r>
          </w:p>
        </w:tc>
        <w:tc>
          <w:tcPr>
            <w:tcW w:w="418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背面</w:t>
            </w:r>
          </w:p>
        </w:tc>
      </w:tr>
    </w:tbl>
    <w:p>
      <w:pPr>
        <w:rPr>
          <w:rFonts w:hAnsi="宋体"/>
          <w:color w:val="auto"/>
          <w:highlight w:val="none"/>
        </w:rPr>
      </w:pPr>
    </w:p>
    <w:p>
      <w:pPr>
        <w:rPr>
          <w:rFonts w:hAnsi="宋体"/>
          <w:color w:val="auto"/>
          <w:sz w:val="28"/>
          <w:szCs w:val="28"/>
          <w:highlight w:val="none"/>
        </w:rPr>
      </w:pPr>
    </w:p>
    <w:p>
      <w:pPr>
        <w:pStyle w:val="2"/>
        <w:numPr>
          <w:ilvl w:val="0"/>
          <w:numId w:val="16"/>
        </w:numPr>
        <w:jc w:val="center"/>
        <w:rPr>
          <w:bCs/>
          <w:color w:val="auto"/>
          <w:sz w:val="28"/>
          <w:szCs w:val="28"/>
          <w:highlight w:val="none"/>
        </w:rPr>
      </w:pPr>
      <w:r>
        <w:rPr>
          <w:rFonts w:hint="eastAsia"/>
          <w:bCs/>
          <w:color w:val="auto"/>
          <w:sz w:val="28"/>
          <w:szCs w:val="28"/>
          <w:highlight w:val="none"/>
        </w:rPr>
        <w:br w:type="page"/>
      </w:r>
      <w:bookmarkStart w:id="219" w:name="_Toc19634"/>
      <w:bookmarkStart w:id="220" w:name="_Toc7897892"/>
      <w:bookmarkStart w:id="221" w:name="_Toc28882"/>
      <w:r>
        <w:rPr>
          <w:rFonts w:hint="eastAsia"/>
          <w:bCs/>
          <w:color w:val="auto"/>
          <w:sz w:val="28"/>
          <w:szCs w:val="28"/>
          <w:highlight w:val="none"/>
        </w:rPr>
        <w:t>授权委托书（加法人证明书）</w:t>
      </w:r>
      <w:bookmarkEnd w:id="219"/>
      <w:bookmarkEnd w:id="220"/>
      <w:bookmarkEnd w:id="221"/>
    </w:p>
    <w:p>
      <w:pPr>
        <w:pStyle w:val="12"/>
        <w:ind w:firstLine="400"/>
        <w:rPr>
          <w:color w:val="auto"/>
          <w:highlight w:val="none"/>
        </w:rPr>
      </w:pPr>
    </w:p>
    <w:p>
      <w:pPr>
        <w:spacing w:line="420" w:lineRule="exact"/>
        <w:rPr>
          <w:rFonts w:hAnsi="宋体"/>
          <w:color w:val="auto"/>
          <w:sz w:val="22"/>
          <w:szCs w:val="22"/>
          <w:highlight w:val="none"/>
        </w:rPr>
      </w:pPr>
    </w:p>
    <w:p>
      <w:pPr>
        <w:spacing w:line="420" w:lineRule="exact"/>
        <w:rPr>
          <w:rFonts w:hint="eastAsia" w:hAnsi="宋体" w:eastAsia="宋体"/>
          <w:color w:val="auto"/>
          <w:sz w:val="21"/>
          <w:szCs w:val="21"/>
          <w:highlight w:val="none"/>
          <w:lang w:eastAsia="zh-CN"/>
        </w:rPr>
      </w:pPr>
      <w:r>
        <w:rPr>
          <w:rFonts w:hint="eastAsia" w:hAnsi="宋体"/>
          <w:color w:val="auto"/>
          <w:sz w:val="21"/>
          <w:szCs w:val="21"/>
          <w:highlight w:val="none"/>
        </w:rPr>
        <w:t>致：</w:t>
      </w:r>
      <w:r>
        <w:rPr>
          <w:rFonts w:hint="eastAsia" w:hAnsi="宋体"/>
          <w:color w:val="auto"/>
          <w:sz w:val="21"/>
          <w:szCs w:val="21"/>
          <w:highlight w:val="none"/>
          <w:lang w:eastAsia="zh-CN"/>
        </w:rPr>
        <w:t>广东泰通伟业工程咨询有限公司</w:t>
      </w:r>
    </w:p>
    <w:p>
      <w:pPr>
        <w:pStyle w:val="75"/>
        <w:spacing w:line="420" w:lineRule="exact"/>
        <w:ind w:firstLine="450" w:firstLineChars="0"/>
        <w:rPr>
          <w:rFonts w:ascii="宋体" w:eastAsia="宋体"/>
          <w:color w:val="auto"/>
          <w:sz w:val="21"/>
          <w:szCs w:val="21"/>
          <w:highlight w:val="none"/>
        </w:rPr>
      </w:pPr>
      <w:r>
        <w:rPr>
          <w:rFonts w:hint="eastAsia" w:ascii="宋体" w:eastAsia="宋体"/>
          <w:color w:val="auto"/>
          <w:sz w:val="21"/>
          <w:szCs w:val="21"/>
          <w:highlight w:val="none"/>
        </w:rPr>
        <w:t>本人</w:t>
      </w:r>
      <w:r>
        <w:rPr>
          <w:rFonts w:hint="eastAsia" w:ascii="宋体" w:eastAsia="宋体"/>
          <w:color w:val="auto"/>
          <w:sz w:val="21"/>
          <w:szCs w:val="21"/>
          <w:highlight w:val="none"/>
          <w:u w:val="single"/>
        </w:rPr>
        <w:t xml:space="preserve">  （姓名） </w:t>
      </w:r>
      <w:r>
        <w:rPr>
          <w:rFonts w:hint="eastAsia" w:ascii="宋体" w:eastAsia="宋体"/>
          <w:color w:val="auto"/>
          <w:sz w:val="21"/>
          <w:szCs w:val="21"/>
          <w:highlight w:val="none"/>
        </w:rPr>
        <w:t>系</w:t>
      </w:r>
      <w:r>
        <w:rPr>
          <w:rFonts w:hint="eastAsia" w:ascii="宋体" w:eastAsia="宋体"/>
          <w:color w:val="auto"/>
          <w:sz w:val="21"/>
          <w:szCs w:val="21"/>
          <w:highlight w:val="none"/>
          <w:u w:val="single"/>
        </w:rPr>
        <w:t xml:space="preserve">     （供应商名称）        </w:t>
      </w:r>
      <w:r>
        <w:rPr>
          <w:rFonts w:hint="eastAsia" w:ascii="宋体" w:eastAsia="宋体"/>
          <w:color w:val="auto"/>
          <w:sz w:val="21"/>
          <w:szCs w:val="21"/>
          <w:highlight w:val="none"/>
        </w:rPr>
        <w:t>的法定代表人，现委托</w:t>
      </w:r>
      <w:r>
        <w:rPr>
          <w:rFonts w:hint="eastAsia" w:ascii="宋体" w:eastAsia="宋体"/>
          <w:color w:val="auto"/>
          <w:sz w:val="21"/>
          <w:szCs w:val="21"/>
          <w:highlight w:val="none"/>
          <w:u w:val="single"/>
        </w:rPr>
        <w:t xml:space="preserve"> （姓名） </w:t>
      </w:r>
      <w:r>
        <w:rPr>
          <w:rFonts w:hint="eastAsia" w:ascii="宋体" w:eastAsia="宋体"/>
          <w:color w:val="auto"/>
          <w:sz w:val="21"/>
          <w:szCs w:val="21"/>
          <w:highlight w:val="none"/>
        </w:rPr>
        <w:t>为我方合法代理人。代理人根据授权，以我方名义签署、澄清、说明、补正、递交、撤回、修改</w:t>
      </w:r>
      <w:r>
        <w:rPr>
          <w:rFonts w:hint="eastAsia" w:ascii="宋体" w:eastAsia="宋体"/>
          <w:color w:val="auto"/>
          <w:sz w:val="21"/>
          <w:szCs w:val="21"/>
          <w:highlight w:val="none"/>
          <w:u w:val="single"/>
        </w:rPr>
        <w:t xml:space="preserve">        （项目名称）        </w:t>
      </w:r>
      <w:r>
        <w:rPr>
          <w:rFonts w:hint="eastAsia" w:ascii="宋体" w:eastAsia="宋体"/>
          <w:color w:val="auto"/>
          <w:sz w:val="21"/>
          <w:szCs w:val="21"/>
          <w:highlight w:val="none"/>
        </w:rPr>
        <w:t>[采购编号：</w:t>
      </w:r>
      <w:r>
        <w:rPr>
          <w:rFonts w:hint="eastAsia" w:ascii="宋体" w:eastAsia="宋体"/>
          <w:color w:val="auto"/>
          <w:sz w:val="21"/>
          <w:szCs w:val="21"/>
          <w:highlight w:val="none"/>
          <w:u w:val="single"/>
        </w:rPr>
        <w:t>　　　　　　　</w:t>
      </w:r>
      <w:r>
        <w:rPr>
          <w:rFonts w:hint="eastAsia" w:ascii="宋体" w:eastAsia="宋体"/>
          <w:color w:val="auto"/>
          <w:sz w:val="21"/>
          <w:szCs w:val="21"/>
          <w:highlight w:val="none"/>
        </w:rPr>
        <w:t>]磋商响应文件、签订合同和处理有关事宜，其法律后果由我方承担。</w:t>
      </w:r>
    </w:p>
    <w:p>
      <w:pPr>
        <w:pStyle w:val="75"/>
        <w:spacing w:line="420" w:lineRule="exact"/>
        <w:ind w:firstLine="428" w:firstLineChars="204"/>
        <w:rPr>
          <w:rFonts w:ascii="宋体" w:eastAsia="宋体"/>
          <w:color w:val="auto"/>
          <w:sz w:val="21"/>
          <w:szCs w:val="21"/>
          <w:highlight w:val="none"/>
        </w:rPr>
      </w:pPr>
      <w:r>
        <w:rPr>
          <w:rFonts w:hint="eastAsia" w:ascii="宋体" w:eastAsia="宋体"/>
          <w:color w:val="auto"/>
          <w:sz w:val="21"/>
          <w:szCs w:val="21"/>
          <w:highlight w:val="none"/>
        </w:rPr>
        <w:t>本委托书于</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年</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月</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日签字生效，特此证明。</w:t>
      </w:r>
    </w:p>
    <w:p>
      <w:pPr>
        <w:pStyle w:val="75"/>
        <w:spacing w:line="420" w:lineRule="exact"/>
        <w:ind w:firstLine="450" w:firstLineChars="0"/>
        <w:rPr>
          <w:rFonts w:ascii="宋体" w:eastAsia="宋体"/>
          <w:color w:val="auto"/>
          <w:sz w:val="21"/>
          <w:szCs w:val="21"/>
          <w:highlight w:val="none"/>
        </w:rPr>
      </w:pPr>
      <w:r>
        <w:rPr>
          <w:rFonts w:hint="eastAsia" w:ascii="宋体" w:eastAsia="宋体"/>
          <w:color w:val="auto"/>
          <w:sz w:val="21"/>
          <w:szCs w:val="21"/>
          <w:highlight w:val="none"/>
        </w:rPr>
        <w:t>代理人无转委托权</w:t>
      </w:r>
    </w:p>
    <w:p>
      <w:pPr>
        <w:pStyle w:val="75"/>
        <w:spacing w:line="420" w:lineRule="exact"/>
        <w:ind w:firstLine="450" w:firstLineChars="0"/>
        <w:rPr>
          <w:rFonts w:ascii="宋体" w:eastAsia="宋体"/>
          <w:color w:val="auto"/>
          <w:sz w:val="21"/>
          <w:szCs w:val="21"/>
          <w:highlight w:val="none"/>
        </w:rPr>
      </w:pPr>
    </w:p>
    <w:p>
      <w:pPr>
        <w:pStyle w:val="75"/>
        <w:spacing w:line="420" w:lineRule="exact"/>
        <w:ind w:firstLine="428" w:firstLineChars="204"/>
        <w:rPr>
          <w:rFonts w:ascii="宋体" w:eastAsia="宋体"/>
          <w:color w:val="auto"/>
          <w:sz w:val="21"/>
          <w:szCs w:val="21"/>
          <w:highlight w:val="none"/>
        </w:rPr>
      </w:pP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身份证号码：</w:t>
      </w:r>
    </w:p>
    <w:p>
      <w:pPr>
        <w:pStyle w:val="75"/>
        <w:spacing w:line="420" w:lineRule="exact"/>
        <w:ind w:firstLine="3517" w:firstLineChars="1675"/>
        <w:rPr>
          <w:rFonts w:ascii="宋体" w:eastAsia="宋体"/>
          <w:color w:val="auto"/>
          <w:sz w:val="21"/>
          <w:szCs w:val="21"/>
          <w:highlight w:val="none"/>
        </w:rPr>
      </w:pP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受托代理人（签名或盖私章）：</w:t>
      </w:r>
    </w:p>
    <w:p>
      <w:pPr>
        <w:pStyle w:val="75"/>
        <w:spacing w:line="420" w:lineRule="exac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75"/>
        <w:spacing w:line="460" w:lineRule="exac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期：年月日</w:t>
      </w: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r>
        <w:rPr>
          <w:rFonts w:hint="eastAsia" w:hAnsi="宋体"/>
          <w:b/>
          <w:color w:val="auto"/>
          <w:sz w:val="21"/>
          <w:szCs w:val="21"/>
          <w:highlight w:val="none"/>
        </w:rPr>
        <w:t>须附：授权代理人身份证复印件（加盖公章）</w:t>
      </w:r>
    </w:p>
    <w:p>
      <w:pPr>
        <w:spacing w:line="420" w:lineRule="atLeast"/>
        <w:ind w:firstLine="420" w:firstLineChars="200"/>
        <w:rPr>
          <w:color w:val="auto"/>
          <w:sz w:val="21"/>
          <w:szCs w:val="21"/>
          <w:highlight w:val="none"/>
        </w:rPr>
      </w:pPr>
    </w:p>
    <w:tbl>
      <w:tblPr>
        <w:tblStyle w:val="51"/>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2661" w:hRule="atLeast"/>
          <w:jc w:val="center"/>
        </w:trPr>
        <w:tc>
          <w:tcPr>
            <w:tcW w:w="423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正面</w:t>
            </w:r>
          </w:p>
        </w:tc>
        <w:tc>
          <w:tcPr>
            <w:tcW w:w="423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背面</w:t>
            </w:r>
          </w:p>
        </w:tc>
      </w:tr>
    </w:tbl>
    <w:p>
      <w:pPr>
        <w:pStyle w:val="12"/>
        <w:ind w:firstLine="482"/>
        <w:rPr>
          <w:b/>
          <w:color w:val="auto"/>
          <w:sz w:val="24"/>
          <w:szCs w:val="24"/>
          <w:highlight w:val="none"/>
        </w:rPr>
      </w:pPr>
    </w:p>
    <w:p>
      <w:pPr>
        <w:tabs>
          <w:tab w:val="left" w:pos="7740"/>
        </w:tabs>
        <w:spacing w:line="360" w:lineRule="auto"/>
        <w:rPr>
          <w:rFonts w:hAnsi="宋体"/>
          <w:color w:val="auto"/>
          <w:sz w:val="21"/>
          <w:szCs w:val="21"/>
          <w:highlight w:val="none"/>
        </w:rPr>
      </w:pPr>
      <w:bookmarkStart w:id="222" w:name="_Toc7897893"/>
      <w:bookmarkStart w:id="223" w:name="_Toc4592"/>
    </w:p>
    <w:p>
      <w:pPr>
        <w:pStyle w:val="12"/>
        <w:ind w:firstLine="0" w:firstLineChars="0"/>
        <w:rPr>
          <w:color w:val="auto"/>
          <w:highlight w:val="none"/>
        </w:rPr>
      </w:pPr>
    </w:p>
    <w:p>
      <w:pPr>
        <w:pStyle w:val="12"/>
        <w:ind w:firstLine="0" w:firstLineChars="0"/>
        <w:rPr>
          <w:color w:val="auto"/>
          <w:highlight w:val="none"/>
        </w:rPr>
      </w:pPr>
    </w:p>
    <w:p>
      <w:pPr>
        <w:pStyle w:val="12"/>
        <w:ind w:firstLine="0" w:firstLineChars="0"/>
        <w:rPr>
          <w:color w:val="auto"/>
          <w:highlight w:val="none"/>
        </w:rPr>
      </w:pPr>
    </w:p>
    <w:p>
      <w:pPr>
        <w:pStyle w:val="2"/>
        <w:numPr>
          <w:ilvl w:val="0"/>
          <w:numId w:val="16"/>
        </w:numPr>
        <w:jc w:val="center"/>
        <w:rPr>
          <w:color w:val="auto"/>
          <w:sz w:val="28"/>
          <w:szCs w:val="28"/>
          <w:highlight w:val="none"/>
        </w:rPr>
      </w:pPr>
      <w:bookmarkStart w:id="224" w:name="_Toc17363"/>
      <w:r>
        <w:rPr>
          <w:rFonts w:hint="eastAsia"/>
          <w:color w:val="auto"/>
          <w:sz w:val="28"/>
          <w:szCs w:val="28"/>
          <w:highlight w:val="none"/>
        </w:rPr>
        <w:t>供应商基本情况说明</w:t>
      </w:r>
      <w:bookmarkEnd w:id="222"/>
      <w:bookmarkEnd w:id="223"/>
      <w:bookmarkEnd w:id="224"/>
    </w:p>
    <w:p>
      <w:pPr>
        <w:spacing w:line="360" w:lineRule="auto"/>
        <w:rPr>
          <w:rFonts w:hAnsi="宋体"/>
          <w:color w:val="auto"/>
          <w:sz w:val="22"/>
          <w:szCs w:val="22"/>
          <w:highlight w:val="none"/>
        </w:rPr>
      </w:pPr>
    </w:p>
    <w:p>
      <w:pPr>
        <w:spacing w:line="360" w:lineRule="auto"/>
        <w:rPr>
          <w:rFonts w:hAnsi="宋体"/>
          <w:color w:val="auto"/>
          <w:sz w:val="21"/>
          <w:szCs w:val="21"/>
          <w:highlight w:val="none"/>
        </w:rPr>
      </w:pPr>
      <w:r>
        <w:rPr>
          <w:rFonts w:hint="eastAsia" w:hAnsi="宋体"/>
          <w:color w:val="auto"/>
          <w:sz w:val="21"/>
          <w:szCs w:val="21"/>
          <w:highlight w:val="none"/>
        </w:rPr>
        <w:t>一、</w:t>
      </w:r>
      <w:r>
        <w:rPr>
          <w:rFonts w:hAnsi="宋体"/>
          <w:color w:val="auto"/>
          <w:sz w:val="21"/>
          <w:szCs w:val="21"/>
          <w:highlight w:val="none"/>
        </w:rPr>
        <w:t>公司基本情况</w:t>
      </w:r>
    </w:p>
    <w:p>
      <w:pPr>
        <w:tabs>
          <w:tab w:val="left" w:pos="4678"/>
        </w:tabs>
        <w:spacing w:line="360" w:lineRule="auto"/>
        <w:rPr>
          <w:rFonts w:hAnsi="宋体"/>
          <w:color w:val="auto"/>
          <w:sz w:val="21"/>
          <w:szCs w:val="21"/>
          <w:highlight w:val="none"/>
        </w:rPr>
      </w:pPr>
      <w:r>
        <w:rPr>
          <w:rFonts w:hAnsi="宋体"/>
          <w:color w:val="auto"/>
          <w:sz w:val="21"/>
          <w:szCs w:val="21"/>
          <w:highlight w:val="none"/>
        </w:rPr>
        <w:t>1、公司名称： 电话号码：</w:t>
      </w:r>
    </w:p>
    <w:p>
      <w:pPr>
        <w:spacing w:line="360" w:lineRule="auto"/>
        <w:rPr>
          <w:rFonts w:hAnsi="宋体"/>
          <w:color w:val="auto"/>
          <w:sz w:val="21"/>
          <w:szCs w:val="21"/>
          <w:highlight w:val="none"/>
        </w:rPr>
      </w:pPr>
      <w:r>
        <w:rPr>
          <w:rFonts w:hAnsi="宋体"/>
          <w:color w:val="auto"/>
          <w:sz w:val="21"/>
          <w:szCs w:val="21"/>
          <w:highlight w:val="none"/>
        </w:rPr>
        <w:t>2、地  址： 传  真：</w:t>
      </w:r>
    </w:p>
    <w:p>
      <w:pPr>
        <w:spacing w:line="360" w:lineRule="auto"/>
        <w:rPr>
          <w:rFonts w:hAnsi="宋体"/>
          <w:color w:val="auto"/>
          <w:sz w:val="21"/>
          <w:szCs w:val="21"/>
          <w:highlight w:val="none"/>
          <w:u w:val="single"/>
        </w:rPr>
      </w:pPr>
      <w:r>
        <w:rPr>
          <w:rFonts w:hAnsi="宋体"/>
          <w:color w:val="auto"/>
          <w:sz w:val="21"/>
          <w:szCs w:val="21"/>
          <w:highlight w:val="none"/>
        </w:rPr>
        <w:t>3、注册资金： 经济性质：</w:t>
      </w:r>
    </w:p>
    <w:p>
      <w:pPr>
        <w:spacing w:line="360" w:lineRule="auto"/>
        <w:rPr>
          <w:rFonts w:hAnsi="宋体"/>
          <w:color w:val="auto"/>
          <w:sz w:val="21"/>
          <w:szCs w:val="21"/>
          <w:highlight w:val="none"/>
        </w:rPr>
      </w:pPr>
      <w:r>
        <w:rPr>
          <w:rFonts w:hAnsi="宋体"/>
          <w:color w:val="auto"/>
          <w:sz w:val="21"/>
          <w:szCs w:val="21"/>
          <w:highlight w:val="none"/>
        </w:rPr>
        <w:t xml:space="preserve">4、公司开户银行名称及账号：      </w:t>
      </w:r>
    </w:p>
    <w:p>
      <w:pPr>
        <w:spacing w:line="360" w:lineRule="auto"/>
        <w:rPr>
          <w:rFonts w:hAnsi="宋体"/>
          <w:color w:val="auto"/>
          <w:sz w:val="21"/>
          <w:szCs w:val="21"/>
          <w:highlight w:val="none"/>
        </w:rPr>
      </w:pPr>
      <w:r>
        <w:rPr>
          <w:rFonts w:hAnsi="宋体"/>
          <w:color w:val="auto"/>
          <w:sz w:val="21"/>
          <w:szCs w:val="21"/>
          <w:highlight w:val="none"/>
        </w:rPr>
        <w:t xml:space="preserve">5、营业注册执照号：  </w:t>
      </w:r>
    </w:p>
    <w:p>
      <w:pPr>
        <w:spacing w:line="360" w:lineRule="auto"/>
        <w:rPr>
          <w:rFonts w:hAnsi="宋体"/>
          <w:color w:val="auto"/>
          <w:sz w:val="21"/>
          <w:szCs w:val="21"/>
          <w:highlight w:val="none"/>
        </w:rPr>
      </w:pPr>
      <w:r>
        <w:rPr>
          <w:rFonts w:hAnsi="宋体"/>
          <w:color w:val="auto"/>
          <w:sz w:val="21"/>
          <w:szCs w:val="21"/>
          <w:highlight w:val="none"/>
        </w:rPr>
        <w:t>6、公司简介:</w:t>
      </w:r>
    </w:p>
    <w:p>
      <w:pPr>
        <w:spacing w:line="360" w:lineRule="auto"/>
        <w:rPr>
          <w:rFonts w:hAnsi="宋体"/>
          <w:color w:val="auto"/>
          <w:sz w:val="21"/>
          <w:szCs w:val="21"/>
          <w:highlight w:val="none"/>
        </w:rPr>
      </w:pPr>
      <w:r>
        <w:rPr>
          <w:rFonts w:hAnsi="宋体"/>
          <w:color w:val="auto"/>
          <w:sz w:val="21"/>
          <w:szCs w:val="21"/>
          <w:highlight w:val="none"/>
        </w:rPr>
        <w:t>7、公司财务情况：</w:t>
      </w:r>
    </w:p>
    <w:p>
      <w:pPr>
        <w:spacing w:line="360" w:lineRule="auto"/>
        <w:jc w:val="right"/>
        <w:rPr>
          <w:rFonts w:hAnsi="宋体"/>
          <w:color w:val="auto"/>
          <w:sz w:val="21"/>
          <w:szCs w:val="21"/>
          <w:highlight w:val="none"/>
        </w:rPr>
      </w:pPr>
      <w:r>
        <w:rPr>
          <w:rFonts w:hint="eastAsia" w:hAnsi="宋体"/>
          <w:color w:val="auto"/>
          <w:sz w:val="21"/>
          <w:szCs w:val="21"/>
          <w:highlight w:val="none"/>
        </w:rPr>
        <w:t>【价格单位：（人民币）元】</w:t>
      </w:r>
    </w:p>
    <w:tbl>
      <w:tblPr>
        <w:tblStyle w:val="51"/>
        <w:tblW w:w="89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9"/>
        <w:gridCol w:w="1809"/>
        <w:gridCol w:w="1809"/>
        <w:gridCol w:w="1839"/>
        <w:gridCol w:w="1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1629" w:type="dxa"/>
            <w:vAlign w:val="center"/>
          </w:tcPr>
          <w:p>
            <w:pPr>
              <w:jc w:val="center"/>
              <w:rPr>
                <w:rFonts w:hAnsi="宋体"/>
                <w:color w:val="auto"/>
                <w:sz w:val="21"/>
                <w:szCs w:val="21"/>
                <w:highlight w:val="none"/>
              </w:rPr>
            </w:pPr>
            <w:r>
              <w:rPr>
                <w:rFonts w:hint="eastAsia" w:hAnsi="宋体"/>
                <w:color w:val="auto"/>
                <w:sz w:val="21"/>
                <w:szCs w:val="21"/>
                <w:highlight w:val="none"/>
              </w:rPr>
              <w:t>年  度</w:t>
            </w:r>
          </w:p>
        </w:tc>
        <w:tc>
          <w:tcPr>
            <w:tcW w:w="1809" w:type="dxa"/>
            <w:vAlign w:val="center"/>
          </w:tcPr>
          <w:p>
            <w:pPr>
              <w:jc w:val="center"/>
              <w:rPr>
                <w:rFonts w:hAnsi="宋体"/>
                <w:color w:val="auto"/>
                <w:sz w:val="21"/>
                <w:szCs w:val="21"/>
                <w:highlight w:val="none"/>
              </w:rPr>
            </w:pPr>
            <w:r>
              <w:rPr>
                <w:rFonts w:hint="eastAsia" w:hAnsi="宋体"/>
                <w:color w:val="auto"/>
                <w:sz w:val="21"/>
                <w:szCs w:val="21"/>
                <w:highlight w:val="none"/>
              </w:rPr>
              <w:t>总资产（元）</w:t>
            </w:r>
          </w:p>
        </w:tc>
        <w:tc>
          <w:tcPr>
            <w:tcW w:w="1809" w:type="dxa"/>
            <w:vAlign w:val="center"/>
          </w:tcPr>
          <w:p>
            <w:pPr>
              <w:jc w:val="center"/>
              <w:rPr>
                <w:rFonts w:hAnsi="宋体"/>
                <w:color w:val="auto"/>
                <w:sz w:val="21"/>
                <w:szCs w:val="21"/>
                <w:highlight w:val="none"/>
              </w:rPr>
            </w:pPr>
            <w:r>
              <w:rPr>
                <w:rFonts w:hint="eastAsia" w:hAnsi="宋体"/>
                <w:color w:val="auto"/>
                <w:sz w:val="21"/>
                <w:szCs w:val="21"/>
                <w:highlight w:val="none"/>
              </w:rPr>
              <w:t>资产负债率（%）</w:t>
            </w:r>
          </w:p>
        </w:tc>
        <w:tc>
          <w:tcPr>
            <w:tcW w:w="1839" w:type="dxa"/>
            <w:vAlign w:val="center"/>
          </w:tcPr>
          <w:p>
            <w:pPr>
              <w:jc w:val="center"/>
              <w:rPr>
                <w:rFonts w:hAnsi="宋体"/>
                <w:color w:val="auto"/>
                <w:sz w:val="21"/>
                <w:szCs w:val="21"/>
                <w:highlight w:val="none"/>
              </w:rPr>
            </w:pPr>
            <w:r>
              <w:rPr>
                <w:rFonts w:hint="eastAsia" w:hAnsi="宋体"/>
                <w:color w:val="auto"/>
                <w:sz w:val="21"/>
                <w:szCs w:val="21"/>
                <w:highlight w:val="none"/>
              </w:rPr>
              <w:t>年营业额（元）</w:t>
            </w:r>
          </w:p>
        </w:tc>
        <w:tc>
          <w:tcPr>
            <w:tcW w:w="1851" w:type="dxa"/>
            <w:vAlign w:val="center"/>
          </w:tcPr>
          <w:p>
            <w:pPr>
              <w:jc w:val="center"/>
              <w:rPr>
                <w:rFonts w:hAnsi="宋体"/>
                <w:color w:val="auto"/>
                <w:sz w:val="21"/>
                <w:szCs w:val="21"/>
                <w:highlight w:val="none"/>
              </w:rPr>
            </w:pPr>
            <w:r>
              <w:rPr>
                <w:rFonts w:hint="eastAsia" w:hAnsi="宋体"/>
                <w:color w:val="auto"/>
                <w:sz w:val="21"/>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bl>
    <w:p>
      <w:pPr>
        <w:spacing w:line="360" w:lineRule="auto"/>
        <w:rPr>
          <w:rFonts w:hAnsi="宋体"/>
          <w:b/>
          <w:color w:val="auto"/>
          <w:sz w:val="21"/>
          <w:szCs w:val="21"/>
          <w:highlight w:val="none"/>
        </w:rPr>
      </w:pPr>
    </w:p>
    <w:p>
      <w:pPr>
        <w:tabs>
          <w:tab w:val="left" w:pos="420"/>
          <w:tab w:val="left" w:pos="1485"/>
        </w:tabs>
        <w:spacing w:line="360" w:lineRule="auto"/>
        <w:rPr>
          <w:rFonts w:hAnsi="宋体"/>
          <w:color w:val="auto"/>
          <w:sz w:val="21"/>
          <w:szCs w:val="21"/>
          <w:highlight w:val="none"/>
        </w:rPr>
      </w:pPr>
      <w:r>
        <w:rPr>
          <w:rFonts w:hint="eastAsia" w:hAnsi="宋体"/>
          <w:color w:val="auto"/>
          <w:sz w:val="21"/>
          <w:szCs w:val="21"/>
          <w:highlight w:val="none"/>
        </w:rPr>
        <w:t>二、</w:t>
      </w:r>
      <w:r>
        <w:rPr>
          <w:rFonts w:hAnsi="宋体"/>
          <w:color w:val="auto"/>
          <w:sz w:val="21"/>
          <w:szCs w:val="21"/>
          <w:highlight w:val="none"/>
        </w:rPr>
        <w:t>供应商获得国家有关部门颁发的资质证明</w:t>
      </w:r>
      <w:r>
        <w:rPr>
          <w:rFonts w:hint="eastAsia" w:hAnsi="宋体"/>
          <w:color w:val="auto"/>
          <w:sz w:val="21"/>
          <w:szCs w:val="21"/>
          <w:highlight w:val="none"/>
        </w:rPr>
        <w:t>或荣誉</w:t>
      </w:r>
      <w:r>
        <w:rPr>
          <w:rFonts w:hAnsi="宋体"/>
          <w:color w:val="auto"/>
          <w:sz w:val="21"/>
          <w:szCs w:val="21"/>
          <w:highlight w:val="none"/>
        </w:rPr>
        <w:t>：</w:t>
      </w:r>
      <w:r>
        <w:rPr>
          <w:rFonts w:hint="eastAsia" w:hAnsi="宋体"/>
          <w:color w:val="auto"/>
          <w:sz w:val="21"/>
          <w:szCs w:val="21"/>
          <w:highlight w:val="none"/>
        </w:rPr>
        <w:t>（如有）</w:t>
      </w:r>
    </w:p>
    <w:tbl>
      <w:tblPr>
        <w:tblStyle w:val="51"/>
        <w:tblW w:w="88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800"/>
        <w:gridCol w:w="1800"/>
        <w:gridCol w:w="1830"/>
        <w:gridCol w:w="18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620" w:type="dxa"/>
            <w:vAlign w:val="center"/>
          </w:tcPr>
          <w:p>
            <w:pPr>
              <w:jc w:val="center"/>
              <w:rPr>
                <w:rFonts w:hAnsi="宋体"/>
                <w:color w:val="auto"/>
                <w:sz w:val="21"/>
                <w:szCs w:val="21"/>
                <w:highlight w:val="none"/>
              </w:rPr>
            </w:pPr>
            <w:r>
              <w:rPr>
                <w:rFonts w:hAnsi="宋体"/>
                <w:color w:val="auto"/>
                <w:sz w:val="21"/>
                <w:szCs w:val="21"/>
                <w:highlight w:val="none"/>
              </w:rPr>
              <w:t>证书名称</w:t>
            </w:r>
          </w:p>
        </w:tc>
        <w:tc>
          <w:tcPr>
            <w:tcW w:w="1800" w:type="dxa"/>
            <w:vAlign w:val="center"/>
          </w:tcPr>
          <w:p>
            <w:pPr>
              <w:jc w:val="center"/>
              <w:rPr>
                <w:rFonts w:hAnsi="宋体"/>
                <w:color w:val="auto"/>
                <w:sz w:val="21"/>
                <w:szCs w:val="21"/>
                <w:highlight w:val="none"/>
              </w:rPr>
            </w:pPr>
            <w:r>
              <w:rPr>
                <w:rFonts w:hAnsi="宋体"/>
                <w:color w:val="auto"/>
                <w:sz w:val="21"/>
                <w:szCs w:val="21"/>
                <w:highlight w:val="none"/>
              </w:rPr>
              <w:t>发证单位</w:t>
            </w:r>
          </w:p>
        </w:tc>
        <w:tc>
          <w:tcPr>
            <w:tcW w:w="1800" w:type="dxa"/>
            <w:vAlign w:val="center"/>
          </w:tcPr>
          <w:p>
            <w:pPr>
              <w:jc w:val="center"/>
              <w:rPr>
                <w:rFonts w:hAnsi="宋体"/>
                <w:color w:val="auto"/>
                <w:sz w:val="21"/>
                <w:szCs w:val="21"/>
                <w:highlight w:val="none"/>
              </w:rPr>
            </w:pPr>
            <w:r>
              <w:rPr>
                <w:rFonts w:hAnsi="宋体"/>
                <w:color w:val="auto"/>
                <w:sz w:val="21"/>
                <w:szCs w:val="21"/>
                <w:highlight w:val="none"/>
              </w:rPr>
              <w:t>证书等级</w:t>
            </w:r>
          </w:p>
        </w:tc>
        <w:tc>
          <w:tcPr>
            <w:tcW w:w="1830" w:type="dxa"/>
            <w:vAlign w:val="center"/>
          </w:tcPr>
          <w:p>
            <w:pPr>
              <w:jc w:val="center"/>
              <w:rPr>
                <w:rFonts w:hAnsi="宋体"/>
                <w:color w:val="auto"/>
                <w:sz w:val="21"/>
                <w:szCs w:val="21"/>
                <w:highlight w:val="none"/>
              </w:rPr>
            </w:pPr>
            <w:r>
              <w:rPr>
                <w:rFonts w:hAnsi="宋体"/>
                <w:color w:val="auto"/>
                <w:sz w:val="21"/>
                <w:szCs w:val="21"/>
                <w:highlight w:val="none"/>
              </w:rPr>
              <w:t>证书有效期</w:t>
            </w:r>
          </w:p>
        </w:tc>
        <w:tc>
          <w:tcPr>
            <w:tcW w:w="1842" w:type="dxa"/>
            <w:vAlign w:val="center"/>
          </w:tcPr>
          <w:p>
            <w:pPr>
              <w:jc w:val="center"/>
              <w:rPr>
                <w:rFonts w:hAnsi="宋体"/>
                <w:color w:val="auto"/>
                <w:sz w:val="21"/>
                <w:szCs w:val="21"/>
                <w:highlight w:val="none"/>
              </w:rPr>
            </w:pPr>
            <w:r>
              <w:rPr>
                <w:rFonts w:hint="eastAsia" w:hAnsi="宋体"/>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62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30" w:type="dxa"/>
            <w:vAlign w:val="center"/>
          </w:tcPr>
          <w:p>
            <w:pPr>
              <w:spacing w:line="360" w:lineRule="auto"/>
              <w:jc w:val="center"/>
              <w:rPr>
                <w:rFonts w:hAnsi="宋体"/>
                <w:color w:val="auto"/>
                <w:sz w:val="21"/>
                <w:szCs w:val="21"/>
                <w:highlight w:val="none"/>
              </w:rPr>
            </w:pPr>
          </w:p>
        </w:tc>
        <w:tc>
          <w:tcPr>
            <w:tcW w:w="1842"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62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30" w:type="dxa"/>
            <w:vAlign w:val="center"/>
          </w:tcPr>
          <w:p>
            <w:pPr>
              <w:spacing w:line="360" w:lineRule="auto"/>
              <w:jc w:val="center"/>
              <w:rPr>
                <w:rFonts w:hAnsi="宋体"/>
                <w:color w:val="auto"/>
                <w:sz w:val="21"/>
                <w:szCs w:val="21"/>
                <w:highlight w:val="none"/>
              </w:rPr>
            </w:pPr>
          </w:p>
        </w:tc>
        <w:tc>
          <w:tcPr>
            <w:tcW w:w="1842" w:type="dxa"/>
            <w:vAlign w:val="center"/>
          </w:tcPr>
          <w:p>
            <w:pPr>
              <w:spacing w:line="360" w:lineRule="auto"/>
              <w:jc w:val="center"/>
              <w:rPr>
                <w:rFonts w:hAnsi="宋体"/>
                <w:color w:val="auto"/>
                <w:sz w:val="21"/>
                <w:szCs w:val="21"/>
                <w:highlight w:val="none"/>
              </w:rPr>
            </w:pPr>
          </w:p>
        </w:tc>
      </w:tr>
    </w:tbl>
    <w:p>
      <w:pPr>
        <w:spacing w:line="420" w:lineRule="atLeast"/>
        <w:rPr>
          <w:rFonts w:hAnsi="宋体"/>
          <w:color w:val="auto"/>
          <w:sz w:val="21"/>
          <w:szCs w:val="21"/>
          <w:highlight w:val="none"/>
        </w:rPr>
      </w:pPr>
      <w:r>
        <w:rPr>
          <w:rFonts w:hint="eastAsia" w:hAnsi="宋体"/>
          <w:color w:val="auto"/>
          <w:sz w:val="21"/>
          <w:szCs w:val="21"/>
          <w:highlight w:val="none"/>
        </w:rPr>
        <w:t>备注：以上资质或荣誉必须提供相关证明材料。</w:t>
      </w:r>
    </w:p>
    <w:p>
      <w:pPr>
        <w:spacing w:line="420" w:lineRule="atLeast"/>
        <w:rPr>
          <w:rFonts w:hAnsi="宋体"/>
          <w:color w:val="auto"/>
          <w:sz w:val="21"/>
          <w:szCs w:val="21"/>
          <w:highlight w:val="none"/>
        </w:rPr>
      </w:pPr>
      <w:r>
        <w:rPr>
          <w:rFonts w:hint="eastAsia" w:hAnsi="宋体"/>
          <w:color w:val="auto"/>
          <w:sz w:val="21"/>
          <w:szCs w:val="21"/>
          <w:highlight w:val="none"/>
        </w:rPr>
        <w:t>兹证明上述声明是真实、正确的，并提供了全部能提供的资料和数据，我方同意遵照贵方要求出示有关证明文件。</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pStyle w:val="2"/>
        <w:numPr>
          <w:ilvl w:val="0"/>
          <w:numId w:val="16"/>
        </w:numPr>
        <w:jc w:val="center"/>
        <w:rPr>
          <w:b w:val="0"/>
          <w:color w:val="auto"/>
          <w:sz w:val="28"/>
          <w:szCs w:val="28"/>
          <w:highlight w:val="none"/>
          <w:u w:val="single"/>
        </w:rPr>
      </w:pPr>
      <w:r>
        <w:rPr>
          <w:color w:val="auto"/>
          <w:sz w:val="22"/>
          <w:szCs w:val="22"/>
          <w:highlight w:val="none"/>
        </w:rPr>
        <w:br w:type="page"/>
      </w:r>
      <w:bookmarkStart w:id="225" w:name="_Toc27094"/>
      <w:bookmarkStart w:id="226" w:name="_Toc17704"/>
      <w:bookmarkStart w:id="227" w:name="_Toc7897894"/>
      <w:r>
        <w:rPr>
          <w:rFonts w:hint="eastAsia"/>
          <w:bCs/>
          <w:color w:val="auto"/>
          <w:sz w:val="28"/>
          <w:szCs w:val="28"/>
          <w:highlight w:val="none"/>
        </w:rPr>
        <w:t>偏离表</w:t>
      </w:r>
      <w:bookmarkEnd w:id="205"/>
      <w:bookmarkEnd w:id="225"/>
      <w:bookmarkEnd w:id="226"/>
      <w:bookmarkEnd w:id="227"/>
    </w:p>
    <w:p>
      <w:pPr>
        <w:pStyle w:val="12"/>
        <w:ind w:firstLine="480"/>
        <w:rPr>
          <w:color w:val="auto"/>
          <w:sz w:val="24"/>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Cs w:val="21"/>
          <w:highlight w:val="none"/>
        </w:rPr>
      </w:pPr>
    </w:p>
    <w:tbl>
      <w:tblPr>
        <w:tblStyle w:val="51"/>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61"/>
        <w:gridCol w:w="1241"/>
        <w:gridCol w:w="1984"/>
        <w:gridCol w:w="1276"/>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17"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序号</w:t>
            </w:r>
          </w:p>
        </w:tc>
        <w:tc>
          <w:tcPr>
            <w:tcW w:w="2161"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项 目</w:t>
            </w:r>
          </w:p>
        </w:tc>
        <w:tc>
          <w:tcPr>
            <w:tcW w:w="1241"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磋商文件要求</w:t>
            </w:r>
          </w:p>
        </w:tc>
        <w:tc>
          <w:tcPr>
            <w:tcW w:w="1984"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响应文件</w:t>
            </w:r>
          </w:p>
          <w:p>
            <w:pPr>
              <w:jc w:val="center"/>
              <w:rPr>
                <w:rFonts w:hAnsi="宋体"/>
                <w:b/>
                <w:bCs/>
                <w:color w:val="auto"/>
                <w:sz w:val="21"/>
                <w:szCs w:val="21"/>
                <w:highlight w:val="none"/>
              </w:rPr>
            </w:pPr>
            <w:r>
              <w:rPr>
                <w:rFonts w:hint="eastAsia" w:hAnsi="宋体"/>
                <w:b/>
                <w:bCs/>
                <w:color w:val="auto"/>
                <w:sz w:val="21"/>
                <w:szCs w:val="21"/>
                <w:highlight w:val="none"/>
              </w:rPr>
              <w:t>响应情况</w:t>
            </w:r>
          </w:p>
        </w:tc>
        <w:tc>
          <w:tcPr>
            <w:tcW w:w="1276"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偏离情况</w:t>
            </w:r>
          </w:p>
        </w:tc>
        <w:tc>
          <w:tcPr>
            <w:tcW w:w="1594"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偏离情况</w:t>
            </w:r>
          </w:p>
          <w:p>
            <w:pPr>
              <w:jc w:val="center"/>
              <w:rPr>
                <w:rFonts w:hAnsi="宋体"/>
                <w:b/>
                <w:bCs/>
                <w:color w:val="auto"/>
                <w:sz w:val="21"/>
                <w:szCs w:val="21"/>
                <w:highlight w:val="none"/>
              </w:rPr>
            </w:pPr>
            <w:r>
              <w:rPr>
                <w:rFonts w:hint="eastAsia" w:hAnsi="宋体"/>
                <w:b/>
                <w:bCs/>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1</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ind w:left="-446" w:leftChars="-186" w:firstLine="390" w:firstLineChars="186"/>
              <w:jc w:val="center"/>
              <w:rPr>
                <w:rFonts w:hAnsi="宋体"/>
                <w:color w:val="auto"/>
                <w:sz w:val="21"/>
                <w:szCs w:val="21"/>
                <w:highlight w:val="none"/>
              </w:rPr>
            </w:pPr>
          </w:p>
        </w:tc>
        <w:tc>
          <w:tcPr>
            <w:tcW w:w="1594" w:type="dxa"/>
            <w:vAlign w:val="center"/>
          </w:tcPr>
          <w:p>
            <w:pPr>
              <w:ind w:left="-446" w:leftChars="-186" w:firstLine="390" w:firstLineChars="186"/>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2</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3</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jc w:val="center"/>
              <w:rPr>
                <w:rFonts w:hAnsi="宋体"/>
                <w:bCs/>
                <w:color w:val="auto"/>
                <w:sz w:val="21"/>
                <w:szCs w:val="21"/>
                <w:highlight w:val="none"/>
              </w:rPr>
            </w:pPr>
            <w:r>
              <w:rPr>
                <w:rFonts w:hint="eastAsia" w:hAnsi="宋体"/>
                <w:bCs/>
                <w:color w:val="auto"/>
                <w:sz w:val="21"/>
                <w:szCs w:val="21"/>
                <w:highlight w:val="none"/>
              </w:rPr>
              <w:t>其他</w:t>
            </w: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b/>
          <w:bCs/>
          <w:color w:val="auto"/>
          <w:sz w:val="21"/>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color w:val="auto"/>
          <w:sz w:val="21"/>
          <w:szCs w:val="21"/>
          <w:highlight w:val="none"/>
        </w:rPr>
      </w:pPr>
      <w:r>
        <w:rPr>
          <w:rFonts w:hint="eastAsia" w:hAnsi="宋体"/>
          <w:color w:val="auto"/>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1.“磋商文件要求”见磋商文件“商务需求书”，“响应文件响应情况”是指供应商的投报情况。</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2.“</w:t>
      </w:r>
      <w:r>
        <w:rPr>
          <w:rFonts w:hint="eastAsia" w:hAnsi="宋体"/>
          <w:bCs/>
          <w:color w:val="auto"/>
          <w:sz w:val="21"/>
          <w:szCs w:val="21"/>
          <w:highlight w:val="none"/>
        </w:rPr>
        <w:t>偏离情况</w:t>
      </w:r>
      <w:r>
        <w:rPr>
          <w:rFonts w:hint="eastAsia" w:hAnsi="宋体"/>
          <w:color w:val="auto"/>
          <w:sz w:val="21"/>
          <w:szCs w:val="21"/>
          <w:highlight w:val="none"/>
        </w:rPr>
        <w:t>”包括“完全响应”、“正偏离”、“负偏离”。</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3. 只需列出有偏离的条款，如不填写此表则默认所有用户需求无偏离，但仍需将此表附于响应文件中。</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1"/>
          <w:szCs w:val="21"/>
          <w:highlight w:val="none"/>
        </w:rPr>
        <w:t xml:space="preserve">日期：年月日 </w:t>
      </w:r>
    </w:p>
    <w:p>
      <w:pPr>
        <w:rPr>
          <w:color w:val="auto"/>
          <w:highlight w:val="none"/>
        </w:rPr>
      </w:pPr>
    </w:p>
    <w:p>
      <w:pPr>
        <w:rPr>
          <w:color w:val="auto"/>
          <w:highlight w:val="none"/>
        </w:rPr>
      </w:pPr>
    </w:p>
    <w:p>
      <w:pPr>
        <w:widowControl/>
        <w:autoSpaceDE/>
        <w:autoSpaceDN/>
        <w:adjustRightInd/>
        <w:rPr>
          <w:color w:val="auto"/>
          <w:highlight w:val="none"/>
        </w:rPr>
      </w:pPr>
      <w:r>
        <w:rPr>
          <w:color w:val="auto"/>
          <w:highlight w:val="none"/>
        </w:rPr>
        <w:br w:type="page"/>
      </w:r>
    </w:p>
    <w:p>
      <w:pPr>
        <w:rPr>
          <w:color w:val="auto"/>
          <w:highlight w:val="none"/>
        </w:rPr>
      </w:pPr>
    </w:p>
    <w:p>
      <w:pPr>
        <w:pStyle w:val="2"/>
        <w:numPr>
          <w:ilvl w:val="0"/>
          <w:numId w:val="16"/>
        </w:numPr>
        <w:jc w:val="center"/>
        <w:rPr>
          <w:rFonts w:ascii="Calibri" w:hAnsi="Times New Roman"/>
          <w:color w:val="auto"/>
          <w:sz w:val="28"/>
          <w:szCs w:val="28"/>
          <w:highlight w:val="none"/>
        </w:rPr>
      </w:pPr>
      <w:bookmarkStart w:id="228" w:name="_Toc8299"/>
      <w:bookmarkStart w:id="229" w:name="_Toc7897895"/>
      <w:bookmarkStart w:id="230" w:name="_Toc31965"/>
      <w:r>
        <w:rPr>
          <w:rFonts w:hint="eastAsia" w:ascii="Calibri"/>
          <w:color w:val="auto"/>
          <w:sz w:val="28"/>
          <w:szCs w:val="28"/>
          <w:highlight w:val="none"/>
        </w:rPr>
        <w:t>磋商</w:t>
      </w:r>
      <w:r>
        <w:rPr>
          <w:rFonts w:hint="eastAsia" w:ascii="Calibri" w:hAnsi="Times New Roman"/>
          <w:color w:val="auto"/>
          <w:sz w:val="28"/>
          <w:szCs w:val="28"/>
          <w:highlight w:val="none"/>
        </w:rPr>
        <w:t>文件“★”号条款响应表</w:t>
      </w:r>
      <w:bookmarkEnd w:id="228"/>
    </w:p>
    <w:p>
      <w:pPr>
        <w:rPr>
          <w:rFonts w:hAnsi="宋体"/>
          <w:b/>
          <w:bCs/>
          <w:color w:val="auto"/>
          <w:highlight w:val="none"/>
        </w:rPr>
      </w:pPr>
    </w:p>
    <w:p>
      <w:pPr>
        <w:rPr>
          <w:rFonts w:hAnsi="宋体"/>
          <w:b/>
          <w:bCs/>
          <w:color w:val="auto"/>
          <w:highlight w:val="none"/>
        </w:rPr>
      </w:pPr>
    </w:p>
    <w:tbl>
      <w:tblPr>
        <w:tblStyle w:val="51"/>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266"/>
        <w:gridCol w:w="3371"/>
        <w:gridCol w:w="2113"/>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restart"/>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序号</w:t>
            </w:r>
          </w:p>
        </w:tc>
        <w:tc>
          <w:tcPr>
            <w:tcW w:w="4637" w:type="dxa"/>
            <w:gridSpan w:val="2"/>
            <w:vAlign w:val="center"/>
          </w:tcPr>
          <w:p>
            <w:pPr>
              <w:autoSpaceDE/>
              <w:autoSpaceDN/>
              <w:adjustRightInd/>
              <w:spacing w:before="120" w:after="120" w:line="360" w:lineRule="auto"/>
              <w:ind w:left="-122" w:leftChars="-51"/>
              <w:jc w:val="center"/>
              <w:rPr>
                <w:rFonts w:hAnsi="宋体"/>
                <w:color w:val="auto"/>
                <w:sz w:val="21"/>
                <w:szCs w:val="21"/>
                <w:highlight w:val="none"/>
              </w:rPr>
            </w:pPr>
            <w:r>
              <w:rPr>
                <w:rFonts w:hint="eastAsia" w:hAnsi="宋体"/>
                <w:color w:val="auto"/>
                <w:sz w:val="21"/>
                <w:szCs w:val="21"/>
                <w:highlight w:val="none"/>
              </w:rPr>
              <w:t>磋商文件“★”号条款要求</w:t>
            </w:r>
          </w:p>
        </w:tc>
        <w:tc>
          <w:tcPr>
            <w:tcW w:w="4192" w:type="dxa"/>
            <w:gridSpan w:val="2"/>
            <w:vAlign w:val="center"/>
          </w:tcPr>
          <w:p>
            <w:pPr>
              <w:autoSpaceDE/>
              <w:autoSpaceDN/>
              <w:adjustRightInd/>
              <w:spacing w:before="120" w:after="120" w:line="360" w:lineRule="auto"/>
              <w:ind w:left="-88"/>
              <w:jc w:val="center"/>
              <w:rPr>
                <w:rFonts w:hAnsi="宋体"/>
                <w:color w:val="auto"/>
                <w:sz w:val="21"/>
                <w:szCs w:val="21"/>
                <w:highlight w:val="none"/>
              </w:rPr>
            </w:pPr>
            <w:r>
              <w:rPr>
                <w:rFonts w:hint="eastAsia" w:hAnsi="宋体"/>
                <w:color w:val="auto"/>
                <w:sz w:val="21"/>
                <w:szCs w:val="21"/>
                <w:highlight w:val="none"/>
              </w:rPr>
              <w:t>磋商响应文件内容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continue"/>
            <w:vAlign w:val="center"/>
          </w:tcPr>
          <w:p>
            <w:pPr>
              <w:keepNext/>
              <w:keepLines/>
              <w:autoSpaceDE/>
              <w:autoSpaceDN/>
              <w:adjustRightInd/>
              <w:spacing w:before="120" w:after="120" w:line="360" w:lineRule="auto"/>
              <w:ind w:left="629"/>
              <w:jc w:val="center"/>
              <w:outlineLvl w:val="0"/>
              <w:rPr>
                <w:rFonts w:hAnsi="宋体"/>
                <w:color w:val="auto"/>
                <w:sz w:val="21"/>
                <w:szCs w:val="21"/>
                <w:highlight w:val="none"/>
              </w:rPr>
            </w:pPr>
          </w:p>
        </w:tc>
        <w:tc>
          <w:tcPr>
            <w:tcW w:w="1266"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条款号</w:t>
            </w:r>
          </w:p>
        </w:tc>
        <w:tc>
          <w:tcPr>
            <w:tcW w:w="3371"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简要内容</w:t>
            </w:r>
          </w:p>
        </w:tc>
        <w:tc>
          <w:tcPr>
            <w:tcW w:w="2113"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偏离情况</w:t>
            </w:r>
          </w:p>
        </w:tc>
        <w:tc>
          <w:tcPr>
            <w:tcW w:w="2079"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color w:val="auto"/>
                <w:sz w:val="21"/>
                <w:szCs w:val="21"/>
                <w:highlight w:val="none"/>
              </w:rPr>
            </w:pPr>
            <w:r>
              <w:rPr>
                <w:rFonts w:hint="eastAsia" w:hAnsi="宋体"/>
                <w:color w:val="auto"/>
                <w:sz w:val="21"/>
                <w:szCs w:val="21"/>
                <w:highlight w:val="none"/>
              </w:rPr>
              <w:t>1</w:t>
            </w:r>
          </w:p>
        </w:tc>
        <w:tc>
          <w:tcPr>
            <w:tcW w:w="1266" w:type="dxa"/>
            <w:vAlign w:val="center"/>
          </w:tcPr>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vAlign w:val="center"/>
          </w:tcPr>
          <w:p>
            <w:pPr>
              <w:keepNext/>
              <w:keepLines/>
              <w:autoSpaceDE/>
              <w:autoSpaceDN/>
              <w:adjustRightInd/>
              <w:spacing w:before="120" w:after="120" w:line="360" w:lineRule="auto"/>
              <w:ind w:left="629"/>
              <w:jc w:val="center"/>
              <w:outlineLvl w:val="2"/>
              <w:rPr>
                <w:rFonts w:hAnsi="宋体"/>
                <w:color w:val="auto"/>
                <w:sz w:val="21"/>
                <w:szCs w:val="21"/>
                <w:highlight w:val="none"/>
              </w:rPr>
            </w:pPr>
          </w:p>
        </w:tc>
        <w:tc>
          <w:tcPr>
            <w:tcW w:w="2079" w:type="dxa"/>
            <w:vAlign w:val="center"/>
          </w:tcPr>
          <w:p>
            <w:pPr>
              <w:keepNext/>
              <w:keepLines/>
              <w:autoSpaceDE/>
              <w:autoSpaceDN/>
              <w:adjustRightInd/>
              <w:spacing w:before="120" w:after="120" w:line="360" w:lineRule="auto"/>
              <w:ind w:left="629"/>
              <w:jc w:val="center"/>
              <w:outlineLvl w:val="2"/>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color w:val="auto"/>
                <w:sz w:val="21"/>
                <w:szCs w:val="21"/>
                <w:highlight w:val="none"/>
              </w:rPr>
            </w:pPr>
            <w:r>
              <w:rPr>
                <w:rFonts w:hint="eastAsia" w:hAnsi="宋体"/>
                <w:color w:val="auto"/>
                <w:sz w:val="21"/>
                <w:szCs w:val="21"/>
                <w:highlight w:val="none"/>
              </w:rPr>
              <w:t>2</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629"/>
              <w:jc w:val="both"/>
              <w:outlineLvl w:val="2"/>
              <w:rPr>
                <w:rFonts w:hAnsi="宋体"/>
                <w:color w:val="auto"/>
                <w:sz w:val="21"/>
                <w:szCs w:val="21"/>
                <w:highlight w:val="none"/>
              </w:rPr>
            </w:pPr>
          </w:p>
        </w:tc>
        <w:tc>
          <w:tcPr>
            <w:tcW w:w="2079" w:type="dxa"/>
            <w:vAlign w:val="center"/>
          </w:tcPr>
          <w:p>
            <w:pPr>
              <w:keepNext/>
              <w:keepLines/>
              <w:autoSpaceDE/>
              <w:autoSpaceDN/>
              <w:adjustRightInd/>
              <w:spacing w:before="120" w:after="120" w:line="360" w:lineRule="auto"/>
              <w:ind w:left="629"/>
              <w:jc w:val="both"/>
              <w:outlineLvl w:val="2"/>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r>
              <w:rPr>
                <w:rFonts w:hint="eastAsia" w:hAnsi="宋体"/>
                <w:color w:val="auto"/>
                <w:kern w:val="2"/>
                <w:sz w:val="21"/>
                <w:szCs w:val="21"/>
                <w:highlight w:val="none"/>
              </w:rPr>
              <w:t>3</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r>
              <w:rPr>
                <w:rFonts w:hint="eastAsia" w:hAnsi="宋体"/>
                <w:color w:val="auto"/>
                <w:kern w:val="2"/>
                <w:sz w:val="21"/>
                <w:szCs w:val="21"/>
                <w:highlight w:val="none"/>
              </w:rPr>
              <w:t>……</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bl>
    <w:p>
      <w:pPr>
        <w:autoSpaceDE/>
        <w:autoSpaceDN/>
        <w:adjustRightInd/>
        <w:spacing w:line="360" w:lineRule="auto"/>
        <w:ind w:left="565" w:leftChars="-59" w:hanging="707" w:hangingChars="337"/>
        <w:jc w:val="both"/>
        <w:rPr>
          <w:rFonts w:hAnsi="宋体"/>
          <w:b/>
          <w:color w:val="auto"/>
          <w:kern w:val="2"/>
          <w:sz w:val="21"/>
          <w:szCs w:val="21"/>
          <w:highlight w:val="none"/>
        </w:rPr>
      </w:pPr>
      <w:r>
        <w:rPr>
          <w:rFonts w:hint="eastAsia" w:hAnsi="宋体"/>
          <w:color w:val="auto"/>
          <w:kern w:val="2"/>
          <w:sz w:val="21"/>
          <w:szCs w:val="21"/>
          <w:highlight w:val="none"/>
        </w:rPr>
        <w:t>注：1、</w:t>
      </w:r>
      <w:r>
        <w:rPr>
          <w:rFonts w:hint="eastAsia" w:hAnsi="宋体"/>
          <w:b/>
          <w:color w:val="auto"/>
          <w:kern w:val="2"/>
          <w:sz w:val="21"/>
          <w:szCs w:val="21"/>
          <w:highlight w:val="none"/>
        </w:rPr>
        <w:t>供应商应按照磋商文件用户需求要求，逐条、如实地填写“偏离情况”项</w:t>
      </w:r>
      <w:r>
        <w:rPr>
          <w:rFonts w:hint="eastAsia" w:hAnsi="宋体"/>
          <w:color w:val="auto"/>
          <w:kern w:val="2"/>
          <w:sz w:val="21"/>
          <w:szCs w:val="21"/>
          <w:highlight w:val="none"/>
        </w:rPr>
        <w:t>。</w:t>
      </w:r>
      <w:r>
        <w:rPr>
          <w:rFonts w:hint="eastAsia" w:hAnsi="宋体"/>
          <w:b/>
          <w:color w:val="auto"/>
          <w:kern w:val="2"/>
          <w:sz w:val="21"/>
          <w:szCs w:val="21"/>
          <w:highlight w:val="none"/>
        </w:rPr>
        <w:t>“偏离情况”项为正偏离（或负偏离）的，必须在“具体偏离内容”项内详细说明与磋商文件的偏离内容，“偏离情况”项为无偏离的，在“具体偏离内容”项内填“无”。若发现此表未逐条填写或虚假填写本表，按无效磋商响应文件处理。</w:t>
      </w:r>
    </w:p>
    <w:p>
      <w:pPr>
        <w:autoSpaceDE/>
        <w:autoSpaceDN/>
        <w:adjustRightInd/>
        <w:spacing w:line="360" w:lineRule="auto"/>
        <w:ind w:left="561" w:leftChars="115" w:hanging="285" w:hangingChars="135"/>
        <w:jc w:val="both"/>
        <w:rPr>
          <w:rFonts w:hAnsi="宋体"/>
          <w:i/>
          <w:iCs/>
          <w:color w:val="auto"/>
          <w:sz w:val="21"/>
          <w:szCs w:val="21"/>
          <w:highlight w:val="none"/>
        </w:rPr>
      </w:pPr>
      <w:r>
        <w:rPr>
          <w:rFonts w:hint="eastAsia" w:hAnsi="宋体"/>
          <w:b/>
          <w:color w:val="auto"/>
          <w:kern w:val="2"/>
          <w:sz w:val="21"/>
          <w:szCs w:val="21"/>
          <w:highlight w:val="none"/>
        </w:rPr>
        <w:t>2、由供应商自行补充磋商文件所有“★”号条款内容（如有），标注“★”号条款均为必须完全满足指标，供应商须进行实质性响应，供应商若有一项带“★”的条款未响应或不满足，将按无效磋商处理。</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rPr>
          <w:rFonts w:hAnsi="宋体"/>
          <w:color w:val="auto"/>
          <w:sz w:val="22"/>
          <w:szCs w:val="22"/>
          <w:highlight w:val="none"/>
        </w:rPr>
      </w:pPr>
      <w:r>
        <w:rPr>
          <w:rFonts w:hint="eastAsia" w:hAnsi="宋体"/>
          <w:color w:val="auto"/>
          <w:sz w:val="21"/>
          <w:szCs w:val="21"/>
          <w:highlight w:val="none"/>
        </w:rPr>
        <w:t>日期：年月日</w:t>
      </w:r>
    </w:p>
    <w:p>
      <w:pPr>
        <w:widowControl/>
        <w:autoSpaceDE/>
        <w:autoSpaceDN/>
        <w:adjustRightInd/>
        <w:rPr>
          <w:rFonts w:ascii="Calibri"/>
          <w:color w:val="auto"/>
          <w:sz w:val="20"/>
          <w:szCs w:val="20"/>
          <w:highlight w:val="none"/>
        </w:rPr>
      </w:pPr>
      <w:r>
        <w:rPr>
          <w:color w:val="auto"/>
          <w:highlight w:val="none"/>
        </w:rPr>
        <w:br w:type="page"/>
      </w:r>
    </w:p>
    <w:p>
      <w:pPr>
        <w:pStyle w:val="12"/>
        <w:ind w:firstLine="400"/>
        <w:rPr>
          <w:color w:val="auto"/>
          <w:highlight w:val="none"/>
        </w:rPr>
      </w:pPr>
    </w:p>
    <w:p>
      <w:pPr>
        <w:pStyle w:val="2"/>
        <w:numPr>
          <w:ilvl w:val="0"/>
          <w:numId w:val="16"/>
        </w:numPr>
        <w:jc w:val="center"/>
        <w:rPr>
          <w:color w:val="auto"/>
          <w:sz w:val="28"/>
          <w:szCs w:val="28"/>
          <w:highlight w:val="none"/>
        </w:rPr>
      </w:pPr>
      <w:bookmarkStart w:id="231" w:name="_Toc12735"/>
      <w:r>
        <w:rPr>
          <w:rFonts w:hint="eastAsia"/>
          <w:bCs/>
          <w:color w:val="auto"/>
          <w:sz w:val="28"/>
          <w:szCs w:val="28"/>
          <w:highlight w:val="none"/>
        </w:rPr>
        <w:t>供应商所获资质或奖项证书一览表</w:t>
      </w:r>
      <w:bookmarkEnd w:id="229"/>
      <w:bookmarkEnd w:id="230"/>
      <w:bookmarkEnd w:id="231"/>
    </w:p>
    <w:tbl>
      <w:tblPr>
        <w:tblStyle w:val="51"/>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18"/>
        <w:gridCol w:w="2218"/>
        <w:gridCol w:w="1862"/>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2"/>
              <w:ind w:firstLine="0" w:firstLineChars="0"/>
              <w:jc w:val="both"/>
              <w:rPr>
                <w:rFonts w:ascii="Times New Roman" w:hAnsi="宋体"/>
                <w:b/>
                <w:bCs/>
                <w:color w:val="auto"/>
                <w:sz w:val="21"/>
                <w:szCs w:val="21"/>
                <w:highlight w:val="none"/>
              </w:rPr>
            </w:pPr>
            <w:r>
              <w:rPr>
                <w:rFonts w:hint="eastAsia" w:ascii="Times New Roman" w:hAnsi="宋体"/>
                <w:b/>
                <w:bCs/>
                <w:color w:val="auto"/>
                <w:sz w:val="21"/>
                <w:szCs w:val="21"/>
                <w:highlight w:val="none"/>
              </w:rPr>
              <w:t>序号</w:t>
            </w:r>
          </w:p>
        </w:tc>
        <w:tc>
          <w:tcPr>
            <w:tcW w:w="2218" w:type="dxa"/>
            <w:vAlign w:val="center"/>
          </w:tcPr>
          <w:p>
            <w:pPr>
              <w:pStyle w:val="12"/>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证书名称及等级</w:t>
            </w:r>
          </w:p>
        </w:tc>
        <w:tc>
          <w:tcPr>
            <w:tcW w:w="2218" w:type="dxa"/>
            <w:vAlign w:val="center"/>
          </w:tcPr>
          <w:p>
            <w:pPr>
              <w:pStyle w:val="12"/>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证书编号</w:t>
            </w:r>
          </w:p>
        </w:tc>
        <w:tc>
          <w:tcPr>
            <w:tcW w:w="1862" w:type="dxa"/>
            <w:vAlign w:val="center"/>
          </w:tcPr>
          <w:p>
            <w:pPr>
              <w:pStyle w:val="12"/>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发证单位</w:t>
            </w:r>
          </w:p>
        </w:tc>
        <w:tc>
          <w:tcPr>
            <w:tcW w:w="1529" w:type="dxa"/>
            <w:vAlign w:val="center"/>
          </w:tcPr>
          <w:p>
            <w:pPr>
              <w:pStyle w:val="12"/>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1862" w:type="dxa"/>
            <w:vAlign w:val="center"/>
          </w:tcPr>
          <w:p>
            <w:pPr>
              <w:pStyle w:val="12"/>
              <w:ind w:firstLine="422"/>
              <w:jc w:val="center"/>
              <w:rPr>
                <w:rFonts w:ascii="Times New Roman" w:hAnsi="宋体"/>
                <w:b/>
                <w:bCs/>
                <w:color w:val="auto"/>
                <w:sz w:val="21"/>
                <w:szCs w:val="21"/>
                <w:highlight w:val="none"/>
              </w:rPr>
            </w:pPr>
          </w:p>
        </w:tc>
        <w:tc>
          <w:tcPr>
            <w:tcW w:w="1529" w:type="dxa"/>
            <w:vAlign w:val="center"/>
          </w:tcPr>
          <w:p>
            <w:pPr>
              <w:pStyle w:val="12"/>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1862" w:type="dxa"/>
            <w:vAlign w:val="center"/>
          </w:tcPr>
          <w:p>
            <w:pPr>
              <w:pStyle w:val="12"/>
              <w:ind w:firstLine="422"/>
              <w:jc w:val="center"/>
              <w:rPr>
                <w:rFonts w:ascii="Times New Roman" w:hAnsi="宋体"/>
                <w:b/>
                <w:bCs/>
                <w:color w:val="auto"/>
                <w:sz w:val="21"/>
                <w:szCs w:val="21"/>
                <w:highlight w:val="none"/>
              </w:rPr>
            </w:pPr>
          </w:p>
        </w:tc>
        <w:tc>
          <w:tcPr>
            <w:tcW w:w="1529" w:type="dxa"/>
            <w:vAlign w:val="center"/>
          </w:tcPr>
          <w:p>
            <w:pPr>
              <w:pStyle w:val="12"/>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1862" w:type="dxa"/>
            <w:vAlign w:val="center"/>
          </w:tcPr>
          <w:p>
            <w:pPr>
              <w:pStyle w:val="12"/>
              <w:ind w:firstLine="422"/>
              <w:jc w:val="center"/>
              <w:rPr>
                <w:rFonts w:ascii="Times New Roman" w:hAnsi="宋体"/>
                <w:b/>
                <w:bCs/>
                <w:color w:val="auto"/>
                <w:sz w:val="21"/>
                <w:szCs w:val="21"/>
                <w:highlight w:val="none"/>
              </w:rPr>
            </w:pPr>
          </w:p>
        </w:tc>
        <w:tc>
          <w:tcPr>
            <w:tcW w:w="1529" w:type="dxa"/>
            <w:vAlign w:val="center"/>
          </w:tcPr>
          <w:p>
            <w:pPr>
              <w:pStyle w:val="12"/>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1862" w:type="dxa"/>
            <w:vAlign w:val="center"/>
          </w:tcPr>
          <w:p>
            <w:pPr>
              <w:pStyle w:val="12"/>
              <w:ind w:firstLine="422"/>
              <w:jc w:val="center"/>
              <w:rPr>
                <w:rFonts w:ascii="Times New Roman" w:hAnsi="宋体"/>
                <w:b/>
                <w:bCs/>
                <w:color w:val="auto"/>
                <w:sz w:val="21"/>
                <w:szCs w:val="21"/>
                <w:highlight w:val="none"/>
              </w:rPr>
            </w:pPr>
          </w:p>
        </w:tc>
        <w:tc>
          <w:tcPr>
            <w:tcW w:w="1529" w:type="dxa"/>
            <w:vAlign w:val="center"/>
          </w:tcPr>
          <w:p>
            <w:pPr>
              <w:pStyle w:val="12"/>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1862" w:type="dxa"/>
            <w:vAlign w:val="center"/>
          </w:tcPr>
          <w:p>
            <w:pPr>
              <w:pStyle w:val="12"/>
              <w:ind w:firstLine="422"/>
              <w:jc w:val="center"/>
              <w:rPr>
                <w:rFonts w:ascii="Times New Roman" w:hAnsi="宋体"/>
                <w:b/>
                <w:bCs/>
                <w:color w:val="auto"/>
                <w:sz w:val="21"/>
                <w:szCs w:val="21"/>
                <w:highlight w:val="none"/>
              </w:rPr>
            </w:pPr>
          </w:p>
        </w:tc>
        <w:tc>
          <w:tcPr>
            <w:tcW w:w="1529" w:type="dxa"/>
            <w:vAlign w:val="center"/>
          </w:tcPr>
          <w:p>
            <w:pPr>
              <w:pStyle w:val="12"/>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1862" w:type="dxa"/>
            <w:vAlign w:val="center"/>
          </w:tcPr>
          <w:p>
            <w:pPr>
              <w:pStyle w:val="12"/>
              <w:ind w:firstLine="422"/>
              <w:jc w:val="center"/>
              <w:rPr>
                <w:rFonts w:ascii="Times New Roman" w:hAnsi="宋体"/>
                <w:b/>
                <w:bCs/>
                <w:color w:val="auto"/>
                <w:sz w:val="21"/>
                <w:szCs w:val="21"/>
                <w:highlight w:val="none"/>
              </w:rPr>
            </w:pPr>
          </w:p>
        </w:tc>
        <w:tc>
          <w:tcPr>
            <w:tcW w:w="1529" w:type="dxa"/>
            <w:vAlign w:val="center"/>
          </w:tcPr>
          <w:p>
            <w:pPr>
              <w:pStyle w:val="12"/>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1862" w:type="dxa"/>
            <w:vAlign w:val="center"/>
          </w:tcPr>
          <w:p>
            <w:pPr>
              <w:pStyle w:val="12"/>
              <w:ind w:firstLine="422"/>
              <w:jc w:val="center"/>
              <w:rPr>
                <w:rFonts w:ascii="Times New Roman" w:hAnsi="宋体"/>
                <w:b/>
                <w:bCs/>
                <w:color w:val="auto"/>
                <w:sz w:val="21"/>
                <w:szCs w:val="21"/>
                <w:highlight w:val="none"/>
              </w:rPr>
            </w:pPr>
          </w:p>
        </w:tc>
        <w:tc>
          <w:tcPr>
            <w:tcW w:w="1529" w:type="dxa"/>
            <w:vAlign w:val="center"/>
          </w:tcPr>
          <w:p>
            <w:pPr>
              <w:pStyle w:val="12"/>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1862" w:type="dxa"/>
            <w:vAlign w:val="center"/>
          </w:tcPr>
          <w:p>
            <w:pPr>
              <w:pStyle w:val="12"/>
              <w:ind w:firstLine="422"/>
              <w:jc w:val="center"/>
              <w:rPr>
                <w:rFonts w:ascii="Times New Roman" w:hAnsi="宋体"/>
                <w:b/>
                <w:bCs/>
                <w:color w:val="auto"/>
                <w:sz w:val="21"/>
                <w:szCs w:val="21"/>
                <w:highlight w:val="none"/>
              </w:rPr>
            </w:pPr>
          </w:p>
        </w:tc>
        <w:tc>
          <w:tcPr>
            <w:tcW w:w="1529" w:type="dxa"/>
            <w:vAlign w:val="center"/>
          </w:tcPr>
          <w:p>
            <w:pPr>
              <w:pStyle w:val="12"/>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1862" w:type="dxa"/>
            <w:vAlign w:val="center"/>
          </w:tcPr>
          <w:p>
            <w:pPr>
              <w:pStyle w:val="12"/>
              <w:ind w:firstLine="422"/>
              <w:jc w:val="center"/>
              <w:rPr>
                <w:rFonts w:ascii="Times New Roman" w:hAnsi="宋体"/>
                <w:b/>
                <w:bCs/>
                <w:color w:val="auto"/>
                <w:sz w:val="21"/>
                <w:szCs w:val="21"/>
                <w:highlight w:val="none"/>
              </w:rPr>
            </w:pPr>
          </w:p>
        </w:tc>
        <w:tc>
          <w:tcPr>
            <w:tcW w:w="1529" w:type="dxa"/>
            <w:vAlign w:val="center"/>
          </w:tcPr>
          <w:p>
            <w:pPr>
              <w:pStyle w:val="12"/>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1862" w:type="dxa"/>
            <w:vAlign w:val="center"/>
          </w:tcPr>
          <w:p>
            <w:pPr>
              <w:pStyle w:val="12"/>
              <w:ind w:firstLine="422"/>
              <w:jc w:val="center"/>
              <w:rPr>
                <w:rFonts w:ascii="Times New Roman" w:hAnsi="宋体"/>
                <w:b/>
                <w:bCs/>
                <w:color w:val="auto"/>
                <w:sz w:val="21"/>
                <w:szCs w:val="21"/>
                <w:highlight w:val="none"/>
              </w:rPr>
            </w:pPr>
          </w:p>
        </w:tc>
        <w:tc>
          <w:tcPr>
            <w:tcW w:w="1529" w:type="dxa"/>
            <w:vAlign w:val="center"/>
          </w:tcPr>
          <w:p>
            <w:pPr>
              <w:pStyle w:val="12"/>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1862" w:type="dxa"/>
            <w:vAlign w:val="center"/>
          </w:tcPr>
          <w:p>
            <w:pPr>
              <w:pStyle w:val="12"/>
              <w:ind w:firstLine="422"/>
              <w:jc w:val="center"/>
              <w:rPr>
                <w:rFonts w:ascii="Times New Roman" w:hAnsi="宋体"/>
                <w:b/>
                <w:bCs/>
                <w:color w:val="auto"/>
                <w:sz w:val="21"/>
                <w:szCs w:val="21"/>
                <w:highlight w:val="none"/>
              </w:rPr>
            </w:pPr>
          </w:p>
        </w:tc>
        <w:tc>
          <w:tcPr>
            <w:tcW w:w="1529" w:type="dxa"/>
            <w:vAlign w:val="center"/>
          </w:tcPr>
          <w:p>
            <w:pPr>
              <w:pStyle w:val="12"/>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1862" w:type="dxa"/>
            <w:vAlign w:val="center"/>
          </w:tcPr>
          <w:p>
            <w:pPr>
              <w:pStyle w:val="12"/>
              <w:ind w:firstLine="422"/>
              <w:jc w:val="center"/>
              <w:rPr>
                <w:rFonts w:ascii="Times New Roman" w:hAnsi="宋体"/>
                <w:b/>
                <w:bCs/>
                <w:color w:val="auto"/>
                <w:sz w:val="21"/>
                <w:szCs w:val="21"/>
                <w:highlight w:val="none"/>
              </w:rPr>
            </w:pPr>
          </w:p>
        </w:tc>
        <w:tc>
          <w:tcPr>
            <w:tcW w:w="1529" w:type="dxa"/>
            <w:vAlign w:val="center"/>
          </w:tcPr>
          <w:p>
            <w:pPr>
              <w:pStyle w:val="12"/>
              <w:ind w:firstLine="422"/>
              <w:jc w:val="center"/>
              <w:rPr>
                <w:rFonts w:ascii="Times New Roman" w:hAnsi="宋体"/>
                <w:b/>
                <w:bCs/>
                <w:color w:val="auto"/>
                <w:sz w:val="21"/>
                <w:szCs w:val="21"/>
                <w:highlight w:val="none"/>
              </w:rPr>
            </w:pPr>
          </w:p>
        </w:tc>
      </w:tr>
    </w:tbl>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spacing w:line="480" w:lineRule="exact"/>
        <w:rPr>
          <w:rFonts w:hAnsi="宋体"/>
          <w:b/>
          <w:color w:val="auto"/>
          <w:szCs w:val="21"/>
          <w:highlight w:val="none"/>
          <w:u w:val="single"/>
        </w:rPr>
      </w:pPr>
    </w:p>
    <w:p>
      <w:pPr>
        <w:spacing w:line="480" w:lineRule="exact"/>
        <w:rPr>
          <w:rFonts w:hAnsi="宋体"/>
          <w:b/>
          <w:bCs/>
          <w:color w:val="auto"/>
          <w:szCs w:val="21"/>
          <w:highlight w:val="none"/>
        </w:rPr>
      </w:pPr>
    </w:p>
    <w:p>
      <w:pPr>
        <w:spacing w:line="480" w:lineRule="exact"/>
        <w:rPr>
          <w:rFonts w:hAnsi="宋体"/>
          <w:b/>
          <w:bCs/>
          <w:color w:val="auto"/>
          <w:szCs w:val="21"/>
          <w:highlight w:val="none"/>
        </w:rPr>
      </w:pPr>
    </w:p>
    <w:p>
      <w:pPr>
        <w:rPr>
          <w:color w:val="auto"/>
          <w:highlight w:val="none"/>
        </w:rPr>
      </w:pPr>
    </w:p>
    <w:p>
      <w:pPr>
        <w:pStyle w:val="2"/>
        <w:numPr>
          <w:ilvl w:val="0"/>
          <w:numId w:val="16"/>
        </w:numPr>
        <w:jc w:val="center"/>
        <w:rPr>
          <w:color w:val="auto"/>
          <w:sz w:val="28"/>
          <w:szCs w:val="28"/>
          <w:highlight w:val="none"/>
        </w:rPr>
      </w:pPr>
      <w:r>
        <w:rPr>
          <w:color w:val="auto"/>
          <w:highlight w:val="none"/>
        </w:rPr>
        <w:br w:type="page"/>
      </w:r>
      <w:bookmarkStart w:id="232" w:name="_Toc7897896"/>
      <w:bookmarkStart w:id="233" w:name="_Toc4884"/>
      <w:bookmarkStart w:id="234" w:name="_Toc4539"/>
      <w:r>
        <w:rPr>
          <w:rFonts w:hint="eastAsia"/>
          <w:bCs/>
          <w:color w:val="auto"/>
          <w:sz w:val="28"/>
          <w:szCs w:val="28"/>
          <w:highlight w:val="none"/>
        </w:rPr>
        <w:t>项目业绩一览表</w:t>
      </w:r>
      <w:bookmarkEnd w:id="232"/>
      <w:bookmarkEnd w:id="233"/>
      <w:bookmarkEnd w:id="234"/>
    </w:p>
    <w:p>
      <w:pPr>
        <w:pStyle w:val="28"/>
        <w:spacing w:line="480" w:lineRule="exact"/>
        <w:jc w:val="center"/>
        <w:rPr>
          <w:rFonts w:hAnsi="宋体"/>
          <w:b/>
          <w:color w:val="auto"/>
          <w:sz w:val="22"/>
          <w:szCs w:val="22"/>
          <w:highlight w:val="none"/>
        </w:rPr>
      </w:pPr>
    </w:p>
    <w:tbl>
      <w:tblPr>
        <w:tblStyle w:val="51"/>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3225"/>
        <w:gridCol w:w="1365"/>
        <w:gridCol w:w="1721"/>
        <w:gridCol w:w="835"/>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序号</w:t>
            </w:r>
          </w:p>
        </w:tc>
        <w:tc>
          <w:tcPr>
            <w:tcW w:w="32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项目名称</w:t>
            </w:r>
          </w:p>
        </w:tc>
        <w:tc>
          <w:tcPr>
            <w:tcW w:w="13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用户单位</w:t>
            </w:r>
          </w:p>
        </w:tc>
        <w:tc>
          <w:tcPr>
            <w:tcW w:w="172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项目金额</w:t>
            </w:r>
          </w:p>
        </w:tc>
        <w:tc>
          <w:tcPr>
            <w:tcW w:w="8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执行时间</w:t>
            </w:r>
          </w:p>
        </w:tc>
        <w:tc>
          <w:tcPr>
            <w:tcW w:w="8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r>
              <w:rPr>
                <w:rFonts w:hint="eastAsia" w:hAnsi="宋体"/>
                <w:color w:val="auto"/>
                <w:szCs w:val="21"/>
                <w:highlight w:val="none"/>
              </w:rPr>
              <w:t>1</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r>
              <w:rPr>
                <w:rFonts w:hint="eastAsia" w:hAnsi="宋体"/>
                <w:color w:val="auto"/>
                <w:szCs w:val="21"/>
                <w:highlight w:val="none"/>
              </w:rPr>
              <w:t>2</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r>
              <w:rPr>
                <w:rFonts w:hint="eastAsia" w:hAnsi="宋体"/>
                <w:color w:val="auto"/>
                <w:szCs w:val="21"/>
                <w:highlight w:val="none"/>
              </w:rPr>
              <w:t>3</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r>
              <w:rPr>
                <w:rFonts w:hint="eastAsia" w:hAnsi="宋体"/>
                <w:color w:val="auto"/>
                <w:szCs w:val="21"/>
                <w:highlight w:val="none"/>
              </w:rPr>
              <w:t>…</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bl>
    <w:p>
      <w:pPr>
        <w:pStyle w:val="28"/>
        <w:spacing w:line="480" w:lineRule="exact"/>
        <w:rPr>
          <w:rFonts w:hAnsi="宋体"/>
          <w:color w:val="auto"/>
          <w:sz w:val="22"/>
          <w:szCs w:val="22"/>
          <w:highlight w:val="none"/>
        </w:rPr>
      </w:pPr>
    </w:p>
    <w:p>
      <w:pPr>
        <w:pStyle w:val="28"/>
        <w:spacing w:line="480" w:lineRule="exact"/>
        <w:rPr>
          <w:rFonts w:hAnsi="宋体"/>
          <w:color w:val="auto"/>
          <w:sz w:val="22"/>
          <w:szCs w:val="22"/>
          <w:highlight w:val="none"/>
        </w:rPr>
      </w:pPr>
      <w:r>
        <w:rPr>
          <w:rFonts w:hint="eastAsia" w:hAnsi="宋体"/>
          <w:color w:val="auto"/>
          <w:sz w:val="22"/>
          <w:szCs w:val="22"/>
          <w:highlight w:val="none"/>
        </w:rPr>
        <w:t>要求：</w:t>
      </w:r>
    </w:p>
    <w:p>
      <w:pPr>
        <w:pStyle w:val="28"/>
        <w:spacing w:line="480" w:lineRule="exact"/>
        <w:ind w:firstLine="440" w:firstLineChars="200"/>
        <w:rPr>
          <w:rFonts w:hAnsi="宋体"/>
          <w:color w:val="auto"/>
          <w:sz w:val="22"/>
          <w:szCs w:val="22"/>
          <w:highlight w:val="none"/>
        </w:rPr>
      </w:pPr>
      <w:r>
        <w:rPr>
          <w:rFonts w:hint="eastAsia" w:hAnsi="宋体"/>
          <w:color w:val="auto"/>
          <w:sz w:val="22"/>
          <w:szCs w:val="22"/>
          <w:highlight w:val="none"/>
        </w:rPr>
        <w:t>供应商应当如实、完整地填写本表格，内容包括所有同类或近似项目业绩。提供合同关键页等复印件（加盖供应商公章）。在填写过程中请按年份顺序填写。</w:t>
      </w:r>
    </w:p>
    <w:p>
      <w:pPr>
        <w:pStyle w:val="28"/>
        <w:spacing w:line="480" w:lineRule="exact"/>
        <w:rPr>
          <w:rFonts w:hAnsi="宋体"/>
          <w:color w:val="auto"/>
          <w:sz w:val="22"/>
          <w:szCs w:val="22"/>
          <w:highlight w:val="none"/>
        </w:rPr>
      </w:pPr>
    </w:p>
    <w:p>
      <w:pPr>
        <w:overflowPunct w:val="0"/>
        <w:spacing w:line="460" w:lineRule="exact"/>
        <w:rPr>
          <w:rFonts w:hAnsi="宋体"/>
          <w:color w:val="auto"/>
          <w:sz w:val="22"/>
          <w:szCs w:val="22"/>
          <w:highlight w:val="none"/>
        </w:rPr>
      </w:pPr>
      <w:r>
        <w:rPr>
          <w:rFonts w:hint="eastAsia" w:hAnsi="宋体"/>
          <w:color w:val="auto"/>
          <w:sz w:val="22"/>
          <w:szCs w:val="22"/>
          <w:highlight w:val="none"/>
        </w:rPr>
        <w:t>供应商名称（加盖公章）：</w:t>
      </w:r>
    </w:p>
    <w:p>
      <w:pPr>
        <w:overflowPunct w:val="0"/>
        <w:spacing w:line="460" w:lineRule="exact"/>
        <w:rPr>
          <w:rFonts w:hAnsi="宋体"/>
          <w:color w:val="auto"/>
          <w:sz w:val="22"/>
          <w:szCs w:val="22"/>
          <w:highlight w:val="none"/>
        </w:rPr>
      </w:pPr>
      <w:r>
        <w:rPr>
          <w:rFonts w:hint="eastAsia" w:hAnsi="宋体"/>
          <w:color w:val="auto"/>
          <w:sz w:val="22"/>
          <w:szCs w:val="22"/>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2"/>
          <w:szCs w:val="22"/>
          <w:highlight w:val="none"/>
        </w:rPr>
        <w:t xml:space="preserve">日期：年月日 </w:t>
      </w:r>
    </w:p>
    <w:p>
      <w:pPr>
        <w:pStyle w:val="2"/>
        <w:numPr>
          <w:ilvl w:val="0"/>
          <w:numId w:val="16"/>
        </w:numPr>
        <w:jc w:val="center"/>
        <w:rPr>
          <w:b w:val="0"/>
          <w:bCs/>
          <w:color w:val="auto"/>
          <w:sz w:val="28"/>
          <w:highlight w:val="none"/>
        </w:rPr>
      </w:pPr>
      <w:r>
        <w:rPr>
          <w:color w:val="auto"/>
          <w:sz w:val="22"/>
          <w:szCs w:val="22"/>
          <w:highlight w:val="none"/>
        </w:rPr>
        <w:br w:type="page"/>
      </w:r>
      <w:bookmarkStart w:id="235" w:name="_Toc7897897"/>
      <w:bookmarkStart w:id="236" w:name="_Toc17432"/>
      <w:bookmarkStart w:id="237" w:name="_Toc23633"/>
      <w:r>
        <w:rPr>
          <w:rFonts w:hint="eastAsia"/>
          <w:bCs/>
          <w:color w:val="auto"/>
          <w:sz w:val="28"/>
          <w:highlight w:val="none"/>
        </w:rPr>
        <w:t>在经营活动中没有重大违法记录的书面声明</w:t>
      </w:r>
      <w:bookmarkEnd w:id="235"/>
      <w:bookmarkEnd w:id="236"/>
      <w:bookmarkEnd w:id="237"/>
    </w:p>
    <w:p>
      <w:pPr>
        <w:pStyle w:val="75"/>
        <w:ind w:firstLine="0" w:firstLineChars="0"/>
        <w:jc w:val="center"/>
        <w:rPr>
          <w:rFonts w:ascii="宋体" w:eastAsia="宋体"/>
          <w:b/>
          <w:color w:val="auto"/>
          <w:sz w:val="28"/>
          <w:highlight w:val="none"/>
        </w:rPr>
      </w:pPr>
    </w:p>
    <w:p>
      <w:pPr>
        <w:spacing w:line="360" w:lineRule="auto"/>
        <w:rPr>
          <w:rFonts w:hAnsi="宋体"/>
          <w:color w:val="auto"/>
          <w:sz w:val="21"/>
          <w:szCs w:val="21"/>
          <w:highlight w:val="none"/>
          <w:u w:val="single"/>
        </w:rPr>
      </w:pPr>
      <w:r>
        <w:rPr>
          <w:rFonts w:hint="eastAsia" w:hAnsi="宋体"/>
          <w:color w:val="auto"/>
          <w:sz w:val="21"/>
          <w:szCs w:val="21"/>
          <w:highlight w:val="none"/>
        </w:rPr>
        <w:t>致：</w:t>
      </w:r>
    </w:p>
    <w:p>
      <w:pPr>
        <w:spacing w:line="360" w:lineRule="auto"/>
        <w:rPr>
          <w:rFonts w:hAnsi="宋体"/>
          <w:color w:val="auto"/>
          <w:sz w:val="21"/>
          <w:szCs w:val="21"/>
          <w:highlight w:val="none"/>
        </w:rPr>
      </w:pPr>
      <w:r>
        <w:rPr>
          <w:rFonts w:hint="eastAsia" w:hAnsi="宋体"/>
          <w:color w:val="auto"/>
          <w:sz w:val="21"/>
          <w:szCs w:val="21"/>
          <w:highlight w:val="none"/>
        </w:rPr>
        <w:t xml:space="preserve">       本公司参加</w:t>
      </w:r>
      <w:r>
        <w:rPr>
          <w:rFonts w:hint="eastAsia" w:hAnsi="宋体"/>
          <w:color w:val="auto"/>
          <w:sz w:val="21"/>
          <w:szCs w:val="21"/>
          <w:highlight w:val="none"/>
          <w:u w:val="single"/>
        </w:rPr>
        <w:t xml:space="preserve">                  </w:t>
      </w:r>
      <w:r>
        <w:rPr>
          <w:rFonts w:hint="eastAsia" w:hAnsi="宋体"/>
          <w:color w:val="auto"/>
          <w:sz w:val="21"/>
          <w:szCs w:val="21"/>
          <w:highlight w:val="none"/>
        </w:rPr>
        <w:t>采购项目（采购编号</w:t>
      </w:r>
      <w:r>
        <w:rPr>
          <w:rFonts w:hint="eastAsia" w:hAnsi="宋体"/>
          <w:color w:val="auto"/>
          <w:sz w:val="21"/>
          <w:szCs w:val="21"/>
          <w:highlight w:val="none"/>
          <w:u w:val="single"/>
        </w:rPr>
        <w:t xml:space="preserve">                 </w:t>
      </w:r>
      <w:r>
        <w:rPr>
          <w:rFonts w:hint="eastAsia" w:hAnsi="宋体"/>
          <w:color w:val="auto"/>
          <w:sz w:val="21"/>
          <w:szCs w:val="21"/>
          <w:highlight w:val="none"/>
        </w:rPr>
        <w:t>）的采购活动，并声明：</w:t>
      </w:r>
    </w:p>
    <w:p>
      <w:pPr>
        <w:spacing w:line="360" w:lineRule="auto"/>
        <w:rPr>
          <w:rFonts w:hAnsi="宋体"/>
          <w:color w:val="auto"/>
          <w:sz w:val="21"/>
          <w:szCs w:val="21"/>
          <w:highlight w:val="none"/>
        </w:rPr>
      </w:pPr>
      <w:r>
        <w:rPr>
          <w:rFonts w:hint="eastAsia" w:hAnsi="宋体"/>
          <w:color w:val="auto"/>
          <w:sz w:val="21"/>
          <w:szCs w:val="21"/>
          <w:highlight w:val="none"/>
        </w:rPr>
        <w:t xml:space="preserve">    本公司参加本采购项目采购前3年内在经营活动中没有因违法经营受到刑事处罚或者责令停产停业、吊销许可证或者执照、较大数额罚款等行政处罚。</w:t>
      </w:r>
    </w:p>
    <w:p>
      <w:pPr>
        <w:spacing w:line="360" w:lineRule="auto"/>
        <w:rPr>
          <w:rFonts w:hAnsi="宋体"/>
          <w:color w:val="auto"/>
          <w:sz w:val="21"/>
          <w:szCs w:val="21"/>
          <w:highlight w:val="none"/>
        </w:rPr>
      </w:pPr>
      <w:r>
        <w:rPr>
          <w:rFonts w:hint="eastAsia" w:hAnsi="宋体"/>
          <w:color w:val="auto"/>
          <w:sz w:val="21"/>
          <w:szCs w:val="21"/>
          <w:highlight w:val="none"/>
        </w:rPr>
        <w:t xml:space="preserve">    特此声明！</w:t>
      </w:r>
    </w:p>
    <w:p>
      <w:pPr>
        <w:rPr>
          <w:rFonts w:hAnsi="宋体"/>
          <w:color w:val="auto"/>
          <w:sz w:val="21"/>
          <w:szCs w:val="21"/>
          <w:highlight w:val="none"/>
        </w:rPr>
      </w:pPr>
    </w:p>
    <w:p>
      <w:pPr>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bookmarkEnd w:id="206"/>
    <w:bookmarkEnd w:id="207"/>
    <w:bookmarkEnd w:id="208"/>
    <w:bookmarkEnd w:id="209"/>
    <w:bookmarkEnd w:id="210"/>
    <w:bookmarkEnd w:id="211"/>
    <w:bookmarkEnd w:id="212"/>
    <w:p>
      <w:pPr>
        <w:pStyle w:val="2"/>
        <w:numPr>
          <w:ilvl w:val="0"/>
          <w:numId w:val="16"/>
        </w:numPr>
        <w:jc w:val="center"/>
        <w:rPr>
          <w:b w:val="0"/>
          <w:color w:val="auto"/>
          <w:sz w:val="28"/>
          <w:szCs w:val="28"/>
          <w:highlight w:val="none"/>
        </w:rPr>
      </w:pPr>
      <w:bookmarkStart w:id="238" w:name="_Toc110953865"/>
      <w:bookmarkStart w:id="239" w:name="_Toc479991617"/>
      <w:bookmarkStart w:id="240" w:name="_Toc480020290"/>
      <w:bookmarkStart w:id="241" w:name="_Toc480171915"/>
      <w:bookmarkStart w:id="242" w:name="_Toc468157570"/>
      <w:bookmarkStart w:id="243" w:name="_Toc467987857"/>
      <w:bookmarkStart w:id="244" w:name="_Toc480021086"/>
      <w:bookmarkStart w:id="245" w:name="_Toc468606065"/>
      <w:bookmarkStart w:id="246" w:name="_Toc35233726"/>
      <w:bookmarkStart w:id="247" w:name="_Toc480010743"/>
      <w:bookmarkStart w:id="248" w:name="_Toc467236774"/>
      <w:bookmarkStart w:id="249" w:name="_Toc458262644"/>
      <w:bookmarkStart w:id="250" w:name="_Toc454701411"/>
      <w:r>
        <w:rPr>
          <w:color w:val="auto"/>
          <w:sz w:val="22"/>
          <w:szCs w:val="22"/>
          <w:highlight w:val="none"/>
        </w:rPr>
        <w:br w:type="page"/>
      </w:r>
      <w:bookmarkEnd w:id="238"/>
      <w:bookmarkStart w:id="251" w:name="_Toc7897900"/>
      <w:bookmarkStart w:id="252" w:name="_Toc8181"/>
      <w:bookmarkStart w:id="253" w:name="_Toc2461"/>
      <w:r>
        <w:rPr>
          <w:rFonts w:hint="eastAsia"/>
          <w:color w:val="auto"/>
          <w:sz w:val="28"/>
          <w:szCs w:val="28"/>
          <w:highlight w:val="none"/>
        </w:rPr>
        <w:t>针对本项目拟派人员及其技术资格一览表</w:t>
      </w:r>
      <w:bookmarkEnd w:id="251"/>
      <w:bookmarkEnd w:id="252"/>
      <w:bookmarkEnd w:id="253"/>
    </w:p>
    <w:p>
      <w:pPr>
        <w:pStyle w:val="28"/>
        <w:spacing w:line="480" w:lineRule="exact"/>
        <w:ind w:left="-202" w:leftChars="-84" w:firstLine="241" w:firstLineChars="100"/>
        <w:rPr>
          <w:rFonts w:hAnsi="宋体"/>
          <w:b/>
          <w:color w:val="auto"/>
          <w:sz w:val="24"/>
          <w:szCs w:val="21"/>
          <w:highlight w:val="none"/>
        </w:rPr>
      </w:pPr>
    </w:p>
    <w:p>
      <w:pPr>
        <w:pStyle w:val="28"/>
        <w:spacing w:line="480" w:lineRule="exact"/>
        <w:ind w:left="-202" w:leftChars="-84" w:firstLine="221" w:firstLineChars="100"/>
        <w:rPr>
          <w:rFonts w:hAnsi="宋体"/>
          <w:b/>
          <w:color w:val="auto"/>
          <w:sz w:val="22"/>
          <w:szCs w:val="22"/>
          <w:highlight w:val="none"/>
          <w:u w:val="single"/>
        </w:rPr>
      </w:pPr>
    </w:p>
    <w:tbl>
      <w:tblPr>
        <w:tblStyle w:val="5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26"/>
        <w:gridCol w:w="877"/>
        <w:gridCol w:w="1533"/>
        <w:gridCol w:w="1357"/>
        <w:gridCol w:w="1200"/>
        <w:gridCol w:w="1403"/>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序号</w:t>
            </w:r>
          </w:p>
        </w:tc>
        <w:tc>
          <w:tcPr>
            <w:tcW w:w="1026"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姓名</w:t>
            </w:r>
          </w:p>
        </w:tc>
        <w:tc>
          <w:tcPr>
            <w:tcW w:w="877"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职位</w:t>
            </w:r>
          </w:p>
        </w:tc>
        <w:tc>
          <w:tcPr>
            <w:tcW w:w="1533" w:type="dxa"/>
          </w:tcPr>
          <w:p>
            <w:pPr>
              <w:pStyle w:val="28"/>
              <w:spacing w:line="480" w:lineRule="exact"/>
              <w:jc w:val="center"/>
              <w:rPr>
                <w:rFonts w:hAnsi="宋体"/>
                <w:b/>
                <w:color w:val="auto"/>
                <w:szCs w:val="21"/>
                <w:highlight w:val="none"/>
              </w:rPr>
            </w:pPr>
            <w:r>
              <w:rPr>
                <w:rFonts w:hint="eastAsia" w:hAnsi="宋体"/>
                <w:b/>
                <w:color w:val="auto"/>
                <w:szCs w:val="21"/>
                <w:highlight w:val="none"/>
              </w:rPr>
              <w:t>拟在本项目担任职务</w:t>
            </w:r>
          </w:p>
        </w:tc>
        <w:tc>
          <w:tcPr>
            <w:tcW w:w="1357"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专业、资格证件</w:t>
            </w:r>
          </w:p>
        </w:tc>
        <w:tc>
          <w:tcPr>
            <w:tcW w:w="1200"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发证时间</w:t>
            </w:r>
          </w:p>
        </w:tc>
        <w:tc>
          <w:tcPr>
            <w:tcW w:w="1403"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经验年限</w:t>
            </w:r>
          </w:p>
        </w:tc>
        <w:tc>
          <w:tcPr>
            <w:tcW w:w="1403" w:type="dxa"/>
          </w:tcPr>
          <w:p>
            <w:pPr>
              <w:pStyle w:val="28"/>
              <w:spacing w:line="480" w:lineRule="exact"/>
              <w:jc w:val="center"/>
              <w:rPr>
                <w:rFonts w:hAnsi="宋体"/>
                <w:b/>
                <w:color w:val="auto"/>
                <w:szCs w:val="21"/>
                <w:highlight w:val="none"/>
              </w:rPr>
            </w:pPr>
            <w:r>
              <w:rPr>
                <w:rFonts w:hint="eastAsia" w:hAnsi="宋体"/>
                <w:b/>
                <w:color w:val="auto"/>
                <w:szCs w:val="21"/>
                <w:highlight w:val="none"/>
              </w:rPr>
              <w:t>主要承担过的项目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r>
              <w:rPr>
                <w:rFonts w:hint="eastAsia" w:hAnsi="宋体"/>
                <w:color w:val="auto"/>
                <w:szCs w:val="21"/>
                <w:highlight w:val="none"/>
              </w:rPr>
              <w:t>项目负责人</w:t>
            </w: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vAlign w:val="center"/>
          </w:tcPr>
          <w:p>
            <w:pPr>
              <w:jc w:val="center"/>
              <w:rPr>
                <w:rFonts w:hAnsi="宋体"/>
                <w:color w:val="auto"/>
                <w:sz w:val="21"/>
                <w:szCs w:val="21"/>
                <w:highlight w:val="none"/>
              </w:rPr>
            </w:pPr>
            <w:r>
              <w:rPr>
                <w:rFonts w:hint="eastAsia" w:hAnsi="宋体"/>
                <w:color w:val="auto"/>
                <w:sz w:val="21"/>
                <w:szCs w:val="21"/>
                <w:highlight w:val="none"/>
              </w:rPr>
              <w:t>项目人员</w:t>
            </w: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r>
              <w:rPr>
                <w:rFonts w:hint="eastAsia" w:hAnsi="宋体"/>
                <w:color w:val="auto"/>
                <w:szCs w:val="21"/>
                <w:highlight w:val="none"/>
              </w:rPr>
              <w:t>…</w:t>
            </w: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 w:val="22"/>
          <w:szCs w:val="22"/>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color w:val="auto"/>
          <w:sz w:val="21"/>
          <w:szCs w:val="21"/>
          <w:highlight w:val="none"/>
        </w:rPr>
      </w:pPr>
      <w:r>
        <w:rPr>
          <w:rFonts w:hint="eastAsia" w:hAnsi="宋体"/>
          <w:color w:val="auto"/>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1.供应商可以根据本表格内容和实际情况制作本表格。</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2.供应商应当在响应文件中提供评分标准中要求提供的资料。（上述文件均加盖供应商公章）</w:t>
      </w:r>
    </w:p>
    <w:p>
      <w:pPr>
        <w:pStyle w:val="20"/>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1"/>
          <w:szCs w:val="21"/>
          <w:highlight w:val="none"/>
        </w:rPr>
        <w:t>日期：年月日</w:t>
      </w:r>
    </w:p>
    <w:p>
      <w:pPr>
        <w:spacing w:line="480" w:lineRule="exact"/>
        <w:rPr>
          <w:rFonts w:hAnsi="宋体"/>
          <w:b/>
          <w:bCs/>
          <w:color w:val="auto"/>
          <w:szCs w:val="21"/>
          <w:highlight w:val="none"/>
          <w:u w:val="single"/>
        </w:rPr>
      </w:pPr>
    </w:p>
    <w:p>
      <w:pPr>
        <w:pStyle w:val="2"/>
        <w:numPr>
          <w:ilvl w:val="0"/>
          <w:numId w:val="16"/>
        </w:numPr>
        <w:jc w:val="center"/>
        <w:rPr>
          <w:bCs/>
          <w:color w:val="auto"/>
          <w:sz w:val="28"/>
          <w:szCs w:val="28"/>
          <w:highlight w:val="none"/>
        </w:rPr>
      </w:pPr>
      <w:r>
        <w:rPr>
          <w:bCs/>
          <w:color w:val="auto"/>
          <w:szCs w:val="21"/>
          <w:highlight w:val="none"/>
        </w:rPr>
        <w:br w:type="page"/>
      </w:r>
      <w:bookmarkEnd w:id="239"/>
      <w:bookmarkEnd w:id="240"/>
      <w:bookmarkEnd w:id="241"/>
      <w:bookmarkEnd w:id="242"/>
      <w:bookmarkEnd w:id="243"/>
      <w:bookmarkEnd w:id="244"/>
      <w:bookmarkEnd w:id="245"/>
      <w:bookmarkEnd w:id="246"/>
      <w:bookmarkEnd w:id="247"/>
      <w:bookmarkEnd w:id="248"/>
      <w:bookmarkEnd w:id="249"/>
      <w:bookmarkEnd w:id="250"/>
      <w:bookmarkStart w:id="254" w:name="_Toc13441"/>
      <w:r>
        <w:rPr>
          <w:rFonts w:hint="eastAsia"/>
          <w:bCs/>
          <w:color w:val="auto"/>
          <w:sz w:val="28"/>
          <w:szCs w:val="28"/>
          <w:highlight w:val="none"/>
        </w:rPr>
        <w:t>磋商保证金汇入情况说明（适用于转账、电汇方式）</w:t>
      </w:r>
      <w:bookmarkEnd w:id="254"/>
    </w:p>
    <w:p>
      <w:pPr>
        <w:spacing w:line="460" w:lineRule="exact"/>
        <w:rPr>
          <w:rFonts w:hAnsi="宋体"/>
          <w:b/>
          <w:bCs/>
          <w:color w:val="auto"/>
          <w:sz w:val="22"/>
          <w:szCs w:val="22"/>
          <w:highlight w:val="none"/>
        </w:rPr>
      </w:pPr>
    </w:p>
    <w:p>
      <w:pPr>
        <w:spacing w:line="460" w:lineRule="exact"/>
        <w:rPr>
          <w:rFonts w:hAnsi="宋体"/>
          <w:color w:val="auto"/>
          <w:sz w:val="21"/>
          <w:szCs w:val="21"/>
          <w:highlight w:val="none"/>
        </w:rPr>
      </w:pPr>
      <w:r>
        <w:rPr>
          <w:rFonts w:hint="eastAsia" w:hAnsi="宋体"/>
          <w:color w:val="auto"/>
          <w:sz w:val="21"/>
          <w:szCs w:val="21"/>
          <w:highlight w:val="none"/>
          <w:lang w:eastAsia="zh-CN"/>
        </w:rPr>
        <w:t>广东泰通伟业工程咨询有限公司</w:t>
      </w:r>
      <w:r>
        <w:rPr>
          <w:rFonts w:hint="eastAsia" w:hAnsi="宋体"/>
          <w:color w:val="auto"/>
          <w:sz w:val="21"/>
          <w:szCs w:val="21"/>
          <w:highlight w:val="none"/>
        </w:rPr>
        <w:t xml:space="preserve">：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本单位已按</w:t>
      </w:r>
      <w:r>
        <w:rPr>
          <w:rFonts w:hint="eastAsia" w:hAnsi="宋体"/>
          <w:color w:val="auto"/>
          <w:sz w:val="21"/>
          <w:szCs w:val="21"/>
          <w:highlight w:val="none"/>
          <w:u w:val="single"/>
        </w:rPr>
        <w:t xml:space="preserve">  （项目名称）   （采购编号：     ）</w:t>
      </w:r>
      <w:r>
        <w:rPr>
          <w:rFonts w:hint="eastAsia" w:hAnsi="宋体"/>
          <w:color w:val="auto"/>
          <w:sz w:val="21"/>
          <w:szCs w:val="21"/>
          <w:highlight w:val="none"/>
        </w:rPr>
        <w:t>的磋商文件要求，于年月日前以（付款形式）方式汇入指定帐户（帐户名称：</w:t>
      </w:r>
      <w:r>
        <w:rPr>
          <w:rFonts w:hint="eastAsia" w:hAnsi="宋体"/>
          <w:color w:val="auto"/>
          <w:sz w:val="21"/>
          <w:szCs w:val="21"/>
          <w:highlight w:val="none"/>
          <w:u w:val="single"/>
        </w:rPr>
        <w:t xml:space="preserve">    </w:t>
      </w:r>
      <w:r>
        <w:rPr>
          <w:rFonts w:hint="eastAsia" w:hAnsi="宋体"/>
          <w:color w:val="auto"/>
          <w:sz w:val="21"/>
          <w:szCs w:val="21"/>
          <w:highlight w:val="none"/>
        </w:rPr>
        <w:t>，帐号：</w:t>
      </w:r>
      <w:r>
        <w:rPr>
          <w:rFonts w:hint="eastAsia" w:hAnsi="宋体"/>
          <w:color w:val="auto"/>
          <w:sz w:val="21"/>
          <w:szCs w:val="21"/>
          <w:highlight w:val="none"/>
          <w:u w:val="single"/>
        </w:rPr>
        <w:t xml:space="preserve">    </w:t>
      </w:r>
      <w:r>
        <w:rPr>
          <w:rFonts w:hint="eastAsia" w:hAnsi="宋体"/>
          <w:color w:val="auto"/>
          <w:sz w:val="21"/>
          <w:szCs w:val="21"/>
          <w:highlight w:val="none"/>
        </w:rPr>
        <w:t>,开户银行：</w:t>
      </w:r>
      <w:r>
        <w:rPr>
          <w:rFonts w:hint="eastAsia" w:hAnsi="宋体"/>
          <w:color w:val="auto"/>
          <w:sz w:val="21"/>
          <w:szCs w:val="21"/>
          <w:highlight w:val="none"/>
          <w:u w:val="single"/>
        </w:rPr>
        <w:t xml:space="preserve">    </w:t>
      </w:r>
      <w:r>
        <w:rPr>
          <w:rFonts w:hint="eastAsia" w:hAnsi="宋体"/>
          <w:color w:val="auto"/>
          <w:sz w:val="21"/>
          <w:szCs w:val="21"/>
          <w:highlight w:val="none"/>
        </w:rPr>
        <w:t>）。</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供应商磋商保证金的汇款情况：（详见附件－磋商保证金进帐单）汇出时间：年月日；</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汇款金额：（大写）人民币</w:t>
      </w:r>
      <w:r>
        <w:rPr>
          <w:rFonts w:hint="eastAsia" w:hAnsi="宋体"/>
          <w:color w:val="auto"/>
          <w:sz w:val="21"/>
          <w:szCs w:val="21"/>
          <w:highlight w:val="none"/>
          <w:u w:val="single"/>
        </w:rPr>
        <w:t xml:space="preserve">               元整</w:t>
      </w:r>
    </w:p>
    <w:p>
      <w:pPr>
        <w:spacing w:line="460" w:lineRule="exact"/>
        <w:ind w:firstLine="1365" w:firstLineChars="650"/>
        <w:rPr>
          <w:rFonts w:hAnsi="宋体"/>
          <w:color w:val="auto"/>
          <w:sz w:val="21"/>
          <w:szCs w:val="21"/>
          <w:highlight w:val="none"/>
          <w:u w:val="single"/>
        </w:rPr>
      </w:pPr>
      <w:r>
        <w:rPr>
          <w:rFonts w:hint="eastAsia" w:hAnsi="宋体"/>
          <w:color w:val="auto"/>
          <w:sz w:val="21"/>
          <w:szCs w:val="21"/>
          <w:highlight w:val="none"/>
        </w:rPr>
        <w:t>（小写）￥元。</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汇款帐户名称：</w:t>
      </w:r>
      <w:r>
        <w:rPr>
          <w:rFonts w:hint="eastAsia" w:hAnsi="宋体"/>
          <w:color w:val="auto"/>
          <w:sz w:val="21"/>
          <w:szCs w:val="21"/>
          <w:highlight w:val="none"/>
          <w:u w:val="single"/>
        </w:rPr>
        <w:t xml:space="preserve">  （必须是磋商时使用的单位名称）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帐    号：</w:t>
      </w:r>
      <w:r>
        <w:rPr>
          <w:rFonts w:hint="eastAsia" w:hAnsi="宋体"/>
          <w:color w:val="auto"/>
          <w:sz w:val="21"/>
          <w:szCs w:val="21"/>
          <w:highlight w:val="none"/>
          <w:u w:val="single"/>
        </w:rPr>
        <w:t xml:space="preserve">  （必须是磋商时使用的帐号）     </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开户银行：</w:t>
      </w:r>
      <w:r>
        <w:rPr>
          <w:rFonts w:hint="eastAsia" w:hAnsi="宋体"/>
          <w:color w:val="auto"/>
          <w:sz w:val="21"/>
          <w:szCs w:val="21"/>
          <w:highlight w:val="none"/>
          <w:u w:val="single"/>
        </w:rPr>
        <w:t xml:space="preserve">    银行   省    市          (分行/支行)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本单位谨承诺上述资料是正确、真实的，如因上述证明与事实不符导致的一切损失，本单位保证承担赔偿等一切法律责任。</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磋商保证金退回时，请按上述资料退回。</w:t>
      </w:r>
    </w:p>
    <w:p>
      <w:pPr>
        <w:spacing w:line="460" w:lineRule="exact"/>
        <w:rPr>
          <w:rFonts w:hAnsi="宋体"/>
          <w:b/>
          <w:bCs/>
          <w:color w:val="auto"/>
          <w:sz w:val="21"/>
          <w:szCs w:val="21"/>
          <w:highlight w:val="none"/>
        </w:rPr>
      </w:pPr>
    </w:p>
    <w:p>
      <w:pPr>
        <w:spacing w:line="460" w:lineRule="exact"/>
        <w:rPr>
          <w:rFonts w:hAnsi="宋体"/>
          <w:b/>
          <w:bCs/>
          <w:color w:val="auto"/>
          <w:sz w:val="21"/>
          <w:szCs w:val="21"/>
          <w:highlight w:val="none"/>
        </w:rPr>
      </w:pPr>
      <w:r>
        <w:rPr>
          <w:rFonts w:hint="eastAsia" w:hAnsi="宋体"/>
          <w:b/>
          <w:bCs/>
          <w:color w:val="auto"/>
          <w:sz w:val="21"/>
          <w:szCs w:val="21"/>
          <w:highlight w:val="none"/>
        </w:rPr>
        <w:t>附件：磋商保证金进帐单复印件（加盖公章）</w:t>
      </w:r>
    </w:p>
    <w:p>
      <w:pPr>
        <w:spacing w:line="460" w:lineRule="exact"/>
        <w:ind w:right="965" w:rightChars="402"/>
        <w:jc w:val="right"/>
        <w:rPr>
          <w:rFonts w:hAnsi="宋体"/>
          <w:color w:val="auto"/>
          <w:sz w:val="21"/>
          <w:szCs w:val="21"/>
          <w:highlight w:val="none"/>
        </w:rPr>
      </w:pPr>
      <w:r>
        <w:rPr>
          <w:rFonts w:hint="eastAsia" w:hAnsi="宋体"/>
          <w:color w:val="auto"/>
          <w:sz w:val="21"/>
          <w:szCs w:val="21"/>
          <w:highlight w:val="none"/>
        </w:rPr>
        <w:t>（公章）</w:t>
      </w:r>
    </w:p>
    <w:p>
      <w:pPr>
        <w:spacing w:line="460" w:lineRule="exact"/>
        <w:ind w:right="718" w:rightChars="299"/>
        <w:jc w:val="right"/>
        <w:rPr>
          <w:rFonts w:hAnsi="宋体"/>
          <w:color w:val="auto"/>
          <w:sz w:val="21"/>
          <w:szCs w:val="21"/>
          <w:highlight w:val="none"/>
        </w:rPr>
      </w:pPr>
      <w:r>
        <w:rPr>
          <w:rFonts w:hint="eastAsia" w:hAnsi="宋体"/>
          <w:color w:val="auto"/>
          <w:sz w:val="21"/>
          <w:szCs w:val="21"/>
          <w:highlight w:val="none"/>
        </w:rPr>
        <w:t>年   月   日</w:t>
      </w:r>
    </w:p>
    <w:p>
      <w:pPr>
        <w:spacing w:line="460" w:lineRule="exact"/>
        <w:rPr>
          <w:rFonts w:hAnsi="宋体"/>
          <w:color w:val="auto"/>
          <w:sz w:val="21"/>
          <w:szCs w:val="21"/>
          <w:highlight w:val="none"/>
        </w:rPr>
      </w:pPr>
      <w:r>
        <w:rPr>
          <w:rFonts w:hint="eastAsia" w:hAnsi="宋体"/>
          <w:color w:val="auto"/>
          <w:sz w:val="21"/>
          <w:szCs w:val="21"/>
          <w:highlight w:val="none"/>
        </w:rPr>
        <w:t xml:space="preserve">单位名称：           </w:t>
      </w:r>
    </w:p>
    <w:p>
      <w:pPr>
        <w:spacing w:line="460" w:lineRule="exact"/>
        <w:rPr>
          <w:rFonts w:hAnsi="宋体"/>
          <w:color w:val="auto"/>
          <w:sz w:val="21"/>
          <w:szCs w:val="21"/>
          <w:highlight w:val="none"/>
        </w:rPr>
      </w:pPr>
      <w:r>
        <w:rPr>
          <w:rFonts w:hint="eastAsia" w:hAnsi="宋体"/>
          <w:color w:val="auto"/>
          <w:sz w:val="21"/>
          <w:szCs w:val="21"/>
          <w:highlight w:val="none"/>
        </w:rPr>
        <w:t xml:space="preserve">单位地址：           </w:t>
      </w:r>
    </w:p>
    <w:p>
      <w:pPr>
        <w:spacing w:line="460" w:lineRule="exact"/>
        <w:rPr>
          <w:rFonts w:hAnsi="宋体"/>
          <w:color w:val="auto"/>
          <w:sz w:val="21"/>
          <w:szCs w:val="21"/>
          <w:highlight w:val="none"/>
        </w:rPr>
      </w:pPr>
      <w:r>
        <w:rPr>
          <w:rFonts w:hint="eastAsia" w:hAnsi="宋体"/>
          <w:color w:val="auto"/>
          <w:sz w:val="21"/>
          <w:szCs w:val="21"/>
          <w:highlight w:val="none"/>
        </w:rPr>
        <w:t xml:space="preserve">联系人：                   </w:t>
      </w:r>
    </w:p>
    <w:p>
      <w:pPr>
        <w:spacing w:line="460" w:lineRule="exact"/>
        <w:rPr>
          <w:rFonts w:hAnsi="宋体"/>
          <w:color w:val="auto"/>
          <w:sz w:val="21"/>
          <w:szCs w:val="21"/>
          <w:highlight w:val="none"/>
        </w:rPr>
      </w:pPr>
      <w:r>
        <w:rPr>
          <w:rFonts w:hint="eastAsia" w:hAnsi="宋体"/>
          <w:color w:val="auto"/>
          <w:sz w:val="21"/>
          <w:szCs w:val="21"/>
          <w:highlight w:val="none"/>
        </w:rPr>
        <w:t xml:space="preserve">单位电话：                 联系人手机：              </w:t>
      </w:r>
    </w:p>
    <w:p>
      <w:pPr>
        <w:spacing w:line="360" w:lineRule="auto"/>
        <w:rPr>
          <w:rFonts w:hAnsi="宋体"/>
          <w:b/>
          <w:color w:val="auto"/>
          <w:sz w:val="21"/>
          <w:szCs w:val="21"/>
          <w:highlight w:val="none"/>
        </w:rPr>
      </w:pPr>
    </w:p>
    <w:p>
      <w:pPr>
        <w:rPr>
          <w:color w:val="auto"/>
          <w:sz w:val="21"/>
          <w:szCs w:val="21"/>
          <w:highlight w:val="none"/>
        </w:rPr>
      </w:pPr>
      <w:r>
        <w:rPr>
          <w:rFonts w:hint="eastAsia"/>
          <w:color w:val="auto"/>
          <w:sz w:val="21"/>
          <w:szCs w:val="21"/>
          <w:highlight w:val="none"/>
        </w:rPr>
        <w:t>注：1、本说明的所有内容（包括所填写内容）均需打印；2、本说明及磋商保证金进帐单复印件（加盖公章）在磋商时放入唱标信封内。</w:t>
      </w:r>
    </w:p>
    <w:p>
      <w:pPr>
        <w:rPr>
          <w:color w:val="auto"/>
          <w:highlight w:val="none"/>
        </w:rPr>
      </w:pPr>
    </w:p>
    <w:p>
      <w:pPr>
        <w:overflowPunct w:val="0"/>
        <w:spacing w:line="460" w:lineRule="exact"/>
        <w:rPr>
          <w:rFonts w:hAnsi="宋体"/>
          <w:color w:val="auto"/>
          <w:sz w:val="22"/>
          <w:szCs w:val="22"/>
          <w:highlight w:val="none"/>
        </w:rPr>
      </w:pPr>
      <w:r>
        <w:rPr>
          <w:color w:val="auto"/>
          <w:highlight w:val="none"/>
        </w:rPr>
        <w:br w:type="page"/>
      </w:r>
    </w:p>
    <w:p>
      <w:pPr>
        <w:pStyle w:val="2"/>
        <w:pageBreakBefore/>
        <w:spacing w:line="360" w:lineRule="auto"/>
        <w:jc w:val="center"/>
        <w:rPr>
          <w:bCs/>
          <w:color w:val="auto"/>
          <w:sz w:val="28"/>
          <w:szCs w:val="28"/>
          <w:highlight w:val="none"/>
        </w:rPr>
      </w:pPr>
      <w:bookmarkStart w:id="255" w:name="_Toc20966"/>
      <w:bookmarkStart w:id="256" w:name="_Toc19888"/>
      <w:r>
        <w:rPr>
          <w:rFonts w:hint="eastAsia"/>
          <w:bCs/>
          <w:color w:val="auto"/>
          <w:sz w:val="28"/>
          <w:szCs w:val="28"/>
          <w:highlight w:val="none"/>
        </w:rPr>
        <w:t>第三部分 技术文件</w:t>
      </w:r>
      <w:bookmarkEnd w:id="255"/>
      <w:bookmarkEnd w:id="256"/>
    </w:p>
    <w:p>
      <w:pPr>
        <w:jc w:val="center"/>
        <w:rPr>
          <w:color w:val="auto"/>
          <w:highlight w:val="none"/>
        </w:rPr>
      </w:pPr>
    </w:p>
    <w:p>
      <w:pPr>
        <w:pStyle w:val="2"/>
        <w:numPr>
          <w:ilvl w:val="0"/>
          <w:numId w:val="17"/>
        </w:numPr>
        <w:jc w:val="center"/>
        <w:rPr>
          <w:color w:val="auto"/>
          <w:highlight w:val="none"/>
        </w:rPr>
      </w:pPr>
      <w:bookmarkStart w:id="257" w:name="_Toc9540"/>
      <w:bookmarkStart w:id="258" w:name="_Toc25949"/>
      <w:bookmarkStart w:id="259" w:name="_Toc31683"/>
      <w:bookmarkStart w:id="260" w:name="_Toc28884"/>
      <w:bookmarkStart w:id="261" w:name="_Toc1852"/>
      <w:bookmarkStart w:id="262" w:name="_Toc15167"/>
      <w:bookmarkStart w:id="263" w:name="_Toc9579"/>
      <w:bookmarkStart w:id="264" w:name="_Toc24064"/>
      <w:r>
        <w:rPr>
          <w:rFonts w:hint="eastAsia"/>
          <w:color w:val="auto"/>
          <w:highlight w:val="none"/>
        </w:rPr>
        <w:t>技术方案</w:t>
      </w:r>
      <w:bookmarkEnd w:id="257"/>
      <w:bookmarkEnd w:id="258"/>
      <w:bookmarkEnd w:id="259"/>
      <w:bookmarkEnd w:id="260"/>
      <w:bookmarkEnd w:id="261"/>
      <w:bookmarkEnd w:id="262"/>
      <w:bookmarkEnd w:id="263"/>
      <w:bookmarkEnd w:id="264"/>
    </w:p>
    <w:p>
      <w:pPr>
        <w:snapToGrid w:val="0"/>
        <w:spacing w:line="360" w:lineRule="auto"/>
        <w:rPr>
          <w:rFonts w:hAnsi="宋体"/>
          <w:color w:val="auto"/>
          <w:sz w:val="21"/>
          <w:szCs w:val="21"/>
          <w:highlight w:val="none"/>
        </w:rPr>
      </w:pPr>
    </w:p>
    <w:p>
      <w:pPr>
        <w:snapToGrid w:val="0"/>
        <w:spacing w:line="360" w:lineRule="auto"/>
        <w:ind w:firstLine="420" w:firstLineChars="200"/>
        <w:rPr>
          <w:rFonts w:hAnsi="宋体"/>
          <w:color w:val="auto"/>
          <w:sz w:val="21"/>
          <w:szCs w:val="21"/>
          <w:highlight w:val="none"/>
        </w:rPr>
      </w:pPr>
      <w:r>
        <w:rPr>
          <w:rFonts w:hint="eastAsia" w:hAnsi="宋体"/>
          <w:color w:val="auto"/>
          <w:sz w:val="21"/>
          <w:szCs w:val="21"/>
          <w:highlight w:val="none"/>
        </w:rPr>
        <w:t>根据用户需求书及评分标准要求编写。</w:t>
      </w:r>
    </w:p>
    <w:p>
      <w:pPr>
        <w:pStyle w:val="12"/>
        <w:rPr>
          <w:rFonts w:hAnsi="宋体"/>
          <w:color w:val="auto"/>
          <w:sz w:val="21"/>
          <w:szCs w:val="21"/>
          <w:highlight w:val="none"/>
        </w:rPr>
      </w:pPr>
    </w:p>
    <w:p>
      <w:pPr>
        <w:pStyle w:val="2"/>
        <w:numPr>
          <w:ilvl w:val="0"/>
          <w:numId w:val="17"/>
        </w:numPr>
        <w:jc w:val="center"/>
        <w:rPr>
          <w:color w:val="auto"/>
          <w:highlight w:val="none"/>
        </w:rPr>
      </w:pPr>
      <w:bookmarkStart w:id="265" w:name="_Toc15530"/>
      <w:bookmarkStart w:id="266" w:name="_Toc11036"/>
      <w:bookmarkStart w:id="267" w:name="_Toc23849"/>
      <w:bookmarkStart w:id="268" w:name="_Toc28953"/>
      <w:bookmarkStart w:id="269" w:name="_Toc12278"/>
      <w:bookmarkStart w:id="270" w:name="_Toc30049"/>
      <w:bookmarkStart w:id="271" w:name="_Toc24947"/>
      <w:bookmarkStart w:id="272" w:name="_Toc9619"/>
      <w:r>
        <w:rPr>
          <w:rFonts w:hint="eastAsia"/>
          <w:color w:val="auto"/>
          <w:highlight w:val="none"/>
        </w:rPr>
        <w:t>其他资料</w:t>
      </w:r>
      <w:bookmarkEnd w:id="265"/>
      <w:bookmarkEnd w:id="266"/>
      <w:bookmarkEnd w:id="267"/>
      <w:bookmarkEnd w:id="268"/>
      <w:bookmarkEnd w:id="269"/>
      <w:bookmarkEnd w:id="270"/>
      <w:bookmarkEnd w:id="271"/>
      <w:bookmarkEnd w:id="272"/>
    </w:p>
    <w:p>
      <w:pPr>
        <w:pStyle w:val="28"/>
        <w:spacing w:line="360" w:lineRule="auto"/>
        <w:ind w:firstLine="420"/>
        <w:rPr>
          <w:rFonts w:hAnsi="宋体"/>
          <w:color w:val="auto"/>
          <w:highlight w:val="none"/>
        </w:rPr>
      </w:pPr>
    </w:p>
    <w:p>
      <w:pPr>
        <w:spacing w:line="360" w:lineRule="auto"/>
        <w:rPr>
          <w:rFonts w:hAnsi="宋体"/>
          <w:color w:val="auto"/>
          <w:sz w:val="21"/>
          <w:szCs w:val="21"/>
          <w:highlight w:val="none"/>
        </w:rPr>
      </w:pPr>
      <w:r>
        <w:rPr>
          <w:rFonts w:hint="eastAsia" w:hAnsi="宋体"/>
          <w:color w:val="auto"/>
          <w:sz w:val="21"/>
          <w:szCs w:val="21"/>
          <w:highlight w:val="none"/>
        </w:rPr>
        <w:t>1、磋商文件要求提供的其他资料（如有）</w:t>
      </w:r>
    </w:p>
    <w:p>
      <w:pPr>
        <w:spacing w:line="360" w:lineRule="auto"/>
        <w:rPr>
          <w:rFonts w:hAnsi="宋体"/>
          <w:color w:val="auto"/>
          <w:sz w:val="21"/>
          <w:szCs w:val="21"/>
          <w:highlight w:val="none"/>
        </w:rPr>
      </w:pPr>
      <w:r>
        <w:rPr>
          <w:rFonts w:hint="eastAsia" w:hAnsi="宋体"/>
          <w:color w:val="auto"/>
          <w:sz w:val="21"/>
          <w:szCs w:val="21"/>
          <w:highlight w:val="none"/>
        </w:rPr>
        <w:t>2、供应商认为需要提供的其他资料（如有）</w:t>
      </w:r>
    </w:p>
    <w:p>
      <w:pPr>
        <w:pStyle w:val="12"/>
        <w:ind w:firstLine="0" w:firstLineChars="0"/>
        <w:rPr>
          <w:rFonts w:hAnsi="宋体"/>
          <w:color w:val="auto"/>
          <w:sz w:val="21"/>
          <w:szCs w:val="21"/>
          <w:highlight w:val="none"/>
        </w:rPr>
      </w:pPr>
    </w:p>
    <w:p>
      <w:pPr>
        <w:widowControl/>
        <w:autoSpaceDE/>
        <w:autoSpaceDN/>
        <w:adjustRightInd/>
        <w:rPr>
          <w:rFonts w:hAnsi="宋体"/>
          <w:b/>
          <w:color w:val="auto"/>
          <w:sz w:val="28"/>
          <w:szCs w:val="28"/>
          <w:highlight w:val="none"/>
        </w:rPr>
      </w:pPr>
      <w:bookmarkStart w:id="273" w:name="_Toc17492"/>
      <w:r>
        <w:rPr>
          <w:color w:val="auto"/>
          <w:sz w:val="28"/>
          <w:szCs w:val="28"/>
          <w:highlight w:val="none"/>
        </w:rPr>
        <w:br w:type="page"/>
      </w:r>
    </w:p>
    <w:p>
      <w:pPr>
        <w:pStyle w:val="2"/>
        <w:jc w:val="center"/>
        <w:rPr>
          <w:color w:val="auto"/>
          <w:sz w:val="28"/>
          <w:szCs w:val="28"/>
          <w:highlight w:val="none"/>
        </w:rPr>
      </w:pPr>
      <w:r>
        <w:rPr>
          <w:rFonts w:hint="eastAsia"/>
          <w:color w:val="auto"/>
          <w:sz w:val="28"/>
          <w:szCs w:val="28"/>
          <w:highlight w:val="none"/>
        </w:rPr>
        <w:t>第四部分 唱标信封</w:t>
      </w:r>
      <w:r>
        <w:rPr>
          <w:rFonts w:hint="eastAsia"/>
          <w:bCs/>
          <w:color w:val="auto"/>
          <w:sz w:val="28"/>
          <w:szCs w:val="28"/>
          <w:highlight w:val="none"/>
        </w:rPr>
        <w:t>（单独编制装订成册，单独封装）</w:t>
      </w:r>
      <w:bookmarkEnd w:id="273"/>
    </w:p>
    <w:p>
      <w:pPr>
        <w:pStyle w:val="75"/>
        <w:spacing w:line="460" w:lineRule="exact"/>
        <w:ind w:firstLine="0" w:firstLineChars="0"/>
        <w:rPr>
          <w:rFonts w:ascii="宋体" w:eastAsia="宋体"/>
          <w:color w:val="auto"/>
          <w:sz w:val="21"/>
          <w:szCs w:val="21"/>
          <w:highlight w:val="none"/>
        </w:rPr>
      </w:pPr>
      <w:r>
        <w:rPr>
          <w:rFonts w:hint="eastAsia" w:ascii="宋体" w:eastAsia="宋体"/>
          <w:color w:val="auto"/>
          <w:sz w:val="21"/>
          <w:szCs w:val="21"/>
          <w:highlight w:val="none"/>
        </w:rPr>
        <w:t>唱标信封内装：</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（1）报价一览表复印件加盖公章；</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（2）磋商保证金汇入情况说明及银行汇款凭证（或担保函）复印件加盖公章；</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（3）法定代表人证明书加盖公章；</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（4）法定代表人授权委托书加盖公章（法定代表人磋商的除外）；</w:t>
      </w:r>
    </w:p>
    <w:p>
      <w:pPr>
        <w:pStyle w:val="75"/>
        <w:spacing w:line="460" w:lineRule="exact"/>
        <w:ind w:firstLine="433"/>
        <w:rPr>
          <w:rFonts w:ascii="宋体" w:eastAsia="宋体"/>
          <w:color w:val="auto"/>
          <w:sz w:val="22"/>
          <w:szCs w:val="22"/>
          <w:highlight w:val="none"/>
        </w:rPr>
      </w:pPr>
      <w:r>
        <w:rPr>
          <w:rFonts w:hint="eastAsia" w:ascii="宋体" w:eastAsia="宋体"/>
          <w:color w:val="auto"/>
          <w:sz w:val="21"/>
          <w:szCs w:val="21"/>
          <w:highlight w:val="none"/>
        </w:rPr>
        <w:t>（5）磋商文件电子文件（签字、盖章后的磋商响应文件（含价格、商务技术文件）PDF格式扫描版电子文件, 可采用光盘介质或U盘装载）；</w:t>
      </w:r>
    </w:p>
    <w:sectPr>
      <w:headerReference r:id="rId8" w:type="first"/>
      <w:footerReference r:id="rId11" w:type="first"/>
      <w:headerReference r:id="rId7" w:type="default"/>
      <w:footerReference r:id="rId9" w:type="default"/>
      <w:footerReference r:id="rId10" w:type="even"/>
      <w:pgSz w:w="11907" w:h="16840"/>
      <w:pgMar w:top="1440" w:right="1134" w:bottom="1440" w:left="1134" w:header="850" w:footer="720"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30204"/>
    <w:charset w:val="00"/>
    <w:family w:val="swiss"/>
    <w:pitch w:val="default"/>
    <w:sig w:usb0="00000000" w:usb1="00000000" w:usb2="00000000" w:usb3="00000000" w:csb0="00000093"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DFKai-SB">
    <w:panose1 w:val="03000509000000000000"/>
    <w:charset w:val="88"/>
    <w:family w:val="script"/>
    <w:pitch w:val="default"/>
    <w:sig w:usb0="00000003" w:usb1="082E0000" w:usb2="00000016" w:usb3="00000000" w:csb0="00100001" w:csb1="00000000"/>
  </w:font>
  <w:font w:name="Arial Black">
    <w:panose1 w:val="020B0A04020102020204"/>
    <w:charset w:val="00"/>
    <w:family w:val="swiss"/>
    <w:pitch w:val="default"/>
    <w:sig w:usb0="00000287" w:usb1="00000000" w:usb2="00000000" w:usb3="00000000" w:csb0="2000009F" w:csb1="DFD7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5"/>
      </w:rPr>
    </w:pPr>
    <w:r>
      <w:fldChar w:fldCharType="begin"/>
    </w:r>
    <w:r>
      <w:rPr>
        <w:rStyle w:val="55"/>
      </w:rPr>
      <w:instrText xml:space="preserve">PAGE  </w:instrText>
    </w:r>
    <w:r>
      <w:fldChar w:fldCharType="separate"/>
    </w:r>
    <w:r>
      <w:rPr>
        <w:rStyle w:val="55"/>
      </w:rPr>
      <w:t>5</w:t>
    </w:r>
    <w:r>
      <w:fldChar w:fldCharType="end"/>
    </w:r>
  </w:p>
  <w:p>
    <w:pPr>
      <w:pStyle w:val="3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5777996"/>
    </w:sdtPr>
    <w:sdtContent>
      <w:p>
        <w:pPr>
          <w:pStyle w:val="33"/>
          <w:jc w:val="center"/>
        </w:pPr>
        <w:r>
          <w:fldChar w:fldCharType="begin"/>
        </w:r>
        <w:r>
          <w:instrText xml:space="preserve">PAGE   \* MERGEFORMAT</w:instrText>
        </w:r>
        <w:r>
          <w:fldChar w:fldCharType="separate"/>
        </w:r>
        <w:r>
          <w:rPr>
            <w:lang w:val="zh-CN"/>
          </w:rPr>
          <w:t>1</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5"/>
      </w:rPr>
    </w:pPr>
    <w:r>
      <w:fldChar w:fldCharType="begin"/>
    </w:r>
    <w:r>
      <w:rPr>
        <w:rStyle w:val="55"/>
      </w:rPr>
      <w:instrText xml:space="preserve">PAGE  </w:instrText>
    </w:r>
    <w:r>
      <w:fldChar w:fldCharType="end"/>
    </w:r>
  </w:p>
  <w:p>
    <w:pPr>
      <w:pStyle w:val="3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3"/>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JrTRPQAQAApQMAAA4AAABkcnMvZTJvRG9jLnhtbK1TS27bMBDd&#10;F8gdCO5rKQbcCoLloIWRoEDRFkhzAJoiLQL8gUNb8gXaG3TVTfc9l8/RISU5QbLJohtqhjPzOO/N&#10;aH0zGE2OIoBytqHXi5ISYblrld039OH77duKEojMtkw7Kxp6EkBvNldv1r2vxdJ1TrciEASxUPe+&#10;oV2Mvi4K4J0wDBbOC4tB6YJhEd2wL9rAekQ3uliW5buid6H1wXEBgLfbMUgnxPAaQCel4mLr+MEI&#10;G0fUIDSLSAk65YFucrdSCh6/SgkiEt1QZBrziY+gvUtnsVmzeh+Y7xSfWmCvaeEZJ8OUxUcvUFsW&#10;GTkE9QLKKB4cOBkX3JliJJIVQRbX5TNt7jvmReaCUoO/iA7/D5Z/OX4LRLUNXVFimcGBn3/9PP/+&#10;e/7zg6ySPL2HGrPuPebF4aMbcGnme8DLxHqQwaQv8iEYR3FPF3HFEAlPRdWyqkoMcYzNDuIXj+U+&#10;QLwTzpBkNDTg9LKo7PgZ4pg6p6TXrLtVWucJakt6RF1V71e54hJCdG1TssjLMOEkTmPvyYrDbpiI&#10;7lx7Qp49LkRDLe4/JfqTRb3T7sxGmI3dZCR88B8OERvKfSbUEQr5JQenl5lOm5bW46mfsx7/rs0/&#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NJrTRPQAQAApQMAAA4AAAAAAAAAAQAgAAAAIgEA&#10;AGRycy9lMm9Eb2MueG1sUEsFBgAAAAAGAAYAWQEAAGQFAAAAAA==&#10;">
              <v:fill on="f" focussize="0,0"/>
              <v:stroke on="f" weight="1.25pt"/>
              <v:imagedata o:title=""/>
              <o:lock v:ext="edit" aspectratio="f"/>
              <v:textbox inset="0mm,0mm,0mm,0mm" style="mso-fit-shape-to-text:t;">
                <w:txbxContent>
                  <w:p>
                    <w:pPr>
                      <w:pStyle w:val="33"/>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tabs>
        <w:tab w:val="left" w:pos="5049"/>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wordWrap w:val="0"/>
      <w:jc w:val="right"/>
      <w:rPr>
        <w:bCs/>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lef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EAC35"/>
    <w:multiLevelType w:val="singleLevel"/>
    <w:tmpl w:val="92EEAC35"/>
    <w:lvl w:ilvl="0" w:tentative="0">
      <w:start w:val="1"/>
      <w:numFmt w:val="chineseCounting"/>
      <w:suff w:val="nothing"/>
      <w:lvlText w:val="%1、"/>
      <w:lvlJc w:val="left"/>
      <w:pPr>
        <w:ind w:left="0" w:firstLine="420"/>
      </w:pPr>
      <w:rPr>
        <w:rFonts w:hint="eastAsia"/>
      </w:rPr>
    </w:lvl>
  </w:abstractNum>
  <w:abstractNum w:abstractNumId="1">
    <w:nsid w:val="EC01E890"/>
    <w:multiLevelType w:val="singleLevel"/>
    <w:tmpl w:val="EC01E890"/>
    <w:lvl w:ilvl="0" w:tentative="0">
      <w:start w:val="1"/>
      <w:numFmt w:val="chineseCounting"/>
      <w:suff w:val="nothing"/>
      <w:lvlText w:val="%1、"/>
      <w:lvlJc w:val="left"/>
      <w:pPr>
        <w:ind w:left="0" w:firstLine="420"/>
      </w:pPr>
      <w:rPr>
        <w:rFonts w:hint="eastAsia"/>
      </w:rPr>
    </w:lvl>
  </w:abstractNum>
  <w:abstractNum w:abstractNumId="2">
    <w:nsid w:val="00000010"/>
    <w:multiLevelType w:val="multilevel"/>
    <w:tmpl w:val="00000010"/>
    <w:lvl w:ilvl="0" w:tentative="0">
      <w:start w:val="1"/>
      <w:numFmt w:val="decimal"/>
      <w:lvlText w:val="%1"/>
      <w:lvlJc w:val="left"/>
      <w:pPr>
        <w:tabs>
          <w:tab w:val="left" w:pos="425"/>
        </w:tabs>
        <w:ind w:left="425" w:hanging="425"/>
      </w:pPr>
    </w:lvl>
    <w:lvl w:ilvl="1" w:tentative="0">
      <w:start w:val="1"/>
      <w:numFmt w:val="decimal"/>
      <w:pStyle w:val="102"/>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0000011"/>
    <w:multiLevelType w:val="multilevel"/>
    <w:tmpl w:val="00000011"/>
    <w:lvl w:ilvl="0" w:tentative="0">
      <w:start w:val="4"/>
      <w:numFmt w:val="japaneseCounting"/>
      <w:lvlText w:val="第%1篇"/>
      <w:lvlJc w:val="left"/>
      <w:pPr>
        <w:tabs>
          <w:tab w:val="left" w:pos="1080"/>
        </w:tabs>
        <w:ind w:left="1080" w:hanging="1080"/>
      </w:pPr>
      <w:rPr>
        <w:rFonts w:hint="default"/>
      </w:rPr>
    </w:lvl>
    <w:lvl w:ilvl="1" w:tentative="0">
      <w:start w:val="3"/>
      <w:numFmt w:val="japaneseCounting"/>
      <w:lvlText w:val="%2、"/>
      <w:lvlJc w:val="left"/>
      <w:pPr>
        <w:tabs>
          <w:tab w:val="left" w:pos="900"/>
        </w:tabs>
        <w:ind w:left="900" w:hanging="48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2"/>
    <w:multiLevelType w:val="multilevel"/>
    <w:tmpl w:val="00000012"/>
    <w:lvl w:ilvl="0" w:tentative="0">
      <w:start w:val="1"/>
      <w:numFmt w:val="bullet"/>
      <w:pStyle w:val="9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13"/>
    <w:multiLevelType w:val="multilevel"/>
    <w:tmpl w:val="00000013"/>
    <w:lvl w:ilvl="0" w:tentative="0">
      <w:start w:val="1"/>
      <w:numFmt w:val="decimal"/>
      <w:pStyle w:val="110"/>
      <w:lvlText w:val="%1、"/>
      <w:lvlJc w:val="left"/>
      <w:pPr>
        <w:tabs>
          <w:tab w:val="left" w:pos="786"/>
        </w:tabs>
        <w:ind w:left="786" w:hanging="360"/>
      </w:pPr>
    </w:lvl>
    <w:lvl w:ilvl="1" w:tentative="0">
      <w:start w:val="1"/>
      <w:numFmt w:val="decimal"/>
      <w:lvlText w:val="%2、"/>
      <w:lvlJc w:val="left"/>
      <w:pPr>
        <w:tabs>
          <w:tab w:val="left" w:pos="1206"/>
        </w:tabs>
        <w:ind w:left="1206" w:hanging="360"/>
      </w:pPr>
    </w:lvl>
    <w:lvl w:ilvl="2" w:tentative="0">
      <w:start w:val="1"/>
      <w:numFmt w:val="lowerRoman"/>
      <w:lvlText w:val="%3."/>
      <w:lvlJc w:val="right"/>
      <w:pPr>
        <w:tabs>
          <w:tab w:val="left" w:pos="1686"/>
        </w:tabs>
        <w:ind w:left="1686" w:hanging="420"/>
      </w:pPr>
    </w:lvl>
    <w:lvl w:ilvl="3" w:tentative="0">
      <w:start w:val="2"/>
      <w:numFmt w:val="decimal"/>
      <w:lvlText w:val="%4）"/>
      <w:lvlJc w:val="left"/>
      <w:pPr>
        <w:tabs>
          <w:tab w:val="left" w:pos="2046"/>
        </w:tabs>
        <w:ind w:left="2046"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0000016"/>
    <w:multiLevelType w:val="multilevel"/>
    <w:tmpl w:val="00000016"/>
    <w:lvl w:ilvl="0" w:tentative="0">
      <w:start w:val="1"/>
      <w:numFmt w:val="decimal"/>
      <w:pStyle w:val="14"/>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20"/>
    <w:multiLevelType w:val="multilevel"/>
    <w:tmpl w:val="00000020"/>
    <w:lvl w:ilvl="0" w:tentative="0">
      <w:start w:val="1"/>
      <w:numFmt w:val="bullet"/>
      <w:pStyle w:val="9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28"/>
    <w:multiLevelType w:val="multilevel"/>
    <w:tmpl w:val="00000028"/>
    <w:lvl w:ilvl="0" w:tentative="0">
      <w:start w:val="1"/>
      <w:numFmt w:val="japaneseCounting"/>
      <w:lvlText w:val="第%1篇"/>
      <w:lvlJc w:val="left"/>
      <w:pPr>
        <w:ind w:left="1080" w:hanging="1080"/>
      </w:pPr>
      <w:rPr>
        <w:rFonts w:hint="default"/>
      </w:rPr>
    </w:lvl>
    <w:lvl w:ilvl="1" w:tentative="0">
      <w:start w:val="1"/>
      <w:numFmt w:val="japaneseCounting"/>
      <w:lvlText w:val="（%2）"/>
      <w:lvlJc w:val="left"/>
      <w:pPr>
        <w:ind w:left="1185" w:hanging="7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29"/>
    <w:multiLevelType w:val="multilevel"/>
    <w:tmpl w:val="00000029"/>
    <w:lvl w:ilvl="0" w:tentative="0">
      <w:start w:val="1"/>
      <w:numFmt w:val="bullet"/>
      <w:pStyle w:val="48"/>
      <w:lvlText w:val=""/>
      <w:lvlJc w:val="left"/>
      <w:pPr>
        <w:tabs>
          <w:tab w:val="left" w:pos="2121"/>
        </w:tabs>
        <w:ind w:left="2121" w:hanging="420"/>
      </w:pPr>
      <w:rPr>
        <w:rFonts w:hint="default" w:ascii="Wingdings" w:hAnsi="Wingdings"/>
      </w:rPr>
    </w:lvl>
    <w:lvl w:ilvl="1" w:tentative="0">
      <w:start w:val="1"/>
      <w:numFmt w:val="bullet"/>
      <w:lvlText w:val=""/>
      <w:lvlJc w:val="left"/>
      <w:pPr>
        <w:tabs>
          <w:tab w:val="left" w:pos="2541"/>
        </w:tabs>
        <w:ind w:left="2541" w:hanging="420"/>
      </w:pPr>
      <w:rPr>
        <w:rFonts w:hint="default" w:ascii="Wingdings" w:hAnsi="Wingdings"/>
      </w:rPr>
    </w:lvl>
    <w:lvl w:ilvl="2" w:tentative="0">
      <w:start w:val="1"/>
      <w:numFmt w:val="bullet"/>
      <w:lvlText w:val=""/>
      <w:lvlJc w:val="left"/>
      <w:pPr>
        <w:tabs>
          <w:tab w:val="left" w:pos="2961"/>
        </w:tabs>
        <w:ind w:left="2961" w:hanging="420"/>
      </w:pPr>
      <w:rPr>
        <w:rFonts w:hint="default" w:ascii="Wingdings" w:hAnsi="Wingdings"/>
      </w:rPr>
    </w:lvl>
    <w:lvl w:ilvl="3" w:tentative="0">
      <w:start w:val="1"/>
      <w:numFmt w:val="bullet"/>
      <w:lvlText w:val=""/>
      <w:lvlJc w:val="left"/>
      <w:pPr>
        <w:tabs>
          <w:tab w:val="left" w:pos="3381"/>
        </w:tabs>
        <w:ind w:left="3381" w:hanging="420"/>
      </w:pPr>
      <w:rPr>
        <w:rFonts w:hint="default" w:ascii="Wingdings" w:hAnsi="Wingdings"/>
      </w:rPr>
    </w:lvl>
    <w:lvl w:ilvl="4" w:tentative="0">
      <w:start w:val="1"/>
      <w:numFmt w:val="bullet"/>
      <w:lvlText w:val=""/>
      <w:lvlJc w:val="left"/>
      <w:pPr>
        <w:tabs>
          <w:tab w:val="left" w:pos="3801"/>
        </w:tabs>
        <w:ind w:left="3801" w:hanging="420"/>
      </w:pPr>
      <w:rPr>
        <w:rFonts w:hint="default" w:ascii="Wingdings" w:hAnsi="Wingdings"/>
      </w:rPr>
    </w:lvl>
    <w:lvl w:ilvl="5" w:tentative="0">
      <w:start w:val="1"/>
      <w:numFmt w:val="bullet"/>
      <w:lvlText w:val=""/>
      <w:lvlJc w:val="left"/>
      <w:pPr>
        <w:tabs>
          <w:tab w:val="left" w:pos="4221"/>
        </w:tabs>
        <w:ind w:left="4221" w:hanging="420"/>
      </w:pPr>
      <w:rPr>
        <w:rFonts w:hint="default" w:ascii="Wingdings" w:hAnsi="Wingdings"/>
      </w:rPr>
    </w:lvl>
    <w:lvl w:ilvl="6" w:tentative="0">
      <w:start w:val="1"/>
      <w:numFmt w:val="bullet"/>
      <w:lvlText w:val=""/>
      <w:lvlJc w:val="left"/>
      <w:pPr>
        <w:tabs>
          <w:tab w:val="left" w:pos="4641"/>
        </w:tabs>
        <w:ind w:left="4641" w:hanging="420"/>
      </w:pPr>
      <w:rPr>
        <w:rFonts w:hint="default" w:ascii="Wingdings" w:hAnsi="Wingdings"/>
      </w:rPr>
    </w:lvl>
    <w:lvl w:ilvl="7" w:tentative="0">
      <w:start w:val="1"/>
      <w:numFmt w:val="bullet"/>
      <w:lvlText w:val=""/>
      <w:lvlJc w:val="left"/>
      <w:pPr>
        <w:tabs>
          <w:tab w:val="left" w:pos="5061"/>
        </w:tabs>
        <w:ind w:left="5061" w:hanging="420"/>
      </w:pPr>
      <w:rPr>
        <w:rFonts w:hint="default" w:ascii="Wingdings" w:hAnsi="Wingdings"/>
      </w:rPr>
    </w:lvl>
    <w:lvl w:ilvl="8" w:tentative="0">
      <w:start w:val="1"/>
      <w:numFmt w:val="bullet"/>
      <w:lvlText w:val=""/>
      <w:lvlJc w:val="left"/>
      <w:pPr>
        <w:tabs>
          <w:tab w:val="left" w:pos="5481"/>
        </w:tabs>
        <w:ind w:left="5481" w:hanging="420"/>
      </w:pPr>
      <w:rPr>
        <w:rFonts w:hint="default" w:ascii="Wingdings" w:hAnsi="Wingdings"/>
      </w:rPr>
    </w:lvl>
  </w:abstractNum>
  <w:abstractNum w:abstractNumId="10">
    <w:nsid w:val="00000031"/>
    <w:multiLevelType w:val="multilevel"/>
    <w:tmpl w:val="00000031"/>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A57500B"/>
    <w:multiLevelType w:val="multilevel"/>
    <w:tmpl w:val="0A57500B"/>
    <w:lvl w:ilvl="0" w:tentative="0">
      <w:start w:val="1"/>
      <w:numFmt w:val="japaneseCounting"/>
      <w:lvlText w:val="%1、"/>
      <w:lvlJc w:val="left"/>
      <w:pPr>
        <w:ind w:left="1110" w:hanging="51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2727DD9B"/>
    <w:multiLevelType w:val="multilevel"/>
    <w:tmpl w:val="2727DD9B"/>
    <w:lvl w:ilvl="0" w:tentative="0">
      <w:start w:val="1"/>
      <w:numFmt w:val="decimal"/>
      <w:pStyle w:val="15"/>
      <w:lvlText w:val="%1、"/>
      <w:lvlJc w:val="left"/>
      <w:pPr>
        <w:tabs>
          <w:tab w:val="left" w:pos="420"/>
        </w:tabs>
        <w:ind w:left="840" w:hanging="420"/>
      </w:pPr>
      <w:rPr>
        <w:rFonts w:ascii="Times New Roman" w:hAnsi="Times New Roman" w:eastAsia="Times New Roman" w:cs="Times New Roman"/>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13">
    <w:nsid w:val="28910231"/>
    <w:multiLevelType w:val="singleLevel"/>
    <w:tmpl w:val="28910231"/>
    <w:lvl w:ilvl="0" w:tentative="0">
      <w:start w:val="1"/>
      <w:numFmt w:val="decimal"/>
      <w:suff w:val="nothing"/>
      <w:lvlText w:val="%1、"/>
      <w:lvlJc w:val="left"/>
    </w:lvl>
  </w:abstractNum>
  <w:abstractNum w:abstractNumId="14">
    <w:nsid w:val="37402185"/>
    <w:multiLevelType w:val="singleLevel"/>
    <w:tmpl w:val="37402185"/>
    <w:lvl w:ilvl="0" w:tentative="0">
      <w:start w:val="1"/>
      <w:numFmt w:val="decimal"/>
      <w:pStyle w:val="23"/>
      <w:lvlText w:val="%1."/>
      <w:lvlJc w:val="left"/>
      <w:pPr>
        <w:tabs>
          <w:tab w:val="left" w:pos="1200"/>
        </w:tabs>
        <w:ind w:left="1200" w:hanging="360"/>
      </w:pPr>
    </w:lvl>
  </w:abstractNum>
  <w:abstractNum w:abstractNumId="15">
    <w:nsid w:val="52F421C6"/>
    <w:multiLevelType w:val="singleLevel"/>
    <w:tmpl w:val="52F421C6"/>
    <w:lvl w:ilvl="0" w:tentative="0">
      <w:start w:val="1"/>
      <w:numFmt w:val="chineseCounting"/>
      <w:suff w:val="nothing"/>
      <w:lvlText w:val="%1、"/>
      <w:lvlJc w:val="left"/>
      <w:pPr>
        <w:ind w:left="0" w:firstLine="420"/>
      </w:pPr>
      <w:rPr>
        <w:rFonts w:hint="eastAsia"/>
      </w:rPr>
    </w:lvl>
  </w:abstractNum>
  <w:abstractNum w:abstractNumId="16">
    <w:nsid w:val="57289543"/>
    <w:multiLevelType w:val="singleLevel"/>
    <w:tmpl w:val="57289543"/>
    <w:lvl w:ilvl="0" w:tentative="0">
      <w:start w:val="7"/>
      <w:numFmt w:val="decimal"/>
      <w:suff w:val="nothing"/>
      <w:lvlText w:val="%1)"/>
      <w:lvlJc w:val="left"/>
    </w:lvl>
  </w:abstractNum>
  <w:num w:numId="1">
    <w:abstractNumId w:val="6"/>
  </w:num>
  <w:num w:numId="2">
    <w:abstractNumId w:val="12"/>
  </w:num>
  <w:num w:numId="3">
    <w:abstractNumId w:val="14"/>
  </w:num>
  <w:num w:numId="4">
    <w:abstractNumId w:val="9"/>
  </w:num>
  <w:num w:numId="5">
    <w:abstractNumId w:val="7"/>
  </w:num>
  <w:num w:numId="6">
    <w:abstractNumId w:val="4"/>
  </w:num>
  <w:num w:numId="7">
    <w:abstractNumId w:val="2"/>
  </w:num>
  <w:num w:numId="8">
    <w:abstractNumId w:val="5"/>
  </w:num>
  <w:num w:numId="9">
    <w:abstractNumId w:val="10"/>
  </w:num>
  <w:num w:numId="10">
    <w:abstractNumId w:val="8"/>
  </w:num>
  <w:num w:numId="11">
    <w:abstractNumId w:val="3"/>
  </w:num>
  <w:num w:numId="12">
    <w:abstractNumId w:val="16"/>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3"/>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20"/>
  <w:drawingGridVerticalSpacing w:val="163"/>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320"/>
    <w:rsid w:val="00010435"/>
    <w:rsid w:val="0002249C"/>
    <w:rsid w:val="00027890"/>
    <w:rsid w:val="000310C4"/>
    <w:rsid w:val="00036141"/>
    <w:rsid w:val="00041D5C"/>
    <w:rsid w:val="00055CD6"/>
    <w:rsid w:val="00060BFF"/>
    <w:rsid w:val="00064296"/>
    <w:rsid w:val="000656BF"/>
    <w:rsid w:val="00075200"/>
    <w:rsid w:val="00080634"/>
    <w:rsid w:val="000823D9"/>
    <w:rsid w:val="00083B47"/>
    <w:rsid w:val="000C3180"/>
    <w:rsid w:val="000E1315"/>
    <w:rsid w:val="000E3454"/>
    <w:rsid w:val="000E3D5A"/>
    <w:rsid w:val="000E713D"/>
    <w:rsid w:val="000F59D6"/>
    <w:rsid w:val="000F69BF"/>
    <w:rsid w:val="00106809"/>
    <w:rsid w:val="00113D74"/>
    <w:rsid w:val="0011439F"/>
    <w:rsid w:val="00114927"/>
    <w:rsid w:val="00124125"/>
    <w:rsid w:val="00135223"/>
    <w:rsid w:val="001443C4"/>
    <w:rsid w:val="00145E79"/>
    <w:rsid w:val="001466FD"/>
    <w:rsid w:val="00152EFD"/>
    <w:rsid w:val="001617C8"/>
    <w:rsid w:val="00170519"/>
    <w:rsid w:val="00172A27"/>
    <w:rsid w:val="0017396F"/>
    <w:rsid w:val="001749FA"/>
    <w:rsid w:val="00177F0D"/>
    <w:rsid w:val="00184D98"/>
    <w:rsid w:val="001A2CC4"/>
    <w:rsid w:val="001A606D"/>
    <w:rsid w:val="001A630F"/>
    <w:rsid w:val="001B549E"/>
    <w:rsid w:val="001B72E4"/>
    <w:rsid w:val="001C49E6"/>
    <w:rsid w:val="001D4260"/>
    <w:rsid w:val="001E2687"/>
    <w:rsid w:val="001E7E40"/>
    <w:rsid w:val="002002A4"/>
    <w:rsid w:val="00201FF9"/>
    <w:rsid w:val="00207EC6"/>
    <w:rsid w:val="00216ABC"/>
    <w:rsid w:val="002172C9"/>
    <w:rsid w:val="002479D7"/>
    <w:rsid w:val="00260783"/>
    <w:rsid w:val="002621F0"/>
    <w:rsid w:val="00267764"/>
    <w:rsid w:val="00270A95"/>
    <w:rsid w:val="00271867"/>
    <w:rsid w:val="00286ECB"/>
    <w:rsid w:val="002908F6"/>
    <w:rsid w:val="00291FAB"/>
    <w:rsid w:val="002A14B9"/>
    <w:rsid w:val="002C0888"/>
    <w:rsid w:val="002D14E4"/>
    <w:rsid w:val="002D687C"/>
    <w:rsid w:val="002E58AE"/>
    <w:rsid w:val="002F4B46"/>
    <w:rsid w:val="003273A5"/>
    <w:rsid w:val="00354336"/>
    <w:rsid w:val="00355979"/>
    <w:rsid w:val="003613BD"/>
    <w:rsid w:val="00376337"/>
    <w:rsid w:val="00380682"/>
    <w:rsid w:val="003824C3"/>
    <w:rsid w:val="00391ED7"/>
    <w:rsid w:val="00393E42"/>
    <w:rsid w:val="003A2560"/>
    <w:rsid w:val="003B5445"/>
    <w:rsid w:val="003C1142"/>
    <w:rsid w:val="003C2F31"/>
    <w:rsid w:val="003E0047"/>
    <w:rsid w:val="003E43F8"/>
    <w:rsid w:val="003F6EA4"/>
    <w:rsid w:val="004071AA"/>
    <w:rsid w:val="004207FB"/>
    <w:rsid w:val="0044257A"/>
    <w:rsid w:val="0045071E"/>
    <w:rsid w:val="0045487E"/>
    <w:rsid w:val="0045592E"/>
    <w:rsid w:val="0046288B"/>
    <w:rsid w:val="00465BC3"/>
    <w:rsid w:val="00473DA1"/>
    <w:rsid w:val="00477931"/>
    <w:rsid w:val="00482901"/>
    <w:rsid w:val="0049659F"/>
    <w:rsid w:val="004C6E52"/>
    <w:rsid w:val="004D2652"/>
    <w:rsid w:val="00517A62"/>
    <w:rsid w:val="0052341A"/>
    <w:rsid w:val="005234EC"/>
    <w:rsid w:val="00525E4F"/>
    <w:rsid w:val="00531D23"/>
    <w:rsid w:val="00541012"/>
    <w:rsid w:val="005471BA"/>
    <w:rsid w:val="00553F3A"/>
    <w:rsid w:val="00555F92"/>
    <w:rsid w:val="00557EB4"/>
    <w:rsid w:val="00563F71"/>
    <w:rsid w:val="00585BAB"/>
    <w:rsid w:val="00595EB1"/>
    <w:rsid w:val="005A06DF"/>
    <w:rsid w:val="005B5C14"/>
    <w:rsid w:val="005F37C4"/>
    <w:rsid w:val="006023DD"/>
    <w:rsid w:val="006071A1"/>
    <w:rsid w:val="006134B9"/>
    <w:rsid w:val="00632FBA"/>
    <w:rsid w:val="00636A66"/>
    <w:rsid w:val="00637720"/>
    <w:rsid w:val="006421D2"/>
    <w:rsid w:val="00643C95"/>
    <w:rsid w:val="006529BE"/>
    <w:rsid w:val="00661DDF"/>
    <w:rsid w:val="006620A7"/>
    <w:rsid w:val="00675141"/>
    <w:rsid w:val="00681F99"/>
    <w:rsid w:val="006904FE"/>
    <w:rsid w:val="006A6C8C"/>
    <w:rsid w:val="006A7455"/>
    <w:rsid w:val="006B5691"/>
    <w:rsid w:val="006B7247"/>
    <w:rsid w:val="006C4ED2"/>
    <w:rsid w:val="006E2C33"/>
    <w:rsid w:val="006F44F9"/>
    <w:rsid w:val="006F7565"/>
    <w:rsid w:val="007136B0"/>
    <w:rsid w:val="007172D0"/>
    <w:rsid w:val="00722579"/>
    <w:rsid w:val="00723377"/>
    <w:rsid w:val="00724BCC"/>
    <w:rsid w:val="007266BA"/>
    <w:rsid w:val="00737573"/>
    <w:rsid w:val="0074023C"/>
    <w:rsid w:val="0075111E"/>
    <w:rsid w:val="00766AFF"/>
    <w:rsid w:val="007716B1"/>
    <w:rsid w:val="007767A4"/>
    <w:rsid w:val="00777170"/>
    <w:rsid w:val="00781DC2"/>
    <w:rsid w:val="00786D78"/>
    <w:rsid w:val="00792AD1"/>
    <w:rsid w:val="0079444F"/>
    <w:rsid w:val="00796E34"/>
    <w:rsid w:val="007A6407"/>
    <w:rsid w:val="007A6701"/>
    <w:rsid w:val="007B21FC"/>
    <w:rsid w:val="007B3581"/>
    <w:rsid w:val="007C145E"/>
    <w:rsid w:val="007D2137"/>
    <w:rsid w:val="007D280B"/>
    <w:rsid w:val="007F1FF8"/>
    <w:rsid w:val="007F2B89"/>
    <w:rsid w:val="00803F10"/>
    <w:rsid w:val="00815F4B"/>
    <w:rsid w:val="00821042"/>
    <w:rsid w:val="00821BD7"/>
    <w:rsid w:val="00824973"/>
    <w:rsid w:val="00831E15"/>
    <w:rsid w:val="00835AD1"/>
    <w:rsid w:val="00847835"/>
    <w:rsid w:val="008723A9"/>
    <w:rsid w:val="0087773F"/>
    <w:rsid w:val="008A01EA"/>
    <w:rsid w:val="008A0878"/>
    <w:rsid w:val="008B5078"/>
    <w:rsid w:val="008B52E4"/>
    <w:rsid w:val="008C4084"/>
    <w:rsid w:val="008C42A5"/>
    <w:rsid w:val="008C4968"/>
    <w:rsid w:val="008D2C58"/>
    <w:rsid w:val="008E129D"/>
    <w:rsid w:val="008E37B0"/>
    <w:rsid w:val="008E464C"/>
    <w:rsid w:val="008E4970"/>
    <w:rsid w:val="008E4D73"/>
    <w:rsid w:val="008E6D7F"/>
    <w:rsid w:val="009009BC"/>
    <w:rsid w:val="00904619"/>
    <w:rsid w:val="00912B9C"/>
    <w:rsid w:val="00915F7F"/>
    <w:rsid w:val="00921F1A"/>
    <w:rsid w:val="009229CB"/>
    <w:rsid w:val="00926BB7"/>
    <w:rsid w:val="009368EA"/>
    <w:rsid w:val="009422CE"/>
    <w:rsid w:val="00944D1A"/>
    <w:rsid w:val="009510D1"/>
    <w:rsid w:val="00951A8F"/>
    <w:rsid w:val="009B27B4"/>
    <w:rsid w:val="009B3F1B"/>
    <w:rsid w:val="009C6B18"/>
    <w:rsid w:val="009E2C75"/>
    <w:rsid w:val="009E3E9A"/>
    <w:rsid w:val="009E6598"/>
    <w:rsid w:val="009F7268"/>
    <w:rsid w:val="00A03228"/>
    <w:rsid w:val="00A06608"/>
    <w:rsid w:val="00A1101A"/>
    <w:rsid w:val="00A11A47"/>
    <w:rsid w:val="00A27568"/>
    <w:rsid w:val="00A3177E"/>
    <w:rsid w:val="00A3555E"/>
    <w:rsid w:val="00A36EC6"/>
    <w:rsid w:val="00A37C80"/>
    <w:rsid w:val="00A37D41"/>
    <w:rsid w:val="00A506D7"/>
    <w:rsid w:val="00A52F6D"/>
    <w:rsid w:val="00A613B6"/>
    <w:rsid w:val="00A71C09"/>
    <w:rsid w:val="00A72DA8"/>
    <w:rsid w:val="00A752A6"/>
    <w:rsid w:val="00A82229"/>
    <w:rsid w:val="00A943C3"/>
    <w:rsid w:val="00A95831"/>
    <w:rsid w:val="00A975B4"/>
    <w:rsid w:val="00AA050E"/>
    <w:rsid w:val="00AA7D8C"/>
    <w:rsid w:val="00AA7FC0"/>
    <w:rsid w:val="00AB4015"/>
    <w:rsid w:val="00AC524D"/>
    <w:rsid w:val="00AD4519"/>
    <w:rsid w:val="00AF07A9"/>
    <w:rsid w:val="00B03B66"/>
    <w:rsid w:val="00B04B0E"/>
    <w:rsid w:val="00B059F9"/>
    <w:rsid w:val="00B16495"/>
    <w:rsid w:val="00B16675"/>
    <w:rsid w:val="00B225FD"/>
    <w:rsid w:val="00B248DA"/>
    <w:rsid w:val="00B256F3"/>
    <w:rsid w:val="00B261D5"/>
    <w:rsid w:val="00B50EA0"/>
    <w:rsid w:val="00B53D61"/>
    <w:rsid w:val="00B628DD"/>
    <w:rsid w:val="00B71A50"/>
    <w:rsid w:val="00B74DE3"/>
    <w:rsid w:val="00B80D89"/>
    <w:rsid w:val="00B818AE"/>
    <w:rsid w:val="00B96173"/>
    <w:rsid w:val="00BA2790"/>
    <w:rsid w:val="00BB48AD"/>
    <w:rsid w:val="00BB6F89"/>
    <w:rsid w:val="00BC02E2"/>
    <w:rsid w:val="00BE779E"/>
    <w:rsid w:val="00BF09ED"/>
    <w:rsid w:val="00BF27E1"/>
    <w:rsid w:val="00C00F5A"/>
    <w:rsid w:val="00C14714"/>
    <w:rsid w:val="00C16CB7"/>
    <w:rsid w:val="00C25C61"/>
    <w:rsid w:val="00C3137E"/>
    <w:rsid w:val="00C360D5"/>
    <w:rsid w:val="00C40AF8"/>
    <w:rsid w:val="00C41180"/>
    <w:rsid w:val="00C47A97"/>
    <w:rsid w:val="00C5753E"/>
    <w:rsid w:val="00C61390"/>
    <w:rsid w:val="00C62932"/>
    <w:rsid w:val="00C700A8"/>
    <w:rsid w:val="00C87ABD"/>
    <w:rsid w:val="00C9047D"/>
    <w:rsid w:val="00C9061D"/>
    <w:rsid w:val="00C97323"/>
    <w:rsid w:val="00CA397E"/>
    <w:rsid w:val="00CB45F9"/>
    <w:rsid w:val="00CC3CDE"/>
    <w:rsid w:val="00CD0AE3"/>
    <w:rsid w:val="00CD3A79"/>
    <w:rsid w:val="00CD3B80"/>
    <w:rsid w:val="00CD7CE4"/>
    <w:rsid w:val="00CE7558"/>
    <w:rsid w:val="00D002DC"/>
    <w:rsid w:val="00D17FB1"/>
    <w:rsid w:val="00D23484"/>
    <w:rsid w:val="00D31F0D"/>
    <w:rsid w:val="00D34EDF"/>
    <w:rsid w:val="00D35C22"/>
    <w:rsid w:val="00D5102D"/>
    <w:rsid w:val="00D56FBA"/>
    <w:rsid w:val="00D634E0"/>
    <w:rsid w:val="00D63B76"/>
    <w:rsid w:val="00D6508D"/>
    <w:rsid w:val="00D85B7E"/>
    <w:rsid w:val="00D954DE"/>
    <w:rsid w:val="00DA03A7"/>
    <w:rsid w:val="00DA6297"/>
    <w:rsid w:val="00DB7E8A"/>
    <w:rsid w:val="00DC735D"/>
    <w:rsid w:val="00DD4818"/>
    <w:rsid w:val="00DD5CCD"/>
    <w:rsid w:val="00DE49C8"/>
    <w:rsid w:val="00DF0CE0"/>
    <w:rsid w:val="00E0231F"/>
    <w:rsid w:val="00E023D0"/>
    <w:rsid w:val="00E06CD0"/>
    <w:rsid w:val="00E105E5"/>
    <w:rsid w:val="00E17240"/>
    <w:rsid w:val="00E26A12"/>
    <w:rsid w:val="00E367E1"/>
    <w:rsid w:val="00E438D2"/>
    <w:rsid w:val="00E474FA"/>
    <w:rsid w:val="00E535FF"/>
    <w:rsid w:val="00E53F8C"/>
    <w:rsid w:val="00E61200"/>
    <w:rsid w:val="00E63377"/>
    <w:rsid w:val="00E63FBE"/>
    <w:rsid w:val="00E67B4F"/>
    <w:rsid w:val="00E80F9B"/>
    <w:rsid w:val="00E90F29"/>
    <w:rsid w:val="00EA0578"/>
    <w:rsid w:val="00EB1ABE"/>
    <w:rsid w:val="00EB4346"/>
    <w:rsid w:val="00ED1779"/>
    <w:rsid w:val="00EE69A7"/>
    <w:rsid w:val="00EE7CA8"/>
    <w:rsid w:val="00EF6736"/>
    <w:rsid w:val="00EF6B76"/>
    <w:rsid w:val="00F014C7"/>
    <w:rsid w:val="00F02C24"/>
    <w:rsid w:val="00F02E5E"/>
    <w:rsid w:val="00F04A9D"/>
    <w:rsid w:val="00F07594"/>
    <w:rsid w:val="00F10D2B"/>
    <w:rsid w:val="00F269BA"/>
    <w:rsid w:val="00F31719"/>
    <w:rsid w:val="00F32C3A"/>
    <w:rsid w:val="00F53394"/>
    <w:rsid w:val="00F54AFB"/>
    <w:rsid w:val="00F67D80"/>
    <w:rsid w:val="00F718C6"/>
    <w:rsid w:val="00F80868"/>
    <w:rsid w:val="00F94017"/>
    <w:rsid w:val="00FA2B4F"/>
    <w:rsid w:val="00FC4DD8"/>
    <w:rsid w:val="00FC562A"/>
    <w:rsid w:val="00FC5976"/>
    <w:rsid w:val="00FD40C9"/>
    <w:rsid w:val="01016788"/>
    <w:rsid w:val="010B18A0"/>
    <w:rsid w:val="010B5B93"/>
    <w:rsid w:val="01630778"/>
    <w:rsid w:val="01976BA7"/>
    <w:rsid w:val="01A12C3F"/>
    <w:rsid w:val="01D142D7"/>
    <w:rsid w:val="021F4C81"/>
    <w:rsid w:val="02414B92"/>
    <w:rsid w:val="024D7DB8"/>
    <w:rsid w:val="025A03F0"/>
    <w:rsid w:val="028366E4"/>
    <w:rsid w:val="02A56B80"/>
    <w:rsid w:val="02B5383F"/>
    <w:rsid w:val="02C560C8"/>
    <w:rsid w:val="02F741FF"/>
    <w:rsid w:val="03240B2D"/>
    <w:rsid w:val="03404A6C"/>
    <w:rsid w:val="035324D3"/>
    <w:rsid w:val="036719BE"/>
    <w:rsid w:val="038413BE"/>
    <w:rsid w:val="038C71B9"/>
    <w:rsid w:val="03C53166"/>
    <w:rsid w:val="0437435F"/>
    <w:rsid w:val="043948C2"/>
    <w:rsid w:val="0441683D"/>
    <w:rsid w:val="04897AAE"/>
    <w:rsid w:val="048D3C72"/>
    <w:rsid w:val="04946A57"/>
    <w:rsid w:val="049E01CA"/>
    <w:rsid w:val="04AA7A54"/>
    <w:rsid w:val="04DC1E95"/>
    <w:rsid w:val="05056F9C"/>
    <w:rsid w:val="053B507A"/>
    <w:rsid w:val="0552244A"/>
    <w:rsid w:val="056B6415"/>
    <w:rsid w:val="056C71E0"/>
    <w:rsid w:val="056F7E9D"/>
    <w:rsid w:val="05A04252"/>
    <w:rsid w:val="05B531D5"/>
    <w:rsid w:val="05D67DF5"/>
    <w:rsid w:val="05D70893"/>
    <w:rsid w:val="05D879EE"/>
    <w:rsid w:val="05EF3BF5"/>
    <w:rsid w:val="060C41B9"/>
    <w:rsid w:val="061B4DCC"/>
    <w:rsid w:val="0631131C"/>
    <w:rsid w:val="06776E48"/>
    <w:rsid w:val="0684556E"/>
    <w:rsid w:val="06B10DA5"/>
    <w:rsid w:val="07005EC6"/>
    <w:rsid w:val="07010CA1"/>
    <w:rsid w:val="071D03C9"/>
    <w:rsid w:val="071F2807"/>
    <w:rsid w:val="074D0B91"/>
    <w:rsid w:val="07667537"/>
    <w:rsid w:val="076F789A"/>
    <w:rsid w:val="0784472B"/>
    <w:rsid w:val="079B0031"/>
    <w:rsid w:val="079F5559"/>
    <w:rsid w:val="07B55B45"/>
    <w:rsid w:val="07E16810"/>
    <w:rsid w:val="080F6666"/>
    <w:rsid w:val="084C0B9D"/>
    <w:rsid w:val="0854006D"/>
    <w:rsid w:val="0873640D"/>
    <w:rsid w:val="08783888"/>
    <w:rsid w:val="08AE00F7"/>
    <w:rsid w:val="08C23B9D"/>
    <w:rsid w:val="08C30F20"/>
    <w:rsid w:val="091072DF"/>
    <w:rsid w:val="09157A39"/>
    <w:rsid w:val="09583AE9"/>
    <w:rsid w:val="09717CB2"/>
    <w:rsid w:val="09A37C42"/>
    <w:rsid w:val="09B71979"/>
    <w:rsid w:val="09CA4C87"/>
    <w:rsid w:val="0A0B337E"/>
    <w:rsid w:val="0A117387"/>
    <w:rsid w:val="0A1846AD"/>
    <w:rsid w:val="0A334DE9"/>
    <w:rsid w:val="0A3673D1"/>
    <w:rsid w:val="0A391C61"/>
    <w:rsid w:val="0A747C95"/>
    <w:rsid w:val="0A99628C"/>
    <w:rsid w:val="0AA12C61"/>
    <w:rsid w:val="0AD50B07"/>
    <w:rsid w:val="0B0D3780"/>
    <w:rsid w:val="0B192E69"/>
    <w:rsid w:val="0B1E5674"/>
    <w:rsid w:val="0B481D54"/>
    <w:rsid w:val="0BA32867"/>
    <w:rsid w:val="0C05109F"/>
    <w:rsid w:val="0C405D06"/>
    <w:rsid w:val="0C5510DE"/>
    <w:rsid w:val="0C5F45C4"/>
    <w:rsid w:val="0C6352C9"/>
    <w:rsid w:val="0C694A19"/>
    <w:rsid w:val="0C6E22F8"/>
    <w:rsid w:val="0C752414"/>
    <w:rsid w:val="0C781DA4"/>
    <w:rsid w:val="0C844DAC"/>
    <w:rsid w:val="0CA4014A"/>
    <w:rsid w:val="0CF9441B"/>
    <w:rsid w:val="0CFE63A4"/>
    <w:rsid w:val="0D0807FC"/>
    <w:rsid w:val="0D33119A"/>
    <w:rsid w:val="0D4A2577"/>
    <w:rsid w:val="0D4D7EA2"/>
    <w:rsid w:val="0D596969"/>
    <w:rsid w:val="0D6D348A"/>
    <w:rsid w:val="0D9C0739"/>
    <w:rsid w:val="0DC77E1F"/>
    <w:rsid w:val="0DE500C7"/>
    <w:rsid w:val="0E30061A"/>
    <w:rsid w:val="0E693E94"/>
    <w:rsid w:val="0E6A77C2"/>
    <w:rsid w:val="0EAB15DF"/>
    <w:rsid w:val="0EBD4ECC"/>
    <w:rsid w:val="0EC12B61"/>
    <w:rsid w:val="0ECB16D0"/>
    <w:rsid w:val="0F0F3E67"/>
    <w:rsid w:val="0F554B61"/>
    <w:rsid w:val="0F8D127C"/>
    <w:rsid w:val="0FA658B8"/>
    <w:rsid w:val="0FA725F9"/>
    <w:rsid w:val="0FB125A0"/>
    <w:rsid w:val="1007384E"/>
    <w:rsid w:val="107962EB"/>
    <w:rsid w:val="107D7A08"/>
    <w:rsid w:val="10C4053D"/>
    <w:rsid w:val="10D24A7B"/>
    <w:rsid w:val="10D763F7"/>
    <w:rsid w:val="10D821E1"/>
    <w:rsid w:val="10DA580F"/>
    <w:rsid w:val="111A2A3D"/>
    <w:rsid w:val="11244D2A"/>
    <w:rsid w:val="11255A7D"/>
    <w:rsid w:val="1130145B"/>
    <w:rsid w:val="114253E0"/>
    <w:rsid w:val="11461A94"/>
    <w:rsid w:val="115D274C"/>
    <w:rsid w:val="115E3727"/>
    <w:rsid w:val="11B472DB"/>
    <w:rsid w:val="1207493D"/>
    <w:rsid w:val="12421835"/>
    <w:rsid w:val="124364E9"/>
    <w:rsid w:val="12876A16"/>
    <w:rsid w:val="129E014D"/>
    <w:rsid w:val="12AC1D0D"/>
    <w:rsid w:val="12BA6A0A"/>
    <w:rsid w:val="12C2266E"/>
    <w:rsid w:val="12CB160F"/>
    <w:rsid w:val="12D77FEC"/>
    <w:rsid w:val="12DB00BA"/>
    <w:rsid w:val="12F75F37"/>
    <w:rsid w:val="12F90EE0"/>
    <w:rsid w:val="1306089F"/>
    <w:rsid w:val="13276FF6"/>
    <w:rsid w:val="13693296"/>
    <w:rsid w:val="139726F4"/>
    <w:rsid w:val="139B4F53"/>
    <w:rsid w:val="13A47105"/>
    <w:rsid w:val="13CE5FC4"/>
    <w:rsid w:val="13E94DDF"/>
    <w:rsid w:val="13F53443"/>
    <w:rsid w:val="1415303F"/>
    <w:rsid w:val="144C6770"/>
    <w:rsid w:val="147778EA"/>
    <w:rsid w:val="14943CCC"/>
    <w:rsid w:val="14CD7B2A"/>
    <w:rsid w:val="14F865C3"/>
    <w:rsid w:val="150F189B"/>
    <w:rsid w:val="1517294D"/>
    <w:rsid w:val="151A6077"/>
    <w:rsid w:val="153642D6"/>
    <w:rsid w:val="15457698"/>
    <w:rsid w:val="154A5906"/>
    <w:rsid w:val="158A75E1"/>
    <w:rsid w:val="1592511B"/>
    <w:rsid w:val="159C567E"/>
    <w:rsid w:val="159D1C03"/>
    <w:rsid w:val="15A520DA"/>
    <w:rsid w:val="15C0221F"/>
    <w:rsid w:val="15D77617"/>
    <w:rsid w:val="15E6513C"/>
    <w:rsid w:val="15E819C1"/>
    <w:rsid w:val="161A711E"/>
    <w:rsid w:val="162F79FC"/>
    <w:rsid w:val="16554F68"/>
    <w:rsid w:val="165B5F0F"/>
    <w:rsid w:val="166320D6"/>
    <w:rsid w:val="166C4896"/>
    <w:rsid w:val="167B7AAC"/>
    <w:rsid w:val="167F37A0"/>
    <w:rsid w:val="169B4AF9"/>
    <w:rsid w:val="16DB0595"/>
    <w:rsid w:val="16DF2F08"/>
    <w:rsid w:val="16E051E8"/>
    <w:rsid w:val="16ED26EB"/>
    <w:rsid w:val="17066EDE"/>
    <w:rsid w:val="1713214D"/>
    <w:rsid w:val="17945C52"/>
    <w:rsid w:val="17970727"/>
    <w:rsid w:val="17B359EE"/>
    <w:rsid w:val="18092CD5"/>
    <w:rsid w:val="180D00A7"/>
    <w:rsid w:val="181A6207"/>
    <w:rsid w:val="18214341"/>
    <w:rsid w:val="18336B8F"/>
    <w:rsid w:val="1874792B"/>
    <w:rsid w:val="187E299B"/>
    <w:rsid w:val="18C00D35"/>
    <w:rsid w:val="18D71E8D"/>
    <w:rsid w:val="18DE453C"/>
    <w:rsid w:val="18E514CE"/>
    <w:rsid w:val="190848C5"/>
    <w:rsid w:val="190A3B3E"/>
    <w:rsid w:val="191474B7"/>
    <w:rsid w:val="192C0FEE"/>
    <w:rsid w:val="19331160"/>
    <w:rsid w:val="19496281"/>
    <w:rsid w:val="19617E9B"/>
    <w:rsid w:val="196F6FC1"/>
    <w:rsid w:val="19711A8D"/>
    <w:rsid w:val="19992BD1"/>
    <w:rsid w:val="19AB5ACC"/>
    <w:rsid w:val="19C3351E"/>
    <w:rsid w:val="19CA0483"/>
    <w:rsid w:val="1A3546C6"/>
    <w:rsid w:val="1A6E6871"/>
    <w:rsid w:val="1A780B48"/>
    <w:rsid w:val="1A805E3F"/>
    <w:rsid w:val="1ADA1355"/>
    <w:rsid w:val="1AF813E1"/>
    <w:rsid w:val="1B006539"/>
    <w:rsid w:val="1B194961"/>
    <w:rsid w:val="1B195DEC"/>
    <w:rsid w:val="1B285C20"/>
    <w:rsid w:val="1B414448"/>
    <w:rsid w:val="1B4A6BAE"/>
    <w:rsid w:val="1B4B370A"/>
    <w:rsid w:val="1B537FF8"/>
    <w:rsid w:val="1B54584F"/>
    <w:rsid w:val="1B767B01"/>
    <w:rsid w:val="1B860FD9"/>
    <w:rsid w:val="1BA92881"/>
    <w:rsid w:val="1BAD4E07"/>
    <w:rsid w:val="1BB05E26"/>
    <w:rsid w:val="1BC40E99"/>
    <w:rsid w:val="1BC8314E"/>
    <w:rsid w:val="1BCA7890"/>
    <w:rsid w:val="1BCB6A47"/>
    <w:rsid w:val="1BF33697"/>
    <w:rsid w:val="1BFB1779"/>
    <w:rsid w:val="1BFD00F2"/>
    <w:rsid w:val="1C1327C3"/>
    <w:rsid w:val="1C3670C8"/>
    <w:rsid w:val="1C4628F7"/>
    <w:rsid w:val="1C79295A"/>
    <w:rsid w:val="1CA03602"/>
    <w:rsid w:val="1CB87B4F"/>
    <w:rsid w:val="1CCC24BC"/>
    <w:rsid w:val="1CE512E6"/>
    <w:rsid w:val="1CEF2480"/>
    <w:rsid w:val="1D4B594E"/>
    <w:rsid w:val="1D5D1B15"/>
    <w:rsid w:val="1D8A0E3C"/>
    <w:rsid w:val="1D9254CD"/>
    <w:rsid w:val="1DA15E50"/>
    <w:rsid w:val="1DB27B15"/>
    <w:rsid w:val="1DB87E85"/>
    <w:rsid w:val="1DC85751"/>
    <w:rsid w:val="1DC934BA"/>
    <w:rsid w:val="1DEB61F5"/>
    <w:rsid w:val="1E0A627C"/>
    <w:rsid w:val="1E16086E"/>
    <w:rsid w:val="1E927FD6"/>
    <w:rsid w:val="1E9860A5"/>
    <w:rsid w:val="1EA838E7"/>
    <w:rsid w:val="1EB264D3"/>
    <w:rsid w:val="1ED20877"/>
    <w:rsid w:val="1ED94E4B"/>
    <w:rsid w:val="1EF77DC5"/>
    <w:rsid w:val="1F212FDC"/>
    <w:rsid w:val="1F383ACC"/>
    <w:rsid w:val="1F596305"/>
    <w:rsid w:val="1F9062F5"/>
    <w:rsid w:val="1FEB5C6A"/>
    <w:rsid w:val="202209B9"/>
    <w:rsid w:val="20280066"/>
    <w:rsid w:val="20304AD2"/>
    <w:rsid w:val="203B6599"/>
    <w:rsid w:val="204F6722"/>
    <w:rsid w:val="20902778"/>
    <w:rsid w:val="20AF30C4"/>
    <w:rsid w:val="20C20F88"/>
    <w:rsid w:val="20FD5C7C"/>
    <w:rsid w:val="21096CBA"/>
    <w:rsid w:val="2115662C"/>
    <w:rsid w:val="21186B44"/>
    <w:rsid w:val="21361A04"/>
    <w:rsid w:val="214418DF"/>
    <w:rsid w:val="218C7B21"/>
    <w:rsid w:val="21B95143"/>
    <w:rsid w:val="21C04FD1"/>
    <w:rsid w:val="21D51B3D"/>
    <w:rsid w:val="21E7210E"/>
    <w:rsid w:val="21FE0CB2"/>
    <w:rsid w:val="220D6242"/>
    <w:rsid w:val="22196712"/>
    <w:rsid w:val="22EC4950"/>
    <w:rsid w:val="22ED5F44"/>
    <w:rsid w:val="231A56E2"/>
    <w:rsid w:val="231F7C19"/>
    <w:rsid w:val="232B5FAF"/>
    <w:rsid w:val="233F76E0"/>
    <w:rsid w:val="23481CC9"/>
    <w:rsid w:val="235F1272"/>
    <w:rsid w:val="23AE10BA"/>
    <w:rsid w:val="23C1685F"/>
    <w:rsid w:val="23E56B32"/>
    <w:rsid w:val="24142B46"/>
    <w:rsid w:val="2433149D"/>
    <w:rsid w:val="24413008"/>
    <w:rsid w:val="246270E4"/>
    <w:rsid w:val="24772C2B"/>
    <w:rsid w:val="248B2E3F"/>
    <w:rsid w:val="24943B28"/>
    <w:rsid w:val="24DF22D5"/>
    <w:rsid w:val="24E50A8A"/>
    <w:rsid w:val="25241FCD"/>
    <w:rsid w:val="254076D9"/>
    <w:rsid w:val="257008BE"/>
    <w:rsid w:val="257B1052"/>
    <w:rsid w:val="258A0443"/>
    <w:rsid w:val="25E86FC2"/>
    <w:rsid w:val="25F8204A"/>
    <w:rsid w:val="25FD2873"/>
    <w:rsid w:val="26105102"/>
    <w:rsid w:val="261B35E2"/>
    <w:rsid w:val="261D7A35"/>
    <w:rsid w:val="263A612D"/>
    <w:rsid w:val="26483965"/>
    <w:rsid w:val="268B0B22"/>
    <w:rsid w:val="26982362"/>
    <w:rsid w:val="26BB7E4E"/>
    <w:rsid w:val="26D075A8"/>
    <w:rsid w:val="26D17DBC"/>
    <w:rsid w:val="26D24757"/>
    <w:rsid w:val="274D17E4"/>
    <w:rsid w:val="27506176"/>
    <w:rsid w:val="275D4096"/>
    <w:rsid w:val="278435C3"/>
    <w:rsid w:val="278A76F0"/>
    <w:rsid w:val="27A57C3A"/>
    <w:rsid w:val="27D20BC1"/>
    <w:rsid w:val="280553D3"/>
    <w:rsid w:val="280F6C60"/>
    <w:rsid w:val="281253C2"/>
    <w:rsid w:val="28163476"/>
    <w:rsid w:val="2844651A"/>
    <w:rsid w:val="28526DD0"/>
    <w:rsid w:val="286F250E"/>
    <w:rsid w:val="287D2504"/>
    <w:rsid w:val="2886147E"/>
    <w:rsid w:val="28A87389"/>
    <w:rsid w:val="28AC5948"/>
    <w:rsid w:val="28B81772"/>
    <w:rsid w:val="28FC226D"/>
    <w:rsid w:val="291176CC"/>
    <w:rsid w:val="291C67BC"/>
    <w:rsid w:val="29454204"/>
    <w:rsid w:val="29573123"/>
    <w:rsid w:val="297F7A53"/>
    <w:rsid w:val="2992095F"/>
    <w:rsid w:val="29AC6651"/>
    <w:rsid w:val="29C4608A"/>
    <w:rsid w:val="29F21662"/>
    <w:rsid w:val="29F51AC1"/>
    <w:rsid w:val="29F51D07"/>
    <w:rsid w:val="29FC30C2"/>
    <w:rsid w:val="2A783D0E"/>
    <w:rsid w:val="2A9C0461"/>
    <w:rsid w:val="2AD0515C"/>
    <w:rsid w:val="2AEA63AC"/>
    <w:rsid w:val="2AF16E8B"/>
    <w:rsid w:val="2B0B7CEC"/>
    <w:rsid w:val="2B27452A"/>
    <w:rsid w:val="2B2D4BDC"/>
    <w:rsid w:val="2B767712"/>
    <w:rsid w:val="2BBA7AC6"/>
    <w:rsid w:val="2BC24889"/>
    <w:rsid w:val="2BEA6307"/>
    <w:rsid w:val="2BFC26B9"/>
    <w:rsid w:val="2C3C0A88"/>
    <w:rsid w:val="2C596FFF"/>
    <w:rsid w:val="2C9E6E87"/>
    <w:rsid w:val="2CA6566A"/>
    <w:rsid w:val="2CAE7599"/>
    <w:rsid w:val="2CB749B3"/>
    <w:rsid w:val="2CBB6294"/>
    <w:rsid w:val="2CBF39BD"/>
    <w:rsid w:val="2CCB3FDD"/>
    <w:rsid w:val="2D2E04D4"/>
    <w:rsid w:val="2D3878C4"/>
    <w:rsid w:val="2D3A4057"/>
    <w:rsid w:val="2D994DBE"/>
    <w:rsid w:val="2DD53F02"/>
    <w:rsid w:val="2DFD46DC"/>
    <w:rsid w:val="2E0A0263"/>
    <w:rsid w:val="2E12188C"/>
    <w:rsid w:val="2E2067FF"/>
    <w:rsid w:val="2E73484D"/>
    <w:rsid w:val="2E734C4D"/>
    <w:rsid w:val="2E9A7164"/>
    <w:rsid w:val="2EE1137A"/>
    <w:rsid w:val="2EEB0819"/>
    <w:rsid w:val="2F010E90"/>
    <w:rsid w:val="2F0C69E6"/>
    <w:rsid w:val="2F0D5CED"/>
    <w:rsid w:val="2F236129"/>
    <w:rsid w:val="2F2C56BA"/>
    <w:rsid w:val="2F2D0218"/>
    <w:rsid w:val="2F356A16"/>
    <w:rsid w:val="2F4614DA"/>
    <w:rsid w:val="2F4D01DB"/>
    <w:rsid w:val="2F844328"/>
    <w:rsid w:val="2F95166A"/>
    <w:rsid w:val="2FA00DAE"/>
    <w:rsid w:val="30081603"/>
    <w:rsid w:val="30362BFE"/>
    <w:rsid w:val="303E6C27"/>
    <w:rsid w:val="30717011"/>
    <w:rsid w:val="307D52E4"/>
    <w:rsid w:val="31190489"/>
    <w:rsid w:val="31232963"/>
    <w:rsid w:val="315857B1"/>
    <w:rsid w:val="31AB6658"/>
    <w:rsid w:val="31B263B4"/>
    <w:rsid w:val="31BC3F1B"/>
    <w:rsid w:val="32137CF0"/>
    <w:rsid w:val="321E50BD"/>
    <w:rsid w:val="32224344"/>
    <w:rsid w:val="32232EB5"/>
    <w:rsid w:val="32340C69"/>
    <w:rsid w:val="32363F32"/>
    <w:rsid w:val="32471F5A"/>
    <w:rsid w:val="3253078F"/>
    <w:rsid w:val="325E3A96"/>
    <w:rsid w:val="32B7356F"/>
    <w:rsid w:val="330C088A"/>
    <w:rsid w:val="332A5E08"/>
    <w:rsid w:val="334F202E"/>
    <w:rsid w:val="339D0D47"/>
    <w:rsid w:val="33A04007"/>
    <w:rsid w:val="33A60671"/>
    <w:rsid w:val="33AF4FB4"/>
    <w:rsid w:val="33CF2119"/>
    <w:rsid w:val="33DE4357"/>
    <w:rsid w:val="33FC56AD"/>
    <w:rsid w:val="341D5AAB"/>
    <w:rsid w:val="342732F1"/>
    <w:rsid w:val="342B2E3E"/>
    <w:rsid w:val="3454463B"/>
    <w:rsid w:val="346B507B"/>
    <w:rsid w:val="347B293F"/>
    <w:rsid w:val="34824E11"/>
    <w:rsid w:val="348C37FE"/>
    <w:rsid w:val="34AA4F73"/>
    <w:rsid w:val="34E50DD1"/>
    <w:rsid w:val="34F52FDD"/>
    <w:rsid w:val="352B6C5A"/>
    <w:rsid w:val="353777A7"/>
    <w:rsid w:val="35520294"/>
    <w:rsid w:val="355208AE"/>
    <w:rsid w:val="357A04F1"/>
    <w:rsid w:val="357C1D84"/>
    <w:rsid w:val="35887A53"/>
    <w:rsid w:val="35B4397E"/>
    <w:rsid w:val="36034EE1"/>
    <w:rsid w:val="36237D2D"/>
    <w:rsid w:val="363503EB"/>
    <w:rsid w:val="3647637B"/>
    <w:rsid w:val="367F686D"/>
    <w:rsid w:val="369D20DE"/>
    <w:rsid w:val="36A14C50"/>
    <w:rsid w:val="36B412F5"/>
    <w:rsid w:val="36CC7A6D"/>
    <w:rsid w:val="37076693"/>
    <w:rsid w:val="372B30FF"/>
    <w:rsid w:val="372F768E"/>
    <w:rsid w:val="375E41FD"/>
    <w:rsid w:val="3765223E"/>
    <w:rsid w:val="376A4278"/>
    <w:rsid w:val="377870B5"/>
    <w:rsid w:val="377D54A5"/>
    <w:rsid w:val="377D5E16"/>
    <w:rsid w:val="377E65D4"/>
    <w:rsid w:val="37872B44"/>
    <w:rsid w:val="379F77DA"/>
    <w:rsid w:val="37A7041E"/>
    <w:rsid w:val="37A80A27"/>
    <w:rsid w:val="37BB17C5"/>
    <w:rsid w:val="37C914D9"/>
    <w:rsid w:val="37D63EC9"/>
    <w:rsid w:val="37F02038"/>
    <w:rsid w:val="38280519"/>
    <w:rsid w:val="386D019E"/>
    <w:rsid w:val="38894B13"/>
    <w:rsid w:val="38C10BFB"/>
    <w:rsid w:val="38DD791D"/>
    <w:rsid w:val="3920221B"/>
    <w:rsid w:val="393047F8"/>
    <w:rsid w:val="39334BFF"/>
    <w:rsid w:val="393667C3"/>
    <w:rsid w:val="39457CAF"/>
    <w:rsid w:val="3948048E"/>
    <w:rsid w:val="399A0B0A"/>
    <w:rsid w:val="39B565E1"/>
    <w:rsid w:val="39D4235F"/>
    <w:rsid w:val="39FD6163"/>
    <w:rsid w:val="3A257802"/>
    <w:rsid w:val="3A56455E"/>
    <w:rsid w:val="3A606A76"/>
    <w:rsid w:val="3A921749"/>
    <w:rsid w:val="3AA81B41"/>
    <w:rsid w:val="3AF27B37"/>
    <w:rsid w:val="3B143086"/>
    <w:rsid w:val="3B1A2D8C"/>
    <w:rsid w:val="3B4042AB"/>
    <w:rsid w:val="3B66210B"/>
    <w:rsid w:val="3B706561"/>
    <w:rsid w:val="3B972AF7"/>
    <w:rsid w:val="3BB70D15"/>
    <w:rsid w:val="3BBB09FC"/>
    <w:rsid w:val="3BC91BB9"/>
    <w:rsid w:val="3BCB421F"/>
    <w:rsid w:val="3BD162A4"/>
    <w:rsid w:val="3C120308"/>
    <w:rsid w:val="3C42650A"/>
    <w:rsid w:val="3C762DF2"/>
    <w:rsid w:val="3C7D1D40"/>
    <w:rsid w:val="3C996B93"/>
    <w:rsid w:val="3C9B51F8"/>
    <w:rsid w:val="3CDD0DBD"/>
    <w:rsid w:val="3CFB5C03"/>
    <w:rsid w:val="3D101034"/>
    <w:rsid w:val="3D1D54CB"/>
    <w:rsid w:val="3D544EBB"/>
    <w:rsid w:val="3D9D796F"/>
    <w:rsid w:val="3DE32AFA"/>
    <w:rsid w:val="3E065F36"/>
    <w:rsid w:val="3E136ED4"/>
    <w:rsid w:val="3E2C48CF"/>
    <w:rsid w:val="3E8A1A02"/>
    <w:rsid w:val="3E8E765E"/>
    <w:rsid w:val="3EA9393D"/>
    <w:rsid w:val="3EAD0498"/>
    <w:rsid w:val="3EC56D78"/>
    <w:rsid w:val="3EC7715A"/>
    <w:rsid w:val="3ED16A4F"/>
    <w:rsid w:val="3ED17EBE"/>
    <w:rsid w:val="3EDC543E"/>
    <w:rsid w:val="3EF75B65"/>
    <w:rsid w:val="3EFB570C"/>
    <w:rsid w:val="3F2B7413"/>
    <w:rsid w:val="3F5871FB"/>
    <w:rsid w:val="3F8E35DC"/>
    <w:rsid w:val="3F8F5DC2"/>
    <w:rsid w:val="3F9365DC"/>
    <w:rsid w:val="3FA46F4F"/>
    <w:rsid w:val="3FB00475"/>
    <w:rsid w:val="3FBF5991"/>
    <w:rsid w:val="3FC03955"/>
    <w:rsid w:val="3FE10717"/>
    <w:rsid w:val="40023F34"/>
    <w:rsid w:val="40090025"/>
    <w:rsid w:val="40181902"/>
    <w:rsid w:val="402F5A4D"/>
    <w:rsid w:val="40411288"/>
    <w:rsid w:val="404742BD"/>
    <w:rsid w:val="40600DD5"/>
    <w:rsid w:val="40660F91"/>
    <w:rsid w:val="40B26892"/>
    <w:rsid w:val="40E21CB8"/>
    <w:rsid w:val="410F31C3"/>
    <w:rsid w:val="4112553B"/>
    <w:rsid w:val="41157F5C"/>
    <w:rsid w:val="41344AAB"/>
    <w:rsid w:val="4136786F"/>
    <w:rsid w:val="41550C30"/>
    <w:rsid w:val="415F47F6"/>
    <w:rsid w:val="41875FCE"/>
    <w:rsid w:val="4190424D"/>
    <w:rsid w:val="41AF4B69"/>
    <w:rsid w:val="41BA6E78"/>
    <w:rsid w:val="41F6399A"/>
    <w:rsid w:val="41F94DC7"/>
    <w:rsid w:val="41FA3A29"/>
    <w:rsid w:val="420E2110"/>
    <w:rsid w:val="42137C42"/>
    <w:rsid w:val="422E57D7"/>
    <w:rsid w:val="42555DF7"/>
    <w:rsid w:val="42A27001"/>
    <w:rsid w:val="42AE068F"/>
    <w:rsid w:val="42C507A4"/>
    <w:rsid w:val="42EA08B5"/>
    <w:rsid w:val="42F07508"/>
    <w:rsid w:val="43270B23"/>
    <w:rsid w:val="43366434"/>
    <w:rsid w:val="434A0913"/>
    <w:rsid w:val="436A64E9"/>
    <w:rsid w:val="43711057"/>
    <w:rsid w:val="43882D38"/>
    <w:rsid w:val="439C4F5E"/>
    <w:rsid w:val="43E630D7"/>
    <w:rsid w:val="43F02783"/>
    <w:rsid w:val="440D072B"/>
    <w:rsid w:val="44656E26"/>
    <w:rsid w:val="44694EDC"/>
    <w:rsid w:val="44786783"/>
    <w:rsid w:val="449457D3"/>
    <w:rsid w:val="44BE5C95"/>
    <w:rsid w:val="44CF62FB"/>
    <w:rsid w:val="44DD6EB7"/>
    <w:rsid w:val="450018DF"/>
    <w:rsid w:val="450F2BC2"/>
    <w:rsid w:val="451D2C75"/>
    <w:rsid w:val="454746DD"/>
    <w:rsid w:val="455367B2"/>
    <w:rsid w:val="45555732"/>
    <w:rsid w:val="455F10D7"/>
    <w:rsid w:val="456355DA"/>
    <w:rsid w:val="459C4648"/>
    <w:rsid w:val="45A02EDD"/>
    <w:rsid w:val="45D1060A"/>
    <w:rsid w:val="45E61BCA"/>
    <w:rsid w:val="4638018C"/>
    <w:rsid w:val="46416C3D"/>
    <w:rsid w:val="46433285"/>
    <w:rsid w:val="46526D41"/>
    <w:rsid w:val="46584865"/>
    <w:rsid w:val="46606639"/>
    <w:rsid w:val="46681B67"/>
    <w:rsid w:val="468200E4"/>
    <w:rsid w:val="46903F4D"/>
    <w:rsid w:val="469815BE"/>
    <w:rsid w:val="46B27CB1"/>
    <w:rsid w:val="46D34E98"/>
    <w:rsid w:val="46EE4A8B"/>
    <w:rsid w:val="47001117"/>
    <w:rsid w:val="47134FFF"/>
    <w:rsid w:val="47246805"/>
    <w:rsid w:val="47492E75"/>
    <w:rsid w:val="474F7F9F"/>
    <w:rsid w:val="475D2013"/>
    <w:rsid w:val="475E419F"/>
    <w:rsid w:val="475F3AC1"/>
    <w:rsid w:val="476B7A10"/>
    <w:rsid w:val="479A2ED2"/>
    <w:rsid w:val="47B328B4"/>
    <w:rsid w:val="47B57A27"/>
    <w:rsid w:val="47C13542"/>
    <w:rsid w:val="48113D01"/>
    <w:rsid w:val="484C7B11"/>
    <w:rsid w:val="485E0A04"/>
    <w:rsid w:val="486A360C"/>
    <w:rsid w:val="48761BE3"/>
    <w:rsid w:val="487F50CA"/>
    <w:rsid w:val="48A4548A"/>
    <w:rsid w:val="48A57E1F"/>
    <w:rsid w:val="48C37A91"/>
    <w:rsid w:val="48DE3BBF"/>
    <w:rsid w:val="491D19DF"/>
    <w:rsid w:val="49304CB2"/>
    <w:rsid w:val="49540127"/>
    <w:rsid w:val="496F6EBE"/>
    <w:rsid w:val="49814F4C"/>
    <w:rsid w:val="49A364F7"/>
    <w:rsid w:val="49C4569B"/>
    <w:rsid w:val="49F1713D"/>
    <w:rsid w:val="4A074043"/>
    <w:rsid w:val="4A090DC7"/>
    <w:rsid w:val="4A091441"/>
    <w:rsid w:val="4A14567E"/>
    <w:rsid w:val="4A1E6180"/>
    <w:rsid w:val="4A2308FE"/>
    <w:rsid w:val="4A287AB1"/>
    <w:rsid w:val="4A506D4E"/>
    <w:rsid w:val="4A5133EE"/>
    <w:rsid w:val="4A915C19"/>
    <w:rsid w:val="4A955A49"/>
    <w:rsid w:val="4A9C5501"/>
    <w:rsid w:val="4AAB63C5"/>
    <w:rsid w:val="4AD80F53"/>
    <w:rsid w:val="4B2C75A6"/>
    <w:rsid w:val="4B2F25FD"/>
    <w:rsid w:val="4B4652E6"/>
    <w:rsid w:val="4BB15678"/>
    <w:rsid w:val="4BB76960"/>
    <w:rsid w:val="4BD03593"/>
    <w:rsid w:val="4BD63363"/>
    <w:rsid w:val="4BD87666"/>
    <w:rsid w:val="4BE6691C"/>
    <w:rsid w:val="4BF467F9"/>
    <w:rsid w:val="4BF83E44"/>
    <w:rsid w:val="4C276C17"/>
    <w:rsid w:val="4C850277"/>
    <w:rsid w:val="4C9904F2"/>
    <w:rsid w:val="4D354FF0"/>
    <w:rsid w:val="4D4C32B8"/>
    <w:rsid w:val="4DBB048A"/>
    <w:rsid w:val="4DE07DE4"/>
    <w:rsid w:val="4E0D5D14"/>
    <w:rsid w:val="4E19309E"/>
    <w:rsid w:val="4E2F45C0"/>
    <w:rsid w:val="4E363F2F"/>
    <w:rsid w:val="4EA546F0"/>
    <w:rsid w:val="4EAF3AED"/>
    <w:rsid w:val="4EB0019E"/>
    <w:rsid w:val="4EBF6C8E"/>
    <w:rsid w:val="4ECB1385"/>
    <w:rsid w:val="4ED32851"/>
    <w:rsid w:val="4ED35762"/>
    <w:rsid w:val="4EF5014E"/>
    <w:rsid w:val="4EFA3C4E"/>
    <w:rsid w:val="4F021985"/>
    <w:rsid w:val="4F235A8E"/>
    <w:rsid w:val="4F26262A"/>
    <w:rsid w:val="4F33554E"/>
    <w:rsid w:val="4F6461D6"/>
    <w:rsid w:val="4F7B292B"/>
    <w:rsid w:val="4F9E59ED"/>
    <w:rsid w:val="4FB70240"/>
    <w:rsid w:val="4FDC58FD"/>
    <w:rsid w:val="4FDE1C0C"/>
    <w:rsid w:val="4FE54A2D"/>
    <w:rsid w:val="50202BC7"/>
    <w:rsid w:val="50216FE4"/>
    <w:rsid w:val="505236E3"/>
    <w:rsid w:val="50614DD7"/>
    <w:rsid w:val="506B628A"/>
    <w:rsid w:val="50787CFE"/>
    <w:rsid w:val="50AE1AE4"/>
    <w:rsid w:val="51167E7F"/>
    <w:rsid w:val="51390032"/>
    <w:rsid w:val="515426DE"/>
    <w:rsid w:val="515C74D2"/>
    <w:rsid w:val="51652C0F"/>
    <w:rsid w:val="518D4538"/>
    <w:rsid w:val="51960DFD"/>
    <w:rsid w:val="51BB2BF3"/>
    <w:rsid w:val="51CB75C5"/>
    <w:rsid w:val="51FD0367"/>
    <w:rsid w:val="52087160"/>
    <w:rsid w:val="521121A3"/>
    <w:rsid w:val="52377D55"/>
    <w:rsid w:val="52862351"/>
    <w:rsid w:val="52984624"/>
    <w:rsid w:val="52F10B24"/>
    <w:rsid w:val="534A2585"/>
    <w:rsid w:val="53921453"/>
    <w:rsid w:val="53A31787"/>
    <w:rsid w:val="53E637C7"/>
    <w:rsid w:val="53E8647E"/>
    <w:rsid w:val="53F45929"/>
    <w:rsid w:val="53FC0907"/>
    <w:rsid w:val="542A41A0"/>
    <w:rsid w:val="5468198B"/>
    <w:rsid w:val="54951AB4"/>
    <w:rsid w:val="549A0B06"/>
    <w:rsid w:val="54A655A6"/>
    <w:rsid w:val="54EB74E4"/>
    <w:rsid w:val="54F5081C"/>
    <w:rsid w:val="55284AD7"/>
    <w:rsid w:val="5530324E"/>
    <w:rsid w:val="55457E29"/>
    <w:rsid w:val="555B0657"/>
    <w:rsid w:val="556032BE"/>
    <w:rsid w:val="55B86023"/>
    <w:rsid w:val="55C151DC"/>
    <w:rsid w:val="55FF3036"/>
    <w:rsid w:val="56195FA7"/>
    <w:rsid w:val="561C7348"/>
    <w:rsid w:val="56213505"/>
    <w:rsid w:val="56292705"/>
    <w:rsid w:val="5632227A"/>
    <w:rsid w:val="564E3203"/>
    <w:rsid w:val="568C03E5"/>
    <w:rsid w:val="56E60496"/>
    <w:rsid w:val="56F51F8F"/>
    <w:rsid w:val="57374E0B"/>
    <w:rsid w:val="57430271"/>
    <w:rsid w:val="57444728"/>
    <w:rsid w:val="575B090B"/>
    <w:rsid w:val="578D0B1E"/>
    <w:rsid w:val="57926FF9"/>
    <w:rsid w:val="57E11915"/>
    <w:rsid w:val="57E6509B"/>
    <w:rsid w:val="57E738F8"/>
    <w:rsid w:val="57EB5B27"/>
    <w:rsid w:val="57EC2D60"/>
    <w:rsid w:val="581F6177"/>
    <w:rsid w:val="58263426"/>
    <w:rsid w:val="583C0E12"/>
    <w:rsid w:val="58A14304"/>
    <w:rsid w:val="58A3772F"/>
    <w:rsid w:val="58CC5EFE"/>
    <w:rsid w:val="58EA5D7A"/>
    <w:rsid w:val="58FB3B6A"/>
    <w:rsid w:val="59205FDE"/>
    <w:rsid w:val="59336ED5"/>
    <w:rsid w:val="59393A95"/>
    <w:rsid w:val="594A3241"/>
    <w:rsid w:val="594D3E46"/>
    <w:rsid w:val="595C3DA0"/>
    <w:rsid w:val="595E62F2"/>
    <w:rsid w:val="59693F87"/>
    <w:rsid w:val="59B42F07"/>
    <w:rsid w:val="59BB77BA"/>
    <w:rsid w:val="5A1656CF"/>
    <w:rsid w:val="5A2C4220"/>
    <w:rsid w:val="5A316507"/>
    <w:rsid w:val="5A497C34"/>
    <w:rsid w:val="5A4C0E52"/>
    <w:rsid w:val="5A581778"/>
    <w:rsid w:val="5A7B33E5"/>
    <w:rsid w:val="5A8C664D"/>
    <w:rsid w:val="5AC20EBF"/>
    <w:rsid w:val="5ACD6E0C"/>
    <w:rsid w:val="5ADF42CD"/>
    <w:rsid w:val="5AEF3F0F"/>
    <w:rsid w:val="5AF02937"/>
    <w:rsid w:val="5B3846E5"/>
    <w:rsid w:val="5B58178A"/>
    <w:rsid w:val="5B5C5E93"/>
    <w:rsid w:val="5B5E3394"/>
    <w:rsid w:val="5B74024A"/>
    <w:rsid w:val="5B792560"/>
    <w:rsid w:val="5BA172F8"/>
    <w:rsid w:val="5BB151A5"/>
    <w:rsid w:val="5BB6027C"/>
    <w:rsid w:val="5BBB47C2"/>
    <w:rsid w:val="5BF62976"/>
    <w:rsid w:val="5C16597D"/>
    <w:rsid w:val="5C707C6C"/>
    <w:rsid w:val="5C8E0CD7"/>
    <w:rsid w:val="5C9E2C36"/>
    <w:rsid w:val="5CBB2347"/>
    <w:rsid w:val="5CC6320E"/>
    <w:rsid w:val="5CC76C7C"/>
    <w:rsid w:val="5CE05ECE"/>
    <w:rsid w:val="5CE66A1D"/>
    <w:rsid w:val="5CF36024"/>
    <w:rsid w:val="5CFF01AA"/>
    <w:rsid w:val="5D1344DD"/>
    <w:rsid w:val="5D556CF6"/>
    <w:rsid w:val="5D7B6EDD"/>
    <w:rsid w:val="5D806796"/>
    <w:rsid w:val="5D827D40"/>
    <w:rsid w:val="5DA1325B"/>
    <w:rsid w:val="5DC43C07"/>
    <w:rsid w:val="5DCA3A55"/>
    <w:rsid w:val="5DCD3255"/>
    <w:rsid w:val="5E33770D"/>
    <w:rsid w:val="5E532ADD"/>
    <w:rsid w:val="5E610B28"/>
    <w:rsid w:val="5E66579C"/>
    <w:rsid w:val="5E91320F"/>
    <w:rsid w:val="5E915A7A"/>
    <w:rsid w:val="5EA33A97"/>
    <w:rsid w:val="5ED134B6"/>
    <w:rsid w:val="5EF55DBA"/>
    <w:rsid w:val="5F6B1358"/>
    <w:rsid w:val="5FC51458"/>
    <w:rsid w:val="5FC866E5"/>
    <w:rsid w:val="5FCD5E1B"/>
    <w:rsid w:val="60090629"/>
    <w:rsid w:val="60413F7F"/>
    <w:rsid w:val="606A3C6B"/>
    <w:rsid w:val="609B5019"/>
    <w:rsid w:val="60B4769E"/>
    <w:rsid w:val="60E31FC1"/>
    <w:rsid w:val="60F57678"/>
    <w:rsid w:val="610242F6"/>
    <w:rsid w:val="61160BEE"/>
    <w:rsid w:val="6119401A"/>
    <w:rsid w:val="611D2CA6"/>
    <w:rsid w:val="61200642"/>
    <w:rsid w:val="614063C4"/>
    <w:rsid w:val="61652DB1"/>
    <w:rsid w:val="61970BE7"/>
    <w:rsid w:val="61A20E5D"/>
    <w:rsid w:val="61FF77D1"/>
    <w:rsid w:val="620A3859"/>
    <w:rsid w:val="621F7DA1"/>
    <w:rsid w:val="62204E0F"/>
    <w:rsid w:val="62207D5C"/>
    <w:rsid w:val="624063A3"/>
    <w:rsid w:val="62845968"/>
    <w:rsid w:val="62A323E7"/>
    <w:rsid w:val="62AC7891"/>
    <w:rsid w:val="62B35B81"/>
    <w:rsid w:val="62B75EDD"/>
    <w:rsid w:val="62C01D55"/>
    <w:rsid w:val="62C92F2D"/>
    <w:rsid w:val="62D93169"/>
    <w:rsid w:val="631D5B18"/>
    <w:rsid w:val="631E201F"/>
    <w:rsid w:val="63320961"/>
    <w:rsid w:val="634E6C76"/>
    <w:rsid w:val="63577D60"/>
    <w:rsid w:val="635F735D"/>
    <w:rsid w:val="636514C6"/>
    <w:rsid w:val="636F701B"/>
    <w:rsid w:val="6382662F"/>
    <w:rsid w:val="63C95202"/>
    <w:rsid w:val="63CB4107"/>
    <w:rsid w:val="63E66720"/>
    <w:rsid w:val="64090834"/>
    <w:rsid w:val="64116EAE"/>
    <w:rsid w:val="64272A3B"/>
    <w:rsid w:val="6467063D"/>
    <w:rsid w:val="648F4A0E"/>
    <w:rsid w:val="64937E71"/>
    <w:rsid w:val="6495646A"/>
    <w:rsid w:val="64E61C82"/>
    <w:rsid w:val="64FA320D"/>
    <w:rsid w:val="65797FD4"/>
    <w:rsid w:val="65953363"/>
    <w:rsid w:val="65B841DE"/>
    <w:rsid w:val="65CA03C9"/>
    <w:rsid w:val="65E1661E"/>
    <w:rsid w:val="65E36C18"/>
    <w:rsid w:val="65FF7979"/>
    <w:rsid w:val="660918F9"/>
    <w:rsid w:val="663C1302"/>
    <w:rsid w:val="665F0112"/>
    <w:rsid w:val="669A5886"/>
    <w:rsid w:val="66BF54E4"/>
    <w:rsid w:val="66CB281C"/>
    <w:rsid w:val="66EA7985"/>
    <w:rsid w:val="67101119"/>
    <w:rsid w:val="67151BB5"/>
    <w:rsid w:val="671C67EA"/>
    <w:rsid w:val="67400D4D"/>
    <w:rsid w:val="677A414A"/>
    <w:rsid w:val="67C307D2"/>
    <w:rsid w:val="67C952B3"/>
    <w:rsid w:val="67D75454"/>
    <w:rsid w:val="67DB4341"/>
    <w:rsid w:val="67F13B0B"/>
    <w:rsid w:val="684246D2"/>
    <w:rsid w:val="68720AE2"/>
    <w:rsid w:val="68AA7215"/>
    <w:rsid w:val="68ED6911"/>
    <w:rsid w:val="690313A1"/>
    <w:rsid w:val="6903642B"/>
    <w:rsid w:val="690F1870"/>
    <w:rsid w:val="69292925"/>
    <w:rsid w:val="692F5E27"/>
    <w:rsid w:val="69466675"/>
    <w:rsid w:val="698C2B7F"/>
    <w:rsid w:val="69AB5D7A"/>
    <w:rsid w:val="69F575F2"/>
    <w:rsid w:val="6A4B323C"/>
    <w:rsid w:val="6A4C7335"/>
    <w:rsid w:val="6A531E39"/>
    <w:rsid w:val="6A545ADB"/>
    <w:rsid w:val="6A5D05BD"/>
    <w:rsid w:val="6A6502E9"/>
    <w:rsid w:val="6A6B273C"/>
    <w:rsid w:val="6A703222"/>
    <w:rsid w:val="6A9959CD"/>
    <w:rsid w:val="6AAA18E6"/>
    <w:rsid w:val="6AC938A9"/>
    <w:rsid w:val="6B2F05BC"/>
    <w:rsid w:val="6B3421CE"/>
    <w:rsid w:val="6B435167"/>
    <w:rsid w:val="6BB237C9"/>
    <w:rsid w:val="6BBE0ED6"/>
    <w:rsid w:val="6BDF1336"/>
    <w:rsid w:val="6C3161F1"/>
    <w:rsid w:val="6C3745DF"/>
    <w:rsid w:val="6C6253EB"/>
    <w:rsid w:val="6C666B72"/>
    <w:rsid w:val="6C8F3EF6"/>
    <w:rsid w:val="6CAD55CC"/>
    <w:rsid w:val="6CBE1616"/>
    <w:rsid w:val="6CC15F94"/>
    <w:rsid w:val="6D0755C6"/>
    <w:rsid w:val="6D0C01A9"/>
    <w:rsid w:val="6D493A0A"/>
    <w:rsid w:val="6D551BE3"/>
    <w:rsid w:val="6D8E2C9C"/>
    <w:rsid w:val="6DA17879"/>
    <w:rsid w:val="6DAD51A4"/>
    <w:rsid w:val="6E017D0E"/>
    <w:rsid w:val="6E1E1DB6"/>
    <w:rsid w:val="6E3F4BAC"/>
    <w:rsid w:val="6E735A03"/>
    <w:rsid w:val="6EA04E08"/>
    <w:rsid w:val="6EA65410"/>
    <w:rsid w:val="6EAA18F7"/>
    <w:rsid w:val="6EAF0EF3"/>
    <w:rsid w:val="6ECF710B"/>
    <w:rsid w:val="6ED721A3"/>
    <w:rsid w:val="6EEE5D94"/>
    <w:rsid w:val="6F0B5A13"/>
    <w:rsid w:val="6F1579C7"/>
    <w:rsid w:val="6F62521C"/>
    <w:rsid w:val="6FC26F58"/>
    <w:rsid w:val="6FD761EC"/>
    <w:rsid w:val="6FF1085F"/>
    <w:rsid w:val="70750A7A"/>
    <w:rsid w:val="708B149F"/>
    <w:rsid w:val="70991D59"/>
    <w:rsid w:val="709A5C21"/>
    <w:rsid w:val="70A1686A"/>
    <w:rsid w:val="70D02722"/>
    <w:rsid w:val="711A09D1"/>
    <w:rsid w:val="712F60DB"/>
    <w:rsid w:val="71390358"/>
    <w:rsid w:val="714B6CD7"/>
    <w:rsid w:val="71D8215F"/>
    <w:rsid w:val="71DF1D07"/>
    <w:rsid w:val="71DF7269"/>
    <w:rsid w:val="71EC0C3D"/>
    <w:rsid w:val="71FB7CB1"/>
    <w:rsid w:val="720D209A"/>
    <w:rsid w:val="7221044F"/>
    <w:rsid w:val="72247AE3"/>
    <w:rsid w:val="723126FD"/>
    <w:rsid w:val="723E2E01"/>
    <w:rsid w:val="72404D8A"/>
    <w:rsid w:val="724C22E8"/>
    <w:rsid w:val="725F0F01"/>
    <w:rsid w:val="729D5E1F"/>
    <w:rsid w:val="72E72EAA"/>
    <w:rsid w:val="7331658B"/>
    <w:rsid w:val="733C6C97"/>
    <w:rsid w:val="734B4A4B"/>
    <w:rsid w:val="734C70B6"/>
    <w:rsid w:val="73560C2B"/>
    <w:rsid w:val="735E4E1D"/>
    <w:rsid w:val="7388314F"/>
    <w:rsid w:val="73CB394C"/>
    <w:rsid w:val="73D51780"/>
    <w:rsid w:val="73E34188"/>
    <w:rsid w:val="73F006A6"/>
    <w:rsid w:val="73F022C4"/>
    <w:rsid w:val="73F63EFE"/>
    <w:rsid w:val="73FF26B3"/>
    <w:rsid w:val="74071758"/>
    <w:rsid w:val="741425AC"/>
    <w:rsid w:val="7463178E"/>
    <w:rsid w:val="746371B3"/>
    <w:rsid w:val="747A43C9"/>
    <w:rsid w:val="752A004C"/>
    <w:rsid w:val="752C3218"/>
    <w:rsid w:val="75397634"/>
    <w:rsid w:val="753A57F1"/>
    <w:rsid w:val="75537CD8"/>
    <w:rsid w:val="75595BE3"/>
    <w:rsid w:val="75642AFE"/>
    <w:rsid w:val="757606EF"/>
    <w:rsid w:val="75844FC1"/>
    <w:rsid w:val="75EE069B"/>
    <w:rsid w:val="7615419A"/>
    <w:rsid w:val="76172D6A"/>
    <w:rsid w:val="761A409E"/>
    <w:rsid w:val="76272247"/>
    <w:rsid w:val="762B3A46"/>
    <w:rsid w:val="762F02D7"/>
    <w:rsid w:val="763D7340"/>
    <w:rsid w:val="767A6C09"/>
    <w:rsid w:val="76880BA0"/>
    <w:rsid w:val="768C2564"/>
    <w:rsid w:val="76BA43D5"/>
    <w:rsid w:val="76BE21DC"/>
    <w:rsid w:val="76CD5B13"/>
    <w:rsid w:val="76DF3C76"/>
    <w:rsid w:val="76EB41A9"/>
    <w:rsid w:val="76F71295"/>
    <w:rsid w:val="7706359E"/>
    <w:rsid w:val="771A5653"/>
    <w:rsid w:val="7734542F"/>
    <w:rsid w:val="774073C9"/>
    <w:rsid w:val="77460079"/>
    <w:rsid w:val="77567D26"/>
    <w:rsid w:val="775D2B17"/>
    <w:rsid w:val="7760235E"/>
    <w:rsid w:val="77725BE9"/>
    <w:rsid w:val="77C64121"/>
    <w:rsid w:val="77CD3C5D"/>
    <w:rsid w:val="77FD4667"/>
    <w:rsid w:val="77FF48CB"/>
    <w:rsid w:val="781200C6"/>
    <w:rsid w:val="78150104"/>
    <w:rsid w:val="786B1829"/>
    <w:rsid w:val="7887115A"/>
    <w:rsid w:val="78A939C7"/>
    <w:rsid w:val="78C7234E"/>
    <w:rsid w:val="791063B8"/>
    <w:rsid w:val="793E7F2E"/>
    <w:rsid w:val="796362D3"/>
    <w:rsid w:val="79736C5B"/>
    <w:rsid w:val="79827C27"/>
    <w:rsid w:val="798834D2"/>
    <w:rsid w:val="799B7D73"/>
    <w:rsid w:val="79B07BB3"/>
    <w:rsid w:val="79B7369F"/>
    <w:rsid w:val="79D510F0"/>
    <w:rsid w:val="79ED59B1"/>
    <w:rsid w:val="79F56CDC"/>
    <w:rsid w:val="7A032271"/>
    <w:rsid w:val="7A320BDB"/>
    <w:rsid w:val="7A491583"/>
    <w:rsid w:val="7A5B6EDF"/>
    <w:rsid w:val="7A5D2F7E"/>
    <w:rsid w:val="7A676444"/>
    <w:rsid w:val="7A72534A"/>
    <w:rsid w:val="7A7D7556"/>
    <w:rsid w:val="7A832DB1"/>
    <w:rsid w:val="7A8F7D69"/>
    <w:rsid w:val="7AA27F96"/>
    <w:rsid w:val="7AD44A1D"/>
    <w:rsid w:val="7B045A0E"/>
    <w:rsid w:val="7B137629"/>
    <w:rsid w:val="7B1B29C2"/>
    <w:rsid w:val="7BA57F90"/>
    <w:rsid w:val="7BBC18FF"/>
    <w:rsid w:val="7BD04812"/>
    <w:rsid w:val="7C100290"/>
    <w:rsid w:val="7C151FE3"/>
    <w:rsid w:val="7C1D63E0"/>
    <w:rsid w:val="7C2925EF"/>
    <w:rsid w:val="7C463AF9"/>
    <w:rsid w:val="7C4F2F02"/>
    <w:rsid w:val="7C691C0E"/>
    <w:rsid w:val="7C7654E0"/>
    <w:rsid w:val="7C9D56FC"/>
    <w:rsid w:val="7C9E2AE3"/>
    <w:rsid w:val="7CD264A4"/>
    <w:rsid w:val="7CDE5607"/>
    <w:rsid w:val="7D0D23F8"/>
    <w:rsid w:val="7D1819A4"/>
    <w:rsid w:val="7D29775C"/>
    <w:rsid w:val="7D57537E"/>
    <w:rsid w:val="7D79413D"/>
    <w:rsid w:val="7D872924"/>
    <w:rsid w:val="7D8F5F9C"/>
    <w:rsid w:val="7E180A37"/>
    <w:rsid w:val="7E252BD1"/>
    <w:rsid w:val="7E2D4483"/>
    <w:rsid w:val="7E327A3B"/>
    <w:rsid w:val="7E665892"/>
    <w:rsid w:val="7E782BA9"/>
    <w:rsid w:val="7E9213CC"/>
    <w:rsid w:val="7EA926FF"/>
    <w:rsid w:val="7EAA18EA"/>
    <w:rsid w:val="7EC9006A"/>
    <w:rsid w:val="7EC93E9C"/>
    <w:rsid w:val="7EF33F65"/>
    <w:rsid w:val="7EFA1C61"/>
    <w:rsid w:val="7F0300DD"/>
    <w:rsid w:val="7F0462F7"/>
    <w:rsid w:val="7F2A5B74"/>
    <w:rsid w:val="7F6C7183"/>
    <w:rsid w:val="7F826632"/>
    <w:rsid w:val="7FA31856"/>
    <w:rsid w:val="7FB2207D"/>
    <w:rsid w:val="7FFA71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Calibri" w:eastAsia="宋体" w:cs="宋体"/>
      <w:sz w:val="24"/>
      <w:szCs w:val="24"/>
      <w:lang w:val="en-US" w:eastAsia="zh-CN" w:bidi="ar-SA"/>
    </w:rPr>
  </w:style>
  <w:style w:type="paragraph" w:styleId="3">
    <w:name w:val="heading 1"/>
    <w:basedOn w:val="1"/>
    <w:next w:val="1"/>
    <w:link w:val="70"/>
    <w:qFormat/>
    <w:uiPriority w:val="0"/>
    <w:pPr>
      <w:outlineLvl w:val="0"/>
    </w:pPr>
  </w:style>
  <w:style w:type="paragraph" w:styleId="2">
    <w:name w:val="heading 2"/>
    <w:basedOn w:val="1"/>
    <w:next w:val="1"/>
    <w:qFormat/>
    <w:uiPriority w:val="0"/>
    <w:pPr>
      <w:outlineLvl w:val="1"/>
    </w:pPr>
    <w:rPr>
      <w:rFonts w:hAnsi="宋体"/>
      <w:b/>
    </w:rPr>
  </w:style>
  <w:style w:type="paragraph" w:styleId="4">
    <w:name w:val="heading 3"/>
    <w:basedOn w:val="1"/>
    <w:next w:val="1"/>
    <w:qFormat/>
    <w:uiPriority w:val="0"/>
    <w:pPr>
      <w:outlineLvl w:val="2"/>
    </w:p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widowControl/>
      <w:tabs>
        <w:tab w:val="left" w:pos="1008"/>
      </w:tabs>
      <w:autoSpaceDE/>
      <w:autoSpaceDN/>
      <w:adjustRightInd/>
      <w:spacing w:before="280" w:after="290" w:line="376" w:lineRule="auto"/>
      <w:ind w:left="1008" w:hanging="1008"/>
      <w:outlineLvl w:val="4"/>
    </w:pPr>
    <w:rPr>
      <w:rFonts w:ascii="Times New Roman"/>
      <w:b/>
      <w:bCs/>
      <w:sz w:val="28"/>
      <w:szCs w:val="28"/>
    </w:rPr>
  </w:style>
  <w:style w:type="paragraph" w:styleId="7">
    <w:name w:val="heading 6"/>
    <w:basedOn w:val="1"/>
    <w:next w:val="1"/>
    <w:qFormat/>
    <w:uiPriority w:val="0"/>
    <w:pPr>
      <w:keepNext/>
      <w:keepLines/>
      <w:widowControl/>
      <w:tabs>
        <w:tab w:val="left" w:pos="1152"/>
      </w:tabs>
      <w:autoSpaceDE/>
      <w:autoSpaceDN/>
      <w:adjustRightInd/>
      <w:spacing w:before="240" w:after="64" w:line="320" w:lineRule="auto"/>
      <w:ind w:left="1152" w:hanging="1152"/>
      <w:outlineLvl w:val="5"/>
    </w:pPr>
    <w:rPr>
      <w:rFonts w:ascii="Arial" w:hAnsi="Arial" w:eastAsia="黑体"/>
      <w:b/>
      <w:bCs/>
    </w:rPr>
  </w:style>
  <w:style w:type="paragraph" w:styleId="8">
    <w:name w:val="heading 7"/>
    <w:basedOn w:val="1"/>
    <w:next w:val="1"/>
    <w:qFormat/>
    <w:uiPriority w:val="0"/>
    <w:pPr>
      <w:keepNext/>
      <w:keepLines/>
      <w:widowControl/>
      <w:tabs>
        <w:tab w:val="left" w:pos="1296"/>
      </w:tabs>
      <w:autoSpaceDE/>
      <w:autoSpaceDN/>
      <w:adjustRightInd/>
      <w:spacing w:before="240" w:after="64" w:line="320" w:lineRule="auto"/>
      <w:ind w:left="1296" w:hanging="1296"/>
      <w:outlineLvl w:val="6"/>
    </w:pPr>
    <w:rPr>
      <w:rFonts w:ascii="Times New Roman"/>
      <w:b/>
      <w:bCs/>
    </w:rPr>
  </w:style>
  <w:style w:type="paragraph" w:styleId="9">
    <w:name w:val="heading 8"/>
    <w:basedOn w:val="1"/>
    <w:next w:val="1"/>
    <w:qFormat/>
    <w:uiPriority w:val="0"/>
    <w:pPr>
      <w:keepNext/>
      <w:keepLines/>
      <w:widowControl/>
      <w:tabs>
        <w:tab w:val="left" w:pos="1440"/>
      </w:tabs>
      <w:autoSpaceDE/>
      <w:autoSpaceDN/>
      <w:adjustRightInd/>
      <w:spacing w:before="240" w:after="64" w:line="320" w:lineRule="auto"/>
      <w:ind w:left="1440" w:hanging="1440"/>
      <w:outlineLvl w:val="7"/>
    </w:pPr>
    <w:rPr>
      <w:rFonts w:ascii="Arial" w:hAnsi="Arial" w:eastAsia="黑体"/>
    </w:rPr>
  </w:style>
  <w:style w:type="paragraph" w:styleId="10">
    <w:name w:val="heading 9"/>
    <w:basedOn w:val="1"/>
    <w:next w:val="1"/>
    <w:qFormat/>
    <w:uiPriority w:val="0"/>
    <w:pPr>
      <w:keepNext/>
      <w:keepLines/>
      <w:widowControl/>
      <w:tabs>
        <w:tab w:val="left" w:pos="1584"/>
      </w:tabs>
      <w:autoSpaceDE/>
      <w:autoSpaceDN/>
      <w:adjustRightInd/>
      <w:spacing w:before="240" w:after="64" w:line="320" w:lineRule="auto"/>
      <w:ind w:left="1584" w:hanging="1584"/>
      <w:outlineLvl w:val="8"/>
    </w:pPr>
    <w:rPr>
      <w:rFonts w:ascii="Arial" w:hAnsi="Arial" w:eastAsia="黑体"/>
      <w:sz w:val="21"/>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440"/>
    </w:pPr>
    <w:rPr>
      <w:rFonts w:ascii="Calibri" w:cs="Calibri"/>
      <w:sz w:val="18"/>
      <w:szCs w:val="18"/>
    </w:rPr>
  </w:style>
  <w:style w:type="paragraph" w:styleId="12">
    <w:name w:val="Normal Indent"/>
    <w:basedOn w:val="1"/>
    <w:link w:val="76"/>
    <w:qFormat/>
    <w:uiPriority w:val="0"/>
    <w:pPr>
      <w:widowControl/>
      <w:autoSpaceDE/>
      <w:autoSpaceDN/>
      <w:adjustRightInd/>
      <w:ind w:firstLine="420" w:firstLineChars="200"/>
    </w:pPr>
    <w:rPr>
      <w:rFonts w:ascii="Calibri"/>
      <w:sz w:val="20"/>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List Bullet"/>
    <w:basedOn w:val="15"/>
    <w:qFormat/>
    <w:uiPriority w:val="0"/>
    <w:pPr>
      <w:widowControl/>
      <w:numPr>
        <w:ilvl w:val="0"/>
        <w:numId w:val="1"/>
      </w:numPr>
      <w:tabs>
        <w:tab w:val="left" w:pos="420"/>
      </w:tabs>
      <w:adjustRightInd/>
      <w:snapToGrid/>
      <w:ind w:right="720"/>
    </w:pPr>
    <w:rPr>
      <w:rFonts w:ascii="Garamond" w:hAnsi="Garamond"/>
      <w:kern w:val="0"/>
      <w:sz w:val="24"/>
      <w:szCs w:val="20"/>
    </w:rPr>
  </w:style>
  <w:style w:type="paragraph" w:styleId="15">
    <w:name w:val="List"/>
    <w:basedOn w:val="1"/>
    <w:qFormat/>
    <w:uiPriority w:val="0"/>
    <w:pPr>
      <w:numPr>
        <w:ilvl w:val="0"/>
        <w:numId w:val="2"/>
      </w:numPr>
      <w:autoSpaceDE/>
      <w:autoSpaceDN/>
      <w:snapToGrid w:val="0"/>
      <w:spacing w:line="300" w:lineRule="auto"/>
      <w:jc w:val="both"/>
    </w:pPr>
    <w:rPr>
      <w:rFonts w:ascii="Times New Roman"/>
      <w:kern w:val="2"/>
      <w:sz w:val="21"/>
    </w:rPr>
  </w:style>
  <w:style w:type="paragraph" w:styleId="16">
    <w:name w:val="Document Map"/>
    <w:basedOn w:val="1"/>
    <w:qFormat/>
    <w:uiPriority w:val="0"/>
    <w:pPr>
      <w:shd w:val="clear" w:color="auto" w:fill="000080"/>
    </w:pPr>
  </w:style>
  <w:style w:type="paragraph" w:styleId="17">
    <w:name w:val="toa heading"/>
    <w:basedOn w:val="1"/>
    <w:next w:val="1"/>
    <w:qFormat/>
    <w:uiPriority w:val="0"/>
    <w:pPr>
      <w:snapToGrid w:val="0"/>
      <w:spacing w:before="120" w:line="360" w:lineRule="auto"/>
      <w:jc w:val="both"/>
    </w:pPr>
    <w:rPr>
      <w:rFonts w:ascii="Arial" w:hAnsi="Arial"/>
      <w:snapToGrid w:val="0"/>
      <w:color w:val="000000"/>
      <w:sz w:val="21"/>
      <w:szCs w:val="20"/>
    </w:rPr>
  </w:style>
  <w:style w:type="paragraph" w:styleId="18">
    <w:name w:val="annotation text"/>
    <w:basedOn w:val="1"/>
    <w:link w:val="183"/>
    <w:qFormat/>
    <w:uiPriority w:val="0"/>
    <w:pPr>
      <w:widowControl/>
      <w:autoSpaceDE/>
      <w:autoSpaceDN/>
      <w:adjustRightInd/>
    </w:pPr>
    <w:rPr>
      <w:rFonts w:ascii="Times New Roman"/>
      <w:sz w:val="21"/>
      <w:szCs w:val="20"/>
    </w:rPr>
  </w:style>
  <w:style w:type="paragraph" w:styleId="19">
    <w:name w:val="Body Text 3"/>
    <w:basedOn w:val="1"/>
    <w:qFormat/>
    <w:uiPriority w:val="0"/>
    <w:pPr>
      <w:ind w:right="-26"/>
      <w:jc w:val="center"/>
    </w:pPr>
    <w:rPr>
      <w:b/>
      <w:bCs/>
      <w:color w:val="3366FF"/>
      <w:kern w:val="2"/>
      <w:sz w:val="52"/>
      <w:szCs w:val="52"/>
      <w:lang w:val="zh-CN"/>
    </w:rPr>
  </w:style>
  <w:style w:type="paragraph" w:styleId="20">
    <w:name w:val="Body Text"/>
    <w:basedOn w:val="1"/>
    <w:next w:val="21"/>
    <w:link w:val="81"/>
    <w:qFormat/>
    <w:uiPriority w:val="0"/>
    <w:pPr>
      <w:ind w:right="-26"/>
      <w:jc w:val="center"/>
    </w:pPr>
    <w:rPr>
      <w:rFonts w:hAnsi="Times New Roman"/>
      <w:b/>
      <w:bCs/>
      <w:kern w:val="2"/>
      <w:sz w:val="84"/>
      <w:szCs w:val="84"/>
      <w:lang w:val="zh-CN"/>
    </w:rPr>
  </w:style>
  <w:style w:type="paragraph" w:styleId="21">
    <w:name w:val="Body Text First Indent"/>
    <w:basedOn w:val="20"/>
    <w:qFormat/>
    <w:uiPriority w:val="0"/>
    <w:pPr>
      <w:widowControl/>
      <w:autoSpaceDE/>
      <w:autoSpaceDN/>
      <w:adjustRightInd/>
      <w:spacing w:after="120"/>
      <w:ind w:right="0" w:firstLine="420" w:firstLineChars="100"/>
      <w:jc w:val="left"/>
    </w:pPr>
    <w:rPr>
      <w:rFonts w:ascii="Times New Roman"/>
      <w:b w:val="0"/>
      <w:bCs w:val="0"/>
      <w:kern w:val="0"/>
      <w:sz w:val="21"/>
      <w:szCs w:val="20"/>
      <w:lang w:val="en-US"/>
    </w:rPr>
  </w:style>
  <w:style w:type="paragraph" w:styleId="22">
    <w:name w:val="Body Text Indent"/>
    <w:basedOn w:val="1"/>
    <w:qFormat/>
    <w:uiPriority w:val="0"/>
    <w:pPr>
      <w:autoSpaceDE/>
      <w:autoSpaceDN/>
      <w:adjustRightInd/>
      <w:ind w:left="567" w:leftChars="270"/>
      <w:jc w:val="both"/>
    </w:pPr>
    <w:rPr>
      <w:rFonts w:ascii="Times New Roman"/>
      <w:kern w:val="2"/>
      <w:sz w:val="21"/>
      <w:szCs w:val="20"/>
    </w:rPr>
  </w:style>
  <w:style w:type="paragraph" w:styleId="23">
    <w:name w:val="List Number 3"/>
    <w:basedOn w:val="1"/>
    <w:qFormat/>
    <w:uiPriority w:val="0"/>
    <w:pPr>
      <w:numPr>
        <w:ilvl w:val="0"/>
        <w:numId w:val="3"/>
      </w:numPr>
    </w:pPr>
  </w:style>
  <w:style w:type="paragraph" w:styleId="24">
    <w:name w:val="List 2"/>
    <w:basedOn w:val="1"/>
    <w:qFormat/>
    <w:uiPriority w:val="0"/>
    <w:pPr>
      <w:widowControl/>
      <w:autoSpaceDE/>
      <w:autoSpaceDN/>
      <w:adjustRightInd/>
      <w:ind w:left="100" w:leftChars="200" w:hanging="200" w:hangingChars="200"/>
    </w:pPr>
    <w:rPr>
      <w:rFonts w:ascii="Times New Roman"/>
      <w:sz w:val="21"/>
      <w:szCs w:val="20"/>
    </w:rPr>
  </w:style>
  <w:style w:type="paragraph" w:styleId="25">
    <w:name w:val="Block Text"/>
    <w:basedOn w:val="1"/>
    <w:qFormat/>
    <w:uiPriority w:val="0"/>
    <w:pPr>
      <w:spacing w:after="120"/>
      <w:ind w:left="1440" w:leftChars="700" w:right="1440" w:rightChars="700"/>
    </w:pPr>
  </w:style>
  <w:style w:type="paragraph" w:styleId="26">
    <w:name w:val="toc 5"/>
    <w:basedOn w:val="1"/>
    <w:next w:val="1"/>
    <w:qFormat/>
    <w:uiPriority w:val="0"/>
    <w:pPr>
      <w:ind w:left="960"/>
    </w:pPr>
    <w:rPr>
      <w:rFonts w:ascii="Calibri" w:cs="Calibri"/>
      <w:sz w:val="18"/>
      <w:szCs w:val="18"/>
    </w:rPr>
  </w:style>
  <w:style w:type="paragraph" w:styleId="27">
    <w:name w:val="toc 3"/>
    <w:basedOn w:val="1"/>
    <w:next w:val="1"/>
    <w:qFormat/>
    <w:uiPriority w:val="0"/>
    <w:pPr>
      <w:ind w:left="480"/>
    </w:pPr>
    <w:rPr>
      <w:rFonts w:ascii="Calibri" w:cs="Calibri"/>
      <w:i/>
      <w:iCs/>
      <w:sz w:val="20"/>
      <w:szCs w:val="20"/>
    </w:rPr>
  </w:style>
  <w:style w:type="paragraph" w:styleId="28">
    <w:name w:val="Plain Text"/>
    <w:basedOn w:val="1"/>
    <w:next w:val="1"/>
    <w:link w:val="77"/>
    <w:qFormat/>
    <w:uiPriority w:val="0"/>
    <w:pPr>
      <w:autoSpaceDE/>
      <w:autoSpaceDN/>
      <w:adjustRightInd/>
      <w:jc w:val="both"/>
    </w:pPr>
    <w:rPr>
      <w:rFonts w:hAnsi="Courier New"/>
      <w:kern w:val="2"/>
      <w:sz w:val="21"/>
      <w:szCs w:val="20"/>
    </w:rPr>
  </w:style>
  <w:style w:type="paragraph" w:styleId="29">
    <w:name w:val="toc 8"/>
    <w:basedOn w:val="1"/>
    <w:next w:val="1"/>
    <w:qFormat/>
    <w:uiPriority w:val="0"/>
    <w:pPr>
      <w:ind w:left="1680"/>
    </w:pPr>
    <w:rPr>
      <w:rFonts w:ascii="Calibri" w:cs="Calibri"/>
      <w:sz w:val="18"/>
      <w:szCs w:val="18"/>
    </w:rPr>
  </w:style>
  <w:style w:type="paragraph" w:styleId="30">
    <w:name w:val="Date"/>
    <w:basedOn w:val="1"/>
    <w:next w:val="1"/>
    <w:qFormat/>
    <w:uiPriority w:val="0"/>
    <w:pPr>
      <w:ind w:left="100" w:leftChars="2500"/>
    </w:pPr>
    <w:rPr>
      <w:b/>
      <w:bCs/>
      <w:kern w:val="2"/>
      <w:sz w:val="21"/>
      <w:szCs w:val="21"/>
      <w:lang w:val="zh-CN"/>
    </w:rPr>
  </w:style>
  <w:style w:type="paragraph" w:styleId="31">
    <w:name w:val="Body Text Indent 2"/>
    <w:basedOn w:val="1"/>
    <w:qFormat/>
    <w:uiPriority w:val="0"/>
    <w:pPr>
      <w:tabs>
        <w:tab w:val="left" w:pos="8640"/>
      </w:tabs>
      <w:autoSpaceDE/>
      <w:autoSpaceDN/>
      <w:adjustRightInd/>
      <w:ind w:left="1260"/>
      <w:jc w:val="both"/>
    </w:pPr>
    <w:rPr>
      <w:kern w:val="2"/>
      <w:sz w:val="21"/>
      <w:szCs w:val="20"/>
    </w:rPr>
  </w:style>
  <w:style w:type="paragraph" w:styleId="32">
    <w:name w:val="Balloon Text"/>
    <w:basedOn w:val="1"/>
    <w:qFormat/>
    <w:uiPriority w:val="0"/>
    <w:pPr>
      <w:autoSpaceDE/>
      <w:autoSpaceDN/>
      <w:adjustRightInd/>
      <w:jc w:val="both"/>
    </w:pPr>
    <w:rPr>
      <w:rFonts w:ascii="Times New Roman"/>
      <w:kern w:val="2"/>
      <w:sz w:val="18"/>
      <w:szCs w:val="18"/>
    </w:rPr>
  </w:style>
  <w:style w:type="paragraph" w:styleId="33">
    <w:name w:val="footer"/>
    <w:basedOn w:val="1"/>
    <w:link w:val="90"/>
    <w:qFormat/>
    <w:uiPriority w:val="99"/>
    <w:pPr>
      <w:tabs>
        <w:tab w:val="center" w:pos="4153"/>
        <w:tab w:val="right" w:pos="8306"/>
      </w:tabs>
      <w:snapToGrid w:val="0"/>
    </w:pPr>
    <w:rPr>
      <w:rFonts w:hAnsi="Times New Roman"/>
      <w:sz w:val="18"/>
      <w:szCs w:val="18"/>
    </w:rPr>
  </w:style>
  <w:style w:type="paragraph" w:styleId="34">
    <w:name w:val="header"/>
    <w:basedOn w:val="1"/>
    <w:link w:val="86"/>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0"/>
    <w:pPr>
      <w:spacing w:before="120" w:after="120"/>
    </w:pPr>
    <w:rPr>
      <w:rFonts w:ascii="Calibri" w:cs="Calibri"/>
      <w:b/>
      <w:bCs/>
      <w:caps/>
      <w:sz w:val="20"/>
      <w:szCs w:val="20"/>
    </w:rPr>
  </w:style>
  <w:style w:type="paragraph" w:styleId="36">
    <w:name w:val="toc 4"/>
    <w:basedOn w:val="1"/>
    <w:next w:val="1"/>
    <w:qFormat/>
    <w:uiPriority w:val="0"/>
    <w:pPr>
      <w:ind w:left="720"/>
    </w:pPr>
    <w:rPr>
      <w:rFonts w:ascii="Calibri" w:cs="Calibri"/>
      <w:sz w:val="18"/>
      <w:szCs w:val="18"/>
    </w:rPr>
  </w:style>
  <w:style w:type="paragraph" w:styleId="37">
    <w:name w:val="index heading"/>
    <w:basedOn w:val="1"/>
    <w:next w:val="38"/>
    <w:qFormat/>
    <w:uiPriority w:val="0"/>
    <w:pPr>
      <w:autoSpaceDE/>
      <w:autoSpaceDN/>
      <w:adjustRightInd/>
      <w:jc w:val="both"/>
    </w:pPr>
    <w:rPr>
      <w:rFonts w:ascii="Times New Roman"/>
      <w:kern w:val="2"/>
      <w:sz w:val="21"/>
      <w:szCs w:val="20"/>
    </w:rPr>
  </w:style>
  <w:style w:type="paragraph" w:styleId="38">
    <w:name w:val="index 1"/>
    <w:basedOn w:val="1"/>
    <w:next w:val="1"/>
    <w:qFormat/>
    <w:uiPriority w:val="0"/>
    <w:pPr>
      <w:autoSpaceDE/>
      <w:autoSpaceDN/>
      <w:adjustRightInd/>
      <w:ind w:left="540" w:leftChars="257"/>
      <w:jc w:val="both"/>
    </w:pPr>
    <w:rPr>
      <w:rFonts w:ascii="Arial" w:hAnsi="Arial" w:cs="Arial"/>
      <w:kern w:val="2"/>
      <w:sz w:val="21"/>
    </w:rPr>
  </w:style>
  <w:style w:type="paragraph" w:styleId="39">
    <w:name w:val="Subtitle"/>
    <w:basedOn w:val="1"/>
    <w:link w:val="89"/>
    <w:qFormat/>
    <w:uiPriority w:val="0"/>
    <w:pPr>
      <w:autoSpaceDE/>
      <w:autoSpaceDN/>
      <w:adjustRightInd/>
      <w:spacing w:before="240" w:after="60" w:line="312" w:lineRule="auto"/>
      <w:jc w:val="center"/>
      <w:outlineLvl w:val="1"/>
    </w:pPr>
    <w:rPr>
      <w:rFonts w:ascii="Arial" w:hAnsi="Arial"/>
      <w:b/>
      <w:kern w:val="28"/>
      <w:sz w:val="32"/>
      <w:szCs w:val="20"/>
    </w:rPr>
  </w:style>
  <w:style w:type="paragraph" w:styleId="40">
    <w:name w:val="toc 6"/>
    <w:basedOn w:val="1"/>
    <w:next w:val="1"/>
    <w:qFormat/>
    <w:uiPriority w:val="0"/>
    <w:pPr>
      <w:ind w:left="1200"/>
    </w:pPr>
    <w:rPr>
      <w:rFonts w:ascii="Calibri" w:cs="Calibri"/>
      <w:sz w:val="18"/>
      <w:szCs w:val="18"/>
    </w:rPr>
  </w:style>
  <w:style w:type="paragraph" w:styleId="41">
    <w:name w:val="Body Text Indent 3"/>
    <w:basedOn w:val="1"/>
    <w:qFormat/>
    <w:uiPriority w:val="0"/>
    <w:pPr>
      <w:spacing w:line="360" w:lineRule="auto"/>
      <w:ind w:firstLine="480" w:firstLineChars="200"/>
    </w:pPr>
  </w:style>
  <w:style w:type="paragraph" w:styleId="42">
    <w:name w:val="toc 2"/>
    <w:basedOn w:val="1"/>
    <w:next w:val="1"/>
    <w:qFormat/>
    <w:uiPriority w:val="0"/>
    <w:pPr>
      <w:ind w:left="240"/>
    </w:pPr>
    <w:rPr>
      <w:rFonts w:ascii="Calibri" w:cs="Calibri"/>
      <w:smallCaps/>
      <w:sz w:val="20"/>
      <w:szCs w:val="20"/>
    </w:rPr>
  </w:style>
  <w:style w:type="paragraph" w:styleId="43">
    <w:name w:val="toc 9"/>
    <w:basedOn w:val="1"/>
    <w:next w:val="1"/>
    <w:qFormat/>
    <w:uiPriority w:val="0"/>
    <w:pPr>
      <w:ind w:left="1920"/>
    </w:pPr>
    <w:rPr>
      <w:rFonts w:ascii="Calibri" w:cs="Calibri"/>
      <w:sz w:val="18"/>
      <w:szCs w:val="18"/>
    </w:rPr>
  </w:style>
  <w:style w:type="paragraph" w:styleId="44">
    <w:name w:val="Body Text 2"/>
    <w:basedOn w:val="1"/>
    <w:link w:val="189"/>
    <w:qFormat/>
    <w:uiPriority w:val="0"/>
    <w:pPr>
      <w:tabs>
        <w:tab w:val="left" w:pos="0"/>
      </w:tabs>
      <w:autoSpaceDE/>
      <w:autoSpaceDN/>
      <w:adjustRightInd/>
      <w:spacing w:line="400" w:lineRule="atLeast"/>
      <w:jc w:val="both"/>
    </w:pPr>
    <w:rPr>
      <w:rFonts w:ascii="Arial" w:hAnsi="Arial"/>
      <w:color w:val="000000"/>
      <w:kern w:val="2"/>
      <w:sz w:val="21"/>
    </w:rPr>
  </w:style>
  <w:style w:type="paragraph" w:styleId="45">
    <w:name w:val="List 4"/>
    <w:basedOn w:val="1"/>
    <w:qFormat/>
    <w:uiPriority w:val="0"/>
    <w:pPr>
      <w:tabs>
        <w:tab w:val="left" w:pos="750"/>
      </w:tabs>
      <w:autoSpaceDE/>
      <w:autoSpaceDN/>
      <w:adjustRightInd/>
      <w:ind w:left="750" w:hanging="750"/>
      <w:jc w:val="both"/>
    </w:pPr>
    <w:rPr>
      <w:rFonts w:ascii="Times New Roman" w:hAnsi="Times New Roman" w:cs="Times New Roman"/>
      <w:b/>
      <w:kern w:val="2"/>
      <w:sz w:val="21"/>
      <w:szCs w:val="20"/>
    </w:rPr>
  </w:style>
  <w:style w:type="paragraph" w:styleId="46">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80" w:lineRule="exact"/>
    </w:pPr>
    <w:rPr>
      <w:rFonts w:ascii="Arial" w:hAnsi="Arial" w:cs="Arial"/>
      <w:sz w:val="21"/>
      <w:szCs w:val="21"/>
    </w:rPr>
  </w:style>
  <w:style w:type="paragraph" w:styleId="47">
    <w:name w:val="Normal (Web)"/>
    <w:basedOn w:val="1"/>
    <w:qFormat/>
    <w:uiPriority w:val="0"/>
    <w:pPr>
      <w:widowControl/>
      <w:autoSpaceDE/>
      <w:autoSpaceDN/>
      <w:adjustRightInd/>
      <w:spacing w:before="100" w:beforeAutospacing="1" w:after="100" w:afterAutospacing="1"/>
    </w:pPr>
    <w:rPr>
      <w:rFonts w:hAnsi="宋体"/>
      <w:sz w:val="15"/>
      <w:szCs w:val="15"/>
    </w:rPr>
  </w:style>
  <w:style w:type="paragraph" w:styleId="48">
    <w:name w:val="Title"/>
    <w:basedOn w:val="1"/>
    <w:next w:val="1"/>
    <w:qFormat/>
    <w:uiPriority w:val="0"/>
    <w:pPr>
      <w:numPr>
        <w:ilvl w:val="0"/>
        <w:numId w:val="4"/>
      </w:numPr>
      <w:tabs>
        <w:tab w:val="clear" w:pos="2121"/>
      </w:tabs>
      <w:autoSpaceDE/>
      <w:autoSpaceDN/>
      <w:snapToGrid w:val="0"/>
      <w:spacing w:beforeLines="50" w:afterLines="50"/>
      <w:ind w:left="0" w:firstLine="0"/>
      <w:jc w:val="center"/>
      <w:outlineLvl w:val="0"/>
    </w:pPr>
    <w:rPr>
      <w:rFonts w:ascii="Arial" w:hAnsi="Arial" w:cs="Arial"/>
      <w:b/>
      <w:bCs/>
      <w:kern w:val="2"/>
      <w:sz w:val="52"/>
      <w:szCs w:val="32"/>
    </w:rPr>
  </w:style>
  <w:style w:type="paragraph" w:styleId="49">
    <w:name w:val="annotation subject"/>
    <w:basedOn w:val="18"/>
    <w:next w:val="18"/>
    <w:qFormat/>
    <w:uiPriority w:val="0"/>
    <w:rPr>
      <w:b/>
      <w:bCs/>
    </w:rPr>
  </w:style>
  <w:style w:type="paragraph" w:styleId="50">
    <w:name w:val="Body Text First Indent 2"/>
    <w:basedOn w:val="22"/>
    <w:semiHidden/>
    <w:unhideWhenUsed/>
    <w:qFormat/>
    <w:uiPriority w:val="99"/>
    <w:pPr>
      <w:ind w:firstLine="420" w:firstLineChars="200"/>
    </w:p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333333"/>
      <w:u w:val="none"/>
    </w:rPr>
  </w:style>
  <w:style w:type="character" w:styleId="57">
    <w:name w:val="Emphasis"/>
    <w:qFormat/>
    <w:uiPriority w:val="0"/>
    <w:rPr>
      <w:i/>
      <w:iCs/>
    </w:rPr>
  </w:style>
  <w:style w:type="character" w:styleId="58">
    <w:name w:val="Hyperlink"/>
    <w:qFormat/>
    <w:uiPriority w:val="0"/>
    <w:rPr>
      <w:color w:val="333333"/>
      <w:u w:val="none"/>
    </w:rPr>
  </w:style>
  <w:style w:type="character" w:styleId="59">
    <w:name w:val="annotation reference"/>
    <w:basedOn w:val="53"/>
    <w:qFormat/>
    <w:uiPriority w:val="0"/>
    <w:rPr>
      <w:sz w:val="21"/>
      <w:szCs w:val="21"/>
    </w:rPr>
  </w:style>
  <w:style w:type="paragraph" w:customStyle="1" w:styleId="60">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61">
    <w:name w:val="表格文字"/>
    <w:basedOn w:val="1"/>
    <w:qFormat/>
    <w:uiPriority w:val="0"/>
    <w:pPr>
      <w:autoSpaceDE/>
      <w:autoSpaceDN/>
      <w:adjustRightInd/>
      <w:spacing w:before="25" w:after="25"/>
    </w:pPr>
    <w:rPr>
      <w:rFonts w:ascii="Times New Roman"/>
      <w:bCs/>
      <w:spacing w:val="10"/>
      <w:szCs w:val="20"/>
    </w:rPr>
  </w:style>
  <w:style w:type="paragraph" w:customStyle="1" w:styleId="62">
    <w:name w:val="首行缩进"/>
    <w:basedOn w:val="1"/>
    <w:qFormat/>
    <w:uiPriority w:val="0"/>
    <w:pPr>
      <w:ind w:firstLine="480" w:firstLineChars="200"/>
    </w:pPr>
    <w:rPr>
      <w:lang w:val="zh-CN"/>
    </w:rPr>
  </w:style>
  <w:style w:type="character" w:customStyle="1" w:styleId="63">
    <w:name w:val="s1"/>
    <w:qFormat/>
    <w:uiPriority w:val="0"/>
    <w:rPr>
      <w:rFonts w:ascii="Helvetica" w:hAnsi="Helvetica" w:eastAsia="Helvetica" w:cs="Helvetica"/>
      <w:sz w:val="24"/>
      <w:szCs w:val="24"/>
    </w:rPr>
  </w:style>
  <w:style w:type="character" w:customStyle="1" w:styleId="64">
    <w:name w:val="keyfeatures1"/>
    <w:qFormat/>
    <w:uiPriority w:val="0"/>
    <w:rPr>
      <w:rFonts w:hint="default" w:ascii="Arial" w:hAnsi="Arial" w:cs="Arial"/>
      <w:color w:val="003366"/>
      <w:sz w:val="17"/>
      <w:szCs w:val="17"/>
      <w:u w:val="none"/>
    </w:rPr>
  </w:style>
  <w:style w:type="character" w:customStyle="1" w:styleId="65">
    <w:name w:val="小 Char"/>
    <w:qFormat/>
    <w:uiPriority w:val="0"/>
    <w:rPr>
      <w:rFonts w:ascii="宋体" w:hAnsi="Courier New" w:eastAsia="宋体" w:cs="Times New Roman"/>
      <w:kern w:val="2"/>
      <w:sz w:val="21"/>
      <w:lang w:val="en-US" w:eastAsia="zh-CN" w:bidi="ar-SA"/>
    </w:rPr>
  </w:style>
  <w:style w:type="character" w:customStyle="1" w:styleId="66">
    <w:name w:val="纯文本 Char Char"/>
    <w:qFormat/>
    <w:uiPriority w:val="0"/>
    <w:rPr>
      <w:rFonts w:ascii="宋体" w:hAnsi="Courier New" w:eastAsia="宋体"/>
      <w:kern w:val="2"/>
      <w:sz w:val="21"/>
      <w:lang w:val="en-US" w:eastAsia="zh-CN" w:bidi="ar-SA"/>
    </w:rPr>
  </w:style>
  <w:style w:type="character" w:customStyle="1" w:styleId="67">
    <w:name w:val="meuncn1"/>
    <w:qFormat/>
    <w:uiPriority w:val="0"/>
    <w:rPr>
      <w:rFonts w:hint="eastAsia" w:ascii="宋体" w:hAnsi="宋体" w:eastAsia="宋体"/>
      <w:color w:val="666666"/>
      <w:sz w:val="18"/>
      <w:u w:val="none"/>
    </w:rPr>
  </w:style>
  <w:style w:type="character" w:customStyle="1" w:styleId="68">
    <w:name w:val="标题 3.1 Char Char"/>
    <w:link w:val="69"/>
    <w:qFormat/>
    <w:uiPriority w:val="0"/>
    <w:rPr>
      <w:rFonts w:ascii="宋体" w:hAnsi="宋体"/>
      <w:b/>
      <w:bCs/>
      <w:kern w:val="2"/>
      <w:sz w:val="32"/>
      <w:szCs w:val="32"/>
    </w:rPr>
  </w:style>
  <w:style w:type="paragraph" w:customStyle="1" w:styleId="69">
    <w:name w:val="标题 3.1"/>
    <w:basedOn w:val="4"/>
    <w:link w:val="68"/>
    <w:qFormat/>
    <w:uiPriority w:val="0"/>
    <w:pPr>
      <w:keepNext/>
      <w:keepLines/>
      <w:tabs>
        <w:tab w:val="left" w:pos="1440"/>
        <w:tab w:val="left" w:pos="1620"/>
      </w:tabs>
      <w:autoSpaceDE/>
      <w:autoSpaceDN/>
      <w:adjustRightInd/>
      <w:spacing w:before="260" w:after="260" w:line="600" w:lineRule="exact"/>
      <w:jc w:val="both"/>
    </w:pPr>
    <w:rPr>
      <w:rFonts w:hAnsi="宋体"/>
      <w:b/>
      <w:bCs/>
      <w:kern w:val="2"/>
      <w:sz w:val="32"/>
      <w:szCs w:val="32"/>
    </w:rPr>
  </w:style>
  <w:style w:type="character" w:customStyle="1" w:styleId="70">
    <w:name w:val="标题 1 字符"/>
    <w:link w:val="3"/>
    <w:qFormat/>
    <w:uiPriority w:val="0"/>
  </w:style>
  <w:style w:type="character" w:customStyle="1" w:styleId="71">
    <w:name w:val="HTML Markup"/>
    <w:qFormat/>
    <w:uiPriority w:val="0"/>
    <w:rPr>
      <w:rFonts w:ascii="Times New Roman" w:hAnsi="Times New Roman" w:eastAsia="宋体" w:cs="Times New Roman"/>
      <w:vanish/>
      <w:color w:val="FF0000"/>
    </w:rPr>
  </w:style>
  <w:style w:type="character" w:customStyle="1" w:styleId="72">
    <w:name w:val="页脚 Char Char"/>
    <w:qFormat/>
    <w:uiPriority w:val="0"/>
    <w:rPr>
      <w:rFonts w:ascii="宋体"/>
      <w:sz w:val="18"/>
      <w:szCs w:val="18"/>
    </w:rPr>
  </w:style>
  <w:style w:type="character" w:customStyle="1" w:styleId="73">
    <w:name w:val="p105"/>
    <w:basedOn w:val="53"/>
    <w:qFormat/>
    <w:uiPriority w:val="0"/>
  </w:style>
  <w:style w:type="character" w:customStyle="1" w:styleId="74">
    <w:name w:val="正文缩进2格 Char Char"/>
    <w:link w:val="75"/>
    <w:qFormat/>
    <w:uiPriority w:val="0"/>
    <w:rPr>
      <w:rFonts w:ascii="仿宋_GB2312" w:hAnsi="宋体" w:eastAsia="仿宋_GB2312"/>
      <w:kern w:val="2"/>
      <w:sz w:val="31"/>
      <w:szCs w:val="28"/>
      <w:lang w:val="en-US" w:eastAsia="zh-CN" w:bidi="ar-SA"/>
    </w:rPr>
  </w:style>
  <w:style w:type="paragraph" w:customStyle="1" w:styleId="75">
    <w:name w:val="正文缩进2格"/>
    <w:basedOn w:val="1"/>
    <w:link w:val="74"/>
    <w:qFormat/>
    <w:uiPriority w:val="0"/>
    <w:pPr>
      <w:autoSpaceDE/>
      <w:autoSpaceDN/>
      <w:adjustRightInd/>
      <w:spacing w:line="600" w:lineRule="exact"/>
      <w:ind w:firstLine="639" w:firstLineChars="206"/>
      <w:jc w:val="both"/>
    </w:pPr>
    <w:rPr>
      <w:rFonts w:ascii="仿宋_GB2312" w:hAnsi="宋体" w:eastAsia="仿宋_GB2312"/>
      <w:kern w:val="2"/>
      <w:sz w:val="31"/>
      <w:szCs w:val="28"/>
    </w:rPr>
  </w:style>
  <w:style w:type="character" w:customStyle="1" w:styleId="76">
    <w:name w:val="正文缩进 字符"/>
    <w:link w:val="12"/>
    <w:qFormat/>
    <w:uiPriority w:val="0"/>
    <w:rPr>
      <w:rFonts w:eastAsia="宋体"/>
      <w:lang w:val="en-US" w:eastAsia="zh-CN" w:bidi="ar-SA"/>
    </w:rPr>
  </w:style>
  <w:style w:type="character" w:customStyle="1" w:styleId="77">
    <w:name w:val="纯文本 字符"/>
    <w:link w:val="28"/>
    <w:qFormat/>
    <w:uiPriority w:val="0"/>
    <w:rPr>
      <w:rFonts w:ascii="宋体" w:hAnsi="Courier New" w:eastAsia="宋体" w:cs="Times New Roman"/>
      <w:kern w:val="2"/>
      <w:sz w:val="21"/>
      <w:lang w:val="en-US" w:eastAsia="zh-CN" w:bidi="ar-SA"/>
    </w:rPr>
  </w:style>
  <w:style w:type="character" w:customStyle="1" w:styleId="78">
    <w:name w:val="font01"/>
    <w:qFormat/>
    <w:uiPriority w:val="0"/>
    <w:rPr>
      <w:rFonts w:hint="eastAsia" w:ascii="宋体" w:hAnsi="宋体" w:eastAsia="宋体" w:cs="宋体"/>
      <w:color w:val="000000"/>
      <w:sz w:val="24"/>
      <w:szCs w:val="24"/>
      <w:u w:val="none"/>
    </w:rPr>
  </w:style>
  <w:style w:type="character" w:customStyle="1" w:styleId="79">
    <w:name w:val="wctjfont1"/>
    <w:qFormat/>
    <w:uiPriority w:val="0"/>
    <w:rPr>
      <w:sz w:val="18"/>
    </w:rPr>
  </w:style>
  <w:style w:type="character" w:customStyle="1" w:styleId="80">
    <w:name w:val="bold1"/>
    <w:qFormat/>
    <w:uiPriority w:val="0"/>
    <w:rPr>
      <w:sz w:val="32"/>
    </w:rPr>
  </w:style>
  <w:style w:type="character" w:customStyle="1" w:styleId="81">
    <w:name w:val="正文文本 字符"/>
    <w:link w:val="20"/>
    <w:qFormat/>
    <w:uiPriority w:val="0"/>
    <w:rPr>
      <w:rFonts w:ascii="宋体" w:hAnsi="Times New Roman" w:eastAsia="宋体" w:cs="Times New Roman"/>
      <w:b/>
      <w:bCs/>
      <w:kern w:val="2"/>
      <w:sz w:val="84"/>
      <w:szCs w:val="84"/>
      <w:lang w:val="zh-CN" w:eastAsia="zh-CN" w:bidi="ar-SA"/>
    </w:rPr>
  </w:style>
  <w:style w:type="character" w:customStyle="1" w:styleId="82">
    <w:name w:val="DAS正文 Char Char"/>
    <w:qFormat/>
    <w:uiPriority w:val="0"/>
    <w:rPr>
      <w:rFonts w:ascii="Verdana" w:hAnsi="Verdana" w:eastAsia="宋体"/>
      <w:kern w:val="2"/>
      <w:sz w:val="21"/>
      <w:szCs w:val="21"/>
      <w:lang w:val="en-US" w:eastAsia="zh-CN" w:bidi="ar-SA"/>
    </w:rPr>
  </w:style>
  <w:style w:type="character" w:customStyle="1" w:styleId="83">
    <w:name w:val="Highlighted Variable"/>
    <w:qFormat/>
    <w:uiPriority w:val="0"/>
    <w:rPr>
      <w:color w:val="000000"/>
    </w:rPr>
  </w:style>
  <w:style w:type="character" w:customStyle="1" w:styleId="84">
    <w:name w:val="neir1"/>
    <w:qFormat/>
    <w:uiPriority w:val="0"/>
    <w:rPr>
      <w:rFonts w:hint="default" w:ascii="ˎ̥" w:hAnsi="ˎ̥" w:eastAsia="宋体" w:cs="Times New Roman"/>
      <w:color w:val="333333"/>
      <w:sz w:val="21"/>
      <w:szCs w:val="21"/>
      <w:u w:val="none"/>
    </w:rPr>
  </w:style>
  <w:style w:type="character" w:customStyle="1" w:styleId="85">
    <w:name w:val="style61"/>
    <w:qFormat/>
    <w:uiPriority w:val="0"/>
    <w:rPr>
      <w:b/>
      <w:bCs/>
    </w:rPr>
  </w:style>
  <w:style w:type="character" w:customStyle="1" w:styleId="86">
    <w:name w:val="页眉 字符"/>
    <w:link w:val="34"/>
    <w:qFormat/>
    <w:uiPriority w:val="0"/>
    <w:rPr>
      <w:rFonts w:ascii="宋体"/>
      <w:sz w:val="18"/>
      <w:szCs w:val="18"/>
    </w:rPr>
  </w:style>
  <w:style w:type="character" w:customStyle="1" w:styleId="87">
    <w:name w:val="HTML 预设格式 字符"/>
    <w:link w:val="46"/>
    <w:qFormat/>
    <w:uiPriority w:val="0"/>
    <w:rPr>
      <w:rFonts w:ascii="Arial" w:hAnsi="Arial" w:eastAsia="宋体" w:cs="Arial"/>
      <w:sz w:val="21"/>
      <w:szCs w:val="21"/>
      <w:lang w:val="en-US" w:eastAsia="zh-CN" w:bidi="ar-SA"/>
    </w:rPr>
  </w:style>
  <w:style w:type="character" w:customStyle="1" w:styleId="88">
    <w:name w:val="f141"/>
    <w:qFormat/>
    <w:uiPriority w:val="0"/>
    <w:rPr>
      <w:sz w:val="21"/>
      <w:szCs w:val="21"/>
    </w:rPr>
  </w:style>
  <w:style w:type="character" w:customStyle="1" w:styleId="89">
    <w:name w:val="副标题 字符"/>
    <w:link w:val="39"/>
    <w:qFormat/>
    <w:uiPriority w:val="0"/>
    <w:rPr>
      <w:rFonts w:ascii="Arial" w:hAnsi="Arial"/>
      <w:b/>
      <w:kern w:val="28"/>
      <w:sz w:val="32"/>
    </w:rPr>
  </w:style>
  <w:style w:type="character" w:customStyle="1" w:styleId="90">
    <w:name w:val="页脚 字符"/>
    <w:link w:val="33"/>
    <w:qFormat/>
    <w:uiPriority w:val="99"/>
    <w:rPr>
      <w:rFonts w:ascii="宋体" w:hAnsi="Times New Roman" w:eastAsia="宋体" w:cs="Times New Roman"/>
      <w:sz w:val="18"/>
      <w:szCs w:val="18"/>
      <w:lang w:val="en-US" w:eastAsia="zh-CN" w:bidi="ar-SA"/>
    </w:rPr>
  </w:style>
  <w:style w:type="paragraph" w:customStyle="1" w:styleId="91">
    <w:name w:val="技术响应2"/>
    <w:basedOn w:val="1"/>
    <w:qFormat/>
    <w:uiPriority w:val="0"/>
    <w:pPr>
      <w:numPr>
        <w:ilvl w:val="0"/>
        <w:numId w:val="5"/>
      </w:numPr>
      <w:autoSpaceDE/>
      <w:autoSpaceDN/>
      <w:adjustRightInd/>
      <w:jc w:val="both"/>
    </w:pPr>
    <w:rPr>
      <w:rFonts w:hAnsi="宋体"/>
      <w:b/>
      <w:bCs/>
      <w:kern w:val="2"/>
      <w:sz w:val="21"/>
      <w:szCs w:val="20"/>
    </w:rPr>
  </w:style>
  <w:style w:type="paragraph" w:customStyle="1" w:styleId="92">
    <w:name w:val="Bullet"/>
    <w:basedOn w:val="1"/>
    <w:qFormat/>
    <w:uiPriority w:val="0"/>
    <w:pPr>
      <w:numPr>
        <w:ilvl w:val="0"/>
        <w:numId w:val="6"/>
      </w:numPr>
      <w:autoSpaceDE/>
      <w:autoSpaceDN/>
      <w:adjustRightInd/>
      <w:spacing w:line="360" w:lineRule="exact"/>
      <w:jc w:val="both"/>
    </w:pPr>
    <w:rPr>
      <w:rFonts w:ascii="Times New Roman"/>
      <w:kern w:val="2"/>
      <w:szCs w:val="20"/>
    </w:rPr>
  </w:style>
  <w:style w:type="paragraph" w:customStyle="1" w:styleId="93">
    <w:name w:val="普通 (Web)"/>
    <w:basedOn w:val="1"/>
    <w:qFormat/>
    <w:uiPriority w:val="0"/>
    <w:pPr>
      <w:widowControl/>
      <w:autoSpaceDE/>
      <w:autoSpaceDN/>
      <w:adjustRightInd/>
      <w:spacing w:before="100" w:beforeAutospacing="1" w:after="100" w:afterAutospacing="1"/>
    </w:pPr>
    <w:rPr>
      <w:rFonts w:hAnsi="宋体"/>
    </w:rPr>
  </w:style>
  <w:style w:type="paragraph" w:customStyle="1" w:styleId="94">
    <w:name w:val="正文楷 Char"/>
    <w:basedOn w:val="1"/>
    <w:qFormat/>
    <w:uiPriority w:val="0"/>
    <w:pPr>
      <w:autoSpaceDE/>
      <w:autoSpaceDN/>
      <w:adjustRightInd/>
      <w:spacing w:line="500" w:lineRule="exact"/>
      <w:ind w:firstLine="560" w:firstLineChars="200"/>
      <w:jc w:val="both"/>
    </w:pPr>
    <w:rPr>
      <w:rFonts w:ascii="楷体_GB2312" w:hAnsi="楷体_GB2312" w:eastAsia="楷体_GB2312"/>
      <w:kern w:val="2"/>
      <w:sz w:val="28"/>
      <w:szCs w:val="20"/>
    </w:rPr>
  </w:style>
  <w:style w:type="paragraph" w:customStyle="1" w:styleId="95">
    <w:name w:val="Char Char Char Char Char Char1 Char"/>
    <w:basedOn w:val="1"/>
    <w:qFormat/>
    <w:uiPriority w:val="0"/>
    <w:pPr>
      <w:widowControl/>
      <w:autoSpaceDE/>
      <w:autoSpaceDN/>
      <w:adjustRightInd/>
      <w:spacing w:after="160" w:line="240" w:lineRule="exact"/>
    </w:pPr>
    <w:rPr>
      <w:rFonts w:ascii="Arial" w:hAnsi="Arial" w:eastAsia="楷体_GB2312" w:cs="Verdana"/>
      <w:b/>
      <w:lang w:eastAsia="en-US"/>
    </w:rPr>
  </w:style>
  <w:style w:type="paragraph" w:customStyle="1" w:styleId="96">
    <w:name w:val="样式 我的标题 + 两端对齐"/>
    <w:basedOn w:val="3"/>
    <w:qFormat/>
    <w:uiPriority w:val="0"/>
    <w:pPr>
      <w:keepNext/>
      <w:keepLines/>
      <w:autoSpaceDE/>
      <w:autoSpaceDN/>
      <w:adjustRightInd/>
      <w:spacing w:before="340" w:after="330" w:line="578" w:lineRule="auto"/>
      <w:jc w:val="center"/>
    </w:pPr>
    <w:rPr>
      <w:rFonts w:ascii="Times New Roman"/>
      <w:b/>
      <w:bCs/>
      <w:kern w:val="44"/>
      <w:sz w:val="32"/>
      <w:szCs w:val="20"/>
    </w:rPr>
  </w:style>
  <w:style w:type="paragraph" w:customStyle="1" w:styleId="97">
    <w:name w:val="默认段落字体 Para Char"/>
    <w:basedOn w:val="1"/>
    <w:qFormat/>
    <w:uiPriority w:val="0"/>
    <w:pPr>
      <w:autoSpaceDE/>
      <w:autoSpaceDN/>
      <w:spacing w:line="360" w:lineRule="auto"/>
      <w:jc w:val="both"/>
    </w:pPr>
    <w:rPr>
      <w:rFonts w:ascii="Times New Roman"/>
      <w:szCs w:val="20"/>
    </w:rPr>
  </w:style>
  <w:style w:type="paragraph" w:customStyle="1" w:styleId="98">
    <w:name w:val="Char Char Char Char"/>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99">
    <w:name w:val="TOC 标题1"/>
    <w:basedOn w:val="3"/>
    <w:next w:val="1"/>
    <w:qFormat/>
    <w:uiPriority w:val="0"/>
    <w:pPr>
      <w:keepNext/>
      <w:keepLines/>
      <w:widowControl/>
      <w:autoSpaceDE/>
      <w:autoSpaceDN/>
      <w:adjustRightInd/>
      <w:spacing w:before="480" w:line="276" w:lineRule="auto"/>
      <w:outlineLvl w:val="9"/>
    </w:pPr>
    <w:rPr>
      <w:rFonts w:ascii="Cambria" w:hAnsi="Cambria" w:cs="Times New Roman"/>
      <w:b/>
      <w:bCs/>
      <w:color w:val="365F91"/>
      <w:sz w:val="28"/>
      <w:szCs w:val="28"/>
    </w:rPr>
  </w:style>
  <w:style w:type="paragraph" w:customStyle="1" w:styleId="100">
    <w:name w:val="_Style 3"/>
    <w:basedOn w:val="1"/>
    <w:qFormat/>
    <w:uiPriority w:val="0"/>
    <w:pPr>
      <w:adjustRightInd/>
      <w:ind w:firstLine="420" w:firstLineChars="200"/>
      <w:jc w:val="both"/>
    </w:pPr>
    <w:rPr>
      <w:rFonts w:ascii="Times New Roman" w:hAnsi="Times New Roman" w:cs="Times New Roman"/>
      <w:kern w:val="2"/>
      <w:sz w:val="21"/>
    </w:rPr>
  </w:style>
  <w:style w:type="paragraph" w:customStyle="1" w:styleId="101">
    <w:name w:val="需求书2"/>
    <w:basedOn w:val="1"/>
    <w:qFormat/>
    <w:uiPriority w:val="0"/>
    <w:pPr>
      <w:autoSpaceDE/>
      <w:autoSpaceDN/>
      <w:adjustRightInd/>
      <w:jc w:val="both"/>
    </w:pPr>
    <w:rPr>
      <w:rFonts w:hAnsi="宋体"/>
      <w:spacing w:val="10"/>
      <w:kern w:val="2"/>
      <w:sz w:val="18"/>
      <w:szCs w:val="20"/>
    </w:rPr>
  </w:style>
  <w:style w:type="paragraph" w:customStyle="1" w:styleId="102">
    <w:name w:val="Char Char Char Char1"/>
    <w:basedOn w:val="2"/>
    <w:qFormat/>
    <w:uiPriority w:val="0"/>
    <w:pPr>
      <w:keepNext/>
      <w:keepLines/>
      <w:pageBreakBefore/>
      <w:widowControl/>
      <w:numPr>
        <w:ilvl w:val="1"/>
        <w:numId w:val="7"/>
      </w:numPr>
      <w:autoSpaceDE/>
      <w:autoSpaceDN/>
      <w:adjustRightInd/>
      <w:spacing w:before="180" w:after="160" w:line="240" w:lineRule="exact"/>
    </w:pPr>
    <w:rPr>
      <w:rFonts w:ascii="Verdana" w:hAnsi="Verdana" w:eastAsia="黑体"/>
      <w:bCs/>
      <w:sz w:val="32"/>
      <w:szCs w:val="32"/>
      <w:lang w:eastAsia="en-US"/>
    </w:rPr>
  </w:style>
  <w:style w:type="paragraph" w:customStyle="1" w:styleId="103">
    <w:name w:val="Char1"/>
    <w:basedOn w:val="16"/>
    <w:qFormat/>
    <w:uiPriority w:val="0"/>
    <w:pPr>
      <w:autoSpaceDE/>
      <w:autoSpaceDN/>
      <w:adjustRightInd/>
      <w:jc w:val="both"/>
    </w:pPr>
    <w:rPr>
      <w:rFonts w:ascii="Tahoma" w:hAnsi="Tahoma"/>
      <w:kern w:val="2"/>
    </w:rPr>
  </w:style>
  <w:style w:type="paragraph" w:customStyle="1" w:styleId="104">
    <w:name w:val="xl39"/>
    <w:basedOn w:val="1"/>
    <w:qFormat/>
    <w:uiPriority w:val="0"/>
    <w:pPr>
      <w:widowControl/>
      <w:autoSpaceDE/>
      <w:autoSpaceDN/>
      <w:adjustRightInd/>
      <w:spacing w:before="100" w:beforeAutospacing="1" w:after="100" w:afterAutospacing="1"/>
    </w:pPr>
    <w:rPr>
      <w:rFonts w:ascii="Arial Unicode MS" w:hAnsi="Arial Unicode MS" w:eastAsia="Arial Unicode MS"/>
      <w:sz w:val="20"/>
      <w:szCs w:val="20"/>
    </w:rPr>
  </w:style>
  <w:style w:type="paragraph" w:customStyle="1" w:styleId="105">
    <w:name w:val="Blockquote"/>
    <w:basedOn w:val="1"/>
    <w:qFormat/>
    <w:uiPriority w:val="0"/>
    <w:pPr>
      <w:spacing w:before="100" w:after="100"/>
      <w:ind w:left="360" w:right="360"/>
    </w:pPr>
    <w:rPr>
      <w:rFonts w:ascii="Times New Roman" w:hAnsi="Times New Roman" w:cs="Times New Roman"/>
      <w:szCs w:val="20"/>
    </w:rPr>
  </w:style>
  <w:style w:type="paragraph" w:customStyle="1" w:styleId="106">
    <w:name w:val="样式 标题 2 + Times New Roman 四号 非加粗 段前: 5 磅 段后: 0 磅 行距: 固定值 20..."/>
    <w:basedOn w:val="2"/>
    <w:qFormat/>
    <w:uiPriority w:val="0"/>
    <w:pPr>
      <w:spacing w:before="100" w:line="400" w:lineRule="exact"/>
    </w:pPr>
    <w:rPr>
      <w:rFonts w:ascii="Times New Roman" w:hAnsi="Times New Roman"/>
      <w:b w:val="0"/>
      <w:sz w:val="28"/>
      <w:szCs w:val="20"/>
    </w:rPr>
  </w:style>
  <w:style w:type="paragraph" w:customStyle="1" w:styleId="107">
    <w:name w:val="Char"/>
    <w:basedOn w:val="1"/>
    <w:qFormat/>
    <w:uiPriority w:val="0"/>
    <w:pPr>
      <w:widowControl/>
      <w:autoSpaceDE/>
      <w:autoSpaceDN/>
      <w:adjustRightInd/>
      <w:spacing w:line="400" w:lineRule="exact"/>
      <w:jc w:val="center"/>
    </w:pPr>
    <w:rPr>
      <w:rFonts w:ascii="Times New Roman"/>
      <w:sz w:val="21"/>
      <w:szCs w:val="20"/>
    </w:rPr>
  </w:style>
  <w:style w:type="paragraph" w:customStyle="1" w:styleId="108">
    <w:name w:val="技术响应1"/>
    <w:basedOn w:val="1"/>
    <w:qFormat/>
    <w:uiPriority w:val="0"/>
    <w:pPr>
      <w:widowControl/>
      <w:autoSpaceDE/>
      <w:autoSpaceDN/>
      <w:adjustRightInd/>
      <w:spacing w:line="360" w:lineRule="auto"/>
      <w:ind w:firstLine="588"/>
      <w:jc w:val="center"/>
    </w:pPr>
    <w:rPr>
      <w:b/>
      <w:sz w:val="28"/>
      <w:szCs w:val="20"/>
    </w:rPr>
  </w:style>
  <w:style w:type="paragraph" w:customStyle="1" w:styleId="109">
    <w:name w:val="xl3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10">
    <w:name w:val="D标3"/>
    <w:basedOn w:val="4"/>
    <w:qFormat/>
    <w:uiPriority w:val="0"/>
    <w:pPr>
      <w:numPr>
        <w:ilvl w:val="0"/>
        <w:numId w:val="8"/>
      </w:numPr>
      <w:spacing w:before="120" w:line="480" w:lineRule="atLeast"/>
      <w:jc w:val="both"/>
    </w:pPr>
    <w:rPr>
      <w:rFonts w:ascii="Times New Roman" w:hAnsi="Times New Roman" w:cs="Times New Roman"/>
      <w:szCs w:val="20"/>
    </w:rPr>
  </w:style>
  <w:style w:type="paragraph" w:customStyle="1" w:styleId="111">
    <w:name w:val="xl3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rPr>
  </w:style>
  <w:style w:type="paragraph" w:customStyle="1" w:styleId="112">
    <w:name w:val="_Style 202"/>
    <w:basedOn w:val="1"/>
    <w:qFormat/>
    <w:uiPriority w:val="0"/>
    <w:pPr>
      <w:tabs>
        <w:tab w:val="left" w:pos="360"/>
      </w:tabs>
      <w:autoSpaceDE/>
      <w:autoSpaceDN/>
      <w:adjustRightInd/>
      <w:jc w:val="both"/>
    </w:pPr>
    <w:rPr>
      <w:rFonts w:ascii="Times New Roman"/>
      <w:kern w:val="2"/>
      <w:sz w:val="21"/>
    </w:rPr>
  </w:style>
  <w:style w:type="paragraph" w:customStyle="1" w:styleId="113">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14">
    <w:name w:val="shall-正文"/>
    <w:basedOn w:val="1"/>
    <w:qFormat/>
    <w:uiPriority w:val="0"/>
    <w:pPr>
      <w:snapToGrid w:val="0"/>
      <w:spacing w:beforeLines="30" w:line="288" w:lineRule="auto"/>
      <w:ind w:firstLine="200" w:firstLineChars="200"/>
    </w:pPr>
    <w:rPr>
      <w:rFonts w:eastAsia="华文细黑"/>
    </w:rPr>
  </w:style>
  <w:style w:type="paragraph" w:customStyle="1" w:styleId="115">
    <w:name w:val="xl38"/>
    <w:basedOn w:val="1"/>
    <w:qFormat/>
    <w:uiPriority w:val="0"/>
    <w:pPr>
      <w:widowControl/>
      <w:pBdr>
        <w:bottom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b/>
      <w:sz w:val="36"/>
      <w:szCs w:val="20"/>
    </w:rPr>
  </w:style>
  <w:style w:type="paragraph" w:customStyle="1" w:styleId="116">
    <w:name w:val="p2"/>
    <w:basedOn w:val="1"/>
    <w:qFormat/>
    <w:uiPriority w:val="0"/>
    <w:rPr>
      <w:rFonts w:cs="Times New Roman"/>
    </w:rPr>
  </w:style>
  <w:style w:type="paragraph" w:customStyle="1" w:styleId="117">
    <w:name w:val="Char Char Char Char Char Char"/>
    <w:basedOn w:val="1"/>
    <w:qFormat/>
    <w:uiPriority w:val="0"/>
    <w:pPr>
      <w:widowControl/>
      <w:autoSpaceDE/>
      <w:autoSpaceDN/>
      <w:adjustRightInd/>
      <w:spacing w:after="160" w:line="240" w:lineRule="exact"/>
    </w:pPr>
    <w:rPr>
      <w:rFonts w:ascii="Times New Roman"/>
      <w:kern w:val="2"/>
      <w:lang w:eastAsia="en-US"/>
    </w:rPr>
  </w:style>
  <w:style w:type="paragraph" w:customStyle="1" w:styleId="118">
    <w:name w:val="标题4"/>
    <w:basedOn w:val="75"/>
    <w:qFormat/>
    <w:uiPriority w:val="0"/>
    <w:pPr>
      <w:spacing w:line="540" w:lineRule="exact"/>
      <w:ind w:firstLine="0" w:firstLineChars="0"/>
    </w:pPr>
    <w:rPr>
      <w:rFonts w:hAnsi="Times New Roman"/>
      <w:szCs w:val="24"/>
    </w:rPr>
  </w:style>
  <w:style w:type="paragraph" w:styleId="119">
    <w:name w:val="No Spacing"/>
    <w:qFormat/>
    <w:uiPriority w:val="0"/>
    <w:pPr>
      <w:widowControl w:val="0"/>
      <w:jc w:val="both"/>
    </w:pPr>
    <w:rPr>
      <w:rFonts w:ascii="Calibri" w:hAnsi="Calibri" w:eastAsia="宋体" w:cs="宋体"/>
      <w:kern w:val="2"/>
      <w:sz w:val="21"/>
      <w:szCs w:val="24"/>
      <w:lang w:val="en-US" w:eastAsia="zh-CN" w:bidi="ar-SA"/>
    </w:rPr>
  </w:style>
  <w:style w:type="paragraph" w:customStyle="1" w:styleId="120">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21">
    <w:name w:val="列表正文"/>
    <w:basedOn w:val="1"/>
    <w:qFormat/>
    <w:uiPriority w:val="0"/>
    <w:pPr>
      <w:autoSpaceDE/>
      <w:autoSpaceDN/>
      <w:snapToGrid w:val="0"/>
      <w:spacing w:line="300" w:lineRule="auto"/>
      <w:ind w:left="200" w:leftChars="200" w:firstLine="200" w:firstLineChars="200"/>
      <w:jc w:val="both"/>
    </w:pPr>
    <w:rPr>
      <w:rFonts w:ascii="Times New Roman"/>
      <w:kern w:val="2"/>
      <w:sz w:val="21"/>
    </w:rPr>
  </w:style>
  <w:style w:type="paragraph" w:customStyle="1" w:styleId="122">
    <w:name w:val="Char Char2 Char"/>
    <w:basedOn w:val="1"/>
    <w:qFormat/>
    <w:uiPriority w:val="0"/>
    <w:pPr>
      <w:autoSpaceDE/>
      <w:autoSpaceDN/>
      <w:adjustRightInd/>
      <w:jc w:val="both"/>
    </w:pPr>
    <w:rPr>
      <w:rFonts w:hAnsi="宋体"/>
      <w:b/>
      <w:kern w:val="2"/>
      <w:sz w:val="28"/>
      <w:szCs w:val="28"/>
    </w:rPr>
  </w:style>
  <w:style w:type="paragraph" w:customStyle="1" w:styleId="123">
    <w:name w:val="版权"/>
    <w:basedOn w:val="1"/>
    <w:qFormat/>
    <w:uiPriority w:val="0"/>
    <w:pPr>
      <w:autoSpaceDE/>
      <w:autoSpaceDN/>
      <w:adjustRightInd/>
      <w:spacing w:before="312" w:after="312"/>
      <w:ind w:firstLine="480"/>
      <w:jc w:val="center"/>
      <w:outlineLvl w:val="0"/>
    </w:pPr>
    <w:rPr>
      <w:rFonts w:ascii="华文中宋" w:hAnsi="华文中宋"/>
      <w:b/>
      <w:kern w:val="2"/>
      <w:szCs w:val="20"/>
    </w:rPr>
  </w:style>
  <w:style w:type="paragraph" w:customStyle="1" w:styleId="124">
    <w:name w:val="LEGALB Cont 2"/>
    <w:basedOn w:val="1"/>
    <w:qFormat/>
    <w:uiPriority w:val="0"/>
    <w:pPr>
      <w:widowControl/>
      <w:tabs>
        <w:tab w:val="left" w:pos="720"/>
      </w:tabs>
      <w:spacing w:after="240"/>
      <w:ind w:left="720" w:leftChars="300"/>
    </w:pPr>
    <w:rPr>
      <w:rFonts w:ascii="Calibri" w:eastAsia="DFKai-SB" w:cs="Times New Roman"/>
      <w:lang w:eastAsia="en-US"/>
    </w:rPr>
  </w:style>
  <w:style w:type="paragraph" w:customStyle="1" w:styleId="125">
    <w:name w:val="表格栏头"/>
    <w:basedOn w:val="126"/>
    <w:next w:val="126"/>
    <w:qFormat/>
    <w:uiPriority w:val="0"/>
    <w:rPr>
      <w:b/>
    </w:rPr>
  </w:style>
  <w:style w:type="paragraph" w:customStyle="1" w:styleId="126">
    <w:name w:val="表格正文"/>
    <w:basedOn w:val="1"/>
    <w:qFormat/>
    <w:uiPriority w:val="0"/>
    <w:pPr>
      <w:widowControl/>
      <w:overflowPunct w:val="0"/>
      <w:spacing w:before="312" w:after="312" w:line="360" w:lineRule="auto"/>
      <w:textAlignment w:val="baseline"/>
    </w:pPr>
    <w:rPr>
      <w:rFonts w:hAnsi="Tahoma"/>
      <w:szCs w:val="20"/>
    </w:rPr>
  </w:style>
  <w:style w:type="paragraph" w:customStyle="1" w:styleId="127">
    <w:name w:val="正文列表"/>
    <w:basedOn w:val="1"/>
    <w:qFormat/>
    <w:uiPriority w:val="0"/>
    <w:pPr>
      <w:jc w:val="center"/>
      <w:textAlignment w:val="baseline"/>
    </w:pPr>
    <w:rPr>
      <w:rFonts w:hAnsi="宋体"/>
      <w:szCs w:val="20"/>
    </w:rPr>
  </w:style>
  <w:style w:type="paragraph" w:customStyle="1" w:styleId="128">
    <w:name w:val="图"/>
    <w:basedOn w:val="1"/>
    <w:qFormat/>
    <w:uiPriority w:val="0"/>
    <w:pPr>
      <w:keepNext/>
      <w:autoSpaceDE/>
      <w:autoSpaceDN/>
      <w:spacing w:before="60" w:after="60" w:line="300" w:lineRule="auto"/>
      <w:jc w:val="center"/>
      <w:textAlignment w:val="center"/>
    </w:pPr>
    <w:rPr>
      <w:rFonts w:ascii="Times New Roman"/>
      <w:snapToGrid w:val="0"/>
      <w:spacing w:val="20"/>
      <w:szCs w:val="20"/>
    </w:rPr>
  </w:style>
  <w:style w:type="paragraph" w:customStyle="1" w:styleId="129">
    <w:name w:val="题注4"/>
    <w:basedOn w:val="1"/>
    <w:next w:val="13"/>
    <w:qFormat/>
    <w:uiPriority w:val="0"/>
    <w:pPr>
      <w:autoSpaceDE/>
      <w:autoSpaceDN/>
      <w:adjustRightInd/>
      <w:ind w:left="-132" w:leftChars="-64" w:right="-105" w:rightChars="-50" w:hanging="2"/>
      <w:jc w:val="center"/>
    </w:pPr>
    <w:rPr>
      <w:rFonts w:ascii="Times New Roman"/>
      <w:b/>
      <w:color w:val="FF0000"/>
      <w:kern w:val="2"/>
      <w:sz w:val="21"/>
      <w:szCs w:val="21"/>
      <w:lang w:val="en-GB"/>
    </w:rPr>
  </w:style>
  <w:style w:type="paragraph" w:customStyle="1" w:styleId="130">
    <w:name w:val="题目副题"/>
    <w:basedOn w:val="39"/>
    <w:qFormat/>
    <w:uiPriority w:val="0"/>
    <w:pPr>
      <w:spacing w:before="0" w:after="312"/>
      <w:ind w:left="240" w:firstLine="600"/>
      <w:jc w:val="left"/>
      <w:outlineLvl w:val="9"/>
    </w:pPr>
    <w:rPr>
      <w:rFonts w:ascii="宋体" w:hAnsi="宋体"/>
      <w:sz w:val="30"/>
    </w:rPr>
  </w:style>
  <w:style w:type="paragraph" w:customStyle="1" w:styleId="131">
    <w:name w:val="列出段落1"/>
    <w:basedOn w:val="1"/>
    <w:qFormat/>
    <w:uiPriority w:val="34"/>
    <w:pPr>
      <w:ind w:firstLine="420" w:firstLineChars="200"/>
    </w:pPr>
    <w:rPr>
      <w:rFonts w:ascii="Calibri" w:cs="黑体"/>
    </w:rPr>
  </w:style>
  <w:style w:type="paragraph" w:customStyle="1" w:styleId="132">
    <w:name w:val="xl25"/>
    <w:basedOn w:val="1"/>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Ansi="宋体"/>
      <w:sz w:val="21"/>
      <w:szCs w:val="21"/>
    </w:rPr>
  </w:style>
  <w:style w:type="paragraph" w:customStyle="1" w:styleId="133">
    <w:name w:val="3 Char"/>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34">
    <w:name w:val="Char Char1 Char Char Char Char Char Char Char Char Char Char Char Char Char"/>
    <w:basedOn w:val="1"/>
    <w:qFormat/>
    <w:uiPriority w:val="0"/>
    <w:pPr>
      <w:widowControl/>
      <w:autoSpaceDE/>
      <w:autoSpaceDN/>
      <w:adjustRightInd/>
      <w:spacing w:after="160" w:line="360" w:lineRule="auto"/>
    </w:pPr>
    <w:rPr>
      <w:rFonts w:ascii="Verdana" w:hAnsi="Verdana" w:cs="Times New Roman"/>
      <w:sz w:val="21"/>
      <w:szCs w:val="20"/>
      <w:lang w:eastAsia="en-US"/>
    </w:rPr>
  </w:style>
  <w:style w:type="paragraph" w:customStyle="1" w:styleId="135">
    <w:name w:val="进度表"/>
    <w:basedOn w:val="12"/>
    <w:qFormat/>
    <w:uiPriority w:val="0"/>
    <w:pPr>
      <w:widowControl w:val="0"/>
      <w:snapToGrid w:val="0"/>
      <w:spacing w:line="440" w:lineRule="atLeast"/>
      <w:ind w:hanging="130" w:firstLineChars="0"/>
      <w:jc w:val="both"/>
    </w:pPr>
    <w:rPr>
      <w:rFonts w:ascii="宋体"/>
      <w:color w:val="000000"/>
      <w:kern w:val="2"/>
      <w:position w:val="-6"/>
      <w:sz w:val="28"/>
    </w:rPr>
  </w:style>
  <w:style w:type="paragraph" w:customStyle="1" w:styleId="136">
    <w:name w:val="大标题"/>
    <w:basedOn w:val="3"/>
    <w:qFormat/>
    <w:uiPriority w:val="0"/>
    <w:rPr>
      <w:snapToGrid w:val="0"/>
      <w:sz w:val="52"/>
      <w:szCs w:val="72"/>
    </w:rPr>
  </w:style>
  <w:style w:type="paragraph" w:customStyle="1" w:styleId="137">
    <w:name w:val="正文无缩进"/>
    <w:basedOn w:val="75"/>
    <w:qFormat/>
    <w:uiPriority w:val="0"/>
    <w:pPr>
      <w:ind w:firstLine="0" w:firstLineChars="0"/>
    </w:pPr>
  </w:style>
  <w:style w:type="paragraph" w:customStyle="1" w:styleId="138">
    <w:name w:val="标题 3.5"/>
    <w:basedOn w:val="4"/>
    <w:qFormat/>
    <w:uiPriority w:val="0"/>
    <w:pPr>
      <w:autoSpaceDE/>
      <w:autoSpaceDN/>
      <w:adjustRightInd/>
      <w:spacing w:line="600" w:lineRule="exact"/>
      <w:jc w:val="both"/>
      <w:outlineLvl w:val="9"/>
    </w:pPr>
    <w:rPr>
      <w:rFonts w:ascii="Times New Roman" w:eastAsia="仿宋_GB2312"/>
      <w:kern w:val="2"/>
      <w:sz w:val="31"/>
    </w:rPr>
  </w:style>
  <w:style w:type="paragraph" w:customStyle="1" w:styleId="139">
    <w:name w:val="题注5"/>
    <w:basedOn w:val="1"/>
    <w:next w:val="13"/>
    <w:qFormat/>
    <w:uiPriority w:val="0"/>
    <w:pPr>
      <w:autoSpaceDE/>
      <w:autoSpaceDN/>
      <w:adjustRightInd/>
      <w:jc w:val="center"/>
    </w:pPr>
    <w:rPr>
      <w:rFonts w:ascii="Times New Roman"/>
      <w:b/>
      <w:color w:val="000000"/>
      <w:kern w:val="2"/>
      <w:szCs w:val="21"/>
    </w:rPr>
  </w:style>
  <w:style w:type="paragraph" w:customStyle="1" w:styleId="140">
    <w:name w:val="xl44"/>
    <w:basedOn w:val="1"/>
    <w:qFormat/>
    <w:uiPriority w:val="0"/>
    <w:pPr>
      <w:widowControl/>
      <w:pBdr>
        <w:left w:val="single" w:color="auto" w:sz="4" w:space="0"/>
        <w:right w:val="single" w:color="auto" w:sz="4" w:space="0"/>
      </w:pBdr>
      <w:spacing w:before="100" w:beforeAutospacing="1" w:after="100" w:afterAutospacing="1"/>
      <w:jc w:val="center"/>
    </w:pPr>
    <w:rPr>
      <w:rFonts w:hint="eastAsia" w:hAnsi="宋体"/>
    </w:rPr>
  </w:style>
  <w:style w:type="paragraph" w:customStyle="1" w:styleId="141">
    <w:name w:val="Char Char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42">
    <w:name w:val="xl33"/>
    <w:basedOn w:val="1"/>
    <w:qFormat/>
    <w:uiPriority w:val="0"/>
    <w:pPr>
      <w:widowControl/>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43">
    <w:name w:val="Char Char1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styleId="144">
    <w:name w:val="List Paragraph"/>
    <w:basedOn w:val="1"/>
    <w:qFormat/>
    <w:uiPriority w:val="0"/>
    <w:pPr>
      <w:autoSpaceDE/>
      <w:autoSpaceDN/>
      <w:adjustRightInd/>
      <w:ind w:firstLine="420" w:firstLineChars="200"/>
      <w:jc w:val="both"/>
    </w:pPr>
    <w:rPr>
      <w:rFonts w:ascii="Calibri"/>
      <w:kern w:val="2"/>
      <w:sz w:val="21"/>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Times New Roman" w:eastAsia="Arial Unicode MS"/>
      <w:sz w:val="20"/>
      <w:szCs w:val="20"/>
    </w:rPr>
  </w:style>
  <w:style w:type="paragraph" w:customStyle="1" w:styleId="146">
    <w:name w:val="目录"/>
    <w:basedOn w:val="1"/>
    <w:qFormat/>
    <w:uiPriority w:val="0"/>
    <w:pPr>
      <w:widowControl/>
      <w:autoSpaceDE/>
      <w:autoSpaceDN/>
      <w:adjustRightInd/>
      <w:spacing w:line="480" w:lineRule="auto"/>
      <w:jc w:val="center"/>
    </w:pPr>
    <w:rPr>
      <w:b/>
      <w:szCs w:val="20"/>
    </w:rPr>
  </w:style>
  <w:style w:type="paragraph" w:customStyle="1" w:styleId="147">
    <w:name w:val="xl26"/>
    <w:basedOn w:val="1"/>
    <w:qFormat/>
    <w:uiPriority w:val="0"/>
    <w:pPr>
      <w:widowControl/>
      <w:autoSpaceDE/>
      <w:autoSpaceDN/>
      <w:adjustRightInd/>
      <w:spacing w:before="100" w:beforeAutospacing="1" w:after="100" w:afterAutospacing="1"/>
      <w:jc w:val="center"/>
    </w:pPr>
    <w:rPr>
      <w:rFonts w:hint="eastAsia" w:ascii="仿宋_GB2312" w:hAnsi="宋体" w:eastAsia="仿宋_GB2312"/>
    </w:rPr>
  </w:style>
  <w:style w:type="paragraph" w:customStyle="1" w:styleId="148">
    <w:name w:val="Char11"/>
    <w:basedOn w:val="16"/>
    <w:qFormat/>
    <w:uiPriority w:val="0"/>
    <w:pPr>
      <w:autoSpaceDE/>
      <w:autoSpaceDN/>
      <w:adjustRightInd/>
      <w:jc w:val="both"/>
    </w:pPr>
    <w:rPr>
      <w:rFonts w:ascii="Tahoma" w:hAnsi="Tahoma" w:cs="Times New Roman"/>
      <w:kern w:val="2"/>
    </w:rPr>
  </w:style>
  <w:style w:type="paragraph" w:customStyle="1" w:styleId="149">
    <w:name w:val="Char21"/>
    <w:basedOn w:val="1"/>
    <w:qFormat/>
    <w:uiPriority w:val="0"/>
    <w:pPr>
      <w:widowControl/>
      <w:autoSpaceDE/>
      <w:autoSpaceDN/>
      <w:adjustRightInd/>
      <w:spacing w:after="160" w:line="240" w:lineRule="exact"/>
      <w:jc w:val="center"/>
    </w:pPr>
    <w:rPr>
      <w:rFonts w:ascii="黑体" w:hAnsi="Verdana" w:eastAsia="黑体"/>
      <w:sz w:val="32"/>
      <w:szCs w:val="32"/>
      <w:lang w:eastAsia="en-US"/>
    </w:rPr>
  </w:style>
  <w:style w:type="paragraph" w:customStyle="1" w:styleId="150">
    <w:name w:val="普通(Web)"/>
    <w:basedOn w:val="1"/>
    <w:qFormat/>
    <w:uiPriority w:val="0"/>
    <w:pPr>
      <w:widowControl/>
      <w:autoSpaceDE/>
      <w:autoSpaceDN/>
      <w:adjustRightInd/>
      <w:spacing w:before="100" w:beforeAutospacing="1" w:after="100" w:afterAutospacing="1" w:line="240" w:lineRule="atLeast"/>
      <w:ind w:firstLine="360"/>
    </w:pPr>
    <w:rPr>
      <w:rFonts w:hAnsi="宋体"/>
      <w:sz w:val="18"/>
      <w:szCs w:val="20"/>
    </w:rPr>
  </w:style>
  <w:style w:type="paragraph" w:customStyle="1" w:styleId="151">
    <w:name w:val="信息标题2"/>
    <w:basedOn w:val="13"/>
    <w:next w:val="13"/>
    <w:qFormat/>
    <w:uiPriority w:val="0"/>
    <w:pPr>
      <w:autoSpaceDE/>
      <w:autoSpaceDN/>
      <w:adjustRightInd/>
      <w:spacing w:beforeLines="50" w:afterLines="50"/>
      <w:ind w:left="422" w:hanging="422" w:hangingChars="200"/>
    </w:pPr>
    <w:rPr>
      <w:rFonts w:ascii="Arial Black" w:hAnsi="Arial Black" w:eastAsia="宋体" w:cs="Times New Roman"/>
      <w:b/>
      <w:kern w:val="2"/>
      <w:sz w:val="30"/>
    </w:rPr>
  </w:style>
  <w:style w:type="paragraph" w:customStyle="1" w:styleId="152">
    <w:name w:val="表中文字"/>
    <w:basedOn w:val="1"/>
    <w:qFormat/>
    <w:uiPriority w:val="0"/>
    <w:pPr>
      <w:spacing w:line="400" w:lineRule="atLeast"/>
      <w:ind w:left="35" w:leftChars="14" w:hanging="1"/>
      <w:jc w:val="center"/>
      <w:textAlignment w:val="baseline"/>
    </w:pPr>
    <w:rPr>
      <w:rFonts w:ascii="Verdana" w:hAnsi="Verdana"/>
      <w:sz w:val="21"/>
      <w:szCs w:val="28"/>
    </w:rPr>
  </w:style>
  <w:style w:type="paragraph" w:customStyle="1" w:styleId="153">
    <w:name w:val="xl28"/>
    <w:basedOn w:val="1"/>
    <w:qFormat/>
    <w:uiPriority w:val="0"/>
    <w:pPr>
      <w:widowControl/>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4">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5">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56">
    <w:name w:val="xl37"/>
    <w:basedOn w:val="1"/>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57">
    <w:name w:val="正文（缩进）"/>
    <w:basedOn w:val="1"/>
    <w:qFormat/>
    <w:uiPriority w:val="0"/>
    <w:pPr>
      <w:autoSpaceDE/>
      <w:autoSpaceDN/>
      <w:adjustRightInd/>
      <w:spacing w:beforeLines="50" w:afterLines="50" w:line="360" w:lineRule="auto"/>
      <w:ind w:firstLine="480" w:firstLineChars="200"/>
      <w:jc w:val="both"/>
    </w:pPr>
    <w:rPr>
      <w:rFonts w:ascii="Times New Roman"/>
      <w:kern w:val="2"/>
    </w:rPr>
  </w:style>
  <w:style w:type="paragraph" w:customStyle="1" w:styleId="158">
    <w:name w:val="样式 样式 样式 首行缩进:  2 字符1 + 首行缩进:  2 字符 + 首行缩进:  2 字符"/>
    <w:basedOn w:val="1"/>
    <w:semiHidden/>
    <w:qFormat/>
    <w:uiPriority w:val="0"/>
    <w:pPr>
      <w:kinsoku w:val="0"/>
      <w:overflowPunct w:val="0"/>
      <w:ind w:firstLine="200" w:firstLineChars="200"/>
    </w:pPr>
    <w:rPr>
      <w:rFonts w:ascii="仿宋_GB2312" w:hAnsi="宋体" w:eastAsia="仿宋_GB2312"/>
      <w:sz w:val="32"/>
      <w:szCs w:val="20"/>
    </w:rPr>
  </w:style>
  <w:style w:type="paragraph" w:customStyle="1" w:styleId="159">
    <w:name w:val="样式 标题 3Level 3 HeadH3Heading 3 - oldh3sect1.2.3Head33l3..."/>
    <w:basedOn w:val="4"/>
    <w:qFormat/>
    <w:uiPriority w:val="0"/>
    <w:pPr>
      <w:tabs>
        <w:tab w:val="left" w:pos="720"/>
      </w:tabs>
      <w:autoSpaceDE/>
      <w:autoSpaceDN/>
      <w:adjustRightInd/>
      <w:spacing w:line="360" w:lineRule="auto"/>
      <w:ind w:left="720" w:hanging="720"/>
      <w:jc w:val="both"/>
    </w:pPr>
    <w:rPr>
      <w:rFonts w:ascii="Times New Roman"/>
      <w:kern w:val="2"/>
      <w:sz w:val="21"/>
      <w:szCs w:val="20"/>
    </w:rPr>
  </w:style>
  <w:style w:type="paragraph" w:customStyle="1" w:styleId="160">
    <w:name w:val="p0"/>
    <w:basedOn w:val="1"/>
    <w:qFormat/>
    <w:uiPriority w:val="99"/>
    <w:pPr>
      <w:widowControl/>
    </w:pPr>
    <w:rPr>
      <w:szCs w:val="21"/>
    </w:rPr>
  </w:style>
  <w:style w:type="paragraph" w:customStyle="1" w:styleId="161">
    <w:name w:val="font5"/>
    <w:basedOn w:val="1"/>
    <w:qFormat/>
    <w:uiPriority w:val="0"/>
    <w:pPr>
      <w:widowControl/>
      <w:autoSpaceDE/>
      <w:autoSpaceDN/>
      <w:adjustRightInd/>
      <w:spacing w:before="100" w:beforeAutospacing="1" w:after="100" w:afterAutospacing="1"/>
    </w:pPr>
    <w:rPr>
      <w:rFonts w:hint="eastAsia" w:hAnsi="宋体"/>
      <w:sz w:val="18"/>
      <w:szCs w:val="20"/>
    </w:rPr>
  </w:style>
  <w:style w:type="paragraph" w:customStyle="1" w:styleId="162">
    <w:name w:val="Char1 Char Char Char Char Char Char"/>
    <w:basedOn w:val="1"/>
    <w:qFormat/>
    <w:uiPriority w:val="0"/>
    <w:pPr>
      <w:widowControl/>
      <w:autoSpaceDE/>
      <w:autoSpaceDN/>
      <w:adjustRightInd/>
      <w:spacing w:line="400" w:lineRule="exact"/>
      <w:jc w:val="center"/>
    </w:pPr>
    <w:rPr>
      <w:rFonts w:ascii="Verdana" w:hAnsi="Verdana" w:cs="Times New Roman"/>
      <w:sz w:val="21"/>
      <w:szCs w:val="20"/>
      <w:lang w:eastAsia="en-US"/>
    </w:rPr>
  </w:style>
  <w:style w:type="paragraph" w:customStyle="1" w:styleId="163">
    <w:name w:val="投标文件格式"/>
    <w:basedOn w:val="28"/>
    <w:qFormat/>
    <w:uiPriority w:val="0"/>
    <w:pPr>
      <w:jc w:val="center"/>
    </w:pPr>
    <w:rPr>
      <w:rFonts w:hAnsi="Times New Roman"/>
      <w:b/>
    </w:rPr>
  </w:style>
  <w:style w:type="paragraph" w:customStyle="1" w:styleId="164">
    <w:name w:val="日期右"/>
    <w:basedOn w:val="30"/>
    <w:qFormat/>
    <w:uiPriority w:val="0"/>
    <w:pPr>
      <w:autoSpaceDE/>
      <w:autoSpaceDN/>
      <w:adjustRightInd/>
      <w:spacing w:line="600" w:lineRule="exact"/>
      <w:ind w:left="0" w:leftChars="0"/>
      <w:jc w:val="right"/>
    </w:pPr>
    <w:rPr>
      <w:rFonts w:ascii="Times New Roman" w:eastAsia="仿宋_GB2312"/>
      <w:b w:val="0"/>
      <w:bCs w:val="0"/>
      <w:sz w:val="31"/>
      <w:szCs w:val="24"/>
      <w:lang w:val="en-US"/>
    </w:rPr>
  </w:style>
  <w:style w:type="paragraph" w:customStyle="1" w:styleId="165">
    <w:name w:val="Char1 Char Char Char"/>
    <w:basedOn w:val="1"/>
    <w:qFormat/>
    <w:uiPriority w:val="0"/>
    <w:pPr>
      <w:autoSpaceDE/>
      <w:autoSpaceDN/>
      <w:adjustRightInd/>
      <w:jc w:val="both"/>
    </w:pPr>
    <w:rPr>
      <w:rFonts w:ascii="Tahoma" w:hAnsi="Tahoma"/>
      <w:kern w:val="2"/>
      <w:szCs w:val="20"/>
    </w:rPr>
  </w:style>
  <w:style w:type="paragraph" w:customStyle="1" w:styleId="166">
    <w:name w:val="List Paragraph1"/>
    <w:basedOn w:val="1"/>
    <w:qFormat/>
    <w:uiPriority w:val="0"/>
    <w:pPr>
      <w:autoSpaceDE/>
      <w:autoSpaceDN/>
      <w:adjustRightInd/>
      <w:ind w:firstLine="420" w:firstLineChars="200"/>
      <w:jc w:val="both"/>
    </w:pPr>
    <w:rPr>
      <w:rFonts w:ascii="Calibri" w:cs="Times New Roman"/>
      <w:kern w:val="2"/>
      <w:sz w:val="21"/>
      <w:szCs w:val="22"/>
    </w:rPr>
  </w:style>
  <w:style w:type="paragraph" w:customStyle="1" w:styleId="167">
    <w:name w:val="Char Char Char"/>
    <w:basedOn w:val="1"/>
    <w:qFormat/>
    <w:uiPriority w:val="0"/>
    <w:pPr>
      <w:autoSpaceDE/>
      <w:autoSpaceDN/>
      <w:adjustRightInd/>
      <w:jc w:val="both"/>
    </w:pPr>
    <w:rPr>
      <w:rFonts w:ascii="Tahoma" w:hAnsi="Tahoma"/>
      <w:b/>
      <w:sz w:val="28"/>
      <w:szCs w:val="20"/>
    </w:rPr>
  </w:style>
  <w:style w:type="paragraph" w:customStyle="1" w:styleId="168">
    <w:name w:val="保留正文"/>
    <w:basedOn w:val="20"/>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69">
    <w:name w:val="正文缩进6格"/>
    <w:basedOn w:val="170"/>
    <w:qFormat/>
    <w:uiPriority w:val="0"/>
    <w:pPr>
      <w:ind w:left="1758" w:leftChars="854"/>
    </w:pPr>
  </w:style>
  <w:style w:type="paragraph" w:customStyle="1" w:styleId="170">
    <w:name w:val="正文缩进4格"/>
    <w:basedOn w:val="75"/>
    <w:qFormat/>
    <w:uiPriority w:val="0"/>
    <w:pPr>
      <w:ind w:left="651" w:leftChars="310" w:firstLine="608" w:firstLineChars="196"/>
    </w:pPr>
    <w:rPr>
      <w:color w:val="000000"/>
    </w:rPr>
  </w:style>
  <w:style w:type="paragraph" w:customStyle="1" w:styleId="171">
    <w:name w:val="Char1 Char Char Char Char Char Char1"/>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72">
    <w:name w:val="表头"/>
    <w:basedOn w:val="13"/>
    <w:qFormat/>
    <w:uiPriority w:val="0"/>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173">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99"/>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74">
    <w:name w:val="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75">
    <w:name w:val="表正文"/>
    <w:basedOn w:val="1"/>
    <w:next w:val="25"/>
    <w:qFormat/>
    <w:uiPriority w:val="0"/>
    <w:pPr>
      <w:autoSpaceDE/>
      <w:autoSpaceDN/>
      <w:adjustRightInd/>
      <w:spacing w:line="360" w:lineRule="auto"/>
      <w:ind w:left="180" w:leftChars="85" w:right="2" w:hanging="2"/>
      <w:jc w:val="both"/>
    </w:pPr>
    <w:rPr>
      <w:rFonts w:ascii="Arial" w:hAnsi="Arial"/>
      <w:kern w:val="2"/>
      <w:sz w:val="21"/>
      <w:szCs w:val="20"/>
    </w:rPr>
  </w:style>
  <w:style w:type="paragraph" w:customStyle="1" w:styleId="176">
    <w:name w:val="Char2"/>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77">
    <w:name w:val="DAS正文"/>
    <w:basedOn w:val="1"/>
    <w:qFormat/>
    <w:uiPriority w:val="0"/>
    <w:pPr>
      <w:autoSpaceDE/>
      <w:autoSpaceDN/>
      <w:adjustRightInd/>
      <w:spacing w:line="360" w:lineRule="exact"/>
      <w:jc w:val="both"/>
    </w:pPr>
    <w:rPr>
      <w:rFonts w:ascii="Verdana" w:hAnsi="Verdana"/>
      <w:kern w:val="2"/>
      <w:sz w:val="21"/>
      <w:szCs w:val="21"/>
    </w:rPr>
  </w:style>
  <w:style w:type="paragraph" w:customStyle="1" w:styleId="178">
    <w:name w:val="Char Char Char Char Char Char Char Char Char Char Char Char Char"/>
    <w:basedOn w:val="1"/>
    <w:qFormat/>
    <w:uiPriority w:val="0"/>
    <w:pPr>
      <w:widowControl/>
      <w:autoSpaceDE/>
      <w:autoSpaceDN/>
      <w:adjustRightInd/>
      <w:spacing w:after="160" w:line="240" w:lineRule="exact"/>
    </w:pPr>
    <w:rPr>
      <w:rFonts w:ascii="Times New Roman"/>
      <w:kern w:val="2"/>
      <w:sz w:val="21"/>
    </w:rPr>
  </w:style>
  <w:style w:type="paragraph" w:customStyle="1" w:styleId="179">
    <w:name w:val="正文居中"/>
    <w:basedOn w:val="1"/>
    <w:next w:val="1"/>
    <w:qFormat/>
    <w:uiPriority w:val="0"/>
    <w:pPr>
      <w:autoSpaceDE/>
      <w:autoSpaceDN/>
      <w:snapToGrid w:val="0"/>
      <w:spacing w:line="300" w:lineRule="auto"/>
      <w:jc w:val="center"/>
    </w:pPr>
    <w:rPr>
      <w:rFonts w:ascii="Times New Roman"/>
      <w:kern w:val="2"/>
      <w:sz w:val="21"/>
    </w:rPr>
  </w:style>
  <w:style w:type="paragraph" w:customStyle="1" w:styleId="180">
    <w:name w:val="样式37"/>
    <w:basedOn w:val="1"/>
    <w:qFormat/>
    <w:uiPriority w:val="0"/>
    <w:pPr>
      <w:widowControl/>
      <w:spacing w:line="360" w:lineRule="auto"/>
    </w:pPr>
    <w:rPr>
      <w:rFonts w:hAnsi="宋体"/>
      <w:spacing w:val="-2"/>
      <w:szCs w:val="21"/>
    </w:rPr>
  </w:style>
  <w:style w:type="paragraph" w:customStyle="1" w:styleId="181">
    <w:name w:val="文档正文"/>
    <w:basedOn w:val="1"/>
    <w:qFormat/>
    <w:uiPriority w:val="0"/>
    <w:pPr>
      <w:spacing w:line="460" w:lineRule="exact"/>
      <w:ind w:firstLine="567"/>
      <w:textAlignment w:val="baseline"/>
    </w:pPr>
    <w:rPr>
      <w:rFonts w:ascii="Arial" w:hAnsi="Arial"/>
    </w:rPr>
  </w:style>
  <w:style w:type="paragraph" w:customStyle="1" w:styleId="182">
    <w:name w:val="正文列序2"/>
    <w:basedOn w:val="1"/>
    <w:qFormat/>
    <w:uiPriority w:val="0"/>
    <w:pPr>
      <w:spacing w:line="360" w:lineRule="auto"/>
      <w:ind w:firstLine="425"/>
    </w:pPr>
    <w:rPr>
      <w:rFonts w:hAnsi="宋体"/>
    </w:rPr>
  </w:style>
  <w:style w:type="character" w:customStyle="1" w:styleId="183">
    <w:name w:val="批注文字 字符"/>
    <w:basedOn w:val="53"/>
    <w:link w:val="18"/>
    <w:qFormat/>
    <w:uiPriority w:val="0"/>
    <w:rPr>
      <w:rFonts w:ascii="Times New Roman" w:hAnsi="Calibri" w:eastAsia="宋体" w:cs="宋体"/>
      <w:sz w:val="21"/>
    </w:rPr>
  </w:style>
  <w:style w:type="paragraph" w:customStyle="1" w:styleId="184">
    <w:name w:val="_Style 7"/>
    <w:basedOn w:val="20"/>
    <w:next w:val="21"/>
    <w:qFormat/>
    <w:uiPriority w:val="0"/>
    <w:pPr>
      <w:ind w:firstLine="420"/>
    </w:pPr>
    <w:rPr>
      <w:rFonts w:ascii="Calibri" w:hAnsi="Calibri" w:cs="Times New Roman"/>
      <w:szCs w:val="22"/>
    </w:rPr>
  </w:style>
  <w:style w:type="paragraph" w:customStyle="1" w:styleId="185">
    <w:name w:val="_Style 10"/>
    <w:basedOn w:val="1"/>
    <w:next w:val="144"/>
    <w:qFormat/>
    <w:uiPriority w:val="34"/>
    <w:pPr>
      <w:ind w:firstLine="420" w:firstLineChars="200"/>
    </w:pPr>
    <w:rPr>
      <w:rFonts w:ascii="Times New Roman" w:hAnsi="Times New Roman"/>
    </w:rPr>
  </w:style>
  <w:style w:type="paragraph" w:customStyle="1" w:styleId="186">
    <w:name w:val="正文文本缩进 21"/>
    <w:basedOn w:val="1"/>
    <w:qFormat/>
    <w:uiPriority w:val="0"/>
    <w:pPr>
      <w:spacing w:line="480" w:lineRule="auto"/>
      <w:ind w:firstLine="540"/>
    </w:pPr>
    <w:rPr>
      <w:rFonts w:ascii="Calibri" w:cs="Calibri"/>
      <w:szCs w:val="22"/>
    </w:rPr>
  </w:style>
  <w:style w:type="paragraph" w:customStyle="1" w:styleId="187">
    <w:name w:val="Table Paragraph"/>
    <w:basedOn w:val="1"/>
    <w:qFormat/>
    <w:uiPriority w:val="1"/>
    <w:pPr>
      <w:adjustRightInd/>
    </w:pPr>
    <w:rPr>
      <w:rFonts w:hAnsi="宋体"/>
      <w:sz w:val="22"/>
      <w:szCs w:val="22"/>
      <w:lang w:eastAsia="en-US"/>
    </w:rPr>
  </w:style>
  <w:style w:type="character" w:customStyle="1" w:styleId="188">
    <w:name w:val="纯文本 字符1"/>
    <w:qFormat/>
    <w:uiPriority w:val="0"/>
    <w:rPr>
      <w:rFonts w:ascii="宋体" w:hAnsi="Courier New" w:eastAsia="宋体"/>
      <w:kern w:val="2"/>
      <w:sz w:val="21"/>
      <w:lang w:val="en-US" w:eastAsia="zh-CN" w:bidi="ar-SA"/>
    </w:rPr>
  </w:style>
  <w:style w:type="character" w:customStyle="1" w:styleId="189">
    <w:name w:val="正文文本 2 Char"/>
    <w:link w:val="44"/>
    <w:qFormat/>
    <w:uiPriority w:val="0"/>
    <w:rPr>
      <w:rFonts w:ascii="Arial" w:hAnsi="Arial"/>
      <w:color w:val="000000"/>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7BC0F6-0170-4D49-9030-930564C359C6}">
  <ds:schemaRefs/>
</ds:datastoreItem>
</file>

<file path=docProps/app.xml><?xml version="1.0" encoding="utf-8"?>
<Properties xmlns="http://schemas.openxmlformats.org/officeDocument/2006/extended-properties" xmlns:vt="http://schemas.openxmlformats.org/officeDocument/2006/docPropsVTypes">
  <Template>Normal</Template>
  <Company>zgydgb</Company>
  <Pages>54</Pages>
  <Words>27608</Words>
  <Characters>28895</Characters>
  <Lines>227</Lines>
  <Paragraphs>63</Paragraphs>
  <TotalTime>4</TotalTime>
  <ScaleCrop>false</ScaleCrop>
  <LinksUpToDate>false</LinksUpToDate>
  <CharactersWithSpaces>29710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2021-08-02T02:49:00Z</dcterms:created>
  <dc:creator>lyy</dc:creator>
  <cp:lastModifiedBy>Xxy</cp:lastModifiedBy>
  <cp:lastPrinted>2021-08-06T06:58:00Z</cp:lastPrinted>
  <dcterms:modified xsi:type="dcterms:W3CDTF">2021-09-30T00:41:37Z</dcterms:modified>
  <dc:title>货物公开</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79CCC4CA75EB46FA952C27E25F7DF0BD</vt:lpwstr>
  </property>
</Properties>
</file>