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360" w:lineRule="auto"/>
        <w:ind w:right="-26"/>
        <w:jc w:val="center"/>
        <w:textAlignment w:val="bottom"/>
        <w:rPr>
          <w:rFonts w:hAnsi="宋体"/>
          <w:b/>
          <w:sz w:val="72"/>
        </w:rPr>
      </w:pPr>
    </w:p>
    <w:p>
      <w:pPr>
        <w:widowControl/>
        <w:spacing w:line="360" w:lineRule="auto"/>
        <w:ind w:right="-26"/>
        <w:jc w:val="center"/>
        <w:textAlignment w:val="bottom"/>
        <w:rPr>
          <w:rFonts w:hAnsi="宋体"/>
          <w:b/>
          <w:sz w:val="72"/>
        </w:rPr>
      </w:pPr>
    </w:p>
    <w:p>
      <w:pPr>
        <w:snapToGrid w:val="0"/>
        <w:jc w:val="center"/>
        <w:rPr>
          <w:rFonts w:ascii="黑体" w:hAnsi="华文中宋" w:eastAsia="黑体" w:cs="华文中宋"/>
          <w:b/>
          <w:bCs/>
          <w:sz w:val="72"/>
          <w:szCs w:val="72"/>
        </w:rPr>
      </w:pPr>
      <w:r>
        <w:rPr>
          <w:rFonts w:hint="eastAsia" w:ascii="黑体" w:hAnsi="华文中宋" w:eastAsia="黑体" w:cs="华文中宋"/>
          <w:b/>
          <w:bCs/>
          <w:sz w:val="72"/>
          <w:szCs w:val="72"/>
        </w:rPr>
        <w:t>竞争性磋商文件</w:t>
      </w:r>
    </w:p>
    <w:p>
      <w:pPr>
        <w:widowControl/>
        <w:spacing w:line="360" w:lineRule="auto"/>
        <w:ind w:right="-26"/>
        <w:jc w:val="center"/>
        <w:textAlignment w:val="bottom"/>
        <w:rPr>
          <w:rFonts w:hAnsi="宋体"/>
          <w:b/>
          <w:sz w:val="44"/>
        </w:rPr>
      </w:pPr>
    </w:p>
    <w:p>
      <w:pPr>
        <w:widowControl/>
        <w:spacing w:line="360" w:lineRule="auto"/>
        <w:ind w:right="-26"/>
        <w:jc w:val="center"/>
        <w:textAlignment w:val="bottom"/>
        <w:rPr>
          <w:rFonts w:hAnsi="宋体"/>
          <w:b/>
          <w:sz w:val="44"/>
        </w:rPr>
      </w:pPr>
    </w:p>
    <w:p>
      <w:pPr>
        <w:widowControl/>
        <w:spacing w:line="360" w:lineRule="auto"/>
        <w:ind w:right="-26"/>
        <w:jc w:val="center"/>
        <w:textAlignment w:val="bottom"/>
        <w:rPr>
          <w:rFonts w:hAnsi="宋体"/>
          <w:b/>
          <w:sz w:val="44"/>
        </w:rPr>
      </w:pPr>
    </w:p>
    <w:p>
      <w:pPr>
        <w:widowControl/>
        <w:spacing w:line="360" w:lineRule="auto"/>
        <w:ind w:right="-26"/>
        <w:jc w:val="center"/>
        <w:textAlignment w:val="bottom"/>
        <w:rPr>
          <w:rFonts w:hAnsi="宋体"/>
          <w:b/>
          <w:sz w:val="44"/>
        </w:rPr>
      </w:pPr>
      <w:r>
        <w:rPr>
          <w:sz w:val="44"/>
        </w:rPr>
        <w:pict>
          <v:shape id="文本框 6" o:spid="_x0000_s1026" o:spt="202" type="#_x0000_t202" style="position:absolute;left:0pt;margin-left:46pt;margin-top:15.1pt;height:135.45pt;width:308.35pt;z-index:-251658240;mso-width-relative:page;mso-height-relative:page;" filled="t" stroked="f" coordsize="21600,21600" o:gfxdata="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AS&#10;AjO52QAAAAoBAAAPAAAAAAAAAAEAIAAAACIAAABkcnMvZG93bnJldi54bWxQSwECFAAUAAAACACH&#10;TuJACi/wZ+oBAADJAwAADgAAAAAAAAABACAAAAAoAQAAZHJzL2Uyb0RvYy54bWxQSwUGAAAAAAYA&#10;BgBZAQAAhAUAAAAA&#10;">
            <v:path/>
            <v:fill type="gradient" on="t" angle="90" focus="100%" focussize="0,0">
              <o:fill type="gradientUnscaled" v:ext="backwardCompatible"/>
            </v:fill>
            <v:stroke on="f" weight="1.25pt" joinstyle="miter"/>
            <v:imagedata o:title=""/>
            <o:lock v:ext="edit"/>
            <v:textbox>
              <w:txbxContent>
                <w:p>
                  <w:pPr>
                    <w:widowControl/>
                    <w:spacing w:line="360" w:lineRule="auto"/>
                    <w:ind w:left="1606" w:right="-26" w:hanging="1606" w:hangingChars="500"/>
                    <w:jc w:val="both"/>
                    <w:textAlignment w:val="bottom"/>
                    <w:rPr>
                      <w:rFonts w:ascii="黑体" w:hAnsi="黑体" w:eastAsia="黑体" w:cs="黑体"/>
                      <w:b/>
                      <w:sz w:val="32"/>
                    </w:rPr>
                  </w:pPr>
                  <w:r>
                    <w:rPr>
                      <w:rFonts w:hint="eastAsia" w:ascii="黑体" w:hAnsi="黑体" w:eastAsia="黑体" w:cs="黑体"/>
                      <w:b/>
                      <w:sz w:val="32"/>
                    </w:rPr>
                    <w:t>项目名称：旗云花园弱电智能化工程施工</w:t>
                  </w:r>
                </w:p>
                <w:p>
                  <w:pPr>
                    <w:widowControl/>
                    <w:spacing w:line="360" w:lineRule="auto"/>
                    <w:ind w:right="-26"/>
                    <w:jc w:val="both"/>
                    <w:textAlignment w:val="bottom"/>
                    <w:rPr>
                      <w:rFonts w:ascii="黑体" w:hAnsi="黑体" w:eastAsia="黑体" w:cs="黑体"/>
                      <w:b/>
                      <w:sz w:val="32"/>
                    </w:rPr>
                  </w:pPr>
                  <w:r>
                    <w:rPr>
                      <w:rFonts w:hint="eastAsia" w:ascii="黑体" w:hAnsi="黑体" w:eastAsia="黑体" w:cs="黑体"/>
                      <w:b/>
                      <w:sz w:val="32"/>
                    </w:rPr>
                    <w:t>项目编号：TTWY-20065</w:t>
                  </w:r>
                </w:p>
                <w:p>
                  <w:pPr>
                    <w:widowControl/>
                    <w:spacing w:line="360" w:lineRule="auto"/>
                    <w:ind w:right="-26"/>
                    <w:textAlignment w:val="bottom"/>
                    <w:rPr>
                      <w:rFonts w:ascii="黑体" w:hAnsi="黑体" w:eastAsia="黑体" w:cs="黑体"/>
                      <w:b/>
                      <w:sz w:val="32"/>
                    </w:rPr>
                  </w:pPr>
                  <w:r>
                    <w:rPr>
                      <w:rFonts w:hint="eastAsia" w:ascii="黑体" w:hAnsi="黑体" w:eastAsia="黑体" w:cs="黑体"/>
                      <w:b/>
                      <w:sz w:val="32"/>
                    </w:rPr>
                    <w:t>采 购 人：东莞市东实旗云投资有限公司</w:t>
                  </w:r>
                </w:p>
                <w:p/>
              </w:txbxContent>
            </v:textbox>
          </v:shape>
        </w:pict>
      </w:r>
    </w:p>
    <w:p>
      <w:pPr>
        <w:widowControl/>
        <w:spacing w:line="360" w:lineRule="auto"/>
        <w:ind w:right="-26"/>
        <w:jc w:val="center"/>
        <w:textAlignment w:val="bottom"/>
        <w:rPr>
          <w:rFonts w:hAnsi="宋体"/>
          <w:b/>
          <w:sz w:val="44"/>
        </w:rPr>
      </w:pPr>
    </w:p>
    <w:p>
      <w:pPr>
        <w:widowControl/>
        <w:spacing w:line="360" w:lineRule="auto"/>
        <w:ind w:right="-26"/>
        <w:jc w:val="center"/>
        <w:textAlignment w:val="bottom"/>
        <w:rPr>
          <w:rFonts w:hAnsi="宋体"/>
          <w:b/>
          <w:sz w:val="44"/>
        </w:rPr>
      </w:pPr>
    </w:p>
    <w:p>
      <w:pPr>
        <w:widowControl/>
        <w:spacing w:line="360" w:lineRule="auto"/>
        <w:ind w:right="-26"/>
        <w:jc w:val="center"/>
        <w:textAlignment w:val="bottom"/>
        <w:rPr>
          <w:rFonts w:hAnsi="宋体"/>
          <w:b/>
          <w:sz w:val="44"/>
        </w:rPr>
      </w:pPr>
    </w:p>
    <w:p>
      <w:pPr>
        <w:widowControl/>
        <w:spacing w:line="360" w:lineRule="auto"/>
        <w:ind w:right="-26"/>
        <w:jc w:val="center"/>
        <w:textAlignment w:val="bottom"/>
        <w:rPr>
          <w:rFonts w:hAnsi="宋体"/>
          <w:b/>
          <w:sz w:val="44"/>
        </w:rPr>
      </w:pPr>
    </w:p>
    <w:p>
      <w:pPr>
        <w:widowControl/>
        <w:spacing w:line="360" w:lineRule="auto"/>
        <w:ind w:right="-26"/>
        <w:jc w:val="center"/>
        <w:textAlignment w:val="bottom"/>
        <w:rPr>
          <w:rFonts w:hAnsi="宋体"/>
          <w:b/>
          <w:sz w:val="44"/>
        </w:rPr>
      </w:pPr>
    </w:p>
    <w:p>
      <w:pPr>
        <w:widowControl/>
        <w:spacing w:line="360" w:lineRule="auto"/>
        <w:ind w:right="-26"/>
        <w:textAlignment w:val="bottom"/>
        <w:rPr>
          <w:rFonts w:hAnsi="宋体"/>
          <w:b/>
          <w:sz w:val="32"/>
        </w:rPr>
      </w:pPr>
      <w:r>
        <w:rPr>
          <w:rFonts w:hint="eastAsia" w:hAnsi="宋体"/>
          <w:bCs/>
          <w:sz w:val="21"/>
          <w:szCs w:val="21"/>
        </w:rPr>
        <w:drawing>
          <wp:anchor distT="0" distB="0" distL="114300" distR="114300" simplePos="0" relativeHeight="251657216" behindDoc="1" locked="0" layoutInCell="1" allowOverlap="1">
            <wp:simplePos x="0" y="0"/>
            <wp:positionH relativeFrom="column">
              <wp:posOffset>441325</wp:posOffset>
            </wp:positionH>
            <wp:positionV relativeFrom="paragraph">
              <wp:posOffset>217805</wp:posOffset>
            </wp:positionV>
            <wp:extent cx="977900" cy="977900"/>
            <wp:effectExtent l="19050" t="0" r="0" b="0"/>
            <wp:wrapNone/>
            <wp:docPr id="2" name="图片 4" descr="公司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4" descr="公司logo"/>
                    <pic:cNvPicPr>
                      <a:picLocks noChangeAspect="1" noChangeArrowheads="1"/>
                    </pic:cNvPicPr>
                  </pic:nvPicPr>
                  <pic:blipFill>
                    <a:blip r:embed="rId13" cstate="print"/>
                    <a:srcRect/>
                    <a:stretch>
                      <a:fillRect/>
                    </a:stretch>
                  </pic:blipFill>
                  <pic:spPr>
                    <a:xfrm>
                      <a:off x="0" y="0"/>
                      <a:ext cx="977900" cy="977900"/>
                    </a:xfrm>
                    <a:prstGeom prst="rect">
                      <a:avLst/>
                    </a:prstGeom>
                    <a:noFill/>
                    <a:ln w="9525" cmpd="sng">
                      <a:noFill/>
                      <a:miter lim="800000"/>
                      <a:headEnd/>
                      <a:tailEnd/>
                    </a:ln>
                    <a:effectLst/>
                  </pic:spPr>
                </pic:pic>
              </a:graphicData>
            </a:graphic>
          </wp:anchor>
        </w:drawing>
      </w:r>
    </w:p>
    <w:p>
      <w:pPr>
        <w:widowControl/>
        <w:spacing w:line="360" w:lineRule="auto"/>
        <w:ind w:right="-26" w:firstLine="2249" w:firstLineChars="700"/>
        <w:textAlignment w:val="bottom"/>
        <w:rPr>
          <w:rFonts w:ascii="黑体" w:hAnsi="黑体" w:eastAsia="黑体" w:cs="黑体"/>
          <w:b/>
          <w:sz w:val="32"/>
        </w:rPr>
      </w:pPr>
      <w:r>
        <w:rPr>
          <w:rFonts w:hint="eastAsia" w:ascii="黑体" w:hAnsi="黑体" w:eastAsia="黑体" w:cs="黑体"/>
          <w:b/>
          <w:sz w:val="32"/>
        </w:rPr>
        <w:t>广东泰通伟业工程咨询有限公司</w:t>
      </w:r>
    </w:p>
    <w:p>
      <w:pPr>
        <w:widowControl/>
        <w:spacing w:line="360" w:lineRule="auto"/>
        <w:ind w:right="-26" w:hanging="480"/>
        <w:jc w:val="center"/>
        <w:textAlignment w:val="bottom"/>
        <w:rPr>
          <w:rFonts w:ascii="黑体" w:hAnsi="黑体" w:eastAsia="黑体" w:cs="黑体"/>
          <w:b/>
          <w:sz w:val="32"/>
        </w:rPr>
      </w:pPr>
      <w:r>
        <w:rPr>
          <w:rFonts w:hint="eastAsia" w:ascii="黑体" w:hAnsi="黑体" w:eastAsia="黑体" w:cs="黑体"/>
          <w:b/>
          <w:sz w:val="32"/>
        </w:rPr>
        <w:t>二〇二〇年九月</w:t>
      </w:r>
    </w:p>
    <w:p>
      <w:pPr>
        <w:widowControl/>
        <w:spacing w:line="360" w:lineRule="auto"/>
        <w:ind w:right="-26" w:hanging="480"/>
        <w:jc w:val="center"/>
        <w:textAlignment w:val="bottom"/>
        <w:rPr>
          <w:rFonts w:ascii="黑体" w:hAnsi="黑体" w:eastAsia="黑体" w:cs="黑体"/>
          <w:b/>
          <w:sz w:val="32"/>
        </w:rPr>
      </w:pPr>
    </w:p>
    <w:p>
      <w:pPr>
        <w:widowControl/>
        <w:spacing w:line="360" w:lineRule="auto"/>
        <w:ind w:right="-26" w:hanging="480"/>
        <w:jc w:val="center"/>
        <w:textAlignment w:val="bottom"/>
        <w:rPr>
          <w:rFonts w:ascii="黑体" w:hAnsi="黑体" w:eastAsia="黑体" w:cs="黑体"/>
          <w:b/>
          <w:sz w:val="32"/>
        </w:rPr>
      </w:pPr>
    </w:p>
    <w:p>
      <w:pPr>
        <w:widowControl/>
        <w:spacing w:line="360" w:lineRule="auto"/>
        <w:ind w:right="-26" w:hanging="480"/>
        <w:jc w:val="center"/>
        <w:textAlignment w:val="bottom"/>
        <w:rPr>
          <w:rFonts w:ascii="黑体" w:hAnsi="黑体" w:eastAsia="黑体" w:cs="黑体"/>
          <w:b/>
          <w:sz w:val="32"/>
        </w:rPr>
      </w:pPr>
    </w:p>
    <w:p>
      <w:pPr>
        <w:jc w:val="both"/>
        <w:rPr>
          <w:rFonts w:hAnsi="宋体"/>
          <w:lang w:val="zh-CN"/>
        </w:rPr>
        <w:sectPr>
          <w:headerReference r:id="rId4" w:type="first"/>
          <w:headerReference r:id="rId3" w:type="default"/>
          <w:footerReference r:id="rId5" w:type="default"/>
          <w:footerReference r:id="rId6" w:type="even"/>
          <w:type w:val="nextColumn"/>
          <w:pgSz w:w="11907" w:h="16840"/>
          <w:pgMar w:top="1440" w:right="1800" w:bottom="1440" w:left="1800" w:header="851" w:footer="992" w:gutter="0"/>
          <w:pgNumType w:start="0"/>
          <w:cols w:space="720" w:num="1"/>
          <w:docGrid w:type="lines" w:linePitch="312" w:charSpace="0"/>
        </w:sectPr>
      </w:pPr>
      <w:bookmarkStart w:id="0" w:name="_Toc13507"/>
    </w:p>
    <w:bookmarkEnd w:id="0"/>
    <w:p>
      <w:pPr>
        <w:spacing w:line="360" w:lineRule="auto"/>
        <w:ind w:left="48" w:leftChars="20"/>
        <w:jc w:val="center"/>
        <w:rPr>
          <w:rFonts w:ascii="黑体" w:hAnsi="黑体" w:eastAsia="黑体" w:cs="黑体"/>
          <w:sz w:val="32"/>
          <w:szCs w:val="32"/>
        </w:rPr>
      </w:pPr>
      <w:bookmarkStart w:id="1" w:name="_Toc27261"/>
      <w:r>
        <w:rPr>
          <w:rFonts w:hint="eastAsia" w:ascii="黑体" w:hAnsi="黑体" w:eastAsia="黑体" w:cs="黑体"/>
          <w:sz w:val="32"/>
          <w:szCs w:val="32"/>
        </w:rPr>
        <w:t>温馨提示</w:t>
      </w:r>
    </w:p>
    <w:p>
      <w:pPr>
        <w:jc w:val="center"/>
        <w:rPr>
          <w:rFonts w:ascii="黑体" w:hAnsi="黑体" w:eastAsia="黑体" w:cs="黑体"/>
        </w:rPr>
      </w:pPr>
      <w:r>
        <w:rPr>
          <w:rFonts w:hint="eastAsia" w:ascii="黑体" w:hAnsi="黑体" w:eastAsia="黑体" w:cs="黑体"/>
        </w:rPr>
        <w:t>（本提示内容非磋商文件的组成部分，仅为善意提醒。如有不一致，以磋商文件为准）</w:t>
      </w:r>
    </w:p>
    <w:p>
      <w:pPr>
        <w:spacing w:line="360" w:lineRule="auto"/>
        <w:ind w:left="48" w:leftChars="20"/>
        <w:jc w:val="center"/>
        <w:rPr>
          <w:rFonts w:ascii="黑体" w:hAnsi="黑体" w:eastAsia="黑体" w:cs="黑体"/>
          <w:sz w:val="32"/>
          <w:szCs w:val="32"/>
        </w:rPr>
      </w:pPr>
    </w:p>
    <w:p>
      <w:pPr>
        <w:numPr>
          <w:ilvl w:val="0"/>
          <w:numId w:val="9"/>
        </w:numPr>
        <w:spacing w:line="360" w:lineRule="auto"/>
        <w:ind w:left="180" w:firstLine="48" w:firstLineChars="20"/>
        <w:jc w:val="both"/>
        <w:rPr>
          <w:rFonts w:ascii="黑体" w:hAnsi="黑体" w:eastAsia="黑体" w:cs="黑体"/>
        </w:rPr>
      </w:pPr>
      <w:r>
        <w:rPr>
          <w:rFonts w:hint="eastAsia" w:ascii="黑体" w:hAnsi="黑体" w:eastAsia="黑体" w:cs="黑体"/>
        </w:rPr>
        <w:t>磋商截止时间一到，采购代理机构不接收供应商的任何相关磋商资料、文件。为此，请适当提前到达。</w:t>
      </w:r>
    </w:p>
    <w:p>
      <w:pPr>
        <w:numPr>
          <w:ilvl w:val="0"/>
          <w:numId w:val="9"/>
        </w:numPr>
        <w:spacing w:line="360" w:lineRule="auto"/>
        <w:ind w:left="180" w:firstLine="48" w:firstLineChars="20"/>
        <w:jc w:val="both"/>
        <w:rPr>
          <w:rFonts w:ascii="黑体" w:hAnsi="黑体" w:eastAsia="黑体" w:cs="黑体"/>
        </w:rPr>
      </w:pPr>
      <w:r>
        <w:rPr>
          <w:rFonts w:hint="eastAsia" w:ascii="黑体" w:hAnsi="黑体" w:eastAsia="黑体" w:cs="黑体"/>
        </w:rPr>
        <w:t>磋商保证金必须于磋商截止时间前到达磋商文件中所注明账户。由于转账当天不一定能够达账，为避免因磋商保证金未到账而导致磋商被拒，建议至少提前2个工作日转账。</w:t>
      </w:r>
    </w:p>
    <w:p>
      <w:pPr>
        <w:numPr>
          <w:ilvl w:val="0"/>
          <w:numId w:val="9"/>
        </w:numPr>
        <w:spacing w:line="360" w:lineRule="auto"/>
        <w:ind w:left="180" w:firstLine="48" w:firstLineChars="20"/>
        <w:jc w:val="both"/>
        <w:rPr>
          <w:rFonts w:ascii="黑体" w:hAnsi="黑体" w:eastAsia="黑体" w:cs="黑体"/>
        </w:rPr>
      </w:pPr>
      <w:r>
        <w:rPr>
          <w:rFonts w:hint="eastAsia" w:ascii="黑体" w:hAnsi="黑体" w:eastAsia="黑体" w:cs="黑体"/>
        </w:rPr>
        <w:t>请正确填写《开标一览表》。多子包项目请仔细检查子包号，子包号与子包名称必须对应。</w:t>
      </w:r>
    </w:p>
    <w:p>
      <w:pPr>
        <w:numPr>
          <w:ilvl w:val="0"/>
          <w:numId w:val="9"/>
        </w:numPr>
        <w:spacing w:line="360" w:lineRule="auto"/>
        <w:ind w:left="180" w:firstLine="48" w:firstLineChars="20"/>
        <w:jc w:val="both"/>
        <w:rPr>
          <w:rFonts w:ascii="黑体" w:hAnsi="黑体" w:eastAsia="黑体" w:cs="黑体"/>
        </w:rPr>
      </w:pPr>
      <w:r>
        <w:rPr>
          <w:rFonts w:hint="eastAsia" w:ascii="黑体" w:hAnsi="黑体" w:eastAsia="黑体" w:cs="黑体"/>
        </w:rPr>
        <w:t>请仔细检查磋商响应文件是否已按磋商文件要求盖章、签名、签署日期。</w:t>
      </w:r>
    </w:p>
    <w:p>
      <w:pPr>
        <w:numPr>
          <w:ilvl w:val="0"/>
          <w:numId w:val="9"/>
        </w:numPr>
        <w:spacing w:line="360" w:lineRule="auto"/>
        <w:ind w:left="180" w:firstLine="48" w:firstLineChars="20"/>
        <w:jc w:val="both"/>
        <w:rPr>
          <w:rFonts w:ascii="黑体" w:hAnsi="黑体" w:eastAsia="黑体" w:cs="黑体"/>
        </w:rPr>
      </w:pPr>
      <w:r>
        <w:rPr>
          <w:rFonts w:hint="eastAsia" w:ascii="黑体" w:hAnsi="黑体" w:eastAsia="黑体" w:cs="黑体"/>
        </w:rPr>
        <w:t>磋商响应文件应按顺序编制页码。</w:t>
      </w:r>
    </w:p>
    <w:p>
      <w:pPr>
        <w:numPr>
          <w:ilvl w:val="0"/>
          <w:numId w:val="9"/>
        </w:numPr>
        <w:spacing w:line="360" w:lineRule="auto"/>
        <w:ind w:left="180" w:firstLine="48" w:firstLineChars="20"/>
        <w:jc w:val="both"/>
        <w:rPr>
          <w:rFonts w:ascii="黑体" w:hAnsi="黑体" w:eastAsia="黑体" w:cs="黑体"/>
        </w:rPr>
      </w:pPr>
      <w:r>
        <w:rPr>
          <w:rFonts w:hint="eastAsia" w:ascii="黑体" w:hAnsi="黑体" w:eastAsia="黑体" w:cs="黑体"/>
        </w:rPr>
        <w:t>如所投产品属于许可证管理范围内的，须提交相应的许可证复印件。</w:t>
      </w:r>
    </w:p>
    <w:p>
      <w:pPr>
        <w:numPr>
          <w:ilvl w:val="0"/>
          <w:numId w:val="9"/>
        </w:numPr>
        <w:spacing w:line="360" w:lineRule="auto"/>
        <w:ind w:left="180" w:firstLine="48" w:firstLineChars="20"/>
        <w:jc w:val="both"/>
        <w:rPr>
          <w:rFonts w:ascii="黑体" w:hAnsi="黑体" w:eastAsia="黑体" w:cs="黑体"/>
        </w:rPr>
      </w:pPr>
      <w:r>
        <w:rPr>
          <w:rFonts w:hint="eastAsia" w:ascii="黑体" w:hAnsi="黑体" w:eastAsia="黑体" w:cs="黑体"/>
        </w:rPr>
        <w:t>为了提高采购效率，节约社会交易成本与时间，望购买了磋商文件而决定不参加本次磋商的供应商，在磋商响应文件递交截止时间的3日前，按《磋商邀请书》中的联系方式，以书面形式告知采购代理机构。对您的支持与配合，谨此致谢。</w:t>
      </w:r>
    </w:p>
    <w:p>
      <w:pPr>
        <w:numPr>
          <w:ilvl w:val="0"/>
          <w:numId w:val="9"/>
        </w:numPr>
        <w:spacing w:line="360" w:lineRule="auto"/>
        <w:ind w:left="180" w:firstLine="48" w:firstLineChars="20"/>
        <w:jc w:val="both"/>
        <w:rPr>
          <w:rFonts w:ascii="黑体" w:hAnsi="黑体" w:eastAsia="黑体" w:cs="黑体"/>
        </w:rPr>
      </w:pPr>
      <w:r>
        <w:rPr>
          <w:rFonts w:hint="eastAsia" w:ascii="黑体" w:hAnsi="黑体" w:eastAsia="黑体" w:cs="黑体"/>
        </w:rPr>
        <w:t>如需供应商支付的各种费用，如磋商文件售价、工程图纸押金、保证金和招标代理服务费等，磋商文件将书面详细告知，请供应商按磋商文件规定的方式和金额支付。</w:t>
      </w:r>
    </w:p>
    <w:p>
      <w:pPr>
        <w:jc w:val="center"/>
        <w:rPr>
          <w:rFonts w:hAnsi="宋体"/>
          <w:b/>
          <w:bCs/>
          <w:sz w:val="32"/>
          <w:szCs w:val="32"/>
          <w:lang w:val="zh-CN"/>
        </w:rPr>
      </w:pPr>
    </w:p>
    <w:p>
      <w:pPr>
        <w:jc w:val="center"/>
        <w:rPr>
          <w:rFonts w:hAnsi="宋体"/>
          <w:b/>
          <w:bCs/>
          <w:sz w:val="32"/>
          <w:szCs w:val="32"/>
          <w:lang w:val="zh-CN"/>
        </w:rPr>
      </w:pPr>
    </w:p>
    <w:p>
      <w:pPr>
        <w:jc w:val="center"/>
        <w:rPr>
          <w:rFonts w:hAnsi="宋体"/>
          <w:b/>
          <w:bCs/>
          <w:sz w:val="32"/>
          <w:szCs w:val="32"/>
          <w:lang w:val="zh-CN"/>
        </w:rPr>
      </w:pPr>
    </w:p>
    <w:p>
      <w:pPr>
        <w:jc w:val="center"/>
        <w:rPr>
          <w:rFonts w:hAnsi="宋体"/>
          <w:b/>
          <w:bCs/>
          <w:sz w:val="32"/>
          <w:szCs w:val="32"/>
          <w:lang w:val="zh-CN"/>
        </w:rPr>
      </w:pPr>
    </w:p>
    <w:p>
      <w:pPr>
        <w:jc w:val="center"/>
        <w:rPr>
          <w:rFonts w:hAnsi="宋体"/>
          <w:b/>
          <w:bCs/>
          <w:sz w:val="32"/>
          <w:szCs w:val="32"/>
          <w:lang w:val="zh-CN"/>
        </w:rPr>
      </w:pPr>
    </w:p>
    <w:p>
      <w:pPr>
        <w:jc w:val="center"/>
        <w:rPr>
          <w:rFonts w:hAnsi="宋体"/>
          <w:b/>
          <w:bCs/>
          <w:sz w:val="32"/>
          <w:szCs w:val="32"/>
          <w:lang w:val="zh-CN"/>
        </w:rPr>
      </w:pPr>
    </w:p>
    <w:p>
      <w:pPr>
        <w:jc w:val="center"/>
        <w:rPr>
          <w:rFonts w:hAnsi="宋体"/>
          <w:b/>
          <w:bCs/>
          <w:sz w:val="32"/>
          <w:szCs w:val="32"/>
          <w:lang w:val="zh-CN"/>
        </w:rPr>
      </w:pPr>
    </w:p>
    <w:p>
      <w:pPr>
        <w:jc w:val="center"/>
        <w:rPr>
          <w:rFonts w:hAnsi="宋体"/>
          <w:b/>
          <w:bCs/>
          <w:sz w:val="32"/>
          <w:szCs w:val="32"/>
          <w:lang w:val="zh-CN"/>
        </w:rPr>
        <w:sectPr>
          <w:pgSz w:w="11906" w:h="16838"/>
          <w:pgMar w:top="1417" w:right="1531" w:bottom="1417" w:left="1531" w:header="850" w:footer="964" w:gutter="0"/>
          <w:cols w:space="720" w:num="1"/>
          <w:docGrid w:type="lines" w:linePitch="315" w:charSpace="0"/>
        </w:sectPr>
      </w:pPr>
    </w:p>
    <w:p>
      <w:pPr>
        <w:pStyle w:val="2"/>
        <w:rPr>
          <w:lang w:val="zh-CN"/>
        </w:rPr>
      </w:pPr>
    </w:p>
    <w:p>
      <w:pPr>
        <w:jc w:val="center"/>
      </w:pPr>
      <w:r>
        <w:rPr>
          <w:rFonts w:hAnsi="宋体"/>
          <w:b/>
          <w:bCs/>
          <w:sz w:val="32"/>
          <w:szCs w:val="32"/>
          <w:lang w:val="zh-CN"/>
        </w:rPr>
        <w:t>目录</w:t>
      </w:r>
      <w:bookmarkStart w:id="2" w:name="_Toc396137229"/>
      <w:r>
        <w:rPr>
          <w:rFonts w:hAnsi="宋体"/>
          <w:b/>
          <w:bCs/>
          <w:caps/>
          <w:sz w:val="21"/>
          <w:szCs w:val="21"/>
        </w:rPr>
        <w:fldChar w:fldCharType="begin"/>
      </w:r>
      <w:r>
        <w:rPr>
          <w:rStyle w:val="59"/>
          <w:rFonts w:hAnsi="宋体"/>
          <w:b/>
          <w:bCs/>
          <w:caps/>
          <w:color w:val="auto"/>
          <w:sz w:val="21"/>
          <w:szCs w:val="21"/>
        </w:rPr>
        <w:instrText xml:space="preserve"> TOC \o "1-3" \h \z \u </w:instrText>
      </w:r>
      <w:r>
        <w:rPr>
          <w:rFonts w:hAnsi="宋体"/>
          <w:b/>
          <w:bCs/>
          <w:caps/>
          <w:sz w:val="21"/>
          <w:szCs w:val="21"/>
        </w:rPr>
        <w:fldChar w:fldCharType="separate"/>
      </w:r>
    </w:p>
    <w:p>
      <w:pPr>
        <w:pStyle w:val="35"/>
        <w:tabs>
          <w:tab w:val="right" w:leader="dot" w:pos="8730"/>
        </w:tabs>
        <w:spacing w:line="360" w:lineRule="auto"/>
        <w:jc w:val="center"/>
        <w:rPr>
          <w:sz w:val="24"/>
          <w:szCs w:val="24"/>
        </w:rPr>
      </w:pPr>
      <w:r>
        <w:fldChar w:fldCharType="begin"/>
      </w:r>
      <w:r>
        <w:instrText xml:space="preserve"> HYPERLINK \l "_Toc27261" </w:instrText>
      </w:r>
      <w:r>
        <w:fldChar w:fldCharType="separate"/>
      </w:r>
      <w:r>
        <w:rPr>
          <w:rFonts w:hAnsi="宋体"/>
          <w:kern w:val="44"/>
          <w:sz w:val="24"/>
          <w:szCs w:val="24"/>
          <w:lang w:val="zh-CN"/>
        </w:rPr>
        <w:t>第一篇</w:t>
      </w:r>
      <w:r>
        <w:rPr>
          <w:rFonts w:hint="eastAsia" w:hAnsi="宋体"/>
          <w:kern w:val="44"/>
          <w:sz w:val="24"/>
          <w:szCs w:val="24"/>
        </w:rPr>
        <w:t>磋商邀请书</w:t>
      </w:r>
      <w:r>
        <w:rPr>
          <w:sz w:val="24"/>
          <w:szCs w:val="24"/>
        </w:rPr>
        <w:tab/>
      </w:r>
      <w:r>
        <w:rPr>
          <w:sz w:val="24"/>
          <w:szCs w:val="24"/>
        </w:rPr>
        <w:fldChar w:fldCharType="begin"/>
      </w:r>
      <w:r>
        <w:rPr>
          <w:sz w:val="24"/>
          <w:szCs w:val="24"/>
        </w:rPr>
        <w:instrText xml:space="preserve"> PAGEREF _Toc27261 </w:instrText>
      </w:r>
      <w:r>
        <w:rPr>
          <w:sz w:val="24"/>
          <w:szCs w:val="24"/>
        </w:rPr>
        <w:fldChar w:fldCharType="separate"/>
      </w:r>
      <w:r>
        <w:rPr>
          <w:sz w:val="24"/>
          <w:szCs w:val="24"/>
        </w:rPr>
        <w:t>1</w:t>
      </w:r>
      <w:r>
        <w:rPr>
          <w:sz w:val="24"/>
          <w:szCs w:val="24"/>
        </w:rPr>
        <w:fldChar w:fldCharType="end"/>
      </w:r>
      <w:r>
        <w:rPr>
          <w:sz w:val="24"/>
          <w:szCs w:val="24"/>
        </w:rPr>
        <w:fldChar w:fldCharType="end"/>
      </w:r>
    </w:p>
    <w:p>
      <w:pPr>
        <w:pStyle w:val="35"/>
        <w:tabs>
          <w:tab w:val="right" w:leader="dot" w:pos="8730"/>
        </w:tabs>
        <w:spacing w:line="360" w:lineRule="auto"/>
        <w:jc w:val="center"/>
        <w:rPr>
          <w:sz w:val="24"/>
          <w:szCs w:val="24"/>
        </w:rPr>
      </w:pPr>
      <w:r>
        <w:fldChar w:fldCharType="begin"/>
      </w:r>
      <w:r>
        <w:instrText xml:space="preserve"> HYPERLINK \l "_Toc16634" </w:instrText>
      </w:r>
      <w:r>
        <w:fldChar w:fldCharType="separate"/>
      </w:r>
      <w:r>
        <w:rPr>
          <w:rFonts w:hAnsi="宋体"/>
          <w:kern w:val="44"/>
          <w:sz w:val="24"/>
          <w:szCs w:val="24"/>
          <w:lang w:val="zh-CN"/>
        </w:rPr>
        <w:t>第二篇</w:t>
      </w:r>
      <w:r>
        <w:rPr>
          <w:rFonts w:hint="eastAsia" w:hAnsi="宋体"/>
          <w:kern w:val="44"/>
          <w:sz w:val="24"/>
          <w:szCs w:val="24"/>
          <w:lang w:val="zh-CN"/>
        </w:rPr>
        <w:t>供应商须知</w:t>
      </w:r>
      <w:r>
        <w:rPr>
          <w:sz w:val="24"/>
          <w:szCs w:val="24"/>
        </w:rPr>
        <w:tab/>
      </w:r>
      <w:r>
        <w:rPr>
          <w:sz w:val="24"/>
          <w:szCs w:val="24"/>
        </w:rPr>
        <w:fldChar w:fldCharType="begin"/>
      </w:r>
      <w:r>
        <w:rPr>
          <w:sz w:val="24"/>
          <w:szCs w:val="24"/>
        </w:rPr>
        <w:instrText xml:space="preserve"> PAGEREF _Toc16634 </w:instrText>
      </w:r>
      <w:r>
        <w:rPr>
          <w:sz w:val="24"/>
          <w:szCs w:val="24"/>
        </w:rPr>
        <w:fldChar w:fldCharType="separate"/>
      </w:r>
      <w:r>
        <w:rPr>
          <w:sz w:val="24"/>
          <w:szCs w:val="24"/>
        </w:rPr>
        <w:t>5</w:t>
      </w:r>
      <w:r>
        <w:rPr>
          <w:sz w:val="24"/>
          <w:szCs w:val="24"/>
        </w:rPr>
        <w:fldChar w:fldCharType="end"/>
      </w:r>
      <w:r>
        <w:rPr>
          <w:sz w:val="24"/>
          <w:szCs w:val="24"/>
        </w:rPr>
        <w:fldChar w:fldCharType="end"/>
      </w:r>
    </w:p>
    <w:p>
      <w:pPr>
        <w:pStyle w:val="35"/>
        <w:tabs>
          <w:tab w:val="right" w:leader="dot" w:pos="8730"/>
        </w:tabs>
        <w:spacing w:line="360" w:lineRule="auto"/>
        <w:jc w:val="center"/>
        <w:rPr>
          <w:sz w:val="24"/>
          <w:szCs w:val="24"/>
        </w:rPr>
      </w:pPr>
      <w:r>
        <w:fldChar w:fldCharType="begin"/>
      </w:r>
      <w:r>
        <w:instrText xml:space="preserve"> HYPERLINK \l "_Toc22751" </w:instrText>
      </w:r>
      <w:r>
        <w:fldChar w:fldCharType="separate"/>
      </w:r>
      <w:r>
        <w:rPr>
          <w:rFonts w:hAnsi="宋体"/>
          <w:kern w:val="44"/>
          <w:sz w:val="24"/>
          <w:szCs w:val="24"/>
          <w:lang w:val="zh-CN"/>
        </w:rPr>
        <w:t>第三篇</w:t>
      </w:r>
      <w:r>
        <w:rPr>
          <w:rFonts w:hint="eastAsia" w:hAnsi="宋体"/>
          <w:kern w:val="44"/>
          <w:sz w:val="24"/>
          <w:szCs w:val="24"/>
          <w:lang w:val="zh-CN"/>
        </w:rPr>
        <w:t>用户需求书</w:t>
      </w:r>
      <w:r>
        <w:rPr>
          <w:sz w:val="24"/>
          <w:szCs w:val="24"/>
        </w:rPr>
        <w:tab/>
      </w:r>
      <w:r>
        <w:rPr>
          <w:sz w:val="24"/>
          <w:szCs w:val="24"/>
        </w:rPr>
        <w:fldChar w:fldCharType="begin"/>
      </w:r>
      <w:r>
        <w:rPr>
          <w:sz w:val="24"/>
          <w:szCs w:val="24"/>
        </w:rPr>
        <w:instrText xml:space="preserve"> PAGEREF _Toc22751 </w:instrText>
      </w:r>
      <w:r>
        <w:rPr>
          <w:sz w:val="24"/>
          <w:szCs w:val="24"/>
        </w:rPr>
        <w:fldChar w:fldCharType="separate"/>
      </w:r>
      <w:r>
        <w:rPr>
          <w:sz w:val="24"/>
          <w:szCs w:val="24"/>
        </w:rPr>
        <w:t>16</w:t>
      </w:r>
      <w:r>
        <w:rPr>
          <w:sz w:val="24"/>
          <w:szCs w:val="24"/>
        </w:rPr>
        <w:fldChar w:fldCharType="end"/>
      </w:r>
      <w:r>
        <w:rPr>
          <w:sz w:val="24"/>
          <w:szCs w:val="24"/>
        </w:rPr>
        <w:fldChar w:fldCharType="end"/>
      </w:r>
    </w:p>
    <w:p>
      <w:pPr>
        <w:pStyle w:val="35"/>
        <w:tabs>
          <w:tab w:val="right" w:leader="dot" w:pos="8730"/>
        </w:tabs>
        <w:spacing w:line="360" w:lineRule="auto"/>
        <w:jc w:val="center"/>
        <w:rPr>
          <w:sz w:val="24"/>
          <w:szCs w:val="24"/>
        </w:rPr>
      </w:pPr>
      <w:r>
        <w:fldChar w:fldCharType="begin"/>
      </w:r>
      <w:r>
        <w:instrText xml:space="preserve"> HYPERLINK \l "_Toc13957" </w:instrText>
      </w:r>
      <w:r>
        <w:fldChar w:fldCharType="separate"/>
      </w:r>
      <w:r>
        <w:rPr>
          <w:rFonts w:hAnsi="宋体"/>
          <w:kern w:val="44"/>
          <w:sz w:val="24"/>
          <w:szCs w:val="24"/>
          <w:lang w:val="zh-CN"/>
        </w:rPr>
        <w:t>第四篇</w:t>
      </w:r>
      <w:r>
        <w:rPr>
          <w:rFonts w:hint="eastAsia" w:hAnsi="宋体"/>
          <w:kern w:val="44"/>
          <w:sz w:val="24"/>
          <w:szCs w:val="24"/>
          <w:lang w:val="zh-CN"/>
        </w:rPr>
        <w:t>评标工作大纲</w:t>
      </w:r>
      <w:r>
        <w:rPr>
          <w:sz w:val="24"/>
          <w:szCs w:val="24"/>
        </w:rPr>
        <w:tab/>
      </w:r>
      <w:r>
        <w:rPr>
          <w:sz w:val="24"/>
          <w:szCs w:val="24"/>
        </w:rPr>
        <w:fldChar w:fldCharType="begin"/>
      </w:r>
      <w:r>
        <w:rPr>
          <w:sz w:val="24"/>
          <w:szCs w:val="24"/>
        </w:rPr>
        <w:instrText xml:space="preserve"> PAGEREF _Toc13957 </w:instrText>
      </w:r>
      <w:r>
        <w:rPr>
          <w:sz w:val="24"/>
          <w:szCs w:val="24"/>
        </w:rPr>
        <w:fldChar w:fldCharType="separate"/>
      </w:r>
      <w:r>
        <w:rPr>
          <w:sz w:val="24"/>
          <w:szCs w:val="24"/>
        </w:rPr>
        <w:t>31</w:t>
      </w:r>
      <w:r>
        <w:rPr>
          <w:sz w:val="24"/>
          <w:szCs w:val="24"/>
        </w:rPr>
        <w:fldChar w:fldCharType="end"/>
      </w:r>
      <w:r>
        <w:rPr>
          <w:sz w:val="24"/>
          <w:szCs w:val="24"/>
        </w:rPr>
        <w:fldChar w:fldCharType="end"/>
      </w:r>
    </w:p>
    <w:p>
      <w:pPr>
        <w:pStyle w:val="35"/>
        <w:tabs>
          <w:tab w:val="right" w:leader="dot" w:pos="8730"/>
        </w:tabs>
        <w:spacing w:line="360" w:lineRule="auto"/>
        <w:jc w:val="center"/>
        <w:rPr>
          <w:sz w:val="24"/>
          <w:szCs w:val="24"/>
        </w:rPr>
      </w:pPr>
      <w:r>
        <w:fldChar w:fldCharType="begin"/>
      </w:r>
      <w:r>
        <w:instrText xml:space="preserve"> HYPERLINK \l "_Toc15636" </w:instrText>
      </w:r>
      <w:r>
        <w:fldChar w:fldCharType="separate"/>
      </w:r>
      <w:r>
        <w:rPr>
          <w:rFonts w:hAnsi="宋体"/>
          <w:sz w:val="24"/>
          <w:szCs w:val="24"/>
        </w:rPr>
        <w:t>第五篇</w:t>
      </w:r>
      <w:r>
        <w:rPr>
          <w:rFonts w:hint="eastAsia" w:hAnsi="宋体"/>
          <w:kern w:val="44"/>
          <w:sz w:val="24"/>
          <w:szCs w:val="24"/>
          <w:lang w:val="zh-CN"/>
        </w:rPr>
        <w:t>合同条款格式</w:t>
      </w:r>
      <w:r>
        <w:rPr>
          <w:sz w:val="24"/>
          <w:szCs w:val="24"/>
        </w:rPr>
        <w:tab/>
      </w:r>
      <w:r>
        <w:rPr>
          <w:sz w:val="24"/>
          <w:szCs w:val="24"/>
        </w:rPr>
        <w:fldChar w:fldCharType="begin"/>
      </w:r>
      <w:r>
        <w:rPr>
          <w:sz w:val="24"/>
          <w:szCs w:val="24"/>
        </w:rPr>
        <w:instrText xml:space="preserve"> PAGEREF _Toc15636 </w:instrText>
      </w:r>
      <w:r>
        <w:rPr>
          <w:sz w:val="24"/>
          <w:szCs w:val="24"/>
        </w:rPr>
        <w:fldChar w:fldCharType="separate"/>
      </w:r>
      <w:r>
        <w:rPr>
          <w:sz w:val="24"/>
          <w:szCs w:val="24"/>
        </w:rPr>
        <w:t>37</w:t>
      </w:r>
      <w:r>
        <w:rPr>
          <w:sz w:val="24"/>
          <w:szCs w:val="24"/>
        </w:rPr>
        <w:fldChar w:fldCharType="end"/>
      </w:r>
      <w:r>
        <w:rPr>
          <w:sz w:val="24"/>
          <w:szCs w:val="24"/>
        </w:rPr>
        <w:fldChar w:fldCharType="end"/>
      </w:r>
    </w:p>
    <w:p>
      <w:pPr>
        <w:pStyle w:val="35"/>
        <w:tabs>
          <w:tab w:val="right" w:leader="dot" w:pos="8730"/>
        </w:tabs>
        <w:spacing w:line="360" w:lineRule="auto"/>
        <w:jc w:val="center"/>
        <w:rPr>
          <w:sz w:val="24"/>
          <w:szCs w:val="24"/>
        </w:rPr>
      </w:pPr>
      <w:r>
        <w:fldChar w:fldCharType="begin"/>
      </w:r>
      <w:r>
        <w:instrText xml:space="preserve"> HYPERLINK \l "_Toc8470" </w:instrText>
      </w:r>
      <w:r>
        <w:fldChar w:fldCharType="separate"/>
      </w:r>
      <w:r>
        <w:rPr>
          <w:rFonts w:hint="eastAsia" w:hAnsi="宋体"/>
          <w:kern w:val="44"/>
          <w:sz w:val="24"/>
          <w:szCs w:val="24"/>
          <w:lang w:val="zh-CN"/>
        </w:rPr>
        <w:t>第六篇磋商响应文件格式</w:t>
      </w:r>
      <w:r>
        <w:rPr>
          <w:sz w:val="24"/>
          <w:szCs w:val="24"/>
        </w:rPr>
        <w:tab/>
      </w:r>
      <w:r>
        <w:rPr>
          <w:sz w:val="24"/>
          <w:szCs w:val="24"/>
        </w:rPr>
        <w:fldChar w:fldCharType="begin"/>
      </w:r>
      <w:r>
        <w:rPr>
          <w:sz w:val="24"/>
          <w:szCs w:val="24"/>
        </w:rPr>
        <w:instrText xml:space="preserve"> PAGEREF _Toc8470 </w:instrText>
      </w:r>
      <w:r>
        <w:rPr>
          <w:sz w:val="24"/>
          <w:szCs w:val="24"/>
        </w:rPr>
        <w:fldChar w:fldCharType="separate"/>
      </w:r>
      <w:r>
        <w:rPr>
          <w:sz w:val="24"/>
          <w:szCs w:val="24"/>
        </w:rPr>
        <w:t>55</w:t>
      </w:r>
      <w:r>
        <w:rPr>
          <w:sz w:val="24"/>
          <w:szCs w:val="24"/>
        </w:rPr>
        <w:fldChar w:fldCharType="end"/>
      </w:r>
      <w:r>
        <w:rPr>
          <w:sz w:val="24"/>
          <w:szCs w:val="24"/>
        </w:rPr>
        <w:fldChar w:fldCharType="end"/>
      </w:r>
    </w:p>
    <w:p>
      <w:pPr>
        <w:pStyle w:val="3"/>
        <w:keepNext/>
        <w:keepLines/>
        <w:pageBreakBefore/>
        <w:numPr>
          <w:ilvl w:val="0"/>
          <w:numId w:val="10"/>
        </w:numPr>
        <w:tabs>
          <w:tab w:val="left" w:pos="1080"/>
        </w:tabs>
        <w:spacing w:line="360" w:lineRule="auto"/>
        <w:ind w:left="1078" w:hanging="1077" w:hangingChars="449"/>
        <w:jc w:val="center"/>
        <w:rPr>
          <w:rFonts w:hAnsi="宋体"/>
          <w:b/>
          <w:bCs/>
          <w:kern w:val="44"/>
          <w:sz w:val="28"/>
          <w:szCs w:val="28"/>
          <w:lang w:val="zh-CN"/>
        </w:rPr>
      </w:pPr>
      <w:r>
        <w:fldChar w:fldCharType="end"/>
      </w:r>
      <w:bookmarkEnd w:id="2"/>
      <w:r>
        <w:rPr>
          <w:rFonts w:hint="eastAsia" w:hAnsi="宋体"/>
          <w:b/>
          <w:bCs/>
          <w:kern w:val="44"/>
          <w:sz w:val="28"/>
          <w:szCs w:val="28"/>
        </w:rPr>
        <w:t>磋商邀请书</w:t>
      </w:r>
      <w:bookmarkEnd w:id="1"/>
    </w:p>
    <w:p>
      <w:pPr>
        <w:widowControl/>
        <w:tabs>
          <w:tab w:val="left" w:pos="-360"/>
        </w:tabs>
        <w:adjustRightInd/>
        <w:spacing w:line="360" w:lineRule="auto"/>
        <w:ind w:right="-34" w:firstLine="420" w:firstLineChars="200"/>
        <w:jc w:val="both"/>
        <w:textAlignment w:val="bottom"/>
        <w:rPr>
          <w:rFonts w:hAnsi="宋体"/>
          <w:sz w:val="21"/>
          <w:szCs w:val="21"/>
        </w:rPr>
      </w:pPr>
      <w:r>
        <w:rPr>
          <w:rFonts w:hint="eastAsia" w:hAnsi="宋体"/>
          <w:sz w:val="21"/>
          <w:szCs w:val="21"/>
        </w:rPr>
        <w:t>广东泰通伟业工程咨询有限公司（以下简称“采购代理机构”）受东莞市东实旗云投资有限公司（以下简称“采购人”）的委托，为旗云花园弱电智能化工程施工 (项目编号：TTWY-20065) 采购所需的服务。本项目采用竞争性磋商采购方式，欢迎合格供应商就本项目提交密封磋商。</w:t>
      </w:r>
    </w:p>
    <w:p>
      <w:pPr>
        <w:widowControl/>
        <w:numPr>
          <w:ilvl w:val="0"/>
          <w:numId w:val="11"/>
        </w:numPr>
        <w:adjustRightInd/>
        <w:spacing w:line="360" w:lineRule="auto"/>
        <w:rPr>
          <w:rFonts w:hAnsi="宋体"/>
          <w:sz w:val="21"/>
          <w:szCs w:val="21"/>
        </w:rPr>
      </w:pPr>
      <w:r>
        <w:rPr>
          <w:rFonts w:hint="eastAsia" w:hAnsi="宋体"/>
          <w:b/>
          <w:bCs/>
          <w:kern w:val="28"/>
          <w:sz w:val="21"/>
          <w:szCs w:val="21"/>
        </w:rPr>
        <w:t>邀请合格供应商就下列所有服务提交密封磋商：</w:t>
      </w:r>
    </w:p>
    <w:p>
      <w:pPr>
        <w:widowControl/>
        <w:numPr>
          <w:ilvl w:val="0"/>
          <w:numId w:val="12"/>
        </w:numPr>
        <w:tabs>
          <w:tab w:val="left" w:pos="-360"/>
        </w:tabs>
        <w:adjustRightInd/>
        <w:spacing w:line="360" w:lineRule="auto"/>
        <w:ind w:right="-34"/>
        <w:jc w:val="both"/>
        <w:textAlignment w:val="bottom"/>
        <w:rPr>
          <w:rFonts w:hAnsi="宋体"/>
          <w:sz w:val="21"/>
          <w:szCs w:val="21"/>
        </w:rPr>
      </w:pPr>
      <w:r>
        <w:rPr>
          <w:rFonts w:hint="eastAsia" w:hAnsi="宋体"/>
          <w:sz w:val="21"/>
          <w:szCs w:val="21"/>
        </w:rPr>
        <w:t>项目名称：旗云花园弱电智能化工程施工</w:t>
      </w:r>
    </w:p>
    <w:p>
      <w:pPr>
        <w:widowControl/>
        <w:numPr>
          <w:ilvl w:val="0"/>
          <w:numId w:val="12"/>
        </w:numPr>
        <w:tabs>
          <w:tab w:val="left" w:pos="-360"/>
        </w:tabs>
        <w:adjustRightInd/>
        <w:spacing w:line="360" w:lineRule="auto"/>
        <w:ind w:right="-34"/>
        <w:jc w:val="both"/>
        <w:textAlignment w:val="bottom"/>
        <w:rPr>
          <w:rFonts w:hAnsi="宋体"/>
          <w:sz w:val="21"/>
          <w:szCs w:val="21"/>
        </w:rPr>
      </w:pPr>
      <w:r>
        <w:rPr>
          <w:rFonts w:hint="eastAsia" w:hAnsi="宋体"/>
          <w:sz w:val="21"/>
          <w:szCs w:val="21"/>
        </w:rPr>
        <w:t>项目编号：TTWY-20065</w:t>
      </w:r>
    </w:p>
    <w:p>
      <w:pPr>
        <w:widowControl/>
        <w:numPr>
          <w:ilvl w:val="0"/>
          <w:numId w:val="12"/>
        </w:numPr>
        <w:tabs>
          <w:tab w:val="left" w:pos="-360"/>
        </w:tabs>
        <w:adjustRightInd/>
        <w:spacing w:line="360" w:lineRule="auto"/>
        <w:ind w:right="-34"/>
        <w:jc w:val="both"/>
        <w:textAlignment w:val="bottom"/>
        <w:rPr>
          <w:rFonts w:hAnsi="宋体"/>
          <w:sz w:val="21"/>
          <w:szCs w:val="21"/>
        </w:rPr>
      </w:pPr>
      <w:r>
        <w:rPr>
          <w:rFonts w:hint="eastAsia" w:hAnsi="宋体"/>
          <w:sz w:val="21"/>
          <w:szCs w:val="21"/>
        </w:rPr>
        <w:t>项目预算金额：¥2,320,000.00元（人民币贰佰叁拾贰万元）。</w:t>
      </w:r>
    </w:p>
    <w:p>
      <w:pPr>
        <w:widowControl/>
        <w:numPr>
          <w:ilvl w:val="0"/>
          <w:numId w:val="12"/>
        </w:numPr>
        <w:tabs>
          <w:tab w:val="left" w:pos="-360"/>
        </w:tabs>
        <w:adjustRightInd/>
        <w:spacing w:line="360" w:lineRule="auto"/>
        <w:ind w:right="-34"/>
        <w:jc w:val="both"/>
        <w:textAlignment w:val="bottom"/>
        <w:rPr>
          <w:rFonts w:hAnsi="宋体"/>
          <w:sz w:val="21"/>
          <w:szCs w:val="21"/>
        </w:rPr>
      </w:pPr>
      <w:r>
        <w:rPr>
          <w:rFonts w:hint="eastAsia" w:hAnsi="宋体"/>
          <w:sz w:val="21"/>
          <w:szCs w:val="21"/>
        </w:rPr>
        <w:t>项目需求：详见磋商文件第三篇用户需求书。</w:t>
      </w:r>
    </w:p>
    <w:p>
      <w:pPr>
        <w:widowControl/>
        <w:adjustRightInd/>
        <w:spacing w:line="360" w:lineRule="auto"/>
        <w:rPr>
          <w:rFonts w:hAnsi="宋体"/>
          <w:b/>
          <w:bCs/>
          <w:kern w:val="28"/>
          <w:sz w:val="21"/>
          <w:szCs w:val="21"/>
        </w:rPr>
      </w:pPr>
      <w:r>
        <w:rPr>
          <w:rFonts w:hint="eastAsia" w:hAnsi="宋体"/>
          <w:b/>
          <w:bCs/>
          <w:kern w:val="28"/>
          <w:sz w:val="21"/>
          <w:szCs w:val="21"/>
          <w:lang w:val="zh-CN"/>
        </w:rPr>
        <w:t>二、供应商须满足以下资格条件</w:t>
      </w:r>
      <w:r>
        <w:rPr>
          <w:rFonts w:hint="eastAsia" w:hAnsi="宋体"/>
          <w:b/>
          <w:bCs/>
          <w:kern w:val="28"/>
          <w:sz w:val="21"/>
          <w:szCs w:val="21"/>
        </w:rPr>
        <w:t>：</w:t>
      </w:r>
    </w:p>
    <w:p>
      <w:pPr>
        <w:widowControl/>
        <w:numPr>
          <w:ilvl w:val="0"/>
          <w:numId w:val="13"/>
        </w:numPr>
        <w:adjustRightInd/>
        <w:spacing w:line="360" w:lineRule="auto"/>
        <w:ind w:right="53"/>
        <w:textAlignment w:val="bottom"/>
        <w:rPr>
          <w:rFonts w:hAnsi="宋体"/>
          <w:kern w:val="2"/>
          <w:sz w:val="21"/>
          <w:szCs w:val="21"/>
        </w:rPr>
      </w:pPr>
      <w:bookmarkStart w:id="3" w:name="_Toc396137230"/>
      <w:r>
        <w:rPr>
          <w:rFonts w:hint="eastAsia" w:hAnsi="宋体"/>
          <w:kern w:val="2"/>
          <w:sz w:val="21"/>
          <w:szCs w:val="21"/>
        </w:rPr>
        <w:t>供应商须为在中华人民共和国境内登记注册的具有独立承担民事责任能力的法人或其他组织；</w:t>
      </w:r>
    </w:p>
    <w:p>
      <w:pPr>
        <w:widowControl/>
        <w:adjustRightInd/>
        <w:spacing w:line="360" w:lineRule="auto"/>
        <w:ind w:left="420" w:right="53"/>
        <w:textAlignment w:val="bottom"/>
        <w:rPr>
          <w:rFonts w:hAnsi="宋体"/>
          <w:kern w:val="2"/>
          <w:sz w:val="21"/>
          <w:szCs w:val="21"/>
        </w:rPr>
      </w:pPr>
      <w:r>
        <w:rPr>
          <w:rFonts w:hint="eastAsia" w:hAnsi="宋体"/>
          <w:kern w:val="2"/>
          <w:sz w:val="21"/>
          <w:szCs w:val="21"/>
        </w:rPr>
        <w:t>（二）供应商的单位负责人为同一人或者存在直接控股、管理关系的不同供应商，不得参加同一合同项下的采购活动。</w:t>
      </w:r>
    </w:p>
    <w:p>
      <w:pPr>
        <w:widowControl/>
        <w:adjustRightInd/>
        <w:spacing w:line="360" w:lineRule="auto"/>
        <w:ind w:left="420" w:right="53"/>
        <w:textAlignment w:val="bottom"/>
        <w:rPr>
          <w:rFonts w:hAnsi="宋体"/>
          <w:kern w:val="2"/>
          <w:sz w:val="21"/>
          <w:szCs w:val="21"/>
        </w:rPr>
      </w:pPr>
      <w:r>
        <w:rPr>
          <w:rFonts w:hint="eastAsia" w:hAnsi="宋体"/>
          <w:kern w:val="2"/>
          <w:sz w:val="21"/>
          <w:szCs w:val="21"/>
        </w:rPr>
        <w:t>（三）供应商参加采购活动前三年内，在经营活动中没有重大违法记录。（须提供书面声明）；</w:t>
      </w:r>
    </w:p>
    <w:p>
      <w:pPr>
        <w:widowControl/>
        <w:adjustRightInd/>
        <w:spacing w:line="360" w:lineRule="auto"/>
        <w:ind w:left="420" w:right="53"/>
        <w:textAlignment w:val="bottom"/>
        <w:rPr>
          <w:rFonts w:hAnsi="宋体"/>
          <w:kern w:val="2"/>
          <w:sz w:val="21"/>
          <w:szCs w:val="21"/>
        </w:rPr>
      </w:pPr>
      <w:r>
        <w:rPr>
          <w:rFonts w:hint="eastAsia" w:hAnsi="宋体"/>
          <w:kern w:val="2"/>
          <w:sz w:val="21"/>
          <w:szCs w:val="21"/>
        </w:rPr>
        <w:t>（四）供应商未被列入“信用中国”网站(www.creditchina.gov.cn)“记录失信被执行人或重大税收违法案件当事人名单或政府采购严重违法失信行为”记录名单（以采购代理机构投标截止日当天在“信用中国”网站（www.creditchina.gov.cn）查询结果为准，如相关失信记录已失效，供应商需提供相关证明资料）。</w:t>
      </w:r>
    </w:p>
    <w:p>
      <w:pPr>
        <w:widowControl/>
        <w:adjustRightInd/>
        <w:spacing w:line="360" w:lineRule="auto"/>
        <w:ind w:left="420" w:right="53"/>
        <w:textAlignment w:val="bottom"/>
        <w:rPr>
          <w:rFonts w:hAnsi="宋体"/>
          <w:kern w:val="2"/>
          <w:sz w:val="21"/>
          <w:szCs w:val="21"/>
        </w:rPr>
      </w:pPr>
      <w:r>
        <w:rPr>
          <w:rFonts w:hint="eastAsia" w:hAnsi="宋体"/>
          <w:kern w:val="2"/>
          <w:sz w:val="21"/>
          <w:szCs w:val="21"/>
        </w:rPr>
        <w:t>（五）供应商须具备电子与智能化工程专业承包二级或以上资质。</w:t>
      </w:r>
    </w:p>
    <w:p>
      <w:pPr>
        <w:widowControl/>
        <w:adjustRightInd/>
        <w:spacing w:line="360" w:lineRule="auto"/>
        <w:ind w:left="420" w:right="53"/>
        <w:textAlignment w:val="bottom"/>
        <w:rPr>
          <w:rFonts w:hAnsi="宋体"/>
          <w:kern w:val="2"/>
          <w:sz w:val="21"/>
          <w:szCs w:val="21"/>
        </w:rPr>
      </w:pPr>
      <w:r>
        <w:rPr>
          <w:rFonts w:hint="eastAsia" w:hAnsi="宋体"/>
          <w:kern w:val="2"/>
          <w:sz w:val="21"/>
          <w:szCs w:val="21"/>
        </w:rPr>
        <w:t>（六）本项目不接受联合体投标。</w:t>
      </w:r>
    </w:p>
    <w:p>
      <w:pPr>
        <w:spacing w:line="360" w:lineRule="auto"/>
        <w:rPr>
          <w:rFonts w:hAnsi="宋体"/>
          <w:b/>
          <w:bCs/>
          <w:sz w:val="21"/>
          <w:szCs w:val="21"/>
        </w:rPr>
      </w:pPr>
      <w:r>
        <w:rPr>
          <w:rFonts w:hint="eastAsia" w:hAnsi="宋体"/>
          <w:b/>
          <w:bCs/>
          <w:sz w:val="21"/>
          <w:szCs w:val="21"/>
        </w:rPr>
        <w:t>三、获取磋商文件：</w:t>
      </w:r>
    </w:p>
    <w:p>
      <w:pPr>
        <w:widowControl/>
        <w:adjustRightInd/>
        <w:spacing w:line="360" w:lineRule="auto"/>
        <w:ind w:left="420" w:right="53"/>
        <w:textAlignment w:val="bottom"/>
        <w:rPr>
          <w:rFonts w:hAnsi="宋体"/>
          <w:kern w:val="28"/>
          <w:sz w:val="21"/>
          <w:szCs w:val="21"/>
        </w:rPr>
      </w:pPr>
      <w:r>
        <w:rPr>
          <w:rFonts w:hint="eastAsia" w:hAnsi="宋体"/>
          <w:kern w:val="28"/>
          <w:sz w:val="21"/>
          <w:szCs w:val="21"/>
        </w:rPr>
        <w:t>本项目无须报名，由供应商自行网上下载。下载地址：广东省招标投标监督网（http://zbtb.gd.gov.cn）、中国采购与招标网（www.chinabidding.com.cn）、东莞实业投资控股集团有限公司-招标采购栏目（www.dgsy.com.cn）、广东泰通伟业工程咨询有限公司官网-招标采购栏目（www.weiyecoltd.com）。</w:t>
      </w:r>
    </w:p>
    <w:p>
      <w:pPr>
        <w:pStyle w:val="28"/>
        <w:spacing w:line="360" w:lineRule="auto"/>
        <w:rPr>
          <w:rFonts w:hAnsi="宋体"/>
          <w:b/>
          <w:bCs/>
          <w:szCs w:val="21"/>
        </w:rPr>
      </w:pPr>
      <w:r>
        <w:rPr>
          <w:rFonts w:hint="eastAsia" w:hAnsi="宋体"/>
          <w:b/>
          <w:bCs/>
          <w:szCs w:val="21"/>
        </w:rPr>
        <w:t>四、接收响应文件的时间、地点、截止时间，开启响应文件时间、地点</w:t>
      </w:r>
      <w:r>
        <w:rPr>
          <w:rFonts w:hint="eastAsia" w:hAnsi="宋体"/>
          <w:b/>
          <w:szCs w:val="21"/>
        </w:rPr>
        <w:t>：</w:t>
      </w:r>
    </w:p>
    <w:p>
      <w:pPr>
        <w:spacing w:line="360" w:lineRule="auto"/>
        <w:ind w:firstLine="420" w:firstLineChars="200"/>
        <w:rPr>
          <w:rFonts w:hAnsi="宋体"/>
          <w:sz w:val="21"/>
          <w:szCs w:val="21"/>
        </w:rPr>
      </w:pPr>
      <w:r>
        <w:rPr>
          <w:rFonts w:hint="eastAsia" w:hAnsi="宋体"/>
          <w:sz w:val="21"/>
          <w:szCs w:val="21"/>
        </w:rPr>
        <w:t>1、接收响应文件的时间：2020年10月14日上午9:00～9:30。</w:t>
      </w:r>
    </w:p>
    <w:p>
      <w:pPr>
        <w:spacing w:line="360" w:lineRule="auto"/>
        <w:ind w:firstLine="420" w:firstLineChars="200"/>
        <w:rPr>
          <w:rFonts w:hAnsi="宋体"/>
          <w:sz w:val="21"/>
          <w:szCs w:val="21"/>
        </w:rPr>
      </w:pPr>
      <w:r>
        <w:rPr>
          <w:rFonts w:hint="eastAsia" w:hAnsi="宋体"/>
          <w:sz w:val="21"/>
          <w:szCs w:val="21"/>
        </w:rPr>
        <w:t>2、接收响应文件截止时间及开启响应文件时间：2020年10月14日上午9:30。</w:t>
      </w:r>
    </w:p>
    <w:p>
      <w:pPr>
        <w:spacing w:line="360" w:lineRule="auto"/>
        <w:ind w:firstLine="420" w:firstLineChars="200"/>
        <w:rPr>
          <w:rFonts w:hAnsi="宋体"/>
          <w:sz w:val="21"/>
          <w:szCs w:val="21"/>
        </w:rPr>
      </w:pPr>
      <w:r>
        <w:rPr>
          <w:rFonts w:hint="eastAsia" w:hAnsi="宋体"/>
          <w:sz w:val="21"/>
          <w:szCs w:val="21"/>
        </w:rPr>
        <w:t>3、接收响应文件地点：东莞市东城莞龙路下桥银门街一号办公楼六楼618室。</w:t>
      </w:r>
    </w:p>
    <w:p>
      <w:pPr>
        <w:spacing w:line="360" w:lineRule="auto"/>
        <w:rPr>
          <w:rFonts w:hAnsi="宋体"/>
          <w:b/>
          <w:bCs/>
          <w:sz w:val="21"/>
          <w:szCs w:val="21"/>
        </w:rPr>
      </w:pPr>
      <w:r>
        <w:rPr>
          <w:rFonts w:hint="eastAsia" w:hAnsi="宋体"/>
          <w:b/>
          <w:bCs/>
          <w:sz w:val="21"/>
          <w:szCs w:val="21"/>
        </w:rPr>
        <w:t>五、</w:t>
      </w:r>
      <w:r>
        <w:rPr>
          <w:rFonts w:hint="eastAsia" w:hAnsi="宋体"/>
          <w:b/>
          <w:sz w:val="21"/>
          <w:szCs w:val="21"/>
        </w:rPr>
        <w:t>采购代理机构</w:t>
      </w:r>
      <w:r>
        <w:rPr>
          <w:rFonts w:hint="eastAsia" w:hAnsi="宋体"/>
          <w:b/>
          <w:bCs/>
          <w:sz w:val="21"/>
          <w:szCs w:val="21"/>
        </w:rPr>
        <w:t>及采购人</w:t>
      </w:r>
      <w:r>
        <w:rPr>
          <w:rFonts w:hint="eastAsia" w:hAnsi="宋体"/>
          <w:b/>
          <w:sz w:val="21"/>
          <w:szCs w:val="21"/>
        </w:rPr>
        <w:t>的地址和联系方式</w:t>
      </w:r>
      <w:r>
        <w:rPr>
          <w:rFonts w:hint="eastAsia" w:hAnsi="宋体"/>
          <w:b/>
          <w:bCs/>
          <w:sz w:val="21"/>
          <w:szCs w:val="21"/>
        </w:rPr>
        <w:t>：</w:t>
      </w:r>
    </w:p>
    <w:p>
      <w:pPr>
        <w:spacing w:line="360" w:lineRule="auto"/>
        <w:ind w:right="-34" w:firstLine="424" w:firstLineChars="202"/>
        <w:jc w:val="both"/>
        <w:rPr>
          <w:rFonts w:hAnsi="宋体"/>
          <w:sz w:val="21"/>
          <w:szCs w:val="21"/>
        </w:rPr>
      </w:pPr>
      <w:r>
        <w:rPr>
          <w:rFonts w:hint="eastAsia" w:hAnsi="宋体"/>
          <w:sz w:val="21"/>
          <w:szCs w:val="21"/>
        </w:rPr>
        <w:t>采购代理机构：</w:t>
      </w:r>
      <w:r>
        <w:rPr>
          <w:rFonts w:hAnsi="宋体"/>
          <w:sz w:val="21"/>
          <w:szCs w:val="21"/>
        </w:rPr>
        <w:t>广东泰通伟业工程咨询有限公司</w:t>
      </w:r>
    </w:p>
    <w:p>
      <w:pPr>
        <w:spacing w:line="360" w:lineRule="auto"/>
        <w:ind w:right="-34" w:firstLine="424" w:firstLineChars="202"/>
        <w:jc w:val="both"/>
        <w:rPr>
          <w:rFonts w:hAnsi="宋体"/>
          <w:sz w:val="21"/>
          <w:szCs w:val="21"/>
        </w:rPr>
      </w:pPr>
      <w:r>
        <w:rPr>
          <w:rFonts w:hAnsi="宋体"/>
          <w:sz w:val="21"/>
          <w:szCs w:val="21"/>
        </w:rPr>
        <w:t>地址：</w:t>
      </w:r>
      <w:r>
        <w:rPr>
          <w:rFonts w:hint="eastAsia" w:hAnsi="宋体"/>
          <w:sz w:val="21"/>
          <w:szCs w:val="21"/>
        </w:rPr>
        <w:t>东莞市东城莞龙路下桥银门街一号办公楼六楼606室招标采购部</w:t>
      </w:r>
    </w:p>
    <w:p>
      <w:pPr>
        <w:spacing w:line="360" w:lineRule="auto"/>
        <w:ind w:right="-34" w:firstLine="424" w:firstLineChars="202"/>
        <w:jc w:val="both"/>
        <w:rPr>
          <w:rFonts w:hAnsi="宋体"/>
          <w:sz w:val="21"/>
          <w:szCs w:val="21"/>
        </w:rPr>
      </w:pPr>
      <w:r>
        <w:rPr>
          <w:rFonts w:hint="eastAsia" w:hAnsi="宋体"/>
          <w:sz w:val="21"/>
          <w:szCs w:val="21"/>
        </w:rPr>
        <w:t>项目</w:t>
      </w:r>
      <w:r>
        <w:rPr>
          <w:rFonts w:hAnsi="宋体"/>
          <w:sz w:val="21"/>
          <w:szCs w:val="21"/>
        </w:rPr>
        <w:t>联系人:</w:t>
      </w:r>
      <w:r>
        <w:rPr>
          <w:rFonts w:hint="eastAsia" w:hAnsi="宋体"/>
          <w:sz w:val="21"/>
          <w:szCs w:val="21"/>
        </w:rPr>
        <w:t>罗小姐</w:t>
      </w:r>
    </w:p>
    <w:p>
      <w:pPr>
        <w:spacing w:line="360" w:lineRule="auto"/>
        <w:ind w:right="-34" w:firstLine="424" w:firstLineChars="202"/>
        <w:jc w:val="both"/>
        <w:rPr>
          <w:rFonts w:hAnsi="宋体"/>
          <w:sz w:val="21"/>
          <w:szCs w:val="21"/>
        </w:rPr>
      </w:pPr>
      <w:r>
        <w:rPr>
          <w:rFonts w:hAnsi="宋体"/>
          <w:sz w:val="21"/>
          <w:szCs w:val="21"/>
        </w:rPr>
        <w:t>电话：</w:t>
      </w:r>
      <w:r>
        <w:rPr>
          <w:rFonts w:hint="eastAsia" w:hAnsi="宋体"/>
          <w:sz w:val="21"/>
          <w:szCs w:val="21"/>
        </w:rPr>
        <w:t>0769-22088829</w:t>
      </w:r>
    </w:p>
    <w:p>
      <w:pPr>
        <w:spacing w:line="360" w:lineRule="auto"/>
        <w:ind w:right="-34" w:firstLine="424" w:firstLineChars="202"/>
        <w:jc w:val="both"/>
        <w:rPr>
          <w:rFonts w:hAnsi="宋体"/>
          <w:sz w:val="21"/>
          <w:szCs w:val="21"/>
        </w:rPr>
      </w:pPr>
      <w:r>
        <w:rPr>
          <w:rFonts w:hint="eastAsia" w:hAnsi="宋体"/>
          <w:sz w:val="21"/>
          <w:szCs w:val="21"/>
        </w:rPr>
        <w:t>邮箱</w:t>
      </w:r>
      <w:r>
        <w:rPr>
          <w:rFonts w:hAnsi="宋体"/>
          <w:sz w:val="21"/>
          <w:szCs w:val="21"/>
        </w:rPr>
        <w:t>：</w:t>
      </w:r>
      <w:r>
        <w:rPr>
          <w:rFonts w:hint="eastAsia" w:hAnsi="宋体"/>
          <w:sz w:val="21"/>
          <w:szCs w:val="21"/>
        </w:rPr>
        <w:t>WYZFCG@126.com</w:t>
      </w:r>
    </w:p>
    <w:p>
      <w:pPr>
        <w:spacing w:line="360" w:lineRule="auto"/>
        <w:ind w:right="-34" w:firstLine="424" w:firstLineChars="202"/>
        <w:jc w:val="both"/>
        <w:rPr>
          <w:rFonts w:hAnsi="宋体"/>
          <w:sz w:val="21"/>
          <w:szCs w:val="21"/>
        </w:rPr>
      </w:pPr>
      <w:r>
        <w:rPr>
          <w:rFonts w:hint="eastAsia" w:hAnsi="宋体"/>
          <w:sz w:val="21"/>
          <w:szCs w:val="21"/>
        </w:rPr>
        <w:t>采购人：东莞市东实旗云投资有限公司</w:t>
      </w:r>
    </w:p>
    <w:p>
      <w:pPr>
        <w:spacing w:line="360" w:lineRule="auto"/>
        <w:ind w:right="-34" w:firstLine="424" w:firstLineChars="202"/>
        <w:jc w:val="both"/>
        <w:rPr>
          <w:rFonts w:hAnsi="宋体"/>
          <w:sz w:val="21"/>
          <w:szCs w:val="21"/>
        </w:rPr>
      </w:pPr>
      <w:r>
        <w:rPr>
          <w:rFonts w:hAnsi="宋体"/>
          <w:sz w:val="21"/>
          <w:szCs w:val="21"/>
        </w:rPr>
        <w:t>地址：</w:t>
      </w:r>
      <w:r>
        <w:rPr>
          <w:rFonts w:hint="eastAsia" w:hAnsi="宋体"/>
          <w:sz w:val="21"/>
          <w:szCs w:val="21"/>
        </w:rPr>
        <w:t>东莞市东城区八一路机关二号大院9号楼</w:t>
      </w:r>
    </w:p>
    <w:p>
      <w:pPr>
        <w:spacing w:line="360" w:lineRule="auto"/>
        <w:ind w:right="-34" w:firstLine="424" w:firstLineChars="202"/>
        <w:jc w:val="both"/>
        <w:rPr>
          <w:rFonts w:hAnsi="宋体"/>
          <w:sz w:val="21"/>
          <w:szCs w:val="21"/>
        </w:rPr>
      </w:pPr>
      <w:r>
        <w:rPr>
          <w:rFonts w:hAnsi="宋体"/>
          <w:sz w:val="21"/>
          <w:szCs w:val="21"/>
        </w:rPr>
        <w:t>联系人:林工</w:t>
      </w:r>
    </w:p>
    <w:p>
      <w:pPr>
        <w:spacing w:line="360" w:lineRule="auto"/>
        <w:ind w:right="-34" w:firstLine="424" w:firstLineChars="202"/>
        <w:jc w:val="both"/>
        <w:rPr>
          <w:rFonts w:hAnsi="宋体"/>
          <w:sz w:val="21"/>
          <w:szCs w:val="21"/>
        </w:rPr>
      </w:pPr>
      <w:r>
        <w:rPr>
          <w:rFonts w:hAnsi="宋体"/>
          <w:sz w:val="21"/>
          <w:szCs w:val="21"/>
        </w:rPr>
        <w:t>电话：</w:t>
      </w:r>
      <w:r>
        <w:rPr>
          <w:rFonts w:hint="eastAsia" w:hAnsi="宋体"/>
          <w:sz w:val="21"/>
          <w:szCs w:val="21"/>
        </w:rPr>
        <w:t>0769-28681293</w:t>
      </w:r>
    </w:p>
    <w:p>
      <w:pPr>
        <w:spacing w:line="360" w:lineRule="auto"/>
        <w:ind w:firstLine="422" w:firstLineChars="200"/>
        <w:jc w:val="right"/>
        <w:rPr>
          <w:b/>
          <w:sz w:val="21"/>
          <w:szCs w:val="21"/>
        </w:rPr>
      </w:pPr>
      <w:r>
        <w:rPr>
          <w:rFonts w:hint="eastAsia"/>
          <w:b/>
          <w:sz w:val="21"/>
          <w:szCs w:val="21"/>
        </w:rPr>
        <w:t>广东泰通伟业工程咨询有限公司</w:t>
      </w:r>
    </w:p>
    <w:p>
      <w:pPr>
        <w:spacing w:line="360" w:lineRule="auto"/>
        <w:ind w:right="-34" w:firstLine="426" w:firstLineChars="202"/>
        <w:jc w:val="right"/>
        <w:rPr>
          <w:rFonts w:hint="eastAsia" w:hAnsi="宋体" w:eastAsia="宋体"/>
          <w:sz w:val="21"/>
          <w:szCs w:val="21"/>
          <w:lang w:eastAsia="zh-CN"/>
        </w:rPr>
      </w:pPr>
      <w:r>
        <w:rPr>
          <w:rFonts w:hint="eastAsia" w:hAnsi="宋体"/>
          <w:b/>
          <w:sz w:val="21"/>
          <w:szCs w:val="21"/>
        </w:rPr>
        <w:t>二〇二〇年九</w:t>
      </w:r>
      <w:r>
        <w:rPr>
          <w:rFonts w:hint="eastAsia" w:hAnsi="宋体"/>
          <w:b/>
          <w:bCs/>
          <w:sz w:val="21"/>
          <w:szCs w:val="21"/>
        </w:rPr>
        <w:t>月</w:t>
      </w:r>
      <w:r>
        <w:rPr>
          <w:rFonts w:hint="eastAsia" w:hAnsi="宋体"/>
          <w:b/>
          <w:bCs/>
          <w:sz w:val="21"/>
          <w:szCs w:val="21"/>
          <w:lang w:eastAsia="zh-CN"/>
        </w:rPr>
        <w:t>三十日</w:t>
      </w:r>
      <w:bookmarkStart w:id="257" w:name="_GoBack"/>
      <w:bookmarkEnd w:id="257"/>
    </w:p>
    <w:p>
      <w:pPr>
        <w:pStyle w:val="3"/>
        <w:keepNext/>
        <w:keepLines/>
        <w:pageBreakBefore/>
        <w:numPr>
          <w:ilvl w:val="0"/>
          <w:numId w:val="10"/>
        </w:numPr>
        <w:tabs>
          <w:tab w:val="left" w:pos="1080"/>
        </w:tabs>
        <w:spacing w:line="360" w:lineRule="auto"/>
        <w:ind w:left="1262" w:hanging="1262" w:hangingChars="449"/>
        <w:jc w:val="center"/>
        <w:rPr>
          <w:rFonts w:hAnsi="宋体"/>
          <w:b/>
          <w:bCs/>
          <w:kern w:val="44"/>
          <w:sz w:val="28"/>
          <w:szCs w:val="28"/>
          <w:lang w:val="zh-CN"/>
        </w:rPr>
      </w:pPr>
      <w:bookmarkStart w:id="4" w:name="_Toc16634"/>
      <w:r>
        <w:rPr>
          <w:rFonts w:hint="eastAsia" w:hAnsi="宋体"/>
          <w:b/>
          <w:bCs/>
          <w:kern w:val="44"/>
          <w:sz w:val="28"/>
          <w:szCs w:val="28"/>
          <w:lang w:val="zh-CN"/>
        </w:rPr>
        <w:t>供应商须知</w:t>
      </w:r>
      <w:bookmarkEnd w:id="3"/>
      <w:bookmarkEnd w:id="4"/>
    </w:p>
    <w:p>
      <w:pPr>
        <w:pStyle w:val="4"/>
        <w:adjustRightInd/>
        <w:spacing w:line="360" w:lineRule="auto"/>
        <w:ind w:firstLine="562" w:firstLineChars="200"/>
        <w:jc w:val="center"/>
        <w:rPr>
          <w:sz w:val="28"/>
          <w:szCs w:val="28"/>
        </w:rPr>
      </w:pPr>
      <w:bookmarkStart w:id="5" w:name="_Toc507407359"/>
      <w:bookmarkStart w:id="6" w:name="_Toc12804"/>
      <w:bookmarkStart w:id="7" w:name="_Toc102277756"/>
      <w:bookmarkStart w:id="8" w:name="_Toc7897861"/>
      <w:bookmarkStart w:id="9" w:name="_Toc466786434"/>
      <w:bookmarkStart w:id="10" w:name="_Toc6882675"/>
      <w:bookmarkStart w:id="11" w:name="_Toc6968687"/>
      <w:r>
        <w:rPr>
          <w:rFonts w:hint="eastAsia"/>
          <w:sz w:val="28"/>
          <w:szCs w:val="28"/>
        </w:rPr>
        <w:t>一、说明</w:t>
      </w:r>
      <w:bookmarkEnd w:id="5"/>
      <w:bookmarkEnd w:id="6"/>
      <w:bookmarkEnd w:id="7"/>
      <w:bookmarkEnd w:id="8"/>
      <w:bookmarkEnd w:id="9"/>
      <w:bookmarkEnd w:id="10"/>
      <w:bookmarkEnd w:id="11"/>
    </w:p>
    <w:p>
      <w:pPr>
        <w:pStyle w:val="5"/>
        <w:adjustRightInd/>
        <w:spacing w:line="360" w:lineRule="auto"/>
        <w:ind w:firstLine="420" w:firstLineChars="200"/>
        <w:rPr>
          <w:rFonts w:hAnsi="宋体"/>
          <w:sz w:val="21"/>
          <w:szCs w:val="21"/>
        </w:rPr>
      </w:pPr>
      <w:bookmarkStart w:id="12" w:name="_Toc7897862"/>
      <w:bookmarkStart w:id="13" w:name="_Toc475249114"/>
      <w:bookmarkStart w:id="14" w:name="_Toc3730"/>
      <w:bookmarkStart w:id="15" w:name="_Toc24987"/>
      <w:r>
        <w:rPr>
          <w:rFonts w:hint="eastAsia" w:hAnsi="宋体"/>
          <w:sz w:val="21"/>
          <w:szCs w:val="21"/>
        </w:rPr>
        <w:t>1.适用范围</w:t>
      </w:r>
      <w:bookmarkEnd w:id="12"/>
      <w:bookmarkEnd w:id="13"/>
      <w:bookmarkEnd w:id="14"/>
      <w:bookmarkEnd w:id="15"/>
    </w:p>
    <w:p>
      <w:pPr>
        <w:spacing w:line="360" w:lineRule="auto"/>
        <w:ind w:firstLine="420" w:firstLineChars="200"/>
        <w:textAlignment w:val="baseline"/>
        <w:rPr>
          <w:rFonts w:hAnsi="宋体"/>
          <w:sz w:val="21"/>
          <w:szCs w:val="21"/>
        </w:rPr>
      </w:pPr>
      <w:r>
        <w:rPr>
          <w:rFonts w:hint="eastAsia" w:hAnsi="宋体"/>
          <w:sz w:val="21"/>
          <w:szCs w:val="21"/>
        </w:rPr>
        <w:t>1.1本磋商文件仅适用于本次磋商邀请中所叙述的项目。</w:t>
      </w:r>
    </w:p>
    <w:p>
      <w:pPr>
        <w:spacing w:line="360" w:lineRule="auto"/>
        <w:ind w:firstLine="420" w:firstLineChars="200"/>
        <w:textAlignment w:val="baseline"/>
        <w:rPr>
          <w:rFonts w:hAnsi="宋体"/>
          <w:sz w:val="21"/>
          <w:szCs w:val="21"/>
        </w:rPr>
      </w:pPr>
      <w:r>
        <w:rPr>
          <w:rFonts w:hint="eastAsia" w:hAnsi="宋体"/>
          <w:sz w:val="21"/>
          <w:szCs w:val="21"/>
        </w:rPr>
        <w:t>1.2本磋商文件的解释权在采购代理机构。</w:t>
      </w:r>
    </w:p>
    <w:p>
      <w:pPr>
        <w:pStyle w:val="5"/>
        <w:adjustRightInd/>
        <w:spacing w:line="360" w:lineRule="auto"/>
        <w:ind w:firstLine="420" w:firstLineChars="200"/>
        <w:rPr>
          <w:rFonts w:hAnsi="宋体"/>
          <w:sz w:val="21"/>
          <w:szCs w:val="21"/>
        </w:rPr>
      </w:pPr>
      <w:bookmarkStart w:id="16" w:name="_Toc598"/>
      <w:bookmarkStart w:id="17" w:name="_Toc9738"/>
      <w:bookmarkStart w:id="18" w:name="_Toc7897863"/>
      <w:bookmarkStart w:id="19" w:name="_Toc475249115"/>
      <w:r>
        <w:rPr>
          <w:rFonts w:hint="eastAsia" w:hAnsi="宋体"/>
          <w:sz w:val="21"/>
          <w:szCs w:val="21"/>
        </w:rPr>
        <w:t>2.定义</w:t>
      </w:r>
      <w:bookmarkEnd w:id="16"/>
      <w:bookmarkEnd w:id="17"/>
      <w:bookmarkEnd w:id="18"/>
      <w:bookmarkEnd w:id="19"/>
    </w:p>
    <w:p>
      <w:pPr>
        <w:spacing w:line="360" w:lineRule="auto"/>
        <w:ind w:firstLine="420" w:firstLineChars="200"/>
        <w:rPr>
          <w:rFonts w:hAnsi="宋体"/>
          <w:sz w:val="21"/>
          <w:szCs w:val="21"/>
        </w:rPr>
      </w:pPr>
      <w:r>
        <w:rPr>
          <w:rFonts w:hint="eastAsia" w:hAnsi="宋体"/>
          <w:sz w:val="21"/>
          <w:szCs w:val="21"/>
        </w:rPr>
        <w:t>2.1“采购人”是指东莞市东实旗云投资有限公司。</w:t>
      </w:r>
    </w:p>
    <w:p>
      <w:pPr>
        <w:spacing w:line="360" w:lineRule="auto"/>
        <w:ind w:firstLine="420" w:firstLineChars="200"/>
        <w:rPr>
          <w:rFonts w:hAnsi="宋体"/>
          <w:b/>
          <w:sz w:val="21"/>
          <w:szCs w:val="21"/>
        </w:rPr>
      </w:pPr>
      <w:r>
        <w:rPr>
          <w:rFonts w:hint="eastAsia" w:hAnsi="宋体"/>
          <w:sz w:val="21"/>
          <w:szCs w:val="21"/>
        </w:rPr>
        <w:t>2.2“采购代理机构”是指广东泰通伟业工程咨询有限公司。</w:t>
      </w:r>
    </w:p>
    <w:p>
      <w:pPr>
        <w:spacing w:line="360" w:lineRule="auto"/>
        <w:ind w:firstLine="420" w:firstLineChars="200"/>
        <w:rPr>
          <w:rFonts w:hAnsi="宋体"/>
          <w:sz w:val="21"/>
          <w:szCs w:val="21"/>
        </w:rPr>
      </w:pPr>
      <w:r>
        <w:rPr>
          <w:rFonts w:hint="eastAsia" w:hAnsi="宋体"/>
          <w:sz w:val="21"/>
          <w:szCs w:val="21"/>
        </w:rPr>
        <w:t>2.3“供应商”指向采购代理机构提交响应文件的法人。</w:t>
      </w:r>
    </w:p>
    <w:p>
      <w:pPr>
        <w:spacing w:line="360" w:lineRule="auto"/>
        <w:ind w:firstLine="420" w:firstLineChars="200"/>
        <w:rPr>
          <w:rFonts w:hAnsi="宋体"/>
          <w:sz w:val="21"/>
          <w:szCs w:val="21"/>
        </w:rPr>
      </w:pPr>
      <w:r>
        <w:rPr>
          <w:rFonts w:hint="eastAsia" w:hAnsi="宋体"/>
          <w:sz w:val="21"/>
          <w:szCs w:val="21"/>
        </w:rPr>
        <w:t>2.4 货物：卖方按磋商文件规定向买方提供的货物。</w:t>
      </w:r>
    </w:p>
    <w:p>
      <w:pPr>
        <w:spacing w:line="360" w:lineRule="auto"/>
        <w:ind w:firstLine="420" w:firstLineChars="200"/>
        <w:rPr>
          <w:rFonts w:hAnsi="宋体"/>
          <w:sz w:val="21"/>
          <w:szCs w:val="21"/>
        </w:rPr>
      </w:pPr>
      <w:r>
        <w:rPr>
          <w:rFonts w:hint="eastAsia" w:hAnsi="宋体"/>
          <w:sz w:val="21"/>
          <w:szCs w:val="21"/>
        </w:rPr>
        <w:t>2.5 服务：磋商文件规定卖方必须承担的咨询、技术协助、培训及其它相关义务。</w:t>
      </w:r>
    </w:p>
    <w:p>
      <w:pPr>
        <w:spacing w:line="360" w:lineRule="auto"/>
        <w:ind w:firstLine="420" w:firstLineChars="200"/>
        <w:rPr>
          <w:rFonts w:hAnsi="宋体"/>
          <w:sz w:val="21"/>
          <w:szCs w:val="21"/>
        </w:rPr>
      </w:pPr>
      <w:r>
        <w:rPr>
          <w:rFonts w:hint="eastAsia" w:hAnsi="宋体"/>
          <w:sz w:val="21"/>
          <w:szCs w:val="21"/>
        </w:rPr>
        <w:t>2.6 语言：采购文件的语言为简体中文。</w:t>
      </w:r>
    </w:p>
    <w:p>
      <w:pPr>
        <w:spacing w:line="360" w:lineRule="auto"/>
        <w:ind w:firstLine="420" w:firstLineChars="200"/>
        <w:rPr>
          <w:rFonts w:hAnsi="宋体"/>
          <w:sz w:val="21"/>
          <w:szCs w:val="21"/>
        </w:rPr>
      </w:pPr>
      <w:r>
        <w:rPr>
          <w:rFonts w:hint="eastAsia" w:hAnsi="宋体"/>
          <w:sz w:val="21"/>
          <w:szCs w:val="21"/>
        </w:rPr>
        <w:t>2.7 日期：指公历日。</w:t>
      </w:r>
    </w:p>
    <w:p>
      <w:pPr>
        <w:spacing w:line="360" w:lineRule="auto"/>
        <w:ind w:firstLine="420" w:firstLineChars="200"/>
        <w:rPr>
          <w:rFonts w:hAnsi="宋体"/>
          <w:sz w:val="21"/>
          <w:szCs w:val="21"/>
        </w:rPr>
      </w:pPr>
      <w:r>
        <w:rPr>
          <w:rFonts w:hint="eastAsia" w:hAnsi="宋体"/>
          <w:sz w:val="21"/>
          <w:szCs w:val="21"/>
        </w:rPr>
        <w:t>2.8 时间：指北京时间。</w:t>
      </w:r>
    </w:p>
    <w:p>
      <w:pPr>
        <w:pStyle w:val="5"/>
        <w:adjustRightInd/>
        <w:spacing w:line="360" w:lineRule="auto"/>
        <w:ind w:firstLine="420" w:firstLineChars="200"/>
        <w:rPr>
          <w:rFonts w:hAnsi="宋体"/>
          <w:sz w:val="21"/>
          <w:szCs w:val="21"/>
        </w:rPr>
      </w:pPr>
      <w:bookmarkStart w:id="20" w:name="_Toc24709"/>
      <w:bookmarkStart w:id="21" w:name="_Toc110953831"/>
      <w:bookmarkStart w:id="22" w:name="_Toc367"/>
      <w:bookmarkStart w:id="23" w:name="_Toc7897864"/>
      <w:bookmarkStart w:id="24" w:name="_Toc466786435"/>
      <w:bookmarkStart w:id="25" w:name="_Toc6882676"/>
      <w:bookmarkStart w:id="26" w:name="_Toc102277757"/>
      <w:bookmarkStart w:id="27" w:name="_Toc507407360"/>
      <w:bookmarkStart w:id="28" w:name="_Toc6968688"/>
      <w:r>
        <w:rPr>
          <w:rFonts w:hint="eastAsia" w:hAnsi="宋体"/>
          <w:sz w:val="21"/>
          <w:szCs w:val="21"/>
        </w:rPr>
        <w:t>3.适用法律</w:t>
      </w:r>
      <w:bookmarkEnd w:id="20"/>
      <w:bookmarkEnd w:id="21"/>
      <w:bookmarkEnd w:id="22"/>
      <w:bookmarkEnd w:id="23"/>
    </w:p>
    <w:p>
      <w:pPr>
        <w:spacing w:line="360" w:lineRule="auto"/>
        <w:ind w:firstLine="420" w:firstLineChars="200"/>
        <w:rPr>
          <w:rFonts w:hAnsi="宋体"/>
          <w:sz w:val="21"/>
          <w:szCs w:val="21"/>
        </w:rPr>
      </w:pPr>
      <w:r>
        <w:rPr>
          <w:rFonts w:hint="eastAsia" w:hAnsi="宋体"/>
          <w:sz w:val="21"/>
          <w:szCs w:val="21"/>
        </w:rPr>
        <w:t>采购人、供应商和采购代理机构均应当参照东莞市东实旗云投资有限公司相关采购规定执行。</w:t>
      </w:r>
    </w:p>
    <w:p>
      <w:pPr>
        <w:pStyle w:val="5"/>
        <w:adjustRightInd/>
        <w:spacing w:line="360" w:lineRule="auto"/>
        <w:ind w:firstLine="420" w:firstLineChars="200"/>
        <w:rPr>
          <w:rFonts w:hAnsi="宋体"/>
          <w:sz w:val="21"/>
          <w:szCs w:val="21"/>
          <w:lang w:val="zh-CN"/>
        </w:rPr>
      </w:pPr>
      <w:bookmarkStart w:id="29" w:name="_Toc20707"/>
      <w:bookmarkStart w:id="30" w:name="_Toc110953833"/>
      <w:bookmarkStart w:id="31" w:name="_Toc10397"/>
      <w:bookmarkStart w:id="32" w:name="_Toc7897866"/>
      <w:r>
        <w:rPr>
          <w:rFonts w:hint="eastAsia" w:hAnsi="宋体"/>
          <w:sz w:val="21"/>
          <w:szCs w:val="21"/>
          <w:lang w:val="zh-CN"/>
        </w:rPr>
        <w:t>4</w:t>
      </w:r>
      <w:r>
        <w:rPr>
          <w:rFonts w:hint="eastAsia" w:hAnsi="宋体"/>
          <w:sz w:val="21"/>
          <w:szCs w:val="21"/>
        </w:rPr>
        <w:t>.</w:t>
      </w:r>
      <w:r>
        <w:rPr>
          <w:rFonts w:hint="eastAsia" w:hAnsi="宋体"/>
          <w:sz w:val="21"/>
          <w:szCs w:val="21"/>
          <w:lang w:val="zh-CN"/>
        </w:rPr>
        <w:t>本项目不接受联合体磋商。</w:t>
      </w:r>
      <w:bookmarkEnd w:id="29"/>
    </w:p>
    <w:p>
      <w:pPr>
        <w:pStyle w:val="5"/>
        <w:adjustRightInd/>
        <w:spacing w:line="360" w:lineRule="auto"/>
        <w:ind w:firstLine="420" w:firstLineChars="200"/>
        <w:rPr>
          <w:rFonts w:hAnsi="宋体"/>
          <w:bCs/>
          <w:sz w:val="21"/>
          <w:szCs w:val="21"/>
        </w:rPr>
      </w:pPr>
      <w:bookmarkStart w:id="33" w:name="_Toc10368"/>
      <w:r>
        <w:rPr>
          <w:rFonts w:hint="eastAsia" w:hAnsi="宋体"/>
          <w:sz w:val="21"/>
          <w:szCs w:val="21"/>
        </w:rPr>
        <w:t>5.禁止事项</w:t>
      </w:r>
      <w:bookmarkEnd w:id="30"/>
      <w:bookmarkEnd w:id="31"/>
      <w:bookmarkEnd w:id="32"/>
      <w:bookmarkEnd w:id="33"/>
    </w:p>
    <w:p>
      <w:pPr>
        <w:spacing w:line="360" w:lineRule="auto"/>
        <w:ind w:firstLine="420" w:firstLineChars="200"/>
        <w:rPr>
          <w:rFonts w:hAnsi="宋体"/>
          <w:sz w:val="21"/>
          <w:szCs w:val="21"/>
        </w:rPr>
      </w:pPr>
      <w:bookmarkStart w:id="34" w:name="_Toc98126293"/>
      <w:bookmarkStart w:id="35" w:name="_Toc98126218"/>
      <w:r>
        <w:rPr>
          <w:rFonts w:hint="eastAsia" w:hAnsi="宋体"/>
          <w:sz w:val="21"/>
          <w:szCs w:val="21"/>
        </w:rPr>
        <w:t>5.1采购人、供应商和采购代理机构不得相互串通损害国家利益、社会公共利益和其他当事人的合法权益。</w:t>
      </w:r>
    </w:p>
    <w:p>
      <w:pPr>
        <w:spacing w:line="360" w:lineRule="auto"/>
        <w:ind w:firstLine="420" w:firstLineChars="200"/>
        <w:rPr>
          <w:rFonts w:hAnsi="宋体"/>
          <w:sz w:val="21"/>
          <w:szCs w:val="21"/>
        </w:rPr>
      </w:pPr>
      <w:r>
        <w:rPr>
          <w:rFonts w:hint="eastAsia" w:hAnsi="宋体"/>
          <w:sz w:val="21"/>
          <w:szCs w:val="21"/>
        </w:rPr>
        <w:t>5.2供应商不得向采购人、采购代理机构、磋商小组的组成人员行贿或者采取其他不正当手段谋取成交。</w:t>
      </w:r>
      <w:bookmarkEnd w:id="34"/>
      <w:bookmarkEnd w:id="35"/>
    </w:p>
    <w:p>
      <w:pPr>
        <w:spacing w:line="360" w:lineRule="auto"/>
        <w:ind w:firstLine="420" w:firstLineChars="200"/>
        <w:rPr>
          <w:rFonts w:hAnsi="宋体"/>
          <w:sz w:val="21"/>
          <w:szCs w:val="21"/>
        </w:rPr>
      </w:pPr>
      <w:bookmarkStart w:id="36" w:name="_Toc98126294"/>
      <w:bookmarkStart w:id="37" w:name="_Toc98126219"/>
      <w:r>
        <w:rPr>
          <w:rFonts w:hint="eastAsia" w:hAnsi="宋体"/>
          <w:sz w:val="21"/>
          <w:szCs w:val="21"/>
        </w:rPr>
        <w:t>5.3采购代理机构不得向采购人行贿或者采取其他不正当手段谋取非法利益。</w:t>
      </w:r>
      <w:bookmarkEnd w:id="36"/>
      <w:bookmarkEnd w:id="37"/>
    </w:p>
    <w:p>
      <w:pPr>
        <w:spacing w:line="360" w:lineRule="auto"/>
        <w:ind w:firstLine="420" w:firstLineChars="200"/>
        <w:rPr>
          <w:rFonts w:hAnsi="宋体"/>
          <w:sz w:val="21"/>
          <w:szCs w:val="21"/>
        </w:rPr>
      </w:pPr>
      <w:bookmarkStart w:id="38" w:name="_Toc98126220"/>
      <w:bookmarkStart w:id="39" w:name="_Toc98126295"/>
      <w:r>
        <w:rPr>
          <w:rFonts w:hint="eastAsia" w:hAnsi="宋体"/>
          <w:sz w:val="21"/>
          <w:szCs w:val="21"/>
        </w:rPr>
        <w:t>5.4除供应商被要求对响应文件进行质疑澄清外，从开启响应文件之时起至授予合同止，供应商不得就与其响应文件有关的事项主动与磋商小组、采购人以及采购代理机构接触。</w:t>
      </w:r>
      <w:bookmarkEnd w:id="38"/>
      <w:bookmarkEnd w:id="39"/>
    </w:p>
    <w:p>
      <w:pPr>
        <w:pStyle w:val="5"/>
        <w:adjustRightInd/>
        <w:spacing w:line="360" w:lineRule="auto"/>
        <w:ind w:firstLine="420" w:firstLineChars="200"/>
        <w:rPr>
          <w:rFonts w:hAnsi="宋体"/>
          <w:bCs/>
          <w:sz w:val="21"/>
          <w:szCs w:val="21"/>
        </w:rPr>
      </w:pPr>
      <w:bookmarkStart w:id="40" w:name="_Toc2863"/>
      <w:bookmarkStart w:id="41" w:name="_Toc110953834"/>
      <w:bookmarkStart w:id="42" w:name="_Toc7897867"/>
      <w:bookmarkStart w:id="43" w:name="_Toc25870"/>
      <w:r>
        <w:rPr>
          <w:rFonts w:hint="eastAsia" w:hAnsi="宋体"/>
          <w:sz w:val="21"/>
          <w:szCs w:val="21"/>
        </w:rPr>
        <w:t>6.保密及其它注意事项</w:t>
      </w:r>
      <w:bookmarkEnd w:id="40"/>
      <w:bookmarkEnd w:id="41"/>
      <w:bookmarkEnd w:id="42"/>
      <w:bookmarkEnd w:id="43"/>
    </w:p>
    <w:p>
      <w:pPr>
        <w:spacing w:line="360" w:lineRule="auto"/>
        <w:ind w:firstLine="420" w:firstLineChars="200"/>
        <w:rPr>
          <w:rFonts w:hAnsi="宋体"/>
          <w:sz w:val="21"/>
          <w:szCs w:val="21"/>
        </w:rPr>
      </w:pPr>
      <w:bookmarkStart w:id="44" w:name="_Toc98126297"/>
      <w:bookmarkStart w:id="45" w:name="_Toc98126222"/>
      <w:r>
        <w:rPr>
          <w:rFonts w:hint="eastAsia" w:hAnsi="宋体"/>
          <w:sz w:val="21"/>
          <w:szCs w:val="21"/>
        </w:rPr>
        <w:t>6.1凡参与采购工作的有关人员均应自觉接受有关主管部门的监督，不得向他人透露可能影响公平竞争的有关情况。</w:t>
      </w:r>
      <w:bookmarkEnd w:id="44"/>
      <w:bookmarkEnd w:id="45"/>
    </w:p>
    <w:p>
      <w:pPr>
        <w:spacing w:line="360" w:lineRule="auto"/>
        <w:ind w:firstLine="420" w:firstLineChars="200"/>
        <w:rPr>
          <w:rFonts w:hAnsi="宋体"/>
          <w:sz w:val="21"/>
          <w:szCs w:val="21"/>
        </w:rPr>
      </w:pPr>
      <w:r>
        <w:rPr>
          <w:rFonts w:hint="eastAsia" w:hAnsi="宋体"/>
          <w:sz w:val="21"/>
          <w:szCs w:val="21"/>
        </w:rPr>
        <w:t>6.2开启响应文件后，直至向成交供应商发出《成交通知书》止，凡与审查、澄清、评估和比较有关资料以及评审意见等，均不得向供应商及与评审无关的其他人透露。在采购工作结束后，与评审情况有接触的任何人，不得将评审情况扩散出磋商小组人员之外。</w:t>
      </w:r>
    </w:p>
    <w:p>
      <w:pPr>
        <w:spacing w:line="360" w:lineRule="auto"/>
        <w:ind w:firstLine="420" w:firstLineChars="200"/>
        <w:rPr>
          <w:rFonts w:hAnsi="宋体"/>
          <w:sz w:val="21"/>
          <w:szCs w:val="21"/>
        </w:rPr>
      </w:pPr>
      <w:r>
        <w:rPr>
          <w:rFonts w:hint="eastAsia" w:hAnsi="宋体"/>
          <w:sz w:val="21"/>
          <w:szCs w:val="21"/>
        </w:rPr>
        <w:t>6.3在评审期间，供应商不得向磋商小组成员询问评审情况，不得进行旨在影响评审结果的活动。</w:t>
      </w:r>
    </w:p>
    <w:p>
      <w:pPr>
        <w:spacing w:line="360" w:lineRule="auto"/>
        <w:ind w:firstLine="420" w:firstLineChars="200"/>
        <w:rPr>
          <w:rFonts w:hAnsi="宋体"/>
          <w:sz w:val="21"/>
          <w:szCs w:val="21"/>
        </w:rPr>
      </w:pPr>
      <w:r>
        <w:rPr>
          <w:rFonts w:hint="eastAsia" w:hAnsi="宋体"/>
          <w:sz w:val="21"/>
          <w:szCs w:val="21"/>
        </w:rPr>
        <w:t>6.4磋商小组不向未成交供应商解释落选原因，不退还响应文件。</w:t>
      </w:r>
    </w:p>
    <w:p>
      <w:pPr>
        <w:spacing w:line="360" w:lineRule="auto"/>
        <w:ind w:firstLine="420" w:firstLineChars="200"/>
        <w:rPr>
          <w:rFonts w:hAnsi="宋体"/>
          <w:sz w:val="21"/>
          <w:szCs w:val="21"/>
        </w:rPr>
      </w:pPr>
      <w:r>
        <w:rPr>
          <w:rFonts w:hint="eastAsia" w:hAnsi="宋体"/>
          <w:sz w:val="21"/>
          <w:szCs w:val="21"/>
        </w:rPr>
        <w:t>6.5所有供应商自行承担与响应有关的全部费用。采购人和采购代理机构在任何情况下均不承担该费用。</w:t>
      </w:r>
    </w:p>
    <w:p>
      <w:pPr>
        <w:pStyle w:val="5"/>
        <w:adjustRightInd/>
        <w:spacing w:line="360" w:lineRule="auto"/>
        <w:ind w:firstLine="420" w:firstLineChars="200"/>
        <w:rPr>
          <w:rFonts w:hAnsi="宋体"/>
          <w:sz w:val="21"/>
          <w:szCs w:val="21"/>
        </w:rPr>
      </w:pPr>
      <w:bookmarkStart w:id="46" w:name="_Toc7897868"/>
      <w:bookmarkStart w:id="47" w:name="_Toc497016085"/>
      <w:bookmarkStart w:id="48" w:name="_Toc13371"/>
      <w:bookmarkStart w:id="49" w:name="_Toc27298"/>
      <w:r>
        <w:rPr>
          <w:rFonts w:hint="eastAsia" w:hAnsi="宋体"/>
          <w:sz w:val="21"/>
          <w:szCs w:val="21"/>
        </w:rPr>
        <w:t>7.供应商诚信管理</w:t>
      </w:r>
      <w:bookmarkEnd w:id="46"/>
      <w:bookmarkEnd w:id="47"/>
      <w:bookmarkEnd w:id="48"/>
      <w:bookmarkEnd w:id="49"/>
    </w:p>
    <w:p>
      <w:pPr>
        <w:spacing w:line="360" w:lineRule="auto"/>
        <w:ind w:firstLine="420" w:firstLineChars="200"/>
        <w:rPr>
          <w:rFonts w:hAnsi="宋体"/>
          <w:sz w:val="21"/>
          <w:szCs w:val="21"/>
        </w:rPr>
      </w:pPr>
      <w:r>
        <w:rPr>
          <w:rFonts w:hint="eastAsia" w:hAnsi="宋体"/>
          <w:sz w:val="21"/>
          <w:szCs w:val="21"/>
        </w:rPr>
        <w:t>7.1供应商在本磋商项目的竞争中应自觉遵循诚实信用原则，不得存在腐败、欺诈或其他严重违背诚信原则的行为。“腐败行为”是指提供、给予任何有价值的东西来影响采购人员在采购过程或合同实施过程中的行为；“欺诈行为”是指为了影响采购过程或合同实施过程而谎报、隐瞒事实，损害采购人的利益，包括供应商之间串通响应（递交响应书之前或之后），人为地使响应丧失竞争性，损害采购人从公开竞争中所能获得的权益。</w:t>
      </w:r>
    </w:p>
    <w:p>
      <w:pPr>
        <w:spacing w:line="360" w:lineRule="auto"/>
        <w:ind w:firstLine="420" w:firstLineChars="200"/>
        <w:rPr>
          <w:rFonts w:hAnsi="宋体"/>
          <w:sz w:val="21"/>
          <w:szCs w:val="21"/>
        </w:rPr>
      </w:pPr>
      <w:r>
        <w:rPr>
          <w:rFonts w:hint="eastAsia" w:hAnsi="宋体"/>
          <w:sz w:val="21"/>
          <w:szCs w:val="21"/>
        </w:rPr>
        <w:t>7.2如果采购人或采购代理机构有证据表明供应商在本磋商项目的竞争中存在腐败、欺诈或其他严重违背诚信原则的行为，则将拒绝其响应。</w:t>
      </w:r>
    </w:p>
    <w:p>
      <w:pPr>
        <w:spacing w:line="360" w:lineRule="auto"/>
        <w:rPr>
          <w:rFonts w:hAnsi="宋体"/>
          <w:sz w:val="21"/>
          <w:szCs w:val="21"/>
        </w:rPr>
      </w:pPr>
    </w:p>
    <w:p>
      <w:pPr>
        <w:pStyle w:val="4"/>
        <w:adjustRightInd/>
        <w:spacing w:line="360" w:lineRule="auto"/>
        <w:ind w:firstLine="562" w:firstLineChars="200"/>
        <w:jc w:val="center"/>
        <w:rPr>
          <w:sz w:val="28"/>
          <w:szCs w:val="28"/>
        </w:rPr>
      </w:pPr>
      <w:bookmarkStart w:id="50" w:name="_Toc23741"/>
      <w:bookmarkStart w:id="51" w:name="_Toc7897869"/>
      <w:r>
        <w:rPr>
          <w:rFonts w:hint="eastAsia"/>
          <w:sz w:val="28"/>
          <w:szCs w:val="28"/>
        </w:rPr>
        <w:t>二、磋商文件说明</w:t>
      </w:r>
      <w:bookmarkEnd w:id="24"/>
      <w:bookmarkEnd w:id="25"/>
      <w:bookmarkEnd w:id="26"/>
      <w:bookmarkEnd w:id="27"/>
      <w:bookmarkEnd w:id="28"/>
      <w:bookmarkEnd w:id="50"/>
      <w:bookmarkEnd w:id="51"/>
    </w:p>
    <w:p>
      <w:pPr>
        <w:pStyle w:val="5"/>
        <w:adjustRightInd/>
        <w:spacing w:line="360" w:lineRule="auto"/>
        <w:ind w:firstLine="420" w:firstLineChars="200"/>
        <w:rPr>
          <w:rFonts w:hAnsi="宋体"/>
          <w:sz w:val="21"/>
          <w:szCs w:val="21"/>
        </w:rPr>
      </w:pPr>
      <w:bookmarkStart w:id="52" w:name="_Toc29560"/>
      <w:bookmarkStart w:id="53" w:name="_Toc23606"/>
      <w:bookmarkStart w:id="54" w:name="_Toc7897870"/>
      <w:bookmarkStart w:id="55" w:name="_Toc110953836"/>
      <w:bookmarkStart w:id="56" w:name="_Toc6968689"/>
      <w:bookmarkStart w:id="57" w:name="_Toc466786436"/>
      <w:bookmarkStart w:id="58" w:name="_Toc507407361"/>
      <w:bookmarkStart w:id="59" w:name="_Toc6882677"/>
      <w:bookmarkStart w:id="60" w:name="_Toc102277758"/>
      <w:r>
        <w:rPr>
          <w:rFonts w:hint="eastAsia" w:hAnsi="宋体"/>
          <w:sz w:val="21"/>
          <w:szCs w:val="21"/>
        </w:rPr>
        <w:t>8.磋商文件构成</w:t>
      </w:r>
      <w:bookmarkEnd w:id="52"/>
      <w:bookmarkEnd w:id="53"/>
      <w:bookmarkEnd w:id="54"/>
      <w:bookmarkEnd w:id="55"/>
    </w:p>
    <w:p>
      <w:pPr>
        <w:spacing w:line="360" w:lineRule="auto"/>
        <w:ind w:firstLine="420" w:firstLineChars="200"/>
        <w:rPr>
          <w:rFonts w:hAnsi="宋体"/>
          <w:sz w:val="21"/>
          <w:szCs w:val="21"/>
        </w:rPr>
      </w:pPr>
      <w:r>
        <w:rPr>
          <w:rFonts w:hint="eastAsia" w:hAnsi="宋体"/>
          <w:sz w:val="21"/>
          <w:szCs w:val="21"/>
        </w:rPr>
        <w:t>8.1磋商文件用以阐明项目情况、评审程序、评审办法、定标标准和合同条款参考范本和响应文件的制作等，由磋商邀请书、采购需求、供应商须知、响应文件格式和合同范本构成。</w:t>
      </w:r>
    </w:p>
    <w:p>
      <w:pPr>
        <w:pStyle w:val="5"/>
        <w:adjustRightInd/>
        <w:spacing w:line="360" w:lineRule="auto"/>
        <w:ind w:firstLine="420" w:firstLineChars="200"/>
        <w:rPr>
          <w:rFonts w:hAnsi="宋体"/>
          <w:sz w:val="21"/>
          <w:szCs w:val="21"/>
        </w:rPr>
      </w:pPr>
      <w:bookmarkStart w:id="61" w:name="_Toc7897871"/>
      <w:bookmarkStart w:id="62" w:name="_Toc110953837"/>
      <w:bookmarkStart w:id="63" w:name="_Toc19701"/>
      <w:bookmarkStart w:id="64" w:name="_Toc16827"/>
      <w:r>
        <w:rPr>
          <w:rFonts w:hint="eastAsia" w:hAnsi="宋体"/>
          <w:sz w:val="21"/>
          <w:szCs w:val="21"/>
        </w:rPr>
        <w:t>9.磋商文件的修改</w:t>
      </w:r>
      <w:bookmarkEnd w:id="61"/>
      <w:bookmarkEnd w:id="62"/>
      <w:bookmarkEnd w:id="63"/>
      <w:bookmarkEnd w:id="64"/>
    </w:p>
    <w:p>
      <w:pPr>
        <w:spacing w:line="360" w:lineRule="auto"/>
        <w:ind w:firstLine="420" w:firstLineChars="200"/>
        <w:rPr>
          <w:rFonts w:hAnsi="宋体"/>
          <w:sz w:val="21"/>
          <w:szCs w:val="21"/>
        </w:rPr>
      </w:pPr>
      <w:r>
        <w:rPr>
          <w:rFonts w:hint="eastAsia" w:hAnsi="宋体"/>
          <w:sz w:val="21"/>
          <w:szCs w:val="21"/>
        </w:rPr>
        <w:t>9.1提交首次响应文件截止之日前，采购人、采购代理机构或者磋商小组可以对已发出的磋商文件进行必要的澄清或者修改，澄清或者修改的内容作为磋商文件的组成部分。澄清或者修改的内容可能影响响应文件编制的，将在提交首次响应文件截止时间5日前以书面形式通知所有获取磋商文件的供应商。</w:t>
      </w:r>
    </w:p>
    <w:p>
      <w:pPr>
        <w:spacing w:line="360" w:lineRule="auto"/>
        <w:ind w:firstLine="420" w:firstLineChars="200"/>
        <w:rPr>
          <w:rFonts w:hAnsi="宋体"/>
          <w:sz w:val="21"/>
          <w:szCs w:val="21"/>
        </w:rPr>
      </w:pPr>
      <w:r>
        <w:rPr>
          <w:rFonts w:hint="eastAsia" w:hAnsi="宋体"/>
          <w:sz w:val="21"/>
          <w:szCs w:val="21"/>
        </w:rPr>
        <w:t>9.2如果修改的时间距响应文件递交截止时间不足5日的，将相应顺延递交首次响应文件截止时间。</w:t>
      </w:r>
    </w:p>
    <w:p>
      <w:pPr>
        <w:pStyle w:val="13"/>
        <w:ind w:firstLine="400"/>
      </w:pPr>
    </w:p>
    <w:bookmarkEnd w:id="56"/>
    <w:bookmarkEnd w:id="57"/>
    <w:bookmarkEnd w:id="58"/>
    <w:bookmarkEnd w:id="59"/>
    <w:bookmarkEnd w:id="60"/>
    <w:p>
      <w:pPr>
        <w:pStyle w:val="4"/>
        <w:adjustRightInd/>
        <w:spacing w:line="360" w:lineRule="auto"/>
        <w:ind w:firstLine="562" w:firstLineChars="200"/>
        <w:jc w:val="center"/>
        <w:rPr>
          <w:sz w:val="28"/>
          <w:szCs w:val="28"/>
        </w:rPr>
      </w:pPr>
      <w:bookmarkStart w:id="65" w:name="_Toc7897872"/>
      <w:bookmarkStart w:id="66" w:name="_Toc15398"/>
      <w:bookmarkStart w:id="67" w:name="_Toc110953838"/>
      <w:bookmarkStart w:id="68" w:name="_Toc466786437"/>
      <w:bookmarkStart w:id="69" w:name="_Toc6882678"/>
      <w:bookmarkStart w:id="70" w:name="_Toc6968690"/>
      <w:bookmarkStart w:id="71" w:name="_Toc102277759"/>
      <w:bookmarkStart w:id="72" w:name="_Toc507407362"/>
      <w:r>
        <w:rPr>
          <w:rFonts w:hint="eastAsia"/>
          <w:sz w:val="28"/>
          <w:szCs w:val="28"/>
        </w:rPr>
        <w:t>三、响应文件的制作</w:t>
      </w:r>
      <w:bookmarkEnd w:id="65"/>
      <w:bookmarkEnd w:id="66"/>
      <w:bookmarkEnd w:id="67"/>
    </w:p>
    <w:p>
      <w:pPr>
        <w:pStyle w:val="5"/>
        <w:adjustRightInd/>
        <w:spacing w:line="360" w:lineRule="auto"/>
        <w:ind w:firstLine="420" w:firstLineChars="200"/>
        <w:rPr>
          <w:rFonts w:hAnsi="宋体"/>
          <w:sz w:val="21"/>
          <w:szCs w:val="21"/>
        </w:rPr>
      </w:pPr>
      <w:bookmarkStart w:id="73" w:name="_Toc23789"/>
      <w:bookmarkStart w:id="74" w:name="_Toc7897873"/>
      <w:bookmarkStart w:id="75" w:name="_Toc15756"/>
      <w:bookmarkStart w:id="76" w:name="_Toc110953839"/>
      <w:r>
        <w:rPr>
          <w:rFonts w:hint="eastAsia" w:hAnsi="宋体"/>
          <w:sz w:val="21"/>
          <w:szCs w:val="21"/>
        </w:rPr>
        <w:t>10.制作要求</w:t>
      </w:r>
      <w:bookmarkEnd w:id="73"/>
      <w:bookmarkEnd w:id="74"/>
      <w:bookmarkEnd w:id="75"/>
      <w:bookmarkEnd w:id="76"/>
    </w:p>
    <w:p>
      <w:pPr>
        <w:spacing w:line="360" w:lineRule="auto"/>
        <w:ind w:firstLine="420" w:firstLineChars="200"/>
        <w:rPr>
          <w:rFonts w:hAnsi="宋体"/>
          <w:sz w:val="21"/>
          <w:szCs w:val="21"/>
        </w:rPr>
      </w:pPr>
      <w:r>
        <w:rPr>
          <w:rFonts w:hint="eastAsia" w:hAnsi="宋体"/>
          <w:sz w:val="21"/>
          <w:szCs w:val="21"/>
        </w:rPr>
        <w:t>10.1供应商应当仔细阅读磋商文件的所有内容，按磋商文件的要求提供响应文件，并保证所提供的全部资料的真实性及对磋商文件作出实质性响应。</w:t>
      </w:r>
    </w:p>
    <w:p>
      <w:pPr>
        <w:spacing w:line="360" w:lineRule="auto"/>
        <w:ind w:firstLine="420" w:firstLineChars="200"/>
        <w:rPr>
          <w:rFonts w:hAnsi="宋体"/>
          <w:sz w:val="21"/>
          <w:szCs w:val="21"/>
        </w:rPr>
      </w:pPr>
      <w:r>
        <w:rPr>
          <w:rFonts w:hint="eastAsia" w:hAnsi="宋体"/>
          <w:sz w:val="21"/>
          <w:szCs w:val="21"/>
        </w:rPr>
        <w:t>10.2供应商应按磋商文件中提供的响应文件格式制作响应文件。如有关表格不能满足填报需要，可以对表格格式作出相应调整，但不得更改表格的实质性内容。</w:t>
      </w:r>
    </w:p>
    <w:p>
      <w:pPr>
        <w:spacing w:line="360" w:lineRule="auto"/>
        <w:ind w:firstLine="420" w:firstLineChars="200"/>
        <w:rPr>
          <w:rFonts w:hAnsi="宋体"/>
          <w:sz w:val="21"/>
          <w:szCs w:val="21"/>
        </w:rPr>
      </w:pPr>
      <w:r>
        <w:rPr>
          <w:rFonts w:hint="eastAsia" w:hAnsi="宋体"/>
          <w:sz w:val="21"/>
          <w:szCs w:val="21"/>
        </w:rPr>
        <w:t>10.</w:t>
      </w:r>
      <w:r>
        <w:rPr>
          <w:rFonts w:hint="eastAsia" w:hAnsi="宋体"/>
          <w:b/>
          <w:sz w:val="21"/>
          <w:szCs w:val="21"/>
        </w:rPr>
        <w:t>3供应商应提供正本一份、副本三份、唱标信封一份。</w:t>
      </w:r>
      <w:r>
        <w:rPr>
          <w:rFonts w:hint="eastAsia" w:hAnsi="宋体"/>
          <w:sz w:val="21"/>
          <w:szCs w:val="21"/>
        </w:rPr>
        <w:t>在每一份响应文件上要明确注明“正本”、“副本”或“唱标信封”字样，一旦正本和副本有差异，以正本为准。</w:t>
      </w:r>
    </w:p>
    <w:p>
      <w:pPr>
        <w:spacing w:line="360" w:lineRule="auto"/>
        <w:ind w:firstLine="420" w:firstLineChars="200"/>
        <w:rPr>
          <w:rFonts w:hAnsi="宋体"/>
          <w:sz w:val="21"/>
          <w:szCs w:val="21"/>
        </w:rPr>
      </w:pPr>
      <w:r>
        <w:rPr>
          <w:rFonts w:hint="eastAsia" w:hAnsi="宋体"/>
          <w:sz w:val="21"/>
          <w:szCs w:val="21"/>
        </w:rPr>
        <w:t>10.4响应文件的正本必须打印，并由供应商的法定代表人或经正式授权对供应商有约束力的委托代理人在响应文件上签字并加盖公章。委托代理人必须出具书面形式的《授权委托书》并附在响应文件中。响应文件的副本可采用正本的复印件。</w:t>
      </w:r>
    </w:p>
    <w:p>
      <w:pPr>
        <w:spacing w:line="360" w:lineRule="auto"/>
        <w:ind w:firstLine="420" w:firstLineChars="200"/>
        <w:rPr>
          <w:rFonts w:hAnsi="宋体"/>
          <w:sz w:val="21"/>
          <w:szCs w:val="21"/>
        </w:rPr>
      </w:pPr>
      <w:r>
        <w:rPr>
          <w:rFonts w:hint="eastAsia" w:hAnsi="宋体"/>
          <w:sz w:val="21"/>
          <w:szCs w:val="21"/>
        </w:rPr>
        <w:t>10.5除供应商对错处作必要修改外，响应文件中不许有加行、涂改或改写。任何行间插字、涂改和增删，必须由供应商的法定代表人或委托代理人在修改处签字或加盖公章才有效。</w:t>
      </w:r>
    </w:p>
    <w:p>
      <w:pPr>
        <w:spacing w:line="360" w:lineRule="auto"/>
        <w:ind w:firstLine="420" w:firstLineChars="200"/>
        <w:rPr>
          <w:rFonts w:hAnsi="宋体"/>
          <w:sz w:val="21"/>
          <w:szCs w:val="21"/>
        </w:rPr>
      </w:pPr>
      <w:r>
        <w:rPr>
          <w:rFonts w:hint="eastAsia" w:hAnsi="宋体"/>
          <w:sz w:val="21"/>
          <w:szCs w:val="21"/>
        </w:rPr>
        <w:t>10.6电报、电话、传真、电子邮件形式的响应概不接受。</w:t>
      </w:r>
    </w:p>
    <w:p>
      <w:pPr>
        <w:pStyle w:val="5"/>
        <w:adjustRightInd/>
        <w:spacing w:line="360" w:lineRule="auto"/>
        <w:ind w:firstLine="420" w:firstLineChars="200"/>
        <w:rPr>
          <w:rFonts w:hAnsi="宋体"/>
          <w:sz w:val="21"/>
          <w:szCs w:val="21"/>
        </w:rPr>
      </w:pPr>
      <w:bookmarkStart w:id="77" w:name="_Toc18079"/>
      <w:bookmarkStart w:id="78" w:name="_Toc7897874"/>
      <w:bookmarkStart w:id="79" w:name="_Toc110953840"/>
      <w:bookmarkStart w:id="80" w:name="_Toc20552"/>
      <w:r>
        <w:rPr>
          <w:rFonts w:hint="eastAsia" w:hAnsi="宋体"/>
          <w:sz w:val="21"/>
          <w:szCs w:val="21"/>
        </w:rPr>
        <w:t>11.响应文件的内容</w:t>
      </w:r>
      <w:bookmarkEnd w:id="77"/>
      <w:bookmarkEnd w:id="78"/>
      <w:bookmarkEnd w:id="79"/>
      <w:bookmarkEnd w:id="80"/>
    </w:p>
    <w:p>
      <w:pPr>
        <w:spacing w:line="360" w:lineRule="auto"/>
        <w:ind w:firstLine="420" w:firstLineChars="200"/>
        <w:rPr>
          <w:rFonts w:hAnsi="宋体"/>
          <w:sz w:val="21"/>
          <w:szCs w:val="21"/>
        </w:rPr>
      </w:pPr>
      <w:r>
        <w:rPr>
          <w:rFonts w:hint="eastAsia" w:hAnsi="宋体"/>
          <w:sz w:val="21"/>
          <w:szCs w:val="21"/>
        </w:rPr>
        <w:t>11.1响应文件应包括下列部分：</w:t>
      </w:r>
    </w:p>
    <w:p>
      <w:pPr>
        <w:spacing w:line="360" w:lineRule="auto"/>
        <w:ind w:firstLine="420" w:firstLineChars="200"/>
        <w:rPr>
          <w:rFonts w:hAnsi="宋体"/>
          <w:sz w:val="21"/>
          <w:szCs w:val="21"/>
        </w:rPr>
      </w:pPr>
      <w:r>
        <w:rPr>
          <w:rFonts w:hint="eastAsia" w:hAnsi="宋体"/>
          <w:sz w:val="21"/>
          <w:szCs w:val="21"/>
        </w:rPr>
        <w:t>11.1.1商务、技术文件</w:t>
      </w:r>
    </w:p>
    <w:p>
      <w:pPr>
        <w:spacing w:line="360" w:lineRule="auto"/>
        <w:ind w:firstLine="420" w:firstLineChars="200"/>
        <w:rPr>
          <w:rFonts w:hAnsi="宋体"/>
          <w:sz w:val="21"/>
          <w:szCs w:val="21"/>
        </w:rPr>
      </w:pPr>
      <w:r>
        <w:rPr>
          <w:rFonts w:hint="eastAsia" w:hAnsi="宋体"/>
          <w:sz w:val="21"/>
          <w:szCs w:val="21"/>
        </w:rPr>
        <w:t>11.1.2唱标信封（须独立密封）</w:t>
      </w:r>
    </w:p>
    <w:p>
      <w:pPr>
        <w:spacing w:line="360" w:lineRule="auto"/>
        <w:rPr>
          <w:rFonts w:hAnsi="宋体"/>
          <w:sz w:val="21"/>
          <w:szCs w:val="21"/>
        </w:rPr>
      </w:pPr>
      <w:r>
        <w:rPr>
          <w:rFonts w:hint="eastAsia" w:hAnsi="宋体"/>
          <w:sz w:val="21"/>
          <w:szCs w:val="21"/>
        </w:rPr>
        <w:t>11.2响应（磋商）报价</w:t>
      </w:r>
    </w:p>
    <w:p>
      <w:pPr>
        <w:spacing w:line="360" w:lineRule="auto"/>
        <w:ind w:firstLine="420" w:firstLineChars="200"/>
        <w:rPr>
          <w:rFonts w:hAnsi="宋体"/>
          <w:sz w:val="21"/>
          <w:szCs w:val="21"/>
        </w:rPr>
      </w:pPr>
      <w:r>
        <w:rPr>
          <w:rFonts w:hint="eastAsia" w:hAnsi="宋体"/>
          <w:sz w:val="21"/>
          <w:szCs w:val="21"/>
        </w:rPr>
        <w:t>（1）响应（磋商）报价应为人民币含税全包价，报价应包含服务及所需的各种税费、售后服务费及合同实施过程中的应预见和不可预见费用等完成合同规定责任和义务、达到合同目的的一切费用。</w:t>
      </w:r>
    </w:p>
    <w:p>
      <w:pPr>
        <w:spacing w:line="360" w:lineRule="auto"/>
        <w:ind w:firstLine="420" w:firstLineChars="200"/>
        <w:rPr>
          <w:rFonts w:hAnsi="宋体"/>
          <w:sz w:val="21"/>
          <w:szCs w:val="21"/>
        </w:rPr>
      </w:pPr>
      <w:r>
        <w:rPr>
          <w:rFonts w:hint="eastAsia" w:hAnsi="宋体"/>
          <w:sz w:val="21"/>
          <w:szCs w:val="21"/>
        </w:rPr>
        <w:t>（2）磋商报价应包括所有应支付的对专利权和版权、设计或其他知识产权而需要向其他方支付的版税。</w:t>
      </w:r>
    </w:p>
    <w:p>
      <w:pPr>
        <w:spacing w:line="360" w:lineRule="auto"/>
        <w:ind w:firstLine="420" w:firstLineChars="200"/>
        <w:rPr>
          <w:rFonts w:hAnsi="宋体"/>
          <w:sz w:val="21"/>
          <w:szCs w:val="21"/>
        </w:rPr>
      </w:pPr>
      <w:r>
        <w:rPr>
          <w:rFonts w:hint="eastAsia" w:hAnsi="宋体"/>
          <w:sz w:val="21"/>
          <w:szCs w:val="21"/>
        </w:rPr>
        <w:t>（3）供应商应按响应文件的《报价一览表》格式填写响应内容的单价和总价。</w:t>
      </w:r>
    </w:p>
    <w:p>
      <w:pPr>
        <w:spacing w:line="360" w:lineRule="auto"/>
        <w:ind w:firstLine="422" w:firstLineChars="200"/>
        <w:rPr>
          <w:rFonts w:hAnsi="宋体"/>
          <w:b/>
          <w:sz w:val="21"/>
          <w:szCs w:val="21"/>
        </w:rPr>
      </w:pPr>
      <w:r>
        <w:rPr>
          <w:rFonts w:hint="eastAsia" w:hAnsi="宋体"/>
          <w:b/>
          <w:sz w:val="21"/>
          <w:szCs w:val="21"/>
        </w:rPr>
        <w:t>（4）</w:t>
      </w:r>
      <w:r>
        <w:rPr>
          <w:rFonts w:hint="eastAsia" w:hAnsi="宋体"/>
          <w:b/>
          <w:bCs/>
          <w:sz w:val="21"/>
          <w:szCs w:val="21"/>
        </w:rPr>
        <w:t>供应商每次报价超过最高限价视为非实质性响应磋商而予以拒绝。</w:t>
      </w:r>
    </w:p>
    <w:p>
      <w:pPr>
        <w:spacing w:line="360" w:lineRule="auto"/>
        <w:ind w:firstLine="420" w:firstLineChars="200"/>
        <w:rPr>
          <w:rFonts w:hAnsi="宋体"/>
          <w:sz w:val="21"/>
          <w:szCs w:val="21"/>
        </w:rPr>
      </w:pPr>
      <w:r>
        <w:rPr>
          <w:rFonts w:hint="eastAsia" w:hAnsi="宋体"/>
          <w:sz w:val="21"/>
          <w:szCs w:val="21"/>
        </w:rPr>
        <w:t>（5）经磋商后，供应商所报的最后磋商报价在合同执行过程中是固定不变的，不得以任何理由予以变更。</w:t>
      </w:r>
    </w:p>
    <w:p>
      <w:pPr>
        <w:spacing w:line="360" w:lineRule="auto"/>
        <w:ind w:firstLine="422" w:firstLineChars="200"/>
        <w:rPr>
          <w:rFonts w:hAnsi="宋体"/>
          <w:b/>
          <w:sz w:val="21"/>
          <w:szCs w:val="21"/>
        </w:rPr>
      </w:pPr>
      <w:r>
        <w:rPr>
          <w:rFonts w:hint="eastAsia" w:hAnsi="宋体"/>
          <w:b/>
          <w:sz w:val="21"/>
          <w:szCs w:val="21"/>
        </w:rPr>
        <w:t>（6）供应商只能就单个项目提供唯一的方案和报价，不接受选择性的方案和报价。</w:t>
      </w:r>
    </w:p>
    <w:p>
      <w:pPr>
        <w:spacing w:line="360" w:lineRule="auto"/>
        <w:ind w:firstLine="420" w:firstLineChars="200"/>
        <w:rPr>
          <w:rFonts w:hAnsi="宋体"/>
          <w:sz w:val="21"/>
          <w:szCs w:val="21"/>
        </w:rPr>
      </w:pPr>
      <w:r>
        <w:rPr>
          <w:rFonts w:hint="eastAsia" w:hAnsi="宋体"/>
          <w:sz w:val="21"/>
          <w:szCs w:val="21"/>
        </w:rPr>
        <w:t>11.3证明供应商合格和资格的文件</w:t>
      </w:r>
    </w:p>
    <w:p>
      <w:pPr>
        <w:spacing w:line="360" w:lineRule="auto"/>
        <w:ind w:firstLine="420" w:firstLineChars="200"/>
        <w:rPr>
          <w:rFonts w:hAnsi="宋体"/>
          <w:sz w:val="21"/>
          <w:szCs w:val="21"/>
        </w:rPr>
      </w:pPr>
      <w:r>
        <w:rPr>
          <w:rFonts w:hint="eastAsia" w:hAnsi="宋体"/>
          <w:sz w:val="21"/>
          <w:szCs w:val="21"/>
        </w:rPr>
        <w:t>11.4供应商应当提交具备履行合同的证明文件。</w:t>
      </w:r>
    </w:p>
    <w:p>
      <w:pPr>
        <w:spacing w:line="360" w:lineRule="auto"/>
        <w:ind w:firstLine="420" w:firstLineChars="200"/>
        <w:rPr>
          <w:rFonts w:hAnsi="宋体"/>
          <w:sz w:val="21"/>
          <w:szCs w:val="21"/>
        </w:rPr>
      </w:pPr>
      <w:r>
        <w:rPr>
          <w:rFonts w:hint="eastAsia" w:hAnsi="宋体"/>
          <w:sz w:val="21"/>
          <w:szCs w:val="21"/>
        </w:rPr>
        <w:t>11.5证明文件包括：履行合同所必须具备的财务能力证明、技术能力证明，符合磋商文件资格要求的证明等。</w:t>
      </w:r>
    </w:p>
    <w:p>
      <w:pPr>
        <w:spacing w:line="360" w:lineRule="auto"/>
        <w:ind w:firstLine="420" w:firstLineChars="200"/>
        <w:rPr>
          <w:rFonts w:hAnsi="宋体"/>
          <w:sz w:val="21"/>
          <w:szCs w:val="21"/>
        </w:rPr>
      </w:pPr>
      <w:r>
        <w:rPr>
          <w:rFonts w:hint="eastAsia" w:hAnsi="宋体"/>
          <w:sz w:val="21"/>
          <w:szCs w:val="21"/>
        </w:rPr>
        <w:t>11.6证明服务的合格性和符合磋商文件规定的文件。</w:t>
      </w:r>
    </w:p>
    <w:p>
      <w:pPr>
        <w:spacing w:line="360" w:lineRule="auto"/>
        <w:ind w:firstLine="420" w:firstLineChars="200"/>
        <w:rPr>
          <w:rFonts w:hAnsi="宋体"/>
          <w:sz w:val="21"/>
          <w:szCs w:val="21"/>
        </w:rPr>
      </w:pPr>
      <w:r>
        <w:rPr>
          <w:rFonts w:hint="eastAsia" w:hAnsi="宋体"/>
          <w:sz w:val="21"/>
          <w:szCs w:val="21"/>
        </w:rPr>
        <w:t>11.7供应商应提交其拟供的合同项下的服务的合格性符合磋商文件规定的证明文件，并作为其响应文件的一部分。</w:t>
      </w:r>
    </w:p>
    <w:p>
      <w:pPr>
        <w:spacing w:line="360" w:lineRule="auto"/>
        <w:ind w:firstLine="420" w:firstLineChars="200"/>
        <w:rPr>
          <w:rFonts w:hAnsi="宋体"/>
          <w:sz w:val="21"/>
          <w:szCs w:val="21"/>
        </w:rPr>
      </w:pPr>
      <w:r>
        <w:rPr>
          <w:rFonts w:hint="eastAsia" w:hAnsi="宋体"/>
          <w:sz w:val="21"/>
          <w:szCs w:val="21"/>
        </w:rPr>
        <w:t>11.8服务合格性的证明文件应包括服务来源地的说明，服务与磋商文件的要求相一致的证明文件，其他说明所提供服务已对技术要求做出了实质性响应的文件或说明与技术规格条文的偏差和例外等，形式可以是文字说明、图纸及其他资料。</w:t>
      </w:r>
    </w:p>
    <w:p>
      <w:pPr>
        <w:pStyle w:val="5"/>
        <w:adjustRightInd/>
        <w:spacing w:line="360" w:lineRule="auto"/>
        <w:ind w:firstLine="420" w:firstLineChars="200"/>
        <w:rPr>
          <w:rFonts w:hAnsi="宋体"/>
          <w:sz w:val="21"/>
          <w:szCs w:val="21"/>
        </w:rPr>
      </w:pPr>
      <w:bookmarkStart w:id="81" w:name="_Toc7897875"/>
      <w:bookmarkStart w:id="82" w:name="_Toc110953841"/>
      <w:bookmarkStart w:id="83" w:name="_Toc9150"/>
      <w:bookmarkStart w:id="84" w:name="_Toc21763"/>
      <w:r>
        <w:rPr>
          <w:rFonts w:hint="eastAsia" w:hAnsi="宋体"/>
          <w:sz w:val="21"/>
          <w:szCs w:val="21"/>
        </w:rPr>
        <w:t>12.响应文件格式</w:t>
      </w:r>
      <w:bookmarkEnd w:id="81"/>
      <w:bookmarkEnd w:id="82"/>
      <w:bookmarkEnd w:id="83"/>
      <w:bookmarkEnd w:id="84"/>
    </w:p>
    <w:p>
      <w:pPr>
        <w:spacing w:line="360" w:lineRule="auto"/>
        <w:ind w:firstLine="420" w:firstLineChars="200"/>
        <w:rPr>
          <w:rFonts w:hAnsi="宋体"/>
          <w:sz w:val="21"/>
          <w:szCs w:val="21"/>
        </w:rPr>
      </w:pPr>
      <w:r>
        <w:rPr>
          <w:rFonts w:hint="eastAsia" w:hAnsi="宋体"/>
          <w:sz w:val="21"/>
          <w:szCs w:val="21"/>
        </w:rPr>
        <w:t>12.1供应商应将响应文件装订成册，并填写“响应文件目录”。上述文件及表格为供应商必须提交的文件，各供应商可以根据实际情况增加内容，但不得擅自减少有关内容。响应文件的完整性是评审的内容之一。</w:t>
      </w:r>
    </w:p>
    <w:p>
      <w:pPr>
        <w:pStyle w:val="5"/>
        <w:adjustRightInd/>
        <w:spacing w:line="360" w:lineRule="auto"/>
        <w:ind w:firstLine="420" w:firstLineChars="200"/>
        <w:rPr>
          <w:rFonts w:hAnsi="宋体"/>
          <w:sz w:val="21"/>
          <w:szCs w:val="21"/>
        </w:rPr>
      </w:pPr>
      <w:bookmarkStart w:id="85" w:name="_Toc185150707"/>
      <w:bookmarkStart w:id="86" w:name="_Toc24570"/>
      <w:bookmarkStart w:id="87" w:name="_Toc7897876"/>
      <w:bookmarkStart w:id="88" w:name="_Toc30889"/>
      <w:r>
        <w:rPr>
          <w:rFonts w:hint="eastAsia" w:hAnsi="宋体"/>
          <w:sz w:val="21"/>
          <w:szCs w:val="21"/>
        </w:rPr>
        <w:t>13.</w:t>
      </w:r>
      <w:bookmarkEnd w:id="85"/>
      <w:r>
        <w:rPr>
          <w:rFonts w:hint="eastAsia" w:hAnsi="宋体"/>
          <w:sz w:val="21"/>
          <w:szCs w:val="21"/>
        </w:rPr>
        <w:t>磋商保证金</w:t>
      </w:r>
      <w:bookmarkEnd w:id="86"/>
      <w:bookmarkEnd w:id="87"/>
      <w:bookmarkEnd w:id="88"/>
    </w:p>
    <w:p>
      <w:pPr>
        <w:spacing w:line="360" w:lineRule="auto"/>
        <w:ind w:firstLine="420" w:firstLineChars="200"/>
        <w:rPr>
          <w:rFonts w:hAnsi="宋体"/>
          <w:sz w:val="21"/>
          <w:szCs w:val="21"/>
        </w:rPr>
      </w:pPr>
      <w:r>
        <w:rPr>
          <w:rFonts w:hint="eastAsia" w:hAnsi="宋体"/>
          <w:sz w:val="21"/>
          <w:szCs w:val="21"/>
        </w:rPr>
        <w:t>13.1供应商应向采购代理机构提交磋商保证金，并作为其响应文件的一部分。磋商保证金的金额：</w:t>
      </w:r>
    </w:p>
    <w:tbl>
      <w:tblPr>
        <w:tblStyle w:val="52"/>
        <w:tblW w:w="880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7"/>
        <w:gridCol w:w="34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exact"/>
          <w:jc w:val="center"/>
        </w:trPr>
        <w:tc>
          <w:tcPr>
            <w:tcW w:w="5347" w:type="dxa"/>
            <w:shd w:val="clear" w:color="auto" w:fill="E0E0E0"/>
            <w:vAlign w:val="center"/>
          </w:tcPr>
          <w:p>
            <w:pPr>
              <w:snapToGrid w:val="0"/>
              <w:jc w:val="center"/>
              <w:rPr>
                <w:rFonts w:hAnsi="宋体"/>
                <w:b/>
                <w:sz w:val="21"/>
                <w:szCs w:val="21"/>
              </w:rPr>
            </w:pPr>
            <w:r>
              <w:rPr>
                <w:rFonts w:hint="eastAsia" w:hAnsi="宋体"/>
                <w:b/>
                <w:sz w:val="21"/>
                <w:szCs w:val="21"/>
              </w:rPr>
              <w:t>内容</w:t>
            </w:r>
          </w:p>
        </w:tc>
        <w:tc>
          <w:tcPr>
            <w:tcW w:w="3461" w:type="dxa"/>
            <w:shd w:val="clear" w:color="auto" w:fill="E0E0E0"/>
            <w:vAlign w:val="center"/>
          </w:tcPr>
          <w:p>
            <w:pPr>
              <w:snapToGrid w:val="0"/>
              <w:jc w:val="center"/>
              <w:rPr>
                <w:rFonts w:hAnsi="宋体"/>
                <w:b/>
                <w:sz w:val="21"/>
                <w:szCs w:val="21"/>
              </w:rPr>
            </w:pPr>
            <w:r>
              <w:rPr>
                <w:rFonts w:hint="eastAsia" w:hAnsi="宋体"/>
                <w:b/>
                <w:sz w:val="21"/>
                <w:szCs w:val="21"/>
              </w:rPr>
              <w:t>保证金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5347" w:type="dxa"/>
            <w:vAlign w:val="center"/>
          </w:tcPr>
          <w:p>
            <w:pPr>
              <w:widowControl/>
              <w:jc w:val="center"/>
              <w:rPr>
                <w:rFonts w:hAnsi="宋体"/>
                <w:sz w:val="21"/>
                <w:szCs w:val="21"/>
              </w:rPr>
            </w:pPr>
            <w:r>
              <w:rPr>
                <w:rFonts w:hint="eastAsia" w:hAnsi="宋体"/>
                <w:sz w:val="21"/>
                <w:szCs w:val="21"/>
              </w:rPr>
              <w:t>旗云花园弱电智能化工程施工</w:t>
            </w:r>
          </w:p>
        </w:tc>
        <w:tc>
          <w:tcPr>
            <w:tcW w:w="3461" w:type="dxa"/>
            <w:vAlign w:val="center"/>
          </w:tcPr>
          <w:p>
            <w:pPr>
              <w:widowControl/>
              <w:jc w:val="center"/>
              <w:rPr>
                <w:rFonts w:hAnsi="宋体"/>
                <w:sz w:val="21"/>
                <w:szCs w:val="21"/>
              </w:rPr>
            </w:pPr>
            <w:r>
              <w:rPr>
                <w:rFonts w:hint="eastAsia" w:hAnsi="宋体"/>
                <w:sz w:val="21"/>
                <w:szCs w:val="21"/>
              </w:rPr>
              <w:t>贰万元整（¥</w:t>
            </w:r>
            <w:r>
              <w:rPr>
                <w:rFonts w:hAnsi="宋体"/>
                <w:sz w:val="21"/>
                <w:szCs w:val="21"/>
              </w:rPr>
              <w:t>20,000.00元）</w:t>
            </w:r>
          </w:p>
        </w:tc>
      </w:tr>
    </w:tbl>
    <w:p>
      <w:pPr>
        <w:spacing w:line="360" w:lineRule="auto"/>
        <w:ind w:firstLine="420" w:firstLineChars="200"/>
        <w:rPr>
          <w:rFonts w:hAnsi="宋体"/>
          <w:sz w:val="21"/>
          <w:szCs w:val="21"/>
        </w:rPr>
      </w:pPr>
      <w:r>
        <w:rPr>
          <w:rFonts w:hint="eastAsia" w:hAnsi="宋体"/>
          <w:sz w:val="21"/>
          <w:szCs w:val="21"/>
        </w:rPr>
        <w:t>13.2供应商应按要求提交磋商保证金，供应商必须采用银行转账的形式缴交，磋商供应商与交款人名称必须一致，非磋商供应商缴纳的磋商保证金无效。</w:t>
      </w:r>
    </w:p>
    <w:p>
      <w:pPr>
        <w:spacing w:line="360" w:lineRule="auto"/>
        <w:ind w:firstLine="420" w:firstLineChars="200"/>
        <w:rPr>
          <w:rFonts w:hAnsi="宋体"/>
          <w:sz w:val="21"/>
          <w:szCs w:val="21"/>
        </w:rPr>
      </w:pPr>
      <w:r>
        <w:rPr>
          <w:rFonts w:hint="eastAsia" w:hAnsi="宋体"/>
          <w:sz w:val="21"/>
          <w:szCs w:val="21"/>
        </w:rPr>
        <w:t>13.3磋商保证金以银行划账形式提交，应符合下列规定：</w:t>
      </w:r>
    </w:p>
    <w:p>
      <w:pPr>
        <w:autoSpaceDE/>
        <w:autoSpaceDN/>
        <w:adjustRightInd/>
        <w:spacing w:line="360" w:lineRule="auto"/>
        <w:ind w:firstLine="840" w:firstLineChars="400"/>
        <w:jc w:val="both"/>
        <w:rPr>
          <w:rFonts w:hAnsi="宋体"/>
          <w:bCs/>
          <w:sz w:val="21"/>
          <w:szCs w:val="21"/>
        </w:rPr>
      </w:pPr>
      <w:r>
        <w:rPr>
          <w:rFonts w:hint="eastAsia" w:hAnsi="宋体"/>
          <w:bCs/>
          <w:sz w:val="21"/>
          <w:szCs w:val="21"/>
        </w:rPr>
        <w:t>账户名称：广东泰通伟业工程咨询有限公司</w:t>
      </w:r>
    </w:p>
    <w:p>
      <w:pPr>
        <w:autoSpaceDE/>
        <w:autoSpaceDN/>
        <w:adjustRightInd/>
        <w:spacing w:line="360" w:lineRule="auto"/>
        <w:ind w:firstLine="840" w:firstLineChars="400"/>
        <w:jc w:val="both"/>
        <w:rPr>
          <w:rFonts w:hAnsi="宋体"/>
          <w:bCs/>
          <w:sz w:val="21"/>
          <w:szCs w:val="21"/>
        </w:rPr>
      </w:pPr>
      <w:r>
        <w:rPr>
          <w:rFonts w:hint="eastAsia" w:hAnsi="宋体"/>
          <w:bCs/>
          <w:sz w:val="21"/>
          <w:szCs w:val="21"/>
        </w:rPr>
        <w:t>账号：6232590699050015393</w:t>
      </w:r>
    </w:p>
    <w:p>
      <w:pPr>
        <w:spacing w:line="360" w:lineRule="auto"/>
        <w:ind w:firstLine="840" w:firstLineChars="400"/>
        <w:jc w:val="both"/>
        <w:rPr>
          <w:rFonts w:hAnsi="宋体"/>
          <w:bCs/>
          <w:sz w:val="21"/>
          <w:szCs w:val="21"/>
        </w:rPr>
      </w:pPr>
      <w:r>
        <w:rPr>
          <w:rFonts w:hint="eastAsia" w:hAnsi="宋体"/>
          <w:bCs/>
          <w:sz w:val="21"/>
          <w:szCs w:val="21"/>
        </w:rPr>
        <w:t>开户行：广发银行股份有限公司东莞东翔支行</w:t>
      </w:r>
    </w:p>
    <w:p>
      <w:pPr>
        <w:spacing w:line="360" w:lineRule="auto"/>
        <w:ind w:firstLine="420" w:firstLineChars="200"/>
        <w:rPr>
          <w:rFonts w:hAnsi="宋体"/>
          <w:sz w:val="21"/>
          <w:szCs w:val="21"/>
        </w:rPr>
      </w:pPr>
      <w:r>
        <w:rPr>
          <w:rFonts w:hint="eastAsia" w:hAnsi="宋体"/>
          <w:sz w:val="21"/>
          <w:szCs w:val="21"/>
        </w:rPr>
        <w:t>供应商必须保证资金以其供应商的名称（以分公司或子公司汇款无效）在本项目磋商响应文件截止前汇入到保证金专用账户（以银行到帐为准），可采用银行转帐方式提交，但不可以采用现金方式（包括以存现方式）提交，未按要求提交磋商保证金的将导致废标。</w:t>
      </w:r>
    </w:p>
    <w:p>
      <w:pPr>
        <w:spacing w:line="360" w:lineRule="auto"/>
        <w:ind w:firstLine="420" w:firstLineChars="200"/>
        <w:rPr>
          <w:rFonts w:hAnsi="宋体"/>
          <w:sz w:val="21"/>
          <w:szCs w:val="21"/>
        </w:rPr>
      </w:pPr>
      <w:r>
        <w:rPr>
          <w:rFonts w:hint="eastAsia" w:hAnsi="宋体"/>
          <w:sz w:val="21"/>
          <w:szCs w:val="21"/>
        </w:rPr>
        <w:t>13.4供应商应将汇款底单复印件附在《磋商保证金汇入情况说明》中。并将《磋商保证金汇入情况说明》连同开标一览表一起密封在单独的唱标信封内。磋商保证金的汇入单位名称须与磋商供应商名称一致，不接受以分支机构名义或个人账户代替供应商进行汇款。</w:t>
      </w:r>
    </w:p>
    <w:p>
      <w:pPr>
        <w:spacing w:line="360" w:lineRule="auto"/>
        <w:ind w:firstLine="420" w:firstLineChars="200"/>
        <w:rPr>
          <w:rFonts w:hAnsi="宋体"/>
          <w:sz w:val="21"/>
          <w:szCs w:val="21"/>
        </w:rPr>
      </w:pPr>
      <w:r>
        <w:rPr>
          <w:rFonts w:hint="eastAsia" w:hAnsi="宋体"/>
          <w:sz w:val="21"/>
          <w:szCs w:val="21"/>
        </w:rPr>
        <w:t>13.5凡没有根据规定递交磋商保证金的，应视为非响应性磋商予以拒绝。</w:t>
      </w:r>
    </w:p>
    <w:p>
      <w:pPr>
        <w:spacing w:line="360" w:lineRule="auto"/>
        <w:ind w:firstLine="420" w:firstLineChars="200"/>
        <w:rPr>
          <w:rFonts w:hAnsi="宋体"/>
          <w:sz w:val="21"/>
          <w:szCs w:val="21"/>
        </w:rPr>
      </w:pPr>
      <w:r>
        <w:rPr>
          <w:rFonts w:hint="eastAsia" w:hAnsi="宋体"/>
          <w:sz w:val="21"/>
          <w:szCs w:val="21"/>
        </w:rPr>
        <w:t>13.6未成交供应商的磋商保证金自成交通知书发出后5个工作日内退还（不计利息）；成交供应商的磋商保证金，将在其签署合同后，采购代理机构在5个工作日内退还（不计利息）。逾期办理的，采购人不承担迟延退款责任。</w:t>
      </w:r>
    </w:p>
    <w:p>
      <w:pPr>
        <w:spacing w:line="360" w:lineRule="auto"/>
        <w:ind w:firstLine="420" w:firstLineChars="200"/>
        <w:rPr>
          <w:rFonts w:hAnsi="宋体"/>
          <w:sz w:val="21"/>
          <w:szCs w:val="21"/>
        </w:rPr>
      </w:pPr>
      <w:r>
        <w:rPr>
          <w:rFonts w:hint="eastAsia" w:hAnsi="宋体"/>
          <w:sz w:val="21"/>
          <w:szCs w:val="21"/>
        </w:rPr>
        <w:t>13.7下列任何情况发生时，磋商保证金将被没收：</w:t>
      </w:r>
    </w:p>
    <w:p>
      <w:pPr>
        <w:spacing w:line="360" w:lineRule="auto"/>
        <w:ind w:firstLine="420" w:firstLineChars="200"/>
        <w:rPr>
          <w:rFonts w:hAnsi="宋体"/>
          <w:sz w:val="21"/>
          <w:szCs w:val="21"/>
        </w:rPr>
      </w:pPr>
      <w:r>
        <w:rPr>
          <w:rFonts w:hint="eastAsia" w:hAnsi="宋体"/>
          <w:sz w:val="21"/>
          <w:szCs w:val="21"/>
        </w:rPr>
        <w:t>13.7.1供应商在磋商文件中规定的磋商有效期内撤回其磋商；</w:t>
      </w:r>
    </w:p>
    <w:p>
      <w:pPr>
        <w:spacing w:line="360" w:lineRule="auto"/>
        <w:ind w:firstLine="420" w:firstLineChars="200"/>
        <w:rPr>
          <w:rFonts w:hAnsi="宋体"/>
          <w:sz w:val="21"/>
          <w:szCs w:val="21"/>
        </w:rPr>
      </w:pPr>
      <w:r>
        <w:rPr>
          <w:rFonts w:hint="eastAsia" w:hAnsi="宋体"/>
          <w:sz w:val="21"/>
          <w:szCs w:val="21"/>
        </w:rPr>
        <w:t>13.7.2供应商串通磋商或者以其他弄虚作假方式磋商；</w:t>
      </w:r>
    </w:p>
    <w:p>
      <w:pPr>
        <w:spacing w:line="360" w:lineRule="auto"/>
        <w:ind w:firstLine="420" w:firstLineChars="200"/>
        <w:rPr>
          <w:rFonts w:hAnsi="宋体"/>
          <w:sz w:val="21"/>
          <w:szCs w:val="21"/>
        </w:rPr>
      </w:pPr>
      <w:r>
        <w:rPr>
          <w:rFonts w:hint="eastAsia" w:hAnsi="宋体"/>
          <w:sz w:val="21"/>
          <w:szCs w:val="21"/>
        </w:rPr>
        <w:t>13.7.3成交供应商在规定期限内未能按规定签订合同；</w:t>
      </w:r>
    </w:p>
    <w:p>
      <w:pPr>
        <w:spacing w:line="360" w:lineRule="auto"/>
        <w:ind w:firstLine="420" w:firstLineChars="200"/>
        <w:rPr>
          <w:rFonts w:hAnsi="宋体"/>
          <w:sz w:val="21"/>
          <w:szCs w:val="21"/>
        </w:rPr>
      </w:pPr>
      <w:r>
        <w:rPr>
          <w:rFonts w:hint="eastAsia" w:hAnsi="宋体"/>
          <w:sz w:val="21"/>
          <w:szCs w:val="21"/>
        </w:rPr>
        <w:t>13.7.4法律法规规定和磋商文件中规定的其它情况。</w:t>
      </w:r>
    </w:p>
    <w:p>
      <w:pPr>
        <w:pStyle w:val="5"/>
        <w:adjustRightInd/>
        <w:spacing w:line="360" w:lineRule="auto"/>
        <w:ind w:firstLine="420" w:firstLineChars="200"/>
        <w:rPr>
          <w:rFonts w:hAnsi="宋体"/>
          <w:sz w:val="21"/>
          <w:szCs w:val="21"/>
        </w:rPr>
      </w:pPr>
      <w:bookmarkStart w:id="89" w:name="_Toc467236741"/>
      <w:bookmarkStart w:id="90" w:name="_Toc454701382"/>
      <w:bookmarkStart w:id="91" w:name="_Toc503758471"/>
      <w:bookmarkStart w:id="92" w:name="_Toc480020258"/>
      <w:bookmarkStart w:id="93" w:name="_Toc110953842"/>
      <w:bookmarkStart w:id="94" w:name="_Toc480021054"/>
      <w:bookmarkStart w:id="95" w:name="_Toc467987824"/>
      <w:bookmarkStart w:id="96" w:name="_Toc480010709"/>
      <w:bookmarkStart w:id="97" w:name="_Toc7897877"/>
      <w:bookmarkStart w:id="98" w:name="_Toc458262615"/>
      <w:bookmarkStart w:id="99" w:name="_Toc479991583"/>
      <w:bookmarkStart w:id="100" w:name="_Toc468606030"/>
      <w:bookmarkStart w:id="101" w:name="_Toc2525"/>
      <w:bookmarkStart w:id="102" w:name="_Toc468157537"/>
      <w:bookmarkStart w:id="103" w:name="_Toc32304"/>
      <w:bookmarkStart w:id="104" w:name="_Toc480171880"/>
      <w:r>
        <w:rPr>
          <w:rFonts w:hint="eastAsia" w:hAnsi="宋体"/>
          <w:sz w:val="21"/>
          <w:szCs w:val="21"/>
        </w:rPr>
        <w:t>14.响应有效期</w:t>
      </w:r>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p>
    <w:p>
      <w:pPr>
        <w:spacing w:line="360" w:lineRule="auto"/>
        <w:ind w:firstLine="420" w:firstLineChars="200"/>
        <w:rPr>
          <w:rFonts w:hAnsi="宋体"/>
          <w:sz w:val="21"/>
          <w:szCs w:val="21"/>
        </w:rPr>
      </w:pPr>
      <w:r>
        <w:rPr>
          <w:rFonts w:hint="eastAsia" w:hAnsi="宋体"/>
          <w:sz w:val="21"/>
          <w:szCs w:val="21"/>
        </w:rPr>
        <w:t>14.1响应文件从开启响应文件之日起，响应有效期为90个工作日。</w:t>
      </w:r>
    </w:p>
    <w:p>
      <w:pPr>
        <w:spacing w:line="360" w:lineRule="auto"/>
        <w:ind w:firstLine="420" w:firstLineChars="200"/>
        <w:rPr>
          <w:rFonts w:hAnsi="宋体"/>
          <w:sz w:val="21"/>
          <w:szCs w:val="21"/>
        </w:rPr>
      </w:pPr>
      <w:r>
        <w:rPr>
          <w:rFonts w:hint="eastAsia" w:hAnsi="宋体"/>
          <w:sz w:val="21"/>
          <w:szCs w:val="21"/>
        </w:rPr>
        <w:t>14.2特殊情况下，采购代理机构可于响应有效期期满之前，要求供应商同意延长响应有效期，要求与答复均应为书面形式。对于同意该要求的供应商，既不要求也不允许其修改响应文件。</w:t>
      </w:r>
    </w:p>
    <w:p>
      <w:pPr>
        <w:pStyle w:val="13"/>
        <w:ind w:firstLine="400"/>
      </w:pPr>
    </w:p>
    <w:bookmarkEnd w:id="68"/>
    <w:bookmarkEnd w:id="69"/>
    <w:bookmarkEnd w:id="70"/>
    <w:bookmarkEnd w:id="71"/>
    <w:bookmarkEnd w:id="72"/>
    <w:p>
      <w:pPr>
        <w:pStyle w:val="4"/>
        <w:adjustRightInd/>
        <w:spacing w:line="360" w:lineRule="auto"/>
        <w:ind w:firstLine="562" w:firstLineChars="200"/>
        <w:jc w:val="center"/>
        <w:rPr>
          <w:sz w:val="28"/>
          <w:szCs w:val="28"/>
        </w:rPr>
      </w:pPr>
      <w:bookmarkStart w:id="105" w:name="_Toc110953843"/>
      <w:bookmarkStart w:id="106" w:name="_Toc17761"/>
      <w:bookmarkStart w:id="107" w:name="_Toc7897878"/>
      <w:bookmarkStart w:id="108" w:name="_Toc102277760"/>
      <w:bookmarkStart w:id="109" w:name="_Toc466786438"/>
      <w:bookmarkStart w:id="110" w:name="_Toc6968691"/>
      <w:bookmarkStart w:id="111" w:name="_Toc507407363"/>
      <w:bookmarkStart w:id="112" w:name="_Toc6882679"/>
      <w:r>
        <w:rPr>
          <w:rFonts w:hint="eastAsia"/>
          <w:sz w:val="28"/>
          <w:szCs w:val="28"/>
        </w:rPr>
        <w:t>四、响应文件的递交</w:t>
      </w:r>
      <w:bookmarkEnd w:id="105"/>
      <w:bookmarkEnd w:id="106"/>
      <w:bookmarkEnd w:id="107"/>
    </w:p>
    <w:p>
      <w:pPr>
        <w:pStyle w:val="5"/>
        <w:adjustRightInd/>
        <w:spacing w:line="360" w:lineRule="auto"/>
        <w:ind w:firstLine="420" w:firstLineChars="200"/>
        <w:rPr>
          <w:rFonts w:hAnsi="宋体"/>
          <w:sz w:val="21"/>
          <w:szCs w:val="21"/>
        </w:rPr>
      </w:pPr>
      <w:bookmarkStart w:id="113" w:name="_Toc2684"/>
      <w:bookmarkStart w:id="114" w:name="_Toc11500"/>
      <w:bookmarkStart w:id="115" w:name="_Toc110953844"/>
      <w:bookmarkStart w:id="116" w:name="_Toc7897879"/>
      <w:r>
        <w:rPr>
          <w:rFonts w:hint="eastAsia" w:hAnsi="宋体"/>
          <w:sz w:val="21"/>
          <w:szCs w:val="21"/>
        </w:rPr>
        <w:t>15.响应文件的密封和标记</w:t>
      </w:r>
      <w:bookmarkEnd w:id="113"/>
      <w:bookmarkEnd w:id="114"/>
      <w:bookmarkEnd w:id="115"/>
      <w:bookmarkEnd w:id="116"/>
    </w:p>
    <w:p>
      <w:pPr>
        <w:spacing w:line="360" w:lineRule="auto"/>
        <w:ind w:firstLine="420" w:firstLineChars="200"/>
        <w:rPr>
          <w:rFonts w:hAnsi="宋体"/>
          <w:sz w:val="21"/>
          <w:szCs w:val="21"/>
        </w:rPr>
      </w:pPr>
      <w:r>
        <w:rPr>
          <w:rFonts w:hint="eastAsia" w:hAnsi="宋体"/>
          <w:sz w:val="21"/>
          <w:szCs w:val="21"/>
        </w:rPr>
        <w:t>15.1供应商应将响应文件正本和副本用信封分别密封，并标明供应商的名称、采购编号及“正本”或“副本”字样。</w:t>
      </w:r>
    </w:p>
    <w:p>
      <w:pPr>
        <w:spacing w:line="360" w:lineRule="auto"/>
        <w:ind w:firstLine="422" w:firstLineChars="200"/>
        <w:rPr>
          <w:rFonts w:hAnsi="宋体"/>
          <w:b/>
          <w:sz w:val="21"/>
          <w:szCs w:val="21"/>
        </w:rPr>
      </w:pPr>
      <w:r>
        <w:rPr>
          <w:rFonts w:hint="eastAsia" w:hAnsi="宋体"/>
          <w:b/>
          <w:sz w:val="21"/>
          <w:szCs w:val="21"/>
        </w:rPr>
        <w:t>15.2唱标信封应单独密封，与磋商响应文件一同提交。</w:t>
      </w:r>
    </w:p>
    <w:p>
      <w:pPr>
        <w:tabs>
          <w:tab w:val="left" w:pos="567"/>
        </w:tabs>
        <w:spacing w:line="360" w:lineRule="auto"/>
        <w:ind w:firstLine="420" w:firstLineChars="200"/>
        <w:rPr>
          <w:rFonts w:hAnsi="宋体"/>
          <w:sz w:val="21"/>
          <w:szCs w:val="21"/>
        </w:rPr>
      </w:pPr>
      <w:r>
        <w:rPr>
          <w:rFonts w:hint="eastAsia" w:hAnsi="宋体"/>
          <w:sz w:val="21"/>
          <w:szCs w:val="21"/>
        </w:rPr>
        <w:t>15.3在磋商响应文件密封袋上均应标明以下内容：</w:t>
      </w:r>
    </w:p>
    <w:p>
      <w:pPr>
        <w:spacing w:line="360" w:lineRule="auto"/>
        <w:ind w:firstLine="420" w:firstLineChars="200"/>
        <w:rPr>
          <w:rFonts w:hAnsi="宋体"/>
          <w:sz w:val="21"/>
          <w:szCs w:val="21"/>
        </w:rPr>
      </w:pPr>
      <w:r>
        <w:rPr>
          <w:rFonts w:hint="eastAsia" w:hAnsi="宋体"/>
          <w:sz w:val="21"/>
          <w:szCs w:val="21"/>
        </w:rPr>
        <w:t>①收件人：；</w:t>
      </w:r>
    </w:p>
    <w:p>
      <w:pPr>
        <w:spacing w:line="360" w:lineRule="auto"/>
        <w:ind w:firstLine="420" w:firstLineChars="200"/>
        <w:rPr>
          <w:rFonts w:hAnsi="宋体"/>
          <w:sz w:val="21"/>
          <w:szCs w:val="21"/>
        </w:rPr>
      </w:pPr>
      <w:r>
        <w:rPr>
          <w:rFonts w:hint="eastAsia" w:hAnsi="宋体"/>
          <w:sz w:val="21"/>
          <w:szCs w:val="21"/>
        </w:rPr>
        <w:t>②项目名称：；</w:t>
      </w:r>
    </w:p>
    <w:p>
      <w:pPr>
        <w:spacing w:line="360" w:lineRule="auto"/>
        <w:ind w:firstLine="420" w:firstLineChars="200"/>
        <w:rPr>
          <w:rFonts w:hAnsi="宋体"/>
          <w:sz w:val="21"/>
          <w:szCs w:val="21"/>
        </w:rPr>
      </w:pPr>
      <w:r>
        <w:rPr>
          <w:rFonts w:hint="eastAsia" w:hAnsi="宋体"/>
          <w:sz w:val="21"/>
          <w:szCs w:val="21"/>
        </w:rPr>
        <w:t>③采购编号：；</w:t>
      </w:r>
    </w:p>
    <w:p>
      <w:pPr>
        <w:spacing w:line="360" w:lineRule="auto"/>
        <w:ind w:firstLine="420" w:firstLineChars="200"/>
        <w:rPr>
          <w:rFonts w:hAnsi="宋体"/>
          <w:sz w:val="21"/>
          <w:szCs w:val="21"/>
        </w:rPr>
      </w:pPr>
      <w:r>
        <w:rPr>
          <w:rFonts w:hint="eastAsia" w:hAnsi="宋体"/>
          <w:sz w:val="21"/>
          <w:szCs w:val="21"/>
        </w:rPr>
        <w:t>④年月日时分开标，此时间以前不得开封；</w:t>
      </w:r>
    </w:p>
    <w:p>
      <w:pPr>
        <w:spacing w:line="360" w:lineRule="auto"/>
        <w:ind w:firstLine="420" w:firstLineChars="200"/>
        <w:rPr>
          <w:rFonts w:hAnsi="宋体"/>
          <w:sz w:val="21"/>
          <w:szCs w:val="21"/>
        </w:rPr>
      </w:pPr>
      <w:r>
        <w:rPr>
          <w:rFonts w:hint="eastAsia" w:hAnsi="宋体"/>
          <w:sz w:val="21"/>
          <w:szCs w:val="21"/>
        </w:rPr>
        <w:t>⑤标明供应商名称、地址、联系人和电话以及文件的种类（如商务技术文件、唱标信封等）。</w:t>
      </w:r>
    </w:p>
    <w:p>
      <w:pPr>
        <w:spacing w:line="360" w:lineRule="auto"/>
        <w:ind w:firstLine="420" w:firstLineChars="200"/>
        <w:rPr>
          <w:rFonts w:hAnsi="宋体"/>
          <w:sz w:val="21"/>
          <w:szCs w:val="21"/>
        </w:rPr>
      </w:pPr>
      <w:r>
        <w:rPr>
          <w:rFonts w:hint="eastAsia" w:hAnsi="宋体"/>
          <w:sz w:val="21"/>
          <w:szCs w:val="21"/>
        </w:rPr>
        <w:t>15.4供应商应按上述规定进行密封和标记后，将响应文件按照磋商文件中规定的时间和地址送至采购代理机构。</w:t>
      </w:r>
    </w:p>
    <w:p>
      <w:pPr>
        <w:spacing w:line="360" w:lineRule="auto"/>
        <w:ind w:firstLine="420" w:firstLineChars="200"/>
        <w:rPr>
          <w:rFonts w:hAnsi="宋体"/>
          <w:sz w:val="21"/>
          <w:szCs w:val="21"/>
        </w:rPr>
      </w:pPr>
      <w:r>
        <w:rPr>
          <w:rFonts w:hint="eastAsia" w:hAnsi="宋体"/>
          <w:sz w:val="21"/>
          <w:szCs w:val="21"/>
        </w:rPr>
        <w:t>15.5未按上述规定进行密封、标记和递交的，采购代理机构对响应文件的不依时间递交、误投、破损、封装不合格或提前拆封不负责。</w:t>
      </w:r>
    </w:p>
    <w:p>
      <w:pPr>
        <w:pStyle w:val="5"/>
        <w:adjustRightInd/>
        <w:spacing w:line="360" w:lineRule="auto"/>
        <w:ind w:firstLine="420" w:firstLineChars="200"/>
        <w:rPr>
          <w:rFonts w:hAnsi="宋体"/>
          <w:sz w:val="21"/>
          <w:szCs w:val="21"/>
        </w:rPr>
      </w:pPr>
      <w:bookmarkStart w:id="117" w:name="_Toc110953845"/>
      <w:bookmarkStart w:id="118" w:name="_Toc12710"/>
      <w:bookmarkStart w:id="119" w:name="_Toc7897880"/>
      <w:bookmarkStart w:id="120" w:name="_Toc10017"/>
      <w:r>
        <w:rPr>
          <w:rFonts w:hint="eastAsia" w:hAnsi="宋体"/>
          <w:sz w:val="21"/>
          <w:szCs w:val="21"/>
        </w:rPr>
        <w:t>16.响应文件的递交</w:t>
      </w:r>
      <w:bookmarkEnd w:id="117"/>
      <w:bookmarkEnd w:id="118"/>
      <w:bookmarkEnd w:id="119"/>
      <w:bookmarkEnd w:id="120"/>
    </w:p>
    <w:p>
      <w:pPr>
        <w:spacing w:line="360" w:lineRule="auto"/>
        <w:ind w:firstLine="420" w:firstLineChars="200"/>
        <w:rPr>
          <w:rFonts w:hAnsi="宋体"/>
          <w:sz w:val="21"/>
          <w:szCs w:val="21"/>
        </w:rPr>
      </w:pPr>
      <w:r>
        <w:rPr>
          <w:rFonts w:hint="eastAsia" w:hAnsi="宋体"/>
          <w:sz w:val="21"/>
          <w:szCs w:val="21"/>
        </w:rPr>
        <w:t>16.1所有响应文件都必须在响应截止时间之前送至采购代理机构。</w:t>
      </w:r>
    </w:p>
    <w:p>
      <w:pPr>
        <w:spacing w:line="360" w:lineRule="auto"/>
        <w:ind w:firstLine="420" w:firstLineChars="200"/>
        <w:rPr>
          <w:rFonts w:hAnsi="宋体"/>
          <w:sz w:val="21"/>
          <w:szCs w:val="21"/>
        </w:rPr>
      </w:pPr>
      <w:r>
        <w:rPr>
          <w:rFonts w:hint="eastAsia" w:hAnsi="宋体"/>
          <w:sz w:val="21"/>
          <w:szCs w:val="21"/>
        </w:rPr>
        <w:t>16.2采购代理机构拒绝接受以下文件：</w:t>
      </w:r>
    </w:p>
    <w:p>
      <w:pPr>
        <w:spacing w:line="360" w:lineRule="auto"/>
        <w:ind w:firstLine="420" w:firstLineChars="200"/>
        <w:rPr>
          <w:rFonts w:hAnsi="宋体"/>
          <w:sz w:val="21"/>
          <w:szCs w:val="21"/>
        </w:rPr>
      </w:pPr>
      <w:r>
        <w:rPr>
          <w:rFonts w:hint="eastAsia" w:hAnsi="宋体"/>
          <w:sz w:val="21"/>
          <w:szCs w:val="21"/>
        </w:rPr>
        <w:t>（1）提前递交的文件，</w:t>
      </w:r>
    </w:p>
    <w:p>
      <w:pPr>
        <w:spacing w:line="360" w:lineRule="auto"/>
        <w:ind w:firstLine="420" w:firstLineChars="200"/>
        <w:rPr>
          <w:rFonts w:hAnsi="宋体"/>
          <w:sz w:val="21"/>
          <w:szCs w:val="21"/>
        </w:rPr>
      </w:pPr>
      <w:r>
        <w:rPr>
          <w:rFonts w:hint="eastAsia" w:hAnsi="宋体"/>
          <w:sz w:val="21"/>
          <w:szCs w:val="21"/>
        </w:rPr>
        <w:t>（2）在响应截止时间后递交的响应文件，</w:t>
      </w:r>
    </w:p>
    <w:p>
      <w:pPr>
        <w:spacing w:line="360" w:lineRule="auto"/>
        <w:ind w:firstLine="420" w:firstLineChars="200"/>
        <w:rPr>
          <w:rFonts w:hAnsi="宋体"/>
          <w:sz w:val="21"/>
          <w:szCs w:val="21"/>
        </w:rPr>
      </w:pPr>
      <w:r>
        <w:rPr>
          <w:rFonts w:hint="eastAsia" w:hAnsi="宋体"/>
          <w:sz w:val="21"/>
          <w:szCs w:val="21"/>
        </w:rPr>
        <w:t>（3）未按规定包装和密封的响应文件。</w:t>
      </w:r>
    </w:p>
    <w:p>
      <w:pPr>
        <w:spacing w:line="360" w:lineRule="auto"/>
        <w:ind w:firstLine="420" w:firstLineChars="200"/>
        <w:rPr>
          <w:rFonts w:hAnsi="宋体"/>
          <w:b/>
          <w:bCs/>
          <w:sz w:val="21"/>
          <w:szCs w:val="21"/>
          <w:lang w:val="zh-CN"/>
        </w:rPr>
      </w:pPr>
      <w:r>
        <w:rPr>
          <w:rFonts w:hint="eastAsia" w:hAnsi="宋体"/>
          <w:sz w:val="21"/>
          <w:szCs w:val="21"/>
        </w:rPr>
        <w:t>16.3响应文件的修改与撤回</w:t>
      </w:r>
    </w:p>
    <w:p>
      <w:pPr>
        <w:spacing w:line="360" w:lineRule="auto"/>
        <w:ind w:firstLine="420" w:firstLineChars="200"/>
        <w:rPr>
          <w:rFonts w:hAnsi="宋体"/>
          <w:sz w:val="21"/>
          <w:szCs w:val="21"/>
        </w:rPr>
      </w:pPr>
      <w:r>
        <w:rPr>
          <w:rFonts w:hint="eastAsia" w:hAnsi="宋体"/>
          <w:sz w:val="21"/>
          <w:szCs w:val="21"/>
        </w:rPr>
        <w:t>（1）供应商在递交响应文件后到响应截止时间之前，可以补充、修改或撤回其响应文件，但供应商必须以书面形式通知采购代理机构。补充、修改的内容与响应文件不一致的，以补偿、修改的内容为准。</w:t>
      </w:r>
    </w:p>
    <w:p>
      <w:pPr>
        <w:spacing w:line="360" w:lineRule="auto"/>
        <w:ind w:firstLine="420" w:firstLineChars="200"/>
        <w:rPr>
          <w:rFonts w:hAnsi="宋体"/>
          <w:sz w:val="21"/>
          <w:szCs w:val="21"/>
        </w:rPr>
      </w:pPr>
      <w:r>
        <w:rPr>
          <w:rFonts w:hint="eastAsia" w:hAnsi="宋体"/>
          <w:sz w:val="21"/>
          <w:szCs w:val="21"/>
        </w:rPr>
        <w:t>（2）除法律法规允许的情况外，在响应截止时间之后至响应有效期之间的这段时间内，供应商不得对其响应文件做任何修改，亦不得撤回其响应，否则磋商保证金将不予退还。</w:t>
      </w:r>
    </w:p>
    <w:p>
      <w:pPr>
        <w:spacing w:line="360" w:lineRule="auto"/>
        <w:ind w:firstLine="420" w:firstLineChars="200"/>
        <w:rPr>
          <w:rFonts w:hAnsi="宋体"/>
          <w:sz w:val="21"/>
          <w:szCs w:val="21"/>
        </w:rPr>
      </w:pPr>
    </w:p>
    <w:p>
      <w:pPr>
        <w:pStyle w:val="4"/>
        <w:adjustRightInd/>
        <w:spacing w:line="360" w:lineRule="auto"/>
        <w:ind w:firstLine="562" w:firstLineChars="200"/>
        <w:jc w:val="center"/>
        <w:rPr>
          <w:sz w:val="28"/>
          <w:szCs w:val="28"/>
        </w:rPr>
      </w:pPr>
      <w:bookmarkStart w:id="121" w:name="_Toc7897881"/>
      <w:bookmarkStart w:id="122" w:name="_Toc22874"/>
      <w:r>
        <w:rPr>
          <w:rFonts w:hint="eastAsia"/>
          <w:sz w:val="28"/>
          <w:szCs w:val="28"/>
        </w:rPr>
        <w:t>五、采购仪式和</w:t>
      </w:r>
      <w:bookmarkEnd w:id="108"/>
      <w:bookmarkEnd w:id="109"/>
      <w:bookmarkEnd w:id="110"/>
      <w:bookmarkEnd w:id="111"/>
      <w:bookmarkEnd w:id="112"/>
      <w:r>
        <w:rPr>
          <w:rFonts w:hint="eastAsia"/>
          <w:sz w:val="28"/>
          <w:szCs w:val="28"/>
        </w:rPr>
        <w:t>评审会议</w:t>
      </w:r>
      <w:bookmarkEnd w:id="121"/>
      <w:bookmarkEnd w:id="122"/>
    </w:p>
    <w:p>
      <w:pPr>
        <w:pStyle w:val="5"/>
        <w:adjustRightInd/>
        <w:spacing w:line="360" w:lineRule="auto"/>
        <w:ind w:firstLine="422" w:firstLineChars="200"/>
        <w:rPr>
          <w:rFonts w:hAnsi="宋体"/>
          <w:b/>
          <w:sz w:val="21"/>
          <w:szCs w:val="21"/>
        </w:rPr>
      </w:pPr>
      <w:bookmarkStart w:id="123" w:name="_Toc475249134"/>
      <w:r>
        <w:rPr>
          <w:rFonts w:hint="eastAsia" w:hAnsi="宋体"/>
          <w:b/>
          <w:sz w:val="21"/>
          <w:szCs w:val="21"/>
        </w:rPr>
        <w:t>17.</w:t>
      </w:r>
      <w:bookmarkEnd w:id="123"/>
      <w:r>
        <w:rPr>
          <w:rFonts w:hint="eastAsia" w:hAnsi="宋体"/>
          <w:b/>
          <w:sz w:val="21"/>
          <w:szCs w:val="21"/>
        </w:rPr>
        <w:t>开启响应文件</w:t>
      </w:r>
    </w:p>
    <w:p>
      <w:pPr>
        <w:spacing w:line="360" w:lineRule="auto"/>
        <w:ind w:firstLine="420" w:firstLineChars="200"/>
        <w:rPr>
          <w:rFonts w:hAnsi="宋体"/>
          <w:sz w:val="21"/>
          <w:szCs w:val="21"/>
        </w:rPr>
      </w:pPr>
      <w:bookmarkStart w:id="124" w:name="_Toc475249135"/>
      <w:bookmarkStart w:id="125" w:name="_Toc475249138"/>
      <w:r>
        <w:rPr>
          <w:rFonts w:hint="eastAsia" w:hAnsi="宋体"/>
          <w:sz w:val="21"/>
          <w:szCs w:val="21"/>
        </w:rPr>
        <w:t>17.1采购代理机构在《磋商邀请书》规定的日期、时间和地点在有供应商代表在场的场合组织采购仪式，参加采购仪式的代表应签名报到以证明其出席。</w:t>
      </w:r>
    </w:p>
    <w:p>
      <w:pPr>
        <w:spacing w:line="360" w:lineRule="auto"/>
        <w:ind w:firstLine="420" w:firstLineChars="200"/>
        <w:rPr>
          <w:rFonts w:hAnsi="宋体"/>
          <w:sz w:val="21"/>
          <w:szCs w:val="21"/>
        </w:rPr>
      </w:pPr>
      <w:r>
        <w:rPr>
          <w:rFonts w:hint="eastAsia" w:hAnsi="宋体"/>
          <w:sz w:val="21"/>
          <w:szCs w:val="21"/>
        </w:rPr>
        <w:t>17.2开启采购文件前，采购人、采购代理机构和供应商将检查响应文件的密封情况。在确认密封完好后，进行拆封唱标。唱标主要内容为响应文件正本中《报价一览表》的内容以及采购代理机构认为合适的其他内容，并做唱标记录。</w:t>
      </w:r>
    </w:p>
    <w:p>
      <w:pPr>
        <w:pStyle w:val="5"/>
        <w:adjustRightInd/>
        <w:spacing w:line="360" w:lineRule="auto"/>
        <w:ind w:firstLine="422" w:firstLineChars="200"/>
        <w:rPr>
          <w:rFonts w:hAnsi="宋体"/>
          <w:b/>
          <w:sz w:val="21"/>
          <w:szCs w:val="21"/>
        </w:rPr>
      </w:pPr>
      <w:r>
        <w:rPr>
          <w:rFonts w:hint="eastAsia" w:hAnsi="宋体"/>
          <w:b/>
          <w:sz w:val="21"/>
          <w:szCs w:val="21"/>
        </w:rPr>
        <w:t>18.磋商小组</w:t>
      </w:r>
      <w:bookmarkEnd w:id="124"/>
    </w:p>
    <w:p>
      <w:pPr>
        <w:spacing w:line="360" w:lineRule="auto"/>
        <w:ind w:firstLine="420" w:firstLineChars="200"/>
        <w:rPr>
          <w:rFonts w:hAnsi="宋体"/>
          <w:sz w:val="21"/>
          <w:szCs w:val="21"/>
        </w:rPr>
      </w:pPr>
      <w:r>
        <w:rPr>
          <w:rFonts w:hint="eastAsia" w:hAnsi="宋体"/>
          <w:sz w:val="21"/>
          <w:szCs w:val="21"/>
        </w:rPr>
        <w:t>18.1采购代理机构将根据项目特点组建磋商小组，磋商小组由采购人代表和评审专家共3人以上单数组成，其中评审专家人数不得少于磋商小组成员总数的2/3。</w:t>
      </w:r>
    </w:p>
    <w:p>
      <w:pPr>
        <w:pStyle w:val="5"/>
        <w:adjustRightInd/>
        <w:spacing w:line="360" w:lineRule="auto"/>
        <w:ind w:firstLine="422" w:firstLineChars="200"/>
        <w:rPr>
          <w:rFonts w:hAnsi="宋体"/>
          <w:b/>
          <w:sz w:val="21"/>
          <w:szCs w:val="21"/>
        </w:rPr>
      </w:pPr>
      <w:bookmarkStart w:id="126" w:name="_Toc37121259"/>
      <w:bookmarkStart w:id="127" w:name="_Toc535141844"/>
      <w:r>
        <w:rPr>
          <w:rFonts w:hint="eastAsia" w:hAnsi="宋体"/>
          <w:b/>
          <w:sz w:val="21"/>
          <w:szCs w:val="21"/>
        </w:rPr>
        <w:t>19.对响应文件的初审</w:t>
      </w:r>
      <w:bookmarkEnd w:id="126"/>
      <w:bookmarkEnd w:id="127"/>
    </w:p>
    <w:p>
      <w:pPr>
        <w:spacing w:line="360" w:lineRule="auto"/>
        <w:ind w:firstLine="420" w:firstLineChars="200"/>
        <w:rPr>
          <w:rFonts w:hAnsi="宋体"/>
          <w:sz w:val="21"/>
          <w:szCs w:val="21"/>
        </w:rPr>
      </w:pPr>
      <w:r>
        <w:rPr>
          <w:rFonts w:hint="eastAsia" w:hAnsi="宋体"/>
          <w:sz w:val="21"/>
          <w:szCs w:val="21"/>
        </w:rPr>
        <w:t>19.1开启响应文件后，采购代理机构将组织磋商小组对响应文件进行初审，初审包括资格性审查和符合性审查。</w:t>
      </w:r>
    </w:p>
    <w:p>
      <w:pPr>
        <w:spacing w:line="360" w:lineRule="auto"/>
        <w:ind w:firstLine="420" w:firstLineChars="200"/>
        <w:rPr>
          <w:rFonts w:hAnsi="宋体"/>
          <w:sz w:val="21"/>
          <w:szCs w:val="21"/>
        </w:rPr>
      </w:pPr>
      <w:r>
        <w:rPr>
          <w:rFonts w:hint="eastAsia" w:hAnsi="宋体"/>
          <w:sz w:val="21"/>
          <w:szCs w:val="21"/>
        </w:rPr>
        <w:t>19.2资格性审查是指依据法律规定和磋商文件的规定，对响应文件中的资格证明等进行审查，确定供应商是否具备响应资格。</w:t>
      </w:r>
    </w:p>
    <w:p>
      <w:pPr>
        <w:spacing w:line="360" w:lineRule="auto"/>
        <w:ind w:firstLine="420" w:firstLineChars="200"/>
        <w:rPr>
          <w:rFonts w:hAnsi="宋体"/>
          <w:sz w:val="21"/>
          <w:szCs w:val="21"/>
        </w:rPr>
      </w:pPr>
      <w:r>
        <w:rPr>
          <w:rFonts w:hint="eastAsia" w:hAnsi="宋体"/>
          <w:sz w:val="21"/>
          <w:szCs w:val="21"/>
        </w:rPr>
        <w:t>19.3符合性审查是指依据磋商文件的规定，从响应文件的有效性、完整性和对磋商文件的响应程度进行审查，以确定是否对磋商文件的实质性要求作出响应，包括审查响应文件是否完整，有否计算错误，文件签署是否合格，响应书的编排是否有序等。</w:t>
      </w:r>
    </w:p>
    <w:p>
      <w:pPr>
        <w:spacing w:line="360" w:lineRule="auto"/>
        <w:ind w:firstLine="420" w:firstLineChars="200"/>
        <w:rPr>
          <w:rFonts w:hAnsi="宋体"/>
          <w:sz w:val="21"/>
          <w:szCs w:val="21"/>
        </w:rPr>
      </w:pPr>
      <w:r>
        <w:rPr>
          <w:rFonts w:hint="eastAsia" w:hAnsi="宋体"/>
          <w:sz w:val="21"/>
          <w:szCs w:val="21"/>
        </w:rPr>
        <w:t>19.4在对响应文件进行详细评估之前，磋商小组将审查每份响应文件是否实质上响应了磋商文件的要求。实质性响应的响应应该是与磋商文件要求的全部条款、条件和规格相符，没有重大偏离的响应。对关键条文的偏离、保留或反对，例如关于适用法律、税及关税等的偏离将被认为是实质上的偏离，而纠正这些偏离将影响到其他提交实质性响应响应的供应商的公平竞争地位。</w:t>
      </w:r>
    </w:p>
    <w:p>
      <w:pPr>
        <w:spacing w:line="360" w:lineRule="auto"/>
        <w:ind w:firstLine="420" w:firstLineChars="200"/>
        <w:rPr>
          <w:rFonts w:hAnsi="宋体"/>
          <w:sz w:val="21"/>
          <w:szCs w:val="21"/>
        </w:rPr>
      </w:pPr>
      <w:r>
        <w:rPr>
          <w:rFonts w:hint="eastAsia" w:hAnsi="宋体"/>
          <w:sz w:val="21"/>
          <w:szCs w:val="21"/>
        </w:rPr>
        <w:t>19.5磋商小组确定响应文件的响应性，只根据响应文件本身的内容，而不寻找外部的证据。</w:t>
      </w:r>
    </w:p>
    <w:p>
      <w:pPr>
        <w:spacing w:line="360" w:lineRule="auto"/>
        <w:ind w:firstLine="420" w:firstLineChars="200"/>
        <w:rPr>
          <w:rFonts w:hAnsi="宋体"/>
          <w:sz w:val="21"/>
          <w:szCs w:val="21"/>
        </w:rPr>
      </w:pPr>
      <w:r>
        <w:rPr>
          <w:rFonts w:hint="eastAsia" w:hAnsi="宋体"/>
          <w:sz w:val="21"/>
          <w:szCs w:val="21"/>
        </w:rPr>
        <w:t>19.6实质上没有响应磋商文件要求的响应文件将被拒绝。供应商不得通过修正或撤销不合要求的偏离或保留从而使其响应成为实质上的响应。</w:t>
      </w:r>
    </w:p>
    <w:p>
      <w:pPr>
        <w:pStyle w:val="5"/>
        <w:adjustRightInd/>
        <w:spacing w:line="360" w:lineRule="auto"/>
        <w:ind w:firstLine="422" w:firstLineChars="200"/>
        <w:rPr>
          <w:rFonts w:hAnsi="宋体"/>
          <w:b/>
          <w:sz w:val="21"/>
          <w:szCs w:val="21"/>
        </w:rPr>
      </w:pPr>
      <w:r>
        <w:rPr>
          <w:rFonts w:hint="eastAsia" w:hAnsi="宋体"/>
          <w:b/>
          <w:sz w:val="21"/>
          <w:szCs w:val="21"/>
        </w:rPr>
        <w:t>20.对响应文件的澄清</w:t>
      </w:r>
    </w:p>
    <w:p>
      <w:pPr>
        <w:spacing w:line="360" w:lineRule="auto"/>
        <w:ind w:firstLine="420" w:firstLineChars="200"/>
        <w:rPr>
          <w:rFonts w:hAnsi="宋体"/>
          <w:sz w:val="21"/>
          <w:szCs w:val="21"/>
        </w:rPr>
      </w:pPr>
      <w:r>
        <w:rPr>
          <w:rFonts w:hint="eastAsia" w:hAnsi="宋体"/>
          <w:sz w:val="21"/>
          <w:szCs w:val="21"/>
        </w:rPr>
        <w:t>20.1磋商小组在对响应文件的有效性、完整性和响应程度进行审查时，可以要求供应商对响应文件中含义不明确、同类问题表述不一致或者有明显文字和计算错误的内容等作出必要的澄清、说明或者更正。供应商澄清、说明或者更正响应文件应当以书面形式作出。供应商的澄清、说明或者更正应当由法定代表人或其授权代表签字或者加盖公章。由授权代表签字的，应当附法定代表人授权书。供应商为自然人的，应当由本人签字并附身份证明。磋商小组不接受响应人主动提出的澄清、说明或更正。</w:t>
      </w:r>
    </w:p>
    <w:p>
      <w:pPr>
        <w:spacing w:line="360" w:lineRule="auto"/>
        <w:ind w:firstLine="420" w:firstLineChars="200"/>
        <w:rPr>
          <w:rFonts w:hAnsi="宋体"/>
          <w:sz w:val="21"/>
          <w:szCs w:val="21"/>
        </w:rPr>
      </w:pPr>
      <w:r>
        <w:rPr>
          <w:rFonts w:hint="eastAsia" w:hAnsi="宋体"/>
          <w:sz w:val="21"/>
          <w:szCs w:val="21"/>
        </w:rPr>
        <w:t>20.2响应文件内容表述不一致按照以下方法处理：响应文件中报价一览表内容与响应文件明细表内容不一致的，以报价一览表为准；响应文件的大写金额和小写金额不一致的，以大写金额为准；总价金额与按单价汇总金额不一致的，以单价金额计算结果为准；单价金额小数点有明显错位的，应以单价为准，并修改总价；对不同文字文本响应文件的解释发生异议的，应以中文文本为准。</w:t>
      </w:r>
    </w:p>
    <w:p>
      <w:pPr>
        <w:spacing w:line="360" w:lineRule="auto"/>
        <w:ind w:firstLine="420" w:firstLineChars="200"/>
        <w:rPr>
          <w:rFonts w:hAnsi="宋体"/>
          <w:sz w:val="21"/>
          <w:szCs w:val="21"/>
        </w:rPr>
      </w:pPr>
      <w:r>
        <w:rPr>
          <w:rFonts w:hint="eastAsia" w:hAnsi="宋体"/>
          <w:sz w:val="21"/>
          <w:szCs w:val="21"/>
        </w:rPr>
        <w:t>20.3供应商的法定代表人或委托代理人应当按照采购代理机构通知的时间和地点接受询问，对响应文件中含义不明确的内容作必要的澄清、说明或者纠正。</w:t>
      </w:r>
    </w:p>
    <w:p>
      <w:pPr>
        <w:pStyle w:val="5"/>
        <w:adjustRightInd/>
        <w:spacing w:line="360" w:lineRule="auto"/>
        <w:ind w:firstLine="422" w:firstLineChars="200"/>
        <w:rPr>
          <w:rFonts w:hAnsi="宋体"/>
          <w:b/>
          <w:sz w:val="21"/>
          <w:szCs w:val="21"/>
        </w:rPr>
      </w:pPr>
      <w:r>
        <w:rPr>
          <w:rFonts w:hint="eastAsia" w:hAnsi="宋体"/>
          <w:b/>
          <w:sz w:val="21"/>
          <w:szCs w:val="21"/>
        </w:rPr>
        <w:t>21.开展磋商</w:t>
      </w:r>
    </w:p>
    <w:p>
      <w:pPr>
        <w:spacing w:line="360" w:lineRule="auto"/>
        <w:ind w:firstLine="420" w:firstLineChars="200"/>
        <w:rPr>
          <w:rFonts w:hAnsi="宋体"/>
          <w:sz w:val="21"/>
          <w:szCs w:val="21"/>
        </w:rPr>
      </w:pPr>
      <w:r>
        <w:rPr>
          <w:rFonts w:hint="eastAsia" w:hAnsi="宋体"/>
          <w:sz w:val="21"/>
          <w:szCs w:val="21"/>
        </w:rPr>
        <w:t>21.1主持人宣布评审纪律，磋商小组所有成员及相关工作人员签名确认。</w:t>
      </w:r>
    </w:p>
    <w:p>
      <w:pPr>
        <w:spacing w:line="360" w:lineRule="auto"/>
        <w:ind w:firstLine="420" w:firstLineChars="200"/>
        <w:rPr>
          <w:rFonts w:hAnsi="宋体"/>
          <w:sz w:val="21"/>
          <w:szCs w:val="21"/>
        </w:rPr>
      </w:pPr>
      <w:r>
        <w:rPr>
          <w:rFonts w:hint="eastAsia" w:hAnsi="宋体"/>
          <w:sz w:val="21"/>
          <w:szCs w:val="21"/>
        </w:rPr>
        <w:t>21.2磋商小组所有成员应当集中与单一供应商分别进行一轮或多轮的磋商（具体磋商轮次由磋商小组视情况决定）在磋商中，磋商小组及有关当事人应当严格遵循保密原则，任何人不得透露与磋商有关的供应商的技术、价格和其他信息。</w:t>
      </w:r>
    </w:p>
    <w:p>
      <w:pPr>
        <w:spacing w:line="360" w:lineRule="auto"/>
        <w:ind w:firstLine="420" w:firstLineChars="200"/>
        <w:rPr>
          <w:rFonts w:hAnsi="宋体"/>
          <w:sz w:val="21"/>
          <w:szCs w:val="21"/>
        </w:rPr>
      </w:pPr>
      <w:r>
        <w:rPr>
          <w:rFonts w:hint="eastAsia" w:hAnsi="宋体"/>
          <w:sz w:val="21"/>
          <w:szCs w:val="21"/>
        </w:rPr>
        <w:t>21.3在磋商过程中，磋商小组可以根据磋商文件和磋商情况实质性变动采购需求中的技术、服务要求以及合同草案条款，但不得变动磋商文件中的其他内容，并应当以书面形式通知所有参加磋商的供应商。实质性变动的内容，须经采购人代表确认。对磋商文件作出的实质性变动是磋商文件的有效组成部分。</w:t>
      </w:r>
    </w:p>
    <w:p>
      <w:pPr>
        <w:spacing w:line="360" w:lineRule="auto"/>
        <w:ind w:firstLine="420" w:firstLineChars="200"/>
        <w:rPr>
          <w:rFonts w:hAnsi="宋体"/>
          <w:sz w:val="21"/>
          <w:szCs w:val="21"/>
        </w:rPr>
      </w:pPr>
      <w:r>
        <w:rPr>
          <w:rFonts w:hint="eastAsia" w:hAnsi="宋体"/>
          <w:sz w:val="21"/>
          <w:szCs w:val="21"/>
        </w:rPr>
        <w:t>21.4供应商应当按照磋商文件的变动情况和磋商小组的要求重新提交响应文件（或补充以书面材料），并由其法定代表人或授权代表签字或者加盖公章。由授权代表签字的，应当附法定代表人授权书。供应商为自然人的，应当由本人签字并附身份证明。补充文件是响应文件的组成部分。</w:t>
      </w:r>
    </w:p>
    <w:p>
      <w:pPr>
        <w:pStyle w:val="5"/>
        <w:adjustRightInd/>
        <w:spacing w:line="360" w:lineRule="auto"/>
        <w:ind w:firstLine="422" w:firstLineChars="200"/>
        <w:rPr>
          <w:rFonts w:hAnsi="宋体"/>
          <w:b/>
          <w:sz w:val="21"/>
          <w:szCs w:val="21"/>
        </w:rPr>
      </w:pPr>
      <w:r>
        <w:rPr>
          <w:rFonts w:hint="eastAsia" w:hAnsi="宋体"/>
          <w:b/>
          <w:sz w:val="21"/>
          <w:szCs w:val="21"/>
        </w:rPr>
        <w:t>22.最后报价</w:t>
      </w:r>
    </w:p>
    <w:p>
      <w:pPr>
        <w:spacing w:line="360" w:lineRule="auto"/>
        <w:ind w:firstLine="420" w:firstLineChars="200"/>
        <w:rPr>
          <w:rFonts w:hAnsi="宋体"/>
          <w:sz w:val="21"/>
          <w:szCs w:val="21"/>
        </w:rPr>
      </w:pPr>
      <w:r>
        <w:rPr>
          <w:rFonts w:hint="eastAsia" w:hAnsi="宋体"/>
          <w:sz w:val="21"/>
          <w:szCs w:val="21"/>
        </w:rPr>
        <w:t>22.1磋商文件能够详细列明采购标的的技术、服务要求的，磋商结束后，磋商小组应当要求所有实质性响应的供应商在规定时间内提交最后报价，除法律法规规定的允许的情况外，提交最后报价的供应商不得少于3家。最后报价是供应商响应文件的有效组成部分。</w:t>
      </w:r>
    </w:p>
    <w:p>
      <w:pPr>
        <w:spacing w:line="360" w:lineRule="auto"/>
        <w:ind w:firstLine="420" w:firstLineChars="200"/>
        <w:rPr>
          <w:rFonts w:hAnsi="宋体"/>
          <w:sz w:val="21"/>
          <w:szCs w:val="21"/>
        </w:rPr>
      </w:pPr>
      <w:r>
        <w:rPr>
          <w:rFonts w:hint="eastAsia" w:hAnsi="宋体"/>
          <w:sz w:val="21"/>
          <w:szCs w:val="21"/>
        </w:rPr>
        <w:t>22.2已提交响应文件的供应商，在提交最后报价之前，可以根据磋商情况退出磋商。采购人、采购代理机构应当退还退出磋商的供应商的磋商保证金。</w:t>
      </w:r>
    </w:p>
    <w:bookmarkEnd w:id="125"/>
    <w:p>
      <w:pPr>
        <w:pStyle w:val="5"/>
        <w:adjustRightInd/>
        <w:spacing w:line="360" w:lineRule="auto"/>
        <w:ind w:firstLine="422" w:firstLineChars="200"/>
        <w:rPr>
          <w:rFonts w:hAnsi="宋体"/>
          <w:b/>
          <w:sz w:val="21"/>
          <w:szCs w:val="21"/>
        </w:rPr>
      </w:pPr>
      <w:r>
        <w:rPr>
          <w:rFonts w:hint="eastAsia" w:hAnsi="宋体"/>
          <w:b/>
          <w:sz w:val="21"/>
          <w:szCs w:val="21"/>
        </w:rPr>
        <w:t>23.综合评分</w:t>
      </w:r>
    </w:p>
    <w:p>
      <w:pPr>
        <w:spacing w:line="360" w:lineRule="auto"/>
        <w:ind w:firstLine="420" w:firstLineChars="200"/>
        <w:rPr>
          <w:rFonts w:hAnsi="宋体"/>
          <w:sz w:val="21"/>
          <w:szCs w:val="21"/>
        </w:rPr>
      </w:pPr>
      <w:r>
        <w:rPr>
          <w:rFonts w:hint="eastAsia" w:hAnsi="宋体"/>
          <w:sz w:val="21"/>
          <w:szCs w:val="21"/>
        </w:rPr>
        <w:t>经磋商确定最终采购需求和提交最后报价的供应商后，由磋商小组采用综合评分法对提交最后报价的供应商的响应文件和最后报价进行综合评分。详见本文件《第四篇评标工作大纲》。</w:t>
      </w:r>
    </w:p>
    <w:p>
      <w:pPr>
        <w:pStyle w:val="13"/>
        <w:ind w:firstLine="400"/>
      </w:pPr>
    </w:p>
    <w:p>
      <w:pPr>
        <w:pStyle w:val="4"/>
        <w:adjustRightInd/>
        <w:spacing w:line="360" w:lineRule="auto"/>
        <w:ind w:firstLine="562" w:firstLineChars="200"/>
        <w:jc w:val="center"/>
        <w:rPr>
          <w:sz w:val="28"/>
          <w:szCs w:val="28"/>
        </w:rPr>
      </w:pPr>
      <w:bookmarkStart w:id="128" w:name="_Toc18625"/>
      <w:bookmarkStart w:id="129" w:name="_Toc7897882"/>
      <w:r>
        <w:rPr>
          <w:rFonts w:hint="eastAsia"/>
          <w:sz w:val="28"/>
          <w:szCs w:val="28"/>
        </w:rPr>
        <w:t>六、确定成交供应商</w:t>
      </w:r>
      <w:bookmarkEnd w:id="128"/>
      <w:bookmarkEnd w:id="129"/>
    </w:p>
    <w:p>
      <w:pPr>
        <w:pStyle w:val="5"/>
        <w:adjustRightInd/>
        <w:spacing w:line="360" w:lineRule="auto"/>
        <w:ind w:firstLine="422" w:firstLineChars="200"/>
        <w:rPr>
          <w:rFonts w:hAnsi="宋体"/>
          <w:b/>
          <w:sz w:val="21"/>
          <w:szCs w:val="21"/>
        </w:rPr>
      </w:pPr>
      <w:r>
        <w:rPr>
          <w:rFonts w:hint="eastAsia" w:hAnsi="宋体"/>
          <w:b/>
          <w:sz w:val="21"/>
          <w:szCs w:val="21"/>
        </w:rPr>
        <w:t>24.确定成交</w:t>
      </w:r>
    </w:p>
    <w:p>
      <w:pPr>
        <w:spacing w:line="360" w:lineRule="auto"/>
        <w:ind w:firstLine="420" w:firstLineChars="200"/>
        <w:rPr>
          <w:rFonts w:hAnsi="宋体"/>
          <w:sz w:val="21"/>
          <w:szCs w:val="21"/>
        </w:rPr>
      </w:pPr>
      <w:r>
        <w:rPr>
          <w:rFonts w:hint="eastAsia" w:hAnsi="宋体"/>
          <w:sz w:val="21"/>
          <w:szCs w:val="21"/>
        </w:rPr>
        <w:t>24.1磋商小组完成评审工作后，出具评审报告，推荐3名以上成交候选供应商。符合法律法规允许的情况的，可以推荐2家成交候选供应商。</w:t>
      </w:r>
    </w:p>
    <w:p>
      <w:pPr>
        <w:spacing w:line="360" w:lineRule="auto"/>
        <w:ind w:firstLine="420" w:firstLineChars="200"/>
        <w:rPr>
          <w:rFonts w:hAnsi="宋体"/>
          <w:sz w:val="21"/>
          <w:szCs w:val="21"/>
        </w:rPr>
      </w:pPr>
      <w:r>
        <w:rPr>
          <w:rFonts w:hint="eastAsia" w:hAnsi="宋体"/>
          <w:sz w:val="21"/>
          <w:szCs w:val="21"/>
        </w:rPr>
        <w:t>24.2采购人从成交候选供应商名单中按照综合得分排序确定1名成交供应商。</w:t>
      </w:r>
    </w:p>
    <w:p>
      <w:pPr>
        <w:spacing w:line="360" w:lineRule="auto"/>
        <w:ind w:firstLine="420" w:firstLineChars="200"/>
        <w:rPr>
          <w:rFonts w:hAnsi="宋体"/>
          <w:sz w:val="21"/>
          <w:szCs w:val="21"/>
        </w:rPr>
      </w:pPr>
      <w:r>
        <w:rPr>
          <w:rFonts w:hint="eastAsia" w:hAnsi="宋体"/>
          <w:sz w:val="21"/>
          <w:szCs w:val="21"/>
        </w:rPr>
        <w:t>24.3根据响应或评审情况，采购代理机构保留在确定成交供应商之前任何时候接受或拒绝任何响应，以及宣布评审程序无效或拒绝所有响应的权力，对受影响的供应商不承担任何责任，也无义务向受影响的供应商解释这一行动的理由。</w:t>
      </w:r>
    </w:p>
    <w:p>
      <w:pPr>
        <w:pStyle w:val="5"/>
        <w:adjustRightInd/>
        <w:spacing w:line="360" w:lineRule="auto"/>
        <w:ind w:firstLine="422"/>
        <w:rPr>
          <w:b/>
          <w:sz w:val="21"/>
          <w:szCs w:val="21"/>
        </w:rPr>
      </w:pPr>
      <w:r>
        <w:rPr>
          <w:rFonts w:hint="eastAsia"/>
          <w:b/>
          <w:sz w:val="21"/>
          <w:szCs w:val="21"/>
        </w:rPr>
        <w:t>25.资格后审</w:t>
      </w:r>
    </w:p>
    <w:p>
      <w:pPr>
        <w:spacing w:line="360" w:lineRule="auto"/>
        <w:ind w:firstLine="420" w:firstLineChars="200"/>
        <w:rPr>
          <w:sz w:val="21"/>
          <w:szCs w:val="21"/>
        </w:rPr>
      </w:pPr>
      <w:r>
        <w:rPr>
          <w:sz w:val="21"/>
          <w:szCs w:val="21"/>
        </w:rPr>
        <w:t>2</w:t>
      </w:r>
      <w:r>
        <w:rPr>
          <w:rFonts w:hint="eastAsia"/>
          <w:sz w:val="21"/>
          <w:szCs w:val="21"/>
        </w:rPr>
        <w:t>5</w:t>
      </w:r>
      <w:r>
        <w:rPr>
          <w:sz w:val="21"/>
          <w:szCs w:val="21"/>
        </w:rPr>
        <w:t>.1</w:t>
      </w:r>
      <w:r>
        <w:rPr>
          <w:rFonts w:hint="eastAsia"/>
          <w:sz w:val="21"/>
          <w:szCs w:val="21"/>
        </w:rPr>
        <w:t>采购人</w:t>
      </w:r>
      <w:r>
        <w:rPr>
          <w:sz w:val="21"/>
          <w:szCs w:val="21"/>
        </w:rPr>
        <w:t>将根据</w:t>
      </w:r>
      <w:r>
        <w:rPr>
          <w:rFonts w:hint="eastAsia"/>
          <w:sz w:val="21"/>
          <w:szCs w:val="21"/>
        </w:rPr>
        <w:t>磋商文件</w:t>
      </w:r>
      <w:r>
        <w:rPr>
          <w:sz w:val="21"/>
          <w:szCs w:val="21"/>
        </w:rPr>
        <w:t>中的要求，对评委会推荐的</w:t>
      </w:r>
      <w:r>
        <w:rPr>
          <w:rFonts w:hint="eastAsia"/>
          <w:sz w:val="21"/>
          <w:szCs w:val="21"/>
        </w:rPr>
        <w:t>成交候选人</w:t>
      </w:r>
      <w:r>
        <w:rPr>
          <w:sz w:val="21"/>
          <w:szCs w:val="21"/>
        </w:rPr>
        <w:t>进行资格后审。</w:t>
      </w:r>
    </w:p>
    <w:p>
      <w:pPr>
        <w:spacing w:line="360" w:lineRule="auto"/>
        <w:ind w:firstLine="420" w:firstLineChars="200"/>
        <w:rPr>
          <w:sz w:val="21"/>
          <w:szCs w:val="21"/>
        </w:rPr>
      </w:pPr>
      <w:r>
        <w:rPr>
          <w:sz w:val="21"/>
          <w:szCs w:val="21"/>
        </w:rPr>
        <w:t>2</w:t>
      </w:r>
      <w:r>
        <w:rPr>
          <w:rFonts w:hint="eastAsia"/>
          <w:sz w:val="21"/>
          <w:szCs w:val="21"/>
        </w:rPr>
        <w:t>5</w:t>
      </w:r>
      <w:r>
        <w:rPr>
          <w:sz w:val="21"/>
          <w:szCs w:val="21"/>
        </w:rPr>
        <w:t>.2</w:t>
      </w:r>
      <w:r>
        <w:rPr>
          <w:rFonts w:hint="eastAsia"/>
          <w:sz w:val="21"/>
          <w:szCs w:val="21"/>
        </w:rPr>
        <w:t>成交候选人</w:t>
      </w:r>
      <w:r>
        <w:rPr>
          <w:sz w:val="21"/>
          <w:szCs w:val="21"/>
        </w:rPr>
        <w:t>须无条件配合资格后审，否则</w:t>
      </w:r>
      <w:r>
        <w:rPr>
          <w:rFonts w:hint="eastAsia"/>
          <w:sz w:val="21"/>
          <w:szCs w:val="21"/>
        </w:rPr>
        <w:t>采购人</w:t>
      </w:r>
      <w:r>
        <w:rPr>
          <w:sz w:val="21"/>
          <w:szCs w:val="21"/>
        </w:rPr>
        <w:t>有权取消中标资格。</w:t>
      </w:r>
    </w:p>
    <w:p>
      <w:pPr>
        <w:spacing w:line="360" w:lineRule="auto"/>
        <w:ind w:firstLine="420" w:firstLineChars="200"/>
        <w:rPr>
          <w:sz w:val="21"/>
          <w:szCs w:val="21"/>
        </w:rPr>
      </w:pPr>
      <w:r>
        <w:rPr>
          <w:sz w:val="21"/>
          <w:szCs w:val="21"/>
        </w:rPr>
        <w:t>2</w:t>
      </w:r>
      <w:r>
        <w:rPr>
          <w:rFonts w:hint="eastAsia"/>
          <w:sz w:val="21"/>
          <w:szCs w:val="21"/>
        </w:rPr>
        <w:t>5</w:t>
      </w:r>
      <w:r>
        <w:rPr>
          <w:sz w:val="21"/>
          <w:szCs w:val="21"/>
        </w:rPr>
        <w:t>.3资格</w:t>
      </w:r>
      <w:r>
        <w:rPr>
          <w:rFonts w:hint="eastAsia"/>
          <w:sz w:val="21"/>
          <w:szCs w:val="21"/>
        </w:rPr>
        <w:t>后审</w:t>
      </w:r>
      <w:r>
        <w:rPr>
          <w:sz w:val="21"/>
          <w:szCs w:val="21"/>
        </w:rPr>
        <w:t>须提供包括但不限于营业执照、税务登记证和在</w:t>
      </w:r>
      <w:r>
        <w:rPr>
          <w:rFonts w:hint="eastAsia"/>
          <w:sz w:val="21"/>
          <w:szCs w:val="21"/>
        </w:rPr>
        <w:t>磋商响应文件</w:t>
      </w:r>
      <w:r>
        <w:rPr>
          <w:sz w:val="21"/>
          <w:szCs w:val="21"/>
        </w:rPr>
        <w:t>中提供的资质证明文件、合同等重要证明文件的原件进行核对，综合考察</w:t>
      </w:r>
      <w:r>
        <w:rPr>
          <w:rFonts w:hint="eastAsia"/>
          <w:sz w:val="21"/>
          <w:szCs w:val="21"/>
        </w:rPr>
        <w:t>成交供应商</w:t>
      </w:r>
      <w:r>
        <w:rPr>
          <w:sz w:val="21"/>
          <w:szCs w:val="21"/>
        </w:rPr>
        <w:t>的履约能力。如</w:t>
      </w:r>
      <w:r>
        <w:rPr>
          <w:rFonts w:hint="eastAsia"/>
          <w:sz w:val="21"/>
          <w:szCs w:val="21"/>
        </w:rPr>
        <w:t>采购人</w:t>
      </w:r>
      <w:r>
        <w:rPr>
          <w:sz w:val="21"/>
          <w:szCs w:val="21"/>
        </w:rPr>
        <w:t>要求还须提供业绩证明的其他材料,</w:t>
      </w:r>
      <w:r>
        <w:rPr>
          <w:rFonts w:hint="eastAsia"/>
          <w:sz w:val="21"/>
          <w:szCs w:val="21"/>
        </w:rPr>
        <w:t>成交候选人</w:t>
      </w:r>
      <w:r>
        <w:rPr>
          <w:sz w:val="21"/>
          <w:szCs w:val="21"/>
        </w:rPr>
        <w:t>须配合提供。如授权其分支机构进行项目实施或提供售后服务的，亦应提供其与分支机构关系的法律证明材料。</w:t>
      </w:r>
    </w:p>
    <w:p>
      <w:pPr>
        <w:spacing w:line="360" w:lineRule="auto"/>
        <w:ind w:firstLine="420" w:firstLineChars="200"/>
        <w:rPr>
          <w:sz w:val="21"/>
          <w:szCs w:val="21"/>
        </w:rPr>
      </w:pPr>
      <w:r>
        <w:rPr>
          <w:sz w:val="21"/>
          <w:szCs w:val="21"/>
        </w:rPr>
        <w:t>2</w:t>
      </w:r>
      <w:r>
        <w:rPr>
          <w:rFonts w:hint="eastAsia"/>
          <w:sz w:val="21"/>
          <w:szCs w:val="21"/>
        </w:rPr>
        <w:t>5</w:t>
      </w:r>
      <w:r>
        <w:rPr>
          <w:sz w:val="21"/>
          <w:szCs w:val="21"/>
        </w:rPr>
        <w:t>.4如发现</w:t>
      </w:r>
      <w:r>
        <w:rPr>
          <w:rFonts w:hint="eastAsia"/>
          <w:sz w:val="21"/>
          <w:szCs w:val="21"/>
        </w:rPr>
        <w:t>供应商</w:t>
      </w:r>
      <w:r>
        <w:rPr>
          <w:sz w:val="21"/>
          <w:szCs w:val="21"/>
        </w:rPr>
        <w:t>提交虚假资料谋取中标的，</w:t>
      </w:r>
      <w:r>
        <w:rPr>
          <w:rFonts w:hint="eastAsia"/>
          <w:sz w:val="21"/>
          <w:szCs w:val="21"/>
        </w:rPr>
        <w:t>采购人</w:t>
      </w:r>
      <w:r>
        <w:rPr>
          <w:sz w:val="21"/>
          <w:szCs w:val="21"/>
        </w:rPr>
        <w:t>有权没收其</w:t>
      </w:r>
      <w:r>
        <w:rPr>
          <w:rFonts w:hint="eastAsia"/>
          <w:sz w:val="21"/>
          <w:szCs w:val="21"/>
        </w:rPr>
        <w:t>磋商</w:t>
      </w:r>
      <w:r>
        <w:rPr>
          <w:sz w:val="21"/>
          <w:szCs w:val="21"/>
        </w:rPr>
        <w:t>保证金，并保留追究其赔偿</w:t>
      </w:r>
      <w:r>
        <w:rPr>
          <w:rFonts w:hint="eastAsia"/>
          <w:sz w:val="21"/>
          <w:szCs w:val="21"/>
        </w:rPr>
        <w:t>采购人</w:t>
      </w:r>
      <w:r>
        <w:rPr>
          <w:sz w:val="21"/>
          <w:szCs w:val="21"/>
        </w:rPr>
        <w:t>由此而造成一切损失的责任。</w:t>
      </w:r>
    </w:p>
    <w:p>
      <w:pPr>
        <w:spacing w:line="360" w:lineRule="auto"/>
        <w:ind w:firstLine="420" w:firstLineChars="200"/>
        <w:rPr>
          <w:sz w:val="21"/>
          <w:szCs w:val="21"/>
        </w:rPr>
      </w:pPr>
      <w:r>
        <w:rPr>
          <w:sz w:val="21"/>
          <w:szCs w:val="21"/>
        </w:rPr>
        <w:t>2</w:t>
      </w:r>
      <w:r>
        <w:rPr>
          <w:rFonts w:hint="eastAsia"/>
          <w:sz w:val="21"/>
          <w:szCs w:val="21"/>
        </w:rPr>
        <w:t>5</w:t>
      </w:r>
      <w:r>
        <w:rPr>
          <w:sz w:val="21"/>
          <w:szCs w:val="21"/>
        </w:rPr>
        <w:t>.5</w:t>
      </w:r>
      <w:r>
        <w:rPr>
          <w:rFonts w:hint="eastAsia"/>
          <w:sz w:val="21"/>
          <w:szCs w:val="21"/>
        </w:rPr>
        <w:t>采购人</w:t>
      </w:r>
      <w:r>
        <w:rPr>
          <w:sz w:val="21"/>
          <w:szCs w:val="21"/>
        </w:rPr>
        <w:t>保留审查</w:t>
      </w:r>
      <w:r>
        <w:rPr>
          <w:rFonts w:hint="eastAsia"/>
          <w:sz w:val="21"/>
          <w:szCs w:val="21"/>
        </w:rPr>
        <w:t>成交供应商</w:t>
      </w:r>
      <w:r>
        <w:rPr>
          <w:sz w:val="21"/>
          <w:szCs w:val="21"/>
        </w:rPr>
        <w:t>是否有能力令</w:t>
      </w:r>
      <w:r>
        <w:rPr>
          <w:rFonts w:hint="eastAsia"/>
          <w:sz w:val="21"/>
          <w:szCs w:val="21"/>
        </w:rPr>
        <w:t>采购人</w:t>
      </w:r>
      <w:r>
        <w:rPr>
          <w:sz w:val="21"/>
          <w:szCs w:val="21"/>
        </w:rPr>
        <w:t>满意的履行合同的权利，包括但不限于对</w:t>
      </w:r>
      <w:r>
        <w:rPr>
          <w:rFonts w:hint="eastAsia"/>
          <w:sz w:val="21"/>
          <w:szCs w:val="21"/>
        </w:rPr>
        <w:t>成交供应商</w:t>
      </w:r>
      <w:r>
        <w:rPr>
          <w:sz w:val="21"/>
          <w:szCs w:val="21"/>
        </w:rPr>
        <w:t>的规模、人员、场地、生产能力、供货能力等方面的核实或现场考察。如果审查通过，</w:t>
      </w:r>
      <w:r>
        <w:rPr>
          <w:rFonts w:hint="eastAsia"/>
          <w:sz w:val="21"/>
          <w:szCs w:val="21"/>
        </w:rPr>
        <w:t>采购人</w:t>
      </w:r>
      <w:r>
        <w:rPr>
          <w:sz w:val="21"/>
          <w:szCs w:val="21"/>
        </w:rPr>
        <w:t>将把合同授予该</w:t>
      </w:r>
      <w:r>
        <w:rPr>
          <w:rFonts w:hint="eastAsia"/>
          <w:sz w:val="21"/>
          <w:szCs w:val="21"/>
        </w:rPr>
        <w:t>供应商；</w:t>
      </w:r>
      <w:r>
        <w:rPr>
          <w:sz w:val="21"/>
          <w:szCs w:val="21"/>
        </w:rPr>
        <w:t>如果审查没有通过，</w:t>
      </w:r>
      <w:r>
        <w:rPr>
          <w:rFonts w:hint="eastAsia"/>
          <w:sz w:val="21"/>
          <w:szCs w:val="21"/>
        </w:rPr>
        <w:t>采购人</w:t>
      </w:r>
      <w:r>
        <w:rPr>
          <w:sz w:val="21"/>
          <w:szCs w:val="21"/>
        </w:rPr>
        <w:t>将拒绝其投标，并对下一个候选的</w:t>
      </w:r>
      <w:r>
        <w:rPr>
          <w:rFonts w:hint="eastAsia"/>
          <w:sz w:val="21"/>
          <w:szCs w:val="21"/>
        </w:rPr>
        <w:t>供应商</w:t>
      </w:r>
      <w:r>
        <w:rPr>
          <w:sz w:val="21"/>
          <w:szCs w:val="21"/>
        </w:rPr>
        <w:t>能否令人满意地履行合同作类似的审查或重新采购。</w:t>
      </w:r>
    </w:p>
    <w:p>
      <w:pPr>
        <w:pStyle w:val="5"/>
        <w:adjustRightInd/>
        <w:spacing w:line="360" w:lineRule="auto"/>
        <w:ind w:firstLine="422" w:firstLineChars="200"/>
        <w:rPr>
          <w:rFonts w:hAnsi="宋体"/>
          <w:b/>
          <w:sz w:val="21"/>
          <w:szCs w:val="21"/>
        </w:rPr>
      </w:pPr>
      <w:bookmarkStart w:id="130" w:name="_Toc475249142"/>
      <w:r>
        <w:rPr>
          <w:rFonts w:hint="eastAsia" w:hAnsi="宋体"/>
          <w:b/>
          <w:sz w:val="21"/>
          <w:szCs w:val="21"/>
        </w:rPr>
        <w:t>26.成交通知</w:t>
      </w:r>
      <w:bookmarkEnd w:id="130"/>
    </w:p>
    <w:p>
      <w:pPr>
        <w:spacing w:line="360" w:lineRule="auto"/>
        <w:ind w:firstLine="420" w:firstLineChars="200"/>
        <w:rPr>
          <w:rFonts w:hAnsi="宋体"/>
          <w:sz w:val="21"/>
          <w:szCs w:val="21"/>
        </w:rPr>
      </w:pPr>
      <w:r>
        <w:rPr>
          <w:rFonts w:hint="eastAsia" w:hAnsi="宋体"/>
          <w:sz w:val="21"/>
          <w:szCs w:val="21"/>
        </w:rPr>
        <w:t>26.1采购代理机构将在采购人确定成交供应商后之日起的2个工作日内发出《成交通知书》，并公告成交结果。</w:t>
      </w:r>
    </w:p>
    <w:p>
      <w:pPr>
        <w:spacing w:line="360" w:lineRule="auto"/>
        <w:ind w:firstLine="420" w:firstLineChars="200"/>
        <w:rPr>
          <w:rFonts w:hAnsi="宋体"/>
          <w:sz w:val="21"/>
          <w:szCs w:val="21"/>
        </w:rPr>
      </w:pPr>
      <w:r>
        <w:rPr>
          <w:rFonts w:hint="eastAsia" w:hAnsi="宋体"/>
          <w:sz w:val="21"/>
          <w:szCs w:val="21"/>
        </w:rPr>
        <w:t>26.2《成交通知书》是签订采购合同的依据和组成部分。</w:t>
      </w:r>
    </w:p>
    <w:p>
      <w:pPr>
        <w:spacing w:line="360" w:lineRule="auto"/>
        <w:ind w:firstLine="420" w:firstLineChars="200"/>
        <w:rPr>
          <w:rFonts w:hAnsi="宋体"/>
          <w:sz w:val="21"/>
          <w:szCs w:val="21"/>
        </w:rPr>
      </w:pPr>
      <w:r>
        <w:rPr>
          <w:rFonts w:hint="eastAsia" w:hAnsi="宋体"/>
          <w:sz w:val="21"/>
          <w:szCs w:val="21"/>
        </w:rPr>
        <w:t>26.3成交结果将在采购文件指定的采购信息发布媒体上公告，同时向成交供应商发出成交通知书，并将磋商文件随成交结果同时公告。</w:t>
      </w:r>
    </w:p>
    <w:p>
      <w:pPr>
        <w:pStyle w:val="13"/>
        <w:ind w:firstLine="400"/>
      </w:pPr>
    </w:p>
    <w:p>
      <w:pPr>
        <w:pStyle w:val="4"/>
        <w:adjustRightInd/>
        <w:spacing w:line="360" w:lineRule="auto"/>
        <w:ind w:firstLine="562" w:firstLineChars="200"/>
        <w:jc w:val="center"/>
        <w:rPr>
          <w:sz w:val="28"/>
          <w:szCs w:val="28"/>
        </w:rPr>
      </w:pPr>
      <w:bookmarkStart w:id="131" w:name="_Toc37756778"/>
      <w:bookmarkStart w:id="132" w:name="_Toc110953852"/>
      <w:bookmarkStart w:id="133" w:name="_Toc7897883"/>
      <w:bookmarkStart w:id="134" w:name="_Toc28276"/>
      <w:bookmarkStart w:id="135" w:name="_Toc475249143"/>
      <w:r>
        <w:rPr>
          <w:rFonts w:hint="eastAsia"/>
          <w:sz w:val="28"/>
          <w:szCs w:val="28"/>
        </w:rPr>
        <w:t>七、签订采购合同</w:t>
      </w:r>
      <w:bookmarkEnd w:id="131"/>
      <w:bookmarkEnd w:id="132"/>
      <w:bookmarkEnd w:id="133"/>
      <w:bookmarkEnd w:id="134"/>
    </w:p>
    <w:p>
      <w:pPr>
        <w:spacing w:line="360" w:lineRule="auto"/>
        <w:ind w:firstLine="420" w:firstLineChars="200"/>
        <w:rPr>
          <w:rFonts w:hAnsi="宋体"/>
          <w:sz w:val="21"/>
          <w:szCs w:val="21"/>
        </w:rPr>
      </w:pPr>
      <w:r>
        <w:rPr>
          <w:rFonts w:hint="eastAsia" w:hAnsi="宋体"/>
          <w:sz w:val="21"/>
          <w:szCs w:val="21"/>
        </w:rPr>
        <w:t>27.采购人与成交供应商应当在成交通知书发出之日起30日内，按照采购文件确定的事项签订采购合同。</w:t>
      </w:r>
    </w:p>
    <w:p>
      <w:pPr>
        <w:spacing w:line="360" w:lineRule="auto"/>
        <w:ind w:firstLine="420" w:firstLineChars="200"/>
        <w:rPr>
          <w:rFonts w:hAnsi="宋体"/>
          <w:sz w:val="21"/>
          <w:szCs w:val="21"/>
        </w:rPr>
      </w:pPr>
      <w:r>
        <w:rPr>
          <w:rFonts w:hint="eastAsia" w:hAnsi="宋体"/>
          <w:sz w:val="21"/>
          <w:szCs w:val="21"/>
        </w:rPr>
        <w:t>28.合同内容不得与磋商文件和响应文件内容有实质性偏离。</w:t>
      </w:r>
    </w:p>
    <w:p>
      <w:pPr>
        <w:spacing w:line="360" w:lineRule="auto"/>
        <w:ind w:firstLine="420" w:firstLineChars="200"/>
        <w:rPr>
          <w:rFonts w:hAnsi="宋体"/>
          <w:sz w:val="21"/>
          <w:szCs w:val="21"/>
        </w:rPr>
      </w:pPr>
      <w:r>
        <w:rPr>
          <w:rFonts w:hint="eastAsia" w:hAnsi="宋体"/>
          <w:sz w:val="21"/>
          <w:szCs w:val="21"/>
        </w:rPr>
        <w:t>29.采购合同自签订之日起7个工作日内，采购人应将合同副本报采购代理机构归档。</w:t>
      </w:r>
    </w:p>
    <w:p>
      <w:pPr>
        <w:spacing w:line="360" w:lineRule="auto"/>
        <w:ind w:firstLine="420" w:firstLineChars="200"/>
        <w:rPr>
          <w:rFonts w:hAnsi="宋体"/>
          <w:sz w:val="21"/>
          <w:szCs w:val="21"/>
          <w:lang w:val="zh-CN"/>
        </w:rPr>
      </w:pPr>
      <w:r>
        <w:rPr>
          <w:rFonts w:hint="eastAsia" w:hAnsi="宋体"/>
          <w:sz w:val="21"/>
          <w:szCs w:val="21"/>
        </w:rPr>
        <w:t>30</w:t>
      </w:r>
      <w:r>
        <w:rPr>
          <w:rFonts w:hint="eastAsia" w:hAnsi="宋体"/>
          <w:sz w:val="21"/>
          <w:szCs w:val="21"/>
          <w:lang w:val="zh-CN"/>
        </w:rPr>
        <w:tab/>
      </w:r>
      <w:r>
        <w:rPr>
          <w:rFonts w:hint="eastAsia" w:hAnsi="宋体"/>
          <w:sz w:val="21"/>
          <w:szCs w:val="21"/>
          <w:lang w:val="zh-CN"/>
        </w:rPr>
        <w:t>履约</w:t>
      </w:r>
      <w:r>
        <w:rPr>
          <w:rFonts w:hint="eastAsia" w:hAnsi="宋体"/>
          <w:sz w:val="21"/>
          <w:szCs w:val="21"/>
        </w:rPr>
        <w:t>担保</w:t>
      </w:r>
    </w:p>
    <w:p>
      <w:pPr>
        <w:spacing w:line="360" w:lineRule="auto"/>
        <w:ind w:firstLine="420" w:firstLineChars="200"/>
        <w:rPr>
          <w:rFonts w:hAnsi="宋体"/>
          <w:sz w:val="21"/>
          <w:szCs w:val="21"/>
        </w:rPr>
      </w:pPr>
      <w:r>
        <w:rPr>
          <w:rFonts w:hint="eastAsia" w:hAnsi="宋体"/>
          <w:sz w:val="21"/>
          <w:szCs w:val="21"/>
        </w:rPr>
        <w:t>30</w:t>
      </w:r>
      <w:r>
        <w:rPr>
          <w:rFonts w:hint="eastAsia" w:hAnsi="宋体"/>
          <w:sz w:val="21"/>
          <w:szCs w:val="21"/>
          <w:lang w:val="zh-CN"/>
        </w:rPr>
        <w:t>.1</w:t>
      </w:r>
      <w:r>
        <w:rPr>
          <w:rFonts w:hint="eastAsia" w:hAnsi="宋体"/>
          <w:sz w:val="21"/>
          <w:szCs w:val="21"/>
        </w:rPr>
        <w:t>签订合同前，成交供应商应提交履约担保。</w:t>
      </w:r>
    </w:p>
    <w:p>
      <w:pPr>
        <w:spacing w:line="360" w:lineRule="auto"/>
        <w:ind w:firstLine="420" w:firstLineChars="200"/>
        <w:rPr>
          <w:rFonts w:hAnsi="宋体"/>
          <w:sz w:val="21"/>
          <w:szCs w:val="21"/>
        </w:rPr>
      </w:pPr>
      <w:r>
        <w:rPr>
          <w:rFonts w:hint="eastAsia" w:hAnsi="宋体"/>
          <w:sz w:val="21"/>
          <w:szCs w:val="21"/>
        </w:rPr>
        <w:t>30.2成交供应商向采购人提交履约担保，履约担保形式：☑履约保证金；☑银行履约保函；□担保公司履约担保书。履约担保金额：合同金额的10%。履约担保账户：采购人指定账户。</w:t>
      </w:r>
    </w:p>
    <w:p>
      <w:pPr>
        <w:spacing w:line="360" w:lineRule="auto"/>
        <w:ind w:firstLine="420" w:firstLineChars="200"/>
        <w:rPr>
          <w:rFonts w:hAnsi="宋体"/>
          <w:sz w:val="21"/>
          <w:szCs w:val="21"/>
          <w:lang w:val="zh-CN"/>
        </w:rPr>
      </w:pPr>
      <w:r>
        <w:rPr>
          <w:rFonts w:hint="eastAsia" w:hAnsi="宋体"/>
          <w:sz w:val="21"/>
          <w:szCs w:val="21"/>
        </w:rPr>
        <w:t>30.3</w:t>
      </w:r>
      <w:r>
        <w:rPr>
          <w:rFonts w:hint="eastAsia" w:hAnsi="宋体"/>
          <w:sz w:val="21"/>
          <w:szCs w:val="21"/>
          <w:lang w:val="zh-CN"/>
        </w:rPr>
        <w:t>履约保函应是由银行支行一级或以上银行机构出具，并经甲方同意，非东莞市行政区内的银行出具的保函需经担保银行所在地公证机关公证并出具公证书。履约保函的内容，应符合磋商文件、投标响应文件和合同的要求。履约保函应在合同有效期满后28天内继续有效。</w:t>
      </w:r>
    </w:p>
    <w:p>
      <w:pPr>
        <w:spacing w:line="360" w:lineRule="auto"/>
        <w:ind w:firstLine="420" w:firstLineChars="200"/>
        <w:rPr>
          <w:rFonts w:hAnsi="宋体"/>
          <w:sz w:val="21"/>
          <w:szCs w:val="21"/>
          <w:lang w:val="zh-CN"/>
        </w:rPr>
      </w:pPr>
      <w:r>
        <w:rPr>
          <w:rFonts w:hint="eastAsia" w:hAnsi="宋体"/>
          <w:sz w:val="21"/>
          <w:szCs w:val="21"/>
        </w:rPr>
        <w:t>30.4</w:t>
      </w:r>
      <w:r>
        <w:rPr>
          <w:rFonts w:hint="eastAsia" w:hAnsi="宋体"/>
          <w:sz w:val="21"/>
          <w:szCs w:val="21"/>
          <w:lang w:val="zh-CN"/>
        </w:rPr>
        <w:t>若成交供应商不按规定提交履约担保，采购人将有充分的理由解除合同，给采购人造成的损失超过履约保证金数额的，还应当对超过部分予以赔偿。</w:t>
      </w:r>
    </w:p>
    <w:p>
      <w:pPr>
        <w:spacing w:line="360" w:lineRule="auto"/>
        <w:ind w:firstLine="420" w:firstLineChars="200"/>
        <w:rPr>
          <w:rFonts w:hAnsi="宋体"/>
          <w:sz w:val="21"/>
          <w:szCs w:val="21"/>
        </w:rPr>
      </w:pPr>
      <w:r>
        <w:rPr>
          <w:rFonts w:hint="eastAsia" w:hAnsi="宋体"/>
          <w:sz w:val="21"/>
          <w:szCs w:val="21"/>
        </w:rPr>
        <w:t>30.5在整个项目验收合格后，成交供应商向采购人提交退回履约担保的申请，采购人办理履约担保退还手续，将履约担保退回原成交供应商的汇入帐户。</w:t>
      </w:r>
    </w:p>
    <w:p>
      <w:pPr>
        <w:spacing w:line="360" w:lineRule="auto"/>
        <w:ind w:firstLine="420" w:firstLineChars="200"/>
        <w:rPr>
          <w:rFonts w:hAnsi="宋体"/>
          <w:sz w:val="21"/>
          <w:szCs w:val="21"/>
          <w:lang w:val="zh-CN"/>
        </w:rPr>
      </w:pPr>
      <w:r>
        <w:rPr>
          <w:rFonts w:hint="eastAsia" w:hAnsi="宋体"/>
          <w:sz w:val="21"/>
          <w:szCs w:val="21"/>
          <w:lang w:val="zh-CN"/>
        </w:rPr>
        <w:t>31.发票</w:t>
      </w:r>
    </w:p>
    <w:p>
      <w:pPr>
        <w:spacing w:line="360" w:lineRule="auto"/>
        <w:ind w:firstLine="420" w:firstLineChars="200"/>
        <w:rPr>
          <w:rFonts w:hAnsi="宋体"/>
          <w:sz w:val="21"/>
          <w:szCs w:val="21"/>
          <w:lang w:val="zh-CN"/>
        </w:rPr>
      </w:pPr>
      <w:r>
        <w:rPr>
          <w:rFonts w:hint="eastAsia" w:hAnsi="宋体"/>
          <w:sz w:val="21"/>
          <w:szCs w:val="21"/>
        </w:rPr>
        <w:t>31</w:t>
      </w:r>
      <w:r>
        <w:rPr>
          <w:rFonts w:hint="eastAsia" w:hAnsi="宋体"/>
          <w:sz w:val="21"/>
          <w:szCs w:val="21"/>
          <w:lang w:val="zh-CN"/>
        </w:rPr>
        <w:t>.1该项目获得中标的成交供应商在执行合同过程中，向采购人出具的发票必须是由成交供应商开具，不得以其他单位或个人名义出具。</w:t>
      </w:r>
    </w:p>
    <w:p>
      <w:pPr>
        <w:spacing w:line="360" w:lineRule="auto"/>
        <w:ind w:firstLine="420" w:firstLineChars="200"/>
        <w:rPr>
          <w:rFonts w:hAnsi="宋体"/>
          <w:sz w:val="21"/>
          <w:szCs w:val="21"/>
        </w:rPr>
      </w:pPr>
      <w:r>
        <w:rPr>
          <w:rFonts w:hint="eastAsia" w:hAnsi="宋体"/>
          <w:sz w:val="21"/>
          <w:szCs w:val="21"/>
        </w:rPr>
        <w:t>31.2成交供应商需提交增值税专用发票，并于备注栏写明项目名称及合同名称。</w:t>
      </w:r>
    </w:p>
    <w:p>
      <w:pPr>
        <w:spacing w:line="360" w:lineRule="auto"/>
        <w:ind w:firstLine="420" w:firstLineChars="200"/>
        <w:rPr>
          <w:rFonts w:hAnsi="宋体"/>
          <w:sz w:val="21"/>
          <w:szCs w:val="21"/>
        </w:rPr>
      </w:pPr>
      <w:r>
        <w:rPr>
          <w:rFonts w:hint="eastAsia" w:hAnsi="宋体"/>
          <w:sz w:val="21"/>
          <w:szCs w:val="21"/>
        </w:rPr>
        <w:t>31.3在合同履行期间，如遇国家的税率调整，则以开具发票的时间为准，以原合同约定价格不含税金额不变作为基准，按照新税率重新计算含税价格。</w:t>
      </w:r>
    </w:p>
    <w:bookmarkEnd w:id="135"/>
    <w:p>
      <w:pPr>
        <w:pStyle w:val="4"/>
        <w:adjustRightInd/>
        <w:spacing w:line="360" w:lineRule="auto"/>
        <w:ind w:firstLine="562" w:firstLineChars="200"/>
        <w:jc w:val="center"/>
        <w:rPr>
          <w:sz w:val="28"/>
          <w:szCs w:val="28"/>
          <w:lang w:val="zh-CN"/>
        </w:rPr>
      </w:pPr>
      <w:bookmarkStart w:id="136" w:name="_Toc3498"/>
      <w:bookmarkStart w:id="137" w:name="_Toc396137239"/>
      <w:bookmarkStart w:id="138" w:name="_Toc5141"/>
      <w:r>
        <w:rPr>
          <w:rFonts w:hint="eastAsia"/>
          <w:sz w:val="28"/>
          <w:szCs w:val="28"/>
          <w:lang w:val="zh-CN"/>
        </w:rPr>
        <w:t>八、质疑与回复</w:t>
      </w:r>
      <w:bookmarkEnd w:id="136"/>
      <w:bookmarkEnd w:id="137"/>
      <w:bookmarkEnd w:id="138"/>
    </w:p>
    <w:p>
      <w:pPr>
        <w:spacing w:line="360" w:lineRule="auto"/>
        <w:ind w:firstLine="420" w:firstLineChars="200"/>
        <w:rPr>
          <w:rFonts w:hAnsi="宋体"/>
          <w:sz w:val="21"/>
          <w:szCs w:val="21"/>
        </w:rPr>
      </w:pPr>
      <w:r>
        <w:rPr>
          <w:rFonts w:hint="eastAsia" w:hAnsi="宋体"/>
          <w:sz w:val="21"/>
          <w:szCs w:val="21"/>
        </w:rPr>
        <w:t>32   质疑与回复</w:t>
      </w:r>
    </w:p>
    <w:p>
      <w:pPr>
        <w:spacing w:line="360" w:lineRule="auto"/>
        <w:ind w:firstLine="420" w:firstLineChars="200"/>
        <w:rPr>
          <w:rFonts w:hAnsi="宋体"/>
          <w:sz w:val="21"/>
          <w:szCs w:val="21"/>
        </w:rPr>
      </w:pPr>
      <w:r>
        <w:rPr>
          <w:rFonts w:hint="eastAsia" w:hAnsi="宋体"/>
          <w:sz w:val="21"/>
          <w:szCs w:val="21"/>
        </w:rPr>
        <w:t>32.1 质疑书应当包括下列主要内容：</w:t>
      </w:r>
    </w:p>
    <w:p>
      <w:pPr>
        <w:spacing w:line="360" w:lineRule="auto"/>
        <w:ind w:left="539" w:right="17" w:hanging="539"/>
        <w:jc w:val="both"/>
        <w:rPr>
          <w:rFonts w:hAnsi="宋体"/>
          <w:sz w:val="21"/>
          <w:szCs w:val="21"/>
        </w:rPr>
      </w:pPr>
      <w:r>
        <w:rPr>
          <w:rFonts w:hint="eastAsia" w:hAnsi="宋体"/>
          <w:sz w:val="21"/>
          <w:szCs w:val="21"/>
        </w:rPr>
        <w:t>　　（1）供应商的姓名或者名称、地址、邮编、联系人及联系电话；</w:t>
      </w:r>
    </w:p>
    <w:p>
      <w:pPr>
        <w:spacing w:line="360" w:lineRule="auto"/>
        <w:ind w:left="539" w:right="17" w:hanging="539"/>
        <w:jc w:val="both"/>
        <w:rPr>
          <w:rFonts w:hAnsi="宋体"/>
          <w:sz w:val="21"/>
          <w:szCs w:val="21"/>
        </w:rPr>
      </w:pPr>
      <w:r>
        <w:rPr>
          <w:rFonts w:hint="eastAsia" w:hAnsi="宋体"/>
          <w:sz w:val="21"/>
          <w:szCs w:val="21"/>
        </w:rPr>
        <w:t>　　（2）质疑项目的名称、编号；</w:t>
      </w:r>
    </w:p>
    <w:p>
      <w:pPr>
        <w:spacing w:line="360" w:lineRule="auto"/>
        <w:ind w:left="539" w:right="17" w:hanging="539"/>
        <w:jc w:val="both"/>
        <w:rPr>
          <w:rFonts w:hAnsi="宋体"/>
          <w:sz w:val="21"/>
          <w:szCs w:val="21"/>
        </w:rPr>
      </w:pPr>
      <w:r>
        <w:rPr>
          <w:rFonts w:hint="eastAsia" w:hAnsi="宋体"/>
          <w:sz w:val="21"/>
          <w:szCs w:val="21"/>
        </w:rPr>
        <w:t>　　（3）具体、明确的质疑事项和与质疑事项相关的请求；</w:t>
      </w:r>
    </w:p>
    <w:p>
      <w:pPr>
        <w:spacing w:line="360" w:lineRule="auto"/>
        <w:ind w:left="539" w:right="17" w:hanging="539"/>
        <w:jc w:val="both"/>
        <w:rPr>
          <w:rFonts w:hAnsi="宋体"/>
          <w:sz w:val="21"/>
          <w:szCs w:val="21"/>
        </w:rPr>
      </w:pPr>
      <w:r>
        <w:rPr>
          <w:rFonts w:hint="eastAsia" w:hAnsi="宋体"/>
          <w:sz w:val="21"/>
          <w:szCs w:val="21"/>
        </w:rPr>
        <w:t>　　（4）事实依据；</w:t>
      </w:r>
    </w:p>
    <w:p>
      <w:pPr>
        <w:spacing w:line="360" w:lineRule="auto"/>
        <w:ind w:left="539" w:right="17" w:hanging="539"/>
        <w:jc w:val="both"/>
        <w:rPr>
          <w:rFonts w:hAnsi="宋体"/>
          <w:sz w:val="21"/>
          <w:szCs w:val="21"/>
        </w:rPr>
      </w:pPr>
      <w:r>
        <w:rPr>
          <w:rFonts w:hint="eastAsia" w:hAnsi="宋体"/>
          <w:sz w:val="21"/>
          <w:szCs w:val="21"/>
        </w:rPr>
        <w:t>　　（5）必要的法律依据；</w:t>
      </w:r>
    </w:p>
    <w:p>
      <w:pPr>
        <w:spacing w:line="360" w:lineRule="auto"/>
        <w:ind w:left="539" w:right="17" w:hanging="539"/>
        <w:jc w:val="both"/>
        <w:rPr>
          <w:rFonts w:hAnsi="宋体"/>
          <w:sz w:val="21"/>
          <w:szCs w:val="21"/>
        </w:rPr>
      </w:pPr>
      <w:r>
        <w:rPr>
          <w:rFonts w:hint="eastAsia" w:hAnsi="宋体"/>
          <w:sz w:val="21"/>
          <w:szCs w:val="21"/>
        </w:rPr>
        <w:t>　　（6）提出质疑的日期。</w:t>
      </w:r>
    </w:p>
    <w:p>
      <w:pPr>
        <w:spacing w:line="360" w:lineRule="auto"/>
        <w:ind w:firstLine="420" w:firstLineChars="200"/>
        <w:rPr>
          <w:rFonts w:hAnsi="宋体"/>
          <w:sz w:val="21"/>
          <w:szCs w:val="21"/>
        </w:rPr>
      </w:pPr>
      <w:r>
        <w:rPr>
          <w:rFonts w:hint="eastAsia" w:hAnsi="宋体"/>
          <w:kern w:val="2"/>
          <w:sz w:val="21"/>
          <w:szCs w:val="21"/>
        </w:rPr>
        <w:t>32</w:t>
      </w:r>
      <w:r>
        <w:rPr>
          <w:rFonts w:hint="eastAsia" w:hAnsi="宋体"/>
          <w:sz w:val="21"/>
          <w:szCs w:val="21"/>
        </w:rPr>
        <w:t>.2. 质疑书应当署名。质疑人为自然人的，应当由本人签名；质疑人为法人或者</w:t>
      </w:r>
      <w:r>
        <w:rPr>
          <w:rFonts w:hint="eastAsia" w:hAnsi="宋体"/>
          <w:kern w:val="2"/>
          <w:sz w:val="21"/>
          <w:szCs w:val="21"/>
          <w:lang w:val="zh-CN"/>
        </w:rPr>
        <w:t>其他</w:t>
      </w:r>
      <w:r>
        <w:rPr>
          <w:rFonts w:hint="eastAsia" w:hAnsi="宋体"/>
          <w:sz w:val="21"/>
          <w:szCs w:val="21"/>
        </w:rPr>
        <w:t>组织的，应当由法定代表人或者主要负责人签名并加盖公章。</w:t>
      </w:r>
    </w:p>
    <w:p>
      <w:pPr>
        <w:spacing w:line="360" w:lineRule="auto"/>
        <w:ind w:firstLine="420" w:firstLineChars="200"/>
        <w:rPr>
          <w:rFonts w:hAnsi="宋体"/>
          <w:sz w:val="21"/>
          <w:szCs w:val="21"/>
        </w:rPr>
      </w:pPr>
      <w:r>
        <w:rPr>
          <w:rFonts w:hint="eastAsia" w:hAnsi="宋体"/>
          <w:sz w:val="21"/>
          <w:szCs w:val="21"/>
        </w:rPr>
        <w:t>32.3. 供应商认为磋商文件的内容损害其权益的，应当以书面形式（加盖公章）在磋商文件公示期间或者自期满之日起7个工作日内向采购代理机构提交质疑书原件，逾期质疑无效。供应商以电话、传真或电邮形式提交的质疑属于无效质疑。</w:t>
      </w:r>
    </w:p>
    <w:p>
      <w:pPr>
        <w:spacing w:line="360" w:lineRule="auto"/>
        <w:ind w:firstLine="420" w:firstLineChars="200"/>
        <w:rPr>
          <w:rFonts w:hAnsi="宋体"/>
          <w:sz w:val="21"/>
          <w:szCs w:val="21"/>
        </w:rPr>
      </w:pPr>
      <w:r>
        <w:rPr>
          <w:rFonts w:hint="eastAsia" w:hAnsi="宋体"/>
          <w:sz w:val="21"/>
          <w:szCs w:val="21"/>
        </w:rPr>
        <w:t>32.4. 供应商认为采购过程和中标结果使自己的权益受到损害的，应当以书面形式（加盖公章）在知道或者应知其权益受到损害之日起7个工作日内向采购代理机构提交质疑书原件，逾期质疑无效。供应商以电话、传真或电邮形式提交的质疑属于无效质疑。联系人：罗小姐/0769-22652033；联系地址：东莞市东城莞龙路下桥银门街一号办公楼七楼。</w:t>
      </w:r>
    </w:p>
    <w:p>
      <w:pPr>
        <w:spacing w:line="360" w:lineRule="auto"/>
        <w:ind w:firstLine="420" w:firstLineChars="200"/>
        <w:rPr>
          <w:rFonts w:hAnsi="宋体"/>
          <w:sz w:val="21"/>
          <w:szCs w:val="21"/>
        </w:rPr>
      </w:pPr>
      <w:r>
        <w:rPr>
          <w:rFonts w:hint="eastAsia" w:hAnsi="宋体"/>
          <w:sz w:val="21"/>
          <w:szCs w:val="21"/>
        </w:rPr>
        <w:t>32.5.供应商在法定质疑期内一次性提出针对同一采购程序环节的质疑。</w:t>
      </w:r>
    </w:p>
    <w:p>
      <w:pPr>
        <w:spacing w:line="360" w:lineRule="auto"/>
        <w:ind w:firstLine="420" w:firstLineChars="200"/>
        <w:rPr>
          <w:rFonts w:hAnsi="宋体"/>
          <w:sz w:val="21"/>
          <w:szCs w:val="21"/>
        </w:rPr>
      </w:pPr>
      <w:r>
        <w:rPr>
          <w:rFonts w:hint="eastAsia" w:hAnsi="宋体"/>
          <w:sz w:val="21"/>
          <w:szCs w:val="21"/>
        </w:rPr>
        <w:t>32.6.质疑内容不得含有虚假、恶意成分。依据谁主张谁举证的原则，质疑者提供的质疑书应当包括下列主要内容：具体的质疑事项、事实依据及相关确凿的证明材料和注明事实的确切来源、供应商名称、联系人与联系电话、质疑时间，质疑书应当署名并由法定代表人或授权代表签名并加盖公章。采购代理机构受理书面质疑书原件之日起，在规定的期限内作出答复。供应商捏造事实、提供虚假材料或者以非法手段取得证明材料进行投诉的，列入不良行为记录名单，禁止其1至3年内参加采购活动。</w:t>
      </w:r>
    </w:p>
    <w:p>
      <w:pPr>
        <w:spacing w:line="360" w:lineRule="auto"/>
        <w:ind w:firstLine="420" w:firstLineChars="200"/>
        <w:rPr>
          <w:bCs/>
          <w:sz w:val="21"/>
          <w:szCs w:val="21"/>
        </w:rPr>
      </w:pPr>
      <w:bookmarkStart w:id="139" w:name="_Toc29421"/>
      <w:r>
        <w:rPr>
          <w:rFonts w:hint="eastAsia"/>
          <w:sz w:val="21"/>
          <w:szCs w:val="21"/>
        </w:rPr>
        <w:t>32.7.采购代理机构在收到供应商的有效书面质疑后7个工作日内作出答复，但答复的内容不涉及商业秘密，质疑供应商对采购人、采购代理机构的质疑答复不满意，或采购人、采购代理机构未在规定期限内作出答复的，可以在答复期满后15个工作日内向同级采购监督管理部门提出投诉。投诉事项应该是经过质疑的事项。</w:t>
      </w:r>
      <w:bookmarkEnd w:id="139"/>
    </w:p>
    <w:p>
      <w:pPr>
        <w:pStyle w:val="3"/>
        <w:keepNext/>
        <w:keepLines/>
        <w:pageBreakBefore/>
        <w:numPr>
          <w:ilvl w:val="0"/>
          <w:numId w:val="10"/>
        </w:numPr>
        <w:tabs>
          <w:tab w:val="left" w:pos="1080"/>
        </w:tabs>
        <w:spacing w:line="360" w:lineRule="auto"/>
        <w:ind w:left="1262" w:hanging="1262" w:hangingChars="449"/>
        <w:jc w:val="center"/>
        <w:rPr>
          <w:rFonts w:hAnsi="宋体"/>
          <w:b/>
          <w:bCs/>
          <w:kern w:val="44"/>
          <w:sz w:val="28"/>
          <w:szCs w:val="28"/>
          <w:lang w:val="zh-CN"/>
        </w:rPr>
      </w:pPr>
      <w:bookmarkStart w:id="140" w:name="_Toc396137240"/>
      <w:bookmarkStart w:id="141" w:name="_Toc22751"/>
      <w:r>
        <w:rPr>
          <w:rFonts w:hint="eastAsia" w:hAnsi="宋体"/>
          <w:b/>
          <w:bCs/>
          <w:kern w:val="44"/>
          <w:sz w:val="28"/>
          <w:szCs w:val="28"/>
          <w:lang w:val="zh-CN"/>
        </w:rPr>
        <w:t>用户需求书</w:t>
      </w:r>
      <w:bookmarkEnd w:id="140"/>
      <w:bookmarkEnd w:id="141"/>
    </w:p>
    <w:p>
      <w:pPr>
        <w:pStyle w:val="3"/>
        <w:jc w:val="center"/>
        <w:rPr>
          <w:b/>
          <w:bCs/>
        </w:rPr>
      </w:pPr>
      <w:bookmarkStart w:id="142" w:name="_Toc31620"/>
      <w:r>
        <w:rPr>
          <w:rFonts w:hint="eastAsia"/>
          <w:b/>
          <w:bCs/>
        </w:rPr>
        <w:t>第一部分商务需求书</w:t>
      </w:r>
      <w:bookmarkEnd w:id="142"/>
    </w:p>
    <w:tbl>
      <w:tblPr>
        <w:tblStyle w:val="52"/>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780"/>
        <w:gridCol w:w="1108"/>
        <w:gridCol w:w="7844"/>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780" w:type="dxa"/>
            <w:tcBorders>
              <w:top w:val="single" w:color="auto" w:sz="12" w:space="0"/>
              <w:left w:val="single" w:color="auto" w:sz="12" w:space="0"/>
              <w:bottom w:val="single" w:color="auto" w:sz="6" w:space="0"/>
              <w:right w:val="single" w:color="auto" w:sz="6" w:space="0"/>
            </w:tcBorders>
            <w:vAlign w:val="center"/>
          </w:tcPr>
          <w:p>
            <w:pPr>
              <w:spacing w:line="360" w:lineRule="auto"/>
              <w:jc w:val="center"/>
              <w:rPr>
                <w:sz w:val="21"/>
                <w:szCs w:val="21"/>
              </w:rPr>
            </w:pPr>
            <w:r>
              <w:rPr>
                <w:rFonts w:hint="eastAsia" w:hAnsi="宋体"/>
                <w:sz w:val="21"/>
                <w:szCs w:val="21"/>
              </w:rPr>
              <w:t>序号</w:t>
            </w:r>
          </w:p>
        </w:tc>
        <w:tc>
          <w:tcPr>
            <w:tcW w:w="1108" w:type="dxa"/>
            <w:tcBorders>
              <w:top w:val="single" w:color="auto" w:sz="12" w:space="0"/>
              <w:left w:val="single" w:color="auto" w:sz="6" w:space="0"/>
              <w:bottom w:val="single" w:color="auto" w:sz="6" w:space="0"/>
              <w:right w:val="single" w:color="auto" w:sz="6" w:space="0"/>
            </w:tcBorders>
            <w:vAlign w:val="center"/>
          </w:tcPr>
          <w:p>
            <w:pPr>
              <w:spacing w:line="360" w:lineRule="auto"/>
              <w:jc w:val="center"/>
              <w:rPr>
                <w:sz w:val="21"/>
                <w:szCs w:val="21"/>
              </w:rPr>
            </w:pPr>
            <w:r>
              <w:rPr>
                <w:rFonts w:hint="eastAsia" w:hAnsi="宋体"/>
                <w:sz w:val="21"/>
                <w:szCs w:val="21"/>
              </w:rPr>
              <w:t>条款名称</w:t>
            </w:r>
          </w:p>
        </w:tc>
        <w:tc>
          <w:tcPr>
            <w:tcW w:w="7844" w:type="dxa"/>
            <w:tcBorders>
              <w:top w:val="single" w:color="auto" w:sz="12" w:space="0"/>
              <w:left w:val="single" w:color="auto" w:sz="6" w:space="0"/>
              <w:bottom w:val="single" w:color="auto" w:sz="6" w:space="0"/>
              <w:right w:val="single" w:color="auto" w:sz="12" w:space="0"/>
            </w:tcBorders>
            <w:vAlign w:val="center"/>
          </w:tcPr>
          <w:p>
            <w:pPr>
              <w:spacing w:line="360" w:lineRule="auto"/>
              <w:jc w:val="center"/>
              <w:rPr>
                <w:sz w:val="21"/>
                <w:szCs w:val="21"/>
              </w:rPr>
            </w:pPr>
            <w:r>
              <w:rPr>
                <w:rFonts w:hint="eastAsia" w:hAnsi="宋体"/>
                <w:sz w:val="21"/>
                <w:szCs w:val="21"/>
              </w:rPr>
              <w:t>说明</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780" w:type="dxa"/>
            <w:tcBorders>
              <w:top w:val="single" w:color="auto" w:sz="6" w:space="0"/>
              <w:left w:val="single" w:color="auto" w:sz="12" w:space="0"/>
              <w:bottom w:val="single" w:color="auto" w:sz="6" w:space="0"/>
              <w:right w:val="single" w:color="auto" w:sz="6" w:space="0"/>
            </w:tcBorders>
            <w:vAlign w:val="center"/>
          </w:tcPr>
          <w:p>
            <w:pPr>
              <w:spacing w:line="360" w:lineRule="auto"/>
              <w:jc w:val="center"/>
              <w:rPr>
                <w:sz w:val="21"/>
                <w:szCs w:val="21"/>
              </w:rPr>
            </w:pPr>
            <w:r>
              <w:rPr>
                <w:rFonts w:hAnsi="宋体"/>
                <w:sz w:val="21"/>
                <w:szCs w:val="21"/>
              </w:rPr>
              <w:t>1</w:t>
            </w:r>
          </w:p>
        </w:tc>
        <w:tc>
          <w:tcPr>
            <w:tcW w:w="1108"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sz w:val="21"/>
                <w:szCs w:val="21"/>
              </w:rPr>
            </w:pPr>
            <w:r>
              <w:rPr>
                <w:rFonts w:hint="eastAsia" w:hAnsi="宋体"/>
                <w:sz w:val="21"/>
                <w:szCs w:val="21"/>
              </w:rPr>
              <w:t>工期</w:t>
            </w:r>
          </w:p>
        </w:tc>
        <w:tc>
          <w:tcPr>
            <w:tcW w:w="7844" w:type="dxa"/>
            <w:tcBorders>
              <w:top w:val="single" w:color="auto" w:sz="6" w:space="0"/>
              <w:left w:val="single" w:color="auto" w:sz="6" w:space="0"/>
              <w:bottom w:val="single" w:color="auto" w:sz="6" w:space="0"/>
              <w:right w:val="single" w:color="auto" w:sz="12" w:space="0"/>
            </w:tcBorders>
            <w:vAlign w:val="center"/>
          </w:tcPr>
          <w:p>
            <w:pPr>
              <w:spacing w:line="360" w:lineRule="auto"/>
              <w:rPr>
                <w:sz w:val="21"/>
                <w:szCs w:val="21"/>
              </w:rPr>
            </w:pPr>
            <w:r>
              <w:rPr>
                <w:rFonts w:hint="eastAsia" w:hAnsi="宋体"/>
                <w:sz w:val="21"/>
                <w:szCs w:val="21"/>
              </w:rPr>
              <w:t>90个日历天内完成所有设备的安装、调试并交付使用（最终进场时间以采购人书面通知为准，若分批次供货安装，每批次的工期不大于75日历天）。</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780" w:type="dxa"/>
            <w:tcBorders>
              <w:top w:val="single" w:color="auto" w:sz="6" w:space="0"/>
              <w:left w:val="single" w:color="auto" w:sz="12" w:space="0"/>
              <w:bottom w:val="single" w:color="auto" w:sz="6" w:space="0"/>
              <w:right w:val="single" w:color="auto" w:sz="6" w:space="0"/>
            </w:tcBorders>
            <w:vAlign w:val="center"/>
          </w:tcPr>
          <w:p>
            <w:pPr>
              <w:spacing w:line="360" w:lineRule="auto"/>
              <w:jc w:val="center"/>
              <w:rPr>
                <w:sz w:val="21"/>
                <w:szCs w:val="21"/>
              </w:rPr>
            </w:pPr>
            <w:r>
              <w:rPr>
                <w:rFonts w:hAnsi="宋体"/>
                <w:sz w:val="21"/>
                <w:szCs w:val="21"/>
              </w:rPr>
              <w:t>2</w:t>
            </w:r>
          </w:p>
        </w:tc>
        <w:tc>
          <w:tcPr>
            <w:tcW w:w="1108" w:type="dxa"/>
            <w:tcBorders>
              <w:top w:val="single" w:color="auto" w:sz="6" w:space="0"/>
              <w:left w:val="single" w:color="auto" w:sz="6" w:space="0"/>
              <w:bottom w:val="single" w:color="auto" w:sz="6" w:space="0"/>
              <w:right w:val="single" w:color="auto" w:sz="6" w:space="0"/>
            </w:tcBorders>
            <w:vAlign w:val="center"/>
          </w:tcPr>
          <w:p>
            <w:pPr>
              <w:spacing w:line="360" w:lineRule="auto"/>
              <w:rPr>
                <w:sz w:val="21"/>
                <w:szCs w:val="21"/>
              </w:rPr>
            </w:pPr>
            <w:r>
              <w:rPr>
                <w:rFonts w:hint="eastAsia" w:hAnsi="宋体"/>
                <w:sz w:val="21"/>
                <w:szCs w:val="21"/>
              </w:rPr>
              <w:t>供货地点</w:t>
            </w:r>
          </w:p>
        </w:tc>
        <w:tc>
          <w:tcPr>
            <w:tcW w:w="7844" w:type="dxa"/>
            <w:tcBorders>
              <w:top w:val="single" w:color="auto" w:sz="6" w:space="0"/>
              <w:left w:val="single" w:color="auto" w:sz="6" w:space="0"/>
              <w:bottom w:val="single" w:color="auto" w:sz="6" w:space="0"/>
              <w:right w:val="single" w:color="auto" w:sz="12" w:space="0"/>
            </w:tcBorders>
            <w:vAlign w:val="center"/>
          </w:tcPr>
          <w:p>
            <w:pPr>
              <w:spacing w:line="360" w:lineRule="auto"/>
              <w:rPr>
                <w:sz w:val="21"/>
                <w:szCs w:val="21"/>
              </w:rPr>
            </w:pPr>
            <w:r>
              <w:rPr>
                <w:rFonts w:hint="eastAsia" w:hAnsi="宋体"/>
                <w:sz w:val="21"/>
                <w:szCs w:val="21"/>
              </w:rPr>
              <w:t>采购人指定地点。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780" w:type="dxa"/>
            <w:tcBorders>
              <w:top w:val="single" w:color="auto" w:sz="6" w:space="0"/>
              <w:left w:val="single" w:color="auto" w:sz="12" w:space="0"/>
              <w:bottom w:val="single" w:color="auto" w:sz="6" w:space="0"/>
              <w:right w:val="single" w:color="auto" w:sz="6" w:space="0"/>
            </w:tcBorders>
            <w:vAlign w:val="center"/>
          </w:tcPr>
          <w:p>
            <w:pPr>
              <w:spacing w:line="360" w:lineRule="auto"/>
              <w:jc w:val="center"/>
              <w:rPr>
                <w:sz w:val="21"/>
                <w:szCs w:val="21"/>
              </w:rPr>
            </w:pPr>
            <w:r>
              <w:rPr>
                <w:rFonts w:hAnsi="宋体"/>
                <w:sz w:val="21"/>
                <w:szCs w:val="21"/>
              </w:rPr>
              <w:t>3</w:t>
            </w:r>
          </w:p>
        </w:tc>
        <w:tc>
          <w:tcPr>
            <w:tcW w:w="1108" w:type="dxa"/>
            <w:tcBorders>
              <w:top w:val="single" w:color="auto" w:sz="6" w:space="0"/>
              <w:left w:val="single" w:color="auto" w:sz="6" w:space="0"/>
              <w:bottom w:val="single" w:color="auto" w:sz="6" w:space="0"/>
              <w:right w:val="single" w:color="auto" w:sz="6" w:space="0"/>
            </w:tcBorders>
            <w:vAlign w:val="center"/>
          </w:tcPr>
          <w:p>
            <w:pPr>
              <w:spacing w:line="360" w:lineRule="auto"/>
              <w:rPr>
                <w:sz w:val="21"/>
                <w:szCs w:val="21"/>
              </w:rPr>
            </w:pPr>
            <w:r>
              <w:rPr>
                <w:rFonts w:hint="eastAsia" w:hAnsi="宋体"/>
                <w:sz w:val="21"/>
                <w:szCs w:val="21"/>
              </w:rPr>
              <w:t>付款</w:t>
            </w:r>
          </w:p>
        </w:tc>
        <w:tc>
          <w:tcPr>
            <w:tcW w:w="7844" w:type="dxa"/>
            <w:tcBorders>
              <w:top w:val="single" w:color="auto" w:sz="6" w:space="0"/>
              <w:left w:val="single" w:color="auto" w:sz="6" w:space="0"/>
              <w:bottom w:val="single" w:color="auto" w:sz="6" w:space="0"/>
              <w:right w:val="single" w:color="auto" w:sz="12" w:space="0"/>
            </w:tcBorders>
            <w:vAlign w:val="center"/>
          </w:tcPr>
          <w:p>
            <w:pPr>
              <w:tabs>
                <w:tab w:val="left" w:pos="786"/>
              </w:tabs>
              <w:spacing w:line="360" w:lineRule="auto"/>
              <w:rPr>
                <w:sz w:val="21"/>
                <w:szCs w:val="21"/>
              </w:rPr>
            </w:pPr>
            <w:r>
              <w:rPr>
                <w:rFonts w:hint="eastAsia" w:hAnsi="宋体"/>
                <w:sz w:val="21"/>
                <w:szCs w:val="21"/>
              </w:rPr>
              <w:t>（1）合同签订后，在2</w:t>
            </w:r>
            <w:r>
              <w:rPr>
                <w:rFonts w:hAnsi="宋体"/>
                <w:sz w:val="21"/>
                <w:szCs w:val="21"/>
              </w:rPr>
              <w:t>0</w:t>
            </w:r>
            <w:r>
              <w:rPr>
                <w:rFonts w:hint="eastAsia" w:hAnsi="宋体"/>
                <w:sz w:val="21"/>
                <w:szCs w:val="21"/>
              </w:rPr>
              <w:t>个工作日向成交供应商支付合同总价的20</w:t>
            </w:r>
            <w:r>
              <w:rPr>
                <w:rFonts w:hAnsi="宋体"/>
                <w:sz w:val="21"/>
                <w:szCs w:val="21"/>
              </w:rPr>
              <w:t>%</w:t>
            </w:r>
            <w:r>
              <w:rPr>
                <w:rFonts w:hint="eastAsia" w:hAnsi="宋体"/>
                <w:sz w:val="21"/>
                <w:szCs w:val="21"/>
              </w:rPr>
              <w:t>作为定金；</w:t>
            </w:r>
          </w:p>
          <w:p>
            <w:pPr>
              <w:tabs>
                <w:tab w:val="left" w:pos="786"/>
              </w:tabs>
              <w:spacing w:line="360" w:lineRule="auto"/>
              <w:rPr>
                <w:sz w:val="21"/>
                <w:szCs w:val="21"/>
              </w:rPr>
            </w:pPr>
            <w:r>
              <w:rPr>
                <w:rFonts w:hint="eastAsia" w:hAnsi="宋体"/>
                <w:sz w:val="21"/>
                <w:szCs w:val="21"/>
              </w:rPr>
              <w:t>（2）完成工程量的80%，在2</w:t>
            </w:r>
            <w:r>
              <w:rPr>
                <w:rFonts w:hAnsi="宋体"/>
                <w:sz w:val="21"/>
                <w:szCs w:val="21"/>
              </w:rPr>
              <w:t>0</w:t>
            </w:r>
            <w:r>
              <w:rPr>
                <w:rFonts w:hint="eastAsia" w:hAnsi="宋体"/>
                <w:sz w:val="21"/>
                <w:szCs w:val="21"/>
              </w:rPr>
              <w:t>个工作日向成交供应商支付至合同总价的60</w:t>
            </w:r>
            <w:r>
              <w:rPr>
                <w:rFonts w:hAnsi="宋体"/>
                <w:sz w:val="21"/>
                <w:szCs w:val="21"/>
              </w:rPr>
              <w:t>%</w:t>
            </w:r>
            <w:r>
              <w:rPr>
                <w:rFonts w:hint="eastAsia" w:hAnsi="宋体"/>
                <w:sz w:val="21"/>
                <w:szCs w:val="21"/>
              </w:rPr>
              <w:t>；</w:t>
            </w:r>
          </w:p>
          <w:p>
            <w:pPr>
              <w:tabs>
                <w:tab w:val="left" w:pos="786"/>
              </w:tabs>
              <w:spacing w:line="360" w:lineRule="auto"/>
              <w:rPr>
                <w:sz w:val="21"/>
                <w:szCs w:val="21"/>
              </w:rPr>
            </w:pPr>
            <w:r>
              <w:rPr>
                <w:rFonts w:hint="eastAsia" w:hAnsi="宋体"/>
                <w:sz w:val="21"/>
                <w:szCs w:val="21"/>
              </w:rPr>
              <w:t>（3）货物在安装、调试完毕初验合格后在2</w:t>
            </w:r>
            <w:r>
              <w:rPr>
                <w:rFonts w:hAnsi="宋体"/>
                <w:sz w:val="21"/>
                <w:szCs w:val="21"/>
              </w:rPr>
              <w:t>0</w:t>
            </w:r>
            <w:r>
              <w:rPr>
                <w:rFonts w:hint="eastAsia" w:hAnsi="宋体"/>
                <w:sz w:val="21"/>
                <w:szCs w:val="21"/>
              </w:rPr>
              <w:t>个工作日向成交供应商支付至合同总价的80</w:t>
            </w:r>
            <w:r>
              <w:rPr>
                <w:rFonts w:hAnsi="宋体"/>
                <w:sz w:val="21"/>
                <w:szCs w:val="21"/>
              </w:rPr>
              <w:t>%</w:t>
            </w:r>
            <w:r>
              <w:rPr>
                <w:rFonts w:hint="eastAsia" w:hAnsi="宋体"/>
                <w:sz w:val="21"/>
                <w:szCs w:val="21"/>
              </w:rPr>
              <w:t>。</w:t>
            </w:r>
          </w:p>
          <w:p>
            <w:pPr>
              <w:tabs>
                <w:tab w:val="left" w:pos="786"/>
              </w:tabs>
              <w:spacing w:line="360" w:lineRule="auto"/>
              <w:rPr>
                <w:sz w:val="21"/>
                <w:szCs w:val="21"/>
              </w:rPr>
            </w:pPr>
            <w:r>
              <w:rPr>
                <w:rFonts w:hint="eastAsia" w:hAnsi="宋体"/>
                <w:sz w:val="21"/>
                <w:szCs w:val="21"/>
              </w:rPr>
              <w:t>（4）竣工验收合格并办理完结算后在2</w:t>
            </w:r>
            <w:r>
              <w:rPr>
                <w:rFonts w:hAnsi="宋体"/>
                <w:sz w:val="21"/>
                <w:szCs w:val="21"/>
              </w:rPr>
              <w:t>0</w:t>
            </w:r>
            <w:r>
              <w:rPr>
                <w:rFonts w:hint="eastAsia" w:hAnsi="宋体"/>
                <w:sz w:val="21"/>
                <w:szCs w:val="21"/>
              </w:rPr>
              <w:t>个工作日向成交供应商支付至结算价的97</w:t>
            </w:r>
            <w:r>
              <w:rPr>
                <w:rFonts w:hAnsi="宋体"/>
                <w:sz w:val="21"/>
                <w:szCs w:val="21"/>
              </w:rPr>
              <w:t>%</w:t>
            </w:r>
            <w:r>
              <w:rPr>
                <w:rFonts w:hint="eastAsia" w:hAnsi="宋体"/>
                <w:sz w:val="21"/>
                <w:szCs w:val="21"/>
              </w:rPr>
              <w:t>。</w:t>
            </w:r>
          </w:p>
          <w:p>
            <w:pPr>
              <w:spacing w:line="360" w:lineRule="auto"/>
              <w:rPr>
                <w:sz w:val="21"/>
                <w:szCs w:val="21"/>
              </w:rPr>
            </w:pPr>
            <w:r>
              <w:rPr>
                <w:rFonts w:hint="eastAsia" w:hAnsi="宋体"/>
                <w:sz w:val="21"/>
                <w:szCs w:val="21"/>
              </w:rPr>
              <w:t>（5）质保期满通过质保期验收后再向成交供应商支付结算价的3</w:t>
            </w:r>
            <w:r>
              <w:rPr>
                <w:rFonts w:hAnsi="宋体"/>
                <w:sz w:val="21"/>
                <w:szCs w:val="21"/>
              </w:rPr>
              <w:t>%</w:t>
            </w:r>
            <w:r>
              <w:rPr>
                <w:rFonts w:hint="eastAsia" w:hAnsi="宋体"/>
                <w:sz w:val="21"/>
                <w:szCs w:val="21"/>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780" w:type="dxa"/>
            <w:tcBorders>
              <w:top w:val="single" w:color="auto" w:sz="6" w:space="0"/>
              <w:left w:val="single" w:color="auto" w:sz="12" w:space="0"/>
              <w:bottom w:val="single" w:color="auto" w:sz="6" w:space="0"/>
              <w:right w:val="single" w:color="auto" w:sz="6" w:space="0"/>
            </w:tcBorders>
            <w:vAlign w:val="center"/>
          </w:tcPr>
          <w:p>
            <w:pPr>
              <w:spacing w:line="360" w:lineRule="auto"/>
              <w:jc w:val="center"/>
              <w:rPr>
                <w:sz w:val="21"/>
                <w:szCs w:val="21"/>
              </w:rPr>
            </w:pPr>
            <w:r>
              <w:rPr>
                <w:rFonts w:hAnsi="宋体"/>
                <w:sz w:val="21"/>
                <w:szCs w:val="21"/>
              </w:rPr>
              <w:t>4</w:t>
            </w:r>
          </w:p>
        </w:tc>
        <w:tc>
          <w:tcPr>
            <w:tcW w:w="1108" w:type="dxa"/>
            <w:tcBorders>
              <w:top w:val="single" w:color="auto" w:sz="6" w:space="0"/>
              <w:left w:val="single" w:color="auto" w:sz="6" w:space="0"/>
              <w:bottom w:val="single" w:color="auto" w:sz="6" w:space="0"/>
              <w:right w:val="single" w:color="auto" w:sz="6" w:space="0"/>
            </w:tcBorders>
            <w:vAlign w:val="center"/>
          </w:tcPr>
          <w:p>
            <w:pPr>
              <w:spacing w:line="360" w:lineRule="auto"/>
              <w:rPr>
                <w:sz w:val="21"/>
                <w:szCs w:val="21"/>
              </w:rPr>
            </w:pPr>
            <w:r>
              <w:rPr>
                <w:rFonts w:hint="eastAsia" w:hAnsi="宋体"/>
                <w:sz w:val="21"/>
                <w:szCs w:val="21"/>
              </w:rPr>
              <w:t>质保期</w:t>
            </w:r>
          </w:p>
        </w:tc>
        <w:tc>
          <w:tcPr>
            <w:tcW w:w="7844" w:type="dxa"/>
            <w:tcBorders>
              <w:top w:val="single" w:color="auto" w:sz="6" w:space="0"/>
              <w:left w:val="single" w:color="auto" w:sz="6" w:space="0"/>
              <w:bottom w:val="single" w:color="auto" w:sz="6" w:space="0"/>
              <w:right w:val="single" w:color="auto" w:sz="12" w:space="0"/>
            </w:tcBorders>
            <w:vAlign w:val="center"/>
          </w:tcPr>
          <w:p>
            <w:pPr>
              <w:spacing w:line="360" w:lineRule="auto"/>
              <w:ind w:right="25"/>
              <w:rPr>
                <w:bCs/>
                <w:sz w:val="21"/>
                <w:szCs w:val="21"/>
              </w:rPr>
            </w:pPr>
            <w:r>
              <w:rPr>
                <w:rFonts w:hint="eastAsia" w:hAnsi="宋体"/>
                <w:bCs/>
                <w:sz w:val="21"/>
                <w:szCs w:val="21"/>
              </w:rPr>
              <w:t>项目最终验收合格之日起两年（产品有特殊要求的按实际需求执行）</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780" w:type="dxa"/>
            <w:tcBorders>
              <w:top w:val="single" w:color="auto" w:sz="6" w:space="0"/>
              <w:left w:val="single" w:color="auto" w:sz="12" w:space="0"/>
              <w:bottom w:val="single" w:color="auto" w:sz="6" w:space="0"/>
              <w:right w:val="single" w:color="auto" w:sz="6" w:space="0"/>
            </w:tcBorders>
            <w:vAlign w:val="center"/>
          </w:tcPr>
          <w:p>
            <w:pPr>
              <w:spacing w:line="360" w:lineRule="auto"/>
              <w:jc w:val="center"/>
              <w:rPr>
                <w:sz w:val="21"/>
                <w:szCs w:val="21"/>
              </w:rPr>
            </w:pPr>
            <w:r>
              <w:rPr>
                <w:rFonts w:hAnsi="宋体"/>
                <w:sz w:val="21"/>
                <w:szCs w:val="21"/>
              </w:rPr>
              <w:t>5</w:t>
            </w:r>
          </w:p>
        </w:tc>
        <w:tc>
          <w:tcPr>
            <w:tcW w:w="1108" w:type="dxa"/>
            <w:tcBorders>
              <w:top w:val="single" w:color="auto" w:sz="6" w:space="0"/>
              <w:left w:val="single" w:color="auto" w:sz="6" w:space="0"/>
              <w:bottom w:val="single" w:color="auto" w:sz="6" w:space="0"/>
              <w:right w:val="single" w:color="auto" w:sz="6" w:space="0"/>
            </w:tcBorders>
            <w:vAlign w:val="center"/>
          </w:tcPr>
          <w:p>
            <w:pPr>
              <w:spacing w:line="360" w:lineRule="auto"/>
              <w:rPr>
                <w:sz w:val="21"/>
                <w:szCs w:val="21"/>
              </w:rPr>
            </w:pPr>
            <w:r>
              <w:rPr>
                <w:rFonts w:hint="eastAsia" w:hAnsi="宋体"/>
                <w:sz w:val="21"/>
                <w:szCs w:val="21"/>
              </w:rPr>
              <w:t>售后服务</w:t>
            </w:r>
          </w:p>
        </w:tc>
        <w:tc>
          <w:tcPr>
            <w:tcW w:w="7844" w:type="dxa"/>
            <w:tcBorders>
              <w:top w:val="single" w:color="auto" w:sz="6" w:space="0"/>
              <w:left w:val="single" w:color="auto" w:sz="6" w:space="0"/>
              <w:bottom w:val="single" w:color="auto" w:sz="6" w:space="0"/>
              <w:right w:val="single" w:color="auto" w:sz="12" w:space="0"/>
            </w:tcBorders>
            <w:vAlign w:val="center"/>
          </w:tcPr>
          <w:p>
            <w:pPr>
              <w:spacing w:line="360" w:lineRule="auto"/>
              <w:rPr>
                <w:bCs/>
                <w:sz w:val="21"/>
                <w:szCs w:val="21"/>
              </w:rPr>
            </w:pPr>
            <w:r>
              <w:rPr>
                <w:rFonts w:hint="eastAsia" w:hAnsi="宋体"/>
                <w:bCs/>
                <w:sz w:val="21"/>
                <w:szCs w:val="21"/>
              </w:rPr>
              <w:t>质保期内维修人员接到维修通知后</w:t>
            </w:r>
            <w:r>
              <w:rPr>
                <w:rFonts w:hAnsi="宋体"/>
                <w:sz w:val="21"/>
                <w:szCs w:val="21"/>
              </w:rPr>
              <w:t>8</w:t>
            </w:r>
            <w:r>
              <w:rPr>
                <w:rFonts w:hint="eastAsia" w:hAnsi="宋体"/>
                <w:sz w:val="21"/>
                <w:szCs w:val="21"/>
              </w:rPr>
              <w:t>个小时内到达现场，</w:t>
            </w:r>
            <w:r>
              <w:rPr>
                <w:rFonts w:hAnsi="宋体"/>
                <w:bCs/>
                <w:sz w:val="21"/>
                <w:szCs w:val="21"/>
              </w:rPr>
              <w:t>24</w:t>
            </w:r>
            <w:r>
              <w:rPr>
                <w:rFonts w:hint="eastAsia" w:hAnsi="宋体"/>
                <w:bCs/>
                <w:sz w:val="21"/>
                <w:szCs w:val="21"/>
              </w:rPr>
              <w:t>小时内修复，质保服务方式均为供应商上门服务。非采购人的人为原因而出现产品质量及安装问题，由供应商负责包修、包换或包退。并承担上述情况产生的一切费用。质保期后如果采购人要求，供应商应长期负责有偿优惠维修。</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780" w:type="dxa"/>
            <w:tcBorders>
              <w:top w:val="single" w:color="auto" w:sz="6" w:space="0"/>
              <w:left w:val="single" w:color="auto" w:sz="12" w:space="0"/>
              <w:bottom w:val="single" w:color="auto" w:sz="6" w:space="0"/>
              <w:right w:val="single" w:color="auto" w:sz="6" w:space="0"/>
            </w:tcBorders>
            <w:vAlign w:val="center"/>
          </w:tcPr>
          <w:p>
            <w:pPr>
              <w:spacing w:line="360" w:lineRule="auto"/>
              <w:jc w:val="center"/>
              <w:rPr>
                <w:sz w:val="21"/>
                <w:szCs w:val="21"/>
              </w:rPr>
            </w:pPr>
            <w:r>
              <w:rPr>
                <w:rFonts w:hAnsi="宋体"/>
                <w:sz w:val="21"/>
                <w:szCs w:val="21"/>
              </w:rPr>
              <w:t>6</w:t>
            </w:r>
          </w:p>
        </w:tc>
        <w:tc>
          <w:tcPr>
            <w:tcW w:w="1108" w:type="dxa"/>
            <w:tcBorders>
              <w:top w:val="single" w:color="auto" w:sz="6" w:space="0"/>
              <w:left w:val="single" w:color="auto" w:sz="6" w:space="0"/>
              <w:bottom w:val="single" w:color="auto" w:sz="6" w:space="0"/>
              <w:right w:val="single" w:color="auto" w:sz="6" w:space="0"/>
            </w:tcBorders>
            <w:vAlign w:val="center"/>
          </w:tcPr>
          <w:p>
            <w:pPr>
              <w:spacing w:line="360" w:lineRule="auto"/>
              <w:rPr>
                <w:sz w:val="21"/>
                <w:szCs w:val="21"/>
              </w:rPr>
            </w:pPr>
            <w:r>
              <w:rPr>
                <w:rFonts w:hint="eastAsia" w:hAnsi="宋体"/>
                <w:sz w:val="21"/>
                <w:szCs w:val="21"/>
              </w:rPr>
              <w:t>报价内容</w:t>
            </w:r>
          </w:p>
        </w:tc>
        <w:tc>
          <w:tcPr>
            <w:tcW w:w="7844" w:type="dxa"/>
            <w:tcBorders>
              <w:top w:val="single" w:color="auto" w:sz="6" w:space="0"/>
              <w:left w:val="single" w:color="auto" w:sz="6" w:space="0"/>
              <w:bottom w:val="single" w:color="auto" w:sz="6" w:space="0"/>
              <w:right w:val="single" w:color="auto" w:sz="12" w:space="0"/>
            </w:tcBorders>
            <w:vAlign w:val="center"/>
          </w:tcPr>
          <w:p>
            <w:pPr>
              <w:spacing w:line="360" w:lineRule="auto"/>
              <w:rPr>
                <w:rFonts w:hAnsi="宋体"/>
                <w:bCs/>
                <w:sz w:val="21"/>
                <w:szCs w:val="21"/>
              </w:rPr>
            </w:pPr>
            <w:r>
              <w:rPr>
                <w:rFonts w:hint="eastAsia" w:hAnsi="宋体"/>
                <w:bCs/>
                <w:sz w:val="21"/>
                <w:szCs w:val="21"/>
              </w:rPr>
              <w:t>（1）报价应包含系统深化设计及其所需的货物及所需附件的购置费、采保费、运输费、安装、调试费、保险费、各种税费、检测费、售后服务费及合同实施过程中的应预见和不可预见费用等完成合同规定责任和义务、达到合同目的的一切费用。</w:t>
            </w:r>
          </w:p>
          <w:p>
            <w:pPr>
              <w:spacing w:line="360" w:lineRule="auto"/>
              <w:rPr>
                <w:rFonts w:hAnsi="宋体"/>
                <w:bCs/>
                <w:sz w:val="21"/>
                <w:szCs w:val="21"/>
              </w:rPr>
            </w:pPr>
            <w:r>
              <w:rPr>
                <w:rFonts w:hint="eastAsia" w:hAnsi="宋体"/>
                <w:bCs/>
                <w:sz w:val="21"/>
                <w:szCs w:val="21"/>
              </w:rPr>
              <w:t>（2）报价已包含监控中心服务软件、包含2600张门禁卡。</w:t>
            </w:r>
          </w:p>
          <w:p>
            <w:pPr>
              <w:spacing w:line="360" w:lineRule="auto"/>
              <w:rPr>
                <w:rFonts w:hAnsi="宋体"/>
                <w:bCs/>
                <w:sz w:val="21"/>
                <w:szCs w:val="21"/>
              </w:rPr>
            </w:pPr>
            <w:r>
              <w:rPr>
                <w:rFonts w:hint="eastAsia" w:hAnsi="宋体"/>
                <w:bCs/>
                <w:sz w:val="21"/>
                <w:szCs w:val="21"/>
              </w:rPr>
              <w:t>（3）投标价应包括所有应支付的对专利权和版权、设计或其他知识产权而需要向其他方支付的版税。</w:t>
            </w:r>
          </w:p>
          <w:p>
            <w:pPr>
              <w:spacing w:line="360" w:lineRule="auto"/>
              <w:rPr>
                <w:rFonts w:hAnsi="宋体"/>
                <w:bCs/>
                <w:sz w:val="21"/>
                <w:szCs w:val="21"/>
              </w:rPr>
            </w:pPr>
            <w:r>
              <w:rPr>
                <w:rFonts w:hint="eastAsia" w:hAnsi="宋体"/>
                <w:bCs/>
                <w:sz w:val="21"/>
                <w:szCs w:val="21"/>
              </w:rPr>
              <w:t>（4）合同总价为包干价。</w:t>
            </w:r>
          </w:p>
          <w:p>
            <w:pPr>
              <w:spacing w:line="360" w:lineRule="auto"/>
              <w:ind w:firstLine="420" w:firstLineChars="200"/>
              <w:rPr>
                <w:rFonts w:hAnsi="宋体"/>
                <w:bCs/>
                <w:sz w:val="21"/>
                <w:szCs w:val="21"/>
              </w:rPr>
            </w:pPr>
            <w:r>
              <w:rPr>
                <w:rFonts w:hint="eastAsia" w:hAnsi="宋体"/>
                <w:bCs/>
                <w:sz w:val="21"/>
                <w:szCs w:val="21"/>
              </w:rPr>
              <w:t>说明①采购人可根据实际需要对智能化方案进行调整，应采购人要求导致智能化工程量增加、减少或变更而引起合同价款的调整，将按成交供应商的对应清单报价进行核增或核减，核增金额不超过合同价5%的部分不予调整，核减金额按实在结算时进行调整。②磋商过程中，成交供应商最终报价对比投标报价如有下浮，最终清单价格按下浮比例，整体等比例下浮调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780" w:type="dxa"/>
            <w:tcBorders>
              <w:top w:val="single" w:color="auto" w:sz="6" w:space="0"/>
              <w:left w:val="single" w:color="auto" w:sz="12" w:space="0"/>
              <w:bottom w:val="single" w:color="auto" w:sz="6" w:space="0"/>
              <w:right w:val="single" w:color="auto" w:sz="6" w:space="0"/>
            </w:tcBorders>
            <w:vAlign w:val="center"/>
          </w:tcPr>
          <w:p>
            <w:pPr>
              <w:spacing w:line="360" w:lineRule="auto"/>
              <w:jc w:val="center"/>
              <w:rPr>
                <w:sz w:val="21"/>
                <w:szCs w:val="21"/>
              </w:rPr>
            </w:pPr>
            <w:r>
              <w:rPr>
                <w:rFonts w:hAnsi="宋体"/>
                <w:sz w:val="21"/>
                <w:szCs w:val="21"/>
              </w:rPr>
              <w:t>7</w:t>
            </w:r>
          </w:p>
        </w:tc>
        <w:tc>
          <w:tcPr>
            <w:tcW w:w="1108" w:type="dxa"/>
            <w:tcBorders>
              <w:top w:val="single" w:color="auto" w:sz="6" w:space="0"/>
              <w:left w:val="single" w:color="auto" w:sz="6" w:space="0"/>
              <w:bottom w:val="single" w:color="auto" w:sz="6" w:space="0"/>
              <w:right w:val="single" w:color="auto" w:sz="6" w:space="0"/>
            </w:tcBorders>
            <w:vAlign w:val="center"/>
          </w:tcPr>
          <w:p>
            <w:pPr>
              <w:spacing w:line="360" w:lineRule="auto"/>
              <w:rPr>
                <w:sz w:val="21"/>
                <w:szCs w:val="21"/>
              </w:rPr>
            </w:pPr>
            <w:r>
              <w:rPr>
                <w:rFonts w:hint="eastAsia" w:hAnsi="宋体"/>
                <w:sz w:val="21"/>
                <w:szCs w:val="21"/>
              </w:rPr>
              <w:t>合同条款</w:t>
            </w:r>
          </w:p>
        </w:tc>
        <w:tc>
          <w:tcPr>
            <w:tcW w:w="7844" w:type="dxa"/>
            <w:tcBorders>
              <w:top w:val="single" w:color="auto" w:sz="6" w:space="0"/>
              <w:left w:val="single" w:color="auto" w:sz="6" w:space="0"/>
              <w:bottom w:val="single" w:color="auto" w:sz="6" w:space="0"/>
              <w:right w:val="single" w:color="auto" w:sz="12" w:space="0"/>
            </w:tcBorders>
          </w:tcPr>
          <w:p>
            <w:pPr>
              <w:spacing w:line="360" w:lineRule="auto"/>
              <w:rPr>
                <w:b/>
                <w:sz w:val="21"/>
                <w:szCs w:val="21"/>
              </w:rPr>
            </w:pPr>
            <w:r>
              <w:rPr>
                <w:rFonts w:hint="eastAsia" w:hAnsi="宋体"/>
                <w:sz w:val="21"/>
                <w:szCs w:val="21"/>
              </w:rPr>
              <w:t>供应商实质响应合同各条款。</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40" w:hRule="atLeast"/>
          <w:jc w:val="center"/>
        </w:trPr>
        <w:tc>
          <w:tcPr>
            <w:tcW w:w="780" w:type="dxa"/>
            <w:tcBorders>
              <w:top w:val="single" w:color="auto" w:sz="6" w:space="0"/>
              <w:left w:val="single" w:color="auto" w:sz="12" w:space="0"/>
              <w:bottom w:val="single" w:color="auto" w:sz="6" w:space="0"/>
              <w:right w:val="single" w:color="auto" w:sz="6" w:space="0"/>
            </w:tcBorders>
            <w:vAlign w:val="center"/>
          </w:tcPr>
          <w:p>
            <w:pPr>
              <w:spacing w:line="360" w:lineRule="auto"/>
              <w:jc w:val="center"/>
              <w:rPr>
                <w:sz w:val="21"/>
                <w:szCs w:val="21"/>
              </w:rPr>
            </w:pPr>
            <w:r>
              <w:rPr>
                <w:rFonts w:hAnsi="宋体"/>
                <w:sz w:val="21"/>
                <w:szCs w:val="21"/>
              </w:rPr>
              <w:t>8</w:t>
            </w:r>
          </w:p>
        </w:tc>
        <w:tc>
          <w:tcPr>
            <w:tcW w:w="1108" w:type="dxa"/>
            <w:tcBorders>
              <w:top w:val="single" w:color="auto" w:sz="6" w:space="0"/>
              <w:left w:val="single" w:color="auto" w:sz="6" w:space="0"/>
              <w:bottom w:val="single" w:color="auto" w:sz="6" w:space="0"/>
              <w:right w:val="single" w:color="auto" w:sz="6" w:space="0"/>
            </w:tcBorders>
            <w:vAlign w:val="center"/>
          </w:tcPr>
          <w:p>
            <w:pPr>
              <w:spacing w:line="360" w:lineRule="auto"/>
              <w:rPr>
                <w:sz w:val="21"/>
                <w:szCs w:val="21"/>
              </w:rPr>
            </w:pPr>
            <w:r>
              <w:rPr>
                <w:rFonts w:hint="eastAsia" w:hAnsi="宋体"/>
                <w:sz w:val="21"/>
                <w:szCs w:val="21"/>
              </w:rPr>
              <w:t>其它要求</w:t>
            </w:r>
          </w:p>
        </w:tc>
        <w:tc>
          <w:tcPr>
            <w:tcW w:w="7844" w:type="dxa"/>
            <w:tcBorders>
              <w:top w:val="single" w:color="auto" w:sz="6" w:space="0"/>
              <w:left w:val="single" w:color="auto" w:sz="6" w:space="0"/>
              <w:bottom w:val="single" w:color="auto" w:sz="6" w:space="0"/>
              <w:right w:val="single" w:color="auto" w:sz="12" w:space="0"/>
            </w:tcBorders>
          </w:tcPr>
          <w:p>
            <w:pPr>
              <w:spacing w:line="360" w:lineRule="auto"/>
              <w:rPr>
                <w:sz w:val="21"/>
                <w:szCs w:val="21"/>
              </w:rPr>
            </w:pPr>
            <w:r>
              <w:rPr>
                <w:rFonts w:hint="eastAsia" w:hAnsi="宋体"/>
                <w:sz w:val="21"/>
                <w:szCs w:val="21"/>
              </w:rPr>
              <w:t>成交供应商不得将项目非法分包或转包给任何单位和个人。否则采购人有权即刻终止合同，并由成交供应商赔偿相应损失。</w:t>
            </w:r>
          </w:p>
        </w:tc>
      </w:tr>
    </w:tbl>
    <w:p/>
    <w:p>
      <w:pPr>
        <w:pStyle w:val="3"/>
        <w:jc w:val="center"/>
        <w:rPr>
          <w:rFonts w:hAnsi="宋体"/>
          <w:sz w:val="28"/>
          <w:szCs w:val="28"/>
        </w:rPr>
      </w:pPr>
      <w:bookmarkStart w:id="143" w:name="_Toc21266"/>
      <w:bookmarkStart w:id="144" w:name="_Toc382049128"/>
      <w:bookmarkStart w:id="145" w:name="_Toc462827492"/>
      <w:r>
        <w:rPr>
          <w:rFonts w:hint="eastAsia"/>
          <w:b/>
          <w:bCs/>
          <w:sz w:val="28"/>
          <w:szCs w:val="28"/>
        </w:rPr>
        <w:t>第二</w:t>
      </w:r>
      <w:r>
        <w:rPr>
          <w:b/>
          <w:bCs/>
          <w:sz w:val="28"/>
          <w:szCs w:val="28"/>
        </w:rPr>
        <w:t>部分</w:t>
      </w:r>
      <w:r>
        <w:rPr>
          <w:rFonts w:hint="eastAsia"/>
          <w:b/>
          <w:bCs/>
          <w:sz w:val="28"/>
          <w:szCs w:val="28"/>
        </w:rPr>
        <w:t>技术需求书</w:t>
      </w:r>
      <w:bookmarkEnd w:id="143"/>
      <w:bookmarkEnd w:id="144"/>
      <w:bookmarkEnd w:id="145"/>
    </w:p>
    <w:p>
      <w:pPr>
        <w:pStyle w:val="4"/>
        <w:spacing w:line="360" w:lineRule="auto"/>
        <w:rPr>
          <w:lang w:val="zh-CN"/>
        </w:rPr>
      </w:pPr>
      <w:bookmarkStart w:id="146" w:name="_Toc24966"/>
      <w:r>
        <w:rPr>
          <w:rFonts w:hint="eastAsia"/>
          <w:lang w:val="zh-CN"/>
        </w:rPr>
        <w:t>一、项目概况</w:t>
      </w:r>
      <w:bookmarkEnd w:id="146"/>
    </w:p>
    <w:p>
      <w:pPr>
        <w:pStyle w:val="4"/>
        <w:spacing w:line="360" w:lineRule="auto"/>
        <w:ind w:firstLine="420" w:firstLineChars="200"/>
        <w:rPr>
          <w:b w:val="0"/>
          <w:bCs/>
          <w:sz w:val="21"/>
          <w:szCs w:val="21"/>
        </w:rPr>
      </w:pPr>
      <w:bookmarkStart w:id="147" w:name="_Toc28355"/>
      <w:r>
        <w:rPr>
          <w:rFonts w:hint="eastAsia"/>
          <w:b w:val="0"/>
          <w:bCs/>
          <w:sz w:val="21"/>
          <w:szCs w:val="21"/>
        </w:rPr>
        <w:t>东实旗云花园总占地面积16462.13平方米，建筑面积约11.34万平方米。其中可售住宅面积约8.24万平方米，可售商铺面积约0.2万平方米，车位数量为681个（其中125个是人防车位、可售车位556个）。</w:t>
      </w:r>
    </w:p>
    <w:p>
      <w:pPr>
        <w:pStyle w:val="4"/>
        <w:spacing w:line="360" w:lineRule="auto"/>
        <w:rPr>
          <w:lang w:val="zh-CN"/>
        </w:rPr>
      </w:pPr>
      <w:r>
        <w:rPr>
          <w:rFonts w:hint="eastAsia"/>
          <w:lang w:val="zh-CN"/>
        </w:rPr>
        <w:t>二、项目需求主体说明</w:t>
      </w:r>
      <w:bookmarkEnd w:id="147"/>
    </w:p>
    <w:p>
      <w:pPr>
        <w:widowControl/>
        <w:shd w:val="clear" w:color="auto" w:fill="FFFFFF"/>
        <w:spacing w:line="360" w:lineRule="auto"/>
        <w:ind w:firstLine="480"/>
        <w:rPr>
          <w:rFonts w:hAnsi="宋体"/>
          <w:sz w:val="21"/>
          <w:szCs w:val="21"/>
        </w:rPr>
      </w:pPr>
      <w:bookmarkStart w:id="148" w:name="_Toc30067"/>
      <w:r>
        <w:rPr>
          <w:rFonts w:hint="eastAsia" w:hAnsi="宋体"/>
          <w:sz w:val="21"/>
          <w:szCs w:val="21"/>
        </w:rPr>
        <w:t>项目工程范围，本次工程为一次性包干工程：</w:t>
      </w:r>
    </w:p>
    <w:p>
      <w:pPr>
        <w:widowControl/>
        <w:shd w:val="clear" w:color="auto" w:fill="FFFFFF"/>
        <w:spacing w:line="360" w:lineRule="auto"/>
        <w:ind w:firstLine="480"/>
        <w:rPr>
          <w:rFonts w:hAnsi="宋体"/>
          <w:b/>
          <w:sz w:val="21"/>
          <w:szCs w:val="21"/>
        </w:rPr>
      </w:pPr>
      <w:r>
        <w:rPr>
          <w:rFonts w:hint="eastAsia" w:hAnsi="宋体"/>
          <w:sz w:val="21"/>
          <w:szCs w:val="21"/>
        </w:rPr>
        <w:t>1、按照智能化工程的施工图设计、供货、安装、独立调试及配合其他专业系统联动调试、培训、验收、保修及相关服务等，包括智能化管理中心建设、背景音乐子系统、视频监控子系统、巡更子系统、车辆出入口系统、五方通话总线、可视对讲子系统</w:t>
      </w:r>
      <w:r>
        <w:rPr>
          <w:rFonts w:hint="eastAsia" w:hAnsi="宋体"/>
          <w:b/>
          <w:sz w:val="21"/>
          <w:szCs w:val="21"/>
        </w:rPr>
        <w:t>。</w:t>
      </w:r>
    </w:p>
    <w:p>
      <w:pPr>
        <w:widowControl/>
        <w:shd w:val="clear" w:color="auto" w:fill="FFFFFF"/>
        <w:spacing w:line="360" w:lineRule="auto"/>
        <w:ind w:firstLine="480"/>
        <w:rPr>
          <w:rFonts w:hAnsi="宋体"/>
          <w:sz w:val="21"/>
          <w:szCs w:val="21"/>
        </w:rPr>
      </w:pPr>
      <w:r>
        <w:rPr>
          <w:rFonts w:hint="eastAsia" w:hAnsi="宋体"/>
          <w:sz w:val="21"/>
          <w:szCs w:val="21"/>
        </w:rPr>
        <w:t>2、其他说明：智能化管理中心建设包含机房装修、UPS电源系统、拼接屏安装、门禁安装、各子系统综合管控系统；背景音乐子系统主要分布在小区地面公共区域；视频监控子系统主要分布在小区地面公共区域、地下室、电梯及电梯出入口等区域；巡更子系统主要分布在地面主要区域及地下室；车辆出入口系统实现地下车库车辆出入管理、用时管控、收费功能；五方通话总线实现管线安装数据传输；可视对讲子系统主要分布在小区主出入口、单元门、室内门禁可视对讲安装。</w:t>
      </w:r>
    </w:p>
    <w:p>
      <w:pPr>
        <w:pStyle w:val="4"/>
        <w:spacing w:line="360" w:lineRule="auto"/>
        <w:rPr>
          <w:lang w:val="zh-CN"/>
        </w:rPr>
      </w:pPr>
      <w:r>
        <w:rPr>
          <w:rFonts w:hint="eastAsia"/>
          <w:lang w:val="zh-CN"/>
        </w:rPr>
        <w:t>三、</w:t>
      </w:r>
      <w:bookmarkEnd w:id="148"/>
      <w:r>
        <w:rPr>
          <w:rFonts w:hint="eastAsia"/>
          <w:lang w:val="zh-CN"/>
        </w:rPr>
        <w:t>报价说明</w:t>
      </w:r>
    </w:p>
    <w:p>
      <w:pPr>
        <w:spacing w:line="360" w:lineRule="auto"/>
        <w:ind w:firstLine="420" w:firstLineChars="200"/>
        <w:rPr>
          <w:sz w:val="21"/>
          <w:szCs w:val="21"/>
        </w:rPr>
      </w:pPr>
      <w:r>
        <w:rPr>
          <w:rFonts w:hint="eastAsia"/>
          <w:sz w:val="21"/>
          <w:szCs w:val="21"/>
        </w:rPr>
        <w:t>1、视频监控系统、可视对讲系统、车辆管理系统、智能化综合管理平台及管理服务器、大屏显示系统等主要设备选型品牌为海康威视、大华、华为或同等档次。</w:t>
      </w:r>
    </w:p>
    <w:p>
      <w:pPr>
        <w:pStyle w:val="2"/>
        <w:spacing w:line="360" w:lineRule="auto"/>
        <w:ind w:firstLine="460" w:firstLineChars="200"/>
        <w:rPr>
          <w:sz w:val="21"/>
          <w:szCs w:val="21"/>
        </w:rPr>
      </w:pPr>
      <w:r>
        <w:rPr>
          <w:rFonts w:hint="eastAsia"/>
          <w:sz w:val="21"/>
          <w:szCs w:val="21"/>
        </w:rPr>
        <w:t>2、工程报价清单（另册）</w:t>
      </w:r>
    </w:p>
    <w:p>
      <w:pPr>
        <w:pStyle w:val="4"/>
        <w:spacing w:line="360" w:lineRule="auto"/>
        <w:rPr>
          <w:lang w:val="zh-CN"/>
        </w:rPr>
      </w:pPr>
      <w:bookmarkStart w:id="149" w:name="_Toc3484"/>
      <w:r>
        <w:rPr>
          <w:rFonts w:hint="eastAsia"/>
          <w:lang w:val="zh-CN"/>
        </w:rPr>
        <w:t>四、设备技术参数要求</w:t>
      </w:r>
      <w:bookmarkEnd w:id="149"/>
    </w:p>
    <w:p>
      <w:pPr>
        <w:widowControl/>
        <w:shd w:val="clear" w:color="auto" w:fill="FFFFFF"/>
        <w:spacing w:line="360" w:lineRule="auto"/>
        <w:ind w:firstLine="480"/>
        <w:rPr>
          <w:rFonts w:hAnsi="宋体"/>
          <w:b/>
          <w:bCs/>
          <w:sz w:val="21"/>
          <w:szCs w:val="21"/>
        </w:rPr>
      </w:pPr>
      <w:r>
        <w:rPr>
          <w:rFonts w:hint="eastAsia" w:hAnsi="宋体"/>
          <w:b/>
          <w:bCs/>
          <w:sz w:val="21"/>
          <w:szCs w:val="21"/>
        </w:rPr>
        <w:t>（一）智能化管理中心建设</w:t>
      </w:r>
    </w:p>
    <w:p>
      <w:pPr>
        <w:widowControl/>
        <w:shd w:val="clear" w:color="auto" w:fill="FFFFFF"/>
        <w:spacing w:line="360" w:lineRule="auto"/>
        <w:ind w:firstLine="480"/>
        <w:rPr>
          <w:rFonts w:hAnsi="宋体"/>
          <w:b/>
          <w:bCs/>
          <w:sz w:val="21"/>
          <w:szCs w:val="21"/>
        </w:rPr>
      </w:pPr>
      <w:r>
        <w:rPr>
          <w:rFonts w:hint="eastAsia" w:hAnsi="宋体"/>
          <w:b/>
          <w:bCs/>
          <w:sz w:val="21"/>
          <w:szCs w:val="21"/>
        </w:rPr>
        <w:t>1、</w:t>
      </w:r>
      <w:r>
        <w:rPr>
          <w:rFonts w:hAnsi="宋体"/>
          <w:b/>
          <w:bCs/>
          <w:sz w:val="21"/>
          <w:szCs w:val="21"/>
        </w:rPr>
        <w:t>机房弱电总电柜</w:t>
      </w:r>
    </w:p>
    <w:p>
      <w:pPr>
        <w:widowControl/>
        <w:shd w:val="clear" w:color="auto" w:fill="FFFFFF"/>
        <w:spacing w:line="360" w:lineRule="auto"/>
        <w:ind w:firstLine="480"/>
        <w:rPr>
          <w:rFonts w:hAnsi="宋体"/>
          <w:sz w:val="21"/>
          <w:szCs w:val="21"/>
        </w:rPr>
      </w:pPr>
      <w:r>
        <w:rPr>
          <w:rFonts w:hint="eastAsia" w:hAnsi="宋体"/>
          <w:sz w:val="21"/>
          <w:szCs w:val="21"/>
        </w:rPr>
        <w:t>塑壳断路器=NM1-250S/3300 160A*1  NM1-125S/3300 100A*1</w:t>
      </w:r>
    </w:p>
    <w:p>
      <w:pPr>
        <w:widowControl/>
        <w:shd w:val="clear" w:color="auto" w:fill="FFFFFF"/>
        <w:spacing w:line="360" w:lineRule="auto"/>
        <w:ind w:firstLine="480"/>
        <w:rPr>
          <w:rFonts w:hAnsi="宋体"/>
          <w:sz w:val="21"/>
          <w:szCs w:val="21"/>
        </w:rPr>
      </w:pPr>
      <w:r>
        <w:rPr>
          <w:rFonts w:hint="eastAsia" w:hAnsi="宋体"/>
          <w:sz w:val="21"/>
          <w:szCs w:val="21"/>
        </w:rPr>
        <w:t>互感器=BH-0.5-150/电压表=6L2-450V</w:t>
      </w:r>
    </w:p>
    <w:p>
      <w:pPr>
        <w:widowControl/>
        <w:shd w:val="clear" w:color="auto" w:fill="FFFFFF"/>
        <w:spacing w:line="360" w:lineRule="auto"/>
        <w:ind w:firstLine="480"/>
        <w:rPr>
          <w:rFonts w:hAnsi="宋体"/>
          <w:sz w:val="21"/>
          <w:szCs w:val="21"/>
        </w:rPr>
      </w:pPr>
      <w:r>
        <w:rPr>
          <w:rFonts w:hint="eastAsia" w:hAnsi="宋体"/>
          <w:sz w:val="21"/>
          <w:szCs w:val="21"/>
        </w:rPr>
        <w:t>电流表=6L2-150/5</w:t>
      </w:r>
    </w:p>
    <w:p>
      <w:pPr>
        <w:widowControl/>
        <w:shd w:val="clear" w:color="auto" w:fill="FFFFFF"/>
        <w:spacing w:line="360" w:lineRule="auto"/>
        <w:ind w:firstLine="480"/>
        <w:rPr>
          <w:rFonts w:hAnsi="宋体"/>
          <w:sz w:val="21"/>
          <w:szCs w:val="21"/>
        </w:rPr>
      </w:pPr>
      <w:r>
        <w:rPr>
          <w:rFonts w:hint="eastAsia" w:hAnsi="宋体"/>
          <w:sz w:val="21"/>
          <w:szCs w:val="21"/>
        </w:rPr>
        <w:t>电压转换开关=LW5-16YH3/3</w:t>
      </w:r>
    </w:p>
    <w:p>
      <w:pPr>
        <w:widowControl/>
        <w:shd w:val="clear" w:color="auto" w:fill="FFFFFF"/>
        <w:spacing w:line="360" w:lineRule="auto"/>
        <w:ind w:firstLine="480"/>
        <w:rPr>
          <w:rFonts w:hAnsi="宋体"/>
          <w:sz w:val="21"/>
          <w:szCs w:val="21"/>
        </w:rPr>
      </w:pPr>
      <w:r>
        <w:rPr>
          <w:rFonts w:hint="eastAsia" w:hAnsi="宋体"/>
          <w:sz w:val="21"/>
          <w:szCs w:val="21"/>
        </w:rPr>
        <w:t>信号灯=AD16</w:t>
      </w:r>
    </w:p>
    <w:p>
      <w:pPr>
        <w:widowControl/>
        <w:shd w:val="clear" w:color="auto" w:fill="FFFFFF"/>
        <w:spacing w:line="360" w:lineRule="auto"/>
        <w:ind w:firstLine="480"/>
        <w:rPr>
          <w:rFonts w:hAnsi="宋体"/>
          <w:sz w:val="21"/>
          <w:szCs w:val="21"/>
        </w:rPr>
      </w:pPr>
      <w:r>
        <w:rPr>
          <w:rFonts w:hint="eastAsia" w:hAnsi="宋体"/>
          <w:sz w:val="21"/>
          <w:szCs w:val="21"/>
        </w:rPr>
        <w:t>浪涌保护器=80KA/4P</w:t>
      </w:r>
    </w:p>
    <w:p>
      <w:pPr>
        <w:widowControl/>
        <w:shd w:val="clear" w:color="auto" w:fill="FFFFFF"/>
        <w:spacing w:line="360" w:lineRule="auto"/>
        <w:ind w:firstLine="480"/>
        <w:rPr>
          <w:rFonts w:hAnsi="宋体"/>
          <w:sz w:val="21"/>
          <w:szCs w:val="21"/>
        </w:rPr>
      </w:pPr>
      <w:r>
        <w:rPr>
          <w:rFonts w:hint="eastAsia" w:hAnsi="宋体"/>
          <w:sz w:val="21"/>
          <w:szCs w:val="21"/>
        </w:rPr>
        <w:t>小型断路器=DZ47-C40A/3P</w:t>
      </w:r>
    </w:p>
    <w:p>
      <w:pPr>
        <w:widowControl/>
        <w:shd w:val="clear" w:color="auto" w:fill="FFFFFF"/>
        <w:spacing w:line="360" w:lineRule="auto"/>
        <w:ind w:firstLine="480"/>
        <w:rPr>
          <w:rFonts w:hAnsi="宋体"/>
          <w:sz w:val="21"/>
          <w:szCs w:val="21"/>
        </w:rPr>
      </w:pPr>
      <w:r>
        <w:rPr>
          <w:rFonts w:hint="eastAsia" w:hAnsi="宋体"/>
          <w:sz w:val="21"/>
          <w:szCs w:val="21"/>
        </w:rPr>
        <w:t>小心过断路器DZ47-C25A/3P</w:t>
      </w:r>
    </w:p>
    <w:p>
      <w:pPr>
        <w:widowControl/>
        <w:shd w:val="clear" w:color="auto" w:fill="FFFFFF"/>
        <w:spacing w:line="360" w:lineRule="auto"/>
        <w:ind w:firstLine="480"/>
        <w:rPr>
          <w:rFonts w:hAnsi="宋体"/>
          <w:sz w:val="21"/>
          <w:szCs w:val="21"/>
        </w:rPr>
      </w:pPr>
      <w:r>
        <w:rPr>
          <w:rFonts w:hint="eastAsia" w:hAnsi="宋体"/>
          <w:sz w:val="21"/>
          <w:szCs w:val="21"/>
        </w:rPr>
        <w:t>小型断路器=DZ47-C40A/2P  DZ47-C25A/2P  DZ47-C16A/2P</w:t>
      </w:r>
    </w:p>
    <w:p>
      <w:pPr>
        <w:widowControl/>
        <w:shd w:val="clear" w:color="auto" w:fill="FFFFFF"/>
        <w:spacing w:line="360" w:lineRule="auto"/>
        <w:ind w:firstLine="480"/>
        <w:rPr>
          <w:rFonts w:hAnsi="宋体"/>
          <w:sz w:val="21"/>
          <w:szCs w:val="21"/>
        </w:rPr>
      </w:pPr>
      <w:r>
        <w:rPr>
          <w:rFonts w:hint="eastAsia" w:hAnsi="宋体"/>
          <w:sz w:val="21"/>
          <w:szCs w:val="21"/>
        </w:rPr>
        <w:t>浪涌保护器=40KA/4P</w:t>
      </w:r>
    </w:p>
    <w:p>
      <w:pPr>
        <w:widowControl/>
        <w:shd w:val="clear" w:color="auto" w:fill="FFFFFF"/>
        <w:spacing w:line="360" w:lineRule="auto"/>
        <w:ind w:firstLine="480"/>
        <w:rPr>
          <w:rFonts w:hAnsi="宋体"/>
          <w:sz w:val="21"/>
          <w:szCs w:val="21"/>
        </w:rPr>
      </w:pPr>
      <w:r>
        <w:rPr>
          <w:rFonts w:hint="eastAsia" w:hAnsi="宋体"/>
          <w:sz w:val="21"/>
          <w:szCs w:val="21"/>
        </w:rPr>
        <w:t>双层门1600*600*370</w:t>
      </w:r>
    </w:p>
    <w:p>
      <w:pPr>
        <w:widowControl/>
        <w:shd w:val="clear" w:color="auto" w:fill="FFFFFF"/>
        <w:spacing w:line="360" w:lineRule="auto"/>
        <w:ind w:firstLine="480"/>
        <w:rPr>
          <w:rFonts w:hAnsi="宋体"/>
          <w:b/>
          <w:bCs/>
          <w:sz w:val="21"/>
          <w:szCs w:val="21"/>
        </w:rPr>
      </w:pPr>
      <w:r>
        <w:rPr>
          <w:rFonts w:hint="eastAsia" w:hAnsi="宋体"/>
          <w:b/>
          <w:bCs/>
          <w:sz w:val="21"/>
          <w:szCs w:val="21"/>
        </w:rPr>
        <w:t>2、拼接屏</w:t>
      </w:r>
    </w:p>
    <w:p>
      <w:pPr>
        <w:widowControl/>
        <w:shd w:val="clear" w:color="auto" w:fill="FFFFFF"/>
        <w:spacing w:line="360" w:lineRule="auto"/>
        <w:ind w:firstLine="480"/>
        <w:rPr>
          <w:rFonts w:hAnsi="宋体"/>
          <w:sz w:val="21"/>
          <w:szCs w:val="21"/>
        </w:rPr>
      </w:pPr>
      <w:r>
        <w:rPr>
          <w:rFonts w:hint="eastAsia" w:hAnsi="宋体"/>
          <w:sz w:val="21"/>
          <w:szCs w:val="21"/>
        </w:rPr>
        <w:t>尺寸：46英寸；拼缝：3.5mm</w:t>
      </w:r>
    </w:p>
    <w:p>
      <w:pPr>
        <w:widowControl/>
        <w:shd w:val="clear" w:color="auto" w:fill="FFFFFF"/>
        <w:spacing w:line="360" w:lineRule="auto"/>
        <w:ind w:firstLine="480"/>
        <w:rPr>
          <w:rFonts w:hAnsi="宋体"/>
          <w:sz w:val="21"/>
          <w:szCs w:val="21"/>
        </w:rPr>
      </w:pPr>
      <w:r>
        <w:rPr>
          <w:rFonts w:hint="eastAsia" w:hAnsi="宋体"/>
          <w:sz w:val="21"/>
          <w:szCs w:val="21"/>
        </w:rPr>
        <w:t>分辨率：1920 × 1080@60 Hz（向下兼容）</w:t>
      </w:r>
    </w:p>
    <w:p>
      <w:pPr>
        <w:widowControl/>
        <w:shd w:val="clear" w:color="auto" w:fill="FFFFFF"/>
        <w:spacing w:line="360" w:lineRule="auto"/>
        <w:ind w:firstLine="480"/>
        <w:rPr>
          <w:rFonts w:hAnsi="宋体"/>
          <w:sz w:val="21"/>
          <w:szCs w:val="21"/>
        </w:rPr>
      </w:pPr>
      <w:r>
        <w:rPr>
          <w:rFonts w:hint="eastAsia" w:hAnsi="宋体"/>
          <w:sz w:val="21"/>
          <w:szCs w:val="21"/>
        </w:rPr>
        <w:t>视角：垂直上下178°，水平左右178°(CR≥10)</w:t>
      </w:r>
    </w:p>
    <w:p>
      <w:pPr>
        <w:widowControl/>
        <w:shd w:val="clear" w:color="auto" w:fill="FFFFFF"/>
        <w:spacing w:line="360" w:lineRule="auto"/>
        <w:ind w:firstLine="480"/>
        <w:rPr>
          <w:rFonts w:hAnsi="宋体"/>
          <w:sz w:val="21"/>
          <w:szCs w:val="21"/>
        </w:rPr>
      </w:pPr>
      <w:r>
        <w:rPr>
          <w:rFonts w:hint="eastAsia" w:hAnsi="宋体"/>
          <w:sz w:val="21"/>
          <w:szCs w:val="21"/>
        </w:rPr>
        <w:t>响应时间：8ms(G to G)</w:t>
      </w:r>
    </w:p>
    <w:p>
      <w:pPr>
        <w:widowControl/>
        <w:shd w:val="clear" w:color="auto" w:fill="FFFFFF"/>
        <w:spacing w:line="360" w:lineRule="auto"/>
        <w:ind w:firstLine="480"/>
        <w:rPr>
          <w:rFonts w:hAnsi="宋体"/>
          <w:sz w:val="21"/>
          <w:szCs w:val="21"/>
        </w:rPr>
      </w:pPr>
      <w:r>
        <w:rPr>
          <w:rFonts w:hint="eastAsia" w:hAnsi="宋体"/>
          <w:sz w:val="21"/>
          <w:szCs w:val="21"/>
        </w:rPr>
        <w:t>对比度：1200：1</w:t>
      </w:r>
    </w:p>
    <w:p>
      <w:pPr>
        <w:widowControl/>
        <w:shd w:val="clear" w:color="auto" w:fill="FFFFFF"/>
        <w:spacing w:line="360" w:lineRule="auto"/>
        <w:ind w:firstLine="480"/>
        <w:rPr>
          <w:rFonts w:hAnsi="宋体"/>
          <w:sz w:val="21"/>
          <w:szCs w:val="21"/>
        </w:rPr>
      </w:pPr>
      <w:r>
        <w:rPr>
          <w:rFonts w:hint="eastAsia" w:hAnsi="宋体"/>
          <w:sz w:val="21"/>
          <w:szCs w:val="21"/>
        </w:rPr>
        <w:t>亮度：700cd/㎡</w:t>
      </w:r>
    </w:p>
    <w:p>
      <w:pPr>
        <w:widowControl/>
        <w:shd w:val="clear" w:color="auto" w:fill="FFFFFF"/>
        <w:spacing w:line="360" w:lineRule="auto"/>
        <w:ind w:firstLine="480"/>
        <w:rPr>
          <w:rFonts w:hAnsi="宋体"/>
          <w:sz w:val="21"/>
          <w:szCs w:val="21"/>
        </w:rPr>
      </w:pPr>
      <w:r>
        <w:rPr>
          <w:rFonts w:hint="eastAsia" w:hAnsi="宋体"/>
          <w:sz w:val="21"/>
          <w:szCs w:val="21"/>
        </w:rPr>
        <w:t>输入接口：HDMI × 1， DVI × 1， VGA × 1， CVBS × 1， USB × 1</w:t>
      </w:r>
    </w:p>
    <w:p>
      <w:pPr>
        <w:widowControl/>
        <w:shd w:val="clear" w:color="auto" w:fill="FFFFFF"/>
        <w:spacing w:line="360" w:lineRule="auto"/>
        <w:ind w:firstLine="480"/>
        <w:rPr>
          <w:rFonts w:hAnsi="宋体"/>
          <w:sz w:val="21"/>
          <w:szCs w:val="21"/>
        </w:rPr>
      </w:pPr>
      <w:r>
        <w:rPr>
          <w:rFonts w:hint="eastAsia" w:hAnsi="宋体"/>
          <w:sz w:val="21"/>
          <w:szCs w:val="21"/>
        </w:rPr>
        <w:t>功耗：≤ 111 W</w:t>
      </w:r>
    </w:p>
    <w:p>
      <w:pPr>
        <w:widowControl/>
        <w:shd w:val="clear" w:color="auto" w:fill="FFFFFF"/>
        <w:spacing w:line="360" w:lineRule="auto"/>
        <w:ind w:firstLine="480"/>
        <w:rPr>
          <w:rFonts w:hAnsi="宋体"/>
          <w:sz w:val="21"/>
          <w:szCs w:val="21"/>
        </w:rPr>
      </w:pPr>
      <w:r>
        <w:rPr>
          <w:rFonts w:hint="eastAsia" w:hAnsi="宋体"/>
          <w:sz w:val="21"/>
          <w:szCs w:val="21"/>
        </w:rPr>
        <w:t>电源要求：100～240 VAC， 50/60 Hz</w:t>
      </w:r>
    </w:p>
    <w:p>
      <w:pPr>
        <w:widowControl/>
        <w:shd w:val="clear" w:color="auto" w:fill="FFFFFF"/>
        <w:spacing w:line="360" w:lineRule="auto"/>
        <w:ind w:firstLine="480"/>
        <w:rPr>
          <w:rFonts w:hAnsi="宋体"/>
          <w:sz w:val="21"/>
          <w:szCs w:val="21"/>
        </w:rPr>
      </w:pPr>
      <w:r>
        <w:rPr>
          <w:rFonts w:hint="eastAsia" w:hAnsi="宋体"/>
          <w:sz w:val="21"/>
          <w:szCs w:val="21"/>
        </w:rPr>
        <w:t>寿命：≥60000 小时</w:t>
      </w:r>
    </w:p>
    <w:p>
      <w:pPr>
        <w:widowControl/>
        <w:shd w:val="clear" w:color="auto" w:fill="FFFFFF"/>
        <w:spacing w:line="360" w:lineRule="auto"/>
        <w:ind w:firstLine="480"/>
        <w:rPr>
          <w:rFonts w:hAnsi="宋体"/>
          <w:sz w:val="21"/>
          <w:szCs w:val="21"/>
        </w:rPr>
      </w:pPr>
      <w:r>
        <w:rPr>
          <w:rFonts w:hint="eastAsia" w:hAnsi="宋体"/>
          <w:sz w:val="21"/>
          <w:szCs w:val="21"/>
        </w:rPr>
        <w:t>运行温度和湿度： 0℃～40℃，10%～80% RH（无冷凝水）</w:t>
      </w:r>
    </w:p>
    <w:p>
      <w:pPr>
        <w:widowControl/>
        <w:shd w:val="clear" w:color="auto" w:fill="FFFFFF"/>
        <w:spacing w:line="360" w:lineRule="auto"/>
        <w:ind w:firstLine="480"/>
        <w:rPr>
          <w:rFonts w:hAnsi="宋体"/>
          <w:sz w:val="21"/>
          <w:szCs w:val="21"/>
        </w:rPr>
      </w:pPr>
      <w:r>
        <w:rPr>
          <w:rFonts w:hint="eastAsia" w:hAnsi="宋体"/>
          <w:sz w:val="21"/>
          <w:szCs w:val="21"/>
        </w:rPr>
        <w:t>综合平台：5U机箱+4路DVI输入（支持转VGA或HDMI）+12路HDMI输出+单主控板+单电源；整机支持解码6路2400W@25fps、或12路1200W@25fps、或24路800W@25fps、或48路400W@25fps、或 96路200W@30fps，192路720P@30fps，或192路4CIF@30fps以下分辨率</w:t>
      </w:r>
    </w:p>
    <w:p>
      <w:pPr>
        <w:widowControl/>
        <w:shd w:val="clear" w:color="auto" w:fill="FFFFFF"/>
        <w:spacing w:line="360" w:lineRule="auto"/>
        <w:ind w:firstLine="480"/>
        <w:rPr>
          <w:rFonts w:hAnsi="宋体"/>
          <w:sz w:val="21"/>
          <w:szCs w:val="21"/>
        </w:rPr>
      </w:pPr>
      <w:r>
        <w:rPr>
          <w:rFonts w:hint="eastAsia" w:hAnsi="宋体"/>
          <w:sz w:val="21"/>
          <w:szCs w:val="21"/>
        </w:rPr>
        <w:t>操作台：三人位</w:t>
      </w:r>
    </w:p>
    <w:p>
      <w:pPr>
        <w:widowControl/>
        <w:shd w:val="clear" w:color="auto" w:fill="FFFFFF"/>
        <w:spacing w:line="360" w:lineRule="auto"/>
        <w:ind w:firstLine="480"/>
        <w:rPr>
          <w:rFonts w:hAnsi="宋体"/>
          <w:sz w:val="21"/>
          <w:szCs w:val="21"/>
        </w:rPr>
      </w:pPr>
      <w:r>
        <w:rPr>
          <w:rFonts w:hint="eastAsia" w:hAnsi="宋体"/>
          <w:sz w:val="21"/>
          <w:szCs w:val="21"/>
        </w:rPr>
        <w:t>电脑：I5/8G/1T/2G独立显卡/DVDRW/win10 H /21.5英寸</w:t>
      </w:r>
    </w:p>
    <w:p>
      <w:pPr>
        <w:widowControl/>
        <w:shd w:val="clear" w:color="auto" w:fill="FFFFFF"/>
        <w:spacing w:line="360" w:lineRule="auto"/>
        <w:ind w:firstLine="480"/>
        <w:rPr>
          <w:rFonts w:hAnsi="宋体"/>
          <w:b/>
          <w:bCs/>
          <w:sz w:val="21"/>
          <w:szCs w:val="21"/>
        </w:rPr>
      </w:pPr>
      <w:r>
        <w:rPr>
          <w:rFonts w:hint="eastAsia" w:hAnsi="宋体"/>
          <w:b/>
          <w:bCs/>
          <w:sz w:val="21"/>
          <w:szCs w:val="21"/>
        </w:rPr>
        <w:t>3、双路服务器</w:t>
      </w:r>
    </w:p>
    <w:p>
      <w:pPr>
        <w:widowControl/>
        <w:shd w:val="clear" w:color="auto" w:fill="FFFFFF"/>
        <w:spacing w:line="360" w:lineRule="auto"/>
        <w:ind w:firstLine="480"/>
        <w:rPr>
          <w:rFonts w:hAnsi="宋体"/>
          <w:sz w:val="21"/>
          <w:szCs w:val="21"/>
        </w:rPr>
      </w:pPr>
      <w:r>
        <w:rPr>
          <w:rFonts w:hint="eastAsia" w:hAnsi="宋体"/>
          <w:sz w:val="21"/>
          <w:szCs w:val="21"/>
        </w:rPr>
        <w:t>4114(10核2.2GHz)×1/64G DDR4/1TB 7.2K  SATA×2(RAID 1)/SAS_HBA/1GbE×2/550W(1+1)/2U/16DIMM</w:t>
      </w:r>
    </w:p>
    <w:p>
      <w:pPr>
        <w:widowControl/>
        <w:shd w:val="clear" w:color="auto" w:fill="FFFFFF"/>
        <w:spacing w:line="360" w:lineRule="auto"/>
        <w:ind w:firstLine="480"/>
        <w:rPr>
          <w:rFonts w:hAnsi="宋体"/>
          <w:sz w:val="21"/>
          <w:szCs w:val="21"/>
        </w:rPr>
      </w:pPr>
      <w:r>
        <w:rPr>
          <w:rFonts w:hint="eastAsia" w:hAnsi="宋体"/>
          <w:sz w:val="21"/>
          <w:szCs w:val="21"/>
        </w:rPr>
        <w:t>CPU：1颗Xeon® Silver 4114（10核，2.2GHz）</w:t>
      </w:r>
    </w:p>
    <w:p>
      <w:pPr>
        <w:widowControl/>
        <w:shd w:val="clear" w:color="auto" w:fill="FFFFFF"/>
        <w:spacing w:line="360" w:lineRule="auto"/>
        <w:ind w:firstLine="480"/>
        <w:rPr>
          <w:rFonts w:hAnsi="宋体"/>
          <w:sz w:val="21"/>
          <w:szCs w:val="21"/>
        </w:rPr>
      </w:pPr>
      <w:r>
        <w:rPr>
          <w:rFonts w:hint="eastAsia" w:hAnsi="宋体"/>
          <w:sz w:val="21"/>
          <w:szCs w:val="21"/>
        </w:rPr>
        <w:t>内存：32G*2 DDR4，16根内存插槽，最大支持扩展至2TB内存</w:t>
      </w:r>
    </w:p>
    <w:p>
      <w:pPr>
        <w:widowControl/>
        <w:shd w:val="clear" w:color="auto" w:fill="FFFFFF"/>
        <w:spacing w:line="360" w:lineRule="auto"/>
        <w:ind w:firstLine="480"/>
        <w:rPr>
          <w:rFonts w:hAnsi="宋体"/>
          <w:sz w:val="21"/>
          <w:szCs w:val="21"/>
        </w:rPr>
      </w:pPr>
      <w:r>
        <w:rPr>
          <w:rFonts w:hint="eastAsia" w:hAnsi="宋体"/>
          <w:sz w:val="21"/>
          <w:szCs w:val="21"/>
        </w:rPr>
        <w:t>硬盘：2块1T 7.2K 3.5寸 SATA硬盘，最高可支持12块3.5寸（兼容2.5寸）热插拔SAS/SATA硬盘</w:t>
      </w:r>
    </w:p>
    <w:p>
      <w:pPr>
        <w:widowControl/>
        <w:shd w:val="clear" w:color="auto" w:fill="FFFFFF"/>
        <w:spacing w:line="360" w:lineRule="auto"/>
        <w:ind w:firstLine="480"/>
        <w:rPr>
          <w:rFonts w:hAnsi="宋体"/>
          <w:sz w:val="21"/>
          <w:szCs w:val="21"/>
        </w:rPr>
      </w:pPr>
      <w:r>
        <w:rPr>
          <w:rFonts w:hint="eastAsia" w:hAnsi="宋体"/>
          <w:sz w:val="21"/>
          <w:szCs w:val="21"/>
        </w:rPr>
        <w:t>阵列卡：SAS_HBA卡，支持RAID 0/1/10</w:t>
      </w:r>
    </w:p>
    <w:p>
      <w:pPr>
        <w:widowControl/>
        <w:shd w:val="clear" w:color="auto" w:fill="FFFFFF"/>
        <w:spacing w:line="360" w:lineRule="auto"/>
        <w:ind w:firstLine="480"/>
        <w:rPr>
          <w:rFonts w:hAnsi="宋体"/>
          <w:sz w:val="21"/>
          <w:szCs w:val="21"/>
        </w:rPr>
      </w:pPr>
      <w:r>
        <w:rPr>
          <w:rFonts w:hint="eastAsia" w:hAnsi="宋体"/>
          <w:sz w:val="21"/>
          <w:szCs w:val="21"/>
        </w:rPr>
        <w:t>PCIE扩展：最大可支持6个PCIE扩展插槽</w:t>
      </w:r>
    </w:p>
    <w:p>
      <w:pPr>
        <w:widowControl/>
        <w:shd w:val="clear" w:color="auto" w:fill="FFFFFF"/>
        <w:spacing w:line="360" w:lineRule="auto"/>
        <w:ind w:firstLine="480"/>
        <w:rPr>
          <w:rFonts w:hAnsi="宋体"/>
          <w:sz w:val="21"/>
          <w:szCs w:val="21"/>
        </w:rPr>
      </w:pPr>
      <w:r>
        <w:rPr>
          <w:rFonts w:hint="eastAsia" w:hAnsi="宋体"/>
          <w:sz w:val="21"/>
          <w:szCs w:val="21"/>
        </w:rPr>
        <w:t>网口：2个千兆电口</w:t>
      </w:r>
    </w:p>
    <w:p>
      <w:pPr>
        <w:widowControl/>
        <w:shd w:val="clear" w:color="auto" w:fill="FFFFFF"/>
        <w:spacing w:line="360" w:lineRule="auto"/>
        <w:ind w:firstLine="480"/>
        <w:rPr>
          <w:rFonts w:hAnsi="宋体"/>
          <w:sz w:val="21"/>
          <w:szCs w:val="21"/>
        </w:rPr>
      </w:pPr>
      <w:r>
        <w:rPr>
          <w:rFonts w:hint="eastAsia" w:hAnsi="宋体"/>
          <w:sz w:val="21"/>
          <w:szCs w:val="21"/>
        </w:rPr>
        <w:t>其他接口：1个RJ45管理接口，4个USB 3.0接口，1个VGA接口</w:t>
      </w:r>
    </w:p>
    <w:p>
      <w:pPr>
        <w:widowControl/>
        <w:shd w:val="clear" w:color="auto" w:fill="FFFFFF"/>
        <w:spacing w:line="360" w:lineRule="auto"/>
        <w:ind w:firstLine="480"/>
        <w:rPr>
          <w:rFonts w:hAnsi="宋体"/>
          <w:b/>
          <w:bCs/>
          <w:sz w:val="21"/>
          <w:szCs w:val="21"/>
        </w:rPr>
      </w:pPr>
      <w:r>
        <w:rPr>
          <w:rFonts w:hint="eastAsia" w:hAnsi="宋体"/>
          <w:b/>
          <w:bCs/>
          <w:sz w:val="21"/>
          <w:szCs w:val="21"/>
        </w:rPr>
        <w:t>4、iSecure Center 综合安防管理平台 (DS)</w:t>
      </w:r>
    </w:p>
    <w:p>
      <w:pPr>
        <w:widowControl/>
        <w:shd w:val="clear" w:color="auto" w:fill="FFFFFF"/>
        <w:spacing w:line="360" w:lineRule="auto"/>
        <w:ind w:firstLine="480"/>
        <w:rPr>
          <w:rFonts w:hAnsi="宋体"/>
          <w:sz w:val="21"/>
          <w:szCs w:val="21"/>
        </w:rPr>
      </w:pPr>
      <w:r>
        <w:rPr>
          <w:rFonts w:hint="eastAsia" w:hAnsi="宋体"/>
          <w:sz w:val="21"/>
          <w:szCs w:val="21"/>
        </w:rPr>
        <w:t>至少满足200路视频通道，50套门禁，4车位管理及自助收费，850户室内分机，满足二次开发需求。</w:t>
      </w:r>
    </w:p>
    <w:p>
      <w:pPr>
        <w:widowControl/>
        <w:shd w:val="clear" w:color="auto" w:fill="FFFFFF"/>
        <w:spacing w:line="360" w:lineRule="auto"/>
        <w:ind w:firstLine="480"/>
        <w:rPr>
          <w:rFonts w:hAnsi="宋体"/>
          <w:b/>
          <w:bCs/>
          <w:sz w:val="21"/>
          <w:szCs w:val="21"/>
        </w:rPr>
      </w:pPr>
      <w:r>
        <w:rPr>
          <w:rFonts w:hint="eastAsia" w:hAnsi="宋体"/>
          <w:b/>
          <w:bCs/>
          <w:sz w:val="21"/>
          <w:szCs w:val="21"/>
        </w:rPr>
        <w:t>5、门禁主机</w:t>
      </w:r>
    </w:p>
    <w:p>
      <w:pPr>
        <w:widowControl/>
        <w:shd w:val="clear" w:color="auto" w:fill="FFFFFF"/>
        <w:spacing w:line="360" w:lineRule="auto"/>
        <w:ind w:firstLine="480"/>
        <w:rPr>
          <w:rFonts w:hAnsi="宋体"/>
          <w:sz w:val="21"/>
          <w:szCs w:val="21"/>
        </w:rPr>
      </w:pPr>
      <w:r>
        <w:rPr>
          <w:rFonts w:hint="eastAsia" w:hAnsi="宋体"/>
          <w:sz w:val="21"/>
          <w:szCs w:val="21"/>
        </w:rPr>
        <w:t>处理器：32位处理器</w:t>
      </w:r>
    </w:p>
    <w:p>
      <w:pPr>
        <w:widowControl/>
        <w:shd w:val="clear" w:color="auto" w:fill="FFFFFF"/>
        <w:spacing w:line="360" w:lineRule="auto"/>
        <w:ind w:firstLine="480"/>
        <w:rPr>
          <w:rFonts w:hAnsi="宋体"/>
          <w:sz w:val="21"/>
          <w:szCs w:val="21"/>
        </w:rPr>
      </w:pPr>
      <w:r>
        <w:rPr>
          <w:rFonts w:hint="eastAsia" w:hAnsi="宋体"/>
          <w:sz w:val="21"/>
          <w:szCs w:val="21"/>
        </w:rPr>
        <w:t>管控门数：2门</w:t>
      </w:r>
    </w:p>
    <w:p>
      <w:pPr>
        <w:widowControl/>
        <w:shd w:val="clear" w:color="auto" w:fill="FFFFFF"/>
        <w:spacing w:line="360" w:lineRule="auto"/>
        <w:ind w:firstLine="480"/>
        <w:rPr>
          <w:rFonts w:hAnsi="宋体"/>
          <w:sz w:val="21"/>
          <w:szCs w:val="21"/>
        </w:rPr>
      </w:pPr>
      <w:r>
        <w:rPr>
          <w:rFonts w:hint="eastAsia" w:hAnsi="宋体"/>
          <w:sz w:val="21"/>
          <w:szCs w:val="21"/>
        </w:rPr>
        <w:t>通讯方式：上行TCP/IP、RS485</w:t>
      </w:r>
    </w:p>
    <w:p>
      <w:pPr>
        <w:widowControl/>
        <w:shd w:val="clear" w:color="auto" w:fill="FFFFFF"/>
        <w:spacing w:line="360" w:lineRule="auto"/>
        <w:ind w:firstLine="480"/>
        <w:rPr>
          <w:rFonts w:hAnsi="宋体"/>
          <w:sz w:val="21"/>
          <w:szCs w:val="21"/>
        </w:rPr>
      </w:pPr>
      <w:r>
        <w:rPr>
          <w:rFonts w:hint="eastAsia" w:hAnsi="宋体"/>
          <w:sz w:val="21"/>
          <w:szCs w:val="21"/>
        </w:rPr>
        <w:t>读卡器接口：RS485和Wiegand双通讯接口</w:t>
      </w:r>
    </w:p>
    <w:p>
      <w:pPr>
        <w:widowControl/>
        <w:shd w:val="clear" w:color="auto" w:fill="FFFFFF"/>
        <w:spacing w:line="360" w:lineRule="auto"/>
        <w:ind w:firstLine="480"/>
        <w:rPr>
          <w:rFonts w:hAnsi="宋体"/>
          <w:sz w:val="21"/>
          <w:szCs w:val="21"/>
        </w:rPr>
      </w:pPr>
      <w:r>
        <w:rPr>
          <w:rFonts w:hint="eastAsia" w:hAnsi="宋体"/>
          <w:sz w:val="21"/>
          <w:szCs w:val="21"/>
        </w:rPr>
        <w:t>存储容量：10万张卡和30万记录存储</w:t>
      </w:r>
    </w:p>
    <w:p>
      <w:pPr>
        <w:widowControl/>
        <w:shd w:val="clear" w:color="auto" w:fill="FFFFFF"/>
        <w:spacing w:line="360" w:lineRule="auto"/>
        <w:ind w:firstLine="480"/>
        <w:rPr>
          <w:rFonts w:hAnsi="宋体"/>
          <w:sz w:val="21"/>
          <w:szCs w:val="21"/>
        </w:rPr>
      </w:pPr>
      <w:r>
        <w:rPr>
          <w:rFonts w:hint="eastAsia" w:hAnsi="宋体"/>
          <w:sz w:val="21"/>
          <w:szCs w:val="21"/>
        </w:rPr>
        <w:t>工作电压：自带机箱和供电电源（AC220V输入），工作电压DC 12V，功耗≤4W（不带负载）</w:t>
      </w:r>
    </w:p>
    <w:p>
      <w:pPr>
        <w:widowControl/>
        <w:shd w:val="clear" w:color="auto" w:fill="FFFFFF"/>
        <w:spacing w:line="360" w:lineRule="auto"/>
        <w:ind w:firstLine="480"/>
        <w:rPr>
          <w:rFonts w:hAnsi="宋体"/>
          <w:b/>
          <w:bCs/>
          <w:sz w:val="21"/>
          <w:szCs w:val="21"/>
        </w:rPr>
      </w:pPr>
      <w:r>
        <w:rPr>
          <w:rFonts w:hint="eastAsia" w:hAnsi="宋体"/>
          <w:b/>
          <w:bCs/>
          <w:sz w:val="21"/>
          <w:szCs w:val="21"/>
        </w:rPr>
        <w:t>6、磁力锁</w:t>
      </w:r>
    </w:p>
    <w:p>
      <w:pPr>
        <w:widowControl/>
        <w:shd w:val="clear" w:color="auto" w:fill="FFFFFF"/>
        <w:spacing w:line="360" w:lineRule="auto"/>
        <w:ind w:firstLine="480"/>
        <w:rPr>
          <w:rFonts w:hAnsi="宋体"/>
          <w:sz w:val="21"/>
          <w:szCs w:val="21"/>
        </w:rPr>
      </w:pPr>
      <w:r>
        <w:rPr>
          <w:rFonts w:hint="eastAsia" w:hAnsi="宋体"/>
          <w:sz w:val="21"/>
          <w:szCs w:val="21"/>
        </w:rPr>
        <w:t>最大拉力280kg×2，供电：DC12V或DC24V，工作电流12V/500mAx2，24V/250mAx2；支持门锁状态输出，延时0/3/6/9秒可调。</w:t>
      </w:r>
    </w:p>
    <w:p>
      <w:pPr>
        <w:widowControl/>
        <w:shd w:val="clear" w:color="auto" w:fill="FFFFFF"/>
        <w:spacing w:line="360" w:lineRule="auto"/>
        <w:ind w:firstLine="480"/>
        <w:rPr>
          <w:rFonts w:hAnsi="宋体"/>
          <w:b/>
          <w:bCs/>
          <w:sz w:val="21"/>
          <w:szCs w:val="21"/>
        </w:rPr>
      </w:pPr>
      <w:r>
        <w:rPr>
          <w:rFonts w:hint="eastAsia" w:hAnsi="宋体"/>
          <w:b/>
          <w:bCs/>
          <w:sz w:val="21"/>
          <w:szCs w:val="21"/>
        </w:rPr>
        <w:t>（二）背景音乐子系统</w:t>
      </w:r>
    </w:p>
    <w:p>
      <w:pPr>
        <w:widowControl/>
        <w:shd w:val="clear" w:color="auto" w:fill="FFFFFF"/>
        <w:spacing w:line="360" w:lineRule="auto"/>
        <w:ind w:firstLine="480"/>
        <w:rPr>
          <w:rFonts w:hAnsi="宋体"/>
          <w:b/>
          <w:bCs/>
          <w:sz w:val="21"/>
          <w:szCs w:val="21"/>
        </w:rPr>
      </w:pPr>
      <w:r>
        <w:rPr>
          <w:rFonts w:hint="eastAsia" w:hAnsi="宋体"/>
          <w:b/>
          <w:bCs/>
          <w:sz w:val="21"/>
          <w:szCs w:val="21"/>
        </w:rPr>
        <w:t>1、功放</w:t>
      </w:r>
    </w:p>
    <w:p>
      <w:pPr>
        <w:widowControl/>
        <w:shd w:val="clear" w:color="auto" w:fill="FFFFFF"/>
        <w:spacing w:line="360" w:lineRule="auto"/>
        <w:ind w:firstLine="480"/>
        <w:rPr>
          <w:rFonts w:hAnsi="宋体"/>
          <w:sz w:val="21"/>
          <w:szCs w:val="21"/>
        </w:rPr>
      </w:pPr>
      <w:r>
        <w:rPr>
          <w:rFonts w:hint="eastAsia" w:hAnsi="宋体"/>
          <w:sz w:val="21"/>
          <w:szCs w:val="21"/>
        </w:rPr>
        <w:t>额定功率：650W</w:t>
      </w:r>
    </w:p>
    <w:p>
      <w:pPr>
        <w:widowControl/>
        <w:shd w:val="clear" w:color="auto" w:fill="FFFFFF"/>
        <w:spacing w:line="360" w:lineRule="auto"/>
        <w:ind w:firstLine="480"/>
        <w:rPr>
          <w:rFonts w:hAnsi="宋体"/>
          <w:sz w:val="21"/>
          <w:szCs w:val="21"/>
        </w:rPr>
      </w:pPr>
      <w:r>
        <w:rPr>
          <w:rFonts w:hint="eastAsia" w:hAnsi="宋体"/>
          <w:sz w:val="21"/>
          <w:szCs w:val="21"/>
        </w:rPr>
        <w:t>110V、70V定压双输出和4-16Ω定阻输出。</w:t>
      </w:r>
    </w:p>
    <w:p>
      <w:pPr>
        <w:widowControl/>
        <w:shd w:val="clear" w:color="auto" w:fill="FFFFFF"/>
        <w:spacing w:line="360" w:lineRule="auto"/>
        <w:ind w:firstLine="480"/>
        <w:rPr>
          <w:rFonts w:hAnsi="宋体"/>
          <w:sz w:val="21"/>
          <w:szCs w:val="21"/>
        </w:rPr>
      </w:pPr>
      <w:r>
        <w:rPr>
          <w:rFonts w:hint="eastAsia" w:hAnsi="宋体"/>
          <w:sz w:val="21"/>
          <w:szCs w:val="21"/>
        </w:rPr>
        <w:t>LED电平指示，红灯失真指示失真告警。</w:t>
      </w:r>
    </w:p>
    <w:p>
      <w:pPr>
        <w:widowControl/>
        <w:shd w:val="clear" w:color="auto" w:fill="FFFFFF"/>
        <w:spacing w:line="360" w:lineRule="auto"/>
        <w:ind w:firstLine="480"/>
        <w:rPr>
          <w:rFonts w:hAnsi="宋体"/>
          <w:sz w:val="21"/>
          <w:szCs w:val="21"/>
        </w:rPr>
      </w:pPr>
      <w:r>
        <w:rPr>
          <w:rFonts w:hint="eastAsia" w:hAnsi="宋体"/>
          <w:sz w:val="21"/>
          <w:szCs w:val="21"/>
        </w:rPr>
        <w:t>短路保护，过热保护，过压保护，防大电流冲击。</w:t>
      </w:r>
    </w:p>
    <w:p>
      <w:pPr>
        <w:widowControl/>
        <w:shd w:val="clear" w:color="auto" w:fill="FFFFFF"/>
        <w:spacing w:line="360" w:lineRule="auto"/>
        <w:ind w:firstLine="480"/>
        <w:rPr>
          <w:rFonts w:hAnsi="宋体"/>
          <w:sz w:val="21"/>
          <w:szCs w:val="21"/>
        </w:rPr>
      </w:pPr>
      <w:r>
        <w:rPr>
          <w:rFonts w:hint="eastAsia" w:hAnsi="宋体"/>
          <w:sz w:val="21"/>
          <w:szCs w:val="21"/>
        </w:rPr>
        <w:t>带有温度控制检测装置，双风扇散热，散热器温度达55度时自动启动风扇散热。</w:t>
      </w:r>
    </w:p>
    <w:p>
      <w:pPr>
        <w:widowControl/>
        <w:shd w:val="clear" w:color="auto" w:fill="FFFFFF"/>
        <w:spacing w:line="360" w:lineRule="auto"/>
        <w:ind w:firstLine="480"/>
        <w:rPr>
          <w:rFonts w:hAnsi="宋体"/>
          <w:sz w:val="21"/>
          <w:szCs w:val="21"/>
        </w:rPr>
      </w:pPr>
      <w:r>
        <w:rPr>
          <w:rFonts w:hint="eastAsia" w:hAnsi="宋体"/>
          <w:sz w:val="21"/>
          <w:szCs w:val="21"/>
        </w:rPr>
        <w:t>总音量和各通道独立音量控制，高低音控制。</w:t>
      </w:r>
    </w:p>
    <w:p>
      <w:pPr>
        <w:widowControl/>
        <w:shd w:val="clear" w:color="auto" w:fill="FFFFFF"/>
        <w:spacing w:line="360" w:lineRule="auto"/>
        <w:ind w:firstLine="480"/>
        <w:rPr>
          <w:rFonts w:hAnsi="宋体"/>
          <w:sz w:val="21"/>
          <w:szCs w:val="21"/>
        </w:rPr>
      </w:pPr>
      <w:r>
        <w:rPr>
          <w:rFonts w:hint="eastAsia" w:hAnsi="宋体"/>
          <w:sz w:val="21"/>
          <w:szCs w:val="21"/>
        </w:rPr>
        <w:t>5单位LED电平表，红灯失真指示失真告警。</w:t>
      </w:r>
    </w:p>
    <w:p>
      <w:pPr>
        <w:widowControl/>
        <w:shd w:val="clear" w:color="auto" w:fill="FFFFFF"/>
        <w:spacing w:line="360" w:lineRule="auto"/>
        <w:ind w:firstLine="480"/>
        <w:rPr>
          <w:rFonts w:hAnsi="宋体"/>
          <w:sz w:val="21"/>
          <w:szCs w:val="21"/>
        </w:rPr>
      </w:pPr>
      <w:r>
        <w:rPr>
          <w:rFonts w:hint="eastAsia" w:hAnsi="宋体"/>
          <w:sz w:val="21"/>
          <w:szCs w:val="21"/>
        </w:rPr>
        <w:t>备有链接出口，便于扩接另一台功放。</w:t>
      </w:r>
    </w:p>
    <w:p>
      <w:pPr>
        <w:widowControl/>
        <w:shd w:val="clear" w:color="auto" w:fill="FFFFFF"/>
        <w:spacing w:line="360" w:lineRule="auto"/>
        <w:ind w:firstLine="480"/>
        <w:rPr>
          <w:rFonts w:hAnsi="宋体"/>
          <w:sz w:val="21"/>
          <w:szCs w:val="21"/>
        </w:rPr>
      </w:pPr>
      <w:r>
        <w:rPr>
          <w:rFonts w:hint="eastAsia" w:hAnsi="宋体"/>
          <w:sz w:val="21"/>
          <w:szCs w:val="21"/>
        </w:rPr>
        <w:t>3路MIC输入、3路AUX输入、1路AUX输出。</w:t>
      </w:r>
    </w:p>
    <w:p>
      <w:pPr>
        <w:widowControl/>
        <w:shd w:val="clear" w:color="auto" w:fill="FFFFFF"/>
        <w:spacing w:line="360" w:lineRule="auto"/>
        <w:ind w:firstLine="480"/>
        <w:rPr>
          <w:rFonts w:hAnsi="宋体"/>
          <w:sz w:val="21"/>
          <w:szCs w:val="21"/>
        </w:rPr>
      </w:pPr>
      <w:r>
        <w:rPr>
          <w:rFonts w:hint="eastAsia" w:hAnsi="宋体"/>
          <w:sz w:val="21"/>
          <w:szCs w:val="21"/>
        </w:rPr>
        <w:t>有默音功能，便于插入紧急广播。</w:t>
      </w:r>
    </w:p>
    <w:p>
      <w:pPr>
        <w:widowControl/>
        <w:shd w:val="clear" w:color="auto" w:fill="FFFFFF"/>
        <w:spacing w:line="360" w:lineRule="auto"/>
        <w:ind w:firstLine="480"/>
        <w:rPr>
          <w:rFonts w:hAnsi="宋体"/>
          <w:sz w:val="21"/>
          <w:szCs w:val="21"/>
        </w:rPr>
      </w:pPr>
      <w:r>
        <w:rPr>
          <w:rFonts w:hint="eastAsia" w:hAnsi="宋体"/>
          <w:sz w:val="21"/>
          <w:szCs w:val="21"/>
        </w:rPr>
        <w:t>频率响应：80HZ-18KHZ</w:t>
      </w:r>
    </w:p>
    <w:p>
      <w:pPr>
        <w:widowControl/>
        <w:shd w:val="clear" w:color="auto" w:fill="FFFFFF"/>
        <w:spacing w:line="360" w:lineRule="auto"/>
        <w:ind w:firstLine="480"/>
        <w:rPr>
          <w:rFonts w:hAnsi="宋体"/>
          <w:sz w:val="21"/>
          <w:szCs w:val="21"/>
        </w:rPr>
      </w:pPr>
      <w:r>
        <w:rPr>
          <w:rFonts w:hint="eastAsia" w:hAnsi="宋体"/>
          <w:sz w:val="21"/>
          <w:szCs w:val="21"/>
        </w:rPr>
        <w:t>信噪比：话筒≥70dB，线路≥85dB</w:t>
      </w:r>
    </w:p>
    <w:p>
      <w:pPr>
        <w:widowControl/>
        <w:shd w:val="clear" w:color="auto" w:fill="FFFFFF"/>
        <w:spacing w:line="360" w:lineRule="auto"/>
        <w:ind w:firstLine="480"/>
        <w:rPr>
          <w:rFonts w:hAnsi="宋体"/>
          <w:sz w:val="21"/>
          <w:szCs w:val="21"/>
        </w:rPr>
      </w:pPr>
      <w:r>
        <w:rPr>
          <w:rFonts w:hint="eastAsia" w:hAnsi="宋体"/>
          <w:sz w:val="21"/>
          <w:szCs w:val="21"/>
        </w:rPr>
        <w:t>电源：AC 220V/230V  50/60HZ</w:t>
      </w:r>
    </w:p>
    <w:p>
      <w:pPr>
        <w:widowControl/>
        <w:shd w:val="clear" w:color="auto" w:fill="FFFFFF"/>
        <w:spacing w:line="360" w:lineRule="auto"/>
        <w:ind w:firstLine="480"/>
        <w:rPr>
          <w:rFonts w:hAnsi="宋体"/>
          <w:sz w:val="21"/>
          <w:szCs w:val="21"/>
        </w:rPr>
      </w:pPr>
      <w:r>
        <w:rPr>
          <w:rFonts w:hint="eastAsia" w:hAnsi="宋体"/>
          <w:sz w:val="21"/>
          <w:szCs w:val="21"/>
        </w:rPr>
        <w:t>输入灵敏度：线路250mV，话筒2 mV</w:t>
      </w:r>
    </w:p>
    <w:p>
      <w:pPr>
        <w:widowControl/>
        <w:shd w:val="clear" w:color="auto" w:fill="FFFFFF"/>
        <w:spacing w:line="360" w:lineRule="auto"/>
        <w:ind w:firstLine="480"/>
        <w:rPr>
          <w:rFonts w:hAnsi="宋体"/>
          <w:sz w:val="21"/>
          <w:szCs w:val="21"/>
        </w:rPr>
      </w:pPr>
      <w:r>
        <w:rPr>
          <w:rFonts w:hint="eastAsia" w:hAnsi="宋体"/>
          <w:sz w:val="21"/>
          <w:szCs w:val="21"/>
        </w:rPr>
        <w:t>失真度：＜1%</w:t>
      </w:r>
    </w:p>
    <w:p>
      <w:pPr>
        <w:widowControl/>
        <w:shd w:val="clear" w:color="auto" w:fill="FFFFFF"/>
        <w:spacing w:line="360" w:lineRule="auto"/>
        <w:ind w:firstLine="480"/>
        <w:rPr>
          <w:rFonts w:hAnsi="宋体"/>
          <w:sz w:val="21"/>
          <w:szCs w:val="21"/>
        </w:rPr>
      </w:pPr>
      <w:r>
        <w:rPr>
          <w:rFonts w:hint="eastAsia" w:hAnsi="宋体"/>
          <w:sz w:val="21"/>
          <w:szCs w:val="21"/>
        </w:rPr>
        <w:t>具有CCC认证及CB认证</w:t>
      </w:r>
    </w:p>
    <w:p>
      <w:pPr>
        <w:widowControl/>
        <w:shd w:val="clear" w:color="auto" w:fill="FFFFFF"/>
        <w:spacing w:line="360" w:lineRule="auto"/>
        <w:ind w:firstLine="480"/>
        <w:rPr>
          <w:rFonts w:hAnsi="宋体"/>
          <w:b/>
          <w:bCs/>
          <w:sz w:val="21"/>
          <w:szCs w:val="21"/>
        </w:rPr>
      </w:pPr>
      <w:r>
        <w:rPr>
          <w:rFonts w:hint="eastAsia" w:hAnsi="宋体"/>
          <w:b/>
          <w:bCs/>
          <w:sz w:val="21"/>
          <w:szCs w:val="21"/>
        </w:rPr>
        <w:t>2、智能播放器</w:t>
      </w:r>
    </w:p>
    <w:p>
      <w:pPr>
        <w:widowControl/>
        <w:shd w:val="clear" w:color="auto" w:fill="FFFFFF"/>
        <w:spacing w:line="360" w:lineRule="auto"/>
        <w:ind w:firstLine="480"/>
        <w:rPr>
          <w:rFonts w:hAnsi="宋体"/>
          <w:sz w:val="21"/>
          <w:szCs w:val="21"/>
        </w:rPr>
      </w:pPr>
      <w:r>
        <w:rPr>
          <w:rFonts w:hint="eastAsia" w:hAnsi="宋体"/>
          <w:sz w:val="21"/>
          <w:szCs w:val="21"/>
        </w:rPr>
        <w:t>微电脑控制，单键飞梭，图形化界面，多级菜单操作模式。</w:t>
      </w:r>
    </w:p>
    <w:p>
      <w:pPr>
        <w:widowControl/>
        <w:shd w:val="clear" w:color="auto" w:fill="FFFFFF"/>
        <w:spacing w:line="360" w:lineRule="auto"/>
        <w:ind w:firstLine="480"/>
        <w:rPr>
          <w:rFonts w:hAnsi="宋体"/>
          <w:sz w:val="21"/>
          <w:szCs w:val="21"/>
        </w:rPr>
      </w:pPr>
      <w:r>
        <w:rPr>
          <w:rFonts w:hint="eastAsia" w:hAnsi="宋体"/>
          <w:sz w:val="21"/>
          <w:szCs w:val="21"/>
        </w:rPr>
        <w:t>真彩色TFT显示器，中文字幕，工作状态一目了然。</w:t>
      </w:r>
    </w:p>
    <w:p>
      <w:pPr>
        <w:widowControl/>
        <w:shd w:val="clear" w:color="auto" w:fill="FFFFFF"/>
        <w:spacing w:line="360" w:lineRule="auto"/>
        <w:ind w:firstLine="480"/>
        <w:rPr>
          <w:rFonts w:hAnsi="宋体"/>
          <w:sz w:val="21"/>
          <w:szCs w:val="21"/>
        </w:rPr>
      </w:pPr>
      <w:r>
        <w:rPr>
          <w:rFonts w:hint="eastAsia" w:hAnsi="宋体"/>
          <w:sz w:val="21"/>
          <w:szCs w:val="21"/>
        </w:rPr>
        <w:t>简体中文，繁体中文，英文三种语言菜单任意切换。真彩色3.0英寸TFT显示器</w:t>
      </w:r>
    </w:p>
    <w:p>
      <w:pPr>
        <w:widowControl/>
        <w:shd w:val="clear" w:color="auto" w:fill="FFFFFF"/>
        <w:spacing w:line="360" w:lineRule="auto"/>
        <w:ind w:firstLine="480"/>
        <w:rPr>
          <w:rFonts w:hAnsi="宋体"/>
          <w:sz w:val="21"/>
          <w:szCs w:val="21"/>
        </w:rPr>
      </w:pPr>
      <w:r>
        <w:rPr>
          <w:rFonts w:hint="eastAsia" w:hAnsi="宋体"/>
          <w:sz w:val="21"/>
          <w:szCs w:val="21"/>
        </w:rPr>
        <w:t>内置2GB内存，外扩展SD卡最大容量可达32G。</w:t>
      </w:r>
    </w:p>
    <w:p>
      <w:pPr>
        <w:widowControl/>
        <w:shd w:val="clear" w:color="auto" w:fill="FFFFFF"/>
        <w:spacing w:line="360" w:lineRule="auto"/>
        <w:ind w:firstLine="480"/>
        <w:rPr>
          <w:rFonts w:hAnsi="宋体"/>
          <w:sz w:val="21"/>
          <w:szCs w:val="21"/>
        </w:rPr>
      </w:pPr>
      <w:r>
        <w:rPr>
          <w:rFonts w:hint="eastAsia" w:hAnsi="宋体"/>
          <w:sz w:val="21"/>
          <w:szCs w:val="21"/>
        </w:rPr>
        <w:t>可定时播放内存和SD卡节目， 8路分区音频定时输出，3路定时电源输出口。</w:t>
      </w:r>
    </w:p>
    <w:p>
      <w:pPr>
        <w:widowControl/>
        <w:shd w:val="clear" w:color="auto" w:fill="FFFFFF"/>
        <w:spacing w:line="360" w:lineRule="auto"/>
        <w:ind w:firstLine="480"/>
        <w:rPr>
          <w:rFonts w:hAnsi="宋体"/>
          <w:sz w:val="21"/>
          <w:szCs w:val="21"/>
        </w:rPr>
      </w:pPr>
      <w:r>
        <w:rPr>
          <w:rFonts w:hint="eastAsia" w:hAnsi="宋体"/>
          <w:sz w:val="21"/>
          <w:szCs w:val="21"/>
        </w:rPr>
        <w:t>音乐播放功能，支持MPEG 1/2 Layer 3 、WMA、WAV、OGG、APE、FLAC等音频格式。</w:t>
      </w:r>
    </w:p>
    <w:p>
      <w:pPr>
        <w:widowControl/>
        <w:shd w:val="clear" w:color="auto" w:fill="FFFFFF"/>
        <w:spacing w:line="360" w:lineRule="auto"/>
        <w:ind w:firstLine="480"/>
        <w:rPr>
          <w:rFonts w:hAnsi="宋体"/>
          <w:sz w:val="21"/>
          <w:szCs w:val="21"/>
        </w:rPr>
      </w:pPr>
      <w:r>
        <w:rPr>
          <w:rFonts w:hint="eastAsia" w:hAnsi="宋体"/>
          <w:sz w:val="21"/>
          <w:szCs w:val="21"/>
        </w:rPr>
        <w:t>媒体库功能，可以根据个性灵活管理自己音乐文件。</w:t>
      </w:r>
    </w:p>
    <w:p>
      <w:pPr>
        <w:widowControl/>
        <w:shd w:val="clear" w:color="auto" w:fill="FFFFFF"/>
        <w:spacing w:line="360" w:lineRule="auto"/>
        <w:ind w:firstLine="480"/>
        <w:rPr>
          <w:rFonts w:hAnsi="宋体"/>
          <w:sz w:val="21"/>
          <w:szCs w:val="21"/>
        </w:rPr>
      </w:pPr>
      <w:r>
        <w:rPr>
          <w:rFonts w:hint="eastAsia" w:hAnsi="宋体"/>
          <w:sz w:val="21"/>
          <w:szCs w:val="21"/>
        </w:rPr>
        <w:t>音效处理功能，支持3D，重低音，微软音效等多种音效功能。</w:t>
      </w:r>
    </w:p>
    <w:p>
      <w:pPr>
        <w:widowControl/>
        <w:shd w:val="clear" w:color="auto" w:fill="FFFFFF"/>
        <w:spacing w:line="360" w:lineRule="auto"/>
        <w:ind w:firstLine="480"/>
        <w:rPr>
          <w:rFonts w:hAnsi="宋体"/>
          <w:sz w:val="21"/>
          <w:szCs w:val="21"/>
        </w:rPr>
      </w:pPr>
      <w:r>
        <w:rPr>
          <w:rFonts w:hint="eastAsia" w:hAnsi="宋体"/>
          <w:sz w:val="21"/>
          <w:szCs w:val="21"/>
        </w:rPr>
        <w:t>HiFi级的音频解码性能。</w:t>
      </w:r>
    </w:p>
    <w:p>
      <w:pPr>
        <w:widowControl/>
        <w:shd w:val="clear" w:color="auto" w:fill="FFFFFF"/>
        <w:spacing w:line="360" w:lineRule="auto"/>
        <w:ind w:firstLine="480"/>
        <w:rPr>
          <w:rFonts w:hAnsi="宋体"/>
          <w:sz w:val="21"/>
          <w:szCs w:val="21"/>
        </w:rPr>
      </w:pPr>
      <w:r>
        <w:rPr>
          <w:rFonts w:hint="eastAsia" w:hAnsi="宋体"/>
          <w:sz w:val="21"/>
          <w:szCs w:val="21"/>
        </w:rPr>
        <w:t>支持高清MIC录音、LINE IN录音、FM录音。</w:t>
      </w:r>
    </w:p>
    <w:p>
      <w:pPr>
        <w:widowControl/>
        <w:shd w:val="clear" w:color="auto" w:fill="FFFFFF"/>
        <w:spacing w:line="360" w:lineRule="auto"/>
        <w:ind w:firstLine="480"/>
        <w:rPr>
          <w:rFonts w:hAnsi="宋体"/>
          <w:sz w:val="21"/>
          <w:szCs w:val="21"/>
        </w:rPr>
      </w:pPr>
      <w:r>
        <w:rPr>
          <w:rFonts w:hint="eastAsia" w:hAnsi="宋体"/>
          <w:sz w:val="21"/>
          <w:szCs w:val="21"/>
        </w:rPr>
        <w:t>内置高清晰FM收音机，并支持FM节目录制。</w:t>
      </w:r>
    </w:p>
    <w:p>
      <w:pPr>
        <w:widowControl/>
        <w:shd w:val="clear" w:color="auto" w:fill="FFFFFF"/>
        <w:spacing w:line="360" w:lineRule="auto"/>
        <w:ind w:firstLine="480"/>
        <w:rPr>
          <w:rFonts w:hAnsi="宋体"/>
          <w:sz w:val="21"/>
          <w:szCs w:val="21"/>
        </w:rPr>
      </w:pPr>
      <w:r>
        <w:rPr>
          <w:rFonts w:hint="eastAsia" w:hAnsi="宋体"/>
          <w:sz w:val="21"/>
          <w:szCs w:val="21"/>
        </w:rPr>
        <w:t>内置监听喇叭，监听输出音源，可调节监听音量。</w:t>
      </w:r>
    </w:p>
    <w:p>
      <w:pPr>
        <w:widowControl/>
        <w:shd w:val="clear" w:color="auto" w:fill="FFFFFF"/>
        <w:spacing w:line="360" w:lineRule="auto"/>
        <w:ind w:firstLine="480"/>
        <w:rPr>
          <w:rFonts w:hAnsi="宋体"/>
          <w:sz w:val="21"/>
          <w:szCs w:val="21"/>
        </w:rPr>
      </w:pPr>
      <w:r>
        <w:rPr>
          <w:rFonts w:hint="eastAsia" w:hAnsi="宋体"/>
          <w:sz w:val="21"/>
          <w:szCs w:val="21"/>
        </w:rPr>
        <w:t>支持周历定时程序和特殊日期定时程序，满足各种时间、各种场合的使用需要。</w:t>
      </w:r>
    </w:p>
    <w:p>
      <w:pPr>
        <w:widowControl/>
        <w:shd w:val="clear" w:color="auto" w:fill="FFFFFF"/>
        <w:spacing w:line="360" w:lineRule="auto"/>
        <w:ind w:firstLine="480"/>
        <w:rPr>
          <w:rFonts w:hAnsi="宋体"/>
          <w:sz w:val="21"/>
          <w:szCs w:val="21"/>
        </w:rPr>
      </w:pPr>
      <w:r>
        <w:rPr>
          <w:rFonts w:hint="eastAsia" w:hAnsi="宋体"/>
          <w:sz w:val="21"/>
          <w:szCs w:val="21"/>
        </w:rPr>
        <w:t>可支持电脑联机编辑定时程序，全自动电源、广播分区管理。</w:t>
      </w:r>
    </w:p>
    <w:p>
      <w:pPr>
        <w:widowControl/>
        <w:shd w:val="clear" w:color="auto" w:fill="FFFFFF"/>
        <w:spacing w:line="360" w:lineRule="auto"/>
        <w:ind w:firstLine="480"/>
        <w:rPr>
          <w:rFonts w:hAnsi="宋体"/>
          <w:sz w:val="21"/>
          <w:szCs w:val="21"/>
        </w:rPr>
      </w:pPr>
      <w:r>
        <w:rPr>
          <w:rFonts w:hint="eastAsia" w:hAnsi="宋体"/>
          <w:sz w:val="21"/>
          <w:szCs w:val="21"/>
        </w:rPr>
        <w:t>高精度RTC时钟、定时可精确到秒。</w:t>
      </w:r>
    </w:p>
    <w:p>
      <w:pPr>
        <w:widowControl/>
        <w:shd w:val="clear" w:color="auto" w:fill="FFFFFF"/>
        <w:spacing w:line="360" w:lineRule="auto"/>
        <w:ind w:firstLine="480"/>
        <w:rPr>
          <w:rFonts w:hAnsi="宋体"/>
          <w:sz w:val="21"/>
          <w:szCs w:val="21"/>
        </w:rPr>
      </w:pPr>
      <w:r>
        <w:rPr>
          <w:rFonts w:hint="eastAsia" w:hAnsi="宋体"/>
          <w:sz w:val="21"/>
          <w:szCs w:val="21"/>
        </w:rPr>
        <w:t>支持通过网线外扩分区器，最大可扩展16台分区器256分区，实现编程自动或手动分区广播。</w:t>
      </w:r>
    </w:p>
    <w:p>
      <w:pPr>
        <w:widowControl/>
        <w:shd w:val="clear" w:color="auto" w:fill="FFFFFF"/>
        <w:spacing w:line="360" w:lineRule="auto"/>
        <w:ind w:firstLine="480"/>
        <w:rPr>
          <w:rFonts w:hAnsi="宋体"/>
          <w:sz w:val="21"/>
          <w:szCs w:val="21"/>
        </w:rPr>
      </w:pPr>
      <w:r>
        <w:rPr>
          <w:rFonts w:hint="eastAsia" w:hAnsi="宋体"/>
          <w:sz w:val="21"/>
          <w:szCs w:val="21"/>
        </w:rPr>
        <w:t>支持通过网线外扩音源（如CD、收音机等）。</w:t>
      </w:r>
    </w:p>
    <w:p>
      <w:pPr>
        <w:widowControl/>
        <w:shd w:val="clear" w:color="auto" w:fill="FFFFFF"/>
        <w:spacing w:line="360" w:lineRule="auto"/>
        <w:ind w:firstLine="480"/>
        <w:rPr>
          <w:rFonts w:hAnsi="宋体"/>
          <w:sz w:val="21"/>
          <w:szCs w:val="21"/>
        </w:rPr>
      </w:pPr>
      <w:r>
        <w:rPr>
          <w:rFonts w:hint="eastAsia" w:hAnsi="宋体"/>
          <w:sz w:val="21"/>
          <w:szCs w:val="21"/>
        </w:rPr>
        <w:t>远程遥控功能，通过电脑对遥控按键进行功能配制，可将遥控器任意键配制成电源管理、MP3 播放及分区控制。</w:t>
      </w:r>
    </w:p>
    <w:p>
      <w:pPr>
        <w:widowControl/>
        <w:shd w:val="clear" w:color="auto" w:fill="FFFFFF"/>
        <w:spacing w:line="360" w:lineRule="auto"/>
        <w:ind w:firstLine="480"/>
        <w:rPr>
          <w:rFonts w:hAnsi="宋体"/>
          <w:sz w:val="21"/>
          <w:szCs w:val="21"/>
        </w:rPr>
      </w:pPr>
      <w:r>
        <w:rPr>
          <w:rFonts w:hint="eastAsia" w:hAnsi="宋体"/>
          <w:sz w:val="21"/>
          <w:szCs w:val="21"/>
        </w:rPr>
        <w:t>支持消防联动功能，警报触发信号输入播放指定音乐文件。</w:t>
      </w:r>
    </w:p>
    <w:p>
      <w:pPr>
        <w:widowControl/>
        <w:shd w:val="clear" w:color="auto" w:fill="FFFFFF"/>
        <w:spacing w:line="360" w:lineRule="auto"/>
        <w:ind w:firstLine="480"/>
        <w:rPr>
          <w:rFonts w:hAnsi="宋体"/>
          <w:sz w:val="21"/>
          <w:szCs w:val="21"/>
        </w:rPr>
      </w:pPr>
      <w:r>
        <w:rPr>
          <w:rFonts w:hint="eastAsia" w:hAnsi="宋体"/>
          <w:sz w:val="21"/>
          <w:szCs w:val="21"/>
        </w:rPr>
        <w:t>支持外扩电源时序器，可输出短路信号，控制外围设备。</w:t>
      </w:r>
    </w:p>
    <w:p>
      <w:pPr>
        <w:widowControl/>
        <w:shd w:val="clear" w:color="auto" w:fill="FFFFFF"/>
        <w:spacing w:line="360" w:lineRule="auto"/>
        <w:ind w:firstLine="480"/>
        <w:rPr>
          <w:rFonts w:hAnsi="宋体"/>
          <w:sz w:val="21"/>
          <w:szCs w:val="21"/>
        </w:rPr>
      </w:pPr>
      <w:r>
        <w:rPr>
          <w:rFonts w:hint="eastAsia" w:hAnsi="宋体"/>
          <w:sz w:val="21"/>
          <w:szCs w:val="21"/>
        </w:rPr>
        <w:t>MP3频率响应 20Hz-20KHz/±1dB</w:t>
      </w:r>
    </w:p>
    <w:p>
      <w:pPr>
        <w:widowControl/>
        <w:shd w:val="clear" w:color="auto" w:fill="FFFFFF"/>
        <w:spacing w:line="360" w:lineRule="auto"/>
        <w:ind w:firstLine="480"/>
        <w:rPr>
          <w:rFonts w:hAnsi="宋体"/>
          <w:sz w:val="21"/>
          <w:szCs w:val="21"/>
        </w:rPr>
      </w:pPr>
      <w:r>
        <w:rPr>
          <w:rFonts w:hint="eastAsia" w:hAnsi="宋体"/>
          <w:sz w:val="21"/>
          <w:szCs w:val="21"/>
        </w:rPr>
        <w:t>MP3信噪比 95dB</w:t>
      </w:r>
    </w:p>
    <w:p>
      <w:pPr>
        <w:widowControl/>
        <w:shd w:val="clear" w:color="auto" w:fill="FFFFFF"/>
        <w:spacing w:line="360" w:lineRule="auto"/>
        <w:ind w:firstLine="480"/>
        <w:rPr>
          <w:rFonts w:hAnsi="宋体"/>
          <w:sz w:val="21"/>
          <w:szCs w:val="21"/>
        </w:rPr>
      </w:pPr>
      <w:r>
        <w:rPr>
          <w:rFonts w:hint="eastAsia" w:hAnsi="宋体"/>
          <w:sz w:val="21"/>
          <w:szCs w:val="21"/>
        </w:rPr>
        <w:t>MP3存储介质 SD储存卡</w:t>
      </w:r>
    </w:p>
    <w:p>
      <w:pPr>
        <w:widowControl/>
        <w:shd w:val="clear" w:color="auto" w:fill="FFFFFF"/>
        <w:spacing w:line="360" w:lineRule="auto"/>
        <w:ind w:firstLine="480"/>
        <w:rPr>
          <w:rFonts w:hAnsi="宋体"/>
          <w:sz w:val="21"/>
          <w:szCs w:val="21"/>
        </w:rPr>
      </w:pPr>
      <w:r>
        <w:rPr>
          <w:rFonts w:hint="eastAsia" w:hAnsi="宋体"/>
          <w:sz w:val="21"/>
          <w:szCs w:val="21"/>
        </w:rPr>
        <w:t>MP3存储格式支持FAT16、FAT32格式，NTFS格式不可用</w:t>
      </w:r>
    </w:p>
    <w:p>
      <w:pPr>
        <w:widowControl/>
        <w:shd w:val="clear" w:color="auto" w:fill="FFFFFF"/>
        <w:spacing w:line="360" w:lineRule="auto"/>
        <w:ind w:firstLine="480"/>
        <w:rPr>
          <w:rFonts w:hAnsi="宋体"/>
          <w:sz w:val="21"/>
          <w:szCs w:val="21"/>
        </w:rPr>
      </w:pPr>
      <w:r>
        <w:rPr>
          <w:rFonts w:hint="eastAsia" w:hAnsi="宋体"/>
          <w:sz w:val="21"/>
          <w:szCs w:val="21"/>
        </w:rPr>
        <w:t>音频输出 1KΩ/1V</w:t>
      </w:r>
    </w:p>
    <w:p>
      <w:pPr>
        <w:widowControl/>
        <w:shd w:val="clear" w:color="auto" w:fill="FFFFFF"/>
        <w:spacing w:line="360" w:lineRule="auto"/>
        <w:ind w:firstLine="480"/>
        <w:rPr>
          <w:rFonts w:hAnsi="宋体"/>
          <w:sz w:val="21"/>
          <w:szCs w:val="21"/>
        </w:rPr>
      </w:pPr>
      <w:r>
        <w:rPr>
          <w:rFonts w:hint="eastAsia" w:hAnsi="宋体"/>
          <w:sz w:val="21"/>
          <w:szCs w:val="21"/>
        </w:rPr>
        <w:t>音频失真度 0.10%</w:t>
      </w:r>
    </w:p>
    <w:p>
      <w:pPr>
        <w:widowControl/>
        <w:shd w:val="clear" w:color="auto" w:fill="FFFFFF"/>
        <w:spacing w:line="360" w:lineRule="auto"/>
        <w:ind w:firstLine="480"/>
        <w:rPr>
          <w:rFonts w:hAnsi="宋体"/>
          <w:sz w:val="21"/>
          <w:szCs w:val="21"/>
        </w:rPr>
      </w:pPr>
      <w:r>
        <w:rPr>
          <w:rFonts w:hint="eastAsia" w:hAnsi="宋体"/>
          <w:sz w:val="21"/>
          <w:szCs w:val="21"/>
        </w:rPr>
        <w:t>频率响应 30Hz-20KHz</w:t>
      </w:r>
    </w:p>
    <w:p>
      <w:pPr>
        <w:widowControl/>
        <w:shd w:val="clear" w:color="auto" w:fill="FFFFFF"/>
        <w:spacing w:line="360" w:lineRule="auto"/>
        <w:ind w:firstLine="480"/>
        <w:rPr>
          <w:rFonts w:hAnsi="宋体"/>
          <w:sz w:val="21"/>
          <w:szCs w:val="21"/>
        </w:rPr>
      </w:pPr>
      <w:r>
        <w:rPr>
          <w:rFonts w:hint="eastAsia" w:hAnsi="宋体"/>
          <w:sz w:val="21"/>
          <w:szCs w:val="21"/>
        </w:rPr>
        <w:t>监听喇叭功率 0.5W</w:t>
      </w:r>
    </w:p>
    <w:p>
      <w:pPr>
        <w:widowControl/>
        <w:shd w:val="clear" w:color="auto" w:fill="FFFFFF"/>
        <w:spacing w:line="360" w:lineRule="auto"/>
        <w:ind w:firstLine="480"/>
        <w:rPr>
          <w:rFonts w:hAnsi="宋体"/>
          <w:sz w:val="21"/>
          <w:szCs w:val="21"/>
        </w:rPr>
      </w:pPr>
      <w:r>
        <w:rPr>
          <w:rFonts w:hint="eastAsia" w:hAnsi="宋体"/>
          <w:sz w:val="21"/>
          <w:szCs w:val="21"/>
        </w:rPr>
        <w:t>时间制式 24小时制</w:t>
      </w:r>
    </w:p>
    <w:p>
      <w:pPr>
        <w:widowControl/>
        <w:shd w:val="clear" w:color="auto" w:fill="FFFFFF"/>
        <w:spacing w:line="360" w:lineRule="auto"/>
        <w:ind w:firstLine="480"/>
        <w:rPr>
          <w:rFonts w:hAnsi="宋体"/>
          <w:sz w:val="21"/>
          <w:szCs w:val="21"/>
        </w:rPr>
      </w:pPr>
      <w:r>
        <w:rPr>
          <w:rFonts w:hint="eastAsia" w:hAnsi="宋体"/>
          <w:sz w:val="21"/>
          <w:szCs w:val="21"/>
        </w:rPr>
        <w:t>通信接口 RJ45</w:t>
      </w:r>
    </w:p>
    <w:p>
      <w:pPr>
        <w:widowControl/>
        <w:shd w:val="clear" w:color="auto" w:fill="FFFFFF"/>
        <w:spacing w:line="360" w:lineRule="auto"/>
        <w:ind w:firstLine="480"/>
        <w:rPr>
          <w:rFonts w:hAnsi="宋体"/>
          <w:sz w:val="21"/>
          <w:szCs w:val="21"/>
        </w:rPr>
      </w:pPr>
      <w:r>
        <w:rPr>
          <w:rFonts w:hint="eastAsia" w:hAnsi="宋体"/>
          <w:sz w:val="21"/>
          <w:szCs w:val="21"/>
        </w:rPr>
        <w:t>报警输入电平短路（0V）</w:t>
      </w:r>
    </w:p>
    <w:p>
      <w:pPr>
        <w:widowControl/>
        <w:shd w:val="clear" w:color="auto" w:fill="FFFFFF"/>
        <w:spacing w:line="360" w:lineRule="auto"/>
        <w:ind w:firstLine="480"/>
        <w:rPr>
          <w:rFonts w:hAnsi="宋体"/>
          <w:sz w:val="21"/>
          <w:szCs w:val="21"/>
        </w:rPr>
      </w:pPr>
      <w:r>
        <w:rPr>
          <w:rFonts w:hint="eastAsia" w:hAnsi="宋体"/>
          <w:sz w:val="21"/>
          <w:szCs w:val="21"/>
        </w:rPr>
        <w:t>电源控制输出电平短路（0V）</w:t>
      </w:r>
    </w:p>
    <w:p>
      <w:pPr>
        <w:widowControl/>
        <w:shd w:val="clear" w:color="auto" w:fill="FFFFFF"/>
        <w:spacing w:line="360" w:lineRule="auto"/>
        <w:ind w:firstLine="480"/>
        <w:rPr>
          <w:rFonts w:hAnsi="宋体"/>
          <w:sz w:val="21"/>
          <w:szCs w:val="21"/>
        </w:rPr>
      </w:pPr>
      <w:r>
        <w:rPr>
          <w:rFonts w:hint="eastAsia" w:hAnsi="宋体"/>
          <w:sz w:val="21"/>
          <w:szCs w:val="21"/>
        </w:rPr>
        <w:t>输入电源～220V/50Hz</w:t>
      </w:r>
    </w:p>
    <w:p>
      <w:pPr>
        <w:widowControl/>
        <w:shd w:val="clear" w:color="auto" w:fill="FFFFFF"/>
        <w:spacing w:line="360" w:lineRule="auto"/>
        <w:ind w:firstLine="480"/>
        <w:rPr>
          <w:rFonts w:hAnsi="宋体"/>
          <w:sz w:val="21"/>
          <w:szCs w:val="21"/>
        </w:rPr>
      </w:pPr>
      <w:r>
        <w:rPr>
          <w:rFonts w:hint="eastAsia" w:hAnsi="宋体"/>
          <w:sz w:val="21"/>
          <w:szCs w:val="21"/>
        </w:rPr>
        <w:t>输出电源～220V/50Hz</w:t>
      </w:r>
    </w:p>
    <w:p>
      <w:pPr>
        <w:widowControl/>
        <w:shd w:val="clear" w:color="auto" w:fill="FFFFFF"/>
        <w:spacing w:line="360" w:lineRule="auto"/>
        <w:ind w:firstLine="480"/>
        <w:rPr>
          <w:rFonts w:hAnsi="宋体"/>
          <w:sz w:val="21"/>
          <w:szCs w:val="21"/>
        </w:rPr>
      </w:pPr>
      <w:r>
        <w:rPr>
          <w:rFonts w:hint="eastAsia" w:hAnsi="宋体"/>
          <w:sz w:val="21"/>
          <w:szCs w:val="21"/>
        </w:rPr>
        <w:t>输出电源功率总功率≤5KW，单路功率≤3KW</w:t>
      </w:r>
    </w:p>
    <w:p>
      <w:pPr>
        <w:widowControl/>
        <w:shd w:val="clear" w:color="auto" w:fill="FFFFFF"/>
        <w:spacing w:line="360" w:lineRule="auto"/>
        <w:ind w:firstLine="480"/>
        <w:rPr>
          <w:rFonts w:hAnsi="宋体"/>
          <w:sz w:val="21"/>
          <w:szCs w:val="21"/>
        </w:rPr>
      </w:pPr>
      <w:r>
        <w:rPr>
          <w:rFonts w:hint="eastAsia" w:hAnsi="宋体"/>
          <w:sz w:val="21"/>
          <w:szCs w:val="21"/>
        </w:rPr>
        <w:t>功率消耗 30W</w:t>
      </w:r>
    </w:p>
    <w:p>
      <w:pPr>
        <w:widowControl/>
        <w:shd w:val="clear" w:color="auto" w:fill="FFFFFF"/>
        <w:spacing w:line="360" w:lineRule="auto"/>
        <w:ind w:firstLine="480"/>
        <w:rPr>
          <w:rFonts w:hAnsi="宋体"/>
          <w:sz w:val="21"/>
          <w:szCs w:val="21"/>
        </w:rPr>
      </w:pPr>
      <w:r>
        <w:rPr>
          <w:rFonts w:hint="eastAsia" w:hAnsi="宋体"/>
          <w:sz w:val="21"/>
          <w:szCs w:val="21"/>
        </w:rPr>
        <w:t>保护 AC FUSE×0.5A</w:t>
      </w:r>
    </w:p>
    <w:p>
      <w:pPr>
        <w:widowControl/>
        <w:shd w:val="clear" w:color="auto" w:fill="FFFFFF"/>
        <w:spacing w:line="360" w:lineRule="auto"/>
        <w:ind w:firstLine="480"/>
        <w:rPr>
          <w:rFonts w:hAnsi="宋体"/>
          <w:b/>
          <w:bCs/>
          <w:sz w:val="21"/>
          <w:szCs w:val="21"/>
        </w:rPr>
      </w:pPr>
      <w:r>
        <w:rPr>
          <w:rFonts w:hint="eastAsia" w:hAnsi="宋体"/>
          <w:b/>
          <w:bCs/>
          <w:sz w:val="21"/>
          <w:szCs w:val="21"/>
        </w:rPr>
        <w:t>3、草坪音箱</w:t>
      </w:r>
    </w:p>
    <w:p>
      <w:pPr>
        <w:widowControl/>
        <w:shd w:val="clear" w:color="auto" w:fill="FFFFFF"/>
        <w:spacing w:line="360" w:lineRule="auto"/>
        <w:ind w:firstLine="480"/>
        <w:rPr>
          <w:rFonts w:hAnsi="宋体"/>
          <w:sz w:val="21"/>
          <w:szCs w:val="21"/>
        </w:rPr>
      </w:pPr>
      <w:r>
        <w:rPr>
          <w:rFonts w:hint="eastAsia" w:hAnsi="宋体"/>
          <w:sz w:val="21"/>
          <w:szCs w:val="21"/>
        </w:rPr>
        <w:t>密封式设计，需防雨、防潮、耐寒、耐冲压、防盗等可安装在室外环境中使用，全方位及远程传播</w:t>
      </w:r>
    </w:p>
    <w:p>
      <w:pPr>
        <w:widowControl/>
        <w:shd w:val="clear" w:color="auto" w:fill="FFFFFF"/>
        <w:spacing w:line="360" w:lineRule="auto"/>
        <w:ind w:firstLine="480"/>
        <w:rPr>
          <w:rFonts w:hAnsi="宋体"/>
          <w:sz w:val="21"/>
          <w:szCs w:val="21"/>
        </w:rPr>
      </w:pPr>
      <w:r>
        <w:rPr>
          <w:rFonts w:hint="eastAsia" w:hAnsi="宋体"/>
          <w:sz w:val="21"/>
          <w:szCs w:val="21"/>
        </w:rPr>
        <w:t>输入电压 70/100V</w:t>
      </w:r>
    </w:p>
    <w:p>
      <w:pPr>
        <w:widowControl/>
        <w:shd w:val="clear" w:color="auto" w:fill="FFFFFF"/>
        <w:spacing w:line="360" w:lineRule="auto"/>
        <w:ind w:firstLine="480"/>
        <w:rPr>
          <w:rFonts w:hAnsi="宋体"/>
          <w:sz w:val="21"/>
          <w:szCs w:val="21"/>
        </w:rPr>
      </w:pPr>
      <w:r>
        <w:rPr>
          <w:rFonts w:hint="eastAsia" w:hAnsi="宋体"/>
          <w:sz w:val="21"/>
          <w:szCs w:val="21"/>
        </w:rPr>
        <w:t>喇叭单元 6.5寸同轴防水</w:t>
      </w:r>
    </w:p>
    <w:p>
      <w:pPr>
        <w:widowControl/>
        <w:shd w:val="clear" w:color="auto" w:fill="FFFFFF"/>
        <w:spacing w:line="360" w:lineRule="auto"/>
        <w:ind w:firstLine="480"/>
        <w:rPr>
          <w:rFonts w:hAnsi="宋体"/>
          <w:sz w:val="21"/>
          <w:szCs w:val="21"/>
        </w:rPr>
      </w:pPr>
      <w:r>
        <w:rPr>
          <w:rFonts w:hint="eastAsia" w:hAnsi="宋体"/>
          <w:sz w:val="21"/>
          <w:szCs w:val="21"/>
        </w:rPr>
        <w:t xml:space="preserve">功率 15/25W </w:t>
      </w:r>
    </w:p>
    <w:p>
      <w:pPr>
        <w:widowControl/>
        <w:shd w:val="clear" w:color="auto" w:fill="FFFFFF"/>
        <w:spacing w:line="360" w:lineRule="auto"/>
        <w:ind w:firstLine="480"/>
        <w:rPr>
          <w:rFonts w:hAnsi="宋体"/>
          <w:sz w:val="21"/>
          <w:szCs w:val="21"/>
        </w:rPr>
      </w:pPr>
      <w:r>
        <w:rPr>
          <w:rFonts w:hint="eastAsia" w:hAnsi="宋体"/>
          <w:sz w:val="21"/>
          <w:szCs w:val="21"/>
        </w:rPr>
        <w:t>频率响应 80Hz-16HKz</w:t>
      </w:r>
    </w:p>
    <w:p>
      <w:pPr>
        <w:widowControl/>
        <w:shd w:val="clear" w:color="auto" w:fill="FFFFFF"/>
        <w:spacing w:line="360" w:lineRule="auto"/>
        <w:ind w:firstLine="480"/>
        <w:rPr>
          <w:rFonts w:hAnsi="宋体"/>
          <w:sz w:val="21"/>
          <w:szCs w:val="21"/>
        </w:rPr>
      </w:pPr>
      <w:r>
        <w:rPr>
          <w:rFonts w:hint="eastAsia" w:hAnsi="宋体"/>
          <w:sz w:val="21"/>
          <w:szCs w:val="21"/>
        </w:rPr>
        <w:t xml:space="preserve">灵敏度 91dB </w:t>
      </w:r>
    </w:p>
    <w:p>
      <w:pPr>
        <w:widowControl/>
        <w:shd w:val="clear" w:color="auto" w:fill="FFFFFF"/>
        <w:spacing w:line="360" w:lineRule="auto"/>
        <w:ind w:firstLine="480"/>
      </w:pPr>
      <w:r>
        <w:rPr>
          <w:rFonts w:hint="eastAsia" w:hAnsi="宋体"/>
          <w:sz w:val="21"/>
          <w:szCs w:val="21"/>
        </w:rPr>
        <w:t>提供IP66六级防水防尘认证</w:t>
      </w:r>
    </w:p>
    <w:p>
      <w:pPr>
        <w:widowControl/>
        <w:shd w:val="clear" w:color="auto" w:fill="FFFFFF"/>
        <w:spacing w:line="360" w:lineRule="auto"/>
        <w:ind w:firstLine="480"/>
        <w:rPr>
          <w:rFonts w:hAnsi="宋体"/>
          <w:b/>
          <w:bCs/>
          <w:sz w:val="21"/>
          <w:szCs w:val="21"/>
        </w:rPr>
      </w:pPr>
      <w:r>
        <w:rPr>
          <w:rFonts w:hint="eastAsia" w:hAnsi="宋体"/>
          <w:b/>
          <w:bCs/>
          <w:sz w:val="21"/>
          <w:szCs w:val="21"/>
        </w:rPr>
        <w:t>（三）视频监控子系统</w:t>
      </w:r>
    </w:p>
    <w:p>
      <w:pPr>
        <w:widowControl/>
        <w:shd w:val="clear" w:color="auto" w:fill="FFFFFF"/>
        <w:spacing w:line="360" w:lineRule="auto"/>
        <w:ind w:firstLine="480"/>
        <w:rPr>
          <w:rFonts w:hAnsi="宋体"/>
          <w:b/>
          <w:bCs/>
          <w:sz w:val="21"/>
          <w:szCs w:val="21"/>
        </w:rPr>
      </w:pPr>
      <w:r>
        <w:rPr>
          <w:rFonts w:hint="eastAsia" w:hAnsi="宋体"/>
          <w:b/>
          <w:bCs/>
          <w:sz w:val="21"/>
          <w:szCs w:val="21"/>
        </w:rPr>
        <w:t>1、彩色半球摄像机</w:t>
      </w:r>
    </w:p>
    <w:p>
      <w:pPr>
        <w:widowControl/>
        <w:shd w:val="clear" w:color="auto" w:fill="FFFFFF"/>
        <w:spacing w:line="360" w:lineRule="auto"/>
        <w:ind w:firstLine="480"/>
        <w:rPr>
          <w:rFonts w:hAnsi="宋体"/>
          <w:sz w:val="21"/>
          <w:szCs w:val="21"/>
        </w:rPr>
      </w:pPr>
      <w:r>
        <w:rPr>
          <w:rFonts w:hint="eastAsia" w:hAnsi="宋体"/>
          <w:sz w:val="21"/>
          <w:szCs w:val="21"/>
        </w:rPr>
        <w:t>200万1/2.7”CMOS ICR日夜型半球型网络摄像机</w:t>
      </w:r>
    </w:p>
    <w:p>
      <w:pPr>
        <w:widowControl/>
        <w:shd w:val="clear" w:color="auto" w:fill="FFFFFF"/>
        <w:spacing w:line="360" w:lineRule="auto"/>
        <w:ind w:firstLine="480"/>
        <w:rPr>
          <w:rFonts w:hAnsi="宋体"/>
          <w:sz w:val="21"/>
          <w:szCs w:val="21"/>
        </w:rPr>
      </w:pPr>
      <w:r>
        <w:rPr>
          <w:rFonts w:hint="eastAsia" w:hAnsi="宋体"/>
          <w:sz w:val="21"/>
          <w:szCs w:val="21"/>
        </w:rPr>
        <w:t>视频压缩标准 H.265 / H.264 / MJPEG</w:t>
      </w:r>
    </w:p>
    <w:p>
      <w:pPr>
        <w:widowControl/>
        <w:shd w:val="clear" w:color="auto" w:fill="FFFFFF"/>
        <w:spacing w:line="360" w:lineRule="auto"/>
        <w:ind w:firstLine="480"/>
        <w:rPr>
          <w:rFonts w:hAnsi="宋体"/>
          <w:sz w:val="21"/>
          <w:szCs w:val="21"/>
        </w:rPr>
      </w:pPr>
      <w:r>
        <w:rPr>
          <w:rFonts w:hint="eastAsia" w:hAnsi="宋体"/>
          <w:sz w:val="21"/>
          <w:szCs w:val="21"/>
        </w:rPr>
        <w:t>最小照度 0.01 Lux @(F1.2，AGC ON)， 0 Lux with IR</w:t>
      </w:r>
    </w:p>
    <w:p>
      <w:pPr>
        <w:widowControl/>
        <w:shd w:val="clear" w:color="auto" w:fill="FFFFFF"/>
        <w:spacing w:line="360" w:lineRule="auto"/>
        <w:ind w:firstLine="480"/>
        <w:rPr>
          <w:rFonts w:hAnsi="宋体"/>
          <w:sz w:val="21"/>
          <w:szCs w:val="21"/>
        </w:rPr>
      </w:pPr>
      <w:r>
        <w:rPr>
          <w:rFonts w:hint="eastAsia" w:hAnsi="宋体"/>
          <w:sz w:val="21"/>
          <w:szCs w:val="21"/>
        </w:rPr>
        <w:t>快门 1/3秒至1/100，000秒</w:t>
      </w:r>
    </w:p>
    <w:p>
      <w:pPr>
        <w:widowControl/>
        <w:shd w:val="clear" w:color="auto" w:fill="FFFFFF"/>
        <w:spacing w:line="360" w:lineRule="auto"/>
        <w:ind w:firstLine="480"/>
        <w:rPr>
          <w:rFonts w:hAnsi="宋体"/>
          <w:sz w:val="21"/>
          <w:szCs w:val="21"/>
        </w:rPr>
      </w:pPr>
      <w:r>
        <w:rPr>
          <w:rFonts w:hint="eastAsia" w:hAnsi="宋体"/>
          <w:sz w:val="21"/>
          <w:szCs w:val="21"/>
        </w:rPr>
        <w:t>镜头 2.8mm，水平视场角： 113.5°</w:t>
      </w:r>
    </w:p>
    <w:p>
      <w:pPr>
        <w:widowControl/>
        <w:shd w:val="clear" w:color="auto" w:fill="FFFFFF"/>
        <w:spacing w:line="360" w:lineRule="auto"/>
        <w:ind w:firstLine="480"/>
        <w:rPr>
          <w:rFonts w:hAnsi="宋体"/>
          <w:sz w:val="21"/>
          <w:szCs w:val="21"/>
        </w:rPr>
      </w:pPr>
      <w:r>
        <w:rPr>
          <w:rFonts w:hint="eastAsia" w:hAnsi="宋体"/>
          <w:sz w:val="21"/>
          <w:szCs w:val="21"/>
        </w:rPr>
        <w:t>调整角度水平：0°~360°；垂直：0°~ 75°；旋转：0°~360°</w:t>
      </w:r>
    </w:p>
    <w:p>
      <w:pPr>
        <w:widowControl/>
        <w:shd w:val="clear" w:color="auto" w:fill="FFFFFF"/>
        <w:spacing w:line="360" w:lineRule="auto"/>
        <w:ind w:firstLine="480"/>
        <w:rPr>
          <w:rFonts w:hAnsi="宋体"/>
          <w:sz w:val="21"/>
          <w:szCs w:val="21"/>
        </w:rPr>
      </w:pPr>
      <w:r>
        <w:rPr>
          <w:rFonts w:hint="eastAsia" w:hAnsi="宋体"/>
          <w:sz w:val="21"/>
          <w:szCs w:val="21"/>
        </w:rPr>
        <w:t>宽动态范围：120dB</w:t>
      </w:r>
    </w:p>
    <w:p>
      <w:pPr>
        <w:widowControl/>
        <w:shd w:val="clear" w:color="auto" w:fill="FFFFFF"/>
        <w:spacing w:line="360" w:lineRule="auto"/>
        <w:ind w:firstLine="480"/>
        <w:rPr>
          <w:rFonts w:hAnsi="宋体"/>
          <w:sz w:val="21"/>
          <w:szCs w:val="21"/>
        </w:rPr>
      </w:pPr>
      <w:r>
        <w:rPr>
          <w:rFonts w:hint="eastAsia" w:hAnsi="宋体"/>
          <w:sz w:val="21"/>
          <w:szCs w:val="21"/>
        </w:rPr>
        <w:t>帧率：50Hz： 25fps (1920 × 1080，1280 × 960，1280 × 720)</w:t>
      </w:r>
    </w:p>
    <w:p>
      <w:pPr>
        <w:widowControl/>
        <w:shd w:val="clear" w:color="auto" w:fill="FFFFFF"/>
        <w:spacing w:line="360" w:lineRule="auto"/>
        <w:ind w:firstLine="480"/>
        <w:rPr>
          <w:rFonts w:hAnsi="宋体"/>
          <w:sz w:val="21"/>
          <w:szCs w:val="21"/>
        </w:rPr>
      </w:pPr>
      <w:r>
        <w:rPr>
          <w:rFonts w:hint="eastAsia" w:hAnsi="宋体"/>
          <w:sz w:val="21"/>
          <w:szCs w:val="21"/>
        </w:rPr>
        <w:t>感兴趣区域：ROI支持三码流分别设置1个固定区域</w:t>
      </w:r>
    </w:p>
    <w:p>
      <w:pPr>
        <w:widowControl/>
        <w:shd w:val="clear" w:color="auto" w:fill="FFFFFF"/>
        <w:spacing w:line="360" w:lineRule="auto"/>
        <w:ind w:firstLine="480"/>
        <w:rPr>
          <w:rFonts w:hAnsi="宋体"/>
          <w:sz w:val="21"/>
          <w:szCs w:val="21"/>
        </w:rPr>
      </w:pPr>
      <w:r>
        <w:rPr>
          <w:rFonts w:hint="eastAsia" w:hAnsi="宋体"/>
          <w:sz w:val="21"/>
          <w:szCs w:val="21"/>
        </w:rPr>
        <w:t>存储功能：NAS(NFS，SMB/CIFS均支持)</w:t>
      </w:r>
    </w:p>
    <w:p>
      <w:pPr>
        <w:widowControl/>
        <w:shd w:val="clear" w:color="auto" w:fill="FFFFFF"/>
        <w:spacing w:line="360" w:lineRule="auto"/>
        <w:ind w:firstLine="480"/>
        <w:rPr>
          <w:rFonts w:hAnsi="宋体"/>
          <w:sz w:val="21"/>
          <w:szCs w:val="21"/>
        </w:rPr>
      </w:pPr>
      <w:r>
        <w:rPr>
          <w:rFonts w:hint="eastAsia" w:hAnsi="宋体"/>
          <w:sz w:val="21"/>
          <w:szCs w:val="21"/>
        </w:rPr>
        <w:t>智能报警：越界侦测，区域入侵侦测，场景变更侦测，人脸侦测，虚焦侦测；物品遗留侦测，物品拾取侦测，非法停车侦测，人员聚集侦测，徘徊侦测，快速移动侦测，进入区域侦测，离开区域侦测</w:t>
      </w:r>
    </w:p>
    <w:p>
      <w:pPr>
        <w:widowControl/>
        <w:shd w:val="clear" w:color="auto" w:fill="FFFFFF"/>
        <w:spacing w:line="360" w:lineRule="auto"/>
        <w:ind w:firstLine="480"/>
        <w:rPr>
          <w:rFonts w:hAnsi="宋体"/>
          <w:sz w:val="21"/>
          <w:szCs w:val="21"/>
        </w:rPr>
      </w:pPr>
      <w:r>
        <w:rPr>
          <w:rFonts w:hint="eastAsia" w:hAnsi="宋体"/>
          <w:sz w:val="21"/>
          <w:szCs w:val="21"/>
        </w:rPr>
        <w:t>支持智能后检索，配合NVR支持事件的二次检索分析</w:t>
      </w:r>
    </w:p>
    <w:p>
      <w:pPr>
        <w:widowControl/>
        <w:shd w:val="clear" w:color="auto" w:fill="FFFFFF"/>
        <w:spacing w:line="360" w:lineRule="auto"/>
        <w:ind w:firstLine="480"/>
        <w:rPr>
          <w:rFonts w:hAnsi="宋体"/>
          <w:sz w:val="21"/>
          <w:szCs w:val="21"/>
        </w:rPr>
      </w:pPr>
      <w:r>
        <w:rPr>
          <w:rFonts w:hint="eastAsia" w:hAnsi="宋体"/>
          <w:sz w:val="21"/>
          <w:szCs w:val="21"/>
        </w:rPr>
        <w:t>工作温度和湿度-30℃~60℃，湿度小于95%(无凝结)</w:t>
      </w:r>
    </w:p>
    <w:p>
      <w:pPr>
        <w:widowControl/>
        <w:shd w:val="clear" w:color="auto" w:fill="FFFFFF"/>
        <w:spacing w:line="360" w:lineRule="auto"/>
        <w:ind w:firstLine="480"/>
        <w:rPr>
          <w:rFonts w:hAnsi="宋体"/>
          <w:sz w:val="21"/>
          <w:szCs w:val="21"/>
        </w:rPr>
      </w:pPr>
      <w:r>
        <w:rPr>
          <w:rFonts w:hint="eastAsia" w:hAnsi="宋体"/>
          <w:sz w:val="21"/>
          <w:szCs w:val="21"/>
        </w:rPr>
        <w:t>电源供应 DC12V±25%/PoE(802.3af)</w:t>
      </w:r>
    </w:p>
    <w:p>
      <w:pPr>
        <w:widowControl/>
        <w:shd w:val="clear" w:color="auto" w:fill="FFFFFF"/>
        <w:spacing w:line="360" w:lineRule="auto"/>
        <w:ind w:firstLine="480"/>
        <w:rPr>
          <w:rFonts w:hAnsi="宋体"/>
          <w:sz w:val="21"/>
          <w:szCs w:val="21"/>
        </w:rPr>
      </w:pPr>
      <w:r>
        <w:rPr>
          <w:rFonts w:hint="eastAsia" w:hAnsi="宋体"/>
          <w:sz w:val="21"/>
          <w:szCs w:val="21"/>
        </w:rPr>
        <w:t>功耗 7W MAX</w:t>
      </w:r>
    </w:p>
    <w:p>
      <w:pPr>
        <w:widowControl/>
        <w:shd w:val="clear" w:color="auto" w:fill="FFFFFF"/>
        <w:spacing w:line="360" w:lineRule="auto"/>
        <w:ind w:firstLine="480"/>
        <w:rPr>
          <w:rFonts w:hAnsi="宋体"/>
          <w:sz w:val="21"/>
          <w:szCs w:val="21"/>
        </w:rPr>
      </w:pPr>
      <w:r>
        <w:rPr>
          <w:rFonts w:hint="eastAsia" w:hAnsi="宋体"/>
          <w:sz w:val="21"/>
          <w:szCs w:val="21"/>
        </w:rPr>
        <w:t>红外照射距离 EXIR：20-30米</w:t>
      </w:r>
    </w:p>
    <w:p>
      <w:pPr>
        <w:widowControl/>
        <w:shd w:val="clear" w:color="auto" w:fill="FFFFFF"/>
        <w:spacing w:line="360" w:lineRule="auto"/>
        <w:ind w:firstLine="480"/>
        <w:rPr>
          <w:rFonts w:hAnsi="宋体"/>
          <w:sz w:val="21"/>
          <w:szCs w:val="21"/>
        </w:rPr>
      </w:pPr>
      <w:r>
        <w:rPr>
          <w:rFonts w:hint="eastAsia" w:hAnsi="宋体"/>
          <w:sz w:val="21"/>
          <w:szCs w:val="21"/>
        </w:rPr>
        <w:t>防护等级 IP67</w:t>
      </w:r>
    </w:p>
    <w:p>
      <w:pPr>
        <w:widowControl/>
        <w:shd w:val="clear" w:color="auto" w:fill="FFFFFF"/>
        <w:spacing w:line="360" w:lineRule="auto"/>
        <w:ind w:firstLine="480"/>
        <w:rPr>
          <w:rFonts w:hAnsi="宋体"/>
          <w:b/>
          <w:bCs/>
          <w:sz w:val="21"/>
          <w:szCs w:val="21"/>
        </w:rPr>
      </w:pPr>
      <w:r>
        <w:rPr>
          <w:rFonts w:hint="eastAsia" w:hAnsi="宋体"/>
          <w:b/>
          <w:bCs/>
          <w:sz w:val="21"/>
          <w:szCs w:val="21"/>
        </w:rPr>
        <w:t>2、彩色枪型摄像机</w:t>
      </w:r>
    </w:p>
    <w:p>
      <w:pPr>
        <w:widowControl/>
        <w:shd w:val="clear" w:color="auto" w:fill="FFFFFF"/>
        <w:spacing w:line="360" w:lineRule="auto"/>
        <w:ind w:firstLine="480"/>
        <w:rPr>
          <w:rFonts w:hAnsi="宋体"/>
          <w:sz w:val="21"/>
          <w:szCs w:val="21"/>
        </w:rPr>
      </w:pPr>
      <w:r>
        <w:rPr>
          <w:rFonts w:hint="eastAsia" w:hAnsi="宋体"/>
          <w:sz w:val="21"/>
          <w:szCs w:val="21"/>
        </w:rPr>
        <w:t>200万1/2.7”CMOS ICR红外阵列筒型网络摄像机</w:t>
      </w:r>
    </w:p>
    <w:p>
      <w:pPr>
        <w:widowControl/>
        <w:shd w:val="clear" w:color="auto" w:fill="FFFFFF"/>
        <w:spacing w:line="360" w:lineRule="auto"/>
        <w:ind w:firstLine="480"/>
        <w:rPr>
          <w:rFonts w:hAnsi="宋体"/>
          <w:sz w:val="21"/>
          <w:szCs w:val="21"/>
        </w:rPr>
      </w:pPr>
      <w:r>
        <w:rPr>
          <w:rFonts w:hint="eastAsia" w:hAnsi="宋体"/>
          <w:sz w:val="21"/>
          <w:szCs w:val="21"/>
        </w:rPr>
        <w:t>视频压缩标准</w:t>
      </w:r>
      <w:r>
        <w:rPr>
          <w:rFonts w:hint="eastAsia" w:hAnsi="宋体"/>
          <w:sz w:val="21"/>
          <w:szCs w:val="21"/>
        </w:rPr>
        <w:tab/>
      </w:r>
      <w:r>
        <w:rPr>
          <w:rFonts w:hint="eastAsia" w:hAnsi="宋体"/>
          <w:sz w:val="21"/>
          <w:szCs w:val="21"/>
        </w:rPr>
        <w:t>H.265 / H.264 / MJPEG</w:t>
      </w:r>
    </w:p>
    <w:p>
      <w:pPr>
        <w:widowControl/>
        <w:shd w:val="clear" w:color="auto" w:fill="FFFFFF"/>
        <w:spacing w:line="360" w:lineRule="auto"/>
        <w:ind w:firstLine="480"/>
        <w:rPr>
          <w:rFonts w:hAnsi="宋体"/>
          <w:sz w:val="21"/>
          <w:szCs w:val="21"/>
        </w:rPr>
      </w:pPr>
      <w:r>
        <w:rPr>
          <w:rFonts w:hint="eastAsia" w:hAnsi="宋体"/>
          <w:sz w:val="21"/>
          <w:szCs w:val="21"/>
        </w:rPr>
        <w:t>最小照度：0.01Lux @(F1.2，AGC ON) ，0 Lux with IR</w:t>
      </w:r>
    </w:p>
    <w:p>
      <w:pPr>
        <w:widowControl/>
        <w:shd w:val="clear" w:color="auto" w:fill="FFFFFF"/>
        <w:spacing w:line="360" w:lineRule="auto"/>
        <w:ind w:firstLine="480"/>
        <w:rPr>
          <w:rFonts w:hAnsi="宋体"/>
          <w:sz w:val="21"/>
          <w:szCs w:val="21"/>
        </w:rPr>
      </w:pPr>
      <w:r>
        <w:rPr>
          <w:rFonts w:hint="eastAsia" w:hAnsi="宋体"/>
          <w:sz w:val="21"/>
          <w:szCs w:val="21"/>
        </w:rPr>
        <w:t>镜头：4mm，水平视场角：90.3°</w:t>
      </w:r>
    </w:p>
    <w:p>
      <w:pPr>
        <w:widowControl/>
        <w:shd w:val="clear" w:color="auto" w:fill="FFFFFF"/>
        <w:spacing w:line="360" w:lineRule="auto"/>
        <w:ind w:firstLine="480"/>
        <w:rPr>
          <w:rFonts w:hAnsi="宋体"/>
          <w:sz w:val="21"/>
          <w:szCs w:val="21"/>
        </w:rPr>
      </w:pPr>
      <w:r>
        <w:rPr>
          <w:rFonts w:hint="eastAsia" w:hAnsi="宋体"/>
          <w:sz w:val="21"/>
          <w:szCs w:val="21"/>
        </w:rPr>
        <w:t>帧率：50Hz： 25fps (1920 × 1080，1280 ×960，1280 × 720)</w:t>
      </w:r>
    </w:p>
    <w:p>
      <w:pPr>
        <w:widowControl/>
        <w:shd w:val="clear" w:color="auto" w:fill="FFFFFF"/>
        <w:spacing w:line="360" w:lineRule="auto"/>
        <w:ind w:firstLine="480"/>
        <w:rPr>
          <w:rFonts w:hAnsi="宋体"/>
          <w:sz w:val="21"/>
          <w:szCs w:val="21"/>
        </w:rPr>
      </w:pPr>
      <w:r>
        <w:rPr>
          <w:rFonts w:hint="eastAsia" w:hAnsi="宋体"/>
          <w:sz w:val="21"/>
          <w:szCs w:val="21"/>
        </w:rPr>
        <w:t>宽动态范围：120dB</w:t>
      </w:r>
    </w:p>
    <w:p>
      <w:pPr>
        <w:widowControl/>
        <w:shd w:val="clear" w:color="auto" w:fill="FFFFFF"/>
        <w:spacing w:line="360" w:lineRule="auto"/>
        <w:ind w:firstLine="480"/>
        <w:rPr>
          <w:rFonts w:hAnsi="宋体"/>
          <w:sz w:val="21"/>
          <w:szCs w:val="21"/>
        </w:rPr>
      </w:pPr>
      <w:r>
        <w:rPr>
          <w:rFonts w:hint="eastAsia" w:hAnsi="宋体"/>
          <w:sz w:val="21"/>
          <w:szCs w:val="21"/>
        </w:rPr>
        <w:t>感兴趣区域：ROI支持三码流分别设置1个固定区域</w:t>
      </w:r>
    </w:p>
    <w:p>
      <w:pPr>
        <w:widowControl/>
        <w:shd w:val="clear" w:color="auto" w:fill="FFFFFF"/>
        <w:spacing w:line="360" w:lineRule="auto"/>
        <w:ind w:firstLine="480"/>
        <w:rPr>
          <w:rFonts w:hAnsi="宋体"/>
          <w:sz w:val="21"/>
          <w:szCs w:val="21"/>
        </w:rPr>
      </w:pPr>
      <w:r>
        <w:rPr>
          <w:rFonts w:hint="eastAsia" w:hAnsi="宋体"/>
          <w:sz w:val="21"/>
          <w:szCs w:val="21"/>
        </w:rPr>
        <w:t>智能报警：越界侦测，区域入侵侦测，场景变更侦测，人脸侦测，虚焦侦测，物品遗留侦测，物品拾取侦测，非法停车侦测，人员聚集侦测，徘徊侦测，快速移动侦测，进入区域侦测，离开区域侦测</w:t>
      </w:r>
    </w:p>
    <w:p>
      <w:pPr>
        <w:widowControl/>
        <w:shd w:val="clear" w:color="auto" w:fill="FFFFFF"/>
        <w:spacing w:line="360" w:lineRule="auto"/>
        <w:ind w:firstLine="480"/>
        <w:rPr>
          <w:rFonts w:hAnsi="宋体"/>
          <w:sz w:val="21"/>
          <w:szCs w:val="21"/>
        </w:rPr>
      </w:pPr>
      <w:r>
        <w:rPr>
          <w:rFonts w:hint="eastAsia" w:hAnsi="宋体"/>
          <w:sz w:val="21"/>
          <w:szCs w:val="21"/>
        </w:rPr>
        <w:t>电源供应：DC12V±25%  / PoE(802.3af)</w:t>
      </w:r>
    </w:p>
    <w:p>
      <w:pPr>
        <w:widowControl/>
        <w:shd w:val="clear" w:color="auto" w:fill="FFFFFF"/>
        <w:spacing w:line="360" w:lineRule="auto"/>
        <w:ind w:firstLine="480"/>
        <w:rPr>
          <w:rFonts w:hAnsi="宋体"/>
          <w:sz w:val="21"/>
          <w:szCs w:val="21"/>
        </w:rPr>
      </w:pPr>
      <w:r>
        <w:rPr>
          <w:rFonts w:hint="eastAsia" w:hAnsi="宋体"/>
          <w:sz w:val="21"/>
          <w:szCs w:val="21"/>
        </w:rPr>
        <w:t>功耗：7W MAX</w:t>
      </w:r>
    </w:p>
    <w:p>
      <w:pPr>
        <w:widowControl/>
        <w:shd w:val="clear" w:color="auto" w:fill="FFFFFF"/>
        <w:spacing w:line="360" w:lineRule="auto"/>
        <w:ind w:firstLine="480"/>
        <w:rPr>
          <w:rFonts w:hAnsi="宋体"/>
          <w:sz w:val="21"/>
          <w:szCs w:val="21"/>
        </w:rPr>
      </w:pPr>
      <w:r>
        <w:rPr>
          <w:rFonts w:hint="eastAsia" w:hAnsi="宋体"/>
          <w:sz w:val="21"/>
          <w:szCs w:val="21"/>
        </w:rPr>
        <w:t>红外照射距离最远可达：30米</w:t>
      </w:r>
    </w:p>
    <w:p>
      <w:pPr>
        <w:widowControl/>
        <w:shd w:val="clear" w:color="auto" w:fill="FFFFFF"/>
        <w:spacing w:line="360" w:lineRule="auto"/>
        <w:ind w:firstLine="480"/>
        <w:rPr>
          <w:rFonts w:hAnsi="宋体"/>
          <w:sz w:val="21"/>
          <w:szCs w:val="21"/>
        </w:rPr>
      </w:pPr>
      <w:r>
        <w:rPr>
          <w:rFonts w:hint="eastAsia" w:hAnsi="宋体"/>
          <w:sz w:val="21"/>
          <w:szCs w:val="21"/>
        </w:rPr>
        <w:t>支持智能后检索，配合NVR支持事件的二次检索分析</w:t>
      </w:r>
    </w:p>
    <w:p>
      <w:pPr>
        <w:widowControl/>
        <w:shd w:val="clear" w:color="auto" w:fill="FFFFFF"/>
        <w:spacing w:line="360" w:lineRule="auto"/>
        <w:ind w:firstLine="480"/>
        <w:rPr>
          <w:rFonts w:hAnsi="宋体"/>
          <w:sz w:val="21"/>
          <w:szCs w:val="21"/>
        </w:rPr>
      </w:pPr>
      <w:r>
        <w:rPr>
          <w:rFonts w:hint="eastAsia" w:hAnsi="宋体"/>
          <w:sz w:val="21"/>
          <w:szCs w:val="21"/>
        </w:rPr>
        <w:t xml:space="preserve">存储功能：NAS(NFS，SMB/CIFS均支持) </w:t>
      </w:r>
    </w:p>
    <w:p>
      <w:pPr>
        <w:widowControl/>
        <w:shd w:val="clear" w:color="auto" w:fill="FFFFFF"/>
        <w:spacing w:line="360" w:lineRule="auto"/>
        <w:ind w:firstLine="480"/>
        <w:rPr>
          <w:rFonts w:hAnsi="宋体"/>
          <w:sz w:val="21"/>
          <w:szCs w:val="21"/>
        </w:rPr>
      </w:pPr>
      <w:r>
        <w:rPr>
          <w:rFonts w:hint="eastAsia" w:hAnsi="宋体"/>
          <w:sz w:val="21"/>
          <w:szCs w:val="21"/>
        </w:rPr>
        <w:t>快门：1/3秒至1/100，000秒</w:t>
      </w:r>
    </w:p>
    <w:p>
      <w:pPr>
        <w:widowControl/>
        <w:shd w:val="clear" w:color="auto" w:fill="FFFFFF"/>
        <w:spacing w:line="360" w:lineRule="auto"/>
        <w:ind w:firstLine="480"/>
        <w:rPr>
          <w:rFonts w:hAnsi="宋体"/>
          <w:sz w:val="21"/>
          <w:szCs w:val="21"/>
        </w:rPr>
      </w:pPr>
      <w:r>
        <w:rPr>
          <w:rFonts w:hint="eastAsia" w:hAnsi="宋体"/>
          <w:sz w:val="21"/>
          <w:szCs w:val="21"/>
        </w:rPr>
        <w:t>工作温度和湿度：-30℃~60℃，湿度小于95%(无凝结)</w:t>
      </w:r>
    </w:p>
    <w:p>
      <w:pPr>
        <w:widowControl/>
        <w:shd w:val="clear" w:color="auto" w:fill="FFFFFF"/>
        <w:spacing w:line="360" w:lineRule="auto"/>
        <w:ind w:firstLine="480"/>
        <w:rPr>
          <w:rFonts w:hAnsi="宋体"/>
          <w:sz w:val="21"/>
          <w:szCs w:val="21"/>
        </w:rPr>
      </w:pPr>
      <w:r>
        <w:rPr>
          <w:rFonts w:hint="eastAsia" w:hAnsi="宋体"/>
          <w:sz w:val="21"/>
          <w:szCs w:val="21"/>
        </w:rPr>
        <w:t>IP67防护等级</w:t>
      </w:r>
    </w:p>
    <w:p>
      <w:pPr>
        <w:widowControl/>
        <w:shd w:val="clear" w:color="auto" w:fill="FFFFFF"/>
        <w:spacing w:line="360" w:lineRule="auto"/>
        <w:ind w:firstLine="480"/>
        <w:rPr>
          <w:rFonts w:hAnsi="宋体"/>
          <w:b/>
          <w:bCs/>
          <w:sz w:val="21"/>
          <w:szCs w:val="21"/>
        </w:rPr>
      </w:pPr>
      <w:r>
        <w:rPr>
          <w:rFonts w:hint="eastAsia" w:hAnsi="宋体"/>
          <w:b/>
          <w:bCs/>
          <w:sz w:val="21"/>
          <w:szCs w:val="21"/>
        </w:rPr>
        <w:t>3、电梯专用摄像机</w:t>
      </w:r>
    </w:p>
    <w:p>
      <w:pPr>
        <w:widowControl/>
        <w:shd w:val="clear" w:color="auto" w:fill="FFFFFF"/>
        <w:spacing w:line="360" w:lineRule="auto"/>
        <w:ind w:firstLine="480"/>
        <w:rPr>
          <w:rFonts w:hAnsi="宋体"/>
          <w:sz w:val="21"/>
          <w:szCs w:val="21"/>
        </w:rPr>
      </w:pPr>
      <w:r>
        <w:rPr>
          <w:rFonts w:hint="eastAsia" w:hAnsi="宋体"/>
          <w:sz w:val="21"/>
          <w:szCs w:val="21"/>
        </w:rPr>
        <w:t>200万1/2.7” CMOS日夜型迷你半球型网络摄像机</w:t>
      </w:r>
    </w:p>
    <w:p>
      <w:pPr>
        <w:widowControl/>
        <w:shd w:val="clear" w:color="auto" w:fill="FFFFFF"/>
        <w:spacing w:line="360" w:lineRule="auto"/>
        <w:ind w:firstLine="480"/>
        <w:rPr>
          <w:rFonts w:hAnsi="宋体"/>
          <w:sz w:val="21"/>
          <w:szCs w:val="21"/>
        </w:rPr>
      </w:pPr>
      <w:r>
        <w:rPr>
          <w:rFonts w:hint="eastAsia" w:hAnsi="宋体"/>
          <w:sz w:val="21"/>
          <w:szCs w:val="21"/>
        </w:rPr>
        <w:t>内置麦克风</w:t>
      </w:r>
    </w:p>
    <w:p>
      <w:pPr>
        <w:widowControl/>
        <w:shd w:val="clear" w:color="auto" w:fill="FFFFFF"/>
        <w:spacing w:line="360" w:lineRule="auto"/>
        <w:ind w:firstLine="480"/>
        <w:rPr>
          <w:rFonts w:hAnsi="宋体"/>
          <w:sz w:val="21"/>
          <w:szCs w:val="21"/>
        </w:rPr>
      </w:pPr>
      <w:r>
        <w:rPr>
          <w:rFonts w:hint="eastAsia" w:hAnsi="宋体"/>
          <w:sz w:val="21"/>
          <w:szCs w:val="21"/>
        </w:rPr>
        <w:t>最低照度：彩色：0.01 Lux @ (F1.2， AGC ON)，0 Lux with IR</w:t>
      </w:r>
    </w:p>
    <w:p>
      <w:pPr>
        <w:widowControl/>
        <w:shd w:val="clear" w:color="auto" w:fill="FFFFFF"/>
        <w:spacing w:line="360" w:lineRule="auto"/>
        <w:ind w:firstLine="480"/>
        <w:rPr>
          <w:rFonts w:hAnsi="宋体"/>
          <w:sz w:val="21"/>
          <w:szCs w:val="21"/>
        </w:rPr>
      </w:pPr>
      <w:r>
        <w:rPr>
          <w:rFonts w:hint="eastAsia" w:hAnsi="宋体"/>
          <w:sz w:val="21"/>
          <w:szCs w:val="21"/>
        </w:rPr>
        <w:t>镜头：2.8 mm@ F1.6，水平视场角：114.8°，垂直视场角：62.1°，对角线视场角：135.6°</w:t>
      </w:r>
    </w:p>
    <w:p>
      <w:pPr>
        <w:widowControl/>
        <w:shd w:val="clear" w:color="auto" w:fill="FFFFFF"/>
        <w:spacing w:line="360" w:lineRule="auto"/>
        <w:ind w:firstLine="480"/>
        <w:rPr>
          <w:rFonts w:hAnsi="宋体"/>
          <w:sz w:val="21"/>
          <w:szCs w:val="21"/>
        </w:rPr>
      </w:pPr>
      <w:r>
        <w:rPr>
          <w:rFonts w:hint="eastAsia" w:hAnsi="宋体"/>
          <w:sz w:val="21"/>
          <w:szCs w:val="21"/>
        </w:rPr>
        <w:t>调整角度：水平-15~15°，垂直0~75°，旋转0-360°</w:t>
      </w:r>
    </w:p>
    <w:p>
      <w:pPr>
        <w:widowControl/>
        <w:shd w:val="clear" w:color="auto" w:fill="FFFFFF"/>
        <w:spacing w:line="360" w:lineRule="auto"/>
        <w:ind w:firstLine="480"/>
        <w:rPr>
          <w:rFonts w:hAnsi="宋体"/>
          <w:sz w:val="21"/>
          <w:szCs w:val="21"/>
        </w:rPr>
      </w:pPr>
      <w:r>
        <w:rPr>
          <w:rFonts w:hint="eastAsia" w:hAnsi="宋体"/>
          <w:sz w:val="21"/>
          <w:szCs w:val="21"/>
        </w:rPr>
        <w:t>宽动态范围：105dB数字宽动态</w:t>
      </w:r>
    </w:p>
    <w:p>
      <w:pPr>
        <w:widowControl/>
        <w:shd w:val="clear" w:color="auto" w:fill="FFFFFF"/>
        <w:spacing w:line="360" w:lineRule="auto"/>
        <w:ind w:firstLine="480"/>
        <w:rPr>
          <w:rFonts w:hAnsi="宋体"/>
          <w:sz w:val="21"/>
          <w:szCs w:val="21"/>
        </w:rPr>
      </w:pPr>
      <w:r>
        <w:rPr>
          <w:rFonts w:hint="eastAsia" w:hAnsi="宋体"/>
          <w:sz w:val="21"/>
          <w:szCs w:val="21"/>
        </w:rPr>
        <w:t>视频压缩标准：H.264/H.265/MJPEG</w:t>
      </w:r>
    </w:p>
    <w:p>
      <w:pPr>
        <w:widowControl/>
        <w:shd w:val="clear" w:color="auto" w:fill="FFFFFF"/>
        <w:spacing w:line="360" w:lineRule="auto"/>
        <w:ind w:firstLine="480"/>
        <w:rPr>
          <w:rFonts w:hAnsi="宋体"/>
          <w:sz w:val="21"/>
          <w:szCs w:val="21"/>
        </w:rPr>
      </w:pPr>
      <w:r>
        <w:rPr>
          <w:rFonts w:hint="eastAsia" w:hAnsi="宋体"/>
          <w:sz w:val="21"/>
          <w:szCs w:val="21"/>
        </w:rPr>
        <w:t>最大图像尺寸：1920 × 1080</w:t>
      </w:r>
    </w:p>
    <w:p>
      <w:pPr>
        <w:widowControl/>
        <w:shd w:val="clear" w:color="auto" w:fill="FFFFFF"/>
        <w:spacing w:line="360" w:lineRule="auto"/>
        <w:ind w:firstLine="480"/>
        <w:rPr>
          <w:rFonts w:hAnsi="宋体"/>
          <w:sz w:val="21"/>
          <w:szCs w:val="21"/>
        </w:rPr>
      </w:pPr>
      <w:r>
        <w:rPr>
          <w:rFonts w:hint="eastAsia" w:hAnsi="宋体"/>
          <w:sz w:val="21"/>
          <w:szCs w:val="21"/>
        </w:rPr>
        <w:t>存储功能：支持Micro SD(即TF卡)/Micro SDHC /Micro SDXC 卡(128G)断网本地存储，NAS(NFS，SMB/CIFS 均支持)</w:t>
      </w:r>
    </w:p>
    <w:p>
      <w:pPr>
        <w:widowControl/>
        <w:shd w:val="clear" w:color="auto" w:fill="FFFFFF"/>
        <w:spacing w:line="360" w:lineRule="auto"/>
        <w:ind w:firstLine="480"/>
        <w:rPr>
          <w:rFonts w:hAnsi="宋体"/>
          <w:sz w:val="21"/>
          <w:szCs w:val="21"/>
        </w:rPr>
      </w:pPr>
      <w:r>
        <w:rPr>
          <w:rFonts w:hint="eastAsia" w:hAnsi="宋体"/>
          <w:sz w:val="21"/>
          <w:szCs w:val="21"/>
        </w:rPr>
        <w:t>通讯接口：1 个RJ45 10M / 100M 自适应以太网口</w:t>
      </w:r>
    </w:p>
    <w:p>
      <w:pPr>
        <w:widowControl/>
        <w:shd w:val="clear" w:color="auto" w:fill="FFFFFF"/>
        <w:spacing w:line="360" w:lineRule="auto"/>
        <w:ind w:firstLine="480"/>
        <w:rPr>
          <w:rFonts w:hAnsi="宋体"/>
          <w:sz w:val="21"/>
          <w:szCs w:val="21"/>
        </w:rPr>
      </w:pPr>
      <w:r>
        <w:rPr>
          <w:rFonts w:hint="eastAsia" w:hAnsi="宋体"/>
          <w:sz w:val="21"/>
          <w:szCs w:val="21"/>
        </w:rPr>
        <w:t>工作温度和湿度：-10℃~40℃，湿度小于95%(无凝结)</w:t>
      </w:r>
    </w:p>
    <w:p>
      <w:pPr>
        <w:widowControl/>
        <w:shd w:val="clear" w:color="auto" w:fill="FFFFFF"/>
        <w:spacing w:line="360" w:lineRule="auto"/>
        <w:ind w:firstLine="480"/>
        <w:rPr>
          <w:rFonts w:hAnsi="宋体"/>
          <w:sz w:val="21"/>
          <w:szCs w:val="21"/>
        </w:rPr>
      </w:pPr>
      <w:r>
        <w:rPr>
          <w:rFonts w:hint="eastAsia" w:hAnsi="宋体"/>
          <w:sz w:val="21"/>
          <w:szCs w:val="21"/>
        </w:rPr>
        <w:t>电源供应：DC：12V±25%(支持防反接保护)，POE：802.3af</w:t>
      </w:r>
    </w:p>
    <w:p>
      <w:pPr>
        <w:widowControl/>
        <w:shd w:val="clear" w:color="auto" w:fill="FFFFFF"/>
        <w:spacing w:line="360" w:lineRule="auto"/>
        <w:ind w:firstLine="480"/>
        <w:rPr>
          <w:rFonts w:hAnsi="宋体"/>
          <w:sz w:val="21"/>
          <w:szCs w:val="21"/>
        </w:rPr>
      </w:pPr>
      <w:r>
        <w:rPr>
          <w:rFonts w:hint="eastAsia" w:hAnsi="宋体"/>
          <w:sz w:val="21"/>
          <w:szCs w:val="21"/>
        </w:rPr>
        <w:t>电源接口类型：Φ5.5mm 圆口</w:t>
      </w:r>
    </w:p>
    <w:p>
      <w:pPr>
        <w:widowControl/>
        <w:shd w:val="clear" w:color="auto" w:fill="FFFFFF"/>
        <w:spacing w:line="360" w:lineRule="auto"/>
        <w:ind w:firstLine="480"/>
        <w:rPr>
          <w:rFonts w:hAnsi="宋体"/>
          <w:sz w:val="21"/>
          <w:szCs w:val="21"/>
        </w:rPr>
      </w:pPr>
      <w:r>
        <w:rPr>
          <w:rFonts w:hint="eastAsia" w:hAnsi="宋体"/>
          <w:sz w:val="21"/>
          <w:szCs w:val="21"/>
        </w:rPr>
        <w:t>功耗：DC：Max： 6.0W，PoE：Max：7.5W</w:t>
      </w:r>
    </w:p>
    <w:p>
      <w:pPr>
        <w:widowControl/>
        <w:shd w:val="clear" w:color="auto" w:fill="FFFFFF"/>
        <w:spacing w:line="360" w:lineRule="auto"/>
        <w:ind w:firstLine="480"/>
        <w:rPr>
          <w:rFonts w:hAnsi="宋体"/>
          <w:sz w:val="21"/>
          <w:szCs w:val="21"/>
        </w:rPr>
      </w:pPr>
      <w:r>
        <w:rPr>
          <w:rFonts w:hint="eastAsia" w:hAnsi="宋体"/>
          <w:sz w:val="21"/>
          <w:szCs w:val="21"/>
        </w:rPr>
        <w:t>红外照射距离：3m</w:t>
      </w:r>
    </w:p>
    <w:p>
      <w:pPr>
        <w:widowControl/>
        <w:shd w:val="clear" w:color="auto" w:fill="FFFFFF"/>
        <w:spacing w:line="360" w:lineRule="auto"/>
        <w:ind w:firstLine="480"/>
        <w:rPr>
          <w:rFonts w:hAnsi="宋体"/>
          <w:sz w:val="21"/>
          <w:szCs w:val="21"/>
        </w:rPr>
      </w:pPr>
      <w:r>
        <w:rPr>
          <w:rFonts w:hint="eastAsia" w:hAnsi="宋体"/>
          <w:sz w:val="21"/>
          <w:szCs w:val="21"/>
        </w:rPr>
        <w:t>防护等级：IP66</w:t>
      </w:r>
    </w:p>
    <w:p>
      <w:pPr>
        <w:widowControl/>
        <w:shd w:val="clear" w:color="auto" w:fill="FFFFFF"/>
        <w:spacing w:line="360" w:lineRule="auto"/>
        <w:ind w:firstLine="480"/>
        <w:rPr>
          <w:rFonts w:hAnsi="宋体"/>
          <w:sz w:val="21"/>
          <w:szCs w:val="21"/>
        </w:rPr>
      </w:pPr>
      <w:r>
        <w:rPr>
          <w:rFonts w:hint="eastAsia" w:hAnsi="宋体"/>
          <w:sz w:val="21"/>
          <w:szCs w:val="21"/>
        </w:rPr>
        <w:t>防暴等级：IK08</w:t>
      </w:r>
    </w:p>
    <w:p>
      <w:pPr>
        <w:widowControl/>
        <w:shd w:val="clear" w:color="auto" w:fill="FFFFFF"/>
        <w:spacing w:line="360" w:lineRule="auto"/>
        <w:ind w:firstLine="480"/>
        <w:rPr>
          <w:rFonts w:hAnsi="宋体"/>
          <w:b/>
          <w:bCs/>
          <w:sz w:val="21"/>
          <w:szCs w:val="21"/>
        </w:rPr>
      </w:pPr>
      <w:r>
        <w:rPr>
          <w:rFonts w:hint="eastAsia" w:hAnsi="宋体"/>
          <w:b/>
          <w:bCs/>
          <w:sz w:val="21"/>
          <w:szCs w:val="21"/>
        </w:rPr>
        <w:t>4、警戒摄像机</w:t>
      </w:r>
    </w:p>
    <w:p>
      <w:pPr>
        <w:widowControl/>
        <w:shd w:val="clear" w:color="auto" w:fill="FFFFFF"/>
        <w:spacing w:line="360" w:lineRule="auto"/>
        <w:ind w:firstLine="480"/>
        <w:rPr>
          <w:rFonts w:hAnsi="宋体"/>
          <w:sz w:val="21"/>
          <w:szCs w:val="21"/>
        </w:rPr>
      </w:pPr>
      <w:r>
        <w:rPr>
          <w:rFonts w:hint="eastAsia" w:hAnsi="宋体"/>
          <w:sz w:val="21"/>
          <w:szCs w:val="21"/>
        </w:rPr>
        <w:t>200万星光级1/2.7"CMOS智能筒型网络摄像机</w:t>
      </w:r>
    </w:p>
    <w:p>
      <w:pPr>
        <w:widowControl/>
        <w:shd w:val="clear" w:color="auto" w:fill="FFFFFF"/>
        <w:spacing w:line="360" w:lineRule="auto"/>
        <w:ind w:firstLine="480"/>
        <w:rPr>
          <w:rFonts w:hAnsi="宋体"/>
          <w:sz w:val="21"/>
          <w:szCs w:val="21"/>
        </w:rPr>
      </w:pPr>
      <w:r>
        <w:rPr>
          <w:rFonts w:hint="eastAsia" w:hAnsi="宋体"/>
          <w:sz w:val="21"/>
          <w:szCs w:val="21"/>
        </w:rPr>
        <w:t>智能侦测：采用深度学习硬件及算法，提供精准的人车分类侦测，支持越界侦测，区域入侵侦测，进入/离开区域侦测。</w:t>
      </w:r>
    </w:p>
    <w:p>
      <w:pPr>
        <w:widowControl/>
        <w:shd w:val="clear" w:color="auto" w:fill="FFFFFF"/>
        <w:spacing w:line="360" w:lineRule="auto"/>
        <w:ind w:firstLine="480"/>
        <w:rPr>
          <w:rFonts w:hAnsi="宋体"/>
          <w:sz w:val="21"/>
          <w:szCs w:val="21"/>
        </w:rPr>
      </w:pPr>
      <w:r>
        <w:rPr>
          <w:rFonts w:hint="eastAsia" w:hAnsi="宋体"/>
          <w:sz w:val="21"/>
          <w:szCs w:val="21"/>
        </w:rPr>
        <w:t>支持联动白光报警</w:t>
      </w:r>
    </w:p>
    <w:p>
      <w:pPr>
        <w:widowControl/>
        <w:shd w:val="clear" w:color="auto" w:fill="FFFFFF"/>
        <w:spacing w:line="360" w:lineRule="auto"/>
        <w:ind w:firstLine="480"/>
        <w:rPr>
          <w:rFonts w:hAnsi="宋体"/>
          <w:sz w:val="21"/>
          <w:szCs w:val="21"/>
        </w:rPr>
      </w:pPr>
      <w:r>
        <w:rPr>
          <w:rFonts w:hint="eastAsia" w:hAnsi="宋体"/>
          <w:sz w:val="21"/>
          <w:szCs w:val="21"/>
        </w:rPr>
        <w:t>支持联动声音报警</w:t>
      </w:r>
    </w:p>
    <w:p>
      <w:pPr>
        <w:widowControl/>
        <w:shd w:val="clear" w:color="auto" w:fill="FFFFFF"/>
        <w:spacing w:line="360" w:lineRule="auto"/>
        <w:ind w:firstLine="480"/>
        <w:rPr>
          <w:rFonts w:hAnsi="宋体"/>
          <w:sz w:val="21"/>
          <w:szCs w:val="21"/>
        </w:rPr>
      </w:pPr>
      <w:r>
        <w:rPr>
          <w:rFonts w:hint="eastAsia" w:hAnsi="宋体"/>
          <w:sz w:val="21"/>
          <w:szCs w:val="21"/>
        </w:rPr>
        <w:t>最小照度：0.002Lux @(F1.2，AGC ON) ，0 Lux with IR</w:t>
      </w:r>
    </w:p>
    <w:p>
      <w:pPr>
        <w:widowControl/>
        <w:shd w:val="clear" w:color="auto" w:fill="FFFFFF"/>
        <w:spacing w:line="360" w:lineRule="auto"/>
        <w:ind w:firstLine="480"/>
        <w:rPr>
          <w:rFonts w:hAnsi="宋体"/>
          <w:sz w:val="21"/>
          <w:szCs w:val="21"/>
        </w:rPr>
      </w:pPr>
      <w:r>
        <w:rPr>
          <w:rFonts w:hint="eastAsia" w:hAnsi="宋体"/>
          <w:sz w:val="21"/>
          <w:szCs w:val="21"/>
        </w:rPr>
        <w:t>镜头：4mm，水平视场角81.9°</w:t>
      </w:r>
    </w:p>
    <w:p>
      <w:pPr>
        <w:widowControl/>
        <w:shd w:val="clear" w:color="auto" w:fill="FFFFFF"/>
        <w:spacing w:line="360" w:lineRule="auto"/>
        <w:ind w:firstLine="480"/>
        <w:rPr>
          <w:rFonts w:hAnsi="宋体"/>
          <w:sz w:val="21"/>
          <w:szCs w:val="21"/>
        </w:rPr>
      </w:pPr>
      <w:r>
        <w:rPr>
          <w:rFonts w:hint="eastAsia" w:hAnsi="宋体"/>
          <w:sz w:val="21"/>
          <w:szCs w:val="21"/>
        </w:rPr>
        <w:t>宽动态范围：120dB</w:t>
      </w:r>
    </w:p>
    <w:p>
      <w:pPr>
        <w:widowControl/>
        <w:shd w:val="clear" w:color="auto" w:fill="FFFFFF"/>
        <w:spacing w:line="360" w:lineRule="auto"/>
        <w:ind w:firstLine="480"/>
        <w:rPr>
          <w:rFonts w:hAnsi="宋体"/>
          <w:sz w:val="21"/>
          <w:szCs w:val="21"/>
        </w:rPr>
      </w:pPr>
      <w:r>
        <w:rPr>
          <w:rFonts w:hint="eastAsia" w:hAnsi="宋体"/>
          <w:sz w:val="21"/>
          <w:szCs w:val="21"/>
        </w:rPr>
        <w:t>视频压缩标准：H.265/H.264/ MJPEG</w:t>
      </w:r>
    </w:p>
    <w:p>
      <w:pPr>
        <w:widowControl/>
        <w:shd w:val="clear" w:color="auto" w:fill="FFFFFF"/>
        <w:spacing w:line="360" w:lineRule="auto"/>
        <w:ind w:firstLine="480"/>
        <w:rPr>
          <w:rFonts w:hAnsi="宋体"/>
          <w:sz w:val="21"/>
          <w:szCs w:val="21"/>
        </w:rPr>
      </w:pPr>
      <w:r>
        <w:rPr>
          <w:rFonts w:hint="eastAsia" w:hAnsi="宋体"/>
          <w:sz w:val="21"/>
          <w:szCs w:val="21"/>
        </w:rPr>
        <w:t>最大图像尺寸：1920 × 1080</w:t>
      </w:r>
    </w:p>
    <w:p>
      <w:pPr>
        <w:widowControl/>
        <w:shd w:val="clear" w:color="auto" w:fill="FFFFFF"/>
        <w:spacing w:line="360" w:lineRule="auto"/>
        <w:ind w:firstLine="480"/>
        <w:rPr>
          <w:rFonts w:hAnsi="宋体"/>
          <w:sz w:val="21"/>
          <w:szCs w:val="21"/>
        </w:rPr>
      </w:pPr>
      <w:r>
        <w:rPr>
          <w:rFonts w:hint="eastAsia" w:hAnsi="宋体"/>
          <w:sz w:val="21"/>
          <w:szCs w:val="21"/>
        </w:rPr>
        <w:t>存储功能：支持Micro SD(即TF卡)/Micro SDHC/Micro SDXC卡((128GB或者256GB)断网本地存储及断网续传，NAS(NFS，SMB/CIFS均支持)，配合海康黑卡支持SD卡加密及SD状态检测功能</w:t>
      </w:r>
    </w:p>
    <w:p>
      <w:pPr>
        <w:widowControl/>
        <w:shd w:val="clear" w:color="auto" w:fill="FFFFFF"/>
        <w:spacing w:line="360" w:lineRule="auto"/>
        <w:ind w:firstLine="480"/>
        <w:rPr>
          <w:rFonts w:hAnsi="宋体"/>
          <w:sz w:val="21"/>
          <w:szCs w:val="21"/>
        </w:rPr>
      </w:pPr>
      <w:r>
        <w:rPr>
          <w:rFonts w:hint="eastAsia" w:hAnsi="宋体"/>
          <w:sz w:val="21"/>
          <w:szCs w:val="21"/>
        </w:rPr>
        <w:t>通讯接口：1个RJ45 10M / 100M 自适应以太网口</w:t>
      </w:r>
    </w:p>
    <w:p>
      <w:pPr>
        <w:widowControl/>
        <w:shd w:val="clear" w:color="auto" w:fill="FFFFFF"/>
        <w:spacing w:line="360" w:lineRule="auto"/>
        <w:ind w:firstLine="480"/>
        <w:rPr>
          <w:rFonts w:hAnsi="宋体"/>
          <w:sz w:val="21"/>
          <w:szCs w:val="21"/>
        </w:rPr>
      </w:pPr>
      <w:r>
        <w:rPr>
          <w:rFonts w:hint="eastAsia" w:hAnsi="宋体"/>
          <w:sz w:val="21"/>
          <w:szCs w:val="21"/>
        </w:rPr>
        <w:t>音频接口：内置麦克风和扬声器</w:t>
      </w:r>
    </w:p>
    <w:p>
      <w:pPr>
        <w:widowControl/>
        <w:shd w:val="clear" w:color="auto" w:fill="FFFFFF"/>
        <w:spacing w:line="360" w:lineRule="auto"/>
        <w:ind w:firstLine="480"/>
        <w:rPr>
          <w:rFonts w:hAnsi="宋体"/>
          <w:sz w:val="21"/>
          <w:szCs w:val="21"/>
        </w:rPr>
      </w:pPr>
      <w:r>
        <w:rPr>
          <w:rFonts w:hint="eastAsia" w:hAnsi="宋体"/>
          <w:sz w:val="21"/>
          <w:szCs w:val="21"/>
        </w:rPr>
        <w:t>音频接口：1对音频输入(Line in)/输出（Line out）外部接口</w:t>
      </w:r>
    </w:p>
    <w:p>
      <w:pPr>
        <w:widowControl/>
        <w:shd w:val="clear" w:color="auto" w:fill="FFFFFF"/>
        <w:spacing w:line="360" w:lineRule="auto"/>
        <w:ind w:firstLine="480"/>
        <w:rPr>
          <w:rFonts w:hAnsi="宋体"/>
          <w:sz w:val="21"/>
          <w:szCs w:val="21"/>
        </w:rPr>
      </w:pPr>
      <w:r>
        <w:rPr>
          <w:rFonts w:hint="eastAsia" w:hAnsi="宋体"/>
          <w:sz w:val="21"/>
          <w:szCs w:val="21"/>
        </w:rPr>
        <w:t>报警输入：1路</w:t>
      </w:r>
    </w:p>
    <w:p>
      <w:pPr>
        <w:widowControl/>
        <w:shd w:val="clear" w:color="auto" w:fill="FFFFFF"/>
        <w:spacing w:line="360" w:lineRule="auto"/>
        <w:ind w:firstLine="480"/>
        <w:rPr>
          <w:rFonts w:hAnsi="宋体"/>
          <w:sz w:val="21"/>
          <w:szCs w:val="21"/>
        </w:rPr>
      </w:pPr>
      <w:r>
        <w:rPr>
          <w:rFonts w:hint="eastAsia" w:hAnsi="宋体"/>
          <w:sz w:val="21"/>
          <w:szCs w:val="21"/>
        </w:rPr>
        <w:t>报警输出：1路(报警输出最大支持DC24V/AC24V 1A)</w:t>
      </w:r>
    </w:p>
    <w:p>
      <w:pPr>
        <w:widowControl/>
        <w:shd w:val="clear" w:color="auto" w:fill="FFFFFF"/>
        <w:spacing w:line="360" w:lineRule="auto"/>
        <w:ind w:firstLine="480"/>
        <w:rPr>
          <w:rFonts w:hAnsi="宋体"/>
          <w:sz w:val="21"/>
          <w:szCs w:val="21"/>
        </w:rPr>
      </w:pPr>
      <w:r>
        <w:rPr>
          <w:rFonts w:hint="eastAsia" w:hAnsi="宋体"/>
          <w:sz w:val="21"/>
          <w:szCs w:val="21"/>
        </w:rPr>
        <w:t>电源输出：支持两线式DC12V 100mA电源输出</w:t>
      </w:r>
    </w:p>
    <w:p>
      <w:pPr>
        <w:widowControl/>
        <w:shd w:val="clear" w:color="auto" w:fill="FFFFFF"/>
        <w:spacing w:line="360" w:lineRule="auto"/>
        <w:ind w:firstLine="480"/>
        <w:rPr>
          <w:rFonts w:hAnsi="宋体"/>
          <w:sz w:val="21"/>
          <w:szCs w:val="21"/>
        </w:rPr>
      </w:pPr>
      <w:r>
        <w:rPr>
          <w:rFonts w:hint="eastAsia" w:hAnsi="宋体"/>
          <w:sz w:val="21"/>
          <w:szCs w:val="21"/>
        </w:rPr>
        <w:t>工作温度和湿度：-30℃~60℃，湿度小于95%(无凝结)</w:t>
      </w:r>
    </w:p>
    <w:p>
      <w:pPr>
        <w:widowControl/>
        <w:shd w:val="clear" w:color="auto" w:fill="FFFFFF"/>
        <w:spacing w:line="360" w:lineRule="auto"/>
        <w:ind w:firstLine="480"/>
        <w:rPr>
          <w:rFonts w:hAnsi="宋体"/>
          <w:sz w:val="21"/>
          <w:szCs w:val="21"/>
        </w:rPr>
      </w:pPr>
      <w:r>
        <w:rPr>
          <w:rFonts w:hint="eastAsia" w:hAnsi="宋体"/>
          <w:sz w:val="21"/>
          <w:szCs w:val="21"/>
        </w:rPr>
        <w:t>电源供应：DC12V±25% / PoE(802.3af)</w:t>
      </w:r>
    </w:p>
    <w:p>
      <w:pPr>
        <w:widowControl/>
        <w:shd w:val="clear" w:color="auto" w:fill="FFFFFF"/>
        <w:spacing w:line="360" w:lineRule="auto"/>
        <w:ind w:firstLine="480"/>
        <w:rPr>
          <w:rFonts w:hAnsi="宋体"/>
          <w:sz w:val="21"/>
          <w:szCs w:val="21"/>
        </w:rPr>
      </w:pPr>
      <w:r>
        <w:rPr>
          <w:rFonts w:hint="eastAsia" w:hAnsi="宋体"/>
          <w:sz w:val="21"/>
          <w:szCs w:val="21"/>
        </w:rPr>
        <w:t>电源接口类型：Φ5.5mm圆头电源接口</w:t>
      </w:r>
    </w:p>
    <w:p>
      <w:pPr>
        <w:widowControl/>
        <w:shd w:val="clear" w:color="auto" w:fill="FFFFFF"/>
        <w:spacing w:line="360" w:lineRule="auto"/>
        <w:ind w:firstLine="480"/>
        <w:rPr>
          <w:rFonts w:hAnsi="宋体"/>
          <w:sz w:val="21"/>
          <w:szCs w:val="21"/>
        </w:rPr>
      </w:pPr>
      <w:r>
        <w:rPr>
          <w:rFonts w:hint="eastAsia" w:hAnsi="宋体"/>
          <w:sz w:val="21"/>
          <w:szCs w:val="21"/>
        </w:rPr>
        <w:t>功耗：DC12V：9W Max； PoE：10.5W Max</w:t>
      </w:r>
    </w:p>
    <w:p>
      <w:pPr>
        <w:widowControl/>
        <w:shd w:val="clear" w:color="auto" w:fill="FFFFFF"/>
        <w:spacing w:line="360" w:lineRule="auto"/>
        <w:ind w:firstLine="480"/>
        <w:rPr>
          <w:rFonts w:hAnsi="宋体"/>
          <w:sz w:val="21"/>
          <w:szCs w:val="21"/>
        </w:rPr>
      </w:pPr>
      <w:r>
        <w:rPr>
          <w:rFonts w:hint="eastAsia" w:hAnsi="宋体"/>
          <w:sz w:val="21"/>
          <w:szCs w:val="21"/>
        </w:rPr>
        <w:t>红外照射距离：最远可达50米</w:t>
      </w:r>
    </w:p>
    <w:p>
      <w:pPr>
        <w:widowControl/>
        <w:shd w:val="clear" w:color="auto" w:fill="FFFFFF"/>
        <w:spacing w:line="360" w:lineRule="auto"/>
        <w:ind w:firstLine="480"/>
        <w:rPr>
          <w:rFonts w:hAnsi="宋体"/>
          <w:sz w:val="21"/>
          <w:szCs w:val="21"/>
        </w:rPr>
      </w:pPr>
      <w:r>
        <w:rPr>
          <w:rFonts w:hint="eastAsia" w:hAnsi="宋体"/>
          <w:sz w:val="21"/>
          <w:szCs w:val="21"/>
        </w:rPr>
        <w:t>防护等级：IP67</w:t>
      </w:r>
    </w:p>
    <w:p>
      <w:pPr>
        <w:widowControl/>
        <w:shd w:val="clear" w:color="auto" w:fill="FFFFFF"/>
        <w:spacing w:line="360" w:lineRule="auto"/>
        <w:ind w:firstLine="480"/>
        <w:rPr>
          <w:rFonts w:hAnsi="宋体"/>
          <w:b/>
          <w:bCs/>
          <w:sz w:val="21"/>
          <w:szCs w:val="21"/>
        </w:rPr>
      </w:pPr>
      <w:r>
        <w:rPr>
          <w:rFonts w:hint="eastAsia" w:hAnsi="宋体"/>
          <w:b/>
          <w:bCs/>
          <w:sz w:val="21"/>
          <w:szCs w:val="21"/>
        </w:rPr>
        <w:t>5、监控主机</w:t>
      </w:r>
    </w:p>
    <w:p>
      <w:pPr>
        <w:widowControl/>
        <w:shd w:val="clear" w:color="auto" w:fill="FFFFFF"/>
        <w:spacing w:line="360" w:lineRule="auto"/>
        <w:ind w:firstLine="480"/>
        <w:rPr>
          <w:rFonts w:hAnsi="宋体"/>
          <w:sz w:val="21"/>
          <w:szCs w:val="21"/>
        </w:rPr>
      </w:pPr>
      <w:r>
        <w:rPr>
          <w:rFonts w:hint="eastAsia" w:hAnsi="宋体"/>
          <w:sz w:val="21"/>
          <w:szCs w:val="21"/>
        </w:rPr>
        <w:t>硬件规格：</w:t>
      </w:r>
    </w:p>
    <w:p>
      <w:pPr>
        <w:widowControl/>
        <w:shd w:val="clear" w:color="auto" w:fill="FFFFFF"/>
        <w:spacing w:line="360" w:lineRule="auto"/>
        <w:ind w:firstLine="480"/>
        <w:rPr>
          <w:rFonts w:hAnsi="宋体"/>
          <w:sz w:val="21"/>
          <w:szCs w:val="21"/>
        </w:rPr>
      </w:pPr>
      <w:r>
        <w:rPr>
          <w:rFonts w:hint="eastAsia" w:hAnsi="宋体"/>
          <w:sz w:val="21"/>
          <w:szCs w:val="21"/>
        </w:rPr>
        <w:t>2U标准机架式</w:t>
      </w:r>
    </w:p>
    <w:p>
      <w:pPr>
        <w:widowControl/>
        <w:shd w:val="clear" w:color="auto" w:fill="FFFFFF"/>
        <w:spacing w:line="360" w:lineRule="auto"/>
        <w:ind w:firstLine="480"/>
        <w:rPr>
          <w:rFonts w:hAnsi="宋体"/>
          <w:sz w:val="21"/>
          <w:szCs w:val="21"/>
        </w:rPr>
      </w:pPr>
      <w:r>
        <w:rPr>
          <w:rFonts w:hint="eastAsia" w:hAnsi="宋体"/>
          <w:sz w:val="21"/>
          <w:szCs w:val="21"/>
        </w:rPr>
        <w:t>2个HDMI，2个VGA，HDMI+VGA组内同源</w:t>
      </w:r>
    </w:p>
    <w:p>
      <w:pPr>
        <w:widowControl/>
        <w:shd w:val="clear" w:color="auto" w:fill="FFFFFF"/>
        <w:spacing w:line="360" w:lineRule="auto"/>
        <w:ind w:firstLine="480"/>
        <w:rPr>
          <w:rFonts w:hAnsi="宋体"/>
          <w:sz w:val="21"/>
          <w:szCs w:val="21"/>
        </w:rPr>
      </w:pPr>
      <w:r>
        <w:rPr>
          <w:rFonts w:hint="eastAsia" w:hAnsi="宋体"/>
          <w:sz w:val="21"/>
          <w:szCs w:val="21"/>
        </w:rPr>
        <w:t>8盘位，可满配6TB硬盘</w:t>
      </w:r>
    </w:p>
    <w:p>
      <w:pPr>
        <w:widowControl/>
        <w:shd w:val="clear" w:color="auto" w:fill="FFFFFF"/>
        <w:spacing w:line="360" w:lineRule="auto"/>
        <w:ind w:firstLine="480"/>
        <w:rPr>
          <w:rFonts w:hAnsi="宋体"/>
          <w:sz w:val="21"/>
          <w:szCs w:val="21"/>
        </w:rPr>
      </w:pPr>
      <w:r>
        <w:rPr>
          <w:rFonts w:hint="eastAsia" w:hAnsi="宋体"/>
          <w:sz w:val="21"/>
          <w:szCs w:val="21"/>
        </w:rPr>
        <w:t>2个千兆网口</w:t>
      </w:r>
    </w:p>
    <w:p>
      <w:pPr>
        <w:widowControl/>
        <w:shd w:val="clear" w:color="auto" w:fill="FFFFFF"/>
        <w:spacing w:line="360" w:lineRule="auto"/>
        <w:ind w:firstLine="480"/>
        <w:rPr>
          <w:rFonts w:hAnsi="宋体"/>
          <w:sz w:val="21"/>
          <w:szCs w:val="21"/>
        </w:rPr>
      </w:pPr>
      <w:r>
        <w:rPr>
          <w:rFonts w:hint="eastAsia" w:hAnsi="宋体"/>
          <w:sz w:val="21"/>
          <w:szCs w:val="21"/>
        </w:rPr>
        <w:t>2个USB2.0接口、1个USB3.0接口</w:t>
      </w:r>
    </w:p>
    <w:p>
      <w:pPr>
        <w:widowControl/>
        <w:shd w:val="clear" w:color="auto" w:fill="FFFFFF"/>
        <w:spacing w:line="360" w:lineRule="auto"/>
        <w:ind w:firstLine="480"/>
        <w:rPr>
          <w:rFonts w:hAnsi="宋体"/>
          <w:sz w:val="21"/>
          <w:szCs w:val="21"/>
        </w:rPr>
      </w:pPr>
      <w:r>
        <w:rPr>
          <w:rFonts w:hint="eastAsia" w:hAnsi="宋体"/>
          <w:sz w:val="21"/>
          <w:szCs w:val="21"/>
        </w:rPr>
        <w:t>1个eSATA接口</w:t>
      </w:r>
    </w:p>
    <w:p>
      <w:pPr>
        <w:widowControl/>
        <w:shd w:val="clear" w:color="auto" w:fill="FFFFFF"/>
        <w:spacing w:line="360" w:lineRule="auto"/>
        <w:ind w:firstLine="480"/>
        <w:rPr>
          <w:rFonts w:hAnsi="宋体"/>
          <w:sz w:val="21"/>
          <w:szCs w:val="21"/>
        </w:rPr>
      </w:pPr>
      <w:r>
        <w:rPr>
          <w:rFonts w:hint="eastAsia" w:hAnsi="宋体"/>
          <w:sz w:val="21"/>
          <w:szCs w:val="21"/>
        </w:rPr>
        <w:t>报警IO：16进4路（可选配8出）</w:t>
      </w:r>
    </w:p>
    <w:p>
      <w:pPr>
        <w:widowControl/>
        <w:shd w:val="clear" w:color="auto" w:fill="FFFFFF"/>
        <w:spacing w:line="360" w:lineRule="auto"/>
        <w:ind w:firstLine="480"/>
        <w:rPr>
          <w:rFonts w:hAnsi="宋体"/>
          <w:sz w:val="21"/>
          <w:szCs w:val="21"/>
        </w:rPr>
      </w:pPr>
      <w:r>
        <w:rPr>
          <w:rFonts w:hint="eastAsia" w:hAnsi="宋体"/>
          <w:sz w:val="21"/>
          <w:szCs w:val="21"/>
        </w:rPr>
        <w:t>软件性能：</w:t>
      </w:r>
    </w:p>
    <w:p>
      <w:pPr>
        <w:widowControl/>
        <w:shd w:val="clear" w:color="auto" w:fill="FFFFFF"/>
        <w:spacing w:line="360" w:lineRule="auto"/>
        <w:ind w:firstLine="480"/>
        <w:rPr>
          <w:rFonts w:hAnsi="宋体"/>
          <w:sz w:val="21"/>
          <w:szCs w:val="21"/>
        </w:rPr>
      </w:pPr>
      <w:r>
        <w:rPr>
          <w:rFonts w:hint="eastAsia" w:hAnsi="宋体"/>
          <w:sz w:val="21"/>
          <w:szCs w:val="21"/>
        </w:rPr>
        <w:t>输入带宽：256M</w:t>
      </w:r>
    </w:p>
    <w:p>
      <w:pPr>
        <w:widowControl/>
        <w:shd w:val="clear" w:color="auto" w:fill="FFFFFF"/>
        <w:spacing w:line="360" w:lineRule="auto"/>
        <w:ind w:firstLine="480"/>
        <w:rPr>
          <w:rFonts w:hAnsi="宋体"/>
          <w:sz w:val="21"/>
          <w:szCs w:val="21"/>
        </w:rPr>
      </w:pPr>
      <w:r>
        <w:rPr>
          <w:rFonts w:hint="eastAsia" w:hAnsi="宋体"/>
          <w:sz w:val="21"/>
          <w:szCs w:val="21"/>
        </w:rPr>
        <w:t>32路H.264、H.265混合接入</w:t>
      </w:r>
    </w:p>
    <w:p>
      <w:pPr>
        <w:widowControl/>
        <w:shd w:val="clear" w:color="auto" w:fill="FFFFFF"/>
        <w:spacing w:line="360" w:lineRule="auto"/>
        <w:ind w:firstLine="480"/>
        <w:rPr>
          <w:rFonts w:hAnsi="宋体"/>
          <w:sz w:val="21"/>
          <w:szCs w:val="21"/>
        </w:rPr>
      </w:pPr>
      <w:r>
        <w:rPr>
          <w:rFonts w:hint="eastAsia" w:hAnsi="宋体"/>
          <w:sz w:val="21"/>
          <w:szCs w:val="21"/>
        </w:rPr>
        <w:t>最大支持8×1080P解码</w:t>
      </w:r>
    </w:p>
    <w:p>
      <w:pPr>
        <w:widowControl/>
        <w:shd w:val="clear" w:color="auto" w:fill="FFFFFF"/>
        <w:spacing w:line="360" w:lineRule="auto"/>
        <w:ind w:firstLine="480"/>
        <w:rPr>
          <w:rFonts w:hAnsi="宋体"/>
          <w:sz w:val="21"/>
          <w:szCs w:val="21"/>
        </w:rPr>
      </w:pPr>
      <w:r>
        <w:rPr>
          <w:rFonts w:hint="eastAsia" w:hAnsi="宋体"/>
          <w:sz w:val="21"/>
          <w:szCs w:val="21"/>
        </w:rPr>
        <w:t>支持H.265、H.264解码</w:t>
      </w:r>
    </w:p>
    <w:p>
      <w:pPr>
        <w:widowControl/>
        <w:shd w:val="clear" w:color="auto" w:fill="FFFFFF"/>
        <w:spacing w:line="360" w:lineRule="auto"/>
        <w:ind w:firstLine="480"/>
        <w:rPr>
          <w:rFonts w:hAnsi="宋体"/>
          <w:sz w:val="21"/>
          <w:szCs w:val="21"/>
        </w:rPr>
      </w:pPr>
      <w:r>
        <w:rPr>
          <w:rFonts w:hint="eastAsia" w:hAnsi="宋体"/>
          <w:sz w:val="21"/>
          <w:szCs w:val="21"/>
        </w:rPr>
        <w:t>Smart 2.0/整机热备/ANR/智能检索/智能回放/车牌检索/人脸检索/热度图/客流量统计/分时段回放/超高倍速回放/双系统备份</w:t>
      </w:r>
    </w:p>
    <w:p>
      <w:pPr>
        <w:widowControl/>
        <w:shd w:val="clear" w:color="auto" w:fill="FFFFFF"/>
        <w:spacing w:line="360" w:lineRule="auto"/>
        <w:ind w:firstLine="480"/>
        <w:rPr>
          <w:rFonts w:hAnsi="宋体"/>
          <w:b/>
          <w:bCs/>
          <w:sz w:val="21"/>
          <w:szCs w:val="21"/>
        </w:rPr>
      </w:pPr>
      <w:r>
        <w:rPr>
          <w:rFonts w:hint="eastAsia" w:hAnsi="宋体"/>
          <w:b/>
          <w:bCs/>
          <w:sz w:val="21"/>
          <w:szCs w:val="21"/>
        </w:rPr>
        <w:t>6、核心交换机</w:t>
      </w:r>
    </w:p>
    <w:p>
      <w:pPr>
        <w:widowControl/>
        <w:shd w:val="clear" w:color="auto" w:fill="FFFFFF"/>
        <w:spacing w:line="360" w:lineRule="auto"/>
        <w:ind w:firstLine="480"/>
        <w:rPr>
          <w:rFonts w:hAnsi="宋体"/>
          <w:sz w:val="21"/>
          <w:szCs w:val="21"/>
        </w:rPr>
      </w:pPr>
      <w:r>
        <w:rPr>
          <w:rFonts w:hint="eastAsia" w:hAnsi="宋体"/>
          <w:sz w:val="21"/>
          <w:szCs w:val="21"/>
        </w:rPr>
        <w:t>下联24口千兆电口，上联万兆4光口，解决存储、备份、远距离传输等多种业务需求；符合标准： IEEE 802.3,IEEE 802.3u,IEEE802.3ab,IEEE 802.3z, IEEE802.3ag, IEEE802.3ah,IEEE802.1X；无阻塞的线速转发：保证所有端口达到无阻塞的线速转发能力3层网管：支持Web配置，支持端口管理、 QoS、SNMP、 IGMP、 RSTP、 VLAN、链路聚合等；支持单端口开启/ 关闭及端口优先级；支持静态路由功能；</w:t>
      </w:r>
    </w:p>
    <w:p>
      <w:pPr>
        <w:widowControl/>
        <w:shd w:val="clear" w:color="auto" w:fill="FFFFFF"/>
        <w:spacing w:line="360" w:lineRule="auto"/>
        <w:ind w:firstLine="480"/>
        <w:rPr>
          <w:rFonts w:hAnsi="宋体"/>
          <w:b/>
          <w:bCs/>
          <w:sz w:val="21"/>
          <w:szCs w:val="21"/>
        </w:rPr>
      </w:pPr>
      <w:r>
        <w:rPr>
          <w:rFonts w:hint="eastAsia" w:hAnsi="宋体"/>
          <w:b/>
          <w:bCs/>
          <w:sz w:val="21"/>
          <w:szCs w:val="21"/>
        </w:rPr>
        <w:t>7、28路全千兆交换机</w:t>
      </w:r>
    </w:p>
    <w:p>
      <w:pPr>
        <w:widowControl/>
        <w:shd w:val="clear" w:color="auto" w:fill="FFFFFF"/>
        <w:spacing w:line="360" w:lineRule="auto"/>
        <w:ind w:firstLine="480"/>
        <w:rPr>
          <w:rFonts w:hAnsi="宋体"/>
          <w:sz w:val="21"/>
          <w:szCs w:val="21"/>
        </w:rPr>
      </w:pPr>
      <w:r>
        <w:rPr>
          <w:rFonts w:hint="eastAsia" w:hAnsi="宋体"/>
          <w:sz w:val="21"/>
          <w:szCs w:val="21"/>
        </w:rPr>
        <w:t>提供16个千兆电口8个千兆光口，2光2电千兆上行口提供网管Console端口，支持基于端口的VLAN等网管操作；支持IEEE802.3 10BASE-T，IEEE802.3u 100BASE-TX，IEEE802.3ab 1000BASE-T，IEEE802.3z 1000BASE-SX/LX，IEEE802.3 X；支持IEEE802.3X全双工流控；支持支持端口自动翻转（Auto MDI/MDIX）功能； AC100V～240V输入，内置冗余电源；支持工业3级的防雷、防静电和抗干扰能力；安装快捷，操作简单，便于挂墙、桌面和机柜式安装。</w:t>
      </w:r>
    </w:p>
    <w:p>
      <w:pPr>
        <w:widowControl/>
        <w:shd w:val="clear" w:color="auto" w:fill="FFFFFF"/>
        <w:spacing w:line="360" w:lineRule="auto"/>
        <w:ind w:firstLine="480"/>
        <w:rPr>
          <w:rFonts w:hAnsi="宋体"/>
          <w:b/>
          <w:bCs/>
          <w:sz w:val="21"/>
          <w:szCs w:val="21"/>
        </w:rPr>
      </w:pPr>
      <w:r>
        <w:rPr>
          <w:rFonts w:hint="eastAsia" w:hAnsi="宋体"/>
          <w:b/>
          <w:bCs/>
          <w:sz w:val="21"/>
          <w:szCs w:val="21"/>
        </w:rPr>
        <w:t>8、八路POE网络交换机</w:t>
      </w:r>
    </w:p>
    <w:p>
      <w:pPr>
        <w:widowControl/>
        <w:shd w:val="clear" w:color="auto" w:fill="FFFFFF"/>
        <w:spacing w:line="360" w:lineRule="auto"/>
        <w:ind w:firstLine="480"/>
        <w:rPr>
          <w:rFonts w:hAnsi="宋体"/>
          <w:sz w:val="21"/>
          <w:szCs w:val="21"/>
        </w:rPr>
      </w:pPr>
      <w:r>
        <w:rPr>
          <w:rFonts w:hint="eastAsia" w:hAnsi="宋体"/>
          <w:sz w:val="21"/>
          <w:szCs w:val="21"/>
        </w:rPr>
        <w:t>提供2个千兆上联电口；8个100Mbps PoE网络端口，支持af/at供电标准；一键VLAN设置，下联端口互相隔离，只与上联访问，增加传输效率及安全性；抑制网络风暴；POE供电距离最远可达250米；供电电压：DC48V～57V，供电功率：120W；6KV防雷；金属外壳</w:t>
      </w:r>
    </w:p>
    <w:p>
      <w:pPr>
        <w:widowControl/>
        <w:shd w:val="clear" w:color="auto" w:fill="FFFFFF"/>
        <w:spacing w:line="360" w:lineRule="auto"/>
        <w:ind w:firstLine="480"/>
        <w:rPr>
          <w:rFonts w:hAnsi="宋体"/>
          <w:b/>
          <w:bCs/>
          <w:sz w:val="21"/>
          <w:szCs w:val="21"/>
        </w:rPr>
      </w:pPr>
      <w:r>
        <w:rPr>
          <w:rFonts w:hint="eastAsia" w:hAnsi="宋体"/>
          <w:b/>
          <w:bCs/>
          <w:sz w:val="21"/>
          <w:szCs w:val="21"/>
        </w:rPr>
        <w:t>（四）车辆出入口系统</w:t>
      </w:r>
    </w:p>
    <w:p>
      <w:pPr>
        <w:widowControl/>
        <w:shd w:val="clear" w:color="auto" w:fill="FFFFFF"/>
        <w:spacing w:line="360" w:lineRule="auto"/>
        <w:ind w:firstLine="480"/>
        <w:rPr>
          <w:rFonts w:hAnsi="宋体"/>
          <w:b/>
          <w:bCs/>
          <w:sz w:val="21"/>
          <w:szCs w:val="21"/>
        </w:rPr>
      </w:pPr>
      <w:r>
        <w:rPr>
          <w:rFonts w:hint="eastAsia" w:hAnsi="宋体"/>
          <w:b/>
          <w:bCs/>
          <w:sz w:val="21"/>
          <w:szCs w:val="21"/>
        </w:rPr>
        <w:t>1、一体化道闸</w:t>
      </w:r>
    </w:p>
    <w:p>
      <w:pPr>
        <w:widowControl/>
        <w:shd w:val="clear" w:color="auto" w:fill="FFFFFF"/>
        <w:spacing w:line="360" w:lineRule="auto"/>
        <w:ind w:firstLine="480"/>
        <w:rPr>
          <w:rFonts w:hAnsi="宋体"/>
          <w:sz w:val="21"/>
          <w:szCs w:val="21"/>
        </w:rPr>
      </w:pPr>
      <w:r>
        <w:rPr>
          <w:rFonts w:hint="eastAsia" w:hAnsi="宋体"/>
          <w:sz w:val="21"/>
          <w:szCs w:val="21"/>
        </w:rPr>
        <w:t>直杆中速一体化道闸</w:t>
      </w:r>
    </w:p>
    <w:p>
      <w:pPr>
        <w:widowControl/>
        <w:shd w:val="clear" w:color="auto" w:fill="FFFFFF"/>
        <w:spacing w:line="360" w:lineRule="auto"/>
        <w:ind w:firstLine="480"/>
        <w:rPr>
          <w:rFonts w:hAnsi="宋体"/>
          <w:sz w:val="21"/>
          <w:szCs w:val="21"/>
        </w:rPr>
      </w:pPr>
      <w:r>
        <w:rPr>
          <w:rFonts w:hint="eastAsia" w:hAnsi="宋体"/>
          <w:sz w:val="21"/>
          <w:szCs w:val="21"/>
        </w:rPr>
        <w:t>包含：道闸，抓拍机，补光灯，LED屏，喇叭，1个车检器，1个防砸雷达，2个遥控器</w:t>
      </w:r>
    </w:p>
    <w:p>
      <w:pPr>
        <w:widowControl/>
        <w:shd w:val="clear" w:color="auto" w:fill="FFFFFF"/>
        <w:spacing w:line="360" w:lineRule="auto"/>
        <w:ind w:firstLine="480"/>
        <w:rPr>
          <w:rFonts w:hAnsi="宋体"/>
          <w:sz w:val="21"/>
          <w:szCs w:val="21"/>
        </w:rPr>
      </w:pPr>
      <w:r>
        <w:rPr>
          <w:rFonts w:hint="eastAsia" w:hAnsi="宋体"/>
          <w:sz w:val="21"/>
          <w:szCs w:val="21"/>
        </w:rPr>
        <w:t>道闸类型：直杆</w:t>
      </w:r>
    </w:p>
    <w:p>
      <w:pPr>
        <w:widowControl/>
        <w:shd w:val="clear" w:color="auto" w:fill="FFFFFF"/>
        <w:spacing w:line="360" w:lineRule="auto"/>
        <w:ind w:firstLine="480"/>
        <w:rPr>
          <w:rFonts w:hAnsi="宋体"/>
          <w:sz w:val="21"/>
          <w:szCs w:val="21"/>
        </w:rPr>
      </w:pPr>
      <w:r>
        <w:rPr>
          <w:rFonts w:hint="eastAsia" w:hAnsi="宋体"/>
          <w:sz w:val="21"/>
          <w:szCs w:val="21"/>
        </w:rPr>
        <w:t>道闸方向：全向</w:t>
      </w:r>
    </w:p>
    <w:p>
      <w:pPr>
        <w:widowControl/>
        <w:shd w:val="clear" w:color="auto" w:fill="FFFFFF"/>
        <w:spacing w:line="360" w:lineRule="auto"/>
        <w:ind w:firstLine="480"/>
        <w:rPr>
          <w:rFonts w:hAnsi="宋体"/>
          <w:sz w:val="21"/>
          <w:szCs w:val="21"/>
        </w:rPr>
      </w:pPr>
      <w:r>
        <w:rPr>
          <w:rFonts w:hint="eastAsia" w:hAnsi="宋体"/>
          <w:sz w:val="21"/>
          <w:szCs w:val="21"/>
        </w:rPr>
        <w:t>道闸杆长：4米</w:t>
      </w:r>
    </w:p>
    <w:p>
      <w:pPr>
        <w:widowControl/>
        <w:shd w:val="clear" w:color="auto" w:fill="FFFFFF"/>
        <w:spacing w:line="360" w:lineRule="auto"/>
        <w:ind w:firstLine="480"/>
        <w:rPr>
          <w:rFonts w:hAnsi="宋体"/>
          <w:sz w:val="21"/>
          <w:szCs w:val="21"/>
        </w:rPr>
      </w:pPr>
      <w:r>
        <w:rPr>
          <w:rFonts w:hint="eastAsia" w:hAnsi="宋体"/>
          <w:sz w:val="21"/>
          <w:szCs w:val="21"/>
        </w:rPr>
        <w:t>运行速度：2.5-3.0秒</w:t>
      </w:r>
    </w:p>
    <w:p>
      <w:pPr>
        <w:widowControl/>
        <w:shd w:val="clear" w:color="auto" w:fill="FFFFFF"/>
        <w:spacing w:line="360" w:lineRule="auto"/>
        <w:ind w:firstLine="480"/>
        <w:rPr>
          <w:rFonts w:hAnsi="宋体"/>
          <w:sz w:val="21"/>
          <w:szCs w:val="21"/>
        </w:rPr>
      </w:pPr>
      <w:r>
        <w:rPr>
          <w:rFonts w:hint="eastAsia" w:hAnsi="宋体"/>
          <w:sz w:val="21"/>
          <w:szCs w:val="21"/>
        </w:rPr>
        <w:t>横杆材质：铝合金+珍珠棉</w:t>
      </w:r>
    </w:p>
    <w:p>
      <w:pPr>
        <w:widowControl/>
        <w:shd w:val="clear" w:color="auto" w:fill="FFFFFF"/>
        <w:spacing w:line="360" w:lineRule="auto"/>
        <w:ind w:firstLine="480"/>
        <w:rPr>
          <w:rFonts w:hAnsi="宋体"/>
          <w:sz w:val="21"/>
          <w:szCs w:val="21"/>
        </w:rPr>
      </w:pPr>
      <w:r>
        <w:rPr>
          <w:rFonts w:hint="eastAsia" w:hAnsi="宋体"/>
          <w:sz w:val="21"/>
          <w:szCs w:val="21"/>
        </w:rPr>
        <w:t>遥控距离：≥30米</w:t>
      </w:r>
    </w:p>
    <w:p>
      <w:pPr>
        <w:widowControl/>
        <w:shd w:val="clear" w:color="auto" w:fill="FFFFFF"/>
        <w:spacing w:line="360" w:lineRule="auto"/>
        <w:ind w:firstLine="480"/>
        <w:rPr>
          <w:rFonts w:hAnsi="宋体"/>
          <w:sz w:val="21"/>
          <w:szCs w:val="21"/>
        </w:rPr>
      </w:pPr>
      <w:r>
        <w:rPr>
          <w:rFonts w:hint="eastAsia" w:hAnsi="宋体"/>
          <w:sz w:val="21"/>
          <w:szCs w:val="21"/>
        </w:rPr>
        <w:t xml:space="preserve">输入电压：220V </w:t>
      </w:r>
    </w:p>
    <w:p>
      <w:pPr>
        <w:widowControl/>
        <w:shd w:val="clear" w:color="auto" w:fill="FFFFFF"/>
        <w:spacing w:line="360" w:lineRule="auto"/>
        <w:ind w:firstLine="480"/>
        <w:rPr>
          <w:rFonts w:hAnsi="宋体"/>
          <w:sz w:val="21"/>
          <w:szCs w:val="21"/>
        </w:rPr>
      </w:pPr>
      <w:r>
        <w:rPr>
          <w:rFonts w:hint="eastAsia" w:hAnsi="宋体"/>
          <w:sz w:val="21"/>
          <w:szCs w:val="21"/>
        </w:rPr>
        <w:t>抓拍机分辨率：200W（1920 × 1080）</w:t>
      </w:r>
    </w:p>
    <w:p>
      <w:pPr>
        <w:widowControl/>
        <w:shd w:val="clear" w:color="auto" w:fill="FFFFFF"/>
        <w:spacing w:line="360" w:lineRule="auto"/>
        <w:ind w:firstLine="480"/>
        <w:rPr>
          <w:rFonts w:hAnsi="宋体"/>
          <w:sz w:val="21"/>
          <w:szCs w:val="21"/>
        </w:rPr>
      </w:pPr>
      <w:r>
        <w:rPr>
          <w:rFonts w:hint="eastAsia" w:hAnsi="宋体"/>
          <w:sz w:val="21"/>
          <w:szCs w:val="21"/>
        </w:rPr>
        <w:t>传感器类型：1/1.8" Progressive Scan CMOS</w:t>
      </w:r>
    </w:p>
    <w:p>
      <w:pPr>
        <w:widowControl/>
        <w:shd w:val="clear" w:color="auto" w:fill="FFFFFF"/>
        <w:spacing w:line="360" w:lineRule="auto"/>
        <w:ind w:firstLine="480"/>
        <w:rPr>
          <w:rFonts w:hAnsi="宋体"/>
          <w:sz w:val="21"/>
          <w:szCs w:val="21"/>
        </w:rPr>
      </w:pPr>
      <w:r>
        <w:rPr>
          <w:rFonts w:hint="eastAsia" w:hAnsi="宋体"/>
          <w:sz w:val="21"/>
          <w:szCs w:val="21"/>
        </w:rPr>
        <w:t>最小照度：彩色0.002Lux@(F1.2，AGC ON)，黑白0.0002Lux @(F1.2，AGC ON)</w:t>
      </w:r>
    </w:p>
    <w:p>
      <w:pPr>
        <w:widowControl/>
        <w:shd w:val="clear" w:color="auto" w:fill="FFFFFF"/>
        <w:spacing w:line="360" w:lineRule="auto"/>
        <w:ind w:firstLine="480"/>
        <w:rPr>
          <w:rFonts w:hAnsi="宋体"/>
          <w:sz w:val="21"/>
          <w:szCs w:val="21"/>
        </w:rPr>
      </w:pPr>
      <w:r>
        <w:rPr>
          <w:rFonts w:hint="eastAsia" w:hAnsi="宋体"/>
          <w:sz w:val="21"/>
          <w:szCs w:val="21"/>
        </w:rPr>
        <w:t>视频压缩标准：H.265/H.264/MJPEG</w:t>
      </w:r>
    </w:p>
    <w:p>
      <w:pPr>
        <w:widowControl/>
        <w:shd w:val="clear" w:color="auto" w:fill="FFFFFF"/>
        <w:spacing w:line="360" w:lineRule="auto"/>
        <w:ind w:firstLine="480"/>
        <w:rPr>
          <w:rFonts w:hAnsi="宋体"/>
          <w:sz w:val="21"/>
          <w:szCs w:val="21"/>
        </w:rPr>
      </w:pPr>
      <w:r>
        <w:rPr>
          <w:rFonts w:hint="eastAsia" w:hAnsi="宋体"/>
          <w:sz w:val="21"/>
          <w:szCs w:val="21"/>
        </w:rPr>
        <w:t>通讯接口：1个RJ4510M/100M/1000M自适应以太网口，1个RS-485接口，1个RS-232接口，1个USB</w:t>
      </w:r>
    </w:p>
    <w:p>
      <w:pPr>
        <w:widowControl/>
        <w:shd w:val="clear" w:color="auto" w:fill="FFFFFF"/>
        <w:spacing w:line="360" w:lineRule="auto"/>
        <w:ind w:firstLine="480"/>
        <w:rPr>
          <w:rFonts w:hAnsi="宋体"/>
          <w:sz w:val="21"/>
          <w:szCs w:val="21"/>
        </w:rPr>
      </w:pPr>
      <w:r>
        <w:rPr>
          <w:rFonts w:hint="eastAsia" w:hAnsi="宋体"/>
          <w:sz w:val="21"/>
          <w:szCs w:val="21"/>
        </w:rPr>
        <w:t>外部接口：4路外部触发输入、同步电源接口SYNC、3对输出接口(2对继电器输出、1对补光灯触发输出接口)</w:t>
      </w:r>
    </w:p>
    <w:p>
      <w:pPr>
        <w:widowControl/>
        <w:shd w:val="clear" w:color="auto" w:fill="FFFFFF"/>
        <w:spacing w:line="360" w:lineRule="auto"/>
        <w:ind w:firstLine="480"/>
        <w:rPr>
          <w:rFonts w:hAnsi="宋体"/>
          <w:sz w:val="21"/>
          <w:szCs w:val="21"/>
        </w:rPr>
      </w:pPr>
      <w:r>
        <w:rPr>
          <w:rFonts w:hint="eastAsia" w:hAnsi="宋体"/>
          <w:sz w:val="21"/>
          <w:szCs w:val="21"/>
        </w:rPr>
        <w:t>LED补光灯灯珠数量：3颗</w:t>
      </w:r>
    </w:p>
    <w:p>
      <w:pPr>
        <w:widowControl/>
        <w:shd w:val="clear" w:color="auto" w:fill="FFFFFF"/>
        <w:spacing w:line="360" w:lineRule="auto"/>
        <w:ind w:firstLine="480"/>
        <w:rPr>
          <w:rFonts w:hAnsi="宋体"/>
          <w:sz w:val="21"/>
          <w:szCs w:val="21"/>
        </w:rPr>
      </w:pPr>
      <w:r>
        <w:rPr>
          <w:rFonts w:hint="eastAsia" w:hAnsi="宋体"/>
          <w:sz w:val="21"/>
          <w:szCs w:val="21"/>
        </w:rPr>
        <w:t>色温：5000K~7000K</w:t>
      </w:r>
    </w:p>
    <w:p>
      <w:pPr>
        <w:widowControl/>
        <w:shd w:val="clear" w:color="auto" w:fill="FFFFFF"/>
        <w:spacing w:line="360" w:lineRule="auto"/>
        <w:ind w:firstLine="480"/>
        <w:rPr>
          <w:rFonts w:hAnsi="宋体"/>
          <w:sz w:val="21"/>
          <w:szCs w:val="21"/>
        </w:rPr>
      </w:pPr>
      <w:r>
        <w:rPr>
          <w:rFonts w:hint="eastAsia" w:hAnsi="宋体"/>
          <w:sz w:val="21"/>
          <w:szCs w:val="21"/>
        </w:rPr>
        <w:t>发光角度：40°</w:t>
      </w:r>
    </w:p>
    <w:p>
      <w:pPr>
        <w:widowControl/>
        <w:shd w:val="clear" w:color="auto" w:fill="FFFFFF"/>
        <w:spacing w:line="360" w:lineRule="auto"/>
        <w:ind w:firstLine="480"/>
        <w:rPr>
          <w:rFonts w:hAnsi="宋体"/>
          <w:sz w:val="21"/>
          <w:szCs w:val="21"/>
        </w:rPr>
      </w:pPr>
      <w:r>
        <w:rPr>
          <w:rFonts w:hint="eastAsia" w:hAnsi="宋体"/>
          <w:sz w:val="21"/>
          <w:szCs w:val="21"/>
        </w:rPr>
        <w:t>最佳补光距离：4米～8米</w:t>
      </w:r>
    </w:p>
    <w:p>
      <w:pPr>
        <w:widowControl/>
        <w:shd w:val="clear" w:color="auto" w:fill="FFFFFF"/>
        <w:spacing w:line="360" w:lineRule="auto"/>
        <w:ind w:firstLine="480"/>
        <w:rPr>
          <w:rFonts w:hAnsi="宋体"/>
          <w:sz w:val="21"/>
          <w:szCs w:val="21"/>
        </w:rPr>
      </w:pPr>
      <w:r>
        <w:rPr>
          <w:rFonts w:hint="eastAsia" w:hAnsi="宋体"/>
          <w:sz w:val="21"/>
          <w:szCs w:val="21"/>
        </w:rPr>
        <w:t>补光灯触发方式：电平量/开关量触发</w:t>
      </w:r>
    </w:p>
    <w:p>
      <w:pPr>
        <w:widowControl/>
        <w:shd w:val="clear" w:color="auto" w:fill="FFFFFF"/>
        <w:spacing w:line="360" w:lineRule="auto"/>
        <w:ind w:firstLine="480"/>
        <w:rPr>
          <w:rFonts w:hAnsi="宋体"/>
          <w:sz w:val="21"/>
          <w:szCs w:val="21"/>
        </w:rPr>
      </w:pPr>
      <w:r>
        <w:rPr>
          <w:rFonts w:hint="eastAsia" w:hAnsi="宋体"/>
          <w:sz w:val="21"/>
          <w:szCs w:val="21"/>
        </w:rPr>
        <w:t>LED信息显示屏点间距：P4</w:t>
      </w:r>
    </w:p>
    <w:p>
      <w:pPr>
        <w:widowControl/>
        <w:shd w:val="clear" w:color="auto" w:fill="FFFFFF"/>
        <w:spacing w:line="360" w:lineRule="auto"/>
        <w:ind w:firstLine="480"/>
        <w:rPr>
          <w:rFonts w:hAnsi="宋体"/>
          <w:sz w:val="21"/>
          <w:szCs w:val="21"/>
        </w:rPr>
      </w:pPr>
      <w:r>
        <w:rPr>
          <w:rFonts w:hint="eastAsia" w:hAnsi="宋体"/>
          <w:sz w:val="21"/>
          <w:szCs w:val="21"/>
        </w:rPr>
        <w:t>颜色：双基色(红绿)</w:t>
      </w:r>
    </w:p>
    <w:p>
      <w:pPr>
        <w:widowControl/>
        <w:shd w:val="clear" w:color="auto" w:fill="FFFFFF"/>
        <w:spacing w:line="360" w:lineRule="auto"/>
        <w:ind w:firstLine="480"/>
        <w:rPr>
          <w:rFonts w:hAnsi="宋体"/>
          <w:sz w:val="21"/>
          <w:szCs w:val="21"/>
        </w:rPr>
      </w:pPr>
      <w:r>
        <w:rPr>
          <w:rFonts w:hint="eastAsia" w:hAnsi="宋体"/>
          <w:sz w:val="21"/>
          <w:szCs w:val="21"/>
        </w:rPr>
        <w:t>LED屏亮度：1200cd/㎡</w:t>
      </w:r>
    </w:p>
    <w:p>
      <w:pPr>
        <w:widowControl/>
        <w:shd w:val="clear" w:color="auto" w:fill="FFFFFF"/>
        <w:spacing w:line="360" w:lineRule="auto"/>
        <w:ind w:firstLine="480"/>
        <w:rPr>
          <w:rFonts w:hAnsi="宋体"/>
          <w:sz w:val="21"/>
          <w:szCs w:val="21"/>
        </w:rPr>
      </w:pPr>
      <w:r>
        <w:rPr>
          <w:rFonts w:hint="eastAsia" w:hAnsi="宋体"/>
          <w:sz w:val="21"/>
          <w:szCs w:val="21"/>
        </w:rPr>
        <w:t>LED屏最佳可视距离：＞4 m</w:t>
      </w:r>
    </w:p>
    <w:p>
      <w:pPr>
        <w:widowControl/>
        <w:shd w:val="clear" w:color="auto" w:fill="FFFFFF"/>
        <w:spacing w:line="360" w:lineRule="auto"/>
        <w:ind w:firstLine="480"/>
        <w:rPr>
          <w:rFonts w:hAnsi="宋体"/>
          <w:sz w:val="21"/>
          <w:szCs w:val="21"/>
        </w:rPr>
      </w:pPr>
      <w:r>
        <w:rPr>
          <w:rFonts w:hint="eastAsia" w:hAnsi="宋体"/>
          <w:sz w:val="21"/>
          <w:szCs w:val="21"/>
        </w:rPr>
        <w:t>车检器通道数：2通道线圈输入</w:t>
      </w:r>
    </w:p>
    <w:p>
      <w:pPr>
        <w:widowControl/>
        <w:shd w:val="clear" w:color="auto" w:fill="FFFFFF"/>
        <w:spacing w:line="360" w:lineRule="auto"/>
        <w:ind w:firstLine="480"/>
        <w:rPr>
          <w:rFonts w:hAnsi="宋体"/>
          <w:sz w:val="21"/>
          <w:szCs w:val="21"/>
        </w:rPr>
      </w:pPr>
      <w:r>
        <w:rPr>
          <w:rFonts w:hint="eastAsia" w:hAnsi="宋体"/>
          <w:sz w:val="21"/>
          <w:szCs w:val="21"/>
        </w:rPr>
        <w:t>功能特性：支持防撞、防冷凝、手动锁闸等功能，支持语音播报</w:t>
      </w:r>
    </w:p>
    <w:p>
      <w:pPr>
        <w:widowControl/>
        <w:shd w:val="clear" w:color="auto" w:fill="FFFFFF"/>
        <w:spacing w:line="360" w:lineRule="auto"/>
        <w:ind w:firstLine="480"/>
        <w:rPr>
          <w:rFonts w:hAnsi="宋体"/>
          <w:b/>
          <w:bCs/>
          <w:sz w:val="21"/>
          <w:szCs w:val="21"/>
        </w:rPr>
      </w:pPr>
      <w:r>
        <w:rPr>
          <w:rFonts w:hint="eastAsia" w:hAnsi="宋体"/>
          <w:b/>
          <w:bCs/>
          <w:sz w:val="21"/>
          <w:szCs w:val="21"/>
        </w:rPr>
        <w:t>2、三代管控终端</w:t>
      </w:r>
    </w:p>
    <w:p>
      <w:pPr>
        <w:widowControl/>
        <w:shd w:val="clear" w:color="auto" w:fill="FFFFFF"/>
        <w:spacing w:line="360" w:lineRule="auto"/>
        <w:ind w:firstLine="480"/>
        <w:rPr>
          <w:rFonts w:hAnsi="宋体"/>
          <w:sz w:val="21"/>
          <w:szCs w:val="21"/>
        </w:rPr>
      </w:pPr>
      <w:r>
        <w:rPr>
          <w:rFonts w:hint="eastAsia" w:hAnsi="宋体"/>
          <w:sz w:val="21"/>
          <w:szCs w:val="21"/>
        </w:rPr>
        <w:t>出入口控制终端含管理软件</w:t>
      </w:r>
    </w:p>
    <w:p>
      <w:pPr>
        <w:widowControl/>
        <w:shd w:val="clear" w:color="auto" w:fill="FFFFFF"/>
        <w:spacing w:line="360" w:lineRule="auto"/>
        <w:ind w:firstLine="480"/>
        <w:rPr>
          <w:rFonts w:hAnsi="宋体"/>
          <w:sz w:val="21"/>
          <w:szCs w:val="21"/>
        </w:rPr>
      </w:pPr>
      <w:r>
        <w:rPr>
          <w:rFonts w:hint="eastAsia" w:hAnsi="宋体"/>
          <w:sz w:val="21"/>
          <w:szCs w:val="21"/>
        </w:rPr>
        <w:t>CPU：Apollo Lake J3455平台处理器</w:t>
      </w:r>
    </w:p>
    <w:p>
      <w:pPr>
        <w:widowControl/>
        <w:shd w:val="clear" w:color="auto" w:fill="FFFFFF"/>
        <w:spacing w:line="360" w:lineRule="auto"/>
        <w:ind w:firstLine="480"/>
        <w:rPr>
          <w:rFonts w:hAnsi="宋体"/>
          <w:sz w:val="21"/>
          <w:szCs w:val="21"/>
        </w:rPr>
      </w:pPr>
      <w:r>
        <w:rPr>
          <w:rFonts w:hint="eastAsia" w:hAnsi="宋体"/>
          <w:sz w:val="21"/>
          <w:szCs w:val="21"/>
        </w:rPr>
        <w:t>内存：4GB，硬盘：2T</w:t>
      </w:r>
    </w:p>
    <w:p>
      <w:pPr>
        <w:widowControl/>
        <w:shd w:val="clear" w:color="auto" w:fill="FFFFFF"/>
        <w:spacing w:line="360" w:lineRule="auto"/>
        <w:ind w:firstLine="480"/>
        <w:rPr>
          <w:rFonts w:hAnsi="宋体"/>
          <w:sz w:val="21"/>
          <w:szCs w:val="21"/>
        </w:rPr>
      </w:pPr>
      <w:r>
        <w:rPr>
          <w:rFonts w:hint="eastAsia" w:hAnsi="宋体"/>
          <w:sz w:val="21"/>
          <w:szCs w:val="21"/>
        </w:rPr>
        <w:t>其他接口：6个1000Mbps自适应网口（G2~G6为交换机，G1为独立网口，支持双网隔离）、2个RS232、2个RS485、4个USB3.0；4个开关量输入，4个继电器开关量输出、1个VGA输出接口，1路内置预留SATA接口、1路音频输入/输出接口、1个HDMI输出接口</w:t>
      </w:r>
    </w:p>
    <w:p>
      <w:pPr>
        <w:widowControl/>
        <w:shd w:val="clear" w:color="auto" w:fill="FFFFFF"/>
        <w:spacing w:line="360" w:lineRule="auto"/>
        <w:ind w:firstLine="480"/>
        <w:rPr>
          <w:rFonts w:hAnsi="宋体"/>
          <w:sz w:val="21"/>
          <w:szCs w:val="21"/>
        </w:rPr>
      </w:pPr>
      <w:r>
        <w:rPr>
          <w:rFonts w:hint="eastAsia" w:hAnsi="宋体"/>
          <w:sz w:val="21"/>
          <w:szCs w:val="21"/>
        </w:rPr>
        <w:t>操作系统：Windows 10</w:t>
      </w:r>
    </w:p>
    <w:p>
      <w:pPr>
        <w:widowControl/>
        <w:shd w:val="clear" w:color="auto" w:fill="FFFFFF"/>
        <w:spacing w:line="360" w:lineRule="auto"/>
        <w:ind w:firstLine="480"/>
        <w:rPr>
          <w:rFonts w:hAnsi="宋体"/>
          <w:sz w:val="21"/>
          <w:szCs w:val="21"/>
        </w:rPr>
      </w:pPr>
      <w:r>
        <w:rPr>
          <w:rFonts w:hint="eastAsia" w:hAnsi="宋体"/>
          <w:sz w:val="21"/>
          <w:szCs w:val="21"/>
        </w:rPr>
        <w:t>支持接入的牌识设备数量：4路高清出入口视频单元</w:t>
      </w:r>
    </w:p>
    <w:p>
      <w:pPr>
        <w:widowControl/>
        <w:shd w:val="clear" w:color="auto" w:fill="FFFFFF"/>
        <w:spacing w:line="360" w:lineRule="auto"/>
        <w:ind w:firstLine="480"/>
        <w:rPr>
          <w:rFonts w:hAnsi="宋体"/>
          <w:sz w:val="21"/>
          <w:szCs w:val="21"/>
        </w:rPr>
      </w:pPr>
      <w:r>
        <w:rPr>
          <w:rFonts w:hint="eastAsia" w:hAnsi="宋体"/>
          <w:sz w:val="21"/>
          <w:szCs w:val="21"/>
        </w:rPr>
        <w:t>存储功能：支持对车辆出入记录的本地存储：≥80万辆通行车辆信息或≥30万辆的违法车辆信息</w:t>
      </w:r>
    </w:p>
    <w:p>
      <w:pPr>
        <w:widowControl/>
        <w:shd w:val="clear" w:color="auto" w:fill="FFFFFF"/>
        <w:spacing w:line="360" w:lineRule="auto"/>
        <w:ind w:firstLine="480"/>
        <w:rPr>
          <w:rFonts w:hAnsi="宋体"/>
          <w:sz w:val="21"/>
          <w:szCs w:val="21"/>
        </w:rPr>
      </w:pPr>
      <w:r>
        <w:rPr>
          <w:rFonts w:hint="eastAsia" w:hAnsi="宋体"/>
          <w:sz w:val="21"/>
          <w:szCs w:val="21"/>
        </w:rPr>
        <w:t>平台功能：支持上传至海康智能停车场管理系统；支持上传至其他中心管理系统（需定制）</w:t>
      </w:r>
    </w:p>
    <w:p>
      <w:pPr>
        <w:widowControl/>
        <w:shd w:val="clear" w:color="auto" w:fill="FFFFFF"/>
        <w:spacing w:line="360" w:lineRule="auto"/>
        <w:ind w:firstLine="480"/>
        <w:rPr>
          <w:rFonts w:hAnsi="宋体"/>
          <w:sz w:val="21"/>
          <w:szCs w:val="21"/>
        </w:rPr>
      </w:pPr>
      <w:r>
        <w:rPr>
          <w:rFonts w:hint="eastAsia" w:hAnsi="宋体"/>
          <w:sz w:val="21"/>
          <w:szCs w:val="21"/>
        </w:rPr>
        <w:t>远程管理：支持远程进行权限设置或维护管理</w:t>
      </w:r>
    </w:p>
    <w:p>
      <w:pPr>
        <w:widowControl/>
        <w:shd w:val="clear" w:color="auto" w:fill="FFFFFF"/>
        <w:spacing w:line="360" w:lineRule="auto"/>
        <w:ind w:firstLine="480"/>
        <w:rPr>
          <w:rFonts w:hAnsi="宋体"/>
          <w:sz w:val="21"/>
          <w:szCs w:val="21"/>
        </w:rPr>
      </w:pPr>
      <w:r>
        <w:rPr>
          <w:rFonts w:hint="eastAsia" w:hAnsi="宋体"/>
          <w:sz w:val="21"/>
          <w:szCs w:val="21"/>
        </w:rPr>
        <w:t>工作电压：主机12VDC，外接220VAC电源适配器</w:t>
      </w:r>
    </w:p>
    <w:p>
      <w:pPr>
        <w:widowControl/>
        <w:shd w:val="clear" w:color="auto" w:fill="FFFFFF"/>
        <w:spacing w:line="360" w:lineRule="auto"/>
        <w:ind w:firstLine="480"/>
        <w:rPr>
          <w:rFonts w:hAnsi="宋体"/>
          <w:sz w:val="21"/>
          <w:szCs w:val="21"/>
        </w:rPr>
      </w:pPr>
      <w:r>
        <w:rPr>
          <w:rFonts w:hint="eastAsia" w:hAnsi="宋体"/>
          <w:sz w:val="21"/>
          <w:szCs w:val="21"/>
        </w:rPr>
        <w:t>功耗：平均25w，最高50w</w:t>
      </w:r>
    </w:p>
    <w:p>
      <w:pPr>
        <w:widowControl/>
        <w:shd w:val="clear" w:color="auto" w:fill="FFFFFF"/>
        <w:spacing w:line="360" w:lineRule="auto"/>
        <w:ind w:firstLine="480"/>
        <w:rPr>
          <w:rFonts w:hAnsi="宋体"/>
          <w:sz w:val="21"/>
          <w:szCs w:val="21"/>
        </w:rPr>
      </w:pPr>
      <w:r>
        <w:rPr>
          <w:rFonts w:hint="eastAsia" w:hAnsi="宋体"/>
          <w:sz w:val="21"/>
          <w:szCs w:val="21"/>
        </w:rPr>
        <w:t>工作环境温度：-20 ℃～70 ℃</w:t>
      </w:r>
    </w:p>
    <w:p>
      <w:pPr>
        <w:widowControl/>
        <w:shd w:val="clear" w:color="auto" w:fill="FFFFFF"/>
        <w:spacing w:line="360" w:lineRule="auto"/>
        <w:ind w:firstLine="480"/>
        <w:rPr>
          <w:rFonts w:hAnsi="宋体"/>
          <w:sz w:val="21"/>
          <w:szCs w:val="21"/>
        </w:rPr>
      </w:pPr>
      <w:r>
        <w:rPr>
          <w:rFonts w:hint="eastAsia" w:hAnsi="宋体"/>
          <w:sz w:val="21"/>
          <w:szCs w:val="21"/>
        </w:rPr>
        <w:t>工作环境湿度：10%~90%@40℃，无凝结</w:t>
      </w:r>
    </w:p>
    <w:p>
      <w:pPr>
        <w:widowControl/>
        <w:shd w:val="clear" w:color="auto" w:fill="FFFFFF"/>
        <w:spacing w:line="360" w:lineRule="auto"/>
        <w:ind w:firstLine="480"/>
        <w:rPr>
          <w:rFonts w:hAnsi="宋体"/>
          <w:b/>
          <w:bCs/>
          <w:sz w:val="21"/>
          <w:szCs w:val="21"/>
        </w:rPr>
      </w:pPr>
      <w:r>
        <w:rPr>
          <w:rFonts w:hint="eastAsia" w:hAnsi="宋体"/>
          <w:b/>
          <w:bCs/>
          <w:sz w:val="21"/>
          <w:szCs w:val="21"/>
        </w:rPr>
        <w:t>3、交换机</w:t>
      </w:r>
    </w:p>
    <w:p>
      <w:pPr>
        <w:widowControl/>
        <w:shd w:val="clear" w:color="auto" w:fill="FFFFFF"/>
        <w:spacing w:line="360" w:lineRule="auto"/>
        <w:ind w:firstLine="480"/>
        <w:rPr>
          <w:rFonts w:hAnsi="宋体"/>
          <w:sz w:val="21"/>
          <w:szCs w:val="21"/>
        </w:rPr>
      </w:pPr>
      <w:r>
        <w:rPr>
          <w:rFonts w:hint="eastAsia" w:hAnsi="宋体"/>
          <w:sz w:val="21"/>
          <w:szCs w:val="21"/>
        </w:rPr>
        <w:t>4个1000Mbps下行网络端口，2个光口和1个电口双上行100Mbps端口，其中1光电为COMBO口；一键VLAN设置，下联端口互相隔离，只与上联访问，增加传输效率及安全性；抑制网络风暴；POE供电距离最远可达250米；</w:t>
      </w:r>
    </w:p>
    <w:p>
      <w:pPr>
        <w:pStyle w:val="2"/>
        <w:numPr>
          <w:ilvl w:val="255"/>
          <w:numId w:val="0"/>
        </w:numPr>
        <w:spacing w:line="360" w:lineRule="auto"/>
        <w:ind w:left="375"/>
        <w:rPr>
          <w:rFonts w:hAnsi="宋体"/>
          <w:sz w:val="21"/>
          <w:szCs w:val="21"/>
        </w:rPr>
      </w:pPr>
      <w:r>
        <w:rPr>
          <w:rFonts w:hint="eastAsia" w:hAnsi="宋体"/>
          <w:sz w:val="21"/>
          <w:szCs w:val="21"/>
        </w:rPr>
        <w:t>4、车检雷达</w:t>
      </w:r>
    </w:p>
    <w:p>
      <w:pPr>
        <w:pStyle w:val="2"/>
        <w:numPr>
          <w:ilvl w:val="255"/>
          <w:numId w:val="0"/>
        </w:numPr>
        <w:spacing w:line="360" w:lineRule="auto"/>
        <w:ind w:left="375"/>
        <w:rPr>
          <w:rFonts w:hAnsi="宋体"/>
          <w:sz w:val="21"/>
          <w:szCs w:val="21"/>
        </w:rPr>
      </w:pPr>
      <w:r>
        <w:rPr>
          <w:rFonts w:hAnsi="宋体"/>
          <w:sz w:val="21"/>
          <w:szCs w:val="21"/>
        </w:rPr>
        <w:t>采用24GHz MMIC技术，性能更强。</w:t>
      </w:r>
    </w:p>
    <w:p>
      <w:pPr>
        <w:pStyle w:val="2"/>
        <w:numPr>
          <w:ilvl w:val="255"/>
          <w:numId w:val="0"/>
        </w:numPr>
        <w:spacing w:line="360" w:lineRule="auto"/>
        <w:ind w:left="375"/>
        <w:rPr>
          <w:rFonts w:hAnsi="宋体"/>
          <w:sz w:val="21"/>
          <w:szCs w:val="21"/>
        </w:rPr>
      </w:pPr>
      <w:r>
        <w:rPr>
          <w:rFonts w:hAnsi="宋体"/>
          <w:sz w:val="21"/>
          <w:szCs w:val="21"/>
        </w:rPr>
        <w:t>安装与维护方便，所需人力少，工时短。</w:t>
      </w:r>
    </w:p>
    <w:p>
      <w:pPr>
        <w:pStyle w:val="2"/>
        <w:numPr>
          <w:ilvl w:val="255"/>
          <w:numId w:val="0"/>
        </w:numPr>
        <w:spacing w:line="360" w:lineRule="auto"/>
        <w:ind w:left="375"/>
        <w:rPr>
          <w:rFonts w:hAnsi="宋体"/>
          <w:sz w:val="21"/>
          <w:szCs w:val="21"/>
        </w:rPr>
      </w:pPr>
      <w:r>
        <w:rPr>
          <w:rFonts w:hAnsi="宋体"/>
          <w:sz w:val="21"/>
          <w:szCs w:val="21"/>
        </w:rPr>
        <w:t>采用先进的信号处理技术，可稳定检测到行人和车辆，虚警率低。</w:t>
      </w:r>
    </w:p>
    <w:p>
      <w:pPr>
        <w:pStyle w:val="2"/>
        <w:numPr>
          <w:ilvl w:val="255"/>
          <w:numId w:val="0"/>
        </w:numPr>
        <w:spacing w:line="360" w:lineRule="auto"/>
        <w:ind w:left="375"/>
        <w:rPr>
          <w:rFonts w:hAnsi="宋体"/>
          <w:sz w:val="21"/>
          <w:szCs w:val="21"/>
        </w:rPr>
      </w:pPr>
      <w:r>
        <w:rPr>
          <w:rFonts w:hAnsi="宋体"/>
          <w:sz w:val="21"/>
          <w:szCs w:val="21"/>
        </w:rPr>
        <w:t>采用RS485通讯，信号更稳定，通讯距离更长。</w:t>
      </w:r>
    </w:p>
    <w:p>
      <w:pPr>
        <w:pStyle w:val="2"/>
        <w:numPr>
          <w:ilvl w:val="255"/>
          <w:numId w:val="0"/>
        </w:numPr>
        <w:spacing w:line="360" w:lineRule="auto"/>
        <w:ind w:left="375"/>
        <w:rPr>
          <w:rFonts w:hAnsi="宋体"/>
          <w:sz w:val="21"/>
          <w:szCs w:val="21"/>
        </w:rPr>
      </w:pPr>
      <w:r>
        <w:rPr>
          <w:rFonts w:hAnsi="宋体"/>
          <w:sz w:val="21"/>
          <w:szCs w:val="21"/>
        </w:rPr>
        <w:t>能够自动识别背景。</w:t>
      </w:r>
    </w:p>
    <w:p>
      <w:pPr>
        <w:pStyle w:val="2"/>
        <w:numPr>
          <w:ilvl w:val="255"/>
          <w:numId w:val="0"/>
        </w:numPr>
        <w:spacing w:line="360" w:lineRule="auto"/>
        <w:ind w:left="375"/>
        <w:rPr>
          <w:rFonts w:hAnsi="宋体"/>
          <w:sz w:val="21"/>
          <w:szCs w:val="21"/>
        </w:rPr>
      </w:pPr>
      <w:r>
        <w:rPr>
          <w:rFonts w:hAnsi="宋体"/>
          <w:sz w:val="21"/>
          <w:szCs w:val="21"/>
        </w:rPr>
        <w:t>环境适应性强，检测性不受光照、灰尘、雨雪等外界环境干扰。</w:t>
      </w:r>
    </w:p>
    <w:p>
      <w:pPr>
        <w:widowControl/>
        <w:shd w:val="clear" w:color="auto" w:fill="FFFFFF"/>
        <w:spacing w:line="360" w:lineRule="auto"/>
        <w:ind w:firstLine="480"/>
        <w:rPr>
          <w:lang w:val="zh-CN"/>
        </w:rPr>
      </w:pPr>
      <w:r>
        <w:rPr>
          <w:rFonts w:hint="eastAsia" w:hAnsi="宋体"/>
          <w:b/>
          <w:bCs/>
          <w:sz w:val="21"/>
          <w:szCs w:val="21"/>
        </w:rPr>
        <w:t>（五）可视对讲子系统</w:t>
      </w:r>
    </w:p>
    <w:p>
      <w:pPr>
        <w:widowControl/>
        <w:shd w:val="clear" w:color="auto" w:fill="FFFFFF"/>
        <w:spacing w:line="360" w:lineRule="auto"/>
        <w:ind w:firstLine="480"/>
        <w:rPr>
          <w:rFonts w:hAnsi="宋体"/>
          <w:b/>
          <w:bCs/>
          <w:sz w:val="21"/>
          <w:szCs w:val="21"/>
          <w:lang w:val="zh-CN"/>
        </w:rPr>
      </w:pPr>
      <w:r>
        <w:rPr>
          <w:rFonts w:hint="eastAsia" w:hAnsi="宋体"/>
          <w:b/>
          <w:bCs/>
          <w:sz w:val="21"/>
          <w:szCs w:val="21"/>
        </w:rPr>
        <w:t>1、</w:t>
      </w:r>
      <w:r>
        <w:rPr>
          <w:rFonts w:hint="eastAsia" w:hAnsi="宋体"/>
          <w:b/>
          <w:bCs/>
          <w:sz w:val="21"/>
          <w:szCs w:val="21"/>
          <w:lang w:val="zh-CN"/>
        </w:rPr>
        <w:t>室内分机</w:t>
      </w:r>
    </w:p>
    <w:p>
      <w:pPr>
        <w:widowControl/>
        <w:shd w:val="clear" w:color="auto" w:fill="FFFFFF"/>
        <w:spacing w:line="360" w:lineRule="auto"/>
        <w:ind w:firstLine="480"/>
        <w:rPr>
          <w:rFonts w:hAnsi="宋体"/>
          <w:sz w:val="21"/>
          <w:szCs w:val="21"/>
          <w:lang w:val="zh-CN"/>
        </w:rPr>
      </w:pPr>
      <w:r>
        <w:rPr>
          <w:rFonts w:hint="eastAsia" w:hAnsi="宋体"/>
          <w:sz w:val="21"/>
          <w:szCs w:val="21"/>
          <w:lang w:val="zh-CN"/>
        </w:rPr>
        <w:t>显示屏：7寸彩色触摸TFT LCD</w:t>
      </w:r>
    </w:p>
    <w:p>
      <w:pPr>
        <w:widowControl/>
        <w:shd w:val="clear" w:color="auto" w:fill="FFFFFF"/>
        <w:spacing w:line="360" w:lineRule="auto"/>
        <w:ind w:firstLine="480"/>
        <w:rPr>
          <w:rFonts w:hAnsi="宋体"/>
          <w:sz w:val="21"/>
          <w:szCs w:val="21"/>
          <w:lang w:val="zh-CN"/>
        </w:rPr>
      </w:pPr>
      <w:r>
        <w:rPr>
          <w:rFonts w:hint="eastAsia" w:hAnsi="宋体"/>
          <w:sz w:val="21"/>
          <w:szCs w:val="21"/>
          <w:lang w:val="zh-CN"/>
        </w:rPr>
        <w:t>显示屏分辨率：1024*600</w:t>
      </w:r>
    </w:p>
    <w:p>
      <w:pPr>
        <w:widowControl/>
        <w:shd w:val="clear" w:color="auto" w:fill="FFFFFF"/>
        <w:spacing w:line="360" w:lineRule="auto"/>
        <w:ind w:firstLine="480"/>
        <w:rPr>
          <w:rFonts w:hAnsi="宋体"/>
          <w:sz w:val="21"/>
          <w:szCs w:val="21"/>
          <w:lang w:val="zh-CN"/>
        </w:rPr>
      </w:pPr>
      <w:r>
        <w:rPr>
          <w:rFonts w:hint="eastAsia" w:hAnsi="宋体"/>
          <w:sz w:val="21"/>
          <w:szCs w:val="21"/>
          <w:lang w:val="zh-CN"/>
        </w:rPr>
        <w:t>操作方式：电容式触摸屏</w:t>
      </w:r>
    </w:p>
    <w:p>
      <w:pPr>
        <w:widowControl/>
        <w:shd w:val="clear" w:color="auto" w:fill="FFFFFF"/>
        <w:spacing w:line="360" w:lineRule="auto"/>
        <w:ind w:firstLine="480"/>
        <w:rPr>
          <w:rFonts w:hAnsi="宋体"/>
          <w:sz w:val="21"/>
          <w:szCs w:val="21"/>
          <w:lang w:val="zh-CN"/>
        </w:rPr>
      </w:pPr>
      <w:r>
        <w:rPr>
          <w:rFonts w:hint="eastAsia" w:hAnsi="宋体"/>
          <w:sz w:val="21"/>
          <w:szCs w:val="21"/>
          <w:lang w:val="zh-CN"/>
        </w:rPr>
        <w:t>网线供电：支持</w:t>
      </w:r>
    </w:p>
    <w:p>
      <w:pPr>
        <w:widowControl/>
        <w:shd w:val="clear" w:color="auto" w:fill="FFFFFF"/>
        <w:spacing w:line="360" w:lineRule="auto"/>
        <w:ind w:firstLine="480"/>
        <w:rPr>
          <w:rFonts w:hAnsi="宋体"/>
          <w:sz w:val="21"/>
          <w:szCs w:val="21"/>
          <w:lang w:val="zh-CN"/>
        </w:rPr>
      </w:pPr>
      <w:r>
        <w:rPr>
          <w:rFonts w:hint="eastAsia" w:hAnsi="宋体"/>
          <w:sz w:val="21"/>
          <w:szCs w:val="21"/>
          <w:lang w:val="zh-CN"/>
        </w:rPr>
        <w:t>防区数：8防区</w:t>
      </w:r>
    </w:p>
    <w:p>
      <w:pPr>
        <w:widowControl/>
        <w:shd w:val="clear" w:color="auto" w:fill="FFFFFF"/>
        <w:spacing w:line="360" w:lineRule="auto"/>
        <w:ind w:firstLine="480"/>
        <w:rPr>
          <w:rFonts w:hAnsi="宋体"/>
          <w:sz w:val="21"/>
          <w:szCs w:val="21"/>
          <w:lang w:val="zh-CN"/>
        </w:rPr>
      </w:pPr>
      <w:r>
        <w:rPr>
          <w:rFonts w:hint="eastAsia" w:hAnsi="宋体"/>
          <w:sz w:val="21"/>
          <w:szCs w:val="21"/>
          <w:lang w:val="zh-CN"/>
        </w:rPr>
        <w:t>网口：10M/100M自适应以太网口</w:t>
      </w:r>
    </w:p>
    <w:p>
      <w:pPr>
        <w:widowControl/>
        <w:shd w:val="clear" w:color="auto" w:fill="FFFFFF"/>
        <w:spacing w:line="360" w:lineRule="auto"/>
        <w:ind w:firstLine="480"/>
        <w:rPr>
          <w:rFonts w:hAnsi="宋体"/>
          <w:sz w:val="21"/>
          <w:szCs w:val="21"/>
          <w:lang w:val="zh-CN"/>
        </w:rPr>
      </w:pPr>
      <w:r>
        <w:rPr>
          <w:rFonts w:hint="eastAsia" w:hAnsi="宋体"/>
          <w:sz w:val="21"/>
          <w:szCs w:val="21"/>
          <w:lang w:val="zh-CN"/>
        </w:rPr>
        <w:t>探测器供电：支持输出1路12V 200mA电源用于探测器供电；</w:t>
      </w:r>
    </w:p>
    <w:p>
      <w:pPr>
        <w:widowControl/>
        <w:shd w:val="clear" w:color="auto" w:fill="FFFFFF"/>
        <w:spacing w:line="360" w:lineRule="auto"/>
        <w:ind w:firstLine="480"/>
        <w:rPr>
          <w:rFonts w:hAnsi="宋体"/>
          <w:sz w:val="21"/>
          <w:szCs w:val="21"/>
          <w:lang w:val="zh-CN"/>
        </w:rPr>
      </w:pPr>
      <w:r>
        <w:rPr>
          <w:rFonts w:hint="eastAsia" w:hAnsi="宋体"/>
          <w:sz w:val="21"/>
          <w:szCs w:val="21"/>
          <w:lang w:val="zh-CN"/>
        </w:rPr>
        <w:t>电源：网线供电或DC12V</w:t>
      </w:r>
    </w:p>
    <w:p>
      <w:pPr>
        <w:widowControl/>
        <w:shd w:val="clear" w:color="auto" w:fill="FFFFFF"/>
        <w:spacing w:line="360" w:lineRule="auto"/>
        <w:ind w:firstLine="480"/>
        <w:rPr>
          <w:rFonts w:hAnsi="宋体"/>
          <w:sz w:val="21"/>
          <w:szCs w:val="21"/>
          <w:lang w:val="zh-CN"/>
        </w:rPr>
      </w:pPr>
      <w:r>
        <w:rPr>
          <w:rFonts w:hint="eastAsia" w:hAnsi="宋体"/>
          <w:sz w:val="21"/>
          <w:szCs w:val="21"/>
          <w:lang w:val="zh-CN"/>
        </w:rPr>
        <w:t>功耗：≤6W</w:t>
      </w:r>
    </w:p>
    <w:p>
      <w:pPr>
        <w:widowControl/>
        <w:shd w:val="clear" w:color="auto" w:fill="FFFFFF"/>
        <w:spacing w:line="360" w:lineRule="auto"/>
        <w:ind w:firstLine="480"/>
        <w:rPr>
          <w:rFonts w:hAnsi="宋体"/>
          <w:b/>
          <w:bCs/>
          <w:sz w:val="21"/>
          <w:szCs w:val="21"/>
          <w:lang w:val="zh-CN"/>
        </w:rPr>
      </w:pPr>
      <w:r>
        <w:rPr>
          <w:rFonts w:hint="eastAsia" w:hAnsi="宋体"/>
          <w:b/>
          <w:bCs/>
          <w:sz w:val="21"/>
          <w:szCs w:val="21"/>
        </w:rPr>
        <w:t>2、</w:t>
      </w:r>
      <w:r>
        <w:rPr>
          <w:rFonts w:hint="eastAsia" w:hAnsi="宋体"/>
          <w:b/>
          <w:bCs/>
          <w:sz w:val="21"/>
          <w:szCs w:val="21"/>
          <w:lang w:val="zh-CN"/>
        </w:rPr>
        <w:t>可视对讲人工智能产品</w:t>
      </w:r>
    </w:p>
    <w:p>
      <w:pPr>
        <w:widowControl/>
        <w:shd w:val="clear" w:color="auto" w:fill="FFFFFF"/>
        <w:spacing w:line="360" w:lineRule="auto"/>
        <w:ind w:firstLine="480"/>
        <w:rPr>
          <w:rFonts w:hAnsi="宋体"/>
          <w:sz w:val="21"/>
          <w:szCs w:val="21"/>
        </w:rPr>
      </w:pPr>
      <w:r>
        <w:rPr>
          <w:rFonts w:hint="eastAsia" w:hAnsi="宋体"/>
          <w:sz w:val="21"/>
          <w:szCs w:val="21"/>
        </w:rPr>
        <w:t>摄像头：CMOS低照度200W像素双目摄像机</w:t>
      </w:r>
    </w:p>
    <w:p>
      <w:pPr>
        <w:widowControl/>
        <w:shd w:val="clear" w:color="auto" w:fill="FFFFFF"/>
        <w:spacing w:line="360" w:lineRule="auto"/>
        <w:ind w:firstLine="480"/>
        <w:rPr>
          <w:rFonts w:hAnsi="宋体"/>
          <w:sz w:val="21"/>
          <w:szCs w:val="21"/>
        </w:rPr>
      </w:pPr>
      <w:r>
        <w:rPr>
          <w:rFonts w:hint="eastAsia" w:hAnsi="宋体"/>
          <w:sz w:val="21"/>
          <w:szCs w:val="21"/>
        </w:rPr>
        <w:t>视频压缩标准：H.264，分辨率：1920×1080</w:t>
      </w:r>
    </w:p>
    <w:p>
      <w:pPr>
        <w:widowControl/>
        <w:shd w:val="clear" w:color="auto" w:fill="FFFFFF"/>
        <w:spacing w:line="360" w:lineRule="auto"/>
        <w:ind w:firstLine="480"/>
        <w:rPr>
          <w:rFonts w:hAnsi="宋体"/>
          <w:sz w:val="21"/>
          <w:szCs w:val="21"/>
        </w:rPr>
      </w:pPr>
      <w:r>
        <w:rPr>
          <w:rFonts w:hint="eastAsia" w:hAnsi="宋体"/>
          <w:sz w:val="21"/>
          <w:szCs w:val="21"/>
        </w:rPr>
        <w:t>深度学习人脸识别算法，人脸白名单容量：5000张</w:t>
      </w:r>
    </w:p>
    <w:p>
      <w:pPr>
        <w:widowControl/>
        <w:shd w:val="clear" w:color="auto" w:fill="FFFFFF"/>
        <w:spacing w:line="360" w:lineRule="auto"/>
        <w:ind w:firstLine="480"/>
        <w:rPr>
          <w:rFonts w:hAnsi="宋体"/>
          <w:sz w:val="21"/>
          <w:szCs w:val="21"/>
        </w:rPr>
      </w:pPr>
      <w:r>
        <w:rPr>
          <w:rFonts w:hint="eastAsia" w:hAnsi="宋体"/>
          <w:sz w:val="21"/>
          <w:szCs w:val="21"/>
        </w:rPr>
        <w:t>显示屏：4.3寸彩色非触摸 TFT LCD，分辨率：800*480</w:t>
      </w:r>
    </w:p>
    <w:p>
      <w:pPr>
        <w:widowControl/>
        <w:shd w:val="clear" w:color="auto" w:fill="FFFFFF"/>
        <w:spacing w:line="360" w:lineRule="auto"/>
        <w:ind w:firstLine="480"/>
        <w:rPr>
          <w:rFonts w:hAnsi="宋体"/>
          <w:sz w:val="21"/>
          <w:szCs w:val="21"/>
        </w:rPr>
      </w:pPr>
      <w:r>
        <w:rPr>
          <w:rFonts w:hint="eastAsia" w:hAnsi="宋体"/>
          <w:sz w:val="21"/>
          <w:szCs w:val="21"/>
        </w:rPr>
        <w:t>操作方式：实体按键；</w:t>
      </w:r>
    </w:p>
    <w:p>
      <w:pPr>
        <w:widowControl/>
        <w:shd w:val="clear" w:color="auto" w:fill="FFFFFF"/>
        <w:spacing w:line="360" w:lineRule="auto"/>
        <w:ind w:firstLine="480"/>
        <w:rPr>
          <w:rFonts w:hAnsi="宋体"/>
          <w:sz w:val="21"/>
          <w:szCs w:val="21"/>
        </w:rPr>
      </w:pPr>
      <w:r>
        <w:rPr>
          <w:rFonts w:hint="eastAsia" w:hAnsi="宋体"/>
          <w:sz w:val="21"/>
          <w:szCs w:val="21"/>
        </w:rPr>
        <w:t>操作界面：液晶显示，简易菜单；</w:t>
      </w:r>
    </w:p>
    <w:p>
      <w:pPr>
        <w:widowControl/>
        <w:shd w:val="clear" w:color="auto" w:fill="FFFFFF"/>
        <w:spacing w:line="360" w:lineRule="auto"/>
        <w:ind w:firstLine="480"/>
        <w:rPr>
          <w:rFonts w:hAnsi="宋体"/>
          <w:sz w:val="21"/>
          <w:szCs w:val="21"/>
        </w:rPr>
      </w:pPr>
      <w:r>
        <w:rPr>
          <w:rFonts w:hint="eastAsia" w:hAnsi="宋体"/>
          <w:sz w:val="21"/>
          <w:szCs w:val="21"/>
        </w:rPr>
        <w:t>音频输入和输出：内置全指向麦克风和扬声器；</w:t>
      </w:r>
    </w:p>
    <w:p>
      <w:pPr>
        <w:widowControl/>
        <w:shd w:val="clear" w:color="auto" w:fill="FFFFFF"/>
        <w:spacing w:line="360" w:lineRule="auto"/>
        <w:ind w:firstLine="480"/>
        <w:rPr>
          <w:rFonts w:hAnsi="宋体"/>
          <w:sz w:val="21"/>
          <w:szCs w:val="21"/>
        </w:rPr>
      </w:pPr>
      <w:r>
        <w:rPr>
          <w:rFonts w:hint="eastAsia" w:hAnsi="宋体"/>
          <w:sz w:val="21"/>
          <w:szCs w:val="21"/>
        </w:rPr>
        <w:t>支持Mifare卡、身份证序列号、CPU序列号识别；</w:t>
      </w:r>
    </w:p>
    <w:p>
      <w:pPr>
        <w:widowControl/>
        <w:shd w:val="clear" w:color="auto" w:fill="FFFFFF"/>
        <w:spacing w:line="360" w:lineRule="auto"/>
        <w:ind w:firstLine="480"/>
        <w:rPr>
          <w:rFonts w:hAnsi="宋体"/>
          <w:sz w:val="21"/>
          <w:szCs w:val="21"/>
        </w:rPr>
      </w:pPr>
      <w:r>
        <w:rPr>
          <w:rFonts w:hint="eastAsia" w:hAnsi="宋体"/>
          <w:sz w:val="21"/>
          <w:szCs w:val="21"/>
        </w:rPr>
        <w:t>支持二维码开门；</w:t>
      </w:r>
    </w:p>
    <w:p>
      <w:pPr>
        <w:widowControl/>
        <w:shd w:val="clear" w:color="auto" w:fill="FFFFFF"/>
        <w:spacing w:line="360" w:lineRule="auto"/>
        <w:ind w:firstLine="480"/>
        <w:rPr>
          <w:rFonts w:hAnsi="宋体"/>
          <w:sz w:val="21"/>
          <w:szCs w:val="21"/>
        </w:rPr>
      </w:pPr>
      <w:r>
        <w:rPr>
          <w:rFonts w:hint="eastAsia" w:hAnsi="宋体"/>
          <w:sz w:val="21"/>
          <w:szCs w:val="21"/>
        </w:rPr>
        <w:t>RS485：2个，RS485半双工</w:t>
      </w:r>
    </w:p>
    <w:p>
      <w:pPr>
        <w:widowControl/>
        <w:shd w:val="clear" w:color="auto" w:fill="FFFFFF"/>
        <w:spacing w:line="360" w:lineRule="auto"/>
        <w:ind w:firstLine="480"/>
        <w:rPr>
          <w:rFonts w:hAnsi="宋体"/>
          <w:sz w:val="21"/>
          <w:szCs w:val="21"/>
        </w:rPr>
      </w:pPr>
      <w:r>
        <w:rPr>
          <w:rFonts w:hint="eastAsia" w:hAnsi="宋体"/>
          <w:sz w:val="21"/>
          <w:szCs w:val="21"/>
        </w:rPr>
        <w:t>网络参数：10M/100M/1000M自适应，支持TCP/IP、SIP、RTSP等协议</w:t>
      </w:r>
    </w:p>
    <w:p>
      <w:pPr>
        <w:widowControl/>
        <w:shd w:val="clear" w:color="auto" w:fill="FFFFFF"/>
        <w:spacing w:line="360" w:lineRule="auto"/>
        <w:ind w:firstLine="480"/>
        <w:rPr>
          <w:rFonts w:hAnsi="宋体"/>
          <w:sz w:val="21"/>
          <w:szCs w:val="21"/>
        </w:rPr>
      </w:pPr>
      <w:r>
        <w:rPr>
          <w:rFonts w:hint="eastAsia" w:hAnsi="宋体"/>
          <w:sz w:val="21"/>
          <w:szCs w:val="21"/>
        </w:rPr>
        <w:t>IO输入：4个</w:t>
      </w:r>
    </w:p>
    <w:p>
      <w:pPr>
        <w:widowControl/>
        <w:shd w:val="clear" w:color="auto" w:fill="FFFFFF"/>
        <w:spacing w:line="360" w:lineRule="auto"/>
        <w:ind w:firstLine="480"/>
        <w:rPr>
          <w:rFonts w:hAnsi="宋体"/>
          <w:sz w:val="21"/>
          <w:szCs w:val="21"/>
        </w:rPr>
      </w:pPr>
      <w:r>
        <w:rPr>
          <w:rFonts w:hint="eastAsia" w:hAnsi="宋体"/>
          <w:sz w:val="21"/>
          <w:szCs w:val="21"/>
        </w:rPr>
        <w:t>IO输出：0个</w:t>
      </w:r>
    </w:p>
    <w:p>
      <w:pPr>
        <w:widowControl/>
        <w:shd w:val="clear" w:color="auto" w:fill="FFFFFF"/>
        <w:spacing w:line="360" w:lineRule="auto"/>
        <w:ind w:firstLine="480"/>
        <w:rPr>
          <w:rFonts w:hAnsi="宋体"/>
          <w:sz w:val="21"/>
          <w:szCs w:val="21"/>
        </w:rPr>
      </w:pPr>
      <w:r>
        <w:rPr>
          <w:rFonts w:hint="eastAsia" w:hAnsi="宋体"/>
          <w:sz w:val="21"/>
          <w:szCs w:val="21"/>
        </w:rPr>
        <w:t>门锁继电器：2个</w:t>
      </w:r>
    </w:p>
    <w:p>
      <w:pPr>
        <w:widowControl/>
        <w:shd w:val="clear" w:color="auto" w:fill="FFFFFF"/>
        <w:spacing w:line="360" w:lineRule="auto"/>
        <w:ind w:firstLine="480"/>
        <w:rPr>
          <w:rFonts w:hAnsi="宋体"/>
          <w:b/>
          <w:bCs/>
          <w:sz w:val="21"/>
          <w:szCs w:val="21"/>
          <w:lang w:val="zh-CN"/>
        </w:rPr>
      </w:pPr>
      <w:r>
        <w:rPr>
          <w:rFonts w:hint="eastAsia" w:hAnsi="宋体"/>
          <w:b/>
          <w:bCs/>
          <w:sz w:val="21"/>
          <w:szCs w:val="21"/>
        </w:rPr>
        <w:t>3、</w:t>
      </w:r>
      <w:r>
        <w:rPr>
          <w:rFonts w:hint="eastAsia" w:hAnsi="宋体"/>
          <w:b/>
          <w:bCs/>
          <w:sz w:val="21"/>
          <w:szCs w:val="21"/>
          <w:lang w:val="zh-CN"/>
        </w:rPr>
        <w:t>可视对讲管理机</w:t>
      </w:r>
    </w:p>
    <w:p>
      <w:pPr>
        <w:widowControl/>
        <w:shd w:val="clear" w:color="auto" w:fill="FFFFFF"/>
        <w:spacing w:line="360" w:lineRule="auto"/>
        <w:ind w:firstLine="480"/>
        <w:rPr>
          <w:rFonts w:hAnsi="宋体"/>
          <w:sz w:val="21"/>
          <w:szCs w:val="21"/>
        </w:rPr>
      </w:pPr>
      <w:r>
        <w:rPr>
          <w:rFonts w:hint="eastAsia" w:hAnsi="宋体"/>
          <w:sz w:val="21"/>
          <w:szCs w:val="21"/>
        </w:rPr>
        <w:t>显示屏：7寸彩色TFT LCD</w:t>
      </w:r>
    </w:p>
    <w:p>
      <w:pPr>
        <w:widowControl/>
        <w:shd w:val="clear" w:color="auto" w:fill="FFFFFF"/>
        <w:spacing w:line="360" w:lineRule="auto"/>
        <w:ind w:firstLine="480"/>
        <w:rPr>
          <w:rFonts w:hAnsi="宋体"/>
          <w:sz w:val="21"/>
          <w:szCs w:val="21"/>
        </w:rPr>
      </w:pPr>
      <w:r>
        <w:rPr>
          <w:rFonts w:hint="eastAsia" w:hAnsi="宋体"/>
          <w:sz w:val="21"/>
          <w:szCs w:val="21"/>
        </w:rPr>
        <w:t>摄像头：CMOS 100W像素，可开关</w:t>
      </w:r>
    </w:p>
    <w:p>
      <w:pPr>
        <w:widowControl/>
        <w:shd w:val="clear" w:color="auto" w:fill="FFFFFF"/>
        <w:spacing w:line="360" w:lineRule="auto"/>
        <w:ind w:firstLine="480"/>
        <w:rPr>
          <w:rFonts w:hAnsi="宋体"/>
          <w:sz w:val="21"/>
          <w:szCs w:val="21"/>
        </w:rPr>
      </w:pPr>
      <w:r>
        <w:rPr>
          <w:rFonts w:hint="eastAsia" w:hAnsi="宋体"/>
          <w:sz w:val="21"/>
          <w:szCs w:val="21"/>
        </w:rPr>
        <w:t>显示屏分辨率：1024*600</w:t>
      </w:r>
    </w:p>
    <w:p>
      <w:pPr>
        <w:widowControl/>
        <w:shd w:val="clear" w:color="auto" w:fill="FFFFFF"/>
        <w:spacing w:line="360" w:lineRule="auto"/>
        <w:ind w:firstLine="480"/>
        <w:rPr>
          <w:rFonts w:hAnsi="宋体"/>
          <w:sz w:val="21"/>
          <w:szCs w:val="21"/>
        </w:rPr>
      </w:pPr>
      <w:r>
        <w:rPr>
          <w:rFonts w:hint="eastAsia" w:hAnsi="宋体"/>
          <w:sz w:val="21"/>
          <w:szCs w:val="21"/>
        </w:rPr>
        <w:t>操作方式：电容式触摸屏、触摸按键、机械按键</w:t>
      </w:r>
    </w:p>
    <w:p>
      <w:pPr>
        <w:widowControl/>
        <w:shd w:val="clear" w:color="auto" w:fill="FFFFFF"/>
        <w:spacing w:line="360" w:lineRule="auto"/>
        <w:ind w:firstLine="480"/>
        <w:rPr>
          <w:rFonts w:hAnsi="宋体"/>
          <w:sz w:val="21"/>
          <w:szCs w:val="21"/>
        </w:rPr>
      </w:pPr>
      <w:r>
        <w:rPr>
          <w:rFonts w:hint="eastAsia" w:hAnsi="宋体"/>
          <w:sz w:val="21"/>
          <w:szCs w:val="21"/>
        </w:rPr>
        <w:t>RS485口：2个，RS485半双工</w:t>
      </w:r>
    </w:p>
    <w:p>
      <w:pPr>
        <w:widowControl/>
        <w:shd w:val="clear" w:color="auto" w:fill="FFFFFF"/>
        <w:spacing w:line="360" w:lineRule="auto"/>
        <w:ind w:firstLine="480"/>
        <w:rPr>
          <w:rFonts w:hAnsi="宋体"/>
          <w:sz w:val="21"/>
          <w:szCs w:val="21"/>
        </w:rPr>
      </w:pPr>
      <w:r>
        <w:rPr>
          <w:rFonts w:hint="eastAsia" w:hAnsi="宋体"/>
          <w:sz w:val="21"/>
          <w:szCs w:val="21"/>
        </w:rPr>
        <w:t>一个USB接口，可插U盘</w:t>
      </w:r>
    </w:p>
    <w:p>
      <w:pPr>
        <w:widowControl/>
        <w:shd w:val="clear" w:color="auto" w:fill="FFFFFF"/>
        <w:spacing w:line="360" w:lineRule="auto"/>
        <w:ind w:firstLine="480"/>
        <w:rPr>
          <w:rFonts w:hAnsi="宋体"/>
          <w:sz w:val="21"/>
          <w:szCs w:val="21"/>
        </w:rPr>
      </w:pPr>
      <w:r>
        <w:rPr>
          <w:rFonts w:hint="eastAsia" w:hAnsi="宋体"/>
          <w:sz w:val="21"/>
          <w:szCs w:val="21"/>
        </w:rPr>
        <w:t>4个IO输入，2个开关量输出，2个继电器输出</w:t>
      </w:r>
    </w:p>
    <w:p>
      <w:pPr>
        <w:widowControl/>
        <w:shd w:val="clear" w:color="auto" w:fill="FFFFFF"/>
        <w:spacing w:line="360" w:lineRule="auto"/>
        <w:ind w:firstLine="480"/>
        <w:rPr>
          <w:rFonts w:hAnsi="宋体"/>
          <w:b/>
          <w:bCs/>
          <w:sz w:val="21"/>
          <w:szCs w:val="21"/>
          <w:lang w:val="zh-CN"/>
        </w:rPr>
      </w:pPr>
      <w:r>
        <w:rPr>
          <w:rFonts w:hint="eastAsia" w:hAnsi="宋体"/>
          <w:b/>
          <w:bCs/>
          <w:sz w:val="21"/>
          <w:szCs w:val="21"/>
        </w:rPr>
        <w:t>4、</w:t>
      </w:r>
      <w:r>
        <w:rPr>
          <w:rFonts w:hint="eastAsia" w:hAnsi="宋体"/>
          <w:b/>
          <w:bCs/>
          <w:sz w:val="21"/>
          <w:szCs w:val="21"/>
          <w:lang w:val="zh-CN"/>
        </w:rPr>
        <w:t>网络交换机</w:t>
      </w:r>
    </w:p>
    <w:p>
      <w:pPr>
        <w:widowControl/>
        <w:shd w:val="clear" w:color="auto" w:fill="FFFFFF"/>
        <w:spacing w:line="360" w:lineRule="auto"/>
        <w:ind w:firstLine="480"/>
        <w:rPr>
          <w:rFonts w:hAnsi="宋体"/>
          <w:sz w:val="21"/>
          <w:szCs w:val="21"/>
        </w:rPr>
      </w:pPr>
      <w:r>
        <w:rPr>
          <w:rFonts w:hint="eastAsia" w:hAnsi="宋体"/>
          <w:sz w:val="21"/>
          <w:szCs w:val="21"/>
        </w:rPr>
        <w:t>提供2个千兆上联电口；8个100Mbps PoE网络端口，支持af/at供电标准；一键VLAN设置，下联端口互相隔离，只与上联访问，增加传输效率及安全性；抑制网络风暴；POE供电距离最远可达250米；供电电压：DC48V～57V，供电功率：120W；6KV防雷；金属外壳</w:t>
      </w:r>
    </w:p>
    <w:p>
      <w:pPr>
        <w:widowControl/>
        <w:shd w:val="clear" w:color="auto" w:fill="FFFFFF"/>
        <w:spacing w:line="360" w:lineRule="auto"/>
        <w:ind w:firstLine="480"/>
        <w:rPr>
          <w:rFonts w:hAnsi="宋体"/>
          <w:b/>
          <w:bCs/>
          <w:sz w:val="21"/>
          <w:szCs w:val="21"/>
          <w:lang w:val="zh-CN"/>
        </w:rPr>
      </w:pPr>
      <w:r>
        <w:rPr>
          <w:rFonts w:hint="eastAsia" w:hAnsi="宋体"/>
          <w:b/>
          <w:bCs/>
          <w:sz w:val="21"/>
          <w:szCs w:val="21"/>
        </w:rPr>
        <w:t>5、</w:t>
      </w:r>
      <w:r>
        <w:rPr>
          <w:rFonts w:hint="eastAsia" w:hAnsi="宋体"/>
          <w:b/>
          <w:bCs/>
          <w:sz w:val="21"/>
          <w:szCs w:val="21"/>
          <w:lang w:val="zh-CN"/>
        </w:rPr>
        <w:t>磁力锁</w:t>
      </w:r>
    </w:p>
    <w:p>
      <w:pPr>
        <w:widowControl/>
        <w:shd w:val="clear" w:color="auto" w:fill="FFFFFF"/>
        <w:spacing w:line="360" w:lineRule="auto"/>
        <w:ind w:firstLine="480"/>
        <w:rPr>
          <w:rFonts w:hAnsi="宋体"/>
          <w:sz w:val="21"/>
          <w:szCs w:val="21"/>
        </w:rPr>
      </w:pPr>
      <w:r>
        <w:rPr>
          <w:rFonts w:hint="eastAsia" w:hAnsi="宋体"/>
          <w:sz w:val="21"/>
          <w:szCs w:val="21"/>
        </w:rPr>
        <w:t>最大拉力280kg×2，供电：DC12V或DC24V，工作电流12V/500mAx2，24V/250mAx2；支持门锁状态输出，延时0/3/6/9秒可调</w:t>
      </w:r>
    </w:p>
    <w:p>
      <w:pPr>
        <w:widowControl/>
        <w:shd w:val="clear" w:color="auto" w:fill="FFFFFF"/>
        <w:spacing w:line="360" w:lineRule="auto"/>
        <w:ind w:firstLine="480"/>
        <w:rPr>
          <w:rFonts w:hAnsi="宋体"/>
          <w:b/>
          <w:bCs/>
          <w:sz w:val="21"/>
          <w:szCs w:val="21"/>
        </w:rPr>
      </w:pPr>
      <w:r>
        <w:rPr>
          <w:rFonts w:hint="eastAsia" w:hAnsi="宋体"/>
          <w:b/>
          <w:bCs/>
          <w:sz w:val="21"/>
          <w:szCs w:val="21"/>
        </w:rPr>
        <w:t>6、</w:t>
      </w:r>
      <w:r>
        <w:rPr>
          <w:rFonts w:hint="eastAsia" w:hAnsi="宋体"/>
          <w:b/>
          <w:bCs/>
          <w:sz w:val="21"/>
          <w:szCs w:val="21"/>
          <w:lang w:val="zh-CN"/>
        </w:rPr>
        <w:t>门禁主机</w:t>
      </w:r>
      <w:r>
        <w:rPr>
          <w:rFonts w:hint="eastAsia" w:hAnsi="宋体"/>
          <w:b/>
          <w:bCs/>
          <w:sz w:val="21"/>
          <w:szCs w:val="21"/>
        </w:rPr>
        <w:t>1</w:t>
      </w:r>
    </w:p>
    <w:p>
      <w:pPr>
        <w:widowControl/>
        <w:shd w:val="clear" w:color="auto" w:fill="FFFFFF"/>
        <w:spacing w:line="360" w:lineRule="auto"/>
        <w:ind w:firstLine="480"/>
        <w:rPr>
          <w:rFonts w:hAnsi="宋体"/>
          <w:sz w:val="21"/>
          <w:szCs w:val="21"/>
        </w:rPr>
      </w:pPr>
      <w:r>
        <w:rPr>
          <w:rFonts w:hint="eastAsia" w:hAnsi="宋体"/>
          <w:sz w:val="21"/>
          <w:szCs w:val="21"/>
        </w:rPr>
        <w:t>处理器：32位处理器</w:t>
      </w:r>
    </w:p>
    <w:p>
      <w:pPr>
        <w:widowControl/>
        <w:shd w:val="clear" w:color="auto" w:fill="FFFFFF"/>
        <w:spacing w:line="360" w:lineRule="auto"/>
        <w:ind w:firstLine="480"/>
        <w:rPr>
          <w:rFonts w:hAnsi="宋体"/>
          <w:sz w:val="21"/>
          <w:szCs w:val="21"/>
        </w:rPr>
      </w:pPr>
      <w:r>
        <w:rPr>
          <w:rFonts w:hint="eastAsia" w:hAnsi="宋体"/>
          <w:sz w:val="21"/>
          <w:szCs w:val="21"/>
        </w:rPr>
        <w:t>管控门数：2门</w:t>
      </w:r>
    </w:p>
    <w:p>
      <w:pPr>
        <w:widowControl/>
        <w:shd w:val="clear" w:color="auto" w:fill="FFFFFF"/>
        <w:spacing w:line="360" w:lineRule="auto"/>
        <w:ind w:firstLine="480"/>
        <w:rPr>
          <w:rFonts w:hAnsi="宋体"/>
          <w:sz w:val="21"/>
          <w:szCs w:val="21"/>
        </w:rPr>
      </w:pPr>
      <w:r>
        <w:rPr>
          <w:rFonts w:hint="eastAsia" w:hAnsi="宋体"/>
          <w:sz w:val="21"/>
          <w:szCs w:val="21"/>
        </w:rPr>
        <w:t>通讯方式：上行TCP/IP、RS485</w:t>
      </w:r>
    </w:p>
    <w:p>
      <w:pPr>
        <w:widowControl/>
        <w:shd w:val="clear" w:color="auto" w:fill="FFFFFF"/>
        <w:spacing w:line="360" w:lineRule="auto"/>
        <w:ind w:firstLine="480"/>
        <w:rPr>
          <w:rFonts w:hAnsi="宋体"/>
          <w:sz w:val="21"/>
          <w:szCs w:val="21"/>
        </w:rPr>
      </w:pPr>
      <w:r>
        <w:rPr>
          <w:rFonts w:hint="eastAsia" w:hAnsi="宋体"/>
          <w:sz w:val="21"/>
          <w:szCs w:val="21"/>
        </w:rPr>
        <w:t>读卡器接口：RS485和Wiegand双通讯接口</w:t>
      </w:r>
    </w:p>
    <w:p>
      <w:pPr>
        <w:widowControl/>
        <w:shd w:val="clear" w:color="auto" w:fill="FFFFFF"/>
        <w:spacing w:line="360" w:lineRule="auto"/>
        <w:ind w:firstLine="480"/>
        <w:rPr>
          <w:rFonts w:hAnsi="宋体"/>
          <w:sz w:val="21"/>
          <w:szCs w:val="21"/>
        </w:rPr>
      </w:pPr>
      <w:r>
        <w:rPr>
          <w:rFonts w:hint="eastAsia" w:hAnsi="宋体"/>
          <w:sz w:val="21"/>
          <w:szCs w:val="21"/>
        </w:rPr>
        <w:t>存储容量：10万张卡和30万记录存储</w:t>
      </w:r>
    </w:p>
    <w:p>
      <w:pPr>
        <w:widowControl/>
        <w:shd w:val="clear" w:color="auto" w:fill="FFFFFF"/>
        <w:spacing w:line="360" w:lineRule="auto"/>
        <w:ind w:firstLine="480"/>
        <w:rPr>
          <w:rFonts w:hAnsi="宋体"/>
          <w:sz w:val="21"/>
          <w:szCs w:val="21"/>
        </w:rPr>
      </w:pPr>
      <w:r>
        <w:rPr>
          <w:rFonts w:hint="eastAsia" w:hAnsi="宋体"/>
          <w:sz w:val="21"/>
          <w:szCs w:val="21"/>
        </w:rPr>
        <w:t>工作电压：自带机箱和供电电源（AC220V输入），工作电压DC 12V，功耗≤4W（不带负载）</w:t>
      </w:r>
    </w:p>
    <w:p>
      <w:pPr>
        <w:widowControl/>
        <w:shd w:val="clear" w:color="auto" w:fill="FFFFFF"/>
        <w:spacing w:line="360" w:lineRule="auto"/>
        <w:ind w:firstLine="480"/>
        <w:rPr>
          <w:rFonts w:hAnsi="宋体"/>
          <w:b/>
          <w:bCs/>
          <w:sz w:val="21"/>
          <w:szCs w:val="21"/>
        </w:rPr>
      </w:pPr>
      <w:r>
        <w:rPr>
          <w:rFonts w:hint="eastAsia" w:hAnsi="宋体"/>
          <w:b/>
          <w:bCs/>
          <w:sz w:val="21"/>
          <w:szCs w:val="21"/>
        </w:rPr>
        <w:t>7、门禁主机2</w:t>
      </w:r>
    </w:p>
    <w:p>
      <w:pPr>
        <w:widowControl/>
        <w:shd w:val="clear" w:color="auto" w:fill="FFFFFF"/>
        <w:spacing w:line="360" w:lineRule="auto"/>
        <w:ind w:firstLine="480"/>
        <w:rPr>
          <w:rFonts w:hAnsi="宋体"/>
          <w:sz w:val="21"/>
          <w:szCs w:val="21"/>
          <w:lang w:val="zh-CN"/>
        </w:rPr>
      </w:pPr>
      <w:r>
        <w:rPr>
          <w:rFonts w:hint="eastAsia" w:hAnsi="宋体"/>
          <w:sz w:val="21"/>
          <w:szCs w:val="21"/>
          <w:lang w:val="zh-CN"/>
        </w:rPr>
        <w:t>处理器：32位处理器</w:t>
      </w:r>
    </w:p>
    <w:p>
      <w:pPr>
        <w:widowControl/>
        <w:shd w:val="clear" w:color="auto" w:fill="FFFFFF"/>
        <w:spacing w:line="360" w:lineRule="auto"/>
        <w:ind w:firstLine="480"/>
        <w:rPr>
          <w:rFonts w:hAnsi="宋体"/>
          <w:sz w:val="21"/>
          <w:szCs w:val="21"/>
          <w:lang w:val="zh-CN"/>
        </w:rPr>
      </w:pPr>
      <w:r>
        <w:rPr>
          <w:rFonts w:hint="eastAsia" w:hAnsi="宋体"/>
          <w:sz w:val="21"/>
          <w:szCs w:val="21"/>
          <w:lang w:val="zh-CN"/>
        </w:rPr>
        <w:t>管控门数：4门</w:t>
      </w:r>
    </w:p>
    <w:p>
      <w:pPr>
        <w:widowControl/>
        <w:shd w:val="clear" w:color="auto" w:fill="FFFFFF"/>
        <w:spacing w:line="360" w:lineRule="auto"/>
        <w:ind w:firstLine="480"/>
        <w:rPr>
          <w:rFonts w:hAnsi="宋体"/>
          <w:sz w:val="21"/>
          <w:szCs w:val="21"/>
          <w:lang w:val="zh-CN"/>
        </w:rPr>
      </w:pPr>
      <w:r>
        <w:rPr>
          <w:rFonts w:hint="eastAsia" w:hAnsi="宋体"/>
          <w:sz w:val="21"/>
          <w:szCs w:val="21"/>
          <w:lang w:val="zh-CN"/>
        </w:rPr>
        <w:t>通讯方式：上行TCP/IP、RS485</w:t>
      </w:r>
    </w:p>
    <w:p>
      <w:pPr>
        <w:widowControl/>
        <w:shd w:val="clear" w:color="auto" w:fill="FFFFFF"/>
        <w:spacing w:line="360" w:lineRule="auto"/>
        <w:ind w:firstLine="480"/>
        <w:rPr>
          <w:rFonts w:hAnsi="宋体"/>
          <w:sz w:val="21"/>
          <w:szCs w:val="21"/>
          <w:lang w:val="zh-CN"/>
        </w:rPr>
      </w:pPr>
      <w:r>
        <w:rPr>
          <w:rFonts w:hint="eastAsia" w:hAnsi="宋体"/>
          <w:sz w:val="21"/>
          <w:szCs w:val="21"/>
          <w:lang w:val="zh-CN"/>
        </w:rPr>
        <w:t>读卡器接口：RS485和Wiegand双通讯接口</w:t>
      </w:r>
    </w:p>
    <w:p>
      <w:pPr>
        <w:widowControl/>
        <w:shd w:val="clear" w:color="auto" w:fill="FFFFFF"/>
        <w:spacing w:line="360" w:lineRule="auto"/>
        <w:ind w:firstLine="480"/>
        <w:rPr>
          <w:rFonts w:hAnsi="宋体"/>
          <w:sz w:val="21"/>
          <w:szCs w:val="21"/>
          <w:lang w:val="zh-CN"/>
        </w:rPr>
      </w:pPr>
      <w:r>
        <w:rPr>
          <w:rFonts w:hint="eastAsia" w:hAnsi="宋体"/>
          <w:sz w:val="21"/>
          <w:szCs w:val="21"/>
          <w:lang w:val="zh-CN"/>
        </w:rPr>
        <w:t>存储容量：10万张卡和30万记录存储工作电压：自带机箱和供电电源（AC220V输入），工作电压DC 12V，功耗≤4W（不带负载）</w:t>
      </w:r>
    </w:p>
    <w:p>
      <w:pPr>
        <w:pStyle w:val="4"/>
        <w:numPr>
          <w:ilvl w:val="255"/>
          <w:numId w:val="0"/>
        </w:numPr>
        <w:spacing w:line="360" w:lineRule="auto"/>
        <w:rPr>
          <w:lang w:val="zh-CN"/>
        </w:rPr>
      </w:pPr>
      <w:r>
        <w:rPr>
          <w:rFonts w:hint="eastAsia"/>
          <w:lang w:val="zh-CN"/>
        </w:rPr>
        <w:t>五、图纸（另册）</w:t>
      </w:r>
    </w:p>
    <w:p>
      <w:pPr>
        <w:rPr>
          <w:rFonts w:hAnsi="宋体" w:cs="Times New Roman"/>
          <w:b/>
          <w:lang w:val="zh-CN"/>
        </w:rPr>
      </w:pPr>
    </w:p>
    <w:p>
      <w:pPr>
        <w:spacing w:line="360" w:lineRule="auto"/>
        <w:ind w:firstLine="420" w:firstLineChars="200"/>
        <w:rPr>
          <w:sz w:val="21"/>
          <w:szCs w:val="21"/>
          <w:lang w:val="zh-CN"/>
        </w:rPr>
      </w:pPr>
    </w:p>
    <w:p>
      <w:pPr>
        <w:pStyle w:val="3"/>
        <w:keepNext/>
        <w:keepLines/>
        <w:pageBreakBefore/>
        <w:numPr>
          <w:ilvl w:val="0"/>
          <w:numId w:val="14"/>
        </w:numPr>
        <w:spacing w:line="360" w:lineRule="auto"/>
        <w:jc w:val="center"/>
        <w:rPr>
          <w:rFonts w:hAnsi="宋体"/>
          <w:b/>
          <w:bCs/>
          <w:kern w:val="44"/>
          <w:sz w:val="28"/>
          <w:szCs w:val="28"/>
          <w:lang w:val="zh-CN"/>
        </w:rPr>
      </w:pPr>
      <w:bookmarkStart w:id="150" w:name="_Toc13957"/>
      <w:r>
        <w:rPr>
          <w:rFonts w:hint="eastAsia" w:hAnsi="宋体"/>
          <w:b/>
          <w:bCs/>
          <w:kern w:val="44"/>
          <w:sz w:val="28"/>
          <w:szCs w:val="28"/>
          <w:lang w:val="zh-CN"/>
        </w:rPr>
        <w:t>评标工作大纲</w:t>
      </w:r>
      <w:bookmarkEnd w:id="150"/>
    </w:p>
    <w:p>
      <w:pPr>
        <w:pStyle w:val="21"/>
        <w:spacing w:line="360" w:lineRule="auto"/>
        <w:ind w:firstLine="422" w:firstLineChars="200"/>
        <w:jc w:val="both"/>
        <w:rPr>
          <w:rFonts w:hAnsi="宋体"/>
          <w:sz w:val="21"/>
          <w:szCs w:val="21"/>
        </w:rPr>
      </w:pPr>
      <w:r>
        <w:rPr>
          <w:rFonts w:hint="eastAsia" w:hAnsi="宋体"/>
          <w:sz w:val="21"/>
          <w:szCs w:val="21"/>
        </w:rPr>
        <w:t>一、磋商小组对响应文件进行初审，初审包括资格性审查和符合性审查。</w:t>
      </w:r>
    </w:p>
    <w:tbl>
      <w:tblPr>
        <w:tblStyle w:val="52"/>
        <w:tblW w:w="87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14"/>
        <w:gridCol w:w="5801"/>
        <w:gridCol w:w="12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714" w:type="dxa"/>
            <w:vAlign w:val="center"/>
          </w:tcPr>
          <w:p>
            <w:pPr>
              <w:pStyle w:val="144"/>
              <w:spacing w:before="163" w:beforeLines="50" w:after="163" w:afterLines="50" w:line="360" w:lineRule="auto"/>
              <w:ind w:firstLine="0" w:firstLineChars="0"/>
              <w:jc w:val="center"/>
              <w:rPr>
                <w:rFonts w:ascii="宋体" w:hAnsi="宋体"/>
                <w:b/>
                <w:bCs/>
                <w:szCs w:val="21"/>
              </w:rPr>
            </w:pPr>
            <w:r>
              <w:rPr>
                <w:rFonts w:hint="eastAsia" w:ascii="宋体" w:hAnsi="宋体"/>
                <w:b/>
                <w:bCs/>
                <w:szCs w:val="21"/>
              </w:rPr>
              <w:t>审查项目</w:t>
            </w:r>
          </w:p>
        </w:tc>
        <w:tc>
          <w:tcPr>
            <w:tcW w:w="5801" w:type="dxa"/>
            <w:vAlign w:val="center"/>
          </w:tcPr>
          <w:p>
            <w:pPr>
              <w:pStyle w:val="144"/>
              <w:spacing w:before="163" w:beforeLines="50" w:after="163" w:afterLines="50" w:line="360" w:lineRule="auto"/>
              <w:ind w:firstLine="0" w:firstLineChars="0"/>
              <w:jc w:val="center"/>
              <w:rPr>
                <w:rFonts w:ascii="宋体" w:hAnsi="宋体"/>
                <w:b/>
                <w:bCs/>
                <w:szCs w:val="21"/>
              </w:rPr>
            </w:pPr>
            <w:r>
              <w:rPr>
                <w:rFonts w:hint="eastAsia" w:ascii="宋体" w:hAnsi="宋体"/>
                <w:b/>
                <w:bCs/>
                <w:szCs w:val="21"/>
              </w:rPr>
              <w:t>内容</w:t>
            </w:r>
          </w:p>
        </w:tc>
        <w:tc>
          <w:tcPr>
            <w:tcW w:w="1230" w:type="dxa"/>
          </w:tcPr>
          <w:p>
            <w:pPr>
              <w:pStyle w:val="144"/>
              <w:spacing w:before="163" w:beforeLines="50" w:after="163" w:afterLines="50" w:line="360" w:lineRule="auto"/>
              <w:ind w:firstLine="0" w:firstLineChars="0"/>
              <w:jc w:val="center"/>
              <w:rPr>
                <w:rFonts w:ascii="宋体" w:hAnsi="宋体"/>
                <w:b/>
                <w:bCs/>
                <w:szCs w:val="21"/>
              </w:rPr>
            </w:pPr>
            <w:r>
              <w:rPr>
                <w:rFonts w:hint="eastAsia" w:ascii="宋体" w:hAnsi="宋体"/>
                <w:b/>
                <w:bCs/>
                <w:szCs w:val="21"/>
              </w:rPr>
              <w:t>是否符合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714" w:type="dxa"/>
            <w:vMerge w:val="restart"/>
            <w:vAlign w:val="center"/>
          </w:tcPr>
          <w:p>
            <w:pPr>
              <w:pStyle w:val="144"/>
              <w:spacing w:line="360" w:lineRule="auto"/>
              <w:ind w:firstLine="0" w:firstLineChars="0"/>
              <w:jc w:val="center"/>
              <w:rPr>
                <w:rFonts w:ascii="宋体" w:hAnsi="宋体"/>
                <w:bCs/>
                <w:szCs w:val="21"/>
              </w:rPr>
            </w:pPr>
            <w:r>
              <w:rPr>
                <w:rFonts w:hint="eastAsia" w:ascii="宋体" w:hAnsi="宋体"/>
                <w:bCs/>
                <w:szCs w:val="21"/>
              </w:rPr>
              <w:t>资格性审查</w:t>
            </w:r>
          </w:p>
        </w:tc>
        <w:tc>
          <w:tcPr>
            <w:tcW w:w="5801" w:type="dxa"/>
            <w:vAlign w:val="center"/>
          </w:tcPr>
          <w:p>
            <w:pPr>
              <w:spacing w:line="360" w:lineRule="auto"/>
              <w:rPr>
                <w:rFonts w:hAnsi="宋体"/>
                <w:sz w:val="21"/>
                <w:szCs w:val="21"/>
              </w:rPr>
            </w:pPr>
            <w:r>
              <w:rPr>
                <w:rFonts w:hint="eastAsia" w:hAnsi="宋体"/>
                <w:sz w:val="21"/>
                <w:szCs w:val="21"/>
              </w:rPr>
              <w:t>资格瑕疵</w:t>
            </w:r>
          </w:p>
        </w:tc>
        <w:tc>
          <w:tcPr>
            <w:tcW w:w="1230" w:type="dxa"/>
          </w:tcPr>
          <w:p>
            <w:pPr>
              <w:pStyle w:val="144"/>
              <w:spacing w:line="360" w:lineRule="auto"/>
              <w:ind w:firstLine="0" w:firstLineChars="0"/>
              <w:jc w:val="left"/>
              <w:rPr>
                <w:rFonts w:ascii="宋体" w:hAnsi="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714" w:type="dxa"/>
            <w:vMerge w:val="continue"/>
            <w:vAlign w:val="center"/>
          </w:tcPr>
          <w:p>
            <w:pPr>
              <w:pStyle w:val="144"/>
              <w:spacing w:line="360" w:lineRule="auto"/>
              <w:ind w:firstLine="0" w:firstLineChars="0"/>
              <w:jc w:val="center"/>
              <w:rPr>
                <w:rFonts w:ascii="宋体" w:hAnsi="宋体"/>
                <w:bCs/>
                <w:szCs w:val="21"/>
              </w:rPr>
            </w:pPr>
          </w:p>
        </w:tc>
        <w:tc>
          <w:tcPr>
            <w:tcW w:w="5801" w:type="dxa"/>
            <w:vAlign w:val="center"/>
          </w:tcPr>
          <w:p>
            <w:pPr>
              <w:spacing w:line="360" w:lineRule="auto"/>
              <w:rPr>
                <w:rFonts w:hAnsi="宋体"/>
                <w:sz w:val="21"/>
                <w:szCs w:val="21"/>
              </w:rPr>
            </w:pPr>
            <w:r>
              <w:rPr>
                <w:rFonts w:hint="eastAsia" w:hAnsi="宋体"/>
                <w:sz w:val="21"/>
                <w:szCs w:val="21"/>
              </w:rPr>
              <w:t>磋商保证金瑕疵</w:t>
            </w:r>
          </w:p>
        </w:tc>
        <w:tc>
          <w:tcPr>
            <w:tcW w:w="1230" w:type="dxa"/>
          </w:tcPr>
          <w:p>
            <w:pPr>
              <w:pStyle w:val="144"/>
              <w:spacing w:line="360" w:lineRule="auto"/>
              <w:ind w:firstLine="0" w:firstLineChars="0"/>
              <w:jc w:val="left"/>
              <w:rPr>
                <w:rFonts w:ascii="宋体" w:hAnsi="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714" w:type="dxa"/>
            <w:vMerge w:val="restart"/>
            <w:vAlign w:val="center"/>
          </w:tcPr>
          <w:p>
            <w:pPr>
              <w:pStyle w:val="144"/>
              <w:spacing w:line="360" w:lineRule="auto"/>
              <w:ind w:firstLine="0" w:firstLineChars="0"/>
              <w:jc w:val="center"/>
              <w:rPr>
                <w:rFonts w:ascii="宋体" w:hAnsi="宋体"/>
                <w:bCs/>
                <w:szCs w:val="21"/>
              </w:rPr>
            </w:pPr>
            <w:r>
              <w:rPr>
                <w:rFonts w:hint="eastAsia" w:ascii="宋体" w:hAnsi="宋体"/>
                <w:bCs/>
                <w:szCs w:val="21"/>
              </w:rPr>
              <w:t>符合性审查</w:t>
            </w:r>
          </w:p>
        </w:tc>
        <w:tc>
          <w:tcPr>
            <w:tcW w:w="5801" w:type="dxa"/>
            <w:vAlign w:val="center"/>
          </w:tcPr>
          <w:p>
            <w:pPr>
              <w:spacing w:line="360" w:lineRule="auto"/>
              <w:rPr>
                <w:rFonts w:hAnsi="宋体"/>
                <w:sz w:val="21"/>
                <w:szCs w:val="21"/>
              </w:rPr>
            </w:pPr>
            <w:r>
              <w:rPr>
                <w:rFonts w:hint="eastAsia" w:hAnsi="宋体"/>
                <w:sz w:val="21"/>
                <w:szCs w:val="21"/>
              </w:rPr>
              <w:t>供应商代表身份审查</w:t>
            </w:r>
          </w:p>
        </w:tc>
        <w:tc>
          <w:tcPr>
            <w:tcW w:w="1230" w:type="dxa"/>
          </w:tcPr>
          <w:p>
            <w:pPr>
              <w:pStyle w:val="144"/>
              <w:spacing w:line="360" w:lineRule="auto"/>
              <w:ind w:firstLine="0" w:firstLineChars="0"/>
              <w:jc w:val="left"/>
              <w:rPr>
                <w:rFonts w:ascii="宋体" w:hAnsi="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714" w:type="dxa"/>
            <w:vMerge w:val="continue"/>
            <w:vAlign w:val="center"/>
          </w:tcPr>
          <w:p>
            <w:pPr>
              <w:pStyle w:val="144"/>
              <w:spacing w:line="360" w:lineRule="auto"/>
              <w:ind w:firstLine="0" w:firstLineChars="0"/>
              <w:jc w:val="center"/>
              <w:rPr>
                <w:rFonts w:ascii="宋体" w:hAnsi="宋体"/>
                <w:bCs/>
                <w:szCs w:val="21"/>
              </w:rPr>
            </w:pPr>
          </w:p>
        </w:tc>
        <w:tc>
          <w:tcPr>
            <w:tcW w:w="5801" w:type="dxa"/>
            <w:vAlign w:val="center"/>
          </w:tcPr>
          <w:p>
            <w:pPr>
              <w:spacing w:line="360" w:lineRule="auto"/>
              <w:rPr>
                <w:rFonts w:hAnsi="宋体"/>
                <w:sz w:val="21"/>
                <w:szCs w:val="21"/>
              </w:rPr>
            </w:pPr>
            <w:r>
              <w:rPr>
                <w:rFonts w:hint="eastAsia" w:hAnsi="宋体"/>
                <w:sz w:val="21"/>
                <w:szCs w:val="21"/>
              </w:rPr>
              <w:t>磋商响应文件的有效性、完整性瑕疵</w:t>
            </w:r>
          </w:p>
        </w:tc>
        <w:tc>
          <w:tcPr>
            <w:tcW w:w="1230" w:type="dxa"/>
          </w:tcPr>
          <w:p>
            <w:pPr>
              <w:pStyle w:val="144"/>
              <w:spacing w:line="360" w:lineRule="auto"/>
              <w:ind w:firstLine="0" w:firstLineChars="0"/>
              <w:jc w:val="left"/>
              <w:rPr>
                <w:rFonts w:ascii="宋体" w:hAnsi="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714" w:type="dxa"/>
            <w:vMerge w:val="continue"/>
            <w:vAlign w:val="center"/>
          </w:tcPr>
          <w:p>
            <w:pPr>
              <w:pStyle w:val="144"/>
              <w:spacing w:line="360" w:lineRule="auto"/>
              <w:ind w:firstLine="0" w:firstLineChars="0"/>
              <w:jc w:val="center"/>
              <w:rPr>
                <w:rFonts w:ascii="宋体" w:hAnsi="宋体"/>
                <w:bCs/>
                <w:szCs w:val="21"/>
              </w:rPr>
            </w:pPr>
          </w:p>
        </w:tc>
        <w:tc>
          <w:tcPr>
            <w:tcW w:w="5801" w:type="dxa"/>
            <w:vAlign w:val="center"/>
          </w:tcPr>
          <w:p>
            <w:pPr>
              <w:spacing w:line="360" w:lineRule="auto"/>
              <w:rPr>
                <w:rFonts w:hAnsi="宋体"/>
                <w:sz w:val="21"/>
                <w:szCs w:val="21"/>
              </w:rPr>
            </w:pPr>
            <w:r>
              <w:rPr>
                <w:rFonts w:hint="eastAsia" w:hAnsi="宋体"/>
                <w:sz w:val="21"/>
                <w:szCs w:val="21"/>
              </w:rPr>
              <w:t>技术响应瑕疵</w:t>
            </w:r>
          </w:p>
        </w:tc>
        <w:tc>
          <w:tcPr>
            <w:tcW w:w="1230" w:type="dxa"/>
          </w:tcPr>
          <w:p>
            <w:pPr>
              <w:pStyle w:val="144"/>
              <w:spacing w:line="360" w:lineRule="auto"/>
              <w:ind w:firstLine="0" w:firstLineChars="0"/>
              <w:jc w:val="left"/>
              <w:rPr>
                <w:rFonts w:ascii="宋体" w:hAnsi="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714" w:type="dxa"/>
            <w:vMerge w:val="continue"/>
            <w:vAlign w:val="center"/>
          </w:tcPr>
          <w:p>
            <w:pPr>
              <w:pStyle w:val="144"/>
              <w:spacing w:line="360" w:lineRule="auto"/>
              <w:ind w:firstLine="0" w:firstLineChars="0"/>
              <w:jc w:val="center"/>
              <w:rPr>
                <w:rFonts w:ascii="宋体" w:hAnsi="宋体"/>
                <w:bCs/>
                <w:szCs w:val="21"/>
              </w:rPr>
            </w:pPr>
          </w:p>
        </w:tc>
        <w:tc>
          <w:tcPr>
            <w:tcW w:w="5801" w:type="dxa"/>
            <w:vAlign w:val="center"/>
          </w:tcPr>
          <w:p>
            <w:pPr>
              <w:spacing w:line="360" w:lineRule="auto"/>
              <w:rPr>
                <w:rFonts w:hAnsi="宋体"/>
                <w:sz w:val="21"/>
                <w:szCs w:val="21"/>
              </w:rPr>
            </w:pPr>
            <w:r>
              <w:rPr>
                <w:rFonts w:hint="eastAsia" w:hAnsi="宋体"/>
                <w:sz w:val="21"/>
                <w:szCs w:val="21"/>
              </w:rPr>
              <w:t>商务响应瑕疵</w:t>
            </w:r>
          </w:p>
        </w:tc>
        <w:tc>
          <w:tcPr>
            <w:tcW w:w="1230" w:type="dxa"/>
          </w:tcPr>
          <w:p>
            <w:pPr>
              <w:pStyle w:val="144"/>
              <w:spacing w:line="360" w:lineRule="auto"/>
              <w:ind w:firstLine="0" w:firstLineChars="0"/>
              <w:jc w:val="left"/>
              <w:rPr>
                <w:rFonts w:ascii="宋体" w:hAnsi="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714" w:type="dxa"/>
            <w:vMerge w:val="continue"/>
            <w:vAlign w:val="center"/>
          </w:tcPr>
          <w:p>
            <w:pPr>
              <w:pStyle w:val="144"/>
              <w:spacing w:line="360" w:lineRule="auto"/>
              <w:ind w:firstLine="0" w:firstLineChars="0"/>
              <w:jc w:val="center"/>
              <w:rPr>
                <w:rFonts w:ascii="宋体" w:hAnsi="宋体"/>
                <w:bCs/>
                <w:szCs w:val="21"/>
              </w:rPr>
            </w:pPr>
          </w:p>
        </w:tc>
        <w:tc>
          <w:tcPr>
            <w:tcW w:w="5801" w:type="dxa"/>
            <w:vAlign w:val="center"/>
          </w:tcPr>
          <w:p>
            <w:pPr>
              <w:spacing w:line="360" w:lineRule="auto"/>
              <w:rPr>
                <w:rFonts w:hAnsi="宋体"/>
                <w:sz w:val="21"/>
                <w:szCs w:val="21"/>
              </w:rPr>
            </w:pPr>
            <w:r>
              <w:rPr>
                <w:rFonts w:hint="eastAsia" w:hAnsi="宋体"/>
                <w:sz w:val="21"/>
                <w:szCs w:val="21"/>
              </w:rPr>
              <w:t>报价</w:t>
            </w:r>
          </w:p>
        </w:tc>
        <w:tc>
          <w:tcPr>
            <w:tcW w:w="1230" w:type="dxa"/>
          </w:tcPr>
          <w:p>
            <w:pPr>
              <w:pStyle w:val="144"/>
              <w:spacing w:line="360" w:lineRule="auto"/>
              <w:ind w:firstLine="0" w:firstLineChars="0"/>
              <w:jc w:val="left"/>
              <w:rPr>
                <w:rFonts w:ascii="宋体" w:hAnsi="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714" w:type="dxa"/>
            <w:vMerge w:val="continue"/>
            <w:vAlign w:val="center"/>
          </w:tcPr>
          <w:p>
            <w:pPr>
              <w:pStyle w:val="144"/>
              <w:spacing w:line="360" w:lineRule="auto"/>
              <w:ind w:firstLine="0" w:firstLineChars="0"/>
              <w:jc w:val="center"/>
              <w:rPr>
                <w:rFonts w:ascii="宋体" w:hAnsi="宋体"/>
                <w:bCs/>
                <w:szCs w:val="21"/>
              </w:rPr>
            </w:pPr>
          </w:p>
        </w:tc>
        <w:tc>
          <w:tcPr>
            <w:tcW w:w="5801" w:type="dxa"/>
            <w:vAlign w:val="center"/>
          </w:tcPr>
          <w:p>
            <w:pPr>
              <w:spacing w:line="360" w:lineRule="auto"/>
              <w:rPr>
                <w:rFonts w:hAnsi="宋体"/>
                <w:sz w:val="21"/>
                <w:szCs w:val="21"/>
              </w:rPr>
            </w:pPr>
            <w:r>
              <w:rPr>
                <w:rFonts w:hint="eastAsia" w:hAnsi="宋体"/>
                <w:sz w:val="21"/>
                <w:szCs w:val="21"/>
              </w:rPr>
              <w:t>违规行为</w:t>
            </w:r>
          </w:p>
        </w:tc>
        <w:tc>
          <w:tcPr>
            <w:tcW w:w="1230" w:type="dxa"/>
          </w:tcPr>
          <w:p>
            <w:pPr>
              <w:pStyle w:val="144"/>
              <w:spacing w:line="360" w:lineRule="auto"/>
              <w:ind w:firstLine="0" w:firstLineChars="0"/>
              <w:jc w:val="left"/>
              <w:rPr>
                <w:rFonts w:ascii="宋体" w:hAnsi="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714" w:type="dxa"/>
            <w:vMerge w:val="continue"/>
            <w:vAlign w:val="center"/>
          </w:tcPr>
          <w:p>
            <w:pPr>
              <w:pStyle w:val="144"/>
              <w:spacing w:line="360" w:lineRule="auto"/>
              <w:ind w:firstLine="0" w:firstLineChars="0"/>
              <w:jc w:val="center"/>
              <w:rPr>
                <w:rFonts w:ascii="宋体" w:hAnsi="宋体"/>
                <w:bCs/>
                <w:szCs w:val="21"/>
              </w:rPr>
            </w:pPr>
          </w:p>
        </w:tc>
        <w:tc>
          <w:tcPr>
            <w:tcW w:w="5801" w:type="dxa"/>
            <w:vAlign w:val="center"/>
          </w:tcPr>
          <w:p>
            <w:pPr>
              <w:spacing w:line="360" w:lineRule="auto"/>
              <w:rPr>
                <w:rFonts w:hAnsi="宋体"/>
                <w:sz w:val="21"/>
                <w:szCs w:val="21"/>
              </w:rPr>
            </w:pPr>
            <w:r>
              <w:rPr>
                <w:rFonts w:hint="eastAsia" w:hAnsi="宋体"/>
                <w:sz w:val="21"/>
                <w:szCs w:val="21"/>
              </w:rPr>
              <w:t>法律法规及磋商文件中规定的其它情形。</w:t>
            </w:r>
          </w:p>
        </w:tc>
        <w:tc>
          <w:tcPr>
            <w:tcW w:w="1230" w:type="dxa"/>
          </w:tcPr>
          <w:p>
            <w:pPr>
              <w:pStyle w:val="144"/>
              <w:spacing w:line="360" w:lineRule="auto"/>
              <w:ind w:firstLine="0" w:firstLineChars="0"/>
              <w:jc w:val="left"/>
              <w:rPr>
                <w:rFonts w:ascii="宋体" w:hAnsi="宋体"/>
                <w:bCs/>
                <w:szCs w:val="21"/>
              </w:rPr>
            </w:pPr>
          </w:p>
        </w:tc>
      </w:tr>
    </w:tbl>
    <w:p>
      <w:pPr>
        <w:pStyle w:val="21"/>
        <w:spacing w:line="360" w:lineRule="auto"/>
        <w:ind w:firstLine="420" w:firstLineChars="200"/>
        <w:jc w:val="left"/>
        <w:rPr>
          <w:rFonts w:hAnsi="宋体"/>
          <w:b w:val="0"/>
          <w:bCs w:val="0"/>
          <w:sz w:val="21"/>
          <w:szCs w:val="21"/>
        </w:rPr>
      </w:pPr>
      <w:r>
        <w:rPr>
          <w:rFonts w:hint="eastAsia" w:hAnsi="宋体"/>
          <w:b w:val="0"/>
          <w:bCs w:val="0"/>
          <w:sz w:val="21"/>
          <w:szCs w:val="21"/>
        </w:rPr>
        <w:t>（一）资格性检查</w:t>
      </w:r>
    </w:p>
    <w:p>
      <w:pPr>
        <w:pStyle w:val="21"/>
        <w:spacing w:line="360" w:lineRule="auto"/>
        <w:ind w:firstLine="420" w:firstLineChars="200"/>
        <w:jc w:val="left"/>
        <w:rPr>
          <w:rFonts w:hAnsi="宋体"/>
          <w:b w:val="0"/>
          <w:bCs w:val="0"/>
          <w:sz w:val="21"/>
          <w:szCs w:val="21"/>
        </w:rPr>
      </w:pPr>
      <w:r>
        <w:rPr>
          <w:rFonts w:hint="eastAsia" w:hAnsi="宋体"/>
          <w:b w:val="0"/>
          <w:bCs w:val="0"/>
          <w:sz w:val="21"/>
          <w:szCs w:val="21"/>
        </w:rPr>
        <w:t>1) 资格瑕疵</w:t>
      </w:r>
    </w:p>
    <w:p>
      <w:pPr>
        <w:pStyle w:val="21"/>
        <w:spacing w:line="360" w:lineRule="auto"/>
        <w:ind w:firstLine="420" w:firstLineChars="200"/>
        <w:jc w:val="left"/>
        <w:rPr>
          <w:rFonts w:hAnsi="宋体"/>
          <w:b w:val="0"/>
          <w:bCs w:val="0"/>
          <w:sz w:val="21"/>
          <w:szCs w:val="21"/>
        </w:rPr>
      </w:pPr>
      <w:r>
        <w:rPr>
          <w:rFonts w:hint="eastAsia" w:hAnsi="宋体"/>
          <w:b w:val="0"/>
          <w:bCs w:val="0"/>
          <w:sz w:val="21"/>
          <w:szCs w:val="21"/>
        </w:rPr>
        <w:t>包括但不限于：①资格证明文件未提供或不符合磋商文件要求的；②供应商与采购人、采购代理机构有利害关系的。</w:t>
      </w:r>
    </w:p>
    <w:p>
      <w:pPr>
        <w:pStyle w:val="21"/>
        <w:spacing w:line="360" w:lineRule="auto"/>
        <w:ind w:firstLine="420" w:firstLineChars="200"/>
        <w:jc w:val="left"/>
        <w:rPr>
          <w:rFonts w:hAnsi="宋体"/>
          <w:b w:val="0"/>
          <w:bCs w:val="0"/>
          <w:sz w:val="21"/>
          <w:szCs w:val="21"/>
        </w:rPr>
      </w:pPr>
      <w:r>
        <w:rPr>
          <w:rFonts w:hint="eastAsia" w:hAnsi="宋体"/>
          <w:b w:val="0"/>
          <w:bCs w:val="0"/>
          <w:sz w:val="21"/>
          <w:szCs w:val="21"/>
        </w:rPr>
        <w:t>2) 磋商保证金瑕疵</w:t>
      </w:r>
    </w:p>
    <w:p>
      <w:pPr>
        <w:pStyle w:val="21"/>
        <w:spacing w:line="360" w:lineRule="auto"/>
        <w:ind w:firstLine="420" w:firstLineChars="200"/>
        <w:jc w:val="left"/>
        <w:rPr>
          <w:rFonts w:hAnsi="宋体"/>
          <w:b w:val="0"/>
          <w:bCs w:val="0"/>
          <w:sz w:val="21"/>
          <w:szCs w:val="21"/>
        </w:rPr>
      </w:pPr>
      <w:r>
        <w:rPr>
          <w:rFonts w:hint="eastAsia" w:hAnsi="宋体"/>
          <w:b w:val="0"/>
          <w:bCs w:val="0"/>
          <w:sz w:val="21"/>
          <w:szCs w:val="21"/>
        </w:rPr>
        <w:t>包括但不限于：①供应商未提交磋商文件保证金或金额不足；②提交方式、提交时间不符合采购要求；③磋商文件保证金有效期不符合采购要求的。</w:t>
      </w:r>
    </w:p>
    <w:p>
      <w:pPr>
        <w:pStyle w:val="21"/>
        <w:spacing w:line="360" w:lineRule="auto"/>
        <w:ind w:firstLine="420" w:firstLineChars="200"/>
        <w:jc w:val="left"/>
        <w:rPr>
          <w:rFonts w:hAnsi="宋体"/>
          <w:b w:val="0"/>
          <w:bCs w:val="0"/>
          <w:sz w:val="21"/>
          <w:szCs w:val="21"/>
        </w:rPr>
      </w:pPr>
      <w:r>
        <w:rPr>
          <w:rFonts w:hint="eastAsia" w:hAnsi="宋体"/>
          <w:b w:val="0"/>
          <w:bCs w:val="0"/>
          <w:sz w:val="21"/>
          <w:szCs w:val="21"/>
        </w:rPr>
        <w:t>（二）符合性检查</w:t>
      </w:r>
    </w:p>
    <w:p>
      <w:pPr>
        <w:pStyle w:val="21"/>
        <w:spacing w:line="360" w:lineRule="auto"/>
        <w:ind w:firstLine="420" w:firstLineChars="200"/>
        <w:jc w:val="left"/>
        <w:rPr>
          <w:rFonts w:hAnsi="宋体"/>
          <w:b w:val="0"/>
          <w:bCs w:val="0"/>
          <w:sz w:val="21"/>
          <w:szCs w:val="21"/>
        </w:rPr>
      </w:pPr>
      <w:r>
        <w:rPr>
          <w:rFonts w:hint="eastAsia" w:hAnsi="宋体"/>
          <w:b w:val="0"/>
          <w:bCs w:val="0"/>
          <w:sz w:val="21"/>
          <w:szCs w:val="21"/>
        </w:rPr>
        <w:t>1) 供应商代表身份审查</w:t>
      </w:r>
    </w:p>
    <w:p>
      <w:pPr>
        <w:pStyle w:val="21"/>
        <w:spacing w:line="360" w:lineRule="auto"/>
        <w:ind w:firstLine="420" w:firstLineChars="200"/>
        <w:jc w:val="left"/>
        <w:rPr>
          <w:rFonts w:hAnsi="宋体"/>
          <w:b w:val="0"/>
          <w:bCs w:val="0"/>
          <w:sz w:val="21"/>
          <w:szCs w:val="21"/>
        </w:rPr>
      </w:pPr>
      <w:r>
        <w:rPr>
          <w:rFonts w:hint="eastAsia" w:hAnsi="宋体"/>
          <w:b w:val="0"/>
          <w:bCs w:val="0"/>
          <w:sz w:val="21"/>
          <w:szCs w:val="21"/>
        </w:rPr>
        <w:t>包括但不限于：①供应商代表未参加开标会；②供应商代表无有效授权；③核对供应商代表身份时，不能提供相应的身份证明或不相符。</w:t>
      </w:r>
    </w:p>
    <w:p>
      <w:pPr>
        <w:pStyle w:val="21"/>
        <w:spacing w:line="360" w:lineRule="auto"/>
        <w:ind w:firstLine="420" w:firstLineChars="200"/>
        <w:jc w:val="left"/>
        <w:rPr>
          <w:rFonts w:hAnsi="宋体"/>
          <w:b w:val="0"/>
          <w:bCs w:val="0"/>
          <w:sz w:val="21"/>
          <w:szCs w:val="21"/>
        </w:rPr>
      </w:pPr>
      <w:r>
        <w:rPr>
          <w:rFonts w:hint="eastAsia" w:hAnsi="宋体"/>
          <w:b w:val="0"/>
          <w:bCs w:val="0"/>
          <w:sz w:val="21"/>
          <w:szCs w:val="21"/>
        </w:rPr>
        <w:t>2) 响应文件的有效性、完整性瑕疵</w:t>
      </w:r>
    </w:p>
    <w:p>
      <w:pPr>
        <w:pStyle w:val="21"/>
        <w:spacing w:line="360" w:lineRule="auto"/>
        <w:ind w:firstLine="420" w:firstLineChars="200"/>
        <w:jc w:val="left"/>
        <w:rPr>
          <w:rFonts w:hAnsi="宋体"/>
          <w:b w:val="0"/>
          <w:bCs w:val="0"/>
          <w:sz w:val="21"/>
          <w:szCs w:val="21"/>
        </w:rPr>
      </w:pPr>
      <w:r>
        <w:rPr>
          <w:rFonts w:hint="eastAsia" w:hAnsi="宋体"/>
          <w:b w:val="0"/>
          <w:bCs w:val="0"/>
          <w:sz w:val="21"/>
          <w:szCs w:val="21"/>
        </w:rPr>
        <w:t>包括但不限于：①响应文件的数量、制作、密封、标记不符合要求；②响应文件无法定代表人或其授权代表签字，或签字人无法定代表人有效授权的；③签字盖章不符合磋商文件要求的；④响应文件内容有严重缺漏项的；⑤报价有严重缺漏项的；⑥响应文件的关键内容字迹模糊、无法辨认的。</w:t>
      </w:r>
    </w:p>
    <w:p>
      <w:pPr>
        <w:pStyle w:val="21"/>
        <w:spacing w:line="360" w:lineRule="auto"/>
        <w:ind w:firstLine="420" w:firstLineChars="200"/>
        <w:jc w:val="left"/>
        <w:rPr>
          <w:rFonts w:hAnsi="宋体"/>
          <w:b w:val="0"/>
          <w:bCs w:val="0"/>
          <w:sz w:val="21"/>
          <w:szCs w:val="21"/>
        </w:rPr>
      </w:pPr>
      <w:r>
        <w:rPr>
          <w:rFonts w:hint="eastAsia" w:hAnsi="宋体"/>
          <w:b w:val="0"/>
          <w:bCs w:val="0"/>
          <w:sz w:val="21"/>
          <w:szCs w:val="21"/>
        </w:rPr>
        <w:t>3) 技术响应瑕疵</w:t>
      </w:r>
    </w:p>
    <w:p>
      <w:pPr>
        <w:pStyle w:val="21"/>
        <w:spacing w:line="360" w:lineRule="auto"/>
        <w:ind w:firstLine="420" w:firstLineChars="200"/>
        <w:jc w:val="left"/>
        <w:rPr>
          <w:rFonts w:hAnsi="宋体"/>
          <w:b w:val="0"/>
          <w:bCs w:val="0"/>
          <w:sz w:val="21"/>
          <w:szCs w:val="21"/>
        </w:rPr>
      </w:pPr>
      <w:r>
        <w:rPr>
          <w:rFonts w:hint="eastAsia" w:hAnsi="宋体"/>
          <w:b w:val="0"/>
          <w:bCs w:val="0"/>
          <w:sz w:val="21"/>
          <w:szCs w:val="21"/>
        </w:rPr>
        <w:t>包括但不限于：①响应文件不满足磋商文件中加注星号（★）的主要参数要求或加注星号的主要参数无技术资料支持的；②一般参数超出允许偏离的最大范围或最高项数的；③响应文件技术响应与事实不符或虚假磋商的；</w:t>
      </w:r>
      <w:r>
        <w:rPr>
          <w:rFonts w:hint="eastAsia" w:hAnsi="宋体"/>
          <w:b w:val="0"/>
          <w:bCs w:val="0"/>
          <w:kern w:val="0"/>
          <w:sz w:val="21"/>
          <w:szCs w:val="21"/>
          <w:lang w:val="en-US"/>
        </w:rPr>
        <w:t>④供应商复制磋商文件的技术规格相关部分内容作为其响应文件的一部分的；</w:t>
      </w:r>
      <w:r>
        <w:rPr>
          <w:rFonts w:hint="eastAsia" w:hAnsi="宋体"/>
          <w:b w:val="0"/>
          <w:bCs w:val="0"/>
          <w:sz w:val="21"/>
          <w:szCs w:val="21"/>
        </w:rPr>
        <w:t>⑤《技术规格偏离表》填写不明或不实的；⑥将一个包中的内容拆开磋商的；⑦供应商对同一货物或服务磋商时，同时提供两套或两套以上的磋商方案的；⑧明显不符合技术规格、技术标准要求的；⑨其他未实质性响应磋商文件技术要求的。</w:t>
      </w:r>
    </w:p>
    <w:p>
      <w:pPr>
        <w:pStyle w:val="21"/>
        <w:spacing w:line="360" w:lineRule="auto"/>
        <w:ind w:firstLine="420" w:firstLineChars="200"/>
        <w:jc w:val="left"/>
        <w:rPr>
          <w:rFonts w:hAnsi="宋体"/>
          <w:b w:val="0"/>
          <w:bCs w:val="0"/>
          <w:sz w:val="21"/>
          <w:szCs w:val="21"/>
        </w:rPr>
      </w:pPr>
      <w:r>
        <w:rPr>
          <w:rFonts w:hint="eastAsia" w:hAnsi="宋体"/>
          <w:b w:val="0"/>
          <w:bCs w:val="0"/>
          <w:sz w:val="21"/>
          <w:szCs w:val="21"/>
        </w:rPr>
        <w:t>4) 商务响应瑕疵</w:t>
      </w:r>
    </w:p>
    <w:p>
      <w:pPr>
        <w:pStyle w:val="21"/>
        <w:spacing w:line="360" w:lineRule="auto"/>
        <w:ind w:firstLine="420" w:firstLineChars="200"/>
        <w:jc w:val="left"/>
        <w:rPr>
          <w:rFonts w:hAnsi="宋体"/>
          <w:b w:val="0"/>
          <w:bCs w:val="0"/>
          <w:sz w:val="21"/>
          <w:szCs w:val="21"/>
        </w:rPr>
      </w:pPr>
      <w:r>
        <w:rPr>
          <w:rFonts w:hint="eastAsia" w:hAnsi="宋体"/>
          <w:b w:val="0"/>
          <w:bCs w:val="0"/>
          <w:sz w:val="21"/>
          <w:szCs w:val="21"/>
        </w:rPr>
        <w:t>包括但不限于：①磋商文件加注星号（★）的商务要求负偏离的；②项目完成期未满足磋商文件要求的；③报价超出采购预算的。④《商务条款偏离表》填写不明或不实的；⑤供应商低于成本报价竞标的；⑥响应文件附有采购人不能接受的条件的；⑦其他未实质性响应磋商文件商务要求的。</w:t>
      </w:r>
    </w:p>
    <w:p>
      <w:pPr>
        <w:pStyle w:val="21"/>
        <w:spacing w:line="360" w:lineRule="auto"/>
        <w:ind w:firstLine="420" w:firstLineChars="200"/>
        <w:jc w:val="left"/>
        <w:rPr>
          <w:rFonts w:hAnsi="宋体"/>
          <w:b w:val="0"/>
          <w:bCs w:val="0"/>
          <w:sz w:val="21"/>
          <w:szCs w:val="21"/>
        </w:rPr>
      </w:pPr>
      <w:r>
        <w:rPr>
          <w:rFonts w:hint="eastAsia" w:hAnsi="宋体"/>
          <w:b w:val="0"/>
          <w:bCs w:val="0"/>
          <w:sz w:val="21"/>
          <w:szCs w:val="21"/>
        </w:rPr>
        <w:t>5）报价</w:t>
      </w:r>
    </w:p>
    <w:p>
      <w:pPr>
        <w:pStyle w:val="21"/>
        <w:spacing w:line="360" w:lineRule="auto"/>
        <w:ind w:firstLine="420" w:firstLineChars="200"/>
        <w:jc w:val="left"/>
        <w:rPr>
          <w:rFonts w:hAnsi="宋体"/>
          <w:b w:val="0"/>
          <w:bCs w:val="0"/>
          <w:sz w:val="21"/>
          <w:szCs w:val="21"/>
        </w:rPr>
      </w:pPr>
      <w:r>
        <w:rPr>
          <w:rFonts w:hint="eastAsia" w:hAnsi="宋体"/>
          <w:b w:val="0"/>
          <w:bCs w:val="0"/>
          <w:sz w:val="21"/>
          <w:szCs w:val="21"/>
        </w:rPr>
        <w:t>包括但不限于：报价不得超过本磋商文件明确的项目预算。</w:t>
      </w:r>
    </w:p>
    <w:p>
      <w:pPr>
        <w:pStyle w:val="21"/>
        <w:spacing w:line="360" w:lineRule="auto"/>
        <w:ind w:firstLine="420" w:firstLineChars="200"/>
        <w:jc w:val="left"/>
        <w:rPr>
          <w:rFonts w:hAnsi="宋体"/>
          <w:b w:val="0"/>
          <w:bCs w:val="0"/>
          <w:sz w:val="21"/>
          <w:szCs w:val="21"/>
        </w:rPr>
      </w:pPr>
      <w:r>
        <w:rPr>
          <w:rFonts w:hint="eastAsia" w:hAnsi="宋体"/>
          <w:b w:val="0"/>
          <w:bCs w:val="0"/>
          <w:sz w:val="21"/>
          <w:szCs w:val="21"/>
        </w:rPr>
        <w:t>6）违规行为</w:t>
      </w:r>
    </w:p>
    <w:p>
      <w:pPr>
        <w:pStyle w:val="21"/>
        <w:spacing w:line="360" w:lineRule="auto"/>
        <w:ind w:firstLine="420" w:firstLineChars="200"/>
        <w:jc w:val="left"/>
        <w:rPr>
          <w:rFonts w:hAnsi="宋体"/>
          <w:b w:val="0"/>
          <w:bCs w:val="0"/>
          <w:sz w:val="21"/>
          <w:szCs w:val="21"/>
        </w:rPr>
      </w:pPr>
      <w:r>
        <w:rPr>
          <w:rFonts w:hint="eastAsia" w:hAnsi="宋体"/>
          <w:b w:val="0"/>
          <w:bCs w:val="0"/>
          <w:sz w:val="21"/>
          <w:szCs w:val="21"/>
        </w:rPr>
        <w:t>包括但不限于：①以他人的名义磋商、串通磋商、以行贿手段谋取成交或者以其他弄虚作假方式参与磋商的；②拒不按照要求对响应文件进行澄清、说明或者补正的；③扰乱开标、评标秩序，干扰磋商工作正常进行的。</w:t>
      </w:r>
    </w:p>
    <w:p>
      <w:pPr>
        <w:pStyle w:val="21"/>
        <w:numPr>
          <w:ilvl w:val="0"/>
          <w:numId w:val="15"/>
        </w:numPr>
        <w:spacing w:line="360" w:lineRule="auto"/>
        <w:ind w:firstLine="420" w:firstLineChars="200"/>
        <w:jc w:val="left"/>
        <w:rPr>
          <w:rFonts w:hAnsi="宋体"/>
          <w:b w:val="0"/>
          <w:bCs w:val="0"/>
          <w:sz w:val="21"/>
          <w:szCs w:val="21"/>
        </w:rPr>
      </w:pPr>
      <w:r>
        <w:rPr>
          <w:rFonts w:hint="eastAsia" w:hAnsi="宋体"/>
          <w:b w:val="0"/>
          <w:bCs w:val="0"/>
          <w:sz w:val="21"/>
          <w:szCs w:val="21"/>
        </w:rPr>
        <w:t>法律法规及磋商文件中规定的其它情形。</w:t>
      </w:r>
    </w:p>
    <w:p>
      <w:pPr>
        <w:pStyle w:val="21"/>
        <w:spacing w:line="360" w:lineRule="auto"/>
        <w:jc w:val="left"/>
        <w:rPr>
          <w:rFonts w:hAnsi="宋体"/>
          <w:b w:val="0"/>
          <w:bCs w:val="0"/>
          <w:sz w:val="21"/>
          <w:szCs w:val="21"/>
        </w:rPr>
      </w:pPr>
    </w:p>
    <w:p>
      <w:pPr>
        <w:pStyle w:val="21"/>
        <w:numPr>
          <w:ilvl w:val="0"/>
          <w:numId w:val="11"/>
        </w:numPr>
        <w:spacing w:line="360" w:lineRule="auto"/>
        <w:ind w:firstLine="422" w:firstLineChars="200"/>
        <w:jc w:val="left"/>
        <w:rPr>
          <w:rFonts w:hAnsi="宋体"/>
          <w:sz w:val="21"/>
          <w:szCs w:val="21"/>
        </w:rPr>
      </w:pPr>
      <w:r>
        <w:rPr>
          <w:rFonts w:hint="eastAsia" w:hAnsi="宋体"/>
          <w:sz w:val="21"/>
          <w:szCs w:val="21"/>
        </w:rPr>
        <w:t>经过磋商阶段后，磋商小组按照磋商文件确定的评审标准和方法对提交最后报价的供应商的响应文件进行评审和比较，推荐候选成交供应商，制订评审报告。</w:t>
      </w:r>
    </w:p>
    <w:p>
      <w:pPr>
        <w:pStyle w:val="21"/>
        <w:spacing w:line="360" w:lineRule="auto"/>
        <w:ind w:left="480" w:leftChars="200"/>
        <w:jc w:val="left"/>
        <w:rPr>
          <w:rFonts w:hAnsi="宋体"/>
          <w:sz w:val="21"/>
          <w:szCs w:val="21"/>
        </w:rPr>
      </w:pPr>
    </w:p>
    <w:p>
      <w:pPr>
        <w:pStyle w:val="28"/>
        <w:spacing w:line="360" w:lineRule="auto"/>
        <w:ind w:firstLine="422" w:firstLineChars="200"/>
        <w:rPr>
          <w:rFonts w:hAnsi="宋体"/>
          <w:b/>
          <w:bCs/>
          <w:szCs w:val="21"/>
        </w:rPr>
      </w:pPr>
      <w:r>
        <w:rPr>
          <w:rFonts w:hint="eastAsia" w:hAnsi="宋体"/>
          <w:b/>
          <w:bCs/>
          <w:szCs w:val="21"/>
        </w:rPr>
        <w:t>三、评审因素及评分权重</w:t>
      </w:r>
    </w:p>
    <w:tbl>
      <w:tblPr>
        <w:tblStyle w:val="52"/>
        <w:tblW w:w="90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0"/>
        <w:gridCol w:w="1260"/>
        <w:gridCol w:w="840"/>
        <w:gridCol w:w="62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jc w:val="center"/>
        </w:trPr>
        <w:tc>
          <w:tcPr>
            <w:tcW w:w="730" w:type="dxa"/>
            <w:vAlign w:val="center"/>
          </w:tcPr>
          <w:p>
            <w:pPr>
              <w:pStyle w:val="75"/>
              <w:spacing w:line="360" w:lineRule="auto"/>
              <w:ind w:firstLine="0" w:firstLineChars="0"/>
              <w:jc w:val="center"/>
              <w:rPr>
                <w:rFonts w:ascii="宋体" w:eastAsia="宋体"/>
                <w:b/>
                <w:sz w:val="21"/>
                <w:szCs w:val="21"/>
              </w:rPr>
            </w:pPr>
            <w:r>
              <w:rPr>
                <w:rFonts w:hint="eastAsia" w:ascii="宋体" w:eastAsia="宋体"/>
                <w:b/>
                <w:sz w:val="21"/>
                <w:szCs w:val="21"/>
              </w:rPr>
              <w:t>序号</w:t>
            </w:r>
          </w:p>
        </w:tc>
        <w:tc>
          <w:tcPr>
            <w:tcW w:w="1260" w:type="dxa"/>
            <w:vAlign w:val="center"/>
          </w:tcPr>
          <w:p>
            <w:pPr>
              <w:pStyle w:val="75"/>
              <w:spacing w:line="360" w:lineRule="auto"/>
              <w:ind w:firstLine="0" w:firstLineChars="0"/>
              <w:jc w:val="center"/>
              <w:rPr>
                <w:rFonts w:ascii="宋体" w:eastAsia="宋体"/>
                <w:b/>
                <w:sz w:val="21"/>
                <w:szCs w:val="21"/>
              </w:rPr>
            </w:pPr>
            <w:r>
              <w:rPr>
                <w:rFonts w:hint="eastAsia" w:ascii="宋体" w:eastAsia="宋体"/>
                <w:b/>
                <w:sz w:val="21"/>
                <w:szCs w:val="21"/>
              </w:rPr>
              <w:t>评分内容</w:t>
            </w:r>
          </w:p>
        </w:tc>
        <w:tc>
          <w:tcPr>
            <w:tcW w:w="840" w:type="dxa"/>
            <w:vAlign w:val="center"/>
          </w:tcPr>
          <w:p>
            <w:pPr>
              <w:pStyle w:val="75"/>
              <w:spacing w:line="360" w:lineRule="auto"/>
              <w:ind w:firstLine="0" w:firstLineChars="0"/>
              <w:jc w:val="center"/>
              <w:rPr>
                <w:rFonts w:ascii="宋体" w:eastAsia="宋体"/>
                <w:b/>
                <w:sz w:val="21"/>
                <w:szCs w:val="21"/>
              </w:rPr>
            </w:pPr>
            <w:r>
              <w:rPr>
                <w:rFonts w:hint="eastAsia" w:ascii="宋体" w:eastAsia="宋体"/>
                <w:b/>
                <w:sz w:val="21"/>
                <w:szCs w:val="21"/>
              </w:rPr>
              <w:t>分值</w:t>
            </w:r>
          </w:p>
        </w:tc>
        <w:tc>
          <w:tcPr>
            <w:tcW w:w="6218" w:type="dxa"/>
            <w:vAlign w:val="center"/>
          </w:tcPr>
          <w:p>
            <w:pPr>
              <w:pStyle w:val="75"/>
              <w:spacing w:line="360" w:lineRule="auto"/>
              <w:ind w:left="800" w:firstLine="0" w:firstLineChars="0"/>
              <w:jc w:val="center"/>
              <w:rPr>
                <w:rFonts w:ascii="宋体" w:eastAsia="宋体"/>
                <w:b/>
                <w:sz w:val="21"/>
                <w:szCs w:val="21"/>
              </w:rPr>
            </w:pPr>
            <w:r>
              <w:rPr>
                <w:rFonts w:hint="eastAsia" w:ascii="宋体" w:eastAsia="宋体"/>
                <w:b/>
                <w:sz w:val="21"/>
                <w:szCs w:val="21"/>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9048" w:type="dxa"/>
            <w:gridSpan w:val="4"/>
            <w:vAlign w:val="center"/>
          </w:tcPr>
          <w:p>
            <w:pPr>
              <w:pStyle w:val="75"/>
              <w:spacing w:line="360" w:lineRule="auto"/>
              <w:ind w:left="800" w:firstLine="0" w:firstLineChars="0"/>
              <w:jc w:val="center"/>
              <w:rPr>
                <w:rFonts w:ascii="宋体" w:eastAsia="宋体"/>
                <w:sz w:val="21"/>
                <w:szCs w:val="21"/>
              </w:rPr>
            </w:pPr>
            <w:r>
              <w:rPr>
                <w:rFonts w:hint="eastAsia" w:ascii="宋体" w:eastAsia="宋体"/>
                <w:b/>
                <w:sz w:val="21"/>
                <w:szCs w:val="21"/>
              </w:rPr>
              <w:t>商务评分（20分）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jc w:val="center"/>
        </w:trPr>
        <w:tc>
          <w:tcPr>
            <w:tcW w:w="730" w:type="dxa"/>
            <w:vAlign w:val="center"/>
          </w:tcPr>
          <w:p>
            <w:pPr>
              <w:pStyle w:val="75"/>
              <w:spacing w:line="360" w:lineRule="auto"/>
              <w:ind w:firstLine="0" w:firstLineChars="0"/>
              <w:jc w:val="center"/>
              <w:rPr>
                <w:rFonts w:ascii="宋体" w:eastAsia="宋体"/>
                <w:sz w:val="21"/>
                <w:szCs w:val="21"/>
              </w:rPr>
            </w:pPr>
            <w:r>
              <w:rPr>
                <w:rFonts w:hint="eastAsia" w:ascii="宋体" w:eastAsia="宋体"/>
                <w:sz w:val="21"/>
                <w:szCs w:val="21"/>
              </w:rPr>
              <w:t>1</w:t>
            </w:r>
          </w:p>
        </w:tc>
        <w:tc>
          <w:tcPr>
            <w:tcW w:w="1260" w:type="dxa"/>
            <w:vAlign w:val="center"/>
          </w:tcPr>
          <w:p>
            <w:pPr>
              <w:pStyle w:val="75"/>
              <w:spacing w:line="360" w:lineRule="auto"/>
              <w:ind w:firstLine="0" w:firstLineChars="0"/>
              <w:jc w:val="center"/>
              <w:rPr>
                <w:rFonts w:ascii="宋体" w:eastAsia="宋体"/>
                <w:sz w:val="21"/>
                <w:szCs w:val="21"/>
              </w:rPr>
            </w:pPr>
            <w:r>
              <w:rPr>
                <w:rFonts w:hint="eastAsia" w:ascii="宋体" w:eastAsia="宋体"/>
                <w:sz w:val="21"/>
                <w:szCs w:val="21"/>
              </w:rPr>
              <w:t>财务状况</w:t>
            </w:r>
          </w:p>
        </w:tc>
        <w:tc>
          <w:tcPr>
            <w:tcW w:w="840" w:type="dxa"/>
            <w:vAlign w:val="center"/>
          </w:tcPr>
          <w:p>
            <w:pPr>
              <w:pStyle w:val="75"/>
              <w:spacing w:line="360" w:lineRule="auto"/>
              <w:ind w:firstLine="0" w:firstLineChars="0"/>
              <w:jc w:val="center"/>
              <w:rPr>
                <w:rFonts w:ascii="宋体" w:eastAsia="宋体"/>
                <w:sz w:val="21"/>
                <w:szCs w:val="21"/>
              </w:rPr>
            </w:pPr>
            <w:r>
              <w:rPr>
                <w:rFonts w:hint="eastAsia" w:ascii="宋体" w:eastAsia="宋体"/>
                <w:sz w:val="21"/>
                <w:szCs w:val="21"/>
              </w:rPr>
              <w:t>3分</w:t>
            </w:r>
          </w:p>
        </w:tc>
        <w:tc>
          <w:tcPr>
            <w:tcW w:w="6218" w:type="dxa"/>
            <w:vAlign w:val="center"/>
          </w:tcPr>
          <w:p>
            <w:pPr>
              <w:pStyle w:val="75"/>
              <w:spacing w:line="360" w:lineRule="auto"/>
              <w:ind w:firstLine="0" w:firstLineChars="0"/>
              <w:rPr>
                <w:rFonts w:ascii="宋体" w:eastAsia="宋体"/>
                <w:sz w:val="21"/>
                <w:szCs w:val="21"/>
              </w:rPr>
            </w:pPr>
            <w:r>
              <w:rPr>
                <w:rFonts w:hint="eastAsia" w:ascii="宋体" w:eastAsia="宋体"/>
                <w:bCs/>
                <w:sz w:val="21"/>
                <w:szCs w:val="21"/>
              </w:rPr>
              <w:t>根据供应商2017年1月1日至2019年12月31日的财务状况进行综合评审，三年盈利的得3分，两年盈利的得2分，一年盈利的得1分，其他情况得不得分。（提供经会计师事务所审计的财务报告复印件加盖公章）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3" w:hRule="atLeast"/>
          <w:jc w:val="center"/>
        </w:trPr>
        <w:tc>
          <w:tcPr>
            <w:tcW w:w="730" w:type="dxa"/>
            <w:vAlign w:val="center"/>
          </w:tcPr>
          <w:p>
            <w:pPr>
              <w:pStyle w:val="75"/>
              <w:spacing w:line="360" w:lineRule="auto"/>
              <w:ind w:firstLine="0" w:firstLineChars="0"/>
              <w:jc w:val="center"/>
              <w:rPr>
                <w:rFonts w:ascii="宋体" w:eastAsia="宋体"/>
                <w:sz w:val="21"/>
                <w:szCs w:val="21"/>
              </w:rPr>
            </w:pPr>
            <w:r>
              <w:rPr>
                <w:rFonts w:hint="eastAsia" w:ascii="宋体" w:eastAsia="宋体"/>
                <w:sz w:val="21"/>
                <w:szCs w:val="21"/>
              </w:rPr>
              <w:t>2</w:t>
            </w:r>
          </w:p>
        </w:tc>
        <w:tc>
          <w:tcPr>
            <w:tcW w:w="1260" w:type="dxa"/>
            <w:vAlign w:val="center"/>
          </w:tcPr>
          <w:p>
            <w:pPr>
              <w:pStyle w:val="75"/>
              <w:spacing w:line="360" w:lineRule="auto"/>
              <w:ind w:firstLine="0" w:firstLineChars="0"/>
              <w:jc w:val="center"/>
              <w:rPr>
                <w:rFonts w:ascii="宋体" w:eastAsia="宋体"/>
                <w:sz w:val="21"/>
                <w:szCs w:val="21"/>
              </w:rPr>
            </w:pPr>
            <w:r>
              <w:rPr>
                <w:rFonts w:hint="eastAsia" w:ascii="宋体" w:eastAsia="宋体"/>
                <w:sz w:val="21"/>
                <w:szCs w:val="21"/>
              </w:rPr>
              <w:t>企业信誉</w:t>
            </w:r>
          </w:p>
        </w:tc>
        <w:tc>
          <w:tcPr>
            <w:tcW w:w="840" w:type="dxa"/>
            <w:vAlign w:val="center"/>
          </w:tcPr>
          <w:p>
            <w:pPr>
              <w:widowControl/>
              <w:spacing w:line="360" w:lineRule="auto"/>
              <w:ind w:left="-434" w:leftChars="-181"/>
              <w:jc w:val="center"/>
              <w:rPr>
                <w:rFonts w:hAnsi="宋体"/>
                <w:sz w:val="21"/>
                <w:szCs w:val="21"/>
              </w:rPr>
            </w:pPr>
            <w:r>
              <w:rPr>
                <w:rFonts w:hint="eastAsia" w:hAnsi="宋体"/>
                <w:sz w:val="21"/>
                <w:szCs w:val="21"/>
              </w:rPr>
              <w:t>7分</w:t>
            </w:r>
          </w:p>
        </w:tc>
        <w:tc>
          <w:tcPr>
            <w:tcW w:w="6218" w:type="dxa"/>
            <w:vAlign w:val="center"/>
          </w:tcPr>
          <w:p>
            <w:pPr>
              <w:snapToGrid w:val="0"/>
              <w:spacing w:line="360" w:lineRule="auto"/>
              <w:rPr>
                <w:rFonts w:hAnsi="宋体"/>
                <w:sz w:val="21"/>
                <w:szCs w:val="21"/>
              </w:rPr>
            </w:pPr>
            <w:r>
              <w:rPr>
                <w:rFonts w:hint="eastAsia" w:hAnsi="宋体"/>
                <w:sz w:val="21"/>
                <w:szCs w:val="21"/>
              </w:rPr>
              <w:t>（1）供应商具有由国家认证认可监督管理部门批准设立的认证机构颁发并在有效期内的：①质量管理体系认证证书；②环境管理体系认证证书；③职业健康管理体系认证证书；④信息安全管理体系认证证书。以上证书每一个得1分，满分4分；无不得分。</w:t>
            </w:r>
          </w:p>
          <w:p>
            <w:pPr>
              <w:snapToGrid w:val="0"/>
              <w:spacing w:line="360" w:lineRule="auto"/>
              <w:rPr>
                <w:rFonts w:hAnsi="宋体"/>
                <w:sz w:val="21"/>
                <w:szCs w:val="21"/>
              </w:rPr>
            </w:pPr>
            <w:r>
              <w:rPr>
                <w:rFonts w:hint="eastAsia" w:hAnsi="宋体"/>
                <w:sz w:val="21"/>
                <w:szCs w:val="21"/>
              </w:rPr>
              <w:t>（2）2017年以来供应商获得市级或以上工商部门颁发的守合同重信用证书或重合同守信用证书，其中三年得3分，其中两年得2分，一年得1分，无不得分。</w:t>
            </w:r>
          </w:p>
          <w:p>
            <w:pPr>
              <w:pStyle w:val="2"/>
              <w:rPr>
                <w:sz w:val="21"/>
                <w:szCs w:val="21"/>
              </w:rPr>
            </w:pPr>
            <w:r>
              <w:rPr>
                <w:rFonts w:hint="eastAsia" w:ascii="宋体"/>
                <w:bCs w:val="0"/>
                <w:sz w:val="21"/>
                <w:szCs w:val="21"/>
              </w:rPr>
              <w:t>（提供相关证明材料复印件加盖公章）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730" w:type="dxa"/>
            <w:vAlign w:val="center"/>
          </w:tcPr>
          <w:p>
            <w:pPr>
              <w:pStyle w:val="75"/>
              <w:spacing w:line="360" w:lineRule="auto"/>
              <w:ind w:firstLine="0" w:firstLineChars="0"/>
              <w:jc w:val="center"/>
              <w:rPr>
                <w:rFonts w:ascii="宋体" w:eastAsia="宋体"/>
                <w:sz w:val="21"/>
                <w:szCs w:val="21"/>
              </w:rPr>
            </w:pPr>
            <w:r>
              <w:rPr>
                <w:rFonts w:hint="eastAsia" w:ascii="宋体" w:eastAsia="宋体"/>
                <w:sz w:val="21"/>
                <w:szCs w:val="21"/>
              </w:rPr>
              <w:t>3</w:t>
            </w:r>
          </w:p>
        </w:tc>
        <w:tc>
          <w:tcPr>
            <w:tcW w:w="1260" w:type="dxa"/>
            <w:vAlign w:val="center"/>
          </w:tcPr>
          <w:p>
            <w:pPr>
              <w:pStyle w:val="75"/>
              <w:spacing w:line="360" w:lineRule="auto"/>
              <w:ind w:firstLine="0" w:firstLineChars="0"/>
              <w:jc w:val="center"/>
              <w:rPr>
                <w:rFonts w:ascii="宋体" w:eastAsia="宋体"/>
                <w:sz w:val="21"/>
                <w:szCs w:val="21"/>
              </w:rPr>
            </w:pPr>
            <w:r>
              <w:rPr>
                <w:rFonts w:hint="eastAsia" w:ascii="宋体" w:eastAsia="宋体"/>
                <w:sz w:val="21"/>
                <w:szCs w:val="21"/>
              </w:rPr>
              <w:t>业绩</w:t>
            </w:r>
          </w:p>
        </w:tc>
        <w:tc>
          <w:tcPr>
            <w:tcW w:w="840" w:type="dxa"/>
            <w:vAlign w:val="center"/>
          </w:tcPr>
          <w:p>
            <w:pPr>
              <w:snapToGrid w:val="0"/>
              <w:spacing w:line="360" w:lineRule="auto"/>
              <w:rPr>
                <w:rFonts w:hAnsi="宋体"/>
                <w:sz w:val="21"/>
                <w:szCs w:val="21"/>
              </w:rPr>
            </w:pPr>
            <w:r>
              <w:rPr>
                <w:rFonts w:hint="eastAsia" w:hAnsi="宋体"/>
                <w:sz w:val="21"/>
                <w:szCs w:val="21"/>
              </w:rPr>
              <w:t>10分</w:t>
            </w:r>
          </w:p>
        </w:tc>
        <w:tc>
          <w:tcPr>
            <w:tcW w:w="6218" w:type="dxa"/>
            <w:vAlign w:val="center"/>
          </w:tcPr>
          <w:p>
            <w:pPr>
              <w:snapToGrid w:val="0"/>
              <w:spacing w:line="360" w:lineRule="auto"/>
              <w:rPr>
                <w:rFonts w:hAnsi="宋体"/>
                <w:sz w:val="21"/>
                <w:szCs w:val="21"/>
              </w:rPr>
            </w:pPr>
            <w:r>
              <w:rPr>
                <w:rFonts w:hint="eastAsia" w:hAnsi="宋体"/>
                <w:sz w:val="21"/>
                <w:szCs w:val="21"/>
              </w:rPr>
              <w:t>2017年</w:t>
            </w:r>
            <w:r>
              <w:rPr>
                <w:rFonts w:hint="eastAsia"/>
                <w:bCs/>
                <w:sz w:val="21"/>
                <w:szCs w:val="21"/>
              </w:rPr>
              <w:t>9月1日</w:t>
            </w:r>
            <w:r>
              <w:rPr>
                <w:rFonts w:hint="eastAsia" w:hAnsi="宋体"/>
                <w:sz w:val="21"/>
                <w:szCs w:val="21"/>
              </w:rPr>
              <w:t>至</w:t>
            </w:r>
            <w:r>
              <w:rPr>
                <w:rFonts w:hint="eastAsia"/>
                <w:bCs/>
                <w:sz w:val="21"/>
                <w:szCs w:val="21"/>
              </w:rPr>
              <w:t>2020年9月1日（以合同签订时间为准）</w:t>
            </w:r>
            <w:r>
              <w:rPr>
                <w:rFonts w:hint="eastAsia" w:hAnsi="宋体"/>
                <w:sz w:val="21"/>
                <w:szCs w:val="21"/>
              </w:rPr>
              <w:t>，供应商具有</w:t>
            </w:r>
            <w:r>
              <w:rPr>
                <w:rFonts w:hint="eastAsia" w:hAnsi="宋体"/>
                <w:bCs/>
                <w:sz w:val="21"/>
                <w:szCs w:val="21"/>
              </w:rPr>
              <w:t>同等规模或以上</w:t>
            </w:r>
            <w:r>
              <w:rPr>
                <w:rFonts w:hint="eastAsia" w:hAnsi="宋体"/>
                <w:sz w:val="21"/>
                <w:szCs w:val="21"/>
              </w:rPr>
              <w:t>系统集成或智能化（含综合布线或监控系统）建设类项目业绩，每个有效业绩得2分，满分10分。</w:t>
            </w:r>
          </w:p>
          <w:p>
            <w:pPr>
              <w:pStyle w:val="144"/>
              <w:snapToGrid w:val="0"/>
              <w:spacing w:line="360" w:lineRule="auto"/>
              <w:ind w:firstLine="210" w:firstLineChars="100"/>
              <w:rPr>
                <w:rFonts w:hAnsi="宋体"/>
                <w:szCs w:val="21"/>
              </w:rPr>
            </w:pPr>
            <w:r>
              <w:rPr>
                <w:rFonts w:hint="eastAsia" w:hAnsi="宋体"/>
                <w:szCs w:val="21"/>
              </w:rPr>
              <w:t>说明：同等规模是指项目总建筑面积达6万平方米或以上；或合同金额达150万元以上。</w:t>
            </w:r>
          </w:p>
          <w:p>
            <w:pPr>
              <w:snapToGrid w:val="0"/>
              <w:spacing w:line="360" w:lineRule="auto"/>
              <w:ind w:firstLine="210" w:firstLineChars="100"/>
              <w:rPr>
                <w:rFonts w:hAnsi="宋体"/>
                <w:sz w:val="21"/>
                <w:szCs w:val="21"/>
              </w:rPr>
            </w:pPr>
            <w:r>
              <w:rPr>
                <w:rFonts w:hint="eastAsia" w:ascii="Calibri" w:hAnsi="宋体"/>
                <w:kern w:val="2"/>
                <w:sz w:val="21"/>
                <w:szCs w:val="21"/>
              </w:rPr>
              <w:t>（须提供业绩的合同复印件以及与项目相关的发票或完税证明等材料加盖公章。</w:t>
            </w:r>
            <w:r>
              <w:rPr>
                <w:rFonts w:hint="eastAsia" w:hAnsi="宋体"/>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jc w:val="center"/>
        </w:trPr>
        <w:tc>
          <w:tcPr>
            <w:tcW w:w="9048" w:type="dxa"/>
            <w:gridSpan w:val="4"/>
            <w:vAlign w:val="center"/>
          </w:tcPr>
          <w:p>
            <w:pPr>
              <w:pStyle w:val="75"/>
              <w:spacing w:line="360" w:lineRule="auto"/>
              <w:ind w:left="800" w:firstLine="0" w:firstLineChars="0"/>
              <w:jc w:val="center"/>
              <w:rPr>
                <w:rFonts w:ascii="宋体" w:eastAsia="宋体"/>
                <w:sz w:val="21"/>
                <w:szCs w:val="21"/>
              </w:rPr>
            </w:pPr>
            <w:r>
              <w:rPr>
                <w:rFonts w:hint="eastAsia" w:ascii="宋体" w:eastAsia="宋体"/>
                <w:b/>
                <w:sz w:val="21"/>
                <w:szCs w:val="21"/>
              </w:rPr>
              <w:t>技术评分（50分）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4" w:hRule="atLeast"/>
          <w:jc w:val="center"/>
        </w:trPr>
        <w:tc>
          <w:tcPr>
            <w:tcW w:w="730" w:type="dxa"/>
            <w:vAlign w:val="center"/>
          </w:tcPr>
          <w:p>
            <w:pPr>
              <w:jc w:val="center"/>
              <w:rPr>
                <w:rFonts w:hAnsi="宋体"/>
                <w:sz w:val="21"/>
                <w:szCs w:val="21"/>
              </w:rPr>
            </w:pPr>
            <w:r>
              <w:rPr>
                <w:rFonts w:hint="eastAsia" w:hAnsi="宋体"/>
                <w:sz w:val="21"/>
                <w:szCs w:val="21"/>
              </w:rPr>
              <w:t>1</w:t>
            </w:r>
          </w:p>
        </w:tc>
        <w:tc>
          <w:tcPr>
            <w:tcW w:w="1260" w:type="dxa"/>
            <w:vAlign w:val="center"/>
          </w:tcPr>
          <w:p>
            <w:pPr>
              <w:jc w:val="center"/>
              <w:rPr>
                <w:rFonts w:hAnsi="宋体"/>
                <w:sz w:val="21"/>
                <w:szCs w:val="21"/>
              </w:rPr>
            </w:pPr>
            <w:r>
              <w:rPr>
                <w:rFonts w:hint="eastAsia" w:hAnsi="宋体"/>
                <w:sz w:val="21"/>
                <w:szCs w:val="21"/>
              </w:rPr>
              <w:t>设备品牌、档次</w:t>
            </w:r>
          </w:p>
        </w:tc>
        <w:tc>
          <w:tcPr>
            <w:tcW w:w="840" w:type="dxa"/>
            <w:vAlign w:val="center"/>
          </w:tcPr>
          <w:p>
            <w:pPr>
              <w:jc w:val="center"/>
              <w:rPr>
                <w:rFonts w:hAnsi="宋体"/>
                <w:sz w:val="21"/>
                <w:szCs w:val="21"/>
              </w:rPr>
            </w:pPr>
            <w:r>
              <w:rPr>
                <w:rFonts w:hint="eastAsia" w:hAnsi="宋体"/>
                <w:sz w:val="21"/>
                <w:szCs w:val="21"/>
              </w:rPr>
              <w:t>10分</w:t>
            </w:r>
          </w:p>
        </w:tc>
        <w:tc>
          <w:tcPr>
            <w:tcW w:w="6218" w:type="dxa"/>
            <w:vAlign w:val="center"/>
          </w:tcPr>
          <w:p>
            <w:pPr>
              <w:pStyle w:val="144"/>
              <w:ind w:firstLine="0" w:firstLineChars="0"/>
              <w:rPr>
                <w:rFonts w:ascii="宋体" w:hAnsi="宋体"/>
                <w:szCs w:val="21"/>
              </w:rPr>
            </w:pPr>
            <w:r>
              <w:rPr>
                <w:rFonts w:hint="eastAsia" w:ascii="宋体" w:hAnsi="宋体"/>
                <w:szCs w:val="21"/>
              </w:rPr>
              <w:t>根据磋商文件技术需求书提供的参考品牌要求，从供应商提供的设备品牌档次进行横向对比。</w:t>
            </w:r>
          </w:p>
          <w:p>
            <w:pPr>
              <w:pStyle w:val="144"/>
              <w:ind w:firstLine="0" w:firstLineChars="0"/>
              <w:rPr>
                <w:rFonts w:ascii="宋体" w:hAnsi="宋体"/>
                <w:szCs w:val="21"/>
              </w:rPr>
            </w:pPr>
            <w:r>
              <w:rPr>
                <w:rFonts w:hint="eastAsia" w:hAnsi="宋体"/>
                <w:szCs w:val="21"/>
              </w:rPr>
              <w:t>【优】10分：</w:t>
            </w:r>
            <w:r>
              <w:rPr>
                <w:rFonts w:hint="eastAsia" w:ascii="宋体" w:hAnsi="宋体"/>
                <w:szCs w:val="21"/>
              </w:rPr>
              <w:t>完全满足并优于磋商文件要求的；</w:t>
            </w:r>
          </w:p>
          <w:p>
            <w:pPr>
              <w:pStyle w:val="144"/>
              <w:ind w:firstLine="0" w:firstLineChars="0"/>
              <w:rPr>
                <w:rFonts w:ascii="宋体" w:hAnsi="宋体"/>
                <w:szCs w:val="21"/>
              </w:rPr>
            </w:pPr>
            <w:r>
              <w:rPr>
                <w:rFonts w:hint="eastAsia" w:hAnsi="宋体"/>
                <w:szCs w:val="21"/>
              </w:rPr>
              <w:t>【良】7分：</w:t>
            </w:r>
            <w:r>
              <w:rPr>
                <w:rFonts w:hint="eastAsia" w:ascii="宋体" w:hAnsi="宋体"/>
                <w:szCs w:val="21"/>
              </w:rPr>
              <w:t>满足磋商文件要求的；</w:t>
            </w:r>
          </w:p>
          <w:p>
            <w:pPr>
              <w:pStyle w:val="144"/>
              <w:ind w:firstLine="0" w:firstLineChars="0"/>
              <w:rPr>
                <w:rFonts w:ascii="宋体" w:hAnsi="宋体"/>
                <w:szCs w:val="21"/>
              </w:rPr>
            </w:pPr>
            <w:r>
              <w:rPr>
                <w:rFonts w:hint="eastAsia" w:hAnsi="宋体"/>
                <w:szCs w:val="21"/>
              </w:rPr>
              <w:t>【中】3分：</w:t>
            </w:r>
            <w:r>
              <w:rPr>
                <w:rFonts w:hint="eastAsia" w:ascii="宋体" w:hAnsi="宋体"/>
                <w:szCs w:val="21"/>
              </w:rPr>
              <w:t>基本满足磋商文件要求的；</w:t>
            </w:r>
          </w:p>
          <w:p>
            <w:pPr>
              <w:pStyle w:val="144"/>
              <w:ind w:firstLine="0" w:firstLineChars="0"/>
              <w:rPr>
                <w:rFonts w:hAnsi="宋体"/>
                <w:szCs w:val="21"/>
              </w:rPr>
            </w:pPr>
            <w:r>
              <w:rPr>
                <w:rFonts w:hint="eastAsia" w:hAnsi="宋体"/>
                <w:szCs w:val="21"/>
              </w:rPr>
              <w:t>【差】0分：</w:t>
            </w:r>
            <w:r>
              <w:rPr>
                <w:rFonts w:hint="eastAsia" w:ascii="宋体" w:hAnsi="宋体"/>
                <w:szCs w:val="21"/>
              </w:rPr>
              <w:t>达不到磋商文件要求的不得分。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4" w:hRule="atLeast"/>
          <w:jc w:val="center"/>
        </w:trPr>
        <w:tc>
          <w:tcPr>
            <w:tcW w:w="730" w:type="dxa"/>
            <w:vAlign w:val="center"/>
          </w:tcPr>
          <w:p>
            <w:pPr>
              <w:jc w:val="center"/>
              <w:rPr>
                <w:rFonts w:hAnsi="宋体"/>
                <w:sz w:val="21"/>
                <w:szCs w:val="21"/>
              </w:rPr>
            </w:pPr>
            <w:r>
              <w:rPr>
                <w:rFonts w:hint="eastAsia" w:hAnsi="宋体"/>
                <w:sz w:val="21"/>
                <w:szCs w:val="21"/>
              </w:rPr>
              <w:t>2</w:t>
            </w:r>
          </w:p>
        </w:tc>
        <w:tc>
          <w:tcPr>
            <w:tcW w:w="1260" w:type="dxa"/>
            <w:vAlign w:val="center"/>
          </w:tcPr>
          <w:p>
            <w:pPr>
              <w:pStyle w:val="144"/>
              <w:ind w:firstLine="0" w:firstLineChars="0"/>
              <w:rPr>
                <w:rFonts w:hAnsi="宋体"/>
                <w:szCs w:val="21"/>
              </w:rPr>
            </w:pPr>
            <w:r>
              <w:rPr>
                <w:rFonts w:hint="eastAsia" w:ascii="宋体" w:hAnsi="宋体"/>
                <w:szCs w:val="21"/>
              </w:rPr>
              <w:t>系统设备配置</w:t>
            </w:r>
          </w:p>
        </w:tc>
        <w:tc>
          <w:tcPr>
            <w:tcW w:w="840" w:type="dxa"/>
            <w:vAlign w:val="center"/>
          </w:tcPr>
          <w:p>
            <w:pPr>
              <w:pStyle w:val="75"/>
              <w:spacing w:line="240" w:lineRule="auto"/>
              <w:ind w:firstLine="0" w:firstLineChars="0"/>
              <w:jc w:val="center"/>
              <w:rPr>
                <w:sz w:val="21"/>
                <w:szCs w:val="21"/>
              </w:rPr>
            </w:pPr>
            <w:r>
              <w:rPr>
                <w:rFonts w:hint="eastAsia" w:ascii="宋体" w:eastAsia="宋体"/>
                <w:sz w:val="21"/>
                <w:szCs w:val="21"/>
              </w:rPr>
              <w:t>10分</w:t>
            </w:r>
          </w:p>
        </w:tc>
        <w:tc>
          <w:tcPr>
            <w:tcW w:w="6218" w:type="dxa"/>
          </w:tcPr>
          <w:p>
            <w:pPr>
              <w:pStyle w:val="144"/>
              <w:ind w:firstLine="0" w:firstLineChars="0"/>
              <w:rPr>
                <w:rFonts w:ascii="宋体" w:hAnsi="宋体"/>
                <w:szCs w:val="21"/>
              </w:rPr>
            </w:pPr>
            <w:r>
              <w:rPr>
                <w:rFonts w:hint="eastAsia" w:ascii="宋体" w:hAnsi="宋体"/>
                <w:szCs w:val="21"/>
              </w:rPr>
              <w:t>根据磋商文件技术需求书中的系统设备配置要求，从供应商提供的软硬件配置进行横向对比。</w:t>
            </w:r>
          </w:p>
          <w:p>
            <w:pPr>
              <w:rPr>
                <w:rFonts w:hAnsi="宋体"/>
                <w:sz w:val="21"/>
                <w:szCs w:val="21"/>
              </w:rPr>
            </w:pPr>
            <w:r>
              <w:rPr>
                <w:rFonts w:hint="eastAsia" w:hAnsi="宋体"/>
                <w:sz w:val="21"/>
                <w:szCs w:val="21"/>
              </w:rPr>
              <w:t>【优】10分：完全满足并优于磋商文件要求的；</w:t>
            </w:r>
          </w:p>
          <w:p>
            <w:pPr>
              <w:rPr>
                <w:rFonts w:hAnsi="宋体"/>
                <w:sz w:val="21"/>
                <w:szCs w:val="21"/>
              </w:rPr>
            </w:pPr>
            <w:r>
              <w:rPr>
                <w:rFonts w:hint="eastAsia" w:hAnsi="宋体"/>
                <w:sz w:val="21"/>
                <w:szCs w:val="21"/>
              </w:rPr>
              <w:t>【良】7分：满足磋商文件要求的；</w:t>
            </w:r>
          </w:p>
          <w:p>
            <w:pPr>
              <w:rPr>
                <w:rFonts w:hAnsi="宋体"/>
                <w:sz w:val="21"/>
                <w:szCs w:val="21"/>
              </w:rPr>
            </w:pPr>
            <w:r>
              <w:rPr>
                <w:rFonts w:hint="eastAsia" w:hAnsi="宋体"/>
                <w:sz w:val="21"/>
                <w:szCs w:val="21"/>
              </w:rPr>
              <w:t>【中】3分：基本满足磋商文件要求的；</w:t>
            </w:r>
          </w:p>
          <w:p>
            <w:pPr>
              <w:jc w:val="both"/>
              <w:rPr>
                <w:rFonts w:hAnsi="宋体"/>
                <w:sz w:val="21"/>
                <w:szCs w:val="21"/>
              </w:rPr>
            </w:pPr>
            <w:r>
              <w:rPr>
                <w:rFonts w:hint="eastAsia" w:hAnsi="宋体"/>
                <w:sz w:val="21"/>
                <w:szCs w:val="21"/>
              </w:rPr>
              <w:t>【差】0分：达不到磋商文件要求的不得分。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4" w:hRule="atLeast"/>
          <w:jc w:val="center"/>
        </w:trPr>
        <w:tc>
          <w:tcPr>
            <w:tcW w:w="730" w:type="dxa"/>
            <w:vAlign w:val="center"/>
          </w:tcPr>
          <w:p>
            <w:pPr>
              <w:jc w:val="center"/>
              <w:rPr>
                <w:rFonts w:hAnsi="宋体"/>
                <w:sz w:val="21"/>
                <w:szCs w:val="21"/>
              </w:rPr>
            </w:pPr>
            <w:r>
              <w:rPr>
                <w:rFonts w:hint="eastAsia" w:hAnsi="宋体"/>
                <w:sz w:val="21"/>
                <w:szCs w:val="21"/>
              </w:rPr>
              <w:t>3</w:t>
            </w:r>
          </w:p>
        </w:tc>
        <w:tc>
          <w:tcPr>
            <w:tcW w:w="1260" w:type="dxa"/>
            <w:vAlign w:val="center"/>
          </w:tcPr>
          <w:p>
            <w:pPr>
              <w:jc w:val="center"/>
              <w:rPr>
                <w:rFonts w:hAnsi="宋体"/>
                <w:sz w:val="21"/>
                <w:szCs w:val="21"/>
              </w:rPr>
            </w:pPr>
            <w:r>
              <w:rPr>
                <w:rFonts w:hint="eastAsia" w:hAnsi="宋体"/>
                <w:sz w:val="21"/>
                <w:szCs w:val="21"/>
              </w:rPr>
              <w:t>设备功能及技术指标</w:t>
            </w:r>
          </w:p>
        </w:tc>
        <w:tc>
          <w:tcPr>
            <w:tcW w:w="840" w:type="dxa"/>
            <w:vAlign w:val="center"/>
          </w:tcPr>
          <w:p>
            <w:pPr>
              <w:jc w:val="center"/>
              <w:rPr>
                <w:rFonts w:hAnsi="宋体"/>
                <w:sz w:val="21"/>
                <w:szCs w:val="21"/>
              </w:rPr>
            </w:pPr>
            <w:r>
              <w:rPr>
                <w:rFonts w:hint="eastAsia" w:hAnsi="宋体"/>
                <w:sz w:val="21"/>
                <w:szCs w:val="21"/>
              </w:rPr>
              <w:t>10分</w:t>
            </w:r>
          </w:p>
        </w:tc>
        <w:tc>
          <w:tcPr>
            <w:tcW w:w="6218" w:type="dxa"/>
            <w:vAlign w:val="center"/>
          </w:tcPr>
          <w:p>
            <w:pPr>
              <w:pStyle w:val="144"/>
              <w:ind w:firstLine="0" w:firstLineChars="0"/>
              <w:rPr>
                <w:rFonts w:ascii="宋体" w:hAnsi="宋体"/>
                <w:szCs w:val="21"/>
              </w:rPr>
            </w:pPr>
            <w:r>
              <w:rPr>
                <w:rFonts w:hint="eastAsia" w:ascii="宋体" w:hAnsi="宋体"/>
                <w:szCs w:val="21"/>
              </w:rPr>
              <w:t>根据磋商文件技术需求书中的设备功能及技术参数要求，从供应商提供的设备功能及技术参数进行横向对比。</w:t>
            </w:r>
          </w:p>
          <w:p>
            <w:pPr>
              <w:rPr>
                <w:rFonts w:hAnsi="宋体"/>
                <w:sz w:val="21"/>
                <w:szCs w:val="21"/>
              </w:rPr>
            </w:pPr>
            <w:r>
              <w:rPr>
                <w:rFonts w:hint="eastAsia" w:hAnsi="宋体"/>
                <w:sz w:val="21"/>
                <w:szCs w:val="21"/>
              </w:rPr>
              <w:t>【优】10分：完全满足并优于磋商文件要求的；</w:t>
            </w:r>
          </w:p>
          <w:p>
            <w:pPr>
              <w:pStyle w:val="144"/>
              <w:ind w:firstLine="0" w:firstLineChars="0"/>
              <w:rPr>
                <w:rFonts w:ascii="宋体" w:hAnsi="宋体"/>
                <w:szCs w:val="21"/>
              </w:rPr>
            </w:pPr>
            <w:r>
              <w:rPr>
                <w:rFonts w:hint="eastAsia" w:hAnsi="宋体"/>
                <w:szCs w:val="21"/>
              </w:rPr>
              <w:t>【良】7分：</w:t>
            </w:r>
            <w:r>
              <w:rPr>
                <w:rFonts w:hint="eastAsia" w:ascii="宋体" w:hAnsi="宋体"/>
                <w:szCs w:val="21"/>
              </w:rPr>
              <w:t>满足磋商文件要求的；</w:t>
            </w:r>
          </w:p>
          <w:p>
            <w:pPr>
              <w:pStyle w:val="144"/>
              <w:ind w:firstLine="0" w:firstLineChars="0"/>
              <w:rPr>
                <w:rFonts w:ascii="宋体" w:hAnsi="宋体"/>
                <w:szCs w:val="21"/>
              </w:rPr>
            </w:pPr>
            <w:r>
              <w:rPr>
                <w:rFonts w:hint="eastAsia" w:hAnsi="宋体"/>
                <w:szCs w:val="21"/>
              </w:rPr>
              <w:t>【中】3分：</w:t>
            </w:r>
            <w:r>
              <w:rPr>
                <w:rFonts w:hint="eastAsia" w:ascii="宋体" w:hAnsi="宋体"/>
                <w:szCs w:val="21"/>
              </w:rPr>
              <w:t>基本满足磋商文件要求的；</w:t>
            </w:r>
          </w:p>
          <w:p>
            <w:pPr>
              <w:pStyle w:val="144"/>
              <w:ind w:firstLine="0" w:firstLineChars="0"/>
              <w:rPr>
                <w:rFonts w:hAnsi="宋体"/>
                <w:szCs w:val="21"/>
              </w:rPr>
            </w:pPr>
            <w:r>
              <w:rPr>
                <w:rFonts w:hint="eastAsia" w:hAnsi="宋体"/>
                <w:szCs w:val="21"/>
              </w:rPr>
              <w:t>【差】0分：</w:t>
            </w:r>
            <w:r>
              <w:rPr>
                <w:rFonts w:hint="eastAsia" w:ascii="宋体" w:hAnsi="宋体"/>
                <w:szCs w:val="21"/>
              </w:rPr>
              <w:t>达不到磋商文件要求的不得分。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9" w:hRule="atLeast"/>
          <w:jc w:val="center"/>
        </w:trPr>
        <w:tc>
          <w:tcPr>
            <w:tcW w:w="730" w:type="dxa"/>
            <w:vAlign w:val="center"/>
          </w:tcPr>
          <w:p>
            <w:pPr>
              <w:pStyle w:val="75"/>
              <w:spacing w:line="240" w:lineRule="auto"/>
              <w:ind w:firstLine="0" w:firstLineChars="0"/>
              <w:jc w:val="center"/>
              <w:rPr>
                <w:rFonts w:ascii="宋体" w:eastAsia="宋体"/>
                <w:sz w:val="21"/>
                <w:szCs w:val="21"/>
              </w:rPr>
            </w:pPr>
            <w:r>
              <w:rPr>
                <w:rFonts w:hint="eastAsia" w:ascii="宋体" w:eastAsia="宋体"/>
                <w:sz w:val="21"/>
                <w:szCs w:val="21"/>
              </w:rPr>
              <w:t>4</w:t>
            </w:r>
          </w:p>
        </w:tc>
        <w:tc>
          <w:tcPr>
            <w:tcW w:w="1260" w:type="dxa"/>
            <w:vAlign w:val="center"/>
          </w:tcPr>
          <w:p>
            <w:pPr>
              <w:pStyle w:val="187"/>
              <w:spacing w:line="400" w:lineRule="exact"/>
              <w:jc w:val="center"/>
              <w:rPr>
                <w:rFonts w:hAnsi="宋体"/>
                <w:sz w:val="21"/>
                <w:szCs w:val="21"/>
              </w:rPr>
            </w:pPr>
            <w:r>
              <w:rPr>
                <w:rFonts w:hint="eastAsia" w:hAnsi="宋体"/>
                <w:sz w:val="21"/>
                <w:szCs w:val="21"/>
              </w:rPr>
              <w:t>施工方案及技术保证措施(包括</w:t>
            </w:r>
            <w:r>
              <w:rPr>
                <w:rFonts w:hint="eastAsia" w:hAnsi="宋体"/>
                <w:b/>
                <w:bCs/>
                <w:sz w:val="21"/>
                <w:szCs w:val="21"/>
              </w:rPr>
              <w:t>工艺</w:t>
            </w:r>
            <w:r>
              <w:rPr>
                <w:rFonts w:hint="eastAsia" w:hAnsi="宋体"/>
                <w:sz w:val="21"/>
                <w:szCs w:val="21"/>
              </w:rPr>
              <w:t>、劳动力、主要材料、机械设备保证措施)</w:t>
            </w:r>
          </w:p>
        </w:tc>
        <w:tc>
          <w:tcPr>
            <w:tcW w:w="840" w:type="dxa"/>
            <w:vAlign w:val="center"/>
          </w:tcPr>
          <w:p>
            <w:pPr>
              <w:jc w:val="center"/>
              <w:rPr>
                <w:rFonts w:hAnsi="宋体"/>
                <w:sz w:val="21"/>
                <w:szCs w:val="21"/>
              </w:rPr>
            </w:pPr>
            <w:r>
              <w:rPr>
                <w:rFonts w:hint="eastAsia" w:hAnsi="宋体"/>
                <w:sz w:val="21"/>
                <w:szCs w:val="21"/>
              </w:rPr>
              <w:t>14分</w:t>
            </w:r>
          </w:p>
        </w:tc>
        <w:tc>
          <w:tcPr>
            <w:tcW w:w="6218" w:type="dxa"/>
            <w:vAlign w:val="center"/>
          </w:tcPr>
          <w:p>
            <w:pPr>
              <w:pStyle w:val="187"/>
              <w:spacing w:line="400" w:lineRule="exact"/>
              <w:rPr>
                <w:rFonts w:hAnsi="宋体"/>
                <w:sz w:val="21"/>
                <w:szCs w:val="21"/>
              </w:rPr>
            </w:pPr>
            <w:r>
              <w:rPr>
                <w:rFonts w:hint="eastAsia" w:hAnsi="宋体"/>
                <w:sz w:val="21"/>
                <w:szCs w:val="21"/>
              </w:rPr>
              <w:t>【优】14分：施工方案可行、可靠、先进，针对性强，技术保证措施具体、成熟。根据工艺流程安排劳动力、主要施工材料，主要施工机械组织方案安排非常合理，并充分考虑了本工程施工特点；劳动力投入计划合理可行，满足施工与进度需要，各工种配套齐全，并考虑到施工高峰期备用施工人员等保证人员的到位及调配管理等措施，调配方案切实可行；施工平面布置科学合理。</w:t>
            </w:r>
          </w:p>
          <w:p>
            <w:pPr>
              <w:pStyle w:val="187"/>
              <w:spacing w:line="400" w:lineRule="exact"/>
              <w:rPr>
                <w:rFonts w:hAnsi="宋体"/>
                <w:sz w:val="21"/>
                <w:szCs w:val="21"/>
              </w:rPr>
            </w:pPr>
            <w:r>
              <w:rPr>
                <w:rFonts w:hint="eastAsia" w:hAnsi="宋体"/>
                <w:sz w:val="21"/>
                <w:szCs w:val="21"/>
              </w:rPr>
              <w:t>【良】11分：施工方案较可行、较可靠、针对性较强，技术保证措施较具体。根据工艺流程安排劳动力、主要施工材料，主要施工机械组织方案安排较为合理，并考虑了本工程施工特点；劳动力投入计划基本可行，基本满足施工与进度需要，各工种配套齐全，并考虑到施工高峰期备用施工人员等保证人员的到位及调配管理等措施，调配方案切实可行；施工平面布置基本合理。</w:t>
            </w:r>
          </w:p>
          <w:p>
            <w:pPr>
              <w:pStyle w:val="187"/>
              <w:spacing w:line="400" w:lineRule="exact"/>
              <w:rPr>
                <w:rFonts w:hAnsi="宋体"/>
                <w:sz w:val="21"/>
                <w:szCs w:val="21"/>
              </w:rPr>
            </w:pPr>
            <w:r>
              <w:rPr>
                <w:rFonts w:hint="eastAsia" w:hAnsi="宋体"/>
                <w:sz w:val="21"/>
                <w:szCs w:val="21"/>
              </w:rPr>
              <w:t>【中】7分：施工方案基本可行、基本可靠，针对性一般，技术保证措施基本具体。劳动力、主要施工材料，主要施工机械组织方案安排考虑了本工程施工特点；劳动力投入计划基本满足施工与进度需要，各工种配套基本齐全，考虑到施工高峰期备用施工人员等保证人员的到位及调配管理等措施；施工平面布置基本可行。</w:t>
            </w:r>
          </w:p>
          <w:p>
            <w:pPr>
              <w:pStyle w:val="187"/>
              <w:spacing w:line="400" w:lineRule="exact"/>
              <w:rPr>
                <w:rFonts w:hAnsi="宋体"/>
                <w:sz w:val="21"/>
                <w:szCs w:val="21"/>
              </w:rPr>
            </w:pPr>
            <w:r>
              <w:rPr>
                <w:rFonts w:hint="eastAsia" w:hAnsi="宋体"/>
                <w:sz w:val="21"/>
                <w:szCs w:val="21"/>
              </w:rPr>
              <w:t>【差】3分：不满足上述条件者。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1" w:hRule="atLeast"/>
          <w:jc w:val="center"/>
        </w:trPr>
        <w:tc>
          <w:tcPr>
            <w:tcW w:w="730" w:type="dxa"/>
            <w:vAlign w:val="center"/>
          </w:tcPr>
          <w:p>
            <w:pPr>
              <w:pStyle w:val="75"/>
              <w:spacing w:line="240" w:lineRule="auto"/>
              <w:ind w:firstLine="0" w:firstLineChars="0"/>
              <w:jc w:val="center"/>
              <w:rPr>
                <w:rFonts w:ascii="宋体" w:eastAsia="宋体"/>
                <w:sz w:val="21"/>
                <w:szCs w:val="21"/>
              </w:rPr>
            </w:pPr>
            <w:r>
              <w:rPr>
                <w:rFonts w:hint="eastAsia" w:ascii="宋体" w:eastAsia="宋体"/>
                <w:sz w:val="21"/>
                <w:szCs w:val="21"/>
              </w:rPr>
              <w:t>5</w:t>
            </w:r>
          </w:p>
        </w:tc>
        <w:tc>
          <w:tcPr>
            <w:tcW w:w="1260" w:type="dxa"/>
            <w:vAlign w:val="center"/>
          </w:tcPr>
          <w:p>
            <w:pPr>
              <w:pStyle w:val="187"/>
              <w:spacing w:line="400" w:lineRule="exact"/>
              <w:jc w:val="center"/>
              <w:rPr>
                <w:rFonts w:hAnsi="宋体"/>
                <w:sz w:val="21"/>
                <w:szCs w:val="21"/>
              </w:rPr>
            </w:pPr>
            <w:r>
              <w:rPr>
                <w:rFonts w:hint="eastAsia" w:hAnsi="宋体"/>
                <w:sz w:val="21"/>
                <w:szCs w:val="21"/>
              </w:rPr>
              <w:t>控制工程质量的检测监测与保证措施</w:t>
            </w:r>
          </w:p>
        </w:tc>
        <w:tc>
          <w:tcPr>
            <w:tcW w:w="840" w:type="dxa"/>
            <w:vAlign w:val="center"/>
          </w:tcPr>
          <w:p>
            <w:pPr>
              <w:jc w:val="center"/>
              <w:rPr>
                <w:rFonts w:hAnsi="宋体"/>
                <w:sz w:val="21"/>
                <w:szCs w:val="21"/>
              </w:rPr>
            </w:pPr>
            <w:r>
              <w:rPr>
                <w:rFonts w:hint="eastAsia" w:hAnsi="宋体"/>
                <w:sz w:val="21"/>
                <w:szCs w:val="21"/>
              </w:rPr>
              <w:t>3分</w:t>
            </w:r>
          </w:p>
        </w:tc>
        <w:tc>
          <w:tcPr>
            <w:tcW w:w="6218" w:type="dxa"/>
            <w:vAlign w:val="center"/>
          </w:tcPr>
          <w:p>
            <w:pPr>
              <w:pStyle w:val="187"/>
              <w:spacing w:line="400" w:lineRule="exact"/>
              <w:rPr>
                <w:rFonts w:hAnsi="宋体"/>
                <w:sz w:val="21"/>
                <w:szCs w:val="21"/>
              </w:rPr>
            </w:pPr>
            <w:r>
              <w:rPr>
                <w:rFonts w:hint="eastAsia" w:hAnsi="宋体"/>
                <w:sz w:val="21"/>
                <w:szCs w:val="21"/>
              </w:rPr>
              <w:t>【优】3分：质量保证体系的完善、合理，质量保证措施制度的科学、有效；工程质量的检测手段与保证措施明确、具体、先进、各项措施落实可行，针对性强，加工和安装现场有健全的检测和施工监测手段；</w:t>
            </w:r>
          </w:p>
          <w:p>
            <w:pPr>
              <w:pStyle w:val="187"/>
              <w:spacing w:line="400" w:lineRule="exact"/>
              <w:rPr>
                <w:rFonts w:hAnsi="宋体"/>
                <w:sz w:val="21"/>
                <w:szCs w:val="21"/>
              </w:rPr>
            </w:pPr>
            <w:r>
              <w:rPr>
                <w:rFonts w:hint="eastAsia" w:hAnsi="宋体"/>
                <w:sz w:val="21"/>
                <w:szCs w:val="21"/>
              </w:rPr>
              <w:t>【良】2分：质量保证体系的合理，质量保证措施制度有效；工程质量检测手段与保证措施较明确、较具体、较先进、各项措施较落实，针对性较强，加工和安装现场有较健全的检测和施工监测手段；</w:t>
            </w:r>
          </w:p>
          <w:p>
            <w:pPr>
              <w:pStyle w:val="187"/>
              <w:spacing w:line="400" w:lineRule="exact"/>
              <w:rPr>
                <w:rFonts w:hAnsi="宋体"/>
                <w:sz w:val="21"/>
                <w:szCs w:val="21"/>
              </w:rPr>
            </w:pPr>
            <w:r>
              <w:rPr>
                <w:rFonts w:hint="eastAsia" w:hAnsi="宋体"/>
                <w:sz w:val="21"/>
                <w:szCs w:val="21"/>
              </w:rPr>
              <w:t>【中】1分：质量保证体系基本合理，质量保证措施制度基本有效；工程质量检测手段与保证措施一般、但对各措施有认识，针对性一般化，加工和安装现场检测和施工监测手段一般；</w:t>
            </w:r>
          </w:p>
          <w:p>
            <w:pPr>
              <w:pStyle w:val="187"/>
              <w:spacing w:line="400" w:lineRule="exact"/>
              <w:rPr>
                <w:rFonts w:hAnsi="宋体"/>
                <w:sz w:val="21"/>
                <w:szCs w:val="21"/>
              </w:rPr>
            </w:pPr>
            <w:r>
              <w:rPr>
                <w:rFonts w:hint="eastAsia" w:hAnsi="宋体"/>
                <w:sz w:val="21"/>
                <w:szCs w:val="21"/>
              </w:rPr>
              <w:t>【差】0分：不满足上述条件者。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1" w:hRule="atLeast"/>
          <w:jc w:val="center"/>
        </w:trPr>
        <w:tc>
          <w:tcPr>
            <w:tcW w:w="730" w:type="dxa"/>
            <w:vAlign w:val="center"/>
          </w:tcPr>
          <w:p>
            <w:pPr>
              <w:pStyle w:val="75"/>
              <w:spacing w:line="240" w:lineRule="auto"/>
              <w:ind w:firstLine="0" w:firstLineChars="0"/>
              <w:jc w:val="center"/>
              <w:rPr>
                <w:rFonts w:ascii="宋体" w:eastAsia="宋体"/>
                <w:sz w:val="21"/>
                <w:szCs w:val="21"/>
              </w:rPr>
            </w:pPr>
            <w:r>
              <w:rPr>
                <w:rFonts w:hint="eastAsia" w:ascii="宋体" w:eastAsia="宋体"/>
                <w:sz w:val="21"/>
                <w:szCs w:val="21"/>
              </w:rPr>
              <w:t>6</w:t>
            </w:r>
          </w:p>
        </w:tc>
        <w:tc>
          <w:tcPr>
            <w:tcW w:w="1260" w:type="dxa"/>
            <w:vAlign w:val="center"/>
          </w:tcPr>
          <w:p>
            <w:pPr>
              <w:pStyle w:val="187"/>
              <w:spacing w:line="400" w:lineRule="exact"/>
              <w:jc w:val="center"/>
              <w:rPr>
                <w:rFonts w:hAnsi="宋体"/>
                <w:sz w:val="21"/>
                <w:szCs w:val="21"/>
              </w:rPr>
            </w:pPr>
            <w:r>
              <w:rPr>
                <w:rFonts w:hint="eastAsia"/>
                <w:sz w:val="21"/>
                <w:szCs w:val="21"/>
              </w:rPr>
              <w:t>售后服务方案</w:t>
            </w:r>
          </w:p>
        </w:tc>
        <w:tc>
          <w:tcPr>
            <w:tcW w:w="840" w:type="dxa"/>
            <w:vAlign w:val="center"/>
          </w:tcPr>
          <w:p>
            <w:pPr>
              <w:jc w:val="center"/>
              <w:rPr>
                <w:rFonts w:hAnsi="宋体"/>
                <w:sz w:val="21"/>
                <w:szCs w:val="21"/>
              </w:rPr>
            </w:pPr>
            <w:r>
              <w:rPr>
                <w:rFonts w:hint="eastAsia"/>
                <w:sz w:val="21"/>
                <w:szCs w:val="21"/>
              </w:rPr>
              <w:t>3分</w:t>
            </w:r>
          </w:p>
        </w:tc>
        <w:tc>
          <w:tcPr>
            <w:tcW w:w="6218" w:type="dxa"/>
            <w:vAlign w:val="center"/>
          </w:tcPr>
          <w:p>
            <w:pPr>
              <w:pStyle w:val="187"/>
              <w:spacing w:line="400" w:lineRule="exact"/>
              <w:rPr>
                <w:rFonts w:hAnsi="宋体"/>
                <w:sz w:val="21"/>
                <w:szCs w:val="21"/>
              </w:rPr>
            </w:pPr>
            <w:r>
              <w:rPr>
                <w:rFonts w:hint="eastAsia"/>
                <w:bCs/>
                <w:sz w:val="21"/>
                <w:szCs w:val="21"/>
              </w:rPr>
              <w:t>根据各供应商提供的售后免费延保承诺进行评审，每延长一年得1分，最高得3分。（须提供单独的承诺函加盖公章。）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jc w:val="center"/>
        </w:trPr>
        <w:tc>
          <w:tcPr>
            <w:tcW w:w="9048" w:type="dxa"/>
            <w:gridSpan w:val="4"/>
            <w:vAlign w:val="center"/>
          </w:tcPr>
          <w:p>
            <w:pPr>
              <w:pStyle w:val="75"/>
              <w:spacing w:line="360" w:lineRule="auto"/>
              <w:ind w:firstLine="0" w:firstLineChars="0"/>
              <w:jc w:val="center"/>
              <w:rPr>
                <w:rFonts w:ascii="宋体" w:eastAsia="宋体"/>
                <w:sz w:val="21"/>
                <w:szCs w:val="21"/>
              </w:rPr>
            </w:pPr>
            <w:r>
              <w:rPr>
                <w:rFonts w:hint="eastAsia" w:ascii="宋体" w:eastAsia="宋体"/>
                <w:b/>
                <w:sz w:val="21"/>
                <w:szCs w:val="21"/>
              </w:rPr>
              <w:t>价格评分（30分）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jc w:val="center"/>
        </w:trPr>
        <w:tc>
          <w:tcPr>
            <w:tcW w:w="730" w:type="dxa"/>
            <w:vAlign w:val="center"/>
          </w:tcPr>
          <w:p>
            <w:pPr>
              <w:pStyle w:val="75"/>
              <w:spacing w:line="360" w:lineRule="auto"/>
              <w:ind w:firstLine="0" w:firstLineChars="0"/>
              <w:jc w:val="center"/>
              <w:rPr>
                <w:rFonts w:ascii="宋体" w:eastAsia="宋体"/>
                <w:sz w:val="21"/>
                <w:szCs w:val="21"/>
              </w:rPr>
            </w:pPr>
            <w:r>
              <w:rPr>
                <w:rFonts w:hint="eastAsia" w:ascii="宋体" w:eastAsia="宋体"/>
                <w:sz w:val="21"/>
                <w:szCs w:val="21"/>
              </w:rPr>
              <w:t>1</w:t>
            </w:r>
          </w:p>
        </w:tc>
        <w:tc>
          <w:tcPr>
            <w:tcW w:w="1260" w:type="dxa"/>
            <w:vAlign w:val="center"/>
          </w:tcPr>
          <w:p>
            <w:pPr>
              <w:pStyle w:val="75"/>
              <w:spacing w:line="360" w:lineRule="auto"/>
              <w:ind w:firstLine="0" w:firstLineChars="0"/>
              <w:jc w:val="center"/>
              <w:rPr>
                <w:rFonts w:ascii="宋体" w:eastAsia="宋体"/>
                <w:sz w:val="21"/>
                <w:szCs w:val="21"/>
              </w:rPr>
            </w:pPr>
            <w:r>
              <w:rPr>
                <w:rFonts w:hint="eastAsia" w:ascii="宋体" w:eastAsia="宋体"/>
                <w:sz w:val="21"/>
                <w:szCs w:val="21"/>
              </w:rPr>
              <w:t>价格</w:t>
            </w:r>
          </w:p>
        </w:tc>
        <w:tc>
          <w:tcPr>
            <w:tcW w:w="840" w:type="dxa"/>
            <w:vAlign w:val="center"/>
          </w:tcPr>
          <w:p>
            <w:pPr>
              <w:pStyle w:val="75"/>
              <w:spacing w:line="360" w:lineRule="auto"/>
              <w:ind w:firstLine="0" w:firstLineChars="0"/>
              <w:jc w:val="center"/>
              <w:rPr>
                <w:rFonts w:ascii="宋体" w:eastAsia="宋体"/>
                <w:sz w:val="21"/>
                <w:szCs w:val="21"/>
              </w:rPr>
            </w:pPr>
            <w:r>
              <w:rPr>
                <w:rFonts w:hint="eastAsia" w:ascii="宋体" w:eastAsia="宋体"/>
                <w:sz w:val="21"/>
                <w:szCs w:val="21"/>
              </w:rPr>
              <w:t>30分</w:t>
            </w:r>
          </w:p>
        </w:tc>
        <w:tc>
          <w:tcPr>
            <w:tcW w:w="6218" w:type="dxa"/>
            <w:vAlign w:val="center"/>
          </w:tcPr>
          <w:p>
            <w:pPr>
              <w:spacing w:line="360" w:lineRule="auto"/>
              <w:rPr>
                <w:rFonts w:hAnsi="宋体"/>
                <w:sz w:val="21"/>
                <w:szCs w:val="21"/>
              </w:rPr>
            </w:pPr>
            <w:r>
              <w:rPr>
                <w:rFonts w:hint="eastAsia" w:hAnsi="宋体"/>
                <w:sz w:val="21"/>
                <w:szCs w:val="21"/>
              </w:rPr>
              <w:t>价格分计算方法：满足磋商文件要求且投标价格最低的投标报价（不含税报价）为评标基准价，其价格分为满分。其他供应商的价格分统一按照下列公式计算：投标报价得分=(评标基准价／投标报价)×价格权重（30%）×100</w:t>
            </w:r>
          </w:p>
        </w:tc>
      </w:tr>
    </w:tbl>
    <w:p>
      <w:pPr>
        <w:widowControl/>
        <w:tabs>
          <w:tab w:val="left" w:pos="907"/>
        </w:tabs>
        <w:snapToGrid w:val="0"/>
        <w:spacing w:line="360" w:lineRule="auto"/>
        <w:rPr>
          <w:rFonts w:hAnsi="宋体"/>
          <w:bCs/>
          <w:sz w:val="21"/>
          <w:szCs w:val="21"/>
        </w:rPr>
      </w:pPr>
      <w:r>
        <w:rPr>
          <w:rFonts w:hint="eastAsia" w:hAnsi="宋体"/>
          <w:bCs/>
          <w:sz w:val="21"/>
          <w:szCs w:val="21"/>
        </w:rPr>
        <w:t>注：（1）上述证明文件均提供加盖公章复印件。</w:t>
      </w:r>
    </w:p>
    <w:p>
      <w:pPr>
        <w:widowControl/>
        <w:tabs>
          <w:tab w:val="left" w:pos="907"/>
        </w:tabs>
        <w:snapToGrid w:val="0"/>
        <w:spacing w:line="360" w:lineRule="auto"/>
        <w:ind w:firstLine="420" w:firstLineChars="200"/>
        <w:rPr>
          <w:rFonts w:hAnsi="宋体"/>
          <w:bCs/>
          <w:sz w:val="21"/>
          <w:szCs w:val="21"/>
        </w:rPr>
      </w:pPr>
      <w:r>
        <w:rPr>
          <w:rFonts w:hint="eastAsia" w:hAnsi="宋体"/>
          <w:bCs/>
          <w:sz w:val="21"/>
          <w:szCs w:val="21"/>
        </w:rPr>
        <w:t>（2）若开标当日评标委员会需要查看以上证明文件原件，供应商请在接到通知后规定时间内携带原件到达评标会场，接受核查，如因迟到或是其他原因不能携原件到达现场接受检查，其造成的所有后果供应商自行承担。</w:t>
      </w:r>
    </w:p>
    <w:p>
      <w:pPr>
        <w:widowControl/>
        <w:spacing w:line="360" w:lineRule="auto"/>
        <w:ind w:firstLine="420" w:firstLineChars="200"/>
        <w:rPr>
          <w:rFonts w:hAnsi="宋体"/>
          <w:bCs/>
          <w:sz w:val="21"/>
          <w:szCs w:val="21"/>
        </w:rPr>
      </w:pPr>
      <w:r>
        <w:rPr>
          <w:rFonts w:hint="eastAsia" w:hAnsi="宋体"/>
          <w:bCs/>
          <w:sz w:val="21"/>
          <w:szCs w:val="21"/>
        </w:rPr>
        <w:t>（3）若中标将在发放成交通知书前逐一核对核查原件，请勿提供虚假、过期材料，否则将依据相关规定严肃处理。</w:t>
      </w:r>
    </w:p>
    <w:p>
      <w:pPr>
        <w:pStyle w:val="28"/>
        <w:spacing w:line="360" w:lineRule="auto"/>
        <w:ind w:firstLine="422" w:firstLineChars="200"/>
        <w:rPr>
          <w:rFonts w:hAnsi="宋体"/>
          <w:b/>
          <w:szCs w:val="21"/>
        </w:rPr>
      </w:pPr>
      <w:r>
        <w:rPr>
          <w:rFonts w:hint="eastAsia" w:hAnsi="宋体"/>
          <w:b/>
          <w:szCs w:val="21"/>
        </w:rPr>
        <w:t>四、技术评审</w:t>
      </w:r>
    </w:p>
    <w:p>
      <w:pPr>
        <w:spacing w:line="360" w:lineRule="auto"/>
        <w:ind w:firstLine="420" w:firstLineChars="200"/>
        <w:rPr>
          <w:rFonts w:hAnsi="宋体"/>
          <w:bCs/>
          <w:sz w:val="21"/>
          <w:szCs w:val="21"/>
        </w:rPr>
      </w:pPr>
      <w:r>
        <w:rPr>
          <w:rFonts w:hint="eastAsia" w:hAnsi="宋体"/>
          <w:sz w:val="21"/>
          <w:szCs w:val="21"/>
        </w:rPr>
        <w:t>1.由磋商小组对所有响应文件的技术部分响应和指标进行审核和分析；对响应文件中文字、图纸说明和指标响应进行评分，填写《技术评分表》。</w:t>
      </w:r>
    </w:p>
    <w:p>
      <w:pPr>
        <w:pStyle w:val="28"/>
        <w:spacing w:line="360" w:lineRule="auto"/>
        <w:ind w:firstLine="420" w:firstLineChars="200"/>
        <w:rPr>
          <w:rFonts w:hAnsi="宋体"/>
          <w:szCs w:val="21"/>
        </w:rPr>
      </w:pPr>
      <w:r>
        <w:rPr>
          <w:rFonts w:hint="eastAsia" w:hAnsi="宋体"/>
          <w:szCs w:val="21"/>
        </w:rPr>
        <w:t>2.将每一个磋商小组成员的评分汇总，取其算术平均值，为该供应商的技术评定得分。</w:t>
      </w:r>
    </w:p>
    <w:p>
      <w:pPr>
        <w:pStyle w:val="28"/>
        <w:spacing w:line="360" w:lineRule="auto"/>
        <w:ind w:firstLine="422" w:firstLineChars="200"/>
        <w:rPr>
          <w:rFonts w:hAnsi="宋体"/>
          <w:b/>
          <w:szCs w:val="21"/>
        </w:rPr>
      </w:pPr>
    </w:p>
    <w:p>
      <w:pPr>
        <w:pStyle w:val="28"/>
        <w:spacing w:line="360" w:lineRule="auto"/>
        <w:ind w:firstLine="422" w:firstLineChars="200"/>
        <w:rPr>
          <w:rFonts w:hAnsi="宋体"/>
          <w:b/>
          <w:szCs w:val="21"/>
        </w:rPr>
      </w:pPr>
      <w:r>
        <w:rPr>
          <w:rFonts w:hint="eastAsia" w:hAnsi="宋体"/>
          <w:b/>
          <w:szCs w:val="21"/>
        </w:rPr>
        <w:t>五、商务评审</w:t>
      </w:r>
    </w:p>
    <w:p>
      <w:pPr>
        <w:pStyle w:val="28"/>
        <w:spacing w:line="360" w:lineRule="auto"/>
        <w:ind w:firstLine="420" w:firstLineChars="200"/>
        <w:rPr>
          <w:rFonts w:hAnsi="宋体"/>
          <w:szCs w:val="21"/>
        </w:rPr>
      </w:pPr>
      <w:r>
        <w:rPr>
          <w:rFonts w:hint="eastAsia" w:hAnsi="宋体"/>
          <w:szCs w:val="21"/>
        </w:rPr>
        <w:t>1.由磋商小组评价每个供应商的商务条件，填写《商务评分表》。</w:t>
      </w:r>
    </w:p>
    <w:p>
      <w:pPr>
        <w:pStyle w:val="28"/>
        <w:spacing w:line="360" w:lineRule="auto"/>
        <w:ind w:firstLine="420" w:firstLineChars="200"/>
        <w:rPr>
          <w:rFonts w:hAnsi="宋体"/>
          <w:szCs w:val="21"/>
        </w:rPr>
      </w:pPr>
      <w:r>
        <w:rPr>
          <w:rFonts w:hint="eastAsia" w:hAnsi="宋体"/>
          <w:szCs w:val="21"/>
        </w:rPr>
        <w:t>2.将每一个磋商小组成员的评分汇总，取其算术平均值，为该供应商的商务得分。</w:t>
      </w:r>
    </w:p>
    <w:p>
      <w:pPr>
        <w:pStyle w:val="28"/>
        <w:spacing w:line="360" w:lineRule="auto"/>
        <w:ind w:firstLine="422" w:firstLineChars="200"/>
        <w:rPr>
          <w:rFonts w:hAnsi="宋体"/>
          <w:b/>
          <w:szCs w:val="21"/>
        </w:rPr>
      </w:pPr>
    </w:p>
    <w:p>
      <w:pPr>
        <w:pStyle w:val="28"/>
        <w:spacing w:line="360" w:lineRule="auto"/>
        <w:ind w:firstLine="422" w:firstLineChars="200"/>
        <w:rPr>
          <w:rFonts w:hAnsi="宋体"/>
          <w:b/>
          <w:szCs w:val="21"/>
        </w:rPr>
      </w:pPr>
      <w:r>
        <w:rPr>
          <w:rFonts w:hint="eastAsia" w:hAnsi="宋体"/>
          <w:b/>
          <w:szCs w:val="21"/>
        </w:rPr>
        <w:t>六、报价评审</w:t>
      </w:r>
    </w:p>
    <w:p>
      <w:pPr>
        <w:tabs>
          <w:tab w:val="left" w:pos="1365"/>
        </w:tabs>
        <w:spacing w:line="360" w:lineRule="auto"/>
        <w:ind w:firstLine="420" w:firstLineChars="200"/>
        <w:rPr>
          <w:rFonts w:hAnsi="宋体"/>
          <w:sz w:val="21"/>
          <w:szCs w:val="21"/>
        </w:rPr>
      </w:pPr>
      <w:r>
        <w:rPr>
          <w:rFonts w:hint="eastAsia" w:hAnsi="宋体"/>
          <w:sz w:val="21"/>
          <w:szCs w:val="21"/>
        </w:rPr>
        <w:t>1.价格核准：磋商小组对有效供应商的详细报价进行复核，审查是否有计算上的错误或供货范围上的错误。对错误修正的原则如下：</w:t>
      </w:r>
    </w:p>
    <w:p>
      <w:pPr>
        <w:tabs>
          <w:tab w:val="left" w:pos="1365"/>
          <w:tab w:val="left" w:pos="1470"/>
        </w:tabs>
        <w:spacing w:line="360" w:lineRule="auto"/>
        <w:ind w:firstLine="420" w:firstLineChars="200"/>
        <w:rPr>
          <w:rFonts w:hAnsi="宋体"/>
          <w:sz w:val="21"/>
          <w:szCs w:val="21"/>
        </w:rPr>
      </w:pPr>
      <w:r>
        <w:rPr>
          <w:rFonts w:hint="eastAsia" w:hAnsi="宋体"/>
          <w:sz w:val="21"/>
          <w:szCs w:val="21"/>
        </w:rPr>
        <w:t>1.1响应文件的大写金额和小写金额不一致的，以大写金额为准；</w:t>
      </w:r>
    </w:p>
    <w:p>
      <w:pPr>
        <w:tabs>
          <w:tab w:val="left" w:pos="1365"/>
          <w:tab w:val="left" w:pos="1470"/>
        </w:tabs>
        <w:spacing w:line="360" w:lineRule="auto"/>
        <w:ind w:firstLine="420" w:firstLineChars="200"/>
        <w:rPr>
          <w:rFonts w:hAnsi="宋体"/>
          <w:sz w:val="21"/>
          <w:szCs w:val="21"/>
        </w:rPr>
      </w:pPr>
      <w:r>
        <w:rPr>
          <w:rFonts w:hint="eastAsia" w:hAnsi="宋体"/>
          <w:sz w:val="21"/>
          <w:szCs w:val="21"/>
        </w:rPr>
        <w:t>1.2当单价和数量的乘积与总价不一致时，以单价为准，并修正总价，但单价金额小数点有明显错误的除外；</w:t>
      </w:r>
    </w:p>
    <w:p>
      <w:pPr>
        <w:tabs>
          <w:tab w:val="left" w:pos="1365"/>
          <w:tab w:val="left" w:pos="1470"/>
        </w:tabs>
        <w:spacing w:line="360" w:lineRule="auto"/>
        <w:ind w:firstLine="420" w:firstLineChars="200"/>
        <w:rPr>
          <w:rFonts w:hAnsi="宋体"/>
          <w:sz w:val="21"/>
          <w:szCs w:val="21"/>
        </w:rPr>
      </w:pPr>
      <w:r>
        <w:rPr>
          <w:rFonts w:hint="eastAsia" w:hAnsi="宋体"/>
          <w:sz w:val="21"/>
          <w:szCs w:val="21"/>
        </w:rPr>
        <w:t>1.3当分项之和与总价不一致时，以单价为准，并修正总价。</w:t>
      </w:r>
    </w:p>
    <w:p>
      <w:pPr>
        <w:tabs>
          <w:tab w:val="left" w:pos="1365"/>
        </w:tabs>
        <w:spacing w:line="360" w:lineRule="auto"/>
        <w:ind w:firstLine="420" w:firstLineChars="200"/>
        <w:rPr>
          <w:rFonts w:hAnsi="宋体"/>
          <w:sz w:val="21"/>
          <w:szCs w:val="21"/>
        </w:rPr>
      </w:pPr>
      <w:r>
        <w:rPr>
          <w:rFonts w:hint="eastAsia" w:hAnsi="宋体"/>
          <w:sz w:val="21"/>
          <w:szCs w:val="21"/>
        </w:rPr>
        <w:t>2.价格评分：</w:t>
      </w:r>
    </w:p>
    <w:p>
      <w:pPr>
        <w:spacing w:line="360" w:lineRule="auto"/>
        <w:ind w:firstLine="420" w:firstLineChars="200"/>
        <w:rPr>
          <w:rFonts w:hAnsi="宋体"/>
          <w:sz w:val="21"/>
          <w:szCs w:val="21"/>
        </w:rPr>
      </w:pPr>
      <w:r>
        <w:rPr>
          <w:rFonts w:hint="eastAsia" w:hAnsi="宋体"/>
          <w:sz w:val="21"/>
          <w:szCs w:val="21"/>
        </w:rPr>
        <w:t>将磋商小组修正后的入围供应商的磋商报价，以最后报价最低的供应商的价格为磋商基准价，定基准价的价格评分。其他磋商报价得分＝价格评分×(磋商基准价／最后磋商报价)。由此算出各供应商的报价得分。</w:t>
      </w:r>
    </w:p>
    <w:p>
      <w:pPr>
        <w:pStyle w:val="28"/>
        <w:tabs>
          <w:tab w:val="left" w:pos="1365"/>
        </w:tabs>
        <w:spacing w:line="360" w:lineRule="auto"/>
        <w:ind w:left="16" w:firstLine="422" w:firstLineChars="200"/>
        <w:rPr>
          <w:rFonts w:hAnsi="宋体"/>
          <w:b/>
          <w:szCs w:val="21"/>
        </w:rPr>
      </w:pPr>
    </w:p>
    <w:p>
      <w:pPr>
        <w:pStyle w:val="28"/>
        <w:tabs>
          <w:tab w:val="left" w:pos="1365"/>
        </w:tabs>
        <w:spacing w:line="360" w:lineRule="auto"/>
        <w:ind w:left="16" w:firstLine="422" w:firstLineChars="200"/>
        <w:rPr>
          <w:rFonts w:hAnsi="宋体"/>
          <w:b/>
          <w:szCs w:val="21"/>
        </w:rPr>
      </w:pPr>
      <w:r>
        <w:rPr>
          <w:rFonts w:hint="eastAsia" w:hAnsi="宋体"/>
          <w:b/>
          <w:szCs w:val="21"/>
        </w:rPr>
        <w:t>七、综合得分的计算</w:t>
      </w:r>
    </w:p>
    <w:p>
      <w:pPr>
        <w:spacing w:line="360" w:lineRule="auto"/>
        <w:ind w:firstLine="420" w:firstLineChars="200"/>
        <w:rPr>
          <w:rFonts w:hAnsi="宋体"/>
          <w:sz w:val="21"/>
          <w:szCs w:val="21"/>
        </w:rPr>
      </w:pPr>
      <w:r>
        <w:rPr>
          <w:rFonts w:hint="eastAsia" w:hAnsi="宋体"/>
          <w:sz w:val="21"/>
          <w:szCs w:val="21"/>
        </w:rPr>
        <w:t>1.综合得分=技术评审得分+商务评审得分+磋商报价得分。</w:t>
      </w:r>
    </w:p>
    <w:p>
      <w:pPr>
        <w:spacing w:line="360" w:lineRule="auto"/>
        <w:ind w:firstLine="420" w:firstLineChars="200"/>
        <w:rPr>
          <w:rFonts w:hAnsi="宋体"/>
          <w:sz w:val="21"/>
          <w:szCs w:val="21"/>
        </w:rPr>
      </w:pPr>
      <w:r>
        <w:rPr>
          <w:rFonts w:hint="eastAsia" w:hAnsi="宋体"/>
          <w:sz w:val="21"/>
          <w:szCs w:val="21"/>
        </w:rPr>
        <w:t>2.将综合得分从高到低排出名次，总分第一名为第一成交候选供应商，第二名为第二成交候选供应商，第三名为第三成交候选供应商（综合得分相同的，按磋商报价得分顺序推荐；综合得分相同且磋商报价得分相同的，按技术得分顺序排列）。</w:t>
      </w:r>
    </w:p>
    <w:p>
      <w:pPr>
        <w:rPr>
          <w:lang w:val="zh-CN"/>
        </w:rPr>
      </w:pPr>
    </w:p>
    <w:p>
      <w:pPr>
        <w:pStyle w:val="3"/>
        <w:keepNext/>
        <w:keepLines/>
        <w:pageBreakBefore/>
        <w:numPr>
          <w:ilvl w:val="0"/>
          <w:numId w:val="14"/>
        </w:numPr>
        <w:spacing w:line="360" w:lineRule="auto"/>
        <w:jc w:val="center"/>
        <w:rPr>
          <w:rFonts w:hAnsi="宋体"/>
          <w:b/>
          <w:bCs/>
        </w:rPr>
      </w:pPr>
      <w:bookmarkStart w:id="151" w:name="_Toc15636"/>
      <w:r>
        <w:rPr>
          <w:rFonts w:hint="eastAsia" w:hAnsi="宋体"/>
          <w:b/>
          <w:bCs/>
          <w:kern w:val="44"/>
          <w:sz w:val="28"/>
          <w:szCs w:val="28"/>
          <w:lang w:val="zh-CN"/>
        </w:rPr>
        <w:t>合同条款格式</w:t>
      </w:r>
      <w:bookmarkEnd w:id="151"/>
    </w:p>
    <w:p/>
    <w:p>
      <w:pPr>
        <w:jc w:val="center"/>
        <w:rPr>
          <w:sz w:val="52"/>
        </w:rPr>
      </w:pPr>
    </w:p>
    <w:p>
      <w:pPr>
        <w:jc w:val="center"/>
        <w:rPr>
          <w:sz w:val="52"/>
        </w:rPr>
      </w:pPr>
      <w:bookmarkStart w:id="152" w:name="_Toc8470"/>
      <w:bookmarkStart w:id="153" w:name="_Toc396137242"/>
      <w:r>
        <w:rPr>
          <w:rFonts w:hint="eastAsia"/>
          <w:sz w:val="52"/>
        </w:rPr>
        <w:t>旗云花园弱电智能化工程施工合同</w:t>
      </w:r>
    </w:p>
    <w:p>
      <w:pPr>
        <w:jc w:val="center"/>
        <w:rPr>
          <w:bCs/>
          <w:sz w:val="28"/>
        </w:rPr>
      </w:pPr>
      <w:r>
        <w:rPr>
          <w:rFonts w:hint="eastAsia"/>
          <w:bCs/>
          <w:sz w:val="28"/>
        </w:rPr>
        <w:t>（参考样板）</w:t>
      </w:r>
    </w:p>
    <w:p>
      <w:pPr>
        <w:tabs>
          <w:tab w:val="left" w:pos="1780"/>
        </w:tabs>
        <w:rPr>
          <w:sz w:val="28"/>
        </w:rPr>
      </w:pPr>
      <w:r>
        <w:rPr>
          <w:sz w:val="28"/>
        </w:rPr>
        <w:tab/>
      </w:r>
    </w:p>
    <w:p>
      <w:pPr>
        <w:tabs>
          <w:tab w:val="left" w:pos="1780"/>
        </w:tabs>
        <w:rPr>
          <w:sz w:val="28"/>
        </w:rPr>
      </w:pPr>
    </w:p>
    <w:p>
      <w:pPr>
        <w:tabs>
          <w:tab w:val="left" w:pos="630"/>
        </w:tabs>
        <w:spacing w:line="1000" w:lineRule="exact"/>
        <w:ind w:firstLine="703" w:firstLineChars="250"/>
        <w:rPr>
          <w:b/>
          <w:sz w:val="28"/>
          <w:u w:val="single"/>
        </w:rPr>
      </w:pPr>
      <w:r>
        <w:rPr>
          <w:rFonts w:hint="eastAsia"/>
          <w:b/>
          <w:sz w:val="28"/>
        </w:rPr>
        <w:t>工程名称：</w:t>
      </w:r>
    </w:p>
    <w:p>
      <w:pPr>
        <w:tabs>
          <w:tab w:val="left" w:pos="630"/>
        </w:tabs>
        <w:spacing w:line="1000" w:lineRule="exact"/>
        <w:ind w:firstLine="703" w:firstLineChars="250"/>
        <w:rPr>
          <w:rFonts w:hAnsi="宋体"/>
          <w:b/>
          <w:sz w:val="28"/>
        </w:rPr>
      </w:pPr>
      <w:r>
        <w:rPr>
          <w:rFonts w:hint="eastAsia"/>
          <w:b/>
          <w:sz w:val="28"/>
        </w:rPr>
        <w:t>工程地点：</w:t>
      </w:r>
      <w:r>
        <w:rPr>
          <w:rFonts w:hint="eastAsia"/>
          <w:b/>
          <w:sz w:val="28"/>
          <w:u w:val="single"/>
        </w:rPr>
        <w:t xml:space="preserve"> </w:t>
      </w:r>
    </w:p>
    <w:p>
      <w:pPr>
        <w:spacing w:line="1000" w:lineRule="exact"/>
        <w:ind w:firstLine="703" w:firstLineChars="250"/>
        <w:rPr>
          <w:rFonts w:hAnsi="宋体"/>
          <w:b/>
          <w:sz w:val="28"/>
        </w:rPr>
      </w:pPr>
    </w:p>
    <w:p>
      <w:pPr>
        <w:tabs>
          <w:tab w:val="left" w:pos="7035"/>
          <w:tab w:val="left" w:pos="7245"/>
          <w:tab w:val="left" w:pos="7455"/>
        </w:tabs>
        <w:spacing w:line="1000" w:lineRule="exact"/>
        <w:ind w:firstLine="703" w:firstLineChars="250"/>
        <w:rPr>
          <w:b/>
          <w:sz w:val="28"/>
          <w:u w:val="single"/>
        </w:rPr>
      </w:pPr>
      <w:r>
        <w:rPr>
          <w:rFonts w:hint="eastAsia"/>
          <w:b/>
          <w:sz w:val="28"/>
        </w:rPr>
        <w:t>发包方（甲方）：</w:t>
      </w:r>
    </w:p>
    <w:p>
      <w:pPr>
        <w:tabs>
          <w:tab w:val="left" w:pos="7140"/>
          <w:tab w:val="left" w:pos="7350"/>
        </w:tabs>
        <w:spacing w:line="1000" w:lineRule="exact"/>
        <w:ind w:firstLine="703" w:firstLineChars="250"/>
        <w:rPr>
          <w:b/>
          <w:sz w:val="28"/>
          <w:u w:val="single"/>
        </w:rPr>
      </w:pPr>
      <w:r>
        <w:rPr>
          <w:rFonts w:hint="eastAsia"/>
          <w:b/>
          <w:sz w:val="28"/>
        </w:rPr>
        <w:t>承包方（乙方）：</w:t>
      </w:r>
      <w:r>
        <w:rPr>
          <w:rFonts w:hint="eastAsia"/>
          <w:b/>
          <w:sz w:val="28"/>
          <w:u w:val="single"/>
        </w:rPr>
        <w:t xml:space="preserve"> </w:t>
      </w:r>
      <w:r>
        <w:rPr>
          <w:b/>
          <w:sz w:val="28"/>
          <w:u w:val="single"/>
        </w:rPr>
        <w:t xml:space="preserve">                     </w:t>
      </w:r>
      <w:r>
        <w:rPr>
          <w:rFonts w:hint="eastAsia"/>
          <w:b/>
          <w:sz w:val="28"/>
          <w:u w:val="single"/>
        </w:rPr>
        <w:t xml:space="preserve"> </w:t>
      </w:r>
    </w:p>
    <w:p>
      <w:pPr>
        <w:spacing w:line="1000" w:lineRule="exact"/>
        <w:ind w:firstLine="703" w:firstLineChars="250"/>
        <w:rPr>
          <w:b/>
          <w:sz w:val="28"/>
        </w:rPr>
      </w:pPr>
    </w:p>
    <w:p>
      <w:pPr>
        <w:tabs>
          <w:tab w:val="left" w:pos="630"/>
        </w:tabs>
        <w:spacing w:line="1000" w:lineRule="exact"/>
        <w:ind w:firstLine="703" w:firstLineChars="250"/>
        <w:rPr>
          <w:b/>
          <w:sz w:val="28"/>
        </w:rPr>
      </w:pPr>
      <w:r>
        <w:rPr>
          <w:rFonts w:hint="eastAsia"/>
          <w:b/>
          <w:sz w:val="28"/>
        </w:rPr>
        <w:t>签约地点：</w:t>
      </w:r>
      <w:r>
        <w:rPr>
          <w:rFonts w:hint="eastAsia"/>
          <w:b/>
          <w:sz w:val="28"/>
          <w:u w:val="single"/>
        </w:rPr>
        <w:t xml:space="preserve">      </w:t>
      </w:r>
    </w:p>
    <w:p>
      <w:pPr>
        <w:tabs>
          <w:tab w:val="left" w:pos="630"/>
        </w:tabs>
        <w:spacing w:line="1000" w:lineRule="exact"/>
        <w:ind w:firstLine="703" w:firstLineChars="250"/>
        <w:rPr>
          <w:b/>
          <w:sz w:val="28"/>
        </w:rPr>
      </w:pPr>
      <w:r>
        <w:rPr>
          <w:rFonts w:hint="eastAsia" w:hAnsi="宋体"/>
          <w:b/>
          <w:sz w:val="28"/>
        </w:rPr>
        <w:t>签订日期：</w:t>
      </w:r>
      <w:r>
        <w:rPr>
          <w:rFonts w:hint="eastAsia"/>
          <w:b/>
          <w:sz w:val="28"/>
          <w:u w:val="single"/>
        </w:rPr>
        <w:t xml:space="preserve">  </w:t>
      </w:r>
      <w:r>
        <w:rPr>
          <w:b/>
          <w:sz w:val="28"/>
          <w:u w:val="single"/>
        </w:rPr>
        <w:t xml:space="preserve"> </w:t>
      </w:r>
      <w:r>
        <w:rPr>
          <w:rFonts w:hint="eastAsia"/>
          <w:b/>
          <w:sz w:val="28"/>
          <w:u w:val="single"/>
        </w:rPr>
        <w:t xml:space="preserve">   </w:t>
      </w:r>
      <w:r>
        <w:rPr>
          <w:rFonts w:hint="eastAsia"/>
          <w:b/>
          <w:sz w:val="28"/>
        </w:rPr>
        <w:t>年</w:t>
      </w:r>
      <w:r>
        <w:rPr>
          <w:rFonts w:hint="eastAsia"/>
          <w:b/>
          <w:sz w:val="28"/>
          <w:u w:val="single"/>
        </w:rPr>
        <w:t xml:space="preserve">  </w:t>
      </w:r>
      <w:r>
        <w:rPr>
          <w:b/>
          <w:sz w:val="28"/>
          <w:u w:val="single"/>
        </w:rPr>
        <w:t xml:space="preserve"> </w:t>
      </w:r>
      <w:r>
        <w:rPr>
          <w:rFonts w:hint="eastAsia"/>
          <w:b/>
          <w:sz w:val="28"/>
          <w:u w:val="single"/>
        </w:rPr>
        <w:t xml:space="preserve">   </w:t>
      </w:r>
      <w:r>
        <w:rPr>
          <w:rFonts w:hint="eastAsia"/>
          <w:b/>
          <w:sz w:val="28"/>
        </w:rPr>
        <w:t>月</w:t>
      </w:r>
      <w:r>
        <w:rPr>
          <w:rFonts w:hint="eastAsia"/>
          <w:b/>
          <w:sz w:val="28"/>
          <w:u w:val="single"/>
        </w:rPr>
        <w:t xml:space="preserve"> </w:t>
      </w:r>
      <w:r>
        <w:rPr>
          <w:b/>
          <w:sz w:val="28"/>
          <w:u w:val="single"/>
        </w:rPr>
        <w:t xml:space="preserve">  </w:t>
      </w:r>
      <w:r>
        <w:rPr>
          <w:rFonts w:hint="eastAsia"/>
          <w:b/>
          <w:sz w:val="28"/>
          <w:u w:val="single"/>
        </w:rPr>
        <w:t xml:space="preserve">  </w:t>
      </w:r>
      <w:r>
        <w:rPr>
          <w:rFonts w:hint="eastAsia"/>
          <w:b/>
          <w:sz w:val="28"/>
        </w:rPr>
        <w:t>日</w:t>
      </w:r>
    </w:p>
    <w:p>
      <w:pPr>
        <w:widowControl/>
        <w:autoSpaceDE/>
        <w:autoSpaceDN/>
        <w:adjustRightInd/>
        <w:rPr>
          <w:sz w:val="28"/>
        </w:rPr>
      </w:pPr>
      <w:r>
        <w:rPr>
          <w:sz w:val="28"/>
        </w:rPr>
        <w:br w:type="page"/>
      </w:r>
    </w:p>
    <w:p>
      <w:pPr>
        <w:spacing w:line="600" w:lineRule="exact"/>
        <w:rPr>
          <w:rFonts w:hAnsi="宋体"/>
          <w:b/>
          <w:sz w:val="21"/>
          <w:szCs w:val="21"/>
        </w:rPr>
      </w:pPr>
      <w:r>
        <w:rPr>
          <w:rFonts w:hint="eastAsia" w:hAnsi="宋体"/>
          <w:b/>
          <w:sz w:val="21"/>
          <w:szCs w:val="21"/>
        </w:rPr>
        <w:t>发包方（甲方）：</w:t>
      </w:r>
    </w:p>
    <w:p>
      <w:pPr>
        <w:spacing w:line="600" w:lineRule="exact"/>
        <w:rPr>
          <w:rFonts w:hAnsi="宋体"/>
          <w:b/>
          <w:sz w:val="21"/>
          <w:szCs w:val="21"/>
          <w:u w:val="single"/>
        </w:rPr>
      </w:pPr>
      <w:r>
        <w:rPr>
          <w:rFonts w:hint="eastAsia" w:hAnsi="宋体"/>
          <w:b/>
          <w:sz w:val="21"/>
          <w:szCs w:val="21"/>
        </w:rPr>
        <w:t>承包方（乙方）：</w:t>
      </w:r>
      <w:r>
        <w:rPr>
          <w:rFonts w:hint="eastAsia" w:hAnsi="宋体"/>
          <w:b/>
          <w:sz w:val="21"/>
          <w:szCs w:val="21"/>
          <w:u w:val="single"/>
        </w:rPr>
        <w:t xml:space="preserve">                        </w:t>
      </w:r>
    </w:p>
    <w:p>
      <w:pPr>
        <w:pStyle w:val="22"/>
        <w:spacing w:line="360" w:lineRule="auto"/>
        <w:ind w:left="0" w:leftChars="0" w:firstLine="420" w:firstLineChars="200"/>
        <w:rPr>
          <w:rFonts w:ascii="宋体" w:hAnsi="宋体"/>
          <w:szCs w:val="21"/>
        </w:rPr>
      </w:pPr>
      <w:r>
        <w:rPr>
          <w:rFonts w:hint="eastAsia" w:ascii="宋体" w:hAnsi="宋体"/>
          <w:szCs w:val="21"/>
        </w:rPr>
        <w:t>根据《中华人民共和国合同法》及国家有关法律、法规的规定，甲、乙双方在平等、自愿、等价有偿、公平、诚实信用的基础上，经友好协商，就甲方委托乙方进行</w:t>
      </w:r>
      <w:r>
        <w:rPr>
          <w:rFonts w:hint="eastAsia" w:ascii="宋体" w:hAnsi="宋体"/>
          <w:szCs w:val="21"/>
          <w:u w:val="single"/>
        </w:rPr>
        <w:t xml:space="preserve">  </w:t>
      </w:r>
      <w:r>
        <w:rPr>
          <w:rFonts w:hint="eastAsia" w:ascii="宋体" w:hAnsi="宋体"/>
          <w:b/>
          <w:bCs/>
          <w:szCs w:val="21"/>
          <w:u w:val="single"/>
        </w:rPr>
        <w:t xml:space="preserve">旗云花园弱电智能化工程施工 </w:t>
      </w:r>
      <w:r>
        <w:rPr>
          <w:rFonts w:hint="eastAsia" w:ascii="宋体" w:hAnsi="宋体"/>
          <w:b/>
          <w:szCs w:val="21"/>
          <w:u w:val="single"/>
        </w:rPr>
        <w:t xml:space="preserve"> </w:t>
      </w:r>
      <w:r>
        <w:rPr>
          <w:rFonts w:hint="eastAsia" w:ascii="宋体" w:hAnsi="宋体"/>
          <w:szCs w:val="21"/>
        </w:rPr>
        <w:t>达成一致意见，特签订本合同，以资信守。</w:t>
      </w:r>
    </w:p>
    <w:p>
      <w:pPr>
        <w:spacing w:line="360" w:lineRule="auto"/>
        <w:ind w:left="-1080" w:leftChars="-450" w:firstLine="949" w:firstLineChars="450"/>
        <w:rPr>
          <w:rFonts w:hAnsi="宋体"/>
          <w:sz w:val="21"/>
          <w:szCs w:val="21"/>
        </w:rPr>
      </w:pPr>
      <w:r>
        <w:rPr>
          <w:rFonts w:hint="eastAsia" w:hAnsi="宋体"/>
          <w:b/>
          <w:sz w:val="21"/>
          <w:szCs w:val="21"/>
        </w:rPr>
        <w:t>第一条</w:t>
      </w:r>
      <w:r>
        <w:rPr>
          <w:rFonts w:hint="eastAsia" w:hAnsi="宋体"/>
          <w:sz w:val="21"/>
          <w:szCs w:val="21"/>
        </w:rPr>
        <w:t xml:space="preserve">  </w:t>
      </w:r>
      <w:r>
        <w:rPr>
          <w:rFonts w:hint="eastAsia" w:hAnsi="宋体"/>
          <w:b/>
          <w:sz w:val="21"/>
          <w:szCs w:val="21"/>
        </w:rPr>
        <w:t>工程概况</w:t>
      </w:r>
    </w:p>
    <w:p>
      <w:pPr>
        <w:spacing w:line="480" w:lineRule="exact"/>
        <w:ind w:firstLine="420" w:firstLineChars="200"/>
        <w:rPr>
          <w:rFonts w:hAnsi="宋体"/>
          <w:sz w:val="21"/>
          <w:szCs w:val="21"/>
        </w:rPr>
      </w:pPr>
      <w:r>
        <w:rPr>
          <w:rFonts w:hint="eastAsia" w:hAnsi="宋体"/>
          <w:sz w:val="21"/>
          <w:szCs w:val="21"/>
        </w:rPr>
        <w:t>1、工程名称：旗云花园弱电智能化工程施工</w:t>
      </w:r>
    </w:p>
    <w:p>
      <w:pPr>
        <w:spacing w:line="480" w:lineRule="exact"/>
        <w:ind w:firstLine="420" w:firstLineChars="200"/>
        <w:rPr>
          <w:rFonts w:hAnsi="宋体"/>
          <w:sz w:val="21"/>
          <w:szCs w:val="21"/>
        </w:rPr>
      </w:pPr>
      <w:r>
        <w:rPr>
          <w:rFonts w:hint="eastAsia" w:hAnsi="宋体"/>
          <w:sz w:val="21"/>
          <w:szCs w:val="21"/>
        </w:rPr>
        <w:t xml:space="preserve">2、工程地点：东莞市 </w:t>
      </w:r>
    </w:p>
    <w:p>
      <w:pPr>
        <w:spacing w:line="360" w:lineRule="auto"/>
        <w:ind w:firstLine="420" w:firstLineChars="200"/>
        <w:rPr>
          <w:rFonts w:hAnsi="宋体"/>
          <w:sz w:val="21"/>
          <w:szCs w:val="21"/>
        </w:rPr>
      </w:pPr>
      <w:r>
        <w:rPr>
          <w:rFonts w:hint="eastAsia" w:hAnsi="宋体"/>
          <w:sz w:val="21"/>
          <w:szCs w:val="21"/>
        </w:rPr>
        <w:t>3、建设规模：85044.94 平方米</w:t>
      </w:r>
    </w:p>
    <w:p>
      <w:pPr>
        <w:spacing w:line="360" w:lineRule="auto"/>
        <w:ind w:left="-1080" w:leftChars="-450" w:firstLine="949" w:firstLineChars="450"/>
        <w:rPr>
          <w:rFonts w:hAnsi="宋体"/>
          <w:b/>
          <w:sz w:val="21"/>
          <w:szCs w:val="21"/>
        </w:rPr>
      </w:pPr>
      <w:r>
        <w:rPr>
          <w:rFonts w:hint="eastAsia" w:hAnsi="宋体"/>
          <w:b/>
          <w:sz w:val="21"/>
          <w:szCs w:val="21"/>
        </w:rPr>
        <w:t>第二条  承包范围和内容</w:t>
      </w:r>
    </w:p>
    <w:p>
      <w:pPr>
        <w:widowControl/>
        <w:shd w:val="clear" w:color="auto" w:fill="FFFFFF"/>
        <w:spacing w:line="360" w:lineRule="auto"/>
        <w:ind w:firstLine="420" w:firstLineChars="200"/>
        <w:rPr>
          <w:rFonts w:hAnsi="宋体"/>
          <w:sz w:val="21"/>
          <w:szCs w:val="21"/>
        </w:rPr>
      </w:pPr>
      <w:r>
        <w:rPr>
          <w:rFonts w:hint="eastAsia" w:hAnsi="宋体"/>
          <w:sz w:val="21"/>
          <w:szCs w:val="21"/>
        </w:rPr>
        <w:t>项目工程范围，本次工程为一次性包干工程：</w:t>
      </w:r>
    </w:p>
    <w:p>
      <w:pPr>
        <w:widowControl/>
        <w:shd w:val="clear" w:color="auto" w:fill="FFFFFF"/>
        <w:spacing w:line="360" w:lineRule="auto"/>
        <w:ind w:firstLine="420" w:firstLineChars="200"/>
        <w:rPr>
          <w:rFonts w:hAnsi="宋体"/>
          <w:b/>
          <w:sz w:val="21"/>
          <w:szCs w:val="21"/>
        </w:rPr>
      </w:pPr>
      <w:r>
        <w:rPr>
          <w:rFonts w:hint="eastAsia" w:hAnsi="宋体"/>
          <w:sz w:val="21"/>
          <w:szCs w:val="21"/>
        </w:rPr>
        <w:t>1、按照智能化工程的施工图设计、供货、安装、独立调试及配合其他专业系统联动调试、培训、验收、保修及相关服务等，包括智能化管理中心建设、背景音乐子系统、视频监控子系统、巡更子系统、车辆出入口系统、五方通话总线、可视对讲子系统</w:t>
      </w:r>
      <w:r>
        <w:rPr>
          <w:rFonts w:hint="eastAsia" w:hAnsi="宋体"/>
          <w:b/>
          <w:sz w:val="21"/>
          <w:szCs w:val="21"/>
        </w:rPr>
        <w:t>。</w:t>
      </w:r>
    </w:p>
    <w:p>
      <w:pPr>
        <w:widowControl/>
        <w:shd w:val="clear" w:color="auto" w:fill="FFFFFF"/>
        <w:spacing w:line="360" w:lineRule="auto"/>
        <w:ind w:firstLine="420" w:firstLineChars="200"/>
        <w:rPr>
          <w:rFonts w:hAnsi="宋体"/>
          <w:bCs/>
          <w:sz w:val="21"/>
          <w:szCs w:val="21"/>
        </w:rPr>
      </w:pPr>
      <w:r>
        <w:rPr>
          <w:rFonts w:hint="eastAsia" w:hAnsi="宋体"/>
          <w:sz w:val="21"/>
          <w:szCs w:val="21"/>
        </w:rPr>
        <w:t>2、其他说明：智能化管理中心建设包含机房装修、UPS电源系统、拼接屏安装、门禁安装、各子系统综合管控系统；背景音乐子系统主要分布在小区地面公共区域；视频监控子系统主要分布在小区地面公共区域、地下室、电梯及电梯出入口等区域；巡更子系统主要分布在地面主要区域及地下室；车辆出入口系统实现地下车库车辆出入管理、用时管控、收费功能；五方通话总线实现管线安装数据传输；可视对讲子系统主要分布在小区主出入口、单元门、室内门禁可视对讲安装。</w:t>
      </w:r>
      <w:r>
        <w:rPr>
          <w:rFonts w:hint="eastAsia" w:hAnsi="宋体"/>
          <w:bCs/>
          <w:sz w:val="21"/>
          <w:szCs w:val="21"/>
        </w:rPr>
        <w:t xml:space="preserve">                                 </w:t>
      </w:r>
    </w:p>
    <w:p>
      <w:pPr>
        <w:pStyle w:val="144"/>
        <w:numPr>
          <w:ilvl w:val="0"/>
          <w:numId w:val="16"/>
        </w:numPr>
        <w:tabs>
          <w:tab w:val="left" w:pos="284"/>
        </w:tabs>
        <w:spacing w:line="480" w:lineRule="exact"/>
        <w:ind w:firstLineChars="0"/>
        <w:rPr>
          <w:rFonts w:ascii="宋体" w:hAnsi="宋体"/>
          <w:b/>
          <w:kern w:val="0"/>
          <w:szCs w:val="21"/>
        </w:rPr>
      </w:pPr>
      <w:r>
        <w:rPr>
          <w:rFonts w:hint="eastAsia" w:ascii="宋体" w:hAnsi="宋体"/>
          <w:b/>
          <w:kern w:val="0"/>
          <w:szCs w:val="21"/>
        </w:rPr>
        <w:t>质量标准</w:t>
      </w:r>
    </w:p>
    <w:p>
      <w:pPr>
        <w:spacing w:line="520" w:lineRule="exact"/>
        <w:ind w:left="16" w:firstLine="420" w:firstLineChars="200"/>
        <w:rPr>
          <w:rFonts w:hAnsi="宋体"/>
          <w:bCs/>
          <w:sz w:val="21"/>
          <w:szCs w:val="21"/>
        </w:rPr>
      </w:pPr>
      <w:r>
        <w:rPr>
          <w:rFonts w:hint="eastAsia" w:hAnsi="宋体"/>
          <w:bCs/>
          <w:sz w:val="21"/>
          <w:szCs w:val="21"/>
        </w:rPr>
        <w:t>乙方应严格按照磋商文件、施工图纸、说明文件和国家颁发的建筑工程、弱电工程规范、规程和标准进行施工，并接受甲方现场代表及监理公司的监督。工程质量标准为：</w:t>
      </w:r>
      <w:r>
        <w:rPr>
          <w:rFonts w:hint="eastAsia" w:hAnsi="宋体"/>
          <w:sz w:val="21"/>
          <w:szCs w:val="21"/>
        </w:rPr>
        <w:t>中华人民共和国现行国家标准、国家工程质量验收标准：</w:t>
      </w:r>
      <w:r>
        <w:rPr>
          <w:rFonts w:hint="eastAsia" w:hAnsi="宋体"/>
          <w:sz w:val="21"/>
          <w:szCs w:val="21"/>
          <w:u w:val="single"/>
        </w:rPr>
        <w:t>达到“合格”或以上</w:t>
      </w:r>
      <w:r>
        <w:rPr>
          <w:rFonts w:hint="eastAsia" w:hAnsi="宋体"/>
          <w:sz w:val="21"/>
          <w:szCs w:val="21"/>
        </w:rPr>
        <w:t>，且需满足甲方设计图纸需要和技术要求</w:t>
      </w:r>
      <w:r>
        <w:rPr>
          <w:rFonts w:hint="eastAsia" w:hAnsi="宋体"/>
          <w:bCs/>
          <w:sz w:val="21"/>
          <w:szCs w:val="21"/>
        </w:rPr>
        <w:t>。</w:t>
      </w:r>
    </w:p>
    <w:p>
      <w:pPr>
        <w:spacing w:line="480" w:lineRule="exact"/>
        <w:ind w:firstLine="420" w:firstLineChars="200"/>
        <w:rPr>
          <w:rFonts w:hAnsi="宋体"/>
          <w:bCs/>
          <w:sz w:val="21"/>
          <w:szCs w:val="21"/>
        </w:rPr>
      </w:pPr>
      <w:r>
        <w:rPr>
          <w:rFonts w:hint="eastAsia" w:hAnsi="宋体"/>
          <w:bCs/>
          <w:sz w:val="21"/>
          <w:szCs w:val="21"/>
        </w:rPr>
        <w:t>工程质量验收评定达不到约定的质量标准，由乙方向甲方支付金额为合同总价</w:t>
      </w:r>
      <w:r>
        <w:rPr>
          <w:rFonts w:hAnsi="宋体"/>
          <w:bCs/>
          <w:sz w:val="21"/>
          <w:szCs w:val="21"/>
          <w:u w:val="single"/>
        </w:rPr>
        <w:t>20</w:t>
      </w:r>
      <w:r>
        <w:rPr>
          <w:rFonts w:hint="eastAsia" w:hAnsi="宋体"/>
          <w:bCs/>
          <w:sz w:val="21"/>
          <w:szCs w:val="21"/>
          <w:u w:val="single"/>
        </w:rPr>
        <w:t xml:space="preserve">% </w:t>
      </w:r>
      <w:r>
        <w:rPr>
          <w:rFonts w:hint="eastAsia" w:hAnsi="宋体"/>
          <w:bCs/>
          <w:sz w:val="21"/>
          <w:szCs w:val="21"/>
        </w:rPr>
        <w:t>的违约金，且乙方仍应按甲方的要求进行整改，若乙方收到甲方通知之日起7日内未完成整改，甲方有权另行聘请第三方进行整改，整改费用均由乙方承担。合同工程中的任一分部或分项工程，乙方自检合格后，经监理单位预验收出现不合格视为乙方违约，乙方应向甲方支付合同总价</w:t>
      </w:r>
      <w:r>
        <w:rPr>
          <w:rFonts w:hAnsi="宋体"/>
          <w:bCs/>
          <w:sz w:val="21"/>
          <w:szCs w:val="21"/>
        </w:rPr>
        <w:t>20</w:t>
      </w:r>
      <w:r>
        <w:rPr>
          <w:rFonts w:hint="eastAsia" w:hAnsi="宋体"/>
          <w:bCs/>
          <w:sz w:val="21"/>
          <w:szCs w:val="21"/>
        </w:rPr>
        <w:t>%的违约金，并采取相应措施在7日内整改至监理工程师验收合格。</w:t>
      </w:r>
    </w:p>
    <w:p>
      <w:pPr>
        <w:spacing w:line="480" w:lineRule="exact"/>
        <w:ind w:firstLine="525" w:firstLineChars="250"/>
        <w:rPr>
          <w:rFonts w:hAnsi="宋体"/>
          <w:bCs/>
          <w:sz w:val="21"/>
          <w:szCs w:val="21"/>
        </w:rPr>
      </w:pPr>
    </w:p>
    <w:p>
      <w:pPr>
        <w:numPr>
          <w:ilvl w:val="0"/>
          <w:numId w:val="16"/>
        </w:numPr>
        <w:spacing w:line="480" w:lineRule="exact"/>
        <w:rPr>
          <w:rFonts w:hAnsi="宋体"/>
          <w:b/>
          <w:sz w:val="21"/>
          <w:szCs w:val="21"/>
        </w:rPr>
      </w:pPr>
      <w:r>
        <w:rPr>
          <w:rFonts w:hint="eastAsia" w:hAnsi="宋体"/>
          <w:b/>
          <w:sz w:val="21"/>
          <w:szCs w:val="21"/>
        </w:rPr>
        <w:t>合同价款</w:t>
      </w:r>
    </w:p>
    <w:p>
      <w:pPr>
        <w:spacing w:line="360" w:lineRule="auto"/>
        <w:ind w:left="16" w:firstLine="465"/>
        <w:rPr>
          <w:rFonts w:hAnsi="宋体"/>
          <w:sz w:val="21"/>
          <w:szCs w:val="21"/>
        </w:rPr>
      </w:pPr>
      <w:r>
        <w:rPr>
          <w:rFonts w:hint="eastAsia" w:hAnsi="宋体"/>
          <w:sz w:val="21"/>
          <w:szCs w:val="21"/>
        </w:rPr>
        <w:t>1、合同总价（大写）：</w:t>
      </w:r>
      <w:r>
        <w:rPr>
          <w:rFonts w:hint="eastAsia" w:hAnsi="宋体"/>
          <w:sz w:val="21"/>
          <w:szCs w:val="21"/>
          <w:u w:val="single"/>
        </w:rPr>
        <w:t xml:space="preserve">                       。</w:t>
      </w:r>
      <w:r>
        <w:rPr>
          <w:rFonts w:hint="eastAsia" w:hAnsi="宋体"/>
          <w:sz w:val="21"/>
          <w:szCs w:val="21"/>
        </w:rPr>
        <w:t>（小写）：</w:t>
      </w:r>
      <w:r>
        <w:rPr>
          <w:rFonts w:hint="eastAsia" w:hAnsi="宋体"/>
          <w:sz w:val="21"/>
          <w:szCs w:val="21"/>
          <w:u w:val="single"/>
        </w:rPr>
        <w:t xml:space="preserve">¥                   </w:t>
      </w:r>
      <w:r>
        <w:rPr>
          <w:rFonts w:hint="eastAsia" w:hAnsi="宋体"/>
          <w:sz w:val="21"/>
          <w:szCs w:val="21"/>
        </w:rPr>
        <w:t>元。其中工程价款（大写）：</w:t>
      </w:r>
      <w:r>
        <w:rPr>
          <w:rFonts w:hint="eastAsia" w:hAnsi="宋体"/>
          <w:i/>
          <w:iCs/>
          <w:sz w:val="21"/>
          <w:szCs w:val="21"/>
          <w:u w:val="single"/>
        </w:rPr>
        <w:t xml:space="preserve">                     </w:t>
      </w:r>
      <w:r>
        <w:rPr>
          <w:rFonts w:hint="eastAsia" w:hAnsi="宋体"/>
          <w:sz w:val="21"/>
          <w:szCs w:val="21"/>
        </w:rPr>
        <w:t>（小写）：</w:t>
      </w:r>
      <w:r>
        <w:rPr>
          <w:rFonts w:hint="eastAsia" w:hAnsi="宋体"/>
          <w:sz w:val="21"/>
          <w:szCs w:val="21"/>
          <w:u w:val="single"/>
        </w:rPr>
        <w:t>¥                  元。</w:t>
      </w:r>
      <w:r>
        <w:rPr>
          <w:rFonts w:hint="eastAsia" w:hAnsi="宋体"/>
          <w:sz w:val="21"/>
          <w:szCs w:val="21"/>
        </w:rPr>
        <w:t>增值税税金（大写）：               （小写）：</w:t>
      </w:r>
      <w:r>
        <w:rPr>
          <w:rFonts w:hint="eastAsia" w:hAnsi="宋体"/>
          <w:sz w:val="21"/>
          <w:szCs w:val="21"/>
          <w:u w:val="single"/>
        </w:rPr>
        <w:t>¥                          元。</w:t>
      </w:r>
      <w:r>
        <w:rPr>
          <w:rFonts w:hint="eastAsia" w:hAnsi="宋体"/>
          <w:sz w:val="21"/>
          <w:szCs w:val="21"/>
        </w:rPr>
        <w:t>如遇国家调整税率，按调整后税率及相关细则执行。</w:t>
      </w:r>
    </w:p>
    <w:p>
      <w:pPr>
        <w:spacing w:line="360" w:lineRule="auto"/>
        <w:rPr>
          <w:rFonts w:hAnsi="宋体"/>
          <w:sz w:val="21"/>
          <w:szCs w:val="21"/>
        </w:rPr>
      </w:pPr>
      <w:r>
        <w:rPr>
          <w:rFonts w:hint="eastAsia" w:hAnsi="宋体"/>
          <w:b/>
          <w:sz w:val="21"/>
          <w:szCs w:val="21"/>
        </w:rPr>
        <w:t xml:space="preserve">  </w:t>
      </w:r>
      <w:r>
        <w:rPr>
          <w:rFonts w:hint="eastAsia" w:hAnsi="宋体"/>
          <w:sz w:val="21"/>
          <w:szCs w:val="21"/>
        </w:rPr>
        <w:t xml:space="preserve">  </w:t>
      </w:r>
      <w:r>
        <w:rPr>
          <w:rFonts w:hint="eastAsia" w:hAnsi="宋体"/>
          <w:b/>
          <w:sz w:val="21"/>
          <w:szCs w:val="21"/>
        </w:rPr>
        <w:t xml:space="preserve"> </w:t>
      </w:r>
      <w:r>
        <w:rPr>
          <w:rFonts w:hint="eastAsia" w:hAnsi="宋体"/>
          <w:sz w:val="21"/>
          <w:szCs w:val="21"/>
        </w:rPr>
        <w:t>2、本工程合同总价包含完成本工程所需的全部费用，包括但不限于所需的设计费、设备采购费、运费、装卸费、安装费、人工费、材料费、施工机械使用费、安全文明施工费、场地清理费、管理费、利润、原材料与半成品的检测、试验费、水电费、工程竣工验收</w:t>
      </w:r>
      <w:r>
        <w:rPr>
          <w:rFonts w:hint="eastAsia" w:hAnsi="宋体"/>
          <w:bCs/>
          <w:sz w:val="21"/>
          <w:szCs w:val="21"/>
        </w:rPr>
        <w:t>（如需）、工程竣工四方验收</w:t>
      </w:r>
      <w:r>
        <w:rPr>
          <w:rFonts w:hint="eastAsia" w:hAnsi="宋体"/>
          <w:sz w:val="21"/>
          <w:szCs w:val="21"/>
        </w:rPr>
        <w:t>合格（项目需通过公安部安全与警用电子产品质量检测中心或者相同资质的检测单位检测，出具合格的检测报告后甲方才进行工程验收，该项检测费用由乙方承担）通过相关联的费用、包保修维护的形式由乙方承担、乙方并移交甲方前的成品与半成品保护、工程竣工验收</w:t>
      </w:r>
      <w:r>
        <w:rPr>
          <w:rFonts w:hint="eastAsia" w:hAnsi="宋体"/>
          <w:bCs/>
          <w:sz w:val="21"/>
          <w:szCs w:val="21"/>
        </w:rPr>
        <w:t>、</w:t>
      </w:r>
      <w:r>
        <w:rPr>
          <w:rFonts w:hint="eastAsia" w:hAnsi="宋体"/>
          <w:sz w:val="21"/>
          <w:szCs w:val="21"/>
        </w:rPr>
        <w:t>所有措施费及规费、工程税金及风险、完成图纸所有工程内容的所有费用。同时在施工期间对价格波动、汇率变化等因素变动而不作调整。</w:t>
      </w:r>
    </w:p>
    <w:p>
      <w:pPr>
        <w:spacing w:line="360" w:lineRule="auto"/>
        <w:ind w:firstLine="420" w:firstLineChars="200"/>
        <w:rPr>
          <w:sz w:val="21"/>
          <w:szCs w:val="21"/>
        </w:rPr>
      </w:pPr>
      <w:r>
        <w:rPr>
          <w:rFonts w:hint="eastAsia"/>
          <w:sz w:val="21"/>
          <w:szCs w:val="21"/>
        </w:rPr>
        <w:t>3、合同价已包含监控中心服务软件费用及2600张门禁卡的费用。</w:t>
      </w:r>
    </w:p>
    <w:p>
      <w:pPr>
        <w:spacing w:line="360" w:lineRule="auto"/>
        <w:ind w:firstLine="420" w:firstLineChars="200"/>
        <w:rPr>
          <w:rFonts w:hAnsi="宋体"/>
          <w:sz w:val="21"/>
          <w:szCs w:val="21"/>
        </w:rPr>
      </w:pPr>
      <w:r>
        <w:rPr>
          <w:rFonts w:hint="eastAsia" w:hAnsi="宋体"/>
          <w:sz w:val="21"/>
          <w:szCs w:val="21"/>
        </w:rPr>
        <w:t>4、合同总价为包干价，乙方不得以任何理由要求调整合同价。</w:t>
      </w:r>
    </w:p>
    <w:p>
      <w:pPr>
        <w:spacing w:line="480" w:lineRule="exact"/>
        <w:rPr>
          <w:rFonts w:hAnsi="宋体"/>
          <w:b/>
          <w:sz w:val="21"/>
          <w:szCs w:val="21"/>
        </w:rPr>
      </w:pPr>
      <w:r>
        <w:rPr>
          <w:rFonts w:hint="eastAsia" w:hAnsi="宋体"/>
          <w:b/>
          <w:sz w:val="21"/>
          <w:szCs w:val="21"/>
        </w:rPr>
        <w:t>第五条  工期</w:t>
      </w:r>
    </w:p>
    <w:p>
      <w:pPr>
        <w:tabs>
          <w:tab w:val="left" w:pos="284"/>
        </w:tabs>
        <w:spacing w:line="480" w:lineRule="exact"/>
        <w:ind w:firstLine="420" w:firstLineChars="200"/>
        <w:rPr>
          <w:rFonts w:hAnsi="宋体"/>
          <w:sz w:val="21"/>
          <w:szCs w:val="21"/>
        </w:rPr>
      </w:pPr>
      <w:r>
        <w:rPr>
          <w:rFonts w:hint="eastAsia" w:hAnsi="宋体"/>
          <w:sz w:val="21"/>
          <w:szCs w:val="21"/>
        </w:rPr>
        <w:t>（一）</w:t>
      </w:r>
      <w:r>
        <w:rPr>
          <w:rFonts w:hint="eastAsia" w:hAnsi="宋体"/>
          <w:sz w:val="21"/>
          <w:szCs w:val="21"/>
          <w:u w:val="single"/>
        </w:rPr>
        <w:t xml:space="preserve">  2020  </w:t>
      </w:r>
      <w:r>
        <w:rPr>
          <w:rFonts w:hint="eastAsia" w:hAnsi="宋体"/>
          <w:sz w:val="21"/>
          <w:szCs w:val="21"/>
        </w:rPr>
        <w:t>年</w:t>
      </w:r>
      <w:r>
        <w:rPr>
          <w:rFonts w:hint="eastAsia" w:hAnsi="宋体"/>
          <w:sz w:val="21"/>
          <w:szCs w:val="21"/>
          <w:u w:val="single"/>
        </w:rPr>
        <w:t xml:space="preserve">    </w:t>
      </w:r>
      <w:r>
        <w:rPr>
          <w:rFonts w:hint="eastAsia" w:hAnsi="宋体"/>
          <w:sz w:val="21"/>
          <w:szCs w:val="21"/>
        </w:rPr>
        <w:t>月</w:t>
      </w:r>
      <w:r>
        <w:rPr>
          <w:rFonts w:hint="eastAsia" w:hAnsi="宋体"/>
          <w:sz w:val="21"/>
          <w:szCs w:val="21"/>
          <w:u w:val="single"/>
        </w:rPr>
        <w:t xml:space="preserve">    </w:t>
      </w:r>
      <w:r>
        <w:rPr>
          <w:rFonts w:hint="eastAsia" w:hAnsi="宋体"/>
          <w:sz w:val="21"/>
          <w:szCs w:val="21"/>
        </w:rPr>
        <w:t>日至</w:t>
      </w:r>
      <w:r>
        <w:rPr>
          <w:rFonts w:hint="eastAsia" w:hAnsi="宋体"/>
          <w:sz w:val="21"/>
          <w:szCs w:val="21"/>
          <w:u w:val="single"/>
        </w:rPr>
        <w:t xml:space="preserve"> 2020  </w:t>
      </w:r>
      <w:r>
        <w:rPr>
          <w:rFonts w:hint="eastAsia" w:hAnsi="宋体"/>
          <w:sz w:val="21"/>
          <w:szCs w:val="21"/>
        </w:rPr>
        <w:t>年</w:t>
      </w:r>
      <w:r>
        <w:rPr>
          <w:rFonts w:hint="eastAsia" w:hAnsi="宋体"/>
          <w:sz w:val="21"/>
          <w:szCs w:val="21"/>
          <w:u w:val="single"/>
        </w:rPr>
        <w:t xml:space="preserve">   </w:t>
      </w:r>
      <w:r>
        <w:rPr>
          <w:rFonts w:hint="eastAsia" w:hAnsi="宋体"/>
          <w:sz w:val="21"/>
          <w:szCs w:val="21"/>
        </w:rPr>
        <w:t>月</w:t>
      </w:r>
      <w:r>
        <w:rPr>
          <w:rFonts w:hint="eastAsia" w:hAnsi="宋体"/>
          <w:sz w:val="21"/>
          <w:szCs w:val="21"/>
          <w:u w:val="single"/>
        </w:rPr>
        <w:t xml:space="preserve">     </w:t>
      </w:r>
      <w:r>
        <w:rPr>
          <w:rFonts w:hint="eastAsia" w:hAnsi="宋体"/>
          <w:sz w:val="21"/>
          <w:szCs w:val="21"/>
        </w:rPr>
        <w:t>日，工期为</w:t>
      </w:r>
      <w:r>
        <w:rPr>
          <w:rFonts w:hint="eastAsia" w:hAnsi="宋体"/>
          <w:sz w:val="21"/>
          <w:szCs w:val="21"/>
          <w:u w:val="single"/>
        </w:rPr>
        <w:t xml:space="preserve"> 90 </w:t>
      </w:r>
      <w:r>
        <w:rPr>
          <w:rFonts w:hint="eastAsia" w:hAnsi="宋体"/>
          <w:sz w:val="21"/>
          <w:szCs w:val="21"/>
        </w:rPr>
        <w:t>个日历天。具体开工日期以甲方通知的开工日期为准，工期已包含供货日期在内。乙方在施工过程中应无条件配合项目总进度计划中关键节点实施或者调整。</w:t>
      </w:r>
    </w:p>
    <w:p>
      <w:pPr>
        <w:spacing w:line="480" w:lineRule="exact"/>
        <w:ind w:firstLine="420" w:firstLineChars="200"/>
        <w:rPr>
          <w:rFonts w:hAnsi="宋体"/>
          <w:sz w:val="21"/>
          <w:szCs w:val="21"/>
        </w:rPr>
      </w:pPr>
      <w:r>
        <w:rPr>
          <w:rFonts w:hint="eastAsia" w:hAnsi="宋体"/>
          <w:sz w:val="21"/>
          <w:szCs w:val="21"/>
        </w:rPr>
        <w:t>（二）如遇下列情况，乙方须在发生之日起两日内书面通知甲方及监理方，并经甲乙双方代表书面签证，工期相应顺延，甲方不再承担其他责任（包括乙方人员、设备窝工、停工费用等）；否则视为乙方放弃签证的权利，工期不予顺延。</w:t>
      </w:r>
    </w:p>
    <w:p>
      <w:pPr>
        <w:tabs>
          <w:tab w:val="left" w:pos="900"/>
        </w:tabs>
        <w:snapToGrid w:val="0"/>
        <w:spacing w:line="480" w:lineRule="exact"/>
        <w:ind w:firstLine="420" w:firstLineChars="200"/>
        <w:rPr>
          <w:rFonts w:hAnsi="宋体"/>
          <w:sz w:val="21"/>
          <w:szCs w:val="21"/>
        </w:rPr>
      </w:pPr>
      <w:r>
        <w:rPr>
          <w:rFonts w:hint="eastAsia" w:hAnsi="宋体"/>
          <w:sz w:val="21"/>
          <w:szCs w:val="21"/>
        </w:rPr>
        <w:t>1、因甲方原因影响工程项目进度或停工，如未按时交出场地、接通水电、甲方变更设计影响施工；</w:t>
      </w:r>
    </w:p>
    <w:p>
      <w:pPr>
        <w:spacing w:line="480" w:lineRule="exact"/>
        <w:ind w:firstLine="420" w:firstLineChars="200"/>
        <w:rPr>
          <w:rFonts w:hAnsi="宋体"/>
          <w:sz w:val="21"/>
          <w:szCs w:val="21"/>
        </w:rPr>
      </w:pPr>
      <w:r>
        <w:rPr>
          <w:rFonts w:hint="eastAsia" w:hAnsi="宋体"/>
          <w:sz w:val="21"/>
          <w:szCs w:val="21"/>
        </w:rPr>
        <w:t>2、一周内连续下雨累计超过24小时及以上，或一天内持续下雨达6小时及以上的（施工条件不受天气影响的除外）；</w:t>
      </w:r>
    </w:p>
    <w:p>
      <w:pPr>
        <w:spacing w:line="480" w:lineRule="exact"/>
        <w:ind w:firstLine="420" w:firstLineChars="200"/>
        <w:rPr>
          <w:rFonts w:hAnsi="宋体"/>
          <w:sz w:val="21"/>
          <w:szCs w:val="21"/>
        </w:rPr>
      </w:pPr>
      <w:r>
        <w:rPr>
          <w:rFonts w:hint="eastAsia" w:hAnsi="宋体"/>
          <w:sz w:val="21"/>
          <w:szCs w:val="21"/>
        </w:rPr>
        <w:t>3、一周内非乙方原因停水、停电、停气造成停工累计超过8小时；</w:t>
      </w:r>
    </w:p>
    <w:p>
      <w:pPr>
        <w:spacing w:line="480" w:lineRule="exact"/>
        <w:ind w:firstLine="420" w:firstLineChars="200"/>
        <w:rPr>
          <w:rFonts w:hAnsi="宋体"/>
          <w:sz w:val="21"/>
          <w:szCs w:val="21"/>
        </w:rPr>
      </w:pPr>
      <w:r>
        <w:rPr>
          <w:rFonts w:hint="eastAsia" w:hAnsi="宋体"/>
          <w:sz w:val="21"/>
          <w:szCs w:val="21"/>
        </w:rPr>
        <w:t>4、监理工程师未按照合同约定及时提供所需指令、回复等；</w:t>
      </w:r>
    </w:p>
    <w:p>
      <w:pPr>
        <w:spacing w:line="480" w:lineRule="exact"/>
        <w:ind w:firstLine="420" w:firstLineChars="200"/>
        <w:rPr>
          <w:rFonts w:hAnsi="宋体"/>
          <w:sz w:val="21"/>
          <w:szCs w:val="21"/>
        </w:rPr>
      </w:pPr>
      <w:r>
        <w:rPr>
          <w:rFonts w:hint="eastAsia" w:hAnsi="宋体"/>
          <w:sz w:val="21"/>
          <w:szCs w:val="21"/>
        </w:rPr>
        <w:t>5、发包人风险事件；</w:t>
      </w:r>
    </w:p>
    <w:p>
      <w:pPr>
        <w:spacing w:line="480" w:lineRule="exact"/>
        <w:ind w:firstLine="420" w:firstLineChars="200"/>
        <w:rPr>
          <w:rFonts w:hAnsi="宋体"/>
          <w:sz w:val="21"/>
          <w:szCs w:val="21"/>
        </w:rPr>
      </w:pPr>
      <w:r>
        <w:rPr>
          <w:rFonts w:hint="eastAsia" w:hAnsi="宋体"/>
          <w:sz w:val="21"/>
          <w:szCs w:val="21"/>
        </w:rPr>
        <w:t>6、不可抗力因素。</w:t>
      </w:r>
    </w:p>
    <w:p>
      <w:pPr>
        <w:spacing w:line="480" w:lineRule="exact"/>
        <w:ind w:firstLine="420" w:firstLineChars="200"/>
        <w:rPr>
          <w:rFonts w:hAnsi="宋体"/>
          <w:sz w:val="21"/>
          <w:szCs w:val="21"/>
        </w:rPr>
      </w:pPr>
      <w:r>
        <w:rPr>
          <w:rFonts w:hint="eastAsia" w:hAnsi="宋体"/>
          <w:sz w:val="21"/>
          <w:szCs w:val="21"/>
        </w:rPr>
        <w:t>(三)乙方有责任与其他承包商合作，各个承包商之间发生或协调有关的争议时应提交监理和甲方，并由监理和甲方协调解决。甲方的决定将成为最终决定并约束有关各方。</w:t>
      </w:r>
    </w:p>
    <w:p>
      <w:pPr>
        <w:spacing w:line="480" w:lineRule="exact"/>
        <w:ind w:firstLine="420" w:firstLineChars="200"/>
        <w:rPr>
          <w:rFonts w:hAnsi="宋体"/>
          <w:sz w:val="21"/>
          <w:szCs w:val="21"/>
        </w:rPr>
      </w:pPr>
      <w:r>
        <w:rPr>
          <w:rFonts w:hint="eastAsia" w:hAnsi="宋体"/>
          <w:sz w:val="21"/>
          <w:szCs w:val="21"/>
        </w:rPr>
        <w:t>（四）若因乙方原因造成工期延误，乙方应承担以下违约责任：</w:t>
      </w:r>
    </w:p>
    <w:p>
      <w:pPr>
        <w:tabs>
          <w:tab w:val="left" w:pos="284"/>
          <w:tab w:val="left" w:pos="426"/>
        </w:tabs>
        <w:spacing w:line="480" w:lineRule="exact"/>
        <w:ind w:firstLine="420" w:firstLineChars="200"/>
        <w:rPr>
          <w:rFonts w:hAnsi="宋体"/>
          <w:sz w:val="21"/>
          <w:szCs w:val="21"/>
        </w:rPr>
      </w:pPr>
      <w:r>
        <w:rPr>
          <w:rFonts w:hint="eastAsia" w:hAnsi="宋体"/>
          <w:sz w:val="21"/>
          <w:szCs w:val="21"/>
        </w:rPr>
        <w:t xml:space="preserve">  1、未能在甲方设定的关键工程进度节点如期完工的，须向甲方每天支付违约金¥</w:t>
      </w:r>
      <w:r>
        <w:rPr>
          <w:rFonts w:hint="eastAsia" w:hAnsi="宋体"/>
          <w:sz w:val="21"/>
          <w:szCs w:val="21"/>
          <w:u w:val="single"/>
        </w:rPr>
        <w:t>5,000.00</w:t>
      </w:r>
      <w:r>
        <w:rPr>
          <w:rFonts w:hint="eastAsia" w:hAnsi="宋体"/>
          <w:sz w:val="21"/>
          <w:szCs w:val="21"/>
        </w:rPr>
        <w:t>元，甲方可在工程进度款中直接扣除；若逾期超过1</w:t>
      </w:r>
      <w:r>
        <w:rPr>
          <w:rFonts w:hAnsi="宋体"/>
          <w:sz w:val="21"/>
          <w:szCs w:val="21"/>
        </w:rPr>
        <w:t>0</w:t>
      </w:r>
      <w:r>
        <w:rPr>
          <w:rFonts w:hint="eastAsia" w:hAnsi="宋体"/>
          <w:sz w:val="21"/>
          <w:szCs w:val="21"/>
        </w:rPr>
        <w:t>天的，甲方有权解除合同。</w:t>
      </w:r>
    </w:p>
    <w:p>
      <w:pPr>
        <w:tabs>
          <w:tab w:val="left" w:pos="284"/>
          <w:tab w:val="left" w:pos="426"/>
        </w:tabs>
        <w:spacing w:line="480" w:lineRule="exact"/>
        <w:ind w:firstLine="420" w:firstLineChars="200"/>
        <w:rPr>
          <w:rFonts w:hAnsi="宋体"/>
          <w:sz w:val="21"/>
          <w:szCs w:val="21"/>
        </w:rPr>
      </w:pPr>
      <w:r>
        <w:rPr>
          <w:rFonts w:hint="eastAsia" w:hAnsi="宋体"/>
          <w:sz w:val="21"/>
          <w:szCs w:val="21"/>
        </w:rPr>
        <w:t xml:space="preserve">  2、如果超过竣工日期仍未竣工，延期违约金按每天</w:t>
      </w:r>
      <w:r>
        <w:rPr>
          <w:rFonts w:hint="eastAsia" w:hAnsi="宋体"/>
          <w:sz w:val="21"/>
          <w:szCs w:val="21"/>
          <w:u w:val="single"/>
        </w:rPr>
        <w:t>¥10,000.00</w:t>
      </w:r>
      <w:r>
        <w:rPr>
          <w:rFonts w:hint="eastAsia" w:hAnsi="宋体"/>
          <w:sz w:val="21"/>
          <w:szCs w:val="21"/>
        </w:rPr>
        <w:t>元计，甲方可在工程进度款中直接扣除。同时，工期延误超过10天的，甲方有权解除本合同。</w:t>
      </w:r>
    </w:p>
    <w:p>
      <w:pPr>
        <w:tabs>
          <w:tab w:val="left" w:pos="284"/>
          <w:tab w:val="left" w:pos="426"/>
        </w:tabs>
        <w:spacing w:line="480" w:lineRule="exact"/>
        <w:ind w:firstLine="420" w:firstLineChars="200"/>
        <w:rPr>
          <w:rFonts w:hAnsi="宋体"/>
          <w:sz w:val="21"/>
          <w:szCs w:val="21"/>
        </w:rPr>
      </w:pPr>
      <w:r>
        <w:rPr>
          <w:rFonts w:hint="eastAsia" w:hAnsi="宋体"/>
          <w:sz w:val="21"/>
          <w:szCs w:val="21"/>
        </w:rPr>
        <w:t>（五）如乙方不能按期完成承包范围内的工程项目，逾期超过1</w:t>
      </w:r>
      <w:r>
        <w:rPr>
          <w:rFonts w:hAnsi="宋体"/>
          <w:sz w:val="21"/>
          <w:szCs w:val="21"/>
        </w:rPr>
        <w:t>0</w:t>
      </w:r>
      <w:r>
        <w:rPr>
          <w:rFonts w:hint="eastAsia" w:hAnsi="宋体"/>
          <w:sz w:val="21"/>
          <w:szCs w:val="21"/>
        </w:rPr>
        <w:t>天的，甲方有权委托第三方代乙方完成，因此造成甲方的一切损失（包括但不限于第三方施工的费用、律师费、诉讼费、财产保全保险费等）的125%（即外加2</w:t>
      </w:r>
      <w:r>
        <w:rPr>
          <w:rFonts w:hAnsi="宋体"/>
          <w:sz w:val="21"/>
          <w:szCs w:val="21"/>
        </w:rPr>
        <w:t>5%</w:t>
      </w:r>
      <w:r>
        <w:rPr>
          <w:rFonts w:hint="eastAsia" w:hAnsi="宋体"/>
          <w:sz w:val="21"/>
          <w:szCs w:val="21"/>
        </w:rPr>
        <w:t>管理费）由乙方承担，且甲方有权在应向乙方支付的工程款中扣除。</w:t>
      </w:r>
    </w:p>
    <w:p>
      <w:pPr>
        <w:tabs>
          <w:tab w:val="left" w:pos="525"/>
        </w:tabs>
        <w:spacing w:line="480" w:lineRule="exact"/>
        <w:rPr>
          <w:rFonts w:hAnsi="宋体"/>
          <w:b/>
          <w:sz w:val="21"/>
          <w:szCs w:val="21"/>
        </w:rPr>
      </w:pPr>
      <w:r>
        <w:rPr>
          <w:rFonts w:hint="eastAsia" w:hAnsi="宋体"/>
          <w:b/>
          <w:sz w:val="21"/>
          <w:szCs w:val="21"/>
        </w:rPr>
        <w:t>第六条  结算</w:t>
      </w:r>
    </w:p>
    <w:p>
      <w:pPr>
        <w:tabs>
          <w:tab w:val="left" w:pos="525"/>
        </w:tabs>
        <w:spacing w:line="480" w:lineRule="exact"/>
        <w:ind w:firstLine="420" w:firstLineChars="200"/>
        <w:rPr>
          <w:rFonts w:hAnsi="宋体"/>
          <w:sz w:val="21"/>
          <w:szCs w:val="21"/>
        </w:rPr>
      </w:pPr>
      <w:r>
        <w:rPr>
          <w:rFonts w:hint="eastAsia" w:hAnsi="宋体"/>
          <w:sz w:val="21"/>
          <w:szCs w:val="21"/>
        </w:rPr>
        <w:t>（一）工程竣工完成，需提供整套完整的竣工验收资料给监理单位确认后并提交给甲方，乙方提供的竣工验收资料应根据《建设工程质量管理条例》（279号令）、《城市建设档案管理规定》（建设部90号令）、《建设工程文件归档整理规范》 （GB/T50328—2001）、《城市建设档案著录规范》（GB/T50328—2001）、《建筑工程施工质量验收统一标准》（GB/T50328—2013）和《广东省建设厅关于统一使用〈广东省建筑工程竣工验收技术资料统一用表〉的通知》的要求完成工程文件整理及档案的移交，以实现甲方工程档案管理的规范化、标准化。</w:t>
      </w:r>
    </w:p>
    <w:p>
      <w:pPr>
        <w:tabs>
          <w:tab w:val="left" w:pos="525"/>
        </w:tabs>
        <w:spacing w:line="480" w:lineRule="exact"/>
        <w:ind w:firstLine="420" w:firstLineChars="200"/>
        <w:rPr>
          <w:rFonts w:hAnsi="宋体"/>
          <w:sz w:val="21"/>
          <w:szCs w:val="21"/>
        </w:rPr>
      </w:pPr>
      <w:r>
        <w:rPr>
          <w:rFonts w:hint="eastAsia" w:hAnsi="宋体"/>
          <w:sz w:val="21"/>
          <w:szCs w:val="21"/>
        </w:rPr>
        <w:t>（二）工程竣工验收报告经甲方、监理单位认可后30天内，乙方向监理单位、甲方递交竣工结算报告及完整的结算资料，按照合同约定的合同价款调整内容，进行工程竣工结算，甲方收到乙方递交的竣工结算报告及结算资料六个月内完成审核（如乙方递交的资料不完整，相应时间顺延），如工程竣工验收报告经监理单位、甲方认可后超过30天，乙方无正当理由不递交竣工结算报告及完整的结算资料，甲方有权单方面进行竣工结算,乙方无条件认可结算成果，且前述成果作为乙方竣工结算价款。乙方按现场实际施工完成的工程量报送的结算金额必须真实准确，不得虚报、冒报。若乙方报送的结算总金额或结算单项金额超过最终审定金额的3％(不含3%)，视为违约，甲方有权按照最终审定的结算总金额办理结算，乙方还合同总价的</w:t>
      </w:r>
      <w:r>
        <w:rPr>
          <w:rFonts w:hAnsi="宋体"/>
          <w:sz w:val="21"/>
          <w:szCs w:val="21"/>
        </w:rPr>
        <w:t>2</w:t>
      </w:r>
      <w:r>
        <w:rPr>
          <w:rFonts w:hint="eastAsia" w:hAnsi="宋体"/>
          <w:sz w:val="21"/>
          <w:szCs w:val="21"/>
        </w:rPr>
        <w:t>0％向甲方支付违约金，该违约金由甲方在结算金额中直接扣除，并降低乙方在甲方承建商评估体系的排名。</w:t>
      </w:r>
    </w:p>
    <w:p>
      <w:pPr>
        <w:spacing w:before="97" w:beforeLines="30" w:after="97" w:afterLines="30" w:line="480" w:lineRule="exact"/>
        <w:ind w:firstLine="315" w:firstLineChars="150"/>
        <w:rPr>
          <w:rFonts w:hAnsi="宋体"/>
          <w:sz w:val="21"/>
          <w:szCs w:val="21"/>
        </w:rPr>
      </w:pPr>
      <w:r>
        <w:rPr>
          <w:rFonts w:hint="eastAsia" w:hAnsi="宋体"/>
          <w:sz w:val="21"/>
          <w:szCs w:val="21"/>
        </w:rPr>
        <w:t>（三）乙方需按照甲方要求提供整套的竣工验收与结算资料给甲方，如乙方提供的资料未按甲方要求，或不能满足甲方预审的，乙方需在3个日历天内能按甲方要求返工，重新整理资料，经甲方审核后必须达到第六条第一点规范的要求。若乙方最终提供的整套竣工验收与结算资料仍不能达到甲方要求的或者拒绝按甲方要求提供竣工验收与结算资料的，甲方有权拒绝向乙方支付工程价款，直到乙方提供的资料达到规范要求的标准为止。</w:t>
      </w:r>
    </w:p>
    <w:p>
      <w:pPr>
        <w:spacing w:before="97" w:beforeLines="30" w:after="97" w:afterLines="30" w:line="400" w:lineRule="exact"/>
        <w:ind w:firstLine="315" w:firstLineChars="150"/>
        <w:rPr>
          <w:rFonts w:hAnsi="宋体"/>
          <w:sz w:val="21"/>
          <w:szCs w:val="21"/>
        </w:rPr>
      </w:pPr>
      <w:r>
        <w:rPr>
          <w:rFonts w:hint="eastAsia" w:hAnsi="宋体"/>
          <w:sz w:val="21"/>
          <w:szCs w:val="21"/>
        </w:rPr>
        <w:t>乙方报送竣工结算资料的内容和要求如下：</w:t>
      </w:r>
    </w:p>
    <w:p>
      <w:pPr>
        <w:spacing w:before="97" w:beforeLines="30" w:after="97" w:afterLines="30" w:line="400" w:lineRule="exact"/>
        <w:ind w:firstLine="315" w:firstLineChars="150"/>
        <w:rPr>
          <w:rFonts w:hAnsi="宋体"/>
          <w:sz w:val="21"/>
          <w:szCs w:val="21"/>
        </w:rPr>
      </w:pPr>
      <w:r>
        <w:rPr>
          <w:rFonts w:hint="eastAsia" w:hAnsi="宋体"/>
          <w:sz w:val="21"/>
          <w:szCs w:val="21"/>
        </w:rPr>
        <w:t>（1）乙方在工程竣工后，提交竣工验收报告和资料，经甲方、监理单位认可后在</w:t>
      </w:r>
      <w:r>
        <w:rPr>
          <w:rFonts w:hint="eastAsia" w:hAnsi="宋体"/>
          <w:sz w:val="21"/>
          <w:szCs w:val="21"/>
          <w:u w:val="single"/>
        </w:rPr>
        <w:t>30个</w:t>
      </w:r>
      <w:r>
        <w:rPr>
          <w:rFonts w:hint="eastAsia" w:hAnsi="宋体"/>
          <w:sz w:val="21"/>
          <w:szCs w:val="21"/>
        </w:rPr>
        <w:t>天内，按本合同约定及甲方要求向甲方递交完整的竣工结算报告及结算资料。</w:t>
      </w:r>
    </w:p>
    <w:p>
      <w:pPr>
        <w:spacing w:before="97" w:beforeLines="30" w:after="97" w:afterLines="30" w:line="400" w:lineRule="exact"/>
        <w:ind w:firstLine="315" w:firstLineChars="150"/>
        <w:rPr>
          <w:rFonts w:hAnsi="宋体"/>
          <w:sz w:val="21"/>
          <w:szCs w:val="21"/>
        </w:rPr>
      </w:pPr>
      <w:r>
        <w:rPr>
          <w:rFonts w:hint="eastAsia" w:hAnsi="宋体"/>
          <w:sz w:val="21"/>
          <w:szCs w:val="21"/>
        </w:rPr>
        <w:t>（2）主要竣工资料由以下部分组成（包括但不限于）：</w:t>
      </w:r>
    </w:p>
    <w:p>
      <w:pPr>
        <w:spacing w:before="97" w:beforeLines="30" w:after="97" w:afterLines="30" w:line="400" w:lineRule="exact"/>
        <w:ind w:firstLine="315" w:firstLineChars="150"/>
        <w:rPr>
          <w:rFonts w:hAnsi="宋体"/>
          <w:sz w:val="21"/>
          <w:szCs w:val="21"/>
        </w:rPr>
      </w:pPr>
      <w:r>
        <w:rPr>
          <w:rFonts w:hint="eastAsia" w:hAnsi="宋体"/>
          <w:sz w:val="21"/>
          <w:szCs w:val="21"/>
        </w:rPr>
        <w:t>A）结算书</w:t>
      </w:r>
    </w:p>
    <w:p>
      <w:pPr>
        <w:spacing w:before="97" w:beforeLines="30" w:after="97" w:afterLines="30" w:line="400" w:lineRule="exact"/>
        <w:ind w:firstLine="315" w:firstLineChars="150"/>
        <w:rPr>
          <w:rFonts w:hAnsi="宋体"/>
          <w:sz w:val="21"/>
          <w:szCs w:val="21"/>
        </w:rPr>
      </w:pPr>
      <w:r>
        <w:rPr>
          <w:rFonts w:hint="eastAsia" w:hAnsi="宋体"/>
          <w:sz w:val="21"/>
          <w:szCs w:val="21"/>
        </w:rPr>
        <w:t>①封面：必须有项目名称、项目特征、经济指标、编制人员签名及资格证编号和联系电话、施工单位负责人签名、施工单位名称及公章、编制日期及送审日期。</w:t>
      </w:r>
    </w:p>
    <w:p>
      <w:pPr>
        <w:spacing w:before="97" w:beforeLines="30" w:after="97" w:afterLines="30" w:line="400" w:lineRule="exact"/>
        <w:ind w:firstLine="315" w:firstLineChars="150"/>
        <w:rPr>
          <w:rFonts w:hAnsi="宋体"/>
          <w:sz w:val="21"/>
          <w:szCs w:val="21"/>
        </w:rPr>
      </w:pPr>
      <w:r>
        <w:rPr>
          <w:rFonts w:hint="eastAsia" w:hAnsi="宋体"/>
          <w:sz w:val="21"/>
          <w:szCs w:val="21"/>
        </w:rPr>
        <w:t>②编制说明</w:t>
      </w:r>
    </w:p>
    <w:p>
      <w:pPr>
        <w:spacing w:before="97" w:beforeLines="30" w:after="97" w:afterLines="30" w:line="400" w:lineRule="exact"/>
        <w:ind w:firstLine="315" w:firstLineChars="150"/>
        <w:rPr>
          <w:rFonts w:hAnsi="宋体"/>
          <w:sz w:val="21"/>
          <w:szCs w:val="21"/>
        </w:rPr>
      </w:pPr>
      <w:r>
        <w:rPr>
          <w:rFonts w:hint="eastAsia" w:hAnsi="宋体"/>
          <w:sz w:val="21"/>
          <w:szCs w:val="21"/>
        </w:rPr>
        <w:t>③汇总表</w:t>
      </w:r>
    </w:p>
    <w:p>
      <w:pPr>
        <w:spacing w:before="97" w:beforeLines="30" w:after="97" w:afterLines="30" w:line="400" w:lineRule="exact"/>
        <w:ind w:firstLine="315" w:firstLineChars="150"/>
        <w:rPr>
          <w:rFonts w:hAnsi="宋体"/>
          <w:sz w:val="21"/>
          <w:szCs w:val="21"/>
        </w:rPr>
      </w:pPr>
      <w:r>
        <w:rPr>
          <w:rFonts w:hint="eastAsia" w:hAnsi="宋体"/>
          <w:sz w:val="21"/>
          <w:szCs w:val="21"/>
        </w:rPr>
        <w:t>④结算清单</w:t>
      </w:r>
    </w:p>
    <w:p>
      <w:pPr>
        <w:spacing w:before="97" w:beforeLines="30" w:after="97" w:afterLines="30" w:line="400" w:lineRule="exact"/>
        <w:ind w:firstLine="315" w:firstLineChars="150"/>
        <w:rPr>
          <w:rFonts w:hAnsi="宋体"/>
          <w:sz w:val="21"/>
          <w:szCs w:val="21"/>
        </w:rPr>
      </w:pPr>
      <w:r>
        <w:rPr>
          <w:rFonts w:hint="eastAsia" w:hAnsi="宋体"/>
          <w:sz w:val="21"/>
          <w:szCs w:val="21"/>
        </w:rPr>
        <w:t>B)工程量计算式；</w:t>
      </w:r>
    </w:p>
    <w:p>
      <w:pPr>
        <w:spacing w:before="97" w:beforeLines="30" w:after="97" w:afterLines="30" w:line="400" w:lineRule="exact"/>
        <w:ind w:firstLine="315" w:firstLineChars="150"/>
        <w:rPr>
          <w:rFonts w:hAnsi="宋体"/>
          <w:sz w:val="21"/>
          <w:szCs w:val="21"/>
        </w:rPr>
      </w:pPr>
      <w:r>
        <w:rPr>
          <w:rFonts w:hint="eastAsia" w:hAnsi="宋体"/>
          <w:sz w:val="21"/>
          <w:szCs w:val="21"/>
        </w:rPr>
        <w:t>C)有效的现场签证单（原件）；</w:t>
      </w:r>
    </w:p>
    <w:p>
      <w:pPr>
        <w:spacing w:before="97" w:beforeLines="30" w:after="97" w:afterLines="30" w:line="400" w:lineRule="exact"/>
        <w:ind w:firstLine="315" w:firstLineChars="150"/>
        <w:rPr>
          <w:rFonts w:hAnsi="宋体"/>
          <w:sz w:val="21"/>
          <w:szCs w:val="21"/>
        </w:rPr>
      </w:pPr>
      <w:r>
        <w:rPr>
          <w:rFonts w:hint="eastAsia" w:hAnsi="宋体"/>
          <w:sz w:val="21"/>
          <w:szCs w:val="21"/>
        </w:rPr>
        <w:t>D)有效的认质认价函；</w:t>
      </w:r>
    </w:p>
    <w:p>
      <w:pPr>
        <w:spacing w:before="97" w:beforeLines="30" w:after="97" w:afterLines="30" w:line="400" w:lineRule="exact"/>
        <w:ind w:firstLine="315" w:firstLineChars="150"/>
        <w:rPr>
          <w:rFonts w:hAnsi="宋体"/>
          <w:sz w:val="21"/>
          <w:szCs w:val="21"/>
        </w:rPr>
      </w:pPr>
      <w:r>
        <w:rPr>
          <w:rFonts w:hint="eastAsia" w:hAnsi="宋体"/>
          <w:sz w:val="21"/>
          <w:szCs w:val="21"/>
        </w:rPr>
        <w:t>E)竣工资料：开、骏工报告；质量等级认证；施工合同及补充协议；经甲方及监理确认的竣工图；</w:t>
      </w:r>
    </w:p>
    <w:p>
      <w:pPr>
        <w:spacing w:before="97" w:beforeLines="30" w:after="97" w:afterLines="30" w:line="400" w:lineRule="exact"/>
        <w:ind w:firstLine="315" w:firstLineChars="150"/>
        <w:rPr>
          <w:rFonts w:hAnsi="宋体"/>
          <w:sz w:val="21"/>
          <w:szCs w:val="21"/>
        </w:rPr>
      </w:pPr>
      <w:r>
        <w:rPr>
          <w:rFonts w:hint="eastAsia" w:hAnsi="宋体"/>
          <w:sz w:val="21"/>
          <w:szCs w:val="21"/>
        </w:rPr>
        <w:t>F）按广东省统表以及满足东莞市档案馆竣工资料目录所要求的标准完成竣工结算资料的准备；</w:t>
      </w:r>
    </w:p>
    <w:p>
      <w:pPr>
        <w:spacing w:before="97" w:beforeLines="30" w:after="97" w:afterLines="30" w:line="400" w:lineRule="exact"/>
        <w:ind w:firstLine="315" w:firstLineChars="150"/>
        <w:rPr>
          <w:rFonts w:hAnsi="宋体"/>
          <w:sz w:val="21"/>
          <w:szCs w:val="21"/>
        </w:rPr>
      </w:pPr>
      <w:r>
        <w:rPr>
          <w:rFonts w:hint="eastAsia" w:hAnsi="宋体"/>
          <w:sz w:val="21"/>
          <w:szCs w:val="21"/>
        </w:rPr>
        <w:t>（3）不符合以上要求的结算资料，视为不合格，乙方需无条件返工，且甲方有权拒绝办理工程结算。</w:t>
      </w:r>
    </w:p>
    <w:p>
      <w:pPr>
        <w:spacing w:line="480" w:lineRule="exact"/>
        <w:rPr>
          <w:rFonts w:hAnsi="宋体"/>
          <w:b/>
          <w:sz w:val="21"/>
          <w:szCs w:val="21"/>
        </w:rPr>
      </w:pPr>
      <w:r>
        <w:rPr>
          <w:rFonts w:hint="eastAsia" w:hAnsi="宋体"/>
          <w:b/>
          <w:sz w:val="21"/>
          <w:szCs w:val="21"/>
        </w:rPr>
        <w:t>第七条  工程质量、安全及验收</w:t>
      </w:r>
    </w:p>
    <w:p>
      <w:pPr>
        <w:spacing w:before="97" w:beforeLines="30" w:after="97" w:afterLines="30" w:line="400" w:lineRule="exact"/>
        <w:ind w:left="118" w:leftChars="49" w:firstLine="315" w:firstLineChars="150"/>
        <w:rPr>
          <w:rFonts w:hAnsi="宋体"/>
          <w:bCs/>
          <w:sz w:val="21"/>
          <w:szCs w:val="21"/>
        </w:rPr>
      </w:pPr>
      <w:r>
        <w:rPr>
          <w:rFonts w:hint="eastAsia" w:hAnsi="宋体"/>
          <w:bCs/>
          <w:sz w:val="21"/>
          <w:szCs w:val="21"/>
        </w:rPr>
        <w:t>（一）工程质量</w:t>
      </w:r>
    </w:p>
    <w:p>
      <w:pPr>
        <w:spacing w:line="520" w:lineRule="exact"/>
        <w:ind w:firstLine="480"/>
        <w:rPr>
          <w:rFonts w:hAnsi="宋体"/>
          <w:bCs/>
          <w:sz w:val="21"/>
          <w:szCs w:val="21"/>
        </w:rPr>
      </w:pPr>
      <w:r>
        <w:rPr>
          <w:rFonts w:hint="eastAsia" w:hAnsi="宋体"/>
          <w:bCs/>
          <w:sz w:val="21"/>
          <w:szCs w:val="21"/>
        </w:rPr>
        <w:t>乙方应严格按照磋商文件、施工图纸、说明文件和国家颁发的建筑安装、弱电工程规范、规程和标准进行施工，并接受甲方现场代表及监理公司的监督。工程质量标准为：</w:t>
      </w:r>
      <w:r>
        <w:rPr>
          <w:rFonts w:hint="eastAsia" w:hAnsi="宋体"/>
          <w:sz w:val="21"/>
          <w:szCs w:val="21"/>
        </w:rPr>
        <w:t>中华人民共和国现行国家标准、国家工程质量验收标准：</w:t>
      </w:r>
      <w:r>
        <w:rPr>
          <w:rFonts w:hint="eastAsia" w:hAnsi="宋体"/>
          <w:sz w:val="21"/>
          <w:szCs w:val="21"/>
          <w:u w:val="single"/>
        </w:rPr>
        <w:t>达到“合格”或以上</w:t>
      </w:r>
      <w:r>
        <w:rPr>
          <w:rFonts w:hint="eastAsia" w:hAnsi="宋体"/>
          <w:sz w:val="21"/>
          <w:szCs w:val="21"/>
        </w:rPr>
        <w:t>，且需满足甲方设计图纸需要和技术要求以及用户需求书</w:t>
      </w:r>
      <w:r>
        <w:rPr>
          <w:rFonts w:hint="eastAsia" w:hAnsi="宋体"/>
          <w:bCs/>
          <w:sz w:val="21"/>
          <w:szCs w:val="21"/>
        </w:rPr>
        <w:t>。</w:t>
      </w:r>
    </w:p>
    <w:p>
      <w:pPr>
        <w:spacing w:line="520" w:lineRule="exact"/>
        <w:ind w:firstLine="420" w:firstLineChars="200"/>
        <w:rPr>
          <w:rFonts w:hAnsi="宋体"/>
          <w:bCs/>
          <w:sz w:val="21"/>
          <w:szCs w:val="21"/>
        </w:rPr>
      </w:pPr>
      <w:r>
        <w:rPr>
          <w:rFonts w:hint="eastAsia" w:hAnsi="宋体"/>
          <w:bCs/>
          <w:sz w:val="21"/>
          <w:szCs w:val="21"/>
        </w:rPr>
        <w:t>1、质量标准要求详见第三条。</w:t>
      </w:r>
    </w:p>
    <w:p>
      <w:pPr>
        <w:spacing w:line="480" w:lineRule="exact"/>
        <w:ind w:firstLine="420" w:firstLineChars="200"/>
        <w:rPr>
          <w:rFonts w:hAnsi="宋体"/>
          <w:bCs/>
          <w:sz w:val="21"/>
          <w:szCs w:val="21"/>
        </w:rPr>
      </w:pPr>
      <w:r>
        <w:rPr>
          <w:rFonts w:hint="eastAsia" w:hAnsi="宋体"/>
          <w:bCs/>
          <w:sz w:val="21"/>
          <w:szCs w:val="21"/>
        </w:rPr>
        <w:t>2、甲方有权随时监督和检验工程质量及施工进度。如甲方发现乙方施工人员素质欠缺及工程质量不达标的，有权通知乙方到场，经甲乙双方确认后，乙方必须更换班组重新施工达到工程验收标准。如乙方拒绝重新更换班组进行施工或者重新施工后工程质量仍不达标的，甲方有权解除合同，要求乙方在3个工作日内全面退场，仅按乙方已完成合格部分的工程量进行结算，因质量不合格造成的材料和返工损失由乙方承担，同时，乙方应按合同总价之2</w:t>
      </w:r>
      <w:r>
        <w:rPr>
          <w:rFonts w:hAnsi="宋体"/>
          <w:bCs/>
          <w:sz w:val="21"/>
          <w:szCs w:val="21"/>
        </w:rPr>
        <w:t>5%</w:t>
      </w:r>
      <w:r>
        <w:rPr>
          <w:rFonts w:hint="eastAsia" w:hAnsi="宋体"/>
          <w:bCs/>
          <w:sz w:val="21"/>
          <w:szCs w:val="21"/>
        </w:rPr>
        <w:t>向甲方支付违约金，违约金有权在未付的工程结算款中扣除。</w:t>
      </w:r>
    </w:p>
    <w:p>
      <w:pPr>
        <w:spacing w:line="480" w:lineRule="exact"/>
        <w:ind w:firstLine="420" w:firstLineChars="200"/>
        <w:rPr>
          <w:rFonts w:hAnsi="宋体"/>
          <w:bCs/>
          <w:sz w:val="21"/>
          <w:szCs w:val="21"/>
        </w:rPr>
      </w:pPr>
      <w:r>
        <w:rPr>
          <w:rFonts w:hint="eastAsia" w:hAnsi="宋体"/>
          <w:bCs/>
          <w:sz w:val="21"/>
          <w:szCs w:val="21"/>
        </w:rPr>
        <w:t>3、乙方在提请甲方检查、验收（包括工序、隐蔽工程、分项工程、竣工工程）前，应先自检，自检合格，测量、记录有关数据和文字并登记在质量技术记录表上后，凭表书面请求甲方检查、验收，甲方应在接到申请后</w:t>
      </w:r>
      <w:r>
        <w:rPr>
          <w:rFonts w:hint="eastAsia" w:hAnsi="宋体"/>
          <w:bCs/>
          <w:sz w:val="21"/>
          <w:szCs w:val="21"/>
          <w:u w:val="single"/>
        </w:rPr>
        <w:t>48</w:t>
      </w:r>
      <w:r>
        <w:rPr>
          <w:rFonts w:hint="eastAsia" w:hAnsi="宋体"/>
          <w:bCs/>
          <w:sz w:val="21"/>
          <w:szCs w:val="21"/>
        </w:rPr>
        <w:t>小时内组织检查验收，未经验收通过，乙方不得进入下一工序或隐蔽。验收时，第一次验收不合格，对乙方处以壹万元经济处罚，且乙方应按甲方的要求在限期内整改完毕并报甲方验收，若乙方未能在限期内整改，或虽经整改但经甲方第二次验收仍不合格的，甲方有权解除本合同，已完成的合格工程按75%结算，余款作质量违约金，并限期办理有关退场手续。</w:t>
      </w:r>
    </w:p>
    <w:p>
      <w:pPr>
        <w:spacing w:line="480" w:lineRule="exact"/>
        <w:ind w:firstLine="420" w:firstLineChars="200"/>
        <w:rPr>
          <w:rFonts w:hAnsi="宋体"/>
          <w:sz w:val="21"/>
          <w:szCs w:val="21"/>
        </w:rPr>
      </w:pPr>
      <w:r>
        <w:rPr>
          <w:rFonts w:hint="eastAsia" w:hAnsi="宋体"/>
          <w:sz w:val="21"/>
          <w:szCs w:val="21"/>
        </w:rPr>
        <w:t>4、合同双方当事人应严格遵守国家、省有关工程质量和施工安全的法律法规、标准与规范等规定，认真履行合同约定的工程质量和施工安全的职责和义务。</w:t>
      </w:r>
    </w:p>
    <w:p>
      <w:pPr>
        <w:spacing w:line="480" w:lineRule="exact"/>
        <w:ind w:firstLine="420" w:firstLineChars="200"/>
        <w:rPr>
          <w:rFonts w:hAnsi="宋体"/>
          <w:sz w:val="21"/>
          <w:szCs w:val="21"/>
        </w:rPr>
      </w:pPr>
      <w:r>
        <w:rPr>
          <w:rFonts w:hint="eastAsia" w:hAnsi="宋体"/>
          <w:sz w:val="21"/>
          <w:szCs w:val="21"/>
        </w:rPr>
        <w:t>5、甲方在领取施工许可证或者开工报告之前，应按照国家有关规定办理合同工程质量和施工安全监督手续。乙方应在施工场地设置专门的工程质量和施工安全管理机构，配备专职管理人员，建立完善的管理制度。</w:t>
      </w:r>
    </w:p>
    <w:p>
      <w:pPr>
        <w:spacing w:line="480" w:lineRule="exact"/>
        <w:ind w:firstLine="420" w:firstLineChars="200"/>
        <w:rPr>
          <w:rFonts w:hAnsi="宋体"/>
          <w:sz w:val="21"/>
          <w:szCs w:val="21"/>
        </w:rPr>
      </w:pPr>
      <w:r>
        <w:rPr>
          <w:rFonts w:hint="eastAsia" w:hAnsi="宋体"/>
          <w:sz w:val="21"/>
          <w:szCs w:val="21"/>
        </w:rPr>
        <w:t>6、甲方不得以任何理由，要求乙方在施工作业中违反法律法规、工程建设强制性标准，以及工程质量和施工安全标准，降低合同工程质量。乙方应加强对施工作业人员的工程质量和施工安全教育培训，定期考核施工作业人员的劳动技能，加强工程质量和施工安全管理。</w:t>
      </w:r>
    </w:p>
    <w:p>
      <w:pPr>
        <w:tabs>
          <w:tab w:val="left" w:pos="900"/>
        </w:tabs>
        <w:snapToGrid w:val="0"/>
        <w:spacing w:line="480" w:lineRule="exact"/>
        <w:ind w:firstLine="420" w:firstLineChars="200"/>
        <w:rPr>
          <w:rFonts w:hAnsi="宋体"/>
          <w:sz w:val="21"/>
          <w:szCs w:val="21"/>
        </w:rPr>
      </w:pPr>
      <w:r>
        <w:rPr>
          <w:rFonts w:hint="eastAsia" w:hAnsi="宋体"/>
          <w:sz w:val="21"/>
          <w:szCs w:val="21"/>
        </w:rPr>
        <w:t>7、乙方应对合同工程质量和施工安全负责，严格执行国家、省有关工程质量和施工安全的操作规程及管理要求，按照施工设计图纸和施工技术标准施工，不得偷工减料，不得擅自修改施工设计图纸，确保合同工程质量和施工安全。</w:t>
      </w:r>
    </w:p>
    <w:p>
      <w:pPr>
        <w:tabs>
          <w:tab w:val="left" w:pos="900"/>
        </w:tabs>
        <w:snapToGrid w:val="0"/>
        <w:spacing w:line="480" w:lineRule="exact"/>
        <w:ind w:firstLine="420" w:firstLineChars="200"/>
        <w:rPr>
          <w:rFonts w:hAnsi="宋体"/>
          <w:sz w:val="21"/>
          <w:szCs w:val="21"/>
        </w:rPr>
      </w:pPr>
      <w:r>
        <w:rPr>
          <w:rFonts w:hint="eastAsia" w:hAnsi="宋体"/>
          <w:sz w:val="21"/>
          <w:szCs w:val="21"/>
        </w:rPr>
        <w:t>8、甲方应组织乙方和有关单位进行安全检查，授权监理工程师按合同约定的安全文明施工内容监督、检查乙方实施安全文明施工。</w:t>
      </w:r>
    </w:p>
    <w:p>
      <w:pPr>
        <w:tabs>
          <w:tab w:val="left" w:pos="900"/>
        </w:tabs>
        <w:snapToGrid w:val="0"/>
        <w:spacing w:line="480" w:lineRule="exact"/>
        <w:ind w:firstLine="420" w:firstLineChars="200"/>
        <w:rPr>
          <w:rFonts w:hAnsi="宋体"/>
          <w:sz w:val="21"/>
          <w:szCs w:val="21"/>
        </w:rPr>
      </w:pPr>
      <w:r>
        <w:rPr>
          <w:rFonts w:hint="eastAsia" w:hAnsi="宋体"/>
          <w:sz w:val="21"/>
          <w:szCs w:val="21"/>
        </w:rPr>
        <w:t>9、乙方应及时执行监理工程师发出的安全文明施工的工作指令，并按合同约定的期限和安全文明施工内容编制安全文明施工措施计划，提交给监理工程师并由其报甲方批准后实施</w:t>
      </w:r>
    </w:p>
    <w:p>
      <w:pPr>
        <w:tabs>
          <w:tab w:val="left" w:pos="900"/>
        </w:tabs>
        <w:snapToGrid w:val="0"/>
        <w:spacing w:line="480" w:lineRule="exact"/>
        <w:ind w:firstLine="420" w:firstLineChars="200"/>
        <w:rPr>
          <w:rFonts w:hAnsi="宋体"/>
          <w:sz w:val="21"/>
          <w:szCs w:val="21"/>
        </w:rPr>
      </w:pPr>
      <w:r>
        <w:rPr>
          <w:rFonts w:hint="eastAsia" w:hAnsi="宋体"/>
          <w:sz w:val="21"/>
          <w:szCs w:val="21"/>
        </w:rPr>
        <w:t>10、在合同工程实施、完成及保修期间，乙方承担下列责任：</w:t>
      </w:r>
    </w:p>
    <w:p>
      <w:pPr>
        <w:tabs>
          <w:tab w:val="left" w:pos="900"/>
        </w:tabs>
        <w:snapToGrid w:val="0"/>
        <w:spacing w:line="480" w:lineRule="exact"/>
        <w:ind w:firstLine="420" w:firstLineChars="200"/>
        <w:rPr>
          <w:rFonts w:hAnsi="宋体"/>
          <w:sz w:val="21"/>
          <w:szCs w:val="21"/>
        </w:rPr>
      </w:pPr>
      <w:r>
        <w:rPr>
          <w:rFonts w:hint="eastAsia" w:hAnsi="宋体"/>
          <w:sz w:val="21"/>
          <w:szCs w:val="21"/>
        </w:rPr>
        <w:t>（1）乙方应严格按照国家有关安全文明施工的标准与规范制定安全文明施工操作规程，配备必要的安全生产和劳动保护设施，加强对施工作业人员的施工安全教育培训，对他们的安全负责。</w:t>
      </w:r>
    </w:p>
    <w:p>
      <w:pPr>
        <w:tabs>
          <w:tab w:val="left" w:pos="900"/>
        </w:tabs>
        <w:snapToGrid w:val="0"/>
        <w:spacing w:line="480" w:lineRule="exact"/>
        <w:ind w:firstLine="420" w:firstLineChars="200"/>
        <w:rPr>
          <w:rFonts w:hAnsi="宋体"/>
          <w:sz w:val="21"/>
          <w:szCs w:val="21"/>
        </w:rPr>
      </w:pPr>
      <w:r>
        <w:rPr>
          <w:rFonts w:hint="eastAsia" w:hAnsi="宋体"/>
          <w:sz w:val="21"/>
          <w:szCs w:val="21"/>
        </w:rPr>
        <w:t>（2）乙方应对合同工程的安全文明施工负责，采取有效的安全措施消除安全事故隐患，并接受和配合依法实施的监督检查。</w:t>
      </w:r>
    </w:p>
    <w:p>
      <w:pPr>
        <w:tabs>
          <w:tab w:val="left" w:pos="900"/>
        </w:tabs>
        <w:snapToGrid w:val="0"/>
        <w:spacing w:line="480" w:lineRule="exact"/>
        <w:ind w:firstLine="420" w:firstLineChars="200"/>
        <w:rPr>
          <w:rFonts w:hAnsi="宋体"/>
          <w:sz w:val="21"/>
          <w:szCs w:val="21"/>
        </w:rPr>
      </w:pPr>
      <w:r>
        <w:rPr>
          <w:rFonts w:hint="eastAsia" w:hAnsi="宋体"/>
          <w:sz w:val="21"/>
          <w:szCs w:val="21"/>
        </w:rPr>
        <w:t>（3）乙方应加强施工作业安全管理，特别应加强经监理工程师同意并由其报甲方批准的输送电线路工程，使用易燃、易爆材料、火工器材、有毒与腐蚀性材料等危险品工程，以及爆破作业和地下工程施工等危险作业的安全管理，尽量避免人员伤亡和财产损失。</w:t>
      </w:r>
    </w:p>
    <w:p>
      <w:pPr>
        <w:tabs>
          <w:tab w:val="left" w:pos="900"/>
        </w:tabs>
        <w:snapToGrid w:val="0"/>
        <w:spacing w:line="480" w:lineRule="exact"/>
        <w:ind w:firstLine="420" w:firstLineChars="200"/>
        <w:rPr>
          <w:rFonts w:hAnsi="宋体"/>
          <w:sz w:val="21"/>
          <w:szCs w:val="21"/>
        </w:rPr>
      </w:pPr>
      <w:r>
        <w:rPr>
          <w:rFonts w:hint="eastAsia" w:hAnsi="宋体"/>
          <w:sz w:val="21"/>
          <w:szCs w:val="21"/>
        </w:rPr>
        <w:t>（4）乙方应按监理工程师的指令制定应对灾害的紧急预案，并按预案做好安全检查，配置必要的救助物资和器材，切实保护好有关人员的人身和财产安全。</w:t>
      </w:r>
    </w:p>
    <w:p>
      <w:pPr>
        <w:tabs>
          <w:tab w:val="left" w:pos="900"/>
        </w:tabs>
        <w:snapToGrid w:val="0"/>
        <w:spacing w:line="480" w:lineRule="exact"/>
        <w:ind w:firstLine="420" w:firstLineChars="200"/>
        <w:rPr>
          <w:rFonts w:hAnsi="宋体"/>
          <w:sz w:val="21"/>
          <w:szCs w:val="21"/>
        </w:rPr>
      </w:pPr>
      <w:r>
        <w:rPr>
          <w:rFonts w:hint="eastAsia" w:hAnsi="宋体"/>
          <w:sz w:val="21"/>
          <w:szCs w:val="21"/>
        </w:rPr>
        <w:t>（5）乙方违反本条规定或由于乙方原因造成安全事故的，由乙方承担责任，由此增加的费用和延误的工期由乙方承担；但由于甲方原因造成安全事故的，由甲方承担责任。</w:t>
      </w:r>
    </w:p>
    <w:p>
      <w:pPr>
        <w:spacing w:line="520" w:lineRule="exact"/>
        <w:ind w:firstLine="420" w:firstLineChars="200"/>
        <w:rPr>
          <w:rFonts w:hAnsi="宋体"/>
          <w:bCs/>
          <w:sz w:val="21"/>
          <w:szCs w:val="21"/>
        </w:rPr>
      </w:pPr>
      <w:r>
        <w:rPr>
          <w:rFonts w:hint="eastAsia" w:hAnsi="宋体"/>
          <w:sz w:val="21"/>
          <w:szCs w:val="21"/>
        </w:rPr>
        <w:t>（6）由于乙方原因在施工场地内及其毗邻造成的第三者人身伤亡和财产损失，由乙方负责赔偿。</w:t>
      </w:r>
    </w:p>
    <w:p>
      <w:pPr>
        <w:spacing w:before="97" w:beforeLines="30" w:after="97" w:afterLines="30" w:line="400" w:lineRule="exact"/>
        <w:ind w:left="118" w:leftChars="49" w:firstLine="315" w:firstLineChars="150"/>
        <w:rPr>
          <w:rFonts w:hAnsi="宋体"/>
          <w:bCs/>
          <w:sz w:val="21"/>
          <w:szCs w:val="21"/>
        </w:rPr>
      </w:pPr>
      <w:r>
        <w:rPr>
          <w:rFonts w:hint="eastAsia" w:hAnsi="宋体"/>
          <w:bCs/>
          <w:sz w:val="21"/>
          <w:szCs w:val="21"/>
        </w:rPr>
        <w:t>（二）验收</w:t>
      </w:r>
    </w:p>
    <w:p>
      <w:pPr>
        <w:snapToGrid w:val="0"/>
        <w:spacing w:line="360" w:lineRule="auto"/>
        <w:ind w:firstLine="420" w:firstLineChars="200"/>
        <w:rPr>
          <w:rFonts w:hAnsi="宋体"/>
          <w:bCs/>
          <w:sz w:val="21"/>
          <w:szCs w:val="21"/>
        </w:rPr>
      </w:pPr>
      <w:r>
        <w:rPr>
          <w:rFonts w:hint="eastAsia" w:hAnsi="宋体"/>
          <w:bCs/>
          <w:sz w:val="21"/>
          <w:szCs w:val="21"/>
        </w:rPr>
        <w:t>1、</w:t>
      </w:r>
      <w:r>
        <w:rPr>
          <w:rFonts w:hint="eastAsia" w:hAnsi="宋体"/>
          <w:sz w:val="21"/>
          <w:szCs w:val="21"/>
        </w:rPr>
        <w:t>验收的依据和标准：以甲乙双方确认的施工图纸及说明、</w:t>
      </w:r>
      <w:r>
        <w:rPr>
          <w:rFonts w:hint="eastAsia" w:hAnsi="宋体"/>
          <w:bCs/>
          <w:sz w:val="21"/>
          <w:szCs w:val="21"/>
        </w:rPr>
        <w:t>施工技术文件</w:t>
      </w:r>
      <w:r>
        <w:rPr>
          <w:rFonts w:hint="eastAsia" w:hAnsi="宋体"/>
          <w:sz w:val="21"/>
          <w:szCs w:val="21"/>
        </w:rPr>
        <w:t>，有关设计变更和技术交底及会议纪要，质量标准的评定以中华人民共和国现行国家标准、国家工程质量验收标准以及符合东莞市相关主管部门的规定为依据。</w:t>
      </w:r>
    </w:p>
    <w:p>
      <w:pPr>
        <w:spacing w:line="480" w:lineRule="exact"/>
        <w:ind w:firstLine="420" w:firstLineChars="200"/>
        <w:rPr>
          <w:rFonts w:hAnsi="宋体"/>
          <w:sz w:val="21"/>
          <w:szCs w:val="21"/>
          <w:u w:val="single"/>
        </w:rPr>
      </w:pPr>
      <w:r>
        <w:rPr>
          <w:rFonts w:hint="eastAsia" w:hAnsi="宋体"/>
          <w:bCs/>
          <w:sz w:val="21"/>
          <w:szCs w:val="21"/>
        </w:rPr>
        <w:t>2、验收方式：根据国家有关施工验收规范及甲方提出的相关技术指标要求，</w:t>
      </w:r>
      <w:r>
        <w:rPr>
          <w:rFonts w:hint="eastAsia" w:hAnsi="宋体"/>
          <w:sz w:val="21"/>
          <w:szCs w:val="21"/>
          <w:u w:val="single"/>
        </w:rPr>
        <w:t>乙方提交工程验收资料，并向甲方提出验收申请，由监理单位（建设单位）按规范规定组织相关单位验收。</w:t>
      </w:r>
    </w:p>
    <w:p>
      <w:pPr>
        <w:spacing w:line="520" w:lineRule="exact"/>
        <w:ind w:firstLine="420" w:firstLineChars="200"/>
        <w:rPr>
          <w:rFonts w:hAnsi="宋体"/>
          <w:bCs/>
          <w:sz w:val="21"/>
          <w:szCs w:val="21"/>
        </w:rPr>
      </w:pPr>
      <w:r>
        <w:rPr>
          <w:rFonts w:hint="eastAsia" w:hAnsi="宋体"/>
          <w:bCs/>
          <w:sz w:val="21"/>
          <w:szCs w:val="21"/>
        </w:rPr>
        <w:t>3、工程具备竣工验收条件，乙方按国家工程竣工验收有关规定，提前15天向甲方提供完整竣工资料、竣工验收报告及工程质量保修书。乙方认为符合验收条件后组织甲方初步验收。</w:t>
      </w:r>
    </w:p>
    <w:p>
      <w:pPr>
        <w:spacing w:line="520" w:lineRule="exact"/>
        <w:ind w:firstLine="420" w:firstLineChars="200"/>
        <w:rPr>
          <w:rFonts w:hAnsi="宋体"/>
          <w:bCs/>
          <w:sz w:val="21"/>
          <w:szCs w:val="21"/>
        </w:rPr>
      </w:pPr>
      <w:r>
        <w:rPr>
          <w:rFonts w:hint="eastAsia" w:hAnsi="宋体"/>
          <w:bCs/>
          <w:sz w:val="21"/>
          <w:szCs w:val="21"/>
        </w:rPr>
        <w:t>4、初验合格后，甲方与建设方联系，确定验收日期，组织建设方、甲方、乙方参加的竣工验收。甲方应在竣工验收当天后 5 天内提出整改意见，乙方按意见整改。</w:t>
      </w:r>
    </w:p>
    <w:p>
      <w:pPr>
        <w:spacing w:line="520" w:lineRule="exact"/>
        <w:ind w:firstLine="420" w:firstLineChars="200"/>
        <w:rPr>
          <w:rFonts w:hAnsi="宋体"/>
          <w:bCs/>
          <w:sz w:val="21"/>
          <w:szCs w:val="21"/>
        </w:rPr>
      </w:pPr>
      <w:r>
        <w:rPr>
          <w:rFonts w:hint="eastAsia" w:hAnsi="宋体"/>
          <w:bCs/>
          <w:sz w:val="21"/>
          <w:szCs w:val="21"/>
        </w:rPr>
        <w:t>5、竣工验收参加单位为建设单位、甲方、乙方、设计单位，工程竣工四方验收文件所标示的最后日期即为实际竣工日期。</w:t>
      </w:r>
    </w:p>
    <w:p>
      <w:pPr>
        <w:tabs>
          <w:tab w:val="left" w:pos="180"/>
          <w:tab w:val="left" w:pos="900"/>
        </w:tabs>
        <w:spacing w:line="480" w:lineRule="exact"/>
        <w:ind w:firstLine="420" w:firstLineChars="200"/>
        <w:rPr>
          <w:rFonts w:hAnsi="宋体"/>
          <w:bCs/>
          <w:sz w:val="21"/>
          <w:szCs w:val="21"/>
        </w:rPr>
      </w:pPr>
      <w:r>
        <w:rPr>
          <w:rFonts w:hint="eastAsia" w:hAnsi="宋体"/>
          <w:bCs/>
          <w:sz w:val="21"/>
          <w:szCs w:val="21"/>
        </w:rPr>
        <w:t>6、分项工程施工前，乙方必须先做样板，经甲方验收合格后方可大面积施工。</w:t>
      </w:r>
    </w:p>
    <w:p>
      <w:pPr>
        <w:spacing w:line="480" w:lineRule="exact"/>
        <w:ind w:firstLine="420" w:firstLineChars="200"/>
        <w:rPr>
          <w:rFonts w:hAnsi="宋体"/>
          <w:bCs/>
          <w:sz w:val="21"/>
          <w:szCs w:val="21"/>
        </w:rPr>
      </w:pPr>
      <w:r>
        <w:rPr>
          <w:rFonts w:hint="eastAsia" w:hAnsi="宋体"/>
          <w:bCs/>
          <w:sz w:val="21"/>
          <w:szCs w:val="21"/>
        </w:rPr>
        <w:t>7、如工程质量达不到合同约定的标准并在甲方指定的时间内整改一次无效，甲方</w:t>
      </w:r>
      <w:r>
        <w:rPr>
          <w:rFonts w:hint="eastAsia" w:hAnsi="宋体"/>
          <w:sz w:val="21"/>
          <w:szCs w:val="21"/>
        </w:rPr>
        <w:t>有权委托第三方代乙方完成，因此造成甲方的一切损失（包括但不限于第三方施工的费用、律师费、诉讼费、财产保全保险费等）的125%（即外加2</w:t>
      </w:r>
      <w:r>
        <w:rPr>
          <w:rFonts w:hAnsi="宋体"/>
          <w:sz w:val="21"/>
          <w:szCs w:val="21"/>
        </w:rPr>
        <w:t>5%</w:t>
      </w:r>
      <w:r>
        <w:rPr>
          <w:rFonts w:hint="eastAsia" w:hAnsi="宋体"/>
          <w:sz w:val="21"/>
          <w:szCs w:val="21"/>
        </w:rPr>
        <w:t>管理费）由乙方承担，且甲方有权在应向乙方支付的工程款中扣除。</w:t>
      </w:r>
    </w:p>
    <w:p>
      <w:pPr>
        <w:spacing w:line="480" w:lineRule="exact"/>
        <w:ind w:firstLine="420" w:firstLineChars="200"/>
        <w:rPr>
          <w:rFonts w:hAnsi="宋体"/>
          <w:b/>
          <w:sz w:val="21"/>
          <w:szCs w:val="21"/>
        </w:rPr>
      </w:pPr>
      <w:r>
        <w:rPr>
          <w:rFonts w:hint="eastAsia" w:hAnsi="宋体"/>
          <w:bCs/>
          <w:sz w:val="21"/>
          <w:szCs w:val="21"/>
        </w:rPr>
        <w:t>8、乙方应于验收申请时</w:t>
      </w:r>
      <w:r>
        <w:rPr>
          <w:rFonts w:hint="eastAsia" w:hAnsi="宋体"/>
          <w:bCs/>
          <w:sz w:val="21"/>
          <w:szCs w:val="21"/>
          <w:u w:val="single"/>
        </w:rPr>
        <w:t xml:space="preserve">          /          </w:t>
      </w:r>
      <w:r>
        <w:rPr>
          <w:rFonts w:hint="eastAsia" w:hAnsi="宋体"/>
          <w:bCs/>
          <w:sz w:val="21"/>
          <w:szCs w:val="21"/>
        </w:rPr>
        <w:t>将完整的工程技术档案和竣工资料一式</w:t>
      </w:r>
      <w:r>
        <w:rPr>
          <w:rFonts w:hint="eastAsia" w:hAnsi="宋体"/>
          <w:bCs/>
          <w:sz w:val="21"/>
          <w:szCs w:val="21"/>
          <w:u w:val="single"/>
        </w:rPr>
        <w:t>二</w:t>
      </w:r>
      <w:r>
        <w:rPr>
          <w:rFonts w:hint="eastAsia" w:hAnsi="宋体"/>
          <w:bCs/>
          <w:sz w:val="21"/>
          <w:szCs w:val="21"/>
        </w:rPr>
        <w:t>份交付给甲方。</w:t>
      </w:r>
    </w:p>
    <w:p>
      <w:pPr>
        <w:spacing w:line="480" w:lineRule="exact"/>
        <w:rPr>
          <w:rFonts w:hAnsi="宋体"/>
          <w:b/>
          <w:sz w:val="21"/>
          <w:szCs w:val="21"/>
        </w:rPr>
      </w:pPr>
      <w:r>
        <w:rPr>
          <w:rFonts w:hint="eastAsia" w:hAnsi="宋体"/>
          <w:b/>
          <w:sz w:val="21"/>
          <w:szCs w:val="21"/>
        </w:rPr>
        <w:t>第八条  材料设备供应</w:t>
      </w:r>
    </w:p>
    <w:p>
      <w:pPr>
        <w:spacing w:line="480" w:lineRule="exact"/>
        <w:ind w:firstLine="210" w:firstLineChars="100"/>
        <w:rPr>
          <w:rFonts w:hAnsi="宋体"/>
          <w:sz w:val="21"/>
          <w:szCs w:val="21"/>
        </w:rPr>
      </w:pPr>
      <w:r>
        <w:rPr>
          <w:rFonts w:hint="eastAsia" w:hAnsi="宋体"/>
          <w:sz w:val="21"/>
          <w:szCs w:val="21"/>
        </w:rPr>
        <w:t>（一）由甲方供应的材料及设备</w:t>
      </w:r>
    </w:p>
    <w:p>
      <w:pPr>
        <w:spacing w:line="480" w:lineRule="exact"/>
        <w:ind w:firstLine="420"/>
        <w:rPr>
          <w:rFonts w:hAnsi="宋体"/>
          <w:sz w:val="21"/>
          <w:szCs w:val="21"/>
        </w:rPr>
      </w:pPr>
      <w:r>
        <w:rPr>
          <w:rFonts w:hint="eastAsia" w:hAnsi="宋体"/>
          <w:sz w:val="21"/>
          <w:szCs w:val="21"/>
        </w:rPr>
        <w:t>1、甲方将材料、设备送到至施工现场，并提交列明材料品种、规格、颜色、材质等清单，由乙方签收。</w:t>
      </w:r>
    </w:p>
    <w:p>
      <w:pPr>
        <w:spacing w:line="480" w:lineRule="exact"/>
        <w:ind w:firstLine="480"/>
        <w:rPr>
          <w:rFonts w:hAnsi="宋体"/>
          <w:sz w:val="21"/>
          <w:szCs w:val="21"/>
        </w:rPr>
      </w:pPr>
      <w:r>
        <w:rPr>
          <w:rFonts w:hint="eastAsia" w:hAnsi="宋体"/>
          <w:sz w:val="21"/>
          <w:szCs w:val="21"/>
        </w:rPr>
        <w:t>2、甲方供应的材料货到现场后，保管责任由乙方负责。如发现遗失或损坏，由乙方负责赔偿（采保费已包含在投标报价内）。</w:t>
      </w:r>
    </w:p>
    <w:p>
      <w:pPr>
        <w:spacing w:line="480" w:lineRule="exact"/>
        <w:ind w:firstLine="480"/>
        <w:rPr>
          <w:rFonts w:hAnsi="宋体"/>
          <w:sz w:val="21"/>
          <w:szCs w:val="21"/>
        </w:rPr>
      </w:pPr>
      <w:r>
        <w:rPr>
          <w:rFonts w:hint="eastAsia" w:hAnsi="宋体"/>
          <w:sz w:val="21"/>
          <w:szCs w:val="21"/>
        </w:rPr>
        <w:t>3、甲方必须对所提供材料、设备的质量负责。</w:t>
      </w:r>
    </w:p>
    <w:p>
      <w:pPr>
        <w:spacing w:line="480" w:lineRule="exact"/>
        <w:ind w:firstLine="480"/>
        <w:rPr>
          <w:rFonts w:hAnsi="宋体"/>
          <w:sz w:val="21"/>
          <w:szCs w:val="21"/>
        </w:rPr>
      </w:pPr>
      <w:r>
        <w:rPr>
          <w:rFonts w:hint="eastAsia" w:hAnsi="宋体"/>
          <w:sz w:val="21"/>
          <w:szCs w:val="21"/>
        </w:rPr>
        <w:t>4、乙方需在甲供材料使用前10天上报材料计划，如因乙方未及时上报材料计划或上报材料计划有误而导致甲供材料延误的，工期不予顺延，乙方承担全部责任。</w:t>
      </w:r>
    </w:p>
    <w:p>
      <w:pPr>
        <w:spacing w:line="480" w:lineRule="exact"/>
        <w:ind w:firstLine="210" w:firstLineChars="100"/>
        <w:rPr>
          <w:rFonts w:hAnsi="宋体"/>
          <w:sz w:val="21"/>
          <w:szCs w:val="21"/>
        </w:rPr>
      </w:pPr>
      <w:r>
        <w:rPr>
          <w:rFonts w:hint="eastAsia" w:hAnsi="宋体"/>
          <w:sz w:val="21"/>
          <w:szCs w:val="21"/>
        </w:rPr>
        <w:t>（二）由乙方购买、提供的材料及设备：</w:t>
      </w:r>
    </w:p>
    <w:p>
      <w:pPr>
        <w:spacing w:line="480" w:lineRule="exact"/>
        <w:ind w:firstLine="420" w:firstLineChars="200"/>
        <w:rPr>
          <w:rFonts w:hAnsi="宋体"/>
          <w:sz w:val="21"/>
          <w:szCs w:val="21"/>
        </w:rPr>
      </w:pPr>
      <w:r>
        <w:rPr>
          <w:rFonts w:hint="eastAsia" w:hAnsi="宋体"/>
          <w:sz w:val="21"/>
          <w:szCs w:val="21"/>
        </w:rPr>
        <w:t>1、本工程所需的设备、材料等物资的供应均由乙方根据图纸、报价方案要求负责采购。</w:t>
      </w:r>
    </w:p>
    <w:p>
      <w:pPr>
        <w:spacing w:line="480" w:lineRule="exact"/>
        <w:ind w:firstLine="480"/>
        <w:rPr>
          <w:rFonts w:hAnsi="宋体"/>
          <w:sz w:val="21"/>
          <w:szCs w:val="21"/>
        </w:rPr>
      </w:pPr>
      <w:r>
        <w:rPr>
          <w:rFonts w:hint="eastAsia" w:hAnsi="宋体"/>
          <w:sz w:val="21"/>
          <w:szCs w:val="21"/>
        </w:rPr>
        <w:t>2、乙方提供的设备、材料必须达到国家及行业合格标准，并按有关规定提供厂家批号、出厂合格证、当年报验的质量检验书等资料证明，乙方必须对所提供的材料的质量负全责。主要材料及主材的</w:t>
      </w:r>
      <w:r>
        <w:rPr>
          <w:rFonts w:hint="eastAsia" w:hAnsi="宋体"/>
          <w:sz w:val="21"/>
          <w:szCs w:val="21"/>
          <w:lang w:val="zh-CN"/>
        </w:rPr>
        <w:t>单价须由乙方在施工前提供三家报价报送甲方审核部门确定后方能作为结算依据，乙方未及时在施工前报甲方审核的，以甲方审定的价格结算。</w:t>
      </w:r>
    </w:p>
    <w:p>
      <w:pPr>
        <w:spacing w:line="480" w:lineRule="exact"/>
        <w:ind w:firstLine="420" w:firstLineChars="200"/>
        <w:rPr>
          <w:rFonts w:hAnsi="宋体"/>
          <w:sz w:val="21"/>
          <w:szCs w:val="21"/>
        </w:rPr>
      </w:pPr>
      <w:r>
        <w:rPr>
          <w:rFonts w:hint="eastAsia" w:hAnsi="宋体"/>
          <w:sz w:val="21"/>
          <w:szCs w:val="21"/>
        </w:rPr>
        <w:t>3、乙方提供材料的，应向甲方提交列明材料品种、品牌、规格、颜色、材质等的清单，经甲方代表核实签字验收合格后，方可组织材料，设备进场。</w:t>
      </w:r>
    </w:p>
    <w:p>
      <w:pPr>
        <w:spacing w:line="480" w:lineRule="exact"/>
        <w:ind w:firstLine="420" w:firstLineChars="200"/>
        <w:rPr>
          <w:rFonts w:hAnsi="宋体"/>
          <w:sz w:val="21"/>
          <w:szCs w:val="21"/>
        </w:rPr>
      </w:pPr>
      <w:r>
        <w:rPr>
          <w:rFonts w:hint="eastAsia" w:hAnsi="宋体"/>
          <w:sz w:val="21"/>
          <w:szCs w:val="21"/>
        </w:rPr>
        <w:t>4、进场材料和设备必须是磋商文件中甲方指定的品牌，若乙方对所有用于本工程的材料变更或代用其它材料的，应向甲方发出正式书面通知，经甲方及设计单位同意并由甲方现场代表签字认可后，方可用于本工程，否则，监理和甲方现场工程师均有权制止，并要求乙方退回全部材料和设备。同时，乙方必须承担返工及另行购料安装所引起的一切费用。对甲方造成损失的，乙方应予以赔偿。</w:t>
      </w:r>
    </w:p>
    <w:p>
      <w:pPr>
        <w:spacing w:line="480" w:lineRule="exact"/>
        <w:ind w:firstLine="420" w:firstLineChars="200"/>
        <w:rPr>
          <w:rFonts w:hAnsi="宋体"/>
          <w:sz w:val="21"/>
          <w:szCs w:val="21"/>
        </w:rPr>
      </w:pPr>
      <w:r>
        <w:rPr>
          <w:rFonts w:hint="eastAsia" w:hAnsi="宋体"/>
          <w:sz w:val="21"/>
          <w:szCs w:val="21"/>
        </w:rPr>
        <w:t>5、乙方供应的材料、设备必须符合国家标准及规范，并经甲方现场工程师及监理进行现场验收合格后，方可进场施工，验收未合格材料、设备须立即退场，由此产生的一切损失由乙方承担。</w:t>
      </w:r>
    </w:p>
    <w:p>
      <w:pPr>
        <w:spacing w:line="480" w:lineRule="exact"/>
        <w:ind w:firstLine="420" w:firstLineChars="200"/>
        <w:rPr>
          <w:rFonts w:hAnsi="宋体"/>
          <w:sz w:val="21"/>
          <w:szCs w:val="21"/>
        </w:rPr>
      </w:pPr>
      <w:r>
        <w:rPr>
          <w:rFonts w:hint="eastAsia" w:hAnsi="宋体"/>
          <w:sz w:val="21"/>
          <w:szCs w:val="21"/>
        </w:rPr>
        <w:t>6、乙方提供的材料和设备，乙方应会同监理人进行检验和交货验收，查验材料合格证明和产品合格证书，并按照合同约定及相关规范要求的规定，进行材料和设备的送检检测，检测合格且通过甲方及监理单位验收合格后方可用于本工程，所产生的费用由乙方承担。</w:t>
      </w:r>
    </w:p>
    <w:p>
      <w:pPr>
        <w:spacing w:line="480" w:lineRule="exact"/>
        <w:ind w:firstLine="420" w:firstLineChars="200"/>
        <w:rPr>
          <w:rFonts w:hAnsi="宋体"/>
          <w:sz w:val="21"/>
          <w:szCs w:val="21"/>
        </w:rPr>
      </w:pPr>
      <w:r>
        <w:rPr>
          <w:rFonts w:hint="eastAsia" w:hAnsi="宋体"/>
          <w:sz w:val="21"/>
          <w:szCs w:val="21"/>
        </w:rPr>
        <w:t>7、甲方有权对产品质量取样送相关技术质量监督部门检验。如检验结果达不到国家标准，乙方必须立即停工并在两日内办理材料、设备退场及退货，并承担相关费用和由此给甲方造成的损失。影响甲方工期的，乙方应承担相应的赔偿责任。</w:t>
      </w:r>
    </w:p>
    <w:p>
      <w:pPr>
        <w:spacing w:line="480" w:lineRule="exact"/>
        <w:ind w:firstLine="420" w:firstLineChars="200"/>
        <w:rPr>
          <w:rFonts w:hAnsi="宋体"/>
          <w:sz w:val="21"/>
          <w:szCs w:val="21"/>
        </w:rPr>
      </w:pPr>
    </w:p>
    <w:p>
      <w:pPr>
        <w:spacing w:line="480" w:lineRule="exact"/>
        <w:rPr>
          <w:rFonts w:hAnsi="宋体"/>
          <w:b/>
          <w:sz w:val="21"/>
          <w:szCs w:val="21"/>
        </w:rPr>
      </w:pPr>
      <w:r>
        <w:rPr>
          <w:rFonts w:hint="eastAsia" w:hAnsi="宋体"/>
          <w:b/>
          <w:sz w:val="21"/>
          <w:szCs w:val="21"/>
        </w:rPr>
        <w:t>第九条  付款方式</w:t>
      </w:r>
    </w:p>
    <w:p>
      <w:pPr>
        <w:spacing w:line="480" w:lineRule="exact"/>
        <w:ind w:firstLine="420" w:firstLineChars="200"/>
        <w:rPr>
          <w:rFonts w:hAnsi="宋体"/>
          <w:sz w:val="21"/>
          <w:szCs w:val="21"/>
        </w:rPr>
      </w:pPr>
      <w:r>
        <w:rPr>
          <w:rFonts w:hint="eastAsia" w:hAnsi="宋体"/>
          <w:sz w:val="21"/>
          <w:szCs w:val="21"/>
        </w:rPr>
        <w:t>1、工程款支付节点：</w:t>
      </w:r>
    </w:p>
    <w:p>
      <w:pPr>
        <w:tabs>
          <w:tab w:val="left" w:pos="786"/>
        </w:tabs>
        <w:spacing w:line="360" w:lineRule="auto"/>
        <w:ind w:firstLine="420" w:firstLineChars="200"/>
        <w:rPr>
          <w:sz w:val="21"/>
          <w:szCs w:val="21"/>
        </w:rPr>
      </w:pPr>
      <w:r>
        <w:rPr>
          <w:rFonts w:hint="eastAsia" w:hAnsi="宋体"/>
          <w:sz w:val="21"/>
          <w:szCs w:val="21"/>
        </w:rPr>
        <w:t>（1）第一期：合同签订后，乙方提交付款申请之日起1</w:t>
      </w:r>
      <w:r>
        <w:rPr>
          <w:rFonts w:hAnsi="宋体"/>
          <w:sz w:val="21"/>
          <w:szCs w:val="21"/>
        </w:rPr>
        <w:t>5</w:t>
      </w:r>
      <w:r>
        <w:rPr>
          <w:rFonts w:hint="eastAsia" w:hAnsi="宋体"/>
          <w:sz w:val="21"/>
          <w:szCs w:val="21"/>
        </w:rPr>
        <w:t>个工作日内向乙方支付合同总价的20</w:t>
      </w:r>
      <w:r>
        <w:rPr>
          <w:rFonts w:hAnsi="宋体"/>
          <w:sz w:val="21"/>
          <w:szCs w:val="21"/>
        </w:rPr>
        <w:t>%</w:t>
      </w:r>
      <w:r>
        <w:rPr>
          <w:rFonts w:hint="eastAsia" w:hAnsi="宋体"/>
          <w:sz w:val="21"/>
          <w:szCs w:val="21"/>
        </w:rPr>
        <w:t>作为定金；</w:t>
      </w:r>
    </w:p>
    <w:p>
      <w:pPr>
        <w:tabs>
          <w:tab w:val="left" w:pos="786"/>
        </w:tabs>
        <w:spacing w:line="360" w:lineRule="auto"/>
        <w:ind w:firstLine="420" w:firstLineChars="200"/>
        <w:rPr>
          <w:sz w:val="21"/>
          <w:szCs w:val="21"/>
        </w:rPr>
      </w:pPr>
      <w:r>
        <w:rPr>
          <w:rFonts w:hint="eastAsia" w:hAnsi="宋体"/>
          <w:sz w:val="21"/>
          <w:szCs w:val="21"/>
        </w:rPr>
        <w:t>（2）第二期：完成工程量的80%，乙方提交付款申请之日起1</w:t>
      </w:r>
      <w:r>
        <w:rPr>
          <w:rFonts w:hAnsi="宋体"/>
          <w:sz w:val="21"/>
          <w:szCs w:val="21"/>
        </w:rPr>
        <w:t>5</w:t>
      </w:r>
      <w:r>
        <w:rPr>
          <w:rFonts w:hint="eastAsia" w:hAnsi="宋体"/>
          <w:sz w:val="21"/>
          <w:szCs w:val="21"/>
        </w:rPr>
        <w:t>个工作日内内向乙方支付至合同总价的60</w:t>
      </w:r>
      <w:r>
        <w:rPr>
          <w:rFonts w:hAnsi="宋体"/>
          <w:sz w:val="21"/>
          <w:szCs w:val="21"/>
        </w:rPr>
        <w:t>%</w:t>
      </w:r>
      <w:r>
        <w:rPr>
          <w:rFonts w:hint="eastAsia" w:hAnsi="宋体"/>
          <w:sz w:val="21"/>
          <w:szCs w:val="21"/>
        </w:rPr>
        <w:t>；</w:t>
      </w:r>
    </w:p>
    <w:p>
      <w:pPr>
        <w:tabs>
          <w:tab w:val="left" w:pos="786"/>
        </w:tabs>
        <w:spacing w:line="360" w:lineRule="auto"/>
        <w:ind w:firstLine="420" w:firstLineChars="200"/>
        <w:rPr>
          <w:sz w:val="21"/>
          <w:szCs w:val="21"/>
        </w:rPr>
      </w:pPr>
      <w:r>
        <w:rPr>
          <w:rFonts w:hint="eastAsia" w:hAnsi="宋体"/>
          <w:sz w:val="21"/>
          <w:szCs w:val="21"/>
        </w:rPr>
        <w:t>（3）第三期：货物在安装、调试完毕初验合格后, 乙方提交付款申请之日起1</w:t>
      </w:r>
      <w:r>
        <w:rPr>
          <w:rFonts w:hAnsi="宋体"/>
          <w:sz w:val="21"/>
          <w:szCs w:val="21"/>
        </w:rPr>
        <w:t>5</w:t>
      </w:r>
      <w:r>
        <w:rPr>
          <w:rFonts w:hint="eastAsia" w:hAnsi="宋体"/>
          <w:sz w:val="21"/>
          <w:szCs w:val="21"/>
        </w:rPr>
        <w:t>个工作日内向乙方支付至合同总价的80</w:t>
      </w:r>
      <w:r>
        <w:rPr>
          <w:rFonts w:hAnsi="宋体"/>
          <w:sz w:val="21"/>
          <w:szCs w:val="21"/>
        </w:rPr>
        <w:t>%</w:t>
      </w:r>
      <w:r>
        <w:rPr>
          <w:rFonts w:hint="eastAsia" w:hAnsi="宋体"/>
          <w:sz w:val="21"/>
          <w:szCs w:val="21"/>
        </w:rPr>
        <w:t>。</w:t>
      </w:r>
    </w:p>
    <w:p>
      <w:pPr>
        <w:tabs>
          <w:tab w:val="left" w:pos="786"/>
        </w:tabs>
        <w:spacing w:line="360" w:lineRule="auto"/>
        <w:ind w:firstLine="420" w:firstLineChars="200"/>
        <w:rPr>
          <w:sz w:val="21"/>
          <w:szCs w:val="21"/>
        </w:rPr>
      </w:pPr>
      <w:r>
        <w:rPr>
          <w:rFonts w:hint="eastAsia" w:hAnsi="宋体"/>
          <w:sz w:val="21"/>
          <w:szCs w:val="21"/>
        </w:rPr>
        <w:t>（4）第四期：竣工验收合格并办理完结算后, 乙方提交付款申请之日起1</w:t>
      </w:r>
      <w:r>
        <w:rPr>
          <w:rFonts w:hAnsi="宋体"/>
          <w:sz w:val="21"/>
          <w:szCs w:val="21"/>
        </w:rPr>
        <w:t>5</w:t>
      </w:r>
      <w:r>
        <w:rPr>
          <w:rFonts w:hint="eastAsia" w:hAnsi="宋体"/>
          <w:sz w:val="21"/>
          <w:szCs w:val="21"/>
        </w:rPr>
        <w:t>个工作日内向乙方支付至结算价的97</w:t>
      </w:r>
      <w:r>
        <w:rPr>
          <w:rFonts w:hAnsi="宋体"/>
          <w:sz w:val="21"/>
          <w:szCs w:val="21"/>
        </w:rPr>
        <w:t>%</w:t>
      </w:r>
      <w:r>
        <w:rPr>
          <w:rFonts w:hint="eastAsia" w:hAnsi="宋体"/>
          <w:sz w:val="21"/>
          <w:szCs w:val="21"/>
        </w:rPr>
        <w:t>。</w:t>
      </w:r>
    </w:p>
    <w:p>
      <w:pPr>
        <w:spacing w:line="480" w:lineRule="exact"/>
        <w:ind w:firstLine="420" w:firstLineChars="200"/>
        <w:rPr>
          <w:rFonts w:hAnsi="宋体"/>
          <w:sz w:val="21"/>
          <w:szCs w:val="21"/>
        </w:rPr>
      </w:pPr>
      <w:r>
        <w:rPr>
          <w:rFonts w:hint="eastAsia" w:hAnsi="宋体"/>
          <w:sz w:val="21"/>
          <w:szCs w:val="21"/>
        </w:rPr>
        <w:t>（5）第五期：质保期满通过质保期验收后，乙方提交付款申请之日起1</w:t>
      </w:r>
      <w:r>
        <w:rPr>
          <w:rFonts w:hAnsi="宋体"/>
          <w:sz w:val="21"/>
          <w:szCs w:val="21"/>
        </w:rPr>
        <w:t>5</w:t>
      </w:r>
      <w:r>
        <w:rPr>
          <w:rFonts w:hint="eastAsia" w:hAnsi="宋体"/>
          <w:sz w:val="21"/>
          <w:szCs w:val="21"/>
        </w:rPr>
        <w:t>个工作日内向乙方支付结算价的3</w:t>
      </w:r>
      <w:r>
        <w:rPr>
          <w:rFonts w:hAnsi="宋体"/>
          <w:sz w:val="21"/>
          <w:szCs w:val="21"/>
        </w:rPr>
        <w:t>%</w:t>
      </w:r>
      <w:r>
        <w:rPr>
          <w:rFonts w:hint="eastAsia" w:hAnsi="宋体"/>
          <w:sz w:val="21"/>
          <w:szCs w:val="21"/>
        </w:rPr>
        <w:t>。</w:t>
      </w:r>
    </w:p>
    <w:p>
      <w:pPr>
        <w:spacing w:line="480" w:lineRule="exact"/>
        <w:ind w:firstLine="420" w:firstLineChars="200"/>
        <w:rPr>
          <w:rFonts w:hAnsi="宋体"/>
          <w:sz w:val="21"/>
          <w:szCs w:val="21"/>
        </w:rPr>
      </w:pPr>
      <w:r>
        <w:rPr>
          <w:rFonts w:hint="eastAsia" w:hAnsi="宋体"/>
          <w:sz w:val="21"/>
          <w:szCs w:val="21"/>
        </w:rPr>
        <w:t>2、工程质保金：结算总价的3%作为该项目工程质保金，质保期为两年；甲方在保修期届满30个工作日内组织复检并办理保修终结手续，甲方在按合同约定扣除保修期间应由乙方支付的各项款项和违约金后无息向乙方结清。工程质保金的返还，并不能免除乙方按照合同约定应当承担的质量保修责任和应履行的质量保修义务。</w:t>
      </w:r>
    </w:p>
    <w:p>
      <w:pPr>
        <w:spacing w:line="480" w:lineRule="exact"/>
        <w:ind w:firstLine="420" w:firstLineChars="200"/>
        <w:rPr>
          <w:rFonts w:hAnsi="宋体"/>
          <w:sz w:val="21"/>
          <w:szCs w:val="21"/>
        </w:rPr>
      </w:pPr>
      <w:r>
        <w:rPr>
          <w:rFonts w:hint="eastAsia" w:hAnsi="宋体"/>
          <w:sz w:val="21"/>
          <w:szCs w:val="21"/>
        </w:rPr>
        <w:t>3、付款申请</w:t>
      </w:r>
    </w:p>
    <w:p>
      <w:pPr>
        <w:spacing w:line="480" w:lineRule="exact"/>
        <w:ind w:firstLine="420" w:firstLineChars="200"/>
        <w:rPr>
          <w:rFonts w:hAnsi="宋体"/>
          <w:sz w:val="21"/>
          <w:szCs w:val="21"/>
        </w:rPr>
      </w:pPr>
      <w:r>
        <w:rPr>
          <w:rFonts w:hint="eastAsia" w:hAnsi="宋体"/>
          <w:sz w:val="21"/>
          <w:szCs w:val="21"/>
        </w:rPr>
        <w:t>（1）乙方每次请款时必须按甲方要求提供甲方、监理单位进度确认报表、付款申请表以及与请款金额等额的合法税务发票，已经完成的分部分项工程，必须附上分部分项工程质量验收记录表，如未能按甲方要求提供请款的资料和正规合法的税务发票，甲方有权延迟付款且不承担违约责任。</w:t>
      </w:r>
    </w:p>
    <w:p>
      <w:pPr>
        <w:spacing w:line="480" w:lineRule="exact"/>
        <w:ind w:firstLine="420" w:firstLineChars="200"/>
        <w:rPr>
          <w:rFonts w:hAnsi="宋体"/>
          <w:sz w:val="21"/>
          <w:szCs w:val="21"/>
        </w:rPr>
      </w:pPr>
      <w:r>
        <w:rPr>
          <w:rFonts w:hint="eastAsia" w:hAnsi="宋体"/>
          <w:sz w:val="21"/>
          <w:szCs w:val="21"/>
        </w:rPr>
        <w:t>（2）在乙方向甲方申请第四期款项时，乙方需提供至与结算总价等额的合法增值税专用发票。</w:t>
      </w:r>
    </w:p>
    <w:p>
      <w:pPr>
        <w:spacing w:line="480" w:lineRule="exact"/>
        <w:ind w:firstLine="420" w:firstLineChars="200"/>
        <w:rPr>
          <w:rFonts w:hAnsi="宋体"/>
          <w:sz w:val="21"/>
          <w:szCs w:val="21"/>
        </w:rPr>
      </w:pPr>
      <w:r>
        <w:rPr>
          <w:rFonts w:hint="eastAsia" w:hAnsi="宋体"/>
          <w:sz w:val="21"/>
          <w:szCs w:val="21"/>
        </w:rPr>
        <w:t>（3）以上付款，甲方将以转账方式支付。</w:t>
      </w:r>
    </w:p>
    <w:p>
      <w:pPr>
        <w:spacing w:line="480" w:lineRule="exact"/>
        <w:ind w:firstLine="420" w:firstLineChars="200"/>
        <w:rPr>
          <w:rFonts w:hAnsi="宋体"/>
          <w:sz w:val="21"/>
          <w:szCs w:val="21"/>
        </w:rPr>
      </w:pPr>
      <w:r>
        <w:rPr>
          <w:rFonts w:hint="eastAsia" w:hAnsi="宋体"/>
          <w:sz w:val="21"/>
          <w:szCs w:val="21"/>
        </w:rPr>
        <w:t>4、支付</w:t>
      </w:r>
    </w:p>
    <w:p>
      <w:pPr>
        <w:spacing w:line="480" w:lineRule="exact"/>
        <w:ind w:firstLine="420" w:firstLineChars="200"/>
        <w:rPr>
          <w:rFonts w:hAnsi="宋体"/>
          <w:sz w:val="21"/>
          <w:szCs w:val="21"/>
        </w:rPr>
      </w:pPr>
      <w:r>
        <w:rPr>
          <w:rFonts w:hint="eastAsia" w:hAnsi="宋体"/>
          <w:sz w:val="21"/>
          <w:szCs w:val="21"/>
        </w:rPr>
        <w:t>（1）</w:t>
      </w:r>
    </w:p>
    <w:p>
      <w:pPr>
        <w:spacing w:line="480" w:lineRule="exact"/>
        <w:ind w:firstLine="420" w:firstLineChars="200"/>
        <w:rPr>
          <w:rFonts w:hAnsi="宋体"/>
          <w:sz w:val="21"/>
          <w:szCs w:val="21"/>
        </w:rPr>
      </w:pPr>
      <w:r>
        <w:rPr>
          <w:rFonts w:hint="eastAsia" w:hAnsi="宋体"/>
          <w:sz w:val="21"/>
          <w:szCs w:val="21"/>
        </w:rPr>
        <w:t>乙方指定以下银行账户为本合同的收款账户：</w:t>
      </w:r>
    </w:p>
    <w:p>
      <w:pPr>
        <w:spacing w:line="480" w:lineRule="exact"/>
        <w:ind w:firstLine="420" w:firstLineChars="200"/>
        <w:rPr>
          <w:rFonts w:hAnsi="宋体"/>
          <w:sz w:val="21"/>
          <w:szCs w:val="21"/>
          <w:u w:val="single"/>
        </w:rPr>
      </w:pPr>
      <w:r>
        <w:rPr>
          <w:rFonts w:hint="eastAsia" w:hAnsi="宋体"/>
          <w:sz w:val="21"/>
          <w:szCs w:val="21"/>
        </w:rPr>
        <w:t xml:space="preserve">户 </w:t>
      </w:r>
      <w:r>
        <w:rPr>
          <w:rFonts w:hAnsi="宋体"/>
          <w:sz w:val="21"/>
          <w:szCs w:val="21"/>
        </w:rPr>
        <w:t xml:space="preserve"> </w:t>
      </w:r>
      <w:r>
        <w:rPr>
          <w:rFonts w:hint="eastAsia" w:hAnsi="宋体"/>
          <w:sz w:val="21"/>
          <w:szCs w:val="21"/>
        </w:rPr>
        <w:t>名：</w:t>
      </w:r>
      <w:r>
        <w:rPr>
          <w:rFonts w:hint="eastAsia" w:hAnsi="宋体"/>
          <w:sz w:val="21"/>
          <w:szCs w:val="21"/>
          <w:u w:val="single"/>
        </w:rPr>
        <w:t xml:space="preserve">                      </w:t>
      </w:r>
    </w:p>
    <w:p>
      <w:pPr>
        <w:spacing w:line="480" w:lineRule="exact"/>
        <w:ind w:firstLine="420" w:firstLineChars="200"/>
        <w:rPr>
          <w:rFonts w:hAnsi="宋体"/>
          <w:sz w:val="21"/>
          <w:szCs w:val="21"/>
          <w:u w:val="single"/>
        </w:rPr>
      </w:pPr>
      <w:r>
        <w:rPr>
          <w:rFonts w:hint="eastAsia" w:hAnsi="宋体"/>
          <w:sz w:val="21"/>
          <w:szCs w:val="21"/>
        </w:rPr>
        <w:t>开户行：</w:t>
      </w:r>
      <w:r>
        <w:rPr>
          <w:rFonts w:hint="eastAsia" w:hAnsi="宋体"/>
          <w:sz w:val="21"/>
          <w:szCs w:val="21"/>
          <w:u w:val="single"/>
        </w:rPr>
        <w:t xml:space="preserve">                      </w:t>
      </w:r>
    </w:p>
    <w:p>
      <w:pPr>
        <w:spacing w:line="480" w:lineRule="exact"/>
        <w:ind w:firstLine="420" w:firstLineChars="200"/>
        <w:rPr>
          <w:rFonts w:hAnsi="宋体"/>
          <w:sz w:val="21"/>
          <w:szCs w:val="21"/>
          <w:u w:val="single"/>
        </w:rPr>
      </w:pPr>
      <w:r>
        <w:rPr>
          <w:rFonts w:hint="eastAsia" w:hAnsi="宋体"/>
          <w:sz w:val="21"/>
          <w:szCs w:val="21"/>
        </w:rPr>
        <w:t xml:space="preserve">账 </w:t>
      </w:r>
      <w:r>
        <w:rPr>
          <w:rFonts w:hAnsi="宋体"/>
          <w:sz w:val="21"/>
          <w:szCs w:val="21"/>
        </w:rPr>
        <w:t xml:space="preserve"> </w:t>
      </w:r>
      <w:r>
        <w:rPr>
          <w:rFonts w:hint="eastAsia" w:hAnsi="宋体"/>
          <w:sz w:val="21"/>
          <w:szCs w:val="21"/>
        </w:rPr>
        <w:t xml:space="preserve">号： </w:t>
      </w:r>
      <w:r>
        <w:rPr>
          <w:rFonts w:hint="eastAsia" w:hAnsi="宋体"/>
          <w:sz w:val="21"/>
          <w:szCs w:val="21"/>
          <w:u w:val="single"/>
        </w:rPr>
        <w:t xml:space="preserve">                     </w:t>
      </w:r>
    </w:p>
    <w:p>
      <w:pPr>
        <w:spacing w:line="480" w:lineRule="exact"/>
        <w:ind w:firstLine="420" w:firstLineChars="200"/>
        <w:rPr>
          <w:rFonts w:hAnsi="宋体"/>
          <w:sz w:val="21"/>
          <w:szCs w:val="21"/>
          <w:u w:val="single"/>
        </w:rPr>
      </w:pPr>
      <w:r>
        <w:rPr>
          <w:rFonts w:hint="eastAsia" w:hAnsi="宋体"/>
          <w:sz w:val="21"/>
          <w:szCs w:val="21"/>
          <w:u w:val="single"/>
        </w:rPr>
        <w:t>若乙方账户发生变更，应尽快书面通知甲方，乙方未通知甲方的，由此产生的损失，由乙方自行承担。</w:t>
      </w:r>
    </w:p>
    <w:p>
      <w:pPr>
        <w:spacing w:line="360" w:lineRule="auto"/>
        <w:ind w:firstLine="420" w:firstLineChars="200"/>
        <w:rPr>
          <w:rFonts w:hAnsi="宋体"/>
          <w:sz w:val="21"/>
          <w:szCs w:val="21"/>
        </w:rPr>
      </w:pPr>
      <w:r>
        <w:rPr>
          <w:rFonts w:hint="eastAsia" w:hAnsi="宋体"/>
          <w:sz w:val="21"/>
          <w:szCs w:val="21"/>
        </w:rPr>
        <w:t>（2）付款申请提交后，经甲方审批通过后，15 个工作日内予以支付。</w:t>
      </w:r>
    </w:p>
    <w:p>
      <w:pPr>
        <w:spacing w:line="480" w:lineRule="exact"/>
        <w:ind w:left="16"/>
        <w:rPr>
          <w:rFonts w:hAnsi="宋体"/>
          <w:b/>
          <w:sz w:val="21"/>
          <w:szCs w:val="21"/>
        </w:rPr>
      </w:pPr>
      <w:r>
        <w:rPr>
          <w:rFonts w:hint="eastAsia" w:hAnsi="宋体"/>
          <w:b/>
          <w:sz w:val="21"/>
          <w:szCs w:val="21"/>
        </w:rPr>
        <w:t>第十条  施工与设计变更</w:t>
      </w:r>
    </w:p>
    <w:p>
      <w:pPr>
        <w:spacing w:line="480" w:lineRule="exact"/>
        <w:ind w:firstLine="420" w:firstLineChars="200"/>
        <w:rPr>
          <w:rFonts w:hAnsi="宋体"/>
          <w:sz w:val="21"/>
          <w:szCs w:val="21"/>
        </w:rPr>
      </w:pPr>
      <w:r>
        <w:rPr>
          <w:rFonts w:hint="eastAsia" w:hAnsi="宋体"/>
          <w:sz w:val="21"/>
          <w:szCs w:val="21"/>
        </w:rPr>
        <w:t>1、甲方交付的设计图纸、说明和有关技术资料，乙方应在施工前予以复核、确认，乙方不得擅自修改。预估结算价在甲方允许限额内方可施工，否则应在收到资料的三日内联系甲方修改图纸。</w:t>
      </w:r>
    </w:p>
    <w:p>
      <w:pPr>
        <w:spacing w:line="480" w:lineRule="exact"/>
        <w:ind w:firstLine="420" w:firstLineChars="200"/>
        <w:rPr>
          <w:rFonts w:hAnsi="宋体"/>
          <w:sz w:val="21"/>
          <w:szCs w:val="21"/>
        </w:rPr>
      </w:pPr>
      <w:r>
        <w:rPr>
          <w:rFonts w:hint="eastAsia" w:hAnsi="宋体"/>
          <w:sz w:val="21"/>
          <w:szCs w:val="21"/>
        </w:rPr>
        <w:t>2、施工中如发现设计有错误或者严重不合理的地方，乙方应立即停工并以书面形式通知甲方（最迟不得超过发现之日起三日），由甲方及时会同设计等单位作出修改意见或变更设计文件，并及时将修改或变更的设计文件送达乙方，乙方应按修改或变更的设计文件进行施工。</w:t>
      </w:r>
    </w:p>
    <w:p>
      <w:pPr>
        <w:spacing w:line="480" w:lineRule="exact"/>
        <w:ind w:firstLine="420" w:firstLineChars="200"/>
        <w:rPr>
          <w:rFonts w:hAnsi="宋体"/>
          <w:sz w:val="21"/>
          <w:szCs w:val="21"/>
        </w:rPr>
      </w:pPr>
      <w:r>
        <w:rPr>
          <w:rFonts w:hint="eastAsia" w:hAnsi="宋体"/>
          <w:sz w:val="21"/>
          <w:szCs w:val="21"/>
        </w:rPr>
        <w:t>3、甲方如需变更设计，必须由原设计单位作出正式修改通知书和修改图纸，并送达给乙方，乙方才予实施。乙方在收到甲方的通知后，须按甲方的要求停工。</w:t>
      </w:r>
    </w:p>
    <w:p>
      <w:pPr>
        <w:spacing w:line="480" w:lineRule="exact"/>
        <w:ind w:firstLine="420" w:firstLineChars="200"/>
        <w:rPr>
          <w:rFonts w:hAnsi="宋体"/>
          <w:sz w:val="21"/>
          <w:szCs w:val="21"/>
        </w:rPr>
      </w:pPr>
      <w:r>
        <w:rPr>
          <w:rFonts w:hint="eastAsia" w:hAnsi="宋体"/>
          <w:sz w:val="21"/>
          <w:szCs w:val="21"/>
        </w:rPr>
        <w:t>4、发生增加工程时，甲方需作书面通知，乙方报价经甲方确认后，乙方必须在所有工程量完工后15天内如实、严谨地向甲方报送工程签证，否则甲方有权拒收并视此增加工程不涉及合同价款的增加。</w:t>
      </w:r>
    </w:p>
    <w:p>
      <w:pPr>
        <w:spacing w:line="480" w:lineRule="exact"/>
        <w:ind w:firstLine="420" w:firstLineChars="200"/>
        <w:rPr>
          <w:rFonts w:hAnsi="宋体"/>
          <w:sz w:val="21"/>
          <w:szCs w:val="21"/>
        </w:rPr>
      </w:pPr>
      <w:r>
        <w:rPr>
          <w:rFonts w:hint="eastAsia" w:hAnsi="宋体"/>
          <w:sz w:val="21"/>
          <w:szCs w:val="21"/>
        </w:rPr>
        <w:t>5、若由于甲方变更、修改设计，造成工程预算总价款增加，经甲方签证确认后按本合同第四条第3点的约定进行结算。</w:t>
      </w:r>
    </w:p>
    <w:p>
      <w:pPr>
        <w:spacing w:line="480" w:lineRule="exact"/>
        <w:ind w:firstLine="420" w:firstLineChars="200"/>
        <w:rPr>
          <w:rFonts w:hAnsi="宋体"/>
          <w:sz w:val="21"/>
          <w:szCs w:val="21"/>
        </w:rPr>
      </w:pPr>
    </w:p>
    <w:p>
      <w:pPr>
        <w:spacing w:line="480" w:lineRule="exact"/>
        <w:rPr>
          <w:rFonts w:hAnsi="宋体"/>
          <w:b/>
          <w:sz w:val="21"/>
          <w:szCs w:val="21"/>
        </w:rPr>
      </w:pPr>
      <w:r>
        <w:rPr>
          <w:rFonts w:hint="eastAsia" w:hAnsi="宋体"/>
          <w:b/>
          <w:sz w:val="21"/>
          <w:szCs w:val="21"/>
        </w:rPr>
        <w:t>第十一条  履约保证金</w:t>
      </w:r>
    </w:p>
    <w:p>
      <w:pPr>
        <w:spacing w:line="480" w:lineRule="exact"/>
        <w:ind w:firstLine="420" w:firstLineChars="200"/>
        <w:rPr>
          <w:rFonts w:hAnsi="宋体"/>
          <w:sz w:val="21"/>
          <w:szCs w:val="21"/>
        </w:rPr>
      </w:pPr>
      <w:r>
        <w:rPr>
          <w:rFonts w:hint="eastAsia" w:hAnsi="宋体"/>
          <w:sz w:val="21"/>
          <w:szCs w:val="21"/>
        </w:rPr>
        <w:t>1、乙方在签订本合同之日，必须交纳履约保证金（以现金形式打入甲方指定的账户）或提交不可撤销银行履约保函（可提供保函的银行必须是支行一级或以上银行机构，并经甲方同意，非东莞市行政区域的银行出具的履约保函需经担保银行所在地公证机关公证处出具公证书，提供履约保证担保所产生的费用由乙方承担），具体数额不少于合同价款的10% (详见磋商文件）且不超过20万元上限，乙方如逾期未能缴纳履约保证金或提供银行履约保函，</w:t>
      </w:r>
      <w:r>
        <w:rPr>
          <w:rFonts w:hint="eastAsia" w:hAnsi="宋体"/>
          <w:sz w:val="22"/>
          <w:szCs w:val="22"/>
        </w:rPr>
        <w:t>甲方有权解除合同，乙方应向甲方双倍返还定金。</w:t>
      </w:r>
    </w:p>
    <w:p>
      <w:pPr>
        <w:spacing w:line="480" w:lineRule="exact"/>
        <w:ind w:firstLine="420" w:firstLineChars="200"/>
        <w:rPr>
          <w:rFonts w:hAnsi="宋体"/>
          <w:sz w:val="21"/>
          <w:szCs w:val="21"/>
        </w:rPr>
      </w:pPr>
      <w:r>
        <w:rPr>
          <w:rFonts w:hint="eastAsia" w:hAnsi="宋体"/>
          <w:sz w:val="21"/>
          <w:szCs w:val="21"/>
        </w:rPr>
        <w:t>2、若乙方以履约保函方式担保的，履约保证金按合同金额的10%计取，即</w:t>
      </w:r>
      <w:r>
        <w:rPr>
          <w:rFonts w:hint="eastAsia" w:hAnsi="宋体"/>
          <w:sz w:val="21"/>
          <w:szCs w:val="21"/>
          <w:u w:val="single"/>
        </w:rPr>
        <w:t xml:space="preserve">¥      </w:t>
      </w:r>
      <w:r>
        <w:rPr>
          <w:rFonts w:hint="eastAsia" w:hAnsi="宋体"/>
          <w:sz w:val="21"/>
          <w:szCs w:val="21"/>
        </w:rPr>
        <w:t xml:space="preserve">元(大写： </w:t>
      </w:r>
      <w:r>
        <w:rPr>
          <w:rFonts w:hint="eastAsia" w:hAnsi="宋体"/>
          <w:sz w:val="21"/>
          <w:szCs w:val="21"/>
          <w:u w:val="single"/>
        </w:rPr>
        <w:t xml:space="preserve">          </w:t>
      </w:r>
      <w:r>
        <w:rPr>
          <w:rFonts w:hint="eastAsia" w:hAnsi="宋体"/>
          <w:sz w:val="21"/>
          <w:szCs w:val="21"/>
        </w:rPr>
        <w:t>)，若以现金方式担保的，则履约保证金为¥</w:t>
      </w:r>
      <w:r>
        <w:rPr>
          <w:rFonts w:hint="eastAsia" w:hAnsi="宋体"/>
          <w:sz w:val="21"/>
          <w:szCs w:val="21"/>
          <w:u w:val="single"/>
        </w:rPr>
        <w:t>200,000.00</w:t>
      </w:r>
      <w:r>
        <w:rPr>
          <w:rFonts w:hint="eastAsia" w:hAnsi="宋体"/>
          <w:sz w:val="21"/>
          <w:szCs w:val="21"/>
        </w:rPr>
        <w:t>元(大写：人民币贰拾万元整)，乙方需在签订本合同前5个工作日内将上述款项转至甲方帐户或提供银行履约保函：</w:t>
      </w:r>
    </w:p>
    <w:p>
      <w:pPr>
        <w:spacing w:line="480" w:lineRule="exact"/>
        <w:ind w:firstLine="420" w:firstLineChars="200"/>
        <w:rPr>
          <w:rFonts w:hAnsi="宋体"/>
          <w:sz w:val="21"/>
          <w:szCs w:val="21"/>
        </w:rPr>
      </w:pPr>
      <w:r>
        <w:rPr>
          <w:rFonts w:hint="eastAsia" w:hAnsi="宋体"/>
          <w:sz w:val="21"/>
          <w:szCs w:val="21"/>
        </w:rPr>
        <w:t>单位名称：</w:t>
      </w:r>
    </w:p>
    <w:p>
      <w:pPr>
        <w:spacing w:line="480" w:lineRule="exact"/>
        <w:ind w:firstLine="420" w:firstLineChars="200"/>
        <w:rPr>
          <w:rFonts w:hAnsi="宋体"/>
          <w:sz w:val="21"/>
          <w:szCs w:val="21"/>
        </w:rPr>
      </w:pPr>
      <w:r>
        <w:rPr>
          <w:rFonts w:hint="eastAsia" w:hAnsi="宋体"/>
          <w:sz w:val="21"/>
          <w:szCs w:val="21"/>
        </w:rPr>
        <w:t>开户银行：</w:t>
      </w:r>
    </w:p>
    <w:p>
      <w:pPr>
        <w:spacing w:line="480" w:lineRule="exact"/>
        <w:ind w:firstLine="420" w:firstLineChars="200"/>
        <w:rPr>
          <w:rFonts w:hAnsi="宋体"/>
          <w:sz w:val="21"/>
          <w:szCs w:val="21"/>
        </w:rPr>
      </w:pPr>
      <w:r>
        <w:rPr>
          <w:rFonts w:hint="eastAsia" w:hAnsi="宋体"/>
          <w:sz w:val="21"/>
          <w:szCs w:val="21"/>
        </w:rPr>
        <w:t>账  号：</w:t>
      </w:r>
    </w:p>
    <w:p>
      <w:pPr>
        <w:spacing w:line="480" w:lineRule="exact"/>
        <w:ind w:firstLine="420" w:firstLineChars="200"/>
        <w:rPr>
          <w:rFonts w:hAnsi="宋体"/>
          <w:sz w:val="21"/>
          <w:szCs w:val="21"/>
        </w:rPr>
      </w:pPr>
      <w:r>
        <w:rPr>
          <w:rFonts w:hint="eastAsia" w:hAnsi="宋体"/>
          <w:sz w:val="21"/>
          <w:szCs w:val="21"/>
        </w:rPr>
        <w:t>3、履约担保的有效期</w:t>
      </w:r>
    </w:p>
    <w:p>
      <w:pPr>
        <w:spacing w:line="480" w:lineRule="exact"/>
        <w:ind w:firstLine="525" w:firstLineChars="250"/>
        <w:rPr>
          <w:rFonts w:hAnsi="宋体"/>
          <w:sz w:val="21"/>
          <w:szCs w:val="21"/>
        </w:rPr>
      </w:pPr>
      <w:r>
        <w:rPr>
          <w:rFonts w:hint="eastAsia" w:hAnsi="宋体"/>
          <w:sz w:val="21"/>
          <w:szCs w:val="21"/>
        </w:rPr>
        <w:t>从合同签订之日起到乙方按照甲方要求完成竣工图纸编制且完成结算，经合同双方签字确定后7日内保持有效。</w:t>
      </w:r>
    </w:p>
    <w:p>
      <w:pPr>
        <w:spacing w:line="480" w:lineRule="exact"/>
        <w:ind w:firstLine="420" w:firstLineChars="200"/>
        <w:rPr>
          <w:rFonts w:hAnsi="宋体"/>
          <w:sz w:val="21"/>
          <w:szCs w:val="21"/>
        </w:rPr>
      </w:pPr>
      <w:r>
        <w:rPr>
          <w:rFonts w:hint="eastAsia" w:hAnsi="宋体"/>
          <w:sz w:val="21"/>
          <w:szCs w:val="21"/>
        </w:rPr>
        <w:t>4、现金履约保证金的退还</w:t>
      </w:r>
    </w:p>
    <w:p>
      <w:pPr>
        <w:spacing w:line="480" w:lineRule="exact"/>
        <w:ind w:firstLine="420" w:firstLineChars="200"/>
        <w:rPr>
          <w:rFonts w:hAnsi="宋体"/>
          <w:sz w:val="21"/>
          <w:szCs w:val="21"/>
        </w:rPr>
      </w:pPr>
      <w:r>
        <w:rPr>
          <w:rFonts w:hint="eastAsia" w:hAnsi="宋体"/>
          <w:sz w:val="21"/>
          <w:szCs w:val="21"/>
        </w:rPr>
        <w:t>乙方向甲方缴纳或甲方在工程款中扣除的上述履约保证金，在完成竣工验收15天内，甲方退回上述履约保证金的50%给乙方。剩余50%的履约保证金乙方需完成竣工图纸编制且办理完结算，甲方方可退回（如提请竣工验收后一个月内无法配合甲方完成竣工图纸，将由甲方组织第三方编制竣工图，所产生的相关费用均从剩余50%履约保证金中扣除，不足以扣除的部分，甲方有权从乙方的工程款或质保金中扣除后）给乙方，履约保证金均不计取利息的退还给乙方。</w:t>
      </w:r>
    </w:p>
    <w:p>
      <w:pPr>
        <w:spacing w:line="480" w:lineRule="exact"/>
        <w:ind w:firstLine="420" w:firstLineChars="200"/>
        <w:rPr>
          <w:rFonts w:hAnsi="宋体"/>
          <w:sz w:val="21"/>
          <w:szCs w:val="21"/>
        </w:rPr>
      </w:pPr>
      <w:r>
        <w:rPr>
          <w:rFonts w:hint="eastAsia" w:hAnsi="宋体"/>
          <w:sz w:val="21"/>
          <w:szCs w:val="21"/>
        </w:rPr>
        <w:t>5、若乙方有任何违约本合同的约定，甲方均有权没收履约保证金。</w:t>
      </w:r>
    </w:p>
    <w:p>
      <w:pPr>
        <w:spacing w:line="480" w:lineRule="exact"/>
        <w:ind w:firstLine="420" w:firstLineChars="200"/>
        <w:rPr>
          <w:rFonts w:hAnsi="宋体"/>
          <w:sz w:val="21"/>
          <w:szCs w:val="21"/>
        </w:rPr>
      </w:pPr>
    </w:p>
    <w:p>
      <w:pPr>
        <w:spacing w:line="480" w:lineRule="exact"/>
        <w:ind w:left="16"/>
        <w:rPr>
          <w:rFonts w:hAnsi="宋体"/>
          <w:b/>
          <w:sz w:val="21"/>
          <w:szCs w:val="21"/>
        </w:rPr>
      </w:pPr>
      <w:r>
        <w:rPr>
          <w:rFonts w:hint="eastAsia" w:hAnsi="宋体"/>
          <w:b/>
          <w:sz w:val="21"/>
          <w:szCs w:val="21"/>
        </w:rPr>
        <w:t>第十二条  保修期</w:t>
      </w:r>
    </w:p>
    <w:p>
      <w:pPr>
        <w:spacing w:line="480" w:lineRule="exact"/>
        <w:ind w:left="-2" w:leftChars="-1" w:firstLine="420" w:firstLineChars="200"/>
        <w:rPr>
          <w:rFonts w:hAnsi="宋体"/>
          <w:sz w:val="21"/>
          <w:szCs w:val="21"/>
        </w:rPr>
      </w:pPr>
      <w:r>
        <w:rPr>
          <w:rFonts w:hint="eastAsia" w:hAnsi="宋体"/>
          <w:sz w:val="21"/>
          <w:szCs w:val="21"/>
        </w:rPr>
        <w:t xml:space="preserve">1、本工程的保修期为 </w:t>
      </w:r>
      <w:r>
        <w:rPr>
          <w:rFonts w:hint="eastAsia" w:hAnsi="宋体"/>
          <w:sz w:val="21"/>
          <w:szCs w:val="21"/>
          <w:u w:val="single"/>
        </w:rPr>
        <w:t xml:space="preserve"> 2 </w:t>
      </w:r>
      <w:r>
        <w:rPr>
          <w:rFonts w:hint="eastAsia" w:hAnsi="宋体"/>
          <w:sz w:val="21"/>
          <w:szCs w:val="21"/>
        </w:rPr>
        <w:t>年，保修期自工程竣工验收合格(包括工程竣工验收[即政府质监部门备案的工程竣工质量报告]（如需）、工程竣工四方验收，并以该两份文件所标示的最后日期为基准)并移交甲方之日起计算。</w:t>
      </w:r>
    </w:p>
    <w:p>
      <w:pPr>
        <w:spacing w:line="480" w:lineRule="exact"/>
        <w:ind w:left="-2" w:leftChars="-1" w:firstLine="420" w:firstLineChars="200"/>
        <w:rPr>
          <w:rFonts w:hAnsi="宋体"/>
          <w:sz w:val="21"/>
          <w:szCs w:val="21"/>
        </w:rPr>
      </w:pPr>
      <w:r>
        <w:rPr>
          <w:rFonts w:hint="eastAsia" w:hAnsi="宋体"/>
          <w:sz w:val="21"/>
          <w:szCs w:val="21"/>
        </w:rPr>
        <w:t>2、保修期内，乙方必须及时处理甲方提出的质量问题乙方自甲方通知送达之日起</w:t>
      </w:r>
      <w:r>
        <w:rPr>
          <w:rFonts w:hint="eastAsia" w:hAnsi="宋体"/>
          <w:sz w:val="21"/>
          <w:szCs w:val="21"/>
          <w:u w:val="single"/>
        </w:rPr>
        <w:t xml:space="preserve"> </w:t>
      </w:r>
      <w:r>
        <w:rPr>
          <w:rFonts w:hAnsi="宋体"/>
          <w:sz w:val="21"/>
          <w:szCs w:val="21"/>
          <w:u w:val="single"/>
        </w:rPr>
        <w:t>3</w:t>
      </w:r>
      <w:r>
        <w:rPr>
          <w:rFonts w:hint="eastAsia" w:hAnsi="宋体"/>
          <w:sz w:val="21"/>
          <w:szCs w:val="21"/>
          <w:u w:val="single"/>
        </w:rPr>
        <w:t xml:space="preserve">  </w:t>
      </w:r>
      <w:r>
        <w:rPr>
          <w:rFonts w:hint="eastAsia" w:hAnsi="宋体"/>
          <w:sz w:val="21"/>
          <w:szCs w:val="21"/>
        </w:rPr>
        <w:t>日内，应无条件予以维修完毕。否则，甲方有权另派施工队伍施工、维修，且没收履约保证金，一切费用在剩余工程款内扣除，超出剩余工程款的部分，甲方有权向乙方追偿。</w:t>
      </w:r>
    </w:p>
    <w:p>
      <w:pPr>
        <w:spacing w:line="480" w:lineRule="exact"/>
        <w:ind w:left="16"/>
        <w:rPr>
          <w:rFonts w:hAnsi="宋体"/>
          <w:b/>
          <w:sz w:val="21"/>
          <w:szCs w:val="21"/>
        </w:rPr>
      </w:pPr>
      <w:r>
        <w:rPr>
          <w:rFonts w:hint="eastAsia" w:hAnsi="宋体"/>
          <w:b/>
          <w:sz w:val="21"/>
          <w:szCs w:val="21"/>
        </w:rPr>
        <w:t>第十三条  双方义务</w:t>
      </w:r>
    </w:p>
    <w:p>
      <w:pPr>
        <w:spacing w:before="97" w:beforeLines="30" w:after="97" w:afterLines="30" w:line="400" w:lineRule="exact"/>
        <w:ind w:firstLine="422" w:firstLineChars="200"/>
        <w:rPr>
          <w:rFonts w:hAnsi="宋体"/>
          <w:b/>
          <w:bCs/>
          <w:sz w:val="21"/>
          <w:szCs w:val="21"/>
        </w:rPr>
      </w:pPr>
      <w:r>
        <w:rPr>
          <w:rFonts w:hint="eastAsia" w:hAnsi="宋体"/>
          <w:b/>
          <w:bCs/>
          <w:sz w:val="21"/>
          <w:szCs w:val="21"/>
        </w:rPr>
        <w:t>（一）甲方义务</w:t>
      </w:r>
    </w:p>
    <w:p>
      <w:pPr>
        <w:spacing w:line="480" w:lineRule="exact"/>
        <w:ind w:firstLine="327" w:firstLineChars="156"/>
        <w:rPr>
          <w:rFonts w:hAnsi="宋体"/>
          <w:sz w:val="21"/>
          <w:szCs w:val="21"/>
        </w:rPr>
      </w:pPr>
      <w:r>
        <w:rPr>
          <w:rFonts w:hint="eastAsia" w:hAnsi="宋体"/>
          <w:sz w:val="21"/>
          <w:szCs w:val="21"/>
        </w:rPr>
        <w:t>1、委派现场代表（甲方【部门及职务】</w:t>
      </w:r>
      <w:r>
        <w:rPr>
          <w:rFonts w:hint="eastAsia" w:hAnsi="宋体"/>
          <w:sz w:val="21"/>
          <w:szCs w:val="21"/>
          <w:u w:val="single"/>
        </w:rPr>
        <w:t>项目负责人</w:t>
      </w:r>
      <w:r>
        <w:rPr>
          <w:rFonts w:hint="eastAsia" w:hAnsi="宋体"/>
          <w:sz w:val="21"/>
          <w:szCs w:val="21"/>
        </w:rPr>
        <w:t>）</w:t>
      </w:r>
      <w:r>
        <w:rPr>
          <w:rFonts w:hint="eastAsia" w:hAnsi="宋体"/>
          <w:sz w:val="21"/>
          <w:szCs w:val="21"/>
          <w:u w:val="single"/>
        </w:rPr>
        <w:t xml:space="preserve">       </w:t>
      </w:r>
      <w:r>
        <w:rPr>
          <w:rFonts w:hint="eastAsia" w:hAnsi="宋体"/>
          <w:sz w:val="21"/>
          <w:szCs w:val="21"/>
        </w:rPr>
        <w:t>负责对工程建设进行全面管理，解决施工过程中出现的需要甲方协调的相关问题，并参与工程的初验、各种验收和签证工作。如变更现场代表应及时通知乙方。</w:t>
      </w:r>
    </w:p>
    <w:p>
      <w:pPr>
        <w:spacing w:line="480" w:lineRule="exact"/>
        <w:ind w:firstLine="327" w:firstLineChars="156"/>
        <w:rPr>
          <w:rFonts w:hAnsi="宋体"/>
          <w:sz w:val="21"/>
          <w:szCs w:val="21"/>
        </w:rPr>
      </w:pPr>
      <w:r>
        <w:rPr>
          <w:rFonts w:hint="eastAsia" w:hAnsi="宋体"/>
          <w:sz w:val="21"/>
          <w:szCs w:val="21"/>
        </w:rPr>
        <w:t>2、向乙方提供施工场地，保证运输道路畅通，同时提供现场施工用水、用电接驳点，水电费按实结算从乙方工程款中扣除。</w:t>
      </w:r>
    </w:p>
    <w:p>
      <w:pPr>
        <w:spacing w:line="480" w:lineRule="exact"/>
        <w:ind w:firstLine="327" w:firstLineChars="156"/>
        <w:rPr>
          <w:rFonts w:hAnsi="宋体"/>
          <w:sz w:val="21"/>
          <w:szCs w:val="21"/>
        </w:rPr>
      </w:pPr>
      <w:r>
        <w:rPr>
          <w:rFonts w:hint="eastAsia" w:hAnsi="宋体"/>
          <w:sz w:val="21"/>
          <w:szCs w:val="21"/>
        </w:rPr>
        <w:t>3、提供本项目施工图纸，负责组织图纸会审和设计交底。</w:t>
      </w:r>
    </w:p>
    <w:p>
      <w:pPr>
        <w:spacing w:line="480" w:lineRule="exact"/>
        <w:ind w:firstLine="327" w:firstLineChars="156"/>
        <w:rPr>
          <w:rFonts w:hAnsi="宋体"/>
          <w:sz w:val="21"/>
          <w:szCs w:val="21"/>
        </w:rPr>
      </w:pPr>
      <w:r>
        <w:rPr>
          <w:rFonts w:hint="eastAsia" w:hAnsi="宋体"/>
          <w:sz w:val="21"/>
          <w:szCs w:val="21"/>
        </w:rPr>
        <w:t>4、及时对工程进度、工程质量进行监督检查，参加材料报验、样板验收、组织工程的初验，接乙方书面通知起</w:t>
      </w:r>
      <w:r>
        <w:rPr>
          <w:rFonts w:hint="eastAsia" w:hAnsi="宋体"/>
          <w:sz w:val="21"/>
          <w:szCs w:val="21"/>
          <w:u w:val="single"/>
        </w:rPr>
        <w:t xml:space="preserve">  </w:t>
      </w:r>
      <w:r>
        <w:rPr>
          <w:rFonts w:hAnsi="宋体"/>
          <w:sz w:val="21"/>
          <w:szCs w:val="21"/>
          <w:u w:val="single"/>
        </w:rPr>
        <w:t>1</w:t>
      </w:r>
      <w:r>
        <w:rPr>
          <w:rFonts w:hint="eastAsia" w:hAnsi="宋体"/>
          <w:sz w:val="21"/>
          <w:szCs w:val="21"/>
          <w:u w:val="single"/>
        </w:rPr>
        <w:t xml:space="preserve"> </w:t>
      </w:r>
      <w:r>
        <w:rPr>
          <w:rFonts w:hint="eastAsia" w:hAnsi="宋体"/>
          <w:sz w:val="21"/>
          <w:szCs w:val="21"/>
        </w:rPr>
        <w:t>个工作日内参加隐蔽工程验收。</w:t>
      </w:r>
    </w:p>
    <w:p>
      <w:pPr>
        <w:spacing w:line="480" w:lineRule="exact"/>
        <w:ind w:firstLine="327" w:firstLineChars="156"/>
        <w:rPr>
          <w:rFonts w:hAnsi="宋体"/>
          <w:sz w:val="21"/>
          <w:szCs w:val="21"/>
        </w:rPr>
      </w:pPr>
      <w:r>
        <w:rPr>
          <w:rFonts w:hint="eastAsia" w:hAnsi="宋体"/>
          <w:sz w:val="21"/>
          <w:szCs w:val="21"/>
        </w:rPr>
        <w:t>5、接乙方书面工程竣工验收通知后应在</w:t>
      </w:r>
      <w:r>
        <w:rPr>
          <w:rFonts w:hint="eastAsia" w:hAnsi="宋体"/>
          <w:sz w:val="21"/>
          <w:szCs w:val="21"/>
          <w:u w:val="single"/>
        </w:rPr>
        <w:t xml:space="preserve">  2 </w:t>
      </w:r>
      <w:r>
        <w:rPr>
          <w:rFonts w:hint="eastAsia" w:hAnsi="宋体"/>
          <w:sz w:val="21"/>
          <w:szCs w:val="21"/>
        </w:rPr>
        <w:t>个工作日内组织竣工验收。</w:t>
      </w:r>
    </w:p>
    <w:p>
      <w:pPr>
        <w:spacing w:line="480" w:lineRule="exact"/>
        <w:ind w:firstLine="327" w:firstLineChars="156"/>
        <w:rPr>
          <w:rFonts w:hAnsi="宋体"/>
          <w:sz w:val="21"/>
          <w:szCs w:val="21"/>
        </w:rPr>
      </w:pPr>
      <w:r>
        <w:rPr>
          <w:rFonts w:hint="eastAsia" w:hAnsi="宋体"/>
          <w:sz w:val="21"/>
          <w:szCs w:val="21"/>
        </w:rPr>
        <w:t>6、对于工程变更申请，应在收到乙方书面材料起</w:t>
      </w:r>
      <w:r>
        <w:rPr>
          <w:rFonts w:hint="eastAsia" w:hAnsi="宋体"/>
          <w:sz w:val="21"/>
          <w:szCs w:val="21"/>
          <w:u w:val="single"/>
        </w:rPr>
        <w:t xml:space="preserve">  2 </w:t>
      </w:r>
      <w:r>
        <w:rPr>
          <w:rFonts w:hint="eastAsia" w:hAnsi="宋体"/>
          <w:sz w:val="21"/>
          <w:szCs w:val="21"/>
        </w:rPr>
        <w:t>个工作日内进行审批或确认，办理有关的签证。</w:t>
      </w:r>
    </w:p>
    <w:p>
      <w:pPr>
        <w:spacing w:line="480" w:lineRule="exact"/>
        <w:ind w:firstLine="327" w:firstLineChars="156"/>
        <w:rPr>
          <w:rFonts w:hAnsi="宋体"/>
          <w:sz w:val="21"/>
          <w:szCs w:val="21"/>
        </w:rPr>
      </w:pPr>
      <w:r>
        <w:rPr>
          <w:rFonts w:hint="eastAsia" w:hAnsi="宋体"/>
          <w:sz w:val="21"/>
          <w:szCs w:val="21"/>
        </w:rPr>
        <w:t>7、接乙方提供工程进度报表后</w:t>
      </w:r>
      <w:r>
        <w:rPr>
          <w:rFonts w:hint="eastAsia" w:hAnsi="宋体"/>
          <w:sz w:val="21"/>
          <w:szCs w:val="21"/>
          <w:u w:val="single"/>
        </w:rPr>
        <w:t xml:space="preserve"> 2  </w:t>
      </w:r>
      <w:r>
        <w:rPr>
          <w:rFonts w:hint="eastAsia" w:hAnsi="宋体"/>
          <w:sz w:val="21"/>
          <w:szCs w:val="21"/>
        </w:rPr>
        <w:t>个工作日内审批工程施工进度，并按合同约定支付合同款项。</w:t>
      </w:r>
    </w:p>
    <w:p>
      <w:pPr>
        <w:spacing w:line="480" w:lineRule="exact"/>
        <w:ind w:firstLine="327" w:firstLineChars="156"/>
        <w:rPr>
          <w:rFonts w:hAnsi="宋体"/>
          <w:sz w:val="21"/>
          <w:szCs w:val="21"/>
        </w:rPr>
      </w:pPr>
      <w:r>
        <w:rPr>
          <w:rFonts w:hint="eastAsia" w:hAnsi="宋体"/>
          <w:sz w:val="21"/>
          <w:szCs w:val="21"/>
        </w:rPr>
        <w:t>8、负责协调乙方与其他各承包单位的关系，并协助解决材料堆放场地，费用由乙方承担并直接向总承包单位支付。</w:t>
      </w:r>
    </w:p>
    <w:p>
      <w:pPr>
        <w:spacing w:line="480" w:lineRule="exact"/>
        <w:ind w:firstLine="327" w:firstLineChars="156"/>
        <w:rPr>
          <w:rFonts w:hAnsi="宋体"/>
          <w:sz w:val="21"/>
          <w:szCs w:val="21"/>
          <w:u w:val="single"/>
        </w:rPr>
      </w:pPr>
      <w:r>
        <w:rPr>
          <w:rFonts w:hint="eastAsia" w:hAnsi="宋体"/>
          <w:sz w:val="21"/>
          <w:szCs w:val="21"/>
        </w:rPr>
        <w:t>9、按相关规定办理施工所需证件、手续，提供有关的资料，包括：</w:t>
      </w:r>
      <w:r>
        <w:rPr>
          <w:rFonts w:hint="eastAsia" w:hAnsi="宋体"/>
          <w:sz w:val="21"/>
          <w:szCs w:val="21"/>
          <w:u w:val="single"/>
        </w:rPr>
        <w:t xml:space="preserve">  按工程所在地的建设行政主管部门的有关文件及规定办理 。     </w:t>
      </w:r>
    </w:p>
    <w:p>
      <w:pPr>
        <w:spacing w:line="480" w:lineRule="exact"/>
        <w:ind w:firstLine="327" w:firstLineChars="156"/>
        <w:rPr>
          <w:rFonts w:hAnsi="宋体"/>
          <w:sz w:val="21"/>
          <w:szCs w:val="21"/>
        </w:rPr>
      </w:pPr>
      <w:r>
        <w:rPr>
          <w:rFonts w:hint="eastAsia" w:hAnsi="宋体"/>
          <w:sz w:val="21"/>
          <w:szCs w:val="21"/>
        </w:rPr>
        <w:t>10、甲方在收到乙方所提交的竣工结算书及完整的竣工结算资料后，应在28天内通知乙方核对工程价款并于工程竣工验收合格（如需）、工程竣工四方验收并以该两份文件所标示的最后日期为基准)后的六个月内完成结算。</w:t>
      </w:r>
    </w:p>
    <w:p>
      <w:pPr>
        <w:spacing w:before="97" w:beforeLines="30" w:after="97" w:afterLines="30" w:line="400" w:lineRule="exact"/>
        <w:ind w:left="118" w:leftChars="49" w:firstLine="316" w:firstLineChars="150"/>
        <w:rPr>
          <w:rFonts w:hAnsi="宋体"/>
          <w:b/>
          <w:sz w:val="21"/>
          <w:szCs w:val="21"/>
        </w:rPr>
      </w:pPr>
      <w:r>
        <w:rPr>
          <w:rFonts w:hint="eastAsia" w:hAnsi="宋体"/>
          <w:b/>
          <w:sz w:val="21"/>
          <w:szCs w:val="21"/>
        </w:rPr>
        <w:t>（二）乙方义务</w:t>
      </w:r>
    </w:p>
    <w:p>
      <w:pPr>
        <w:spacing w:line="480" w:lineRule="exact"/>
        <w:ind w:firstLine="420" w:firstLineChars="200"/>
        <w:rPr>
          <w:rFonts w:hAnsi="宋体"/>
          <w:sz w:val="21"/>
          <w:szCs w:val="21"/>
        </w:rPr>
      </w:pPr>
      <w:r>
        <w:rPr>
          <w:rFonts w:hint="eastAsia" w:hAnsi="宋体"/>
          <w:sz w:val="21"/>
          <w:szCs w:val="21"/>
        </w:rPr>
        <w:t>1、委派现场代表</w:t>
      </w:r>
      <w:r>
        <w:rPr>
          <w:rFonts w:hint="eastAsia" w:hAnsi="宋体"/>
          <w:sz w:val="21"/>
          <w:szCs w:val="21"/>
          <w:u w:val="single"/>
        </w:rPr>
        <w:t xml:space="preserve">       </w:t>
      </w:r>
      <w:r>
        <w:rPr>
          <w:rFonts w:hint="eastAsia" w:hAnsi="宋体"/>
          <w:sz w:val="21"/>
          <w:szCs w:val="21"/>
        </w:rPr>
        <w:t>负责施工期间的全面管理。该现场代表须持有与本工程项目相适应的资格证书，如变更现场代表应事先经甲方书面同意。</w:t>
      </w:r>
    </w:p>
    <w:p>
      <w:pPr>
        <w:spacing w:line="480" w:lineRule="exact"/>
        <w:ind w:firstLine="420" w:firstLineChars="200"/>
        <w:rPr>
          <w:rFonts w:hAnsi="宋体"/>
          <w:sz w:val="21"/>
          <w:szCs w:val="21"/>
        </w:rPr>
      </w:pPr>
      <w:r>
        <w:rPr>
          <w:rFonts w:hint="eastAsia" w:hAnsi="宋体"/>
          <w:sz w:val="21"/>
          <w:szCs w:val="21"/>
        </w:rPr>
        <w:t>2、根据甲方确认的施工图纸，按照本合同约定完成承包范围内的施工工作，并按甲方要求的格式书面提请办理验收和确认手续。</w:t>
      </w:r>
    </w:p>
    <w:p>
      <w:pPr>
        <w:spacing w:line="480" w:lineRule="exact"/>
        <w:ind w:firstLine="420" w:firstLineChars="200"/>
        <w:rPr>
          <w:rFonts w:hAnsi="宋体"/>
          <w:sz w:val="21"/>
          <w:szCs w:val="21"/>
        </w:rPr>
      </w:pPr>
      <w:r>
        <w:rPr>
          <w:rFonts w:hint="eastAsia" w:hAnsi="宋体"/>
          <w:sz w:val="21"/>
          <w:szCs w:val="21"/>
        </w:rPr>
        <w:t>3、工程项目开工应提前三个工作日将完整的施工组织设计、网络图和施工技术措施和工程主要负责人名单报甲方确认、备案，如乙方更换工程主要负责人，应事先征得甲方书面同意。</w:t>
      </w:r>
    </w:p>
    <w:p>
      <w:pPr>
        <w:spacing w:line="480" w:lineRule="exact"/>
        <w:ind w:firstLine="420" w:firstLineChars="200"/>
        <w:rPr>
          <w:rFonts w:hAnsi="宋体"/>
          <w:sz w:val="21"/>
          <w:szCs w:val="21"/>
        </w:rPr>
      </w:pPr>
      <w:r>
        <w:rPr>
          <w:rFonts w:hint="eastAsia" w:hAnsi="宋体"/>
          <w:sz w:val="21"/>
          <w:szCs w:val="21"/>
        </w:rPr>
        <w:t>4、项目经理必须持有相关资质证书，现场项目经理必须与投标时经甲方确认的人员名单一致。项目经理必须常住现场，离开现场2天（含2天）以上需经甲方同意。中途更换项目经理，需提前7天以书面形式通知甲方。甲方有权就不称职的项目经理向乙方提出更换。</w:t>
      </w:r>
    </w:p>
    <w:p>
      <w:pPr>
        <w:tabs>
          <w:tab w:val="left" w:pos="426"/>
        </w:tabs>
        <w:spacing w:line="480" w:lineRule="exact"/>
        <w:rPr>
          <w:rFonts w:hAnsi="宋体"/>
          <w:sz w:val="21"/>
          <w:szCs w:val="21"/>
        </w:rPr>
      </w:pPr>
      <w:r>
        <w:rPr>
          <w:rFonts w:hint="eastAsia" w:hAnsi="宋体"/>
          <w:sz w:val="21"/>
          <w:szCs w:val="21"/>
        </w:rPr>
        <w:t xml:space="preserve">    5、乙方材料进场前，须提前一个工作日书面通知甲方，进场时经双方共同验收并作书面记录。</w:t>
      </w:r>
    </w:p>
    <w:p>
      <w:pPr>
        <w:tabs>
          <w:tab w:val="left" w:pos="426"/>
        </w:tabs>
        <w:spacing w:line="480" w:lineRule="exact"/>
        <w:ind w:firstLine="420" w:firstLineChars="200"/>
        <w:rPr>
          <w:rFonts w:hAnsi="宋体"/>
          <w:sz w:val="21"/>
          <w:szCs w:val="21"/>
        </w:rPr>
      </w:pPr>
      <w:r>
        <w:rPr>
          <w:rFonts w:hint="eastAsia" w:hAnsi="宋体"/>
          <w:sz w:val="21"/>
          <w:szCs w:val="21"/>
        </w:rPr>
        <w:t>6、施工过程中如发现设计错误或不合理时，应立即停工并书面通知甲方。否则，乙方应对扩大的损失负责赔偿。</w:t>
      </w:r>
    </w:p>
    <w:p>
      <w:pPr>
        <w:tabs>
          <w:tab w:val="left" w:pos="426"/>
        </w:tabs>
        <w:spacing w:line="480" w:lineRule="exact"/>
        <w:ind w:firstLine="420" w:firstLineChars="200"/>
        <w:rPr>
          <w:rFonts w:hAnsi="宋体"/>
          <w:sz w:val="21"/>
          <w:szCs w:val="21"/>
        </w:rPr>
      </w:pPr>
      <w:r>
        <w:rPr>
          <w:rFonts w:hint="eastAsia" w:hAnsi="宋体"/>
          <w:sz w:val="21"/>
          <w:szCs w:val="21"/>
        </w:rPr>
        <w:t>7、于达到合同约定的付款条件时，乙方须按甲方要求的格式提供相应的工程进度报表给甲方确认，达到本合同约定的付款条件的还应向甲方发出书面付款通知，若乙方未及时提供前述资料，甲方可相应顺延付款时间。</w:t>
      </w:r>
    </w:p>
    <w:p>
      <w:pPr>
        <w:spacing w:line="480" w:lineRule="exact"/>
        <w:ind w:firstLine="420" w:firstLineChars="200"/>
        <w:rPr>
          <w:rFonts w:hAnsi="宋体"/>
          <w:sz w:val="21"/>
          <w:szCs w:val="21"/>
        </w:rPr>
      </w:pPr>
      <w:r>
        <w:rPr>
          <w:rFonts w:hint="eastAsia" w:hAnsi="宋体"/>
          <w:sz w:val="21"/>
          <w:szCs w:val="21"/>
        </w:rPr>
        <w:t>9、按相关安全法规进行安全施工，遵守甲方施工现场管理的有关规定，承担在施工过程中的防火、防盗、防止事故发生等安全责任。若出现安全问题，责任由乙方自行承担。</w:t>
      </w:r>
    </w:p>
    <w:p>
      <w:pPr>
        <w:spacing w:line="480" w:lineRule="exact"/>
        <w:ind w:right="23" w:firstLine="445" w:firstLineChars="212"/>
        <w:rPr>
          <w:rFonts w:hAnsi="宋体"/>
          <w:sz w:val="21"/>
          <w:szCs w:val="21"/>
        </w:rPr>
      </w:pPr>
      <w:r>
        <w:rPr>
          <w:rFonts w:hint="eastAsia" w:hAnsi="宋体"/>
          <w:sz w:val="21"/>
          <w:szCs w:val="21"/>
        </w:rPr>
        <w:t>10、乙方应处理好与其他在建专业施工队伍的关系，保证施工场地的清洁卫生符合相关环境卫生管理的规定，做到工完场清。</w:t>
      </w:r>
    </w:p>
    <w:p>
      <w:pPr>
        <w:spacing w:line="480" w:lineRule="exact"/>
        <w:rPr>
          <w:rFonts w:hAnsi="宋体"/>
          <w:sz w:val="21"/>
          <w:szCs w:val="21"/>
        </w:rPr>
      </w:pPr>
      <w:r>
        <w:rPr>
          <w:rFonts w:hint="eastAsia" w:hAnsi="宋体"/>
          <w:sz w:val="21"/>
          <w:szCs w:val="21"/>
        </w:rPr>
        <w:t xml:space="preserve">    11、工程交付甲方前，应负责已完工工程的保护工作，在此期间发生损坏的，由乙方自费予以修复并按合同约定交付甲方，由此造成工期延误，按违约责任中的逾期完工条款处理。</w:t>
      </w:r>
    </w:p>
    <w:p>
      <w:pPr>
        <w:spacing w:line="480" w:lineRule="exact"/>
        <w:ind w:firstLine="420" w:firstLineChars="200"/>
        <w:rPr>
          <w:rFonts w:hAnsi="宋体"/>
          <w:sz w:val="21"/>
          <w:szCs w:val="21"/>
        </w:rPr>
      </w:pPr>
      <w:r>
        <w:rPr>
          <w:rFonts w:hint="eastAsia" w:hAnsi="宋体"/>
          <w:sz w:val="21"/>
          <w:szCs w:val="21"/>
        </w:rPr>
        <w:t>12、乙方如在施工过程中损坏甲方现场的其他工程成品或半成品，乙方应赔偿给甲方，甲方有权在工程结算款中扣除。</w:t>
      </w:r>
    </w:p>
    <w:p>
      <w:pPr>
        <w:spacing w:line="480" w:lineRule="exact"/>
        <w:ind w:firstLine="420" w:firstLineChars="200"/>
        <w:rPr>
          <w:rFonts w:hAnsi="宋体"/>
          <w:sz w:val="21"/>
          <w:szCs w:val="21"/>
        </w:rPr>
      </w:pPr>
      <w:r>
        <w:rPr>
          <w:rFonts w:hint="eastAsia" w:hAnsi="宋体"/>
          <w:sz w:val="21"/>
          <w:szCs w:val="21"/>
        </w:rPr>
        <w:t>13、乙方进场施工时，应与总承包单位签订有关的协议或合同。</w:t>
      </w:r>
    </w:p>
    <w:p>
      <w:pPr>
        <w:spacing w:line="480" w:lineRule="exact"/>
        <w:ind w:firstLine="420" w:firstLineChars="200"/>
        <w:rPr>
          <w:rFonts w:hAnsi="宋体"/>
          <w:sz w:val="21"/>
          <w:szCs w:val="21"/>
        </w:rPr>
      </w:pPr>
      <w:r>
        <w:rPr>
          <w:rFonts w:hint="eastAsia" w:hAnsi="宋体"/>
          <w:sz w:val="21"/>
          <w:szCs w:val="21"/>
        </w:rPr>
        <w:t>14、乙方与其员工之间的一切劳动纠纷由其自行负责，由此给甲方造成损失的，乙方应予以赔偿。</w:t>
      </w:r>
    </w:p>
    <w:p>
      <w:pPr>
        <w:spacing w:line="480" w:lineRule="exact"/>
        <w:ind w:firstLine="420" w:firstLineChars="200"/>
        <w:rPr>
          <w:rFonts w:hAnsi="宋体"/>
          <w:sz w:val="21"/>
          <w:szCs w:val="21"/>
        </w:rPr>
      </w:pPr>
      <w:r>
        <w:rPr>
          <w:rFonts w:hint="eastAsia" w:hAnsi="宋体"/>
          <w:sz w:val="21"/>
          <w:szCs w:val="21"/>
        </w:rPr>
        <w:t>15、因乙方原因造成的不符合本合同约定标准的质量问题及工程隐患而甲方在验收时没能发现的，由乙方负责在甲方要求的期限内免费整改。</w:t>
      </w:r>
    </w:p>
    <w:p>
      <w:pPr>
        <w:spacing w:line="480" w:lineRule="exact"/>
        <w:rPr>
          <w:rFonts w:hAnsi="宋体"/>
          <w:sz w:val="21"/>
          <w:szCs w:val="21"/>
        </w:rPr>
      </w:pPr>
      <w:r>
        <w:rPr>
          <w:rFonts w:hint="eastAsia" w:hAnsi="宋体"/>
          <w:sz w:val="21"/>
          <w:szCs w:val="21"/>
        </w:rPr>
        <w:t xml:space="preserve">    16、乙方不得未经甲方同意改变或破坏工程楼房的承重结构。</w:t>
      </w:r>
    </w:p>
    <w:p>
      <w:pPr>
        <w:spacing w:line="480" w:lineRule="exact"/>
        <w:ind w:firstLine="420" w:firstLineChars="200"/>
        <w:rPr>
          <w:rFonts w:hAnsi="宋体"/>
          <w:sz w:val="21"/>
          <w:szCs w:val="21"/>
        </w:rPr>
      </w:pPr>
      <w:r>
        <w:rPr>
          <w:rFonts w:hint="eastAsia" w:hAnsi="宋体"/>
          <w:sz w:val="21"/>
          <w:szCs w:val="21"/>
        </w:rPr>
        <w:t>17、工程竣工验收后，乙方人员必须在两日内清理并撤离施工场地。</w:t>
      </w:r>
    </w:p>
    <w:p>
      <w:pPr>
        <w:spacing w:line="480" w:lineRule="exact"/>
        <w:ind w:firstLine="420" w:firstLineChars="200"/>
        <w:rPr>
          <w:rFonts w:hAnsi="宋体"/>
          <w:sz w:val="21"/>
          <w:szCs w:val="21"/>
        </w:rPr>
      </w:pPr>
      <w:r>
        <w:rPr>
          <w:rFonts w:hint="eastAsia" w:hAnsi="宋体"/>
          <w:sz w:val="21"/>
          <w:szCs w:val="21"/>
        </w:rPr>
        <w:t>18、乙方承包的工程项目，未经甲方书面同意，不得分包或转包给其他任何单位。</w:t>
      </w:r>
    </w:p>
    <w:p>
      <w:pPr>
        <w:spacing w:line="480" w:lineRule="exact"/>
        <w:ind w:firstLine="420" w:firstLineChars="200"/>
        <w:rPr>
          <w:rFonts w:hAnsi="宋体"/>
          <w:sz w:val="21"/>
          <w:szCs w:val="21"/>
        </w:rPr>
      </w:pPr>
      <w:r>
        <w:rPr>
          <w:rFonts w:hint="eastAsia" w:hAnsi="宋体"/>
          <w:sz w:val="21"/>
          <w:szCs w:val="21"/>
        </w:rPr>
        <w:t>19、图纸外（现场变更、临时工程等）的工程签证，属于隐蔽工程的应于隐蔽前办理签证，非隐蔽工程应于完成后两个工作日内办理签证。签证时，乙方应至少提前4个工作小时通知甲方，经甲方项目部、经营与财务中心及乙方共同现场验收签证，并在签证单中签名确认方为有效。甲方、乙方双方各执2份，作为工程结算依据。</w:t>
      </w:r>
    </w:p>
    <w:p>
      <w:pPr>
        <w:spacing w:line="480" w:lineRule="exact"/>
        <w:ind w:firstLine="420" w:firstLineChars="200"/>
        <w:rPr>
          <w:rFonts w:hAnsi="宋体"/>
          <w:sz w:val="21"/>
          <w:szCs w:val="21"/>
        </w:rPr>
      </w:pPr>
      <w:r>
        <w:rPr>
          <w:rFonts w:hint="eastAsia" w:hAnsi="宋体"/>
          <w:sz w:val="21"/>
          <w:szCs w:val="21"/>
        </w:rPr>
        <w:t>不按以上要求的事后补签，甲方可不予以认可及结算，后果由乙方自行承担。</w:t>
      </w:r>
    </w:p>
    <w:p>
      <w:pPr>
        <w:spacing w:line="480" w:lineRule="exact"/>
        <w:ind w:firstLine="420" w:firstLineChars="200"/>
        <w:rPr>
          <w:rFonts w:hAnsi="宋体"/>
          <w:sz w:val="21"/>
          <w:szCs w:val="21"/>
        </w:rPr>
      </w:pPr>
      <w:r>
        <w:rPr>
          <w:rFonts w:hint="eastAsia" w:hAnsi="宋体"/>
          <w:sz w:val="21"/>
          <w:szCs w:val="21"/>
        </w:rPr>
        <w:t>20、同时，属于乙方工程承包范围内的分部分项工程，如乙方不予以实施或未按期完成且甲方已发书面通知后3个日历天内(以该通知文件所标示的甲方签发之日起计)仍不实施或不按期完成时，甲方有权将该分部分项工程作为指定分包工程或独立发包工程或其他方式委托第三方实施的权利，乙方须承担向甲方或甲方所委托的第三方移交施工现场及施工工作面并承担相应的指定分包工程或独立发包工程总承包的配合和管理工作，且所需全部费用及全部损失均由乙方负责；同时，乙方还须另按该分部分项工程总价款×15%补偿甲方并作为甲方管理费之一，甲方可在任何时候从乙方的任何工程款中予以扣减。</w:t>
      </w:r>
    </w:p>
    <w:p>
      <w:pPr>
        <w:spacing w:line="480" w:lineRule="exact"/>
        <w:ind w:firstLine="420" w:firstLineChars="200"/>
        <w:rPr>
          <w:rFonts w:hAnsi="宋体"/>
          <w:sz w:val="21"/>
          <w:szCs w:val="21"/>
        </w:rPr>
      </w:pPr>
      <w:r>
        <w:rPr>
          <w:rFonts w:hint="eastAsia" w:hAnsi="宋体"/>
          <w:sz w:val="21"/>
          <w:szCs w:val="21"/>
        </w:rPr>
        <w:t xml:space="preserve">21、分项工程施工完成，乙方进行自检合格后应以书面形式（按甲方要求的格式）通知甲方验收。通知包括验收的内容、验收时间和地点。甲方验收合格后，乙方方可进行下一道工序的施工。验收不合格，乙方在甲方限定的时间内整改后重新报验。 </w:t>
      </w:r>
    </w:p>
    <w:p>
      <w:pPr>
        <w:spacing w:line="480" w:lineRule="exact"/>
        <w:ind w:firstLine="420" w:firstLineChars="200"/>
        <w:rPr>
          <w:rFonts w:hAnsi="宋体"/>
          <w:sz w:val="21"/>
          <w:szCs w:val="21"/>
        </w:rPr>
      </w:pPr>
      <w:r>
        <w:rPr>
          <w:rFonts w:hint="eastAsia" w:hAnsi="宋体"/>
          <w:sz w:val="21"/>
          <w:szCs w:val="21"/>
        </w:rPr>
        <w:t xml:space="preserve">22、甲供材料损耗率必须在定额范围内（具体定额范围按《广东省建筑与装饰工程综合定额》（2018）约定），超过部分由乙方负责（如有甲供材料）。 </w:t>
      </w:r>
    </w:p>
    <w:p>
      <w:pPr>
        <w:spacing w:line="480" w:lineRule="exact"/>
        <w:ind w:firstLine="420" w:firstLineChars="200"/>
        <w:rPr>
          <w:rFonts w:hAnsi="宋体"/>
          <w:sz w:val="21"/>
          <w:szCs w:val="21"/>
        </w:rPr>
      </w:pPr>
      <w:r>
        <w:rPr>
          <w:rFonts w:hint="eastAsia" w:hAnsi="宋体"/>
          <w:sz w:val="21"/>
          <w:szCs w:val="21"/>
        </w:rPr>
        <w:t>23、乙方应在工程竣工验收后两周内向甲方提交竣工结算书及完整的竣工结算资料，并在收到甲方发出的核对工程价款通知之日起三个工作日内与甲方核对工程价款，于工程竣工验收后的</w:t>
      </w:r>
      <w:r>
        <w:rPr>
          <w:rFonts w:hint="eastAsia" w:hAnsi="宋体"/>
          <w:sz w:val="21"/>
          <w:szCs w:val="21"/>
          <w:u w:val="single"/>
        </w:rPr>
        <w:t xml:space="preserve">   一_</w:t>
      </w:r>
      <w:r>
        <w:rPr>
          <w:rFonts w:hint="eastAsia" w:hAnsi="宋体"/>
          <w:sz w:val="21"/>
          <w:szCs w:val="21"/>
        </w:rPr>
        <w:t>个月内完成结算。乙方不按以上约定履行义务的，视为乙方同意以甲方结算金额作为本工程的最终结算金额。</w:t>
      </w:r>
    </w:p>
    <w:p>
      <w:pPr>
        <w:spacing w:line="480" w:lineRule="exact"/>
        <w:ind w:firstLine="420" w:firstLineChars="200"/>
        <w:rPr>
          <w:rFonts w:hAnsi="宋体"/>
          <w:sz w:val="21"/>
          <w:szCs w:val="21"/>
        </w:rPr>
      </w:pPr>
      <w:r>
        <w:rPr>
          <w:rFonts w:hint="eastAsia" w:hAnsi="宋体"/>
          <w:sz w:val="21"/>
          <w:szCs w:val="21"/>
        </w:rPr>
        <w:t>如工程的最终结算金额少于甲方已支付的工程款总额，则乙方应在收到甲方通知之日起五个工作日内将甲方已支付的工程款总额和工程的最终结算金额之间的差额退回给甲方。</w:t>
      </w:r>
    </w:p>
    <w:p>
      <w:pPr>
        <w:spacing w:line="480" w:lineRule="exact"/>
        <w:ind w:firstLine="420" w:firstLineChars="200"/>
        <w:rPr>
          <w:rFonts w:hAnsi="宋体"/>
          <w:sz w:val="21"/>
          <w:szCs w:val="21"/>
        </w:rPr>
      </w:pPr>
    </w:p>
    <w:p>
      <w:pPr>
        <w:spacing w:line="480" w:lineRule="exact"/>
        <w:ind w:left="16"/>
        <w:rPr>
          <w:rFonts w:hAnsi="宋体"/>
          <w:b/>
          <w:sz w:val="21"/>
          <w:szCs w:val="21"/>
        </w:rPr>
      </w:pPr>
      <w:r>
        <w:rPr>
          <w:rFonts w:hint="eastAsia" w:hAnsi="宋体"/>
          <w:b/>
          <w:sz w:val="21"/>
          <w:szCs w:val="21"/>
        </w:rPr>
        <w:t>第十四条  违约责任</w:t>
      </w:r>
    </w:p>
    <w:p>
      <w:pPr>
        <w:spacing w:line="480" w:lineRule="exact"/>
        <w:rPr>
          <w:rFonts w:hAnsi="宋体"/>
          <w:sz w:val="21"/>
          <w:szCs w:val="21"/>
        </w:rPr>
      </w:pPr>
      <w:r>
        <w:rPr>
          <w:rFonts w:hint="eastAsia" w:hAnsi="宋体"/>
          <w:sz w:val="21"/>
          <w:szCs w:val="21"/>
        </w:rPr>
        <w:t xml:space="preserve">    1、甲方必须按本合同约定参加隐蔽工程验收，否则视为默认，乙方可进行下道工序，但如乙方施工质量不符合合同约定的要求，乙方必须承担违约责任。若事后甲方提出复查，复查合格时费用由甲方承担，复查结果不合格时，复查及返修费用由乙方承担，工期不予顺延。</w:t>
      </w:r>
    </w:p>
    <w:p>
      <w:pPr>
        <w:spacing w:line="480" w:lineRule="exact"/>
        <w:ind w:firstLine="420" w:firstLineChars="200"/>
        <w:rPr>
          <w:rFonts w:hAnsi="宋体"/>
          <w:sz w:val="21"/>
          <w:szCs w:val="21"/>
        </w:rPr>
      </w:pPr>
      <w:r>
        <w:rPr>
          <w:rFonts w:hint="eastAsia" w:hAnsi="宋体"/>
          <w:sz w:val="21"/>
          <w:szCs w:val="21"/>
        </w:rPr>
        <w:t>2、甲方因自身原因未能按本合同约定进行工程竣工验收的，由甲方承担工程保管及风险责任。</w:t>
      </w:r>
    </w:p>
    <w:p>
      <w:pPr>
        <w:spacing w:line="480" w:lineRule="exact"/>
        <w:ind w:firstLine="420" w:firstLineChars="200"/>
        <w:rPr>
          <w:rFonts w:hAnsi="宋体"/>
          <w:sz w:val="21"/>
          <w:szCs w:val="21"/>
        </w:rPr>
      </w:pPr>
      <w:r>
        <w:rPr>
          <w:rFonts w:hint="eastAsia" w:hAnsi="宋体"/>
          <w:sz w:val="21"/>
          <w:szCs w:val="21"/>
        </w:rPr>
        <w:t xml:space="preserve">3、如果甲方未能在约定的时间内支付有关应付的任何款额，甲方可以与乙方达成延期付款协议，甲方应按照延期付款协议的约定向乙方支付。如果未能达成延期付款协议，或虽达成延期付款协议但在延期付款协议约定的延期内仍不能按要求付款，则乙方有权得到未付款额自应付之日起至实际支付日止的利息补偿。除非合同中另有规定，用于计算该利息的利率应按中国人民银行发布的同期存款利率计算。 </w:t>
      </w:r>
    </w:p>
    <w:p>
      <w:pPr>
        <w:spacing w:line="480" w:lineRule="exact"/>
        <w:ind w:firstLine="420" w:firstLineChars="200"/>
        <w:rPr>
          <w:rFonts w:hAnsi="宋体"/>
          <w:sz w:val="21"/>
          <w:szCs w:val="21"/>
        </w:rPr>
      </w:pPr>
      <w:r>
        <w:rPr>
          <w:rFonts w:hint="eastAsia" w:hAnsi="宋体"/>
          <w:sz w:val="21"/>
          <w:szCs w:val="21"/>
        </w:rPr>
        <w:t>4、乙方未能在合同约定工期内通过竣工验收【包括工程中间交接验收】、工程竣工四方验收的或完工的，每逾期一日，按合同预算总价之</w:t>
      </w:r>
      <w:r>
        <w:rPr>
          <w:rFonts w:hAnsi="宋体"/>
          <w:sz w:val="21"/>
          <w:szCs w:val="21"/>
        </w:rPr>
        <w:t>2</w:t>
      </w:r>
      <w:r>
        <w:rPr>
          <w:rFonts w:hint="eastAsia" w:hAnsi="宋体"/>
          <w:sz w:val="21"/>
          <w:szCs w:val="21"/>
        </w:rPr>
        <w:t>‰向甲方支付违约金。逾期超过 10 日，甲方有权解除合同，乙方应按工程预算总价款的20％向甲方支付违约金，并赔偿由此给甲方造成的损失。</w:t>
      </w:r>
    </w:p>
    <w:p>
      <w:pPr>
        <w:spacing w:line="480" w:lineRule="exact"/>
        <w:ind w:firstLine="420" w:firstLineChars="200"/>
        <w:rPr>
          <w:rFonts w:hAnsi="宋体"/>
          <w:sz w:val="21"/>
          <w:szCs w:val="21"/>
        </w:rPr>
      </w:pPr>
      <w:r>
        <w:rPr>
          <w:rFonts w:hint="eastAsia" w:hAnsi="宋体"/>
          <w:sz w:val="21"/>
          <w:szCs w:val="21"/>
        </w:rPr>
        <w:t>5、本工程在实施过程的任何一个环节中，经甲方检查或巡检发现质量未能达标，且无法经过修复满足甲方工程质量标准的，甲方有权解除合同，乙方应按工程预算总造价的</w:t>
      </w:r>
      <w:r>
        <w:rPr>
          <w:rFonts w:hAnsi="宋体"/>
          <w:sz w:val="21"/>
          <w:szCs w:val="21"/>
        </w:rPr>
        <w:t>2</w:t>
      </w:r>
      <w:r>
        <w:rPr>
          <w:rFonts w:hint="eastAsia" w:hAnsi="宋体"/>
          <w:sz w:val="21"/>
          <w:szCs w:val="21"/>
        </w:rPr>
        <w:t>0%支付违约金，乙方所有人员、设备必须在甲方解除合同书面通知送达之日起三个工作日内撤离施工现场并向甲方移交有关的所有工程资料，同时，甲方对</w:t>
      </w:r>
      <w:r>
        <w:rPr>
          <w:rFonts w:hint="eastAsia" w:hAnsi="宋体"/>
          <w:bCs/>
          <w:sz w:val="21"/>
          <w:szCs w:val="21"/>
        </w:rPr>
        <w:t>乙方已完成合格部分的工程量进行结算。</w:t>
      </w:r>
    </w:p>
    <w:p>
      <w:pPr>
        <w:spacing w:line="480" w:lineRule="exact"/>
        <w:ind w:firstLine="420" w:firstLineChars="200"/>
        <w:rPr>
          <w:rFonts w:hAnsi="宋体"/>
          <w:sz w:val="21"/>
          <w:szCs w:val="21"/>
        </w:rPr>
      </w:pPr>
      <w:r>
        <w:rPr>
          <w:rFonts w:hint="eastAsia" w:hAnsi="宋体"/>
          <w:sz w:val="21"/>
          <w:szCs w:val="21"/>
        </w:rPr>
        <w:t>6、本工程质量达不到国家建筑质量控制标准</w:t>
      </w:r>
      <w:r>
        <w:rPr>
          <w:rFonts w:hint="eastAsia" w:hAnsi="宋体"/>
          <w:sz w:val="21"/>
          <w:szCs w:val="21"/>
          <w:u w:val="single"/>
        </w:rPr>
        <w:t xml:space="preserve"> 合格 </w:t>
      </w:r>
      <w:r>
        <w:rPr>
          <w:rFonts w:hint="eastAsia" w:hAnsi="宋体"/>
          <w:sz w:val="21"/>
          <w:szCs w:val="21"/>
        </w:rPr>
        <w:t>的，乙方应按工程预算总造价的</w:t>
      </w:r>
      <w:r>
        <w:rPr>
          <w:rFonts w:hAnsi="宋体"/>
          <w:sz w:val="21"/>
          <w:szCs w:val="21"/>
        </w:rPr>
        <w:t>2</w:t>
      </w:r>
      <w:r>
        <w:rPr>
          <w:rFonts w:hint="eastAsia" w:hAnsi="宋体"/>
          <w:sz w:val="21"/>
          <w:szCs w:val="21"/>
        </w:rPr>
        <w:t>0％向甲方支付违约金，并赔偿甲方由此遭受的损失。</w:t>
      </w:r>
    </w:p>
    <w:p>
      <w:pPr>
        <w:spacing w:line="480" w:lineRule="exact"/>
        <w:ind w:firstLine="420" w:firstLineChars="200"/>
        <w:rPr>
          <w:rFonts w:hAnsi="宋体"/>
          <w:spacing w:val="6"/>
          <w:sz w:val="21"/>
          <w:szCs w:val="21"/>
        </w:rPr>
      </w:pPr>
      <w:r>
        <w:rPr>
          <w:rFonts w:hint="eastAsia" w:hAnsi="宋体"/>
          <w:sz w:val="21"/>
          <w:szCs w:val="21"/>
        </w:rPr>
        <w:t>7、</w:t>
      </w:r>
      <w:r>
        <w:rPr>
          <w:rFonts w:hint="eastAsia" w:hAnsi="宋体"/>
          <w:spacing w:val="6"/>
          <w:sz w:val="21"/>
          <w:szCs w:val="21"/>
        </w:rPr>
        <w:t>乙方在施工过程中，除不可抗力或甲方原因外不得以任何理由停工，非上述原因连续停工两个工作日以上的或在合同履行过程中停工超过2次，甲方有权解除合同，乙方应向甲方支付工程预算总价款的</w:t>
      </w:r>
      <w:r>
        <w:rPr>
          <w:rFonts w:hAnsi="宋体"/>
          <w:spacing w:val="6"/>
          <w:sz w:val="21"/>
          <w:szCs w:val="21"/>
        </w:rPr>
        <w:t>2</w:t>
      </w:r>
      <w:r>
        <w:rPr>
          <w:rFonts w:hint="eastAsia" w:hAnsi="宋体"/>
          <w:spacing w:val="6"/>
          <w:sz w:val="21"/>
          <w:szCs w:val="21"/>
        </w:rPr>
        <w:t>0％作为违约金，造成甲方工期延误或其他损失的，乙方应予赔偿。</w:t>
      </w:r>
    </w:p>
    <w:p>
      <w:pPr>
        <w:spacing w:line="480" w:lineRule="exact"/>
        <w:ind w:firstLine="444" w:firstLineChars="200"/>
        <w:rPr>
          <w:rFonts w:hAnsi="宋体"/>
          <w:sz w:val="21"/>
          <w:szCs w:val="21"/>
        </w:rPr>
      </w:pPr>
      <w:r>
        <w:rPr>
          <w:rFonts w:hint="eastAsia" w:hAnsi="宋体"/>
          <w:spacing w:val="6"/>
          <w:sz w:val="21"/>
          <w:szCs w:val="21"/>
        </w:rPr>
        <w:t>8、</w:t>
      </w:r>
      <w:r>
        <w:rPr>
          <w:rFonts w:hint="eastAsia" w:hAnsi="宋体"/>
          <w:sz w:val="21"/>
          <w:szCs w:val="21"/>
        </w:rPr>
        <w:t>乙方擅自中途更换工程主要负责人，或乙方现场代表不配合甲方工作或不能胜任工作的，甲方有权要求乙方更换相应人员，乙方应在甲方要求更换之日起五日内更换。否则，甲方有权要求停工，工期不得顺延，由此造成的工期延误的违约责任及甲方的损失由乙方承担。</w:t>
      </w:r>
    </w:p>
    <w:p>
      <w:pPr>
        <w:tabs>
          <w:tab w:val="left" w:pos="1080"/>
          <w:tab w:val="left" w:pos="1440"/>
        </w:tabs>
        <w:spacing w:line="480" w:lineRule="exact"/>
        <w:ind w:firstLine="420" w:firstLineChars="200"/>
        <w:rPr>
          <w:rFonts w:hAnsi="宋体"/>
          <w:sz w:val="21"/>
          <w:szCs w:val="21"/>
        </w:rPr>
      </w:pPr>
      <w:r>
        <w:rPr>
          <w:rFonts w:hint="eastAsia" w:hAnsi="宋体"/>
          <w:sz w:val="21"/>
          <w:szCs w:val="21"/>
        </w:rPr>
        <w:t>9、乙方施工须遵守甲方对工程管理的规定，否则甲方有权以每次5000元予以处罚，并要求停工或解除合同；造成甲方损失的，乙方应予以赔偿。</w:t>
      </w:r>
    </w:p>
    <w:p>
      <w:pPr>
        <w:tabs>
          <w:tab w:val="left" w:pos="1080"/>
          <w:tab w:val="left" w:pos="1440"/>
        </w:tabs>
        <w:spacing w:line="480" w:lineRule="exact"/>
        <w:ind w:firstLine="420" w:firstLineChars="200"/>
        <w:rPr>
          <w:rFonts w:hAnsi="宋体"/>
          <w:sz w:val="21"/>
          <w:szCs w:val="21"/>
        </w:rPr>
      </w:pPr>
      <w:r>
        <w:rPr>
          <w:rFonts w:hint="eastAsia" w:hAnsi="宋体"/>
          <w:sz w:val="21"/>
          <w:szCs w:val="21"/>
        </w:rPr>
        <w:t>10、乙方人员在施工区内出现打架斗殴、损坏工程成品、安全事故等情况时，所产生的对乙方人员或第三人的损害由乙方承担责任并负责赔偿；由此造成的甲方的损失，由乙方负责全额赔偿。</w:t>
      </w:r>
    </w:p>
    <w:p>
      <w:pPr>
        <w:spacing w:line="480" w:lineRule="exact"/>
        <w:ind w:firstLine="420" w:firstLineChars="200"/>
        <w:rPr>
          <w:rFonts w:hAnsi="宋体"/>
          <w:sz w:val="21"/>
          <w:szCs w:val="21"/>
        </w:rPr>
      </w:pPr>
      <w:r>
        <w:rPr>
          <w:rFonts w:hint="eastAsia" w:hAnsi="宋体"/>
          <w:sz w:val="21"/>
          <w:szCs w:val="21"/>
        </w:rPr>
        <w:t>11、甲方根据合同约定解除合同的，乙方所有人员、设备必须在甲方解除合同书面通知送达之日起三个工作日内撤离施工现场并向甲方移交有关的所有工程资料，并在此期限内与甲方共同签证已完成且质量符合本合同约定的工程量。未经甲乙双方共同签证的工程量，或经签证不合格的工程量不得再要求结算。甲方在上述期限过后有权安排新的施工单位进场施工。</w:t>
      </w:r>
    </w:p>
    <w:p>
      <w:pPr>
        <w:spacing w:line="480" w:lineRule="exact"/>
        <w:ind w:firstLine="420" w:firstLineChars="200"/>
        <w:rPr>
          <w:rFonts w:hAnsi="宋体"/>
          <w:sz w:val="21"/>
          <w:szCs w:val="21"/>
        </w:rPr>
      </w:pPr>
      <w:r>
        <w:rPr>
          <w:rFonts w:hint="eastAsia" w:hAnsi="宋体"/>
          <w:sz w:val="21"/>
          <w:szCs w:val="21"/>
        </w:rPr>
        <w:t>12、乙方不按时进场开工，在甲方发出书面通知后的</w:t>
      </w:r>
      <w:r>
        <w:rPr>
          <w:rFonts w:hint="eastAsia" w:hAnsi="宋体"/>
          <w:sz w:val="21"/>
          <w:szCs w:val="21"/>
          <w:u w:val="single"/>
        </w:rPr>
        <w:t xml:space="preserve">  3 </w:t>
      </w:r>
      <w:r>
        <w:rPr>
          <w:rFonts w:hint="eastAsia" w:hAnsi="宋体"/>
          <w:sz w:val="21"/>
          <w:szCs w:val="21"/>
        </w:rPr>
        <w:t>日内仍不进场施工的，甲方有权解除合同，乙方应向甲方支付工程预算总价款的20％作为违约金，造成甲方工期延误或其它损失的，乙方应予赔偿。</w:t>
      </w:r>
    </w:p>
    <w:p>
      <w:pPr>
        <w:spacing w:line="480" w:lineRule="exact"/>
        <w:ind w:firstLine="420" w:firstLineChars="200"/>
        <w:rPr>
          <w:rFonts w:hAnsi="宋体"/>
          <w:sz w:val="21"/>
          <w:szCs w:val="21"/>
        </w:rPr>
      </w:pPr>
      <w:r>
        <w:rPr>
          <w:rFonts w:hint="eastAsia" w:hAnsi="宋体"/>
          <w:sz w:val="21"/>
          <w:szCs w:val="21"/>
        </w:rPr>
        <w:t>13、乙方擅自把工程分包或转包给其他任何单位，甲方有权解除合同，乙方应按工程预算总价款的20％向甲方支付违约金，并赔偿甲方因此造成的一切损失。</w:t>
      </w:r>
    </w:p>
    <w:p>
      <w:pPr>
        <w:spacing w:line="480" w:lineRule="exact"/>
        <w:ind w:firstLine="420" w:firstLineChars="200"/>
        <w:rPr>
          <w:rFonts w:hAnsi="宋体"/>
          <w:sz w:val="21"/>
          <w:szCs w:val="21"/>
        </w:rPr>
      </w:pPr>
      <w:r>
        <w:rPr>
          <w:rFonts w:hint="eastAsia" w:hAnsi="宋体"/>
          <w:sz w:val="21"/>
          <w:szCs w:val="21"/>
        </w:rPr>
        <w:t>14、如乙方有与甲方工作人员串通进行假签证、违反廉洁协议或者采用其他违反诚实信用原则的不正当手段等损害甲方利益的行为，应承担下列违约责任：</w:t>
      </w:r>
    </w:p>
    <w:p>
      <w:pPr>
        <w:spacing w:line="480" w:lineRule="exact"/>
        <w:ind w:firstLine="420" w:firstLineChars="200"/>
        <w:rPr>
          <w:rFonts w:hAnsi="宋体"/>
          <w:sz w:val="21"/>
          <w:szCs w:val="21"/>
        </w:rPr>
      </w:pPr>
      <w:r>
        <w:rPr>
          <w:rFonts w:hint="eastAsia" w:hAnsi="宋体"/>
          <w:sz w:val="21"/>
          <w:szCs w:val="21"/>
        </w:rPr>
        <w:t>(a) 如在合同履行过程中被发现，甲方有权不予支付相应的工程款，并有权单方解除合同，甲方有权要求乙方按合同总价款</w:t>
      </w:r>
      <w:r>
        <w:rPr>
          <w:rFonts w:hAnsi="宋体"/>
          <w:sz w:val="21"/>
          <w:szCs w:val="21"/>
        </w:rPr>
        <w:t>20</w:t>
      </w:r>
      <w:r>
        <w:rPr>
          <w:rFonts w:hint="eastAsia" w:hAnsi="宋体"/>
          <w:sz w:val="21"/>
          <w:szCs w:val="21"/>
        </w:rPr>
        <w:t>%向甲方支付违约金，由此造成的损失均由乙方承担。甲方将乙方在合作单位名单中剔除，日后不再与乙方进行任何合作。</w:t>
      </w:r>
    </w:p>
    <w:p>
      <w:pPr>
        <w:spacing w:line="480" w:lineRule="exact"/>
        <w:ind w:firstLine="420" w:firstLineChars="200"/>
        <w:rPr>
          <w:rFonts w:hAnsi="宋体"/>
          <w:sz w:val="21"/>
          <w:szCs w:val="21"/>
        </w:rPr>
      </w:pPr>
      <w:r>
        <w:rPr>
          <w:rFonts w:hint="eastAsia" w:hAnsi="宋体"/>
          <w:sz w:val="21"/>
          <w:szCs w:val="21"/>
        </w:rPr>
        <w:t>(b)如在甲乙双方结算完毕后发现的，乙方应退还相应的工程款，同时甲方向乙方追究合同总价款</w:t>
      </w:r>
      <w:r>
        <w:rPr>
          <w:rFonts w:hAnsi="宋体"/>
          <w:sz w:val="21"/>
          <w:szCs w:val="21"/>
        </w:rPr>
        <w:t>20</w:t>
      </w:r>
      <w:r>
        <w:rPr>
          <w:rFonts w:hint="eastAsia" w:hAnsi="宋体"/>
          <w:sz w:val="21"/>
          <w:szCs w:val="21"/>
        </w:rPr>
        <w:t>%的违约金，且乙方应在收到甲方通知之日起5天内支付（若乙方逾期支付，则每逾期一日，乙方须按应付未付款金额的1‰向甲方支付违约金），由此给甲方造成的损失均由乙方承担。甲方将乙方在合作单位名单中剔除，日后不再与乙方进行任何合作。</w:t>
      </w:r>
    </w:p>
    <w:p>
      <w:pPr>
        <w:spacing w:line="480" w:lineRule="exact"/>
        <w:ind w:firstLine="420" w:firstLineChars="200"/>
        <w:rPr>
          <w:rFonts w:hAnsi="宋体"/>
          <w:sz w:val="21"/>
          <w:szCs w:val="21"/>
        </w:rPr>
      </w:pPr>
      <w:r>
        <w:rPr>
          <w:rFonts w:hint="eastAsia" w:hAnsi="宋体"/>
          <w:sz w:val="21"/>
          <w:szCs w:val="21"/>
        </w:rPr>
        <w:t>15、乙方未按合同约定及时向甲方提交竣工结算书及完整的竣工结算资料或提交后未按甲方通知的时间和甲方核对工程价款的，每逾期一日，按工程预算总价款的1‰向甲方支付违约金。该违约金应在收到甲方通知之日起五日内支付。</w:t>
      </w:r>
    </w:p>
    <w:p>
      <w:pPr>
        <w:spacing w:line="480" w:lineRule="exact"/>
        <w:ind w:firstLine="420" w:firstLineChars="200"/>
        <w:rPr>
          <w:rFonts w:hAnsi="宋体"/>
          <w:sz w:val="21"/>
          <w:szCs w:val="21"/>
        </w:rPr>
      </w:pPr>
      <w:r>
        <w:rPr>
          <w:rFonts w:hint="eastAsia" w:hAnsi="宋体"/>
          <w:sz w:val="21"/>
          <w:szCs w:val="21"/>
        </w:rPr>
        <w:t>16、乙方现场施工未能达到甲方工程管理要求（包括但不限于工期延误，质量不达标，未按施工标准施工等）造成甲方损失或接受第三方处罚的，甲方有权要求乙方进行赔偿。该赔偿金应在收到甲方通知之日起五日内支付，逾期未支付，每日按赔偿金之1</w:t>
      </w:r>
      <w:r>
        <w:rPr>
          <w:rFonts w:hAnsi="宋体"/>
          <w:sz w:val="21"/>
          <w:szCs w:val="21"/>
        </w:rPr>
        <w:t>%</w:t>
      </w:r>
      <w:r>
        <w:rPr>
          <w:rFonts w:hint="eastAsia" w:hAnsi="宋体"/>
          <w:sz w:val="21"/>
          <w:szCs w:val="21"/>
        </w:rPr>
        <w:t>向甲方支付违约金。</w:t>
      </w:r>
    </w:p>
    <w:p>
      <w:pPr>
        <w:spacing w:line="480" w:lineRule="exact"/>
        <w:ind w:firstLine="420" w:firstLineChars="200"/>
        <w:rPr>
          <w:rFonts w:hAnsi="宋体"/>
          <w:sz w:val="21"/>
          <w:szCs w:val="21"/>
        </w:rPr>
      </w:pPr>
      <w:r>
        <w:rPr>
          <w:rFonts w:hint="eastAsia" w:hAnsi="宋体"/>
          <w:sz w:val="21"/>
          <w:szCs w:val="21"/>
        </w:rPr>
        <w:t>17、乙方对本项目的工期、质量、安全、文明施工，以及劳资和债务等负全部责任，所发生的一切事故的责任和费用全部由乙方承担。如施工过程中发生工伤、安全、劳资等投诉、群聚等事件，甲方视其事件的严重状况及按甲方管理制度规定确定给予乙方处罚，同时乙方承担给甲方和投诉方造成的一切经济及名誉等损失。</w:t>
      </w:r>
    </w:p>
    <w:p>
      <w:pPr>
        <w:spacing w:line="480" w:lineRule="exact"/>
        <w:ind w:firstLine="420" w:firstLineChars="200"/>
        <w:rPr>
          <w:rFonts w:hAnsi="宋体"/>
          <w:sz w:val="21"/>
          <w:szCs w:val="21"/>
        </w:rPr>
      </w:pPr>
      <w:r>
        <w:rPr>
          <w:rFonts w:hint="eastAsia" w:hAnsi="宋体"/>
          <w:sz w:val="21"/>
          <w:szCs w:val="21"/>
        </w:rPr>
        <w:t>18、乙方应向甲方支付的违约金，甲方有权在应付未付款中扣除，违约金不足以弥补甲方损失的，甲方可继续向乙方追偿。</w:t>
      </w:r>
    </w:p>
    <w:p>
      <w:pPr>
        <w:spacing w:line="420" w:lineRule="exact"/>
        <w:ind w:firstLine="420" w:firstLineChars="200"/>
        <w:rPr>
          <w:rFonts w:hAnsi="宋体"/>
          <w:sz w:val="21"/>
          <w:szCs w:val="21"/>
        </w:rPr>
      </w:pPr>
      <w:r>
        <w:rPr>
          <w:rFonts w:hint="eastAsia" w:hAnsi="宋体"/>
          <w:sz w:val="21"/>
          <w:szCs w:val="21"/>
        </w:rPr>
        <w:t>19、如乙方对合同敷衍执行，或忽视履行合同规定的实质性义务，且从甲方要求其整改之日起5日内仍无实质性改进，甲方有权终止合同，乙方应向甲方双倍返还定金，由此造成的甲方经济损失，甲方有权在给乙方的任何款项中提款补偿。</w:t>
      </w:r>
    </w:p>
    <w:p>
      <w:pPr>
        <w:spacing w:line="420" w:lineRule="exact"/>
        <w:ind w:firstLine="420" w:firstLineChars="200"/>
        <w:rPr>
          <w:rFonts w:hAnsi="宋体"/>
          <w:sz w:val="21"/>
          <w:szCs w:val="21"/>
        </w:rPr>
      </w:pPr>
      <w:r>
        <w:rPr>
          <w:rFonts w:hint="eastAsia" w:hAnsi="宋体"/>
          <w:sz w:val="21"/>
          <w:szCs w:val="21"/>
        </w:rPr>
        <w:t>20、因乙方原因解除合同时，乙方应向甲方双倍返还定金，且甲方有权决定是否接收属于乙方在现场的一切产品使用于本项目，并有进一步要求向乙方索赔的权利。</w:t>
      </w:r>
    </w:p>
    <w:p>
      <w:pPr>
        <w:spacing w:line="420" w:lineRule="exact"/>
        <w:ind w:firstLine="420" w:firstLineChars="200"/>
        <w:rPr>
          <w:rFonts w:hAnsi="宋体"/>
          <w:sz w:val="21"/>
          <w:szCs w:val="21"/>
        </w:rPr>
      </w:pPr>
      <w:r>
        <w:rPr>
          <w:rFonts w:hint="eastAsia" w:hAnsi="宋体"/>
          <w:sz w:val="21"/>
          <w:szCs w:val="21"/>
        </w:rPr>
        <w:t>2</w:t>
      </w:r>
      <w:r>
        <w:rPr>
          <w:rFonts w:hAnsi="宋体"/>
          <w:sz w:val="21"/>
          <w:szCs w:val="21"/>
        </w:rPr>
        <w:t>1</w:t>
      </w:r>
      <w:r>
        <w:rPr>
          <w:rFonts w:hint="eastAsia" w:hAnsi="宋体"/>
          <w:sz w:val="21"/>
          <w:szCs w:val="21"/>
        </w:rPr>
        <w:t>、甲方非因法定或约定的事由解除合同的，乙方有权没收定金。</w:t>
      </w:r>
    </w:p>
    <w:p>
      <w:pPr>
        <w:spacing w:line="480" w:lineRule="exact"/>
        <w:ind w:firstLine="420" w:firstLineChars="200"/>
        <w:rPr>
          <w:rFonts w:hAnsi="宋体"/>
          <w:sz w:val="21"/>
          <w:szCs w:val="21"/>
        </w:rPr>
      </w:pPr>
    </w:p>
    <w:p>
      <w:pPr>
        <w:spacing w:line="480" w:lineRule="exact"/>
        <w:rPr>
          <w:rFonts w:hAnsi="宋体"/>
          <w:b/>
          <w:sz w:val="21"/>
          <w:szCs w:val="21"/>
        </w:rPr>
      </w:pPr>
      <w:r>
        <w:rPr>
          <w:rFonts w:hint="eastAsia" w:hAnsi="宋体"/>
          <w:b/>
          <w:sz w:val="21"/>
          <w:szCs w:val="21"/>
        </w:rPr>
        <w:t>第十五条   转让条款</w:t>
      </w:r>
    </w:p>
    <w:p>
      <w:pPr>
        <w:spacing w:line="480" w:lineRule="exact"/>
        <w:ind w:firstLine="420" w:firstLineChars="200"/>
        <w:rPr>
          <w:rFonts w:hAnsi="宋体"/>
          <w:sz w:val="21"/>
          <w:szCs w:val="21"/>
        </w:rPr>
      </w:pPr>
      <w:r>
        <w:rPr>
          <w:rFonts w:hint="eastAsia" w:hAnsi="宋体"/>
          <w:sz w:val="21"/>
          <w:szCs w:val="21"/>
        </w:rPr>
        <w:t>未经合同其他方书面同意，任何一方不得全部或部分转让其在本合同项下的权利和义务。</w:t>
      </w:r>
    </w:p>
    <w:p>
      <w:pPr>
        <w:spacing w:line="480" w:lineRule="exact"/>
        <w:ind w:firstLine="420" w:firstLineChars="200"/>
        <w:rPr>
          <w:rFonts w:hAnsi="宋体"/>
          <w:sz w:val="21"/>
          <w:szCs w:val="21"/>
        </w:rPr>
      </w:pPr>
    </w:p>
    <w:p>
      <w:pPr>
        <w:spacing w:line="480" w:lineRule="exact"/>
        <w:rPr>
          <w:rFonts w:hAnsi="宋体"/>
          <w:b/>
          <w:sz w:val="21"/>
          <w:szCs w:val="21"/>
        </w:rPr>
      </w:pPr>
      <w:r>
        <w:rPr>
          <w:rFonts w:hint="eastAsia" w:hAnsi="宋体"/>
          <w:b/>
          <w:sz w:val="21"/>
          <w:szCs w:val="21"/>
        </w:rPr>
        <w:t>第十六条  保险条款</w:t>
      </w:r>
    </w:p>
    <w:p>
      <w:pPr>
        <w:spacing w:line="480" w:lineRule="exact"/>
        <w:ind w:firstLine="420" w:firstLineChars="200"/>
        <w:rPr>
          <w:rFonts w:hAnsi="宋体"/>
          <w:sz w:val="21"/>
          <w:szCs w:val="21"/>
        </w:rPr>
      </w:pPr>
      <w:r>
        <w:rPr>
          <w:rFonts w:hint="eastAsia" w:hAnsi="宋体"/>
          <w:sz w:val="21"/>
          <w:szCs w:val="21"/>
        </w:rPr>
        <w:t>建筑工程施工人员人身意外伤害保险由乙方统一投保。发生意外伤害后乙方须立刻通知甲方并在12小时内按照保险公司要求准备保险索赔资料。如因乙方准备的索赔资料不齐全导致乙方无法全额索赔，则损失由乙方承担；保险索赔过程中协调费处理费用由乙方承担。发生事故或工伤后，乙方必须先行承担（垫付）伤者的医疗费、生活费、护理费等费用。如发生意外伤害，超出保险公司索赔范围外费用由乙方承担，双方对此无异议。</w:t>
      </w:r>
    </w:p>
    <w:p>
      <w:pPr>
        <w:spacing w:line="480" w:lineRule="exact"/>
        <w:ind w:firstLine="420" w:firstLineChars="200"/>
        <w:rPr>
          <w:rFonts w:hAnsi="宋体"/>
          <w:sz w:val="21"/>
          <w:szCs w:val="21"/>
        </w:rPr>
      </w:pPr>
    </w:p>
    <w:p>
      <w:pPr>
        <w:spacing w:line="480" w:lineRule="exact"/>
        <w:rPr>
          <w:rFonts w:hAnsi="宋体"/>
          <w:b/>
          <w:sz w:val="21"/>
          <w:szCs w:val="21"/>
        </w:rPr>
      </w:pPr>
      <w:r>
        <w:rPr>
          <w:rFonts w:hint="eastAsia" w:hAnsi="宋体"/>
          <w:b/>
          <w:sz w:val="21"/>
          <w:szCs w:val="21"/>
        </w:rPr>
        <w:t>第十七条  合同终止</w:t>
      </w:r>
    </w:p>
    <w:p>
      <w:pPr>
        <w:spacing w:line="480" w:lineRule="exact"/>
        <w:ind w:firstLine="420" w:firstLineChars="200"/>
        <w:rPr>
          <w:rFonts w:hAnsi="宋体"/>
          <w:sz w:val="21"/>
          <w:szCs w:val="21"/>
        </w:rPr>
      </w:pPr>
      <w:r>
        <w:rPr>
          <w:rFonts w:hint="eastAsia" w:hAnsi="宋体"/>
          <w:sz w:val="21"/>
          <w:szCs w:val="21"/>
        </w:rPr>
        <w:t>（一）因解除而终止</w:t>
      </w:r>
    </w:p>
    <w:p>
      <w:pPr>
        <w:spacing w:line="480" w:lineRule="exact"/>
        <w:ind w:firstLine="420" w:firstLineChars="200"/>
        <w:rPr>
          <w:rFonts w:hAnsi="宋体"/>
          <w:sz w:val="21"/>
          <w:szCs w:val="21"/>
        </w:rPr>
      </w:pPr>
      <w:r>
        <w:rPr>
          <w:rFonts w:hint="eastAsia" w:hAnsi="宋体"/>
          <w:sz w:val="21"/>
          <w:szCs w:val="21"/>
        </w:rPr>
        <w:t>1、由于乙方违约造成本合同不能履行或不能完全履行，如果甲方认为本合同已无必要继续履行或乙方在收到甲方要求其纠正违约的通知后一日内仍不纠正其违约行为，则甲方有权向乙方发出解除本合同的书面通知，该通知自送达乙方时生效，乙方应按本合同约定承担违约责任，违约金不足以弥补甲方损失的，甲方可以继续向乙方追偿。</w:t>
      </w:r>
    </w:p>
    <w:p>
      <w:pPr>
        <w:spacing w:line="480" w:lineRule="exact"/>
        <w:ind w:firstLine="420" w:firstLineChars="200"/>
        <w:rPr>
          <w:rFonts w:hAnsi="宋体"/>
          <w:sz w:val="21"/>
          <w:szCs w:val="21"/>
        </w:rPr>
      </w:pPr>
      <w:r>
        <w:rPr>
          <w:rFonts w:hint="eastAsia" w:hAnsi="宋体"/>
          <w:sz w:val="21"/>
          <w:szCs w:val="21"/>
        </w:rPr>
        <w:t>2、由于甲方违约造成本合同不能履行或不能完全履行，如果甲方在收到乙方要求其纠正违约的通知后仍不纠正其违约行为，则乙方有权向甲方发出解除本合同的书面通知，该通知自送达甲方时生效，甲方应向乙方支付双方确认已完成工作量的款项，并按本合同约定承担违约责任。</w:t>
      </w:r>
    </w:p>
    <w:p>
      <w:pPr>
        <w:spacing w:line="480" w:lineRule="exact"/>
        <w:ind w:firstLine="420" w:firstLineChars="200"/>
        <w:rPr>
          <w:rFonts w:hAnsi="宋体"/>
          <w:sz w:val="21"/>
          <w:szCs w:val="21"/>
        </w:rPr>
      </w:pPr>
      <w:r>
        <w:rPr>
          <w:rFonts w:hint="eastAsia" w:hAnsi="宋体"/>
          <w:sz w:val="21"/>
          <w:szCs w:val="21"/>
        </w:rPr>
        <w:t>3、未经甲方书面同意，乙方将本工程进行分包或转包的，甲方有权即时解除合同。</w:t>
      </w:r>
    </w:p>
    <w:p>
      <w:pPr>
        <w:spacing w:line="480" w:lineRule="exact"/>
        <w:ind w:firstLine="420" w:firstLineChars="200"/>
        <w:rPr>
          <w:rFonts w:hAnsi="宋体"/>
          <w:sz w:val="21"/>
          <w:szCs w:val="21"/>
        </w:rPr>
      </w:pPr>
      <w:r>
        <w:rPr>
          <w:rFonts w:hint="eastAsia" w:hAnsi="宋体"/>
          <w:sz w:val="21"/>
          <w:szCs w:val="21"/>
        </w:rPr>
        <w:t>4、合同一方依本合同约定行使解除权的，合同自解除通知送达之日起终止。</w:t>
      </w:r>
    </w:p>
    <w:p>
      <w:pPr>
        <w:spacing w:line="480" w:lineRule="exact"/>
        <w:ind w:firstLine="420" w:firstLineChars="200"/>
        <w:rPr>
          <w:rFonts w:hAnsi="宋体"/>
          <w:sz w:val="21"/>
          <w:szCs w:val="21"/>
        </w:rPr>
      </w:pPr>
      <w:r>
        <w:rPr>
          <w:rFonts w:hint="eastAsia" w:hAnsi="宋体"/>
          <w:sz w:val="21"/>
          <w:szCs w:val="21"/>
        </w:rPr>
        <w:t>5、合同终止后，不妨碍一方向违约方追究违约责任。</w:t>
      </w:r>
    </w:p>
    <w:p>
      <w:pPr>
        <w:spacing w:line="480" w:lineRule="exact"/>
        <w:ind w:firstLine="420" w:firstLineChars="200"/>
        <w:rPr>
          <w:rFonts w:hAnsi="宋体"/>
          <w:sz w:val="21"/>
          <w:szCs w:val="21"/>
        </w:rPr>
      </w:pPr>
      <w:r>
        <w:rPr>
          <w:rFonts w:hint="eastAsia" w:hAnsi="宋体"/>
          <w:sz w:val="21"/>
          <w:szCs w:val="21"/>
        </w:rPr>
        <w:t>（二）有下列情形之一的， 合同权利义务终止：</w:t>
      </w:r>
    </w:p>
    <w:p>
      <w:pPr>
        <w:spacing w:line="480" w:lineRule="exact"/>
        <w:ind w:firstLine="420" w:firstLineChars="200"/>
        <w:rPr>
          <w:rFonts w:hAnsi="宋体"/>
          <w:sz w:val="21"/>
          <w:szCs w:val="21"/>
        </w:rPr>
      </w:pPr>
      <w:r>
        <w:rPr>
          <w:rFonts w:hint="eastAsia" w:hAnsi="宋体"/>
          <w:sz w:val="21"/>
          <w:szCs w:val="21"/>
        </w:rPr>
        <w:t>1、本合同已按约定履行完毕；</w:t>
      </w:r>
    </w:p>
    <w:p>
      <w:pPr>
        <w:spacing w:line="480" w:lineRule="exact"/>
        <w:ind w:firstLine="420" w:firstLineChars="200"/>
        <w:rPr>
          <w:rFonts w:hAnsi="宋体"/>
          <w:sz w:val="21"/>
          <w:szCs w:val="21"/>
        </w:rPr>
      </w:pPr>
      <w:r>
        <w:rPr>
          <w:rFonts w:hint="eastAsia" w:hAnsi="宋体"/>
          <w:sz w:val="21"/>
          <w:szCs w:val="21"/>
        </w:rPr>
        <w:t>2、本合同经各方协商一致而终止；</w:t>
      </w:r>
    </w:p>
    <w:p>
      <w:pPr>
        <w:spacing w:line="480" w:lineRule="exact"/>
        <w:ind w:firstLine="420" w:firstLineChars="200"/>
        <w:rPr>
          <w:rFonts w:hAnsi="宋体"/>
          <w:sz w:val="21"/>
          <w:szCs w:val="21"/>
        </w:rPr>
      </w:pPr>
      <w:r>
        <w:rPr>
          <w:rFonts w:hint="eastAsia" w:hAnsi="宋体"/>
          <w:sz w:val="21"/>
          <w:szCs w:val="21"/>
        </w:rPr>
        <w:t>3、本合同因一方出现本条第（一）款的违约情况（包括一方擅自转让本合同项下权利义务行为），另一方发出解除合同的通知；</w:t>
      </w:r>
    </w:p>
    <w:p>
      <w:pPr>
        <w:spacing w:line="480" w:lineRule="exact"/>
        <w:ind w:firstLine="420" w:firstLineChars="200"/>
        <w:rPr>
          <w:rFonts w:hAnsi="宋体"/>
          <w:sz w:val="21"/>
          <w:szCs w:val="21"/>
        </w:rPr>
      </w:pPr>
      <w:r>
        <w:rPr>
          <w:rFonts w:hint="eastAsia" w:hAnsi="宋体"/>
          <w:sz w:val="21"/>
          <w:szCs w:val="21"/>
        </w:rPr>
        <w:t>4、法律法规规定终止的其他情形。</w:t>
      </w:r>
    </w:p>
    <w:p>
      <w:pPr>
        <w:spacing w:line="480" w:lineRule="exact"/>
        <w:ind w:firstLine="420" w:firstLineChars="200"/>
        <w:rPr>
          <w:rFonts w:hAnsi="宋体"/>
          <w:sz w:val="21"/>
          <w:szCs w:val="21"/>
        </w:rPr>
      </w:pPr>
    </w:p>
    <w:p>
      <w:pPr>
        <w:spacing w:line="480" w:lineRule="exact"/>
        <w:rPr>
          <w:rFonts w:hAnsi="宋体"/>
          <w:b/>
          <w:sz w:val="21"/>
          <w:szCs w:val="21"/>
        </w:rPr>
      </w:pPr>
      <w:r>
        <w:rPr>
          <w:rFonts w:hint="eastAsia" w:hAnsi="宋体"/>
          <w:b/>
          <w:sz w:val="21"/>
          <w:szCs w:val="21"/>
        </w:rPr>
        <w:t>第十八条  保密条款</w:t>
      </w:r>
    </w:p>
    <w:p>
      <w:pPr>
        <w:spacing w:line="480" w:lineRule="exact"/>
        <w:ind w:firstLine="420" w:firstLineChars="200"/>
        <w:rPr>
          <w:rFonts w:hAnsi="宋体"/>
          <w:sz w:val="21"/>
          <w:szCs w:val="21"/>
        </w:rPr>
      </w:pPr>
      <w:r>
        <w:rPr>
          <w:rFonts w:hint="eastAsia" w:hAnsi="宋体"/>
          <w:sz w:val="21"/>
          <w:szCs w:val="21"/>
        </w:rPr>
        <w:t>1、在本合同订立前、履行中及终止后，未经合同其他方书面同意，任何一方对本合同和各方相互提供的资料、信息（包括但不限于商业秘密、技术资料、图纸、数据、以及与业务有关的客户的信息及其他信息等）负保密责任。</w:t>
      </w:r>
    </w:p>
    <w:p>
      <w:pPr>
        <w:spacing w:line="480" w:lineRule="exact"/>
        <w:ind w:firstLine="420" w:firstLineChars="200"/>
        <w:rPr>
          <w:rFonts w:hAnsi="宋体"/>
          <w:sz w:val="21"/>
          <w:szCs w:val="21"/>
        </w:rPr>
      </w:pPr>
      <w:r>
        <w:rPr>
          <w:rFonts w:hint="eastAsia" w:hAnsi="宋体"/>
          <w:sz w:val="21"/>
          <w:szCs w:val="21"/>
        </w:rPr>
        <w:t>2、一方违反上述约定的，责任方应按工程预算总价款的10％向合同其他方支付违约金，违约金不足以赔偿合同其他方损失的，应按合同其他方的实际损失赔偿。</w:t>
      </w:r>
    </w:p>
    <w:p>
      <w:pPr>
        <w:spacing w:line="480" w:lineRule="exact"/>
        <w:ind w:firstLine="420" w:firstLineChars="200"/>
        <w:rPr>
          <w:rFonts w:hAnsi="宋体"/>
          <w:sz w:val="21"/>
          <w:szCs w:val="21"/>
        </w:rPr>
      </w:pPr>
      <w:r>
        <w:rPr>
          <w:rFonts w:hint="eastAsia" w:hAnsi="宋体"/>
          <w:sz w:val="21"/>
          <w:szCs w:val="21"/>
        </w:rPr>
        <w:t>3、本保密条款具有独立性，不受本合同的终止或解除的影响。</w:t>
      </w:r>
    </w:p>
    <w:p>
      <w:pPr>
        <w:spacing w:line="480" w:lineRule="exact"/>
        <w:ind w:firstLine="420" w:firstLineChars="200"/>
        <w:rPr>
          <w:rFonts w:hAnsi="宋体"/>
          <w:sz w:val="21"/>
          <w:szCs w:val="21"/>
        </w:rPr>
      </w:pPr>
    </w:p>
    <w:p>
      <w:pPr>
        <w:spacing w:line="480" w:lineRule="exact"/>
        <w:rPr>
          <w:rFonts w:hAnsi="宋体"/>
          <w:b/>
          <w:sz w:val="21"/>
          <w:szCs w:val="21"/>
        </w:rPr>
      </w:pPr>
      <w:r>
        <w:rPr>
          <w:rFonts w:hint="eastAsia" w:hAnsi="宋体"/>
          <w:b/>
          <w:sz w:val="21"/>
          <w:szCs w:val="21"/>
        </w:rPr>
        <w:t>第十九条  不可抗力条款</w:t>
      </w:r>
    </w:p>
    <w:p>
      <w:pPr>
        <w:spacing w:line="480" w:lineRule="exact"/>
        <w:ind w:firstLine="420" w:firstLineChars="200"/>
        <w:rPr>
          <w:rFonts w:hAnsi="宋体"/>
          <w:sz w:val="21"/>
          <w:szCs w:val="21"/>
        </w:rPr>
      </w:pPr>
      <w:r>
        <w:rPr>
          <w:rFonts w:hint="eastAsia" w:hAnsi="宋体"/>
          <w:sz w:val="21"/>
          <w:szCs w:val="21"/>
        </w:rPr>
        <w:t>由于不能预见、不能避免和不能克服的自然原因或社会原因，致使本合同不能履行或者不能完全履行时，遇到上述不可抗力事件的一方，应立即书面通知合同其他方，并应在不可抗力事件发生后十五日内，向合同其他方提供经不可抗力事件发生地区县级以上政府部门出具的证明合同不能履行或需要延期履行、部分履行的有效证明文件。由合同各方按事件对履行合同影响的程度协商决定是否解除合同、或者部分或全部免除履行合同的责任、或者延期履行合同。</w:t>
      </w:r>
    </w:p>
    <w:p>
      <w:pPr>
        <w:spacing w:line="480" w:lineRule="exact"/>
        <w:ind w:firstLine="420" w:firstLineChars="200"/>
        <w:rPr>
          <w:rFonts w:hAnsi="宋体"/>
          <w:sz w:val="21"/>
          <w:szCs w:val="21"/>
        </w:rPr>
      </w:pPr>
      <w:r>
        <w:rPr>
          <w:rFonts w:hint="eastAsia" w:hAnsi="宋体"/>
          <w:sz w:val="21"/>
          <w:szCs w:val="21"/>
        </w:rPr>
        <w:t>遭受不可抗力的一方未履行上述义务的，不能免除其违约责任。</w:t>
      </w:r>
    </w:p>
    <w:p>
      <w:pPr>
        <w:spacing w:line="480" w:lineRule="exact"/>
        <w:ind w:firstLine="420" w:firstLineChars="200"/>
        <w:rPr>
          <w:rFonts w:hAnsi="宋体"/>
          <w:sz w:val="21"/>
          <w:szCs w:val="21"/>
        </w:rPr>
      </w:pPr>
    </w:p>
    <w:p>
      <w:pPr>
        <w:spacing w:line="480" w:lineRule="exact"/>
        <w:rPr>
          <w:rFonts w:hAnsi="宋体"/>
          <w:b/>
          <w:sz w:val="21"/>
          <w:szCs w:val="21"/>
        </w:rPr>
      </w:pPr>
      <w:r>
        <w:rPr>
          <w:rFonts w:hint="eastAsia" w:hAnsi="宋体"/>
          <w:b/>
          <w:sz w:val="21"/>
          <w:szCs w:val="21"/>
        </w:rPr>
        <w:t>第二十条  适用法律条款</w:t>
      </w:r>
    </w:p>
    <w:p>
      <w:pPr>
        <w:spacing w:line="480" w:lineRule="exact"/>
        <w:ind w:firstLine="452" w:firstLineChars="200"/>
        <w:rPr>
          <w:rFonts w:hAnsi="宋体"/>
          <w:spacing w:val="8"/>
          <w:sz w:val="21"/>
          <w:szCs w:val="21"/>
        </w:rPr>
      </w:pPr>
      <w:r>
        <w:rPr>
          <w:rFonts w:hint="eastAsia" w:hAnsi="宋体"/>
          <w:spacing w:val="8"/>
          <w:sz w:val="21"/>
          <w:szCs w:val="21"/>
        </w:rPr>
        <w:t>本合同的订立、效力、解释、履行和争议的解决均适用中华人民共和国法律法规。</w:t>
      </w:r>
    </w:p>
    <w:p>
      <w:pPr>
        <w:spacing w:line="480" w:lineRule="exact"/>
        <w:rPr>
          <w:rFonts w:hAnsi="宋体"/>
          <w:b/>
          <w:sz w:val="21"/>
          <w:szCs w:val="21"/>
        </w:rPr>
      </w:pPr>
      <w:r>
        <w:rPr>
          <w:rFonts w:hint="eastAsia" w:hAnsi="宋体"/>
          <w:b/>
          <w:sz w:val="21"/>
          <w:szCs w:val="21"/>
        </w:rPr>
        <w:t>第二十一条  争议的解决</w:t>
      </w:r>
    </w:p>
    <w:p>
      <w:pPr>
        <w:spacing w:line="480" w:lineRule="exact"/>
        <w:ind w:firstLine="452" w:firstLineChars="200"/>
        <w:rPr>
          <w:rFonts w:hAnsi="宋体"/>
          <w:spacing w:val="8"/>
          <w:sz w:val="21"/>
          <w:szCs w:val="21"/>
        </w:rPr>
      </w:pPr>
      <w:r>
        <w:rPr>
          <w:rFonts w:hint="eastAsia" w:hAnsi="宋体"/>
          <w:spacing w:val="8"/>
          <w:sz w:val="21"/>
          <w:szCs w:val="21"/>
        </w:rPr>
        <w:t>履行合同时发生争议，可以和解或者要求有关部门调解。当事人不愿和解、调解或者和解、调解不成的，任何一方可以向工程所在地人民法院起诉。</w:t>
      </w:r>
    </w:p>
    <w:p>
      <w:pPr>
        <w:spacing w:line="480" w:lineRule="exact"/>
        <w:rPr>
          <w:rFonts w:hAnsi="宋体"/>
          <w:b/>
          <w:sz w:val="21"/>
          <w:szCs w:val="21"/>
        </w:rPr>
      </w:pPr>
      <w:r>
        <w:rPr>
          <w:rFonts w:hint="eastAsia" w:hAnsi="宋体"/>
          <w:b/>
          <w:sz w:val="21"/>
          <w:szCs w:val="21"/>
        </w:rPr>
        <w:t>第二十二条  通知</w:t>
      </w:r>
    </w:p>
    <w:p>
      <w:pPr>
        <w:spacing w:line="480" w:lineRule="exact"/>
        <w:ind w:firstLine="452" w:firstLineChars="200"/>
        <w:jc w:val="both"/>
        <w:rPr>
          <w:rFonts w:hAnsi="宋体"/>
          <w:spacing w:val="8"/>
          <w:sz w:val="21"/>
          <w:szCs w:val="21"/>
        </w:rPr>
      </w:pPr>
      <w:r>
        <w:rPr>
          <w:rFonts w:hint="eastAsia" w:hAnsi="宋体"/>
          <w:spacing w:val="8"/>
          <w:sz w:val="21"/>
          <w:szCs w:val="21"/>
        </w:rPr>
        <w:t>凡本合同履行过程中的通知、文件、法律文书等，均以下述方式作为甲乙双方确认之有效送达方式。如任一方变更，须提前书面通知对方，否则，由此导致的相关通知、文件、法律文书等退件、拒收、无法送达等情形均视为送达成功。且如采用邮寄方式送达，自发出之日起三日后即视为成功送达，如采用电子方式送达的，自相关信息发出之日即视为成功送达。</w:t>
      </w:r>
    </w:p>
    <w:p>
      <w:pPr>
        <w:spacing w:line="480" w:lineRule="exact"/>
        <w:ind w:firstLine="452" w:firstLineChars="200"/>
        <w:jc w:val="both"/>
        <w:rPr>
          <w:rFonts w:hAnsi="宋体"/>
          <w:spacing w:val="8"/>
          <w:sz w:val="21"/>
          <w:szCs w:val="21"/>
        </w:rPr>
      </w:pPr>
      <w:r>
        <w:rPr>
          <w:rFonts w:hint="eastAsia" w:hAnsi="宋体"/>
          <w:spacing w:val="8"/>
          <w:sz w:val="21"/>
          <w:szCs w:val="21"/>
        </w:rPr>
        <w:t>甲方：邮寄送达地址：</w:t>
      </w:r>
      <w:r>
        <w:rPr>
          <w:rFonts w:hAnsi="宋体"/>
          <w:spacing w:val="8"/>
          <w:sz w:val="21"/>
          <w:szCs w:val="21"/>
          <w:u w:val="single"/>
        </w:rPr>
        <w:t xml:space="preserve">               </w:t>
      </w:r>
      <w:r>
        <w:rPr>
          <w:rFonts w:hint="eastAsia" w:hAnsi="宋体"/>
          <w:spacing w:val="8"/>
          <w:sz w:val="21"/>
          <w:szCs w:val="21"/>
        </w:rPr>
        <w:t>，收件人：</w:t>
      </w:r>
      <w:r>
        <w:rPr>
          <w:rFonts w:hAnsi="宋体"/>
          <w:spacing w:val="8"/>
          <w:sz w:val="21"/>
          <w:szCs w:val="21"/>
          <w:u w:val="single"/>
        </w:rPr>
        <w:t xml:space="preserve">      </w:t>
      </w:r>
      <w:r>
        <w:rPr>
          <w:rFonts w:hint="eastAsia" w:hAnsi="宋体"/>
          <w:spacing w:val="8"/>
          <w:sz w:val="21"/>
          <w:szCs w:val="21"/>
        </w:rPr>
        <w:t>，联系电话：</w:t>
      </w:r>
      <w:r>
        <w:rPr>
          <w:rFonts w:hAnsi="宋体"/>
          <w:spacing w:val="8"/>
          <w:sz w:val="21"/>
          <w:szCs w:val="21"/>
          <w:u w:val="single"/>
        </w:rPr>
        <w:t xml:space="preserve">              </w:t>
      </w:r>
      <w:r>
        <w:rPr>
          <w:rFonts w:hint="eastAsia" w:hAnsi="宋体"/>
          <w:spacing w:val="8"/>
          <w:sz w:val="21"/>
          <w:szCs w:val="21"/>
        </w:rPr>
        <w:t>；指定联系人（姓名：</w:t>
      </w:r>
      <w:r>
        <w:rPr>
          <w:rFonts w:hAnsi="宋体"/>
          <w:spacing w:val="8"/>
          <w:sz w:val="21"/>
          <w:szCs w:val="21"/>
          <w:u w:val="single"/>
        </w:rPr>
        <w:t xml:space="preserve">     </w:t>
      </w:r>
      <w:r>
        <w:rPr>
          <w:rFonts w:hint="eastAsia" w:hAnsi="宋体"/>
          <w:spacing w:val="8"/>
          <w:sz w:val="21"/>
          <w:szCs w:val="21"/>
        </w:rPr>
        <w:t>，职务：</w:t>
      </w:r>
      <w:r>
        <w:rPr>
          <w:rFonts w:hint="eastAsia" w:hAnsi="宋体"/>
          <w:spacing w:val="8"/>
          <w:sz w:val="21"/>
          <w:szCs w:val="21"/>
          <w:u w:val="single"/>
        </w:rPr>
        <w:t xml:space="preserve">     </w:t>
      </w:r>
      <w:r>
        <w:rPr>
          <w:rFonts w:hint="eastAsia" w:hAnsi="宋体"/>
          <w:spacing w:val="8"/>
          <w:sz w:val="21"/>
          <w:szCs w:val="21"/>
        </w:rPr>
        <w:t>）的电子送达地址：微信号</w:t>
      </w:r>
      <w:r>
        <w:rPr>
          <w:rFonts w:hint="eastAsia" w:hAnsi="宋体"/>
          <w:spacing w:val="8"/>
          <w:sz w:val="21"/>
          <w:szCs w:val="21"/>
          <w:u w:val="single"/>
        </w:rPr>
        <w:t xml:space="preserve">  </w:t>
      </w:r>
      <w:r>
        <w:rPr>
          <w:rFonts w:hAnsi="宋体"/>
          <w:spacing w:val="8"/>
          <w:sz w:val="21"/>
          <w:szCs w:val="21"/>
          <w:u w:val="single"/>
        </w:rPr>
        <w:t xml:space="preserve">       </w:t>
      </w:r>
      <w:r>
        <w:rPr>
          <w:rFonts w:hint="eastAsia" w:hAnsi="宋体"/>
          <w:spacing w:val="8"/>
          <w:sz w:val="21"/>
          <w:szCs w:val="21"/>
          <w:u w:val="single"/>
        </w:rPr>
        <w:t xml:space="preserve">   </w:t>
      </w:r>
      <w:r>
        <w:rPr>
          <w:rFonts w:hint="eastAsia" w:hAnsi="宋体"/>
          <w:spacing w:val="8"/>
          <w:sz w:val="21"/>
          <w:szCs w:val="21"/>
        </w:rPr>
        <w:t>，邮箱：</w:t>
      </w:r>
      <w:r>
        <w:rPr>
          <w:rFonts w:hint="eastAsia" w:hAnsi="宋体"/>
          <w:spacing w:val="8"/>
          <w:sz w:val="21"/>
          <w:szCs w:val="21"/>
          <w:u w:val="single"/>
        </w:rPr>
        <w:t xml:space="preserve"> </w:t>
      </w:r>
      <w:r>
        <w:rPr>
          <w:rFonts w:hAnsi="宋体"/>
          <w:spacing w:val="8"/>
          <w:sz w:val="21"/>
          <w:szCs w:val="21"/>
          <w:u w:val="single"/>
        </w:rPr>
        <w:t xml:space="preserve">      </w:t>
      </w:r>
      <w:r>
        <w:rPr>
          <w:rFonts w:hint="eastAsia" w:hAnsi="宋体"/>
          <w:spacing w:val="8"/>
          <w:sz w:val="21"/>
          <w:szCs w:val="21"/>
          <w:u w:val="single"/>
        </w:rPr>
        <w:t xml:space="preserve">    </w:t>
      </w:r>
      <w:r>
        <w:rPr>
          <w:rFonts w:hint="eastAsia" w:hAnsi="宋体"/>
          <w:spacing w:val="8"/>
          <w:sz w:val="21"/>
          <w:szCs w:val="21"/>
        </w:rPr>
        <w:t>。</w:t>
      </w:r>
    </w:p>
    <w:p>
      <w:pPr>
        <w:spacing w:line="480" w:lineRule="exact"/>
        <w:ind w:firstLine="452" w:firstLineChars="200"/>
        <w:jc w:val="both"/>
        <w:rPr>
          <w:rFonts w:hAnsi="宋体"/>
          <w:spacing w:val="8"/>
          <w:sz w:val="21"/>
          <w:szCs w:val="21"/>
        </w:rPr>
      </w:pPr>
      <w:r>
        <w:rPr>
          <w:rFonts w:hint="eastAsia" w:hAnsi="宋体"/>
          <w:spacing w:val="8"/>
          <w:sz w:val="21"/>
          <w:szCs w:val="21"/>
        </w:rPr>
        <w:t>乙方：邮寄送达地址：</w:t>
      </w:r>
      <w:r>
        <w:rPr>
          <w:rFonts w:hint="eastAsia" w:hAnsi="宋体"/>
          <w:spacing w:val="8"/>
          <w:sz w:val="21"/>
          <w:szCs w:val="21"/>
          <w:u w:val="single"/>
        </w:rPr>
        <w:t xml:space="preserve">               </w:t>
      </w:r>
      <w:r>
        <w:rPr>
          <w:rFonts w:hint="eastAsia" w:hAnsi="宋体"/>
          <w:spacing w:val="8"/>
          <w:sz w:val="21"/>
          <w:szCs w:val="21"/>
        </w:rPr>
        <w:t>，收件人：</w:t>
      </w:r>
      <w:r>
        <w:rPr>
          <w:rFonts w:hint="eastAsia" w:hAnsi="宋体"/>
          <w:spacing w:val="8"/>
          <w:sz w:val="21"/>
          <w:szCs w:val="21"/>
          <w:u w:val="single"/>
        </w:rPr>
        <w:t xml:space="preserve">      </w:t>
      </w:r>
      <w:r>
        <w:rPr>
          <w:rFonts w:hint="eastAsia" w:hAnsi="宋体"/>
          <w:spacing w:val="8"/>
          <w:sz w:val="21"/>
          <w:szCs w:val="21"/>
        </w:rPr>
        <w:t>，联系电话：</w:t>
      </w:r>
      <w:r>
        <w:rPr>
          <w:rFonts w:hint="eastAsia" w:hAnsi="宋体"/>
          <w:spacing w:val="8"/>
          <w:sz w:val="21"/>
          <w:szCs w:val="21"/>
          <w:u w:val="single"/>
        </w:rPr>
        <w:t xml:space="preserve">              </w:t>
      </w:r>
      <w:r>
        <w:rPr>
          <w:rFonts w:hint="eastAsia" w:hAnsi="宋体"/>
          <w:spacing w:val="8"/>
          <w:sz w:val="21"/>
          <w:szCs w:val="21"/>
        </w:rPr>
        <w:t>；指定联系人（姓名：</w:t>
      </w:r>
      <w:r>
        <w:rPr>
          <w:rFonts w:hint="eastAsia" w:hAnsi="宋体"/>
          <w:spacing w:val="8"/>
          <w:sz w:val="21"/>
          <w:szCs w:val="21"/>
          <w:u w:val="single"/>
        </w:rPr>
        <w:t xml:space="preserve">     </w:t>
      </w:r>
      <w:r>
        <w:rPr>
          <w:rFonts w:hint="eastAsia" w:hAnsi="宋体"/>
          <w:spacing w:val="8"/>
          <w:sz w:val="21"/>
          <w:szCs w:val="21"/>
        </w:rPr>
        <w:t>，职务：</w:t>
      </w:r>
      <w:r>
        <w:rPr>
          <w:rFonts w:hint="eastAsia" w:hAnsi="宋体"/>
          <w:spacing w:val="8"/>
          <w:sz w:val="21"/>
          <w:szCs w:val="21"/>
          <w:u w:val="single"/>
        </w:rPr>
        <w:t xml:space="preserve">     </w:t>
      </w:r>
      <w:r>
        <w:rPr>
          <w:rFonts w:hint="eastAsia" w:hAnsi="宋体"/>
          <w:spacing w:val="8"/>
          <w:sz w:val="21"/>
          <w:szCs w:val="21"/>
        </w:rPr>
        <w:t>）的电子送达地址：微信号</w:t>
      </w:r>
      <w:r>
        <w:rPr>
          <w:rFonts w:hint="eastAsia" w:hAnsi="宋体"/>
          <w:spacing w:val="8"/>
          <w:sz w:val="21"/>
          <w:szCs w:val="21"/>
          <w:u w:val="single"/>
        </w:rPr>
        <w:t xml:space="preserve">  </w:t>
      </w:r>
      <w:r>
        <w:rPr>
          <w:rFonts w:hAnsi="宋体"/>
          <w:spacing w:val="8"/>
          <w:sz w:val="21"/>
          <w:szCs w:val="21"/>
          <w:u w:val="single"/>
        </w:rPr>
        <w:t xml:space="preserve">       </w:t>
      </w:r>
      <w:r>
        <w:rPr>
          <w:rFonts w:hint="eastAsia" w:hAnsi="宋体"/>
          <w:spacing w:val="8"/>
          <w:sz w:val="21"/>
          <w:szCs w:val="21"/>
          <w:u w:val="single"/>
        </w:rPr>
        <w:t xml:space="preserve">   </w:t>
      </w:r>
      <w:r>
        <w:rPr>
          <w:rFonts w:hint="eastAsia" w:hAnsi="宋体"/>
          <w:spacing w:val="8"/>
          <w:sz w:val="21"/>
          <w:szCs w:val="21"/>
        </w:rPr>
        <w:t>，邮箱：</w:t>
      </w:r>
      <w:r>
        <w:rPr>
          <w:rFonts w:hint="eastAsia" w:hAnsi="宋体"/>
          <w:spacing w:val="8"/>
          <w:sz w:val="21"/>
          <w:szCs w:val="21"/>
          <w:u w:val="single"/>
        </w:rPr>
        <w:t xml:space="preserve"> </w:t>
      </w:r>
      <w:r>
        <w:rPr>
          <w:rFonts w:hAnsi="宋体"/>
          <w:spacing w:val="8"/>
          <w:sz w:val="21"/>
          <w:szCs w:val="21"/>
          <w:u w:val="single"/>
        </w:rPr>
        <w:t xml:space="preserve">      </w:t>
      </w:r>
      <w:r>
        <w:rPr>
          <w:rFonts w:hint="eastAsia" w:hAnsi="宋体"/>
          <w:spacing w:val="8"/>
          <w:sz w:val="21"/>
          <w:szCs w:val="21"/>
          <w:u w:val="single"/>
        </w:rPr>
        <w:t xml:space="preserve">    </w:t>
      </w:r>
      <w:r>
        <w:rPr>
          <w:rFonts w:hint="eastAsia" w:hAnsi="宋体"/>
          <w:spacing w:val="8"/>
          <w:sz w:val="21"/>
          <w:szCs w:val="21"/>
        </w:rPr>
        <w:t>。</w:t>
      </w:r>
    </w:p>
    <w:p>
      <w:pPr>
        <w:spacing w:line="480" w:lineRule="exact"/>
        <w:rPr>
          <w:rFonts w:hAnsi="宋体"/>
          <w:b/>
          <w:sz w:val="21"/>
          <w:szCs w:val="21"/>
        </w:rPr>
      </w:pPr>
      <w:r>
        <w:rPr>
          <w:rFonts w:hint="eastAsia" w:hAnsi="宋体"/>
          <w:b/>
          <w:sz w:val="21"/>
          <w:szCs w:val="21"/>
        </w:rPr>
        <w:t>第二十三条  其它</w:t>
      </w:r>
    </w:p>
    <w:p>
      <w:pPr>
        <w:spacing w:line="480" w:lineRule="exact"/>
        <w:ind w:firstLine="512"/>
        <w:rPr>
          <w:rFonts w:hAnsi="宋体"/>
          <w:spacing w:val="8"/>
          <w:sz w:val="21"/>
          <w:szCs w:val="21"/>
        </w:rPr>
      </w:pPr>
      <w:r>
        <w:rPr>
          <w:rFonts w:hint="eastAsia" w:hAnsi="宋体"/>
          <w:spacing w:val="8"/>
          <w:sz w:val="21"/>
          <w:szCs w:val="21"/>
        </w:rPr>
        <w:t>1、</w:t>
      </w:r>
      <w:bookmarkStart w:id="154" w:name="OLE_LINK3"/>
      <w:bookmarkStart w:id="155" w:name="OLE_LINK2"/>
      <w:r>
        <w:rPr>
          <w:rFonts w:hint="eastAsia" w:hAnsi="宋体"/>
          <w:spacing w:val="8"/>
          <w:sz w:val="21"/>
          <w:szCs w:val="21"/>
        </w:rPr>
        <w:t>各方应确保本合同所记载地址或传真号码准确无误，如发生变更应及时书面通知其他方，否则送达不能造成的一切损失和责任，由该方自行承担。</w:t>
      </w:r>
      <w:bookmarkEnd w:id="154"/>
      <w:bookmarkEnd w:id="155"/>
    </w:p>
    <w:p>
      <w:pPr>
        <w:spacing w:line="480" w:lineRule="exact"/>
        <w:ind w:firstLine="512"/>
        <w:rPr>
          <w:rFonts w:hAnsi="宋体"/>
          <w:sz w:val="21"/>
          <w:szCs w:val="21"/>
        </w:rPr>
      </w:pPr>
      <w:r>
        <w:rPr>
          <w:rFonts w:hint="eastAsia" w:hAnsi="宋体"/>
          <w:sz w:val="21"/>
          <w:szCs w:val="21"/>
        </w:rPr>
        <w:t>2、本合同未尽事宜，由甲乙双方友好协商，另签订补充协议。补充协议与本合同具同等法律效力。</w:t>
      </w:r>
    </w:p>
    <w:p>
      <w:pPr>
        <w:spacing w:line="480" w:lineRule="exact"/>
        <w:ind w:firstLine="420" w:firstLineChars="200"/>
        <w:rPr>
          <w:rFonts w:hAnsi="宋体"/>
          <w:sz w:val="21"/>
          <w:szCs w:val="21"/>
        </w:rPr>
      </w:pPr>
      <w:r>
        <w:rPr>
          <w:rFonts w:hint="eastAsia" w:hAnsi="宋体"/>
          <w:sz w:val="21"/>
          <w:szCs w:val="21"/>
        </w:rPr>
        <w:t>3、本合同一式</w:t>
      </w:r>
      <w:r>
        <w:rPr>
          <w:rFonts w:hint="eastAsia" w:hAnsi="宋体"/>
          <w:sz w:val="21"/>
          <w:szCs w:val="21"/>
          <w:u w:val="single"/>
        </w:rPr>
        <w:t>肆</w:t>
      </w:r>
      <w:r>
        <w:rPr>
          <w:rFonts w:hint="eastAsia" w:hAnsi="宋体"/>
          <w:sz w:val="21"/>
          <w:szCs w:val="21"/>
        </w:rPr>
        <w:t>份，甲方执</w:t>
      </w:r>
      <w:r>
        <w:rPr>
          <w:rFonts w:hint="eastAsia" w:hAnsi="宋体"/>
          <w:sz w:val="21"/>
          <w:szCs w:val="21"/>
          <w:u w:val="single"/>
        </w:rPr>
        <w:t>叁</w:t>
      </w:r>
      <w:r>
        <w:rPr>
          <w:rFonts w:hint="eastAsia" w:hAnsi="宋体"/>
          <w:sz w:val="21"/>
          <w:szCs w:val="21"/>
        </w:rPr>
        <w:t>份，乙方执</w:t>
      </w:r>
      <w:r>
        <w:rPr>
          <w:rFonts w:hint="eastAsia" w:hAnsi="宋体"/>
          <w:sz w:val="21"/>
          <w:szCs w:val="21"/>
          <w:u w:val="single"/>
        </w:rPr>
        <w:t>壹</w:t>
      </w:r>
      <w:r>
        <w:rPr>
          <w:rFonts w:hint="eastAsia" w:hAnsi="宋体"/>
          <w:sz w:val="21"/>
          <w:szCs w:val="21"/>
        </w:rPr>
        <w:t>份，每份均具同等法律效力。</w:t>
      </w:r>
    </w:p>
    <w:p>
      <w:pPr>
        <w:spacing w:line="480" w:lineRule="exact"/>
        <w:ind w:firstLine="420" w:firstLineChars="200"/>
        <w:rPr>
          <w:rFonts w:hAnsi="宋体"/>
          <w:sz w:val="21"/>
          <w:szCs w:val="21"/>
        </w:rPr>
      </w:pPr>
      <w:r>
        <w:rPr>
          <w:rFonts w:hint="eastAsia" w:hAnsi="宋体"/>
          <w:sz w:val="21"/>
          <w:szCs w:val="21"/>
        </w:rPr>
        <w:t>4、本合同附件是本合同的组成部分，与本合同具有同等法律效力。</w:t>
      </w:r>
    </w:p>
    <w:p>
      <w:pPr>
        <w:snapToGrid w:val="0"/>
        <w:spacing w:line="480" w:lineRule="exact"/>
        <w:ind w:firstLine="420" w:firstLineChars="200"/>
        <w:rPr>
          <w:rFonts w:hAnsi="宋体"/>
          <w:sz w:val="21"/>
          <w:szCs w:val="21"/>
        </w:rPr>
      </w:pPr>
      <w:r>
        <w:rPr>
          <w:rFonts w:hint="eastAsia" w:hAnsi="宋体"/>
          <w:sz w:val="21"/>
          <w:szCs w:val="21"/>
        </w:rPr>
        <w:t>5、本合同约定工程项目所涉及的所有设计图纸、施工图纸等技术文件资料等的著作权归属甲方。</w:t>
      </w:r>
    </w:p>
    <w:p>
      <w:pPr>
        <w:snapToGrid w:val="0"/>
        <w:spacing w:line="480" w:lineRule="exact"/>
        <w:ind w:firstLine="420" w:firstLineChars="200"/>
        <w:rPr>
          <w:rFonts w:hAnsi="宋体"/>
          <w:sz w:val="21"/>
          <w:szCs w:val="21"/>
        </w:rPr>
      </w:pPr>
      <w:r>
        <w:rPr>
          <w:rFonts w:hint="eastAsia" w:hAnsi="宋体"/>
          <w:sz w:val="21"/>
          <w:szCs w:val="21"/>
        </w:rPr>
        <w:t>6、本合同自双方签字、盖章后生效。</w:t>
      </w:r>
    </w:p>
    <w:p>
      <w:pPr>
        <w:snapToGrid w:val="0"/>
        <w:spacing w:line="480" w:lineRule="exact"/>
        <w:ind w:firstLine="420" w:firstLineChars="200"/>
        <w:rPr>
          <w:rFonts w:hAnsi="宋体"/>
          <w:sz w:val="21"/>
          <w:szCs w:val="21"/>
          <w:u w:val="single"/>
        </w:rPr>
      </w:pPr>
      <w:r>
        <w:rPr>
          <w:rFonts w:hint="eastAsia" w:hAnsi="宋体"/>
          <w:sz w:val="21"/>
          <w:szCs w:val="21"/>
        </w:rPr>
        <w:t>7、其它约定：</w:t>
      </w:r>
      <w:r>
        <w:rPr>
          <w:rFonts w:hint="eastAsia" w:hAnsi="宋体"/>
          <w:sz w:val="21"/>
          <w:szCs w:val="21"/>
          <w:u w:val="single"/>
        </w:rPr>
        <w:t xml:space="preserve">                        /                </w:t>
      </w:r>
    </w:p>
    <w:p>
      <w:pPr>
        <w:spacing w:line="480" w:lineRule="exact"/>
        <w:rPr>
          <w:rFonts w:hAnsi="宋体"/>
          <w:sz w:val="21"/>
          <w:szCs w:val="21"/>
        </w:rPr>
      </w:pPr>
    </w:p>
    <w:p>
      <w:pPr>
        <w:spacing w:line="480" w:lineRule="exact"/>
        <w:rPr>
          <w:rFonts w:hAnsi="宋体"/>
          <w:sz w:val="21"/>
          <w:szCs w:val="21"/>
        </w:rPr>
      </w:pPr>
    </w:p>
    <w:p>
      <w:pPr>
        <w:spacing w:line="480" w:lineRule="exact"/>
        <w:rPr>
          <w:rFonts w:hAnsi="宋体"/>
          <w:sz w:val="21"/>
          <w:szCs w:val="21"/>
        </w:rPr>
      </w:pPr>
      <w:r>
        <w:rPr>
          <w:rFonts w:hint="eastAsia" w:hAnsi="宋体"/>
          <w:sz w:val="21"/>
          <w:szCs w:val="21"/>
        </w:rPr>
        <w:t>附件（共3件）</w:t>
      </w:r>
    </w:p>
    <w:p>
      <w:pPr>
        <w:numPr>
          <w:ilvl w:val="0"/>
          <w:numId w:val="17"/>
        </w:numPr>
        <w:spacing w:line="480" w:lineRule="exact"/>
        <w:rPr>
          <w:rFonts w:hAnsi="宋体"/>
          <w:sz w:val="21"/>
          <w:szCs w:val="21"/>
        </w:rPr>
      </w:pPr>
      <w:r>
        <w:rPr>
          <w:rFonts w:hint="eastAsia" w:hAnsi="宋体"/>
          <w:sz w:val="21"/>
          <w:szCs w:val="21"/>
        </w:rPr>
        <w:t>附件一：阳光合作协议</w:t>
      </w:r>
    </w:p>
    <w:p>
      <w:pPr>
        <w:numPr>
          <w:ilvl w:val="0"/>
          <w:numId w:val="17"/>
        </w:numPr>
        <w:spacing w:line="480" w:lineRule="exact"/>
        <w:rPr>
          <w:rFonts w:hAnsi="宋体"/>
          <w:sz w:val="21"/>
          <w:szCs w:val="21"/>
        </w:rPr>
      </w:pPr>
      <w:r>
        <w:rPr>
          <w:rFonts w:hint="eastAsia" w:hAnsi="宋体"/>
          <w:sz w:val="21"/>
          <w:szCs w:val="21"/>
        </w:rPr>
        <w:t>附件二：工程质量保修书</w:t>
      </w:r>
    </w:p>
    <w:p>
      <w:pPr>
        <w:numPr>
          <w:ilvl w:val="0"/>
          <w:numId w:val="17"/>
        </w:numPr>
        <w:spacing w:line="480" w:lineRule="exact"/>
        <w:rPr>
          <w:rFonts w:hAnsi="宋体"/>
          <w:sz w:val="21"/>
          <w:szCs w:val="21"/>
        </w:rPr>
      </w:pPr>
      <w:r>
        <w:rPr>
          <w:rFonts w:hint="eastAsia" w:hAnsi="宋体"/>
          <w:sz w:val="21"/>
          <w:szCs w:val="21"/>
        </w:rPr>
        <w:t>附件三：工程量清单报价表</w:t>
      </w:r>
    </w:p>
    <w:p>
      <w:pPr>
        <w:spacing w:line="480" w:lineRule="exact"/>
        <w:ind w:left="961"/>
        <w:rPr>
          <w:rFonts w:hAnsi="宋体"/>
          <w:sz w:val="21"/>
          <w:szCs w:val="21"/>
        </w:rPr>
      </w:pPr>
    </w:p>
    <w:p>
      <w:pPr>
        <w:spacing w:line="480" w:lineRule="exact"/>
        <w:ind w:left="961"/>
        <w:rPr>
          <w:rFonts w:hAnsi="宋体"/>
          <w:sz w:val="21"/>
          <w:szCs w:val="21"/>
        </w:rPr>
      </w:pPr>
    </w:p>
    <w:p>
      <w:pPr>
        <w:spacing w:line="480" w:lineRule="exact"/>
        <w:ind w:left="961"/>
        <w:rPr>
          <w:rFonts w:hAnsi="宋体"/>
          <w:sz w:val="21"/>
          <w:szCs w:val="21"/>
        </w:rPr>
      </w:pPr>
    </w:p>
    <w:p>
      <w:pPr>
        <w:spacing w:line="480" w:lineRule="exact"/>
        <w:rPr>
          <w:rFonts w:hAnsi="宋体"/>
          <w:sz w:val="21"/>
          <w:szCs w:val="21"/>
        </w:rPr>
      </w:pPr>
    </w:p>
    <w:p>
      <w:pPr>
        <w:spacing w:line="480" w:lineRule="exact"/>
        <w:rPr>
          <w:rFonts w:hAnsi="宋体"/>
          <w:sz w:val="21"/>
          <w:szCs w:val="21"/>
        </w:rPr>
      </w:pPr>
      <w:r>
        <w:rPr>
          <w:rFonts w:hint="eastAsia" w:hAnsi="宋体"/>
          <w:sz w:val="21"/>
          <w:szCs w:val="21"/>
        </w:rPr>
        <w:t>（本页无正文，为双方签字栏）</w:t>
      </w:r>
    </w:p>
    <w:p>
      <w:pPr>
        <w:spacing w:line="480" w:lineRule="exact"/>
        <w:ind w:left="961"/>
        <w:rPr>
          <w:rFonts w:hAnsi="宋体"/>
          <w:sz w:val="21"/>
          <w:szCs w:val="21"/>
        </w:rPr>
      </w:pPr>
      <w:r>
        <w:rPr>
          <w:rFonts w:hint="eastAsia" w:hAnsi="宋体"/>
          <w:sz w:val="21"/>
          <w:szCs w:val="21"/>
        </w:rPr>
        <w:t xml:space="preserve">甲方：                                 乙方：                              </w:t>
      </w:r>
    </w:p>
    <w:p>
      <w:pPr>
        <w:spacing w:line="480" w:lineRule="exact"/>
        <w:ind w:left="601" w:firstLine="315" w:firstLineChars="150"/>
        <w:rPr>
          <w:rFonts w:hAnsi="宋体"/>
          <w:sz w:val="21"/>
          <w:szCs w:val="21"/>
        </w:rPr>
      </w:pPr>
      <w:r>
        <w:rPr>
          <w:rFonts w:hint="eastAsia" w:hAnsi="宋体"/>
          <w:sz w:val="21"/>
          <w:szCs w:val="21"/>
        </w:rPr>
        <w:t>地址：                                 地址：</w:t>
      </w:r>
    </w:p>
    <w:p>
      <w:pPr>
        <w:spacing w:line="480" w:lineRule="exact"/>
        <w:ind w:left="961"/>
        <w:rPr>
          <w:rFonts w:hAnsi="宋体"/>
          <w:sz w:val="21"/>
          <w:szCs w:val="21"/>
        </w:rPr>
      </w:pPr>
    </w:p>
    <w:p>
      <w:pPr>
        <w:spacing w:line="480" w:lineRule="exact"/>
        <w:ind w:left="961"/>
        <w:rPr>
          <w:rFonts w:hAnsi="宋体"/>
          <w:sz w:val="21"/>
          <w:szCs w:val="21"/>
        </w:rPr>
      </w:pPr>
      <w:r>
        <w:rPr>
          <w:rFonts w:hint="eastAsia" w:hAnsi="宋体"/>
          <w:sz w:val="21"/>
          <w:szCs w:val="21"/>
        </w:rPr>
        <w:t>法定代表人                             法定代表人</w:t>
      </w:r>
    </w:p>
    <w:p>
      <w:pPr>
        <w:spacing w:line="480" w:lineRule="exact"/>
        <w:ind w:left="961"/>
        <w:rPr>
          <w:rFonts w:hAnsi="宋体"/>
          <w:sz w:val="21"/>
          <w:szCs w:val="21"/>
        </w:rPr>
      </w:pPr>
      <w:r>
        <w:rPr>
          <w:rFonts w:hint="eastAsia" w:hAnsi="宋体"/>
          <w:sz w:val="21"/>
          <w:szCs w:val="21"/>
        </w:rPr>
        <w:t>或授权签约人）：                      （或授权签约人）：</w:t>
      </w:r>
    </w:p>
    <w:p>
      <w:pPr>
        <w:spacing w:line="480" w:lineRule="exact"/>
        <w:ind w:left="961"/>
        <w:rPr>
          <w:rFonts w:hAnsi="宋体"/>
          <w:sz w:val="21"/>
          <w:szCs w:val="21"/>
        </w:rPr>
      </w:pPr>
      <w:r>
        <w:rPr>
          <w:rFonts w:hint="eastAsia" w:hAnsi="宋体"/>
          <w:sz w:val="21"/>
          <w:szCs w:val="21"/>
        </w:rPr>
        <w:t>投诉监督电话：                          投诉监督电话：</w:t>
      </w:r>
    </w:p>
    <w:p>
      <w:pPr>
        <w:pStyle w:val="3"/>
        <w:keepNext/>
        <w:keepLines/>
        <w:pageBreakBefore/>
        <w:spacing w:line="360" w:lineRule="auto"/>
        <w:jc w:val="center"/>
        <w:rPr>
          <w:rFonts w:hAnsi="宋体"/>
          <w:b/>
          <w:bCs/>
          <w:kern w:val="44"/>
          <w:sz w:val="28"/>
          <w:szCs w:val="28"/>
          <w:lang w:val="zh-CN"/>
        </w:rPr>
      </w:pPr>
      <w:r>
        <w:rPr>
          <w:rFonts w:hint="eastAsia" w:hAnsi="宋体"/>
          <w:b/>
          <w:bCs/>
          <w:kern w:val="44"/>
          <w:sz w:val="28"/>
          <w:szCs w:val="28"/>
          <w:lang w:val="zh-CN"/>
        </w:rPr>
        <w:t>第六篇磋商响应文件格式</w:t>
      </w:r>
      <w:bookmarkEnd w:id="152"/>
      <w:bookmarkEnd w:id="153"/>
    </w:p>
    <w:p>
      <w:pPr>
        <w:ind w:firstLine="1800" w:firstLineChars="750"/>
        <w:rPr>
          <w:rFonts w:hAnsi="宋体"/>
        </w:rPr>
      </w:pPr>
    </w:p>
    <w:p>
      <w:pPr>
        <w:pStyle w:val="4"/>
        <w:jc w:val="center"/>
        <w:rPr>
          <w:sz w:val="28"/>
          <w:szCs w:val="28"/>
        </w:rPr>
      </w:pPr>
      <w:bookmarkStart w:id="156" w:name="_Toc9566"/>
      <w:bookmarkStart w:id="157" w:name="_Toc19311"/>
      <w:r>
        <w:rPr>
          <w:rFonts w:hint="eastAsia"/>
          <w:sz w:val="28"/>
          <w:szCs w:val="28"/>
        </w:rPr>
        <w:t>第一部分价格文件（单独编制装订成册）</w:t>
      </w:r>
    </w:p>
    <w:p>
      <w:pPr>
        <w:ind w:firstLine="1800" w:firstLineChars="750"/>
        <w:rPr>
          <w:rFonts w:hAnsi="宋体"/>
        </w:rPr>
      </w:pPr>
    </w:p>
    <w:p>
      <w:pPr>
        <w:pStyle w:val="4"/>
        <w:numPr>
          <w:ilvl w:val="0"/>
          <w:numId w:val="18"/>
        </w:numPr>
        <w:jc w:val="center"/>
        <w:rPr>
          <w:sz w:val="28"/>
          <w:szCs w:val="28"/>
        </w:rPr>
      </w:pPr>
      <w:bookmarkStart w:id="158" w:name="_Toc12373"/>
      <w:bookmarkStart w:id="159" w:name="_Toc7897888"/>
      <w:bookmarkStart w:id="160" w:name="_Toc20730"/>
      <w:bookmarkStart w:id="161" w:name="_Toc476976201"/>
      <w:bookmarkStart w:id="162" w:name="_Toc458262639"/>
      <w:bookmarkStart w:id="163" w:name="_Toc454701406"/>
      <w:bookmarkStart w:id="164" w:name="_Toc467236769"/>
      <w:bookmarkStart w:id="165" w:name="_Toc486671573"/>
      <w:bookmarkStart w:id="166" w:name="_Toc19671"/>
      <w:bookmarkStart w:id="167" w:name="_Toc32736"/>
      <w:bookmarkStart w:id="168" w:name="_Toc9348"/>
      <w:bookmarkStart w:id="169" w:name="_Toc2544"/>
      <w:bookmarkStart w:id="170" w:name="_Toc396137244"/>
      <w:bookmarkStart w:id="171" w:name="_Toc30637"/>
      <w:bookmarkStart w:id="172" w:name="_Toc32405"/>
      <w:bookmarkStart w:id="173" w:name="_Toc29841"/>
      <w:bookmarkStart w:id="174" w:name="_Toc15960"/>
      <w:bookmarkStart w:id="175" w:name="_Toc32273"/>
      <w:bookmarkStart w:id="176" w:name="_Toc18848"/>
      <w:bookmarkStart w:id="177" w:name="_Toc28095"/>
      <w:bookmarkStart w:id="178" w:name="_Toc12383"/>
      <w:r>
        <w:rPr>
          <w:rFonts w:hint="eastAsia"/>
          <w:sz w:val="28"/>
          <w:szCs w:val="28"/>
        </w:rPr>
        <w:t>报价一览表</w:t>
      </w:r>
      <w:bookmarkEnd w:id="158"/>
      <w:bookmarkEnd w:id="159"/>
      <w:bookmarkEnd w:id="160"/>
    </w:p>
    <w:p>
      <w:pPr>
        <w:pStyle w:val="13"/>
        <w:ind w:firstLine="400"/>
        <w:rPr>
          <w:rFonts w:hAnsi="宋体"/>
        </w:rPr>
      </w:pPr>
    </w:p>
    <w:p>
      <w:pPr>
        <w:overflowPunct w:val="0"/>
        <w:spacing w:line="460" w:lineRule="exact"/>
        <w:jc w:val="right"/>
        <w:rPr>
          <w:rFonts w:hAnsi="宋体"/>
        </w:rPr>
      </w:pPr>
      <w:r>
        <w:rPr>
          <w:rFonts w:hint="eastAsia" w:hAnsi="宋体"/>
        </w:rPr>
        <w:t>单位：元/（人民币）</w:t>
      </w:r>
    </w:p>
    <w:tbl>
      <w:tblPr>
        <w:tblStyle w:val="52"/>
        <w:tblW w:w="9469"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134"/>
        <w:gridCol w:w="2457"/>
        <w:gridCol w:w="3883"/>
        <w:gridCol w:w="199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54" w:hRule="atLeast"/>
          <w:jc w:val="center"/>
        </w:trPr>
        <w:tc>
          <w:tcPr>
            <w:tcW w:w="1134" w:type="dxa"/>
            <w:vAlign w:val="center"/>
          </w:tcPr>
          <w:p>
            <w:pPr>
              <w:overflowPunct w:val="0"/>
              <w:spacing w:line="460" w:lineRule="exact"/>
              <w:jc w:val="center"/>
              <w:rPr>
                <w:rFonts w:hAnsi="宋体"/>
                <w:b/>
                <w:sz w:val="21"/>
                <w:szCs w:val="21"/>
              </w:rPr>
            </w:pPr>
            <w:r>
              <w:rPr>
                <w:rFonts w:hint="eastAsia" w:hAnsi="宋体"/>
                <w:b/>
                <w:sz w:val="21"/>
                <w:szCs w:val="21"/>
              </w:rPr>
              <w:t>项目编号</w:t>
            </w:r>
          </w:p>
        </w:tc>
        <w:tc>
          <w:tcPr>
            <w:tcW w:w="2457" w:type="dxa"/>
            <w:vAlign w:val="center"/>
          </w:tcPr>
          <w:p>
            <w:pPr>
              <w:overflowPunct w:val="0"/>
              <w:spacing w:line="460" w:lineRule="exact"/>
              <w:jc w:val="center"/>
              <w:rPr>
                <w:rFonts w:hAnsi="宋体"/>
                <w:b/>
                <w:sz w:val="21"/>
                <w:szCs w:val="21"/>
              </w:rPr>
            </w:pPr>
            <w:r>
              <w:rPr>
                <w:rFonts w:hint="eastAsia" w:hAnsi="宋体"/>
                <w:b/>
                <w:sz w:val="21"/>
                <w:szCs w:val="21"/>
              </w:rPr>
              <w:t>项目名称</w:t>
            </w:r>
          </w:p>
        </w:tc>
        <w:tc>
          <w:tcPr>
            <w:tcW w:w="3883" w:type="dxa"/>
            <w:vAlign w:val="center"/>
          </w:tcPr>
          <w:p>
            <w:pPr>
              <w:overflowPunct w:val="0"/>
              <w:spacing w:line="460" w:lineRule="exact"/>
              <w:jc w:val="center"/>
              <w:rPr>
                <w:rFonts w:hAnsi="宋体"/>
                <w:b/>
                <w:sz w:val="21"/>
                <w:szCs w:val="21"/>
              </w:rPr>
            </w:pPr>
            <w:r>
              <w:rPr>
                <w:rFonts w:hint="eastAsia" w:hAnsi="宋体"/>
                <w:b/>
                <w:sz w:val="21"/>
                <w:szCs w:val="21"/>
              </w:rPr>
              <w:t>总报价</w:t>
            </w:r>
          </w:p>
        </w:tc>
        <w:tc>
          <w:tcPr>
            <w:tcW w:w="1995" w:type="dxa"/>
            <w:vAlign w:val="center"/>
          </w:tcPr>
          <w:p>
            <w:pPr>
              <w:overflowPunct w:val="0"/>
              <w:jc w:val="center"/>
              <w:rPr>
                <w:rFonts w:hAnsi="宋体"/>
                <w:b/>
                <w:sz w:val="21"/>
                <w:szCs w:val="21"/>
              </w:rPr>
            </w:pPr>
            <w:r>
              <w:rPr>
                <w:rFonts w:hint="eastAsia" w:hAnsi="宋体"/>
                <w:b/>
                <w:sz w:val="21"/>
                <w:szCs w:val="21"/>
              </w:rPr>
              <w:t>备注</w:t>
            </w:r>
          </w:p>
          <w:p>
            <w:pPr>
              <w:overflowPunct w:val="0"/>
              <w:jc w:val="center"/>
              <w:rPr>
                <w:rFonts w:hAnsi="宋体"/>
                <w:b/>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38" w:hRule="atLeast"/>
          <w:jc w:val="center"/>
        </w:trPr>
        <w:tc>
          <w:tcPr>
            <w:tcW w:w="1134" w:type="dxa"/>
            <w:vMerge w:val="restart"/>
            <w:vAlign w:val="center"/>
          </w:tcPr>
          <w:p>
            <w:pPr>
              <w:overflowPunct w:val="0"/>
              <w:spacing w:line="460" w:lineRule="exact"/>
              <w:jc w:val="center"/>
              <w:rPr>
                <w:rFonts w:hAnsi="宋体"/>
                <w:sz w:val="21"/>
                <w:szCs w:val="21"/>
              </w:rPr>
            </w:pPr>
          </w:p>
        </w:tc>
        <w:tc>
          <w:tcPr>
            <w:tcW w:w="2457" w:type="dxa"/>
            <w:vMerge w:val="restart"/>
            <w:vAlign w:val="center"/>
          </w:tcPr>
          <w:p>
            <w:pPr>
              <w:overflowPunct w:val="0"/>
              <w:spacing w:line="460" w:lineRule="exact"/>
              <w:jc w:val="center"/>
              <w:rPr>
                <w:rFonts w:hAnsi="宋体"/>
                <w:sz w:val="21"/>
                <w:szCs w:val="21"/>
              </w:rPr>
            </w:pPr>
          </w:p>
        </w:tc>
        <w:tc>
          <w:tcPr>
            <w:tcW w:w="3883" w:type="dxa"/>
            <w:vAlign w:val="center"/>
          </w:tcPr>
          <w:p>
            <w:pPr>
              <w:overflowPunct w:val="0"/>
              <w:spacing w:line="460" w:lineRule="exact"/>
              <w:ind w:firstLine="210" w:firstLineChars="100"/>
              <w:jc w:val="both"/>
              <w:rPr>
                <w:sz w:val="21"/>
                <w:szCs w:val="21"/>
              </w:rPr>
            </w:pPr>
            <w:r>
              <w:rPr>
                <w:rFonts w:hint="eastAsia"/>
                <w:sz w:val="21"/>
                <w:szCs w:val="21"/>
              </w:rPr>
              <w:t>含税报价：</w:t>
            </w:r>
          </w:p>
          <w:p>
            <w:pPr>
              <w:pStyle w:val="63"/>
              <w:ind w:firstLine="630" w:firstLineChars="300"/>
              <w:rPr>
                <w:sz w:val="21"/>
                <w:szCs w:val="21"/>
                <w:lang w:val="en-US"/>
              </w:rPr>
            </w:pPr>
            <w:r>
              <w:rPr>
                <w:rFonts w:hint="eastAsia"/>
                <w:sz w:val="21"/>
                <w:szCs w:val="21"/>
                <w:lang w:val="en-US"/>
              </w:rPr>
              <w:t>小写：</w:t>
            </w:r>
          </w:p>
          <w:p>
            <w:pPr>
              <w:pStyle w:val="63"/>
              <w:ind w:firstLine="630" w:firstLineChars="300"/>
              <w:rPr>
                <w:sz w:val="21"/>
                <w:szCs w:val="21"/>
              </w:rPr>
            </w:pPr>
            <w:r>
              <w:rPr>
                <w:rFonts w:hint="eastAsia"/>
                <w:sz w:val="21"/>
                <w:szCs w:val="21"/>
                <w:lang w:val="en-US"/>
              </w:rPr>
              <w:t>大写：</w:t>
            </w:r>
          </w:p>
        </w:tc>
        <w:tc>
          <w:tcPr>
            <w:tcW w:w="1995" w:type="dxa"/>
            <w:vAlign w:val="center"/>
          </w:tcPr>
          <w:p>
            <w:pPr>
              <w:overflowPunct w:val="0"/>
              <w:spacing w:line="460" w:lineRule="exact"/>
              <w:jc w:val="center"/>
              <w:rPr>
                <w:rFonts w:hAnsi="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86" w:hRule="atLeast"/>
          <w:jc w:val="center"/>
        </w:trPr>
        <w:tc>
          <w:tcPr>
            <w:tcW w:w="1134" w:type="dxa"/>
            <w:vMerge w:val="continue"/>
            <w:vAlign w:val="center"/>
          </w:tcPr>
          <w:p>
            <w:pPr>
              <w:overflowPunct w:val="0"/>
              <w:spacing w:line="460" w:lineRule="exact"/>
              <w:jc w:val="center"/>
              <w:rPr>
                <w:rFonts w:hAnsi="宋体"/>
                <w:sz w:val="21"/>
                <w:szCs w:val="21"/>
              </w:rPr>
            </w:pPr>
          </w:p>
        </w:tc>
        <w:tc>
          <w:tcPr>
            <w:tcW w:w="2457" w:type="dxa"/>
            <w:vMerge w:val="continue"/>
            <w:vAlign w:val="center"/>
          </w:tcPr>
          <w:p>
            <w:pPr>
              <w:overflowPunct w:val="0"/>
              <w:spacing w:line="460" w:lineRule="exact"/>
              <w:jc w:val="center"/>
              <w:rPr>
                <w:rFonts w:hAnsi="宋体"/>
                <w:sz w:val="21"/>
                <w:szCs w:val="21"/>
              </w:rPr>
            </w:pPr>
          </w:p>
        </w:tc>
        <w:tc>
          <w:tcPr>
            <w:tcW w:w="3883" w:type="dxa"/>
            <w:vAlign w:val="center"/>
          </w:tcPr>
          <w:p>
            <w:pPr>
              <w:overflowPunct w:val="0"/>
              <w:spacing w:line="460" w:lineRule="exact"/>
              <w:jc w:val="both"/>
              <w:rPr>
                <w:sz w:val="21"/>
                <w:szCs w:val="21"/>
              </w:rPr>
            </w:pPr>
            <w:r>
              <w:rPr>
                <w:rFonts w:hint="eastAsia"/>
                <w:sz w:val="21"/>
                <w:szCs w:val="21"/>
              </w:rPr>
              <w:t>不含税报价：</w:t>
            </w:r>
          </w:p>
          <w:p>
            <w:pPr>
              <w:pStyle w:val="63"/>
              <w:ind w:firstLine="630" w:firstLineChars="300"/>
              <w:rPr>
                <w:sz w:val="21"/>
                <w:szCs w:val="21"/>
                <w:lang w:val="en-US"/>
              </w:rPr>
            </w:pPr>
            <w:r>
              <w:rPr>
                <w:rFonts w:hint="eastAsia"/>
                <w:sz w:val="21"/>
                <w:szCs w:val="21"/>
                <w:lang w:val="en-US"/>
              </w:rPr>
              <w:t>小写：</w:t>
            </w:r>
          </w:p>
          <w:p>
            <w:pPr>
              <w:pStyle w:val="63"/>
              <w:ind w:firstLine="630" w:firstLineChars="300"/>
              <w:rPr>
                <w:sz w:val="21"/>
                <w:szCs w:val="21"/>
              </w:rPr>
            </w:pPr>
            <w:r>
              <w:rPr>
                <w:rFonts w:hint="eastAsia"/>
                <w:sz w:val="21"/>
                <w:szCs w:val="21"/>
                <w:lang w:val="en-US"/>
              </w:rPr>
              <w:t>大写：</w:t>
            </w:r>
          </w:p>
        </w:tc>
        <w:tc>
          <w:tcPr>
            <w:tcW w:w="1995" w:type="dxa"/>
            <w:vAlign w:val="center"/>
          </w:tcPr>
          <w:p>
            <w:pPr>
              <w:overflowPunct w:val="0"/>
              <w:spacing w:line="460" w:lineRule="exact"/>
              <w:jc w:val="center"/>
              <w:rPr>
                <w:rFonts w:hAnsi="宋体"/>
                <w:sz w:val="21"/>
                <w:szCs w:val="21"/>
              </w:rPr>
            </w:pPr>
          </w:p>
        </w:tc>
      </w:tr>
    </w:tbl>
    <w:p>
      <w:pPr>
        <w:overflowPunct w:val="0"/>
        <w:spacing w:line="460" w:lineRule="exact"/>
        <w:rPr>
          <w:rFonts w:hAnsi="宋体"/>
          <w:sz w:val="21"/>
          <w:szCs w:val="21"/>
        </w:rPr>
      </w:pPr>
    </w:p>
    <w:p>
      <w:pPr>
        <w:overflowPunct w:val="0"/>
        <w:spacing w:line="460" w:lineRule="exact"/>
        <w:rPr>
          <w:rFonts w:hAnsi="宋体"/>
          <w:sz w:val="21"/>
          <w:szCs w:val="21"/>
        </w:rPr>
      </w:pPr>
      <w:r>
        <w:rPr>
          <w:rFonts w:hint="eastAsia" w:hAnsi="宋体"/>
          <w:sz w:val="21"/>
          <w:szCs w:val="21"/>
        </w:rPr>
        <w:t>供应商名称（加盖公章）：</w:t>
      </w:r>
    </w:p>
    <w:p>
      <w:pPr>
        <w:overflowPunct w:val="0"/>
        <w:spacing w:line="460" w:lineRule="exact"/>
        <w:rPr>
          <w:rFonts w:hAnsi="宋体"/>
          <w:sz w:val="21"/>
          <w:szCs w:val="21"/>
        </w:rPr>
      </w:pPr>
      <w:r>
        <w:rPr>
          <w:rFonts w:hint="eastAsia" w:hAnsi="宋体"/>
          <w:sz w:val="21"/>
          <w:szCs w:val="21"/>
        </w:rPr>
        <w:t>供应商法定代表人或受委托人（签名或盖私章）：</w:t>
      </w:r>
    </w:p>
    <w:p>
      <w:pPr>
        <w:overflowPunct w:val="0"/>
        <w:spacing w:line="460" w:lineRule="exact"/>
        <w:rPr>
          <w:rFonts w:hAnsi="宋体"/>
          <w:sz w:val="21"/>
          <w:szCs w:val="21"/>
        </w:rPr>
      </w:pPr>
      <w:r>
        <w:rPr>
          <w:rFonts w:hint="eastAsia" w:hAnsi="宋体"/>
          <w:sz w:val="21"/>
          <w:szCs w:val="21"/>
        </w:rPr>
        <w:t>日期：年月日</w:t>
      </w:r>
    </w:p>
    <w:p>
      <w:pPr>
        <w:pStyle w:val="137"/>
        <w:spacing w:line="460" w:lineRule="exact"/>
        <w:ind w:firstLine="1583" w:firstLineChars="754"/>
        <w:rPr>
          <w:rFonts w:ascii="宋体" w:eastAsia="宋体"/>
          <w:sz w:val="21"/>
          <w:szCs w:val="21"/>
        </w:rPr>
      </w:pPr>
    </w:p>
    <w:p>
      <w:pPr>
        <w:pStyle w:val="13"/>
        <w:spacing w:line="360" w:lineRule="auto"/>
        <w:rPr>
          <w:sz w:val="22"/>
          <w:szCs w:val="22"/>
        </w:rPr>
      </w:pPr>
      <w:r>
        <w:rPr>
          <w:rFonts w:hint="eastAsia"/>
          <w:sz w:val="21"/>
          <w:szCs w:val="21"/>
        </w:rPr>
        <w:t>注：磋商总价栏须用文字和数字两种方式表示的磋商总价。磋商总价大小写不一致，以大写为准。磋商总价必须准确唯一且应包含完成本项目的所有费用</w:t>
      </w:r>
      <w:bookmarkEnd w:id="161"/>
      <w:bookmarkEnd w:id="162"/>
      <w:bookmarkEnd w:id="163"/>
      <w:bookmarkEnd w:id="164"/>
      <w:bookmarkEnd w:id="165"/>
      <w:r>
        <w:rPr>
          <w:rFonts w:hint="eastAsia"/>
          <w:sz w:val="21"/>
          <w:szCs w:val="21"/>
        </w:rPr>
        <w:t>。</w:t>
      </w:r>
    </w:p>
    <w:p/>
    <w:p/>
    <w:p/>
    <w:p/>
    <w:p/>
    <w:p/>
    <w:p/>
    <w:p/>
    <w:p/>
    <w:p/>
    <w:p/>
    <w:p/>
    <w:bookmarkEnd w:id="166"/>
    <w:bookmarkEnd w:id="167"/>
    <w:bookmarkEnd w:id="168"/>
    <w:bookmarkEnd w:id="169"/>
    <w:bookmarkEnd w:id="170"/>
    <w:bookmarkEnd w:id="171"/>
    <w:bookmarkEnd w:id="172"/>
    <w:bookmarkEnd w:id="173"/>
    <w:bookmarkEnd w:id="174"/>
    <w:bookmarkEnd w:id="175"/>
    <w:bookmarkEnd w:id="176"/>
    <w:bookmarkEnd w:id="177"/>
    <w:bookmarkEnd w:id="178"/>
    <w:p>
      <w:pPr>
        <w:pStyle w:val="4"/>
        <w:numPr>
          <w:ilvl w:val="0"/>
          <w:numId w:val="18"/>
        </w:numPr>
        <w:jc w:val="center"/>
        <w:rPr>
          <w:bCs/>
          <w:sz w:val="28"/>
          <w:szCs w:val="28"/>
        </w:rPr>
      </w:pPr>
      <w:r>
        <w:rPr>
          <w:rFonts w:hint="eastAsia"/>
          <w:bCs/>
          <w:sz w:val="28"/>
          <w:szCs w:val="28"/>
        </w:rPr>
        <w:t>旗云花园智能化工程报价清单</w:t>
      </w:r>
    </w:p>
    <w:p>
      <w:pPr>
        <w:pStyle w:val="2"/>
        <w:rPr>
          <w:rFonts w:hAnsi="宋体"/>
          <w:sz w:val="21"/>
          <w:szCs w:val="21"/>
        </w:rPr>
      </w:pPr>
    </w:p>
    <w:p>
      <w:pPr>
        <w:spacing w:line="360" w:lineRule="auto"/>
        <w:ind w:firstLine="480" w:firstLineChars="200"/>
      </w:pPr>
      <w:r>
        <w:rPr>
          <w:rFonts w:hint="eastAsia" w:hAnsi="宋体"/>
          <w:szCs w:val="21"/>
        </w:rPr>
        <w:t>说明：1、工程报价清单</w:t>
      </w:r>
      <w:r>
        <w:rPr>
          <w:rFonts w:hint="eastAsia" w:hAnsi="宋体"/>
          <w:spacing w:val="6"/>
          <w:szCs w:val="21"/>
        </w:rPr>
        <w:t>必须使用采购人发出的</w:t>
      </w:r>
      <w:r>
        <w:rPr>
          <w:rFonts w:hint="eastAsia" w:hAnsi="宋体"/>
          <w:szCs w:val="21"/>
        </w:rPr>
        <w:t>工程量清单。</w:t>
      </w:r>
    </w:p>
    <w:p>
      <w:pPr>
        <w:pStyle w:val="2"/>
      </w:pPr>
      <w:r>
        <w:rPr>
          <w:rFonts w:hint="eastAsia"/>
        </w:rPr>
        <w:t xml:space="preserve">        2、</w:t>
      </w:r>
      <w:r>
        <w:rPr>
          <w:rFonts w:hint="eastAsia" w:ascii="宋体" w:hAnsi="宋体"/>
          <w:szCs w:val="21"/>
        </w:rPr>
        <w:t>工程报价清单须加盖公章。</w:t>
      </w:r>
    </w:p>
    <w:p>
      <w:pPr>
        <w:pStyle w:val="2"/>
        <w:rPr>
          <w:rFonts w:hAnsi="宋体"/>
          <w:sz w:val="21"/>
          <w:szCs w:val="21"/>
        </w:rPr>
      </w:pPr>
    </w:p>
    <w:p>
      <w:pPr>
        <w:pStyle w:val="2"/>
        <w:rPr>
          <w:rFonts w:hAnsi="宋体"/>
          <w:sz w:val="21"/>
          <w:szCs w:val="21"/>
        </w:rPr>
      </w:pPr>
    </w:p>
    <w:p>
      <w:pPr>
        <w:pStyle w:val="2"/>
        <w:rPr>
          <w:rFonts w:hAnsi="宋体"/>
          <w:sz w:val="21"/>
          <w:szCs w:val="21"/>
        </w:rPr>
      </w:pPr>
    </w:p>
    <w:p>
      <w:pPr>
        <w:pStyle w:val="2"/>
        <w:rPr>
          <w:rFonts w:hAnsi="宋体"/>
          <w:sz w:val="21"/>
          <w:szCs w:val="21"/>
        </w:rPr>
      </w:pPr>
    </w:p>
    <w:p>
      <w:pPr>
        <w:pStyle w:val="2"/>
        <w:rPr>
          <w:rFonts w:hAnsi="宋体"/>
          <w:sz w:val="21"/>
          <w:szCs w:val="21"/>
        </w:rPr>
      </w:pPr>
    </w:p>
    <w:p>
      <w:pPr>
        <w:pStyle w:val="2"/>
        <w:rPr>
          <w:rFonts w:hAnsi="宋体"/>
          <w:sz w:val="21"/>
          <w:szCs w:val="21"/>
        </w:rPr>
      </w:pPr>
    </w:p>
    <w:p>
      <w:pPr>
        <w:pStyle w:val="2"/>
        <w:rPr>
          <w:rFonts w:hAnsi="宋体"/>
          <w:sz w:val="21"/>
          <w:szCs w:val="21"/>
        </w:rPr>
      </w:pPr>
    </w:p>
    <w:p>
      <w:pPr>
        <w:pStyle w:val="2"/>
        <w:rPr>
          <w:rFonts w:hAnsi="宋体"/>
          <w:sz w:val="21"/>
          <w:szCs w:val="21"/>
        </w:rPr>
      </w:pPr>
    </w:p>
    <w:p>
      <w:pPr>
        <w:pStyle w:val="2"/>
        <w:rPr>
          <w:rFonts w:hAnsi="宋体"/>
          <w:sz w:val="21"/>
          <w:szCs w:val="21"/>
        </w:rPr>
      </w:pPr>
    </w:p>
    <w:p>
      <w:pPr>
        <w:pStyle w:val="2"/>
        <w:rPr>
          <w:rFonts w:hAnsi="宋体"/>
          <w:sz w:val="21"/>
          <w:szCs w:val="21"/>
        </w:rPr>
      </w:pPr>
    </w:p>
    <w:p>
      <w:pPr>
        <w:pStyle w:val="2"/>
        <w:rPr>
          <w:rFonts w:hAnsi="宋体"/>
          <w:sz w:val="21"/>
          <w:szCs w:val="21"/>
        </w:rPr>
      </w:pPr>
    </w:p>
    <w:p>
      <w:pPr>
        <w:pStyle w:val="2"/>
        <w:rPr>
          <w:rFonts w:hAnsi="宋体"/>
          <w:sz w:val="21"/>
          <w:szCs w:val="21"/>
        </w:rPr>
      </w:pPr>
    </w:p>
    <w:p>
      <w:pPr>
        <w:pStyle w:val="2"/>
        <w:rPr>
          <w:rFonts w:hAnsi="宋体"/>
          <w:sz w:val="21"/>
          <w:szCs w:val="21"/>
        </w:rPr>
      </w:pPr>
    </w:p>
    <w:p>
      <w:pPr>
        <w:pStyle w:val="2"/>
        <w:rPr>
          <w:rFonts w:hAnsi="宋体"/>
          <w:sz w:val="21"/>
          <w:szCs w:val="21"/>
        </w:rPr>
      </w:pPr>
    </w:p>
    <w:p>
      <w:pPr>
        <w:pStyle w:val="2"/>
        <w:rPr>
          <w:rFonts w:hAnsi="宋体"/>
          <w:sz w:val="21"/>
          <w:szCs w:val="21"/>
        </w:rPr>
      </w:pPr>
    </w:p>
    <w:p>
      <w:pPr>
        <w:pStyle w:val="2"/>
        <w:rPr>
          <w:rFonts w:hAnsi="宋体"/>
          <w:sz w:val="21"/>
          <w:szCs w:val="21"/>
        </w:rPr>
      </w:pPr>
    </w:p>
    <w:p>
      <w:pPr>
        <w:pStyle w:val="2"/>
        <w:rPr>
          <w:rFonts w:hAnsi="宋体"/>
          <w:sz w:val="21"/>
          <w:szCs w:val="21"/>
        </w:rPr>
      </w:pPr>
    </w:p>
    <w:p>
      <w:pPr>
        <w:pStyle w:val="2"/>
        <w:rPr>
          <w:rFonts w:hAnsi="宋体"/>
          <w:sz w:val="21"/>
          <w:szCs w:val="21"/>
        </w:rPr>
      </w:pPr>
    </w:p>
    <w:p>
      <w:pPr>
        <w:pStyle w:val="2"/>
        <w:rPr>
          <w:rFonts w:hAnsi="宋体"/>
          <w:sz w:val="21"/>
          <w:szCs w:val="21"/>
        </w:rPr>
      </w:pPr>
    </w:p>
    <w:p>
      <w:pPr>
        <w:pStyle w:val="2"/>
        <w:rPr>
          <w:rFonts w:hAnsi="宋体"/>
          <w:sz w:val="21"/>
          <w:szCs w:val="21"/>
        </w:rPr>
      </w:pPr>
    </w:p>
    <w:p>
      <w:pPr>
        <w:pStyle w:val="2"/>
        <w:rPr>
          <w:rFonts w:hAnsi="宋体"/>
          <w:sz w:val="21"/>
          <w:szCs w:val="21"/>
        </w:rPr>
      </w:pPr>
    </w:p>
    <w:p>
      <w:pPr>
        <w:pStyle w:val="2"/>
        <w:rPr>
          <w:rFonts w:hAnsi="宋体"/>
          <w:sz w:val="21"/>
          <w:szCs w:val="21"/>
        </w:rPr>
      </w:pPr>
    </w:p>
    <w:p>
      <w:pPr>
        <w:pStyle w:val="2"/>
        <w:rPr>
          <w:rFonts w:hAnsi="宋体"/>
          <w:sz w:val="21"/>
          <w:szCs w:val="21"/>
        </w:rPr>
      </w:pPr>
    </w:p>
    <w:p>
      <w:pPr>
        <w:pStyle w:val="2"/>
        <w:rPr>
          <w:rFonts w:hAnsi="宋体"/>
          <w:sz w:val="21"/>
          <w:szCs w:val="21"/>
        </w:rPr>
      </w:pPr>
    </w:p>
    <w:p>
      <w:pPr>
        <w:pStyle w:val="2"/>
        <w:rPr>
          <w:rFonts w:hAnsi="宋体"/>
          <w:sz w:val="21"/>
          <w:szCs w:val="21"/>
        </w:rPr>
      </w:pPr>
    </w:p>
    <w:p>
      <w:pPr>
        <w:pStyle w:val="2"/>
        <w:rPr>
          <w:rFonts w:hAnsi="宋体"/>
          <w:sz w:val="21"/>
          <w:szCs w:val="21"/>
        </w:rPr>
      </w:pPr>
    </w:p>
    <w:p>
      <w:pPr>
        <w:pStyle w:val="2"/>
        <w:rPr>
          <w:rFonts w:hAnsi="宋体"/>
          <w:sz w:val="21"/>
          <w:szCs w:val="21"/>
        </w:rPr>
      </w:pPr>
    </w:p>
    <w:p>
      <w:pPr>
        <w:pStyle w:val="2"/>
        <w:rPr>
          <w:rFonts w:hAnsi="宋体"/>
          <w:sz w:val="21"/>
          <w:szCs w:val="21"/>
        </w:rPr>
      </w:pPr>
    </w:p>
    <w:p>
      <w:pPr>
        <w:pStyle w:val="2"/>
        <w:rPr>
          <w:rFonts w:hAnsi="宋体"/>
          <w:sz w:val="21"/>
          <w:szCs w:val="21"/>
        </w:rPr>
      </w:pPr>
    </w:p>
    <w:p>
      <w:pPr>
        <w:pStyle w:val="2"/>
        <w:rPr>
          <w:rFonts w:hAnsi="宋体"/>
          <w:sz w:val="21"/>
          <w:szCs w:val="21"/>
        </w:rPr>
      </w:pPr>
    </w:p>
    <w:p>
      <w:pPr>
        <w:pStyle w:val="2"/>
        <w:rPr>
          <w:rFonts w:hAnsi="宋体"/>
          <w:sz w:val="21"/>
          <w:szCs w:val="21"/>
        </w:rPr>
      </w:pPr>
    </w:p>
    <w:p>
      <w:pPr>
        <w:pStyle w:val="2"/>
        <w:rPr>
          <w:rFonts w:hAnsi="宋体"/>
          <w:sz w:val="21"/>
          <w:szCs w:val="21"/>
        </w:rPr>
      </w:pPr>
    </w:p>
    <w:p>
      <w:pPr>
        <w:pStyle w:val="2"/>
        <w:rPr>
          <w:rFonts w:hAnsi="宋体"/>
          <w:sz w:val="21"/>
          <w:szCs w:val="21"/>
        </w:rPr>
      </w:pPr>
    </w:p>
    <w:p>
      <w:pPr>
        <w:pStyle w:val="2"/>
        <w:rPr>
          <w:rFonts w:hAnsi="宋体"/>
          <w:sz w:val="21"/>
          <w:szCs w:val="21"/>
        </w:rPr>
      </w:pPr>
    </w:p>
    <w:p>
      <w:pPr>
        <w:pStyle w:val="2"/>
        <w:rPr>
          <w:rFonts w:hAnsi="宋体"/>
          <w:sz w:val="21"/>
          <w:szCs w:val="21"/>
        </w:rPr>
      </w:pPr>
    </w:p>
    <w:p>
      <w:pPr>
        <w:pStyle w:val="2"/>
        <w:rPr>
          <w:rFonts w:hAnsi="宋体"/>
          <w:sz w:val="21"/>
          <w:szCs w:val="21"/>
        </w:rPr>
      </w:pPr>
    </w:p>
    <w:p>
      <w:pPr>
        <w:pStyle w:val="4"/>
        <w:jc w:val="center"/>
        <w:rPr>
          <w:bCs/>
          <w:sz w:val="28"/>
          <w:szCs w:val="28"/>
        </w:rPr>
      </w:pPr>
      <w:r>
        <w:rPr>
          <w:rFonts w:hint="eastAsia"/>
          <w:sz w:val="28"/>
          <w:szCs w:val="28"/>
        </w:rPr>
        <w:t>第二部分</w:t>
      </w:r>
      <w:bookmarkEnd w:id="156"/>
      <w:bookmarkEnd w:id="157"/>
      <w:bookmarkStart w:id="179" w:name="_Toc12158"/>
      <w:bookmarkStart w:id="180" w:name="_Toc18450"/>
      <w:bookmarkStart w:id="181" w:name="_Toc7897890"/>
      <w:bookmarkStart w:id="182" w:name="_Toc27849"/>
      <w:bookmarkStart w:id="183" w:name="_Toc454701405"/>
      <w:bookmarkStart w:id="184" w:name="_Toc458262638"/>
      <w:bookmarkStart w:id="185" w:name="_Toc486671572"/>
      <w:bookmarkStart w:id="186" w:name="_Toc476976200"/>
      <w:bookmarkStart w:id="187" w:name="_Toc467236768"/>
      <w:bookmarkStart w:id="188" w:name="_Toc110953866"/>
      <w:bookmarkStart w:id="189" w:name="_Toc467987856"/>
      <w:bookmarkStart w:id="190" w:name="_Toc480020289"/>
      <w:bookmarkStart w:id="191" w:name="_Toc468606064"/>
      <w:bookmarkStart w:id="192" w:name="_Toc480021085"/>
      <w:bookmarkStart w:id="193" w:name="_Toc480010742"/>
      <w:bookmarkStart w:id="194" w:name="_Toc479991616"/>
      <w:bookmarkStart w:id="195" w:name="_Toc468157569"/>
      <w:r>
        <w:rPr>
          <w:rFonts w:hint="eastAsia"/>
          <w:sz w:val="28"/>
          <w:szCs w:val="28"/>
        </w:rPr>
        <w:t xml:space="preserve"> </w:t>
      </w:r>
      <w:r>
        <w:rPr>
          <w:rFonts w:hint="eastAsia"/>
          <w:bCs/>
          <w:sz w:val="28"/>
          <w:szCs w:val="28"/>
        </w:rPr>
        <w:t>商务文件</w:t>
      </w:r>
      <w:bookmarkEnd w:id="179"/>
      <w:bookmarkEnd w:id="180"/>
      <w:bookmarkStart w:id="196" w:name="_Hlt10456397"/>
      <w:bookmarkEnd w:id="196"/>
      <w:bookmarkStart w:id="197" w:name="_Hlt10519799"/>
      <w:bookmarkEnd w:id="197"/>
    </w:p>
    <w:p>
      <w:pPr>
        <w:pStyle w:val="4"/>
        <w:numPr>
          <w:ilvl w:val="0"/>
          <w:numId w:val="19"/>
        </w:numPr>
        <w:jc w:val="center"/>
        <w:rPr>
          <w:b w:val="0"/>
          <w:sz w:val="28"/>
          <w:szCs w:val="28"/>
        </w:rPr>
      </w:pPr>
      <w:bookmarkStart w:id="198" w:name="_Toc18728"/>
      <w:r>
        <w:rPr>
          <w:rFonts w:hint="eastAsia"/>
          <w:sz w:val="28"/>
          <w:szCs w:val="28"/>
        </w:rPr>
        <w:t>响应书</w:t>
      </w:r>
      <w:bookmarkEnd w:id="181"/>
      <w:bookmarkEnd w:id="182"/>
      <w:bookmarkEnd w:id="183"/>
      <w:bookmarkEnd w:id="184"/>
      <w:bookmarkEnd w:id="185"/>
      <w:bookmarkEnd w:id="186"/>
      <w:bookmarkEnd w:id="187"/>
      <w:bookmarkEnd w:id="198"/>
    </w:p>
    <w:p>
      <w:pPr>
        <w:pStyle w:val="30"/>
        <w:autoSpaceDE/>
        <w:autoSpaceDN/>
        <w:adjustRightInd/>
        <w:spacing w:line="480" w:lineRule="exact"/>
        <w:ind w:left="0" w:leftChars="0"/>
        <w:rPr>
          <w:rFonts w:hAnsi="宋体"/>
        </w:rPr>
      </w:pPr>
      <w:r>
        <w:rPr>
          <w:rFonts w:hint="eastAsia" w:hAnsi="宋体"/>
        </w:rPr>
        <w:t>致：广东泰通伟业工程咨询有限公司</w:t>
      </w:r>
    </w:p>
    <w:p>
      <w:pPr>
        <w:spacing w:line="480" w:lineRule="exact"/>
        <w:ind w:firstLine="420" w:firstLineChars="200"/>
        <w:rPr>
          <w:rFonts w:hAnsi="宋体"/>
          <w:sz w:val="21"/>
          <w:szCs w:val="21"/>
        </w:rPr>
      </w:pPr>
      <w:r>
        <w:rPr>
          <w:rFonts w:hint="eastAsia" w:hAnsi="宋体"/>
          <w:sz w:val="21"/>
          <w:szCs w:val="21"/>
        </w:rPr>
        <w:t>根据贵方（采购编号：）的磋商邀请和磋商文件，供应商承诺如下：</w:t>
      </w:r>
    </w:p>
    <w:p>
      <w:pPr>
        <w:spacing w:line="480" w:lineRule="exact"/>
        <w:ind w:firstLine="420" w:firstLineChars="200"/>
        <w:rPr>
          <w:rFonts w:hAnsi="宋体"/>
          <w:sz w:val="21"/>
          <w:szCs w:val="21"/>
        </w:rPr>
      </w:pPr>
      <w:r>
        <w:rPr>
          <w:rFonts w:hint="eastAsia" w:hAnsi="宋体"/>
          <w:sz w:val="21"/>
          <w:szCs w:val="21"/>
        </w:rPr>
        <w:t>1.签字代表</w:t>
      </w:r>
      <w:r>
        <w:rPr>
          <w:rFonts w:hint="eastAsia" w:hAnsi="宋体"/>
          <w:sz w:val="21"/>
          <w:szCs w:val="21"/>
          <w:u w:val="single"/>
        </w:rPr>
        <w:t>（姓名、职务）</w:t>
      </w:r>
      <w:r>
        <w:rPr>
          <w:rFonts w:hint="eastAsia" w:hAnsi="宋体"/>
          <w:sz w:val="21"/>
          <w:szCs w:val="21"/>
        </w:rPr>
        <w:t>经正式授权并代表供应商</w:t>
      </w:r>
      <w:r>
        <w:rPr>
          <w:rFonts w:hint="eastAsia" w:hAnsi="宋体"/>
          <w:sz w:val="21"/>
          <w:szCs w:val="21"/>
          <w:u w:val="single"/>
        </w:rPr>
        <w:t>（供应商名称、地址）</w:t>
      </w:r>
      <w:r>
        <w:rPr>
          <w:rFonts w:hint="eastAsia" w:hAnsi="宋体"/>
          <w:sz w:val="21"/>
          <w:szCs w:val="21"/>
        </w:rPr>
        <w:t>提交响应文件正本份和副本份。</w:t>
      </w:r>
    </w:p>
    <w:p>
      <w:pPr>
        <w:spacing w:line="480" w:lineRule="exact"/>
        <w:ind w:firstLine="420" w:firstLineChars="200"/>
        <w:rPr>
          <w:rFonts w:hAnsi="宋体"/>
          <w:sz w:val="21"/>
          <w:szCs w:val="21"/>
        </w:rPr>
      </w:pPr>
      <w:r>
        <w:rPr>
          <w:rFonts w:hint="eastAsia" w:hAnsi="宋体"/>
          <w:sz w:val="21"/>
          <w:szCs w:val="21"/>
        </w:rPr>
        <w:t>2.供应商愿意参加响应并在成交后按磋商文件规定履行义务。</w:t>
      </w:r>
    </w:p>
    <w:p>
      <w:pPr>
        <w:spacing w:line="480" w:lineRule="exact"/>
        <w:ind w:firstLine="420" w:firstLineChars="200"/>
        <w:rPr>
          <w:rFonts w:hAnsi="宋体"/>
          <w:sz w:val="21"/>
          <w:szCs w:val="21"/>
        </w:rPr>
      </w:pPr>
      <w:r>
        <w:rPr>
          <w:rFonts w:hint="eastAsia" w:hAnsi="宋体"/>
          <w:sz w:val="21"/>
          <w:szCs w:val="21"/>
        </w:rPr>
        <w:t>3.供应商已详细审查全部磋商文件，包括澄清或修改文件（如有的话）等全部资料。供应商完全理解磋商文件的内容，不存在对磋商文件不明白和误解。</w:t>
      </w:r>
    </w:p>
    <w:p>
      <w:pPr>
        <w:spacing w:line="480" w:lineRule="exact"/>
        <w:ind w:firstLine="420" w:firstLineChars="200"/>
        <w:rPr>
          <w:rFonts w:hAnsi="宋体"/>
          <w:sz w:val="21"/>
          <w:szCs w:val="21"/>
        </w:rPr>
      </w:pPr>
      <w:r>
        <w:rPr>
          <w:rFonts w:hint="eastAsia" w:hAnsi="宋体"/>
          <w:sz w:val="21"/>
          <w:szCs w:val="21"/>
        </w:rPr>
        <w:t>4.响应文件中所提交的所有资料均是准确的和真实的，否则，我单位愿意放弃成交的权利和接受采购监督管理部门的处罚。</w:t>
      </w:r>
    </w:p>
    <w:p>
      <w:pPr>
        <w:spacing w:line="480" w:lineRule="exact"/>
        <w:ind w:firstLine="420" w:firstLineChars="200"/>
        <w:rPr>
          <w:rFonts w:hAnsi="宋体"/>
          <w:sz w:val="21"/>
          <w:szCs w:val="21"/>
        </w:rPr>
      </w:pPr>
      <w:r>
        <w:rPr>
          <w:rFonts w:hint="eastAsia" w:hAnsi="宋体"/>
          <w:sz w:val="21"/>
          <w:szCs w:val="21"/>
        </w:rPr>
        <w:t>5.参加本项目采购活动前3年内，在经营活动中没有重大违法记录。</w:t>
      </w:r>
    </w:p>
    <w:p>
      <w:pPr>
        <w:spacing w:line="480" w:lineRule="exact"/>
        <w:ind w:firstLine="420" w:firstLineChars="200"/>
        <w:rPr>
          <w:rFonts w:hAnsi="宋体"/>
          <w:sz w:val="21"/>
          <w:szCs w:val="21"/>
        </w:rPr>
      </w:pPr>
      <w:r>
        <w:rPr>
          <w:rFonts w:hint="eastAsia" w:hAnsi="宋体"/>
          <w:sz w:val="21"/>
          <w:szCs w:val="21"/>
        </w:rPr>
        <w:t>6.响应有效期为90个工作日，自开启响应文件之日起算。</w:t>
      </w:r>
    </w:p>
    <w:p>
      <w:pPr>
        <w:spacing w:line="480" w:lineRule="exact"/>
        <w:ind w:firstLine="420" w:firstLineChars="200"/>
        <w:rPr>
          <w:rFonts w:hAnsi="宋体"/>
          <w:sz w:val="21"/>
          <w:szCs w:val="21"/>
        </w:rPr>
      </w:pPr>
      <w:r>
        <w:rPr>
          <w:rFonts w:hint="eastAsia" w:hAnsi="宋体"/>
          <w:sz w:val="21"/>
          <w:szCs w:val="21"/>
        </w:rPr>
        <w:t>7.同意在成交后按照磋商文件的规定缴纳成交服务费。</w:t>
      </w:r>
    </w:p>
    <w:p>
      <w:pPr>
        <w:spacing w:line="480" w:lineRule="exact"/>
        <w:ind w:firstLine="420" w:firstLineChars="200"/>
        <w:rPr>
          <w:rFonts w:hAnsi="宋体"/>
          <w:sz w:val="21"/>
          <w:szCs w:val="21"/>
        </w:rPr>
      </w:pPr>
      <w:r>
        <w:rPr>
          <w:rFonts w:hint="eastAsia" w:hAnsi="宋体"/>
          <w:sz w:val="21"/>
          <w:szCs w:val="21"/>
        </w:rPr>
        <w:t>8.如果开启响应文件后，在响应有效期内撤回文件的，我单位愿意承担贵单位由此而产生的损失。</w:t>
      </w:r>
    </w:p>
    <w:p>
      <w:pPr>
        <w:spacing w:line="480" w:lineRule="exact"/>
        <w:ind w:firstLine="420" w:firstLineChars="200"/>
        <w:rPr>
          <w:rFonts w:hAnsi="宋体"/>
          <w:sz w:val="21"/>
          <w:szCs w:val="21"/>
        </w:rPr>
      </w:pPr>
      <w:r>
        <w:rPr>
          <w:rFonts w:hint="eastAsia" w:hAnsi="宋体"/>
          <w:sz w:val="21"/>
          <w:szCs w:val="21"/>
        </w:rPr>
        <w:t>9.供应商同意提供按照贵方可能要求的有关的一切资料，理解贵单位不一定要接受最低价的响应或收到的任何响应。</w:t>
      </w:r>
    </w:p>
    <w:p>
      <w:pPr>
        <w:spacing w:line="480" w:lineRule="exact"/>
        <w:ind w:firstLine="420" w:firstLineChars="200"/>
        <w:rPr>
          <w:rFonts w:hAnsi="宋体"/>
          <w:sz w:val="21"/>
          <w:szCs w:val="21"/>
        </w:rPr>
      </w:pPr>
      <w:r>
        <w:rPr>
          <w:rFonts w:hint="eastAsia" w:hAnsi="宋体"/>
          <w:sz w:val="21"/>
          <w:szCs w:val="21"/>
        </w:rPr>
        <w:t>10.与本响应有关的一切正式往来通讯请寄：</w:t>
      </w:r>
    </w:p>
    <w:p>
      <w:pPr>
        <w:spacing w:line="480" w:lineRule="exact"/>
        <w:ind w:firstLine="420" w:firstLineChars="200"/>
        <w:rPr>
          <w:rFonts w:hAnsi="宋体"/>
          <w:sz w:val="21"/>
          <w:szCs w:val="21"/>
        </w:rPr>
      </w:pPr>
    </w:p>
    <w:p>
      <w:pPr>
        <w:spacing w:line="480" w:lineRule="exact"/>
        <w:ind w:firstLine="420" w:firstLineChars="200"/>
        <w:rPr>
          <w:rFonts w:hAnsi="宋体"/>
          <w:sz w:val="21"/>
          <w:szCs w:val="21"/>
        </w:rPr>
      </w:pPr>
      <w:r>
        <w:rPr>
          <w:rFonts w:hint="eastAsia" w:hAnsi="宋体"/>
          <w:sz w:val="21"/>
          <w:szCs w:val="21"/>
        </w:rPr>
        <w:t>供应商名称：</w:t>
      </w:r>
      <w:r>
        <w:rPr>
          <w:rFonts w:hint="eastAsia" w:hAnsi="宋体"/>
          <w:sz w:val="21"/>
          <w:szCs w:val="21"/>
          <w:u w:val="single"/>
        </w:rPr>
        <w:t>（盖公章）</w:t>
      </w:r>
    </w:p>
    <w:p>
      <w:pPr>
        <w:spacing w:line="480" w:lineRule="exact"/>
        <w:ind w:firstLine="420" w:firstLineChars="200"/>
        <w:rPr>
          <w:rFonts w:hAnsi="宋体"/>
          <w:sz w:val="21"/>
          <w:szCs w:val="21"/>
          <w:u w:val="single"/>
        </w:rPr>
      </w:pPr>
      <w:r>
        <w:rPr>
          <w:rFonts w:hint="eastAsia" w:hAnsi="宋体"/>
          <w:sz w:val="21"/>
          <w:szCs w:val="21"/>
        </w:rPr>
        <w:t>供应商代表姓名、职务（印刷体）：</w:t>
      </w:r>
    </w:p>
    <w:p>
      <w:pPr>
        <w:spacing w:line="480" w:lineRule="exact"/>
        <w:ind w:firstLine="420" w:firstLineChars="200"/>
        <w:rPr>
          <w:rFonts w:hAnsi="宋体"/>
          <w:sz w:val="21"/>
          <w:szCs w:val="21"/>
        </w:rPr>
      </w:pPr>
      <w:r>
        <w:rPr>
          <w:rFonts w:hint="eastAsia" w:hAnsi="宋体"/>
          <w:sz w:val="21"/>
          <w:szCs w:val="21"/>
        </w:rPr>
        <w:t>供应商联系电话、传真：</w:t>
      </w:r>
    </w:p>
    <w:p>
      <w:pPr>
        <w:spacing w:line="480" w:lineRule="exact"/>
        <w:ind w:firstLine="420" w:firstLineChars="200"/>
        <w:rPr>
          <w:rFonts w:hAnsi="宋体"/>
          <w:sz w:val="21"/>
          <w:szCs w:val="21"/>
        </w:rPr>
      </w:pPr>
      <w:r>
        <w:rPr>
          <w:rFonts w:hint="eastAsia" w:hAnsi="宋体"/>
          <w:sz w:val="21"/>
          <w:szCs w:val="21"/>
        </w:rPr>
        <w:t>日期：年月日</w:t>
      </w:r>
    </w:p>
    <w:p>
      <w:pPr>
        <w:pStyle w:val="4"/>
        <w:numPr>
          <w:ilvl w:val="0"/>
          <w:numId w:val="19"/>
        </w:numPr>
        <w:jc w:val="center"/>
        <w:rPr>
          <w:bCs/>
          <w:sz w:val="28"/>
          <w:szCs w:val="28"/>
        </w:rPr>
      </w:pPr>
      <w:r>
        <w:rPr>
          <w:sz w:val="22"/>
          <w:szCs w:val="22"/>
        </w:rPr>
        <w:br w:type="page"/>
      </w:r>
      <w:bookmarkStart w:id="199" w:name="_Toc7897891"/>
      <w:bookmarkStart w:id="200" w:name="_Toc31943"/>
      <w:bookmarkStart w:id="201" w:name="_Toc10808"/>
      <w:r>
        <w:rPr>
          <w:rFonts w:hint="eastAsia"/>
          <w:bCs/>
          <w:sz w:val="28"/>
          <w:szCs w:val="28"/>
        </w:rPr>
        <w:t>法定代表人证明书</w:t>
      </w:r>
      <w:bookmarkEnd w:id="199"/>
      <w:bookmarkEnd w:id="200"/>
      <w:bookmarkEnd w:id="201"/>
    </w:p>
    <w:p>
      <w:pPr>
        <w:jc w:val="center"/>
        <w:rPr>
          <w:rFonts w:hAnsi="宋体"/>
          <w:sz w:val="28"/>
          <w:szCs w:val="28"/>
        </w:rPr>
      </w:pPr>
    </w:p>
    <w:p>
      <w:pPr>
        <w:rPr>
          <w:rFonts w:hAnsi="宋体"/>
          <w:sz w:val="28"/>
          <w:szCs w:val="28"/>
        </w:rPr>
      </w:pPr>
    </w:p>
    <w:p>
      <w:pPr>
        <w:spacing w:line="420" w:lineRule="atLeast"/>
        <w:rPr>
          <w:rFonts w:hAnsi="宋体"/>
          <w:sz w:val="21"/>
          <w:szCs w:val="21"/>
        </w:rPr>
      </w:pPr>
      <w:r>
        <w:rPr>
          <w:rFonts w:hint="eastAsia" w:hAnsi="宋体"/>
          <w:sz w:val="21"/>
          <w:szCs w:val="21"/>
        </w:rPr>
        <w:t>致：广东泰通伟业工程咨询有限公司</w:t>
      </w:r>
    </w:p>
    <w:p>
      <w:pPr>
        <w:pStyle w:val="75"/>
        <w:spacing w:line="420" w:lineRule="atLeast"/>
        <w:ind w:firstLine="433"/>
        <w:rPr>
          <w:rFonts w:ascii="宋体" w:eastAsia="宋体"/>
          <w:sz w:val="21"/>
          <w:szCs w:val="21"/>
        </w:rPr>
      </w:pPr>
    </w:p>
    <w:p>
      <w:pPr>
        <w:pStyle w:val="75"/>
        <w:spacing w:line="420" w:lineRule="atLeast"/>
        <w:ind w:firstLine="433"/>
        <w:rPr>
          <w:rFonts w:ascii="宋体" w:eastAsia="宋体"/>
          <w:sz w:val="21"/>
          <w:szCs w:val="21"/>
        </w:rPr>
      </w:pPr>
      <w:r>
        <w:rPr>
          <w:rFonts w:hint="eastAsia" w:ascii="宋体" w:eastAsia="宋体"/>
          <w:sz w:val="21"/>
          <w:szCs w:val="21"/>
        </w:rPr>
        <w:t xml:space="preserve">供应商名称: </w:t>
      </w:r>
    </w:p>
    <w:p>
      <w:pPr>
        <w:pStyle w:val="75"/>
        <w:spacing w:line="420" w:lineRule="atLeast"/>
        <w:ind w:firstLine="433"/>
        <w:rPr>
          <w:rFonts w:ascii="宋体" w:eastAsia="宋体"/>
          <w:sz w:val="21"/>
          <w:szCs w:val="21"/>
        </w:rPr>
      </w:pPr>
      <w:r>
        <w:rPr>
          <w:rFonts w:hint="eastAsia" w:ascii="宋体" w:eastAsia="宋体"/>
          <w:sz w:val="21"/>
          <w:szCs w:val="21"/>
        </w:rPr>
        <w:t>单位性质：</w:t>
      </w:r>
    </w:p>
    <w:p>
      <w:pPr>
        <w:pStyle w:val="75"/>
        <w:spacing w:line="420" w:lineRule="atLeast"/>
        <w:ind w:firstLine="433"/>
        <w:rPr>
          <w:rFonts w:ascii="宋体" w:eastAsia="宋体"/>
          <w:sz w:val="21"/>
          <w:szCs w:val="21"/>
        </w:rPr>
      </w:pPr>
      <w:r>
        <w:rPr>
          <w:rFonts w:hint="eastAsia" w:ascii="宋体" w:eastAsia="宋体"/>
          <w:sz w:val="21"/>
          <w:szCs w:val="21"/>
        </w:rPr>
        <w:t>地址：</w:t>
      </w:r>
    </w:p>
    <w:p>
      <w:pPr>
        <w:pStyle w:val="75"/>
        <w:spacing w:line="420" w:lineRule="atLeast"/>
        <w:ind w:firstLine="433"/>
        <w:rPr>
          <w:rFonts w:ascii="宋体" w:eastAsia="宋体"/>
          <w:sz w:val="21"/>
          <w:szCs w:val="21"/>
        </w:rPr>
      </w:pPr>
      <w:r>
        <w:rPr>
          <w:rFonts w:hint="eastAsia" w:ascii="宋体" w:eastAsia="宋体"/>
          <w:sz w:val="21"/>
          <w:szCs w:val="21"/>
        </w:rPr>
        <w:t>成立时间：年月日</w:t>
      </w:r>
    </w:p>
    <w:p>
      <w:pPr>
        <w:pStyle w:val="75"/>
        <w:spacing w:line="420" w:lineRule="atLeast"/>
        <w:ind w:firstLine="433"/>
        <w:rPr>
          <w:rFonts w:ascii="宋体" w:eastAsia="宋体"/>
          <w:sz w:val="21"/>
          <w:szCs w:val="21"/>
        </w:rPr>
      </w:pPr>
      <w:r>
        <w:rPr>
          <w:rFonts w:hint="eastAsia" w:ascii="宋体" w:eastAsia="宋体"/>
          <w:sz w:val="21"/>
          <w:szCs w:val="21"/>
        </w:rPr>
        <w:t>经营期限：</w:t>
      </w:r>
    </w:p>
    <w:p>
      <w:pPr>
        <w:pStyle w:val="75"/>
        <w:spacing w:line="420" w:lineRule="atLeast"/>
        <w:ind w:firstLine="433"/>
        <w:rPr>
          <w:rFonts w:ascii="宋体" w:eastAsia="宋体"/>
          <w:sz w:val="21"/>
          <w:szCs w:val="21"/>
        </w:rPr>
      </w:pPr>
      <w:r>
        <w:rPr>
          <w:rFonts w:hint="eastAsia" w:ascii="宋体" w:eastAsia="宋体"/>
          <w:sz w:val="21"/>
          <w:szCs w:val="21"/>
        </w:rPr>
        <w:t>姓名：性别：年龄：职务：</w:t>
      </w:r>
    </w:p>
    <w:p>
      <w:pPr>
        <w:pStyle w:val="75"/>
        <w:spacing w:line="420" w:lineRule="atLeast"/>
        <w:ind w:firstLine="433"/>
        <w:rPr>
          <w:rFonts w:ascii="宋体" w:eastAsia="宋体"/>
          <w:sz w:val="21"/>
          <w:szCs w:val="21"/>
        </w:rPr>
      </w:pPr>
      <w:r>
        <w:rPr>
          <w:rFonts w:hint="eastAsia" w:ascii="宋体" w:eastAsia="宋体"/>
          <w:sz w:val="21"/>
          <w:szCs w:val="21"/>
        </w:rPr>
        <w:t>系（供应商名称）的法定代表人。</w:t>
      </w:r>
    </w:p>
    <w:p>
      <w:pPr>
        <w:spacing w:line="420" w:lineRule="atLeast"/>
        <w:ind w:firstLine="420" w:firstLineChars="200"/>
        <w:rPr>
          <w:rFonts w:hAnsi="宋体"/>
          <w:sz w:val="21"/>
          <w:szCs w:val="21"/>
        </w:rPr>
      </w:pPr>
      <w:r>
        <w:rPr>
          <w:rFonts w:hint="eastAsia" w:hAnsi="宋体"/>
          <w:sz w:val="21"/>
          <w:szCs w:val="21"/>
        </w:rPr>
        <w:t>特此证明。</w:t>
      </w:r>
    </w:p>
    <w:p>
      <w:pPr>
        <w:pStyle w:val="75"/>
        <w:spacing w:line="500" w:lineRule="atLeast"/>
        <w:ind w:firstLine="3517" w:firstLineChars="1675"/>
        <w:rPr>
          <w:rFonts w:ascii="宋体" w:eastAsia="宋体"/>
          <w:sz w:val="21"/>
          <w:szCs w:val="21"/>
        </w:rPr>
      </w:pPr>
    </w:p>
    <w:p>
      <w:pPr>
        <w:pStyle w:val="75"/>
        <w:spacing w:line="500" w:lineRule="atLeast"/>
        <w:ind w:firstLine="3517" w:firstLineChars="1675"/>
        <w:rPr>
          <w:rFonts w:ascii="宋体" w:eastAsia="宋体"/>
          <w:sz w:val="21"/>
          <w:szCs w:val="21"/>
        </w:rPr>
      </w:pPr>
      <w:r>
        <w:rPr>
          <w:rFonts w:hint="eastAsia" w:ascii="宋体" w:eastAsia="宋体"/>
          <w:sz w:val="21"/>
          <w:szCs w:val="21"/>
        </w:rPr>
        <w:t>供应商名称（加盖公章）</w:t>
      </w:r>
    </w:p>
    <w:p>
      <w:pPr>
        <w:pStyle w:val="75"/>
        <w:spacing w:line="500" w:lineRule="atLeast"/>
        <w:ind w:firstLine="3517" w:firstLineChars="1675"/>
        <w:rPr>
          <w:rFonts w:ascii="宋体" w:eastAsia="宋体"/>
          <w:sz w:val="21"/>
          <w:szCs w:val="21"/>
        </w:rPr>
      </w:pPr>
      <w:r>
        <w:rPr>
          <w:rFonts w:hint="eastAsia" w:ascii="宋体" w:eastAsia="宋体"/>
          <w:sz w:val="21"/>
          <w:szCs w:val="21"/>
        </w:rPr>
        <w:t>法定代表人（签名或盖私章）：</w:t>
      </w:r>
    </w:p>
    <w:p>
      <w:pPr>
        <w:pStyle w:val="75"/>
        <w:spacing w:line="500" w:lineRule="atLeast"/>
        <w:ind w:firstLine="3517" w:firstLineChars="1675"/>
        <w:rPr>
          <w:rFonts w:ascii="宋体" w:eastAsia="宋体"/>
          <w:sz w:val="21"/>
          <w:szCs w:val="21"/>
          <w:u w:val="single"/>
        </w:rPr>
      </w:pPr>
      <w:r>
        <w:rPr>
          <w:rFonts w:hint="eastAsia" w:ascii="宋体" w:eastAsia="宋体"/>
          <w:sz w:val="21"/>
          <w:szCs w:val="21"/>
        </w:rPr>
        <w:t>身份证号码：</w:t>
      </w:r>
    </w:p>
    <w:p>
      <w:pPr>
        <w:pStyle w:val="75"/>
        <w:spacing w:line="500" w:lineRule="atLeast"/>
        <w:ind w:firstLine="3507" w:firstLineChars="1670"/>
        <w:rPr>
          <w:rFonts w:ascii="宋体" w:eastAsia="宋体"/>
          <w:sz w:val="21"/>
          <w:szCs w:val="21"/>
        </w:rPr>
      </w:pPr>
      <w:r>
        <w:rPr>
          <w:rFonts w:hint="eastAsia" w:ascii="宋体" w:eastAsia="宋体"/>
          <w:sz w:val="21"/>
          <w:szCs w:val="21"/>
        </w:rPr>
        <w:t>日期：年月日</w:t>
      </w:r>
    </w:p>
    <w:p>
      <w:pPr>
        <w:pStyle w:val="75"/>
        <w:spacing w:line="460" w:lineRule="exact"/>
        <w:ind w:firstLine="433"/>
        <w:rPr>
          <w:rFonts w:ascii="宋体" w:eastAsia="宋体"/>
          <w:sz w:val="21"/>
          <w:szCs w:val="21"/>
        </w:rPr>
      </w:pPr>
    </w:p>
    <w:p>
      <w:pPr>
        <w:spacing w:line="420" w:lineRule="atLeast"/>
        <w:ind w:firstLine="422" w:firstLineChars="200"/>
        <w:rPr>
          <w:rFonts w:hAnsi="宋体"/>
          <w:b/>
          <w:sz w:val="21"/>
          <w:szCs w:val="21"/>
        </w:rPr>
      </w:pPr>
    </w:p>
    <w:p>
      <w:pPr>
        <w:spacing w:line="420" w:lineRule="atLeast"/>
        <w:ind w:firstLine="422" w:firstLineChars="200"/>
        <w:rPr>
          <w:rFonts w:hAnsi="宋体"/>
          <w:b/>
          <w:sz w:val="21"/>
          <w:szCs w:val="21"/>
        </w:rPr>
      </w:pPr>
      <w:r>
        <w:rPr>
          <w:rFonts w:hint="eastAsia" w:hAnsi="宋体"/>
          <w:b/>
          <w:sz w:val="21"/>
          <w:szCs w:val="21"/>
        </w:rPr>
        <w:t>须附：法定代表人身份证复印件（加盖公章）</w:t>
      </w:r>
    </w:p>
    <w:p>
      <w:pPr>
        <w:spacing w:line="420" w:lineRule="atLeast"/>
        <w:ind w:firstLine="422" w:firstLineChars="200"/>
        <w:rPr>
          <w:b/>
          <w:sz w:val="21"/>
          <w:szCs w:val="21"/>
        </w:rPr>
      </w:pPr>
    </w:p>
    <w:tbl>
      <w:tblPr>
        <w:tblStyle w:val="52"/>
        <w:tblW w:w="8364" w:type="dxa"/>
        <w:jc w:val="center"/>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Layout w:type="fixed"/>
        <w:tblCellMar>
          <w:top w:w="0" w:type="dxa"/>
          <w:left w:w="108" w:type="dxa"/>
          <w:bottom w:w="0" w:type="dxa"/>
          <w:right w:w="108" w:type="dxa"/>
        </w:tblCellMar>
      </w:tblPr>
      <w:tblGrid>
        <w:gridCol w:w="4182"/>
        <w:gridCol w:w="4182"/>
      </w:tblGrid>
      <w:tr>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2517" w:hRule="atLeast"/>
          <w:jc w:val="center"/>
        </w:trPr>
        <w:tc>
          <w:tcPr>
            <w:tcW w:w="4182" w:type="dxa"/>
            <w:vAlign w:val="center"/>
          </w:tcPr>
          <w:p>
            <w:pPr>
              <w:pStyle w:val="75"/>
              <w:spacing w:line="460" w:lineRule="exact"/>
              <w:ind w:firstLine="0" w:firstLineChars="0"/>
              <w:jc w:val="center"/>
              <w:rPr>
                <w:rFonts w:ascii="宋体" w:eastAsia="宋体"/>
                <w:sz w:val="21"/>
                <w:szCs w:val="21"/>
              </w:rPr>
            </w:pPr>
            <w:r>
              <w:rPr>
                <w:rFonts w:hint="eastAsia" w:ascii="宋体" w:eastAsia="宋体"/>
                <w:sz w:val="21"/>
                <w:szCs w:val="21"/>
              </w:rPr>
              <w:t>正面</w:t>
            </w:r>
          </w:p>
        </w:tc>
        <w:tc>
          <w:tcPr>
            <w:tcW w:w="4182" w:type="dxa"/>
            <w:vAlign w:val="center"/>
          </w:tcPr>
          <w:p>
            <w:pPr>
              <w:pStyle w:val="75"/>
              <w:spacing w:line="460" w:lineRule="exact"/>
              <w:ind w:firstLine="0" w:firstLineChars="0"/>
              <w:jc w:val="center"/>
              <w:rPr>
                <w:rFonts w:ascii="宋体" w:eastAsia="宋体"/>
                <w:sz w:val="21"/>
                <w:szCs w:val="21"/>
              </w:rPr>
            </w:pPr>
            <w:r>
              <w:rPr>
                <w:rFonts w:hint="eastAsia" w:ascii="宋体" w:eastAsia="宋体"/>
                <w:sz w:val="21"/>
                <w:szCs w:val="21"/>
              </w:rPr>
              <w:t>背面</w:t>
            </w:r>
          </w:p>
        </w:tc>
      </w:tr>
    </w:tbl>
    <w:p>
      <w:pPr>
        <w:rPr>
          <w:rFonts w:hAnsi="宋体"/>
        </w:rPr>
      </w:pPr>
    </w:p>
    <w:p>
      <w:pPr>
        <w:rPr>
          <w:rFonts w:hAnsi="宋体"/>
          <w:sz w:val="28"/>
          <w:szCs w:val="28"/>
        </w:rPr>
      </w:pPr>
    </w:p>
    <w:p>
      <w:pPr>
        <w:pStyle w:val="4"/>
        <w:numPr>
          <w:ilvl w:val="0"/>
          <w:numId w:val="19"/>
        </w:numPr>
        <w:jc w:val="center"/>
        <w:rPr>
          <w:bCs/>
          <w:sz w:val="28"/>
          <w:szCs w:val="28"/>
        </w:rPr>
      </w:pPr>
      <w:r>
        <w:rPr>
          <w:rFonts w:hint="eastAsia"/>
          <w:bCs/>
          <w:sz w:val="28"/>
          <w:szCs w:val="28"/>
        </w:rPr>
        <w:br w:type="page"/>
      </w:r>
      <w:bookmarkStart w:id="202" w:name="_Toc19634"/>
      <w:bookmarkStart w:id="203" w:name="_Toc28882"/>
      <w:bookmarkStart w:id="204" w:name="_Toc7897892"/>
      <w:r>
        <w:rPr>
          <w:rFonts w:hint="eastAsia"/>
          <w:bCs/>
          <w:sz w:val="28"/>
          <w:szCs w:val="28"/>
        </w:rPr>
        <w:t>授权委托书（加法人证明书）</w:t>
      </w:r>
      <w:bookmarkEnd w:id="202"/>
      <w:bookmarkEnd w:id="203"/>
      <w:bookmarkEnd w:id="204"/>
    </w:p>
    <w:p>
      <w:pPr>
        <w:pStyle w:val="13"/>
        <w:ind w:firstLine="400"/>
      </w:pPr>
    </w:p>
    <w:p>
      <w:pPr>
        <w:spacing w:line="420" w:lineRule="exact"/>
        <w:rPr>
          <w:rFonts w:hAnsi="宋体"/>
          <w:sz w:val="22"/>
          <w:szCs w:val="22"/>
        </w:rPr>
      </w:pPr>
    </w:p>
    <w:p>
      <w:pPr>
        <w:spacing w:line="420" w:lineRule="exact"/>
        <w:rPr>
          <w:rFonts w:hAnsi="宋体"/>
          <w:sz w:val="21"/>
          <w:szCs w:val="21"/>
        </w:rPr>
      </w:pPr>
      <w:r>
        <w:rPr>
          <w:rFonts w:hint="eastAsia" w:hAnsi="宋体"/>
          <w:sz w:val="21"/>
          <w:szCs w:val="21"/>
        </w:rPr>
        <w:t>致：广东泰通伟业工程咨询有限公司</w:t>
      </w:r>
    </w:p>
    <w:p>
      <w:pPr>
        <w:pStyle w:val="75"/>
        <w:spacing w:line="420" w:lineRule="exact"/>
        <w:ind w:firstLine="450" w:firstLineChars="0"/>
        <w:rPr>
          <w:rFonts w:ascii="宋体" w:eastAsia="宋体"/>
          <w:sz w:val="21"/>
          <w:szCs w:val="21"/>
        </w:rPr>
      </w:pPr>
      <w:r>
        <w:rPr>
          <w:rFonts w:hint="eastAsia" w:ascii="宋体" w:eastAsia="宋体"/>
          <w:sz w:val="21"/>
          <w:szCs w:val="21"/>
        </w:rPr>
        <w:t>本人</w:t>
      </w:r>
      <w:r>
        <w:rPr>
          <w:rFonts w:hint="eastAsia" w:ascii="宋体" w:eastAsia="宋体"/>
          <w:sz w:val="21"/>
          <w:szCs w:val="21"/>
          <w:u w:val="single"/>
        </w:rPr>
        <w:t>（姓名）</w:t>
      </w:r>
      <w:r>
        <w:rPr>
          <w:rFonts w:hint="eastAsia" w:ascii="宋体" w:eastAsia="宋体"/>
          <w:sz w:val="21"/>
          <w:szCs w:val="21"/>
        </w:rPr>
        <w:t>系</w:t>
      </w:r>
      <w:r>
        <w:rPr>
          <w:rFonts w:hint="eastAsia" w:ascii="宋体" w:eastAsia="宋体"/>
          <w:sz w:val="21"/>
          <w:szCs w:val="21"/>
          <w:u w:val="single"/>
        </w:rPr>
        <w:t>（供应商名称）</w:t>
      </w:r>
      <w:r>
        <w:rPr>
          <w:rFonts w:hint="eastAsia" w:ascii="宋体" w:eastAsia="宋体"/>
          <w:sz w:val="21"/>
          <w:szCs w:val="21"/>
        </w:rPr>
        <w:t>的法定代表人，现委托</w:t>
      </w:r>
      <w:r>
        <w:rPr>
          <w:rFonts w:hint="eastAsia" w:ascii="宋体" w:eastAsia="宋体"/>
          <w:sz w:val="21"/>
          <w:szCs w:val="21"/>
          <w:u w:val="single"/>
        </w:rPr>
        <w:t>（姓名）</w:t>
      </w:r>
      <w:r>
        <w:rPr>
          <w:rFonts w:hint="eastAsia" w:ascii="宋体" w:eastAsia="宋体"/>
          <w:sz w:val="21"/>
          <w:szCs w:val="21"/>
        </w:rPr>
        <w:t>为我方合法代理人。代理人根据授权，以我方名义签署、澄清、说明、补正、递交、撤回、修改</w:t>
      </w:r>
      <w:r>
        <w:rPr>
          <w:rFonts w:hint="eastAsia" w:ascii="宋体" w:eastAsia="宋体"/>
          <w:sz w:val="21"/>
          <w:szCs w:val="21"/>
          <w:u w:val="single"/>
        </w:rPr>
        <w:t>（项目名称）</w:t>
      </w:r>
      <w:r>
        <w:rPr>
          <w:rFonts w:hint="eastAsia" w:ascii="宋体" w:eastAsia="宋体"/>
          <w:sz w:val="21"/>
          <w:szCs w:val="21"/>
        </w:rPr>
        <w:t>[采购编号：</w:t>
      </w:r>
      <w:r>
        <w:rPr>
          <w:rFonts w:hint="eastAsia" w:ascii="宋体" w:eastAsia="宋体"/>
          <w:sz w:val="21"/>
          <w:szCs w:val="21"/>
          <w:u w:val="single"/>
        </w:rPr>
        <w:t>　　　　　　　</w:t>
      </w:r>
      <w:r>
        <w:rPr>
          <w:rFonts w:hint="eastAsia" w:ascii="宋体" w:eastAsia="宋体"/>
          <w:sz w:val="21"/>
          <w:szCs w:val="21"/>
        </w:rPr>
        <w:t>]磋商响应文件、签订合同和处理有关事宜，其法律后果由我方承担。</w:t>
      </w:r>
    </w:p>
    <w:p>
      <w:pPr>
        <w:pStyle w:val="75"/>
        <w:spacing w:line="420" w:lineRule="exact"/>
        <w:ind w:firstLine="428" w:firstLineChars="204"/>
        <w:rPr>
          <w:rFonts w:ascii="宋体" w:eastAsia="宋体"/>
          <w:sz w:val="21"/>
          <w:szCs w:val="21"/>
        </w:rPr>
      </w:pPr>
      <w:r>
        <w:rPr>
          <w:rFonts w:hint="eastAsia" w:ascii="宋体" w:eastAsia="宋体"/>
          <w:sz w:val="21"/>
          <w:szCs w:val="21"/>
        </w:rPr>
        <w:t>本委托书于</w:t>
      </w:r>
      <w:r>
        <w:rPr>
          <w:rFonts w:hint="eastAsia" w:ascii="宋体" w:eastAsia="宋体"/>
          <w:sz w:val="21"/>
          <w:szCs w:val="21"/>
          <w:u w:val="single"/>
        </w:rPr>
        <w:t>　</w:t>
      </w:r>
      <w:r>
        <w:rPr>
          <w:rFonts w:hint="eastAsia" w:ascii="宋体" w:eastAsia="宋体"/>
          <w:sz w:val="21"/>
          <w:szCs w:val="21"/>
        </w:rPr>
        <w:t>年</w:t>
      </w:r>
      <w:r>
        <w:rPr>
          <w:rFonts w:hint="eastAsia" w:ascii="宋体" w:eastAsia="宋体"/>
          <w:sz w:val="21"/>
          <w:szCs w:val="21"/>
          <w:u w:val="single"/>
        </w:rPr>
        <w:t>　</w:t>
      </w:r>
      <w:r>
        <w:rPr>
          <w:rFonts w:hint="eastAsia" w:ascii="宋体" w:eastAsia="宋体"/>
          <w:sz w:val="21"/>
          <w:szCs w:val="21"/>
        </w:rPr>
        <w:t>月</w:t>
      </w:r>
      <w:r>
        <w:rPr>
          <w:rFonts w:hint="eastAsia" w:ascii="宋体" w:eastAsia="宋体"/>
          <w:sz w:val="21"/>
          <w:szCs w:val="21"/>
          <w:u w:val="single"/>
        </w:rPr>
        <w:t>　</w:t>
      </w:r>
      <w:r>
        <w:rPr>
          <w:rFonts w:hint="eastAsia" w:ascii="宋体" w:eastAsia="宋体"/>
          <w:sz w:val="21"/>
          <w:szCs w:val="21"/>
        </w:rPr>
        <w:t>日签字生效，特此证明。</w:t>
      </w:r>
    </w:p>
    <w:p>
      <w:pPr>
        <w:pStyle w:val="75"/>
        <w:spacing w:line="420" w:lineRule="exact"/>
        <w:ind w:firstLine="450" w:firstLineChars="0"/>
        <w:rPr>
          <w:rFonts w:ascii="宋体" w:eastAsia="宋体"/>
          <w:sz w:val="21"/>
          <w:szCs w:val="21"/>
        </w:rPr>
      </w:pPr>
      <w:r>
        <w:rPr>
          <w:rFonts w:hint="eastAsia" w:ascii="宋体" w:eastAsia="宋体"/>
          <w:sz w:val="21"/>
          <w:szCs w:val="21"/>
        </w:rPr>
        <w:t>代理人无转委托权</w:t>
      </w:r>
    </w:p>
    <w:p>
      <w:pPr>
        <w:pStyle w:val="75"/>
        <w:spacing w:line="420" w:lineRule="exact"/>
        <w:ind w:firstLine="450" w:firstLineChars="0"/>
        <w:rPr>
          <w:rFonts w:ascii="宋体" w:eastAsia="宋体"/>
          <w:sz w:val="21"/>
          <w:szCs w:val="21"/>
        </w:rPr>
      </w:pPr>
    </w:p>
    <w:p>
      <w:pPr>
        <w:pStyle w:val="75"/>
        <w:spacing w:line="420" w:lineRule="exact"/>
        <w:ind w:firstLine="428" w:firstLineChars="204"/>
        <w:rPr>
          <w:rFonts w:ascii="宋体" w:eastAsia="宋体"/>
          <w:sz w:val="21"/>
          <w:szCs w:val="21"/>
        </w:rPr>
      </w:pPr>
    </w:p>
    <w:p>
      <w:pPr>
        <w:pStyle w:val="75"/>
        <w:spacing w:line="420" w:lineRule="exact"/>
        <w:ind w:firstLine="3517" w:firstLineChars="1675"/>
        <w:rPr>
          <w:rFonts w:ascii="宋体" w:eastAsia="宋体"/>
          <w:sz w:val="21"/>
          <w:szCs w:val="21"/>
        </w:rPr>
      </w:pPr>
      <w:r>
        <w:rPr>
          <w:rFonts w:hint="eastAsia" w:ascii="宋体" w:eastAsia="宋体"/>
          <w:sz w:val="21"/>
          <w:szCs w:val="21"/>
        </w:rPr>
        <w:t>供应商名称（加盖公章）</w:t>
      </w:r>
    </w:p>
    <w:p>
      <w:pPr>
        <w:pStyle w:val="75"/>
        <w:spacing w:line="420" w:lineRule="exact"/>
        <w:ind w:firstLine="3517" w:firstLineChars="1675"/>
        <w:rPr>
          <w:rFonts w:ascii="宋体" w:eastAsia="宋体"/>
          <w:sz w:val="21"/>
          <w:szCs w:val="21"/>
        </w:rPr>
      </w:pPr>
      <w:r>
        <w:rPr>
          <w:rFonts w:hint="eastAsia" w:ascii="宋体" w:eastAsia="宋体"/>
          <w:sz w:val="21"/>
          <w:szCs w:val="21"/>
        </w:rPr>
        <w:t>法定代表人（签名或盖私章）：</w:t>
      </w:r>
    </w:p>
    <w:p>
      <w:pPr>
        <w:pStyle w:val="75"/>
        <w:spacing w:line="420" w:lineRule="exact"/>
        <w:ind w:firstLine="3517" w:firstLineChars="1675"/>
        <w:rPr>
          <w:rFonts w:ascii="宋体" w:eastAsia="宋体"/>
          <w:sz w:val="21"/>
          <w:szCs w:val="21"/>
        </w:rPr>
      </w:pPr>
      <w:r>
        <w:rPr>
          <w:rFonts w:hint="eastAsia" w:ascii="宋体" w:eastAsia="宋体"/>
          <w:sz w:val="21"/>
          <w:szCs w:val="21"/>
        </w:rPr>
        <w:t>身份证号码：</w:t>
      </w:r>
    </w:p>
    <w:p>
      <w:pPr>
        <w:pStyle w:val="75"/>
        <w:spacing w:line="420" w:lineRule="exact"/>
        <w:ind w:firstLine="3517" w:firstLineChars="1675"/>
        <w:rPr>
          <w:rFonts w:ascii="宋体" w:eastAsia="宋体"/>
          <w:sz w:val="21"/>
          <w:szCs w:val="21"/>
        </w:rPr>
      </w:pPr>
    </w:p>
    <w:p>
      <w:pPr>
        <w:pStyle w:val="75"/>
        <w:spacing w:line="420" w:lineRule="exact"/>
        <w:ind w:firstLine="3517" w:firstLineChars="1675"/>
        <w:rPr>
          <w:rFonts w:ascii="宋体" w:eastAsia="宋体"/>
          <w:sz w:val="21"/>
          <w:szCs w:val="21"/>
        </w:rPr>
      </w:pPr>
      <w:r>
        <w:rPr>
          <w:rFonts w:hint="eastAsia" w:ascii="宋体" w:eastAsia="宋体"/>
          <w:sz w:val="21"/>
          <w:szCs w:val="21"/>
        </w:rPr>
        <w:t>受托代理人（签名或盖私章）：</w:t>
      </w:r>
    </w:p>
    <w:p>
      <w:pPr>
        <w:pStyle w:val="75"/>
        <w:spacing w:line="420" w:lineRule="exact"/>
        <w:ind w:firstLine="3517" w:firstLineChars="1675"/>
        <w:rPr>
          <w:rFonts w:ascii="宋体" w:eastAsia="宋体"/>
          <w:sz w:val="21"/>
          <w:szCs w:val="21"/>
          <w:u w:val="single"/>
        </w:rPr>
      </w:pPr>
      <w:r>
        <w:rPr>
          <w:rFonts w:hint="eastAsia" w:ascii="宋体" w:eastAsia="宋体"/>
          <w:sz w:val="21"/>
          <w:szCs w:val="21"/>
        </w:rPr>
        <w:t>身份证号码：</w:t>
      </w:r>
    </w:p>
    <w:p>
      <w:pPr>
        <w:pStyle w:val="75"/>
        <w:spacing w:line="460" w:lineRule="exact"/>
        <w:ind w:firstLine="3507" w:firstLineChars="1670"/>
        <w:rPr>
          <w:rFonts w:ascii="宋体" w:eastAsia="宋体"/>
          <w:sz w:val="21"/>
          <w:szCs w:val="21"/>
        </w:rPr>
      </w:pPr>
      <w:r>
        <w:rPr>
          <w:rFonts w:hint="eastAsia" w:ascii="宋体" w:eastAsia="宋体"/>
          <w:sz w:val="21"/>
          <w:szCs w:val="21"/>
        </w:rPr>
        <w:t>日期：年月日</w:t>
      </w:r>
    </w:p>
    <w:p>
      <w:pPr>
        <w:spacing w:line="420" w:lineRule="atLeast"/>
        <w:ind w:firstLine="422" w:firstLineChars="200"/>
        <w:rPr>
          <w:rFonts w:hAnsi="宋体"/>
          <w:b/>
          <w:sz w:val="21"/>
          <w:szCs w:val="21"/>
        </w:rPr>
      </w:pPr>
    </w:p>
    <w:p>
      <w:pPr>
        <w:spacing w:line="420" w:lineRule="atLeast"/>
        <w:ind w:firstLine="422" w:firstLineChars="200"/>
        <w:rPr>
          <w:rFonts w:hAnsi="宋体"/>
          <w:b/>
          <w:sz w:val="21"/>
          <w:szCs w:val="21"/>
        </w:rPr>
      </w:pPr>
    </w:p>
    <w:p>
      <w:pPr>
        <w:spacing w:line="420" w:lineRule="atLeast"/>
        <w:ind w:firstLine="422" w:firstLineChars="200"/>
        <w:rPr>
          <w:rFonts w:hAnsi="宋体"/>
          <w:b/>
          <w:sz w:val="21"/>
          <w:szCs w:val="21"/>
        </w:rPr>
      </w:pPr>
      <w:r>
        <w:rPr>
          <w:rFonts w:hint="eastAsia" w:hAnsi="宋体"/>
          <w:b/>
          <w:sz w:val="21"/>
          <w:szCs w:val="21"/>
        </w:rPr>
        <w:t>须附：授权代理人身份证复印件（加盖公章）</w:t>
      </w:r>
    </w:p>
    <w:p>
      <w:pPr>
        <w:spacing w:line="420" w:lineRule="atLeast"/>
        <w:ind w:firstLine="420" w:firstLineChars="200"/>
        <w:rPr>
          <w:sz w:val="21"/>
          <w:szCs w:val="21"/>
        </w:rPr>
      </w:pPr>
    </w:p>
    <w:tbl>
      <w:tblPr>
        <w:tblStyle w:val="52"/>
        <w:tblW w:w="8464" w:type="dxa"/>
        <w:jc w:val="center"/>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Layout w:type="fixed"/>
        <w:tblCellMar>
          <w:top w:w="0" w:type="dxa"/>
          <w:left w:w="108" w:type="dxa"/>
          <w:bottom w:w="0" w:type="dxa"/>
          <w:right w:w="108" w:type="dxa"/>
        </w:tblCellMar>
      </w:tblPr>
      <w:tblGrid>
        <w:gridCol w:w="4232"/>
        <w:gridCol w:w="4232"/>
      </w:tblGrid>
      <w:tr>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2661" w:hRule="atLeast"/>
          <w:jc w:val="center"/>
        </w:trPr>
        <w:tc>
          <w:tcPr>
            <w:tcW w:w="4232" w:type="dxa"/>
            <w:vAlign w:val="center"/>
          </w:tcPr>
          <w:p>
            <w:pPr>
              <w:pStyle w:val="75"/>
              <w:spacing w:line="460" w:lineRule="exact"/>
              <w:ind w:firstLine="0" w:firstLineChars="0"/>
              <w:jc w:val="center"/>
              <w:rPr>
                <w:rFonts w:ascii="宋体" w:eastAsia="宋体"/>
                <w:sz w:val="21"/>
                <w:szCs w:val="21"/>
              </w:rPr>
            </w:pPr>
            <w:r>
              <w:rPr>
                <w:rFonts w:hint="eastAsia" w:ascii="宋体" w:eastAsia="宋体"/>
                <w:sz w:val="21"/>
                <w:szCs w:val="21"/>
              </w:rPr>
              <w:t>正面</w:t>
            </w:r>
          </w:p>
        </w:tc>
        <w:tc>
          <w:tcPr>
            <w:tcW w:w="4232" w:type="dxa"/>
            <w:vAlign w:val="center"/>
          </w:tcPr>
          <w:p>
            <w:pPr>
              <w:pStyle w:val="75"/>
              <w:spacing w:line="460" w:lineRule="exact"/>
              <w:ind w:firstLine="0" w:firstLineChars="0"/>
              <w:jc w:val="center"/>
              <w:rPr>
                <w:rFonts w:ascii="宋体" w:eastAsia="宋体"/>
                <w:sz w:val="21"/>
                <w:szCs w:val="21"/>
              </w:rPr>
            </w:pPr>
            <w:r>
              <w:rPr>
                <w:rFonts w:hint="eastAsia" w:ascii="宋体" w:eastAsia="宋体"/>
                <w:sz w:val="21"/>
                <w:szCs w:val="21"/>
              </w:rPr>
              <w:t>背面</w:t>
            </w:r>
          </w:p>
        </w:tc>
      </w:tr>
    </w:tbl>
    <w:p>
      <w:pPr>
        <w:pStyle w:val="13"/>
        <w:ind w:firstLine="482"/>
        <w:rPr>
          <w:b/>
          <w:sz w:val="24"/>
          <w:szCs w:val="24"/>
        </w:rPr>
      </w:pPr>
    </w:p>
    <w:p>
      <w:pPr>
        <w:tabs>
          <w:tab w:val="left" w:pos="7740"/>
        </w:tabs>
        <w:spacing w:line="360" w:lineRule="auto"/>
        <w:rPr>
          <w:rFonts w:hAnsi="宋体"/>
          <w:sz w:val="21"/>
          <w:szCs w:val="21"/>
        </w:rPr>
      </w:pPr>
      <w:bookmarkStart w:id="205" w:name="_Toc7897893"/>
      <w:bookmarkStart w:id="206" w:name="_Toc4592"/>
    </w:p>
    <w:p>
      <w:pPr>
        <w:pStyle w:val="13"/>
        <w:ind w:firstLine="0" w:firstLineChars="0"/>
      </w:pPr>
    </w:p>
    <w:p>
      <w:pPr>
        <w:pStyle w:val="13"/>
        <w:ind w:firstLine="0" w:firstLineChars="0"/>
      </w:pPr>
    </w:p>
    <w:p>
      <w:pPr>
        <w:pStyle w:val="13"/>
        <w:ind w:firstLine="0" w:firstLineChars="0"/>
      </w:pPr>
    </w:p>
    <w:p>
      <w:pPr>
        <w:pStyle w:val="4"/>
        <w:numPr>
          <w:ilvl w:val="0"/>
          <w:numId w:val="19"/>
        </w:numPr>
        <w:jc w:val="center"/>
        <w:rPr>
          <w:sz w:val="28"/>
          <w:szCs w:val="28"/>
        </w:rPr>
      </w:pPr>
      <w:bookmarkStart w:id="207" w:name="_Toc17363"/>
      <w:r>
        <w:rPr>
          <w:rFonts w:hint="eastAsia"/>
          <w:sz w:val="28"/>
          <w:szCs w:val="28"/>
        </w:rPr>
        <w:t>供应商基本情况说明</w:t>
      </w:r>
      <w:bookmarkEnd w:id="205"/>
      <w:bookmarkEnd w:id="206"/>
      <w:bookmarkEnd w:id="207"/>
    </w:p>
    <w:p>
      <w:pPr>
        <w:spacing w:line="360" w:lineRule="auto"/>
        <w:rPr>
          <w:rFonts w:hAnsi="宋体"/>
          <w:sz w:val="22"/>
          <w:szCs w:val="22"/>
        </w:rPr>
      </w:pPr>
    </w:p>
    <w:p>
      <w:pPr>
        <w:spacing w:line="360" w:lineRule="auto"/>
        <w:rPr>
          <w:rFonts w:hAnsi="宋体"/>
          <w:sz w:val="21"/>
          <w:szCs w:val="21"/>
        </w:rPr>
      </w:pPr>
      <w:r>
        <w:rPr>
          <w:rFonts w:hint="eastAsia" w:hAnsi="宋体"/>
          <w:sz w:val="21"/>
          <w:szCs w:val="21"/>
        </w:rPr>
        <w:t>一、</w:t>
      </w:r>
      <w:r>
        <w:rPr>
          <w:rFonts w:hAnsi="宋体"/>
          <w:sz w:val="21"/>
          <w:szCs w:val="21"/>
        </w:rPr>
        <w:t>公司基本情况</w:t>
      </w:r>
    </w:p>
    <w:p>
      <w:pPr>
        <w:tabs>
          <w:tab w:val="left" w:pos="4678"/>
        </w:tabs>
        <w:spacing w:line="360" w:lineRule="auto"/>
        <w:rPr>
          <w:rFonts w:hAnsi="宋体"/>
          <w:sz w:val="21"/>
          <w:szCs w:val="21"/>
        </w:rPr>
      </w:pPr>
      <w:r>
        <w:rPr>
          <w:rFonts w:hAnsi="宋体"/>
          <w:sz w:val="21"/>
          <w:szCs w:val="21"/>
        </w:rPr>
        <w:t>1、公司名称：电话号码：</w:t>
      </w:r>
    </w:p>
    <w:p>
      <w:pPr>
        <w:spacing w:line="360" w:lineRule="auto"/>
        <w:rPr>
          <w:rFonts w:hAnsi="宋体"/>
          <w:sz w:val="21"/>
          <w:szCs w:val="21"/>
        </w:rPr>
      </w:pPr>
      <w:r>
        <w:rPr>
          <w:rFonts w:hAnsi="宋体"/>
          <w:sz w:val="21"/>
          <w:szCs w:val="21"/>
        </w:rPr>
        <w:t>2、地址：传真：</w:t>
      </w:r>
    </w:p>
    <w:p>
      <w:pPr>
        <w:spacing w:line="360" w:lineRule="auto"/>
        <w:rPr>
          <w:rFonts w:hAnsi="宋体"/>
          <w:sz w:val="21"/>
          <w:szCs w:val="21"/>
          <w:u w:val="single"/>
        </w:rPr>
      </w:pPr>
      <w:r>
        <w:rPr>
          <w:rFonts w:hAnsi="宋体"/>
          <w:sz w:val="21"/>
          <w:szCs w:val="21"/>
        </w:rPr>
        <w:t>3、注册资金：经济性质：</w:t>
      </w:r>
    </w:p>
    <w:p>
      <w:pPr>
        <w:spacing w:line="360" w:lineRule="auto"/>
        <w:rPr>
          <w:rFonts w:hAnsi="宋体"/>
          <w:sz w:val="21"/>
          <w:szCs w:val="21"/>
        </w:rPr>
      </w:pPr>
      <w:r>
        <w:rPr>
          <w:rFonts w:hAnsi="宋体"/>
          <w:sz w:val="21"/>
          <w:szCs w:val="21"/>
        </w:rPr>
        <w:t>4、公司开户银行名称及账号：</w:t>
      </w:r>
    </w:p>
    <w:p>
      <w:pPr>
        <w:spacing w:line="360" w:lineRule="auto"/>
        <w:rPr>
          <w:rFonts w:hAnsi="宋体"/>
          <w:sz w:val="21"/>
          <w:szCs w:val="21"/>
        </w:rPr>
      </w:pPr>
      <w:r>
        <w:rPr>
          <w:rFonts w:hAnsi="宋体"/>
          <w:sz w:val="21"/>
          <w:szCs w:val="21"/>
        </w:rPr>
        <w:t>5、营业注册执照号：</w:t>
      </w:r>
    </w:p>
    <w:p>
      <w:pPr>
        <w:spacing w:line="360" w:lineRule="auto"/>
        <w:rPr>
          <w:rFonts w:hAnsi="宋体"/>
          <w:sz w:val="21"/>
          <w:szCs w:val="21"/>
        </w:rPr>
      </w:pPr>
      <w:r>
        <w:rPr>
          <w:rFonts w:hAnsi="宋体"/>
          <w:sz w:val="21"/>
          <w:szCs w:val="21"/>
        </w:rPr>
        <w:t>6、公司简介:</w:t>
      </w:r>
    </w:p>
    <w:p>
      <w:pPr>
        <w:spacing w:line="360" w:lineRule="auto"/>
        <w:rPr>
          <w:rFonts w:hAnsi="宋体"/>
          <w:sz w:val="21"/>
          <w:szCs w:val="21"/>
        </w:rPr>
      </w:pPr>
      <w:r>
        <w:rPr>
          <w:rFonts w:hAnsi="宋体"/>
          <w:sz w:val="21"/>
          <w:szCs w:val="21"/>
        </w:rPr>
        <w:t>7、公司财务情况：</w:t>
      </w:r>
    </w:p>
    <w:p>
      <w:pPr>
        <w:spacing w:line="360" w:lineRule="auto"/>
        <w:jc w:val="right"/>
        <w:rPr>
          <w:rFonts w:hAnsi="宋体"/>
          <w:sz w:val="21"/>
          <w:szCs w:val="21"/>
        </w:rPr>
      </w:pPr>
      <w:r>
        <w:rPr>
          <w:rFonts w:hint="eastAsia" w:hAnsi="宋体"/>
          <w:sz w:val="21"/>
          <w:szCs w:val="21"/>
        </w:rPr>
        <w:t>【价格单位：（人民币）元】</w:t>
      </w:r>
    </w:p>
    <w:tbl>
      <w:tblPr>
        <w:tblStyle w:val="52"/>
        <w:tblW w:w="8937"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629"/>
        <w:gridCol w:w="1809"/>
        <w:gridCol w:w="1809"/>
        <w:gridCol w:w="1839"/>
        <w:gridCol w:w="1851"/>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3" w:hRule="atLeast"/>
          <w:jc w:val="center"/>
        </w:trPr>
        <w:tc>
          <w:tcPr>
            <w:tcW w:w="1629" w:type="dxa"/>
            <w:vAlign w:val="center"/>
          </w:tcPr>
          <w:p>
            <w:pPr>
              <w:jc w:val="center"/>
              <w:rPr>
                <w:rFonts w:hAnsi="宋体"/>
                <w:sz w:val="21"/>
                <w:szCs w:val="21"/>
              </w:rPr>
            </w:pPr>
            <w:r>
              <w:rPr>
                <w:rFonts w:hint="eastAsia" w:hAnsi="宋体"/>
                <w:sz w:val="21"/>
                <w:szCs w:val="21"/>
              </w:rPr>
              <w:t>年度</w:t>
            </w:r>
          </w:p>
        </w:tc>
        <w:tc>
          <w:tcPr>
            <w:tcW w:w="1809" w:type="dxa"/>
            <w:vAlign w:val="center"/>
          </w:tcPr>
          <w:p>
            <w:pPr>
              <w:jc w:val="center"/>
              <w:rPr>
                <w:rFonts w:hAnsi="宋体"/>
                <w:sz w:val="21"/>
                <w:szCs w:val="21"/>
              </w:rPr>
            </w:pPr>
            <w:r>
              <w:rPr>
                <w:rFonts w:hint="eastAsia" w:hAnsi="宋体"/>
                <w:sz w:val="21"/>
                <w:szCs w:val="21"/>
              </w:rPr>
              <w:t>总资产（元）</w:t>
            </w:r>
          </w:p>
        </w:tc>
        <w:tc>
          <w:tcPr>
            <w:tcW w:w="1809" w:type="dxa"/>
            <w:vAlign w:val="center"/>
          </w:tcPr>
          <w:p>
            <w:pPr>
              <w:jc w:val="center"/>
              <w:rPr>
                <w:rFonts w:hAnsi="宋体"/>
                <w:sz w:val="21"/>
                <w:szCs w:val="21"/>
              </w:rPr>
            </w:pPr>
            <w:r>
              <w:rPr>
                <w:rFonts w:hint="eastAsia" w:hAnsi="宋体"/>
                <w:sz w:val="21"/>
                <w:szCs w:val="21"/>
              </w:rPr>
              <w:t>资产负债率（%）</w:t>
            </w:r>
          </w:p>
        </w:tc>
        <w:tc>
          <w:tcPr>
            <w:tcW w:w="1839" w:type="dxa"/>
            <w:vAlign w:val="center"/>
          </w:tcPr>
          <w:p>
            <w:pPr>
              <w:jc w:val="center"/>
              <w:rPr>
                <w:rFonts w:hAnsi="宋体"/>
                <w:sz w:val="21"/>
                <w:szCs w:val="21"/>
              </w:rPr>
            </w:pPr>
            <w:r>
              <w:rPr>
                <w:rFonts w:hint="eastAsia" w:hAnsi="宋体"/>
                <w:sz w:val="21"/>
                <w:szCs w:val="21"/>
              </w:rPr>
              <w:t>年营业额（元）</w:t>
            </w:r>
          </w:p>
        </w:tc>
        <w:tc>
          <w:tcPr>
            <w:tcW w:w="1851" w:type="dxa"/>
            <w:vAlign w:val="center"/>
          </w:tcPr>
          <w:p>
            <w:pPr>
              <w:jc w:val="center"/>
              <w:rPr>
                <w:rFonts w:hAnsi="宋体"/>
                <w:sz w:val="21"/>
                <w:szCs w:val="21"/>
              </w:rPr>
            </w:pPr>
            <w:r>
              <w:rPr>
                <w:rFonts w:hint="eastAsia" w:hAnsi="宋体"/>
                <w:sz w:val="21"/>
                <w:szCs w:val="21"/>
              </w:rPr>
              <w:t>年净利润（元）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56" w:hRule="atLeast"/>
          <w:jc w:val="center"/>
        </w:trPr>
        <w:tc>
          <w:tcPr>
            <w:tcW w:w="1629" w:type="dxa"/>
            <w:vAlign w:val="center"/>
          </w:tcPr>
          <w:p>
            <w:pPr>
              <w:spacing w:line="360" w:lineRule="auto"/>
              <w:jc w:val="center"/>
              <w:rPr>
                <w:rFonts w:hAnsi="宋体"/>
                <w:sz w:val="21"/>
                <w:szCs w:val="21"/>
              </w:rPr>
            </w:pPr>
          </w:p>
        </w:tc>
        <w:tc>
          <w:tcPr>
            <w:tcW w:w="1809" w:type="dxa"/>
            <w:vAlign w:val="center"/>
          </w:tcPr>
          <w:p>
            <w:pPr>
              <w:spacing w:line="360" w:lineRule="auto"/>
              <w:jc w:val="center"/>
              <w:rPr>
                <w:rFonts w:hAnsi="宋体"/>
                <w:sz w:val="21"/>
                <w:szCs w:val="21"/>
              </w:rPr>
            </w:pPr>
          </w:p>
        </w:tc>
        <w:tc>
          <w:tcPr>
            <w:tcW w:w="1809" w:type="dxa"/>
            <w:vAlign w:val="center"/>
          </w:tcPr>
          <w:p>
            <w:pPr>
              <w:spacing w:line="360" w:lineRule="auto"/>
              <w:jc w:val="center"/>
              <w:rPr>
                <w:rFonts w:hAnsi="宋体"/>
                <w:sz w:val="21"/>
                <w:szCs w:val="21"/>
              </w:rPr>
            </w:pPr>
          </w:p>
        </w:tc>
        <w:tc>
          <w:tcPr>
            <w:tcW w:w="1839" w:type="dxa"/>
            <w:vAlign w:val="center"/>
          </w:tcPr>
          <w:p>
            <w:pPr>
              <w:spacing w:line="360" w:lineRule="auto"/>
              <w:jc w:val="center"/>
              <w:rPr>
                <w:rFonts w:hAnsi="宋体"/>
                <w:sz w:val="21"/>
                <w:szCs w:val="21"/>
              </w:rPr>
            </w:pPr>
          </w:p>
        </w:tc>
        <w:tc>
          <w:tcPr>
            <w:tcW w:w="1851" w:type="dxa"/>
            <w:vAlign w:val="center"/>
          </w:tcPr>
          <w:p>
            <w:pPr>
              <w:spacing w:line="360" w:lineRule="auto"/>
              <w:jc w:val="center"/>
              <w:rPr>
                <w:rFonts w:hAnsi="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56" w:hRule="atLeast"/>
          <w:jc w:val="center"/>
        </w:trPr>
        <w:tc>
          <w:tcPr>
            <w:tcW w:w="1629" w:type="dxa"/>
            <w:vAlign w:val="center"/>
          </w:tcPr>
          <w:p>
            <w:pPr>
              <w:spacing w:line="360" w:lineRule="auto"/>
              <w:jc w:val="center"/>
              <w:rPr>
                <w:rFonts w:hAnsi="宋体"/>
                <w:sz w:val="21"/>
                <w:szCs w:val="21"/>
              </w:rPr>
            </w:pPr>
          </w:p>
        </w:tc>
        <w:tc>
          <w:tcPr>
            <w:tcW w:w="1809" w:type="dxa"/>
            <w:vAlign w:val="center"/>
          </w:tcPr>
          <w:p>
            <w:pPr>
              <w:spacing w:line="360" w:lineRule="auto"/>
              <w:jc w:val="center"/>
              <w:rPr>
                <w:rFonts w:hAnsi="宋体"/>
                <w:sz w:val="21"/>
                <w:szCs w:val="21"/>
              </w:rPr>
            </w:pPr>
          </w:p>
        </w:tc>
        <w:tc>
          <w:tcPr>
            <w:tcW w:w="1809" w:type="dxa"/>
            <w:vAlign w:val="center"/>
          </w:tcPr>
          <w:p>
            <w:pPr>
              <w:spacing w:line="360" w:lineRule="auto"/>
              <w:jc w:val="center"/>
              <w:rPr>
                <w:rFonts w:hAnsi="宋体"/>
                <w:sz w:val="21"/>
                <w:szCs w:val="21"/>
              </w:rPr>
            </w:pPr>
          </w:p>
        </w:tc>
        <w:tc>
          <w:tcPr>
            <w:tcW w:w="1839" w:type="dxa"/>
            <w:vAlign w:val="center"/>
          </w:tcPr>
          <w:p>
            <w:pPr>
              <w:spacing w:line="360" w:lineRule="auto"/>
              <w:jc w:val="center"/>
              <w:rPr>
                <w:rFonts w:hAnsi="宋体"/>
                <w:sz w:val="21"/>
                <w:szCs w:val="21"/>
              </w:rPr>
            </w:pPr>
          </w:p>
        </w:tc>
        <w:tc>
          <w:tcPr>
            <w:tcW w:w="1851" w:type="dxa"/>
            <w:vAlign w:val="center"/>
          </w:tcPr>
          <w:p>
            <w:pPr>
              <w:spacing w:line="360" w:lineRule="auto"/>
              <w:jc w:val="center"/>
              <w:rPr>
                <w:rFonts w:hAnsi="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57" w:hRule="atLeast"/>
          <w:jc w:val="center"/>
        </w:trPr>
        <w:tc>
          <w:tcPr>
            <w:tcW w:w="1629" w:type="dxa"/>
            <w:vAlign w:val="center"/>
          </w:tcPr>
          <w:p>
            <w:pPr>
              <w:spacing w:line="360" w:lineRule="auto"/>
              <w:jc w:val="center"/>
              <w:rPr>
                <w:rFonts w:hAnsi="宋体"/>
                <w:sz w:val="21"/>
                <w:szCs w:val="21"/>
              </w:rPr>
            </w:pPr>
          </w:p>
        </w:tc>
        <w:tc>
          <w:tcPr>
            <w:tcW w:w="1809" w:type="dxa"/>
            <w:vAlign w:val="center"/>
          </w:tcPr>
          <w:p>
            <w:pPr>
              <w:spacing w:line="360" w:lineRule="auto"/>
              <w:jc w:val="center"/>
              <w:rPr>
                <w:rFonts w:hAnsi="宋体"/>
                <w:sz w:val="21"/>
                <w:szCs w:val="21"/>
              </w:rPr>
            </w:pPr>
          </w:p>
        </w:tc>
        <w:tc>
          <w:tcPr>
            <w:tcW w:w="1809" w:type="dxa"/>
            <w:vAlign w:val="center"/>
          </w:tcPr>
          <w:p>
            <w:pPr>
              <w:spacing w:line="360" w:lineRule="auto"/>
              <w:jc w:val="center"/>
              <w:rPr>
                <w:rFonts w:hAnsi="宋体"/>
                <w:sz w:val="21"/>
                <w:szCs w:val="21"/>
              </w:rPr>
            </w:pPr>
          </w:p>
        </w:tc>
        <w:tc>
          <w:tcPr>
            <w:tcW w:w="1839" w:type="dxa"/>
            <w:vAlign w:val="center"/>
          </w:tcPr>
          <w:p>
            <w:pPr>
              <w:spacing w:line="360" w:lineRule="auto"/>
              <w:jc w:val="center"/>
              <w:rPr>
                <w:rFonts w:hAnsi="宋体"/>
                <w:sz w:val="21"/>
                <w:szCs w:val="21"/>
              </w:rPr>
            </w:pPr>
          </w:p>
        </w:tc>
        <w:tc>
          <w:tcPr>
            <w:tcW w:w="1851" w:type="dxa"/>
            <w:vAlign w:val="center"/>
          </w:tcPr>
          <w:p>
            <w:pPr>
              <w:spacing w:line="360" w:lineRule="auto"/>
              <w:jc w:val="center"/>
              <w:rPr>
                <w:rFonts w:hAnsi="宋体"/>
                <w:sz w:val="21"/>
                <w:szCs w:val="21"/>
              </w:rPr>
            </w:pPr>
          </w:p>
        </w:tc>
      </w:tr>
    </w:tbl>
    <w:p>
      <w:pPr>
        <w:spacing w:line="360" w:lineRule="auto"/>
        <w:rPr>
          <w:rFonts w:hAnsi="宋体"/>
          <w:b/>
          <w:sz w:val="21"/>
          <w:szCs w:val="21"/>
        </w:rPr>
      </w:pPr>
    </w:p>
    <w:p>
      <w:pPr>
        <w:tabs>
          <w:tab w:val="left" w:pos="420"/>
          <w:tab w:val="left" w:pos="1485"/>
        </w:tabs>
        <w:spacing w:line="360" w:lineRule="auto"/>
        <w:rPr>
          <w:rFonts w:hAnsi="宋体"/>
          <w:sz w:val="21"/>
          <w:szCs w:val="21"/>
        </w:rPr>
      </w:pPr>
      <w:r>
        <w:rPr>
          <w:rFonts w:hint="eastAsia" w:hAnsi="宋体"/>
          <w:sz w:val="21"/>
          <w:szCs w:val="21"/>
        </w:rPr>
        <w:t>二、</w:t>
      </w:r>
      <w:r>
        <w:rPr>
          <w:rFonts w:hAnsi="宋体"/>
          <w:sz w:val="21"/>
          <w:szCs w:val="21"/>
        </w:rPr>
        <w:t>供应商获得国家有关部门颁发的资质证明</w:t>
      </w:r>
      <w:r>
        <w:rPr>
          <w:rFonts w:hint="eastAsia" w:hAnsi="宋体"/>
          <w:sz w:val="21"/>
          <w:szCs w:val="21"/>
        </w:rPr>
        <w:t>或荣誉</w:t>
      </w:r>
      <w:r>
        <w:rPr>
          <w:rFonts w:hAnsi="宋体"/>
          <w:sz w:val="21"/>
          <w:szCs w:val="21"/>
        </w:rPr>
        <w:t>：</w:t>
      </w:r>
      <w:r>
        <w:rPr>
          <w:rFonts w:hint="eastAsia" w:hAnsi="宋体"/>
          <w:sz w:val="21"/>
          <w:szCs w:val="21"/>
        </w:rPr>
        <w:t>（如有）</w:t>
      </w:r>
    </w:p>
    <w:tbl>
      <w:tblPr>
        <w:tblStyle w:val="52"/>
        <w:tblW w:w="8892"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620"/>
        <w:gridCol w:w="1800"/>
        <w:gridCol w:w="1800"/>
        <w:gridCol w:w="1830"/>
        <w:gridCol w:w="1842"/>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1" w:hRule="atLeast"/>
          <w:jc w:val="center"/>
        </w:trPr>
        <w:tc>
          <w:tcPr>
            <w:tcW w:w="1620" w:type="dxa"/>
            <w:vAlign w:val="center"/>
          </w:tcPr>
          <w:p>
            <w:pPr>
              <w:jc w:val="center"/>
              <w:rPr>
                <w:rFonts w:hAnsi="宋体"/>
                <w:sz w:val="21"/>
                <w:szCs w:val="21"/>
              </w:rPr>
            </w:pPr>
            <w:r>
              <w:rPr>
                <w:rFonts w:hAnsi="宋体"/>
                <w:sz w:val="21"/>
                <w:szCs w:val="21"/>
              </w:rPr>
              <w:t>证书名称</w:t>
            </w:r>
          </w:p>
        </w:tc>
        <w:tc>
          <w:tcPr>
            <w:tcW w:w="1800" w:type="dxa"/>
            <w:vAlign w:val="center"/>
          </w:tcPr>
          <w:p>
            <w:pPr>
              <w:jc w:val="center"/>
              <w:rPr>
                <w:rFonts w:hAnsi="宋体"/>
                <w:sz w:val="21"/>
                <w:szCs w:val="21"/>
              </w:rPr>
            </w:pPr>
            <w:r>
              <w:rPr>
                <w:rFonts w:hAnsi="宋体"/>
                <w:sz w:val="21"/>
                <w:szCs w:val="21"/>
              </w:rPr>
              <w:t>发证单位</w:t>
            </w:r>
          </w:p>
        </w:tc>
        <w:tc>
          <w:tcPr>
            <w:tcW w:w="1800" w:type="dxa"/>
            <w:vAlign w:val="center"/>
          </w:tcPr>
          <w:p>
            <w:pPr>
              <w:jc w:val="center"/>
              <w:rPr>
                <w:rFonts w:hAnsi="宋体"/>
                <w:sz w:val="21"/>
                <w:szCs w:val="21"/>
              </w:rPr>
            </w:pPr>
            <w:r>
              <w:rPr>
                <w:rFonts w:hAnsi="宋体"/>
                <w:sz w:val="21"/>
                <w:szCs w:val="21"/>
              </w:rPr>
              <w:t>证书等级</w:t>
            </w:r>
          </w:p>
        </w:tc>
        <w:tc>
          <w:tcPr>
            <w:tcW w:w="1830" w:type="dxa"/>
            <w:vAlign w:val="center"/>
          </w:tcPr>
          <w:p>
            <w:pPr>
              <w:jc w:val="center"/>
              <w:rPr>
                <w:rFonts w:hAnsi="宋体"/>
                <w:sz w:val="21"/>
                <w:szCs w:val="21"/>
              </w:rPr>
            </w:pPr>
            <w:r>
              <w:rPr>
                <w:rFonts w:hAnsi="宋体"/>
                <w:sz w:val="21"/>
                <w:szCs w:val="21"/>
              </w:rPr>
              <w:t>证书有效期</w:t>
            </w:r>
          </w:p>
        </w:tc>
        <w:tc>
          <w:tcPr>
            <w:tcW w:w="1842" w:type="dxa"/>
            <w:vAlign w:val="center"/>
          </w:tcPr>
          <w:p>
            <w:pPr>
              <w:jc w:val="center"/>
              <w:rPr>
                <w:rFonts w:hAnsi="宋体"/>
                <w:sz w:val="21"/>
                <w:szCs w:val="21"/>
              </w:rPr>
            </w:pPr>
            <w:r>
              <w:rPr>
                <w:rFonts w:hint="eastAsia" w:hAnsi="宋体"/>
                <w:sz w:val="21"/>
                <w:szCs w:val="21"/>
              </w:rPr>
              <w:t>备注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7" w:hRule="atLeast"/>
          <w:jc w:val="center"/>
        </w:trPr>
        <w:tc>
          <w:tcPr>
            <w:tcW w:w="1620" w:type="dxa"/>
            <w:vAlign w:val="center"/>
          </w:tcPr>
          <w:p>
            <w:pPr>
              <w:spacing w:line="360" w:lineRule="auto"/>
              <w:jc w:val="center"/>
              <w:rPr>
                <w:rFonts w:hAnsi="宋体"/>
                <w:sz w:val="21"/>
                <w:szCs w:val="21"/>
              </w:rPr>
            </w:pPr>
          </w:p>
        </w:tc>
        <w:tc>
          <w:tcPr>
            <w:tcW w:w="1800" w:type="dxa"/>
            <w:vAlign w:val="center"/>
          </w:tcPr>
          <w:p>
            <w:pPr>
              <w:spacing w:line="360" w:lineRule="auto"/>
              <w:jc w:val="center"/>
              <w:rPr>
                <w:rFonts w:hAnsi="宋体"/>
                <w:sz w:val="21"/>
                <w:szCs w:val="21"/>
              </w:rPr>
            </w:pPr>
          </w:p>
        </w:tc>
        <w:tc>
          <w:tcPr>
            <w:tcW w:w="1800" w:type="dxa"/>
            <w:vAlign w:val="center"/>
          </w:tcPr>
          <w:p>
            <w:pPr>
              <w:spacing w:line="360" w:lineRule="auto"/>
              <w:jc w:val="center"/>
              <w:rPr>
                <w:rFonts w:hAnsi="宋体"/>
                <w:sz w:val="21"/>
                <w:szCs w:val="21"/>
              </w:rPr>
            </w:pPr>
          </w:p>
        </w:tc>
        <w:tc>
          <w:tcPr>
            <w:tcW w:w="1830" w:type="dxa"/>
            <w:vAlign w:val="center"/>
          </w:tcPr>
          <w:p>
            <w:pPr>
              <w:spacing w:line="360" w:lineRule="auto"/>
              <w:jc w:val="center"/>
              <w:rPr>
                <w:rFonts w:hAnsi="宋体"/>
                <w:sz w:val="21"/>
                <w:szCs w:val="21"/>
              </w:rPr>
            </w:pPr>
          </w:p>
        </w:tc>
        <w:tc>
          <w:tcPr>
            <w:tcW w:w="1842" w:type="dxa"/>
            <w:vAlign w:val="center"/>
          </w:tcPr>
          <w:p>
            <w:pPr>
              <w:spacing w:line="360" w:lineRule="auto"/>
              <w:jc w:val="center"/>
              <w:rPr>
                <w:rFonts w:hAnsi="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8" w:hRule="atLeast"/>
          <w:jc w:val="center"/>
        </w:trPr>
        <w:tc>
          <w:tcPr>
            <w:tcW w:w="1620" w:type="dxa"/>
            <w:vAlign w:val="center"/>
          </w:tcPr>
          <w:p>
            <w:pPr>
              <w:spacing w:line="360" w:lineRule="auto"/>
              <w:jc w:val="center"/>
              <w:rPr>
                <w:rFonts w:hAnsi="宋体"/>
                <w:sz w:val="21"/>
                <w:szCs w:val="21"/>
              </w:rPr>
            </w:pPr>
          </w:p>
        </w:tc>
        <w:tc>
          <w:tcPr>
            <w:tcW w:w="1800" w:type="dxa"/>
            <w:vAlign w:val="center"/>
          </w:tcPr>
          <w:p>
            <w:pPr>
              <w:spacing w:line="360" w:lineRule="auto"/>
              <w:jc w:val="center"/>
              <w:rPr>
                <w:rFonts w:hAnsi="宋体"/>
                <w:sz w:val="21"/>
                <w:szCs w:val="21"/>
              </w:rPr>
            </w:pPr>
          </w:p>
        </w:tc>
        <w:tc>
          <w:tcPr>
            <w:tcW w:w="1800" w:type="dxa"/>
            <w:vAlign w:val="center"/>
          </w:tcPr>
          <w:p>
            <w:pPr>
              <w:spacing w:line="360" w:lineRule="auto"/>
              <w:jc w:val="center"/>
              <w:rPr>
                <w:rFonts w:hAnsi="宋体"/>
                <w:sz w:val="21"/>
                <w:szCs w:val="21"/>
              </w:rPr>
            </w:pPr>
          </w:p>
        </w:tc>
        <w:tc>
          <w:tcPr>
            <w:tcW w:w="1830" w:type="dxa"/>
            <w:vAlign w:val="center"/>
          </w:tcPr>
          <w:p>
            <w:pPr>
              <w:spacing w:line="360" w:lineRule="auto"/>
              <w:jc w:val="center"/>
              <w:rPr>
                <w:rFonts w:hAnsi="宋体"/>
                <w:sz w:val="21"/>
                <w:szCs w:val="21"/>
              </w:rPr>
            </w:pPr>
          </w:p>
        </w:tc>
        <w:tc>
          <w:tcPr>
            <w:tcW w:w="1842" w:type="dxa"/>
            <w:vAlign w:val="center"/>
          </w:tcPr>
          <w:p>
            <w:pPr>
              <w:spacing w:line="360" w:lineRule="auto"/>
              <w:jc w:val="center"/>
              <w:rPr>
                <w:rFonts w:hAnsi="宋体"/>
                <w:sz w:val="21"/>
                <w:szCs w:val="21"/>
              </w:rPr>
            </w:pPr>
          </w:p>
        </w:tc>
      </w:tr>
    </w:tbl>
    <w:p>
      <w:pPr>
        <w:spacing w:line="420" w:lineRule="atLeast"/>
        <w:rPr>
          <w:rFonts w:hAnsi="宋体"/>
          <w:sz w:val="21"/>
          <w:szCs w:val="21"/>
        </w:rPr>
      </w:pPr>
      <w:r>
        <w:rPr>
          <w:rFonts w:hint="eastAsia" w:hAnsi="宋体"/>
          <w:sz w:val="21"/>
          <w:szCs w:val="21"/>
        </w:rPr>
        <w:t>备注：以上资质或荣誉必须提供相关证明材料。</w:t>
      </w:r>
    </w:p>
    <w:p>
      <w:pPr>
        <w:spacing w:line="420" w:lineRule="atLeast"/>
        <w:rPr>
          <w:rFonts w:hAnsi="宋体"/>
          <w:sz w:val="21"/>
          <w:szCs w:val="21"/>
        </w:rPr>
      </w:pPr>
      <w:r>
        <w:rPr>
          <w:rFonts w:hint="eastAsia" w:hAnsi="宋体"/>
          <w:sz w:val="21"/>
          <w:szCs w:val="21"/>
        </w:rPr>
        <w:t>兹证明上述声明是真实、正确的，并提供了全部能提供的资料和数据，我方同意遵照贵方要求出示有关证明文件。</w:t>
      </w:r>
    </w:p>
    <w:p>
      <w:pPr>
        <w:overflowPunct w:val="0"/>
        <w:spacing w:line="460" w:lineRule="exact"/>
        <w:rPr>
          <w:rFonts w:hAnsi="宋体"/>
          <w:sz w:val="21"/>
          <w:szCs w:val="21"/>
        </w:rPr>
      </w:pPr>
      <w:r>
        <w:rPr>
          <w:rFonts w:hint="eastAsia" w:hAnsi="宋体"/>
          <w:sz w:val="21"/>
          <w:szCs w:val="21"/>
        </w:rPr>
        <w:t>供应商名称（加盖公章）：</w:t>
      </w:r>
    </w:p>
    <w:p>
      <w:pPr>
        <w:overflowPunct w:val="0"/>
        <w:spacing w:line="460" w:lineRule="exact"/>
        <w:rPr>
          <w:rFonts w:hAnsi="宋体"/>
          <w:sz w:val="21"/>
          <w:szCs w:val="21"/>
        </w:rPr>
      </w:pPr>
      <w:r>
        <w:rPr>
          <w:rFonts w:hint="eastAsia" w:hAnsi="宋体"/>
          <w:sz w:val="21"/>
          <w:szCs w:val="21"/>
        </w:rPr>
        <w:t>供应商法定代表人或受委托人（签名或盖私章）：</w:t>
      </w:r>
    </w:p>
    <w:p>
      <w:pPr>
        <w:overflowPunct w:val="0"/>
        <w:spacing w:line="460" w:lineRule="exact"/>
        <w:rPr>
          <w:rFonts w:hAnsi="宋体"/>
          <w:sz w:val="21"/>
          <w:szCs w:val="21"/>
        </w:rPr>
      </w:pPr>
      <w:r>
        <w:rPr>
          <w:rFonts w:hint="eastAsia" w:hAnsi="宋体"/>
          <w:sz w:val="21"/>
          <w:szCs w:val="21"/>
        </w:rPr>
        <w:t>日期：年月日</w:t>
      </w:r>
    </w:p>
    <w:p>
      <w:pPr>
        <w:pStyle w:val="4"/>
        <w:numPr>
          <w:ilvl w:val="0"/>
          <w:numId w:val="19"/>
        </w:numPr>
        <w:jc w:val="center"/>
        <w:rPr>
          <w:b w:val="0"/>
          <w:sz w:val="28"/>
          <w:szCs w:val="28"/>
          <w:u w:val="single"/>
        </w:rPr>
      </w:pPr>
      <w:r>
        <w:rPr>
          <w:sz w:val="22"/>
          <w:szCs w:val="22"/>
        </w:rPr>
        <w:br w:type="page"/>
      </w:r>
      <w:bookmarkStart w:id="208" w:name="_Toc17704"/>
      <w:bookmarkStart w:id="209" w:name="_Toc7897894"/>
      <w:bookmarkStart w:id="210" w:name="_Toc27094"/>
      <w:r>
        <w:rPr>
          <w:rFonts w:hint="eastAsia"/>
          <w:bCs/>
          <w:sz w:val="28"/>
          <w:szCs w:val="28"/>
        </w:rPr>
        <w:t>偏离表</w:t>
      </w:r>
      <w:bookmarkEnd w:id="188"/>
      <w:bookmarkEnd w:id="208"/>
      <w:bookmarkEnd w:id="209"/>
      <w:bookmarkEnd w:id="210"/>
    </w:p>
    <w:p>
      <w:pPr>
        <w:pStyle w:val="13"/>
        <w:ind w:firstLine="480"/>
        <w:rPr>
          <w:sz w:val="24"/>
          <w:szCs w:val="21"/>
        </w:rPr>
      </w:pPr>
    </w:p>
    <w:p>
      <w:pPr>
        <w:tabs>
          <w:tab w:val="left" w:pos="654"/>
          <w:tab w:val="left" w:pos="1734"/>
          <w:tab w:val="left" w:pos="2814"/>
          <w:tab w:val="left" w:pos="3894"/>
          <w:tab w:val="left" w:pos="5334"/>
          <w:tab w:val="left" w:pos="6414"/>
          <w:tab w:val="left" w:pos="7254"/>
          <w:tab w:val="left" w:pos="8574"/>
          <w:tab w:val="left" w:pos="9654"/>
        </w:tabs>
        <w:spacing w:line="480" w:lineRule="exact"/>
        <w:ind w:left="850" w:hanging="850"/>
        <w:rPr>
          <w:rFonts w:hAnsi="宋体"/>
          <w:szCs w:val="21"/>
        </w:rPr>
      </w:pPr>
    </w:p>
    <w:tbl>
      <w:tblPr>
        <w:tblStyle w:val="52"/>
        <w:tblW w:w="90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2161"/>
        <w:gridCol w:w="1241"/>
        <w:gridCol w:w="1984"/>
        <w:gridCol w:w="1276"/>
        <w:gridCol w:w="15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5" w:hRule="atLeast"/>
          <w:jc w:val="center"/>
        </w:trPr>
        <w:tc>
          <w:tcPr>
            <w:tcW w:w="817" w:type="dxa"/>
            <w:vAlign w:val="center"/>
          </w:tcPr>
          <w:p>
            <w:pPr>
              <w:jc w:val="center"/>
              <w:rPr>
                <w:rFonts w:hAnsi="宋体"/>
                <w:b/>
                <w:bCs/>
                <w:sz w:val="21"/>
                <w:szCs w:val="21"/>
              </w:rPr>
            </w:pPr>
            <w:r>
              <w:rPr>
                <w:rFonts w:hint="eastAsia" w:hAnsi="宋体"/>
                <w:b/>
                <w:bCs/>
                <w:sz w:val="21"/>
                <w:szCs w:val="21"/>
              </w:rPr>
              <w:t>序号</w:t>
            </w:r>
          </w:p>
        </w:tc>
        <w:tc>
          <w:tcPr>
            <w:tcW w:w="2161" w:type="dxa"/>
            <w:vAlign w:val="center"/>
          </w:tcPr>
          <w:p>
            <w:pPr>
              <w:jc w:val="center"/>
              <w:rPr>
                <w:rFonts w:hAnsi="宋体"/>
                <w:b/>
                <w:bCs/>
                <w:sz w:val="21"/>
                <w:szCs w:val="21"/>
              </w:rPr>
            </w:pPr>
            <w:r>
              <w:rPr>
                <w:rFonts w:hint="eastAsia" w:hAnsi="宋体"/>
                <w:b/>
                <w:bCs/>
                <w:sz w:val="21"/>
                <w:szCs w:val="21"/>
              </w:rPr>
              <w:t>项目</w:t>
            </w:r>
          </w:p>
        </w:tc>
        <w:tc>
          <w:tcPr>
            <w:tcW w:w="1241" w:type="dxa"/>
            <w:vAlign w:val="center"/>
          </w:tcPr>
          <w:p>
            <w:pPr>
              <w:jc w:val="center"/>
              <w:rPr>
                <w:rFonts w:hAnsi="宋体"/>
                <w:b/>
                <w:bCs/>
                <w:sz w:val="21"/>
                <w:szCs w:val="21"/>
              </w:rPr>
            </w:pPr>
            <w:r>
              <w:rPr>
                <w:rFonts w:hint="eastAsia" w:hAnsi="宋体"/>
                <w:b/>
                <w:bCs/>
                <w:sz w:val="21"/>
                <w:szCs w:val="21"/>
              </w:rPr>
              <w:t>磋商文件要求</w:t>
            </w:r>
          </w:p>
        </w:tc>
        <w:tc>
          <w:tcPr>
            <w:tcW w:w="1984" w:type="dxa"/>
            <w:vAlign w:val="center"/>
          </w:tcPr>
          <w:p>
            <w:pPr>
              <w:jc w:val="center"/>
              <w:rPr>
                <w:rFonts w:hAnsi="宋体"/>
                <w:b/>
                <w:bCs/>
                <w:sz w:val="21"/>
                <w:szCs w:val="21"/>
              </w:rPr>
            </w:pPr>
            <w:r>
              <w:rPr>
                <w:rFonts w:hint="eastAsia" w:hAnsi="宋体"/>
                <w:b/>
                <w:bCs/>
                <w:sz w:val="21"/>
                <w:szCs w:val="21"/>
              </w:rPr>
              <w:t>响应文件</w:t>
            </w:r>
          </w:p>
          <w:p>
            <w:pPr>
              <w:jc w:val="center"/>
              <w:rPr>
                <w:rFonts w:hAnsi="宋体"/>
                <w:b/>
                <w:bCs/>
                <w:sz w:val="21"/>
                <w:szCs w:val="21"/>
              </w:rPr>
            </w:pPr>
            <w:r>
              <w:rPr>
                <w:rFonts w:hint="eastAsia" w:hAnsi="宋体"/>
                <w:b/>
                <w:bCs/>
                <w:sz w:val="21"/>
                <w:szCs w:val="21"/>
              </w:rPr>
              <w:t>响应情况</w:t>
            </w:r>
          </w:p>
        </w:tc>
        <w:tc>
          <w:tcPr>
            <w:tcW w:w="1276" w:type="dxa"/>
            <w:vAlign w:val="center"/>
          </w:tcPr>
          <w:p>
            <w:pPr>
              <w:jc w:val="center"/>
              <w:rPr>
                <w:rFonts w:hAnsi="宋体"/>
                <w:b/>
                <w:bCs/>
                <w:sz w:val="21"/>
                <w:szCs w:val="21"/>
              </w:rPr>
            </w:pPr>
            <w:r>
              <w:rPr>
                <w:rFonts w:hint="eastAsia" w:hAnsi="宋体"/>
                <w:b/>
                <w:bCs/>
                <w:sz w:val="21"/>
                <w:szCs w:val="21"/>
              </w:rPr>
              <w:t>偏离情况</w:t>
            </w:r>
          </w:p>
        </w:tc>
        <w:tc>
          <w:tcPr>
            <w:tcW w:w="1594" w:type="dxa"/>
            <w:vAlign w:val="center"/>
          </w:tcPr>
          <w:p>
            <w:pPr>
              <w:jc w:val="center"/>
              <w:rPr>
                <w:rFonts w:hAnsi="宋体"/>
                <w:b/>
                <w:bCs/>
                <w:sz w:val="21"/>
                <w:szCs w:val="21"/>
              </w:rPr>
            </w:pPr>
            <w:r>
              <w:rPr>
                <w:rFonts w:hint="eastAsia" w:hAnsi="宋体"/>
                <w:b/>
                <w:bCs/>
                <w:sz w:val="21"/>
                <w:szCs w:val="21"/>
              </w:rPr>
              <w:t>偏离情况</w:t>
            </w:r>
          </w:p>
          <w:p>
            <w:pPr>
              <w:jc w:val="center"/>
              <w:rPr>
                <w:rFonts w:hAnsi="宋体"/>
                <w:b/>
                <w:bCs/>
                <w:sz w:val="21"/>
                <w:szCs w:val="21"/>
              </w:rPr>
            </w:pPr>
            <w:r>
              <w:rPr>
                <w:rFonts w:hint="eastAsia" w:hAnsi="宋体"/>
                <w:b/>
                <w:bCs/>
                <w:sz w:val="21"/>
                <w:szCs w:val="21"/>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7" w:type="dxa"/>
            <w:vAlign w:val="center"/>
          </w:tcPr>
          <w:p>
            <w:pPr>
              <w:jc w:val="center"/>
              <w:rPr>
                <w:rFonts w:hAnsi="宋体"/>
                <w:b/>
                <w:sz w:val="21"/>
                <w:szCs w:val="21"/>
              </w:rPr>
            </w:pPr>
            <w:r>
              <w:rPr>
                <w:rFonts w:hint="eastAsia" w:hAnsi="宋体"/>
                <w:b/>
                <w:sz w:val="21"/>
                <w:szCs w:val="21"/>
              </w:rPr>
              <w:t>1</w:t>
            </w:r>
          </w:p>
        </w:tc>
        <w:tc>
          <w:tcPr>
            <w:tcW w:w="2161" w:type="dxa"/>
            <w:vAlign w:val="center"/>
          </w:tcPr>
          <w:p>
            <w:pPr>
              <w:rPr>
                <w:rFonts w:hAnsi="宋体"/>
                <w:bCs/>
                <w:sz w:val="21"/>
                <w:szCs w:val="21"/>
              </w:rPr>
            </w:pPr>
          </w:p>
        </w:tc>
        <w:tc>
          <w:tcPr>
            <w:tcW w:w="1241" w:type="dxa"/>
            <w:vAlign w:val="center"/>
          </w:tcPr>
          <w:p>
            <w:pPr>
              <w:jc w:val="center"/>
              <w:rPr>
                <w:rFonts w:hAnsi="宋体"/>
                <w:sz w:val="21"/>
                <w:szCs w:val="21"/>
              </w:rPr>
            </w:pPr>
          </w:p>
        </w:tc>
        <w:tc>
          <w:tcPr>
            <w:tcW w:w="1984" w:type="dxa"/>
            <w:vAlign w:val="center"/>
          </w:tcPr>
          <w:p>
            <w:pPr>
              <w:jc w:val="center"/>
              <w:rPr>
                <w:rFonts w:hAnsi="宋体"/>
                <w:sz w:val="21"/>
                <w:szCs w:val="21"/>
              </w:rPr>
            </w:pPr>
          </w:p>
        </w:tc>
        <w:tc>
          <w:tcPr>
            <w:tcW w:w="1276" w:type="dxa"/>
            <w:vAlign w:val="center"/>
          </w:tcPr>
          <w:p>
            <w:pPr>
              <w:ind w:left="-446" w:leftChars="-186" w:firstLine="390" w:firstLineChars="186"/>
              <w:jc w:val="center"/>
              <w:rPr>
                <w:rFonts w:hAnsi="宋体"/>
                <w:sz w:val="21"/>
                <w:szCs w:val="21"/>
              </w:rPr>
            </w:pPr>
          </w:p>
        </w:tc>
        <w:tc>
          <w:tcPr>
            <w:tcW w:w="1594" w:type="dxa"/>
            <w:vAlign w:val="center"/>
          </w:tcPr>
          <w:p>
            <w:pPr>
              <w:ind w:left="-446" w:leftChars="-186" w:firstLine="390" w:firstLineChars="186"/>
              <w:jc w:val="center"/>
              <w:rPr>
                <w:rFonts w:hAnsi="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7" w:type="dxa"/>
            <w:vAlign w:val="center"/>
          </w:tcPr>
          <w:p>
            <w:pPr>
              <w:jc w:val="center"/>
              <w:rPr>
                <w:rFonts w:hAnsi="宋体"/>
                <w:b/>
                <w:sz w:val="21"/>
                <w:szCs w:val="21"/>
              </w:rPr>
            </w:pPr>
            <w:r>
              <w:rPr>
                <w:rFonts w:hint="eastAsia" w:hAnsi="宋体"/>
                <w:b/>
                <w:sz w:val="21"/>
                <w:szCs w:val="21"/>
              </w:rPr>
              <w:t>2</w:t>
            </w:r>
          </w:p>
        </w:tc>
        <w:tc>
          <w:tcPr>
            <w:tcW w:w="2161" w:type="dxa"/>
            <w:vAlign w:val="center"/>
          </w:tcPr>
          <w:p>
            <w:pPr>
              <w:rPr>
                <w:rFonts w:hAnsi="宋体"/>
                <w:bCs/>
                <w:sz w:val="21"/>
                <w:szCs w:val="21"/>
              </w:rPr>
            </w:pPr>
          </w:p>
        </w:tc>
        <w:tc>
          <w:tcPr>
            <w:tcW w:w="1241" w:type="dxa"/>
            <w:vAlign w:val="center"/>
          </w:tcPr>
          <w:p>
            <w:pPr>
              <w:jc w:val="center"/>
              <w:rPr>
                <w:rFonts w:hAnsi="宋体"/>
                <w:sz w:val="21"/>
                <w:szCs w:val="21"/>
              </w:rPr>
            </w:pPr>
          </w:p>
        </w:tc>
        <w:tc>
          <w:tcPr>
            <w:tcW w:w="1984" w:type="dxa"/>
            <w:vAlign w:val="center"/>
          </w:tcPr>
          <w:p>
            <w:pPr>
              <w:jc w:val="center"/>
              <w:rPr>
                <w:rFonts w:hAnsi="宋体"/>
                <w:sz w:val="21"/>
                <w:szCs w:val="21"/>
              </w:rPr>
            </w:pPr>
          </w:p>
        </w:tc>
        <w:tc>
          <w:tcPr>
            <w:tcW w:w="1276" w:type="dxa"/>
            <w:vAlign w:val="center"/>
          </w:tcPr>
          <w:p>
            <w:pPr>
              <w:jc w:val="center"/>
              <w:rPr>
                <w:rFonts w:hAnsi="宋体"/>
                <w:sz w:val="21"/>
                <w:szCs w:val="21"/>
              </w:rPr>
            </w:pPr>
          </w:p>
        </w:tc>
        <w:tc>
          <w:tcPr>
            <w:tcW w:w="1594" w:type="dxa"/>
            <w:vAlign w:val="center"/>
          </w:tcPr>
          <w:p>
            <w:pPr>
              <w:jc w:val="center"/>
              <w:rPr>
                <w:rFonts w:hAnsi="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7" w:type="dxa"/>
            <w:vAlign w:val="center"/>
          </w:tcPr>
          <w:p>
            <w:pPr>
              <w:jc w:val="center"/>
              <w:rPr>
                <w:rFonts w:hAnsi="宋体"/>
                <w:b/>
                <w:sz w:val="21"/>
                <w:szCs w:val="21"/>
              </w:rPr>
            </w:pPr>
            <w:r>
              <w:rPr>
                <w:rFonts w:hint="eastAsia" w:hAnsi="宋体"/>
                <w:b/>
                <w:sz w:val="21"/>
                <w:szCs w:val="21"/>
              </w:rPr>
              <w:t>3</w:t>
            </w:r>
          </w:p>
        </w:tc>
        <w:tc>
          <w:tcPr>
            <w:tcW w:w="2161" w:type="dxa"/>
            <w:vAlign w:val="center"/>
          </w:tcPr>
          <w:p>
            <w:pPr>
              <w:rPr>
                <w:rFonts w:hAnsi="宋体"/>
                <w:bCs/>
                <w:sz w:val="21"/>
                <w:szCs w:val="21"/>
              </w:rPr>
            </w:pPr>
          </w:p>
        </w:tc>
        <w:tc>
          <w:tcPr>
            <w:tcW w:w="1241" w:type="dxa"/>
            <w:vAlign w:val="center"/>
          </w:tcPr>
          <w:p>
            <w:pPr>
              <w:jc w:val="center"/>
              <w:rPr>
                <w:rFonts w:hAnsi="宋体"/>
                <w:sz w:val="21"/>
                <w:szCs w:val="21"/>
              </w:rPr>
            </w:pPr>
          </w:p>
        </w:tc>
        <w:tc>
          <w:tcPr>
            <w:tcW w:w="1984" w:type="dxa"/>
            <w:vAlign w:val="center"/>
          </w:tcPr>
          <w:p>
            <w:pPr>
              <w:jc w:val="center"/>
              <w:rPr>
                <w:rFonts w:hAnsi="宋体"/>
                <w:sz w:val="21"/>
                <w:szCs w:val="21"/>
              </w:rPr>
            </w:pPr>
          </w:p>
        </w:tc>
        <w:tc>
          <w:tcPr>
            <w:tcW w:w="1276" w:type="dxa"/>
            <w:vAlign w:val="center"/>
          </w:tcPr>
          <w:p>
            <w:pPr>
              <w:jc w:val="center"/>
              <w:rPr>
                <w:rFonts w:hAnsi="宋体"/>
                <w:sz w:val="21"/>
                <w:szCs w:val="21"/>
              </w:rPr>
            </w:pPr>
          </w:p>
        </w:tc>
        <w:tc>
          <w:tcPr>
            <w:tcW w:w="1594" w:type="dxa"/>
            <w:vAlign w:val="center"/>
          </w:tcPr>
          <w:p>
            <w:pPr>
              <w:jc w:val="center"/>
              <w:rPr>
                <w:rFonts w:hAnsi="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7" w:type="dxa"/>
            <w:vAlign w:val="center"/>
          </w:tcPr>
          <w:p>
            <w:pPr>
              <w:jc w:val="center"/>
              <w:rPr>
                <w:rFonts w:hAnsi="宋体"/>
                <w:b/>
                <w:sz w:val="21"/>
                <w:szCs w:val="21"/>
              </w:rPr>
            </w:pPr>
            <w:r>
              <w:rPr>
                <w:rFonts w:hint="eastAsia" w:hAnsi="宋体"/>
                <w:b/>
                <w:sz w:val="21"/>
                <w:szCs w:val="21"/>
              </w:rPr>
              <w:t>···</w:t>
            </w:r>
          </w:p>
        </w:tc>
        <w:tc>
          <w:tcPr>
            <w:tcW w:w="2161" w:type="dxa"/>
            <w:vAlign w:val="center"/>
          </w:tcPr>
          <w:p>
            <w:pPr>
              <w:rPr>
                <w:rFonts w:hAnsi="宋体"/>
                <w:bCs/>
                <w:sz w:val="21"/>
                <w:szCs w:val="21"/>
              </w:rPr>
            </w:pPr>
          </w:p>
        </w:tc>
        <w:tc>
          <w:tcPr>
            <w:tcW w:w="1241" w:type="dxa"/>
            <w:vAlign w:val="center"/>
          </w:tcPr>
          <w:p>
            <w:pPr>
              <w:jc w:val="center"/>
              <w:rPr>
                <w:rFonts w:hAnsi="宋体"/>
                <w:sz w:val="21"/>
                <w:szCs w:val="21"/>
              </w:rPr>
            </w:pPr>
          </w:p>
        </w:tc>
        <w:tc>
          <w:tcPr>
            <w:tcW w:w="1984" w:type="dxa"/>
            <w:vAlign w:val="center"/>
          </w:tcPr>
          <w:p>
            <w:pPr>
              <w:jc w:val="center"/>
              <w:rPr>
                <w:rFonts w:hAnsi="宋体"/>
                <w:sz w:val="21"/>
                <w:szCs w:val="21"/>
              </w:rPr>
            </w:pPr>
          </w:p>
        </w:tc>
        <w:tc>
          <w:tcPr>
            <w:tcW w:w="1276" w:type="dxa"/>
            <w:vAlign w:val="center"/>
          </w:tcPr>
          <w:p>
            <w:pPr>
              <w:jc w:val="center"/>
              <w:rPr>
                <w:rFonts w:hAnsi="宋体"/>
                <w:sz w:val="21"/>
                <w:szCs w:val="21"/>
              </w:rPr>
            </w:pPr>
          </w:p>
        </w:tc>
        <w:tc>
          <w:tcPr>
            <w:tcW w:w="1594" w:type="dxa"/>
            <w:vAlign w:val="center"/>
          </w:tcPr>
          <w:p>
            <w:pPr>
              <w:jc w:val="center"/>
              <w:rPr>
                <w:rFonts w:hAnsi="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7" w:type="dxa"/>
            <w:vAlign w:val="center"/>
          </w:tcPr>
          <w:p>
            <w:pPr>
              <w:jc w:val="center"/>
              <w:rPr>
                <w:rFonts w:hAnsi="宋体"/>
                <w:b/>
                <w:sz w:val="21"/>
                <w:szCs w:val="21"/>
              </w:rPr>
            </w:pPr>
          </w:p>
        </w:tc>
        <w:tc>
          <w:tcPr>
            <w:tcW w:w="2161" w:type="dxa"/>
            <w:vAlign w:val="center"/>
          </w:tcPr>
          <w:p>
            <w:pPr>
              <w:rPr>
                <w:rFonts w:hAnsi="宋体"/>
                <w:bCs/>
                <w:sz w:val="21"/>
                <w:szCs w:val="21"/>
              </w:rPr>
            </w:pPr>
          </w:p>
        </w:tc>
        <w:tc>
          <w:tcPr>
            <w:tcW w:w="1241" w:type="dxa"/>
            <w:vAlign w:val="center"/>
          </w:tcPr>
          <w:p>
            <w:pPr>
              <w:jc w:val="center"/>
              <w:rPr>
                <w:rFonts w:hAnsi="宋体"/>
                <w:sz w:val="21"/>
                <w:szCs w:val="21"/>
              </w:rPr>
            </w:pPr>
          </w:p>
        </w:tc>
        <w:tc>
          <w:tcPr>
            <w:tcW w:w="1984" w:type="dxa"/>
            <w:vAlign w:val="center"/>
          </w:tcPr>
          <w:p>
            <w:pPr>
              <w:jc w:val="center"/>
              <w:rPr>
                <w:rFonts w:hAnsi="宋体"/>
                <w:sz w:val="21"/>
                <w:szCs w:val="21"/>
              </w:rPr>
            </w:pPr>
          </w:p>
        </w:tc>
        <w:tc>
          <w:tcPr>
            <w:tcW w:w="1276" w:type="dxa"/>
            <w:vAlign w:val="center"/>
          </w:tcPr>
          <w:p>
            <w:pPr>
              <w:jc w:val="center"/>
              <w:rPr>
                <w:rFonts w:hAnsi="宋体"/>
                <w:sz w:val="21"/>
                <w:szCs w:val="21"/>
              </w:rPr>
            </w:pPr>
          </w:p>
        </w:tc>
        <w:tc>
          <w:tcPr>
            <w:tcW w:w="1594" w:type="dxa"/>
            <w:vAlign w:val="center"/>
          </w:tcPr>
          <w:p>
            <w:pPr>
              <w:jc w:val="center"/>
              <w:rPr>
                <w:rFonts w:hAnsi="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7" w:type="dxa"/>
            <w:vAlign w:val="center"/>
          </w:tcPr>
          <w:p>
            <w:pPr>
              <w:jc w:val="center"/>
              <w:rPr>
                <w:rFonts w:hAnsi="宋体"/>
                <w:b/>
                <w:sz w:val="21"/>
                <w:szCs w:val="21"/>
              </w:rPr>
            </w:pPr>
          </w:p>
        </w:tc>
        <w:tc>
          <w:tcPr>
            <w:tcW w:w="2161" w:type="dxa"/>
            <w:vAlign w:val="center"/>
          </w:tcPr>
          <w:p>
            <w:pPr>
              <w:rPr>
                <w:rFonts w:hAnsi="宋体"/>
                <w:bCs/>
                <w:sz w:val="21"/>
                <w:szCs w:val="21"/>
              </w:rPr>
            </w:pPr>
          </w:p>
        </w:tc>
        <w:tc>
          <w:tcPr>
            <w:tcW w:w="1241" w:type="dxa"/>
            <w:vAlign w:val="center"/>
          </w:tcPr>
          <w:p>
            <w:pPr>
              <w:jc w:val="center"/>
              <w:rPr>
                <w:rFonts w:hAnsi="宋体"/>
                <w:sz w:val="21"/>
                <w:szCs w:val="21"/>
              </w:rPr>
            </w:pPr>
          </w:p>
        </w:tc>
        <w:tc>
          <w:tcPr>
            <w:tcW w:w="1984" w:type="dxa"/>
            <w:vAlign w:val="center"/>
          </w:tcPr>
          <w:p>
            <w:pPr>
              <w:jc w:val="center"/>
              <w:rPr>
                <w:rFonts w:hAnsi="宋体"/>
                <w:sz w:val="21"/>
                <w:szCs w:val="21"/>
              </w:rPr>
            </w:pPr>
          </w:p>
        </w:tc>
        <w:tc>
          <w:tcPr>
            <w:tcW w:w="1276" w:type="dxa"/>
            <w:vAlign w:val="center"/>
          </w:tcPr>
          <w:p>
            <w:pPr>
              <w:jc w:val="center"/>
              <w:rPr>
                <w:rFonts w:hAnsi="宋体"/>
                <w:sz w:val="21"/>
                <w:szCs w:val="21"/>
              </w:rPr>
            </w:pPr>
          </w:p>
        </w:tc>
        <w:tc>
          <w:tcPr>
            <w:tcW w:w="1594" w:type="dxa"/>
            <w:vAlign w:val="center"/>
          </w:tcPr>
          <w:p>
            <w:pPr>
              <w:jc w:val="center"/>
              <w:rPr>
                <w:rFonts w:hAnsi="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7" w:type="dxa"/>
            <w:vAlign w:val="center"/>
          </w:tcPr>
          <w:p>
            <w:pPr>
              <w:jc w:val="center"/>
              <w:rPr>
                <w:rFonts w:hAnsi="宋体"/>
                <w:b/>
                <w:sz w:val="21"/>
                <w:szCs w:val="21"/>
              </w:rPr>
            </w:pPr>
          </w:p>
        </w:tc>
        <w:tc>
          <w:tcPr>
            <w:tcW w:w="2161" w:type="dxa"/>
            <w:vAlign w:val="center"/>
          </w:tcPr>
          <w:p>
            <w:pPr>
              <w:jc w:val="center"/>
              <w:rPr>
                <w:rFonts w:hAnsi="宋体"/>
                <w:bCs/>
                <w:sz w:val="21"/>
                <w:szCs w:val="21"/>
              </w:rPr>
            </w:pPr>
            <w:r>
              <w:rPr>
                <w:rFonts w:hint="eastAsia" w:hAnsi="宋体"/>
                <w:bCs/>
                <w:sz w:val="21"/>
                <w:szCs w:val="21"/>
              </w:rPr>
              <w:t>其他</w:t>
            </w:r>
          </w:p>
        </w:tc>
        <w:tc>
          <w:tcPr>
            <w:tcW w:w="1241" w:type="dxa"/>
            <w:vAlign w:val="center"/>
          </w:tcPr>
          <w:p>
            <w:pPr>
              <w:jc w:val="center"/>
              <w:rPr>
                <w:rFonts w:hAnsi="宋体"/>
                <w:sz w:val="21"/>
                <w:szCs w:val="21"/>
              </w:rPr>
            </w:pPr>
          </w:p>
        </w:tc>
        <w:tc>
          <w:tcPr>
            <w:tcW w:w="1984" w:type="dxa"/>
            <w:vAlign w:val="center"/>
          </w:tcPr>
          <w:p>
            <w:pPr>
              <w:jc w:val="center"/>
              <w:rPr>
                <w:rFonts w:hAnsi="宋体"/>
                <w:sz w:val="21"/>
                <w:szCs w:val="21"/>
              </w:rPr>
            </w:pPr>
          </w:p>
        </w:tc>
        <w:tc>
          <w:tcPr>
            <w:tcW w:w="1276" w:type="dxa"/>
            <w:vAlign w:val="center"/>
          </w:tcPr>
          <w:p>
            <w:pPr>
              <w:jc w:val="center"/>
              <w:rPr>
                <w:rFonts w:hAnsi="宋体"/>
                <w:sz w:val="21"/>
                <w:szCs w:val="21"/>
              </w:rPr>
            </w:pPr>
          </w:p>
        </w:tc>
        <w:tc>
          <w:tcPr>
            <w:tcW w:w="1594" w:type="dxa"/>
            <w:vAlign w:val="center"/>
          </w:tcPr>
          <w:p>
            <w:pPr>
              <w:jc w:val="center"/>
              <w:rPr>
                <w:rFonts w:hAnsi="宋体"/>
                <w:sz w:val="21"/>
                <w:szCs w:val="21"/>
              </w:rPr>
            </w:pPr>
          </w:p>
        </w:tc>
      </w:tr>
    </w:tbl>
    <w:p>
      <w:pPr>
        <w:tabs>
          <w:tab w:val="left" w:pos="654"/>
          <w:tab w:val="left" w:pos="1734"/>
          <w:tab w:val="left" w:pos="2814"/>
          <w:tab w:val="left" w:pos="3894"/>
          <w:tab w:val="left" w:pos="5334"/>
          <w:tab w:val="left" w:pos="6414"/>
          <w:tab w:val="left" w:pos="7254"/>
          <w:tab w:val="left" w:pos="8574"/>
          <w:tab w:val="left" w:pos="9654"/>
        </w:tabs>
        <w:spacing w:line="480" w:lineRule="exact"/>
        <w:ind w:left="850" w:hanging="850"/>
        <w:rPr>
          <w:rFonts w:hAnsi="宋体"/>
          <w:b/>
          <w:bCs/>
          <w:sz w:val="21"/>
          <w:szCs w:val="21"/>
        </w:rPr>
      </w:pPr>
    </w:p>
    <w:p>
      <w:pPr>
        <w:tabs>
          <w:tab w:val="left" w:pos="654"/>
          <w:tab w:val="left" w:pos="1734"/>
          <w:tab w:val="left" w:pos="2814"/>
          <w:tab w:val="left" w:pos="3894"/>
          <w:tab w:val="left" w:pos="5334"/>
          <w:tab w:val="left" w:pos="6414"/>
          <w:tab w:val="left" w:pos="7254"/>
          <w:tab w:val="left" w:pos="8574"/>
          <w:tab w:val="left" w:pos="9654"/>
        </w:tabs>
        <w:spacing w:line="480" w:lineRule="exact"/>
        <w:rPr>
          <w:rFonts w:hAnsi="宋体"/>
          <w:sz w:val="21"/>
          <w:szCs w:val="21"/>
        </w:rPr>
      </w:pPr>
      <w:r>
        <w:rPr>
          <w:rFonts w:hint="eastAsia" w:hAnsi="宋体"/>
          <w:sz w:val="21"/>
          <w:szCs w:val="21"/>
        </w:rPr>
        <w:t>要求：</w:t>
      </w:r>
    </w:p>
    <w:p>
      <w:pPr>
        <w:tabs>
          <w:tab w:val="left" w:pos="654"/>
          <w:tab w:val="left" w:pos="1734"/>
          <w:tab w:val="left" w:pos="2814"/>
          <w:tab w:val="left" w:pos="3894"/>
          <w:tab w:val="left" w:pos="5334"/>
          <w:tab w:val="left" w:pos="6414"/>
          <w:tab w:val="left" w:pos="7254"/>
          <w:tab w:val="left" w:pos="8574"/>
          <w:tab w:val="left" w:pos="9654"/>
        </w:tabs>
        <w:spacing w:line="480" w:lineRule="exact"/>
        <w:ind w:firstLine="420" w:firstLineChars="200"/>
        <w:rPr>
          <w:rFonts w:hAnsi="宋体"/>
          <w:sz w:val="21"/>
          <w:szCs w:val="21"/>
        </w:rPr>
      </w:pPr>
      <w:r>
        <w:rPr>
          <w:rFonts w:hint="eastAsia" w:hAnsi="宋体"/>
          <w:sz w:val="21"/>
          <w:szCs w:val="21"/>
        </w:rPr>
        <w:t>1.“磋商文件要求”见磋商文件“商务需求书”，“响应文件响应情况”是指供应商的投报情况。</w:t>
      </w:r>
    </w:p>
    <w:p>
      <w:pPr>
        <w:tabs>
          <w:tab w:val="left" w:pos="654"/>
          <w:tab w:val="left" w:pos="1734"/>
          <w:tab w:val="left" w:pos="2814"/>
          <w:tab w:val="left" w:pos="3894"/>
          <w:tab w:val="left" w:pos="5334"/>
          <w:tab w:val="left" w:pos="6414"/>
          <w:tab w:val="left" w:pos="7254"/>
          <w:tab w:val="left" w:pos="8574"/>
          <w:tab w:val="left" w:pos="9654"/>
        </w:tabs>
        <w:spacing w:line="480" w:lineRule="exact"/>
        <w:ind w:firstLine="420" w:firstLineChars="200"/>
        <w:rPr>
          <w:rFonts w:hAnsi="宋体"/>
          <w:sz w:val="21"/>
          <w:szCs w:val="21"/>
        </w:rPr>
      </w:pPr>
      <w:r>
        <w:rPr>
          <w:rFonts w:hint="eastAsia" w:hAnsi="宋体"/>
          <w:sz w:val="21"/>
          <w:szCs w:val="21"/>
        </w:rPr>
        <w:t>2.“</w:t>
      </w:r>
      <w:r>
        <w:rPr>
          <w:rFonts w:hint="eastAsia" w:hAnsi="宋体"/>
          <w:bCs/>
          <w:sz w:val="21"/>
          <w:szCs w:val="21"/>
        </w:rPr>
        <w:t>偏离情况</w:t>
      </w:r>
      <w:r>
        <w:rPr>
          <w:rFonts w:hint="eastAsia" w:hAnsi="宋体"/>
          <w:sz w:val="21"/>
          <w:szCs w:val="21"/>
        </w:rPr>
        <w:t>”包括“完全响应”、“正偏离”、“负偏离”。</w:t>
      </w:r>
    </w:p>
    <w:p>
      <w:pPr>
        <w:tabs>
          <w:tab w:val="left" w:pos="654"/>
          <w:tab w:val="left" w:pos="1734"/>
          <w:tab w:val="left" w:pos="2814"/>
          <w:tab w:val="left" w:pos="3894"/>
          <w:tab w:val="left" w:pos="5334"/>
          <w:tab w:val="left" w:pos="6414"/>
          <w:tab w:val="left" w:pos="7254"/>
          <w:tab w:val="left" w:pos="8574"/>
          <w:tab w:val="left" w:pos="9654"/>
        </w:tabs>
        <w:spacing w:line="480" w:lineRule="exact"/>
        <w:ind w:left="850" w:hanging="850"/>
        <w:rPr>
          <w:rFonts w:hAnsi="宋体"/>
          <w:sz w:val="21"/>
          <w:szCs w:val="21"/>
        </w:rPr>
      </w:pPr>
    </w:p>
    <w:p>
      <w:pPr>
        <w:overflowPunct w:val="0"/>
        <w:spacing w:line="460" w:lineRule="exact"/>
        <w:rPr>
          <w:rFonts w:hAnsi="宋体"/>
          <w:sz w:val="21"/>
          <w:szCs w:val="21"/>
        </w:rPr>
      </w:pPr>
      <w:r>
        <w:rPr>
          <w:rFonts w:hint="eastAsia" w:hAnsi="宋体"/>
          <w:sz w:val="21"/>
          <w:szCs w:val="21"/>
        </w:rPr>
        <w:t>供应商名称（加盖公章）：</w:t>
      </w:r>
    </w:p>
    <w:p>
      <w:pPr>
        <w:overflowPunct w:val="0"/>
        <w:spacing w:line="460" w:lineRule="exact"/>
        <w:rPr>
          <w:rFonts w:hAnsi="宋体"/>
          <w:sz w:val="21"/>
          <w:szCs w:val="21"/>
        </w:rPr>
      </w:pPr>
      <w:r>
        <w:rPr>
          <w:rFonts w:hint="eastAsia" w:hAnsi="宋体"/>
          <w:sz w:val="21"/>
          <w:szCs w:val="21"/>
        </w:rPr>
        <w:t>供应商法定代表人或受委托人（签名或盖私章）：</w:t>
      </w:r>
    </w:p>
    <w:p>
      <w:pPr>
        <w:overflowPunct w:val="0"/>
        <w:spacing w:line="460" w:lineRule="exact"/>
        <w:rPr>
          <w:rFonts w:hAnsi="宋体"/>
          <w:sz w:val="22"/>
          <w:szCs w:val="22"/>
        </w:rPr>
      </w:pPr>
      <w:r>
        <w:rPr>
          <w:rFonts w:hint="eastAsia" w:hAnsi="宋体"/>
          <w:sz w:val="21"/>
          <w:szCs w:val="21"/>
        </w:rPr>
        <w:t>日期：年月日</w:t>
      </w:r>
    </w:p>
    <w:p/>
    <w:p/>
    <w:p/>
    <w:p/>
    <w:p/>
    <w:p/>
    <w:p/>
    <w:p/>
    <w:p/>
    <w:p/>
    <w:p/>
    <w:p/>
    <w:p/>
    <w:p/>
    <w:p/>
    <w:p>
      <w:pPr>
        <w:pStyle w:val="4"/>
        <w:numPr>
          <w:ilvl w:val="0"/>
          <w:numId w:val="19"/>
        </w:numPr>
        <w:jc w:val="center"/>
        <w:rPr>
          <w:rFonts w:ascii="Calibri" w:hAnsi="Times New Roman"/>
          <w:sz w:val="28"/>
          <w:szCs w:val="28"/>
        </w:rPr>
      </w:pPr>
      <w:bookmarkStart w:id="211" w:name="_Toc8299"/>
      <w:bookmarkStart w:id="212" w:name="_Toc31965"/>
      <w:bookmarkStart w:id="213" w:name="_Toc7897895"/>
      <w:r>
        <w:rPr>
          <w:rFonts w:hint="eastAsia" w:ascii="Calibri"/>
          <w:sz w:val="28"/>
          <w:szCs w:val="28"/>
        </w:rPr>
        <w:t>磋商</w:t>
      </w:r>
      <w:r>
        <w:rPr>
          <w:rFonts w:hint="eastAsia" w:ascii="Calibri" w:hAnsi="Times New Roman"/>
          <w:sz w:val="28"/>
          <w:szCs w:val="28"/>
        </w:rPr>
        <w:t>文件“★”号条款响应表</w:t>
      </w:r>
      <w:bookmarkEnd w:id="211"/>
    </w:p>
    <w:p>
      <w:pPr>
        <w:rPr>
          <w:rFonts w:hAnsi="宋体"/>
          <w:b/>
          <w:bCs/>
        </w:rPr>
      </w:pPr>
    </w:p>
    <w:p>
      <w:pPr>
        <w:rPr>
          <w:rFonts w:hAnsi="宋体"/>
          <w:b/>
          <w:bCs/>
        </w:rPr>
      </w:pPr>
    </w:p>
    <w:tbl>
      <w:tblPr>
        <w:tblStyle w:val="52"/>
        <w:tblW w:w="969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3"/>
        <w:gridCol w:w="1266"/>
        <w:gridCol w:w="3371"/>
        <w:gridCol w:w="2113"/>
        <w:gridCol w:w="20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exact"/>
        </w:trPr>
        <w:tc>
          <w:tcPr>
            <w:tcW w:w="863" w:type="dxa"/>
            <w:vMerge w:val="restart"/>
            <w:vAlign w:val="center"/>
          </w:tcPr>
          <w:p>
            <w:pPr>
              <w:autoSpaceDE/>
              <w:autoSpaceDN/>
              <w:adjustRightInd/>
              <w:spacing w:before="120" w:after="120" w:line="360" w:lineRule="auto"/>
              <w:jc w:val="center"/>
              <w:rPr>
                <w:rFonts w:hAnsi="宋体"/>
                <w:sz w:val="21"/>
                <w:szCs w:val="21"/>
              </w:rPr>
            </w:pPr>
            <w:r>
              <w:rPr>
                <w:rFonts w:hint="eastAsia" w:hAnsi="宋体"/>
                <w:sz w:val="21"/>
                <w:szCs w:val="21"/>
              </w:rPr>
              <w:t>序号</w:t>
            </w:r>
          </w:p>
        </w:tc>
        <w:tc>
          <w:tcPr>
            <w:tcW w:w="4637" w:type="dxa"/>
            <w:gridSpan w:val="2"/>
            <w:vAlign w:val="center"/>
          </w:tcPr>
          <w:p>
            <w:pPr>
              <w:autoSpaceDE/>
              <w:autoSpaceDN/>
              <w:adjustRightInd/>
              <w:spacing w:before="120" w:after="120" w:line="360" w:lineRule="auto"/>
              <w:ind w:left="-122" w:leftChars="-51"/>
              <w:jc w:val="center"/>
              <w:rPr>
                <w:rFonts w:hAnsi="宋体"/>
                <w:sz w:val="21"/>
                <w:szCs w:val="21"/>
              </w:rPr>
            </w:pPr>
            <w:r>
              <w:rPr>
                <w:rFonts w:hint="eastAsia" w:hAnsi="宋体"/>
                <w:sz w:val="21"/>
                <w:szCs w:val="21"/>
              </w:rPr>
              <w:t>磋商文件“★”号条款要求</w:t>
            </w:r>
          </w:p>
        </w:tc>
        <w:tc>
          <w:tcPr>
            <w:tcW w:w="4192" w:type="dxa"/>
            <w:gridSpan w:val="2"/>
            <w:vAlign w:val="center"/>
          </w:tcPr>
          <w:p>
            <w:pPr>
              <w:autoSpaceDE/>
              <w:autoSpaceDN/>
              <w:adjustRightInd/>
              <w:spacing w:before="120" w:after="120" w:line="360" w:lineRule="auto"/>
              <w:ind w:left="-88"/>
              <w:jc w:val="center"/>
              <w:rPr>
                <w:rFonts w:hAnsi="宋体"/>
                <w:sz w:val="21"/>
                <w:szCs w:val="21"/>
              </w:rPr>
            </w:pPr>
            <w:r>
              <w:rPr>
                <w:rFonts w:hint="eastAsia" w:hAnsi="宋体"/>
                <w:sz w:val="21"/>
                <w:szCs w:val="21"/>
              </w:rPr>
              <w:t>磋商响应文件内容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exact"/>
        </w:trPr>
        <w:tc>
          <w:tcPr>
            <w:tcW w:w="863" w:type="dxa"/>
            <w:vMerge w:val="continue"/>
            <w:vAlign w:val="center"/>
          </w:tcPr>
          <w:p>
            <w:pPr>
              <w:keepNext/>
              <w:keepLines/>
              <w:autoSpaceDE/>
              <w:autoSpaceDN/>
              <w:adjustRightInd/>
              <w:spacing w:before="120" w:after="120" w:line="360" w:lineRule="auto"/>
              <w:ind w:left="629"/>
              <w:jc w:val="center"/>
              <w:outlineLvl w:val="0"/>
              <w:rPr>
                <w:rFonts w:hAnsi="宋体"/>
                <w:sz w:val="21"/>
                <w:szCs w:val="21"/>
              </w:rPr>
            </w:pPr>
          </w:p>
        </w:tc>
        <w:tc>
          <w:tcPr>
            <w:tcW w:w="1266" w:type="dxa"/>
            <w:vAlign w:val="center"/>
          </w:tcPr>
          <w:p>
            <w:pPr>
              <w:autoSpaceDE/>
              <w:autoSpaceDN/>
              <w:adjustRightInd/>
              <w:spacing w:before="120" w:after="120" w:line="360" w:lineRule="auto"/>
              <w:jc w:val="center"/>
              <w:rPr>
                <w:rFonts w:hAnsi="宋体"/>
                <w:sz w:val="21"/>
                <w:szCs w:val="21"/>
              </w:rPr>
            </w:pPr>
            <w:r>
              <w:rPr>
                <w:rFonts w:hint="eastAsia" w:hAnsi="宋体"/>
                <w:sz w:val="21"/>
                <w:szCs w:val="21"/>
              </w:rPr>
              <w:t>条款号</w:t>
            </w:r>
          </w:p>
        </w:tc>
        <w:tc>
          <w:tcPr>
            <w:tcW w:w="3371" w:type="dxa"/>
            <w:vAlign w:val="center"/>
          </w:tcPr>
          <w:p>
            <w:pPr>
              <w:autoSpaceDE/>
              <w:autoSpaceDN/>
              <w:adjustRightInd/>
              <w:spacing w:before="120" w:after="120" w:line="360" w:lineRule="auto"/>
              <w:jc w:val="center"/>
              <w:rPr>
                <w:rFonts w:hAnsi="宋体"/>
                <w:sz w:val="21"/>
                <w:szCs w:val="21"/>
              </w:rPr>
            </w:pPr>
            <w:r>
              <w:rPr>
                <w:rFonts w:hint="eastAsia" w:hAnsi="宋体"/>
                <w:sz w:val="21"/>
                <w:szCs w:val="21"/>
              </w:rPr>
              <w:t>简要内容</w:t>
            </w:r>
          </w:p>
        </w:tc>
        <w:tc>
          <w:tcPr>
            <w:tcW w:w="2113" w:type="dxa"/>
            <w:vAlign w:val="center"/>
          </w:tcPr>
          <w:p>
            <w:pPr>
              <w:autoSpaceDE/>
              <w:autoSpaceDN/>
              <w:adjustRightInd/>
              <w:spacing w:before="120" w:after="120" w:line="360" w:lineRule="auto"/>
              <w:jc w:val="center"/>
              <w:rPr>
                <w:rFonts w:hAnsi="宋体"/>
                <w:sz w:val="21"/>
                <w:szCs w:val="21"/>
              </w:rPr>
            </w:pPr>
            <w:r>
              <w:rPr>
                <w:rFonts w:hint="eastAsia" w:hAnsi="宋体"/>
                <w:sz w:val="21"/>
                <w:szCs w:val="21"/>
              </w:rPr>
              <w:t>偏离情况</w:t>
            </w:r>
          </w:p>
        </w:tc>
        <w:tc>
          <w:tcPr>
            <w:tcW w:w="2079" w:type="dxa"/>
            <w:vAlign w:val="center"/>
          </w:tcPr>
          <w:p>
            <w:pPr>
              <w:autoSpaceDE/>
              <w:autoSpaceDN/>
              <w:adjustRightInd/>
              <w:spacing w:before="120" w:after="120" w:line="360" w:lineRule="auto"/>
              <w:jc w:val="center"/>
              <w:rPr>
                <w:rFonts w:hAnsi="宋体"/>
                <w:sz w:val="21"/>
                <w:szCs w:val="21"/>
              </w:rPr>
            </w:pPr>
            <w:r>
              <w:rPr>
                <w:rFonts w:hint="eastAsia" w:hAnsi="宋体"/>
                <w:sz w:val="21"/>
                <w:szCs w:val="21"/>
              </w:rPr>
              <w:t>具体偏离内容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863" w:type="dxa"/>
            <w:vAlign w:val="center"/>
          </w:tcPr>
          <w:p>
            <w:pPr>
              <w:autoSpaceDE/>
              <w:autoSpaceDN/>
              <w:adjustRightInd/>
              <w:spacing w:before="120" w:after="120" w:line="360" w:lineRule="auto"/>
              <w:ind w:left="-108"/>
              <w:jc w:val="center"/>
              <w:rPr>
                <w:rFonts w:hAnsi="宋体"/>
                <w:sz w:val="21"/>
                <w:szCs w:val="21"/>
              </w:rPr>
            </w:pPr>
            <w:r>
              <w:rPr>
                <w:rFonts w:hint="eastAsia" w:hAnsi="宋体"/>
                <w:sz w:val="21"/>
                <w:szCs w:val="21"/>
              </w:rPr>
              <w:t>1</w:t>
            </w:r>
          </w:p>
        </w:tc>
        <w:tc>
          <w:tcPr>
            <w:tcW w:w="1266" w:type="dxa"/>
            <w:vAlign w:val="center"/>
          </w:tcPr>
          <w:p>
            <w:pPr>
              <w:spacing w:line="360" w:lineRule="auto"/>
              <w:jc w:val="center"/>
              <w:rPr>
                <w:rFonts w:hAnsi="宋体"/>
                <w:sz w:val="21"/>
                <w:szCs w:val="21"/>
              </w:rPr>
            </w:pPr>
          </w:p>
          <w:p>
            <w:pPr>
              <w:spacing w:line="360" w:lineRule="auto"/>
              <w:jc w:val="center"/>
              <w:rPr>
                <w:rFonts w:hAnsi="宋体"/>
                <w:sz w:val="21"/>
                <w:szCs w:val="21"/>
              </w:rPr>
            </w:pPr>
          </w:p>
          <w:p>
            <w:pPr>
              <w:spacing w:line="360" w:lineRule="auto"/>
              <w:jc w:val="center"/>
              <w:rPr>
                <w:rFonts w:hAnsi="宋体"/>
                <w:sz w:val="21"/>
                <w:szCs w:val="21"/>
              </w:rPr>
            </w:pPr>
          </w:p>
          <w:p>
            <w:pPr>
              <w:spacing w:line="360" w:lineRule="auto"/>
              <w:jc w:val="center"/>
              <w:rPr>
                <w:rFonts w:hAnsi="宋体"/>
                <w:sz w:val="21"/>
                <w:szCs w:val="21"/>
              </w:rPr>
            </w:pPr>
          </w:p>
          <w:p>
            <w:pPr>
              <w:spacing w:line="360" w:lineRule="auto"/>
              <w:jc w:val="center"/>
              <w:rPr>
                <w:rFonts w:hAnsi="宋体"/>
                <w:sz w:val="21"/>
                <w:szCs w:val="21"/>
              </w:rPr>
            </w:pPr>
          </w:p>
        </w:tc>
        <w:tc>
          <w:tcPr>
            <w:tcW w:w="3371" w:type="dxa"/>
            <w:vAlign w:val="center"/>
          </w:tcPr>
          <w:p>
            <w:pPr>
              <w:spacing w:line="360" w:lineRule="auto"/>
              <w:jc w:val="center"/>
              <w:rPr>
                <w:rFonts w:hAnsi="宋体"/>
                <w:sz w:val="21"/>
                <w:szCs w:val="21"/>
              </w:rPr>
            </w:pPr>
          </w:p>
        </w:tc>
        <w:tc>
          <w:tcPr>
            <w:tcW w:w="2113" w:type="dxa"/>
            <w:vAlign w:val="center"/>
          </w:tcPr>
          <w:p>
            <w:pPr>
              <w:keepNext/>
              <w:keepLines/>
              <w:autoSpaceDE/>
              <w:autoSpaceDN/>
              <w:adjustRightInd/>
              <w:spacing w:before="120" w:after="120" w:line="360" w:lineRule="auto"/>
              <w:ind w:left="629"/>
              <w:jc w:val="center"/>
              <w:outlineLvl w:val="2"/>
              <w:rPr>
                <w:rFonts w:hAnsi="宋体"/>
                <w:sz w:val="21"/>
                <w:szCs w:val="21"/>
              </w:rPr>
            </w:pPr>
          </w:p>
        </w:tc>
        <w:tc>
          <w:tcPr>
            <w:tcW w:w="2079" w:type="dxa"/>
            <w:vAlign w:val="center"/>
          </w:tcPr>
          <w:p>
            <w:pPr>
              <w:keepNext/>
              <w:keepLines/>
              <w:autoSpaceDE/>
              <w:autoSpaceDN/>
              <w:adjustRightInd/>
              <w:spacing w:before="120" w:after="120" w:line="360" w:lineRule="auto"/>
              <w:ind w:left="629"/>
              <w:jc w:val="center"/>
              <w:outlineLvl w:val="2"/>
              <w:rPr>
                <w:rFonts w:hAnsi="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863" w:type="dxa"/>
            <w:vAlign w:val="center"/>
          </w:tcPr>
          <w:p>
            <w:pPr>
              <w:autoSpaceDE/>
              <w:autoSpaceDN/>
              <w:adjustRightInd/>
              <w:spacing w:before="120" w:after="120" w:line="360" w:lineRule="auto"/>
              <w:ind w:left="-108"/>
              <w:jc w:val="center"/>
              <w:rPr>
                <w:rFonts w:hAnsi="宋体"/>
                <w:sz w:val="21"/>
                <w:szCs w:val="21"/>
              </w:rPr>
            </w:pPr>
            <w:r>
              <w:rPr>
                <w:rFonts w:hint="eastAsia" w:hAnsi="宋体"/>
                <w:sz w:val="21"/>
                <w:szCs w:val="21"/>
              </w:rPr>
              <w:t>2</w:t>
            </w:r>
          </w:p>
        </w:tc>
        <w:tc>
          <w:tcPr>
            <w:tcW w:w="1266" w:type="dxa"/>
            <w:vAlign w:val="center"/>
          </w:tcPr>
          <w:p>
            <w:pPr>
              <w:spacing w:line="360" w:lineRule="auto"/>
              <w:jc w:val="center"/>
              <w:rPr>
                <w:rFonts w:hAnsi="宋体"/>
                <w:sz w:val="21"/>
                <w:szCs w:val="21"/>
              </w:rPr>
            </w:pPr>
          </w:p>
        </w:tc>
        <w:tc>
          <w:tcPr>
            <w:tcW w:w="3371" w:type="dxa"/>
            <w:vAlign w:val="center"/>
          </w:tcPr>
          <w:p>
            <w:pPr>
              <w:spacing w:line="360" w:lineRule="auto"/>
              <w:jc w:val="center"/>
              <w:rPr>
                <w:rFonts w:hAnsi="宋体"/>
                <w:sz w:val="21"/>
                <w:szCs w:val="21"/>
              </w:rPr>
            </w:pPr>
          </w:p>
        </w:tc>
        <w:tc>
          <w:tcPr>
            <w:tcW w:w="2113" w:type="dxa"/>
          </w:tcPr>
          <w:p>
            <w:pPr>
              <w:keepNext/>
              <w:keepLines/>
              <w:autoSpaceDE/>
              <w:autoSpaceDN/>
              <w:adjustRightInd/>
              <w:spacing w:before="120" w:after="120" w:line="360" w:lineRule="auto"/>
              <w:ind w:left="629"/>
              <w:jc w:val="both"/>
              <w:outlineLvl w:val="2"/>
              <w:rPr>
                <w:rFonts w:hAnsi="宋体"/>
                <w:sz w:val="21"/>
                <w:szCs w:val="21"/>
              </w:rPr>
            </w:pPr>
          </w:p>
        </w:tc>
        <w:tc>
          <w:tcPr>
            <w:tcW w:w="2079" w:type="dxa"/>
            <w:vAlign w:val="center"/>
          </w:tcPr>
          <w:p>
            <w:pPr>
              <w:keepNext/>
              <w:keepLines/>
              <w:autoSpaceDE/>
              <w:autoSpaceDN/>
              <w:adjustRightInd/>
              <w:spacing w:before="120" w:after="120" w:line="360" w:lineRule="auto"/>
              <w:ind w:left="629"/>
              <w:jc w:val="both"/>
              <w:outlineLvl w:val="2"/>
              <w:rPr>
                <w:rFonts w:hAnsi="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863" w:type="dxa"/>
            <w:vAlign w:val="center"/>
          </w:tcPr>
          <w:p>
            <w:pPr>
              <w:autoSpaceDE/>
              <w:autoSpaceDN/>
              <w:adjustRightInd/>
              <w:spacing w:before="120" w:after="120" w:line="360" w:lineRule="auto"/>
              <w:ind w:left="-122" w:leftChars="-51"/>
              <w:jc w:val="center"/>
              <w:rPr>
                <w:rFonts w:hAnsi="宋体"/>
                <w:kern w:val="2"/>
                <w:sz w:val="21"/>
                <w:szCs w:val="21"/>
              </w:rPr>
            </w:pPr>
            <w:r>
              <w:rPr>
                <w:rFonts w:hint="eastAsia" w:hAnsi="宋体"/>
                <w:kern w:val="2"/>
                <w:sz w:val="21"/>
                <w:szCs w:val="21"/>
              </w:rPr>
              <w:t>3</w:t>
            </w:r>
          </w:p>
        </w:tc>
        <w:tc>
          <w:tcPr>
            <w:tcW w:w="1266" w:type="dxa"/>
            <w:vAlign w:val="center"/>
          </w:tcPr>
          <w:p>
            <w:pPr>
              <w:spacing w:line="360" w:lineRule="auto"/>
              <w:jc w:val="center"/>
              <w:rPr>
                <w:rFonts w:hAnsi="宋体"/>
                <w:sz w:val="21"/>
                <w:szCs w:val="21"/>
              </w:rPr>
            </w:pPr>
          </w:p>
        </w:tc>
        <w:tc>
          <w:tcPr>
            <w:tcW w:w="3371" w:type="dxa"/>
            <w:vAlign w:val="center"/>
          </w:tcPr>
          <w:p>
            <w:pPr>
              <w:spacing w:line="360" w:lineRule="auto"/>
              <w:jc w:val="center"/>
              <w:rPr>
                <w:rFonts w:hAnsi="宋体"/>
                <w:sz w:val="21"/>
                <w:szCs w:val="21"/>
              </w:rPr>
            </w:pPr>
          </w:p>
        </w:tc>
        <w:tc>
          <w:tcPr>
            <w:tcW w:w="2113" w:type="dxa"/>
          </w:tcPr>
          <w:p>
            <w:pPr>
              <w:keepNext/>
              <w:keepLines/>
              <w:autoSpaceDE/>
              <w:autoSpaceDN/>
              <w:adjustRightInd/>
              <w:spacing w:before="120" w:after="120" w:line="360" w:lineRule="auto"/>
              <w:ind w:left="-122" w:leftChars="-51"/>
              <w:jc w:val="center"/>
              <w:outlineLvl w:val="2"/>
              <w:rPr>
                <w:rFonts w:hAnsi="宋体"/>
                <w:kern w:val="2"/>
                <w:sz w:val="21"/>
                <w:szCs w:val="21"/>
              </w:rPr>
            </w:pPr>
          </w:p>
        </w:tc>
        <w:tc>
          <w:tcPr>
            <w:tcW w:w="2079" w:type="dxa"/>
            <w:vAlign w:val="center"/>
          </w:tcPr>
          <w:p>
            <w:pPr>
              <w:keepNext/>
              <w:keepLines/>
              <w:autoSpaceDE/>
              <w:autoSpaceDN/>
              <w:adjustRightInd/>
              <w:spacing w:before="120" w:after="120" w:line="360" w:lineRule="auto"/>
              <w:ind w:left="-122" w:leftChars="-51"/>
              <w:jc w:val="center"/>
              <w:outlineLvl w:val="2"/>
              <w:rPr>
                <w:rFonts w:hAnsi="宋体"/>
                <w:kern w:val="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863" w:type="dxa"/>
            <w:vAlign w:val="center"/>
          </w:tcPr>
          <w:p>
            <w:pPr>
              <w:autoSpaceDE/>
              <w:autoSpaceDN/>
              <w:adjustRightInd/>
              <w:spacing w:before="120" w:after="120" w:line="360" w:lineRule="auto"/>
              <w:ind w:left="-122" w:leftChars="-51"/>
              <w:jc w:val="center"/>
              <w:rPr>
                <w:rFonts w:hAnsi="宋体"/>
                <w:kern w:val="2"/>
                <w:sz w:val="21"/>
                <w:szCs w:val="21"/>
              </w:rPr>
            </w:pPr>
            <w:r>
              <w:rPr>
                <w:rFonts w:hint="eastAsia" w:hAnsi="宋体"/>
                <w:kern w:val="2"/>
                <w:sz w:val="21"/>
                <w:szCs w:val="21"/>
              </w:rPr>
              <w:t>……</w:t>
            </w:r>
          </w:p>
        </w:tc>
        <w:tc>
          <w:tcPr>
            <w:tcW w:w="1266" w:type="dxa"/>
            <w:vAlign w:val="center"/>
          </w:tcPr>
          <w:p>
            <w:pPr>
              <w:spacing w:line="360" w:lineRule="auto"/>
              <w:jc w:val="center"/>
              <w:rPr>
                <w:rFonts w:hAnsi="宋体"/>
                <w:sz w:val="21"/>
                <w:szCs w:val="21"/>
              </w:rPr>
            </w:pPr>
          </w:p>
        </w:tc>
        <w:tc>
          <w:tcPr>
            <w:tcW w:w="3371" w:type="dxa"/>
            <w:vAlign w:val="center"/>
          </w:tcPr>
          <w:p>
            <w:pPr>
              <w:spacing w:line="360" w:lineRule="auto"/>
              <w:jc w:val="center"/>
              <w:rPr>
                <w:rFonts w:hAnsi="宋体"/>
                <w:sz w:val="21"/>
                <w:szCs w:val="21"/>
              </w:rPr>
            </w:pPr>
          </w:p>
        </w:tc>
        <w:tc>
          <w:tcPr>
            <w:tcW w:w="2113" w:type="dxa"/>
          </w:tcPr>
          <w:p>
            <w:pPr>
              <w:keepNext/>
              <w:keepLines/>
              <w:autoSpaceDE/>
              <w:autoSpaceDN/>
              <w:adjustRightInd/>
              <w:spacing w:before="120" w:after="120" w:line="360" w:lineRule="auto"/>
              <w:ind w:left="-122" w:leftChars="-51"/>
              <w:jc w:val="center"/>
              <w:outlineLvl w:val="2"/>
              <w:rPr>
                <w:rFonts w:hAnsi="宋体"/>
                <w:kern w:val="2"/>
                <w:sz w:val="21"/>
                <w:szCs w:val="21"/>
              </w:rPr>
            </w:pPr>
          </w:p>
        </w:tc>
        <w:tc>
          <w:tcPr>
            <w:tcW w:w="2079" w:type="dxa"/>
            <w:vAlign w:val="center"/>
          </w:tcPr>
          <w:p>
            <w:pPr>
              <w:keepNext/>
              <w:keepLines/>
              <w:autoSpaceDE/>
              <w:autoSpaceDN/>
              <w:adjustRightInd/>
              <w:spacing w:before="120" w:after="120" w:line="360" w:lineRule="auto"/>
              <w:ind w:left="-122" w:leftChars="-51"/>
              <w:jc w:val="center"/>
              <w:outlineLvl w:val="2"/>
              <w:rPr>
                <w:rFonts w:hAnsi="宋体"/>
                <w:kern w:val="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863" w:type="dxa"/>
            <w:vAlign w:val="center"/>
          </w:tcPr>
          <w:p>
            <w:pPr>
              <w:autoSpaceDE/>
              <w:autoSpaceDN/>
              <w:adjustRightInd/>
              <w:spacing w:before="120" w:after="120" w:line="360" w:lineRule="auto"/>
              <w:ind w:left="-122" w:leftChars="-51"/>
              <w:jc w:val="center"/>
              <w:rPr>
                <w:rFonts w:hAnsi="宋体"/>
                <w:kern w:val="2"/>
                <w:sz w:val="21"/>
                <w:szCs w:val="21"/>
              </w:rPr>
            </w:pPr>
          </w:p>
        </w:tc>
        <w:tc>
          <w:tcPr>
            <w:tcW w:w="1266" w:type="dxa"/>
            <w:vAlign w:val="center"/>
          </w:tcPr>
          <w:p>
            <w:pPr>
              <w:spacing w:line="360" w:lineRule="auto"/>
              <w:jc w:val="center"/>
              <w:rPr>
                <w:rFonts w:hAnsi="宋体"/>
                <w:sz w:val="21"/>
                <w:szCs w:val="21"/>
              </w:rPr>
            </w:pPr>
          </w:p>
        </w:tc>
        <w:tc>
          <w:tcPr>
            <w:tcW w:w="3371" w:type="dxa"/>
            <w:vAlign w:val="center"/>
          </w:tcPr>
          <w:p>
            <w:pPr>
              <w:spacing w:line="360" w:lineRule="auto"/>
              <w:jc w:val="center"/>
              <w:rPr>
                <w:rFonts w:hAnsi="宋体"/>
                <w:sz w:val="21"/>
                <w:szCs w:val="21"/>
              </w:rPr>
            </w:pPr>
          </w:p>
        </w:tc>
        <w:tc>
          <w:tcPr>
            <w:tcW w:w="2113" w:type="dxa"/>
          </w:tcPr>
          <w:p>
            <w:pPr>
              <w:keepNext/>
              <w:keepLines/>
              <w:autoSpaceDE/>
              <w:autoSpaceDN/>
              <w:adjustRightInd/>
              <w:spacing w:before="120" w:after="120" w:line="360" w:lineRule="auto"/>
              <w:ind w:left="-122" w:leftChars="-51"/>
              <w:jc w:val="center"/>
              <w:outlineLvl w:val="2"/>
              <w:rPr>
                <w:rFonts w:hAnsi="宋体"/>
                <w:kern w:val="2"/>
                <w:sz w:val="21"/>
                <w:szCs w:val="21"/>
              </w:rPr>
            </w:pPr>
          </w:p>
        </w:tc>
        <w:tc>
          <w:tcPr>
            <w:tcW w:w="2079" w:type="dxa"/>
            <w:vAlign w:val="center"/>
          </w:tcPr>
          <w:p>
            <w:pPr>
              <w:keepNext/>
              <w:keepLines/>
              <w:autoSpaceDE/>
              <w:autoSpaceDN/>
              <w:adjustRightInd/>
              <w:spacing w:before="120" w:after="120" w:line="360" w:lineRule="auto"/>
              <w:ind w:left="-122" w:leftChars="-51"/>
              <w:jc w:val="center"/>
              <w:outlineLvl w:val="2"/>
              <w:rPr>
                <w:rFonts w:hAnsi="宋体"/>
                <w:kern w:val="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863" w:type="dxa"/>
            <w:vAlign w:val="center"/>
          </w:tcPr>
          <w:p>
            <w:pPr>
              <w:autoSpaceDE/>
              <w:autoSpaceDN/>
              <w:adjustRightInd/>
              <w:spacing w:before="120" w:after="120" w:line="360" w:lineRule="auto"/>
              <w:ind w:left="-122" w:leftChars="-51"/>
              <w:jc w:val="center"/>
              <w:rPr>
                <w:rFonts w:hAnsi="宋体"/>
                <w:kern w:val="2"/>
                <w:sz w:val="21"/>
                <w:szCs w:val="21"/>
              </w:rPr>
            </w:pPr>
          </w:p>
        </w:tc>
        <w:tc>
          <w:tcPr>
            <w:tcW w:w="1266" w:type="dxa"/>
            <w:vAlign w:val="center"/>
          </w:tcPr>
          <w:p>
            <w:pPr>
              <w:spacing w:line="360" w:lineRule="auto"/>
              <w:jc w:val="center"/>
              <w:rPr>
                <w:rFonts w:hAnsi="宋体"/>
                <w:sz w:val="21"/>
                <w:szCs w:val="21"/>
              </w:rPr>
            </w:pPr>
          </w:p>
        </w:tc>
        <w:tc>
          <w:tcPr>
            <w:tcW w:w="3371" w:type="dxa"/>
            <w:vAlign w:val="center"/>
          </w:tcPr>
          <w:p>
            <w:pPr>
              <w:spacing w:line="360" w:lineRule="auto"/>
              <w:jc w:val="center"/>
              <w:rPr>
                <w:rFonts w:hAnsi="宋体"/>
                <w:sz w:val="21"/>
                <w:szCs w:val="21"/>
              </w:rPr>
            </w:pPr>
          </w:p>
        </w:tc>
        <w:tc>
          <w:tcPr>
            <w:tcW w:w="2113" w:type="dxa"/>
          </w:tcPr>
          <w:p>
            <w:pPr>
              <w:keepNext/>
              <w:keepLines/>
              <w:autoSpaceDE/>
              <w:autoSpaceDN/>
              <w:adjustRightInd/>
              <w:spacing w:before="120" w:after="120" w:line="360" w:lineRule="auto"/>
              <w:ind w:left="-122" w:leftChars="-51"/>
              <w:jc w:val="center"/>
              <w:outlineLvl w:val="2"/>
              <w:rPr>
                <w:rFonts w:hAnsi="宋体"/>
                <w:kern w:val="2"/>
                <w:sz w:val="21"/>
                <w:szCs w:val="21"/>
              </w:rPr>
            </w:pPr>
          </w:p>
        </w:tc>
        <w:tc>
          <w:tcPr>
            <w:tcW w:w="2079" w:type="dxa"/>
            <w:vAlign w:val="center"/>
          </w:tcPr>
          <w:p>
            <w:pPr>
              <w:keepNext/>
              <w:keepLines/>
              <w:autoSpaceDE/>
              <w:autoSpaceDN/>
              <w:adjustRightInd/>
              <w:spacing w:before="120" w:after="120" w:line="360" w:lineRule="auto"/>
              <w:ind w:left="-122" w:leftChars="-51"/>
              <w:jc w:val="center"/>
              <w:outlineLvl w:val="2"/>
              <w:rPr>
                <w:rFonts w:hAnsi="宋体"/>
                <w:kern w:val="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863" w:type="dxa"/>
          </w:tcPr>
          <w:p>
            <w:pPr>
              <w:autoSpaceDE/>
              <w:autoSpaceDN/>
              <w:adjustRightInd/>
              <w:spacing w:before="120" w:after="120" w:line="360" w:lineRule="auto"/>
              <w:ind w:left="-122" w:leftChars="-51"/>
              <w:jc w:val="center"/>
              <w:rPr>
                <w:rFonts w:hAnsi="宋体"/>
                <w:kern w:val="2"/>
                <w:sz w:val="21"/>
                <w:szCs w:val="21"/>
              </w:rPr>
            </w:pPr>
          </w:p>
        </w:tc>
        <w:tc>
          <w:tcPr>
            <w:tcW w:w="1266" w:type="dxa"/>
            <w:vAlign w:val="center"/>
          </w:tcPr>
          <w:p>
            <w:pPr>
              <w:spacing w:line="360" w:lineRule="auto"/>
              <w:jc w:val="center"/>
              <w:rPr>
                <w:rFonts w:hAnsi="宋体"/>
                <w:sz w:val="21"/>
                <w:szCs w:val="21"/>
              </w:rPr>
            </w:pPr>
          </w:p>
        </w:tc>
        <w:tc>
          <w:tcPr>
            <w:tcW w:w="3371" w:type="dxa"/>
            <w:vAlign w:val="center"/>
          </w:tcPr>
          <w:p>
            <w:pPr>
              <w:spacing w:line="360" w:lineRule="auto"/>
              <w:jc w:val="center"/>
              <w:rPr>
                <w:rFonts w:hAnsi="宋体"/>
                <w:sz w:val="21"/>
                <w:szCs w:val="21"/>
              </w:rPr>
            </w:pPr>
          </w:p>
        </w:tc>
        <w:tc>
          <w:tcPr>
            <w:tcW w:w="2113" w:type="dxa"/>
          </w:tcPr>
          <w:p>
            <w:pPr>
              <w:keepNext/>
              <w:keepLines/>
              <w:autoSpaceDE/>
              <w:autoSpaceDN/>
              <w:adjustRightInd/>
              <w:spacing w:before="120" w:after="120" w:line="360" w:lineRule="auto"/>
              <w:ind w:left="-122" w:leftChars="-51"/>
              <w:jc w:val="center"/>
              <w:outlineLvl w:val="2"/>
              <w:rPr>
                <w:rFonts w:hAnsi="宋体"/>
                <w:kern w:val="2"/>
                <w:sz w:val="21"/>
                <w:szCs w:val="21"/>
              </w:rPr>
            </w:pPr>
          </w:p>
        </w:tc>
        <w:tc>
          <w:tcPr>
            <w:tcW w:w="2079" w:type="dxa"/>
          </w:tcPr>
          <w:p>
            <w:pPr>
              <w:keepNext/>
              <w:keepLines/>
              <w:autoSpaceDE/>
              <w:autoSpaceDN/>
              <w:adjustRightInd/>
              <w:spacing w:before="120" w:after="120" w:line="360" w:lineRule="auto"/>
              <w:ind w:left="-122" w:leftChars="-51"/>
              <w:jc w:val="center"/>
              <w:outlineLvl w:val="2"/>
              <w:rPr>
                <w:rFonts w:hAnsi="宋体"/>
                <w:kern w:val="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863" w:type="dxa"/>
          </w:tcPr>
          <w:p>
            <w:pPr>
              <w:autoSpaceDE/>
              <w:autoSpaceDN/>
              <w:adjustRightInd/>
              <w:spacing w:before="120" w:after="120" w:line="360" w:lineRule="auto"/>
              <w:ind w:left="-122" w:leftChars="-51"/>
              <w:jc w:val="center"/>
              <w:rPr>
                <w:rFonts w:hAnsi="宋体"/>
                <w:kern w:val="2"/>
                <w:sz w:val="21"/>
                <w:szCs w:val="21"/>
              </w:rPr>
            </w:pPr>
          </w:p>
        </w:tc>
        <w:tc>
          <w:tcPr>
            <w:tcW w:w="1266" w:type="dxa"/>
            <w:vAlign w:val="center"/>
          </w:tcPr>
          <w:p>
            <w:pPr>
              <w:spacing w:line="360" w:lineRule="auto"/>
              <w:jc w:val="center"/>
              <w:rPr>
                <w:rFonts w:hAnsi="宋体"/>
                <w:sz w:val="21"/>
                <w:szCs w:val="21"/>
              </w:rPr>
            </w:pPr>
          </w:p>
        </w:tc>
        <w:tc>
          <w:tcPr>
            <w:tcW w:w="3371" w:type="dxa"/>
            <w:vAlign w:val="center"/>
          </w:tcPr>
          <w:p>
            <w:pPr>
              <w:spacing w:line="360" w:lineRule="auto"/>
              <w:jc w:val="center"/>
              <w:rPr>
                <w:rFonts w:hAnsi="宋体"/>
                <w:sz w:val="21"/>
                <w:szCs w:val="21"/>
              </w:rPr>
            </w:pPr>
          </w:p>
        </w:tc>
        <w:tc>
          <w:tcPr>
            <w:tcW w:w="2113" w:type="dxa"/>
          </w:tcPr>
          <w:p>
            <w:pPr>
              <w:keepNext/>
              <w:keepLines/>
              <w:autoSpaceDE/>
              <w:autoSpaceDN/>
              <w:adjustRightInd/>
              <w:spacing w:before="120" w:after="120" w:line="360" w:lineRule="auto"/>
              <w:ind w:left="-122" w:leftChars="-51"/>
              <w:jc w:val="center"/>
              <w:outlineLvl w:val="2"/>
              <w:rPr>
                <w:rFonts w:hAnsi="宋体"/>
                <w:kern w:val="2"/>
                <w:sz w:val="21"/>
                <w:szCs w:val="21"/>
              </w:rPr>
            </w:pPr>
          </w:p>
        </w:tc>
        <w:tc>
          <w:tcPr>
            <w:tcW w:w="2079" w:type="dxa"/>
          </w:tcPr>
          <w:p>
            <w:pPr>
              <w:keepNext/>
              <w:keepLines/>
              <w:autoSpaceDE/>
              <w:autoSpaceDN/>
              <w:adjustRightInd/>
              <w:spacing w:before="120" w:after="120" w:line="360" w:lineRule="auto"/>
              <w:ind w:left="-122" w:leftChars="-51"/>
              <w:jc w:val="center"/>
              <w:outlineLvl w:val="2"/>
              <w:rPr>
                <w:rFonts w:hAnsi="宋体"/>
                <w:kern w:val="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863" w:type="dxa"/>
          </w:tcPr>
          <w:p>
            <w:pPr>
              <w:autoSpaceDE/>
              <w:autoSpaceDN/>
              <w:adjustRightInd/>
              <w:spacing w:before="120" w:after="120" w:line="360" w:lineRule="auto"/>
              <w:ind w:left="-122" w:leftChars="-51"/>
              <w:jc w:val="center"/>
              <w:rPr>
                <w:rFonts w:hAnsi="宋体"/>
                <w:kern w:val="2"/>
                <w:sz w:val="21"/>
                <w:szCs w:val="21"/>
              </w:rPr>
            </w:pPr>
          </w:p>
        </w:tc>
        <w:tc>
          <w:tcPr>
            <w:tcW w:w="1266" w:type="dxa"/>
            <w:vAlign w:val="center"/>
          </w:tcPr>
          <w:p>
            <w:pPr>
              <w:spacing w:line="360" w:lineRule="auto"/>
              <w:jc w:val="center"/>
              <w:rPr>
                <w:rFonts w:hAnsi="宋体"/>
                <w:sz w:val="21"/>
                <w:szCs w:val="21"/>
              </w:rPr>
            </w:pPr>
          </w:p>
        </w:tc>
        <w:tc>
          <w:tcPr>
            <w:tcW w:w="3371" w:type="dxa"/>
            <w:vAlign w:val="center"/>
          </w:tcPr>
          <w:p>
            <w:pPr>
              <w:spacing w:line="360" w:lineRule="auto"/>
              <w:jc w:val="center"/>
              <w:rPr>
                <w:rFonts w:hAnsi="宋体"/>
                <w:sz w:val="21"/>
                <w:szCs w:val="21"/>
              </w:rPr>
            </w:pPr>
          </w:p>
        </w:tc>
        <w:tc>
          <w:tcPr>
            <w:tcW w:w="2113" w:type="dxa"/>
          </w:tcPr>
          <w:p>
            <w:pPr>
              <w:keepNext/>
              <w:keepLines/>
              <w:autoSpaceDE/>
              <w:autoSpaceDN/>
              <w:adjustRightInd/>
              <w:spacing w:before="120" w:after="120" w:line="360" w:lineRule="auto"/>
              <w:ind w:left="-122" w:leftChars="-51"/>
              <w:jc w:val="center"/>
              <w:outlineLvl w:val="2"/>
              <w:rPr>
                <w:rFonts w:hAnsi="宋体"/>
                <w:kern w:val="2"/>
                <w:sz w:val="21"/>
                <w:szCs w:val="21"/>
              </w:rPr>
            </w:pPr>
          </w:p>
        </w:tc>
        <w:tc>
          <w:tcPr>
            <w:tcW w:w="2079" w:type="dxa"/>
          </w:tcPr>
          <w:p>
            <w:pPr>
              <w:keepNext/>
              <w:keepLines/>
              <w:autoSpaceDE/>
              <w:autoSpaceDN/>
              <w:adjustRightInd/>
              <w:spacing w:before="120" w:after="120" w:line="360" w:lineRule="auto"/>
              <w:ind w:left="-122" w:leftChars="-51"/>
              <w:jc w:val="center"/>
              <w:outlineLvl w:val="2"/>
              <w:rPr>
                <w:rFonts w:hAnsi="宋体"/>
                <w:kern w:val="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863" w:type="dxa"/>
          </w:tcPr>
          <w:p>
            <w:pPr>
              <w:autoSpaceDE/>
              <w:autoSpaceDN/>
              <w:adjustRightInd/>
              <w:spacing w:before="120" w:after="120" w:line="360" w:lineRule="auto"/>
              <w:ind w:left="-122" w:leftChars="-51"/>
              <w:jc w:val="center"/>
              <w:rPr>
                <w:rFonts w:hAnsi="宋体"/>
                <w:kern w:val="2"/>
                <w:sz w:val="21"/>
                <w:szCs w:val="21"/>
              </w:rPr>
            </w:pPr>
          </w:p>
        </w:tc>
        <w:tc>
          <w:tcPr>
            <w:tcW w:w="1266" w:type="dxa"/>
            <w:vAlign w:val="center"/>
          </w:tcPr>
          <w:p>
            <w:pPr>
              <w:spacing w:line="360" w:lineRule="auto"/>
              <w:jc w:val="center"/>
              <w:rPr>
                <w:rFonts w:hAnsi="宋体"/>
                <w:sz w:val="21"/>
                <w:szCs w:val="21"/>
              </w:rPr>
            </w:pPr>
          </w:p>
        </w:tc>
        <w:tc>
          <w:tcPr>
            <w:tcW w:w="3371" w:type="dxa"/>
            <w:vAlign w:val="center"/>
          </w:tcPr>
          <w:p>
            <w:pPr>
              <w:spacing w:line="360" w:lineRule="auto"/>
              <w:jc w:val="center"/>
              <w:rPr>
                <w:rFonts w:hAnsi="宋体"/>
                <w:sz w:val="21"/>
                <w:szCs w:val="21"/>
              </w:rPr>
            </w:pPr>
          </w:p>
        </w:tc>
        <w:tc>
          <w:tcPr>
            <w:tcW w:w="2113" w:type="dxa"/>
          </w:tcPr>
          <w:p>
            <w:pPr>
              <w:keepNext/>
              <w:keepLines/>
              <w:autoSpaceDE/>
              <w:autoSpaceDN/>
              <w:adjustRightInd/>
              <w:spacing w:before="120" w:after="120" w:line="360" w:lineRule="auto"/>
              <w:ind w:left="-122" w:leftChars="-51"/>
              <w:jc w:val="center"/>
              <w:outlineLvl w:val="2"/>
              <w:rPr>
                <w:rFonts w:hAnsi="宋体"/>
                <w:kern w:val="2"/>
                <w:sz w:val="21"/>
                <w:szCs w:val="21"/>
              </w:rPr>
            </w:pPr>
          </w:p>
        </w:tc>
        <w:tc>
          <w:tcPr>
            <w:tcW w:w="2079" w:type="dxa"/>
          </w:tcPr>
          <w:p>
            <w:pPr>
              <w:keepNext/>
              <w:keepLines/>
              <w:autoSpaceDE/>
              <w:autoSpaceDN/>
              <w:adjustRightInd/>
              <w:spacing w:before="120" w:after="120" w:line="360" w:lineRule="auto"/>
              <w:ind w:left="-122" w:leftChars="-51"/>
              <w:jc w:val="center"/>
              <w:outlineLvl w:val="2"/>
              <w:rPr>
                <w:rFonts w:hAnsi="宋体"/>
                <w:kern w:val="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863" w:type="dxa"/>
          </w:tcPr>
          <w:p>
            <w:pPr>
              <w:autoSpaceDE/>
              <w:autoSpaceDN/>
              <w:adjustRightInd/>
              <w:spacing w:before="120" w:after="120" w:line="360" w:lineRule="auto"/>
              <w:ind w:left="-122" w:leftChars="-51"/>
              <w:jc w:val="center"/>
              <w:rPr>
                <w:rFonts w:hAnsi="宋体"/>
                <w:kern w:val="2"/>
                <w:sz w:val="21"/>
                <w:szCs w:val="21"/>
              </w:rPr>
            </w:pPr>
          </w:p>
        </w:tc>
        <w:tc>
          <w:tcPr>
            <w:tcW w:w="1266" w:type="dxa"/>
            <w:vAlign w:val="center"/>
          </w:tcPr>
          <w:p>
            <w:pPr>
              <w:spacing w:line="360" w:lineRule="auto"/>
              <w:jc w:val="center"/>
              <w:rPr>
                <w:rFonts w:hAnsi="宋体"/>
                <w:sz w:val="21"/>
                <w:szCs w:val="21"/>
              </w:rPr>
            </w:pPr>
          </w:p>
        </w:tc>
        <w:tc>
          <w:tcPr>
            <w:tcW w:w="3371" w:type="dxa"/>
            <w:vAlign w:val="center"/>
          </w:tcPr>
          <w:p>
            <w:pPr>
              <w:spacing w:line="360" w:lineRule="auto"/>
              <w:jc w:val="center"/>
              <w:rPr>
                <w:rFonts w:hAnsi="宋体"/>
                <w:sz w:val="21"/>
                <w:szCs w:val="21"/>
              </w:rPr>
            </w:pPr>
          </w:p>
        </w:tc>
        <w:tc>
          <w:tcPr>
            <w:tcW w:w="2113" w:type="dxa"/>
          </w:tcPr>
          <w:p>
            <w:pPr>
              <w:keepNext/>
              <w:keepLines/>
              <w:autoSpaceDE/>
              <w:autoSpaceDN/>
              <w:adjustRightInd/>
              <w:spacing w:before="120" w:after="120" w:line="360" w:lineRule="auto"/>
              <w:ind w:left="-122" w:leftChars="-51"/>
              <w:jc w:val="center"/>
              <w:outlineLvl w:val="2"/>
              <w:rPr>
                <w:rFonts w:hAnsi="宋体"/>
                <w:kern w:val="2"/>
                <w:sz w:val="21"/>
                <w:szCs w:val="21"/>
              </w:rPr>
            </w:pPr>
          </w:p>
        </w:tc>
        <w:tc>
          <w:tcPr>
            <w:tcW w:w="2079" w:type="dxa"/>
          </w:tcPr>
          <w:p>
            <w:pPr>
              <w:keepNext/>
              <w:keepLines/>
              <w:autoSpaceDE/>
              <w:autoSpaceDN/>
              <w:adjustRightInd/>
              <w:spacing w:before="120" w:after="120" w:line="360" w:lineRule="auto"/>
              <w:ind w:left="-122" w:leftChars="-51"/>
              <w:jc w:val="center"/>
              <w:outlineLvl w:val="2"/>
              <w:rPr>
                <w:rFonts w:hAnsi="宋体"/>
                <w:kern w:val="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863" w:type="dxa"/>
          </w:tcPr>
          <w:p>
            <w:pPr>
              <w:autoSpaceDE/>
              <w:autoSpaceDN/>
              <w:adjustRightInd/>
              <w:spacing w:before="120" w:after="120" w:line="360" w:lineRule="auto"/>
              <w:ind w:left="-122" w:leftChars="-51"/>
              <w:jc w:val="center"/>
              <w:rPr>
                <w:rFonts w:hAnsi="宋体"/>
                <w:kern w:val="2"/>
                <w:sz w:val="21"/>
                <w:szCs w:val="21"/>
              </w:rPr>
            </w:pPr>
          </w:p>
        </w:tc>
        <w:tc>
          <w:tcPr>
            <w:tcW w:w="1266" w:type="dxa"/>
            <w:vAlign w:val="center"/>
          </w:tcPr>
          <w:p>
            <w:pPr>
              <w:spacing w:line="360" w:lineRule="auto"/>
              <w:jc w:val="center"/>
              <w:rPr>
                <w:rFonts w:hAnsi="宋体"/>
                <w:sz w:val="21"/>
                <w:szCs w:val="21"/>
              </w:rPr>
            </w:pPr>
          </w:p>
        </w:tc>
        <w:tc>
          <w:tcPr>
            <w:tcW w:w="3371" w:type="dxa"/>
            <w:vAlign w:val="center"/>
          </w:tcPr>
          <w:p>
            <w:pPr>
              <w:spacing w:line="360" w:lineRule="auto"/>
              <w:jc w:val="center"/>
              <w:rPr>
                <w:rFonts w:hAnsi="宋体"/>
                <w:sz w:val="21"/>
                <w:szCs w:val="21"/>
              </w:rPr>
            </w:pPr>
          </w:p>
        </w:tc>
        <w:tc>
          <w:tcPr>
            <w:tcW w:w="2113" w:type="dxa"/>
          </w:tcPr>
          <w:p>
            <w:pPr>
              <w:keepNext/>
              <w:keepLines/>
              <w:autoSpaceDE/>
              <w:autoSpaceDN/>
              <w:adjustRightInd/>
              <w:spacing w:before="120" w:after="120" w:line="360" w:lineRule="auto"/>
              <w:ind w:left="-122" w:leftChars="-51"/>
              <w:jc w:val="center"/>
              <w:outlineLvl w:val="2"/>
              <w:rPr>
                <w:rFonts w:hAnsi="宋体"/>
                <w:kern w:val="2"/>
                <w:sz w:val="21"/>
                <w:szCs w:val="21"/>
              </w:rPr>
            </w:pPr>
          </w:p>
        </w:tc>
        <w:tc>
          <w:tcPr>
            <w:tcW w:w="2079" w:type="dxa"/>
          </w:tcPr>
          <w:p>
            <w:pPr>
              <w:keepNext/>
              <w:keepLines/>
              <w:autoSpaceDE/>
              <w:autoSpaceDN/>
              <w:adjustRightInd/>
              <w:spacing w:before="120" w:after="120" w:line="360" w:lineRule="auto"/>
              <w:ind w:left="-122" w:leftChars="-51"/>
              <w:jc w:val="center"/>
              <w:outlineLvl w:val="2"/>
              <w:rPr>
                <w:rFonts w:hAnsi="宋体"/>
                <w:kern w:val="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863" w:type="dxa"/>
          </w:tcPr>
          <w:p>
            <w:pPr>
              <w:autoSpaceDE/>
              <w:autoSpaceDN/>
              <w:adjustRightInd/>
              <w:spacing w:before="120" w:after="120" w:line="360" w:lineRule="auto"/>
              <w:ind w:left="-122" w:leftChars="-51"/>
              <w:jc w:val="center"/>
              <w:rPr>
                <w:rFonts w:hAnsi="宋体"/>
                <w:kern w:val="2"/>
                <w:sz w:val="21"/>
                <w:szCs w:val="21"/>
              </w:rPr>
            </w:pPr>
          </w:p>
        </w:tc>
        <w:tc>
          <w:tcPr>
            <w:tcW w:w="1266" w:type="dxa"/>
            <w:vAlign w:val="center"/>
          </w:tcPr>
          <w:p>
            <w:pPr>
              <w:spacing w:line="360" w:lineRule="auto"/>
              <w:jc w:val="center"/>
              <w:rPr>
                <w:rFonts w:hAnsi="宋体"/>
                <w:sz w:val="21"/>
                <w:szCs w:val="21"/>
              </w:rPr>
            </w:pPr>
          </w:p>
        </w:tc>
        <w:tc>
          <w:tcPr>
            <w:tcW w:w="3371" w:type="dxa"/>
            <w:vAlign w:val="center"/>
          </w:tcPr>
          <w:p>
            <w:pPr>
              <w:spacing w:line="360" w:lineRule="auto"/>
              <w:jc w:val="center"/>
              <w:rPr>
                <w:rFonts w:hAnsi="宋体"/>
                <w:sz w:val="21"/>
                <w:szCs w:val="21"/>
              </w:rPr>
            </w:pPr>
          </w:p>
        </w:tc>
        <w:tc>
          <w:tcPr>
            <w:tcW w:w="2113" w:type="dxa"/>
          </w:tcPr>
          <w:p>
            <w:pPr>
              <w:keepNext/>
              <w:keepLines/>
              <w:autoSpaceDE/>
              <w:autoSpaceDN/>
              <w:adjustRightInd/>
              <w:spacing w:before="120" w:after="120" w:line="360" w:lineRule="auto"/>
              <w:ind w:left="-122" w:leftChars="-51"/>
              <w:jc w:val="center"/>
              <w:outlineLvl w:val="2"/>
              <w:rPr>
                <w:rFonts w:hAnsi="宋体"/>
                <w:kern w:val="2"/>
                <w:sz w:val="21"/>
                <w:szCs w:val="21"/>
              </w:rPr>
            </w:pPr>
          </w:p>
        </w:tc>
        <w:tc>
          <w:tcPr>
            <w:tcW w:w="2079" w:type="dxa"/>
          </w:tcPr>
          <w:p>
            <w:pPr>
              <w:keepNext/>
              <w:keepLines/>
              <w:autoSpaceDE/>
              <w:autoSpaceDN/>
              <w:adjustRightInd/>
              <w:spacing w:before="120" w:after="120" w:line="360" w:lineRule="auto"/>
              <w:ind w:left="-122" w:leftChars="-51"/>
              <w:jc w:val="center"/>
              <w:outlineLvl w:val="2"/>
              <w:rPr>
                <w:rFonts w:hAnsi="宋体"/>
                <w:kern w:val="2"/>
                <w:sz w:val="21"/>
                <w:szCs w:val="21"/>
              </w:rPr>
            </w:pPr>
          </w:p>
        </w:tc>
      </w:tr>
    </w:tbl>
    <w:p>
      <w:pPr>
        <w:autoSpaceDE/>
        <w:autoSpaceDN/>
        <w:adjustRightInd/>
        <w:spacing w:line="360" w:lineRule="auto"/>
        <w:ind w:left="565" w:leftChars="-59" w:hanging="707" w:hangingChars="337"/>
        <w:jc w:val="both"/>
        <w:rPr>
          <w:rFonts w:hAnsi="宋体"/>
          <w:b/>
          <w:kern w:val="2"/>
          <w:sz w:val="21"/>
          <w:szCs w:val="21"/>
        </w:rPr>
      </w:pPr>
      <w:r>
        <w:rPr>
          <w:rFonts w:hint="eastAsia" w:hAnsi="宋体"/>
          <w:kern w:val="2"/>
          <w:sz w:val="21"/>
          <w:szCs w:val="21"/>
        </w:rPr>
        <w:t>注：1、</w:t>
      </w:r>
      <w:r>
        <w:rPr>
          <w:rFonts w:hint="eastAsia" w:hAnsi="宋体"/>
          <w:b/>
          <w:kern w:val="2"/>
          <w:sz w:val="21"/>
          <w:szCs w:val="21"/>
        </w:rPr>
        <w:t>供应商应按照磋商文件用户需求要求，逐条、如实地填写“偏离情况”项</w:t>
      </w:r>
      <w:r>
        <w:rPr>
          <w:rFonts w:hint="eastAsia" w:hAnsi="宋体"/>
          <w:kern w:val="2"/>
          <w:sz w:val="21"/>
          <w:szCs w:val="21"/>
        </w:rPr>
        <w:t>。</w:t>
      </w:r>
      <w:r>
        <w:rPr>
          <w:rFonts w:hint="eastAsia" w:hAnsi="宋体"/>
          <w:b/>
          <w:kern w:val="2"/>
          <w:sz w:val="21"/>
          <w:szCs w:val="21"/>
        </w:rPr>
        <w:t>“偏离情况”项为正偏离（或负偏离）的，必须在“具体偏离内容”项内详细说明与磋商文件的偏离内容，“偏离情况”项为无偏离的，在“具体偏离内容”项内填“无”。若发现此表未逐条填写或虚假填写本表，按无效磋商响应文件处理。</w:t>
      </w:r>
    </w:p>
    <w:p>
      <w:pPr>
        <w:autoSpaceDE/>
        <w:autoSpaceDN/>
        <w:adjustRightInd/>
        <w:spacing w:line="360" w:lineRule="auto"/>
        <w:ind w:left="561" w:leftChars="115" w:hanging="285" w:hangingChars="135"/>
        <w:jc w:val="both"/>
        <w:rPr>
          <w:rFonts w:hAnsi="宋体"/>
          <w:i/>
          <w:iCs/>
          <w:sz w:val="21"/>
          <w:szCs w:val="21"/>
        </w:rPr>
      </w:pPr>
      <w:r>
        <w:rPr>
          <w:rFonts w:hint="eastAsia" w:hAnsi="宋体"/>
          <w:b/>
          <w:kern w:val="2"/>
          <w:sz w:val="21"/>
          <w:szCs w:val="21"/>
        </w:rPr>
        <w:t>2、由供应商自行补充磋商文件所有“★”号条款内容（如有），标注“★”号条款均为必须完全满足指标，供应商须进行实质性响应，供应商若有一项带“★”的条款未响应或不满足，将按无效磋商处理。</w:t>
      </w:r>
    </w:p>
    <w:p>
      <w:pPr>
        <w:overflowPunct w:val="0"/>
        <w:spacing w:line="460" w:lineRule="exact"/>
        <w:rPr>
          <w:rFonts w:hAnsi="宋体"/>
          <w:sz w:val="21"/>
          <w:szCs w:val="21"/>
        </w:rPr>
      </w:pPr>
      <w:r>
        <w:rPr>
          <w:rFonts w:hint="eastAsia" w:hAnsi="宋体"/>
          <w:sz w:val="21"/>
          <w:szCs w:val="21"/>
        </w:rPr>
        <w:t>供应商名称（加盖公章）：</w:t>
      </w:r>
    </w:p>
    <w:p>
      <w:pPr>
        <w:overflowPunct w:val="0"/>
        <w:spacing w:line="460" w:lineRule="exact"/>
        <w:rPr>
          <w:rFonts w:hAnsi="宋体"/>
          <w:sz w:val="21"/>
          <w:szCs w:val="21"/>
        </w:rPr>
      </w:pPr>
      <w:r>
        <w:rPr>
          <w:rFonts w:hint="eastAsia" w:hAnsi="宋体"/>
          <w:sz w:val="21"/>
          <w:szCs w:val="21"/>
        </w:rPr>
        <w:t>供应商法定代表人或受委托人（签名或盖私章）：</w:t>
      </w:r>
    </w:p>
    <w:p>
      <w:pPr>
        <w:rPr>
          <w:rFonts w:hAnsi="宋体"/>
          <w:sz w:val="22"/>
          <w:szCs w:val="22"/>
        </w:rPr>
      </w:pPr>
      <w:r>
        <w:rPr>
          <w:rFonts w:hint="eastAsia" w:hAnsi="宋体"/>
          <w:sz w:val="21"/>
          <w:szCs w:val="21"/>
        </w:rPr>
        <w:t>日期：年月日</w:t>
      </w:r>
    </w:p>
    <w:p>
      <w:pPr>
        <w:pStyle w:val="13"/>
        <w:ind w:firstLine="400"/>
      </w:pPr>
    </w:p>
    <w:p>
      <w:pPr>
        <w:pStyle w:val="4"/>
        <w:numPr>
          <w:ilvl w:val="0"/>
          <w:numId w:val="19"/>
        </w:numPr>
        <w:jc w:val="center"/>
        <w:rPr>
          <w:sz w:val="28"/>
          <w:szCs w:val="28"/>
        </w:rPr>
      </w:pPr>
      <w:bookmarkStart w:id="214" w:name="_Toc12735"/>
      <w:r>
        <w:rPr>
          <w:rFonts w:hint="eastAsia"/>
          <w:bCs/>
          <w:sz w:val="28"/>
          <w:szCs w:val="28"/>
        </w:rPr>
        <w:t>供应商所获资质或奖项证书一览表</w:t>
      </w:r>
      <w:bookmarkEnd w:id="212"/>
      <w:bookmarkEnd w:id="213"/>
      <w:bookmarkEnd w:id="214"/>
    </w:p>
    <w:p>
      <w:pPr>
        <w:pStyle w:val="13"/>
        <w:tabs>
          <w:tab w:val="left" w:pos="8280"/>
        </w:tabs>
        <w:spacing w:line="480" w:lineRule="exact"/>
        <w:ind w:firstLine="482"/>
        <w:rPr>
          <w:rFonts w:hAnsi="宋体"/>
          <w:b/>
          <w:sz w:val="24"/>
          <w:szCs w:val="21"/>
        </w:rPr>
      </w:pPr>
    </w:p>
    <w:tbl>
      <w:tblPr>
        <w:tblStyle w:val="52"/>
        <w:tblW w:w="864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2218"/>
        <w:gridCol w:w="2218"/>
        <w:gridCol w:w="1862"/>
        <w:gridCol w:w="15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7" w:type="dxa"/>
            <w:vAlign w:val="center"/>
          </w:tcPr>
          <w:p>
            <w:pPr>
              <w:pStyle w:val="13"/>
              <w:ind w:firstLine="0" w:firstLineChars="0"/>
              <w:jc w:val="both"/>
              <w:rPr>
                <w:rFonts w:ascii="Times New Roman" w:hAnsi="宋体"/>
                <w:b/>
                <w:bCs/>
                <w:sz w:val="21"/>
                <w:szCs w:val="21"/>
              </w:rPr>
            </w:pPr>
            <w:r>
              <w:rPr>
                <w:rFonts w:hint="eastAsia" w:ascii="Times New Roman" w:hAnsi="宋体"/>
                <w:b/>
                <w:bCs/>
                <w:sz w:val="21"/>
                <w:szCs w:val="21"/>
              </w:rPr>
              <w:t>序号</w:t>
            </w:r>
          </w:p>
        </w:tc>
        <w:tc>
          <w:tcPr>
            <w:tcW w:w="2218" w:type="dxa"/>
            <w:vAlign w:val="center"/>
          </w:tcPr>
          <w:p>
            <w:pPr>
              <w:pStyle w:val="13"/>
              <w:ind w:firstLine="422"/>
              <w:jc w:val="center"/>
              <w:rPr>
                <w:rFonts w:ascii="Times New Roman" w:hAnsi="宋体"/>
                <w:b/>
                <w:bCs/>
                <w:sz w:val="21"/>
                <w:szCs w:val="21"/>
              </w:rPr>
            </w:pPr>
            <w:r>
              <w:rPr>
                <w:rFonts w:hint="eastAsia" w:ascii="Times New Roman" w:hAnsi="宋体"/>
                <w:b/>
                <w:bCs/>
                <w:sz w:val="21"/>
                <w:szCs w:val="21"/>
              </w:rPr>
              <w:t>证书名称及等级</w:t>
            </w:r>
          </w:p>
        </w:tc>
        <w:tc>
          <w:tcPr>
            <w:tcW w:w="2218" w:type="dxa"/>
            <w:vAlign w:val="center"/>
          </w:tcPr>
          <w:p>
            <w:pPr>
              <w:pStyle w:val="13"/>
              <w:ind w:firstLine="422"/>
              <w:jc w:val="center"/>
              <w:rPr>
                <w:rFonts w:ascii="Times New Roman" w:hAnsi="宋体"/>
                <w:b/>
                <w:bCs/>
                <w:sz w:val="21"/>
                <w:szCs w:val="21"/>
              </w:rPr>
            </w:pPr>
            <w:r>
              <w:rPr>
                <w:rFonts w:hint="eastAsia" w:ascii="Times New Roman" w:hAnsi="宋体"/>
                <w:b/>
                <w:bCs/>
                <w:sz w:val="21"/>
                <w:szCs w:val="21"/>
              </w:rPr>
              <w:t>证书编号</w:t>
            </w:r>
          </w:p>
        </w:tc>
        <w:tc>
          <w:tcPr>
            <w:tcW w:w="1862" w:type="dxa"/>
            <w:vAlign w:val="center"/>
          </w:tcPr>
          <w:p>
            <w:pPr>
              <w:pStyle w:val="13"/>
              <w:ind w:firstLine="422"/>
              <w:jc w:val="center"/>
              <w:rPr>
                <w:rFonts w:ascii="Times New Roman" w:hAnsi="宋体"/>
                <w:b/>
                <w:bCs/>
                <w:sz w:val="21"/>
                <w:szCs w:val="21"/>
              </w:rPr>
            </w:pPr>
            <w:r>
              <w:rPr>
                <w:rFonts w:hint="eastAsia" w:ascii="Times New Roman" w:hAnsi="宋体"/>
                <w:b/>
                <w:bCs/>
                <w:sz w:val="21"/>
                <w:szCs w:val="21"/>
              </w:rPr>
              <w:t>发证单位</w:t>
            </w:r>
          </w:p>
        </w:tc>
        <w:tc>
          <w:tcPr>
            <w:tcW w:w="1529" w:type="dxa"/>
            <w:vAlign w:val="center"/>
          </w:tcPr>
          <w:p>
            <w:pPr>
              <w:pStyle w:val="13"/>
              <w:ind w:firstLine="422"/>
              <w:jc w:val="center"/>
              <w:rPr>
                <w:rFonts w:ascii="Times New Roman" w:hAnsi="宋体"/>
                <w:b/>
                <w:bCs/>
                <w:sz w:val="21"/>
                <w:szCs w:val="21"/>
              </w:rPr>
            </w:pPr>
            <w:r>
              <w:rPr>
                <w:rFonts w:hint="eastAsia" w:ascii="Times New Roman" w:hAnsi="宋体"/>
                <w:b/>
                <w:bCs/>
                <w:sz w:val="21"/>
                <w:szCs w:val="21"/>
              </w:rPr>
              <w:t>证书有效期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7" w:type="dxa"/>
            <w:vAlign w:val="center"/>
          </w:tcPr>
          <w:p>
            <w:pPr>
              <w:pStyle w:val="13"/>
              <w:ind w:firstLine="422"/>
              <w:jc w:val="center"/>
              <w:rPr>
                <w:rFonts w:ascii="Times New Roman" w:hAnsi="宋体"/>
                <w:b/>
                <w:bCs/>
                <w:sz w:val="21"/>
                <w:szCs w:val="21"/>
              </w:rPr>
            </w:pPr>
          </w:p>
        </w:tc>
        <w:tc>
          <w:tcPr>
            <w:tcW w:w="2218" w:type="dxa"/>
            <w:vAlign w:val="center"/>
          </w:tcPr>
          <w:p>
            <w:pPr>
              <w:pStyle w:val="13"/>
              <w:ind w:firstLine="422"/>
              <w:jc w:val="center"/>
              <w:rPr>
                <w:rFonts w:ascii="Times New Roman" w:hAnsi="宋体"/>
                <w:b/>
                <w:bCs/>
                <w:sz w:val="21"/>
                <w:szCs w:val="21"/>
              </w:rPr>
            </w:pPr>
          </w:p>
        </w:tc>
        <w:tc>
          <w:tcPr>
            <w:tcW w:w="2218" w:type="dxa"/>
            <w:vAlign w:val="center"/>
          </w:tcPr>
          <w:p>
            <w:pPr>
              <w:pStyle w:val="13"/>
              <w:ind w:firstLine="422"/>
              <w:jc w:val="center"/>
              <w:rPr>
                <w:rFonts w:ascii="Times New Roman" w:hAnsi="宋体"/>
                <w:b/>
                <w:bCs/>
                <w:sz w:val="21"/>
                <w:szCs w:val="21"/>
              </w:rPr>
            </w:pPr>
          </w:p>
        </w:tc>
        <w:tc>
          <w:tcPr>
            <w:tcW w:w="1862" w:type="dxa"/>
            <w:vAlign w:val="center"/>
          </w:tcPr>
          <w:p>
            <w:pPr>
              <w:pStyle w:val="13"/>
              <w:ind w:firstLine="422"/>
              <w:jc w:val="center"/>
              <w:rPr>
                <w:rFonts w:ascii="Times New Roman" w:hAnsi="宋体"/>
                <w:b/>
                <w:bCs/>
                <w:sz w:val="21"/>
                <w:szCs w:val="21"/>
              </w:rPr>
            </w:pPr>
          </w:p>
        </w:tc>
        <w:tc>
          <w:tcPr>
            <w:tcW w:w="1529" w:type="dxa"/>
            <w:vAlign w:val="center"/>
          </w:tcPr>
          <w:p>
            <w:pPr>
              <w:pStyle w:val="13"/>
              <w:ind w:firstLine="422"/>
              <w:jc w:val="center"/>
              <w:rPr>
                <w:rFonts w:ascii="Times New Roman" w:hAnsi="宋体"/>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7" w:type="dxa"/>
            <w:vAlign w:val="center"/>
          </w:tcPr>
          <w:p>
            <w:pPr>
              <w:pStyle w:val="13"/>
              <w:ind w:firstLine="422"/>
              <w:jc w:val="center"/>
              <w:rPr>
                <w:rFonts w:ascii="Times New Roman" w:hAnsi="宋体"/>
                <w:b/>
                <w:bCs/>
                <w:sz w:val="21"/>
                <w:szCs w:val="21"/>
              </w:rPr>
            </w:pPr>
          </w:p>
        </w:tc>
        <w:tc>
          <w:tcPr>
            <w:tcW w:w="2218" w:type="dxa"/>
            <w:vAlign w:val="center"/>
          </w:tcPr>
          <w:p>
            <w:pPr>
              <w:pStyle w:val="13"/>
              <w:ind w:firstLine="422"/>
              <w:jc w:val="center"/>
              <w:rPr>
                <w:rFonts w:ascii="Times New Roman" w:hAnsi="宋体"/>
                <w:b/>
                <w:bCs/>
                <w:sz w:val="21"/>
                <w:szCs w:val="21"/>
              </w:rPr>
            </w:pPr>
          </w:p>
        </w:tc>
        <w:tc>
          <w:tcPr>
            <w:tcW w:w="2218" w:type="dxa"/>
            <w:vAlign w:val="center"/>
          </w:tcPr>
          <w:p>
            <w:pPr>
              <w:pStyle w:val="13"/>
              <w:ind w:firstLine="422"/>
              <w:jc w:val="center"/>
              <w:rPr>
                <w:rFonts w:ascii="Times New Roman" w:hAnsi="宋体"/>
                <w:b/>
                <w:bCs/>
                <w:sz w:val="21"/>
                <w:szCs w:val="21"/>
              </w:rPr>
            </w:pPr>
          </w:p>
        </w:tc>
        <w:tc>
          <w:tcPr>
            <w:tcW w:w="1862" w:type="dxa"/>
            <w:vAlign w:val="center"/>
          </w:tcPr>
          <w:p>
            <w:pPr>
              <w:pStyle w:val="13"/>
              <w:ind w:firstLine="422"/>
              <w:jc w:val="center"/>
              <w:rPr>
                <w:rFonts w:ascii="Times New Roman" w:hAnsi="宋体"/>
                <w:b/>
                <w:bCs/>
                <w:sz w:val="21"/>
                <w:szCs w:val="21"/>
              </w:rPr>
            </w:pPr>
          </w:p>
        </w:tc>
        <w:tc>
          <w:tcPr>
            <w:tcW w:w="1529" w:type="dxa"/>
            <w:vAlign w:val="center"/>
          </w:tcPr>
          <w:p>
            <w:pPr>
              <w:pStyle w:val="13"/>
              <w:ind w:firstLine="422"/>
              <w:jc w:val="center"/>
              <w:rPr>
                <w:rFonts w:ascii="Times New Roman" w:hAnsi="宋体"/>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7" w:type="dxa"/>
            <w:vAlign w:val="center"/>
          </w:tcPr>
          <w:p>
            <w:pPr>
              <w:pStyle w:val="13"/>
              <w:ind w:firstLine="422"/>
              <w:jc w:val="center"/>
              <w:rPr>
                <w:rFonts w:ascii="Times New Roman" w:hAnsi="宋体"/>
                <w:b/>
                <w:bCs/>
                <w:sz w:val="21"/>
                <w:szCs w:val="21"/>
              </w:rPr>
            </w:pPr>
          </w:p>
        </w:tc>
        <w:tc>
          <w:tcPr>
            <w:tcW w:w="2218" w:type="dxa"/>
            <w:vAlign w:val="center"/>
          </w:tcPr>
          <w:p>
            <w:pPr>
              <w:pStyle w:val="13"/>
              <w:ind w:firstLine="422"/>
              <w:jc w:val="center"/>
              <w:rPr>
                <w:rFonts w:ascii="Times New Roman" w:hAnsi="宋体"/>
                <w:b/>
                <w:bCs/>
                <w:sz w:val="21"/>
                <w:szCs w:val="21"/>
              </w:rPr>
            </w:pPr>
          </w:p>
        </w:tc>
        <w:tc>
          <w:tcPr>
            <w:tcW w:w="2218" w:type="dxa"/>
            <w:vAlign w:val="center"/>
          </w:tcPr>
          <w:p>
            <w:pPr>
              <w:pStyle w:val="13"/>
              <w:ind w:firstLine="422"/>
              <w:jc w:val="center"/>
              <w:rPr>
                <w:rFonts w:ascii="Times New Roman" w:hAnsi="宋体"/>
                <w:b/>
                <w:bCs/>
                <w:sz w:val="21"/>
                <w:szCs w:val="21"/>
              </w:rPr>
            </w:pPr>
          </w:p>
        </w:tc>
        <w:tc>
          <w:tcPr>
            <w:tcW w:w="1862" w:type="dxa"/>
            <w:vAlign w:val="center"/>
          </w:tcPr>
          <w:p>
            <w:pPr>
              <w:pStyle w:val="13"/>
              <w:ind w:firstLine="422"/>
              <w:jc w:val="center"/>
              <w:rPr>
                <w:rFonts w:ascii="Times New Roman" w:hAnsi="宋体"/>
                <w:b/>
                <w:bCs/>
                <w:sz w:val="21"/>
                <w:szCs w:val="21"/>
              </w:rPr>
            </w:pPr>
          </w:p>
        </w:tc>
        <w:tc>
          <w:tcPr>
            <w:tcW w:w="1529" w:type="dxa"/>
            <w:vAlign w:val="center"/>
          </w:tcPr>
          <w:p>
            <w:pPr>
              <w:pStyle w:val="13"/>
              <w:ind w:firstLine="422"/>
              <w:jc w:val="center"/>
              <w:rPr>
                <w:rFonts w:ascii="Times New Roman" w:hAnsi="宋体"/>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7" w:type="dxa"/>
            <w:vAlign w:val="center"/>
          </w:tcPr>
          <w:p>
            <w:pPr>
              <w:pStyle w:val="13"/>
              <w:ind w:firstLine="422"/>
              <w:jc w:val="center"/>
              <w:rPr>
                <w:rFonts w:ascii="Times New Roman" w:hAnsi="宋体"/>
                <w:b/>
                <w:bCs/>
                <w:sz w:val="21"/>
                <w:szCs w:val="21"/>
              </w:rPr>
            </w:pPr>
          </w:p>
        </w:tc>
        <w:tc>
          <w:tcPr>
            <w:tcW w:w="2218" w:type="dxa"/>
            <w:vAlign w:val="center"/>
          </w:tcPr>
          <w:p>
            <w:pPr>
              <w:pStyle w:val="13"/>
              <w:ind w:firstLine="422"/>
              <w:jc w:val="center"/>
              <w:rPr>
                <w:rFonts w:ascii="Times New Roman" w:hAnsi="宋体"/>
                <w:b/>
                <w:bCs/>
                <w:sz w:val="21"/>
                <w:szCs w:val="21"/>
              </w:rPr>
            </w:pPr>
          </w:p>
        </w:tc>
        <w:tc>
          <w:tcPr>
            <w:tcW w:w="2218" w:type="dxa"/>
            <w:vAlign w:val="center"/>
          </w:tcPr>
          <w:p>
            <w:pPr>
              <w:pStyle w:val="13"/>
              <w:ind w:firstLine="422"/>
              <w:jc w:val="center"/>
              <w:rPr>
                <w:rFonts w:ascii="Times New Roman" w:hAnsi="宋体"/>
                <w:b/>
                <w:bCs/>
                <w:sz w:val="21"/>
                <w:szCs w:val="21"/>
              </w:rPr>
            </w:pPr>
          </w:p>
        </w:tc>
        <w:tc>
          <w:tcPr>
            <w:tcW w:w="1862" w:type="dxa"/>
            <w:vAlign w:val="center"/>
          </w:tcPr>
          <w:p>
            <w:pPr>
              <w:pStyle w:val="13"/>
              <w:ind w:firstLine="422"/>
              <w:jc w:val="center"/>
              <w:rPr>
                <w:rFonts w:ascii="Times New Roman" w:hAnsi="宋体"/>
                <w:b/>
                <w:bCs/>
                <w:sz w:val="21"/>
                <w:szCs w:val="21"/>
              </w:rPr>
            </w:pPr>
          </w:p>
        </w:tc>
        <w:tc>
          <w:tcPr>
            <w:tcW w:w="1529" w:type="dxa"/>
            <w:vAlign w:val="center"/>
          </w:tcPr>
          <w:p>
            <w:pPr>
              <w:pStyle w:val="13"/>
              <w:ind w:firstLine="422"/>
              <w:jc w:val="center"/>
              <w:rPr>
                <w:rFonts w:ascii="Times New Roman" w:hAnsi="宋体"/>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7" w:type="dxa"/>
            <w:vAlign w:val="center"/>
          </w:tcPr>
          <w:p>
            <w:pPr>
              <w:pStyle w:val="13"/>
              <w:ind w:firstLine="422"/>
              <w:jc w:val="center"/>
              <w:rPr>
                <w:rFonts w:ascii="Times New Roman" w:hAnsi="宋体"/>
                <w:b/>
                <w:bCs/>
                <w:sz w:val="21"/>
                <w:szCs w:val="21"/>
              </w:rPr>
            </w:pPr>
          </w:p>
        </w:tc>
        <w:tc>
          <w:tcPr>
            <w:tcW w:w="2218" w:type="dxa"/>
            <w:vAlign w:val="center"/>
          </w:tcPr>
          <w:p>
            <w:pPr>
              <w:pStyle w:val="13"/>
              <w:ind w:firstLine="422"/>
              <w:jc w:val="center"/>
              <w:rPr>
                <w:rFonts w:ascii="Times New Roman" w:hAnsi="宋体"/>
                <w:b/>
                <w:bCs/>
                <w:sz w:val="21"/>
                <w:szCs w:val="21"/>
              </w:rPr>
            </w:pPr>
          </w:p>
        </w:tc>
        <w:tc>
          <w:tcPr>
            <w:tcW w:w="2218" w:type="dxa"/>
            <w:vAlign w:val="center"/>
          </w:tcPr>
          <w:p>
            <w:pPr>
              <w:pStyle w:val="13"/>
              <w:ind w:firstLine="422"/>
              <w:jc w:val="center"/>
              <w:rPr>
                <w:rFonts w:ascii="Times New Roman" w:hAnsi="宋体"/>
                <w:b/>
                <w:bCs/>
                <w:sz w:val="21"/>
                <w:szCs w:val="21"/>
              </w:rPr>
            </w:pPr>
          </w:p>
        </w:tc>
        <w:tc>
          <w:tcPr>
            <w:tcW w:w="1862" w:type="dxa"/>
            <w:vAlign w:val="center"/>
          </w:tcPr>
          <w:p>
            <w:pPr>
              <w:pStyle w:val="13"/>
              <w:ind w:firstLine="422"/>
              <w:jc w:val="center"/>
              <w:rPr>
                <w:rFonts w:ascii="Times New Roman" w:hAnsi="宋体"/>
                <w:b/>
                <w:bCs/>
                <w:sz w:val="21"/>
                <w:szCs w:val="21"/>
              </w:rPr>
            </w:pPr>
          </w:p>
        </w:tc>
        <w:tc>
          <w:tcPr>
            <w:tcW w:w="1529" w:type="dxa"/>
            <w:vAlign w:val="center"/>
          </w:tcPr>
          <w:p>
            <w:pPr>
              <w:pStyle w:val="13"/>
              <w:ind w:firstLine="422"/>
              <w:jc w:val="center"/>
              <w:rPr>
                <w:rFonts w:ascii="Times New Roman" w:hAnsi="宋体"/>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7" w:type="dxa"/>
            <w:vAlign w:val="center"/>
          </w:tcPr>
          <w:p>
            <w:pPr>
              <w:pStyle w:val="13"/>
              <w:ind w:firstLine="422"/>
              <w:jc w:val="center"/>
              <w:rPr>
                <w:rFonts w:ascii="Times New Roman" w:hAnsi="宋体"/>
                <w:b/>
                <w:bCs/>
                <w:sz w:val="21"/>
                <w:szCs w:val="21"/>
              </w:rPr>
            </w:pPr>
          </w:p>
        </w:tc>
        <w:tc>
          <w:tcPr>
            <w:tcW w:w="2218" w:type="dxa"/>
            <w:vAlign w:val="center"/>
          </w:tcPr>
          <w:p>
            <w:pPr>
              <w:pStyle w:val="13"/>
              <w:ind w:firstLine="422"/>
              <w:jc w:val="center"/>
              <w:rPr>
                <w:rFonts w:ascii="Times New Roman" w:hAnsi="宋体"/>
                <w:b/>
                <w:bCs/>
                <w:sz w:val="21"/>
                <w:szCs w:val="21"/>
              </w:rPr>
            </w:pPr>
          </w:p>
        </w:tc>
        <w:tc>
          <w:tcPr>
            <w:tcW w:w="2218" w:type="dxa"/>
            <w:vAlign w:val="center"/>
          </w:tcPr>
          <w:p>
            <w:pPr>
              <w:pStyle w:val="13"/>
              <w:ind w:firstLine="422"/>
              <w:jc w:val="center"/>
              <w:rPr>
                <w:rFonts w:ascii="Times New Roman" w:hAnsi="宋体"/>
                <w:b/>
                <w:bCs/>
                <w:sz w:val="21"/>
                <w:szCs w:val="21"/>
              </w:rPr>
            </w:pPr>
          </w:p>
        </w:tc>
        <w:tc>
          <w:tcPr>
            <w:tcW w:w="1862" w:type="dxa"/>
            <w:vAlign w:val="center"/>
          </w:tcPr>
          <w:p>
            <w:pPr>
              <w:pStyle w:val="13"/>
              <w:ind w:firstLine="422"/>
              <w:jc w:val="center"/>
              <w:rPr>
                <w:rFonts w:ascii="Times New Roman" w:hAnsi="宋体"/>
                <w:b/>
                <w:bCs/>
                <w:sz w:val="21"/>
                <w:szCs w:val="21"/>
              </w:rPr>
            </w:pPr>
          </w:p>
        </w:tc>
        <w:tc>
          <w:tcPr>
            <w:tcW w:w="1529" w:type="dxa"/>
            <w:vAlign w:val="center"/>
          </w:tcPr>
          <w:p>
            <w:pPr>
              <w:pStyle w:val="13"/>
              <w:ind w:firstLine="422"/>
              <w:jc w:val="center"/>
              <w:rPr>
                <w:rFonts w:ascii="Times New Roman" w:hAnsi="宋体"/>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7" w:type="dxa"/>
            <w:vAlign w:val="center"/>
          </w:tcPr>
          <w:p>
            <w:pPr>
              <w:pStyle w:val="13"/>
              <w:ind w:firstLine="422"/>
              <w:jc w:val="center"/>
              <w:rPr>
                <w:rFonts w:ascii="Times New Roman" w:hAnsi="宋体"/>
                <w:b/>
                <w:bCs/>
                <w:sz w:val="21"/>
                <w:szCs w:val="21"/>
              </w:rPr>
            </w:pPr>
          </w:p>
        </w:tc>
        <w:tc>
          <w:tcPr>
            <w:tcW w:w="2218" w:type="dxa"/>
            <w:vAlign w:val="center"/>
          </w:tcPr>
          <w:p>
            <w:pPr>
              <w:pStyle w:val="13"/>
              <w:ind w:firstLine="422"/>
              <w:jc w:val="center"/>
              <w:rPr>
                <w:rFonts w:ascii="Times New Roman" w:hAnsi="宋体"/>
                <w:b/>
                <w:bCs/>
                <w:sz w:val="21"/>
                <w:szCs w:val="21"/>
              </w:rPr>
            </w:pPr>
          </w:p>
        </w:tc>
        <w:tc>
          <w:tcPr>
            <w:tcW w:w="2218" w:type="dxa"/>
            <w:vAlign w:val="center"/>
          </w:tcPr>
          <w:p>
            <w:pPr>
              <w:pStyle w:val="13"/>
              <w:ind w:firstLine="422"/>
              <w:jc w:val="center"/>
              <w:rPr>
                <w:rFonts w:ascii="Times New Roman" w:hAnsi="宋体"/>
                <w:b/>
                <w:bCs/>
                <w:sz w:val="21"/>
                <w:szCs w:val="21"/>
              </w:rPr>
            </w:pPr>
          </w:p>
        </w:tc>
        <w:tc>
          <w:tcPr>
            <w:tcW w:w="1862" w:type="dxa"/>
            <w:vAlign w:val="center"/>
          </w:tcPr>
          <w:p>
            <w:pPr>
              <w:pStyle w:val="13"/>
              <w:ind w:firstLine="422"/>
              <w:jc w:val="center"/>
              <w:rPr>
                <w:rFonts w:ascii="Times New Roman" w:hAnsi="宋体"/>
                <w:b/>
                <w:bCs/>
                <w:sz w:val="21"/>
                <w:szCs w:val="21"/>
              </w:rPr>
            </w:pPr>
          </w:p>
        </w:tc>
        <w:tc>
          <w:tcPr>
            <w:tcW w:w="1529" w:type="dxa"/>
            <w:vAlign w:val="center"/>
          </w:tcPr>
          <w:p>
            <w:pPr>
              <w:pStyle w:val="13"/>
              <w:ind w:firstLine="422"/>
              <w:jc w:val="center"/>
              <w:rPr>
                <w:rFonts w:ascii="Times New Roman" w:hAnsi="宋体"/>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7" w:type="dxa"/>
            <w:vAlign w:val="center"/>
          </w:tcPr>
          <w:p>
            <w:pPr>
              <w:pStyle w:val="13"/>
              <w:ind w:firstLine="422"/>
              <w:jc w:val="center"/>
              <w:rPr>
                <w:rFonts w:ascii="Times New Roman" w:hAnsi="宋体"/>
                <w:b/>
                <w:bCs/>
                <w:sz w:val="21"/>
                <w:szCs w:val="21"/>
              </w:rPr>
            </w:pPr>
          </w:p>
        </w:tc>
        <w:tc>
          <w:tcPr>
            <w:tcW w:w="2218" w:type="dxa"/>
            <w:vAlign w:val="center"/>
          </w:tcPr>
          <w:p>
            <w:pPr>
              <w:pStyle w:val="13"/>
              <w:ind w:firstLine="422"/>
              <w:jc w:val="center"/>
              <w:rPr>
                <w:rFonts w:ascii="Times New Roman" w:hAnsi="宋体"/>
                <w:b/>
                <w:bCs/>
                <w:sz w:val="21"/>
                <w:szCs w:val="21"/>
              </w:rPr>
            </w:pPr>
          </w:p>
        </w:tc>
        <w:tc>
          <w:tcPr>
            <w:tcW w:w="2218" w:type="dxa"/>
            <w:vAlign w:val="center"/>
          </w:tcPr>
          <w:p>
            <w:pPr>
              <w:pStyle w:val="13"/>
              <w:ind w:firstLine="422"/>
              <w:jc w:val="center"/>
              <w:rPr>
                <w:rFonts w:ascii="Times New Roman" w:hAnsi="宋体"/>
                <w:b/>
                <w:bCs/>
                <w:sz w:val="21"/>
                <w:szCs w:val="21"/>
              </w:rPr>
            </w:pPr>
          </w:p>
        </w:tc>
        <w:tc>
          <w:tcPr>
            <w:tcW w:w="1862" w:type="dxa"/>
            <w:vAlign w:val="center"/>
          </w:tcPr>
          <w:p>
            <w:pPr>
              <w:pStyle w:val="13"/>
              <w:ind w:firstLine="422"/>
              <w:jc w:val="center"/>
              <w:rPr>
                <w:rFonts w:ascii="Times New Roman" w:hAnsi="宋体"/>
                <w:b/>
                <w:bCs/>
                <w:sz w:val="21"/>
                <w:szCs w:val="21"/>
              </w:rPr>
            </w:pPr>
          </w:p>
        </w:tc>
        <w:tc>
          <w:tcPr>
            <w:tcW w:w="1529" w:type="dxa"/>
            <w:vAlign w:val="center"/>
          </w:tcPr>
          <w:p>
            <w:pPr>
              <w:pStyle w:val="13"/>
              <w:ind w:firstLine="422"/>
              <w:jc w:val="center"/>
              <w:rPr>
                <w:rFonts w:ascii="Times New Roman" w:hAnsi="宋体"/>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7" w:type="dxa"/>
            <w:vAlign w:val="center"/>
          </w:tcPr>
          <w:p>
            <w:pPr>
              <w:pStyle w:val="13"/>
              <w:ind w:firstLine="422"/>
              <w:jc w:val="center"/>
              <w:rPr>
                <w:rFonts w:ascii="Times New Roman" w:hAnsi="宋体"/>
                <w:b/>
                <w:bCs/>
                <w:sz w:val="21"/>
                <w:szCs w:val="21"/>
              </w:rPr>
            </w:pPr>
          </w:p>
        </w:tc>
        <w:tc>
          <w:tcPr>
            <w:tcW w:w="2218" w:type="dxa"/>
            <w:vAlign w:val="center"/>
          </w:tcPr>
          <w:p>
            <w:pPr>
              <w:pStyle w:val="13"/>
              <w:ind w:firstLine="422"/>
              <w:jc w:val="center"/>
              <w:rPr>
                <w:rFonts w:ascii="Times New Roman" w:hAnsi="宋体"/>
                <w:b/>
                <w:bCs/>
                <w:sz w:val="21"/>
                <w:szCs w:val="21"/>
              </w:rPr>
            </w:pPr>
          </w:p>
        </w:tc>
        <w:tc>
          <w:tcPr>
            <w:tcW w:w="2218" w:type="dxa"/>
            <w:vAlign w:val="center"/>
          </w:tcPr>
          <w:p>
            <w:pPr>
              <w:pStyle w:val="13"/>
              <w:ind w:firstLine="422"/>
              <w:jc w:val="center"/>
              <w:rPr>
                <w:rFonts w:ascii="Times New Roman" w:hAnsi="宋体"/>
                <w:b/>
                <w:bCs/>
                <w:sz w:val="21"/>
                <w:szCs w:val="21"/>
              </w:rPr>
            </w:pPr>
          </w:p>
        </w:tc>
        <w:tc>
          <w:tcPr>
            <w:tcW w:w="1862" w:type="dxa"/>
            <w:vAlign w:val="center"/>
          </w:tcPr>
          <w:p>
            <w:pPr>
              <w:pStyle w:val="13"/>
              <w:ind w:firstLine="422"/>
              <w:jc w:val="center"/>
              <w:rPr>
                <w:rFonts w:ascii="Times New Roman" w:hAnsi="宋体"/>
                <w:b/>
                <w:bCs/>
                <w:sz w:val="21"/>
                <w:szCs w:val="21"/>
              </w:rPr>
            </w:pPr>
          </w:p>
        </w:tc>
        <w:tc>
          <w:tcPr>
            <w:tcW w:w="1529" w:type="dxa"/>
            <w:vAlign w:val="center"/>
          </w:tcPr>
          <w:p>
            <w:pPr>
              <w:pStyle w:val="13"/>
              <w:ind w:firstLine="422"/>
              <w:jc w:val="center"/>
              <w:rPr>
                <w:rFonts w:ascii="Times New Roman" w:hAnsi="宋体"/>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7" w:type="dxa"/>
            <w:vAlign w:val="center"/>
          </w:tcPr>
          <w:p>
            <w:pPr>
              <w:pStyle w:val="13"/>
              <w:ind w:firstLine="422"/>
              <w:jc w:val="center"/>
              <w:rPr>
                <w:rFonts w:ascii="Times New Roman" w:hAnsi="宋体"/>
                <w:b/>
                <w:bCs/>
                <w:sz w:val="21"/>
                <w:szCs w:val="21"/>
              </w:rPr>
            </w:pPr>
          </w:p>
        </w:tc>
        <w:tc>
          <w:tcPr>
            <w:tcW w:w="2218" w:type="dxa"/>
            <w:vAlign w:val="center"/>
          </w:tcPr>
          <w:p>
            <w:pPr>
              <w:pStyle w:val="13"/>
              <w:ind w:firstLine="422"/>
              <w:jc w:val="center"/>
              <w:rPr>
                <w:rFonts w:ascii="Times New Roman" w:hAnsi="宋体"/>
                <w:b/>
                <w:bCs/>
                <w:sz w:val="21"/>
                <w:szCs w:val="21"/>
              </w:rPr>
            </w:pPr>
          </w:p>
        </w:tc>
        <w:tc>
          <w:tcPr>
            <w:tcW w:w="2218" w:type="dxa"/>
            <w:vAlign w:val="center"/>
          </w:tcPr>
          <w:p>
            <w:pPr>
              <w:pStyle w:val="13"/>
              <w:ind w:firstLine="422"/>
              <w:jc w:val="center"/>
              <w:rPr>
                <w:rFonts w:ascii="Times New Roman" w:hAnsi="宋体"/>
                <w:b/>
                <w:bCs/>
                <w:sz w:val="21"/>
                <w:szCs w:val="21"/>
              </w:rPr>
            </w:pPr>
          </w:p>
        </w:tc>
        <w:tc>
          <w:tcPr>
            <w:tcW w:w="1862" w:type="dxa"/>
            <w:vAlign w:val="center"/>
          </w:tcPr>
          <w:p>
            <w:pPr>
              <w:pStyle w:val="13"/>
              <w:ind w:firstLine="422"/>
              <w:jc w:val="center"/>
              <w:rPr>
                <w:rFonts w:ascii="Times New Roman" w:hAnsi="宋体"/>
                <w:b/>
                <w:bCs/>
                <w:sz w:val="21"/>
                <w:szCs w:val="21"/>
              </w:rPr>
            </w:pPr>
          </w:p>
        </w:tc>
        <w:tc>
          <w:tcPr>
            <w:tcW w:w="1529" w:type="dxa"/>
            <w:vAlign w:val="center"/>
          </w:tcPr>
          <w:p>
            <w:pPr>
              <w:pStyle w:val="13"/>
              <w:ind w:firstLine="422"/>
              <w:jc w:val="center"/>
              <w:rPr>
                <w:rFonts w:ascii="Times New Roman" w:hAnsi="宋体"/>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7" w:type="dxa"/>
            <w:vAlign w:val="center"/>
          </w:tcPr>
          <w:p>
            <w:pPr>
              <w:pStyle w:val="13"/>
              <w:ind w:firstLine="422"/>
              <w:jc w:val="center"/>
              <w:rPr>
                <w:rFonts w:ascii="Times New Roman" w:hAnsi="宋体"/>
                <w:b/>
                <w:bCs/>
                <w:sz w:val="21"/>
                <w:szCs w:val="21"/>
              </w:rPr>
            </w:pPr>
          </w:p>
        </w:tc>
        <w:tc>
          <w:tcPr>
            <w:tcW w:w="2218" w:type="dxa"/>
            <w:vAlign w:val="center"/>
          </w:tcPr>
          <w:p>
            <w:pPr>
              <w:pStyle w:val="13"/>
              <w:ind w:firstLine="422"/>
              <w:jc w:val="center"/>
              <w:rPr>
                <w:rFonts w:ascii="Times New Roman" w:hAnsi="宋体"/>
                <w:b/>
                <w:bCs/>
                <w:sz w:val="21"/>
                <w:szCs w:val="21"/>
              </w:rPr>
            </w:pPr>
          </w:p>
        </w:tc>
        <w:tc>
          <w:tcPr>
            <w:tcW w:w="2218" w:type="dxa"/>
            <w:vAlign w:val="center"/>
          </w:tcPr>
          <w:p>
            <w:pPr>
              <w:pStyle w:val="13"/>
              <w:ind w:firstLine="422"/>
              <w:jc w:val="center"/>
              <w:rPr>
                <w:rFonts w:ascii="Times New Roman" w:hAnsi="宋体"/>
                <w:b/>
                <w:bCs/>
                <w:sz w:val="21"/>
                <w:szCs w:val="21"/>
              </w:rPr>
            </w:pPr>
          </w:p>
        </w:tc>
        <w:tc>
          <w:tcPr>
            <w:tcW w:w="1862" w:type="dxa"/>
            <w:vAlign w:val="center"/>
          </w:tcPr>
          <w:p>
            <w:pPr>
              <w:pStyle w:val="13"/>
              <w:ind w:firstLine="422"/>
              <w:jc w:val="center"/>
              <w:rPr>
                <w:rFonts w:ascii="Times New Roman" w:hAnsi="宋体"/>
                <w:b/>
                <w:bCs/>
                <w:sz w:val="21"/>
                <w:szCs w:val="21"/>
              </w:rPr>
            </w:pPr>
          </w:p>
        </w:tc>
        <w:tc>
          <w:tcPr>
            <w:tcW w:w="1529" w:type="dxa"/>
            <w:vAlign w:val="center"/>
          </w:tcPr>
          <w:p>
            <w:pPr>
              <w:pStyle w:val="13"/>
              <w:ind w:firstLine="422"/>
              <w:jc w:val="center"/>
              <w:rPr>
                <w:rFonts w:ascii="Times New Roman" w:hAnsi="宋体"/>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7" w:type="dxa"/>
            <w:vAlign w:val="center"/>
          </w:tcPr>
          <w:p>
            <w:pPr>
              <w:pStyle w:val="13"/>
              <w:ind w:firstLine="422"/>
              <w:jc w:val="center"/>
              <w:rPr>
                <w:rFonts w:ascii="Times New Roman" w:hAnsi="宋体"/>
                <w:b/>
                <w:bCs/>
                <w:sz w:val="21"/>
                <w:szCs w:val="21"/>
              </w:rPr>
            </w:pPr>
          </w:p>
        </w:tc>
        <w:tc>
          <w:tcPr>
            <w:tcW w:w="2218" w:type="dxa"/>
            <w:vAlign w:val="center"/>
          </w:tcPr>
          <w:p>
            <w:pPr>
              <w:pStyle w:val="13"/>
              <w:ind w:firstLine="422"/>
              <w:jc w:val="center"/>
              <w:rPr>
                <w:rFonts w:ascii="Times New Roman" w:hAnsi="宋体"/>
                <w:b/>
                <w:bCs/>
                <w:sz w:val="21"/>
                <w:szCs w:val="21"/>
              </w:rPr>
            </w:pPr>
          </w:p>
        </w:tc>
        <w:tc>
          <w:tcPr>
            <w:tcW w:w="2218" w:type="dxa"/>
            <w:vAlign w:val="center"/>
          </w:tcPr>
          <w:p>
            <w:pPr>
              <w:pStyle w:val="13"/>
              <w:ind w:firstLine="422"/>
              <w:jc w:val="center"/>
              <w:rPr>
                <w:rFonts w:ascii="Times New Roman" w:hAnsi="宋体"/>
                <w:b/>
                <w:bCs/>
                <w:sz w:val="21"/>
                <w:szCs w:val="21"/>
              </w:rPr>
            </w:pPr>
          </w:p>
        </w:tc>
        <w:tc>
          <w:tcPr>
            <w:tcW w:w="1862" w:type="dxa"/>
            <w:vAlign w:val="center"/>
          </w:tcPr>
          <w:p>
            <w:pPr>
              <w:pStyle w:val="13"/>
              <w:ind w:firstLine="422"/>
              <w:jc w:val="center"/>
              <w:rPr>
                <w:rFonts w:ascii="Times New Roman" w:hAnsi="宋体"/>
                <w:b/>
                <w:bCs/>
                <w:sz w:val="21"/>
                <w:szCs w:val="21"/>
              </w:rPr>
            </w:pPr>
          </w:p>
        </w:tc>
        <w:tc>
          <w:tcPr>
            <w:tcW w:w="1529" w:type="dxa"/>
            <w:vAlign w:val="center"/>
          </w:tcPr>
          <w:p>
            <w:pPr>
              <w:pStyle w:val="13"/>
              <w:ind w:firstLine="422"/>
              <w:jc w:val="center"/>
              <w:rPr>
                <w:rFonts w:ascii="Times New Roman" w:hAnsi="宋体"/>
                <w:b/>
                <w:bCs/>
                <w:sz w:val="21"/>
                <w:szCs w:val="21"/>
              </w:rPr>
            </w:pPr>
          </w:p>
        </w:tc>
      </w:tr>
    </w:tbl>
    <w:p>
      <w:pPr>
        <w:overflowPunct w:val="0"/>
        <w:spacing w:line="460" w:lineRule="exact"/>
        <w:rPr>
          <w:rFonts w:hAnsi="宋体"/>
          <w:sz w:val="21"/>
          <w:szCs w:val="21"/>
        </w:rPr>
      </w:pPr>
      <w:r>
        <w:rPr>
          <w:rFonts w:hint="eastAsia" w:hAnsi="宋体"/>
          <w:sz w:val="21"/>
          <w:szCs w:val="21"/>
        </w:rPr>
        <w:t>供应商名称（加盖公章）：</w:t>
      </w:r>
    </w:p>
    <w:p>
      <w:pPr>
        <w:overflowPunct w:val="0"/>
        <w:spacing w:line="460" w:lineRule="exact"/>
        <w:rPr>
          <w:rFonts w:hAnsi="宋体"/>
          <w:sz w:val="21"/>
          <w:szCs w:val="21"/>
        </w:rPr>
      </w:pPr>
      <w:r>
        <w:rPr>
          <w:rFonts w:hint="eastAsia" w:hAnsi="宋体"/>
          <w:sz w:val="21"/>
          <w:szCs w:val="21"/>
        </w:rPr>
        <w:t>供应商法定代表人或受委托人（签名或盖私章）：</w:t>
      </w:r>
    </w:p>
    <w:p>
      <w:pPr>
        <w:overflowPunct w:val="0"/>
        <w:spacing w:line="460" w:lineRule="exact"/>
        <w:rPr>
          <w:rFonts w:hAnsi="宋体"/>
          <w:sz w:val="21"/>
          <w:szCs w:val="21"/>
        </w:rPr>
      </w:pPr>
      <w:r>
        <w:rPr>
          <w:rFonts w:hint="eastAsia" w:hAnsi="宋体"/>
          <w:sz w:val="21"/>
          <w:szCs w:val="21"/>
        </w:rPr>
        <w:t>日期：年月日</w:t>
      </w:r>
    </w:p>
    <w:p>
      <w:pPr>
        <w:spacing w:line="480" w:lineRule="exact"/>
        <w:rPr>
          <w:rFonts w:hAnsi="宋体"/>
          <w:b/>
          <w:szCs w:val="21"/>
          <w:u w:val="single"/>
        </w:rPr>
      </w:pPr>
    </w:p>
    <w:p>
      <w:pPr>
        <w:spacing w:line="480" w:lineRule="exact"/>
        <w:rPr>
          <w:rFonts w:hAnsi="宋体"/>
          <w:b/>
          <w:bCs/>
          <w:szCs w:val="21"/>
        </w:rPr>
      </w:pPr>
    </w:p>
    <w:p>
      <w:pPr>
        <w:spacing w:line="480" w:lineRule="exact"/>
        <w:rPr>
          <w:rFonts w:hAnsi="宋体"/>
          <w:b/>
          <w:bCs/>
          <w:szCs w:val="21"/>
        </w:rPr>
      </w:pPr>
    </w:p>
    <w:p/>
    <w:p>
      <w:pPr>
        <w:pStyle w:val="4"/>
        <w:numPr>
          <w:ilvl w:val="0"/>
          <w:numId w:val="19"/>
        </w:numPr>
        <w:jc w:val="center"/>
        <w:rPr>
          <w:sz w:val="28"/>
          <w:szCs w:val="28"/>
        </w:rPr>
      </w:pPr>
      <w:r>
        <w:br w:type="page"/>
      </w:r>
      <w:bookmarkStart w:id="215" w:name="_Toc7897896"/>
      <w:bookmarkStart w:id="216" w:name="_Toc4539"/>
      <w:bookmarkStart w:id="217" w:name="_Toc4884"/>
      <w:r>
        <w:rPr>
          <w:rFonts w:hint="eastAsia"/>
          <w:bCs/>
          <w:sz w:val="28"/>
          <w:szCs w:val="28"/>
        </w:rPr>
        <w:t>项目业绩一览表</w:t>
      </w:r>
      <w:bookmarkEnd w:id="215"/>
      <w:bookmarkEnd w:id="216"/>
      <w:bookmarkEnd w:id="217"/>
    </w:p>
    <w:p>
      <w:pPr>
        <w:pStyle w:val="28"/>
        <w:spacing w:line="480" w:lineRule="exact"/>
        <w:jc w:val="center"/>
        <w:rPr>
          <w:rFonts w:hAnsi="宋体"/>
          <w:b/>
          <w:sz w:val="22"/>
          <w:szCs w:val="22"/>
        </w:rPr>
      </w:pPr>
    </w:p>
    <w:tbl>
      <w:tblPr>
        <w:tblStyle w:val="52"/>
        <w:tblW w:w="86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1"/>
        <w:gridCol w:w="3225"/>
        <w:gridCol w:w="1365"/>
        <w:gridCol w:w="1721"/>
        <w:gridCol w:w="835"/>
        <w:gridCol w:w="8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701" w:type="dxa"/>
            <w:tcBorders>
              <w:top w:val="single" w:color="auto" w:sz="4" w:space="0"/>
              <w:left w:val="single" w:color="auto" w:sz="4" w:space="0"/>
              <w:bottom w:val="single" w:color="auto" w:sz="4" w:space="0"/>
              <w:right w:val="single" w:color="auto" w:sz="4" w:space="0"/>
            </w:tcBorders>
            <w:vAlign w:val="center"/>
          </w:tcPr>
          <w:p>
            <w:pPr>
              <w:snapToGrid w:val="0"/>
              <w:jc w:val="center"/>
              <w:rPr>
                <w:rFonts w:hAnsi="宋体"/>
                <w:b/>
                <w:sz w:val="21"/>
                <w:szCs w:val="21"/>
              </w:rPr>
            </w:pPr>
            <w:r>
              <w:rPr>
                <w:rFonts w:hint="eastAsia" w:hAnsi="宋体"/>
                <w:b/>
                <w:sz w:val="21"/>
                <w:szCs w:val="21"/>
              </w:rPr>
              <w:t>序号</w:t>
            </w:r>
          </w:p>
        </w:tc>
        <w:tc>
          <w:tcPr>
            <w:tcW w:w="3225" w:type="dxa"/>
            <w:tcBorders>
              <w:top w:val="single" w:color="auto" w:sz="4" w:space="0"/>
              <w:left w:val="single" w:color="auto" w:sz="4" w:space="0"/>
              <w:bottom w:val="single" w:color="auto" w:sz="4" w:space="0"/>
              <w:right w:val="single" w:color="auto" w:sz="4" w:space="0"/>
            </w:tcBorders>
            <w:vAlign w:val="center"/>
          </w:tcPr>
          <w:p>
            <w:pPr>
              <w:snapToGrid w:val="0"/>
              <w:jc w:val="center"/>
              <w:rPr>
                <w:rFonts w:hAnsi="宋体"/>
                <w:b/>
                <w:sz w:val="21"/>
                <w:szCs w:val="21"/>
              </w:rPr>
            </w:pPr>
            <w:r>
              <w:rPr>
                <w:rFonts w:hint="eastAsia" w:hAnsi="宋体"/>
                <w:b/>
                <w:sz w:val="21"/>
                <w:szCs w:val="21"/>
              </w:rPr>
              <w:t>项目名称</w:t>
            </w:r>
          </w:p>
        </w:tc>
        <w:tc>
          <w:tcPr>
            <w:tcW w:w="1365" w:type="dxa"/>
            <w:tcBorders>
              <w:top w:val="single" w:color="auto" w:sz="4" w:space="0"/>
              <w:left w:val="single" w:color="auto" w:sz="4" w:space="0"/>
              <w:bottom w:val="single" w:color="auto" w:sz="4" w:space="0"/>
              <w:right w:val="single" w:color="auto" w:sz="4" w:space="0"/>
            </w:tcBorders>
            <w:vAlign w:val="center"/>
          </w:tcPr>
          <w:p>
            <w:pPr>
              <w:snapToGrid w:val="0"/>
              <w:jc w:val="center"/>
              <w:rPr>
                <w:rFonts w:hAnsi="宋体"/>
                <w:b/>
                <w:sz w:val="21"/>
                <w:szCs w:val="21"/>
              </w:rPr>
            </w:pPr>
            <w:r>
              <w:rPr>
                <w:rFonts w:hint="eastAsia" w:hAnsi="宋体"/>
                <w:b/>
                <w:sz w:val="21"/>
                <w:szCs w:val="21"/>
              </w:rPr>
              <w:t>用户单位</w:t>
            </w:r>
          </w:p>
        </w:tc>
        <w:tc>
          <w:tcPr>
            <w:tcW w:w="1721" w:type="dxa"/>
            <w:tcBorders>
              <w:top w:val="single" w:color="auto" w:sz="4" w:space="0"/>
              <w:left w:val="single" w:color="auto" w:sz="4" w:space="0"/>
              <w:bottom w:val="single" w:color="auto" w:sz="4" w:space="0"/>
              <w:right w:val="single" w:color="auto" w:sz="4" w:space="0"/>
            </w:tcBorders>
            <w:vAlign w:val="center"/>
          </w:tcPr>
          <w:p>
            <w:pPr>
              <w:snapToGrid w:val="0"/>
              <w:jc w:val="center"/>
              <w:rPr>
                <w:rFonts w:hAnsi="宋体"/>
                <w:b/>
                <w:sz w:val="21"/>
                <w:szCs w:val="21"/>
              </w:rPr>
            </w:pPr>
            <w:r>
              <w:rPr>
                <w:rFonts w:hint="eastAsia" w:hAnsi="宋体"/>
                <w:b/>
                <w:sz w:val="21"/>
                <w:szCs w:val="21"/>
              </w:rPr>
              <w:t>项目金额</w:t>
            </w:r>
          </w:p>
        </w:tc>
        <w:tc>
          <w:tcPr>
            <w:tcW w:w="835" w:type="dxa"/>
            <w:tcBorders>
              <w:top w:val="single" w:color="auto" w:sz="4" w:space="0"/>
              <w:left w:val="single" w:color="auto" w:sz="4" w:space="0"/>
              <w:bottom w:val="single" w:color="auto" w:sz="4" w:space="0"/>
              <w:right w:val="single" w:color="auto" w:sz="4" w:space="0"/>
            </w:tcBorders>
            <w:vAlign w:val="center"/>
          </w:tcPr>
          <w:p>
            <w:pPr>
              <w:snapToGrid w:val="0"/>
              <w:jc w:val="center"/>
              <w:rPr>
                <w:rFonts w:hAnsi="宋体"/>
                <w:b/>
                <w:sz w:val="21"/>
                <w:szCs w:val="21"/>
              </w:rPr>
            </w:pPr>
            <w:r>
              <w:rPr>
                <w:rFonts w:hint="eastAsia" w:hAnsi="宋体"/>
                <w:b/>
                <w:sz w:val="21"/>
                <w:szCs w:val="21"/>
              </w:rPr>
              <w:t>执行时间</w:t>
            </w:r>
          </w:p>
        </w:tc>
        <w:tc>
          <w:tcPr>
            <w:tcW w:w="832" w:type="dxa"/>
            <w:tcBorders>
              <w:top w:val="single" w:color="auto" w:sz="4" w:space="0"/>
              <w:left w:val="single" w:color="auto" w:sz="4" w:space="0"/>
              <w:bottom w:val="single" w:color="auto" w:sz="4" w:space="0"/>
              <w:right w:val="single" w:color="auto" w:sz="4" w:space="0"/>
            </w:tcBorders>
            <w:vAlign w:val="center"/>
          </w:tcPr>
          <w:p>
            <w:pPr>
              <w:snapToGrid w:val="0"/>
              <w:jc w:val="center"/>
              <w:rPr>
                <w:rFonts w:hAnsi="宋体"/>
                <w:b/>
                <w:sz w:val="21"/>
                <w:szCs w:val="21"/>
              </w:rPr>
            </w:pPr>
            <w:r>
              <w:rPr>
                <w:rFonts w:hint="eastAsia" w:hAnsi="宋体"/>
                <w:b/>
                <w:sz w:val="21"/>
                <w:szCs w:val="21"/>
              </w:rPr>
              <w:t>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1" w:type="dxa"/>
            <w:tcBorders>
              <w:top w:val="single" w:color="auto" w:sz="4" w:space="0"/>
              <w:left w:val="single" w:color="auto" w:sz="4" w:space="0"/>
              <w:bottom w:val="single" w:color="auto" w:sz="4" w:space="0"/>
              <w:right w:val="single" w:color="auto" w:sz="4" w:space="0"/>
            </w:tcBorders>
            <w:vAlign w:val="center"/>
          </w:tcPr>
          <w:p>
            <w:pPr>
              <w:pStyle w:val="28"/>
              <w:jc w:val="center"/>
              <w:rPr>
                <w:rFonts w:hAnsi="宋体"/>
                <w:szCs w:val="21"/>
              </w:rPr>
            </w:pPr>
            <w:r>
              <w:rPr>
                <w:rFonts w:hint="eastAsia" w:hAnsi="宋体"/>
                <w:szCs w:val="21"/>
              </w:rPr>
              <w:t>1</w:t>
            </w:r>
          </w:p>
        </w:tc>
        <w:tc>
          <w:tcPr>
            <w:tcW w:w="3225" w:type="dxa"/>
            <w:tcBorders>
              <w:top w:val="single" w:color="auto" w:sz="4" w:space="0"/>
              <w:left w:val="single" w:color="auto" w:sz="4" w:space="0"/>
              <w:bottom w:val="single" w:color="auto" w:sz="4" w:space="0"/>
              <w:right w:val="single" w:color="auto" w:sz="4" w:space="0"/>
            </w:tcBorders>
          </w:tcPr>
          <w:p>
            <w:pPr>
              <w:snapToGrid w:val="0"/>
              <w:spacing w:line="360" w:lineRule="auto"/>
              <w:rPr>
                <w:rFonts w:hAnsi="宋体"/>
                <w:sz w:val="21"/>
                <w:szCs w:val="21"/>
                <w:u w:val="single"/>
              </w:rPr>
            </w:pPr>
          </w:p>
        </w:tc>
        <w:tc>
          <w:tcPr>
            <w:tcW w:w="1365" w:type="dxa"/>
            <w:tcBorders>
              <w:top w:val="single" w:color="auto" w:sz="4" w:space="0"/>
              <w:left w:val="single" w:color="auto" w:sz="4" w:space="0"/>
              <w:bottom w:val="single" w:color="auto" w:sz="4" w:space="0"/>
              <w:right w:val="single" w:color="auto" w:sz="4" w:space="0"/>
            </w:tcBorders>
          </w:tcPr>
          <w:p>
            <w:pPr>
              <w:snapToGrid w:val="0"/>
              <w:spacing w:line="360" w:lineRule="auto"/>
              <w:rPr>
                <w:rFonts w:hAnsi="宋体"/>
                <w:sz w:val="21"/>
                <w:szCs w:val="21"/>
                <w:u w:val="single"/>
              </w:rPr>
            </w:pPr>
          </w:p>
        </w:tc>
        <w:tc>
          <w:tcPr>
            <w:tcW w:w="1721" w:type="dxa"/>
            <w:tcBorders>
              <w:top w:val="single" w:color="auto" w:sz="4" w:space="0"/>
              <w:left w:val="single" w:color="auto" w:sz="4" w:space="0"/>
              <w:bottom w:val="single" w:color="auto" w:sz="4" w:space="0"/>
              <w:right w:val="single" w:color="auto" w:sz="4" w:space="0"/>
            </w:tcBorders>
          </w:tcPr>
          <w:p>
            <w:pPr>
              <w:snapToGrid w:val="0"/>
              <w:spacing w:line="360" w:lineRule="auto"/>
              <w:rPr>
                <w:rFonts w:hAnsi="宋体"/>
                <w:sz w:val="21"/>
                <w:szCs w:val="21"/>
                <w:u w:val="single"/>
              </w:rPr>
            </w:pPr>
          </w:p>
        </w:tc>
        <w:tc>
          <w:tcPr>
            <w:tcW w:w="835" w:type="dxa"/>
            <w:tcBorders>
              <w:top w:val="single" w:color="auto" w:sz="4" w:space="0"/>
              <w:left w:val="single" w:color="auto" w:sz="4" w:space="0"/>
              <w:bottom w:val="single" w:color="auto" w:sz="4" w:space="0"/>
              <w:right w:val="single" w:color="auto" w:sz="4" w:space="0"/>
            </w:tcBorders>
          </w:tcPr>
          <w:p>
            <w:pPr>
              <w:snapToGrid w:val="0"/>
              <w:spacing w:line="360" w:lineRule="auto"/>
              <w:rPr>
                <w:rFonts w:hAnsi="宋体"/>
                <w:sz w:val="21"/>
                <w:szCs w:val="21"/>
                <w:u w:val="single"/>
              </w:rPr>
            </w:pPr>
          </w:p>
        </w:tc>
        <w:tc>
          <w:tcPr>
            <w:tcW w:w="832" w:type="dxa"/>
            <w:tcBorders>
              <w:top w:val="single" w:color="auto" w:sz="4" w:space="0"/>
              <w:left w:val="single" w:color="auto" w:sz="4" w:space="0"/>
              <w:bottom w:val="single" w:color="auto" w:sz="4" w:space="0"/>
              <w:right w:val="single" w:color="auto" w:sz="4" w:space="0"/>
            </w:tcBorders>
          </w:tcPr>
          <w:p>
            <w:pPr>
              <w:snapToGrid w:val="0"/>
              <w:spacing w:line="360" w:lineRule="auto"/>
              <w:rPr>
                <w:rFonts w:hAnsi="宋体"/>
                <w:sz w:val="21"/>
                <w:szCs w:val="21"/>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1" w:type="dxa"/>
            <w:tcBorders>
              <w:top w:val="single" w:color="auto" w:sz="4" w:space="0"/>
              <w:left w:val="single" w:color="auto" w:sz="4" w:space="0"/>
              <w:bottom w:val="single" w:color="auto" w:sz="4" w:space="0"/>
              <w:right w:val="single" w:color="auto" w:sz="4" w:space="0"/>
            </w:tcBorders>
            <w:vAlign w:val="center"/>
          </w:tcPr>
          <w:p>
            <w:pPr>
              <w:pStyle w:val="28"/>
              <w:jc w:val="center"/>
              <w:rPr>
                <w:rFonts w:hAnsi="宋体"/>
                <w:szCs w:val="21"/>
              </w:rPr>
            </w:pPr>
            <w:r>
              <w:rPr>
                <w:rFonts w:hint="eastAsia" w:hAnsi="宋体"/>
                <w:szCs w:val="21"/>
              </w:rPr>
              <w:t>2</w:t>
            </w:r>
          </w:p>
        </w:tc>
        <w:tc>
          <w:tcPr>
            <w:tcW w:w="3225" w:type="dxa"/>
            <w:tcBorders>
              <w:top w:val="single" w:color="auto" w:sz="4" w:space="0"/>
              <w:left w:val="single" w:color="auto" w:sz="4" w:space="0"/>
              <w:bottom w:val="single" w:color="auto" w:sz="4" w:space="0"/>
              <w:right w:val="single" w:color="auto" w:sz="4" w:space="0"/>
            </w:tcBorders>
          </w:tcPr>
          <w:p>
            <w:pPr>
              <w:snapToGrid w:val="0"/>
              <w:spacing w:line="360" w:lineRule="auto"/>
              <w:rPr>
                <w:rFonts w:hAnsi="宋体"/>
                <w:sz w:val="21"/>
                <w:szCs w:val="21"/>
                <w:u w:val="single"/>
              </w:rPr>
            </w:pPr>
          </w:p>
        </w:tc>
        <w:tc>
          <w:tcPr>
            <w:tcW w:w="1365" w:type="dxa"/>
            <w:tcBorders>
              <w:top w:val="single" w:color="auto" w:sz="4" w:space="0"/>
              <w:left w:val="single" w:color="auto" w:sz="4" w:space="0"/>
              <w:bottom w:val="single" w:color="auto" w:sz="4" w:space="0"/>
              <w:right w:val="single" w:color="auto" w:sz="4" w:space="0"/>
            </w:tcBorders>
          </w:tcPr>
          <w:p>
            <w:pPr>
              <w:snapToGrid w:val="0"/>
              <w:spacing w:line="360" w:lineRule="auto"/>
              <w:rPr>
                <w:rFonts w:hAnsi="宋体"/>
                <w:sz w:val="21"/>
                <w:szCs w:val="21"/>
                <w:u w:val="single"/>
              </w:rPr>
            </w:pPr>
          </w:p>
        </w:tc>
        <w:tc>
          <w:tcPr>
            <w:tcW w:w="1721" w:type="dxa"/>
            <w:tcBorders>
              <w:top w:val="single" w:color="auto" w:sz="4" w:space="0"/>
              <w:left w:val="single" w:color="auto" w:sz="4" w:space="0"/>
              <w:bottom w:val="single" w:color="auto" w:sz="4" w:space="0"/>
              <w:right w:val="single" w:color="auto" w:sz="4" w:space="0"/>
            </w:tcBorders>
          </w:tcPr>
          <w:p>
            <w:pPr>
              <w:snapToGrid w:val="0"/>
              <w:spacing w:line="360" w:lineRule="auto"/>
              <w:rPr>
                <w:rFonts w:hAnsi="宋体"/>
                <w:sz w:val="21"/>
                <w:szCs w:val="21"/>
                <w:u w:val="single"/>
              </w:rPr>
            </w:pPr>
          </w:p>
        </w:tc>
        <w:tc>
          <w:tcPr>
            <w:tcW w:w="835" w:type="dxa"/>
            <w:tcBorders>
              <w:top w:val="single" w:color="auto" w:sz="4" w:space="0"/>
              <w:left w:val="single" w:color="auto" w:sz="4" w:space="0"/>
              <w:bottom w:val="single" w:color="auto" w:sz="4" w:space="0"/>
              <w:right w:val="single" w:color="auto" w:sz="4" w:space="0"/>
            </w:tcBorders>
          </w:tcPr>
          <w:p>
            <w:pPr>
              <w:snapToGrid w:val="0"/>
              <w:spacing w:line="360" w:lineRule="auto"/>
              <w:rPr>
                <w:rFonts w:hAnsi="宋体"/>
                <w:sz w:val="21"/>
                <w:szCs w:val="21"/>
                <w:u w:val="single"/>
              </w:rPr>
            </w:pPr>
          </w:p>
        </w:tc>
        <w:tc>
          <w:tcPr>
            <w:tcW w:w="832" w:type="dxa"/>
            <w:tcBorders>
              <w:top w:val="single" w:color="auto" w:sz="4" w:space="0"/>
              <w:left w:val="single" w:color="auto" w:sz="4" w:space="0"/>
              <w:bottom w:val="single" w:color="auto" w:sz="4" w:space="0"/>
              <w:right w:val="single" w:color="auto" w:sz="4" w:space="0"/>
            </w:tcBorders>
          </w:tcPr>
          <w:p>
            <w:pPr>
              <w:snapToGrid w:val="0"/>
              <w:spacing w:line="360" w:lineRule="auto"/>
              <w:rPr>
                <w:rFonts w:hAnsi="宋体"/>
                <w:sz w:val="21"/>
                <w:szCs w:val="21"/>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1" w:type="dxa"/>
            <w:tcBorders>
              <w:top w:val="single" w:color="auto" w:sz="4" w:space="0"/>
              <w:left w:val="single" w:color="auto" w:sz="4" w:space="0"/>
              <w:bottom w:val="single" w:color="auto" w:sz="4" w:space="0"/>
              <w:right w:val="single" w:color="auto" w:sz="4" w:space="0"/>
            </w:tcBorders>
            <w:vAlign w:val="center"/>
          </w:tcPr>
          <w:p>
            <w:pPr>
              <w:pStyle w:val="28"/>
              <w:jc w:val="center"/>
              <w:rPr>
                <w:rFonts w:hAnsi="宋体"/>
                <w:szCs w:val="21"/>
              </w:rPr>
            </w:pPr>
            <w:r>
              <w:rPr>
                <w:rFonts w:hint="eastAsia" w:hAnsi="宋体"/>
                <w:szCs w:val="21"/>
              </w:rPr>
              <w:t>3</w:t>
            </w:r>
          </w:p>
        </w:tc>
        <w:tc>
          <w:tcPr>
            <w:tcW w:w="3225" w:type="dxa"/>
            <w:tcBorders>
              <w:top w:val="single" w:color="auto" w:sz="4" w:space="0"/>
              <w:left w:val="single" w:color="auto" w:sz="4" w:space="0"/>
              <w:bottom w:val="single" w:color="auto" w:sz="4" w:space="0"/>
              <w:right w:val="single" w:color="auto" w:sz="4" w:space="0"/>
            </w:tcBorders>
          </w:tcPr>
          <w:p>
            <w:pPr>
              <w:snapToGrid w:val="0"/>
              <w:spacing w:line="360" w:lineRule="auto"/>
              <w:rPr>
                <w:rFonts w:hAnsi="宋体"/>
                <w:sz w:val="21"/>
                <w:szCs w:val="21"/>
                <w:u w:val="single"/>
              </w:rPr>
            </w:pPr>
          </w:p>
        </w:tc>
        <w:tc>
          <w:tcPr>
            <w:tcW w:w="1365" w:type="dxa"/>
            <w:tcBorders>
              <w:top w:val="single" w:color="auto" w:sz="4" w:space="0"/>
              <w:left w:val="single" w:color="auto" w:sz="4" w:space="0"/>
              <w:bottom w:val="single" w:color="auto" w:sz="4" w:space="0"/>
              <w:right w:val="single" w:color="auto" w:sz="4" w:space="0"/>
            </w:tcBorders>
          </w:tcPr>
          <w:p>
            <w:pPr>
              <w:snapToGrid w:val="0"/>
              <w:spacing w:line="360" w:lineRule="auto"/>
              <w:rPr>
                <w:rFonts w:hAnsi="宋体"/>
                <w:sz w:val="21"/>
                <w:szCs w:val="21"/>
                <w:u w:val="single"/>
              </w:rPr>
            </w:pPr>
          </w:p>
        </w:tc>
        <w:tc>
          <w:tcPr>
            <w:tcW w:w="1721" w:type="dxa"/>
            <w:tcBorders>
              <w:top w:val="single" w:color="auto" w:sz="4" w:space="0"/>
              <w:left w:val="single" w:color="auto" w:sz="4" w:space="0"/>
              <w:bottom w:val="single" w:color="auto" w:sz="4" w:space="0"/>
              <w:right w:val="single" w:color="auto" w:sz="4" w:space="0"/>
            </w:tcBorders>
          </w:tcPr>
          <w:p>
            <w:pPr>
              <w:snapToGrid w:val="0"/>
              <w:spacing w:line="360" w:lineRule="auto"/>
              <w:rPr>
                <w:rFonts w:hAnsi="宋体"/>
                <w:sz w:val="21"/>
                <w:szCs w:val="21"/>
                <w:u w:val="single"/>
              </w:rPr>
            </w:pPr>
          </w:p>
        </w:tc>
        <w:tc>
          <w:tcPr>
            <w:tcW w:w="835" w:type="dxa"/>
            <w:tcBorders>
              <w:top w:val="single" w:color="auto" w:sz="4" w:space="0"/>
              <w:left w:val="single" w:color="auto" w:sz="4" w:space="0"/>
              <w:bottom w:val="single" w:color="auto" w:sz="4" w:space="0"/>
              <w:right w:val="single" w:color="auto" w:sz="4" w:space="0"/>
            </w:tcBorders>
          </w:tcPr>
          <w:p>
            <w:pPr>
              <w:snapToGrid w:val="0"/>
              <w:spacing w:line="360" w:lineRule="auto"/>
              <w:rPr>
                <w:rFonts w:hAnsi="宋体"/>
                <w:sz w:val="21"/>
                <w:szCs w:val="21"/>
                <w:u w:val="single"/>
              </w:rPr>
            </w:pPr>
          </w:p>
        </w:tc>
        <w:tc>
          <w:tcPr>
            <w:tcW w:w="832" w:type="dxa"/>
            <w:tcBorders>
              <w:top w:val="single" w:color="auto" w:sz="4" w:space="0"/>
              <w:left w:val="single" w:color="auto" w:sz="4" w:space="0"/>
              <w:bottom w:val="single" w:color="auto" w:sz="4" w:space="0"/>
              <w:right w:val="single" w:color="auto" w:sz="4" w:space="0"/>
            </w:tcBorders>
          </w:tcPr>
          <w:p>
            <w:pPr>
              <w:snapToGrid w:val="0"/>
              <w:spacing w:line="360" w:lineRule="auto"/>
              <w:rPr>
                <w:rFonts w:hAnsi="宋体"/>
                <w:sz w:val="21"/>
                <w:szCs w:val="21"/>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1" w:type="dxa"/>
            <w:tcBorders>
              <w:top w:val="single" w:color="auto" w:sz="4" w:space="0"/>
              <w:left w:val="single" w:color="auto" w:sz="4" w:space="0"/>
              <w:bottom w:val="single" w:color="auto" w:sz="4" w:space="0"/>
              <w:right w:val="single" w:color="auto" w:sz="4" w:space="0"/>
            </w:tcBorders>
            <w:vAlign w:val="center"/>
          </w:tcPr>
          <w:p>
            <w:pPr>
              <w:pStyle w:val="28"/>
              <w:jc w:val="center"/>
              <w:rPr>
                <w:rFonts w:hAnsi="宋体"/>
                <w:szCs w:val="21"/>
              </w:rPr>
            </w:pPr>
            <w:r>
              <w:rPr>
                <w:rFonts w:hint="eastAsia" w:hAnsi="宋体"/>
                <w:szCs w:val="21"/>
              </w:rPr>
              <w:t>…</w:t>
            </w:r>
          </w:p>
        </w:tc>
        <w:tc>
          <w:tcPr>
            <w:tcW w:w="3225" w:type="dxa"/>
            <w:tcBorders>
              <w:top w:val="single" w:color="auto" w:sz="4" w:space="0"/>
              <w:left w:val="single" w:color="auto" w:sz="4" w:space="0"/>
              <w:bottom w:val="single" w:color="auto" w:sz="4" w:space="0"/>
              <w:right w:val="single" w:color="auto" w:sz="4" w:space="0"/>
            </w:tcBorders>
          </w:tcPr>
          <w:p>
            <w:pPr>
              <w:snapToGrid w:val="0"/>
              <w:spacing w:line="360" w:lineRule="auto"/>
              <w:rPr>
                <w:rFonts w:hAnsi="宋体"/>
                <w:sz w:val="21"/>
                <w:szCs w:val="21"/>
                <w:u w:val="single"/>
              </w:rPr>
            </w:pPr>
          </w:p>
        </w:tc>
        <w:tc>
          <w:tcPr>
            <w:tcW w:w="1365" w:type="dxa"/>
            <w:tcBorders>
              <w:top w:val="single" w:color="auto" w:sz="4" w:space="0"/>
              <w:left w:val="single" w:color="auto" w:sz="4" w:space="0"/>
              <w:bottom w:val="single" w:color="auto" w:sz="4" w:space="0"/>
              <w:right w:val="single" w:color="auto" w:sz="4" w:space="0"/>
            </w:tcBorders>
          </w:tcPr>
          <w:p>
            <w:pPr>
              <w:snapToGrid w:val="0"/>
              <w:spacing w:line="360" w:lineRule="auto"/>
              <w:rPr>
                <w:rFonts w:hAnsi="宋体"/>
                <w:sz w:val="21"/>
                <w:szCs w:val="21"/>
                <w:u w:val="single"/>
              </w:rPr>
            </w:pPr>
          </w:p>
        </w:tc>
        <w:tc>
          <w:tcPr>
            <w:tcW w:w="1721" w:type="dxa"/>
            <w:tcBorders>
              <w:top w:val="single" w:color="auto" w:sz="4" w:space="0"/>
              <w:left w:val="single" w:color="auto" w:sz="4" w:space="0"/>
              <w:bottom w:val="single" w:color="auto" w:sz="4" w:space="0"/>
              <w:right w:val="single" w:color="auto" w:sz="4" w:space="0"/>
            </w:tcBorders>
          </w:tcPr>
          <w:p>
            <w:pPr>
              <w:snapToGrid w:val="0"/>
              <w:spacing w:line="360" w:lineRule="auto"/>
              <w:rPr>
                <w:rFonts w:hAnsi="宋体"/>
                <w:sz w:val="21"/>
                <w:szCs w:val="21"/>
                <w:u w:val="single"/>
              </w:rPr>
            </w:pPr>
          </w:p>
        </w:tc>
        <w:tc>
          <w:tcPr>
            <w:tcW w:w="835" w:type="dxa"/>
            <w:tcBorders>
              <w:top w:val="single" w:color="auto" w:sz="4" w:space="0"/>
              <w:left w:val="single" w:color="auto" w:sz="4" w:space="0"/>
              <w:bottom w:val="single" w:color="auto" w:sz="4" w:space="0"/>
              <w:right w:val="single" w:color="auto" w:sz="4" w:space="0"/>
            </w:tcBorders>
          </w:tcPr>
          <w:p>
            <w:pPr>
              <w:snapToGrid w:val="0"/>
              <w:spacing w:line="360" w:lineRule="auto"/>
              <w:rPr>
                <w:rFonts w:hAnsi="宋体"/>
                <w:sz w:val="21"/>
                <w:szCs w:val="21"/>
                <w:u w:val="single"/>
              </w:rPr>
            </w:pPr>
          </w:p>
        </w:tc>
        <w:tc>
          <w:tcPr>
            <w:tcW w:w="832" w:type="dxa"/>
            <w:tcBorders>
              <w:top w:val="single" w:color="auto" w:sz="4" w:space="0"/>
              <w:left w:val="single" w:color="auto" w:sz="4" w:space="0"/>
              <w:bottom w:val="single" w:color="auto" w:sz="4" w:space="0"/>
              <w:right w:val="single" w:color="auto" w:sz="4" w:space="0"/>
            </w:tcBorders>
          </w:tcPr>
          <w:p>
            <w:pPr>
              <w:snapToGrid w:val="0"/>
              <w:spacing w:line="360" w:lineRule="auto"/>
              <w:rPr>
                <w:rFonts w:hAnsi="宋体"/>
                <w:sz w:val="21"/>
                <w:szCs w:val="21"/>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1" w:type="dxa"/>
            <w:tcBorders>
              <w:top w:val="single" w:color="auto" w:sz="4" w:space="0"/>
              <w:left w:val="single" w:color="auto" w:sz="4" w:space="0"/>
              <w:bottom w:val="single" w:color="auto" w:sz="4" w:space="0"/>
              <w:right w:val="single" w:color="auto" w:sz="4" w:space="0"/>
            </w:tcBorders>
            <w:vAlign w:val="center"/>
          </w:tcPr>
          <w:p>
            <w:pPr>
              <w:pStyle w:val="28"/>
              <w:jc w:val="center"/>
              <w:rPr>
                <w:rFonts w:hAnsi="宋体"/>
                <w:szCs w:val="21"/>
              </w:rPr>
            </w:pPr>
          </w:p>
        </w:tc>
        <w:tc>
          <w:tcPr>
            <w:tcW w:w="3225" w:type="dxa"/>
            <w:tcBorders>
              <w:top w:val="single" w:color="auto" w:sz="4" w:space="0"/>
              <w:left w:val="single" w:color="auto" w:sz="4" w:space="0"/>
              <w:bottom w:val="single" w:color="auto" w:sz="4" w:space="0"/>
              <w:right w:val="single" w:color="auto" w:sz="4" w:space="0"/>
            </w:tcBorders>
          </w:tcPr>
          <w:p>
            <w:pPr>
              <w:snapToGrid w:val="0"/>
              <w:spacing w:line="360" w:lineRule="auto"/>
              <w:rPr>
                <w:rFonts w:hAnsi="宋体"/>
                <w:sz w:val="21"/>
                <w:szCs w:val="21"/>
                <w:u w:val="single"/>
              </w:rPr>
            </w:pPr>
          </w:p>
        </w:tc>
        <w:tc>
          <w:tcPr>
            <w:tcW w:w="1365" w:type="dxa"/>
            <w:tcBorders>
              <w:top w:val="single" w:color="auto" w:sz="4" w:space="0"/>
              <w:left w:val="single" w:color="auto" w:sz="4" w:space="0"/>
              <w:bottom w:val="single" w:color="auto" w:sz="4" w:space="0"/>
              <w:right w:val="single" w:color="auto" w:sz="4" w:space="0"/>
            </w:tcBorders>
          </w:tcPr>
          <w:p>
            <w:pPr>
              <w:snapToGrid w:val="0"/>
              <w:spacing w:line="360" w:lineRule="auto"/>
              <w:rPr>
                <w:rFonts w:hAnsi="宋体"/>
                <w:sz w:val="21"/>
                <w:szCs w:val="21"/>
                <w:u w:val="single"/>
              </w:rPr>
            </w:pPr>
          </w:p>
        </w:tc>
        <w:tc>
          <w:tcPr>
            <w:tcW w:w="1721" w:type="dxa"/>
            <w:tcBorders>
              <w:top w:val="single" w:color="auto" w:sz="4" w:space="0"/>
              <w:left w:val="single" w:color="auto" w:sz="4" w:space="0"/>
              <w:bottom w:val="single" w:color="auto" w:sz="4" w:space="0"/>
              <w:right w:val="single" w:color="auto" w:sz="4" w:space="0"/>
            </w:tcBorders>
          </w:tcPr>
          <w:p>
            <w:pPr>
              <w:snapToGrid w:val="0"/>
              <w:spacing w:line="360" w:lineRule="auto"/>
              <w:rPr>
                <w:rFonts w:hAnsi="宋体"/>
                <w:sz w:val="21"/>
                <w:szCs w:val="21"/>
                <w:u w:val="single"/>
              </w:rPr>
            </w:pPr>
          </w:p>
        </w:tc>
        <w:tc>
          <w:tcPr>
            <w:tcW w:w="835" w:type="dxa"/>
            <w:tcBorders>
              <w:top w:val="single" w:color="auto" w:sz="4" w:space="0"/>
              <w:left w:val="single" w:color="auto" w:sz="4" w:space="0"/>
              <w:bottom w:val="single" w:color="auto" w:sz="4" w:space="0"/>
              <w:right w:val="single" w:color="auto" w:sz="4" w:space="0"/>
            </w:tcBorders>
          </w:tcPr>
          <w:p>
            <w:pPr>
              <w:snapToGrid w:val="0"/>
              <w:spacing w:line="360" w:lineRule="auto"/>
              <w:rPr>
                <w:rFonts w:hAnsi="宋体"/>
                <w:sz w:val="21"/>
                <w:szCs w:val="21"/>
                <w:u w:val="single"/>
              </w:rPr>
            </w:pPr>
          </w:p>
        </w:tc>
        <w:tc>
          <w:tcPr>
            <w:tcW w:w="832" w:type="dxa"/>
            <w:tcBorders>
              <w:top w:val="single" w:color="auto" w:sz="4" w:space="0"/>
              <w:left w:val="single" w:color="auto" w:sz="4" w:space="0"/>
              <w:bottom w:val="single" w:color="auto" w:sz="4" w:space="0"/>
              <w:right w:val="single" w:color="auto" w:sz="4" w:space="0"/>
            </w:tcBorders>
          </w:tcPr>
          <w:p>
            <w:pPr>
              <w:snapToGrid w:val="0"/>
              <w:spacing w:line="360" w:lineRule="auto"/>
              <w:rPr>
                <w:rFonts w:hAnsi="宋体"/>
                <w:sz w:val="21"/>
                <w:szCs w:val="21"/>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1" w:type="dxa"/>
            <w:tcBorders>
              <w:top w:val="single" w:color="auto" w:sz="4" w:space="0"/>
              <w:left w:val="single" w:color="auto" w:sz="4" w:space="0"/>
              <w:bottom w:val="single" w:color="auto" w:sz="4" w:space="0"/>
              <w:right w:val="single" w:color="auto" w:sz="4" w:space="0"/>
            </w:tcBorders>
            <w:vAlign w:val="center"/>
          </w:tcPr>
          <w:p>
            <w:pPr>
              <w:pStyle w:val="28"/>
              <w:jc w:val="center"/>
              <w:rPr>
                <w:rFonts w:hAnsi="宋体"/>
                <w:szCs w:val="21"/>
              </w:rPr>
            </w:pPr>
          </w:p>
        </w:tc>
        <w:tc>
          <w:tcPr>
            <w:tcW w:w="3225" w:type="dxa"/>
            <w:tcBorders>
              <w:top w:val="single" w:color="auto" w:sz="4" w:space="0"/>
              <w:left w:val="single" w:color="auto" w:sz="4" w:space="0"/>
              <w:bottom w:val="single" w:color="auto" w:sz="4" w:space="0"/>
              <w:right w:val="single" w:color="auto" w:sz="4" w:space="0"/>
            </w:tcBorders>
          </w:tcPr>
          <w:p>
            <w:pPr>
              <w:snapToGrid w:val="0"/>
              <w:spacing w:line="360" w:lineRule="auto"/>
              <w:rPr>
                <w:rFonts w:hAnsi="宋体"/>
                <w:sz w:val="21"/>
                <w:szCs w:val="21"/>
                <w:u w:val="single"/>
              </w:rPr>
            </w:pPr>
          </w:p>
        </w:tc>
        <w:tc>
          <w:tcPr>
            <w:tcW w:w="1365" w:type="dxa"/>
            <w:tcBorders>
              <w:top w:val="single" w:color="auto" w:sz="4" w:space="0"/>
              <w:left w:val="single" w:color="auto" w:sz="4" w:space="0"/>
              <w:bottom w:val="single" w:color="auto" w:sz="4" w:space="0"/>
              <w:right w:val="single" w:color="auto" w:sz="4" w:space="0"/>
            </w:tcBorders>
          </w:tcPr>
          <w:p>
            <w:pPr>
              <w:snapToGrid w:val="0"/>
              <w:spacing w:line="360" w:lineRule="auto"/>
              <w:rPr>
                <w:rFonts w:hAnsi="宋体"/>
                <w:sz w:val="21"/>
                <w:szCs w:val="21"/>
                <w:u w:val="single"/>
              </w:rPr>
            </w:pPr>
          </w:p>
        </w:tc>
        <w:tc>
          <w:tcPr>
            <w:tcW w:w="1721" w:type="dxa"/>
            <w:tcBorders>
              <w:top w:val="single" w:color="auto" w:sz="4" w:space="0"/>
              <w:left w:val="single" w:color="auto" w:sz="4" w:space="0"/>
              <w:bottom w:val="single" w:color="auto" w:sz="4" w:space="0"/>
              <w:right w:val="single" w:color="auto" w:sz="4" w:space="0"/>
            </w:tcBorders>
          </w:tcPr>
          <w:p>
            <w:pPr>
              <w:snapToGrid w:val="0"/>
              <w:spacing w:line="360" w:lineRule="auto"/>
              <w:rPr>
                <w:rFonts w:hAnsi="宋体"/>
                <w:sz w:val="21"/>
                <w:szCs w:val="21"/>
                <w:u w:val="single"/>
              </w:rPr>
            </w:pPr>
          </w:p>
        </w:tc>
        <w:tc>
          <w:tcPr>
            <w:tcW w:w="835" w:type="dxa"/>
            <w:tcBorders>
              <w:top w:val="single" w:color="auto" w:sz="4" w:space="0"/>
              <w:left w:val="single" w:color="auto" w:sz="4" w:space="0"/>
              <w:bottom w:val="single" w:color="auto" w:sz="4" w:space="0"/>
              <w:right w:val="single" w:color="auto" w:sz="4" w:space="0"/>
            </w:tcBorders>
          </w:tcPr>
          <w:p>
            <w:pPr>
              <w:snapToGrid w:val="0"/>
              <w:spacing w:line="360" w:lineRule="auto"/>
              <w:rPr>
                <w:rFonts w:hAnsi="宋体"/>
                <w:sz w:val="21"/>
                <w:szCs w:val="21"/>
                <w:u w:val="single"/>
              </w:rPr>
            </w:pPr>
          </w:p>
        </w:tc>
        <w:tc>
          <w:tcPr>
            <w:tcW w:w="832" w:type="dxa"/>
            <w:tcBorders>
              <w:top w:val="single" w:color="auto" w:sz="4" w:space="0"/>
              <w:left w:val="single" w:color="auto" w:sz="4" w:space="0"/>
              <w:bottom w:val="single" w:color="auto" w:sz="4" w:space="0"/>
              <w:right w:val="single" w:color="auto" w:sz="4" w:space="0"/>
            </w:tcBorders>
          </w:tcPr>
          <w:p>
            <w:pPr>
              <w:snapToGrid w:val="0"/>
              <w:spacing w:line="360" w:lineRule="auto"/>
              <w:rPr>
                <w:rFonts w:hAnsi="宋体"/>
                <w:sz w:val="21"/>
                <w:szCs w:val="21"/>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1" w:type="dxa"/>
            <w:tcBorders>
              <w:top w:val="single" w:color="auto" w:sz="4" w:space="0"/>
              <w:left w:val="single" w:color="auto" w:sz="4" w:space="0"/>
              <w:bottom w:val="single" w:color="auto" w:sz="4" w:space="0"/>
              <w:right w:val="single" w:color="auto" w:sz="4" w:space="0"/>
            </w:tcBorders>
            <w:vAlign w:val="center"/>
          </w:tcPr>
          <w:p>
            <w:pPr>
              <w:pStyle w:val="28"/>
              <w:jc w:val="center"/>
              <w:rPr>
                <w:rFonts w:hAnsi="宋体"/>
                <w:szCs w:val="21"/>
              </w:rPr>
            </w:pPr>
          </w:p>
        </w:tc>
        <w:tc>
          <w:tcPr>
            <w:tcW w:w="3225" w:type="dxa"/>
            <w:tcBorders>
              <w:top w:val="single" w:color="auto" w:sz="4" w:space="0"/>
              <w:left w:val="single" w:color="auto" w:sz="4" w:space="0"/>
              <w:bottom w:val="single" w:color="auto" w:sz="4" w:space="0"/>
              <w:right w:val="single" w:color="auto" w:sz="4" w:space="0"/>
            </w:tcBorders>
          </w:tcPr>
          <w:p>
            <w:pPr>
              <w:snapToGrid w:val="0"/>
              <w:spacing w:line="360" w:lineRule="auto"/>
              <w:rPr>
                <w:rFonts w:hAnsi="宋体"/>
                <w:sz w:val="21"/>
                <w:szCs w:val="21"/>
                <w:u w:val="single"/>
              </w:rPr>
            </w:pPr>
          </w:p>
        </w:tc>
        <w:tc>
          <w:tcPr>
            <w:tcW w:w="1365" w:type="dxa"/>
            <w:tcBorders>
              <w:top w:val="single" w:color="auto" w:sz="4" w:space="0"/>
              <w:left w:val="single" w:color="auto" w:sz="4" w:space="0"/>
              <w:bottom w:val="single" w:color="auto" w:sz="4" w:space="0"/>
              <w:right w:val="single" w:color="auto" w:sz="4" w:space="0"/>
            </w:tcBorders>
          </w:tcPr>
          <w:p>
            <w:pPr>
              <w:snapToGrid w:val="0"/>
              <w:spacing w:line="360" w:lineRule="auto"/>
              <w:rPr>
                <w:rFonts w:hAnsi="宋体"/>
                <w:sz w:val="21"/>
                <w:szCs w:val="21"/>
                <w:u w:val="single"/>
              </w:rPr>
            </w:pPr>
          </w:p>
        </w:tc>
        <w:tc>
          <w:tcPr>
            <w:tcW w:w="1721" w:type="dxa"/>
            <w:tcBorders>
              <w:top w:val="single" w:color="auto" w:sz="4" w:space="0"/>
              <w:left w:val="single" w:color="auto" w:sz="4" w:space="0"/>
              <w:bottom w:val="single" w:color="auto" w:sz="4" w:space="0"/>
              <w:right w:val="single" w:color="auto" w:sz="4" w:space="0"/>
            </w:tcBorders>
          </w:tcPr>
          <w:p>
            <w:pPr>
              <w:snapToGrid w:val="0"/>
              <w:spacing w:line="360" w:lineRule="auto"/>
              <w:rPr>
                <w:rFonts w:hAnsi="宋体"/>
                <w:sz w:val="21"/>
                <w:szCs w:val="21"/>
                <w:u w:val="single"/>
              </w:rPr>
            </w:pPr>
          </w:p>
        </w:tc>
        <w:tc>
          <w:tcPr>
            <w:tcW w:w="835" w:type="dxa"/>
            <w:tcBorders>
              <w:top w:val="single" w:color="auto" w:sz="4" w:space="0"/>
              <w:left w:val="single" w:color="auto" w:sz="4" w:space="0"/>
              <w:bottom w:val="single" w:color="auto" w:sz="4" w:space="0"/>
              <w:right w:val="single" w:color="auto" w:sz="4" w:space="0"/>
            </w:tcBorders>
          </w:tcPr>
          <w:p>
            <w:pPr>
              <w:snapToGrid w:val="0"/>
              <w:spacing w:line="360" w:lineRule="auto"/>
              <w:rPr>
                <w:rFonts w:hAnsi="宋体"/>
                <w:sz w:val="21"/>
                <w:szCs w:val="21"/>
                <w:u w:val="single"/>
              </w:rPr>
            </w:pPr>
          </w:p>
        </w:tc>
        <w:tc>
          <w:tcPr>
            <w:tcW w:w="832" w:type="dxa"/>
            <w:tcBorders>
              <w:top w:val="single" w:color="auto" w:sz="4" w:space="0"/>
              <w:left w:val="single" w:color="auto" w:sz="4" w:space="0"/>
              <w:bottom w:val="single" w:color="auto" w:sz="4" w:space="0"/>
              <w:right w:val="single" w:color="auto" w:sz="4" w:space="0"/>
            </w:tcBorders>
          </w:tcPr>
          <w:p>
            <w:pPr>
              <w:snapToGrid w:val="0"/>
              <w:spacing w:line="360" w:lineRule="auto"/>
              <w:rPr>
                <w:rFonts w:hAnsi="宋体"/>
                <w:sz w:val="21"/>
                <w:szCs w:val="21"/>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1" w:type="dxa"/>
            <w:tcBorders>
              <w:top w:val="single" w:color="auto" w:sz="4" w:space="0"/>
              <w:left w:val="single" w:color="auto" w:sz="4" w:space="0"/>
              <w:bottom w:val="single" w:color="auto" w:sz="4" w:space="0"/>
              <w:right w:val="single" w:color="auto" w:sz="4" w:space="0"/>
            </w:tcBorders>
            <w:vAlign w:val="center"/>
          </w:tcPr>
          <w:p>
            <w:pPr>
              <w:pStyle w:val="28"/>
              <w:jc w:val="center"/>
              <w:rPr>
                <w:rFonts w:hAnsi="宋体"/>
                <w:szCs w:val="21"/>
              </w:rPr>
            </w:pPr>
          </w:p>
        </w:tc>
        <w:tc>
          <w:tcPr>
            <w:tcW w:w="3225" w:type="dxa"/>
            <w:tcBorders>
              <w:top w:val="single" w:color="auto" w:sz="4" w:space="0"/>
              <w:left w:val="single" w:color="auto" w:sz="4" w:space="0"/>
              <w:bottom w:val="single" w:color="auto" w:sz="4" w:space="0"/>
              <w:right w:val="single" w:color="auto" w:sz="4" w:space="0"/>
            </w:tcBorders>
          </w:tcPr>
          <w:p>
            <w:pPr>
              <w:snapToGrid w:val="0"/>
              <w:spacing w:line="360" w:lineRule="auto"/>
              <w:rPr>
                <w:rFonts w:hAnsi="宋体"/>
                <w:sz w:val="21"/>
                <w:szCs w:val="21"/>
                <w:u w:val="single"/>
              </w:rPr>
            </w:pPr>
          </w:p>
        </w:tc>
        <w:tc>
          <w:tcPr>
            <w:tcW w:w="1365" w:type="dxa"/>
            <w:tcBorders>
              <w:top w:val="single" w:color="auto" w:sz="4" w:space="0"/>
              <w:left w:val="single" w:color="auto" w:sz="4" w:space="0"/>
              <w:bottom w:val="single" w:color="auto" w:sz="4" w:space="0"/>
              <w:right w:val="single" w:color="auto" w:sz="4" w:space="0"/>
            </w:tcBorders>
          </w:tcPr>
          <w:p>
            <w:pPr>
              <w:snapToGrid w:val="0"/>
              <w:spacing w:line="360" w:lineRule="auto"/>
              <w:rPr>
                <w:rFonts w:hAnsi="宋体"/>
                <w:sz w:val="21"/>
                <w:szCs w:val="21"/>
                <w:u w:val="single"/>
              </w:rPr>
            </w:pPr>
          </w:p>
        </w:tc>
        <w:tc>
          <w:tcPr>
            <w:tcW w:w="1721" w:type="dxa"/>
            <w:tcBorders>
              <w:top w:val="single" w:color="auto" w:sz="4" w:space="0"/>
              <w:left w:val="single" w:color="auto" w:sz="4" w:space="0"/>
              <w:bottom w:val="single" w:color="auto" w:sz="4" w:space="0"/>
              <w:right w:val="single" w:color="auto" w:sz="4" w:space="0"/>
            </w:tcBorders>
          </w:tcPr>
          <w:p>
            <w:pPr>
              <w:snapToGrid w:val="0"/>
              <w:spacing w:line="360" w:lineRule="auto"/>
              <w:rPr>
                <w:rFonts w:hAnsi="宋体"/>
                <w:sz w:val="21"/>
                <w:szCs w:val="21"/>
                <w:u w:val="single"/>
              </w:rPr>
            </w:pPr>
          </w:p>
        </w:tc>
        <w:tc>
          <w:tcPr>
            <w:tcW w:w="835" w:type="dxa"/>
            <w:tcBorders>
              <w:top w:val="single" w:color="auto" w:sz="4" w:space="0"/>
              <w:left w:val="single" w:color="auto" w:sz="4" w:space="0"/>
              <w:bottom w:val="single" w:color="auto" w:sz="4" w:space="0"/>
              <w:right w:val="single" w:color="auto" w:sz="4" w:space="0"/>
            </w:tcBorders>
          </w:tcPr>
          <w:p>
            <w:pPr>
              <w:snapToGrid w:val="0"/>
              <w:spacing w:line="360" w:lineRule="auto"/>
              <w:rPr>
                <w:rFonts w:hAnsi="宋体"/>
                <w:sz w:val="21"/>
                <w:szCs w:val="21"/>
                <w:u w:val="single"/>
              </w:rPr>
            </w:pPr>
          </w:p>
        </w:tc>
        <w:tc>
          <w:tcPr>
            <w:tcW w:w="832" w:type="dxa"/>
            <w:tcBorders>
              <w:top w:val="single" w:color="auto" w:sz="4" w:space="0"/>
              <w:left w:val="single" w:color="auto" w:sz="4" w:space="0"/>
              <w:bottom w:val="single" w:color="auto" w:sz="4" w:space="0"/>
              <w:right w:val="single" w:color="auto" w:sz="4" w:space="0"/>
            </w:tcBorders>
          </w:tcPr>
          <w:p>
            <w:pPr>
              <w:snapToGrid w:val="0"/>
              <w:spacing w:line="360" w:lineRule="auto"/>
              <w:rPr>
                <w:rFonts w:hAnsi="宋体"/>
                <w:sz w:val="21"/>
                <w:szCs w:val="21"/>
                <w:u w:val="single"/>
              </w:rPr>
            </w:pPr>
          </w:p>
        </w:tc>
      </w:tr>
    </w:tbl>
    <w:p>
      <w:pPr>
        <w:pStyle w:val="28"/>
        <w:spacing w:line="480" w:lineRule="exact"/>
        <w:rPr>
          <w:rFonts w:hAnsi="宋体"/>
          <w:sz w:val="22"/>
          <w:szCs w:val="22"/>
        </w:rPr>
      </w:pPr>
    </w:p>
    <w:p>
      <w:pPr>
        <w:pStyle w:val="28"/>
        <w:spacing w:line="480" w:lineRule="exact"/>
        <w:rPr>
          <w:rFonts w:hAnsi="宋体"/>
          <w:sz w:val="22"/>
          <w:szCs w:val="22"/>
        </w:rPr>
      </w:pPr>
      <w:r>
        <w:rPr>
          <w:rFonts w:hint="eastAsia" w:hAnsi="宋体"/>
          <w:sz w:val="22"/>
          <w:szCs w:val="22"/>
        </w:rPr>
        <w:t>要求：</w:t>
      </w:r>
    </w:p>
    <w:p>
      <w:pPr>
        <w:pStyle w:val="28"/>
        <w:spacing w:line="480" w:lineRule="exact"/>
        <w:ind w:firstLine="440" w:firstLineChars="200"/>
        <w:rPr>
          <w:rFonts w:hAnsi="宋体"/>
          <w:sz w:val="22"/>
          <w:szCs w:val="22"/>
        </w:rPr>
      </w:pPr>
      <w:r>
        <w:rPr>
          <w:rFonts w:hint="eastAsia" w:hAnsi="宋体"/>
          <w:sz w:val="22"/>
          <w:szCs w:val="22"/>
        </w:rPr>
        <w:t>供应商应当如实、完整地填写本表格，内容包括所有同类或近似项目业绩。提供合同关键页等复印件（加盖供应商公章）。在填写过程中请按年份顺序填写。</w:t>
      </w:r>
    </w:p>
    <w:p>
      <w:pPr>
        <w:pStyle w:val="28"/>
        <w:spacing w:line="480" w:lineRule="exact"/>
        <w:rPr>
          <w:rFonts w:hAnsi="宋体"/>
          <w:sz w:val="22"/>
          <w:szCs w:val="22"/>
        </w:rPr>
      </w:pPr>
    </w:p>
    <w:p>
      <w:pPr>
        <w:overflowPunct w:val="0"/>
        <w:spacing w:line="460" w:lineRule="exact"/>
        <w:rPr>
          <w:rFonts w:hAnsi="宋体"/>
          <w:sz w:val="22"/>
          <w:szCs w:val="22"/>
        </w:rPr>
      </w:pPr>
      <w:r>
        <w:rPr>
          <w:rFonts w:hint="eastAsia" w:hAnsi="宋体"/>
          <w:sz w:val="22"/>
          <w:szCs w:val="22"/>
        </w:rPr>
        <w:t>供应商名称（加盖公章）：</w:t>
      </w:r>
    </w:p>
    <w:p>
      <w:pPr>
        <w:overflowPunct w:val="0"/>
        <w:spacing w:line="460" w:lineRule="exact"/>
        <w:rPr>
          <w:rFonts w:hAnsi="宋体"/>
          <w:sz w:val="22"/>
          <w:szCs w:val="22"/>
        </w:rPr>
      </w:pPr>
      <w:r>
        <w:rPr>
          <w:rFonts w:hint="eastAsia" w:hAnsi="宋体"/>
          <w:sz w:val="22"/>
          <w:szCs w:val="22"/>
        </w:rPr>
        <w:t>供应商法定代表人或受委托人（签名或盖私章）：</w:t>
      </w:r>
    </w:p>
    <w:p>
      <w:pPr>
        <w:overflowPunct w:val="0"/>
        <w:spacing w:line="460" w:lineRule="exact"/>
        <w:rPr>
          <w:rFonts w:hAnsi="宋体"/>
          <w:sz w:val="22"/>
          <w:szCs w:val="22"/>
        </w:rPr>
      </w:pPr>
      <w:r>
        <w:rPr>
          <w:rFonts w:hint="eastAsia" w:hAnsi="宋体"/>
          <w:sz w:val="22"/>
          <w:szCs w:val="22"/>
        </w:rPr>
        <w:t>日期：年月日</w:t>
      </w:r>
    </w:p>
    <w:p>
      <w:pPr>
        <w:pStyle w:val="4"/>
        <w:numPr>
          <w:ilvl w:val="0"/>
          <w:numId w:val="19"/>
        </w:numPr>
        <w:jc w:val="center"/>
        <w:rPr>
          <w:b w:val="0"/>
          <w:bCs/>
          <w:sz w:val="28"/>
        </w:rPr>
      </w:pPr>
      <w:r>
        <w:rPr>
          <w:sz w:val="22"/>
          <w:szCs w:val="22"/>
        </w:rPr>
        <w:br w:type="page"/>
      </w:r>
      <w:bookmarkStart w:id="218" w:name="_Toc17432"/>
      <w:bookmarkStart w:id="219" w:name="_Toc7897897"/>
      <w:bookmarkStart w:id="220" w:name="_Toc23633"/>
      <w:r>
        <w:rPr>
          <w:rFonts w:hint="eastAsia"/>
          <w:bCs/>
          <w:sz w:val="28"/>
        </w:rPr>
        <w:t>在经营活动中没有重大违法记录的书面声明</w:t>
      </w:r>
      <w:bookmarkEnd w:id="218"/>
      <w:bookmarkEnd w:id="219"/>
      <w:bookmarkEnd w:id="220"/>
    </w:p>
    <w:p>
      <w:pPr>
        <w:pStyle w:val="75"/>
        <w:ind w:firstLine="0" w:firstLineChars="0"/>
        <w:jc w:val="center"/>
        <w:rPr>
          <w:rFonts w:ascii="宋体" w:eastAsia="宋体"/>
          <w:b/>
          <w:sz w:val="28"/>
        </w:rPr>
      </w:pPr>
    </w:p>
    <w:p>
      <w:pPr>
        <w:spacing w:line="360" w:lineRule="auto"/>
        <w:rPr>
          <w:rFonts w:hAnsi="宋体"/>
          <w:sz w:val="21"/>
          <w:szCs w:val="21"/>
          <w:u w:val="single"/>
        </w:rPr>
      </w:pPr>
      <w:r>
        <w:rPr>
          <w:rFonts w:hint="eastAsia" w:hAnsi="宋体"/>
          <w:sz w:val="21"/>
          <w:szCs w:val="21"/>
        </w:rPr>
        <w:t>致：</w:t>
      </w:r>
    </w:p>
    <w:p>
      <w:pPr>
        <w:spacing w:line="360" w:lineRule="auto"/>
        <w:rPr>
          <w:rFonts w:hAnsi="宋体"/>
          <w:sz w:val="21"/>
          <w:szCs w:val="21"/>
        </w:rPr>
      </w:pPr>
      <w:r>
        <w:rPr>
          <w:rFonts w:hint="eastAsia" w:hAnsi="宋体"/>
          <w:sz w:val="21"/>
          <w:szCs w:val="21"/>
        </w:rPr>
        <w:t>本公司参加采购项目（采购编号）的采购活动，并声明：</w:t>
      </w:r>
    </w:p>
    <w:p>
      <w:pPr>
        <w:spacing w:line="360" w:lineRule="auto"/>
        <w:rPr>
          <w:rFonts w:hAnsi="宋体"/>
          <w:sz w:val="21"/>
          <w:szCs w:val="21"/>
        </w:rPr>
      </w:pPr>
      <w:r>
        <w:rPr>
          <w:rFonts w:hint="eastAsia" w:hAnsi="宋体"/>
          <w:sz w:val="21"/>
          <w:szCs w:val="21"/>
        </w:rPr>
        <w:t>本公司参加本采购项目采购前3年内在经营活动中没有因违法经营受到刑事处罚或者责令停产停业、吊销许可证或者执照、较大数额罚款等行政处罚。</w:t>
      </w:r>
    </w:p>
    <w:p>
      <w:pPr>
        <w:spacing w:line="360" w:lineRule="auto"/>
        <w:rPr>
          <w:rFonts w:hAnsi="宋体"/>
          <w:sz w:val="21"/>
          <w:szCs w:val="21"/>
        </w:rPr>
      </w:pPr>
      <w:r>
        <w:rPr>
          <w:rFonts w:hint="eastAsia" w:hAnsi="宋体"/>
          <w:sz w:val="21"/>
          <w:szCs w:val="21"/>
        </w:rPr>
        <w:t>特此声明！</w:t>
      </w:r>
    </w:p>
    <w:p>
      <w:pPr>
        <w:rPr>
          <w:rFonts w:hAnsi="宋体"/>
          <w:sz w:val="21"/>
          <w:szCs w:val="21"/>
        </w:rPr>
      </w:pPr>
    </w:p>
    <w:p>
      <w:pPr>
        <w:rPr>
          <w:rFonts w:hAnsi="宋体"/>
          <w:sz w:val="21"/>
          <w:szCs w:val="21"/>
        </w:rPr>
      </w:pPr>
    </w:p>
    <w:p>
      <w:pPr>
        <w:overflowPunct w:val="0"/>
        <w:spacing w:line="460" w:lineRule="exact"/>
        <w:rPr>
          <w:rFonts w:hAnsi="宋体"/>
          <w:sz w:val="21"/>
          <w:szCs w:val="21"/>
        </w:rPr>
      </w:pPr>
      <w:r>
        <w:rPr>
          <w:rFonts w:hint="eastAsia" w:hAnsi="宋体"/>
          <w:sz w:val="21"/>
          <w:szCs w:val="21"/>
        </w:rPr>
        <w:t>供应商名称（加盖公章）：</w:t>
      </w:r>
    </w:p>
    <w:p>
      <w:pPr>
        <w:overflowPunct w:val="0"/>
        <w:spacing w:line="460" w:lineRule="exact"/>
        <w:rPr>
          <w:rFonts w:hAnsi="宋体"/>
          <w:sz w:val="21"/>
          <w:szCs w:val="21"/>
        </w:rPr>
      </w:pPr>
      <w:r>
        <w:rPr>
          <w:rFonts w:hint="eastAsia" w:hAnsi="宋体"/>
          <w:sz w:val="21"/>
          <w:szCs w:val="21"/>
        </w:rPr>
        <w:t>供应商法定代表人或受委托人（签名或盖私章）：</w:t>
      </w:r>
    </w:p>
    <w:p>
      <w:pPr>
        <w:overflowPunct w:val="0"/>
        <w:spacing w:line="460" w:lineRule="exact"/>
        <w:rPr>
          <w:rFonts w:hAnsi="宋体"/>
          <w:sz w:val="21"/>
          <w:szCs w:val="21"/>
        </w:rPr>
      </w:pPr>
      <w:r>
        <w:rPr>
          <w:rFonts w:hint="eastAsia" w:hAnsi="宋体"/>
          <w:sz w:val="21"/>
          <w:szCs w:val="21"/>
        </w:rPr>
        <w:t>日期：年月日</w:t>
      </w:r>
    </w:p>
    <w:bookmarkEnd w:id="189"/>
    <w:bookmarkEnd w:id="190"/>
    <w:bookmarkEnd w:id="191"/>
    <w:bookmarkEnd w:id="192"/>
    <w:bookmarkEnd w:id="193"/>
    <w:bookmarkEnd w:id="194"/>
    <w:bookmarkEnd w:id="195"/>
    <w:p>
      <w:pPr>
        <w:pStyle w:val="4"/>
        <w:numPr>
          <w:ilvl w:val="0"/>
          <w:numId w:val="19"/>
        </w:numPr>
        <w:jc w:val="center"/>
        <w:rPr>
          <w:b w:val="0"/>
          <w:sz w:val="28"/>
          <w:szCs w:val="28"/>
        </w:rPr>
      </w:pPr>
      <w:bookmarkStart w:id="221" w:name="_Toc7897900"/>
      <w:bookmarkStart w:id="222" w:name="_Toc2461"/>
      <w:bookmarkStart w:id="223" w:name="_Toc8181"/>
      <w:bookmarkStart w:id="224" w:name="_Toc480020290"/>
      <w:bookmarkStart w:id="225" w:name="_Toc468606065"/>
      <w:bookmarkStart w:id="226" w:name="_Toc454701411"/>
      <w:bookmarkStart w:id="227" w:name="_Toc480010743"/>
      <w:bookmarkStart w:id="228" w:name="_Toc458262644"/>
      <w:bookmarkStart w:id="229" w:name="_Toc467236774"/>
      <w:bookmarkStart w:id="230" w:name="_Toc467987857"/>
      <w:bookmarkStart w:id="231" w:name="_Toc35233726"/>
      <w:bookmarkStart w:id="232" w:name="_Toc468157570"/>
      <w:bookmarkStart w:id="233" w:name="_Toc480021086"/>
      <w:bookmarkStart w:id="234" w:name="_Toc480171915"/>
      <w:bookmarkStart w:id="235" w:name="_Toc479991617"/>
      <w:r>
        <w:rPr>
          <w:rFonts w:hint="eastAsia"/>
          <w:sz w:val="28"/>
          <w:szCs w:val="28"/>
        </w:rPr>
        <w:t>针对本项目拟派人员及其技术资格一览表</w:t>
      </w:r>
      <w:bookmarkEnd w:id="221"/>
      <w:bookmarkEnd w:id="222"/>
      <w:bookmarkEnd w:id="223"/>
    </w:p>
    <w:p>
      <w:pPr>
        <w:pStyle w:val="28"/>
        <w:spacing w:line="480" w:lineRule="exact"/>
        <w:ind w:left="-202" w:leftChars="-84" w:firstLine="241" w:firstLineChars="100"/>
        <w:rPr>
          <w:rFonts w:hAnsi="宋体"/>
          <w:b/>
          <w:sz w:val="24"/>
          <w:szCs w:val="21"/>
        </w:rPr>
      </w:pPr>
    </w:p>
    <w:p>
      <w:pPr>
        <w:pStyle w:val="28"/>
        <w:spacing w:line="480" w:lineRule="exact"/>
        <w:ind w:left="-202" w:leftChars="-84" w:firstLine="221" w:firstLineChars="100"/>
        <w:rPr>
          <w:rFonts w:hAnsi="宋体"/>
          <w:b/>
          <w:sz w:val="22"/>
          <w:szCs w:val="22"/>
          <w:u w:val="single"/>
        </w:rPr>
      </w:pPr>
    </w:p>
    <w:tbl>
      <w:tblPr>
        <w:tblStyle w:val="52"/>
        <w:tblW w:w="93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1026"/>
        <w:gridCol w:w="877"/>
        <w:gridCol w:w="1533"/>
        <w:gridCol w:w="1357"/>
        <w:gridCol w:w="1200"/>
        <w:gridCol w:w="1403"/>
        <w:gridCol w:w="14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34" w:type="dxa"/>
            <w:vAlign w:val="center"/>
          </w:tcPr>
          <w:p>
            <w:pPr>
              <w:pStyle w:val="28"/>
              <w:spacing w:line="480" w:lineRule="exact"/>
              <w:jc w:val="center"/>
              <w:rPr>
                <w:rFonts w:hAnsi="宋体"/>
                <w:b/>
                <w:szCs w:val="21"/>
              </w:rPr>
            </w:pPr>
            <w:r>
              <w:rPr>
                <w:rFonts w:hint="eastAsia" w:hAnsi="宋体"/>
                <w:b/>
                <w:szCs w:val="21"/>
              </w:rPr>
              <w:t>序号</w:t>
            </w:r>
          </w:p>
        </w:tc>
        <w:tc>
          <w:tcPr>
            <w:tcW w:w="1026" w:type="dxa"/>
            <w:vAlign w:val="center"/>
          </w:tcPr>
          <w:p>
            <w:pPr>
              <w:pStyle w:val="28"/>
              <w:spacing w:line="480" w:lineRule="exact"/>
              <w:jc w:val="center"/>
              <w:rPr>
                <w:rFonts w:hAnsi="宋体"/>
                <w:b/>
                <w:szCs w:val="21"/>
              </w:rPr>
            </w:pPr>
            <w:r>
              <w:rPr>
                <w:rFonts w:hint="eastAsia" w:hAnsi="宋体"/>
                <w:b/>
                <w:szCs w:val="21"/>
              </w:rPr>
              <w:t>姓名</w:t>
            </w:r>
          </w:p>
        </w:tc>
        <w:tc>
          <w:tcPr>
            <w:tcW w:w="877" w:type="dxa"/>
            <w:vAlign w:val="center"/>
          </w:tcPr>
          <w:p>
            <w:pPr>
              <w:pStyle w:val="28"/>
              <w:spacing w:line="480" w:lineRule="exact"/>
              <w:jc w:val="center"/>
              <w:rPr>
                <w:rFonts w:hAnsi="宋体"/>
                <w:b/>
                <w:szCs w:val="21"/>
              </w:rPr>
            </w:pPr>
            <w:r>
              <w:rPr>
                <w:rFonts w:hint="eastAsia" w:hAnsi="宋体"/>
                <w:b/>
                <w:szCs w:val="21"/>
              </w:rPr>
              <w:t>职位</w:t>
            </w:r>
          </w:p>
        </w:tc>
        <w:tc>
          <w:tcPr>
            <w:tcW w:w="1533" w:type="dxa"/>
          </w:tcPr>
          <w:p>
            <w:pPr>
              <w:pStyle w:val="28"/>
              <w:spacing w:line="480" w:lineRule="exact"/>
              <w:jc w:val="center"/>
              <w:rPr>
                <w:rFonts w:hAnsi="宋体"/>
                <w:b/>
                <w:szCs w:val="21"/>
              </w:rPr>
            </w:pPr>
            <w:r>
              <w:rPr>
                <w:rFonts w:hint="eastAsia" w:hAnsi="宋体"/>
                <w:b/>
                <w:szCs w:val="21"/>
              </w:rPr>
              <w:t>拟在本项目担任职务</w:t>
            </w:r>
          </w:p>
        </w:tc>
        <w:tc>
          <w:tcPr>
            <w:tcW w:w="1357" w:type="dxa"/>
            <w:vAlign w:val="center"/>
          </w:tcPr>
          <w:p>
            <w:pPr>
              <w:pStyle w:val="28"/>
              <w:spacing w:line="480" w:lineRule="exact"/>
              <w:jc w:val="center"/>
              <w:rPr>
                <w:rFonts w:hAnsi="宋体"/>
                <w:b/>
                <w:szCs w:val="21"/>
              </w:rPr>
            </w:pPr>
            <w:r>
              <w:rPr>
                <w:rFonts w:hint="eastAsia" w:hAnsi="宋体"/>
                <w:b/>
                <w:szCs w:val="21"/>
              </w:rPr>
              <w:t>专业、资格证件</w:t>
            </w:r>
          </w:p>
        </w:tc>
        <w:tc>
          <w:tcPr>
            <w:tcW w:w="1200" w:type="dxa"/>
            <w:vAlign w:val="center"/>
          </w:tcPr>
          <w:p>
            <w:pPr>
              <w:pStyle w:val="28"/>
              <w:spacing w:line="480" w:lineRule="exact"/>
              <w:jc w:val="center"/>
              <w:rPr>
                <w:rFonts w:hAnsi="宋体"/>
                <w:b/>
                <w:szCs w:val="21"/>
              </w:rPr>
            </w:pPr>
            <w:r>
              <w:rPr>
                <w:rFonts w:hint="eastAsia" w:hAnsi="宋体"/>
                <w:b/>
                <w:szCs w:val="21"/>
              </w:rPr>
              <w:t>发证时间</w:t>
            </w:r>
          </w:p>
        </w:tc>
        <w:tc>
          <w:tcPr>
            <w:tcW w:w="1403" w:type="dxa"/>
            <w:vAlign w:val="center"/>
          </w:tcPr>
          <w:p>
            <w:pPr>
              <w:pStyle w:val="28"/>
              <w:spacing w:line="480" w:lineRule="exact"/>
              <w:jc w:val="center"/>
              <w:rPr>
                <w:rFonts w:hAnsi="宋体"/>
                <w:b/>
                <w:szCs w:val="21"/>
              </w:rPr>
            </w:pPr>
            <w:r>
              <w:rPr>
                <w:rFonts w:hint="eastAsia" w:hAnsi="宋体"/>
                <w:b/>
                <w:szCs w:val="21"/>
              </w:rPr>
              <w:t>经验年限</w:t>
            </w:r>
          </w:p>
        </w:tc>
        <w:tc>
          <w:tcPr>
            <w:tcW w:w="1403" w:type="dxa"/>
          </w:tcPr>
          <w:p>
            <w:pPr>
              <w:pStyle w:val="28"/>
              <w:spacing w:line="480" w:lineRule="exact"/>
              <w:jc w:val="center"/>
              <w:rPr>
                <w:rFonts w:hAnsi="宋体"/>
                <w:b/>
                <w:szCs w:val="21"/>
              </w:rPr>
            </w:pPr>
            <w:r>
              <w:rPr>
                <w:rFonts w:hint="eastAsia" w:hAnsi="宋体"/>
                <w:b/>
                <w:szCs w:val="21"/>
              </w:rPr>
              <w:t>主要承担过的项目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534" w:type="dxa"/>
            <w:vAlign w:val="center"/>
          </w:tcPr>
          <w:p>
            <w:pPr>
              <w:pStyle w:val="28"/>
              <w:spacing w:line="480" w:lineRule="exact"/>
              <w:jc w:val="center"/>
              <w:rPr>
                <w:rFonts w:hAnsi="宋体"/>
                <w:szCs w:val="21"/>
              </w:rPr>
            </w:pPr>
          </w:p>
        </w:tc>
        <w:tc>
          <w:tcPr>
            <w:tcW w:w="1026" w:type="dxa"/>
            <w:vAlign w:val="center"/>
          </w:tcPr>
          <w:p>
            <w:pPr>
              <w:pStyle w:val="28"/>
              <w:spacing w:line="480" w:lineRule="exact"/>
              <w:jc w:val="center"/>
              <w:rPr>
                <w:rFonts w:hAnsi="宋体"/>
                <w:szCs w:val="21"/>
              </w:rPr>
            </w:pPr>
          </w:p>
        </w:tc>
        <w:tc>
          <w:tcPr>
            <w:tcW w:w="877" w:type="dxa"/>
            <w:vAlign w:val="center"/>
          </w:tcPr>
          <w:p>
            <w:pPr>
              <w:pStyle w:val="28"/>
              <w:spacing w:line="480" w:lineRule="exact"/>
              <w:jc w:val="center"/>
              <w:rPr>
                <w:rFonts w:hAnsi="宋体"/>
                <w:szCs w:val="21"/>
              </w:rPr>
            </w:pPr>
          </w:p>
        </w:tc>
        <w:tc>
          <w:tcPr>
            <w:tcW w:w="1533" w:type="dxa"/>
          </w:tcPr>
          <w:p>
            <w:pPr>
              <w:pStyle w:val="28"/>
              <w:spacing w:line="480" w:lineRule="exact"/>
              <w:jc w:val="center"/>
              <w:rPr>
                <w:rFonts w:hAnsi="宋体"/>
                <w:szCs w:val="21"/>
              </w:rPr>
            </w:pPr>
            <w:r>
              <w:rPr>
                <w:rFonts w:hint="eastAsia" w:hAnsi="宋体"/>
                <w:szCs w:val="21"/>
              </w:rPr>
              <w:t>项目负责人</w:t>
            </w:r>
          </w:p>
        </w:tc>
        <w:tc>
          <w:tcPr>
            <w:tcW w:w="1357" w:type="dxa"/>
            <w:vAlign w:val="center"/>
          </w:tcPr>
          <w:p>
            <w:pPr>
              <w:pStyle w:val="28"/>
              <w:spacing w:line="480" w:lineRule="exact"/>
              <w:jc w:val="center"/>
              <w:rPr>
                <w:rFonts w:hAnsi="宋体"/>
                <w:szCs w:val="21"/>
              </w:rPr>
            </w:pPr>
          </w:p>
        </w:tc>
        <w:tc>
          <w:tcPr>
            <w:tcW w:w="1200" w:type="dxa"/>
            <w:vAlign w:val="center"/>
          </w:tcPr>
          <w:p>
            <w:pPr>
              <w:pStyle w:val="28"/>
              <w:spacing w:line="480" w:lineRule="exact"/>
              <w:jc w:val="center"/>
              <w:rPr>
                <w:rFonts w:hAnsi="宋体"/>
                <w:szCs w:val="21"/>
              </w:rPr>
            </w:pPr>
          </w:p>
        </w:tc>
        <w:tc>
          <w:tcPr>
            <w:tcW w:w="1403" w:type="dxa"/>
            <w:vAlign w:val="center"/>
          </w:tcPr>
          <w:p>
            <w:pPr>
              <w:pStyle w:val="28"/>
              <w:spacing w:line="480" w:lineRule="exact"/>
              <w:jc w:val="center"/>
              <w:rPr>
                <w:rFonts w:hAnsi="宋体"/>
                <w:szCs w:val="21"/>
              </w:rPr>
            </w:pPr>
          </w:p>
        </w:tc>
        <w:tc>
          <w:tcPr>
            <w:tcW w:w="1403" w:type="dxa"/>
          </w:tcPr>
          <w:p>
            <w:pPr>
              <w:pStyle w:val="28"/>
              <w:spacing w:line="480" w:lineRule="exact"/>
              <w:jc w:val="center"/>
              <w:rPr>
                <w:rFonts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534" w:type="dxa"/>
            <w:vAlign w:val="center"/>
          </w:tcPr>
          <w:p>
            <w:pPr>
              <w:pStyle w:val="28"/>
              <w:spacing w:line="480" w:lineRule="exact"/>
              <w:jc w:val="center"/>
              <w:rPr>
                <w:rFonts w:hAnsi="宋体"/>
                <w:szCs w:val="21"/>
              </w:rPr>
            </w:pPr>
          </w:p>
        </w:tc>
        <w:tc>
          <w:tcPr>
            <w:tcW w:w="1026" w:type="dxa"/>
            <w:vAlign w:val="center"/>
          </w:tcPr>
          <w:p>
            <w:pPr>
              <w:pStyle w:val="28"/>
              <w:spacing w:line="480" w:lineRule="exact"/>
              <w:jc w:val="center"/>
              <w:rPr>
                <w:rFonts w:hAnsi="宋体"/>
                <w:szCs w:val="21"/>
              </w:rPr>
            </w:pPr>
          </w:p>
        </w:tc>
        <w:tc>
          <w:tcPr>
            <w:tcW w:w="877" w:type="dxa"/>
            <w:vAlign w:val="center"/>
          </w:tcPr>
          <w:p>
            <w:pPr>
              <w:pStyle w:val="28"/>
              <w:spacing w:line="480" w:lineRule="exact"/>
              <w:jc w:val="center"/>
              <w:rPr>
                <w:rFonts w:hAnsi="宋体"/>
                <w:szCs w:val="21"/>
              </w:rPr>
            </w:pPr>
          </w:p>
        </w:tc>
        <w:tc>
          <w:tcPr>
            <w:tcW w:w="1533" w:type="dxa"/>
            <w:vAlign w:val="center"/>
          </w:tcPr>
          <w:p>
            <w:pPr>
              <w:jc w:val="center"/>
              <w:rPr>
                <w:rFonts w:hAnsi="宋体"/>
                <w:sz w:val="21"/>
                <w:szCs w:val="21"/>
              </w:rPr>
            </w:pPr>
            <w:r>
              <w:rPr>
                <w:rFonts w:hint="eastAsia" w:hAnsi="宋体"/>
                <w:sz w:val="21"/>
                <w:szCs w:val="21"/>
              </w:rPr>
              <w:t>项目人员</w:t>
            </w:r>
          </w:p>
        </w:tc>
        <w:tc>
          <w:tcPr>
            <w:tcW w:w="1357" w:type="dxa"/>
            <w:vAlign w:val="center"/>
          </w:tcPr>
          <w:p>
            <w:pPr>
              <w:pStyle w:val="28"/>
              <w:spacing w:line="480" w:lineRule="exact"/>
              <w:jc w:val="center"/>
              <w:rPr>
                <w:rFonts w:hAnsi="宋体"/>
                <w:szCs w:val="21"/>
              </w:rPr>
            </w:pPr>
          </w:p>
        </w:tc>
        <w:tc>
          <w:tcPr>
            <w:tcW w:w="1200" w:type="dxa"/>
            <w:vAlign w:val="center"/>
          </w:tcPr>
          <w:p>
            <w:pPr>
              <w:pStyle w:val="28"/>
              <w:spacing w:line="480" w:lineRule="exact"/>
              <w:jc w:val="center"/>
              <w:rPr>
                <w:rFonts w:hAnsi="宋体"/>
                <w:szCs w:val="21"/>
              </w:rPr>
            </w:pPr>
          </w:p>
        </w:tc>
        <w:tc>
          <w:tcPr>
            <w:tcW w:w="1403" w:type="dxa"/>
            <w:vAlign w:val="center"/>
          </w:tcPr>
          <w:p>
            <w:pPr>
              <w:pStyle w:val="28"/>
              <w:spacing w:line="480" w:lineRule="exact"/>
              <w:jc w:val="center"/>
              <w:rPr>
                <w:rFonts w:hAnsi="宋体"/>
                <w:szCs w:val="21"/>
              </w:rPr>
            </w:pPr>
          </w:p>
        </w:tc>
        <w:tc>
          <w:tcPr>
            <w:tcW w:w="1403" w:type="dxa"/>
          </w:tcPr>
          <w:p>
            <w:pPr>
              <w:pStyle w:val="28"/>
              <w:spacing w:line="480" w:lineRule="exact"/>
              <w:jc w:val="center"/>
              <w:rPr>
                <w:rFonts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534" w:type="dxa"/>
            <w:vAlign w:val="center"/>
          </w:tcPr>
          <w:p>
            <w:pPr>
              <w:pStyle w:val="28"/>
              <w:spacing w:line="480" w:lineRule="exact"/>
              <w:jc w:val="center"/>
              <w:rPr>
                <w:rFonts w:hAnsi="宋体"/>
                <w:szCs w:val="21"/>
              </w:rPr>
            </w:pPr>
          </w:p>
        </w:tc>
        <w:tc>
          <w:tcPr>
            <w:tcW w:w="1026" w:type="dxa"/>
            <w:vAlign w:val="center"/>
          </w:tcPr>
          <w:p>
            <w:pPr>
              <w:pStyle w:val="28"/>
              <w:spacing w:line="480" w:lineRule="exact"/>
              <w:jc w:val="center"/>
              <w:rPr>
                <w:rFonts w:hAnsi="宋体"/>
                <w:szCs w:val="21"/>
              </w:rPr>
            </w:pPr>
          </w:p>
        </w:tc>
        <w:tc>
          <w:tcPr>
            <w:tcW w:w="877" w:type="dxa"/>
            <w:vAlign w:val="center"/>
          </w:tcPr>
          <w:p>
            <w:pPr>
              <w:pStyle w:val="28"/>
              <w:spacing w:line="480" w:lineRule="exact"/>
              <w:jc w:val="center"/>
              <w:rPr>
                <w:rFonts w:hAnsi="宋体"/>
                <w:szCs w:val="21"/>
              </w:rPr>
            </w:pPr>
          </w:p>
        </w:tc>
        <w:tc>
          <w:tcPr>
            <w:tcW w:w="1533" w:type="dxa"/>
          </w:tcPr>
          <w:p>
            <w:pPr>
              <w:pStyle w:val="28"/>
              <w:spacing w:line="480" w:lineRule="exact"/>
              <w:jc w:val="center"/>
              <w:rPr>
                <w:rFonts w:hAnsi="宋体"/>
                <w:szCs w:val="21"/>
              </w:rPr>
            </w:pPr>
            <w:r>
              <w:rPr>
                <w:rFonts w:hint="eastAsia" w:hAnsi="宋体"/>
                <w:szCs w:val="21"/>
              </w:rPr>
              <w:t>…</w:t>
            </w:r>
          </w:p>
        </w:tc>
        <w:tc>
          <w:tcPr>
            <w:tcW w:w="1357" w:type="dxa"/>
            <w:vAlign w:val="center"/>
          </w:tcPr>
          <w:p>
            <w:pPr>
              <w:pStyle w:val="28"/>
              <w:spacing w:line="480" w:lineRule="exact"/>
              <w:jc w:val="center"/>
              <w:rPr>
                <w:rFonts w:hAnsi="宋体"/>
                <w:szCs w:val="21"/>
              </w:rPr>
            </w:pPr>
          </w:p>
        </w:tc>
        <w:tc>
          <w:tcPr>
            <w:tcW w:w="1200" w:type="dxa"/>
            <w:vAlign w:val="center"/>
          </w:tcPr>
          <w:p>
            <w:pPr>
              <w:pStyle w:val="28"/>
              <w:spacing w:line="480" w:lineRule="exact"/>
              <w:jc w:val="center"/>
              <w:rPr>
                <w:rFonts w:hAnsi="宋体"/>
                <w:szCs w:val="21"/>
              </w:rPr>
            </w:pPr>
          </w:p>
        </w:tc>
        <w:tc>
          <w:tcPr>
            <w:tcW w:w="1403" w:type="dxa"/>
            <w:vAlign w:val="center"/>
          </w:tcPr>
          <w:p>
            <w:pPr>
              <w:pStyle w:val="28"/>
              <w:spacing w:line="480" w:lineRule="exact"/>
              <w:jc w:val="center"/>
              <w:rPr>
                <w:rFonts w:hAnsi="宋体"/>
                <w:szCs w:val="21"/>
              </w:rPr>
            </w:pPr>
          </w:p>
        </w:tc>
        <w:tc>
          <w:tcPr>
            <w:tcW w:w="1403" w:type="dxa"/>
          </w:tcPr>
          <w:p>
            <w:pPr>
              <w:pStyle w:val="28"/>
              <w:spacing w:line="480" w:lineRule="exact"/>
              <w:jc w:val="center"/>
              <w:rPr>
                <w:rFonts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534" w:type="dxa"/>
            <w:vAlign w:val="center"/>
          </w:tcPr>
          <w:p>
            <w:pPr>
              <w:pStyle w:val="28"/>
              <w:spacing w:line="480" w:lineRule="exact"/>
              <w:jc w:val="center"/>
              <w:rPr>
                <w:rFonts w:hAnsi="宋体"/>
                <w:szCs w:val="21"/>
              </w:rPr>
            </w:pPr>
          </w:p>
        </w:tc>
        <w:tc>
          <w:tcPr>
            <w:tcW w:w="1026" w:type="dxa"/>
            <w:vAlign w:val="center"/>
          </w:tcPr>
          <w:p>
            <w:pPr>
              <w:pStyle w:val="28"/>
              <w:spacing w:line="480" w:lineRule="exact"/>
              <w:jc w:val="center"/>
              <w:rPr>
                <w:rFonts w:hAnsi="宋体"/>
                <w:szCs w:val="21"/>
              </w:rPr>
            </w:pPr>
          </w:p>
        </w:tc>
        <w:tc>
          <w:tcPr>
            <w:tcW w:w="877" w:type="dxa"/>
            <w:vAlign w:val="center"/>
          </w:tcPr>
          <w:p>
            <w:pPr>
              <w:pStyle w:val="28"/>
              <w:spacing w:line="480" w:lineRule="exact"/>
              <w:jc w:val="center"/>
              <w:rPr>
                <w:rFonts w:hAnsi="宋体"/>
                <w:szCs w:val="21"/>
              </w:rPr>
            </w:pPr>
          </w:p>
        </w:tc>
        <w:tc>
          <w:tcPr>
            <w:tcW w:w="1533" w:type="dxa"/>
          </w:tcPr>
          <w:p>
            <w:pPr>
              <w:pStyle w:val="28"/>
              <w:spacing w:line="480" w:lineRule="exact"/>
              <w:jc w:val="center"/>
              <w:rPr>
                <w:rFonts w:hAnsi="宋体"/>
                <w:szCs w:val="21"/>
              </w:rPr>
            </w:pPr>
          </w:p>
        </w:tc>
        <w:tc>
          <w:tcPr>
            <w:tcW w:w="1357" w:type="dxa"/>
            <w:vAlign w:val="center"/>
          </w:tcPr>
          <w:p>
            <w:pPr>
              <w:pStyle w:val="28"/>
              <w:spacing w:line="480" w:lineRule="exact"/>
              <w:jc w:val="center"/>
              <w:rPr>
                <w:rFonts w:hAnsi="宋体"/>
                <w:szCs w:val="21"/>
              </w:rPr>
            </w:pPr>
          </w:p>
        </w:tc>
        <w:tc>
          <w:tcPr>
            <w:tcW w:w="1200" w:type="dxa"/>
            <w:vAlign w:val="center"/>
          </w:tcPr>
          <w:p>
            <w:pPr>
              <w:pStyle w:val="28"/>
              <w:spacing w:line="480" w:lineRule="exact"/>
              <w:jc w:val="center"/>
              <w:rPr>
                <w:rFonts w:hAnsi="宋体"/>
                <w:szCs w:val="21"/>
              </w:rPr>
            </w:pPr>
          </w:p>
        </w:tc>
        <w:tc>
          <w:tcPr>
            <w:tcW w:w="1403" w:type="dxa"/>
            <w:vAlign w:val="center"/>
          </w:tcPr>
          <w:p>
            <w:pPr>
              <w:pStyle w:val="28"/>
              <w:spacing w:line="480" w:lineRule="exact"/>
              <w:jc w:val="center"/>
              <w:rPr>
                <w:rFonts w:hAnsi="宋体"/>
                <w:szCs w:val="21"/>
              </w:rPr>
            </w:pPr>
          </w:p>
        </w:tc>
        <w:tc>
          <w:tcPr>
            <w:tcW w:w="1403" w:type="dxa"/>
          </w:tcPr>
          <w:p>
            <w:pPr>
              <w:pStyle w:val="28"/>
              <w:spacing w:line="480" w:lineRule="exact"/>
              <w:jc w:val="center"/>
              <w:rPr>
                <w:rFonts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534" w:type="dxa"/>
            <w:vAlign w:val="center"/>
          </w:tcPr>
          <w:p>
            <w:pPr>
              <w:pStyle w:val="28"/>
              <w:spacing w:line="480" w:lineRule="exact"/>
              <w:jc w:val="center"/>
              <w:rPr>
                <w:rFonts w:hAnsi="宋体"/>
                <w:szCs w:val="21"/>
              </w:rPr>
            </w:pPr>
          </w:p>
        </w:tc>
        <w:tc>
          <w:tcPr>
            <w:tcW w:w="1026" w:type="dxa"/>
            <w:vAlign w:val="center"/>
          </w:tcPr>
          <w:p>
            <w:pPr>
              <w:pStyle w:val="28"/>
              <w:spacing w:line="480" w:lineRule="exact"/>
              <w:jc w:val="center"/>
              <w:rPr>
                <w:rFonts w:hAnsi="宋体"/>
                <w:szCs w:val="21"/>
              </w:rPr>
            </w:pPr>
          </w:p>
        </w:tc>
        <w:tc>
          <w:tcPr>
            <w:tcW w:w="877" w:type="dxa"/>
            <w:vAlign w:val="center"/>
          </w:tcPr>
          <w:p>
            <w:pPr>
              <w:pStyle w:val="28"/>
              <w:spacing w:line="480" w:lineRule="exact"/>
              <w:jc w:val="center"/>
              <w:rPr>
                <w:rFonts w:hAnsi="宋体"/>
                <w:szCs w:val="21"/>
              </w:rPr>
            </w:pPr>
          </w:p>
        </w:tc>
        <w:tc>
          <w:tcPr>
            <w:tcW w:w="1533" w:type="dxa"/>
          </w:tcPr>
          <w:p>
            <w:pPr>
              <w:pStyle w:val="28"/>
              <w:spacing w:line="480" w:lineRule="exact"/>
              <w:jc w:val="center"/>
              <w:rPr>
                <w:rFonts w:hAnsi="宋体"/>
                <w:szCs w:val="21"/>
              </w:rPr>
            </w:pPr>
          </w:p>
        </w:tc>
        <w:tc>
          <w:tcPr>
            <w:tcW w:w="1357" w:type="dxa"/>
            <w:vAlign w:val="center"/>
          </w:tcPr>
          <w:p>
            <w:pPr>
              <w:pStyle w:val="28"/>
              <w:spacing w:line="480" w:lineRule="exact"/>
              <w:jc w:val="center"/>
              <w:rPr>
                <w:rFonts w:hAnsi="宋体"/>
                <w:szCs w:val="21"/>
              </w:rPr>
            </w:pPr>
          </w:p>
        </w:tc>
        <w:tc>
          <w:tcPr>
            <w:tcW w:w="1200" w:type="dxa"/>
            <w:vAlign w:val="center"/>
          </w:tcPr>
          <w:p>
            <w:pPr>
              <w:pStyle w:val="28"/>
              <w:spacing w:line="480" w:lineRule="exact"/>
              <w:jc w:val="center"/>
              <w:rPr>
                <w:rFonts w:hAnsi="宋体"/>
                <w:szCs w:val="21"/>
              </w:rPr>
            </w:pPr>
          </w:p>
        </w:tc>
        <w:tc>
          <w:tcPr>
            <w:tcW w:w="1403" w:type="dxa"/>
            <w:vAlign w:val="center"/>
          </w:tcPr>
          <w:p>
            <w:pPr>
              <w:pStyle w:val="28"/>
              <w:spacing w:line="480" w:lineRule="exact"/>
              <w:jc w:val="center"/>
              <w:rPr>
                <w:rFonts w:hAnsi="宋体"/>
                <w:szCs w:val="21"/>
              </w:rPr>
            </w:pPr>
          </w:p>
        </w:tc>
        <w:tc>
          <w:tcPr>
            <w:tcW w:w="1403" w:type="dxa"/>
          </w:tcPr>
          <w:p>
            <w:pPr>
              <w:pStyle w:val="28"/>
              <w:spacing w:line="480" w:lineRule="exact"/>
              <w:jc w:val="center"/>
              <w:rPr>
                <w:rFonts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534" w:type="dxa"/>
            <w:vAlign w:val="center"/>
          </w:tcPr>
          <w:p>
            <w:pPr>
              <w:pStyle w:val="28"/>
              <w:spacing w:line="480" w:lineRule="exact"/>
              <w:jc w:val="center"/>
              <w:rPr>
                <w:rFonts w:hAnsi="宋体"/>
                <w:szCs w:val="21"/>
              </w:rPr>
            </w:pPr>
          </w:p>
        </w:tc>
        <w:tc>
          <w:tcPr>
            <w:tcW w:w="1026" w:type="dxa"/>
            <w:vAlign w:val="center"/>
          </w:tcPr>
          <w:p>
            <w:pPr>
              <w:pStyle w:val="28"/>
              <w:spacing w:line="480" w:lineRule="exact"/>
              <w:jc w:val="center"/>
              <w:rPr>
                <w:rFonts w:hAnsi="宋体"/>
                <w:szCs w:val="21"/>
              </w:rPr>
            </w:pPr>
          </w:p>
        </w:tc>
        <w:tc>
          <w:tcPr>
            <w:tcW w:w="877" w:type="dxa"/>
            <w:vAlign w:val="center"/>
          </w:tcPr>
          <w:p>
            <w:pPr>
              <w:pStyle w:val="28"/>
              <w:spacing w:line="480" w:lineRule="exact"/>
              <w:jc w:val="center"/>
              <w:rPr>
                <w:rFonts w:hAnsi="宋体"/>
                <w:szCs w:val="21"/>
              </w:rPr>
            </w:pPr>
          </w:p>
        </w:tc>
        <w:tc>
          <w:tcPr>
            <w:tcW w:w="1533" w:type="dxa"/>
          </w:tcPr>
          <w:p>
            <w:pPr>
              <w:pStyle w:val="28"/>
              <w:spacing w:line="480" w:lineRule="exact"/>
              <w:jc w:val="center"/>
              <w:rPr>
                <w:rFonts w:hAnsi="宋体"/>
                <w:szCs w:val="21"/>
              </w:rPr>
            </w:pPr>
          </w:p>
        </w:tc>
        <w:tc>
          <w:tcPr>
            <w:tcW w:w="1357" w:type="dxa"/>
            <w:vAlign w:val="center"/>
          </w:tcPr>
          <w:p>
            <w:pPr>
              <w:pStyle w:val="28"/>
              <w:spacing w:line="480" w:lineRule="exact"/>
              <w:jc w:val="center"/>
              <w:rPr>
                <w:rFonts w:hAnsi="宋体"/>
                <w:szCs w:val="21"/>
              </w:rPr>
            </w:pPr>
          </w:p>
        </w:tc>
        <w:tc>
          <w:tcPr>
            <w:tcW w:w="1200" w:type="dxa"/>
            <w:vAlign w:val="center"/>
          </w:tcPr>
          <w:p>
            <w:pPr>
              <w:pStyle w:val="28"/>
              <w:spacing w:line="480" w:lineRule="exact"/>
              <w:jc w:val="center"/>
              <w:rPr>
                <w:rFonts w:hAnsi="宋体"/>
                <w:szCs w:val="21"/>
              </w:rPr>
            </w:pPr>
          </w:p>
        </w:tc>
        <w:tc>
          <w:tcPr>
            <w:tcW w:w="1403" w:type="dxa"/>
            <w:vAlign w:val="center"/>
          </w:tcPr>
          <w:p>
            <w:pPr>
              <w:pStyle w:val="28"/>
              <w:spacing w:line="480" w:lineRule="exact"/>
              <w:jc w:val="center"/>
              <w:rPr>
                <w:rFonts w:hAnsi="宋体"/>
                <w:szCs w:val="21"/>
              </w:rPr>
            </w:pPr>
          </w:p>
        </w:tc>
        <w:tc>
          <w:tcPr>
            <w:tcW w:w="1403" w:type="dxa"/>
          </w:tcPr>
          <w:p>
            <w:pPr>
              <w:pStyle w:val="28"/>
              <w:spacing w:line="480" w:lineRule="exact"/>
              <w:jc w:val="center"/>
              <w:rPr>
                <w:rFonts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 w:hRule="atLeast"/>
          <w:jc w:val="center"/>
        </w:trPr>
        <w:tc>
          <w:tcPr>
            <w:tcW w:w="534" w:type="dxa"/>
            <w:vAlign w:val="center"/>
          </w:tcPr>
          <w:p>
            <w:pPr>
              <w:pStyle w:val="28"/>
              <w:spacing w:line="480" w:lineRule="exact"/>
              <w:jc w:val="center"/>
              <w:rPr>
                <w:rFonts w:hAnsi="宋体"/>
                <w:szCs w:val="21"/>
              </w:rPr>
            </w:pPr>
          </w:p>
        </w:tc>
        <w:tc>
          <w:tcPr>
            <w:tcW w:w="1026" w:type="dxa"/>
            <w:vAlign w:val="center"/>
          </w:tcPr>
          <w:p>
            <w:pPr>
              <w:pStyle w:val="28"/>
              <w:spacing w:line="480" w:lineRule="exact"/>
              <w:jc w:val="center"/>
              <w:rPr>
                <w:rFonts w:hAnsi="宋体"/>
                <w:szCs w:val="21"/>
              </w:rPr>
            </w:pPr>
          </w:p>
        </w:tc>
        <w:tc>
          <w:tcPr>
            <w:tcW w:w="877" w:type="dxa"/>
            <w:vAlign w:val="center"/>
          </w:tcPr>
          <w:p>
            <w:pPr>
              <w:pStyle w:val="28"/>
              <w:spacing w:line="480" w:lineRule="exact"/>
              <w:jc w:val="center"/>
              <w:rPr>
                <w:rFonts w:hAnsi="宋体"/>
                <w:szCs w:val="21"/>
              </w:rPr>
            </w:pPr>
          </w:p>
        </w:tc>
        <w:tc>
          <w:tcPr>
            <w:tcW w:w="1533" w:type="dxa"/>
          </w:tcPr>
          <w:p>
            <w:pPr>
              <w:pStyle w:val="28"/>
              <w:spacing w:line="480" w:lineRule="exact"/>
              <w:jc w:val="center"/>
              <w:rPr>
                <w:rFonts w:hAnsi="宋体"/>
                <w:szCs w:val="21"/>
              </w:rPr>
            </w:pPr>
          </w:p>
        </w:tc>
        <w:tc>
          <w:tcPr>
            <w:tcW w:w="1357" w:type="dxa"/>
            <w:vAlign w:val="center"/>
          </w:tcPr>
          <w:p>
            <w:pPr>
              <w:pStyle w:val="28"/>
              <w:spacing w:line="480" w:lineRule="exact"/>
              <w:jc w:val="center"/>
              <w:rPr>
                <w:rFonts w:hAnsi="宋体"/>
                <w:szCs w:val="21"/>
              </w:rPr>
            </w:pPr>
          </w:p>
        </w:tc>
        <w:tc>
          <w:tcPr>
            <w:tcW w:w="1200" w:type="dxa"/>
            <w:vAlign w:val="center"/>
          </w:tcPr>
          <w:p>
            <w:pPr>
              <w:pStyle w:val="28"/>
              <w:spacing w:line="480" w:lineRule="exact"/>
              <w:jc w:val="center"/>
              <w:rPr>
                <w:rFonts w:hAnsi="宋体"/>
                <w:szCs w:val="21"/>
              </w:rPr>
            </w:pPr>
          </w:p>
        </w:tc>
        <w:tc>
          <w:tcPr>
            <w:tcW w:w="1403" w:type="dxa"/>
            <w:vAlign w:val="center"/>
          </w:tcPr>
          <w:p>
            <w:pPr>
              <w:pStyle w:val="28"/>
              <w:spacing w:line="480" w:lineRule="exact"/>
              <w:jc w:val="center"/>
              <w:rPr>
                <w:rFonts w:hAnsi="宋体"/>
                <w:szCs w:val="21"/>
              </w:rPr>
            </w:pPr>
          </w:p>
        </w:tc>
        <w:tc>
          <w:tcPr>
            <w:tcW w:w="1403" w:type="dxa"/>
          </w:tcPr>
          <w:p>
            <w:pPr>
              <w:pStyle w:val="28"/>
              <w:spacing w:line="480" w:lineRule="exact"/>
              <w:jc w:val="center"/>
              <w:rPr>
                <w:rFonts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534" w:type="dxa"/>
            <w:vAlign w:val="center"/>
          </w:tcPr>
          <w:p>
            <w:pPr>
              <w:pStyle w:val="28"/>
              <w:spacing w:line="480" w:lineRule="exact"/>
              <w:jc w:val="center"/>
              <w:rPr>
                <w:rFonts w:hAnsi="宋体"/>
                <w:szCs w:val="21"/>
              </w:rPr>
            </w:pPr>
          </w:p>
        </w:tc>
        <w:tc>
          <w:tcPr>
            <w:tcW w:w="1026" w:type="dxa"/>
            <w:vAlign w:val="center"/>
          </w:tcPr>
          <w:p>
            <w:pPr>
              <w:pStyle w:val="28"/>
              <w:spacing w:line="480" w:lineRule="exact"/>
              <w:jc w:val="center"/>
              <w:rPr>
                <w:rFonts w:hAnsi="宋体"/>
                <w:szCs w:val="21"/>
              </w:rPr>
            </w:pPr>
          </w:p>
        </w:tc>
        <w:tc>
          <w:tcPr>
            <w:tcW w:w="877" w:type="dxa"/>
            <w:vAlign w:val="center"/>
          </w:tcPr>
          <w:p>
            <w:pPr>
              <w:pStyle w:val="28"/>
              <w:spacing w:line="480" w:lineRule="exact"/>
              <w:jc w:val="center"/>
              <w:rPr>
                <w:rFonts w:hAnsi="宋体"/>
                <w:szCs w:val="21"/>
              </w:rPr>
            </w:pPr>
          </w:p>
        </w:tc>
        <w:tc>
          <w:tcPr>
            <w:tcW w:w="1533" w:type="dxa"/>
          </w:tcPr>
          <w:p>
            <w:pPr>
              <w:pStyle w:val="28"/>
              <w:spacing w:line="480" w:lineRule="exact"/>
              <w:jc w:val="center"/>
              <w:rPr>
                <w:rFonts w:hAnsi="宋体"/>
                <w:szCs w:val="21"/>
              </w:rPr>
            </w:pPr>
          </w:p>
        </w:tc>
        <w:tc>
          <w:tcPr>
            <w:tcW w:w="1357" w:type="dxa"/>
            <w:vAlign w:val="center"/>
          </w:tcPr>
          <w:p>
            <w:pPr>
              <w:pStyle w:val="28"/>
              <w:spacing w:line="480" w:lineRule="exact"/>
              <w:jc w:val="center"/>
              <w:rPr>
                <w:rFonts w:hAnsi="宋体"/>
                <w:szCs w:val="21"/>
              </w:rPr>
            </w:pPr>
          </w:p>
        </w:tc>
        <w:tc>
          <w:tcPr>
            <w:tcW w:w="1200" w:type="dxa"/>
            <w:vAlign w:val="center"/>
          </w:tcPr>
          <w:p>
            <w:pPr>
              <w:pStyle w:val="28"/>
              <w:spacing w:line="480" w:lineRule="exact"/>
              <w:jc w:val="center"/>
              <w:rPr>
                <w:rFonts w:hAnsi="宋体"/>
                <w:szCs w:val="21"/>
              </w:rPr>
            </w:pPr>
          </w:p>
        </w:tc>
        <w:tc>
          <w:tcPr>
            <w:tcW w:w="1403" w:type="dxa"/>
            <w:vAlign w:val="center"/>
          </w:tcPr>
          <w:p>
            <w:pPr>
              <w:pStyle w:val="28"/>
              <w:spacing w:line="480" w:lineRule="exact"/>
              <w:jc w:val="center"/>
              <w:rPr>
                <w:rFonts w:hAnsi="宋体"/>
                <w:szCs w:val="21"/>
              </w:rPr>
            </w:pPr>
          </w:p>
        </w:tc>
        <w:tc>
          <w:tcPr>
            <w:tcW w:w="1403" w:type="dxa"/>
          </w:tcPr>
          <w:p>
            <w:pPr>
              <w:pStyle w:val="28"/>
              <w:spacing w:line="480" w:lineRule="exact"/>
              <w:jc w:val="center"/>
              <w:rPr>
                <w:rFonts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534" w:type="dxa"/>
            <w:vAlign w:val="center"/>
          </w:tcPr>
          <w:p>
            <w:pPr>
              <w:pStyle w:val="28"/>
              <w:spacing w:line="480" w:lineRule="exact"/>
              <w:jc w:val="center"/>
              <w:rPr>
                <w:rFonts w:hAnsi="宋体"/>
                <w:szCs w:val="21"/>
              </w:rPr>
            </w:pPr>
          </w:p>
        </w:tc>
        <w:tc>
          <w:tcPr>
            <w:tcW w:w="1026" w:type="dxa"/>
            <w:vAlign w:val="center"/>
          </w:tcPr>
          <w:p>
            <w:pPr>
              <w:pStyle w:val="28"/>
              <w:spacing w:line="480" w:lineRule="exact"/>
              <w:jc w:val="center"/>
              <w:rPr>
                <w:rFonts w:hAnsi="宋体"/>
                <w:szCs w:val="21"/>
              </w:rPr>
            </w:pPr>
          </w:p>
        </w:tc>
        <w:tc>
          <w:tcPr>
            <w:tcW w:w="877" w:type="dxa"/>
            <w:vAlign w:val="center"/>
          </w:tcPr>
          <w:p>
            <w:pPr>
              <w:pStyle w:val="28"/>
              <w:spacing w:line="480" w:lineRule="exact"/>
              <w:jc w:val="center"/>
              <w:rPr>
                <w:rFonts w:hAnsi="宋体"/>
                <w:szCs w:val="21"/>
              </w:rPr>
            </w:pPr>
          </w:p>
        </w:tc>
        <w:tc>
          <w:tcPr>
            <w:tcW w:w="1533" w:type="dxa"/>
          </w:tcPr>
          <w:p>
            <w:pPr>
              <w:pStyle w:val="28"/>
              <w:spacing w:line="480" w:lineRule="exact"/>
              <w:jc w:val="center"/>
              <w:rPr>
                <w:rFonts w:hAnsi="宋体"/>
                <w:szCs w:val="21"/>
              </w:rPr>
            </w:pPr>
          </w:p>
        </w:tc>
        <w:tc>
          <w:tcPr>
            <w:tcW w:w="1357" w:type="dxa"/>
            <w:vAlign w:val="center"/>
          </w:tcPr>
          <w:p>
            <w:pPr>
              <w:pStyle w:val="28"/>
              <w:spacing w:line="480" w:lineRule="exact"/>
              <w:jc w:val="center"/>
              <w:rPr>
                <w:rFonts w:hAnsi="宋体"/>
                <w:szCs w:val="21"/>
              </w:rPr>
            </w:pPr>
          </w:p>
        </w:tc>
        <w:tc>
          <w:tcPr>
            <w:tcW w:w="1200" w:type="dxa"/>
            <w:vAlign w:val="center"/>
          </w:tcPr>
          <w:p>
            <w:pPr>
              <w:pStyle w:val="28"/>
              <w:spacing w:line="480" w:lineRule="exact"/>
              <w:jc w:val="center"/>
              <w:rPr>
                <w:rFonts w:hAnsi="宋体"/>
                <w:szCs w:val="21"/>
              </w:rPr>
            </w:pPr>
          </w:p>
        </w:tc>
        <w:tc>
          <w:tcPr>
            <w:tcW w:w="1403" w:type="dxa"/>
            <w:vAlign w:val="center"/>
          </w:tcPr>
          <w:p>
            <w:pPr>
              <w:pStyle w:val="28"/>
              <w:spacing w:line="480" w:lineRule="exact"/>
              <w:jc w:val="center"/>
              <w:rPr>
                <w:rFonts w:hAnsi="宋体"/>
                <w:szCs w:val="21"/>
              </w:rPr>
            </w:pPr>
          </w:p>
        </w:tc>
        <w:tc>
          <w:tcPr>
            <w:tcW w:w="1403" w:type="dxa"/>
          </w:tcPr>
          <w:p>
            <w:pPr>
              <w:pStyle w:val="28"/>
              <w:spacing w:line="480" w:lineRule="exact"/>
              <w:jc w:val="center"/>
              <w:rPr>
                <w:rFonts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534" w:type="dxa"/>
            <w:vAlign w:val="center"/>
          </w:tcPr>
          <w:p>
            <w:pPr>
              <w:pStyle w:val="28"/>
              <w:spacing w:line="480" w:lineRule="exact"/>
              <w:jc w:val="center"/>
              <w:rPr>
                <w:rFonts w:hAnsi="宋体"/>
                <w:szCs w:val="21"/>
              </w:rPr>
            </w:pPr>
          </w:p>
        </w:tc>
        <w:tc>
          <w:tcPr>
            <w:tcW w:w="1026" w:type="dxa"/>
            <w:vAlign w:val="center"/>
          </w:tcPr>
          <w:p>
            <w:pPr>
              <w:pStyle w:val="28"/>
              <w:spacing w:line="480" w:lineRule="exact"/>
              <w:jc w:val="center"/>
              <w:rPr>
                <w:rFonts w:hAnsi="宋体"/>
                <w:szCs w:val="21"/>
              </w:rPr>
            </w:pPr>
          </w:p>
        </w:tc>
        <w:tc>
          <w:tcPr>
            <w:tcW w:w="877" w:type="dxa"/>
            <w:vAlign w:val="center"/>
          </w:tcPr>
          <w:p>
            <w:pPr>
              <w:pStyle w:val="28"/>
              <w:spacing w:line="480" w:lineRule="exact"/>
              <w:jc w:val="center"/>
              <w:rPr>
                <w:rFonts w:hAnsi="宋体"/>
                <w:szCs w:val="21"/>
              </w:rPr>
            </w:pPr>
          </w:p>
        </w:tc>
        <w:tc>
          <w:tcPr>
            <w:tcW w:w="1533" w:type="dxa"/>
          </w:tcPr>
          <w:p>
            <w:pPr>
              <w:pStyle w:val="28"/>
              <w:spacing w:line="480" w:lineRule="exact"/>
              <w:jc w:val="center"/>
              <w:rPr>
                <w:rFonts w:hAnsi="宋体"/>
                <w:szCs w:val="21"/>
              </w:rPr>
            </w:pPr>
          </w:p>
        </w:tc>
        <w:tc>
          <w:tcPr>
            <w:tcW w:w="1357" w:type="dxa"/>
            <w:vAlign w:val="center"/>
          </w:tcPr>
          <w:p>
            <w:pPr>
              <w:pStyle w:val="28"/>
              <w:spacing w:line="480" w:lineRule="exact"/>
              <w:jc w:val="center"/>
              <w:rPr>
                <w:rFonts w:hAnsi="宋体"/>
                <w:szCs w:val="21"/>
              </w:rPr>
            </w:pPr>
          </w:p>
        </w:tc>
        <w:tc>
          <w:tcPr>
            <w:tcW w:w="1200" w:type="dxa"/>
            <w:vAlign w:val="center"/>
          </w:tcPr>
          <w:p>
            <w:pPr>
              <w:pStyle w:val="28"/>
              <w:spacing w:line="480" w:lineRule="exact"/>
              <w:jc w:val="center"/>
              <w:rPr>
                <w:rFonts w:hAnsi="宋体"/>
                <w:szCs w:val="21"/>
              </w:rPr>
            </w:pPr>
          </w:p>
        </w:tc>
        <w:tc>
          <w:tcPr>
            <w:tcW w:w="1403" w:type="dxa"/>
            <w:vAlign w:val="center"/>
          </w:tcPr>
          <w:p>
            <w:pPr>
              <w:pStyle w:val="28"/>
              <w:spacing w:line="480" w:lineRule="exact"/>
              <w:jc w:val="center"/>
              <w:rPr>
                <w:rFonts w:hAnsi="宋体"/>
                <w:szCs w:val="21"/>
              </w:rPr>
            </w:pPr>
          </w:p>
        </w:tc>
        <w:tc>
          <w:tcPr>
            <w:tcW w:w="1403" w:type="dxa"/>
          </w:tcPr>
          <w:p>
            <w:pPr>
              <w:pStyle w:val="28"/>
              <w:spacing w:line="480" w:lineRule="exact"/>
              <w:jc w:val="center"/>
              <w:rPr>
                <w:rFonts w:hAnsi="宋体"/>
                <w:szCs w:val="21"/>
              </w:rPr>
            </w:pPr>
          </w:p>
        </w:tc>
      </w:tr>
    </w:tbl>
    <w:p>
      <w:pPr>
        <w:tabs>
          <w:tab w:val="left" w:pos="654"/>
          <w:tab w:val="left" w:pos="1734"/>
          <w:tab w:val="left" w:pos="2814"/>
          <w:tab w:val="left" w:pos="3894"/>
          <w:tab w:val="left" w:pos="5334"/>
          <w:tab w:val="left" w:pos="6414"/>
          <w:tab w:val="left" w:pos="7254"/>
          <w:tab w:val="left" w:pos="8574"/>
          <w:tab w:val="left" w:pos="9654"/>
        </w:tabs>
        <w:spacing w:line="480" w:lineRule="exact"/>
        <w:ind w:left="850" w:hanging="850"/>
        <w:rPr>
          <w:rFonts w:hAnsi="宋体"/>
          <w:sz w:val="22"/>
          <w:szCs w:val="22"/>
        </w:rPr>
      </w:pPr>
    </w:p>
    <w:p>
      <w:pPr>
        <w:pStyle w:val="21"/>
        <w:rPr>
          <w:rFonts w:hAnsi="宋体"/>
          <w:sz w:val="21"/>
          <w:szCs w:val="21"/>
        </w:rPr>
      </w:pPr>
    </w:p>
    <w:p>
      <w:pPr>
        <w:overflowPunct w:val="0"/>
        <w:spacing w:line="460" w:lineRule="exact"/>
        <w:rPr>
          <w:rFonts w:hAnsi="宋体"/>
          <w:sz w:val="21"/>
          <w:szCs w:val="21"/>
        </w:rPr>
      </w:pPr>
      <w:r>
        <w:rPr>
          <w:rFonts w:hint="eastAsia" w:hAnsi="宋体"/>
          <w:sz w:val="21"/>
          <w:szCs w:val="21"/>
        </w:rPr>
        <w:t>供应商名称（加盖公章）：</w:t>
      </w:r>
    </w:p>
    <w:p>
      <w:pPr>
        <w:overflowPunct w:val="0"/>
        <w:spacing w:line="460" w:lineRule="exact"/>
        <w:rPr>
          <w:rFonts w:hAnsi="宋体"/>
          <w:sz w:val="21"/>
          <w:szCs w:val="21"/>
        </w:rPr>
      </w:pPr>
      <w:r>
        <w:rPr>
          <w:rFonts w:hint="eastAsia" w:hAnsi="宋体"/>
          <w:sz w:val="21"/>
          <w:szCs w:val="21"/>
        </w:rPr>
        <w:t>供应商法定代表人或受委托人（签名或盖私章）：</w:t>
      </w:r>
    </w:p>
    <w:p>
      <w:pPr>
        <w:overflowPunct w:val="0"/>
        <w:spacing w:line="460" w:lineRule="exact"/>
        <w:rPr>
          <w:rFonts w:hAnsi="宋体"/>
          <w:sz w:val="22"/>
          <w:szCs w:val="22"/>
        </w:rPr>
      </w:pPr>
      <w:r>
        <w:rPr>
          <w:rFonts w:hint="eastAsia" w:hAnsi="宋体"/>
          <w:sz w:val="21"/>
          <w:szCs w:val="21"/>
        </w:rPr>
        <w:t>日期：年月日</w:t>
      </w:r>
    </w:p>
    <w:p>
      <w:pPr>
        <w:overflowPunct w:val="0"/>
        <w:spacing w:line="460" w:lineRule="exact"/>
        <w:rPr>
          <w:rFonts w:hAnsi="宋体"/>
          <w:b/>
          <w:bCs/>
          <w:szCs w:val="21"/>
          <w:u w:val="single"/>
        </w:rPr>
      </w:pPr>
    </w:p>
    <w:p>
      <w:pPr>
        <w:pStyle w:val="4"/>
        <w:numPr>
          <w:ilvl w:val="0"/>
          <w:numId w:val="19"/>
        </w:numPr>
        <w:jc w:val="center"/>
        <w:rPr>
          <w:bCs/>
          <w:sz w:val="28"/>
          <w:szCs w:val="28"/>
        </w:rPr>
      </w:pPr>
      <w:r>
        <w:rPr>
          <w:bCs/>
          <w:szCs w:val="21"/>
        </w:rPr>
        <w:br w:type="page"/>
      </w:r>
      <w:bookmarkEnd w:id="224"/>
      <w:bookmarkEnd w:id="225"/>
      <w:bookmarkEnd w:id="226"/>
      <w:bookmarkEnd w:id="227"/>
      <w:bookmarkEnd w:id="228"/>
      <w:bookmarkEnd w:id="229"/>
      <w:bookmarkEnd w:id="230"/>
      <w:bookmarkEnd w:id="231"/>
      <w:bookmarkEnd w:id="232"/>
      <w:bookmarkEnd w:id="233"/>
      <w:bookmarkEnd w:id="234"/>
      <w:bookmarkEnd w:id="235"/>
      <w:bookmarkStart w:id="236" w:name="_Toc13441"/>
      <w:r>
        <w:rPr>
          <w:rFonts w:hint="eastAsia"/>
          <w:bCs/>
          <w:sz w:val="28"/>
          <w:szCs w:val="28"/>
        </w:rPr>
        <w:t>磋商保证金汇入情况说明（适用于转账、电汇方式）</w:t>
      </w:r>
      <w:bookmarkEnd w:id="236"/>
    </w:p>
    <w:p>
      <w:pPr>
        <w:spacing w:line="460" w:lineRule="exact"/>
        <w:rPr>
          <w:rFonts w:hAnsi="宋体"/>
          <w:b/>
          <w:bCs/>
          <w:sz w:val="22"/>
          <w:szCs w:val="22"/>
        </w:rPr>
      </w:pPr>
    </w:p>
    <w:p>
      <w:pPr>
        <w:spacing w:line="460" w:lineRule="exact"/>
        <w:rPr>
          <w:rFonts w:hAnsi="宋体"/>
          <w:sz w:val="21"/>
          <w:szCs w:val="21"/>
        </w:rPr>
      </w:pPr>
      <w:r>
        <w:rPr>
          <w:rFonts w:hint="eastAsia" w:hAnsi="宋体"/>
          <w:sz w:val="21"/>
          <w:szCs w:val="21"/>
        </w:rPr>
        <w:t>广东泰通伟业工程咨询有限公司：</w:t>
      </w:r>
    </w:p>
    <w:p>
      <w:pPr>
        <w:spacing w:line="460" w:lineRule="exact"/>
        <w:ind w:firstLine="420" w:firstLineChars="200"/>
        <w:rPr>
          <w:rFonts w:hAnsi="宋体"/>
          <w:sz w:val="21"/>
          <w:szCs w:val="21"/>
        </w:rPr>
      </w:pPr>
      <w:r>
        <w:rPr>
          <w:rFonts w:hint="eastAsia" w:hAnsi="宋体"/>
          <w:sz w:val="21"/>
          <w:szCs w:val="21"/>
        </w:rPr>
        <w:t>本单位已按</w:t>
      </w:r>
      <w:r>
        <w:rPr>
          <w:rFonts w:hint="eastAsia" w:hAnsi="宋体"/>
          <w:sz w:val="21"/>
          <w:szCs w:val="21"/>
          <w:u w:val="single"/>
        </w:rPr>
        <w:t>（项目名称）（</w:t>
      </w:r>
      <w:r>
        <w:rPr>
          <w:rFonts w:hint="eastAsia" w:hAnsi="宋体"/>
          <w:sz w:val="21"/>
          <w:szCs w:val="21"/>
        </w:rPr>
        <w:t>采购编号：</w:t>
      </w:r>
      <w:r>
        <w:rPr>
          <w:rFonts w:hint="eastAsia" w:hAnsi="宋体"/>
          <w:sz w:val="21"/>
          <w:szCs w:val="21"/>
          <w:u w:val="single"/>
        </w:rPr>
        <w:t>）</w:t>
      </w:r>
      <w:r>
        <w:rPr>
          <w:rFonts w:hint="eastAsia" w:hAnsi="宋体"/>
          <w:sz w:val="21"/>
          <w:szCs w:val="21"/>
        </w:rPr>
        <w:t>的磋商文件要求，于年月日前以（付款形式）方式汇入指定帐户（帐户名称：，帐号：,开户银行：）。</w:t>
      </w:r>
    </w:p>
    <w:p>
      <w:pPr>
        <w:spacing w:line="460" w:lineRule="exact"/>
        <w:ind w:firstLine="420" w:firstLineChars="200"/>
        <w:rPr>
          <w:rFonts w:hAnsi="宋体"/>
          <w:sz w:val="21"/>
          <w:szCs w:val="21"/>
        </w:rPr>
      </w:pPr>
      <w:r>
        <w:rPr>
          <w:rFonts w:hint="eastAsia" w:hAnsi="宋体"/>
          <w:sz w:val="21"/>
          <w:szCs w:val="21"/>
        </w:rPr>
        <w:t>供应商磋商保证金的汇款情况：（详见附件－磋商保证金进帐单）汇出时间：年月日；</w:t>
      </w:r>
    </w:p>
    <w:p>
      <w:pPr>
        <w:spacing w:line="460" w:lineRule="exact"/>
        <w:ind w:firstLine="420" w:firstLineChars="200"/>
        <w:rPr>
          <w:rFonts w:hAnsi="宋体"/>
          <w:sz w:val="21"/>
          <w:szCs w:val="21"/>
          <w:u w:val="single"/>
        </w:rPr>
      </w:pPr>
      <w:r>
        <w:rPr>
          <w:rFonts w:hint="eastAsia" w:hAnsi="宋体"/>
          <w:sz w:val="21"/>
          <w:szCs w:val="21"/>
        </w:rPr>
        <w:t>汇款金额：（大写）人民币</w:t>
      </w:r>
      <w:r>
        <w:rPr>
          <w:rFonts w:hint="eastAsia" w:hAnsi="宋体"/>
          <w:sz w:val="21"/>
          <w:szCs w:val="21"/>
          <w:u w:val="single"/>
        </w:rPr>
        <w:t>元整</w:t>
      </w:r>
    </w:p>
    <w:p>
      <w:pPr>
        <w:spacing w:line="460" w:lineRule="exact"/>
        <w:ind w:firstLine="1365" w:firstLineChars="650"/>
        <w:rPr>
          <w:rFonts w:hAnsi="宋体"/>
          <w:sz w:val="21"/>
          <w:szCs w:val="21"/>
          <w:u w:val="single"/>
        </w:rPr>
      </w:pPr>
      <w:r>
        <w:rPr>
          <w:rFonts w:hint="eastAsia" w:hAnsi="宋体"/>
          <w:sz w:val="21"/>
          <w:szCs w:val="21"/>
        </w:rPr>
        <w:t>（小写）￥元。</w:t>
      </w:r>
    </w:p>
    <w:p>
      <w:pPr>
        <w:spacing w:line="460" w:lineRule="exact"/>
        <w:ind w:firstLine="420" w:firstLineChars="200"/>
        <w:rPr>
          <w:rFonts w:hAnsi="宋体"/>
          <w:sz w:val="21"/>
          <w:szCs w:val="21"/>
          <w:u w:val="single"/>
        </w:rPr>
      </w:pPr>
      <w:r>
        <w:rPr>
          <w:rFonts w:hint="eastAsia" w:hAnsi="宋体"/>
          <w:sz w:val="21"/>
          <w:szCs w:val="21"/>
        </w:rPr>
        <w:t>汇款帐户名称：</w:t>
      </w:r>
      <w:r>
        <w:rPr>
          <w:rFonts w:hint="eastAsia" w:hAnsi="宋体"/>
          <w:sz w:val="21"/>
          <w:szCs w:val="21"/>
          <w:u w:val="single"/>
        </w:rPr>
        <w:t>（必须是磋商时使用的单位名称）</w:t>
      </w:r>
    </w:p>
    <w:p>
      <w:pPr>
        <w:spacing w:line="460" w:lineRule="exact"/>
        <w:ind w:firstLine="420" w:firstLineChars="200"/>
        <w:rPr>
          <w:rFonts w:hAnsi="宋体"/>
          <w:sz w:val="21"/>
          <w:szCs w:val="21"/>
        </w:rPr>
      </w:pPr>
      <w:r>
        <w:rPr>
          <w:rFonts w:hint="eastAsia" w:hAnsi="宋体"/>
          <w:sz w:val="21"/>
          <w:szCs w:val="21"/>
        </w:rPr>
        <w:t>帐号：</w:t>
      </w:r>
      <w:r>
        <w:rPr>
          <w:rFonts w:hint="eastAsia" w:hAnsi="宋体"/>
          <w:sz w:val="21"/>
          <w:szCs w:val="21"/>
          <w:u w:val="single"/>
        </w:rPr>
        <w:t>（必须是磋商时使用的帐号）</w:t>
      </w:r>
    </w:p>
    <w:p>
      <w:pPr>
        <w:spacing w:line="460" w:lineRule="exact"/>
        <w:ind w:firstLine="420" w:firstLineChars="200"/>
        <w:rPr>
          <w:rFonts w:hAnsi="宋体"/>
          <w:sz w:val="21"/>
          <w:szCs w:val="21"/>
          <w:u w:val="single"/>
        </w:rPr>
      </w:pPr>
      <w:r>
        <w:rPr>
          <w:rFonts w:hint="eastAsia" w:hAnsi="宋体"/>
          <w:sz w:val="21"/>
          <w:szCs w:val="21"/>
        </w:rPr>
        <w:t>开户银行：</w:t>
      </w:r>
      <w:r>
        <w:rPr>
          <w:rFonts w:hint="eastAsia" w:hAnsi="宋体"/>
          <w:sz w:val="21"/>
          <w:szCs w:val="21"/>
          <w:u w:val="single"/>
        </w:rPr>
        <w:t xml:space="preserve">银行省市          (分行/支行)    </w:t>
      </w:r>
    </w:p>
    <w:p>
      <w:pPr>
        <w:spacing w:line="460" w:lineRule="exact"/>
        <w:ind w:firstLine="420" w:firstLineChars="200"/>
        <w:rPr>
          <w:rFonts w:hAnsi="宋体"/>
          <w:sz w:val="21"/>
          <w:szCs w:val="21"/>
        </w:rPr>
      </w:pPr>
      <w:r>
        <w:rPr>
          <w:rFonts w:hint="eastAsia" w:hAnsi="宋体"/>
          <w:sz w:val="21"/>
          <w:szCs w:val="21"/>
        </w:rPr>
        <w:t>本单位谨承诺上述资料是正确、真实的，如因上述证明与事实不符导致的一切损失，本单位保证承担赔偿等一切法律责任。</w:t>
      </w:r>
    </w:p>
    <w:p>
      <w:pPr>
        <w:spacing w:line="460" w:lineRule="exact"/>
        <w:ind w:firstLine="420" w:firstLineChars="200"/>
        <w:rPr>
          <w:rFonts w:hAnsi="宋体"/>
          <w:sz w:val="21"/>
          <w:szCs w:val="21"/>
        </w:rPr>
      </w:pPr>
      <w:r>
        <w:rPr>
          <w:rFonts w:hint="eastAsia" w:hAnsi="宋体"/>
          <w:sz w:val="21"/>
          <w:szCs w:val="21"/>
        </w:rPr>
        <w:t>磋商保证金退回时，请按上述资料退回。</w:t>
      </w:r>
    </w:p>
    <w:p>
      <w:pPr>
        <w:spacing w:line="460" w:lineRule="exact"/>
        <w:rPr>
          <w:rFonts w:hAnsi="宋体"/>
          <w:b/>
          <w:bCs/>
          <w:sz w:val="21"/>
          <w:szCs w:val="21"/>
        </w:rPr>
      </w:pPr>
    </w:p>
    <w:p>
      <w:pPr>
        <w:spacing w:line="460" w:lineRule="exact"/>
        <w:rPr>
          <w:rFonts w:hAnsi="宋体"/>
          <w:b/>
          <w:bCs/>
          <w:sz w:val="21"/>
          <w:szCs w:val="21"/>
        </w:rPr>
      </w:pPr>
      <w:r>
        <w:rPr>
          <w:rFonts w:hint="eastAsia" w:hAnsi="宋体"/>
          <w:b/>
          <w:bCs/>
          <w:sz w:val="21"/>
          <w:szCs w:val="21"/>
        </w:rPr>
        <w:t>附件：磋商保证金进帐单复印件（加盖公章）</w:t>
      </w:r>
    </w:p>
    <w:p>
      <w:pPr>
        <w:spacing w:line="460" w:lineRule="exact"/>
        <w:ind w:right="965" w:rightChars="402"/>
        <w:jc w:val="right"/>
        <w:rPr>
          <w:rFonts w:hAnsi="宋体"/>
          <w:sz w:val="21"/>
          <w:szCs w:val="21"/>
        </w:rPr>
      </w:pPr>
      <w:r>
        <w:rPr>
          <w:rFonts w:hint="eastAsia" w:hAnsi="宋体"/>
          <w:sz w:val="21"/>
          <w:szCs w:val="21"/>
        </w:rPr>
        <w:t>（公章）</w:t>
      </w:r>
    </w:p>
    <w:p>
      <w:pPr>
        <w:spacing w:line="460" w:lineRule="exact"/>
        <w:ind w:right="718" w:rightChars="299"/>
        <w:jc w:val="right"/>
        <w:rPr>
          <w:rFonts w:hAnsi="宋体"/>
          <w:sz w:val="21"/>
          <w:szCs w:val="21"/>
        </w:rPr>
      </w:pPr>
      <w:r>
        <w:rPr>
          <w:rFonts w:hint="eastAsia" w:hAnsi="宋体"/>
          <w:sz w:val="21"/>
          <w:szCs w:val="21"/>
        </w:rPr>
        <w:t>年月日</w:t>
      </w:r>
    </w:p>
    <w:p>
      <w:pPr>
        <w:spacing w:line="460" w:lineRule="exact"/>
        <w:rPr>
          <w:rFonts w:hAnsi="宋体"/>
          <w:sz w:val="21"/>
          <w:szCs w:val="21"/>
        </w:rPr>
      </w:pPr>
      <w:r>
        <w:rPr>
          <w:rFonts w:hint="eastAsia" w:hAnsi="宋体"/>
          <w:sz w:val="21"/>
          <w:szCs w:val="21"/>
        </w:rPr>
        <w:t>单位名称：</w:t>
      </w:r>
    </w:p>
    <w:p>
      <w:pPr>
        <w:spacing w:line="460" w:lineRule="exact"/>
        <w:rPr>
          <w:rFonts w:hAnsi="宋体"/>
          <w:sz w:val="21"/>
          <w:szCs w:val="21"/>
        </w:rPr>
      </w:pPr>
      <w:r>
        <w:rPr>
          <w:rFonts w:hint="eastAsia" w:hAnsi="宋体"/>
          <w:sz w:val="21"/>
          <w:szCs w:val="21"/>
        </w:rPr>
        <w:t>单位地址：</w:t>
      </w:r>
    </w:p>
    <w:p>
      <w:pPr>
        <w:spacing w:line="460" w:lineRule="exact"/>
        <w:rPr>
          <w:rFonts w:hAnsi="宋体"/>
          <w:sz w:val="21"/>
          <w:szCs w:val="21"/>
        </w:rPr>
      </w:pPr>
      <w:r>
        <w:rPr>
          <w:rFonts w:hint="eastAsia" w:hAnsi="宋体"/>
          <w:sz w:val="21"/>
          <w:szCs w:val="21"/>
        </w:rPr>
        <w:t>联系人：</w:t>
      </w:r>
    </w:p>
    <w:p>
      <w:pPr>
        <w:spacing w:line="460" w:lineRule="exact"/>
        <w:rPr>
          <w:rFonts w:hAnsi="宋体"/>
          <w:sz w:val="21"/>
          <w:szCs w:val="21"/>
        </w:rPr>
      </w:pPr>
      <w:r>
        <w:rPr>
          <w:rFonts w:hint="eastAsia" w:hAnsi="宋体"/>
          <w:sz w:val="21"/>
          <w:szCs w:val="21"/>
        </w:rPr>
        <w:t>单位电话：联系人手机：</w:t>
      </w:r>
    </w:p>
    <w:p>
      <w:pPr>
        <w:spacing w:line="360" w:lineRule="auto"/>
        <w:rPr>
          <w:rFonts w:hAnsi="宋体"/>
          <w:b/>
          <w:sz w:val="21"/>
          <w:szCs w:val="21"/>
        </w:rPr>
      </w:pPr>
    </w:p>
    <w:p>
      <w:pPr>
        <w:rPr>
          <w:sz w:val="21"/>
          <w:szCs w:val="21"/>
        </w:rPr>
      </w:pPr>
      <w:r>
        <w:rPr>
          <w:rFonts w:hint="eastAsia"/>
          <w:sz w:val="21"/>
          <w:szCs w:val="21"/>
        </w:rPr>
        <w:t>注：1、本说明的所有内容（包括所填写内容）均需打印；2、本说明及磋商保证金进帐单复印件（加盖公章）在磋商时放入唱标信封内。</w:t>
      </w:r>
    </w:p>
    <w:p/>
    <w:p>
      <w:pPr>
        <w:overflowPunct w:val="0"/>
        <w:spacing w:line="460" w:lineRule="exact"/>
        <w:rPr>
          <w:rFonts w:hAnsi="宋体"/>
          <w:sz w:val="22"/>
          <w:szCs w:val="22"/>
        </w:rPr>
      </w:pPr>
      <w:r>
        <w:br w:type="page"/>
      </w:r>
    </w:p>
    <w:p>
      <w:pPr>
        <w:pStyle w:val="4"/>
        <w:pageBreakBefore/>
        <w:spacing w:line="360" w:lineRule="auto"/>
        <w:jc w:val="center"/>
        <w:rPr>
          <w:bCs/>
          <w:sz w:val="28"/>
          <w:szCs w:val="28"/>
        </w:rPr>
      </w:pPr>
      <w:bookmarkStart w:id="237" w:name="_Toc20966"/>
      <w:bookmarkStart w:id="238" w:name="_Toc19888"/>
      <w:r>
        <w:rPr>
          <w:rFonts w:hint="eastAsia"/>
          <w:bCs/>
          <w:sz w:val="28"/>
          <w:szCs w:val="28"/>
        </w:rPr>
        <w:t>第三部分技术文件</w:t>
      </w:r>
      <w:bookmarkEnd w:id="237"/>
      <w:bookmarkEnd w:id="238"/>
    </w:p>
    <w:p>
      <w:pPr>
        <w:jc w:val="center"/>
      </w:pPr>
    </w:p>
    <w:p>
      <w:pPr>
        <w:pStyle w:val="4"/>
        <w:numPr>
          <w:ilvl w:val="0"/>
          <w:numId w:val="20"/>
        </w:numPr>
        <w:jc w:val="center"/>
      </w:pPr>
      <w:bookmarkStart w:id="239" w:name="_Toc15167"/>
      <w:bookmarkStart w:id="240" w:name="_Toc24064"/>
      <w:bookmarkStart w:id="241" w:name="_Toc31683"/>
      <w:bookmarkStart w:id="242" w:name="_Toc1852"/>
      <w:bookmarkStart w:id="243" w:name="_Toc28884"/>
      <w:bookmarkStart w:id="244" w:name="_Toc9540"/>
      <w:bookmarkStart w:id="245" w:name="_Toc25949"/>
      <w:bookmarkStart w:id="246" w:name="_Toc9579"/>
      <w:r>
        <w:rPr>
          <w:rFonts w:hint="eastAsia"/>
        </w:rPr>
        <w:t>技术方案</w:t>
      </w:r>
      <w:bookmarkEnd w:id="239"/>
      <w:bookmarkEnd w:id="240"/>
      <w:bookmarkEnd w:id="241"/>
      <w:bookmarkEnd w:id="242"/>
      <w:bookmarkEnd w:id="243"/>
      <w:bookmarkEnd w:id="244"/>
      <w:bookmarkEnd w:id="245"/>
      <w:bookmarkEnd w:id="246"/>
    </w:p>
    <w:p>
      <w:pPr>
        <w:snapToGrid w:val="0"/>
        <w:spacing w:line="360" w:lineRule="auto"/>
        <w:rPr>
          <w:rFonts w:hAnsi="宋体"/>
          <w:sz w:val="21"/>
          <w:szCs w:val="21"/>
        </w:rPr>
      </w:pPr>
    </w:p>
    <w:p>
      <w:pPr>
        <w:snapToGrid w:val="0"/>
        <w:spacing w:line="360" w:lineRule="auto"/>
        <w:ind w:firstLine="420" w:firstLineChars="200"/>
        <w:rPr>
          <w:rFonts w:hAnsi="宋体"/>
          <w:sz w:val="21"/>
          <w:szCs w:val="21"/>
        </w:rPr>
      </w:pPr>
      <w:r>
        <w:rPr>
          <w:rFonts w:hint="eastAsia" w:hAnsi="宋体"/>
          <w:sz w:val="21"/>
          <w:szCs w:val="21"/>
        </w:rPr>
        <w:t>根据用户需求书编写。</w:t>
      </w:r>
    </w:p>
    <w:p>
      <w:pPr>
        <w:snapToGrid w:val="0"/>
        <w:spacing w:line="360" w:lineRule="auto"/>
        <w:rPr>
          <w:rFonts w:hAnsi="宋体"/>
          <w:sz w:val="21"/>
          <w:szCs w:val="21"/>
        </w:rPr>
      </w:pPr>
    </w:p>
    <w:p>
      <w:pPr>
        <w:pStyle w:val="13"/>
        <w:rPr>
          <w:rFonts w:hAnsi="宋体"/>
          <w:sz w:val="21"/>
          <w:szCs w:val="21"/>
        </w:rPr>
      </w:pPr>
    </w:p>
    <w:p>
      <w:pPr>
        <w:pStyle w:val="13"/>
        <w:rPr>
          <w:rFonts w:hAnsi="宋体"/>
          <w:sz w:val="21"/>
          <w:szCs w:val="21"/>
        </w:rPr>
      </w:pPr>
    </w:p>
    <w:p>
      <w:pPr>
        <w:pStyle w:val="13"/>
        <w:rPr>
          <w:rFonts w:hAnsi="宋体"/>
          <w:sz w:val="21"/>
          <w:szCs w:val="21"/>
        </w:rPr>
      </w:pPr>
    </w:p>
    <w:p>
      <w:pPr>
        <w:pStyle w:val="13"/>
        <w:rPr>
          <w:rFonts w:hAnsi="宋体"/>
          <w:sz w:val="21"/>
          <w:szCs w:val="21"/>
        </w:rPr>
      </w:pPr>
    </w:p>
    <w:p>
      <w:pPr>
        <w:pStyle w:val="13"/>
        <w:rPr>
          <w:rFonts w:hAnsi="宋体"/>
          <w:sz w:val="21"/>
          <w:szCs w:val="21"/>
        </w:rPr>
      </w:pPr>
    </w:p>
    <w:p>
      <w:pPr>
        <w:pStyle w:val="13"/>
        <w:rPr>
          <w:rFonts w:hAnsi="宋体"/>
          <w:sz w:val="21"/>
          <w:szCs w:val="21"/>
        </w:rPr>
      </w:pPr>
    </w:p>
    <w:p>
      <w:pPr>
        <w:pStyle w:val="13"/>
        <w:rPr>
          <w:rFonts w:hAnsi="宋体"/>
          <w:sz w:val="21"/>
          <w:szCs w:val="21"/>
        </w:rPr>
      </w:pPr>
    </w:p>
    <w:p>
      <w:pPr>
        <w:pStyle w:val="13"/>
        <w:rPr>
          <w:rFonts w:hAnsi="宋体"/>
          <w:sz w:val="21"/>
          <w:szCs w:val="21"/>
        </w:rPr>
      </w:pPr>
    </w:p>
    <w:p>
      <w:pPr>
        <w:pStyle w:val="13"/>
        <w:rPr>
          <w:rFonts w:hAnsi="宋体"/>
          <w:sz w:val="21"/>
          <w:szCs w:val="21"/>
        </w:rPr>
      </w:pPr>
    </w:p>
    <w:p>
      <w:pPr>
        <w:pStyle w:val="13"/>
        <w:rPr>
          <w:rFonts w:hAnsi="宋体"/>
          <w:sz w:val="21"/>
          <w:szCs w:val="21"/>
        </w:rPr>
      </w:pPr>
    </w:p>
    <w:p>
      <w:pPr>
        <w:pStyle w:val="13"/>
        <w:rPr>
          <w:rFonts w:hAnsi="宋体"/>
          <w:sz w:val="21"/>
          <w:szCs w:val="21"/>
        </w:rPr>
      </w:pPr>
    </w:p>
    <w:p>
      <w:pPr>
        <w:pStyle w:val="13"/>
        <w:rPr>
          <w:rFonts w:hAnsi="宋体"/>
          <w:sz w:val="21"/>
          <w:szCs w:val="21"/>
        </w:rPr>
      </w:pPr>
    </w:p>
    <w:p>
      <w:pPr>
        <w:pStyle w:val="13"/>
        <w:rPr>
          <w:rFonts w:hAnsi="宋体"/>
          <w:sz w:val="21"/>
          <w:szCs w:val="21"/>
        </w:rPr>
      </w:pPr>
    </w:p>
    <w:p>
      <w:pPr>
        <w:pStyle w:val="13"/>
        <w:rPr>
          <w:rFonts w:hAnsi="宋体"/>
          <w:sz w:val="21"/>
          <w:szCs w:val="21"/>
        </w:rPr>
      </w:pPr>
    </w:p>
    <w:p>
      <w:pPr>
        <w:pStyle w:val="13"/>
        <w:rPr>
          <w:rFonts w:hAnsi="宋体"/>
          <w:sz w:val="21"/>
          <w:szCs w:val="21"/>
        </w:rPr>
      </w:pPr>
    </w:p>
    <w:p>
      <w:pPr>
        <w:pStyle w:val="13"/>
        <w:rPr>
          <w:rFonts w:hAnsi="宋体"/>
          <w:sz w:val="21"/>
          <w:szCs w:val="21"/>
        </w:rPr>
      </w:pPr>
    </w:p>
    <w:p>
      <w:pPr>
        <w:pStyle w:val="13"/>
        <w:rPr>
          <w:rFonts w:hAnsi="宋体"/>
          <w:sz w:val="21"/>
          <w:szCs w:val="21"/>
        </w:rPr>
      </w:pPr>
    </w:p>
    <w:p>
      <w:pPr>
        <w:pStyle w:val="13"/>
        <w:rPr>
          <w:rFonts w:hAnsi="宋体"/>
          <w:sz w:val="21"/>
          <w:szCs w:val="21"/>
        </w:rPr>
      </w:pPr>
    </w:p>
    <w:p>
      <w:pPr>
        <w:pStyle w:val="13"/>
        <w:rPr>
          <w:rFonts w:hAnsi="宋体"/>
          <w:sz w:val="21"/>
          <w:szCs w:val="21"/>
        </w:rPr>
      </w:pPr>
    </w:p>
    <w:p>
      <w:pPr>
        <w:pStyle w:val="13"/>
        <w:rPr>
          <w:rFonts w:hAnsi="宋体"/>
          <w:sz w:val="21"/>
          <w:szCs w:val="21"/>
        </w:rPr>
      </w:pPr>
    </w:p>
    <w:p>
      <w:pPr>
        <w:pStyle w:val="13"/>
        <w:rPr>
          <w:rFonts w:hAnsi="宋体"/>
          <w:sz w:val="21"/>
          <w:szCs w:val="21"/>
        </w:rPr>
      </w:pPr>
    </w:p>
    <w:p>
      <w:pPr>
        <w:pStyle w:val="13"/>
        <w:rPr>
          <w:rFonts w:hAnsi="宋体"/>
          <w:sz w:val="21"/>
          <w:szCs w:val="21"/>
        </w:rPr>
      </w:pPr>
    </w:p>
    <w:p>
      <w:pPr>
        <w:pStyle w:val="13"/>
        <w:rPr>
          <w:rFonts w:hAnsi="宋体"/>
          <w:sz w:val="21"/>
          <w:szCs w:val="21"/>
        </w:rPr>
      </w:pPr>
    </w:p>
    <w:p>
      <w:pPr>
        <w:pStyle w:val="13"/>
        <w:rPr>
          <w:rFonts w:hAnsi="宋体"/>
          <w:sz w:val="21"/>
          <w:szCs w:val="21"/>
        </w:rPr>
      </w:pPr>
    </w:p>
    <w:p>
      <w:pPr>
        <w:pStyle w:val="13"/>
        <w:rPr>
          <w:rFonts w:hAnsi="宋体"/>
          <w:sz w:val="21"/>
          <w:szCs w:val="21"/>
        </w:rPr>
      </w:pPr>
    </w:p>
    <w:p>
      <w:pPr>
        <w:pStyle w:val="13"/>
        <w:rPr>
          <w:rFonts w:hAnsi="宋体"/>
          <w:sz w:val="21"/>
          <w:szCs w:val="21"/>
        </w:rPr>
      </w:pPr>
    </w:p>
    <w:p>
      <w:pPr>
        <w:pStyle w:val="13"/>
        <w:rPr>
          <w:rFonts w:hAnsi="宋体"/>
          <w:sz w:val="21"/>
          <w:szCs w:val="21"/>
        </w:rPr>
      </w:pPr>
    </w:p>
    <w:p>
      <w:pPr>
        <w:pStyle w:val="13"/>
        <w:rPr>
          <w:rFonts w:hAnsi="宋体"/>
          <w:sz w:val="21"/>
          <w:szCs w:val="21"/>
        </w:rPr>
      </w:pPr>
    </w:p>
    <w:p>
      <w:pPr>
        <w:pStyle w:val="13"/>
        <w:rPr>
          <w:rFonts w:hAnsi="宋体"/>
          <w:sz w:val="21"/>
          <w:szCs w:val="21"/>
        </w:rPr>
      </w:pPr>
    </w:p>
    <w:p>
      <w:pPr>
        <w:pStyle w:val="13"/>
        <w:rPr>
          <w:rFonts w:hAnsi="宋体"/>
          <w:sz w:val="21"/>
          <w:szCs w:val="21"/>
        </w:rPr>
      </w:pPr>
    </w:p>
    <w:p>
      <w:pPr>
        <w:pStyle w:val="13"/>
        <w:rPr>
          <w:rFonts w:hAnsi="宋体"/>
          <w:sz w:val="21"/>
          <w:szCs w:val="21"/>
        </w:rPr>
      </w:pPr>
    </w:p>
    <w:p>
      <w:pPr>
        <w:pStyle w:val="13"/>
        <w:rPr>
          <w:rFonts w:hAnsi="宋体"/>
          <w:sz w:val="21"/>
          <w:szCs w:val="21"/>
        </w:rPr>
      </w:pPr>
    </w:p>
    <w:p>
      <w:pPr>
        <w:pStyle w:val="13"/>
        <w:rPr>
          <w:rFonts w:hAnsi="宋体"/>
          <w:sz w:val="21"/>
          <w:szCs w:val="21"/>
        </w:rPr>
      </w:pPr>
    </w:p>
    <w:p>
      <w:pPr>
        <w:pStyle w:val="13"/>
        <w:rPr>
          <w:rFonts w:hAnsi="宋体"/>
          <w:sz w:val="21"/>
          <w:szCs w:val="21"/>
        </w:rPr>
      </w:pPr>
    </w:p>
    <w:p>
      <w:pPr>
        <w:pStyle w:val="13"/>
        <w:rPr>
          <w:rFonts w:hAnsi="宋体"/>
          <w:sz w:val="21"/>
          <w:szCs w:val="21"/>
        </w:rPr>
      </w:pPr>
    </w:p>
    <w:p>
      <w:pPr>
        <w:pStyle w:val="4"/>
        <w:numPr>
          <w:ilvl w:val="0"/>
          <w:numId w:val="20"/>
        </w:numPr>
        <w:jc w:val="center"/>
      </w:pPr>
      <w:bookmarkStart w:id="247" w:name="_Toc12278"/>
      <w:bookmarkStart w:id="248" w:name="_Toc30049"/>
      <w:bookmarkStart w:id="249" w:name="_Toc23849"/>
      <w:bookmarkStart w:id="250" w:name="_Toc28953"/>
      <w:bookmarkStart w:id="251" w:name="_Toc11036"/>
      <w:bookmarkStart w:id="252" w:name="_Toc15530"/>
      <w:bookmarkStart w:id="253" w:name="_Toc24947"/>
      <w:bookmarkStart w:id="254" w:name="_Toc9619"/>
      <w:r>
        <w:rPr>
          <w:rFonts w:hint="eastAsia"/>
        </w:rPr>
        <w:t>其他资料</w:t>
      </w:r>
      <w:bookmarkEnd w:id="247"/>
      <w:bookmarkEnd w:id="248"/>
      <w:bookmarkEnd w:id="249"/>
      <w:bookmarkEnd w:id="250"/>
      <w:bookmarkEnd w:id="251"/>
      <w:bookmarkEnd w:id="252"/>
      <w:bookmarkEnd w:id="253"/>
      <w:bookmarkEnd w:id="254"/>
    </w:p>
    <w:p>
      <w:pPr>
        <w:pStyle w:val="28"/>
        <w:spacing w:line="360" w:lineRule="auto"/>
        <w:ind w:firstLine="420"/>
        <w:rPr>
          <w:rFonts w:hAnsi="宋体"/>
        </w:rPr>
      </w:pPr>
    </w:p>
    <w:p>
      <w:pPr>
        <w:spacing w:line="360" w:lineRule="auto"/>
        <w:rPr>
          <w:rFonts w:hAnsi="宋体"/>
          <w:sz w:val="21"/>
          <w:szCs w:val="21"/>
        </w:rPr>
      </w:pPr>
      <w:r>
        <w:rPr>
          <w:rFonts w:hint="eastAsia" w:hAnsi="宋体"/>
          <w:sz w:val="21"/>
          <w:szCs w:val="21"/>
        </w:rPr>
        <w:t>1、磋商文件要求提供的其他资料（如有）</w:t>
      </w:r>
    </w:p>
    <w:p>
      <w:pPr>
        <w:spacing w:line="360" w:lineRule="auto"/>
        <w:rPr>
          <w:rFonts w:hAnsi="宋体"/>
          <w:sz w:val="21"/>
          <w:szCs w:val="21"/>
        </w:rPr>
      </w:pPr>
      <w:r>
        <w:rPr>
          <w:rFonts w:hint="eastAsia" w:hAnsi="宋体"/>
          <w:sz w:val="21"/>
          <w:szCs w:val="21"/>
        </w:rPr>
        <w:t>2、供应商认为需要提供的其他资料（如有）</w:t>
      </w:r>
    </w:p>
    <w:p>
      <w:pPr>
        <w:pStyle w:val="13"/>
        <w:rPr>
          <w:rFonts w:hAnsi="宋体"/>
          <w:sz w:val="21"/>
          <w:szCs w:val="21"/>
        </w:rPr>
      </w:pPr>
    </w:p>
    <w:p>
      <w:pPr>
        <w:pStyle w:val="13"/>
        <w:rPr>
          <w:rFonts w:hAnsi="宋体"/>
          <w:sz w:val="21"/>
          <w:szCs w:val="21"/>
        </w:rPr>
      </w:pPr>
    </w:p>
    <w:p>
      <w:pPr>
        <w:pStyle w:val="13"/>
        <w:rPr>
          <w:rFonts w:hAnsi="宋体"/>
          <w:sz w:val="21"/>
          <w:szCs w:val="21"/>
        </w:rPr>
      </w:pPr>
    </w:p>
    <w:p>
      <w:pPr>
        <w:pStyle w:val="13"/>
        <w:rPr>
          <w:rFonts w:hAnsi="宋体"/>
          <w:sz w:val="21"/>
          <w:szCs w:val="21"/>
        </w:rPr>
      </w:pPr>
    </w:p>
    <w:p>
      <w:pPr>
        <w:pStyle w:val="13"/>
        <w:rPr>
          <w:rFonts w:hAnsi="宋体"/>
          <w:sz w:val="21"/>
          <w:szCs w:val="21"/>
        </w:rPr>
      </w:pPr>
    </w:p>
    <w:p>
      <w:pPr>
        <w:pStyle w:val="13"/>
        <w:rPr>
          <w:rFonts w:hAnsi="宋体"/>
          <w:sz w:val="21"/>
          <w:szCs w:val="21"/>
        </w:rPr>
      </w:pPr>
    </w:p>
    <w:p>
      <w:pPr>
        <w:pStyle w:val="13"/>
        <w:rPr>
          <w:rFonts w:hAnsi="宋体"/>
          <w:sz w:val="21"/>
          <w:szCs w:val="21"/>
        </w:rPr>
      </w:pPr>
    </w:p>
    <w:p>
      <w:pPr>
        <w:pStyle w:val="13"/>
        <w:rPr>
          <w:rFonts w:hAnsi="宋体"/>
          <w:sz w:val="21"/>
          <w:szCs w:val="21"/>
        </w:rPr>
      </w:pPr>
    </w:p>
    <w:p>
      <w:pPr>
        <w:pStyle w:val="13"/>
        <w:rPr>
          <w:rFonts w:hAnsi="宋体"/>
          <w:sz w:val="21"/>
          <w:szCs w:val="21"/>
        </w:rPr>
      </w:pPr>
    </w:p>
    <w:p>
      <w:pPr>
        <w:pStyle w:val="13"/>
        <w:rPr>
          <w:rFonts w:hAnsi="宋体"/>
          <w:sz w:val="21"/>
          <w:szCs w:val="21"/>
        </w:rPr>
      </w:pPr>
    </w:p>
    <w:p>
      <w:pPr>
        <w:pStyle w:val="13"/>
        <w:rPr>
          <w:rFonts w:hAnsi="宋体"/>
          <w:sz w:val="21"/>
          <w:szCs w:val="21"/>
        </w:rPr>
      </w:pPr>
    </w:p>
    <w:p>
      <w:pPr>
        <w:pStyle w:val="13"/>
        <w:rPr>
          <w:rFonts w:hAnsi="宋体"/>
          <w:sz w:val="21"/>
          <w:szCs w:val="21"/>
        </w:rPr>
      </w:pPr>
    </w:p>
    <w:p>
      <w:pPr>
        <w:pStyle w:val="13"/>
        <w:rPr>
          <w:rFonts w:hAnsi="宋体"/>
          <w:sz w:val="21"/>
          <w:szCs w:val="21"/>
        </w:rPr>
      </w:pPr>
    </w:p>
    <w:p>
      <w:pPr>
        <w:pStyle w:val="13"/>
        <w:rPr>
          <w:rFonts w:hAnsi="宋体"/>
          <w:sz w:val="21"/>
          <w:szCs w:val="21"/>
        </w:rPr>
      </w:pPr>
    </w:p>
    <w:p>
      <w:pPr>
        <w:pStyle w:val="13"/>
        <w:rPr>
          <w:rFonts w:hAnsi="宋体"/>
          <w:sz w:val="21"/>
          <w:szCs w:val="21"/>
        </w:rPr>
      </w:pPr>
    </w:p>
    <w:p>
      <w:pPr>
        <w:pStyle w:val="13"/>
        <w:rPr>
          <w:rFonts w:hAnsi="宋体"/>
          <w:sz w:val="21"/>
          <w:szCs w:val="21"/>
        </w:rPr>
      </w:pPr>
    </w:p>
    <w:p>
      <w:pPr>
        <w:pStyle w:val="13"/>
        <w:rPr>
          <w:rFonts w:hAnsi="宋体"/>
          <w:sz w:val="21"/>
          <w:szCs w:val="21"/>
        </w:rPr>
      </w:pPr>
    </w:p>
    <w:p>
      <w:pPr>
        <w:pStyle w:val="13"/>
        <w:rPr>
          <w:rFonts w:hAnsi="宋体"/>
          <w:sz w:val="21"/>
          <w:szCs w:val="21"/>
        </w:rPr>
      </w:pPr>
    </w:p>
    <w:p>
      <w:pPr>
        <w:pStyle w:val="13"/>
        <w:rPr>
          <w:rFonts w:hAnsi="宋体"/>
          <w:sz w:val="21"/>
          <w:szCs w:val="21"/>
        </w:rPr>
      </w:pPr>
    </w:p>
    <w:p>
      <w:pPr>
        <w:pStyle w:val="13"/>
        <w:rPr>
          <w:rFonts w:hAnsi="宋体"/>
          <w:sz w:val="21"/>
          <w:szCs w:val="21"/>
        </w:rPr>
      </w:pPr>
    </w:p>
    <w:p>
      <w:pPr>
        <w:pStyle w:val="13"/>
        <w:rPr>
          <w:rFonts w:hAnsi="宋体"/>
          <w:sz w:val="21"/>
          <w:szCs w:val="21"/>
        </w:rPr>
      </w:pPr>
    </w:p>
    <w:p>
      <w:pPr>
        <w:pStyle w:val="13"/>
        <w:rPr>
          <w:rFonts w:hAnsi="宋体"/>
          <w:sz w:val="21"/>
          <w:szCs w:val="21"/>
        </w:rPr>
      </w:pPr>
    </w:p>
    <w:p>
      <w:pPr>
        <w:pStyle w:val="13"/>
        <w:rPr>
          <w:rFonts w:hAnsi="宋体"/>
          <w:sz w:val="21"/>
          <w:szCs w:val="21"/>
        </w:rPr>
      </w:pPr>
    </w:p>
    <w:p>
      <w:pPr>
        <w:pStyle w:val="13"/>
        <w:rPr>
          <w:rFonts w:hAnsi="宋体"/>
          <w:sz w:val="21"/>
          <w:szCs w:val="21"/>
        </w:rPr>
      </w:pPr>
    </w:p>
    <w:p>
      <w:pPr>
        <w:pStyle w:val="13"/>
        <w:rPr>
          <w:rFonts w:hAnsi="宋体"/>
          <w:sz w:val="21"/>
          <w:szCs w:val="21"/>
        </w:rPr>
      </w:pPr>
    </w:p>
    <w:p>
      <w:pPr>
        <w:pStyle w:val="13"/>
        <w:rPr>
          <w:rFonts w:hAnsi="宋体"/>
          <w:sz w:val="21"/>
          <w:szCs w:val="21"/>
        </w:rPr>
      </w:pPr>
    </w:p>
    <w:p>
      <w:pPr>
        <w:pStyle w:val="13"/>
        <w:rPr>
          <w:rFonts w:hAnsi="宋体"/>
          <w:sz w:val="21"/>
          <w:szCs w:val="21"/>
        </w:rPr>
      </w:pPr>
    </w:p>
    <w:p>
      <w:pPr>
        <w:pStyle w:val="13"/>
        <w:rPr>
          <w:rFonts w:hAnsi="宋体"/>
          <w:sz w:val="21"/>
          <w:szCs w:val="21"/>
        </w:rPr>
      </w:pPr>
    </w:p>
    <w:p>
      <w:pPr>
        <w:pStyle w:val="13"/>
        <w:rPr>
          <w:rFonts w:hAnsi="宋体"/>
          <w:sz w:val="21"/>
          <w:szCs w:val="21"/>
        </w:rPr>
      </w:pPr>
    </w:p>
    <w:p>
      <w:pPr>
        <w:pStyle w:val="13"/>
        <w:rPr>
          <w:rFonts w:hAnsi="宋体"/>
          <w:sz w:val="21"/>
          <w:szCs w:val="21"/>
        </w:rPr>
      </w:pPr>
    </w:p>
    <w:p>
      <w:pPr>
        <w:pStyle w:val="13"/>
        <w:rPr>
          <w:rFonts w:hAnsi="宋体"/>
          <w:sz w:val="21"/>
          <w:szCs w:val="21"/>
        </w:rPr>
      </w:pPr>
    </w:p>
    <w:p>
      <w:pPr>
        <w:pStyle w:val="13"/>
        <w:rPr>
          <w:rFonts w:hAnsi="宋体"/>
          <w:sz w:val="21"/>
          <w:szCs w:val="21"/>
        </w:rPr>
      </w:pPr>
    </w:p>
    <w:p>
      <w:pPr>
        <w:pStyle w:val="13"/>
        <w:rPr>
          <w:rFonts w:hAnsi="宋体"/>
          <w:sz w:val="21"/>
          <w:szCs w:val="21"/>
        </w:rPr>
      </w:pPr>
    </w:p>
    <w:p>
      <w:pPr>
        <w:pStyle w:val="13"/>
        <w:rPr>
          <w:rFonts w:hAnsi="宋体"/>
          <w:sz w:val="21"/>
          <w:szCs w:val="21"/>
        </w:rPr>
      </w:pPr>
    </w:p>
    <w:p>
      <w:pPr>
        <w:pStyle w:val="13"/>
        <w:rPr>
          <w:rFonts w:hAnsi="宋体"/>
          <w:sz w:val="21"/>
          <w:szCs w:val="21"/>
        </w:rPr>
      </w:pPr>
    </w:p>
    <w:p>
      <w:pPr>
        <w:pStyle w:val="13"/>
        <w:rPr>
          <w:rFonts w:hAnsi="宋体"/>
          <w:sz w:val="21"/>
          <w:szCs w:val="21"/>
        </w:rPr>
      </w:pPr>
    </w:p>
    <w:p>
      <w:pPr>
        <w:pStyle w:val="13"/>
        <w:rPr>
          <w:rFonts w:hAnsi="宋体"/>
          <w:sz w:val="21"/>
          <w:szCs w:val="21"/>
        </w:rPr>
      </w:pPr>
    </w:p>
    <w:p>
      <w:pPr>
        <w:pStyle w:val="4"/>
        <w:jc w:val="center"/>
        <w:rPr>
          <w:sz w:val="28"/>
          <w:szCs w:val="28"/>
        </w:rPr>
      </w:pPr>
      <w:bookmarkStart w:id="255" w:name="_Toc17492"/>
      <w:r>
        <w:rPr>
          <w:rFonts w:hint="eastAsia"/>
          <w:sz w:val="28"/>
          <w:szCs w:val="28"/>
        </w:rPr>
        <w:t>第四部分唱标信封</w:t>
      </w:r>
      <w:r>
        <w:rPr>
          <w:rFonts w:hint="eastAsia"/>
          <w:bCs/>
          <w:sz w:val="28"/>
          <w:szCs w:val="28"/>
        </w:rPr>
        <w:t>（单独编制装订成册，单独封装）</w:t>
      </w:r>
      <w:bookmarkEnd w:id="255"/>
    </w:p>
    <w:p>
      <w:pPr>
        <w:pStyle w:val="75"/>
        <w:spacing w:line="460" w:lineRule="exact"/>
        <w:ind w:firstLine="0" w:firstLineChars="0"/>
        <w:rPr>
          <w:rFonts w:ascii="宋体" w:eastAsia="宋体"/>
          <w:sz w:val="21"/>
          <w:szCs w:val="21"/>
        </w:rPr>
      </w:pPr>
      <w:r>
        <w:rPr>
          <w:rFonts w:hint="eastAsia" w:ascii="宋体" w:eastAsia="宋体"/>
          <w:sz w:val="21"/>
          <w:szCs w:val="21"/>
        </w:rPr>
        <w:t>唱标信封内装：</w:t>
      </w:r>
    </w:p>
    <w:p>
      <w:pPr>
        <w:pStyle w:val="75"/>
        <w:spacing w:line="460" w:lineRule="exact"/>
        <w:ind w:firstLine="433"/>
        <w:rPr>
          <w:rFonts w:ascii="宋体" w:eastAsia="宋体"/>
          <w:sz w:val="21"/>
          <w:szCs w:val="21"/>
        </w:rPr>
      </w:pPr>
      <w:r>
        <w:rPr>
          <w:rFonts w:hint="eastAsia" w:ascii="宋体" w:eastAsia="宋体"/>
          <w:sz w:val="21"/>
          <w:szCs w:val="21"/>
        </w:rPr>
        <w:t>（1）报价一览表复印件加盖公章；</w:t>
      </w:r>
    </w:p>
    <w:p>
      <w:pPr>
        <w:pStyle w:val="75"/>
        <w:spacing w:line="460" w:lineRule="exact"/>
        <w:ind w:firstLine="433"/>
        <w:rPr>
          <w:rFonts w:ascii="宋体" w:eastAsia="宋体"/>
          <w:sz w:val="21"/>
          <w:szCs w:val="21"/>
        </w:rPr>
      </w:pPr>
      <w:r>
        <w:rPr>
          <w:rFonts w:hint="eastAsia" w:ascii="宋体" w:eastAsia="宋体"/>
          <w:sz w:val="21"/>
          <w:szCs w:val="21"/>
        </w:rPr>
        <w:t>（2）磋商保证金汇入情况说明及银行汇款凭证（或担保函）复印件加盖公章；</w:t>
      </w:r>
    </w:p>
    <w:p>
      <w:pPr>
        <w:pStyle w:val="75"/>
        <w:spacing w:line="460" w:lineRule="exact"/>
        <w:ind w:firstLine="433"/>
        <w:rPr>
          <w:rFonts w:ascii="宋体" w:eastAsia="宋体"/>
          <w:sz w:val="21"/>
          <w:szCs w:val="21"/>
        </w:rPr>
      </w:pPr>
      <w:r>
        <w:rPr>
          <w:rFonts w:hint="eastAsia" w:ascii="宋体" w:eastAsia="宋体"/>
          <w:sz w:val="21"/>
          <w:szCs w:val="21"/>
        </w:rPr>
        <w:t>（3）法定代表人证明书加盖公章；</w:t>
      </w:r>
    </w:p>
    <w:p>
      <w:pPr>
        <w:pStyle w:val="75"/>
        <w:spacing w:line="460" w:lineRule="exact"/>
        <w:ind w:firstLine="433"/>
        <w:rPr>
          <w:rFonts w:ascii="宋体" w:eastAsia="宋体"/>
          <w:sz w:val="21"/>
          <w:szCs w:val="21"/>
        </w:rPr>
      </w:pPr>
      <w:r>
        <w:rPr>
          <w:rFonts w:hint="eastAsia" w:ascii="宋体" w:eastAsia="宋体"/>
          <w:sz w:val="21"/>
          <w:szCs w:val="21"/>
        </w:rPr>
        <w:t>（4）法定代表人授权委托书加盖公章（法定代表人磋商的除外）；</w:t>
      </w:r>
    </w:p>
    <w:p>
      <w:pPr>
        <w:pStyle w:val="75"/>
        <w:spacing w:line="460" w:lineRule="exact"/>
        <w:ind w:firstLine="433"/>
        <w:rPr>
          <w:rFonts w:ascii="宋体" w:eastAsia="宋体"/>
          <w:sz w:val="22"/>
          <w:szCs w:val="22"/>
        </w:rPr>
      </w:pPr>
      <w:r>
        <w:rPr>
          <w:rFonts w:hint="eastAsia" w:ascii="宋体" w:hAnsi="Calibri" w:eastAsia="宋体"/>
          <w:kern w:val="0"/>
          <w:sz w:val="21"/>
          <w:szCs w:val="21"/>
        </w:rPr>
        <w:t>（5）磋商文件电子文件（签字、盖章后的磋商文件PDF格式扫描版电子文件, 可采用光盘介质或U盘装载）；</w:t>
      </w:r>
    </w:p>
    <w:p>
      <w:pPr>
        <w:pStyle w:val="75"/>
        <w:spacing w:line="460" w:lineRule="exact"/>
        <w:ind w:firstLine="453"/>
        <w:rPr>
          <w:rFonts w:ascii="宋体" w:eastAsia="宋体"/>
          <w:sz w:val="22"/>
          <w:szCs w:val="22"/>
        </w:rPr>
      </w:pPr>
    </w:p>
    <w:p/>
    <w:p>
      <w:pPr>
        <w:rPr>
          <w:lang w:val="zh-CN"/>
        </w:rPr>
      </w:pPr>
      <w:bookmarkStart w:id="256" w:name="_Toc396137262"/>
    </w:p>
    <w:p>
      <w:pPr>
        <w:rPr>
          <w:lang w:val="zh-CN"/>
        </w:rPr>
      </w:pPr>
    </w:p>
    <w:p>
      <w:pPr>
        <w:rPr>
          <w:lang w:val="zh-CN"/>
        </w:rPr>
      </w:pPr>
    </w:p>
    <w:p>
      <w:pPr>
        <w:rPr>
          <w:lang w:val="zh-CN"/>
        </w:rPr>
      </w:pPr>
    </w:p>
    <w:p>
      <w:pPr>
        <w:rPr>
          <w:lang w:val="zh-CN"/>
        </w:rPr>
      </w:pPr>
    </w:p>
    <w:p>
      <w:pPr>
        <w:rPr>
          <w:lang w:val="zh-CN"/>
        </w:rPr>
      </w:pPr>
    </w:p>
    <w:p>
      <w:pPr>
        <w:rPr>
          <w:lang w:val="zh-CN"/>
        </w:rPr>
      </w:pPr>
    </w:p>
    <w:p>
      <w:pPr>
        <w:rPr>
          <w:lang w:val="zh-CN"/>
        </w:rPr>
      </w:pPr>
    </w:p>
    <w:p>
      <w:pPr>
        <w:rPr>
          <w:lang w:val="zh-CN"/>
        </w:rPr>
      </w:pPr>
    </w:p>
    <w:p>
      <w:pPr>
        <w:rPr>
          <w:lang w:val="zh-CN"/>
        </w:rPr>
      </w:pPr>
    </w:p>
    <w:p>
      <w:pPr>
        <w:rPr>
          <w:lang w:val="zh-CN"/>
        </w:rPr>
      </w:pPr>
    </w:p>
    <w:p>
      <w:pPr>
        <w:rPr>
          <w:lang w:val="zh-CN"/>
        </w:rPr>
      </w:pPr>
    </w:p>
    <w:p>
      <w:pPr>
        <w:rPr>
          <w:lang w:val="zh-CN"/>
        </w:rPr>
      </w:pPr>
    </w:p>
    <w:p>
      <w:pPr>
        <w:rPr>
          <w:lang w:val="zh-CN"/>
        </w:rPr>
      </w:pPr>
    </w:p>
    <w:p>
      <w:pPr>
        <w:rPr>
          <w:lang w:val="zh-CN"/>
        </w:rPr>
      </w:pPr>
    </w:p>
    <w:p>
      <w:pPr>
        <w:rPr>
          <w:lang w:val="zh-CN"/>
        </w:rPr>
      </w:pPr>
    </w:p>
    <w:p>
      <w:pPr>
        <w:rPr>
          <w:lang w:val="zh-CN"/>
        </w:rPr>
      </w:pPr>
    </w:p>
    <w:p>
      <w:pPr>
        <w:rPr>
          <w:lang w:val="zh-CN"/>
        </w:rPr>
      </w:pPr>
    </w:p>
    <w:p>
      <w:pPr>
        <w:rPr>
          <w:lang w:val="zh-CN"/>
        </w:rPr>
      </w:pPr>
    </w:p>
    <w:p>
      <w:pPr>
        <w:pStyle w:val="13"/>
        <w:ind w:firstLine="400"/>
        <w:rPr>
          <w:lang w:val="zh-CN"/>
        </w:rPr>
      </w:pPr>
    </w:p>
    <w:p>
      <w:pPr>
        <w:pStyle w:val="13"/>
        <w:ind w:firstLine="400"/>
        <w:rPr>
          <w:lang w:val="zh-CN"/>
        </w:rPr>
      </w:pPr>
    </w:p>
    <w:p>
      <w:pPr>
        <w:rPr>
          <w:lang w:val="zh-CN"/>
        </w:rPr>
      </w:pPr>
    </w:p>
    <w:p>
      <w:pPr>
        <w:rPr>
          <w:lang w:val="zh-CN"/>
        </w:rPr>
      </w:pPr>
    </w:p>
    <w:p>
      <w:pPr>
        <w:rPr>
          <w:lang w:val="zh-CN"/>
        </w:rPr>
      </w:pPr>
    </w:p>
    <w:p>
      <w:pPr>
        <w:rPr>
          <w:lang w:val="zh-CN"/>
        </w:rPr>
      </w:pPr>
    </w:p>
    <w:p>
      <w:pPr>
        <w:rPr>
          <w:lang w:val="zh-CN"/>
        </w:rPr>
      </w:pPr>
    </w:p>
    <w:p>
      <w:pPr>
        <w:rPr>
          <w:lang w:val="zh-CN"/>
        </w:rPr>
      </w:pPr>
    </w:p>
    <w:bookmarkEnd w:id="256"/>
    <w:p>
      <w:pPr>
        <w:rPr>
          <w:lang w:val="zh-CN"/>
        </w:rPr>
      </w:pPr>
    </w:p>
    <w:sectPr>
      <w:headerReference r:id="rId8" w:type="first"/>
      <w:footerReference r:id="rId11" w:type="first"/>
      <w:headerReference r:id="rId7" w:type="default"/>
      <w:footerReference r:id="rId9" w:type="default"/>
      <w:footerReference r:id="rId10" w:type="even"/>
      <w:pgSz w:w="11907" w:h="16840"/>
      <w:pgMar w:top="1440" w:right="1134" w:bottom="1440" w:left="1134" w:header="850" w:footer="720" w:gutter="0"/>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Garamond">
    <w:altName w:val="PMingLiU-ExtB"/>
    <w:panose1 w:val="02020404030301010803"/>
    <w:charset w:val="00"/>
    <w:family w:val="roman"/>
    <w:pitch w:val="default"/>
    <w:sig w:usb0="00000000" w:usb1="00000000" w:usb2="00000000" w:usb3="00000000" w:csb0="0000009F" w:csb1="00000000"/>
  </w:font>
  <w:font w:name="Courier New">
    <w:panose1 w:val="02070309020205020404"/>
    <w:charset w:val="00"/>
    <w:family w:val="modern"/>
    <w:pitch w:val="default"/>
    <w:sig w:usb0="E0002AFF" w:usb1="C0007843" w:usb2="00000009" w:usb3="00000000" w:csb0="400001FF" w:csb1="FFFF0000"/>
  </w:font>
  <w:font w:name="仿宋">
    <w:panose1 w:val="02010609060101010101"/>
    <w:charset w:val="86"/>
    <w:family w:val="modern"/>
    <w:pitch w:val="default"/>
    <w:sig w:usb0="800002BF" w:usb1="38CF7CFA" w:usb2="00000016" w:usb3="00000000" w:csb0="00040001" w:csb1="00000000"/>
  </w:font>
  <w:font w:name="Helvetica">
    <w:altName w:val="Arial"/>
    <w:panose1 w:val="020B0604020202020204"/>
    <w:charset w:val="00"/>
    <w:family w:val="swiss"/>
    <w:pitch w:val="default"/>
    <w:sig w:usb0="00000000" w:usb1="00000000" w:usb2="00000000" w:usb3="00000000" w:csb0="00000001" w:csb1="00000000"/>
  </w:font>
  <w:font w:name="仿宋_GB2312">
    <w:altName w:val="仿宋"/>
    <w:panose1 w:val="02010609030101010101"/>
    <w:charset w:val="86"/>
    <w:family w:val="modern"/>
    <w:pitch w:val="default"/>
    <w:sig w:usb0="00000000" w:usb1="00000000" w:usb2="00000010" w:usb3="00000000" w:csb0="00040000" w:csb1="00000000"/>
  </w:font>
  <w:font w:name="Verdana">
    <w:panose1 w:val="020B0604030504040204"/>
    <w:charset w:val="00"/>
    <w:family w:val="swiss"/>
    <w:pitch w:val="default"/>
    <w:sig w:usb0="A10006FF" w:usb1="4000205B" w:usb2="00000010" w:usb3="00000000" w:csb0="2000019F" w:csb1="00000000"/>
  </w:font>
  <w:font w:name="ˎ̥">
    <w:altName w:val="Times New Roman"/>
    <w:panose1 w:val="00000000000000000000"/>
    <w:charset w:val="00"/>
    <w:family w:val="roman"/>
    <w:pitch w:val="default"/>
    <w:sig w:usb0="00000000" w:usb1="00000000" w:usb2="00000000"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 w:name="Cambria">
    <w:panose1 w:val="02040503050406030204"/>
    <w:charset w:val="00"/>
    <w:family w:val="roman"/>
    <w:pitch w:val="default"/>
    <w:sig w:usb0="E00002FF" w:usb1="400004FF" w:usb2="00000000" w:usb3="00000000" w:csb0="2000019F" w:csb1="00000000"/>
  </w:font>
  <w:font w:name="Tahoma">
    <w:panose1 w:val="020B0604030504040204"/>
    <w:charset w:val="00"/>
    <w:family w:val="swiss"/>
    <w:pitch w:val="default"/>
    <w:sig w:usb0="E1002EFF" w:usb1="C000605B" w:usb2="00000029" w:usb3="00000000" w:csb0="200101FF" w:csb1="20280000"/>
  </w:font>
  <w:font w:name="Arial Unicode MS">
    <w:altName w:val="宋体"/>
    <w:panose1 w:val="020B0604020202020204"/>
    <w:charset w:val="86"/>
    <w:family w:val="swiss"/>
    <w:pitch w:val="default"/>
    <w:sig w:usb0="00000000" w:usb1="00000000" w:usb2="0000003F" w:usb3="00000000" w:csb0="003F01FF" w:csb1="00000000"/>
  </w:font>
  <w:font w:name="华文细黑">
    <w:altName w:val="微软雅黑"/>
    <w:panose1 w:val="02010600040101010101"/>
    <w:charset w:val="86"/>
    <w:family w:val="auto"/>
    <w:pitch w:val="default"/>
    <w:sig w:usb0="00000000" w:usb1="00000000" w:usb2="00000010" w:usb3="00000000" w:csb0="0004009F" w:csb1="00000000"/>
  </w:font>
  <w:font w:name="华文中宋">
    <w:altName w:val="宋体"/>
    <w:panose1 w:val="02010600040101010101"/>
    <w:charset w:val="86"/>
    <w:family w:val="auto"/>
    <w:pitch w:val="default"/>
    <w:sig w:usb0="00000000" w:usb1="00000000" w:usb2="00000010" w:usb3="00000000" w:csb0="0004009F" w:csb1="00000000"/>
  </w:font>
  <w:font w:name="DFKai-SB">
    <w:panose1 w:val="03000509000000000000"/>
    <w:charset w:val="88"/>
    <w:family w:val="script"/>
    <w:pitch w:val="default"/>
    <w:sig w:usb0="00000003" w:usb1="082E0000" w:usb2="00000016" w:usb3="00000000" w:csb0="00100001" w:csb1="00000000"/>
  </w:font>
  <w:font w:name="Arial Black">
    <w:panose1 w:val="020B0A04020102020204"/>
    <w:charset w:val="00"/>
    <w:family w:val="swiss"/>
    <w:pitch w:val="default"/>
    <w:sig w:usb0="00000287" w:usb1="00000000" w:usb2="00000000" w:usb3="00000000" w:csb0="2000009F" w:csb1="DFD70000"/>
  </w:font>
  <w:font w:name="时尚中黑简体">
    <w:altName w:val="黑体"/>
    <w:panose1 w:val="00000000000000000000"/>
    <w:charset w:val="86"/>
    <w:family w:val="auto"/>
    <w:pitch w:val="default"/>
    <w:sig w:usb0="00000000" w:usb1="00000000" w:usb2="00000012"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3"/>
      <w:framePr w:wrap="around" w:vAnchor="text" w:hAnchor="margin" w:xAlign="right" w:y="1"/>
      <w:rPr>
        <w:rStyle w:val="56"/>
      </w:rPr>
    </w:pPr>
    <w:r>
      <w:fldChar w:fldCharType="begin"/>
    </w:r>
    <w:r>
      <w:rPr>
        <w:rStyle w:val="56"/>
      </w:rPr>
      <w:instrText xml:space="preserve">PAGE  </w:instrText>
    </w:r>
    <w:r>
      <w:fldChar w:fldCharType="separate"/>
    </w:r>
    <w:r>
      <w:rPr>
        <w:rStyle w:val="56"/>
      </w:rPr>
      <w:t>5</w:t>
    </w:r>
    <w:r>
      <w:fldChar w:fldCharType="end"/>
    </w:r>
  </w:p>
  <w:p>
    <w:pPr>
      <w:pStyle w:val="33"/>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3"/>
      <w:rPr>
        <w:sz w:val="21"/>
        <w:szCs w:val="21"/>
      </w:rPr>
    </w:pPr>
    <w:r>
      <w:rPr>
        <w:sz w:val="21"/>
      </w:rPr>
      <w:pict>
        <v:shape id="文本框 4" o:spid="_x0000_s2050" o:spt="202" type="#_x0000_t202" style="position:absolute;left:0pt;margin-top:0pt;height:144pt;width:144pt;mso-position-horizontal:center;mso-position-horizontal-relative:margin;mso-wrap-style:none;z-index:251659264;mso-width-relative:page;mso-height-relative:page;" filled="f"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">
          <v:path/>
          <v:fill on="f" focussize="0,0"/>
          <v:stroke on="f" weight="1.25pt" joinstyle="miter"/>
          <v:imagedata o:title=""/>
          <o:lock v:ext="edit"/>
          <v:textbox inset="0mm,0mm,0mm,0mm" style="mso-fit-shape-to-text:t;">
            <w:txbxContent>
              <w:p>
                <w:pPr>
                  <w:pStyle w:val="33"/>
                </w:pPr>
                <w:r>
                  <w:rPr>
                    <w:rFonts w:hint="eastAsia"/>
                  </w:rPr>
                  <w:fldChar w:fldCharType="begin"/>
                </w:r>
                <w:r>
                  <w:rPr>
                    <w:rFonts w:hint="eastAsia"/>
                  </w:rPr>
                  <w:instrText xml:space="preserve"> PAGE  \* MERGEFORMAT </w:instrText>
                </w:r>
                <w:r>
                  <w:rPr>
                    <w:rFonts w:hint="eastAsia"/>
                  </w:rPr>
                  <w:fldChar w:fldCharType="separate"/>
                </w:r>
                <w:r>
                  <w:t>38</w:t>
                </w:r>
                <w:r>
                  <w:rPr>
                    <w:rFonts w:hint="eastAsia"/>
                  </w:rPr>
                  <w:fldChar w:fldCharType="end"/>
                </w:r>
              </w:p>
            </w:txbxContent>
          </v:textbox>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3"/>
      <w:framePr w:wrap="around" w:vAnchor="text" w:hAnchor="margin" w:xAlign="right" w:y="1"/>
      <w:rPr>
        <w:rStyle w:val="56"/>
      </w:rPr>
    </w:pPr>
    <w:r>
      <w:fldChar w:fldCharType="begin"/>
    </w:r>
    <w:r>
      <w:rPr>
        <w:rStyle w:val="56"/>
      </w:rPr>
      <w:instrText xml:space="preserve">PAGE  </w:instrText>
    </w:r>
    <w:r>
      <w:fldChar w:fldCharType="end"/>
    </w:r>
  </w:p>
  <w:p>
    <w:pPr>
      <w:pStyle w:val="33"/>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3"/>
    </w:pPr>
    <w:r>
      <w:pict>
        <v:shape id="文本框 5" o:spid="_x0000_s2049"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">
          <v:path/>
          <v:fill on="f" focussize="0,0"/>
          <v:stroke on="f" weight="1.25pt" joinstyle="miter"/>
          <v:imagedata o:title=""/>
          <o:lock v:ext="edit"/>
          <v:textbox inset="0mm,0mm,0mm,0mm" style="mso-fit-shape-to-text:t;">
            <w:txbxContent>
              <w:p>
                <w:pPr>
                  <w:pStyle w:val="41"/>
                </w:pPr>
                <w:r>
                  <w:rPr>
                    <w:rFonts w:hint="eastAsia"/>
                  </w:rPr>
                  <w:fldChar w:fldCharType="begin"/>
                </w:r>
                <w:r>
                  <w:rPr>
                    <w:rFonts w:hint="eastAsia"/>
                  </w:rPr>
                  <w:instrText xml:space="preserve"> PAGE  \* MERGEFORMAT </w:instrText>
                </w:r>
                <w:r>
                  <w:rPr>
                    <w:rFonts w:hint="eastAsia"/>
                  </w:rPr>
                  <w:fldChar w:fldCharType="separate"/>
                </w:r>
                <w:r>
                  <w:t>3</w:t>
                </w:r>
                <w:r>
                  <w:rPr>
                    <w:rFonts w:hint="eastAsia"/>
                  </w:rP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pBdr>
        <w:bottom w:val="none" w:color="auto" w:sz="0" w:space="1"/>
      </w:pBdr>
      <w:tabs>
        <w:tab w:val="left" w:pos="5049"/>
      </w:tabs>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pBdr>
        <w:bottom w:val="thickThinLargeGap" w:color="auto" w:sz="4" w:space="1"/>
      </w:pBdr>
      <w:wordWrap w:val="0"/>
      <w:jc w:val="right"/>
      <w:rPr>
        <w:bCs/>
        <w:sz w:val="21"/>
        <w:szCs w:val="21"/>
      </w:rPr>
    </w:pPr>
    <w:r>
      <w:rPr>
        <w:rFonts w:hint="eastAsia" w:ascii="时尚中黑简体" w:hAnsi="时尚中黑简体" w:eastAsia="时尚中黑简体" w:cs="时尚中黑简体"/>
        <w:bCs/>
        <w:sz w:val="21"/>
        <w:szCs w:val="21"/>
      </w:rPr>
      <w:drawing>
        <wp:anchor distT="0" distB="0" distL="114300" distR="114300" simplePos="0" relativeHeight="251657216" behindDoc="1" locked="0" layoutInCell="1" allowOverlap="1">
          <wp:simplePos x="0" y="0"/>
          <wp:positionH relativeFrom="column">
            <wp:posOffset>3376930</wp:posOffset>
          </wp:positionH>
          <wp:positionV relativeFrom="paragraph">
            <wp:posOffset>-236855</wp:posOffset>
          </wp:positionV>
          <wp:extent cx="434340" cy="434340"/>
          <wp:effectExtent l="19050" t="0" r="3810" b="0"/>
          <wp:wrapNone/>
          <wp:docPr id="1" name="图片 1" descr="公司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公司logo"/>
                  <pic:cNvPicPr>
                    <a:picLocks noChangeAspect="1" noChangeArrowheads="1"/>
                  </pic:cNvPicPr>
                </pic:nvPicPr>
                <pic:blipFill>
                  <a:blip r:embed="rId1"/>
                  <a:srcRect/>
                  <a:stretch>
                    <a:fillRect/>
                  </a:stretch>
                </pic:blipFill>
                <pic:spPr>
                  <a:xfrm>
                    <a:off x="0" y="0"/>
                    <a:ext cx="434340" cy="434340"/>
                  </a:xfrm>
                  <a:prstGeom prst="rect">
                    <a:avLst/>
                  </a:prstGeom>
                  <a:noFill/>
                  <a:ln w="9525" cmpd="sng">
                    <a:noFill/>
                    <a:miter lim="800000"/>
                    <a:headEnd/>
                    <a:tailEnd/>
                  </a:ln>
                </pic:spPr>
              </pic:pic>
            </a:graphicData>
          </a:graphic>
        </wp:anchor>
      </w:drawing>
    </w:r>
    <w:r>
      <w:rPr>
        <w:rFonts w:hint="eastAsia" w:ascii="时尚中黑简体" w:hAnsi="时尚中黑简体" w:eastAsia="时尚中黑简体" w:cs="时尚中黑简体"/>
        <w:bCs/>
        <w:sz w:val="21"/>
        <w:szCs w:val="21"/>
      </w:rPr>
      <w:t>广东泰通伟业工程咨询有限公司编制</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jc w:val="left"/>
      <w:rPr>
        <w:sz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2EEAC35"/>
    <w:multiLevelType w:val="singleLevel"/>
    <w:tmpl w:val="92EEAC35"/>
    <w:lvl w:ilvl="0" w:tentative="0">
      <w:start w:val="1"/>
      <w:numFmt w:val="chineseCounting"/>
      <w:suff w:val="nothing"/>
      <w:lvlText w:val="%1、"/>
      <w:lvlJc w:val="left"/>
      <w:pPr>
        <w:ind w:left="0" w:firstLine="420"/>
      </w:pPr>
      <w:rPr>
        <w:rFonts w:hint="eastAsia"/>
      </w:rPr>
    </w:lvl>
  </w:abstractNum>
  <w:abstractNum w:abstractNumId="1">
    <w:nsid w:val="E1B46632"/>
    <w:multiLevelType w:val="singleLevel"/>
    <w:tmpl w:val="E1B46632"/>
    <w:lvl w:ilvl="0" w:tentative="0">
      <w:start w:val="1"/>
      <w:numFmt w:val="chineseCounting"/>
      <w:suff w:val="nothing"/>
      <w:lvlText w:val="（%1）"/>
      <w:lvlJc w:val="left"/>
      <w:pPr>
        <w:ind w:left="0" w:firstLine="420"/>
      </w:pPr>
      <w:rPr>
        <w:rFonts w:hint="eastAsia"/>
      </w:rPr>
    </w:lvl>
  </w:abstractNum>
  <w:abstractNum w:abstractNumId="2">
    <w:nsid w:val="EC01E890"/>
    <w:multiLevelType w:val="singleLevel"/>
    <w:tmpl w:val="EC01E890"/>
    <w:lvl w:ilvl="0" w:tentative="0">
      <w:start w:val="1"/>
      <w:numFmt w:val="chineseCounting"/>
      <w:suff w:val="nothing"/>
      <w:lvlText w:val="%1、"/>
      <w:lvlJc w:val="left"/>
      <w:pPr>
        <w:ind w:left="0" w:firstLine="420"/>
      </w:pPr>
      <w:rPr>
        <w:rFonts w:hint="eastAsia"/>
      </w:rPr>
    </w:lvl>
  </w:abstractNum>
  <w:abstractNum w:abstractNumId="3">
    <w:nsid w:val="F3051630"/>
    <w:multiLevelType w:val="singleLevel"/>
    <w:tmpl w:val="F3051630"/>
    <w:lvl w:ilvl="0" w:tentative="0">
      <w:start w:val="1"/>
      <w:numFmt w:val="chineseCounting"/>
      <w:suff w:val="nothing"/>
      <w:lvlText w:val="（%1）"/>
      <w:lvlJc w:val="left"/>
      <w:pPr>
        <w:ind w:left="6" w:firstLine="420"/>
      </w:pPr>
      <w:rPr>
        <w:rFonts w:hint="eastAsia"/>
      </w:rPr>
    </w:lvl>
  </w:abstractNum>
  <w:abstractNum w:abstractNumId="4">
    <w:nsid w:val="00000010"/>
    <w:multiLevelType w:val="multilevel"/>
    <w:tmpl w:val="00000010"/>
    <w:lvl w:ilvl="0" w:tentative="0">
      <w:start w:val="1"/>
      <w:numFmt w:val="decimal"/>
      <w:lvlText w:val="%1"/>
      <w:lvlJc w:val="left"/>
      <w:pPr>
        <w:tabs>
          <w:tab w:val="left" w:pos="425"/>
        </w:tabs>
        <w:ind w:left="425" w:hanging="425"/>
      </w:pPr>
    </w:lvl>
    <w:lvl w:ilvl="1" w:tentative="0">
      <w:start w:val="1"/>
      <w:numFmt w:val="decimal"/>
      <w:pStyle w:val="102"/>
      <w:lvlText w:val="%1.%2"/>
      <w:lvlJc w:val="left"/>
      <w:pPr>
        <w:tabs>
          <w:tab w:val="left" w:pos="992"/>
        </w:tabs>
        <w:ind w:left="992" w:hanging="567"/>
      </w:pPr>
    </w:lvl>
    <w:lvl w:ilvl="2" w:tentative="0">
      <w:start w:val="1"/>
      <w:numFmt w:val="decimal"/>
      <w:lvlText w:val="%1.%2.%3"/>
      <w:lvlJc w:val="left"/>
      <w:pPr>
        <w:tabs>
          <w:tab w:val="left" w:pos="1418"/>
        </w:tabs>
        <w:ind w:left="1418"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5">
    <w:nsid w:val="00000011"/>
    <w:multiLevelType w:val="multilevel"/>
    <w:tmpl w:val="00000011"/>
    <w:lvl w:ilvl="0" w:tentative="0">
      <w:start w:val="4"/>
      <w:numFmt w:val="japaneseCounting"/>
      <w:lvlText w:val="第%1篇"/>
      <w:lvlJc w:val="left"/>
      <w:pPr>
        <w:tabs>
          <w:tab w:val="left" w:pos="1080"/>
        </w:tabs>
        <w:ind w:left="1080" w:hanging="1080"/>
      </w:pPr>
      <w:rPr>
        <w:rFonts w:hint="default"/>
        <w:lang w:val="en-US"/>
      </w:rPr>
    </w:lvl>
    <w:lvl w:ilvl="1" w:tentative="0">
      <w:start w:val="3"/>
      <w:numFmt w:val="japaneseCounting"/>
      <w:lvlText w:val="%2、"/>
      <w:lvlJc w:val="left"/>
      <w:pPr>
        <w:tabs>
          <w:tab w:val="left" w:pos="900"/>
        </w:tabs>
        <w:ind w:left="900" w:hanging="480"/>
      </w:pPr>
      <w:rPr>
        <w:rFonts w:hint="default"/>
      </w:rPr>
    </w:lvl>
    <w:lvl w:ilvl="2" w:tentative="0">
      <w:start w:val="1"/>
      <w:numFmt w:val="decimal"/>
      <w:lvlText w:val="%3、"/>
      <w:lvlJc w:val="left"/>
      <w:pPr>
        <w:tabs>
          <w:tab w:val="left" w:pos="1200"/>
        </w:tabs>
        <w:ind w:left="1200" w:hanging="360"/>
      </w:pPr>
      <w:rPr>
        <w:rFonts w:hint="default"/>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00000012"/>
    <w:multiLevelType w:val="multilevel"/>
    <w:tmpl w:val="00000012"/>
    <w:lvl w:ilvl="0" w:tentative="0">
      <w:start w:val="1"/>
      <w:numFmt w:val="bullet"/>
      <w:pStyle w:val="92"/>
      <w:lvlText w:val=""/>
      <w:lvlJc w:val="left"/>
      <w:pPr>
        <w:tabs>
          <w:tab w:val="left" w:pos="420"/>
        </w:tabs>
        <w:ind w:left="42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7">
    <w:nsid w:val="00000013"/>
    <w:multiLevelType w:val="multilevel"/>
    <w:tmpl w:val="00000013"/>
    <w:lvl w:ilvl="0" w:tentative="0">
      <w:start w:val="1"/>
      <w:numFmt w:val="decimal"/>
      <w:pStyle w:val="110"/>
      <w:lvlText w:val="%1、"/>
      <w:lvlJc w:val="left"/>
      <w:pPr>
        <w:tabs>
          <w:tab w:val="left" w:pos="786"/>
        </w:tabs>
        <w:ind w:left="786" w:hanging="360"/>
      </w:pPr>
    </w:lvl>
    <w:lvl w:ilvl="1" w:tentative="0">
      <w:start w:val="1"/>
      <w:numFmt w:val="decimal"/>
      <w:lvlText w:val="%2、"/>
      <w:lvlJc w:val="left"/>
      <w:pPr>
        <w:tabs>
          <w:tab w:val="left" w:pos="1206"/>
        </w:tabs>
        <w:ind w:left="1206" w:hanging="360"/>
      </w:pPr>
    </w:lvl>
    <w:lvl w:ilvl="2" w:tentative="0">
      <w:start w:val="1"/>
      <w:numFmt w:val="lowerRoman"/>
      <w:lvlText w:val="%3."/>
      <w:lvlJc w:val="right"/>
      <w:pPr>
        <w:tabs>
          <w:tab w:val="left" w:pos="1686"/>
        </w:tabs>
        <w:ind w:left="1686" w:hanging="420"/>
      </w:pPr>
    </w:lvl>
    <w:lvl w:ilvl="3" w:tentative="0">
      <w:start w:val="2"/>
      <w:numFmt w:val="decimal"/>
      <w:lvlText w:val="%4）"/>
      <w:lvlJc w:val="left"/>
      <w:pPr>
        <w:tabs>
          <w:tab w:val="left" w:pos="2046"/>
        </w:tabs>
        <w:ind w:left="2046"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8">
    <w:nsid w:val="00000016"/>
    <w:multiLevelType w:val="multilevel"/>
    <w:tmpl w:val="00000016"/>
    <w:lvl w:ilvl="0" w:tentative="0">
      <w:start w:val="1"/>
      <w:numFmt w:val="decimal"/>
      <w:pStyle w:val="15"/>
      <w:lvlText w:val="(%1)"/>
      <w:lvlJc w:val="left"/>
      <w:pPr>
        <w:tabs>
          <w:tab w:val="left" w:pos="360"/>
        </w:tabs>
        <w:ind w:left="360" w:hanging="36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9">
    <w:nsid w:val="00000020"/>
    <w:multiLevelType w:val="multilevel"/>
    <w:tmpl w:val="00000020"/>
    <w:lvl w:ilvl="0" w:tentative="0">
      <w:start w:val="1"/>
      <w:numFmt w:val="bullet"/>
      <w:pStyle w:val="91"/>
      <w:lvlText w:val=""/>
      <w:lvlJc w:val="left"/>
      <w:pPr>
        <w:tabs>
          <w:tab w:val="left" w:pos="420"/>
        </w:tabs>
        <w:ind w:left="42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10">
    <w:nsid w:val="00000021"/>
    <w:multiLevelType w:val="multilevel"/>
    <w:tmpl w:val="00000021"/>
    <w:lvl w:ilvl="0" w:tentative="0">
      <w:start w:val="1"/>
      <w:numFmt w:val="chineseCounting"/>
      <w:suff w:val="nothing"/>
      <w:lvlText w:val="%1、"/>
      <w:lvlJc w:val="left"/>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1">
    <w:nsid w:val="00000028"/>
    <w:multiLevelType w:val="multilevel"/>
    <w:tmpl w:val="00000028"/>
    <w:lvl w:ilvl="0" w:tentative="0">
      <w:start w:val="1"/>
      <w:numFmt w:val="japaneseCounting"/>
      <w:lvlText w:val="第%1篇"/>
      <w:lvlJc w:val="left"/>
      <w:pPr>
        <w:ind w:left="1080" w:hanging="1080"/>
      </w:pPr>
      <w:rPr>
        <w:rFonts w:hint="default"/>
      </w:rPr>
    </w:lvl>
    <w:lvl w:ilvl="1" w:tentative="0">
      <w:start w:val="1"/>
      <w:numFmt w:val="japaneseCounting"/>
      <w:lvlText w:val="（%2）"/>
      <w:lvlJc w:val="left"/>
      <w:pPr>
        <w:ind w:left="1185" w:hanging="765"/>
      </w:pPr>
      <w:rPr>
        <w:rFonts w:hint="default"/>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2">
    <w:nsid w:val="00000029"/>
    <w:multiLevelType w:val="multilevel"/>
    <w:tmpl w:val="00000029"/>
    <w:lvl w:ilvl="0" w:tentative="0">
      <w:start w:val="1"/>
      <w:numFmt w:val="bullet"/>
      <w:pStyle w:val="48"/>
      <w:lvlText w:val=""/>
      <w:lvlJc w:val="left"/>
      <w:pPr>
        <w:tabs>
          <w:tab w:val="left" w:pos="2121"/>
        </w:tabs>
        <w:ind w:left="2121" w:hanging="420"/>
      </w:pPr>
      <w:rPr>
        <w:rFonts w:hint="default" w:ascii="Wingdings" w:hAnsi="Wingdings"/>
      </w:rPr>
    </w:lvl>
    <w:lvl w:ilvl="1" w:tentative="0">
      <w:start w:val="1"/>
      <w:numFmt w:val="bullet"/>
      <w:lvlText w:val=""/>
      <w:lvlJc w:val="left"/>
      <w:pPr>
        <w:tabs>
          <w:tab w:val="left" w:pos="2541"/>
        </w:tabs>
        <w:ind w:left="2541" w:hanging="420"/>
      </w:pPr>
      <w:rPr>
        <w:rFonts w:hint="default" w:ascii="Wingdings" w:hAnsi="Wingdings"/>
      </w:rPr>
    </w:lvl>
    <w:lvl w:ilvl="2" w:tentative="0">
      <w:start w:val="1"/>
      <w:numFmt w:val="bullet"/>
      <w:lvlText w:val=""/>
      <w:lvlJc w:val="left"/>
      <w:pPr>
        <w:tabs>
          <w:tab w:val="left" w:pos="2961"/>
        </w:tabs>
        <w:ind w:left="2961" w:hanging="420"/>
      </w:pPr>
      <w:rPr>
        <w:rFonts w:hint="default" w:ascii="Wingdings" w:hAnsi="Wingdings"/>
      </w:rPr>
    </w:lvl>
    <w:lvl w:ilvl="3" w:tentative="0">
      <w:start w:val="1"/>
      <w:numFmt w:val="bullet"/>
      <w:lvlText w:val=""/>
      <w:lvlJc w:val="left"/>
      <w:pPr>
        <w:tabs>
          <w:tab w:val="left" w:pos="3381"/>
        </w:tabs>
        <w:ind w:left="3381" w:hanging="420"/>
      </w:pPr>
      <w:rPr>
        <w:rFonts w:hint="default" w:ascii="Wingdings" w:hAnsi="Wingdings"/>
      </w:rPr>
    </w:lvl>
    <w:lvl w:ilvl="4" w:tentative="0">
      <w:start w:val="1"/>
      <w:numFmt w:val="bullet"/>
      <w:lvlText w:val=""/>
      <w:lvlJc w:val="left"/>
      <w:pPr>
        <w:tabs>
          <w:tab w:val="left" w:pos="3801"/>
        </w:tabs>
        <w:ind w:left="3801" w:hanging="420"/>
      </w:pPr>
      <w:rPr>
        <w:rFonts w:hint="default" w:ascii="Wingdings" w:hAnsi="Wingdings"/>
      </w:rPr>
    </w:lvl>
    <w:lvl w:ilvl="5" w:tentative="0">
      <w:start w:val="1"/>
      <w:numFmt w:val="bullet"/>
      <w:lvlText w:val=""/>
      <w:lvlJc w:val="left"/>
      <w:pPr>
        <w:tabs>
          <w:tab w:val="left" w:pos="4221"/>
        </w:tabs>
        <w:ind w:left="4221" w:hanging="420"/>
      </w:pPr>
      <w:rPr>
        <w:rFonts w:hint="default" w:ascii="Wingdings" w:hAnsi="Wingdings"/>
      </w:rPr>
    </w:lvl>
    <w:lvl w:ilvl="6" w:tentative="0">
      <w:start w:val="1"/>
      <w:numFmt w:val="bullet"/>
      <w:lvlText w:val=""/>
      <w:lvlJc w:val="left"/>
      <w:pPr>
        <w:tabs>
          <w:tab w:val="left" w:pos="4641"/>
        </w:tabs>
        <w:ind w:left="4641" w:hanging="420"/>
      </w:pPr>
      <w:rPr>
        <w:rFonts w:hint="default" w:ascii="Wingdings" w:hAnsi="Wingdings"/>
      </w:rPr>
    </w:lvl>
    <w:lvl w:ilvl="7" w:tentative="0">
      <w:start w:val="1"/>
      <w:numFmt w:val="bullet"/>
      <w:lvlText w:val=""/>
      <w:lvlJc w:val="left"/>
      <w:pPr>
        <w:tabs>
          <w:tab w:val="left" w:pos="5061"/>
        </w:tabs>
        <w:ind w:left="5061" w:hanging="420"/>
      </w:pPr>
      <w:rPr>
        <w:rFonts w:hint="default" w:ascii="Wingdings" w:hAnsi="Wingdings"/>
      </w:rPr>
    </w:lvl>
    <w:lvl w:ilvl="8" w:tentative="0">
      <w:start w:val="1"/>
      <w:numFmt w:val="bullet"/>
      <w:lvlText w:val=""/>
      <w:lvlJc w:val="left"/>
      <w:pPr>
        <w:tabs>
          <w:tab w:val="left" w:pos="5481"/>
        </w:tabs>
        <w:ind w:left="5481" w:hanging="420"/>
      </w:pPr>
      <w:rPr>
        <w:rFonts w:hint="default" w:ascii="Wingdings" w:hAnsi="Wingdings"/>
      </w:rPr>
    </w:lvl>
  </w:abstractNum>
  <w:abstractNum w:abstractNumId="13">
    <w:nsid w:val="00000031"/>
    <w:multiLevelType w:val="multilevel"/>
    <w:tmpl w:val="00000031"/>
    <w:lvl w:ilvl="0" w:tentative="0">
      <w:start w:val="1"/>
      <w:numFmt w:val="japaneseCounting"/>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4">
    <w:nsid w:val="2727DD9B"/>
    <w:multiLevelType w:val="multilevel"/>
    <w:tmpl w:val="2727DD9B"/>
    <w:lvl w:ilvl="0" w:tentative="0">
      <w:start w:val="1"/>
      <w:numFmt w:val="decimal"/>
      <w:pStyle w:val="16"/>
      <w:lvlText w:val="%1、"/>
      <w:lvlJc w:val="left"/>
      <w:pPr>
        <w:tabs>
          <w:tab w:val="left" w:pos="420"/>
        </w:tabs>
        <w:ind w:left="840" w:hanging="420"/>
      </w:pPr>
      <w:rPr>
        <w:rFonts w:ascii="Times New Roman" w:hAnsi="Times New Roman" w:eastAsia="Times New Roman" w:cs="Times New Roman"/>
      </w:rPr>
    </w:lvl>
    <w:lvl w:ilvl="1" w:tentative="0">
      <w:start w:val="1"/>
      <w:numFmt w:val="bullet"/>
      <w:lvlText w:val=""/>
      <w:lvlJc w:val="left"/>
      <w:pPr>
        <w:tabs>
          <w:tab w:val="left" w:pos="1040"/>
        </w:tabs>
        <w:ind w:left="1040" w:hanging="420"/>
      </w:pPr>
      <w:rPr>
        <w:rFonts w:hint="default" w:ascii="Wingdings" w:hAnsi="Wingdings"/>
      </w:rPr>
    </w:lvl>
    <w:lvl w:ilvl="2" w:tentative="0">
      <w:start w:val="1"/>
      <w:numFmt w:val="decimal"/>
      <w:lvlText w:val="%3."/>
      <w:lvlJc w:val="left"/>
      <w:pPr>
        <w:tabs>
          <w:tab w:val="left" w:pos="1745"/>
        </w:tabs>
        <w:ind w:left="1745" w:hanging="705"/>
      </w:pPr>
      <w:rPr>
        <w:rFonts w:hint="default"/>
      </w:rPr>
    </w:lvl>
    <w:lvl w:ilvl="3" w:tentative="0">
      <w:start w:val="1"/>
      <w:numFmt w:val="bullet"/>
      <w:lvlText w:val=""/>
      <w:lvlJc w:val="left"/>
      <w:pPr>
        <w:tabs>
          <w:tab w:val="left" w:pos="1880"/>
        </w:tabs>
        <w:ind w:left="1880" w:hanging="420"/>
      </w:pPr>
      <w:rPr>
        <w:rFonts w:hint="default" w:ascii="Wingdings" w:hAnsi="Wingdings"/>
      </w:rPr>
    </w:lvl>
    <w:lvl w:ilvl="4" w:tentative="0">
      <w:start w:val="1"/>
      <w:numFmt w:val="bullet"/>
      <w:lvlText w:val=""/>
      <w:lvlJc w:val="left"/>
      <w:pPr>
        <w:tabs>
          <w:tab w:val="left" w:pos="2300"/>
        </w:tabs>
        <w:ind w:left="2300" w:hanging="420"/>
      </w:pPr>
      <w:rPr>
        <w:rFonts w:hint="default" w:ascii="Wingdings" w:hAnsi="Wingdings"/>
      </w:rPr>
    </w:lvl>
    <w:lvl w:ilvl="5" w:tentative="0">
      <w:start w:val="1"/>
      <w:numFmt w:val="bullet"/>
      <w:lvlText w:val=""/>
      <w:lvlJc w:val="left"/>
      <w:pPr>
        <w:tabs>
          <w:tab w:val="left" w:pos="2720"/>
        </w:tabs>
        <w:ind w:left="2720" w:hanging="420"/>
      </w:pPr>
      <w:rPr>
        <w:rFonts w:hint="default" w:ascii="Wingdings" w:hAnsi="Wingdings"/>
      </w:rPr>
    </w:lvl>
    <w:lvl w:ilvl="6" w:tentative="0">
      <w:start w:val="1"/>
      <w:numFmt w:val="bullet"/>
      <w:lvlText w:val=""/>
      <w:lvlJc w:val="left"/>
      <w:pPr>
        <w:tabs>
          <w:tab w:val="left" w:pos="3140"/>
        </w:tabs>
        <w:ind w:left="3140" w:hanging="420"/>
      </w:pPr>
      <w:rPr>
        <w:rFonts w:hint="default" w:ascii="Wingdings" w:hAnsi="Wingdings"/>
      </w:rPr>
    </w:lvl>
    <w:lvl w:ilvl="7" w:tentative="0">
      <w:start w:val="1"/>
      <w:numFmt w:val="bullet"/>
      <w:lvlText w:val=""/>
      <w:lvlJc w:val="left"/>
      <w:pPr>
        <w:tabs>
          <w:tab w:val="left" w:pos="3560"/>
        </w:tabs>
        <w:ind w:left="3560" w:hanging="420"/>
      </w:pPr>
      <w:rPr>
        <w:rFonts w:hint="default" w:ascii="Wingdings" w:hAnsi="Wingdings"/>
      </w:rPr>
    </w:lvl>
    <w:lvl w:ilvl="8" w:tentative="0">
      <w:start w:val="1"/>
      <w:numFmt w:val="bullet"/>
      <w:lvlText w:val=""/>
      <w:lvlJc w:val="left"/>
      <w:pPr>
        <w:tabs>
          <w:tab w:val="left" w:pos="3980"/>
        </w:tabs>
        <w:ind w:left="3980" w:hanging="420"/>
      </w:pPr>
      <w:rPr>
        <w:rFonts w:hint="default" w:ascii="Wingdings" w:hAnsi="Wingdings"/>
      </w:rPr>
    </w:lvl>
  </w:abstractNum>
  <w:abstractNum w:abstractNumId="15">
    <w:nsid w:val="2C2B23A7"/>
    <w:multiLevelType w:val="multilevel"/>
    <w:tmpl w:val="2C2B23A7"/>
    <w:lvl w:ilvl="0" w:tentative="0">
      <w:start w:val="1"/>
      <w:numFmt w:val="decimal"/>
      <w:lvlText w:val="%1、"/>
      <w:lvlJc w:val="left"/>
      <w:pPr>
        <w:tabs>
          <w:tab w:val="left" w:pos="961"/>
        </w:tabs>
        <w:ind w:left="961" w:hanging="360"/>
      </w:pPr>
      <w:rPr>
        <w:rFonts w:hint="eastAsia"/>
      </w:rPr>
    </w:lvl>
    <w:lvl w:ilvl="1" w:tentative="0">
      <w:start w:val="1"/>
      <w:numFmt w:val="lowerLetter"/>
      <w:lvlText w:val="%2)"/>
      <w:lvlJc w:val="left"/>
      <w:pPr>
        <w:tabs>
          <w:tab w:val="left" w:pos="1441"/>
        </w:tabs>
        <w:ind w:left="1441" w:hanging="420"/>
      </w:pPr>
    </w:lvl>
    <w:lvl w:ilvl="2" w:tentative="0">
      <w:start w:val="1"/>
      <w:numFmt w:val="lowerRoman"/>
      <w:lvlText w:val="%3."/>
      <w:lvlJc w:val="right"/>
      <w:pPr>
        <w:tabs>
          <w:tab w:val="left" w:pos="1861"/>
        </w:tabs>
        <w:ind w:left="1861" w:hanging="420"/>
      </w:pPr>
    </w:lvl>
    <w:lvl w:ilvl="3" w:tentative="0">
      <w:start w:val="1"/>
      <w:numFmt w:val="decimal"/>
      <w:lvlText w:val="%4."/>
      <w:lvlJc w:val="left"/>
      <w:pPr>
        <w:tabs>
          <w:tab w:val="left" w:pos="2281"/>
        </w:tabs>
        <w:ind w:left="2281" w:hanging="420"/>
      </w:pPr>
    </w:lvl>
    <w:lvl w:ilvl="4" w:tentative="0">
      <w:start w:val="1"/>
      <w:numFmt w:val="lowerLetter"/>
      <w:lvlText w:val="%5)"/>
      <w:lvlJc w:val="left"/>
      <w:pPr>
        <w:tabs>
          <w:tab w:val="left" w:pos="2701"/>
        </w:tabs>
        <w:ind w:left="2701" w:hanging="420"/>
      </w:pPr>
    </w:lvl>
    <w:lvl w:ilvl="5" w:tentative="0">
      <w:start w:val="1"/>
      <w:numFmt w:val="lowerRoman"/>
      <w:lvlText w:val="%6."/>
      <w:lvlJc w:val="right"/>
      <w:pPr>
        <w:tabs>
          <w:tab w:val="left" w:pos="3121"/>
        </w:tabs>
        <w:ind w:left="3121" w:hanging="420"/>
      </w:pPr>
    </w:lvl>
    <w:lvl w:ilvl="6" w:tentative="0">
      <w:start w:val="1"/>
      <w:numFmt w:val="decimal"/>
      <w:lvlText w:val="%7."/>
      <w:lvlJc w:val="left"/>
      <w:pPr>
        <w:tabs>
          <w:tab w:val="left" w:pos="3541"/>
        </w:tabs>
        <w:ind w:left="3541" w:hanging="420"/>
      </w:pPr>
    </w:lvl>
    <w:lvl w:ilvl="7" w:tentative="0">
      <w:start w:val="1"/>
      <w:numFmt w:val="lowerLetter"/>
      <w:lvlText w:val="%8)"/>
      <w:lvlJc w:val="left"/>
      <w:pPr>
        <w:tabs>
          <w:tab w:val="left" w:pos="3961"/>
        </w:tabs>
        <w:ind w:left="3961" w:hanging="420"/>
      </w:pPr>
    </w:lvl>
    <w:lvl w:ilvl="8" w:tentative="0">
      <w:start w:val="1"/>
      <w:numFmt w:val="lowerRoman"/>
      <w:lvlText w:val="%9."/>
      <w:lvlJc w:val="right"/>
      <w:pPr>
        <w:tabs>
          <w:tab w:val="left" w:pos="4381"/>
        </w:tabs>
        <w:ind w:left="4381" w:hanging="420"/>
      </w:pPr>
    </w:lvl>
  </w:abstractNum>
  <w:abstractNum w:abstractNumId="16">
    <w:nsid w:val="37402185"/>
    <w:multiLevelType w:val="singleLevel"/>
    <w:tmpl w:val="37402185"/>
    <w:lvl w:ilvl="0" w:tentative="0">
      <w:start w:val="1"/>
      <w:numFmt w:val="decimal"/>
      <w:pStyle w:val="23"/>
      <w:lvlText w:val="%1."/>
      <w:lvlJc w:val="left"/>
      <w:pPr>
        <w:tabs>
          <w:tab w:val="left" w:pos="1200"/>
        </w:tabs>
        <w:ind w:left="1200" w:hanging="360"/>
      </w:pPr>
    </w:lvl>
  </w:abstractNum>
  <w:abstractNum w:abstractNumId="17">
    <w:nsid w:val="52F421C6"/>
    <w:multiLevelType w:val="singleLevel"/>
    <w:tmpl w:val="52F421C6"/>
    <w:lvl w:ilvl="0" w:tentative="0">
      <w:start w:val="1"/>
      <w:numFmt w:val="chineseCounting"/>
      <w:suff w:val="nothing"/>
      <w:lvlText w:val="%1、"/>
      <w:lvlJc w:val="left"/>
      <w:pPr>
        <w:ind w:left="0" w:firstLine="420"/>
      </w:pPr>
      <w:rPr>
        <w:rFonts w:hint="eastAsia"/>
      </w:rPr>
    </w:lvl>
  </w:abstractNum>
  <w:abstractNum w:abstractNumId="18">
    <w:nsid w:val="57289543"/>
    <w:multiLevelType w:val="singleLevel"/>
    <w:tmpl w:val="57289543"/>
    <w:lvl w:ilvl="0" w:tentative="0">
      <w:start w:val="7"/>
      <w:numFmt w:val="decimal"/>
      <w:suff w:val="nothing"/>
      <w:lvlText w:val="%1)"/>
      <w:lvlJc w:val="left"/>
    </w:lvl>
  </w:abstractNum>
  <w:abstractNum w:abstractNumId="19">
    <w:nsid w:val="7C964DAC"/>
    <w:multiLevelType w:val="multilevel"/>
    <w:tmpl w:val="7C964DAC"/>
    <w:lvl w:ilvl="0" w:tentative="0">
      <w:start w:val="3"/>
      <w:numFmt w:val="japaneseCounting"/>
      <w:lvlText w:val="第%1条"/>
      <w:lvlJc w:val="left"/>
      <w:pPr>
        <w:tabs>
          <w:tab w:val="left" w:pos="976"/>
        </w:tabs>
        <w:ind w:left="976" w:hanging="960"/>
      </w:pPr>
      <w:rPr>
        <w:rFonts w:hint="eastAsia"/>
      </w:rPr>
    </w:lvl>
    <w:lvl w:ilvl="1" w:tentative="0">
      <w:start w:val="1"/>
      <w:numFmt w:val="lowerLetter"/>
      <w:lvlText w:val="%2)"/>
      <w:lvlJc w:val="left"/>
      <w:pPr>
        <w:tabs>
          <w:tab w:val="left" w:pos="856"/>
        </w:tabs>
        <w:ind w:left="856" w:hanging="420"/>
      </w:pPr>
    </w:lvl>
    <w:lvl w:ilvl="2" w:tentative="0">
      <w:start w:val="1"/>
      <w:numFmt w:val="lowerRoman"/>
      <w:lvlText w:val="%3."/>
      <w:lvlJc w:val="right"/>
      <w:pPr>
        <w:tabs>
          <w:tab w:val="left" w:pos="1276"/>
        </w:tabs>
        <w:ind w:left="1276" w:hanging="420"/>
      </w:pPr>
    </w:lvl>
    <w:lvl w:ilvl="3" w:tentative="0">
      <w:start w:val="1"/>
      <w:numFmt w:val="decimal"/>
      <w:lvlText w:val="%4."/>
      <w:lvlJc w:val="left"/>
      <w:pPr>
        <w:tabs>
          <w:tab w:val="left" w:pos="1696"/>
        </w:tabs>
        <w:ind w:left="1696" w:hanging="420"/>
      </w:pPr>
    </w:lvl>
    <w:lvl w:ilvl="4" w:tentative="0">
      <w:start w:val="1"/>
      <w:numFmt w:val="lowerLetter"/>
      <w:lvlText w:val="%5)"/>
      <w:lvlJc w:val="left"/>
      <w:pPr>
        <w:tabs>
          <w:tab w:val="left" w:pos="2116"/>
        </w:tabs>
        <w:ind w:left="2116" w:hanging="420"/>
      </w:pPr>
    </w:lvl>
    <w:lvl w:ilvl="5" w:tentative="0">
      <w:start w:val="1"/>
      <w:numFmt w:val="lowerRoman"/>
      <w:lvlText w:val="%6."/>
      <w:lvlJc w:val="right"/>
      <w:pPr>
        <w:tabs>
          <w:tab w:val="left" w:pos="2536"/>
        </w:tabs>
        <w:ind w:left="2536" w:hanging="420"/>
      </w:pPr>
    </w:lvl>
    <w:lvl w:ilvl="6" w:tentative="0">
      <w:start w:val="1"/>
      <w:numFmt w:val="decimal"/>
      <w:lvlText w:val="%7."/>
      <w:lvlJc w:val="left"/>
      <w:pPr>
        <w:tabs>
          <w:tab w:val="left" w:pos="2956"/>
        </w:tabs>
        <w:ind w:left="2956" w:hanging="420"/>
      </w:pPr>
    </w:lvl>
    <w:lvl w:ilvl="7" w:tentative="0">
      <w:start w:val="1"/>
      <w:numFmt w:val="lowerLetter"/>
      <w:lvlText w:val="%8)"/>
      <w:lvlJc w:val="left"/>
      <w:pPr>
        <w:tabs>
          <w:tab w:val="left" w:pos="3376"/>
        </w:tabs>
        <w:ind w:left="3376" w:hanging="420"/>
      </w:pPr>
    </w:lvl>
    <w:lvl w:ilvl="8" w:tentative="0">
      <w:start w:val="1"/>
      <w:numFmt w:val="lowerRoman"/>
      <w:lvlText w:val="%9."/>
      <w:lvlJc w:val="right"/>
      <w:pPr>
        <w:tabs>
          <w:tab w:val="left" w:pos="3796"/>
        </w:tabs>
        <w:ind w:left="3796" w:hanging="420"/>
      </w:pPr>
    </w:lvl>
  </w:abstractNum>
  <w:num w:numId="1">
    <w:abstractNumId w:val="8"/>
  </w:num>
  <w:num w:numId="2">
    <w:abstractNumId w:val="14"/>
  </w:num>
  <w:num w:numId="3">
    <w:abstractNumId w:val="16"/>
  </w:num>
  <w:num w:numId="4">
    <w:abstractNumId w:val="12"/>
  </w:num>
  <w:num w:numId="5">
    <w:abstractNumId w:val="9"/>
  </w:num>
  <w:num w:numId="6">
    <w:abstractNumId w:val="6"/>
  </w:num>
  <w:num w:numId="7">
    <w:abstractNumId w:val="4"/>
  </w:num>
  <w:num w:numId="8">
    <w:abstractNumId w:val="7"/>
  </w:num>
  <w:num w:numId="9">
    <w:abstractNumId w:val="13"/>
  </w:num>
  <w:num w:numId="10">
    <w:abstractNumId w:val="11"/>
  </w:num>
  <w:num w:numId="11">
    <w:abstractNumId w:val="10"/>
  </w:num>
  <w:num w:numId="12">
    <w:abstractNumId w:val="3"/>
  </w:num>
  <w:num w:numId="13">
    <w:abstractNumId w:val="1"/>
  </w:num>
  <w:num w:numId="14">
    <w:abstractNumId w:val="5"/>
  </w:num>
  <w:num w:numId="15">
    <w:abstractNumId w:val="18"/>
  </w:num>
  <w:num w:numId="16">
    <w:abstractNumId w:val="19"/>
  </w:num>
  <w:num w:numId="17">
    <w:abstractNumId w:val="15"/>
  </w:num>
  <w:num w:numId="18">
    <w:abstractNumId w:val="0"/>
  </w:num>
  <w:num w:numId="19">
    <w:abstractNumId w:val="2"/>
  </w:num>
  <w:num w:numId="2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val="1"/>
  <w:bordersDoNotSurroundFooter w:val="1"/>
  <w:documentProtection w:enforcement="0"/>
  <w:defaultTabStop w:val="720"/>
  <w:drawingGridHorizontalSpacing w:val="120"/>
  <w:drawingGridVerticalSpacing w:val="163"/>
  <w:doNotShadeFormData w:val="1"/>
  <w:noPunctuationKerning w:val="1"/>
  <w:characterSpacingControl w:val="compressPunctuation"/>
  <w:doNotValidateAgainstSchema/>
  <w:doNotDemarcateInvalidXml/>
  <w:hdrShapeDefaults>
    <o:shapelayout v:ext="edit">
      <o:idmap v:ext="edit" data="2"/>
    </o:shapelayout>
  </w:hdrShapeDefaults>
  <w:compat>
    <w:spaceForUL/>
    <w:balanceSingleByteDoubleByteWidth/>
    <w:doNotLeaveBackslashAlone/>
    <w:doNotExpandShiftReturn/>
    <w:adjustLineHeightInTable/>
    <w:useFELayout/>
    <w:compatSetting w:name="compatibilityMode" w:uri="http://schemas.microsoft.com/office/word" w:val="12"/>
  </w:compat>
  <w:rsids>
    <w:rsidRoot w:val="00172A27"/>
    <w:rsid w:val="00003320"/>
    <w:rsid w:val="00010435"/>
    <w:rsid w:val="0002249C"/>
    <w:rsid w:val="00027890"/>
    <w:rsid w:val="000310C4"/>
    <w:rsid w:val="00036141"/>
    <w:rsid w:val="00037237"/>
    <w:rsid w:val="000373C0"/>
    <w:rsid w:val="00055CD6"/>
    <w:rsid w:val="000656BF"/>
    <w:rsid w:val="00066F03"/>
    <w:rsid w:val="00075200"/>
    <w:rsid w:val="000823D9"/>
    <w:rsid w:val="000E3D5A"/>
    <w:rsid w:val="000F69BF"/>
    <w:rsid w:val="00106809"/>
    <w:rsid w:val="00112835"/>
    <w:rsid w:val="00113D74"/>
    <w:rsid w:val="0011439F"/>
    <w:rsid w:val="00114927"/>
    <w:rsid w:val="00116359"/>
    <w:rsid w:val="00135223"/>
    <w:rsid w:val="00145E79"/>
    <w:rsid w:val="00152EFD"/>
    <w:rsid w:val="001617C8"/>
    <w:rsid w:val="00172A27"/>
    <w:rsid w:val="001749FA"/>
    <w:rsid w:val="0017555F"/>
    <w:rsid w:val="00180717"/>
    <w:rsid w:val="00197604"/>
    <w:rsid w:val="001B549E"/>
    <w:rsid w:val="001B72E4"/>
    <w:rsid w:val="001D4260"/>
    <w:rsid w:val="001E2687"/>
    <w:rsid w:val="002002A4"/>
    <w:rsid w:val="00201FF9"/>
    <w:rsid w:val="00206E99"/>
    <w:rsid w:val="00216ABC"/>
    <w:rsid w:val="002172C9"/>
    <w:rsid w:val="00267764"/>
    <w:rsid w:val="00270A95"/>
    <w:rsid w:val="002908F6"/>
    <w:rsid w:val="00291FAB"/>
    <w:rsid w:val="002C0888"/>
    <w:rsid w:val="002D687C"/>
    <w:rsid w:val="002E58AE"/>
    <w:rsid w:val="002F6EA4"/>
    <w:rsid w:val="00354336"/>
    <w:rsid w:val="003613BD"/>
    <w:rsid w:val="003643D7"/>
    <w:rsid w:val="00376337"/>
    <w:rsid w:val="003817A8"/>
    <w:rsid w:val="003824C3"/>
    <w:rsid w:val="00391ED7"/>
    <w:rsid w:val="00393E42"/>
    <w:rsid w:val="003B66EF"/>
    <w:rsid w:val="003C2F31"/>
    <w:rsid w:val="00401204"/>
    <w:rsid w:val="004207FB"/>
    <w:rsid w:val="0044257A"/>
    <w:rsid w:val="0045071E"/>
    <w:rsid w:val="0046288B"/>
    <w:rsid w:val="00465BC3"/>
    <w:rsid w:val="00473DA1"/>
    <w:rsid w:val="004822C1"/>
    <w:rsid w:val="00487A21"/>
    <w:rsid w:val="004A2767"/>
    <w:rsid w:val="004B162D"/>
    <w:rsid w:val="004B677D"/>
    <w:rsid w:val="004C119B"/>
    <w:rsid w:val="004D2652"/>
    <w:rsid w:val="00507BFF"/>
    <w:rsid w:val="005471BA"/>
    <w:rsid w:val="00553F3A"/>
    <w:rsid w:val="00555F92"/>
    <w:rsid w:val="00563F71"/>
    <w:rsid w:val="00564214"/>
    <w:rsid w:val="005742A6"/>
    <w:rsid w:val="00594A78"/>
    <w:rsid w:val="005A06DF"/>
    <w:rsid w:val="005B5C14"/>
    <w:rsid w:val="005E1A02"/>
    <w:rsid w:val="005F37C4"/>
    <w:rsid w:val="0060163A"/>
    <w:rsid w:val="006023DD"/>
    <w:rsid w:val="006071A1"/>
    <w:rsid w:val="00636A66"/>
    <w:rsid w:val="00637720"/>
    <w:rsid w:val="006421D2"/>
    <w:rsid w:val="00643C95"/>
    <w:rsid w:val="006529BE"/>
    <w:rsid w:val="00671BD6"/>
    <w:rsid w:val="00672AA1"/>
    <w:rsid w:val="00675141"/>
    <w:rsid w:val="006C4ED2"/>
    <w:rsid w:val="006E2C33"/>
    <w:rsid w:val="00722579"/>
    <w:rsid w:val="007266BA"/>
    <w:rsid w:val="00727056"/>
    <w:rsid w:val="00737573"/>
    <w:rsid w:val="007474D0"/>
    <w:rsid w:val="0075111E"/>
    <w:rsid w:val="00751637"/>
    <w:rsid w:val="00766AFF"/>
    <w:rsid w:val="00792B29"/>
    <w:rsid w:val="0079444F"/>
    <w:rsid w:val="007A5E70"/>
    <w:rsid w:val="007A6701"/>
    <w:rsid w:val="007B21FC"/>
    <w:rsid w:val="007B3581"/>
    <w:rsid w:val="007B72DC"/>
    <w:rsid w:val="007C6C58"/>
    <w:rsid w:val="007D11FD"/>
    <w:rsid w:val="007F1FF8"/>
    <w:rsid w:val="007F2B89"/>
    <w:rsid w:val="007F79D1"/>
    <w:rsid w:val="00803F10"/>
    <w:rsid w:val="00821042"/>
    <w:rsid w:val="00821BD7"/>
    <w:rsid w:val="00823679"/>
    <w:rsid w:val="00831E15"/>
    <w:rsid w:val="00835AD1"/>
    <w:rsid w:val="00847835"/>
    <w:rsid w:val="008A0878"/>
    <w:rsid w:val="008B5078"/>
    <w:rsid w:val="008B52E4"/>
    <w:rsid w:val="008C4084"/>
    <w:rsid w:val="008C4968"/>
    <w:rsid w:val="008C72F8"/>
    <w:rsid w:val="008D716A"/>
    <w:rsid w:val="008E129D"/>
    <w:rsid w:val="008E4970"/>
    <w:rsid w:val="009009BC"/>
    <w:rsid w:val="00904619"/>
    <w:rsid w:val="009229CB"/>
    <w:rsid w:val="009422CE"/>
    <w:rsid w:val="00944D1A"/>
    <w:rsid w:val="00951A8F"/>
    <w:rsid w:val="00992E4B"/>
    <w:rsid w:val="0099753E"/>
    <w:rsid w:val="009B27B4"/>
    <w:rsid w:val="009C6B18"/>
    <w:rsid w:val="009E2C75"/>
    <w:rsid w:val="009F7268"/>
    <w:rsid w:val="00A03228"/>
    <w:rsid w:val="00A1101A"/>
    <w:rsid w:val="00A11A47"/>
    <w:rsid w:val="00A37D41"/>
    <w:rsid w:val="00A52F6D"/>
    <w:rsid w:val="00A752A6"/>
    <w:rsid w:val="00A806FB"/>
    <w:rsid w:val="00A82229"/>
    <w:rsid w:val="00A8362D"/>
    <w:rsid w:val="00A975B4"/>
    <w:rsid w:val="00AA7D8C"/>
    <w:rsid w:val="00AB4015"/>
    <w:rsid w:val="00AC4DBC"/>
    <w:rsid w:val="00AE1DA2"/>
    <w:rsid w:val="00AF1364"/>
    <w:rsid w:val="00B046B4"/>
    <w:rsid w:val="00B04B0E"/>
    <w:rsid w:val="00B0703A"/>
    <w:rsid w:val="00B16495"/>
    <w:rsid w:val="00B225FD"/>
    <w:rsid w:val="00B22AF9"/>
    <w:rsid w:val="00B238F6"/>
    <w:rsid w:val="00B2475B"/>
    <w:rsid w:val="00B248DA"/>
    <w:rsid w:val="00B45BA6"/>
    <w:rsid w:val="00B50EA0"/>
    <w:rsid w:val="00B71A50"/>
    <w:rsid w:val="00B74DE3"/>
    <w:rsid w:val="00B818AE"/>
    <w:rsid w:val="00B96173"/>
    <w:rsid w:val="00BB48AD"/>
    <w:rsid w:val="00BB6F89"/>
    <w:rsid w:val="00BC02E2"/>
    <w:rsid w:val="00BF09ED"/>
    <w:rsid w:val="00BF27E1"/>
    <w:rsid w:val="00C00F5A"/>
    <w:rsid w:val="00C10DA8"/>
    <w:rsid w:val="00C16CB7"/>
    <w:rsid w:val="00C25C61"/>
    <w:rsid w:val="00C376A3"/>
    <w:rsid w:val="00C40AF8"/>
    <w:rsid w:val="00C5753E"/>
    <w:rsid w:val="00C61390"/>
    <w:rsid w:val="00C708B9"/>
    <w:rsid w:val="00C9061D"/>
    <w:rsid w:val="00C97323"/>
    <w:rsid w:val="00CB4242"/>
    <w:rsid w:val="00CB45F9"/>
    <w:rsid w:val="00CC3CDE"/>
    <w:rsid w:val="00CD0AE3"/>
    <w:rsid w:val="00CD3B80"/>
    <w:rsid w:val="00D1344C"/>
    <w:rsid w:val="00D17FB1"/>
    <w:rsid w:val="00D31F0D"/>
    <w:rsid w:val="00D34EDF"/>
    <w:rsid w:val="00D35C22"/>
    <w:rsid w:val="00D74638"/>
    <w:rsid w:val="00D954DE"/>
    <w:rsid w:val="00DB7E8A"/>
    <w:rsid w:val="00DD7F8E"/>
    <w:rsid w:val="00DE3798"/>
    <w:rsid w:val="00DF0CE0"/>
    <w:rsid w:val="00E023D0"/>
    <w:rsid w:val="00E03413"/>
    <w:rsid w:val="00E158D1"/>
    <w:rsid w:val="00E16F4D"/>
    <w:rsid w:val="00E438D2"/>
    <w:rsid w:val="00E43C0F"/>
    <w:rsid w:val="00E53F8C"/>
    <w:rsid w:val="00E61200"/>
    <w:rsid w:val="00E63FBE"/>
    <w:rsid w:val="00E77F90"/>
    <w:rsid w:val="00E80F9B"/>
    <w:rsid w:val="00E90F29"/>
    <w:rsid w:val="00EB1ABE"/>
    <w:rsid w:val="00EB4346"/>
    <w:rsid w:val="00ED1779"/>
    <w:rsid w:val="00EE7CA8"/>
    <w:rsid w:val="00EF6736"/>
    <w:rsid w:val="00EF6B76"/>
    <w:rsid w:val="00F014C7"/>
    <w:rsid w:val="00F04A9D"/>
    <w:rsid w:val="00F07594"/>
    <w:rsid w:val="00F07B5F"/>
    <w:rsid w:val="00F16A14"/>
    <w:rsid w:val="00F31719"/>
    <w:rsid w:val="00F32C3A"/>
    <w:rsid w:val="00F54AFB"/>
    <w:rsid w:val="00F6292F"/>
    <w:rsid w:val="00F6492F"/>
    <w:rsid w:val="00F73200"/>
    <w:rsid w:val="00FC4DD8"/>
    <w:rsid w:val="00FD40C9"/>
    <w:rsid w:val="01016788"/>
    <w:rsid w:val="010B18A0"/>
    <w:rsid w:val="01630778"/>
    <w:rsid w:val="01A12C3F"/>
    <w:rsid w:val="01D142D7"/>
    <w:rsid w:val="021F4C81"/>
    <w:rsid w:val="02414B92"/>
    <w:rsid w:val="026734E6"/>
    <w:rsid w:val="028366E4"/>
    <w:rsid w:val="029635E8"/>
    <w:rsid w:val="029652D2"/>
    <w:rsid w:val="02A56B80"/>
    <w:rsid w:val="02B5383F"/>
    <w:rsid w:val="02C560C8"/>
    <w:rsid w:val="02CB0FFD"/>
    <w:rsid w:val="02F741FF"/>
    <w:rsid w:val="03240B2D"/>
    <w:rsid w:val="03404A6C"/>
    <w:rsid w:val="035324D3"/>
    <w:rsid w:val="036719BE"/>
    <w:rsid w:val="038C71B9"/>
    <w:rsid w:val="03C53166"/>
    <w:rsid w:val="0437435F"/>
    <w:rsid w:val="043948C2"/>
    <w:rsid w:val="0441683D"/>
    <w:rsid w:val="04505C58"/>
    <w:rsid w:val="0477719D"/>
    <w:rsid w:val="04897AAE"/>
    <w:rsid w:val="048D3C72"/>
    <w:rsid w:val="04946A57"/>
    <w:rsid w:val="049E01CA"/>
    <w:rsid w:val="04AA7A54"/>
    <w:rsid w:val="04DC1E95"/>
    <w:rsid w:val="05056F9C"/>
    <w:rsid w:val="053B507A"/>
    <w:rsid w:val="056B6415"/>
    <w:rsid w:val="056F7E9D"/>
    <w:rsid w:val="05A04252"/>
    <w:rsid w:val="05B531D5"/>
    <w:rsid w:val="05D70893"/>
    <w:rsid w:val="05D879EE"/>
    <w:rsid w:val="05EF3BF5"/>
    <w:rsid w:val="061B4DCC"/>
    <w:rsid w:val="0631131C"/>
    <w:rsid w:val="0684556E"/>
    <w:rsid w:val="07005EC6"/>
    <w:rsid w:val="071F2807"/>
    <w:rsid w:val="074D0B91"/>
    <w:rsid w:val="07667537"/>
    <w:rsid w:val="076A20C1"/>
    <w:rsid w:val="076F789A"/>
    <w:rsid w:val="0784472B"/>
    <w:rsid w:val="079B0031"/>
    <w:rsid w:val="079F5559"/>
    <w:rsid w:val="07E16810"/>
    <w:rsid w:val="084C0B9D"/>
    <w:rsid w:val="0873640D"/>
    <w:rsid w:val="08783888"/>
    <w:rsid w:val="08AE00F7"/>
    <w:rsid w:val="08C30F20"/>
    <w:rsid w:val="09717CB2"/>
    <w:rsid w:val="09A37C42"/>
    <w:rsid w:val="09B71979"/>
    <w:rsid w:val="09CA4C87"/>
    <w:rsid w:val="0A1846AD"/>
    <w:rsid w:val="0A334DE9"/>
    <w:rsid w:val="0A3673D1"/>
    <w:rsid w:val="0A5F1AAB"/>
    <w:rsid w:val="0A747C95"/>
    <w:rsid w:val="0A99628C"/>
    <w:rsid w:val="0AA12C61"/>
    <w:rsid w:val="0AD50B07"/>
    <w:rsid w:val="0B0D3780"/>
    <w:rsid w:val="0B192E69"/>
    <w:rsid w:val="0B1E5674"/>
    <w:rsid w:val="0C132250"/>
    <w:rsid w:val="0C405D06"/>
    <w:rsid w:val="0C5F45C4"/>
    <w:rsid w:val="0C6352C9"/>
    <w:rsid w:val="0C694A19"/>
    <w:rsid w:val="0C6E22F8"/>
    <w:rsid w:val="0C752414"/>
    <w:rsid w:val="0C781DA4"/>
    <w:rsid w:val="0CA4014A"/>
    <w:rsid w:val="0CF9441B"/>
    <w:rsid w:val="0CFE63A4"/>
    <w:rsid w:val="0D0807FC"/>
    <w:rsid w:val="0D302495"/>
    <w:rsid w:val="0D33119A"/>
    <w:rsid w:val="0D4A2577"/>
    <w:rsid w:val="0D4D7EA2"/>
    <w:rsid w:val="0D596969"/>
    <w:rsid w:val="0D6D348A"/>
    <w:rsid w:val="0D9C0739"/>
    <w:rsid w:val="0DC77E1F"/>
    <w:rsid w:val="0DE500C7"/>
    <w:rsid w:val="0E30061A"/>
    <w:rsid w:val="0E693E94"/>
    <w:rsid w:val="0EAB15DF"/>
    <w:rsid w:val="0EBD4ECC"/>
    <w:rsid w:val="0EC12B61"/>
    <w:rsid w:val="0ECB16D0"/>
    <w:rsid w:val="0F0F3E67"/>
    <w:rsid w:val="0F554B61"/>
    <w:rsid w:val="0FA658B8"/>
    <w:rsid w:val="0FA725F9"/>
    <w:rsid w:val="0FAC4C5F"/>
    <w:rsid w:val="0FB125A0"/>
    <w:rsid w:val="0FE04A20"/>
    <w:rsid w:val="1007384E"/>
    <w:rsid w:val="107962EB"/>
    <w:rsid w:val="107C2C0A"/>
    <w:rsid w:val="107D7A08"/>
    <w:rsid w:val="108913B3"/>
    <w:rsid w:val="10C4053D"/>
    <w:rsid w:val="10D24A7B"/>
    <w:rsid w:val="10D763F7"/>
    <w:rsid w:val="10DA580F"/>
    <w:rsid w:val="111A2A3D"/>
    <w:rsid w:val="11244D2A"/>
    <w:rsid w:val="114253E0"/>
    <w:rsid w:val="11461A94"/>
    <w:rsid w:val="115D274C"/>
    <w:rsid w:val="115E3727"/>
    <w:rsid w:val="11B472DB"/>
    <w:rsid w:val="1207493D"/>
    <w:rsid w:val="124364E9"/>
    <w:rsid w:val="127F351E"/>
    <w:rsid w:val="129E014D"/>
    <w:rsid w:val="12AC1D0D"/>
    <w:rsid w:val="12BA6A0A"/>
    <w:rsid w:val="12C2266E"/>
    <w:rsid w:val="12CB160F"/>
    <w:rsid w:val="12D77FEC"/>
    <w:rsid w:val="12DB00BA"/>
    <w:rsid w:val="12F90EE0"/>
    <w:rsid w:val="1306089F"/>
    <w:rsid w:val="13276FF6"/>
    <w:rsid w:val="13693296"/>
    <w:rsid w:val="139726F4"/>
    <w:rsid w:val="139B4F53"/>
    <w:rsid w:val="13CE5FC4"/>
    <w:rsid w:val="13F53443"/>
    <w:rsid w:val="142E5F2A"/>
    <w:rsid w:val="144C6770"/>
    <w:rsid w:val="147778EA"/>
    <w:rsid w:val="14943CCC"/>
    <w:rsid w:val="14CC5AB3"/>
    <w:rsid w:val="14CD7B2A"/>
    <w:rsid w:val="14F865C3"/>
    <w:rsid w:val="150F189B"/>
    <w:rsid w:val="1517294D"/>
    <w:rsid w:val="153642D6"/>
    <w:rsid w:val="15457698"/>
    <w:rsid w:val="154A5906"/>
    <w:rsid w:val="158A75E1"/>
    <w:rsid w:val="1592511B"/>
    <w:rsid w:val="159C567E"/>
    <w:rsid w:val="15A520DA"/>
    <w:rsid w:val="15C0221F"/>
    <w:rsid w:val="15D77617"/>
    <w:rsid w:val="15E6513C"/>
    <w:rsid w:val="15E819C1"/>
    <w:rsid w:val="16451832"/>
    <w:rsid w:val="164525A7"/>
    <w:rsid w:val="16554F68"/>
    <w:rsid w:val="165B5F0F"/>
    <w:rsid w:val="166320D6"/>
    <w:rsid w:val="166C4896"/>
    <w:rsid w:val="167B7AAC"/>
    <w:rsid w:val="1683649E"/>
    <w:rsid w:val="169B4AF9"/>
    <w:rsid w:val="16DB0595"/>
    <w:rsid w:val="16DF2F08"/>
    <w:rsid w:val="16E051E8"/>
    <w:rsid w:val="16ED26EB"/>
    <w:rsid w:val="17066EDE"/>
    <w:rsid w:val="1713214D"/>
    <w:rsid w:val="17902A96"/>
    <w:rsid w:val="17945C52"/>
    <w:rsid w:val="17970727"/>
    <w:rsid w:val="18092CD5"/>
    <w:rsid w:val="180D00A7"/>
    <w:rsid w:val="181A6207"/>
    <w:rsid w:val="18214341"/>
    <w:rsid w:val="18336B8F"/>
    <w:rsid w:val="1874792B"/>
    <w:rsid w:val="18B97BD8"/>
    <w:rsid w:val="18C00D35"/>
    <w:rsid w:val="18DE453C"/>
    <w:rsid w:val="18E514CE"/>
    <w:rsid w:val="190848C5"/>
    <w:rsid w:val="190A3B3E"/>
    <w:rsid w:val="191474B7"/>
    <w:rsid w:val="192C0FEE"/>
    <w:rsid w:val="19331160"/>
    <w:rsid w:val="19496281"/>
    <w:rsid w:val="196F6FC1"/>
    <w:rsid w:val="19711A8D"/>
    <w:rsid w:val="19764786"/>
    <w:rsid w:val="19992BD1"/>
    <w:rsid w:val="19AB5ACC"/>
    <w:rsid w:val="19CA0483"/>
    <w:rsid w:val="1A6E6871"/>
    <w:rsid w:val="1ADA1355"/>
    <w:rsid w:val="1B006539"/>
    <w:rsid w:val="1B194961"/>
    <w:rsid w:val="1B195DEC"/>
    <w:rsid w:val="1B285C20"/>
    <w:rsid w:val="1B4A6BAE"/>
    <w:rsid w:val="1B4B370A"/>
    <w:rsid w:val="1B537FF8"/>
    <w:rsid w:val="1B767B01"/>
    <w:rsid w:val="1B860FD9"/>
    <w:rsid w:val="1BB05E26"/>
    <w:rsid w:val="1BC40E99"/>
    <w:rsid w:val="1BC8314E"/>
    <w:rsid w:val="1BCA7890"/>
    <w:rsid w:val="1BCB6A47"/>
    <w:rsid w:val="1BFB1779"/>
    <w:rsid w:val="1BFD00F2"/>
    <w:rsid w:val="1C1327C3"/>
    <w:rsid w:val="1C3670C8"/>
    <w:rsid w:val="1C4628F7"/>
    <w:rsid w:val="1C6F5230"/>
    <w:rsid w:val="1C79295A"/>
    <w:rsid w:val="1CA03602"/>
    <w:rsid w:val="1CCC24BC"/>
    <w:rsid w:val="1CE512E6"/>
    <w:rsid w:val="1CEF2480"/>
    <w:rsid w:val="1D6B03F5"/>
    <w:rsid w:val="1D8A0E3C"/>
    <w:rsid w:val="1D9254CD"/>
    <w:rsid w:val="1DA15E50"/>
    <w:rsid w:val="1DB27B15"/>
    <w:rsid w:val="1DB87E85"/>
    <w:rsid w:val="1DC85751"/>
    <w:rsid w:val="1DC934BA"/>
    <w:rsid w:val="1DEB61F5"/>
    <w:rsid w:val="1E16086E"/>
    <w:rsid w:val="1E927FD6"/>
    <w:rsid w:val="1E9860A5"/>
    <w:rsid w:val="1EA838E7"/>
    <w:rsid w:val="1EAD5EF8"/>
    <w:rsid w:val="1ED20877"/>
    <w:rsid w:val="1EF77DC5"/>
    <w:rsid w:val="1F383ACC"/>
    <w:rsid w:val="1F596305"/>
    <w:rsid w:val="1F9062F5"/>
    <w:rsid w:val="1FEB5C6A"/>
    <w:rsid w:val="202209B9"/>
    <w:rsid w:val="20280066"/>
    <w:rsid w:val="20304AD2"/>
    <w:rsid w:val="203B6599"/>
    <w:rsid w:val="204F6722"/>
    <w:rsid w:val="20902778"/>
    <w:rsid w:val="20AF30C4"/>
    <w:rsid w:val="20C20F88"/>
    <w:rsid w:val="20FD5C7C"/>
    <w:rsid w:val="21096CBA"/>
    <w:rsid w:val="2115662C"/>
    <w:rsid w:val="21361A04"/>
    <w:rsid w:val="214418DF"/>
    <w:rsid w:val="2167383B"/>
    <w:rsid w:val="21B95143"/>
    <w:rsid w:val="21C04FD1"/>
    <w:rsid w:val="21D51B3D"/>
    <w:rsid w:val="21FE0CB2"/>
    <w:rsid w:val="220D6242"/>
    <w:rsid w:val="221146BD"/>
    <w:rsid w:val="22196712"/>
    <w:rsid w:val="221B423D"/>
    <w:rsid w:val="227778AF"/>
    <w:rsid w:val="22A248DE"/>
    <w:rsid w:val="22EC4950"/>
    <w:rsid w:val="22ED5F44"/>
    <w:rsid w:val="231A56E2"/>
    <w:rsid w:val="231F7C19"/>
    <w:rsid w:val="232B5FAF"/>
    <w:rsid w:val="233F76E0"/>
    <w:rsid w:val="23481CC9"/>
    <w:rsid w:val="235308F9"/>
    <w:rsid w:val="235F1272"/>
    <w:rsid w:val="23AE10BA"/>
    <w:rsid w:val="23E56B32"/>
    <w:rsid w:val="240C4D4D"/>
    <w:rsid w:val="24142B46"/>
    <w:rsid w:val="2433149D"/>
    <w:rsid w:val="246270E4"/>
    <w:rsid w:val="24772C2B"/>
    <w:rsid w:val="248B2E3F"/>
    <w:rsid w:val="24B8317F"/>
    <w:rsid w:val="24DF22D5"/>
    <w:rsid w:val="250320A6"/>
    <w:rsid w:val="25241FCD"/>
    <w:rsid w:val="257008BE"/>
    <w:rsid w:val="258A0443"/>
    <w:rsid w:val="25E86FC2"/>
    <w:rsid w:val="261D7A35"/>
    <w:rsid w:val="263A612D"/>
    <w:rsid w:val="26483965"/>
    <w:rsid w:val="268B0B22"/>
    <w:rsid w:val="26BB7E4E"/>
    <w:rsid w:val="26D075A8"/>
    <w:rsid w:val="26D17DBC"/>
    <w:rsid w:val="26D24757"/>
    <w:rsid w:val="274D17E4"/>
    <w:rsid w:val="27506176"/>
    <w:rsid w:val="275D4096"/>
    <w:rsid w:val="27A57C3A"/>
    <w:rsid w:val="27D20BC1"/>
    <w:rsid w:val="280553D3"/>
    <w:rsid w:val="280F6C60"/>
    <w:rsid w:val="281253C2"/>
    <w:rsid w:val="28163476"/>
    <w:rsid w:val="284A23C8"/>
    <w:rsid w:val="286F250E"/>
    <w:rsid w:val="287D2504"/>
    <w:rsid w:val="2886147E"/>
    <w:rsid w:val="28A52CAB"/>
    <w:rsid w:val="28A87389"/>
    <w:rsid w:val="28B81772"/>
    <w:rsid w:val="291176CC"/>
    <w:rsid w:val="291C67BC"/>
    <w:rsid w:val="29573123"/>
    <w:rsid w:val="297F7A53"/>
    <w:rsid w:val="2992095F"/>
    <w:rsid w:val="29AC6651"/>
    <w:rsid w:val="29C4608A"/>
    <w:rsid w:val="29F21662"/>
    <w:rsid w:val="29F51AC1"/>
    <w:rsid w:val="29F51D07"/>
    <w:rsid w:val="29FC30C2"/>
    <w:rsid w:val="2A783D0E"/>
    <w:rsid w:val="2A9C0461"/>
    <w:rsid w:val="2AD0515C"/>
    <w:rsid w:val="2AF16E8B"/>
    <w:rsid w:val="2B27452A"/>
    <w:rsid w:val="2B2D4BDC"/>
    <w:rsid w:val="2B767712"/>
    <w:rsid w:val="2BBA7AC6"/>
    <w:rsid w:val="2BFC26B9"/>
    <w:rsid w:val="2C3C0A88"/>
    <w:rsid w:val="2C596FFF"/>
    <w:rsid w:val="2CA6566A"/>
    <w:rsid w:val="2CAE7599"/>
    <w:rsid w:val="2CB749B3"/>
    <w:rsid w:val="2CBB6294"/>
    <w:rsid w:val="2CBF39BD"/>
    <w:rsid w:val="2D2C22A6"/>
    <w:rsid w:val="2D2E04D4"/>
    <w:rsid w:val="2D3878C4"/>
    <w:rsid w:val="2D3A4057"/>
    <w:rsid w:val="2D6062A6"/>
    <w:rsid w:val="2D994DBE"/>
    <w:rsid w:val="2DC06900"/>
    <w:rsid w:val="2DD53F02"/>
    <w:rsid w:val="2E0A0263"/>
    <w:rsid w:val="2E173292"/>
    <w:rsid w:val="2E2000C5"/>
    <w:rsid w:val="2E73484D"/>
    <w:rsid w:val="2E734C4D"/>
    <w:rsid w:val="2E9A7164"/>
    <w:rsid w:val="2E9C0288"/>
    <w:rsid w:val="2EE1137A"/>
    <w:rsid w:val="2EEB0819"/>
    <w:rsid w:val="2F010E90"/>
    <w:rsid w:val="2F0C69E6"/>
    <w:rsid w:val="2F0D5CED"/>
    <w:rsid w:val="2F236129"/>
    <w:rsid w:val="2F2C56BA"/>
    <w:rsid w:val="2F356A16"/>
    <w:rsid w:val="2F4614DA"/>
    <w:rsid w:val="2FA00DAE"/>
    <w:rsid w:val="2FF521A3"/>
    <w:rsid w:val="30081603"/>
    <w:rsid w:val="30855011"/>
    <w:rsid w:val="31190489"/>
    <w:rsid w:val="31232963"/>
    <w:rsid w:val="315857B1"/>
    <w:rsid w:val="31AB6658"/>
    <w:rsid w:val="31BC3F1B"/>
    <w:rsid w:val="31C67014"/>
    <w:rsid w:val="32137CF0"/>
    <w:rsid w:val="32224344"/>
    <w:rsid w:val="32340C69"/>
    <w:rsid w:val="32363F32"/>
    <w:rsid w:val="32471F5A"/>
    <w:rsid w:val="3253078F"/>
    <w:rsid w:val="325E3A96"/>
    <w:rsid w:val="32B7356F"/>
    <w:rsid w:val="330C088A"/>
    <w:rsid w:val="332A5E08"/>
    <w:rsid w:val="334F202E"/>
    <w:rsid w:val="33A04007"/>
    <w:rsid w:val="33A60671"/>
    <w:rsid w:val="33AF4FB4"/>
    <w:rsid w:val="33D91255"/>
    <w:rsid w:val="33DE4357"/>
    <w:rsid w:val="34121E45"/>
    <w:rsid w:val="341D5AAB"/>
    <w:rsid w:val="342732F1"/>
    <w:rsid w:val="342B2E3E"/>
    <w:rsid w:val="3454463B"/>
    <w:rsid w:val="346B507B"/>
    <w:rsid w:val="347857A0"/>
    <w:rsid w:val="348C37FE"/>
    <w:rsid w:val="34AA4F73"/>
    <w:rsid w:val="34F52FDD"/>
    <w:rsid w:val="352B6C5A"/>
    <w:rsid w:val="35520294"/>
    <w:rsid w:val="357A04F1"/>
    <w:rsid w:val="357C1D84"/>
    <w:rsid w:val="35887A53"/>
    <w:rsid w:val="359538EA"/>
    <w:rsid w:val="359E69D3"/>
    <w:rsid w:val="35B4397E"/>
    <w:rsid w:val="36034EE1"/>
    <w:rsid w:val="36237D2D"/>
    <w:rsid w:val="363503EB"/>
    <w:rsid w:val="3647637B"/>
    <w:rsid w:val="367F686D"/>
    <w:rsid w:val="36A14C50"/>
    <w:rsid w:val="36B412F5"/>
    <w:rsid w:val="36CC7A6D"/>
    <w:rsid w:val="37076693"/>
    <w:rsid w:val="372B30FF"/>
    <w:rsid w:val="372F768E"/>
    <w:rsid w:val="375E41FD"/>
    <w:rsid w:val="3765223E"/>
    <w:rsid w:val="376A4278"/>
    <w:rsid w:val="377870B5"/>
    <w:rsid w:val="377D54A5"/>
    <w:rsid w:val="377D5E16"/>
    <w:rsid w:val="377E65D4"/>
    <w:rsid w:val="37872B44"/>
    <w:rsid w:val="379F77DA"/>
    <w:rsid w:val="37A3336B"/>
    <w:rsid w:val="37A7041E"/>
    <w:rsid w:val="37A80A27"/>
    <w:rsid w:val="37AF5568"/>
    <w:rsid w:val="37C914D9"/>
    <w:rsid w:val="37D63EC9"/>
    <w:rsid w:val="37F02038"/>
    <w:rsid w:val="386D019E"/>
    <w:rsid w:val="38894B13"/>
    <w:rsid w:val="38C10BFB"/>
    <w:rsid w:val="38DD791D"/>
    <w:rsid w:val="38E33261"/>
    <w:rsid w:val="3920221B"/>
    <w:rsid w:val="39334BFF"/>
    <w:rsid w:val="393667C3"/>
    <w:rsid w:val="39457CAF"/>
    <w:rsid w:val="3948048E"/>
    <w:rsid w:val="399C3905"/>
    <w:rsid w:val="39B565E1"/>
    <w:rsid w:val="39D4235F"/>
    <w:rsid w:val="3A257802"/>
    <w:rsid w:val="3A606A76"/>
    <w:rsid w:val="3A921749"/>
    <w:rsid w:val="3AA81B41"/>
    <w:rsid w:val="3B143086"/>
    <w:rsid w:val="3B1A2D8C"/>
    <w:rsid w:val="3B4042AB"/>
    <w:rsid w:val="3B66210B"/>
    <w:rsid w:val="3B972AF7"/>
    <w:rsid w:val="3BAD62E2"/>
    <w:rsid w:val="3BB70D15"/>
    <w:rsid w:val="3BC91BB9"/>
    <w:rsid w:val="3C120308"/>
    <w:rsid w:val="3C42650A"/>
    <w:rsid w:val="3C762DF2"/>
    <w:rsid w:val="3C7D1D40"/>
    <w:rsid w:val="3C952481"/>
    <w:rsid w:val="3C9B51F8"/>
    <w:rsid w:val="3CDD0DBD"/>
    <w:rsid w:val="3D101034"/>
    <w:rsid w:val="3D544EBB"/>
    <w:rsid w:val="3DCF4547"/>
    <w:rsid w:val="3E136ED4"/>
    <w:rsid w:val="3E61063A"/>
    <w:rsid w:val="3E782727"/>
    <w:rsid w:val="3E8A1A02"/>
    <w:rsid w:val="3E8E765E"/>
    <w:rsid w:val="3EA9393D"/>
    <w:rsid w:val="3EAD0498"/>
    <w:rsid w:val="3EC56D78"/>
    <w:rsid w:val="3EC7715A"/>
    <w:rsid w:val="3ED16A4F"/>
    <w:rsid w:val="3EDC543E"/>
    <w:rsid w:val="3EF75B65"/>
    <w:rsid w:val="3EFB570C"/>
    <w:rsid w:val="3F2B7413"/>
    <w:rsid w:val="3F5871FB"/>
    <w:rsid w:val="3F8E35DC"/>
    <w:rsid w:val="3F8F5DC2"/>
    <w:rsid w:val="3FA46F4F"/>
    <w:rsid w:val="3FB00475"/>
    <w:rsid w:val="3FBF5991"/>
    <w:rsid w:val="3FE10717"/>
    <w:rsid w:val="40023F34"/>
    <w:rsid w:val="40090025"/>
    <w:rsid w:val="40181902"/>
    <w:rsid w:val="40411288"/>
    <w:rsid w:val="404742BD"/>
    <w:rsid w:val="40600DD5"/>
    <w:rsid w:val="40E21CB8"/>
    <w:rsid w:val="410F31C3"/>
    <w:rsid w:val="4112553B"/>
    <w:rsid w:val="41344AAB"/>
    <w:rsid w:val="41550C30"/>
    <w:rsid w:val="415B3D3A"/>
    <w:rsid w:val="41875FCE"/>
    <w:rsid w:val="4190424D"/>
    <w:rsid w:val="41F6399A"/>
    <w:rsid w:val="41F94DC7"/>
    <w:rsid w:val="41FA3A29"/>
    <w:rsid w:val="42137C42"/>
    <w:rsid w:val="422E57D7"/>
    <w:rsid w:val="42555DF7"/>
    <w:rsid w:val="42A27001"/>
    <w:rsid w:val="42C507A4"/>
    <w:rsid w:val="42F07508"/>
    <w:rsid w:val="43041AD4"/>
    <w:rsid w:val="43270B23"/>
    <w:rsid w:val="43366434"/>
    <w:rsid w:val="434A0913"/>
    <w:rsid w:val="4363305F"/>
    <w:rsid w:val="436A64E9"/>
    <w:rsid w:val="43711057"/>
    <w:rsid w:val="439C4F5E"/>
    <w:rsid w:val="43E630D7"/>
    <w:rsid w:val="43F02783"/>
    <w:rsid w:val="44136577"/>
    <w:rsid w:val="441E75D0"/>
    <w:rsid w:val="44656E26"/>
    <w:rsid w:val="446C2EB5"/>
    <w:rsid w:val="44786783"/>
    <w:rsid w:val="449457D3"/>
    <w:rsid w:val="44BE5C95"/>
    <w:rsid w:val="44DD6EB7"/>
    <w:rsid w:val="44EA187E"/>
    <w:rsid w:val="450018DF"/>
    <w:rsid w:val="450F2BC2"/>
    <w:rsid w:val="451D2C75"/>
    <w:rsid w:val="454746DD"/>
    <w:rsid w:val="455367B2"/>
    <w:rsid w:val="45555732"/>
    <w:rsid w:val="455F10D7"/>
    <w:rsid w:val="456355DA"/>
    <w:rsid w:val="459C4648"/>
    <w:rsid w:val="45A02EDD"/>
    <w:rsid w:val="45E61BCA"/>
    <w:rsid w:val="461932B5"/>
    <w:rsid w:val="4638018C"/>
    <w:rsid w:val="46416C3D"/>
    <w:rsid w:val="46433285"/>
    <w:rsid w:val="46526D41"/>
    <w:rsid w:val="46584865"/>
    <w:rsid w:val="468200E4"/>
    <w:rsid w:val="469815BE"/>
    <w:rsid w:val="46B27CB1"/>
    <w:rsid w:val="46D34E98"/>
    <w:rsid w:val="47001117"/>
    <w:rsid w:val="47246805"/>
    <w:rsid w:val="47492E75"/>
    <w:rsid w:val="474F7F9F"/>
    <w:rsid w:val="475F3AC1"/>
    <w:rsid w:val="479A2ED2"/>
    <w:rsid w:val="47B328B4"/>
    <w:rsid w:val="47C13542"/>
    <w:rsid w:val="48000B74"/>
    <w:rsid w:val="48113D01"/>
    <w:rsid w:val="484C7B11"/>
    <w:rsid w:val="485E0A04"/>
    <w:rsid w:val="48761BE3"/>
    <w:rsid w:val="48A4548A"/>
    <w:rsid w:val="48A57E1F"/>
    <w:rsid w:val="48DB6ED3"/>
    <w:rsid w:val="48DE3BBF"/>
    <w:rsid w:val="491D19DF"/>
    <w:rsid w:val="49304CB2"/>
    <w:rsid w:val="496F6EBE"/>
    <w:rsid w:val="49814F4C"/>
    <w:rsid w:val="49A364F7"/>
    <w:rsid w:val="49C4569B"/>
    <w:rsid w:val="4A074043"/>
    <w:rsid w:val="4A090DC7"/>
    <w:rsid w:val="4A091441"/>
    <w:rsid w:val="4A14567E"/>
    <w:rsid w:val="4A1E6180"/>
    <w:rsid w:val="4A2308FE"/>
    <w:rsid w:val="4A287AB1"/>
    <w:rsid w:val="4A2A4F1F"/>
    <w:rsid w:val="4A5133EE"/>
    <w:rsid w:val="4A915C19"/>
    <w:rsid w:val="4A955A49"/>
    <w:rsid w:val="4A9C5501"/>
    <w:rsid w:val="4AD80F53"/>
    <w:rsid w:val="4B2C75A6"/>
    <w:rsid w:val="4B2F25FD"/>
    <w:rsid w:val="4B6113A4"/>
    <w:rsid w:val="4B9234ED"/>
    <w:rsid w:val="4BA17232"/>
    <w:rsid w:val="4BB15678"/>
    <w:rsid w:val="4BB76960"/>
    <w:rsid w:val="4BD03593"/>
    <w:rsid w:val="4BD63363"/>
    <w:rsid w:val="4BD87666"/>
    <w:rsid w:val="4BE6691C"/>
    <w:rsid w:val="4BF467F9"/>
    <w:rsid w:val="4BF83E44"/>
    <w:rsid w:val="4C276C17"/>
    <w:rsid w:val="4C2900F7"/>
    <w:rsid w:val="4C7B2860"/>
    <w:rsid w:val="4C850277"/>
    <w:rsid w:val="4C9904F2"/>
    <w:rsid w:val="4CE430AD"/>
    <w:rsid w:val="4CF1706A"/>
    <w:rsid w:val="4D354FF0"/>
    <w:rsid w:val="4D4C32B8"/>
    <w:rsid w:val="4DBB048A"/>
    <w:rsid w:val="4DE07DE4"/>
    <w:rsid w:val="4E0D5D14"/>
    <w:rsid w:val="4E2F45C0"/>
    <w:rsid w:val="4E363F2F"/>
    <w:rsid w:val="4EA546F0"/>
    <w:rsid w:val="4EAF3AED"/>
    <w:rsid w:val="4EB0019E"/>
    <w:rsid w:val="4ECB1385"/>
    <w:rsid w:val="4ED32851"/>
    <w:rsid w:val="4ED35762"/>
    <w:rsid w:val="4EF5014E"/>
    <w:rsid w:val="4EFA3C4E"/>
    <w:rsid w:val="4F235A8E"/>
    <w:rsid w:val="4F33554E"/>
    <w:rsid w:val="4F6461D6"/>
    <w:rsid w:val="4F7B292B"/>
    <w:rsid w:val="4F9E59ED"/>
    <w:rsid w:val="4FDC58FD"/>
    <w:rsid w:val="4FDE1C0C"/>
    <w:rsid w:val="4FF12E27"/>
    <w:rsid w:val="50202BC7"/>
    <w:rsid w:val="50216FE4"/>
    <w:rsid w:val="50614DD7"/>
    <w:rsid w:val="506B628A"/>
    <w:rsid w:val="50787CFE"/>
    <w:rsid w:val="50AE1AE4"/>
    <w:rsid w:val="511112C6"/>
    <w:rsid w:val="51167E7F"/>
    <w:rsid w:val="51390032"/>
    <w:rsid w:val="515C74D2"/>
    <w:rsid w:val="51652C0F"/>
    <w:rsid w:val="518D4538"/>
    <w:rsid w:val="51960DFD"/>
    <w:rsid w:val="51BB2BF3"/>
    <w:rsid w:val="51FD0367"/>
    <w:rsid w:val="52377D55"/>
    <w:rsid w:val="52862351"/>
    <w:rsid w:val="52984624"/>
    <w:rsid w:val="52BE174F"/>
    <w:rsid w:val="52F10B24"/>
    <w:rsid w:val="534A2585"/>
    <w:rsid w:val="53921453"/>
    <w:rsid w:val="53A31787"/>
    <w:rsid w:val="53A90AFA"/>
    <w:rsid w:val="53B81422"/>
    <w:rsid w:val="53E637C7"/>
    <w:rsid w:val="53E8647E"/>
    <w:rsid w:val="53F45929"/>
    <w:rsid w:val="53FC0907"/>
    <w:rsid w:val="54261ECF"/>
    <w:rsid w:val="542D457B"/>
    <w:rsid w:val="5468198B"/>
    <w:rsid w:val="54723A32"/>
    <w:rsid w:val="549A0B06"/>
    <w:rsid w:val="54A655A6"/>
    <w:rsid w:val="54EB74E4"/>
    <w:rsid w:val="55284AD7"/>
    <w:rsid w:val="5530324E"/>
    <w:rsid w:val="55457E29"/>
    <w:rsid w:val="555B0657"/>
    <w:rsid w:val="556032BE"/>
    <w:rsid w:val="55737C7B"/>
    <w:rsid w:val="55761B09"/>
    <w:rsid w:val="55B86023"/>
    <w:rsid w:val="55FF3036"/>
    <w:rsid w:val="56213505"/>
    <w:rsid w:val="56292705"/>
    <w:rsid w:val="5632227A"/>
    <w:rsid w:val="564E3203"/>
    <w:rsid w:val="56511465"/>
    <w:rsid w:val="568C03E5"/>
    <w:rsid w:val="57374E0B"/>
    <w:rsid w:val="57444728"/>
    <w:rsid w:val="575B090B"/>
    <w:rsid w:val="57926FF9"/>
    <w:rsid w:val="57E738F8"/>
    <w:rsid w:val="57EB5B27"/>
    <w:rsid w:val="57EC2D60"/>
    <w:rsid w:val="58263426"/>
    <w:rsid w:val="5829364F"/>
    <w:rsid w:val="583C0E12"/>
    <w:rsid w:val="58A14304"/>
    <w:rsid w:val="58A3772F"/>
    <w:rsid w:val="58CC5EFE"/>
    <w:rsid w:val="58DC30FE"/>
    <w:rsid w:val="58FB3B6A"/>
    <w:rsid w:val="59205FDE"/>
    <w:rsid w:val="59393A95"/>
    <w:rsid w:val="594A3241"/>
    <w:rsid w:val="594D3E46"/>
    <w:rsid w:val="595C3DA0"/>
    <w:rsid w:val="595E62F2"/>
    <w:rsid w:val="59693F87"/>
    <w:rsid w:val="59B42F07"/>
    <w:rsid w:val="59BB77BA"/>
    <w:rsid w:val="5A2C4220"/>
    <w:rsid w:val="5A316507"/>
    <w:rsid w:val="5A497C34"/>
    <w:rsid w:val="5A4C0E52"/>
    <w:rsid w:val="5A6C19CD"/>
    <w:rsid w:val="5A7B33E5"/>
    <w:rsid w:val="5A8C664D"/>
    <w:rsid w:val="5A9440DB"/>
    <w:rsid w:val="5AB24E73"/>
    <w:rsid w:val="5AC20EBF"/>
    <w:rsid w:val="5ACE0F59"/>
    <w:rsid w:val="5ADF42CD"/>
    <w:rsid w:val="5AE35E93"/>
    <w:rsid w:val="5B3846E5"/>
    <w:rsid w:val="5B5C5E93"/>
    <w:rsid w:val="5B5E3394"/>
    <w:rsid w:val="5B74024A"/>
    <w:rsid w:val="5B792560"/>
    <w:rsid w:val="5BA172F8"/>
    <w:rsid w:val="5BB151A5"/>
    <w:rsid w:val="5BB6027C"/>
    <w:rsid w:val="5BBB47C2"/>
    <w:rsid w:val="5BF62976"/>
    <w:rsid w:val="5C16597D"/>
    <w:rsid w:val="5C707C6C"/>
    <w:rsid w:val="5C8E0CD7"/>
    <w:rsid w:val="5C9E2C36"/>
    <w:rsid w:val="5CBB2347"/>
    <w:rsid w:val="5CC6320E"/>
    <w:rsid w:val="5CC76C7C"/>
    <w:rsid w:val="5CDB4717"/>
    <w:rsid w:val="5CF36024"/>
    <w:rsid w:val="5CFF01AA"/>
    <w:rsid w:val="5D1344DD"/>
    <w:rsid w:val="5D7B6EDD"/>
    <w:rsid w:val="5D806796"/>
    <w:rsid w:val="5D827D40"/>
    <w:rsid w:val="5D9429F4"/>
    <w:rsid w:val="5DC43C07"/>
    <w:rsid w:val="5DCA3A55"/>
    <w:rsid w:val="5DCD3255"/>
    <w:rsid w:val="5DDD259D"/>
    <w:rsid w:val="5E1364E5"/>
    <w:rsid w:val="5E1718AD"/>
    <w:rsid w:val="5E33770D"/>
    <w:rsid w:val="5E532ADD"/>
    <w:rsid w:val="5E610B28"/>
    <w:rsid w:val="5E66579C"/>
    <w:rsid w:val="5E91320F"/>
    <w:rsid w:val="5E915A7A"/>
    <w:rsid w:val="5EA33A97"/>
    <w:rsid w:val="5ED134B6"/>
    <w:rsid w:val="5EF55DBA"/>
    <w:rsid w:val="5F0846F7"/>
    <w:rsid w:val="5F1B77F7"/>
    <w:rsid w:val="5F6B1358"/>
    <w:rsid w:val="5FC866E5"/>
    <w:rsid w:val="60090629"/>
    <w:rsid w:val="60413F7F"/>
    <w:rsid w:val="606A3C6B"/>
    <w:rsid w:val="609B5019"/>
    <w:rsid w:val="60B4769E"/>
    <w:rsid w:val="610242F6"/>
    <w:rsid w:val="610C35C5"/>
    <w:rsid w:val="6119401A"/>
    <w:rsid w:val="611D2CA6"/>
    <w:rsid w:val="61200642"/>
    <w:rsid w:val="615F0956"/>
    <w:rsid w:val="61652DB1"/>
    <w:rsid w:val="61970BE7"/>
    <w:rsid w:val="620A3859"/>
    <w:rsid w:val="62204E0F"/>
    <w:rsid w:val="62207D5C"/>
    <w:rsid w:val="624063A3"/>
    <w:rsid w:val="62845968"/>
    <w:rsid w:val="62B35B81"/>
    <w:rsid w:val="62B75EDD"/>
    <w:rsid w:val="62C01D55"/>
    <w:rsid w:val="62C92F2D"/>
    <w:rsid w:val="62D93169"/>
    <w:rsid w:val="62DA034F"/>
    <w:rsid w:val="631D5B18"/>
    <w:rsid w:val="631E201F"/>
    <w:rsid w:val="63320961"/>
    <w:rsid w:val="63577D60"/>
    <w:rsid w:val="636514C6"/>
    <w:rsid w:val="636F701B"/>
    <w:rsid w:val="6382662F"/>
    <w:rsid w:val="63C95202"/>
    <w:rsid w:val="63CB4107"/>
    <w:rsid w:val="64090834"/>
    <w:rsid w:val="64116EAE"/>
    <w:rsid w:val="64272A3B"/>
    <w:rsid w:val="644461CF"/>
    <w:rsid w:val="6467063D"/>
    <w:rsid w:val="648F4A0E"/>
    <w:rsid w:val="64937E71"/>
    <w:rsid w:val="6495646A"/>
    <w:rsid w:val="64F97869"/>
    <w:rsid w:val="64FA320D"/>
    <w:rsid w:val="65932968"/>
    <w:rsid w:val="65953363"/>
    <w:rsid w:val="65B841DE"/>
    <w:rsid w:val="65CA03C9"/>
    <w:rsid w:val="65CC39E6"/>
    <w:rsid w:val="65E1661E"/>
    <w:rsid w:val="660918F9"/>
    <w:rsid w:val="663C1302"/>
    <w:rsid w:val="665F0112"/>
    <w:rsid w:val="669A5886"/>
    <w:rsid w:val="66BF54E4"/>
    <w:rsid w:val="67101119"/>
    <w:rsid w:val="67151BB5"/>
    <w:rsid w:val="67400D4D"/>
    <w:rsid w:val="677A414A"/>
    <w:rsid w:val="67C952B3"/>
    <w:rsid w:val="68720AE2"/>
    <w:rsid w:val="68AA7215"/>
    <w:rsid w:val="68ED6911"/>
    <w:rsid w:val="6903642B"/>
    <w:rsid w:val="690F1870"/>
    <w:rsid w:val="692F5E27"/>
    <w:rsid w:val="69466675"/>
    <w:rsid w:val="698C2B7F"/>
    <w:rsid w:val="69AB0C16"/>
    <w:rsid w:val="69AB5D7A"/>
    <w:rsid w:val="69F575F2"/>
    <w:rsid w:val="69FE0473"/>
    <w:rsid w:val="6A4C7335"/>
    <w:rsid w:val="6A545ADB"/>
    <w:rsid w:val="6A5D05BD"/>
    <w:rsid w:val="6A6B273C"/>
    <w:rsid w:val="6A703222"/>
    <w:rsid w:val="6AAA18E6"/>
    <w:rsid w:val="6AC938A9"/>
    <w:rsid w:val="6B2F05BC"/>
    <w:rsid w:val="6B435167"/>
    <w:rsid w:val="6BB237C9"/>
    <w:rsid w:val="6BDF1336"/>
    <w:rsid w:val="6C3161F1"/>
    <w:rsid w:val="6C3745DF"/>
    <w:rsid w:val="6C3D3CD8"/>
    <w:rsid w:val="6C6253EB"/>
    <w:rsid w:val="6C666B72"/>
    <w:rsid w:val="6C8F3EF6"/>
    <w:rsid w:val="6CAD55CC"/>
    <w:rsid w:val="6CBE1616"/>
    <w:rsid w:val="6CC15F94"/>
    <w:rsid w:val="6D0C01A9"/>
    <w:rsid w:val="6D493A0A"/>
    <w:rsid w:val="6D551BE3"/>
    <w:rsid w:val="6D8E2C9C"/>
    <w:rsid w:val="6DAD51A4"/>
    <w:rsid w:val="6E017D0E"/>
    <w:rsid w:val="6E1E1DB6"/>
    <w:rsid w:val="6E3F4BAC"/>
    <w:rsid w:val="6E5F7F82"/>
    <w:rsid w:val="6E735A03"/>
    <w:rsid w:val="6EA04E08"/>
    <w:rsid w:val="6EAA18F7"/>
    <w:rsid w:val="6ECF710B"/>
    <w:rsid w:val="6EEE5D94"/>
    <w:rsid w:val="6F0B5A13"/>
    <w:rsid w:val="6F1579C7"/>
    <w:rsid w:val="6F62521C"/>
    <w:rsid w:val="6FC26F58"/>
    <w:rsid w:val="6FD761EC"/>
    <w:rsid w:val="6FF1085F"/>
    <w:rsid w:val="70750A7A"/>
    <w:rsid w:val="70991D59"/>
    <w:rsid w:val="709A5C21"/>
    <w:rsid w:val="70D02722"/>
    <w:rsid w:val="71167634"/>
    <w:rsid w:val="712737A8"/>
    <w:rsid w:val="71494531"/>
    <w:rsid w:val="714B6CD7"/>
    <w:rsid w:val="71D8215F"/>
    <w:rsid w:val="71DF1D07"/>
    <w:rsid w:val="71FB7CB1"/>
    <w:rsid w:val="720D209A"/>
    <w:rsid w:val="7221044F"/>
    <w:rsid w:val="723126FD"/>
    <w:rsid w:val="724C22E8"/>
    <w:rsid w:val="725F0F01"/>
    <w:rsid w:val="729D5E1F"/>
    <w:rsid w:val="72AD67E9"/>
    <w:rsid w:val="72D75A07"/>
    <w:rsid w:val="72DC28CA"/>
    <w:rsid w:val="72E72EAA"/>
    <w:rsid w:val="732942AA"/>
    <w:rsid w:val="7331658B"/>
    <w:rsid w:val="733C6C97"/>
    <w:rsid w:val="734B4A4B"/>
    <w:rsid w:val="734C70B6"/>
    <w:rsid w:val="73560C2B"/>
    <w:rsid w:val="735E4E1D"/>
    <w:rsid w:val="7388314F"/>
    <w:rsid w:val="73CB394C"/>
    <w:rsid w:val="73D51780"/>
    <w:rsid w:val="73F006A6"/>
    <w:rsid w:val="73F022C4"/>
    <w:rsid w:val="73FF26B3"/>
    <w:rsid w:val="74071758"/>
    <w:rsid w:val="741425AC"/>
    <w:rsid w:val="7463178E"/>
    <w:rsid w:val="746371B3"/>
    <w:rsid w:val="747A43C9"/>
    <w:rsid w:val="74AF04AD"/>
    <w:rsid w:val="7507342B"/>
    <w:rsid w:val="75397634"/>
    <w:rsid w:val="754C51F8"/>
    <w:rsid w:val="75595BE3"/>
    <w:rsid w:val="757606EF"/>
    <w:rsid w:val="75844FC1"/>
    <w:rsid w:val="75EE069B"/>
    <w:rsid w:val="7615419A"/>
    <w:rsid w:val="76172D6A"/>
    <w:rsid w:val="761A409E"/>
    <w:rsid w:val="762F02D7"/>
    <w:rsid w:val="763D7340"/>
    <w:rsid w:val="767A6C09"/>
    <w:rsid w:val="76880BA0"/>
    <w:rsid w:val="768C2564"/>
    <w:rsid w:val="76BA43D5"/>
    <w:rsid w:val="76BE21DC"/>
    <w:rsid w:val="76CD5B13"/>
    <w:rsid w:val="76DF3C76"/>
    <w:rsid w:val="76EB41A9"/>
    <w:rsid w:val="76F71295"/>
    <w:rsid w:val="7706359E"/>
    <w:rsid w:val="771A5653"/>
    <w:rsid w:val="7734542F"/>
    <w:rsid w:val="774073C9"/>
    <w:rsid w:val="77460079"/>
    <w:rsid w:val="77567D26"/>
    <w:rsid w:val="775D2B17"/>
    <w:rsid w:val="7760235E"/>
    <w:rsid w:val="77971E6C"/>
    <w:rsid w:val="77C64121"/>
    <w:rsid w:val="77CD3C5D"/>
    <w:rsid w:val="77FD4667"/>
    <w:rsid w:val="781200C6"/>
    <w:rsid w:val="78150104"/>
    <w:rsid w:val="786B1829"/>
    <w:rsid w:val="789E6BAD"/>
    <w:rsid w:val="78C7234E"/>
    <w:rsid w:val="791063B8"/>
    <w:rsid w:val="793E7F2E"/>
    <w:rsid w:val="796362D3"/>
    <w:rsid w:val="797D1AFD"/>
    <w:rsid w:val="798001BC"/>
    <w:rsid w:val="79827C27"/>
    <w:rsid w:val="798834D2"/>
    <w:rsid w:val="799B7D73"/>
    <w:rsid w:val="79B07BB3"/>
    <w:rsid w:val="79B7369F"/>
    <w:rsid w:val="79D510F0"/>
    <w:rsid w:val="79ED59B1"/>
    <w:rsid w:val="79F56CDC"/>
    <w:rsid w:val="7A032271"/>
    <w:rsid w:val="7A320BDB"/>
    <w:rsid w:val="7A491583"/>
    <w:rsid w:val="7A5B45C2"/>
    <w:rsid w:val="7A5B6EDF"/>
    <w:rsid w:val="7A5D2F7E"/>
    <w:rsid w:val="7A676444"/>
    <w:rsid w:val="7A72534A"/>
    <w:rsid w:val="7A8F7D69"/>
    <w:rsid w:val="7AA27F96"/>
    <w:rsid w:val="7AAD1823"/>
    <w:rsid w:val="7AD44A1D"/>
    <w:rsid w:val="7B045A0E"/>
    <w:rsid w:val="7B137629"/>
    <w:rsid w:val="7B1B29C2"/>
    <w:rsid w:val="7BA57F90"/>
    <w:rsid w:val="7BBC18FF"/>
    <w:rsid w:val="7BFC446B"/>
    <w:rsid w:val="7C100290"/>
    <w:rsid w:val="7C151FE3"/>
    <w:rsid w:val="7C1D63E0"/>
    <w:rsid w:val="7C2925EF"/>
    <w:rsid w:val="7C463AF9"/>
    <w:rsid w:val="7C691C0E"/>
    <w:rsid w:val="7C7654E0"/>
    <w:rsid w:val="7C9D56FC"/>
    <w:rsid w:val="7C9E2AE3"/>
    <w:rsid w:val="7CDE5607"/>
    <w:rsid w:val="7D0D23F8"/>
    <w:rsid w:val="7D0D6679"/>
    <w:rsid w:val="7D1819A4"/>
    <w:rsid w:val="7D57537E"/>
    <w:rsid w:val="7D79413D"/>
    <w:rsid w:val="7D872924"/>
    <w:rsid w:val="7D8F5F9C"/>
    <w:rsid w:val="7E252BD1"/>
    <w:rsid w:val="7E327A3B"/>
    <w:rsid w:val="7E665892"/>
    <w:rsid w:val="7E782BA9"/>
    <w:rsid w:val="7E9213CC"/>
    <w:rsid w:val="7EA926FF"/>
    <w:rsid w:val="7EAA18EA"/>
    <w:rsid w:val="7EC93E9C"/>
    <w:rsid w:val="7EF33F65"/>
    <w:rsid w:val="7EF45701"/>
    <w:rsid w:val="7EFA1C61"/>
    <w:rsid w:val="7F0300DD"/>
    <w:rsid w:val="7F6C7183"/>
    <w:rsid w:val="7F6E057A"/>
    <w:rsid w:val="7F826632"/>
    <w:rsid w:val="7FA31856"/>
    <w:rsid w:val="7FB2207D"/>
    <w:rsid w:val="7FFA710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qFormat="1" w:unhideWhenUsed="0" w:uiPriority="0" w:semiHidden="0" w:name="List"/>
    <w:lsdException w:qFormat="1"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qFormat="1"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qFormat="1"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iPriority="99"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utoSpaceDE w:val="0"/>
      <w:autoSpaceDN w:val="0"/>
      <w:adjustRightInd w:val="0"/>
    </w:pPr>
    <w:rPr>
      <w:rFonts w:ascii="宋体" w:hAnsi="Calibri" w:eastAsia="宋体" w:cs="宋体"/>
      <w:sz w:val="24"/>
      <w:szCs w:val="24"/>
      <w:lang w:val="en-US" w:eastAsia="zh-CN" w:bidi="ar-SA"/>
    </w:rPr>
  </w:style>
  <w:style w:type="paragraph" w:styleId="3">
    <w:name w:val="heading 1"/>
    <w:basedOn w:val="1"/>
    <w:next w:val="1"/>
    <w:link w:val="61"/>
    <w:qFormat/>
    <w:uiPriority w:val="0"/>
    <w:pPr>
      <w:outlineLvl w:val="0"/>
    </w:pPr>
  </w:style>
  <w:style w:type="paragraph" w:styleId="4">
    <w:name w:val="heading 2"/>
    <w:basedOn w:val="1"/>
    <w:next w:val="1"/>
    <w:qFormat/>
    <w:uiPriority w:val="0"/>
    <w:pPr>
      <w:outlineLvl w:val="1"/>
    </w:pPr>
    <w:rPr>
      <w:rFonts w:hAnsi="宋体"/>
      <w:b/>
    </w:rPr>
  </w:style>
  <w:style w:type="paragraph" w:styleId="5">
    <w:name w:val="heading 3"/>
    <w:basedOn w:val="1"/>
    <w:next w:val="1"/>
    <w:qFormat/>
    <w:uiPriority w:val="0"/>
    <w:pPr>
      <w:outlineLvl w:val="2"/>
    </w:pPr>
  </w:style>
  <w:style w:type="paragraph" w:styleId="6">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paragraph" w:styleId="7">
    <w:name w:val="heading 5"/>
    <w:basedOn w:val="1"/>
    <w:next w:val="1"/>
    <w:qFormat/>
    <w:uiPriority w:val="0"/>
    <w:pPr>
      <w:keepNext/>
      <w:keepLines/>
      <w:widowControl/>
      <w:tabs>
        <w:tab w:val="left" w:pos="1008"/>
      </w:tabs>
      <w:autoSpaceDE/>
      <w:autoSpaceDN/>
      <w:adjustRightInd/>
      <w:spacing w:before="280" w:after="290" w:line="376" w:lineRule="auto"/>
      <w:ind w:left="1008" w:hanging="1008"/>
      <w:outlineLvl w:val="4"/>
    </w:pPr>
    <w:rPr>
      <w:rFonts w:ascii="Times New Roman"/>
      <w:b/>
      <w:bCs/>
      <w:sz w:val="28"/>
      <w:szCs w:val="28"/>
    </w:rPr>
  </w:style>
  <w:style w:type="paragraph" w:styleId="8">
    <w:name w:val="heading 6"/>
    <w:basedOn w:val="1"/>
    <w:next w:val="1"/>
    <w:qFormat/>
    <w:uiPriority w:val="0"/>
    <w:pPr>
      <w:keepNext/>
      <w:keepLines/>
      <w:widowControl/>
      <w:tabs>
        <w:tab w:val="left" w:pos="1152"/>
      </w:tabs>
      <w:autoSpaceDE/>
      <w:autoSpaceDN/>
      <w:adjustRightInd/>
      <w:spacing w:before="240" w:after="64" w:line="320" w:lineRule="auto"/>
      <w:ind w:left="1152" w:hanging="1152"/>
      <w:outlineLvl w:val="5"/>
    </w:pPr>
    <w:rPr>
      <w:rFonts w:ascii="Arial" w:hAnsi="Arial" w:eastAsia="黑体"/>
      <w:b/>
      <w:bCs/>
    </w:rPr>
  </w:style>
  <w:style w:type="paragraph" w:styleId="9">
    <w:name w:val="heading 7"/>
    <w:basedOn w:val="1"/>
    <w:next w:val="1"/>
    <w:qFormat/>
    <w:uiPriority w:val="0"/>
    <w:pPr>
      <w:keepNext/>
      <w:keepLines/>
      <w:widowControl/>
      <w:tabs>
        <w:tab w:val="left" w:pos="1296"/>
      </w:tabs>
      <w:autoSpaceDE/>
      <w:autoSpaceDN/>
      <w:adjustRightInd/>
      <w:spacing w:before="240" w:after="64" w:line="320" w:lineRule="auto"/>
      <w:ind w:left="1296" w:hanging="1296"/>
      <w:outlineLvl w:val="6"/>
    </w:pPr>
    <w:rPr>
      <w:rFonts w:ascii="Times New Roman"/>
      <w:b/>
      <w:bCs/>
    </w:rPr>
  </w:style>
  <w:style w:type="paragraph" w:styleId="10">
    <w:name w:val="heading 8"/>
    <w:basedOn w:val="1"/>
    <w:next w:val="1"/>
    <w:qFormat/>
    <w:uiPriority w:val="0"/>
    <w:pPr>
      <w:keepNext/>
      <w:keepLines/>
      <w:widowControl/>
      <w:tabs>
        <w:tab w:val="left" w:pos="1440"/>
      </w:tabs>
      <w:autoSpaceDE/>
      <w:autoSpaceDN/>
      <w:adjustRightInd/>
      <w:spacing w:before="240" w:after="64" w:line="320" w:lineRule="auto"/>
      <w:ind w:left="1440" w:hanging="1440"/>
      <w:outlineLvl w:val="7"/>
    </w:pPr>
    <w:rPr>
      <w:rFonts w:ascii="Arial" w:hAnsi="Arial" w:eastAsia="黑体"/>
    </w:rPr>
  </w:style>
  <w:style w:type="paragraph" w:styleId="11">
    <w:name w:val="heading 9"/>
    <w:basedOn w:val="1"/>
    <w:next w:val="1"/>
    <w:qFormat/>
    <w:uiPriority w:val="0"/>
    <w:pPr>
      <w:keepNext/>
      <w:keepLines/>
      <w:widowControl/>
      <w:tabs>
        <w:tab w:val="left" w:pos="1584"/>
      </w:tabs>
      <w:autoSpaceDE/>
      <w:autoSpaceDN/>
      <w:adjustRightInd/>
      <w:spacing w:before="240" w:after="64" w:line="320" w:lineRule="auto"/>
      <w:ind w:left="1584" w:hanging="1584"/>
      <w:outlineLvl w:val="8"/>
    </w:pPr>
    <w:rPr>
      <w:rFonts w:ascii="Arial" w:hAnsi="Arial" w:eastAsia="黑体"/>
      <w:sz w:val="21"/>
      <w:szCs w:val="21"/>
    </w:rPr>
  </w:style>
  <w:style w:type="character" w:default="1" w:styleId="54">
    <w:name w:val="Default Paragraph Font"/>
    <w:semiHidden/>
    <w:unhideWhenUsed/>
    <w:uiPriority w:val="1"/>
  </w:style>
  <w:style w:type="table" w:default="1" w:styleId="52">
    <w:name w:val="Normal Table"/>
    <w:semiHidden/>
    <w:unhideWhenUsed/>
    <w:uiPriority w:val="99"/>
    <w:tblPr>
      <w:tblCellMar>
        <w:top w:w="0" w:type="dxa"/>
        <w:left w:w="108" w:type="dxa"/>
        <w:bottom w:w="0" w:type="dxa"/>
        <w:right w:w="108" w:type="dxa"/>
      </w:tblCellMar>
    </w:tblPr>
  </w:style>
  <w:style w:type="paragraph" w:customStyle="1" w:styleId="2">
    <w:name w:val="表格文字"/>
    <w:basedOn w:val="1"/>
    <w:qFormat/>
    <w:uiPriority w:val="0"/>
    <w:pPr>
      <w:autoSpaceDE/>
      <w:autoSpaceDN/>
      <w:adjustRightInd/>
      <w:spacing w:before="25" w:after="25"/>
    </w:pPr>
    <w:rPr>
      <w:rFonts w:ascii="Times New Roman"/>
      <w:bCs/>
      <w:spacing w:val="10"/>
      <w:szCs w:val="20"/>
    </w:rPr>
  </w:style>
  <w:style w:type="paragraph" w:styleId="12">
    <w:name w:val="toc 7"/>
    <w:basedOn w:val="1"/>
    <w:next w:val="1"/>
    <w:qFormat/>
    <w:uiPriority w:val="0"/>
    <w:pPr>
      <w:ind w:left="1440"/>
    </w:pPr>
    <w:rPr>
      <w:rFonts w:ascii="Calibri" w:cs="Calibri"/>
      <w:sz w:val="18"/>
      <w:szCs w:val="18"/>
    </w:rPr>
  </w:style>
  <w:style w:type="paragraph" w:styleId="13">
    <w:name w:val="Normal Indent"/>
    <w:basedOn w:val="1"/>
    <w:link w:val="76"/>
    <w:qFormat/>
    <w:uiPriority w:val="0"/>
    <w:pPr>
      <w:widowControl/>
      <w:autoSpaceDE/>
      <w:autoSpaceDN/>
      <w:adjustRightInd/>
      <w:ind w:firstLine="420" w:firstLineChars="200"/>
    </w:pPr>
    <w:rPr>
      <w:rFonts w:ascii="Calibri"/>
      <w:sz w:val="20"/>
      <w:szCs w:val="20"/>
    </w:rPr>
  </w:style>
  <w:style w:type="paragraph" w:styleId="14">
    <w:name w:val="caption"/>
    <w:basedOn w:val="1"/>
    <w:next w:val="1"/>
    <w:qFormat/>
    <w:uiPriority w:val="0"/>
    <w:pPr>
      <w:spacing w:before="152" w:after="160"/>
    </w:pPr>
    <w:rPr>
      <w:rFonts w:ascii="Arial" w:hAnsi="Arial" w:eastAsia="黑体" w:cs="Arial"/>
      <w:sz w:val="20"/>
      <w:szCs w:val="20"/>
    </w:rPr>
  </w:style>
  <w:style w:type="paragraph" w:styleId="15">
    <w:name w:val="List Bullet"/>
    <w:basedOn w:val="16"/>
    <w:qFormat/>
    <w:uiPriority w:val="0"/>
    <w:pPr>
      <w:widowControl/>
      <w:numPr>
        <w:ilvl w:val="0"/>
        <w:numId w:val="1"/>
      </w:numPr>
      <w:tabs>
        <w:tab w:val="left" w:pos="420"/>
      </w:tabs>
      <w:adjustRightInd/>
      <w:snapToGrid/>
      <w:ind w:right="720"/>
    </w:pPr>
    <w:rPr>
      <w:rFonts w:ascii="Garamond" w:hAnsi="Garamond"/>
      <w:kern w:val="0"/>
      <w:sz w:val="24"/>
      <w:szCs w:val="20"/>
    </w:rPr>
  </w:style>
  <w:style w:type="paragraph" w:styleId="16">
    <w:name w:val="List"/>
    <w:basedOn w:val="1"/>
    <w:qFormat/>
    <w:uiPriority w:val="0"/>
    <w:pPr>
      <w:numPr>
        <w:ilvl w:val="0"/>
        <w:numId w:val="2"/>
      </w:numPr>
      <w:autoSpaceDE/>
      <w:autoSpaceDN/>
      <w:snapToGrid w:val="0"/>
      <w:spacing w:line="300" w:lineRule="auto"/>
      <w:jc w:val="both"/>
    </w:pPr>
    <w:rPr>
      <w:rFonts w:ascii="Times New Roman"/>
      <w:kern w:val="2"/>
      <w:sz w:val="21"/>
    </w:rPr>
  </w:style>
  <w:style w:type="paragraph" w:styleId="17">
    <w:name w:val="Document Map"/>
    <w:basedOn w:val="1"/>
    <w:qFormat/>
    <w:uiPriority w:val="0"/>
    <w:pPr>
      <w:shd w:val="clear" w:color="auto" w:fill="000080"/>
    </w:pPr>
  </w:style>
  <w:style w:type="paragraph" w:styleId="18">
    <w:name w:val="toa heading"/>
    <w:basedOn w:val="1"/>
    <w:next w:val="1"/>
    <w:qFormat/>
    <w:uiPriority w:val="0"/>
    <w:pPr>
      <w:snapToGrid w:val="0"/>
      <w:spacing w:before="120" w:line="360" w:lineRule="auto"/>
      <w:jc w:val="both"/>
    </w:pPr>
    <w:rPr>
      <w:rFonts w:ascii="Arial" w:hAnsi="Arial"/>
      <w:snapToGrid w:val="0"/>
      <w:color w:val="000000"/>
      <w:sz w:val="21"/>
      <w:szCs w:val="20"/>
    </w:rPr>
  </w:style>
  <w:style w:type="paragraph" w:styleId="19">
    <w:name w:val="annotation text"/>
    <w:basedOn w:val="1"/>
    <w:qFormat/>
    <w:uiPriority w:val="0"/>
    <w:pPr>
      <w:widowControl/>
      <w:autoSpaceDE/>
      <w:autoSpaceDN/>
      <w:adjustRightInd/>
    </w:pPr>
    <w:rPr>
      <w:rFonts w:ascii="Times New Roman"/>
      <w:sz w:val="21"/>
      <w:szCs w:val="20"/>
    </w:rPr>
  </w:style>
  <w:style w:type="paragraph" w:styleId="20">
    <w:name w:val="Body Text 3"/>
    <w:basedOn w:val="1"/>
    <w:qFormat/>
    <w:uiPriority w:val="0"/>
    <w:pPr>
      <w:ind w:right="-26"/>
      <w:jc w:val="center"/>
    </w:pPr>
    <w:rPr>
      <w:b/>
      <w:bCs/>
      <w:color w:val="3366FF"/>
      <w:kern w:val="2"/>
      <w:sz w:val="52"/>
      <w:szCs w:val="52"/>
      <w:lang w:val="zh-CN"/>
    </w:rPr>
  </w:style>
  <w:style w:type="paragraph" w:styleId="21">
    <w:name w:val="Body Text"/>
    <w:basedOn w:val="1"/>
    <w:next w:val="1"/>
    <w:link w:val="81"/>
    <w:qFormat/>
    <w:uiPriority w:val="0"/>
    <w:pPr>
      <w:ind w:right="-26"/>
      <w:jc w:val="center"/>
    </w:pPr>
    <w:rPr>
      <w:rFonts w:hAnsi="Times New Roman"/>
      <w:b/>
      <w:bCs/>
      <w:kern w:val="2"/>
      <w:sz w:val="84"/>
      <w:szCs w:val="84"/>
      <w:lang w:val="zh-CN"/>
    </w:rPr>
  </w:style>
  <w:style w:type="paragraph" w:styleId="22">
    <w:name w:val="Body Text Indent"/>
    <w:basedOn w:val="1"/>
    <w:qFormat/>
    <w:uiPriority w:val="0"/>
    <w:pPr>
      <w:autoSpaceDE/>
      <w:autoSpaceDN/>
      <w:adjustRightInd/>
      <w:ind w:left="567" w:leftChars="270"/>
      <w:jc w:val="both"/>
    </w:pPr>
    <w:rPr>
      <w:rFonts w:ascii="Times New Roman"/>
      <w:kern w:val="2"/>
      <w:sz w:val="21"/>
      <w:szCs w:val="20"/>
    </w:rPr>
  </w:style>
  <w:style w:type="paragraph" w:styleId="23">
    <w:name w:val="List Number 3"/>
    <w:basedOn w:val="1"/>
    <w:qFormat/>
    <w:uiPriority w:val="0"/>
    <w:pPr>
      <w:numPr>
        <w:ilvl w:val="0"/>
        <w:numId w:val="3"/>
      </w:numPr>
    </w:pPr>
  </w:style>
  <w:style w:type="paragraph" w:styleId="24">
    <w:name w:val="List 2"/>
    <w:basedOn w:val="1"/>
    <w:qFormat/>
    <w:uiPriority w:val="0"/>
    <w:pPr>
      <w:widowControl/>
      <w:autoSpaceDE/>
      <w:autoSpaceDN/>
      <w:adjustRightInd/>
      <w:ind w:left="100" w:leftChars="200" w:hanging="200" w:hangingChars="200"/>
    </w:pPr>
    <w:rPr>
      <w:rFonts w:ascii="Times New Roman"/>
      <w:sz w:val="21"/>
      <w:szCs w:val="20"/>
    </w:rPr>
  </w:style>
  <w:style w:type="paragraph" w:styleId="25">
    <w:name w:val="Block Text"/>
    <w:basedOn w:val="1"/>
    <w:qFormat/>
    <w:uiPriority w:val="0"/>
    <w:pPr>
      <w:spacing w:after="120"/>
      <w:ind w:left="1440" w:leftChars="700" w:right="1440" w:rightChars="700"/>
    </w:pPr>
  </w:style>
  <w:style w:type="paragraph" w:styleId="26">
    <w:name w:val="toc 5"/>
    <w:basedOn w:val="1"/>
    <w:next w:val="1"/>
    <w:qFormat/>
    <w:uiPriority w:val="0"/>
    <w:pPr>
      <w:ind w:left="960"/>
    </w:pPr>
    <w:rPr>
      <w:rFonts w:ascii="Calibri" w:cs="Calibri"/>
      <w:sz w:val="18"/>
      <w:szCs w:val="18"/>
    </w:rPr>
  </w:style>
  <w:style w:type="paragraph" w:styleId="27">
    <w:name w:val="toc 3"/>
    <w:basedOn w:val="1"/>
    <w:next w:val="1"/>
    <w:qFormat/>
    <w:uiPriority w:val="0"/>
    <w:pPr>
      <w:ind w:left="480"/>
    </w:pPr>
    <w:rPr>
      <w:rFonts w:ascii="Calibri" w:cs="Calibri"/>
      <w:i/>
      <w:iCs/>
      <w:sz w:val="20"/>
      <w:szCs w:val="20"/>
    </w:rPr>
  </w:style>
  <w:style w:type="paragraph" w:styleId="28">
    <w:name w:val="Plain Text"/>
    <w:basedOn w:val="1"/>
    <w:next w:val="1"/>
    <w:link w:val="77"/>
    <w:qFormat/>
    <w:uiPriority w:val="0"/>
    <w:pPr>
      <w:autoSpaceDE/>
      <w:autoSpaceDN/>
      <w:adjustRightInd/>
      <w:jc w:val="both"/>
    </w:pPr>
    <w:rPr>
      <w:rFonts w:hAnsi="Courier New"/>
      <w:kern w:val="2"/>
      <w:sz w:val="21"/>
      <w:szCs w:val="20"/>
    </w:rPr>
  </w:style>
  <w:style w:type="paragraph" w:styleId="29">
    <w:name w:val="toc 8"/>
    <w:basedOn w:val="1"/>
    <w:next w:val="1"/>
    <w:qFormat/>
    <w:uiPriority w:val="0"/>
    <w:pPr>
      <w:ind w:left="1680"/>
    </w:pPr>
    <w:rPr>
      <w:rFonts w:ascii="Calibri" w:cs="Calibri"/>
      <w:sz w:val="18"/>
      <w:szCs w:val="18"/>
    </w:rPr>
  </w:style>
  <w:style w:type="paragraph" w:styleId="30">
    <w:name w:val="Date"/>
    <w:basedOn w:val="1"/>
    <w:next w:val="1"/>
    <w:qFormat/>
    <w:uiPriority w:val="0"/>
    <w:pPr>
      <w:ind w:left="100" w:leftChars="2500"/>
    </w:pPr>
    <w:rPr>
      <w:b/>
      <w:bCs/>
      <w:kern w:val="2"/>
      <w:sz w:val="21"/>
      <w:szCs w:val="21"/>
      <w:lang w:val="zh-CN"/>
    </w:rPr>
  </w:style>
  <w:style w:type="paragraph" w:styleId="31">
    <w:name w:val="Body Text Indent 2"/>
    <w:basedOn w:val="1"/>
    <w:qFormat/>
    <w:uiPriority w:val="0"/>
    <w:pPr>
      <w:tabs>
        <w:tab w:val="left" w:pos="8640"/>
      </w:tabs>
      <w:autoSpaceDE/>
      <w:autoSpaceDN/>
      <w:adjustRightInd/>
      <w:ind w:left="1260"/>
      <w:jc w:val="both"/>
    </w:pPr>
    <w:rPr>
      <w:kern w:val="2"/>
      <w:sz w:val="21"/>
      <w:szCs w:val="20"/>
    </w:rPr>
  </w:style>
  <w:style w:type="paragraph" w:styleId="32">
    <w:name w:val="Balloon Text"/>
    <w:basedOn w:val="1"/>
    <w:qFormat/>
    <w:uiPriority w:val="0"/>
    <w:pPr>
      <w:autoSpaceDE/>
      <w:autoSpaceDN/>
      <w:adjustRightInd/>
      <w:jc w:val="both"/>
    </w:pPr>
    <w:rPr>
      <w:rFonts w:ascii="Times New Roman"/>
      <w:kern w:val="2"/>
      <w:sz w:val="18"/>
      <w:szCs w:val="18"/>
    </w:rPr>
  </w:style>
  <w:style w:type="paragraph" w:styleId="33">
    <w:name w:val="footer"/>
    <w:basedOn w:val="1"/>
    <w:link w:val="90"/>
    <w:qFormat/>
    <w:uiPriority w:val="0"/>
    <w:pPr>
      <w:tabs>
        <w:tab w:val="center" w:pos="4153"/>
        <w:tab w:val="right" w:pos="8306"/>
      </w:tabs>
      <w:snapToGrid w:val="0"/>
    </w:pPr>
    <w:rPr>
      <w:rFonts w:hAnsi="Times New Roman"/>
      <w:sz w:val="18"/>
      <w:szCs w:val="18"/>
    </w:rPr>
  </w:style>
  <w:style w:type="paragraph" w:styleId="34">
    <w:name w:val="header"/>
    <w:basedOn w:val="1"/>
    <w:link w:val="86"/>
    <w:qFormat/>
    <w:uiPriority w:val="0"/>
    <w:pPr>
      <w:pBdr>
        <w:bottom w:val="single" w:color="auto" w:sz="6" w:space="1"/>
      </w:pBdr>
      <w:tabs>
        <w:tab w:val="center" w:pos="4153"/>
        <w:tab w:val="right" w:pos="8306"/>
      </w:tabs>
      <w:snapToGrid w:val="0"/>
      <w:jc w:val="center"/>
    </w:pPr>
    <w:rPr>
      <w:sz w:val="18"/>
      <w:szCs w:val="18"/>
    </w:rPr>
  </w:style>
  <w:style w:type="paragraph" w:styleId="35">
    <w:name w:val="toc 1"/>
    <w:basedOn w:val="1"/>
    <w:next w:val="1"/>
    <w:qFormat/>
    <w:uiPriority w:val="0"/>
    <w:pPr>
      <w:spacing w:before="120" w:after="120"/>
    </w:pPr>
    <w:rPr>
      <w:rFonts w:ascii="Calibri" w:cs="Calibri"/>
      <w:b/>
      <w:bCs/>
      <w:caps/>
      <w:sz w:val="20"/>
      <w:szCs w:val="20"/>
    </w:rPr>
  </w:style>
  <w:style w:type="paragraph" w:styleId="36">
    <w:name w:val="toc 4"/>
    <w:basedOn w:val="1"/>
    <w:next w:val="1"/>
    <w:qFormat/>
    <w:uiPriority w:val="0"/>
    <w:pPr>
      <w:ind w:left="720"/>
    </w:pPr>
    <w:rPr>
      <w:rFonts w:ascii="Calibri" w:cs="Calibri"/>
      <w:sz w:val="18"/>
      <w:szCs w:val="18"/>
    </w:rPr>
  </w:style>
  <w:style w:type="paragraph" w:styleId="37">
    <w:name w:val="index heading"/>
    <w:basedOn w:val="1"/>
    <w:next w:val="38"/>
    <w:qFormat/>
    <w:uiPriority w:val="0"/>
    <w:pPr>
      <w:autoSpaceDE/>
      <w:autoSpaceDN/>
      <w:adjustRightInd/>
      <w:jc w:val="both"/>
    </w:pPr>
    <w:rPr>
      <w:rFonts w:ascii="Times New Roman"/>
      <w:kern w:val="2"/>
      <w:sz w:val="21"/>
      <w:szCs w:val="20"/>
    </w:rPr>
  </w:style>
  <w:style w:type="paragraph" w:styleId="38">
    <w:name w:val="index 1"/>
    <w:basedOn w:val="1"/>
    <w:next w:val="1"/>
    <w:qFormat/>
    <w:uiPriority w:val="0"/>
    <w:pPr>
      <w:autoSpaceDE/>
      <w:autoSpaceDN/>
      <w:adjustRightInd/>
      <w:ind w:left="540" w:leftChars="257"/>
      <w:jc w:val="both"/>
    </w:pPr>
    <w:rPr>
      <w:rFonts w:ascii="Arial" w:hAnsi="Arial" w:cs="Arial"/>
      <w:kern w:val="2"/>
      <w:sz w:val="21"/>
    </w:rPr>
  </w:style>
  <w:style w:type="paragraph" w:styleId="39">
    <w:name w:val="Subtitle"/>
    <w:basedOn w:val="1"/>
    <w:link w:val="89"/>
    <w:qFormat/>
    <w:uiPriority w:val="0"/>
    <w:pPr>
      <w:autoSpaceDE/>
      <w:autoSpaceDN/>
      <w:adjustRightInd/>
      <w:spacing w:before="240" w:after="60" w:line="312" w:lineRule="auto"/>
      <w:jc w:val="center"/>
      <w:outlineLvl w:val="1"/>
    </w:pPr>
    <w:rPr>
      <w:rFonts w:ascii="Arial" w:hAnsi="Arial"/>
      <w:b/>
      <w:kern w:val="28"/>
      <w:sz w:val="32"/>
      <w:szCs w:val="20"/>
    </w:rPr>
  </w:style>
  <w:style w:type="paragraph" w:styleId="40">
    <w:name w:val="toc 6"/>
    <w:basedOn w:val="1"/>
    <w:next w:val="1"/>
    <w:qFormat/>
    <w:uiPriority w:val="0"/>
    <w:pPr>
      <w:ind w:left="1200"/>
    </w:pPr>
    <w:rPr>
      <w:rFonts w:ascii="Calibri" w:cs="Calibri"/>
      <w:sz w:val="18"/>
      <w:szCs w:val="18"/>
    </w:rPr>
  </w:style>
  <w:style w:type="paragraph" w:styleId="41">
    <w:name w:val="Body Text Indent 3"/>
    <w:basedOn w:val="1"/>
    <w:qFormat/>
    <w:uiPriority w:val="0"/>
    <w:pPr>
      <w:spacing w:line="360" w:lineRule="auto"/>
      <w:ind w:firstLine="480" w:firstLineChars="200"/>
    </w:pPr>
  </w:style>
  <w:style w:type="paragraph" w:styleId="42">
    <w:name w:val="toc 2"/>
    <w:basedOn w:val="1"/>
    <w:next w:val="1"/>
    <w:qFormat/>
    <w:uiPriority w:val="0"/>
    <w:pPr>
      <w:ind w:left="240"/>
    </w:pPr>
    <w:rPr>
      <w:rFonts w:ascii="Calibri" w:cs="Calibri"/>
      <w:smallCaps/>
      <w:sz w:val="20"/>
      <w:szCs w:val="20"/>
    </w:rPr>
  </w:style>
  <w:style w:type="paragraph" w:styleId="43">
    <w:name w:val="toc 9"/>
    <w:basedOn w:val="1"/>
    <w:next w:val="1"/>
    <w:qFormat/>
    <w:uiPriority w:val="0"/>
    <w:pPr>
      <w:ind w:left="1920"/>
    </w:pPr>
    <w:rPr>
      <w:rFonts w:ascii="Calibri" w:cs="Calibri"/>
      <w:sz w:val="18"/>
      <w:szCs w:val="18"/>
    </w:rPr>
  </w:style>
  <w:style w:type="paragraph" w:styleId="44">
    <w:name w:val="Body Text 2"/>
    <w:basedOn w:val="1"/>
    <w:qFormat/>
    <w:uiPriority w:val="0"/>
    <w:pPr>
      <w:tabs>
        <w:tab w:val="left" w:pos="0"/>
      </w:tabs>
      <w:autoSpaceDE/>
      <w:autoSpaceDN/>
      <w:adjustRightInd/>
      <w:spacing w:line="400" w:lineRule="atLeast"/>
      <w:jc w:val="both"/>
    </w:pPr>
    <w:rPr>
      <w:rFonts w:ascii="Arial" w:hAnsi="Arial"/>
      <w:color w:val="000000"/>
      <w:kern w:val="2"/>
      <w:sz w:val="21"/>
    </w:rPr>
  </w:style>
  <w:style w:type="paragraph" w:styleId="45">
    <w:name w:val="List 4"/>
    <w:basedOn w:val="1"/>
    <w:qFormat/>
    <w:uiPriority w:val="0"/>
    <w:pPr>
      <w:tabs>
        <w:tab w:val="left" w:pos="750"/>
      </w:tabs>
      <w:autoSpaceDE/>
      <w:autoSpaceDN/>
      <w:adjustRightInd/>
      <w:ind w:left="750" w:hanging="750"/>
      <w:jc w:val="both"/>
    </w:pPr>
    <w:rPr>
      <w:rFonts w:ascii="Times New Roman" w:hAnsi="Times New Roman" w:cs="Times New Roman"/>
      <w:b/>
      <w:kern w:val="2"/>
      <w:sz w:val="21"/>
      <w:szCs w:val="20"/>
    </w:rPr>
  </w:style>
  <w:style w:type="paragraph" w:styleId="46">
    <w:name w:val="HTML Preformatted"/>
    <w:basedOn w:val="1"/>
    <w:link w:val="87"/>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380" w:lineRule="exact"/>
    </w:pPr>
    <w:rPr>
      <w:rFonts w:ascii="Arial" w:hAnsi="Arial" w:cs="Arial"/>
      <w:sz w:val="21"/>
      <w:szCs w:val="21"/>
    </w:rPr>
  </w:style>
  <w:style w:type="paragraph" w:styleId="47">
    <w:name w:val="Normal (Web)"/>
    <w:basedOn w:val="1"/>
    <w:qFormat/>
    <w:uiPriority w:val="0"/>
    <w:pPr>
      <w:widowControl/>
      <w:autoSpaceDE/>
      <w:autoSpaceDN/>
      <w:adjustRightInd/>
      <w:spacing w:before="100" w:beforeAutospacing="1" w:after="100" w:afterAutospacing="1"/>
    </w:pPr>
    <w:rPr>
      <w:rFonts w:hAnsi="宋体"/>
      <w:sz w:val="15"/>
      <w:szCs w:val="15"/>
    </w:rPr>
  </w:style>
  <w:style w:type="paragraph" w:styleId="48">
    <w:name w:val="Title"/>
    <w:basedOn w:val="1"/>
    <w:next w:val="1"/>
    <w:qFormat/>
    <w:uiPriority w:val="0"/>
    <w:pPr>
      <w:numPr>
        <w:ilvl w:val="0"/>
        <w:numId w:val="4"/>
      </w:numPr>
      <w:tabs>
        <w:tab w:val="clear" w:pos="2121"/>
      </w:tabs>
      <w:autoSpaceDE/>
      <w:autoSpaceDN/>
      <w:snapToGrid w:val="0"/>
      <w:spacing w:beforeLines="50" w:afterLines="50"/>
      <w:ind w:left="0" w:firstLine="0"/>
      <w:jc w:val="center"/>
      <w:outlineLvl w:val="0"/>
    </w:pPr>
    <w:rPr>
      <w:rFonts w:ascii="Arial" w:hAnsi="Arial" w:cs="Arial"/>
      <w:b/>
      <w:bCs/>
      <w:kern w:val="2"/>
      <w:sz w:val="52"/>
      <w:szCs w:val="32"/>
    </w:rPr>
  </w:style>
  <w:style w:type="paragraph" w:styleId="49">
    <w:name w:val="annotation subject"/>
    <w:basedOn w:val="19"/>
    <w:next w:val="19"/>
    <w:qFormat/>
    <w:uiPriority w:val="0"/>
    <w:rPr>
      <w:b/>
      <w:bCs/>
    </w:rPr>
  </w:style>
  <w:style w:type="paragraph" w:styleId="50">
    <w:name w:val="Body Text First Indent"/>
    <w:basedOn w:val="21"/>
    <w:qFormat/>
    <w:uiPriority w:val="0"/>
    <w:pPr>
      <w:widowControl/>
      <w:autoSpaceDE/>
      <w:autoSpaceDN/>
      <w:adjustRightInd/>
      <w:spacing w:after="120"/>
      <w:ind w:right="0" w:firstLine="420" w:firstLineChars="100"/>
      <w:jc w:val="left"/>
    </w:pPr>
    <w:rPr>
      <w:rFonts w:ascii="Times New Roman"/>
      <w:b w:val="0"/>
      <w:bCs w:val="0"/>
      <w:kern w:val="0"/>
      <w:sz w:val="21"/>
      <w:szCs w:val="20"/>
      <w:lang w:val="en-US"/>
    </w:rPr>
  </w:style>
  <w:style w:type="paragraph" w:styleId="51">
    <w:name w:val="Body Text First Indent 2"/>
    <w:basedOn w:val="22"/>
    <w:semiHidden/>
    <w:unhideWhenUsed/>
    <w:qFormat/>
    <w:uiPriority w:val="99"/>
    <w:pPr>
      <w:ind w:firstLine="420" w:firstLineChars="200"/>
    </w:pPr>
  </w:style>
  <w:style w:type="table" w:styleId="53">
    <w:name w:val="Table Grid"/>
    <w:basedOn w:val="5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5">
    <w:name w:val="Strong"/>
    <w:qFormat/>
    <w:uiPriority w:val="0"/>
    <w:rPr>
      <w:b/>
      <w:bCs/>
    </w:rPr>
  </w:style>
  <w:style w:type="character" w:styleId="56">
    <w:name w:val="page number"/>
    <w:basedOn w:val="54"/>
    <w:qFormat/>
    <w:uiPriority w:val="0"/>
  </w:style>
  <w:style w:type="character" w:styleId="57">
    <w:name w:val="FollowedHyperlink"/>
    <w:qFormat/>
    <w:uiPriority w:val="0"/>
    <w:rPr>
      <w:color w:val="333333"/>
      <w:u w:val="none"/>
    </w:rPr>
  </w:style>
  <w:style w:type="character" w:styleId="58">
    <w:name w:val="Emphasis"/>
    <w:qFormat/>
    <w:uiPriority w:val="0"/>
    <w:rPr>
      <w:i/>
      <w:iCs/>
    </w:rPr>
  </w:style>
  <w:style w:type="character" w:styleId="59">
    <w:name w:val="Hyperlink"/>
    <w:basedOn w:val="54"/>
    <w:qFormat/>
    <w:uiPriority w:val="0"/>
    <w:rPr>
      <w:color w:val="333333"/>
      <w:u w:val="none"/>
    </w:rPr>
  </w:style>
  <w:style w:type="character" w:styleId="60">
    <w:name w:val="annotation reference"/>
    <w:basedOn w:val="54"/>
    <w:qFormat/>
    <w:uiPriority w:val="0"/>
    <w:rPr>
      <w:sz w:val="21"/>
      <w:szCs w:val="21"/>
    </w:rPr>
  </w:style>
  <w:style w:type="character" w:customStyle="1" w:styleId="61">
    <w:name w:val="标题 1 Char"/>
    <w:link w:val="3"/>
    <w:qFormat/>
    <w:uiPriority w:val="0"/>
  </w:style>
  <w:style w:type="paragraph" w:customStyle="1" w:styleId="62">
    <w:name w:val="Default"/>
    <w:qFormat/>
    <w:uiPriority w:val="0"/>
    <w:pPr>
      <w:widowControl w:val="0"/>
      <w:autoSpaceDE w:val="0"/>
      <w:autoSpaceDN w:val="0"/>
      <w:adjustRightInd w:val="0"/>
    </w:pPr>
    <w:rPr>
      <w:rFonts w:ascii="仿宋" w:hAnsi="仿宋" w:eastAsia="宋体" w:cs="仿宋"/>
      <w:color w:val="000000"/>
      <w:sz w:val="24"/>
      <w:szCs w:val="24"/>
      <w:lang w:val="en-US" w:eastAsia="zh-CN" w:bidi="ar-SA"/>
    </w:rPr>
  </w:style>
  <w:style w:type="paragraph" w:customStyle="1" w:styleId="63">
    <w:name w:val="首行缩进"/>
    <w:basedOn w:val="1"/>
    <w:qFormat/>
    <w:uiPriority w:val="0"/>
    <w:pPr>
      <w:ind w:firstLine="480" w:firstLineChars="200"/>
    </w:pPr>
    <w:rPr>
      <w:lang w:val="zh-CN"/>
    </w:rPr>
  </w:style>
  <w:style w:type="character" w:customStyle="1" w:styleId="64">
    <w:name w:val="s1"/>
    <w:qFormat/>
    <w:uiPriority w:val="0"/>
    <w:rPr>
      <w:rFonts w:ascii="Helvetica" w:hAnsi="Helvetica" w:eastAsia="Helvetica" w:cs="Helvetica"/>
      <w:sz w:val="24"/>
      <w:szCs w:val="24"/>
    </w:rPr>
  </w:style>
  <w:style w:type="character" w:customStyle="1" w:styleId="65">
    <w:name w:val="keyfeatures1"/>
    <w:qFormat/>
    <w:uiPriority w:val="0"/>
    <w:rPr>
      <w:rFonts w:hint="default" w:ascii="Arial" w:hAnsi="Arial" w:cs="Arial"/>
      <w:color w:val="003366"/>
      <w:sz w:val="17"/>
      <w:szCs w:val="17"/>
      <w:u w:val="none"/>
    </w:rPr>
  </w:style>
  <w:style w:type="character" w:customStyle="1" w:styleId="66">
    <w:name w:val="小 Char"/>
    <w:qFormat/>
    <w:uiPriority w:val="0"/>
    <w:rPr>
      <w:rFonts w:ascii="宋体" w:hAnsi="Courier New" w:eastAsia="宋体" w:cs="Times New Roman"/>
      <w:kern w:val="2"/>
      <w:sz w:val="21"/>
      <w:lang w:val="en-US" w:eastAsia="zh-CN" w:bidi="ar-SA"/>
    </w:rPr>
  </w:style>
  <w:style w:type="character" w:customStyle="1" w:styleId="67">
    <w:name w:val="纯文本 Char Char"/>
    <w:qFormat/>
    <w:uiPriority w:val="0"/>
    <w:rPr>
      <w:rFonts w:ascii="宋体" w:hAnsi="Courier New" w:eastAsia="宋体"/>
      <w:kern w:val="2"/>
      <w:sz w:val="21"/>
      <w:lang w:val="en-US" w:eastAsia="zh-CN" w:bidi="ar-SA"/>
    </w:rPr>
  </w:style>
  <w:style w:type="character" w:customStyle="1" w:styleId="68">
    <w:name w:val="meuncn1"/>
    <w:qFormat/>
    <w:uiPriority w:val="0"/>
    <w:rPr>
      <w:rFonts w:hint="eastAsia" w:ascii="宋体" w:hAnsi="宋体" w:eastAsia="宋体"/>
      <w:color w:val="666666"/>
      <w:sz w:val="18"/>
      <w:u w:val="none"/>
    </w:rPr>
  </w:style>
  <w:style w:type="character" w:customStyle="1" w:styleId="69">
    <w:name w:val="标题 3.1 Char Char"/>
    <w:link w:val="70"/>
    <w:qFormat/>
    <w:uiPriority w:val="0"/>
    <w:rPr>
      <w:rFonts w:ascii="宋体" w:hAnsi="宋体"/>
      <w:b/>
      <w:bCs/>
      <w:kern w:val="2"/>
      <w:sz w:val="32"/>
      <w:szCs w:val="32"/>
    </w:rPr>
  </w:style>
  <w:style w:type="paragraph" w:customStyle="1" w:styleId="70">
    <w:name w:val="标题 3.1"/>
    <w:basedOn w:val="5"/>
    <w:link w:val="69"/>
    <w:qFormat/>
    <w:uiPriority w:val="0"/>
    <w:pPr>
      <w:keepNext/>
      <w:keepLines/>
      <w:tabs>
        <w:tab w:val="left" w:pos="1440"/>
        <w:tab w:val="left" w:pos="1620"/>
      </w:tabs>
      <w:autoSpaceDE/>
      <w:autoSpaceDN/>
      <w:adjustRightInd/>
      <w:spacing w:before="260" w:after="260" w:line="600" w:lineRule="exact"/>
      <w:jc w:val="both"/>
    </w:pPr>
    <w:rPr>
      <w:rFonts w:hAnsi="宋体"/>
      <w:b/>
      <w:bCs/>
      <w:kern w:val="2"/>
      <w:sz w:val="32"/>
      <w:szCs w:val="32"/>
    </w:rPr>
  </w:style>
  <w:style w:type="character" w:customStyle="1" w:styleId="71">
    <w:name w:val="HTML Markup"/>
    <w:qFormat/>
    <w:uiPriority w:val="0"/>
    <w:rPr>
      <w:rFonts w:ascii="Times New Roman" w:hAnsi="Times New Roman" w:eastAsia="宋体" w:cs="Times New Roman"/>
      <w:vanish/>
      <w:color w:val="FF0000"/>
    </w:rPr>
  </w:style>
  <w:style w:type="character" w:customStyle="1" w:styleId="72">
    <w:name w:val="页脚 Char Char"/>
    <w:qFormat/>
    <w:uiPriority w:val="0"/>
    <w:rPr>
      <w:rFonts w:ascii="宋体"/>
      <w:sz w:val="18"/>
      <w:szCs w:val="18"/>
    </w:rPr>
  </w:style>
  <w:style w:type="character" w:customStyle="1" w:styleId="73">
    <w:name w:val="p105"/>
    <w:basedOn w:val="54"/>
    <w:qFormat/>
    <w:uiPriority w:val="0"/>
  </w:style>
  <w:style w:type="character" w:customStyle="1" w:styleId="74">
    <w:name w:val="正文缩进2格 Char Char"/>
    <w:link w:val="75"/>
    <w:qFormat/>
    <w:uiPriority w:val="0"/>
    <w:rPr>
      <w:rFonts w:ascii="仿宋_GB2312" w:hAnsi="宋体" w:eastAsia="仿宋_GB2312"/>
      <w:kern w:val="2"/>
      <w:sz w:val="31"/>
      <w:szCs w:val="28"/>
      <w:lang w:val="en-US" w:eastAsia="zh-CN" w:bidi="ar-SA"/>
    </w:rPr>
  </w:style>
  <w:style w:type="paragraph" w:customStyle="1" w:styleId="75">
    <w:name w:val="正文缩进2格"/>
    <w:basedOn w:val="1"/>
    <w:link w:val="74"/>
    <w:qFormat/>
    <w:uiPriority w:val="0"/>
    <w:pPr>
      <w:autoSpaceDE/>
      <w:autoSpaceDN/>
      <w:adjustRightInd/>
      <w:spacing w:line="600" w:lineRule="exact"/>
      <w:ind w:firstLine="639" w:firstLineChars="206"/>
      <w:jc w:val="both"/>
    </w:pPr>
    <w:rPr>
      <w:rFonts w:ascii="仿宋_GB2312" w:hAnsi="宋体" w:eastAsia="仿宋_GB2312"/>
      <w:kern w:val="2"/>
      <w:sz w:val="31"/>
      <w:szCs w:val="28"/>
    </w:rPr>
  </w:style>
  <w:style w:type="character" w:customStyle="1" w:styleId="76">
    <w:name w:val="正文缩进 Char"/>
    <w:link w:val="13"/>
    <w:qFormat/>
    <w:uiPriority w:val="0"/>
    <w:rPr>
      <w:rFonts w:eastAsia="宋体"/>
      <w:lang w:val="en-US" w:eastAsia="zh-CN" w:bidi="ar-SA"/>
    </w:rPr>
  </w:style>
  <w:style w:type="character" w:customStyle="1" w:styleId="77">
    <w:name w:val="纯文本 Char"/>
    <w:link w:val="28"/>
    <w:qFormat/>
    <w:uiPriority w:val="0"/>
    <w:rPr>
      <w:rFonts w:ascii="宋体" w:hAnsi="Courier New" w:eastAsia="宋体" w:cs="Times New Roman"/>
      <w:kern w:val="2"/>
      <w:sz w:val="21"/>
      <w:lang w:val="en-US" w:eastAsia="zh-CN" w:bidi="ar-SA"/>
    </w:rPr>
  </w:style>
  <w:style w:type="character" w:customStyle="1" w:styleId="78">
    <w:name w:val="font01"/>
    <w:qFormat/>
    <w:uiPriority w:val="0"/>
    <w:rPr>
      <w:rFonts w:hint="eastAsia" w:ascii="宋体" w:hAnsi="宋体" w:eastAsia="宋体" w:cs="宋体"/>
      <w:color w:val="000000"/>
      <w:sz w:val="24"/>
      <w:szCs w:val="24"/>
      <w:u w:val="none"/>
    </w:rPr>
  </w:style>
  <w:style w:type="character" w:customStyle="1" w:styleId="79">
    <w:name w:val="wctjfont1"/>
    <w:qFormat/>
    <w:uiPriority w:val="0"/>
    <w:rPr>
      <w:sz w:val="18"/>
    </w:rPr>
  </w:style>
  <w:style w:type="character" w:customStyle="1" w:styleId="80">
    <w:name w:val="bold1"/>
    <w:qFormat/>
    <w:uiPriority w:val="0"/>
    <w:rPr>
      <w:sz w:val="32"/>
    </w:rPr>
  </w:style>
  <w:style w:type="character" w:customStyle="1" w:styleId="81">
    <w:name w:val="正文文本 Char"/>
    <w:link w:val="21"/>
    <w:qFormat/>
    <w:uiPriority w:val="0"/>
    <w:rPr>
      <w:rFonts w:ascii="宋体" w:hAnsi="Times New Roman" w:eastAsia="宋体" w:cs="Times New Roman"/>
      <w:b/>
      <w:bCs/>
      <w:kern w:val="2"/>
      <w:sz w:val="84"/>
      <w:szCs w:val="84"/>
      <w:lang w:val="zh-CN" w:eastAsia="zh-CN" w:bidi="ar-SA"/>
    </w:rPr>
  </w:style>
  <w:style w:type="character" w:customStyle="1" w:styleId="82">
    <w:name w:val="DAS正文 Char Char"/>
    <w:qFormat/>
    <w:uiPriority w:val="0"/>
    <w:rPr>
      <w:rFonts w:ascii="Verdana" w:hAnsi="Verdana" w:eastAsia="宋体"/>
      <w:kern w:val="2"/>
      <w:sz w:val="21"/>
      <w:szCs w:val="21"/>
      <w:lang w:val="en-US" w:eastAsia="zh-CN" w:bidi="ar-SA"/>
    </w:rPr>
  </w:style>
  <w:style w:type="character" w:customStyle="1" w:styleId="83">
    <w:name w:val="Highlighted Variable"/>
    <w:qFormat/>
    <w:uiPriority w:val="0"/>
    <w:rPr>
      <w:color w:val="000000"/>
    </w:rPr>
  </w:style>
  <w:style w:type="character" w:customStyle="1" w:styleId="84">
    <w:name w:val="neir1"/>
    <w:qFormat/>
    <w:uiPriority w:val="0"/>
    <w:rPr>
      <w:rFonts w:hint="default" w:ascii="ˎ̥" w:hAnsi="ˎ̥" w:eastAsia="宋体" w:cs="Times New Roman"/>
      <w:color w:val="333333"/>
      <w:sz w:val="21"/>
      <w:szCs w:val="21"/>
      <w:u w:val="none"/>
    </w:rPr>
  </w:style>
  <w:style w:type="character" w:customStyle="1" w:styleId="85">
    <w:name w:val="style61"/>
    <w:qFormat/>
    <w:uiPriority w:val="0"/>
    <w:rPr>
      <w:b/>
      <w:bCs/>
    </w:rPr>
  </w:style>
  <w:style w:type="character" w:customStyle="1" w:styleId="86">
    <w:name w:val="页眉 Char"/>
    <w:link w:val="34"/>
    <w:qFormat/>
    <w:uiPriority w:val="0"/>
    <w:rPr>
      <w:rFonts w:ascii="宋体"/>
      <w:sz w:val="18"/>
      <w:szCs w:val="18"/>
    </w:rPr>
  </w:style>
  <w:style w:type="character" w:customStyle="1" w:styleId="87">
    <w:name w:val="HTML 预设格式 Char"/>
    <w:link w:val="46"/>
    <w:qFormat/>
    <w:uiPriority w:val="0"/>
    <w:rPr>
      <w:rFonts w:ascii="Arial" w:hAnsi="Arial" w:eastAsia="宋体" w:cs="Arial"/>
      <w:sz w:val="21"/>
      <w:szCs w:val="21"/>
      <w:lang w:val="en-US" w:eastAsia="zh-CN" w:bidi="ar-SA"/>
    </w:rPr>
  </w:style>
  <w:style w:type="character" w:customStyle="1" w:styleId="88">
    <w:name w:val="f141"/>
    <w:qFormat/>
    <w:uiPriority w:val="0"/>
    <w:rPr>
      <w:sz w:val="21"/>
      <w:szCs w:val="21"/>
    </w:rPr>
  </w:style>
  <w:style w:type="character" w:customStyle="1" w:styleId="89">
    <w:name w:val="副标题 Char"/>
    <w:link w:val="39"/>
    <w:qFormat/>
    <w:uiPriority w:val="0"/>
    <w:rPr>
      <w:rFonts w:ascii="Arial" w:hAnsi="Arial"/>
      <w:b/>
      <w:kern w:val="28"/>
      <w:sz w:val="32"/>
    </w:rPr>
  </w:style>
  <w:style w:type="character" w:customStyle="1" w:styleId="90">
    <w:name w:val="页脚 Char"/>
    <w:link w:val="33"/>
    <w:qFormat/>
    <w:uiPriority w:val="0"/>
    <w:rPr>
      <w:rFonts w:ascii="宋体" w:hAnsi="Times New Roman" w:eastAsia="宋体" w:cs="Times New Roman"/>
      <w:sz w:val="18"/>
      <w:szCs w:val="18"/>
      <w:lang w:val="en-US" w:eastAsia="zh-CN" w:bidi="ar-SA"/>
    </w:rPr>
  </w:style>
  <w:style w:type="paragraph" w:customStyle="1" w:styleId="91">
    <w:name w:val="技术响应2"/>
    <w:basedOn w:val="1"/>
    <w:qFormat/>
    <w:uiPriority w:val="0"/>
    <w:pPr>
      <w:numPr>
        <w:ilvl w:val="0"/>
        <w:numId w:val="5"/>
      </w:numPr>
      <w:autoSpaceDE/>
      <w:autoSpaceDN/>
      <w:adjustRightInd/>
      <w:jc w:val="both"/>
    </w:pPr>
    <w:rPr>
      <w:rFonts w:hAnsi="宋体"/>
      <w:b/>
      <w:bCs/>
      <w:kern w:val="2"/>
      <w:sz w:val="21"/>
      <w:szCs w:val="20"/>
    </w:rPr>
  </w:style>
  <w:style w:type="paragraph" w:customStyle="1" w:styleId="92">
    <w:name w:val="Bullet"/>
    <w:basedOn w:val="1"/>
    <w:qFormat/>
    <w:uiPriority w:val="0"/>
    <w:pPr>
      <w:numPr>
        <w:ilvl w:val="0"/>
        <w:numId w:val="6"/>
      </w:numPr>
      <w:autoSpaceDE/>
      <w:autoSpaceDN/>
      <w:adjustRightInd/>
      <w:spacing w:line="360" w:lineRule="exact"/>
      <w:jc w:val="both"/>
    </w:pPr>
    <w:rPr>
      <w:rFonts w:ascii="Times New Roman"/>
      <w:kern w:val="2"/>
      <w:szCs w:val="20"/>
    </w:rPr>
  </w:style>
  <w:style w:type="paragraph" w:customStyle="1" w:styleId="93">
    <w:name w:val="普通 (Web)"/>
    <w:basedOn w:val="1"/>
    <w:qFormat/>
    <w:uiPriority w:val="0"/>
    <w:pPr>
      <w:widowControl/>
      <w:autoSpaceDE/>
      <w:autoSpaceDN/>
      <w:adjustRightInd/>
      <w:spacing w:before="100" w:beforeAutospacing="1" w:after="100" w:afterAutospacing="1"/>
    </w:pPr>
    <w:rPr>
      <w:rFonts w:hAnsi="宋体"/>
    </w:rPr>
  </w:style>
  <w:style w:type="paragraph" w:customStyle="1" w:styleId="94">
    <w:name w:val="正文楷 Char"/>
    <w:basedOn w:val="1"/>
    <w:qFormat/>
    <w:uiPriority w:val="0"/>
    <w:pPr>
      <w:autoSpaceDE/>
      <w:autoSpaceDN/>
      <w:adjustRightInd/>
      <w:spacing w:line="500" w:lineRule="exact"/>
      <w:ind w:firstLine="560" w:firstLineChars="200"/>
      <w:jc w:val="both"/>
    </w:pPr>
    <w:rPr>
      <w:rFonts w:ascii="楷体_GB2312" w:hAnsi="楷体_GB2312" w:eastAsia="楷体_GB2312"/>
      <w:kern w:val="2"/>
      <w:sz w:val="28"/>
      <w:szCs w:val="20"/>
    </w:rPr>
  </w:style>
  <w:style w:type="paragraph" w:customStyle="1" w:styleId="95">
    <w:name w:val="Char Char Char Char Char Char1 Char"/>
    <w:basedOn w:val="1"/>
    <w:qFormat/>
    <w:uiPriority w:val="0"/>
    <w:pPr>
      <w:widowControl/>
      <w:autoSpaceDE/>
      <w:autoSpaceDN/>
      <w:adjustRightInd/>
      <w:spacing w:after="160" w:line="240" w:lineRule="exact"/>
    </w:pPr>
    <w:rPr>
      <w:rFonts w:ascii="Arial" w:hAnsi="Arial" w:eastAsia="楷体_GB2312" w:cs="Verdana"/>
      <w:b/>
      <w:lang w:eastAsia="en-US"/>
    </w:rPr>
  </w:style>
  <w:style w:type="paragraph" w:customStyle="1" w:styleId="96">
    <w:name w:val="样式 我的标题 + 两端对齐"/>
    <w:basedOn w:val="3"/>
    <w:qFormat/>
    <w:uiPriority w:val="0"/>
    <w:pPr>
      <w:keepNext/>
      <w:keepLines/>
      <w:autoSpaceDE/>
      <w:autoSpaceDN/>
      <w:adjustRightInd/>
      <w:spacing w:before="340" w:after="330" w:line="578" w:lineRule="auto"/>
      <w:jc w:val="center"/>
    </w:pPr>
    <w:rPr>
      <w:rFonts w:ascii="Times New Roman"/>
      <w:b/>
      <w:bCs/>
      <w:kern w:val="44"/>
      <w:sz w:val="32"/>
      <w:szCs w:val="20"/>
    </w:rPr>
  </w:style>
  <w:style w:type="paragraph" w:customStyle="1" w:styleId="97">
    <w:name w:val="默认段落字体 Para Char"/>
    <w:basedOn w:val="1"/>
    <w:qFormat/>
    <w:uiPriority w:val="0"/>
    <w:pPr>
      <w:autoSpaceDE/>
      <w:autoSpaceDN/>
      <w:spacing w:line="360" w:lineRule="auto"/>
      <w:jc w:val="both"/>
    </w:pPr>
    <w:rPr>
      <w:rFonts w:ascii="Times New Roman"/>
      <w:szCs w:val="20"/>
    </w:rPr>
  </w:style>
  <w:style w:type="paragraph" w:customStyle="1" w:styleId="98">
    <w:name w:val="Char Char Char Char"/>
    <w:basedOn w:val="1"/>
    <w:qFormat/>
    <w:uiPriority w:val="0"/>
    <w:pPr>
      <w:widowControl/>
      <w:autoSpaceDE/>
      <w:autoSpaceDN/>
      <w:adjustRightInd/>
      <w:spacing w:after="160" w:line="240" w:lineRule="exact"/>
    </w:pPr>
    <w:rPr>
      <w:rFonts w:ascii="Verdana" w:hAnsi="Verdana" w:eastAsia="仿宋_GB2312"/>
      <w:szCs w:val="20"/>
      <w:lang w:eastAsia="en-US"/>
    </w:rPr>
  </w:style>
  <w:style w:type="paragraph" w:customStyle="1" w:styleId="99">
    <w:name w:val="TOC 标题1"/>
    <w:basedOn w:val="3"/>
    <w:next w:val="1"/>
    <w:qFormat/>
    <w:uiPriority w:val="0"/>
    <w:pPr>
      <w:keepNext/>
      <w:keepLines/>
      <w:widowControl/>
      <w:autoSpaceDE/>
      <w:autoSpaceDN/>
      <w:adjustRightInd/>
      <w:spacing w:before="480" w:line="276" w:lineRule="auto"/>
      <w:outlineLvl w:val="9"/>
    </w:pPr>
    <w:rPr>
      <w:rFonts w:ascii="Cambria" w:hAnsi="Cambria" w:cs="Times New Roman"/>
      <w:b/>
      <w:bCs/>
      <w:color w:val="365F91"/>
      <w:sz w:val="28"/>
      <w:szCs w:val="28"/>
    </w:rPr>
  </w:style>
  <w:style w:type="paragraph" w:customStyle="1" w:styleId="100">
    <w:name w:val="_Style 3"/>
    <w:basedOn w:val="1"/>
    <w:qFormat/>
    <w:uiPriority w:val="0"/>
    <w:pPr>
      <w:adjustRightInd/>
      <w:ind w:firstLine="420" w:firstLineChars="200"/>
      <w:jc w:val="both"/>
    </w:pPr>
    <w:rPr>
      <w:rFonts w:ascii="Times New Roman" w:hAnsi="Times New Roman" w:cs="Times New Roman"/>
      <w:kern w:val="2"/>
      <w:sz w:val="21"/>
    </w:rPr>
  </w:style>
  <w:style w:type="paragraph" w:customStyle="1" w:styleId="101">
    <w:name w:val="需求书2"/>
    <w:basedOn w:val="1"/>
    <w:qFormat/>
    <w:uiPriority w:val="0"/>
    <w:pPr>
      <w:autoSpaceDE/>
      <w:autoSpaceDN/>
      <w:adjustRightInd/>
      <w:jc w:val="both"/>
    </w:pPr>
    <w:rPr>
      <w:rFonts w:hAnsi="宋体"/>
      <w:spacing w:val="10"/>
      <w:kern w:val="2"/>
      <w:sz w:val="18"/>
      <w:szCs w:val="20"/>
    </w:rPr>
  </w:style>
  <w:style w:type="paragraph" w:customStyle="1" w:styleId="102">
    <w:name w:val="Char Char Char Char1"/>
    <w:basedOn w:val="4"/>
    <w:qFormat/>
    <w:uiPriority w:val="0"/>
    <w:pPr>
      <w:keepNext/>
      <w:keepLines/>
      <w:pageBreakBefore/>
      <w:widowControl/>
      <w:numPr>
        <w:ilvl w:val="1"/>
        <w:numId w:val="7"/>
      </w:numPr>
      <w:autoSpaceDE/>
      <w:autoSpaceDN/>
      <w:adjustRightInd/>
      <w:spacing w:before="180" w:after="160" w:line="240" w:lineRule="exact"/>
    </w:pPr>
    <w:rPr>
      <w:rFonts w:ascii="Verdana" w:hAnsi="Verdana" w:eastAsia="黑体"/>
      <w:bCs/>
      <w:sz w:val="32"/>
      <w:szCs w:val="32"/>
      <w:lang w:eastAsia="en-US"/>
    </w:rPr>
  </w:style>
  <w:style w:type="paragraph" w:customStyle="1" w:styleId="103">
    <w:name w:val="Char1"/>
    <w:basedOn w:val="17"/>
    <w:qFormat/>
    <w:uiPriority w:val="0"/>
    <w:pPr>
      <w:autoSpaceDE/>
      <w:autoSpaceDN/>
      <w:adjustRightInd/>
      <w:jc w:val="both"/>
    </w:pPr>
    <w:rPr>
      <w:rFonts w:ascii="Tahoma" w:hAnsi="Tahoma"/>
      <w:kern w:val="2"/>
    </w:rPr>
  </w:style>
  <w:style w:type="paragraph" w:customStyle="1" w:styleId="104">
    <w:name w:val="xl39"/>
    <w:basedOn w:val="1"/>
    <w:qFormat/>
    <w:uiPriority w:val="0"/>
    <w:pPr>
      <w:widowControl/>
      <w:autoSpaceDE/>
      <w:autoSpaceDN/>
      <w:adjustRightInd/>
      <w:spacing w:before="100" w:beforeAutospacing="1" w:after="100" w:afterAutospacing="1"/>
    </w:pPr>
    <w:rPr>
      <w:rFonts w:ascii="Arial Unicode MS" w:hAnsi="Arial Unicode MS" w:eastAsia="Arial Unicode MS"/>
      <w:sz w:val="20"/>
      <w:szCs w:val="20"/>
    </w:rPr>
  </w:style>
  <w:style w:type="paragraph" w:customStyle="1" w:styleId="105">
    <w:name w:val="Blockquote"/>
    <w:basedOn w:val="1"/>
    <w:qFormat/>
    <w:uiPriority w:val="0"/>
    <w:pPr>
      <w:spacing w:before="100" w:after="100"/>
      <w:ind w:left="360" w:right="360"/>
    </w:pPr>
    <w:rPr>
      <w:rFonts w:ascii="Times New Roman" w:hAnsi="Times New Roman" w:cs="Times New Roman"/>
      <w:szCs w:val="20"/>
    </w:rPr>
  </w:style>
  <w:style w:type="paragraph" w:customStyle="1" w:styleId="106">
    <w:name w:val="样式 标题 2 + Times New Roman 四号 非加粗 段前: 5 磅 段后: 0 磅 行距: 固定值 20..."/>
    <w:basedOn w:val="4"/>
    <w:qFormat/>
    <w:uiPriority w:val="0"/>
    <w:pPr>
      <w:spacing w:before="100" w:line="400" w:lineRule="exact"/>
    </w:pPr>
    <w:rPr>
      <w:rFonts w:ascii="Times New Roman" w:hAnsi="Times New Roman"/>
      <w:b w:val="0"/>
      <w:sz w:val="28"/>
      <w:szCs w:val="20"/>
    </w:rPr>
  </w:style>
  <w:style w:type="paragraph" w:customStyle="1" w:styleId="107">
    <w:name w:val="Char"/>
    <w:basedOn w:val="1"/>
    <w:qFormat/>
    <w:uiPriority w:val="0"/>
    <w:pPr>
      <w:widowControl/>
      <w:autoSpaceDE/>
      <w:autoSpaceDN/>
      <w:adjustRightInd/>
      <w:spacing w:line="400" w:lineRule="exact"/>
      <w:jc w:val="center"/>
    </w:pPr>
    <w:rPr>
      <w:rFonts w:ascii="Times New Roman"/>
      <w:sz w:val="21"/>
      <w:szCs w:val="20"/>
    </w:rPr>
  </w:style>
  <w:style w:type="paragraph" w:customStyle="1" w:styleId="108">
    <w:name w:val="技术响应1"/>
    <w:basedOn w:val="1"/>
    <w:qFormat/>
    <w:uiPriority w:val="0"/>
    <w:pPr>
      <w:widowControl/>
      <w:autoSpaceDE/>
      <w:autoSpaceDN/>
      <w:adjustRightInd/>
      <w:spacing w:line="360" w:lineRule="auto"/>
      <w:ind w:firstLine="588"/>
      <w:jc w:val="center"/>
    </w:pPr>
    <w:rPr>
      <w:b/>
      <w:sz w:val="28"/>
      <w:szCs w:val="20"/>
    </w:rPr>
  </w:style>
  <w:style w:type="paragraph" w:customStyle="1" w:styleId="109">
    <w:name w:val="xl32"/>
    <w:basedOn w:val="1"/>
    <w:qFormat/>
    <w:uiPriority w:val="0"/>
    <w:pPr>
      <w:widowControl/>
      <w:pBdr>
        <w:top w:val="single" w:color="auto" w:sz="4" w:space="0"/>
        <w:left w:val="single" w:color="auto" w:sz="4" w:space="0"/>
        <w:bottom w:val="single" w:color="auto" w:sz="4" w:space="0"/>
        <w:right w:val="single" w:color="auto" w:sz="4" w:space="0"/>
      </w:pBdr>
      <w:autoSpaceDE/>
      <w:autoSpaceDN/>
      <w:adjustRightInd/>
      <w:spacing w:before="100" w:beforeAutospacing="1" w:after="100" w:afterAutospacing="1"/>
      <w:textAlignment w:val="center"/>
    </w:pPr>
    <w:rPr>
      <w:rFonts w:ascii="Arial Unicode MS" w:hAnsi="Arial Unicode MS" w:eastAsia="Arial Unicode MS"/>
      <w:sz w:val="20"/>
      <w:szCs w:val="20"/>
    </w:rPr>
  </w:style>
  <w:style w:type="paragraph" w:customStyle="1" w:styleId="110">
    <w:name w:val="D标3"/>
    <w:basedOn w:val="5"/>
    <w:qFormat/>
    <w:uiPriority w:val="0"/>
    <w:pPr>
      <w:numPr>
        <w:ilvl w:val="0"/>
        <w:numId w:val="8"/>
      </w:numPr>
      <w:spacing w:before="120" w:line="480" w:lineRule="atLeast"/>
      <w:jc w:val="both"/>
    </w:pPr>
    <w:rPr>
      <w:rFonts w:ascii="Times New Roman" w:hAnsi="Times New Roman" w:cs="Times New Roman"/>
      <w:szCs w:val="20"/>
    </w:rPr>
  </w:style>
  <w:style w:type="paragraph" w:customStyle="1" w:styleId="111">
    <w:name w:val="xl34"/>
    <w:basedOn w:val="1"/>
    <w:qFormat/>
    <w:uiPriority w:val="0"/>
    <w:pPr>
      <w:widowControl/>
      <w:pBdr>
        <w:top w:val="single" w:color="auto" w:sz="4" w:space="0"/>
        <w:left w:val="single" w:color="auto" w:sz="4" w:space="0"/>
        <w:bottom w:val="single" w:color="auto" w:sz="4" w:space="0"/>
        <w:right w:val="single" w:color="auto" w:sz="4" w:space="0"/>
      </w:pBdr>
      <w:autoSpaceDE/>
      <w:autoSpaceDN/>
      <w:adjustRightInd/>
      <w:spacing w:before="100" w:beforeAutospacing="1" w:after="100" w:afterAutospacing="1"/>
      <w:jc w:val="center"/>
    </w:pPr>
    <w:rPr>
      <w:rFonts w:hAnsi="宋体"/>
    </w:rPr>
  </w:style>
  <w:style w:type="paragraph" w:customStyle="1" w:styleId="112">
    <w:name w:val="_Style 202"/>
    <w:basedOn w:val="1"/>
    <w:qFormat/>
    <w:uiPriority w:val="0"/>
    <w:pPr>
      <w:tabs>
        <w:tab w:val="left" w:pos="360"/>
      </w:tabs>
      <w:autoSpaceDE/>
      <w:autoSpaceDN/>
      <w:adjustRightInd/>
      <w:jc w:val="both"/>
    </w:pPr>
    <w:rPr>
      <w:rFonts w:ascii="Times New Roman"/>
      <w:kern w:val="2"/>
      <w:sz w:val="21"/>
    </w:rPr>
  </w:style>
  <w:style w:type="paragraph" w:customStyle="1" w:styleId="113">
    <w:name w:val="xl36"/>
    <w:basedOn w:val="1"/>
    <w:qFormat/>
    <w:uiPriority w:val="0"/>
    <w:pPr>
      <w:widowControl/>
      <w:pBdr>
        <w:top w:val="single" w:color="auto" w:sz="4" w:space="0"/>
        <w:left w:val="single" w:color="auto" w:sz="4" w:space="0"/>
        <w:bottom w:val="single" w:color="auto" w:sz="4" w:space="0"/>
        <w:right w:val="single" w:color="auto" w:sz="4" w:space="0"/>
      </w:pBdr>
      <w:shd w:val="clear" w:color="auto" w:fill="C0C0C0"/>
      <w:autoSpaceDE/>
      <w:autoSpaceDN/>
      <w:adjustRightInd/>
      <w:spacing w:before="100" w:beforeAutospacing="1" w:after="100" w:afterAutospacing="1"/>
      <w:jc w:val="center"/>
      <w:textAlignment w:val="center"/>
    </w:pPr>
    <w:rPr>
      <w:rFonts w:ascii="Arial Unicode MS" w:hAnsi="Arial Unicode MS" w:eastAsia="Arial Unicode MS"/>
      <w:b/>
      <w:sz w:val="20"/>
      <w:szCs w:val="20"/>
    </w:rPr>
  </w:style>
  <w:style w:type="paragraph" w:customStyle="1" w:styleId="114">
    <w:name w:val="shall-正文"/>
    <w:basedOn w:val="1"/>
    <w:qFormat/>
    <w:uiPriority w:val="0"/>
    <w:pPr>
      <w:snapToGrid w:val="0"/>
      <w:spacing w:beforeLines="30" w:line="288" w:lineRule="auto"/>
      <w:ind w:firstLine="200" w:firstLineChars="200"/>
    </w:pPr>
    <w:rPr>
      <w:rFonts w:eastAsia="华文细黑"/>
    </w:rPr>
  </w:style>
  <w:style w:type="paragraph" w:customStyle="1" w:styleId="115">
    <w:name w:val="xl38"/>
    <w:basedOn w:val="1"/>
    <w:qFormat/>
    <w:uiPriority w:val="0"/>
    <w:pPr>
      <w:widowControl/>
      <w:pBdr>
        <w:bottom w:val="single" w:color="auto" w:sz="4" w:space="0"/>
      </w:pBdr>
      <w:autoSpaceDE/>
      <w:autoSpaceDN/>
      <w:adjustRightInd/>
      <w:spacing w:before="100" w:beforeAutospacing="1" w:after="100" w:afterAutospacing="1"/>
      <w:jc w:val="center"/>
      <w:textAlignment w:val="center"/>
    </w:pPr>
    <w:rPr>
      <w:rFonts w:ascii="Arial Unicode MS" w:hAnsi="Arial Unicode MS" w:eastAsia="Arial Unicode MS"/>
      <w:b/>
      <w:sz w:val="36"/>
      <w:szCs w:val="20"/>
    </w:rPr>
  </w:style>
  <w:style w:type="paragraph" w:customStyle="1" w:styleId="116">
    <w:name w:val="p2"/>
    <w:basedOn w:val="1"/>
    <w:qFormat/>
    <w:uiPriority w:val="0"/>
    <w:rPr>
      <w:rFonts w:cs="Times New Roman"/>
    </w:rPr>
  </w:style>
  <w:style w:type="paragraph" w:customStyle="1" w:styleId="117">
    <w:name w:val="Char Char Char Char Char Char"/>
    <w:basedOn w:val="1"/>
    <w:qFormat/>
    <w:uiPriority w:val="0"/>
    <w:pPr>
      <w:widowControl/>
      <w:autoSpaceDE/>
      <w:autoSpaceDN/>
      <w:adjustRightInd/>
      <w:spacing w:after="160" w:line="240" w:lineRule="exact"/>
    </w:pPr>
    <w:rPr>
      <w:rFonts w:ascii="Times New Roman"/>
      <w:kern w:val="2"/>
      <w:lang w:eastAsia="en-US"/>
    </w:rPr>
  </w:style>
  <w:style w:type="paragraph" w:customStyle="1" w:styleId="118">
    <w:name w:val="标题4"/>
    <w:basedOn w:val="75"/>
    <w:qFormat/>
    <w:uiPriority w:val="0"/>
    <w:pPr>
      <w:spacing w:line="540" w:lineRule="exact"/>
      <w:ind w:firstLine="0" w:firstLineChars="0"/>
    </w:pPr>
    <w:rPr>
      <w:rFonts w:hAnsi="Times New Roman"/>
      <w:szCs w:val="24"/>
    </w:rPr>
  </w:style>
  <w:style w:type="paragraph" w:styleId="119">
    <w:name w:val="No Spacing"/>
    <w:qFormat/>
    <w:uiPriority w:val="0"/>
    <w:pPr>
      <w:widowControl w:val="0"/>
      <w:jc w:val="both"/>
    </w:pPr>
    <w:rPr>
      <w:rFonts w:ascii="Calibri" w:hAnsi="Calibri" w:eastAsia="宋体" w:cs="宋体"/>
      <w:kern w:val="2"/>
      <w:sz w:val="21"/>
      <w:szCs w:val="24"/>
      <w:lang w:val="en-US" w:eastAsia="zh-CN" w:bidi="ar-SA"/>
    </w:rPr>
  </w:style>
  <w:style w:type="paragraph" w:customStyle="1" w:styleId="120">
    <w:name w:val="xl29"/>
    <w:basedOn w:val="1"/>
    <w:qFormat/>
    <w:uiPriority w:val="0"/>
    <w:pPr>
      <w:widowControl/>
      <w:pBdr>
        <w:top w:val="single" w:color="auto" w:sz="4" w:space="0"/>
        <w:left w:val="single" w:color="auto" w:sz="4" w:space="0"/>
        <w:bottom w:val="single" w:color="auto" w:sz="4" w:space="0"/>
        <w:right w:val="single" w:color="auto" w:sz="4" w:space="0"/>
      </w:pBdr>
      <w:shd w:val="clear" w:color="auto" w:fill="CC99FF"/>
      <w:autoSpaceDE/>
      <w:autoSpaceDN/>
      <w:adjustRightInd/>
      <w:spacing w:before="100" w:beforeAutospacing="1" w:after="100" w:afterAutospacing="1"/>
      <w:jc w:val="center"/>
      <w:textAlignment w:val="center"/>
    </w:pPr>
    <w:rPr>
      <w:rFonts w:ascii="Arial Unicode MS" w:hAnsi="Arial Unicode MS" w:eastAsia="Arial Unicode MS"/>
      <w:sz w:val="20"/>
      <w:szCs w:val="20"/>
    </w:rPr>
  </w:style>
  <w:style w:type="paragraph" w:customStyle="1" w:styleId="121">
    <w:name w:val="列表正文"/>
    <w:basedOn w:val="1"/>
    <w:qFormat/>
    <w:uiPriority w:val="0"/>
    <w:pPr>
      <w:autoSpaceDE/>
      <w:autoSpaceDN/>
      <w:snapToGrid w:val="0"/>
      <w:spacing w:line="300" w:lineRule="auto"/>
      <w:ind w:left="200" w:leftChars="200" w:firstLine="200" w:firstLineChars="200"/>
      <w:jc w:val="both"/>
    </w:pPr>
    <w:rPr>
      <w:rFonts w:ascii="Times New Roman"/>
      <w:kern w:val="2"/>
      <w:sz w:val="21"/>
    </w:rPr>
  </w:style>
  <w:style w:type="paragraph" w:customStyle="1" w:styleId="122">
    <w:name w:val="Char Char2 Char"/>
    <w:basedOn w:val="1"/>
    <w:qFormat/>
    <w:uiPriority w:val="0"/>
    <w:pPr>
      <w:autoSpaceDE/>
      <w:autoSpaceDN/>
      <w:adjustRightInd/>
      <w:jc w:val="both"/>
    </w:pPr>
    <w:rPr>
      <w:rFonts w:hAnsi="宋体"/>
      <w:b/>
      <w:kern w:val="2"/>
      <w:sz w:val="28"/>
      <w:szCs w:val="28"/>
    </w:rPr>
  </w:style>
  <w:style w:type="paragraph" w:customStyle="1" w:styleId="123">
    <w:name w:val="版权"/>
    <w:basedOn w:val="1"/>
    <w:qFormat/>
    <w:uiPriority w:val="0"/>
    <w:pPr>
      <w:autoSpaceDE/>
      <w:autoSpaceDN/>
      <w:adjustRightInd/>
      <w:spacing w:before="312" w:after="312"/>
      <w:ind w:firstLine="480"/>
      <w:jc w:val="center"/>
      <w:outlineLvl w:val="0"/>
    </w:pPr>
    <w:rPr>
      <w:rFonts w:ascii="华文中宋" w:hAnsi="华文中宋"/>
      <w:b/>
      <w:kern w:val="2"/>
      <w:szCs w:val="20"/>
    </w:rPr>
  </w:style>
  <w:style w:type="paragraph" w:customStyle="1" w:styleId="124">
    <w:name w:val="LEGALB Cont 2"/>
    <w:basedOn w:val="1"/>
    <w:qFormat/>
    <w:uiPriority w:val="0"/>
    <w:pPr>
      <w:widowControl/>
      <w:tabs>
        <w:tab w:val="left" w:pos="720"/>
      </w:tabs>
      <w:spacing w:after="240"/>
      <w:ind w:left="720" w:leftChars="300"/>
    </w:pPr>
    <w:rPr>
      <w:rFonts w:ascii="Calibri" w:eastAsia="DFKai-SB" w:cs="Times New Roman"/>
      <w:lang w:eastAsia="en-US"/>
    </w:rPr>
  </w:style>
  <w:style w:type="paragraph" w:customStyle="1" w:styleId="125">
    <w:name w:val="表格栏头"/>
    <w:basedOn w:val="126"/>
    <w:next w:val="126"/>
    <w:qFormat/>
    <w:uiPriority w:val="0"/>
    <w:rPr>
      <w:b/>
    </w:rPr>
  </w:style>
  <w:style w:type="paragraph" w:customStyle="1" w:styleId="126">
    <w:name w:val="表格正文"/>
    <w:basedOn w:val="1"/>
    <w:qFormat/>
    <w:uiPriority w:val="0"/>
    <w:pPr>
      <w:widowControl/>
      <w:overflowPunct w:val="0"/>
      <w:spacing w:before="312" w:after="312" w:line="360" w:lineRule="auto"/>
      <w:textAlignment w:val="baseline"/>
    </w:pPr>
    <w:rPr>
      <w:rFonts w:hAnsi="Tahoma"/>
      <w:szCs w:val="20"/>
    </w:rPr>
  </w:style>
  <w:style w:type="paragraph" w:customStyle="1" w:styleId="127">
    <w:name w:val="正文列表"/>
    <w:basedOn w:val="1"/>
    <w:qFormat/>
    <w:uiPriority w:val="0"/>
    <w:pPr>
      <w:jc w:val="center"/>
      <w:textAlignment w:val="baseline"/>
    </w:pPr>
    <w:rPr>
      <w:rFonts w:hAnsi="宋体"/>
      <w:szCs w:val="20"/>
    </w:rPr>
  </w:style>
  <w:style w:type="paragraph" w:customStyle="1" w:styleId="128">
    <w:name w:val="图"/>
    <w:basedOn w:val="1"/>
    <w:qFormat/>
    <w:uiPriority w:val="0"/>
    <w:pPr>
      <w:keepNext/>
      <w:autoSpaceDE/>
      <w:autoSpaceDN/>
      <w:spacing w:before="60" w:after="60" w:line="300" w:lineRule="auto"/>
      <w:jc w:val="center"/>
      <w:textAlignment w:val="center"/>
    </w:pPr>
    <w:rPr>
      <w:rFonts w:ascii="Times New Roman"/>
      <w:snapToGrid w:val="0"/>
      <w:spacing w:val="20"/>
      <w:szCs w:val="20"/>
    </w:rPr>
  </w:style>
  <w:style w:type="paragraph" w:customStyle="1" w:styleId="129">
    <w:name w:val="题注4"/>
    <w:basedOn w:val="1"/>
    <w:next w:val="14"/>
    <w:qFormat/>
    <w:uiPriority w:val="0"/>
    <w:pPr>
      <w:autoSpaceDE/>
      <w:autoSpaceDN/>
      <w:adjustRightInd/>
      <w:ind w:left="-132" w:leftChars="-64" w:right="-105" w:rightChars="-50" w:hanging="2"/>
      <w:jc w:val="center"/>
    </w:pPr>
    <w:rPr>
      <w:rFonts w:ascii="Times New Roman"/>
      <w:b/>
      <w:color w:val="FF0000"/>
      <w:kern w:val="2"/>
      <w:sz w:val="21"/>
      <w:szCs w:val="21"/>
      <w:lang w:val="en-GB"/>
    </w:rPr>
  </w:style>
  <w:style w:type="paragraph" w:customStyle="1" w:styleId="130">
    <w:name w:val="题目副题"/>
    <w:basedOn w:val="39"/>
    <w:qFormat/>
    <w:uiPriority w:val="0"/>
    <w:pPr>
      <w:spacing w:before="0" w:after="312"/>
      <w:ind w:left="240" w:firstLine="600"/>
      <w:jc w:val="left"/>
      <w:outlineLvl w:val="9"/>
    </w:pPr>
    <w:rPr>
      <w:rFonts w:ascii="宋体" w:hAnsi="宋体"/>
      <w:sz w:val="30"/>
    </w:rPr>
  </w:style>
  <w:style w:type="paragraph" w:customStyle="1" w:styleId="131">
    <w:name w:val="列出段落1"/>
    <w:basedOn w:val="1"/>
    <w:qFormat/>
    <w:uiPriority w:val="34"/>
    <w:pPr>
      <w:ind w:firstLine="420" w:firstLineChars="200"/>
    </w:pPr>
    <w:rPr>
      <w:rFonts w:ascii="Calibri" w:cs="黑体"/>
    </w:rPr>
  </w:style>
  <w:style w:type="paragraph" w:customStyle="1" w:styleId="132">
    <w:name w:val="xl25"/>
    <w:basedOn w:val="1"/>
    <w:qFormat/>
    <w:uiPriority w:val="0"/>
    <w:pPr>
      <w:widowControl/>
      <w:pBdr>
        <w:bottom w:val="single" w:color="auto" w:sz="4" w:space="0"/>
        <w:right w:val="single" w:color="auto" w:sz="4" w:space="0"/>
      </w:pBdr>
      <w:autoSpaceDE/>
      <w:autoSpaceDN/>
      <w:adjustRightInd/>
      <w:spacing w:before="100" w:beforeAutospacing="1" w:after="100" w:afterAutospacing="1"/>
      <w:jc w:val="center"/>
    </w:pPr>
    <w:rPr>
      <w:rFonts w:hAnsi="宋体"/>
      <w:sz w:val="21"/>
      <w:szCs w:val="21"/>
    </w:rPr>
  </w:style>
  <w:style w:type="paragraph" w:customStyle="1" w:styleId="133">
    <w:name w:val="3 Char"/>
    <w:basedOn w:val="1"/>
    <w:qFormat/>
    <w:uiPriority w:val="0"/>
    <w:pPr>
      <w:widowControl/>
      <w:autoSpaceDE/>
      <w:autoSpaceDN/>
      <w:adjustRightInd/>
      <w:spacing w:line="400" w:lineRule="exact"/>
      <w:jc w:val="center"/>
    </w:pPr>
    <w:rPr>
      <w:rFonts w:ascii="Verdana" w:hAnsi="Verdana"/>
      <w:sz w:val="21"/>
      <w:szCs w:val="20"/>
      <w:lang w:eastAsia="en-US"/>
    </w:rPr>
  </w:style>
  <w:style w:type="paragraph" w:customStyle="1" w:styleId="134">
    <w:name w:val="Char Char1 Char Char Char Char Char Char Char Char Char Char Char Char Char"/>
    <w:basedOn w:val="1"/>
    <w:qFormat/>
    <w:uiPriority w:val="0"/>
    <w:pPr>
      <w:widowControl/>
      <w:autoSpaceDE/>
      <w:autoSpaceDN/>
      <w:adjustRightInd/>
      <w:spacing w:after="160" w:line="360" w:lineRule="auto"/>
    </w:pPr>
    <w:rPr>
      <w:rFonts w:ascii="Verdana" w:hAnsi="Verdana" w:cs="Times New Roman"/>
      <w:sz w:val="21"/>
      <w:szCs w:val="20"/>
      <w:lang w:eastAsia="en-US"/>
    </w:rPr>
  </w:style>
  <w:style w:type="paragraph" w:customStyle="1" w:styleId="135">
    <w:name w:val="进度表"/>
    <w:basedOn w:val="13"/>
    <w:qFormat/>
    <w:uiPriority w:val="0"/>
    <w:pPr>
      <w:widowControl w:val="0"/>
      <w:snapToGrid w:val="0"/>
      <w:spacing w:line="440" w:lineRule="atLeast"/>
      <w:ind w:hanging="130" w:firstLineChars="0"/>
      <w:jc w:val="both"/>
    </w:pPr>
    <w:rPr>
      <w:rFonts w:ascii="宋体"/>
      <w:color w:val="000000"/>
      <w:kern w:val="2"/>
      <w:position w:val="-6"/>
      <w:sz w:val="28"/>
    </w:rPr>
  </w:style>
  <w:style w:type="paragraph" w:customStyle="1" w:styleId="136">
    <w:name w:val="大标题"/>
    <w:basedOn w:val="3"/>
    <w:qFormat/>
    <w:uiPriority w:val="0"/>
    <w:rPr>
      <w:snapToGrid w:val="0"/>
      <w:sz w:val="52"/>
      <w:szCs w:val="72"/>
    </w:rPr>
  </w:style>
  <w:style w:type="paragraph" w:customStyle="1" w:styleId="137">
    <w:name w:val="正文无缩进"/>
    <w:basedOn w:val="75"/>
    <w:qFormat/>
    <w:uiPriority w:val="0"/>
    <w:pPr>
      <w:ind w:firstLine="0" w:firstLineChars="0"/>
    </w:pPr>
  </w:style>
  <w:style w:type="paragraph" w:customStyle="1" w:styleId="138">
    <w:name w:val="标题 3.5"/>
    <w:basedOn w:val="5"/>
    <w:qFormat/>
    <w:uiPriority w:val="0"/>
    <w:pPr>
      <w:autoSpaceDE/>
      <w:autoSpaceDN/>
      <w:adjustRightInd/>
      <w:spacing w:line="600" w:lineRule="exact"/>
      <w:jc w:val="both"/>
      <w:outlineLvl w:val="9"/>
    </w:pPr>
    <w:rPr>
      <w:rFonts w:ascii="Times New Roman" w:eastAsia="仿宋_GB2312"/>
      <w:kern w:val="2"/>
      <w:sz w:val="31"/>
    </w:rPr>
  </w:style>
  <w:style w:type="paragraph" w:customStyle="1" w:styleId="139">
    <w:name w:val="题注5"/>
    <w:basedOn w:val="1"/>
    <w:next w:val="14"/>
    <w:qFormat/>
    <w:uiPriority w:val="0"/>
    <w:pPr>
      <w:autoSpaceDE/>
      <w:autoSpaceDN/>
      <w:adjustRightInd/>
      <w:jc w:val="center"/>
    </w:pPr>
    <w:rPr>
      <w:rFonts w:ascii="Times New Roman"/>
      <w:b/>
      <w:color w:val="000000"/>
      <w:kern w:val="2"/>
      <w:szCs w:val="21"/>
    </w:rPr>
  </w:style>
  <w:style w:type="paragraph" w:customStyle="1" w:styleId="140">
    <w:name w:val="xl44"/>
    <w:basedOn w:val="1"/>
    <w:qFormat/>
    <w:uiPriority w:val="0"/>
    <w:pPr>
      <w:widowControl/>
      <w:pBdr>
        <w:left w:val="single" w:color="auto" w:sz="4" w:space="0"/>
        <w:right w:val="single" w:color="auto" w:sz="4" w:space="0"/>
      </w:pBdr>
      <w:spacing w:before="100" w:beforeAutospacing="1" w:after="100" w:afterAutospacing="1"/>
      <w:jc w:val="center"/>
    </w:pPr>
    <w:rPr>
      <w:rFonts w:hint="eastAsia" w:hAnsi="宋体"/>
    </w:rPr>
  </w:style>
  <w:style w:type="paragraph" w:customStyle="1" w:styleId="141">
    <w:name w:val="Char Char1"/>
    <w:basedOn w:val="1"/>
    <w:qFormat/>
    <w:uiPriority w:val="0"/>
    <w:pPr>
      <w:widowControl/>
      <w:autoSpaceDE/>
      <w:autoSpaceDN/>
      <w:adjustRightInd/>
      <w:spacing w:after="160" w:line="240" w:lineRule="exact"/>
    </w:pPr>
    <w:rPr>
      <w:rFonts w:ascii="Verdana" w:hAnsi="Verdana" w:eastAsia="楷体_GB2312"/>
      <w:b/>
      <w:i/>
      <w:iCs/>
      <w:color w:val="000000"/>
      <w:sz w:val="20"/>
      <w:szCs w:val="20"/>
      <w:lang w:eastAsia="en-US"/>
    </w:rPr>
  </w:style>
  <w:style w:type="paragraph" w:customStyle="1" w:styleId="142">
    <w:name w:val="xl33"/>
    <w:basedOn w:val="1"/>
    <w:qFormat/>
    <w:uiPriority w:val="0"/>
    <w:pPr>
      <w:widowControl/>
      <w:autoSpaceDE/>
      <w:autoSpaceDN/>
      <w:adjustRightInd/>
      <w:spacing w:before="100" w:beforeAutospacing="1" w:after="100" w:afterAutospacing="1"/>
      <w:textAlignment w:val="center"/>
    </w:pPr>
    <w:rPr>
      <w:rFonts w:ascii="Arial Unicode MS" w:hAnsi="Arial Unicode MS" w:eastAsia="Arial Unicode MS"/>
      <w:sz w:val="20"/>
      <w:szCs w:val="20"/>
    </w:rPr>
  </w:style>
  <w:style w:type="paragraph" w:customStyle="1" w:styleId="143">
    <w:name w:val="Char Char11"/>
    <w:basedOn w:val="1"/>
    <w:qFormat/>
    <w:uiPriority w:val="0"/>
    <w:pPr>
      <w:widowControl/>
      <w:autoSpaceDE/>
      <w:autoSpaceDN/>
      <w:adjustRightInd/>
      <w:spacing w:after="160" w:line="240" w:lineRule="exact"/>
    </w:pPr>
    <w:rPr>
      <w:rFonts w:ascii="Verdana" w:hAnsi="Verdana" w:eastAsia="楷体_GB2312"/>
      <w:b/>
      <w:i/>
      <w:iCs/>
      <w:color w:val="000000"/>
      <w:sz w:val="20"/>
      <w:szCs w:val="20"/>
      <w:lang w:eastAsia="en-US"/>
    </w:rPr>
  </w:style>
  <w:style w:type="paragraph" w:styleId="144">
    <w:name w:val="List Paragraph"/>
    <w:basedOn w:val="1"/>
    <w:qFormat/>
    <w:uiPriority w:val="0"/>
    <w:pPr>
      <w:autoSpaceDE/>
      <w:autoSpaceDN/>
      <w:adjustRightInd/>
      <w:ind w:firstLine="420" w:firstLineChars="200"/>
      <w:jc w:val="both"/>
    </w:pPr>
    <w:rPr>
      <w:rFonts w:ascii="Calibri"/>
      <w:kern w:val="2"/>
      <w:sz w:val="21"/>
    </w:rPr>
  </w:style>
  <w:style w:type="paragraph" w:customStyle="1" w:styleId="145">
    <w:name w:val="xl31"/>
    <w:basedOn w:val="1"/>
    <w:qFormat/>
    <w:uiPriority w:val="0"/>
    <w:pPr>
      <w:widowControl/>
      <w:pBdr>
        <w:top w:val="single" w:color="auto" w:sz="4" w:space="0"/>
        <w:left w:val="single" w:color="auto" w:sz="4" w:space="0"/>
        <w:bottom w:val="single" w:color="auto" w:sz="4" w:space="0"/>
        <w:right w:val="single" w:color="auto" w:sz="4" w:space="0"/>
      </w:pBdr>
      <w:autoSpaceDE/>
      <w:autoSpaceDN/>
      <w:adjustRightInd/>
      <w:spacing w:before="100" w:beforeAutospacing="1" w:after="100" w:afterAutospacing="1"/>
      <w:textAlignment w:val="center"/>
    </w:pPr>
    <w:rPr>
      <w:rFonts w:ascii="Times New Roman" w:eastAsia="Arial Unicode MS"/>
      <w:sz w:val="20"/>
      <w:szCs w:val="20"/>
    </w:rPr>
  </w:style>
  <w:style w:type="paragraph" w:customStyle="1" w:styleId="146">
    <w:name w:val="目录"/>
    <w:basedOn w:val="1"/>
    <w:qFormat/>
    <w:uiPriority w:val="0"/>
    <w:pPr>
      <w:widowControl/>
      <w:autoSpaceDE/>
      <w:autoSpaceDN/>
      <w:adjustRightInd/>
      <w:spacing w:line="480" w:lineRule="auto"/>
      <w:jc w:val="center"/>
    </w:pPr>
    <w:rPr>
      <w:b/>
      <w:szCs w:val="20"/>
    </w:rPr>
  </w:style>
  <w:style w:type="paragraph" w:customStyle="1" w:styleId="147">
    <w:name w:val="xl26"/>
    <w:basedOn w:val="1"/>
    <w:qFormat/>
    <w:uiPriority w:val="0"/>
    <w:pPr>
      <w:widowControl/>
      <w:autoSpaceDE/>
      <w:autoSpaceDN/>
      <w:adjustRightInd/>
      <w:spacing w:before="100" w:beforeAutospacing="1" w:after="100" w:afterAutospacing="1"/>
      <w:jc w:val="center"/>
    </w:pPr>
    <w:rPr>
      <w:rFonts w:hint="eastAsia" w:ascii="仿宋_GB2312" w:hAnsi="宋体" w:eastAsia="仿宋_GB2312"/>
    </w:rPr>
  </w:style>
  <w:style w:type="paragraph" w:customStyle="1" w:styleId="148">
    <w:name w:val="Char11"/>
    <w:basedOn w:val="17"/>
    <w:qFormat/>
    <w:uiPriority w:val="0"/>
    <w:pPr>
      <w:autoSpaceDE/>
      <w:autoSpaceDN/>
      <w:adjustRightInd/>
      <w:jc w:val="both"/>
    </w:pPr>
    <w:rPr>
      <w:rFonts w:ascii="Tahoma" w:hAnsi="Tahoma" w:cs="Times New Roman"/>
      <w:kern w:val="2"/>
    </w:rPr>
  </w:style>
  <w:style w:type="paragraph" w:customStyle="1" w:styleId="149">
    <w:name w:val="Char21"/>
    <w:basedOn w:val="1"/>
    <w:qFormat/>
    <w:uiPriority w:val="0"/>
    <w:pPr>
      <w:widowControl/>
      <w:autoSpaceDE/>
      <w:autoSpaceDN/>
      <w:adjustRightInd/>
      <w:spacing w:after="160" w:line="240" w:lineRule="exact"/>
      <w:jc w:val="center"/>
    </w:pPr>
    <w:rPr>
      <w:rFonts w:ascii="黑体" w:hAnsi="Verdana" w:eastAsia="黑体"/>
      <w:sz w:val="32"/>
      <w:szCs w:val="32"/>
      <w:lang w:eastAsia="en-US"/>
    </w:rPr>
  </w:style>
  <w:style w:type="paragraph" w:customStyle="1" w:styleId="150">
    <w:name w:val="普通(Web)"/>
    <w:basedOn w:val="1"/>
    <w:qFormat/>
    <w:uiPriority w:val="0"/>
    <w:pPr>
      <w:widowControl/>
      <w:autoSpaceDE/>
      <w:autoSpaceDN/>
      <w:adjustRightInd/>
      <w:spacing w:before="100" w:beforeAutospacing="1" w:after="100" w:afterAutospacing="1" w:line="240" w:lineRule="atLeast"/>
      <w:ind w:firstLine="360"/>
    </w:pPr>
    <w:rPr>
      <w:rFonts w:hAnsi="宋体"/>
      <w:sz w:val="18"/>
      <w:szCs w:val="20"/>
    </w:rPr>
  </w:style>
  <w:style w:type="paragraph" w:customStyle="1" w:styleId="151">
    <w:name w:val="信息标题2"/>
    <w:basedOn w:val="14"/>
    <w:next w:val="14"/>
    <w:qFormat/>
    <w:uiPriority w:val="0"/>
    <w:pPr>
      <w:autoSpaceDE/>
      <w:autoSpaceDN/>
      <w:adjustRightInd/>
      <w:spacing w:beforeLines="50" w:afterLines="50"/>
      <w:ind w:left="422" w:hanging="422" w:hangingChars="200"/>
    </w:pPr>
    <w:rPr>
      <w:rFonts w:ascii="Arial Black" w:hAnsi="Arial Black" w:eastAsia="宋体" w:cs="Times New Roman"/>
      <w:b/>
      <w:kern w:val="2"/>
      <w:sz w:val="30"/>
    </w:rPr>
  </w:style>
  <w:style w:type="paragraph" w:customStyle="1" w:styleId="152">
    <w:name w:val="表中文字"/>
    <w:basedOn w:val="1"/>
    <w:qFormat/>
    <w:uiPriority w:val="0"/>
    <w:pPr>
      <w:spacing w:line="400" w:lineRule="atLeast"/>
      <w:ind w:left="35" w:leftChars="14" w:hanging="1"/>
      <w:jc w:val="center"/>
      <w:textAlignment w:val="baseline"/>
    </w:pPr>
    <w:rPr>
      <w:rFonts w:ascii="Verdana" w:hAnsi="Verdana"/>
      <w:sz w:val="21"/>
      <w:szCs w:val="28"/>
    </w:rPr>
  </w:style>
  <w:style w:type="paragraph" w:customStyle="1" w:styleId="153">
    <w:name w:val="xl28"/>
    <w:basedOn w:val="1"/>
    <w:qFormat/>
    <w:uiPriority w:val="0"/>
    <w:pPr>
      <w:widowControl/>
      <w:autoSpaceDE/>
      <w:autoSpaceDN/>
      <w:adjustRightInd/>
      <w:spacing w:before="100" w:beforeAutospacing="1" w:after="100" w:afterAutospacing="1"/>
      <w:jc w:val="center"/>
      <w:textAlignment w:val="center"/>
    </w:pPr>
    <w:rPr>
      <w:rFonts w:ascii="Arial Unicode MS" w:hAnsi="Arial Unicode MS" w:eastAsia="Arial Unicode MS"/>
      <w:sz w:val="20"/>
      <w:szCs w:val="20"/>
    </w:rPr>
  </w:style>
  <w:style w:type="paragraph" w:customStyle="1" w:styleId="154">
    <w:name w:val="xl27"/>
    <w:basedOn w:val="1"/>
    <w:qFormat/>
    <w:uiPriority w:val="0"/>
    <w:pPr>
      <w:widowControl/>
      <w:pBdr>
        <w:top w:val="single" w:color="auto" w:sz="4" w:space="0"/>
        <w:left w:val="single" w:color="auto" w:sz="4" w:space="0"/>
        <w:bottom w:val="single" w:color="auto" w:sz="4" w:space="0"/>
        <w:right w:val="single" w:color="auto" w:sz="4" w:space="0"/>
      </w:pBdr>
      <w:autoSpaceDE/>
      <w:autoSpaceDN/>
      <w:adjustRightInd/>
      <w:spacing w:before="100" w:beforeAutospacing="1" w:after="100" w:afterAutospacing="1"/>
      <w:jc w:val="center"/>
      <w:textAlignment w:val="center"/>
    </w:pPr>
    <w:rPr>
      <w:rFonts w:ascii="Arial Unicode MS" w:hAnsi="Arial Unicode MS" w:eastAsia="Arial Unicode MS"/>
      <w:sz w:val="20"/>
      <w:szCs w:val="20"/>
    </w:rPr>
  </w:style>
  <w:style w:type="paragraph" w:customStyle="1" w:styleId="155">
    <w:name w:val="xl30"/>
    <w:basedOn w:val="1"/>
    <w:qFormat/>
    <w:uiPriority w:val="0"/>
    <w:pPr>
      <w:widowControl/>
      <w:pBdr>
        <w:top w:val="single" w:color="auto" w:sz="4" w:space="0"/>
        <w:left w:val="single" w:color="auto" w:sz="4" w:space="0"/>
        <w:bottom w:val="single" w:color="auto" w:sz="4" w:space="0"/>
        <w:right w:val="single" w:color="auto" w:sz="4" w:space="0"/>
      </w:pBdr>
      <w:shd w:val="clear" w:color="auto" w:fill="CC99FF"/>
      <w:autoSpaceDE/>
      <w:autoSpaceDN/>
      <w:adjustRightInd/>
      <w:spacing w:before="100" w:beforeAutospacing="1" w:after="100" w:afterAutospacing="1"/>
      <w:jc w:val="center"/>
      <w:textAlignment w:val="center"/>
    </w:pPr>
    <w:rPr>
      <w:rFonts w:ascii="Arial Unicode MS" w:hAnsi="Arial Unicode MS" w:eastAsia="Arial Unicode MS"/>
      <w:b/>
      <w:sz w:val="20"/>
      <w:szCs w:val="20"/>
    </w:rPr>
  </w:style>
  <w:style w:type="paragraph" w:customStyle="1" w:styleId="156">
    <w:name w:val="xl37"/>
    <w:basedOn w:val="1"/>
    <w:qFormat/>
    <w:uiPriority w:val="0"/>
    <w:pPr>
      <w:widowControl/>
      <w:pBdr>
        <w:top w:val="single" w:color="auto" w:sz="4" w:space="0"/>
        <w:bottom w:val="single" w:color="auto" w:sz="4" w:space="0"/>
        <w:right w:val="single" w:color="auto" w:sz="4" w:space="0"/>
      </w:pBdr>
      <w:autoSpaceDE/>
      <w:autoSpaceDN/>
      <w:adjustRightInd/>
      <w:spacing w:before="100" w:beforeAutospacing="1" w:after="100" w:afterAutospacing="1"/>
      <w:textAlignment w:val="center"/>
    </w:pPr>
    <w:rPr>
      <w:rFonts w:ascii="Arial Unicode MS" w:hAnsi="Arial Unicode MS" w:eastAsia="Arial Unicode MS"/>
      <w:sz w:val="20"/>
      <w:szCs w:val="20"/>
    </w:rPr>
  </w:style>
  <w:style w:type="paragraph" w:customStyle="1" w:styleId="157">
    <w:name w:val="正文（缩进）"/>
    <w:basedOn w:val="1"/>
    <w:qFormat/>
    <w:uiPriority w:val="0"/>
    <w:pPr>
      <w:autoSpaceDE/>
      <w:autoSpaceDN/>
      <w:adjustRightInd/>
      <w:spacing w:beforeLines="50" w:afterLines="50" w:line="360" w:lineRule="auto"/>
      <w:ind w:firstLine="480" w:firstLineChars="200"/>
      <w:jc w:val="both"/>
    </w:pPr>
    <w:rPr>
      <w:rFonts w:ascii="Times New Roman"/>
      <w:kern w:val="2"/>
    </w:rPr>
  </w:style>
  <w:style w:type="paragraph" w:customStyle="1" w:styleId="158">
    <w:name w:val="样式 样式 样式 首行缩进:  2 字符1 + 首行缩进:  2 字符 + 首行缩进:  2 字符"/>
    <w:basedOn w:val="1"/>
    <w:semiHidden/>
    <w:qFormat/>
    <w:uiPriority w:val="0"/>
    <w:pPr>
      <w:kinsoku w:val="0"/>
      <w:overflowPunct w:val="0"/>
      <w:ind w:firstLine="200" w:firstLineChars="200"/>
    </w:pPr>
    <w:rPr>
      <w:rFonts w:ascii="仿宋_GB2312" w:hAnsi="宋体" w:eastAsia="仿宋_GB2312"/>
      <w:sz w:val="32"/>
      <w:szCs w:val="20"/>
    </w:rPr>
  </w:style>
  <w:style w:type="paragraph" w:customStyle="1" w:styleId="159">
    <w:name w:val="样式 标题 3Level 3 HeadH3Heading 3 - oldh3sect1.2.3Head33l3..."/>
    <w:basedOn w:val="5"/>
    <w:qFormat/>
    <w:uiPriority w:val="0"/>
    <w:pPr>
      <w:tabs>
        <w:tab w:val="left" w:pos="720"/>
      </w:tabs>
      <w:autoSpaceDE/>
      <w:autoSpaceDN/>
      <w:adjustRightInd/>
      <w:spacing w:line="360" w:lineRule="auto"/>
      <w:ind w:left="720" w:hanging="720"/>
      <w:jc w:val="both"/>
    </w:pPr>
    <w:rPr>
      <w:rFonts w:ascii="Times New Roman"/>
      <w:kern w:val="2"/>
      <w:sz w:val="21"/>
      <w:szCs w:val="20"/>
    </w:rPr>
  </w:style>
  <w:style w:type="paragraph" w:customStyle="1" w:styleId="160">
    <w:name w:val="p0"/>
    <w:basedOn w:val="1"/>
    <w:qFormat/>
    <w:uiPriority w:val="99"/>
    <w:pPr>
      <w:widowControl/>
    </w:pPr>
    <w:rPr>
      <w:szCs w:val="21"/>
    </w:rPr>
  </w:style>
  <w:style w:type="paragraph" w:customStyle="1" w:styleId="161">
    <w:name w:val="font5"/>
    <w:basedOn w:val="1"/>
    <w:qFormat/>
    <w:uiPriority w:val="0"/>
    <w:pPr>
      <w:widowControl/>
      <w:autoSpaceDE/>
      <w:autoSpaceDN/>
      <w:adjustRightInd/>
      <w:spacing w:before="100" w:beforeAutospacing="1" w:after="100" w:afterAutospacing="1"/>
    </w:pPr>
    <w:rPr>
      <w:rFonts w:hint="eastAsia" w:hAnsi="宋体"/>
      <w:sz w:val="18"/>
      <w:szCs w:val="20"/>
    </w:rPr>
  </w:style>
  <w:style w:type="paragraph" w:customStyle="1" w:styleId="162">
    <w:name w:val="Char1 Char Char Char Char Char Char"/>
    <w:basedOn w:val="1"/>
    <w:qFormat/>
    <w:uiPriority w:val="0"/>
    <w:pPr>
      <w:widowControl/>
      <w:autoSpaceDE/>
      <w:autoSpaceDN/>
      <w:adjustRightInd/>
      <w:spacing w:line="400" w:lineRule="exact"/>
      <w:jc w:val="center"/>
    </w:pPr>
    <w:rPr>
      <w:rFonts w:ascii="Verdana" w:hAnsi="Verdana" w:cs="Times New Roman"/>
      <w:sz w:val="21"/>
      <w:szCs w:val="20"/>
      <w:lang w:eastAsia="en-US"/>
    </w:rPr>
  </w:style>
  <w:style w:type="paragraph" w:customStyle="1" w:styleId="163">
    <w:name w:val="投标文件格式"/>
    <w:basedOn w:val="28"/>
    <w:qFormat/>
    <w:uiPriority w:val="0"/>
    <w:pPr>
      <w:jc w:val="center"/>
    </w:pPr>
    <w:rPr>
      <w:rFonts w:hAnsi="Times New Roman"/>
      <w:b/>
    </w:rPr>
  </w:style>
  <w:style w:type="paragraph" w:customStyle="1" w:styleId="164">
    <w:name w:val="日期右"/>
    <w:basedOn w:val="30"/>
    <w:qFormat/>
    <w:uiPriority w:val="0"/>
    <w:pPr>
      <w:autoSpaceDE/>
      <w:autoSpaceDN/>
      <w:adjustRightInd/>
      <w:spacing w:line="600" w:lineRule="exact"/>
      <w:ind w:left="0" w:leftChars="0"/>
      <w:jc w:val="right"/>
    </w:pPr>
    <w:rPr>
      <w:rFonts w:ascii="Times New Roman" w:eastAsia="仿宋_GB2312"/>
      <w:b w:val="0"/>
      <w:bCs w:val="0"/>
      <w:sz w:val="31"/>
      <w:szCs w:val="24"/>
      <w:lang w:val="en-US"/>
    </w:rPr>
  </w:style>
  <w:style w:type="paragraph" w:customStyle="1" w:styleId="165">
    <w:name w:val="Char1 Char Char Char"/>
    <w:basedOn w:val="1"/>
    <w:qFormat/>
    <w:uiPriority w:val="0"/>
    <w:pPr>
      <w:autoSpaceDE/>
      <w:autoSpaceDN/>
      <w:adjustRightInd/>
      <w:jc w:val="both"/>
    </w:pPr>
    <w:rPr>
      <w:rFonts w:ascii="Tahoma" w:hAnsi="Tahoma"/>
      <w:kern w:val="2"/>
      <w:szCs w:val="20"/>
    </w:rPr>
  </w:style>
  <w:style w:type="paragraph" w:customStyle="1" w:styleId="166">
    <w:name w:val="List Paragraph1"/>
    <w:basedOn w:val="1"/>
    <w:qFormat/>
    <w:uiPriority w:val="0"/>
    <w:pPr>
      <w:autoSpaceDE/>
      <w:autoSpaceDN/>
      <w:adjustRightInd/>
      <w:ind w:firstLine="420" w:firstLineChars="200"/>
      <w:jc w:val="both"/>
    </w:pPr>
    <w:rPr>
      <w:rFonts w:ascii="Calibri" w:cs="Times New Roman"/>
      <w:kern w:val="2"/>
      <w:sz w:val="21"/>
      <w:szCs w:val="22"/>
    </w:rPr>
  </w:style>
  <w:style w:type="paragraph" w:customStyle="1" w:styleId="167">
    <w:name w:val="Char Char Char"/>
    <w:basedOn w:val="1"/>
    <w:qFormat/>
    <w:uiPriority w:val="0"/>
    <w:pPr>
      <w:autoSpaceDE/>
      <w:autoSpaceDN/>
      <w:adjustRightInd/>
      <w:jc w:val="both"/>
    </w:pPr>
    <w:rPr>
      <w:rFonts w:ascii="Tahoma" w:hAnsi="Tahoma"/>
      <w:b/>
      <w:sz w:val="28"/>
      <w:szCs w:val="20"/>
    </w:rPr>
  </w:style>
  <w:style w:type="paragraph" w:customStyle="1" w:styleId="168">
    <w:name w:val="保留正文"/>
    <w:basedOn w:val="21"/>
    <w:qFormat/>
    <w:uiPriority w:val="0"/>
    <w:pPr>
      <w:keepNext/>
      <w:autoSpaceDE/>
      <w:autoSpaceDN/>
      <w:adjustRightInd/>
      <w:spacing w:after="160"/>
      <w:ind w:right="0"/>
      <w:jc w:val="both"/>
    </w:pPr>
    <w:rPr>
      <w:rFonts w:ascii="Times New Roman"/>
      <w:b w:val="0"/>
      <w:bCs w:val="0"/>
      <w:sz w:val="21"/>
      <w:szCs w:val="24"/>
      <w:lang w:val="en-US"/>
    </w:rPr>
  </w:style>
  <w:style w:type="paragraph" w:customStyle="1" w:styleId="169">
    <w:name w:val="正文缩进6格"/>
    <w:basedOn w:val="170"/>
    <w:qFormat/>
    <w:uiPriority w:val="0"/>
    <w:pPr>
      <w:ind w:left="1758" w:leftChars="854"/>
    </w:pPr>
  </w:style>
  <w:style w:type="paragraph" w:customStyle="1" w:styleId="170">
    <w:name w:val="正文缩进4格"/>
    <w:basedOn w:val="75"/>
    <w:qFormat/>
    <w:uiPriority w:val="0"/>
    <w:pPr>
      <w:ind w:left="651" w:leftChars="310" w:firstLine="608" w:firstLineChars="196"/>
    </w:pPr>
    <w:rPr>
      <w:color w:val="000000"/>
    </w:rPr>
  </w:style>
  <w:style w:type="paragraph" w:customStyle="1" w:styleId="171">
    <w:name w:val="Char1 Char Char Char Char Char Char1"/>
    <w:basedOn w:val="1"/>
    <w:qFormat/>
    <w:uiPriority w:val="0"/>
    <w:pPr>
      <w:widowControl/>
      <w:autoSpaceDE/>
      <w:autoSpaceDN/>
      <w:adjustRightInd/>
      <w:spacing w:line="400" w:lineRule="exact"/>
      <w:jc w:val="center"/>
    </w:pPr>
    <w:rPr>
      <w:rFonts w:ascii="Verdana" w:hAnsi="Verdana"/>
      <w:sz w:val="21"/>
      <w:szCs w:val="20"/>
      <w:lang w:eastAsia="en-US"/>
    </w:rPr>
  </w:style>
  <w:style w:type="paragraph" w:customStyle="1" w:styleId="172">
    <w:name w:val="表头"/>
    <w:basedOn w:val="14"/>
    <w:qFormat/>
    <w:uiPriority w:val="0"/>
    <w:pPr>
      <w:keepNext/>
      <w:keepLines/>
      <w:widowControl/>
      <w:autoSpaceDE/>
      <w:autoSpaceDN/>
      <w:adjustRightInd/>
      <w:spacing w:before="120" w:after="120" w:line="300" w:lineRule="auto"/>
      <w:jc w:val="center"/>
      <w:textAlignment w:val="baseline"/>
    </w:pPr>
    <w:rPr>
      <w:rFonts w:cs="Times New Roman"/>
      <w:sz w:val="21"/>
    </w:rPr>
  </w:style>
  <w:style w:type="paragraph" w:customStyle="1" w:styleId="173">
    <w:name w:val="xl35"/>
    <w:basedOn w:val="1"/>
    <w:qFormat/>
    <w:uiPriority w:val="0"/>
    <w:pPr>
      <w:widowControl/>
      <w:pBdr>
        <w:top w:val="single" w:color="auto" w:sz="4" w:space="0"/>
        <w:left w:val="single" w:color="auto" w:sz="4" w:space="0"/>
        <w:bottom w:val="single" w:color="auto" w:sz="4" w:space="0"/>
        <w:right w:val="single" w:color="auto" w:sz="4" w:space="0"/>
      </w:pBdr>
      <w:shd w:val="clear" w:color="auto" w:fill="FFFF99"/>
      <w:autoSpaceDE/>
      <w:autoSpaceDN/>
      <w:adjustRightInd/>
      <w:spacing w:before="100" w:beforeAutospacing="1" w:after="100" w:afterAutospacing="1"/>
      <w:jc w:val="center"/>
      <w:textAlignment w:val="center"/>
    </w:pPr>
    <w:rPr>
      <w:rFonts w:ascii="Arial Unicode MS" w:hAnsi="Arial Unicode MS" w:eastAsia="Arial Unicode MS"/>
      <w:sz w:val="20"/>
      <w:szCs w:val="20"/>
    </w:rPr>
  </w:style>
  <w:style w:type="paragraph" w:customStyle="1" w:styleId="174">
    <w:name w:val="1"/>
    <w:basedOn w:val="1"/>
    <w:qFormat/>
    <w:uiPriority w:val="0"/>
    <w:pPr>
      <w:widowControl/>
      <w:autoSpaceDE/>
      <w:autoSpaceDN/>
      <w:adjustRightInd/>
      <w:spacing w:after="160" w:line="240" w:lineRule="exact"/>
    </w:pPr>
    <w:rPr>
      <w:rFonts w:ascii="Verdana" w:hAnsi="Verdana" w:eastAsia="楷体_GB2312"/>
      <w:b/>
      <w:i/>
      <w:iCs/>
      <w:color w:val="000000"/>
      <w:sz w:val="20"/>
      <w:szCs w:val="20"/>
      <w:lang w:eastAsia="en-US"/>
    </w:rPr>
  </w:style>
  <w:style w:type="paragraph" w:customStyle="1" w:styleId="175">
    <w:name w:val="表正文"/>
    <w:basedOn w:val="1"/>
    <w:next w:val="25"/>
    <w:qFormat/>
    <w:uiPriority w:val="0"/>
    <w:pPr>
      <w:autoSpaceDE/>
      <w:autoSpaceDN/>
      <w:adjustRightInd/>
      <w:spacing w:line="360" w:lineRule="auto"/>
      <w:ind w:left="180" w:leftChars="85" w:right="2" w:hanging="2"/>
      <w:jc w:val="both"/>
    </w:pPr>
    <w:rPr>
      <w:rFonts w:ascii="Arial" w:hAnsi="Arial"/>
      <w:kern w:val="2"/>
      <w:sz w:val="21"/>
      <w:szCs w:val="20"/>
    </w:rPr>
  </w:style>
  <w:style w:type="paragraph" w:customStyle="1" w:styleId="176">
    <w:name w:val="Char2"/>
    <w:basedOn w:val="1"/>
    <w:qFormat/>
    <w:uiPriority w:val="0"/>
    <w:pPr>
      <w:widowControl/>
      <w:autoSpaceDE/>
      <w:autoSpaceDN/>
      <w:adjustRightInd/>
      <w:spacing w:after="160" w:line="240" w:lineRule="exact"/>
    </w:pPr>
    <w:rPr>
      <w:rFonts w:ascii="Verdana" w:hAnsi="Verdana" w:eastAsia="仿宋_GB2312"/>
      <w:szCs w:val="20"/>
      <w:lang w:eastAsia="en-US"/>
    </w:rPr>
  </w:style>
  <w:style w:type="paragraph" w:customStyle="1" w:styleId="177">
    <w:name w:val="DAS正文"/>
    <w:basedOn w:val="1"/>
    <w:qFormat/>
    <w:uiPriority w:val="0"/>
    <w:pPr>
      <w:autoSpaceDE/>
      <w:autoSpaceDN/>
      <w:adjustRightInd/>
      <w:spacing w:line="360" w:lineRule="exact"/>
      <w:jc w:val="both"/>
    </w:pPr>
    <w:rPr>
      <w:rFonts w:ascii="Verdana" w:hAnsi="Verdana"/>
      <w:kern w:val="2"/>
      <w:sz w:val="21"/>
      <w:szCs w:val="21"/>
    </w:rPr>
  </w:style>
  <w:style w:type="paragraph" w:customStyle="1" w:styleId="178">
    <w:name w:val="Char Char Char Char Char Char Char Char Char Char Char Char Char"/>
    <w:basedOn w:val="1"/>
    <w:qFormat/>
    <w:uiPriority w:val="0"/>
    <w:pPr>
      <w:widowControl/>
      <w:autoSpaceDE/>
      <w:autoSpaceDN/>
      <w:adjustRightInd/>
      <w:spacing w:after="160" w:line="240" w:lineRule="exact"/>
    </w:pPr>
    <w:rPr>
      <w:rFonts w:ascii="Times New Roman"/>
      <w:kern w:val="2"/>
      <w:sz w:val="21"/>
    </w:rPr>
  </w:style>
  <w:style w:type="paragraph" w:customStyle="1" w:styleId="179">
    <w:name w:val="正文居中"/>
    <w:basedOn w:val="1"/>
    <w:next w:val="1"/>
    <w:qFormat/>
    <w:uiPriority w:val="0"/>
    <w:pPr>
      <w:autoSpaceDE/>
      <w:autoSpaceDN/>
      <w:snapToGrid w:val="0"/>
      <w:spacing w:line="300" w:lineRule="auto"/>
      <w:jc w:val="center"/>
    </w:pPr>
    <w:rPr>
      <w:rFonts w:ascii="Times New Roman"/>
      <w:kern w:val="2"/>
      <w:sz w:val="21"/>
    </w:rPr>
  </w:style>
  <w:style w:type="paragraph" w:customStyle="1" w:styleId="180">
    <w:name w:val="样式37"/>
    <w:basedOn w:val="1"/>
    <w:qFormat/>
    <w:uiPriority w:val="0"/>
    <w:pPr>
      <w:widowControl/>
      <w:spacing w:line="360" w:lineRule="auto"/>
    </w:pPr>
    <w:rPr>
      <w:rFonts w:hAnsi="宋体"/>
      <w:spacing w:val="-2"/>
      <w:szCs w:val="21"/>
    </w:rPr>
  </w:style>
  <w:style w:type="paragraph" w:customStyle="1" w:styleId="181">
    <w:name w:val="文档正文"/>
    <w:basedOn w:val="1"/>
    <w:qFormat/>
    <w:uiPriority w:val="0"/>
    <w:pPr>
      <w:spacing w:line="460" w:lineRule="exact"/>
      <w:ind w:firstLine="567"/>
      <w:textAlignment w:val="baseline"/>
    </w:pPr>
    <w:rPr>
      <w:rFonts w:ascii="Arial" w:hAnsi="Arial"/>
    </w:rPr>
  </w:style>
  <w:style w:type="paragraph" w:customStyle="1" w:styleId="182">
    <w:name w:val="正文列序2"/>
    <w:basedOn w:val="1"/>
    <w:qFormat/>
    <w:uiPriority w:val="0"/>
    <w:pPr>
      <w:spacing w:line="360" w:lineRule="auto"/>
      <w:ind w:firstLine="425"/>
    </w:pPr>
    <w:rPr>
      <w:rFonts w:hAnsi="宋体"/>
    </w:rPr>
  </w:style>
  <w:style w:type="paragraph" w:customStyle="1" w:styleId="183">
    <w:name w:val="列表段落1"/>
    <w:basedOn w:val="1"/>
    <w:qFormat/>
    <w:uiPriority w:val="34"/>
    <w:pPr>
      <w:ind w:firstLine="420" w:firstLineChars="200"/>
    </w:pPr>
  </w:style>
  <w:style w:type="paragraph" w:customStyle="1" w:styleId="184">
    <w:name w:val="K&amp;W Normal"/>
    <w:qFormat/>
    <w:uiPriority w:val="0"/>
    <w:pPr>
      <w:spacing w:after="360" w:line="320" w:lineRule="atLeast"/>
      <w:jc w:val="both"/>
    </w:pPr>
    <w:rPr>
      <w:rFonts w:ascii="Arial" w:hAnsi="Arial" w:eastAsia="楷体_GB2312" w:cs="Times New Roman"/>
      <w:color w:val="000000"/>
      <w:sz w:val="24"/>
      <w:lang w:val="en-US" w:eastAsia="en-US" w:bidi="ar-SA"/>
    </w:rPr>
  </w:style>
  <w:style w:type="character" w:customStyle="1" w:styleId="185">
    <w:name w:val="font31"/>
    <w:basedOn w:val="54"/>
    <w:qFormat/>
    <w:uiPriority w:val="0"/>
    <w:rPr>
      <w:rFonts w:hint="eastAsia" w:ascii="宋体" w:hAnsi="宋体" w:eastAsia="宋体" w:cs="宋体"/>
      <w:color w:val="000000"/>
      <w:sz w:val="18"/>
      <w:szCs w:val="18"/>
      <w:u w:val="none"/>
    </w:rPr>
  </w:style>
  <w:style w:type="character" w:customStyle="1" w:styleId="186">
    <w:name w:val="font51"/>
    <w:basedOn w:val="54"/>
    <w:qFormat/>
    <w:uiPriority w:val="0"/>
    <w:rPr>
      <w:rFonts w:hint="eastAsia" w:ascii="宋体" w:hAnsi="宋体" w:eastAsia="宋体" w:cs="宋体"/>
      <w:color w:val="000000"/>
      <w:sz w:val="18"/>
      <w:szCs w:val="18"/>
      <w:u w:val="none"/>
      <w:vertAlign w:val="superscript"/>
    </w:rPr>
  </w:style>
  <w:style w:type="paragraph" w:customStyle="1" w:styleId="187">
    <w:name w:val="纯文本1"/>
    <w:basedOn w:val="1"/>
    <w:qFormat/>
    <w:uiPriority w:val="0"/>
    <w:rPr>
      <w:rFonts w:hAnsi="Courier New"/>
      <w:sz w:val="32"/>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2.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1.jpeg"/><Relationship Id="rId12" Type="http://schemas.openxmlformats.org/officeDocument/2006/relationships/theme" Target="theme/theme1.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2050"/>
    <customShpInfo spid="_x0000_s2049"/>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507AEA5-4EFA-45F8-8784-6DCDBB2771BD}">
  <ds:schemaRefs/>
</ds:datastoreItem>
</file>

<file path=docProps/app.xml><?xml version="1.0" encoding="utf-8"?>
<Properties xmlns="http://schemas.openxmlformats.org/officeDocument/2006/extended-properties" xmlns:vt="http://schemas.openxmlformats.org/officeDocument/2006/docPropsVTypes">
  <Template>Normal</Template>
  <Company>zgydgb</Company>
  <Pages>1</Pages>
  <Words>6664</Words>
  <Characters>37991</Characters>
  <Lines>316</Lines>
  <Paragraphs>89</Paragraphs>
  <TotalTime>1</TotalTime>
  <ScaleCrop>false</ScaleCrop>
  <LinksUpToDate>false</LinksUpToDate>
  <CharactersWithSpaces>44566</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2020-09-23T02:48:00Z</dcterms:created>
  <dc:creator>lyy</dc:creator>
  <cp:lastModifiedBy>Administrator</cp:lastModifiedBy>
  <cp:lastPrinted>2020-07-10T09:47:00Z</cp:lastPrinted>
  <dcterms:modified xsi:type="dcterms:W3CDTF">2020-09-30T06:35:01Z</dcterms:modified>
  <dc:title>货物公开</dc:title>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