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rPr>
      </w:pPr>
    </w:p>
    <w:p>
      <w:pPr>
        <w:widowControl/>
        <w:spacing w:line="360" w:lineRule="auto"/>
        <w:ind w:right="-26"/>
        <w:jc w:val="center"/>
        <w:textAlignment w:val="bottom"/>
        <w:rPr>
          <w:rFonts w:hAnsi="宋体"/>
          <w:b/>
          <w:sz w:val="72"/>
        </w:rPr>
      </w:pPr>
    </w:p>
    <w:p>
      <w:pPr>
        <w:snapToGrid w:val="0"/>
        <w:jc w:val="center"/>
        <w:rPr>
          <w:rFonts w:ascii="黑体" w:hAnsi="华文中宋" w:eastAsia="黑体" w:cs="华文中宋"/>
          <w:b/>
          <w:bCs/>
          <w:sz w:val="72"/>
          <w:szCs w:val="72"/>
        </w:rPr>
      </w:pPr>
      <w:r>
        <w:rPr>
          <w:rFonts w:hint="eastAsia" w:ascii="黑体" w:hAnsi="华文中宋" w:eastAsia="黑体" w:cs="华文中宋"/>
          <w:b/>
          <w:bCs/>
          <w:sz w:val="72"/>
          <w:szCs w:val="72"/>
        </w:rPr>
        <w:t>竞争性磋商文件</w:t>
      </w: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r>
        <w:rPr>
          <w:sz w:val="44"/>
        </w:rPr>
        <mc:AlternateContent>
          <mc:Choice Requires="wps">
            <w:drawing>
              <wp:anchor distT="0" distB="0" distL="114300" distR="114300" simplePos="0" relativeHeight="251658240" behindDoc="1" locked="0" layoutInCell="1" allowOverlap="1">
                <wp:simplePos x="0" y="0"/>
                <wp:positionH relativeFrom="column">
                  <wp:posOffset>662305</wp:posOffset>
                </wp:positionH>
                <wp:positionV relativeFrom="paragraph">
                  <wp:posOffset>181610</wp:posOffset>
                </wp:positionV>
                <wp:extent cx="3916045" cy="1720215"/>
                <wp:effectExtent l="0" t="0" r="8255" b="13335"/>
                <wp:wrapNone/>
                <wp:docPr id="3" name="文本框 6"/>
                <wp:cNvGraphicFramePr/>
                <a:graphic xmlns:a="http://schemas.openxmlformats.org/drawingml/2006/main">
                  <a:graphicData uri="http://schemas.microsoft.com/office/word/2010/wordprocessingShape">
                    <wps:wsp>
                      <wps:cNvSpPr txBox="1"/>
                      <wps:spPr>
                        <a:xfrm>
                          <a:off x="0" y="0"/>
                          <a:ext cx="3916045" cy="172021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项目名称：旗云花园销售法律服务项目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项目编号：TTWY-20064</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人：东莞市东实旗云投资有限公司</w:t>
                            </w:r>
                          </w:p>
                          <w:p/>
                        </w:txbxContent>
                      </wps:txbx>
                      <wps:bodyPr upright="1"/>
                    </wps:wsp>
                  </a:graphicData>
                </a:graphic>
              </wp:anchor>
            </w:drawing>
          </mc:Choice>
          <mc:Fallback>
            <w:pict>
              <v:shape id="文本框 6" o:spid="_x0000_s1026" o:spt="202" type="#_x0000_t202" style="position:absolute;left:0pt;margin-left:52.15pt;margin-top:14.3pt;height:135.45pt;width:308.35pt;z-index:-251658240;mso-width-relative:page;mso-height-relative:page;" fillcolor="#FFFFFF" filled="t" stroked="f" coordsize="21600,21600" o:gfxdata="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6F2anbAAAACgEAAA8AAAAAAAAAAQAgAAAAIgAAAGRycy9kb3ducmV2LnhtbFBLAQIUABQAAAAI&#10;AIdO4kAKL/Bn6gEAAMkDAAAOAAAAAAAAAAEAIAAAACoBAABkcnMvZTJvRG9jLnhtbFBLBQYAAAAA&#10;BgAGAFkBAACGBQ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项目名称：旗云花园销售法律服务项目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项目编号：TTWY-20064</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人：东莞市东实旗云投资有限公司</w:t>
                      </w:r>
                    </w:p>
                    <w:p/>
                  </w:txbxContent>
                </v:textbox>
              </v:shape>
            </w:pict>
          </mc:Fallback>
        </mc:AlternateContent>
      </w: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widowControl/>
        <w:spacing w:line="360" w:lineRule="auto"/>
        <w:ind w:right="-26"/>
        <w:textAlignment w:val="bottom"/>
        <w:rPr>
          <w:rFonts w:hAnsi="宋体"/>
          <w:b/>
          <w:sz w:val="32"/>
        </w:rPr>
      </w:pPr>
      <w:r>
        <w:rPr>
          <w:rFonts w:hint="eastAsia" w:hAnsi="宋体"/>
          <w:bCs/>
          <w:sz w:val="21"/>
          <w:szCs w:val="21"/>
        </w:rPr>
        <w:drawing>
          <wp:anchor distT="0" distB="0" distL="114300" distR="114300" simplePos="0" relativeHeight="251657216"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sz w:val="32"/>
        </w:rPr>
      </w:pPr>
      <w:r>
        <w:rPr>
          <w:rFonts w:hint="eastAsia" w:ascii="黑体" w:hAnsi="黑体" w:eastAsia="黑体" w:cs="黑体"/>
          <w:b/>
          <w:sz w:val="32"/>
        </w:rPr>
        <w:t xml:space="preserve">广东泰通伟业工程咨询有限公司 </w:t>
      </w:r>
    </w:p>
    <w:p>
      <w:pPr>
        <w:widowControl/>
        <w:spacing w:line="360" w:lineRule="auto"/>
        <w:ind w:right="-26" w:hanging="480"/>
        <w:jc w:val="center"/>
        <w:textAlignment w:val="bottom"/>
        <w:rPr>
          <w:rFonts w:ascii="黑体" w:hAnsi="黑体" w:eastAsia="黑体" w:cs="黑体"/>
          <w:b/>
          <w:sz w:val="32"/>
        </w:rPr>
      </w:pPr>
      <w:r>
        <w:rPr>
          <w:rFonts w:hint="eastAsia" w:ascii="黑体" w:hAnsi="黑体" w:eastAsia="黑体" w:cs="黑体"/>
          <w:b/>
          <w:sz w:val="32"/>
        </w:rPr>
        <w:t xml:space="preserve">    二〇二〇年九月</w:t>
      </w:r>
    </w:p>
    <w:p>
      <w:pPr>
        <w:widowControl/>
        <w:spacing w:line="360" w:lineRule="auto"/>
        <w:ind w:right="-26" w:hanging="480"/>
        <w:jc w:val="center"/>
        <w:textAlignment w:val="bottom"/>
        <w:rPr>
          <w:rFonts w:ascii="黑体" w:hAnsi="黑体" w:eastAsia="黑体" w:cs="黑体"/>
          <w:b/>
          <w:sz w:val="32"/>
        </w:rPr>
      </w:pPr>
    </w:p>
    <w:p>
      <w:pPr>
        <w:widowControl/>
        <w:spacing w:line="360" w:lineRule="auto"/>
        <w:ind w:right="-26" w:hanging="480"/>
        <w:jc w:val="center"/>
        <w:textAlignment w:val="bottom"/>
        <w:rPr>
          <w:rFonts w:ascii="黑体" w:hAnsi="黑体" w:eastAsia="黑体" w:cs="黑体"/>
          <w:b/>
          <w:sz w:val="32"/>
        </w:rPr>
      </w:pPr>
    </w:p>
    <w:p>
      <w:pPr>
        <w:widowControl/>
        <w:spacing w:line="360" w:lineRule="auto"/>
        <w:ind w:right="-26" w:hanging="480"/>
        <w:jc w:val="center"/>
        <w:textAlignment w:val="bottom"/>
        <w:rPr>
          <w:rFonts w:ascii="黑体" w:hAnsi="黑体" w:eastAsia="黑体" w:cs="黑体"/>
          <w:b/>
          <w:sz w:val="32"/>
        </w:rPr>
      </w:pPr>
    </w:p>
    <w:p>
      <w:pPr>
        <w:jc w:val="both"/>
        <w:rPr>
          <w:rFonts w:hAnsi="宋体"/>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sz w:val="32"/>
          <w:szCs w:val="32"/>
        </w:rPr>
      </w:pPr>
      <w:bookmarkStart w:id="1" w:name="_Toc27261"/>
      <w:r>
        <w:rPr>
          <w:rFonts w:hint="eastAsia" w:ascii="黑体" w:hAnsi="黑体" w:eastAsia="黑体" w:cs="黑体"/>
          <w:sz w:val="32"/>
          <w:szCs w:val="32"/>
        </w:rPr>
        <w:t>温馨提示</w:t>
      </w:r>
    </w:p>
    <w:p>
      <w:pPr>
        <w:jc w:val="center"/>
        <w:rPr>
          <w:rFonts w:ascii="黑体" w:hAnsi="黑体" w:eastAsia="黑体" w:cs="黑体"/>
        </w:rPr>
      </w:pPr>
      <w:r>
        <w:rPr>
          <w:rFonts w:hint="eastAsia" w:ascii="黑体" w:hAnsi="黑体" w:eastAsia="黑体" w:cs="黑体"/>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rPr>
      </w:pP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请正确填写《开标一览表》。多子包项目请仔细检查子包号，子包号与子包名称必须对应。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磋商响应文件应按顺序编制页码。</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rPr>
      </w:pPr>
      <w:r>
        <w:rPr>
          <w:rFonts w:hint="eastAsia" w:ascii="黑体" w:hAnsi="黑体" w:eastAsia="黑体" w:cs="黑体"/>
        </w:rPr>
        <w:t>如需供应商支付的各种费用，如磋商文件售价、工程图纸押金、保证金和招标代理服务费等，磋商文件将书面详细告知，请供应商按磋商文件规定的方式和金额支付。</w:t>
      </w: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rPr>
          <w:rFonts w:hAnsi="宋体"/>
          <w:b/>
          <w:bCs/>
          <w:sz w:val="32"/>
          <w:szCs w:val="32"/>
          <w:lang w:val="zh-CN"/>
        </w:rPr>
      </w:pPr>
    </w:p>
    <w:p>
      <w:pPr>
        <w:jc w:val="center"/>
      </w:pPr>
      <w:r>
        <w:rPr>
          <w:rFonts w:hAnsi="宋体"/>
          <w:b/>
          <w:bCs/>
          <w:sz w:val="32"/>
          <w:szCs w:val="32"/>
          <w:lang w:val="zh-CN"/>
        </w:rPr>
        <w:t>目录</w:t>
      </w:r>
      <w:bookmarkStart w:id="2" w:name="_Toc396137229"/>
      <w:r>
        <w:rPr>
          <w:rFonts w:hAnsi="宋体"/>
          <w:b/>
          <w:bCs/>
          <w:caps/>
          <w:sz w:val="21"/>
          <w:szCs w:val="21"/>
        </w:rPr>
        <w:fldChar w:fldCharType="begin"/>
      </w:r>
      <w:r>
        <w:rPr>
          <w:rStyle w:val="59"/>
          <w:rFonts w:hAnsi="宋体"/>
          <w:b/>
          <w:bCs/>
          <w:caps/>
          <w:color w:val="auto"/>
          <w:sz w:val="21"/>
          <w:szCs w:val="21"/>
        </w:rPr>
        <w:instrText xml:space="preserve"> TOC \o "1-3" \h \z \u </w:instrText>
      </w:r>
      <w:r>
        <w:rPr>
          <w:rFonts w:hAnsi="宋体"/>
          <w:b/>
          <w:bCs/>
          <w:caps/>
          <w:sz w:val="21"/>
          <w:szCs w:val="21"/>
        </w:rPr>
        <w:fldChar w:fldCharType="separate"/>
      </w:r>
    </w:p>
    <w:p>
      <w:pPr>
        <w:pStyle w:val="35"/>
        <w:tabs>
          <w:tab w:val="right" w:leader="dot" w:pos="8730"/>
        </w:tabs>
        <w:spacing w:line="360" w:lineRule="auto"/>
        <w:jc w:val="center"/>
        <w:rPr>
          <w:sz w:val="24"/>
          <w:szCs w:val="24"/>
        </w:rPr>
      </w:pPr>
      <w:r>
        <w:fldChar w:fldCharType="begin"/>
      </w:r>
      <w:r>
        <w:instrText xml:space="preserve"> HYPERLINK \l "_Toc27261" </w:instrText>
      </w:r>
      <w:r>
        <w:fldChar w:fldCharType="separate"/>
      </w:r>
      <w:r>
        <w:rPr>
          <w:rFonts w:hAnsi="宋体"/>
          <w:kern w:val="44"/>
          <w:sz w:val="24"/>
          <w:szCs w:val="24"/>
          <w:lang w:val="zh-CN"/>
        </w:rPr>
        <w:t xml:space="preserve">第一篇 </w:t>
      </w:r>
      <w:r>
        <w:rPr>
          <w:rFonts w:hint="eastAsia" w:hAnsi="宋体"/>
          <w:kern w:val="44"/>
          <w:sz w:val="24"/>
          <w:szCs w:val="24"/>
        </w:rPr>
        <w:t>磋商邀请书</w:t>
      </w:r>
      <w:r>
        <w:rPr>
          <w:sz w:val="24"/>
          <w:szCs w:val="24"/>
        </w:rPr>
        <w:tab/>
      </w:r>
      <w:r>
        <w:rPr>
          <w:sz w:val="24"/>
          <w:szCs w:val="24"/>
        </w:rPr>
        <w:fldChar w:fldCharType="begin"/>
      </w:r>
      <w:r>
        <w:rPr>
          <w:sz w:val="24"/>
          <w:szCs w:val="24"/>
        </w:rPr>
        <w:instrText xml:space="preserve"> PAGEREF _Toc27261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"_Toc16634" </w:instrText>
      </w:r>
      <w:r>
        <w:fldChar w:fldCharType="separate"/>
      </w:r>
      <w:r>
        <w:rPr>
          <w:rFonts w:hAnsi="宋体"/>
          <w:kern w:val="44"/>
          <w:sz w:val="24"/>
          <w:szCs w:val="24"/>
          <w:lang w:val="zh-CN"/>
        </w:rPr>
        <w:t xml:space="preserve">第二篇 </w:t>
      </w:r>
      <w:r>
        <w:rPr>
          <w:rFonts w:hint="eastAsia" w:hAnsi="宋体"/>
          <w:kern w:val="44"/>
          <w:sz w:val="24"/>
          <w:szCs w:val="24"/>
          <w:lang w:val="zh-CN"/>
        </w:rPr>
        <w:t>供应商须知</w:t>
      </w:r>
      <w:r>
        <w:rPr>
          <w:sz w:val="24"/>
          <w:szCs w:val="24"/>
        </w:rPr>
        <w:tab/>
      </w:r>
      <w:r>
        <w:rPr>
          <w:sz w:val="24"/>
          <w:szCs w:val="24"/>
        </w:rPr>
        <w:fldChar w:fldCharType="begin"/>
      </w:r>
      <w:r>
        <w:rPr>
          <w:sz w:val="24"/>
          <w:szCs w:val="24"/>
        </w:rPr>
        <w:instrText xml:space="preserve"> PAGEREF _Toc16634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"_Toc22751" </w:instrText>
      </w:r>
      <w:r>
        <w:fldChar w:fldCharType="separate"/>
      </w:r>
      <w:r>
        <w:rPr>
          <w:rFonts w:hAnsi="宋体"/>
          <w:kern w:val="44"/>
          <w:sz w:val="24"/>
          <w:szCs w:val="24"/>
          <w:lang w:val="zh-CN"/>
        </w:rPr>
        <w:t xml:space="preserve">第三篇 </w:t>
      </w:r>
      <w:r>
        <w:rPr>
          <w:rFonts w:hint="eastAsia" w:hAnsi="宋体"/>
          <w:kern w:val="44"/>
          <w:sz w:val="24"/>
          <w:szCs w:val="24"/>
          <w:lang w:val="zh-CN"/>
        </w:rPr>
        <w:t>用户需求书</w:t>
      </w:r>
      <w:r>
        <w:rPr>
          <w:sz w:val="24"/>
          <w:szCs w:val="24"/>
        </w:rPr>
        <w:tab/>
      </w:r>
      <w:r>
        <w:rPr>
          <w:sz w:val="24"/>
          <w:szCs w:val="24"/>
        </w:rPr>
        <w:fldChar w:fldCharType="begin"/>
      </w:r>
      <w:r>
        <w:rPr>
          <w:sz w:val="24"/>
          <w:szCs w:val="24"/>
        </w:rPr>
        <w:instrText xml:space="preserve"> PAGEREF _Toc22751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"_Toc13957" </w:instrText>
      </w:r>
      <w:r>
        <w:fldChar w:fldCharType="separate"/>
      </w:r>
      <w:r>
        <w:rPr>
          <w:rFonts w:hAnsi="宋体"/>
          <w:kern w:val="44"/>
          <w:sz w:val="24"/>
          <w:szCs w:val="24"/>
          <w:lang w:val="zh-CN"/>
        </w:rPr>
        <w:t xml:space="preserve">第四篇 </w:t>
      </w:r>
      <w:r>
        <w:rPr>
          <w:rFonts w:hint="eastAsia" w:hAnsi="宋体"/>
          <w:kern w:val="44"/>
          <w:sz w:val="24"/>
          <w:szCs w:val="24"/>
          <w:lang w:val="zh-CN"/>
        </w:rPr>
        <w:t>评标工作大纲</w:t>
      </w:r>
      <w:r>
        <w:rPr>
          <w:sz w:val="24"/>
          <w:szCs w:val="24"/>
        </w:rPr>
        <w:tab/>
      </w:r>
      <w:r>
        <w:rPr>
          <w:sz w:val="24"/>
          <w:szCs w:val="24"/>
        </w:rPr>
        <w:fldChar w:fldCharType="begin"/>
      </w:r>
      <w:r>
        <w:rPr>
          <w:sz w:val="24"/>
          <w:szCs w:val="24"/>
        </w:rPr>
        <w:instrText xml:space="preserve"> PAGEREF _Toc13957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"_Toc15636" </w:instrText>
      </w:r>
      <w:r>
        <w:fldChar w:fldCharType="separate"/>
      </w:r>
      <w:r>
        <w:rPr>
          <w:rFonts w:hAnsi="宋体"/>
          <w:sz w:val="24"/>
          <w:szCs w:val="24"/>
        </w:rPr>
        <w:t xml:space="preserve">第五篇 </w:t>
      </w:r>
      <w:r>
        <w:rPr>
          <w:rFonts w:hint="eastAsia" w:hAnsi="宋体"/>
          <w:kern w:val="44"/>
          <w:sz w:val="24"/>
          <w:szCs w:val="24"/>
          <w:lang w:val="zh-CN"/>
        </w:rPr>
        <w:t>合同条款格式</w:t>
      </w:r>
      <w:r>
        <w:rPr>
          <w:sz w:val="24"/>
          <w:szCs w:val="24"/>
        </w:rPr>
        <w:tab/>
      </w:r>
      <w:r>
        <w:rPr>
          <w:sz w:val="24"/>
          <w:szCs w:val="24"/>
        </w:rPr>
        <w:fldChar w:fldCharType="begin"/>
      </w:r>
      <w:r>
        <w:rPr>
          <w:sz w:val="24"/>
          <w:szCs w:val="24"/>
        </w:rPr>
        <w:instrText xml:space="preserve"> PAGEREF _Toc15636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35"/>
        <w:tabs>
          <w:tab w:val="right" w:leader="dot" w:pos="8730"/>
        </w:tabs>
        <w:spacing w:line="360" w:lineRule="auto"/>
        <w:jc w:val="center"/>
        <w:rPr>
          <w:sz w:val="24"/>
          <w:szCs w:val="24"/>
        </w:rPr>
      </w:pPr>
      <w:r>
        <w:fldChar w:fldCharType="begin"/>
      </w:r>
      <w:r>
        <w:instrText xml:space="preserve"> HYPERLINK \l "_Toc8470" </w:instrText>
      </w:r>
      <w:r>
        <w:fldChar w:fldCharType="separate"/>
      </w:r>
      <w:r>
        <w:rPr>
          <w:rFonts w:hint="eastAsia" w:hAnsi="宋体"/>
          <w:kern w:val="44"/>
          <w:sz w:val="24"/>
          <w:szCs w:val="24"/>
          <w:lang w:val="zh-CN"/>
        </w:rPr>
        <w:t>第六篇磋商响应文件格式</w:t>
      </w:r>
      <w:r>
        <w:rPr>
          <w:sz w:val="24"/>
          <w:szCs w:val="24"/>
        </w:rPr>
        <w:tab/>
      </w:r>
      <w:r>
        <w:rPr>
          <w:sz w:val="24"/>
          <w:szCs w:val="24"/>
        </w:rPr>
        <w:fldChar w:fldCharType="begin"/>
      </w:r>
      <w:r>
        <w:rPr>
          <w:sz w:val="24"/>
          <w:szCs w:val="24"/>
        </w:rPr>
        <w:instrText xml:space="preserve"> PAGEREF _Toc8470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kern w:val="44"/>
          <w:sz w:val="28"/>
          <w:szCs w:val="28"/>
          <w:lang w:val="zh-CN"/>
        </w:rPr>
      </w:pPr>
      <w:r>
        <w:fldChar w:fldCharType="end"/>
      </w:r>
      <w:bookmarkEnd w:id="2"/>
      <w:r>
        <w:rPr>
          <w:rFonts w:hint="eastAsia" w:hAnsi="宋体"/>
          <w:b/>
          <w:bCs/>
          <w:kern w:val="44"/>
          <w:sz w:val="28"/>
          <w:szCs w:val="28"/>
        </w:rPr>
        <w:t>磋商邀请书</w:t>
      </w:r>
      <w:bookmarkEnd w:id="1"/>
    </w:p>
    <w:p>
      <w:pPr>
        <w:widowControl/>
        <w:tabs>
          <w:tab w:val="left" w:pos="-360"/>
        </w:tabs>
        <w:adjustRightInd/>
        <w:spacing w:line="360" w:lineRule="auto"/>
        <w:ind w:right="-34" w:firstLine="420" w:firstLineChars="200"/>
        <w:jc w:val="both"/>
        <w:textAlignment w:val="bottom"/>
        <w:rPr>
          <w:rFonts w:hAnsi="宋体"/>
          <w:sz w:val="21"/>
          <w:szCs w:val="21"/>
        </w:rPr>
      </w:pPr>
      <w:r>
        <w:rPr>
          <w:rFonts w:hint="eastAsia" w:hAnsi="宋体"/>
          <w:sz w:val="21"/>
          <w:szCs w:val="21"/>
        </w:rPr>
        <w:t>广东泰通伟业工程咨询有限公司（以下简称“采购代理机构”）受东莞市东实旗云投资有限公司（以下简称“采购人”）的委托，为旗云花园销售法律服务项目 (项目编号：TTWY-20064) 采购所需的服务。本项目采用竞争性磋商采购方式，欢迎合格供应商就本项目提交密封磋商。</w:t>
      </w:r>
    </w:p>
    <w:p>
      <w:pPr>
        <w:widowControl/>
        <w:numPr>
          <w:ilvl w:val="0"/>
          <w:numId w:val="11"/>
        </w:numPr>
        <w:adjustRightInd/>
        <w:spacing w:line="360" w:lineRule="auto"/>
        <w:rPr>
          <w:rFonts w:hAnsi="宋体"/>
          <w:sz w:val="21"/>
          <w:szCs w:val="21"/>
        </w:rPr>
      </w:pPr>
      <w:r>
        <w:rPr>
          <w:rFonts w:hint="eastAsia" w:hAnsi="宋体"/>
          <w:b/>
          <w:bCs/>
          <w:kern w:val="28"/>
          <w:sz w:val="21"/>
          <w:szCs w:val="21"/>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项目名称：旗云花园销售法律服务项目</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项目编号：TTWY-20064</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项目预算金额：¥2,025,600.00元（人民币贰佰零贰万伍仟陆佰元）。</w:t>
      </w:r>
    </w:p>
    <w:p>
      <w:pPr>
        <w:widowControl/>
        <w:numPr>
          <w:ilvl w:val="0"/>
          <w:numId w:val="12"/>
        </w:numPr>
        <w:tabs>
          <w:tab w:val="left" w:pos="-360"/>
        </w:tabs>
        <w:adjustRightInd/>
        <w:spacing w:line="360" w:lineRule="auto"/>
        <w:ind w:right="-34"/>
        <w:jc w:val="both"/>
        <w:textAlignment w:val="bottom"/>
        <w:rPr>
          <w:rFonts w:hAnsi="宋体"/>
          <w:sz w:val="21"/>
          <w:szCs w:val="21"/>
        </w:rPr>
      </w:pPr>
      <w:r>
        <w:rPr>
          <w:rFonts w:hint="eastAsia" w:hAnsi="宋体"/>
          <w:sz w:val="21"/>
          <w:szCs w:val="21"/>
        </w:rPr>
        <w:t>项目需求：</w:t>
      </w:r>
    </w:p>
    <w:tbl>
      <w:tblPr>
        <w:tblStyle w:val="52"/>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602"/>
        <w:gridCol w:w="1984"/>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3" w:type="dxa"/>
            <w:noWrap/>
            <w:vAlign w:val="center"/>
          </w:tcPr>
          <w:p>
            <w:pPr>
              <w:jc w:val="center"/>
              <w:rPr>
                <w:rFonts w:hAnsi="宋体"/>
                <w:b/>
                <w:sz w:val="21"/>
                <w:szCs w:val="21"/>
              </w:rPr>
            </w:pPr>
            <w:r>
              <w:rPr>
                <w:rFonts w:hint="eastAsia" w:hAnsi="宋体"/>
                <w:b/>
                <w:sz w:val="21"/>
                <w:szCs w:val="21"/>
              </w:rPr>
              <w:t>序号</w:t>
            </w:r>
          </w:p>
        </w:tc>
        <w:tc>
          <w:tcPr>
            <w:tcW w:w="2602" w:type="dxa"/>
            <w:noWrap/>
            <w:vAlign w:val="center"/>
          </w:tcPr>
          <w:p>
            <w:pPr>
              <w:jc w:val="center"/>
              <w:rPr>
                <w:rFonts w:hAnsi="宋体"/>
                <w:b/>
                <w:sz w:val="21"/>
                <w:szCs w:val="21"/>
              </w:rPr>
            </w:pPr>
            <w:r>
              <w:rPr>
                <w:rFonts w:hint="eastAsia" w:hAnsi="宋体"/>
                <w:b/>
                <w:sz w:val="21"/>
                <w:szCs w:val="21"/>
              </w:rPr>
              <w:t>内容</w:t>
            </w:r>
          </w:p>
        </w:tc>
        <w:tc>
          <w:tcPr>
            <w:tcW w:w="1984" w:type="dxa"/>
            <w:noWrap/>
            <w:vAlign w:val="center"/>
          </w:tcPr>
          <w:p>
            <w:pPr>
              <w:jc w:val="center"/>
              <w:rPr>
                <w:rFonts w:hAnsi="宋体"/>
                <w:b/>
                <w:sz w:val="21"/>
                <w:szCs w:val="21"/>
              </w:rPr>
            </w:pPr>
            <w:r>
              <w:rPr>
                <w:rFonts w:hint="eastAsia" w:hAnsi="宋体"/>
                <w:b/>
                <w:sz w:val="21"/>
                <w:szCs w:val="21"/>
              </w:rPr>
              <w:t>采购数量</w:t>
            </w:r>
          </w:p>
        </w:tc>
        <w:tc>
          <w:tcPr>
            <w:tcW w:w="3463" w:type="dxa"/>
            <w:noWrap/>
            <w:vAlign w:val="center"/>
          </w:tcPr>
          <w:p>
            <w:pPr>
              <w:jc w:val="center"/>
              <w:rPr>
                <w:rFonts w:hAnsi="宋体"/>
                <w:b/>
                <w:sz w:val="21"/>
                <w:szCs w:val="21"/>
              </w:rPr>
            </w:pPr>
            <w:r>
              <w:rPr>
                <w:rFonts w:hint="eastAsia" w:hAnsi="宋体"/>
                <w:b/>
                <w:sz w:val="21"/>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863" w:type="dxa"/>
            <w:noWrap/>
            <w:vAlign w:val="center"/>
          </w:tcPr>
          <w:p>
            <w:pPr>
              <w:jc w:val="center"/>
              <w:rPr>
                <w:rFonts w:hAnsi="宋体"/>
                <w:sz w:val="21"/>
                <w:szCs w:val="21"/>
              </w:rPr>
            </w:pPr>
            <w:r>
              <w:rPr>
                <w:rFonts w:hint="eastAsia" w:hAnsi="宋体"/>
                <w:sz w:val="21"/>
                <w:szCs w:val="21"/>
              </w:rPr>
              <w:t>1</w:t>
            </w:r>
          </w:p>
        </w:tc>
        <w:tc>
          <w:tcPr>
            <w:tcW w:w="2602" w:type="dxa"/>
            <w:noWrap/>
            <w:vAlign w:val="center"/>
          </w:tcPr>
          <w:p>
            <w:pPr>
              <w:jc w:val="center"/>
              <w:rPr>
                <w:rFonts w:hAnsi="宋体"/>
                <w:sz w:val="21"/>
                <w:szCs w:val="21"/>
              </w:rPr>
            </w:pPr>
            <w:r>
              <w:rPr>
                <w:rFonts w:hint="eastAsia" w:hAnsi="宋体"/>
                <w:sz w:val="21"/>
                <w:szCs w:val="21"/>
              </w:rPr>
              <w:t>销售法律服务</w:t>
            </w:r>
          </w:p>
        </w:tc>
        <w:tc>
          <w:tcPr>
            <w:tcW w:w="1984" w:type="dxa"/>
            <w:noWrap/>
            <w:vAlign w:val="center"/>
          </w:tcPr>
          <w:p>
            <w:pPr>
              <w:tabs>
                <w:tab w:val="left" w:pos="499"/>
                <w:tab w:val="center" w:pos="722"/>
              </w:tabs>
              <w:jc w:val="center"/>
              <w:rPr>
                <w:rFonts w:hAnsi="宋体"/>
                <w:sz w:val="21"/>
                <w:szCs w:val="21"/>
              </w:rPr>
            </w:pPr>
            <w:r>
              <w:rPr>
                <w:rFonts w:hint="eastAsia" w:hAnsi="宋体"/>
                <w:sz w:val="21"/>
                <w:szCs w:val="21"/>
              </w:rPr>
              <w:t>2家</w:t>
            </w:r>
          </w:p>
        </w:tc>
        <w:tc>
          <w:tcPr>
            <w:tcW w:w="3463" w:type="dxa"/>
            <w:noWrap/>
            <w:vAlign w:val="center"/>
          </w:tcPr>
          <w:p>
            <w:pPr>
              <w:widowControl/>
              <w:tabs>
                <w:tab w:val="left" w:pos="-360"/>
              </w:tabs>
              <w:adjustRightInd/>
              <w:ind w:right="-34"/>
              <w:jc w:val="center"/>
              <w:textAlignment w:val="bottom"/>
              <w:rPr>
                <w:rFonts w:hAnsi="宋体"/>
                <w:sz w:val="21"/>
                <w:szCs w:val="21"/>
              </w:rPr>
            </w:pPr>
            <w:r>
              <w:rPr>
                <w:rFonts w:hAnsi="宋体"/>
                <w:sz w:val="21"/>
                <w:szCs w:val="21"/>
              </w:rPr>
              <w:t>自双方签订合同起，为期48个月</w:t>
            </w:r>
          </w:p>
        </w:tc>
      </w:tr>
    </w:tbl>
    <w:p>
      <w:pPr>
        <w:widowControl/>
        <w:tabs>
          <w:tab w:val="left" w:pos="-360"/>
        </w:tabs>
        <w:adjustRightInd/>
        <w:spacing w:line="360" w:lineRule="auto"/>
        <w:ind w:left="426" w:right="-34"/>
        <w:jc w:val="both"/>
        <w:textAlignment w:val="bottom"/>
        <w:rPr>
          <w:rFonts w:hAnsi="宋体"/>
          <w:sz w:val="21"/>
          <w:szCs w:val="21"/>
        </w:rPr>
      </w:pPr>
      <w:r>
        <w:rPr>
          <w:rFonts w:hint="eastAsia" w:hAnsi="宋体"/>
          <w:sz w:val="21"/>
          <w:szCs w:val="21"/>
        </w:rPr>
        <w:t>详见磋商文件第三篇用户需求书。</w:t>
      </w:r>
    </w:p>
    <w:p>
      <w:pPr>
        <w:widowControl/>
        <w:adjustRightInd/>
        <w:spacing w:line="360" w:lineRule="auto"/>
        <w:rPr>
          <w:rFonts w:hAnsi="宋体"/>
          <w:b/>
          <w:bCs/>
          <w:kern w:val="28"/>
          <w:sz w:val="21"/>
          <w:szCs w:val="21"/>
        </w:rPr>
      </w:pPr>
      <w:r>
        <w:rPr>
          <w:rFonts w:hint="eastAsia" w:hAnsi="宋体"/>
          <w:b/>
          <w:bCs/>
          <w:kern w:val="28"/>
          <w:sz w:val="21"/>
          <w:szCs w:val="21"/>
          <w:lang w:val="zh-CN"/>
        </w:rPr>
        <w:t>二、供应商须满足以下资格条件</w:t>
      </w:r>
      <w:r>
        <w:rPr>
          <w:rFonts w:hint="eastAsia" w:hAnsi="宋体"/>
          <w:b/>
          <w:bCs/>
          <w:kern w:val="28"/>
          <w:sz w:val="21"/>
          <w:szCs w:val="21"/>
        </w:rPr>
        <w:t>：</w:t>
      </w:r>
    </w:p>
    <w:p>
      <w:pPr>
        <w:widowControl/>
        <w:numPr>
          <w:ilvl w:val="0"/>
          <w:numId w:val="13"/>
        </w:numPr>
        <w:adjustRightInd/>
        <w:spacing w:line="360" w:lineRule="auto"/>
        <w:ind w:right="53"/>
        <w:textAlignment w:val="bottom"/>
        <w:rPr>
          <w:rFonts w:hAnsi="宋体"/>
          <w:kern w:val="2"/>
          <w:sz w:val="21"/>
          <w:szCs w:val="21"/>
        </w:rPr>
      </w:pPr>
      <w:bookmarkStart w:id="3" w:name="_Toc396137230"/>
      <w:r>
        <w:rPr>
          <w:rFonts w:hint="eastAsia" w:hAnsi="宋体"/>
          <w:kern w:val="2"/>
          <w:sz w:val="21"/>
          <w:szCs w:val="21"/>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 xml:space="preserve">（五）供应商须取得司法行政机关核发的《律师事务所执业许可证》。 </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（六）供应商承担过房地产开发企业法律顾问服务项目（须提供法律服务合同复印件加盖供应商公章）。</w:t>
      </w:r>
    </w:p>
    <w:p>
      <w:pPr>
        <w:widowControl/>
        <w:adjustRightInd/>
        <w:spacing w:line="360" w:lineRule="auto"/>
        <w:ind w:left="420" w:right="53"/>
        <w:textAlignment w:val="bottom"/>
        <w:rPr>
          <w:rFonts w:hAnsi="宋体"/>
          <w:kern w:val="2"/>
          <w:sz w:val="21"/>
          <w:szCs w:val="21"/>
        </w:rPr>
      </w:pPr>
      <w:r>
        <w:rPr>
          <w:rFonts w:hint="eastAsia" w:hAnsi="宋体"/>
          <w:kern w:val="2"/>
          <w:sz w:val="21"/>
          <w:szCs w:val="21"/>
        </w:rPr>
        <w:t>（七）本项目不接受联合体投标。</w:t>
      </w:r>
    </w:p>
    <w:p>
      <w:pPr>
        <w:spacing w:line="360" w:lineRule="auto"/>
        <w:rPr>
          <w:rFonts w:hAnsi="宋体"/>
          <w:b/>
          <w:bCs/>
          <w:sz w:val="21"/>
          <w:szCs w:val="21"/>
        </w:rPr>
      </w:pPr>
      <w:r>
        <w:rPr>
          <w:rFonts w:hint="eastAsia" w:hAnsi="宋体"/>
          <w:b/>
          <w:bCs/>
          <w:sz w:val="21"/>
          <w:szCs w:val="21"/>
        </w:rPr>
        <w:t>三、获取磋商文件：</w:t>
      </w:r>
    </w:p>
    <w:p>
      <w:pPr>
        <w:widowControl/>
        <w:adjustRightInd/>
        <w:spacing w:line="360" w:lineRule="auto"/>
        <w:ind w:left="420" w:right="53"/>
        <w:textAlignment w:val="bottom"/>
        <w:rPr>
          <w:rFonts w:hAnsi="宋体"/>
          <w:kern w:val="28"/>
          <w:sz w:val="21"/>
          <w:szCs w:val="21"/>
        </w:rPr>
      </w:pPr>
      <w:r>
        <w:rPr>
          <w:rFonts w:hint="eastAsia" w:hAnsi="宋体"/>
          <w:kern w:val="28"/>
          <w:sz w:val="21"/>
          <w:szCs w:val="21"/>
        </w:rPr>
        <w:t>本项目无须报名，由供应商自行网上下载。下载地址：广东省招标投标监督网（http://zbtb.gd.gov.cn）、中国采购与招标网（www.chinabidding.com.cn）、东莞实业投资控股集团有限公司-招标采购栏目（www.dgsy.com.cn）、广东泰通伟业工程咨询有限公司官网-招标采购栏目（www.weiyecoltd.com）。</w:t>
      </w:r>
    </w:p>
    <w:p>
      <w:pPr>
        <w:pStyle w:val="28"/>
        <w:spacing w:line="360" w:lineRule="auto"/>
        <w:rPr>
          <w:rFonts w:hAnsi="宋体"/>
          <w:b/>
          <w:bCs/>
          <w:szCs w:val="21"/>
        </w:rPr>
      </w:pPr>
      <w:r>
        <w:rPr>
          <w:rFonts w:hint="eastAsia" w:hAnsi="宋体"/>
          <w:b/>
          <w:bCs/>
          <w:szCs w:val="21"/>
        </w:rPr>
        <w:t>四、接收响应文件的时间、地点、截止时间，开启响应文件时间、地点</w:t>
      </w:r>
      <w:r>
        <w:rPr>
          <w:rFonts w:hint="eastAsia" w:hAnsi="宋体"/>
          <w:b/>
          <w:szCs w:val="21"/>
        </w:rPr>
        <w:t>：</w:t>
      </w:r>
    </w:p>
    <w:p>
      <w:pPr>
        <w:spacing w:line="360" w:lineRule="auto"/>
        <w:ind w:firstLine="420" w:firstLineChars="200"/>
        <w:rPr>
          <w:rFonts w:hAnsi="宋体"/>
          <w:sz w:val="21"/>
          <w:szCs w:val="21"/>
        </w:rPr>
      </w:pPr>
      <w:r>
        <w:rPr>
          <w:rFonts w:hint="eastAsia" w:hAnsi="宋体"/>
          <w:sz w:val="21"/>
          <w:szCs w:val="21"/>
        </w:rPr>
        <w:t>1、接收响应文件的时间：2020年10月14日下午14:00～14:30。</w:t>
      </w:r>
    </w:p>
    <w:p>
      <w:pPr>
        <w:spacing w:line="360" w:lineRule="auto"/>
        <w:ind w:firstLine="420" w:firstLineChars="200"/>
        <w:rPr>
          <w:rFonts w:hAnsi="宋体"/>
          <w:sz w:val="21"/>
          <w:szCs w:val="21"/>
        </w:rPr>
      </w:pPr>
      <w:r>
        <w:rPr>
          <w:rFonts w:hint="eastAsia" w:hAnsi="宋体"/>
          <w:sz w:val="21"/>
          <w:szCs w:val="21"/>
        </w:rPr>
        <w:t>2、接收响应文件截止时间及开启响应文件时间：2020年10月14日下午14:30。</w:t>
      </w:r>
    </w:p>
    <w:p>
      <w:pPr>
        <w:spacing w:line="360" w:lineRule="auto"/>
        <w:ind w:firstLine="420" w:firstLineChars="200"/>
        <w:rPr>
          <w:rFonts w:hAnsi="宋体"/>
          <w:sz w:val="21"/>
          <w:szCs w:val="21"/>
        </w:rPr>
      </w:pPr>
      <w:r>
        <w:rPr>
          <w:rFonts w:hint="eastAsia" w:hAnsi="宋体"/>
          <w:sz w:val="21"/>
          <w:szCs w:val="21"/>
        </w:rPr>
        <w:t>3、接收响应文件地点：东莞市东城莞龙路下桥银门街一号办公楼六楼618室。</w:t>
      </w:r>
    </w:p>
    <w:p>
      <w:pPr>
        <w:spacing w:line="360" w:lineRule="auto"/>
        <w:rPr>
          <w:rFonts w:hAnsi="宋体"/>
          <w:b/>
          <w:bCs/>
          <w:sz w:val="21"/>
          <w:szCs w:val="21"/>
        </w:rPr>
      </w:pPr>
      <w:r>
        <w:rPr>
          <w:rFonts w:hint="eastAsia" w:hAnsi="宋体"/>
          <w:b/>
          <w:bCs/>
          <w:sz w:val="21"/>
          <w:szCs w:val="21"/>
        </w:rPr>
        <w:t>五、</w:t>
      </w:r>
      <w:r>
        <w:rPr>
          <w:rFonts w:hint="eastAsia" w:hAnsi="宋体"/>
          <w:b/>
          <w:sz w:val="21"/>
          <w:szCs w:val="21"/>
        </w:rPr>
        <w:t>采购代理机构</w:t>
      </w:r>
      <w:r>
        <w:rPr>
          <w:rFonts w:hint="eastAsia" w:hAnsi="宋体"/>
          <w:b/>
          <w:bCs/>
          <w:sz w:val="21"/>
          <w:szCs w:val="21"/>
        </w:rPr>
        <w:t>及采购人</w:t>
      </w:r>
      <w:r>
        <w:rPr>
          <w:rFonts w:hint="eastAsia" w:hAnsi="宋体"/>
          <w:b/>
          <w:sz w:val="21"/>
          <w:szCs w:val="21"/>
        </w:rPr>
        <w:t>的地址和联系方式</w:t>
      </w:r>
      <w:r>
        <w:rPr>
          <w:rFonts w:hint="eastAsia" w:hAnsi="宋体"/>
          <w:b/>
          <w:bCs/>
          <w:sz w:val="21"/>
          <w:szCs w:val="21"/>
        </w:rPr>
        <w:t>：</w:t>
      </w:r>
    </w:p>
    <w:p>
      <w:pPr>
        <w:spacing w:line="360" w:lineRule="auto"/>
        <w:ind w:right="-34" w:firstLine="424" w:firstLineChars="202"/>
        <w:jc w:val="both"/>
        <w:rPr>
          <w:rFonts w:hAnsi="宋体"/>
          <w:sz w:val="21"/>
          <w:szCs w:val="21"/>
        </w:rPr>
      </w:pPr>
      <w:r>
        <w:rPr>
          <w:rFonts w:hint="eastAsia" w:hAnsi="宋体"/>
          <w:sz w:val="21"/>
          <w:szCs w:val="21"/>
        </w:rPr>
        <w:t>采购代理机构：</w:t>
      </w:r>
      <w:r>
        <w:rPr>
          <w:rFonts w:hAnsi="宋体"/>
          <w:sz w:val="21"/>
          <w:szCs w:val="21"/>
        </w:rPr>
        <w:t>广东泰通伟业工程咨询有限公司</w:t>
      </w:r>
    </w:p>
    <w:p>
      <w:pPr>
        <w:spacing w:line="360" w:lineRule="auto"/>
        <w:ind w:right="-34" w:firstLine="424" w:firstLineChars="202"/>
        <w:jc w:val="both"/>
        <w:rPr>
          <w:rFonts w:hAnsi="宋体"/>
          <w:sz w:val="21"/>
          <w:szCs w:val="21"/>
        </w:rPr>
      </w:pPr>
      <w:r>
        <w:rPr>
          <w:rFonts w:hAnsi="宋体"/>
          <w:sz w:val="21"/>
          <w:szCs w:val="21"/>
        </w:rPr>
        <w:t>地    址：</w:t>
      </w:r>
      <w:r>
        <w:rPr>
          <w:rFonts w:hint="eastAsia" w:hAnsi="宋体"/>
          <w:sz w:val="21"/>
          <w:szCs w:val="21"/>
        </w:rPr>
        <w:t>东莞市东城莞龙路下桥银门街一号办公楼六楼606室招标采购部</w:t>
      </w:r>
    </w:p>
    <w:p>
      <w:pPr>
        <w:spacing w:line="360" w:lineRule="auto"/>
        <w:ind w:right="-34" w:firstLine="424" w:firstLineChars="202"/>
        <w:jc w:val="both"/>
        <w:rPr>
          <w:rFonts w:hAnsi="宋体"/>
          <w:sz w:val="21"/>
          <w:szCs w:val="21"/>
        </w:rPr>
      </w:pPr>
      <w:r>
        <w:rPr>
          <w:rFonts w:hint="eastAsia" w:hAnsi="宋体"/>
          <w:sz w:val="21"/>
          <w:szCs w:val="21"/>
        </w:rPr>
        <w:t>项目</w:t>
      </w:r>
      <w:r>
        <w:rPr>
          <w:rFonts w:hAnsi="宋体"/>
          <w:sz w:val="21"/>
          <w:szCs w:val="21"/>
        </w:rPr>
        <w:t>联系人:</w:t>
      </w:r>
      <w:r>
        <w:rPr>
          <w:rFonts w:hint="eastAsia" w:hAnsi="宋体"/>
          <w:sz w:val="21"/>
          <w:szCs w:val="21"/>
        </w:rPr>
        <w:t xml:space="preserve"> 罗小姐</w:t>
      </w:r>
    </w:p>
    <w:p>
      <w:pPr>
        <w:spacing w:line="360" w:lineRule="auto"/>
        <w:ind w:right="-34" w:firstLine="424" w:firstLineChars="202"/>
        <w:jc w:val="both"/>
        <w:rPr>
          <w:rFonts w:hAnsi="宋体"/>
          <w:sz w:val="21"/>
          <w:szCs w:val="21"/>
        </w:rPr>
      </w:pPr>
      <w:r>
        <w:rPr>
          <w:rFonts w:hAnsi="宋体"/>
          <w:sz w:val="21"/>
          <w:szCs w:val="21"/>
        </w:rPr>
        <w:t>电    话：</w:t>
      </w:r>
      <w:r>
        <w:rPr>
          <w:rFonts w:hint="eastAsia" w:hAnsi="宋体"/>
          <w:sz w:val="21"/>
          <w:szCs w:val="21"/>
        </w:rPr>
        <w:t>0769-22088829</w:t>
      </w:r>
    </w:p>
    <w:p>
      <w:pPr>
        <w:spacing w:line="360" w:lineRule="auto"/>
        <w:ind w:right="-34" w:firstLine="424" w:firstLineChars="202"/>
        <w:jc w:val="both"/>
        <w:rPr>
          <w:rFonts w:hAnsi="宋体"/>
          <w:sz w:val="21"/>
          <w:szCs w:val="21"/>
        </w:rPr>
      </w:pPr>
      <w:r>
        <w:rPr>
          <w:rFonts w:hint="eastAsia" w:hAnsi="宋体"/>
          <w:sz w:val="21"/>
          <w:szCs w:val="21"/>
        </w:rPr>
        <w:t>邮    箱</w:t>
      </w:r>
      <w:r>
        <w:rPr>
          <w:rFonts w:hAnsi="宋体"/>
          <w:sz w:val="21"/>
          <w:szCs w:val="21"/>
        </w:rPr>
        <w:t>：</w:t>
      </w:r>
      <w:r>
        <w:rPr>
          <w:rFonts w:hint="eastAsia" w:hAnsi="宋体"/>
          <w:sz w:val="21"/>
          <w:szCs w:val="21"/>
        </w:rPr>
        <w:t>WYZFCG@126.com</w:t>
      </w:r>
    </w:p>
    <w:p>
      <w:pPr>
        <w:spacing w:line="360" w:lineRule="auto"/>
        <w:ind w:right="-34" w:firstLine="424" w:firstLineChars="202"/>
        <w:jc w:val="both"/>
        <w:rPr>
          <w:rFonts w:hAnsi="宋体"/>
          <w:sz w:val="21"/>
          <w:szCs w:val="21"/>
        </w:rPr>
      </w:pPr>
      <w:r>
        <w:rPr>
          <w:rFonts w:hint="eastAsia" w:hAnsi="宋体"/>
          <w:sz w:val="21"/>
          <w:szCs w:val="21"/>
        </w:rPr>
        <w:t>采 购 人：东莞市东实旗云投资有限公司</w:t>
      </w:r>
    </w:p>
    <w:p>
      <w:pPr>
        <w:spacing w:line="360" w:lineRule="auto"/>
        <w:ind w:right="-34" w:firstLine="424" w:firstLineChars="202"/>
        <w:jc w:val="both"/>
        <w:rPr>
          <w:rFonts w:hAnsi="宋体"/>
          <w:sz w:val="21"/>
          <w:szCs w:val="21"/>
        </w:rPr>
      </w:pPr>
      <w:r>
        <w:rPr>
          <w:rFonts w:hAnsi="宋体"/>
          <w:sz w:val="21"/>
          <w:szCs w:val="21"/>
        </w:rPr>
        <w:t>地    址：</w:t>
      </w:r>
      <w:r>
        <w:rPr>
          <w:rFonts w:hint="eastAsia" w:hAnsi="宋体"/>
          <w:sz w:val="21"/>
          <w:szCs w:val="21"/>
        </w:rPr>
        <w:t>东莞市东城区八一路机关二号大院9号楼</w:t>
      </w:r>
    </w:p>
    <w:p>
      <w:pPr>
        <w:spacing w:line="360" w:lineRule="auto"/>
        <w:ind w:right="-34" w:firstLine="424" w:firstLineChars="202"/>
        <w:jc w:val="both"/>
        <w:rPr>
          <w:rFonts w:hAnsi="宋体"/>
          <w:sz w:val="21"/>
          <w:szCs w:val="21"/>
        </w:rPr>
      </w:pPr>
      <w:r>
        <w:rPr>
          <w:rFonts w:hAnsi="宋体"/>
          <w:sz w:val="21"/>
          <w:szCs w:val="21"/>
        </w:rPr>
        <w:t>联 系 人:林工</w:t>
      </w:r>
    </w:p>
    <w:p>
      <w:pPr>
        <w:spacing w:line="360" w:lineRule="auto"/>
        <w:ind w:right="-34" w:firstLine="424" w:firstLineChars="202"/>
        <w:jc w:val="both"/>
        <w:rPr>
          <w:rFonts w:hAnsi="宋体"/>
          <w:sz w:val="21"/>
          <w:szCs w:val="21"/>
        </w:rPr>
      </w:pPr>
      <w:r>
        <w:rPr>
          <w:rFonts w:hAnsi="宋体"/>
          <w:sz w:val="21"/>
          <w:szCs w:val="21"/>
        </w:rPr>
        <w:t>电    话：</w:t>
      </w:r>
      <w:r>
        <w:rPr>
          <w:rFonts w:hint="eastAsia" w:hAnsi="宋体"/>
          <w:sz w:val="21"/>
          <w:szCs w:val="21"/>
        </w:rPr>
        <w:t>0769-28681293</w:t>
      </w:r>
    </w:p>
    <w:p>
      <w:pPr>
        <w:spacing w:line="360" w:lineRule="auto"/>
        <w:ind w:firstLine="422" w:firstLineChars="200"/>
        <w:jc w:val="right"/>
        <w:rPr>
          <w:b/>
          <w:sz w:val="21"/>
          <w:szCs w:val="21"/>
        </w:rPr>
      </w:pPr>
      <w:r>
        <w:rPr>
          <w:rFonts w:hint="eastAsia"/>
          <w:b/>
          <w:sz w:val="21"/>
          <w:szCs w:val="21"/>
        </w:rPr>
        <w:t xml:space="preserve">                                         广东泰通伟业工程咨询有限公司</w:t>
      </w:r>
    </w:p>
    <w:p>
      <w:pPr>
        <w:spacing w:line="360" w:lineRule="auto"/>
        <w:ind w:right="-34" w:firstLine="426" w:firstLineChars="202"/>
        <w:jc w:val="right"/>
        <w:rPr>
          <w:rFonts w:hint="eastAsia" w:hAnsi="宋体" w:eastAsia="宋体"/>
          <w:sz w:val="21"/>
          <w:szCs w:val="21"/>
          <w:lang w:eastAsia="zh-CN"/>
        </w:rPr>
      </w:pPr>
      <w:r>
        <w:rPr>
          <w:rFonts w:hint="eastAsia" w:hAnsi="宋体"/>
          <w:b/>
          <w:sz w:val="21"/>
          <w:szCs w:val="21"/>
        </w:rPr>
        <w:t>二〇二〇年九</w:t>
      </w:r>
      <w:r>
        <w:rPr>
          <w:rFonts w:hint="eastAsia" w:hAnsi="宋体"/>
          <w:b/>
          <w:bCs/>
          <w:sz w:val="21"/>
          <w:szCs w:val="21"/>
        </w:rPr>
        <w:t>月</w:t>
      </w:r>
      <w:r>
        <w:rPr>
          <w:rFonts w:hint="eastAsia" w:hAnsi="宋体"/>
          <w:b/>
          <w:bCs/>
          <w:sz w:val="21"/>
          <w:szCs w:val="21"/>
          <w:lang w:eastAsia="zh-CN"/>
        </w:rPr>
        <w:t>三十日</w:t>
      </w:r>
      <w:bookmarkStart w:id="248" w:name="_GoBack"/>
      <w:bookmarkEnd w:id="248"/>
    </w:p>
    <w:p>
      <w:pPr>
        <w:pStyle w:val="3"/>
        <w:keepNext/>
        <w:keepLines/>
        <w:pageBreakBefore/>
        <w:numPr>
          <w:ilvl w:val="0"/>
          <w:numId w:val="10"/>
        </w:numPr>
        <w:tabs>
          <w:tab w:val="left" w:pos="1080"/>
        </w:tabs>
        <w:spacing w:line="360" w:lineRule="auto"/>
        <w:ind w:left="1262" w:hanging="1262" w:hangingChars="449"/>
        <w:jc w:val="center"/>
        <w:rPr>
          <w:rFonts w:hAnsi="宋体"/>
          <w:b/>
          <w:bCs/>
          <w:kern w:val="44"/>
          <w:sz w:val="28"/>
          <w:szCs w:val="28"/>
          <w:lang w:val="zh-CN"/>
        </w:rPr>
      </w:pPr>
      <w:bookmarkStart w:id="4" w:name="_Toc16634"/>
      <w:r>
        <w:rPr>
          <w:rFonts w:hint="eastAsia" w:hAnsi="宋体"/>
          <w:b/>
          <w:bCs/>
          <w:kern w:val="44"/>
          <w:sz w:val="28"/>
          <w:szCs w:val="28"/>
          <w:lang w:val="zh-CN"/>
        </w:rPr>
        <w:t>供应商须知</w:t>
      </w:r>
      <w:bookmarkEnd w:id="3"/>
      <w:bookmarkEnd w:id="4"/>
    </w:p>
    <w:p>
      <w:pPr>
        <w:pStyle w:val="4"/>
        <w:adjustRightInd/>
        <w:spacing w:line="360" w:lineRule="auto"/>
        <w:ind w:firstLine="562" w:firstLineChars="200"/>
        <w:jc w:val="center"/>
        <w:rPr>
          <w:sz w:val="28"/>
          <w:szCs w:val="28"/>
        </w:rPr>
      </w:pPr>
      <w:bookmarkStart w:id="5" w:name="_Toc12804"/>
      <w:bookmarkStart w:id="6" w:name="_Toc102277756"/>
      <w:bookmarkStart w:id="7" w:name="_Toc6968687"/>
      <w:bookmarkStart w:id="8" w:name="_Toc466786434"/>
      <w:bookmarkStart w:id="9" w:name="_Toc507407359"/>
      <w:bookmarkStart w:id="10" w:name="_Toc6882675"/>
      <w:bookmarkStart w:id="11" w:name="_Toc7897861"/>
      <w:r>
        <w:rPr>
          <w:rFonts w:hint="eastAsia"/>
          <w:sz w:val="28"/>
          <w:szCs w:val="28"/>
        </w:rPr>
        <w:t>一、说  明</w:t>
      </w:r>
      <w:bookmarkEnd w:id="5"/>
      <w:bookmarkEnd w:id="6"/>
      <w:bookmarkEnd w:id="7"/>
      <w:bookmarkEnd w:id="8"/>
      <w:bookmarkEnd w:id="9"/>
      <w:bookmarkEnd w:id="10"/>
      <w:bookmarkEnd w:id="11"/>
    </w:p>
    <w:p>
      <w:pPr>
        <w:pStyle w:val="5"/>
        <w:adjustRightInd/>
        <w:spacing w:line="360" w:lineRule="auto"/>
        <w:ind w:firstLine="420" w:firstLineChars="200"/>
        <w:rPr>
          <w:rFonts w:hAnsi="宋体"/>
          <w:sz w:val="21"/>
          <w:szCs w:val="21"/>
        </w:rPr>
      </w:pPr>
      <w:bookmarkStart w:id="12" w:name="_Toc3730"/>
      <w:bookmarkStart w:id="13" w:name="_Toc7897862"/>
      <w:bookmarkStart w:id="14" w:name="_Toc475249114"/>
      <w:bookmarkStart w:id="15" w:name="_Toc24987"/>
      <w:r>
        <w:rPr>
          <w:rFonts w:hint="eastAsia" w:hAnsi="宋体"/>
          <w:sz w:val="21"/>
          <w:szCs w:val="21"/>
        </w:rPr>
        <w:t>1.适用范围</w:t>
      </w:r>
      <w:bookmarkEnd w:id="12"/>
      <w:bookmarkEnd w:id="13"/>
      <w:bookmarkEnd w:id="14"/>
      <w:bookmarkEnd w:id="15"/>
    </w:p>
    <w:p>
      <w:pPr>
        <w:spacing w:line="360" w:lineRule="auto"/>
        <w:ind w:firstLine="420" w:firstLineChars="200"/>
        <w:textAlignment w:val="baseline"/>
        <w:rPr>
          <w:rFonts w:hAnsi="宋体"/>
          <w:sz w:val="21"/>
          <w:szCs w:val="21"/>
        </w:rPr>
      </w:pPr>
      <w:r>
        <w:rPr>
          <w:rFonts w:hint="eastAsia" w:hAnsi="宋体"/>
          <w:sz w:val="21"/>
          <w:szCs w:val="21"/>
        </w:rPr>
        <w:t>1.1本磋商文件仅适用于本次磋商邀请中所叙述的项目。</w:t>
      </w:r>
    </w:p>
    <w:p>
      <w:pPr>
        <w:spacing w:line="360" w:lineRule="auto"/>
        <w:ind w:firstLine="420" w:firstLineChars="200"/>
        <w:textAlignment w:val="baseline"/>
        <w:rPr>
          <w:rFonts w:hAnsi="宋体"/>
          <w:sz w:val="21"/>
          <w:szCs w:val="21"/>
        </w:rPr>
      </w:pPr>
      <w:r>
        <w:rPr>
          <w:rFonts w:hint="eastAsia" w:hAnsi="宋体"/>
          <w:sz w:val="21"/>
          <w:szCs w:val="21"/>
        </w:rPr>
        <w:t>1.2本磋商文件的解释权在采购代理机构。</w:t>
      </w:r>
    </w:p>
    <w:p>
      <w:pPr>
        <w:pStyle w:val="5"/>
        <w:adjustRightInd/>
        <w:spacing w:line="360" w:lineRule="auto"/>
        <w:ind w:firstLine="420" w:firstLineChars="200"/>
        <w:rPr>
          <w:rFonts w:hAnsi="宋体"/>
          <w:sz w:val="21"/>
          <w:szCs w:val="21"/>
        </w:rPr>
      </w:pPr>
      <w:bookmarkStart w:id="16" w:name="_Toc7897863"/>
      <w:bookmarkStart w:id="17" w:name="_Toc598"/>
      <w:bookmarkStart w:id="18" w:name="_Toc475249115"/>
      <w:bookmarkStart w:id="19" w:name="_Toc9738"/>
      <w:r>
        <w:rPr>
          <w:rFonts w:hint="eastAsia" w:hAnsi="宋体"/>
          <w:sz w:val="21"/>
          <w:szCs w:val="21"/>
        </w:rPr>
        <w:t>2.定义</w:t>
      </w:r>
      <w:bookmarkEnd w:id="16"/>
      <w:bookmarkEnd w:id="17"/>
      <w:bookmarkEnd w:id="18"/>
      <w:bookmarkEnd w:id="19"/>
    </w:p>
    <w:p>
      <w:pPr>
        <w:spacing w:line="360" w:lineRule="auto"/>
        <w:ind w:firstLine="420" w:firstLineChars="200"/>
        <w:rPr>
          <w:rFonts w:hAnsi="宋体"/>
          <w:sz w:val="21"/>
          <w:szCs w:val="21"/>
        </w:rPr>
      </w:pPr>
      <w:r>
        <w:rPr>
          <w:rFonts w:hint="eastAsia" w:hAnsi="宋体"/>
          <w:sz w:val="21"/>
          <w:szCs w:val="21"/>
        </w:rPr>
        <w:t>2.1“采购人”是指东莞市东实旗云投资有限公司。</w:t>
      </w:r>
    </w:p>
    <w:p>
      <w:pPr>
        <w:spacing w:line="360" w:lineRule="auto"/>
        <w:ind w:firstLine="420" w:firstLineChars="200"/>
        <w:rPr>
          <w:rFonts w:hAnsi="宋体"/>
          <w:b/>
          <w:sz w:val="21"/>
          <w:szCs w:val="21"/>
        </w:rPr>
      </w:pPr>
      <w:r>
        <w:rPr>
          <w:rFonts w:hint="eastAsia" w:hAnsi="宋体"/>
          <w:sz w:val="21"/>
          <w:szCs w:val="21"/>
        </w:rPr>
        <w:t>2.2“采购代理机构”是指广东泰通伟业工程咨询有限公司。</w:t>
      </w:r>
    </w:p>
    <w:p>
      <w:pPr>
        <w:spacing w:line="360" w:lineRule="auto"/>
        <w:ind w:firstLine="420" w:firstLineChars="200"/>
        <w:rPr>
          <w:rFonts w:hAnsi="宋体"/>
          <w:sz w:val="21"/>
          <w:szCs w:val="21"/>
        </w:rPr>
      </w:pPr>
      <w:r>
        <w:rPr>
          <w:rFonts w:hint="eastAsia" w:hAnsi="宋体"/>
          <w:sz w:val="21"/>
          <w:szCs w:val="21"/>
        </w:rPr>
        <w:t>2.3“供应商”指向采购代理机构提交响应文件的法人。</w:t>
      </w:r>
    </w:p>
    <w:p>
      <w:pPr>
        <w:spacing w:line="360" w:lineRule="auto"/>
        <w:ind w:firstLine="420" w:firstLineChars="200"/>
        <w:rPr>
          <w:rFonts w:hAnsi="宋体"/>
          <w:sz w:val="21"/>
          <w:szCs w:val="21"/>
        </w:rPr>
      </w:pPr>
      <w:r>
        <w:rPr>
          <w:rFonts w:hint="eastAsia" w:hAnsi="宋体"/>
          <w:sz w:val="21"/>
          <w:szCs w:val="21"/>
        </w:rPr>
        <w:t>2.4 货物：卖方按磋商文件规定向买方提供的货物。</w:t>
      </w:r>
    </w:p>
    <w:p>
      <w:pPr>
        <w:spacing w:line="360" w:lineRule="auto"/>
        <w:ind w:firstLine="420" w:firstLineChars="200"/>
        <w:rPr>
          <w:rFonts w:hAnsi="宋体"/>
          <w:sz w:val="21"/>
          <w:szCs w:val="21"/>
        </w:rPr>
      </w:pPr>
      <w:r>
        <w:rPr>
          <w:rFonts w:hint="eastAsia" w:hAnsi="宋体"/>
          <w:sz w:val="21"/>
          <w:szCs w:val="21"/>
        </w:rPr>
        <w:t>2.5 服务：磋商文件规定卖方必须承担的咨询、技术协助、培训及其它相关义务。</w:t>
      </w:r>
    </w:p>
    <w:p>
      <w:pPr>
        <w:spacing w:line="360" w:lineRule="auto"/>
        <w:ind w:firstLine="420" w:firstLineChars="200"/>
        <w:rPr>
          <w:rFonts w:hAnsi="宋体"/>
          <w:sz w:val="21"/>
          <w:szCs w:val="21"/>
        </w:rPr>
      </w:pPr>
      <w:r>
        <w:rPr>
          <w:rFonts w:hint="eastAsia" w:hAnsi="宋体"/>
          <w:sz w:val="21"/>
          <w:szCs w:val="21"/>
        </w:rPr>
        <w:t>2.6 语言：采购文件的语言为简体中文。</w:t>
      </w:r>
    </w:p>
    <w:p>
      <w:pPr>
        <w:spacing w:line="360" w:lineRule="auto"/>
        <w:ind w:firstLine="420" w:firstLineChars="200"/>
        <w:rPr>
          <w:rFonts w:hAnsi="宋体"/>
          <w:sz w:val="21"/>
          <w:szCs w:val="21"/>
        </w:rPr>
      </w:pPr>
      <w:r>
        <w:rPr>
          <w:rFonts w:hint="eastAsia" w:hAnsi="宋体"/>
          <w:sz w:val="21"/>
          <w:szCs w:val="21"/>
        </w:rPr>
        <w:t>2.7 日期：指公历日。</w:t>
      </w:r>
    </w:p>
    <w:p>
      <w:pPr>
        <w:spacing w:line="360" w:lineRule="auto"/>
        <w:ind w:firstLine="420" w:firstLineChars="200"/>
        <w:rPr>
          <w:rFonts w:hAnsi="宋体"/>
          <w:sz w:val="21"/>
          <w:szCs w:val="21"/>
        </w:rPr>
      </w:pPr>
      <w:r>
        <w:rPr>
          <w:rFonts w:hint="eastAsia" w:hAnsi="宋体"/>
          <w:sz w:val="21"/>
          <w:szCs w:val="21"/>
        </w:rPr>
        <w:t>2.8 时间：指北京时间。</w:t>
      </w:r>
    </w:p>
    <w:p>
      <w:pPr>
        <w:pStyle w:val="5"/>
        <w:adjustRightInd/>
        <w:spacing w:line="360" w:lineRule="auto"/>
        <w:ind w:firstLine="420" w:firstLineChars="200"/>
        <w:rPr>
          <w:rFonts w:hAnsi="宋体"/>
          <w:sz w:val="21"/>
          <w:szCs w:val="21"/>
        </w:rPr>
      </w:pPr>
      <w:bookmarkStart w:id="20" w:name="_Toc367"/>
      <w:bookmarkStart w:id="21" w:name="_Toc7897864"/>
      <w:bookmarkStart w:id="22" w:name="_Toc110953831"/>
      <w:bookmarkStart w:id="23" w:name="_Toc24709"/>
      <w:bookmarkStart w:id="24" w:name="_Toc6882676"/>
      <w:bookmarkStart w:id="25" w:name="_Toc507407360"/>
      <w:bookmarkStart w:id="26" w:name="_Toc466786435"/>
      <w:bookmarkStart w:id="27" w:name="_Toc102277757"/>
      <w:bookmarkStart w:id="28" w:name="_Toc6968688"/>
      <w:r>
        <w:rPr>
          <w:rFonts w:hint="eastAsia" w:hAnsi="宋体"/>
          <w:sz w:val="21"/>
          <w:szCs w:val="21"/>
        </w:rPr>
        <w:t>3.适用法律</w:t>
      </w:r>
      <w:bookmarkEnd w:id="20"/>
      <w:bookmarkEnd w:id="21"/>
      <w:bookmarkEnd w:id="22"/>
      <w:bookmarkEnd w:id="23"/>
    </w:p>
    <w:p>
      <w:pPr>
        <w:spacing w:line="360" w:lineRule="auto"/>
        <w:ind w:firstLine="420" w:firstLineChars="200"/>
        <w:rPr>
          <w:rFonts w:hAnsi="宋体"/>
          <w:sz w:val="21"/>
          <w:szCs w:val="21"/>
        </w:rPr>
      </w:pPr>
      <w:r>
        <w:rPr>
          <w:rFonts w:hint="eastAsia" w:hAnsi="宋体"/>
          <w:sz w:val="21"/>
          <w:szCs w:val="21"/>
        </w:rPr>
        <w:t>采购人、供应商和采购代理机构均应当参照东莞市东实旗云投资有限公司相关采购规定执行。</w:t>
      </w:r>
    </w:p>
    <w:p>
      <w:pPr>
        <w:pStyle w:val="5"/>
        <w:adjustRightInd/>
        <w:spacing w:line="360" w:lineRule="auto"/>
        <w:ind w:firstLine="420" w:firstLineChars="200"/>
        <w:rPr>
          <w:rFonts w:hAnsi="宋体"/>
          <w:sz w:val="21"/>
          <w:szCs w:val="21"/>
          <w:lang w:val="zh-CN"/>
        </w:rPr>
      </w:pPr>
      <w:bookmarkStart w:id="29" w:name="_Toc20707"/>
      <w:bookmarkStart w:id="30" w:name="_Toc110953833"/>
      <w:bookmarkStart w:id="31" w:name="_Toc7897866"/>
      <w:bookmarkStart w:id="32" w:name="_Toc10397"/>
      <w:r>
        <w:rPr>
          <w:rFonts w:hint="eastAsia" w:hAnsi="宋体"/>
          <w:sz w:val="21"/>
          <w:szCs w:val="21"/>
          <w:lang w:val="zh-CN"/>
        </w:rPr>
        <w:t>4</w:t>
      </w:r>
      <w:r>
        <w:rPr>
          <w:rFonts w:hint="eastAsia" w:hAnsi="宋体"/>
          <w:sz w:val="21"/>
          <w:szCs w:val="21"/>
        </w:rPr>
        <w:t>.</w:t>
      </w:r>
      <w:r>
        <w:rPr>
          <w:rFonts w:hint="eastAsia" w:hAnsi="宋体"/>
          <w:sz w:val="21"/>
          <w:szCs w:val="21"/>
          <w:lang w:val="zh-CN"/>
        </w:rPr>
        <w:t>本项目不接受联合体磋商。</w:t>
      </w:r>
      <w:bookmarkEnd w:id="29"/>
    </w:p>
    <w:p>
      <w:pPr>
        <w:pStyle w:val="5"/>
        <w:adjustRightInd/>
        <w:spacing w:line="360" w:lineRule="auto"/>
        <w:ind w:firstLine="420" w:firstLineChars="200"/>
        <w:rPr>
          <w:rFonts w:hAnsi="宋体"/>
          <w:bCs/>
          <w:sz w:val="21"/>
          <w:szCs w:val="21"/>
        </w:rPr>
      </w:pPr>
      <w:bookmarkStart w:id="33" w:name="_Toc10368"/>
      <w:r>
        <w:rPr>
          <w:rFonts w:hint="eastAsia" w:hAnsi="宋体"/>
          <w:sz w:val="21"/>
          <w:szCs w:val="21"/>
        </w:rPr>
        <w:t>5.禁止事项</w:t>
      </w:r>
      <w:bookmarkEnd w:id="30"/>
      <w:bookmarkEnd w:id="31"/>
      <w:bookmarkEnd w:id="32"/>
      <w:bookmarkEnd w:id="33"/>
    </w:p>
    <w:p>
      <w:pPr>
        <w:spacing w:line="360" w:lineRule="auto"/>
        <w:ind w:firstLine="420" w:firstLineChars="200"/>
        <w:rPr>
          <w:rFonts w:hAnsi="宋体"/>
          <w:sz w:val="21"/>
          <w:szCs w:val="21"/>
        </w:rPr>
      </w:pPr>
      <w:bookmarkStart w:id="34" w:name="_Toc98126293"/>
      <w:bookmarkStart w:id="35" w:name="_Toc98126218"/>
      <w:r>
        <w:rPr>
          <w:rFonts w:hint="eastAsia" w:hAnsi="宋体"/>
          <w:sz w:val="21"/>
          <w:szCs w:val="21"/>
        </w:rPr>
        <w:t>5.1采购人、供应商和采购代理机构不得相互串通损害国家利益、社会公共利益和其他当事人的合法权益。</w:t>
      </w:r>
    </w:p>
    <w:p>
      <w:pPr>
        <w:spacing w:line="360" w:lineRule="auto"/>
        <w:ind w:firstLine="420" w:firstLineChars="200"/>
        <w:rPr>
          <w:rFonts w:hAnsi="宋体"/>
          <w:sz w:val="21"/>
          <w:szCs w:val="21"/>
        </w:rPr>
      </w:pPr>
      <w:r>
        <w:rPr>
          <w:rFonts w:hint="eastAsia" w:hAnsi="宋体"/>
          <w:sz w:val="21"/>
          <w:szCs w:val="21"/>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sz w:val="21"/>
          <w:szCs w:val="21"/>
        </w:rPr>
      </w:pPr>
      <w:bookmarkStart w:id="36" w:name="_Toc98126219"/>
      <w:bookmarkStart w:id="37" w:name="_Toc98126294"/>
      <w:r>
        <w:rPr>
          <w:rFonts w:hint="eastAsia" w:hAnsi="宋体"/>
          <w:sz w:val="21"/>
          <w:szCs w:val="21"/>
        </w:rPr>
        <w:t>5.3采购代理机构不得向采购人行贿或者采取其他不正当手段谋取非法利益。</w:t>
      </w:r>
      <w:bookmarkEnd w:id="36"/>
      <w:bookmarkEnd w:id="37"/>
    </w:p>
    <w:p>
      <w:pPr>
        <w:spacing w:line="360" w:lineRule="auto"/>
        <w:ind w:firstLine="420" w:firstLineChars="200"/>
        <w:rPr>
          <w:rFonts w:hAnsi="宋体"/>
          <w:sz w:val="21"/>
          <w:szCs w:val="21"/>
        </w:rPr>
      </w:pPr>
      <w:bookmarkStart w:id="38" w:name="_Toc98126295"/>
      <w:bookmarkStart w:id="39" w:name="_Toc98126220"/>
      <w:r>
        <w:rPr>
          <w:rFonts w:hint="eastAsia" w:hAnsi="宋体"/>
          <w:sz w:val="21"/>
          <w:szCs w:val="21"/>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5"/>
        <w:adjustRightInd/>
        <w:spacing w:line="360" w:lineRule="auto"/>
        <w:ind w:firstLine="420" w:firstLineChars="200"/>
        <w:rPr>
          <w:rFonts w:hAnsi="宋体"/>
          <w:bCs/>
          <w:sz w:val="21"/>
          <w:szCs w:val="21"/>
        </w:rPr>
      </w:pPr>
      <w:bookmarkStart w:id="40" w:name="_Toc7897867"/>
      <w:bookmarkStart w:id="41" w:name="_Toc2863"/>
      <w:bookmarkStart w:id="42" w:name="_Toc25870"/>
      <w:bookmarkStart w:id="43" w:name="_Toc110953834"/>
      <w:r>
        <w:rPr>
          <w:rFonts w:hint="eastAsia" w:hAnsi="宋体"/>
          <w:sz w:val="21"/>
          <w:szCs w:val="21"/>
        </w:rPr>
        <w:t>6.保密及其它注意事项</w:t>
      </w:r>
      <w:bookmarkEnd w:id="40"/>
      <w:bookmarkEnd w:id="41"/>
      <w:bookmarkEnd w:id="42"/>
      <w:bookmarkEnd w:id="43"/>
    </w:p>
    <w:p>
      <w:pPr>
        <w:spacing w:line="360" w:lineRule="auto"/>
        <w:ind w:firstLine="420" w:firstLineChars="200"/>
        <w:rPr>
          <w:rFonts w:hAnsi="宋体"/>
          <w:sz w:val="21"/>
          <w:szCs w:val="21"/>
        </w:rPr>
      </w:pPr>
      <w:bookmarkStart w:id="44" w:name="_Toc98126222"/>
      <w:bookmarkStart w:id="45" w:name="_Toc98126297"/>
      <w:r>
        <w:rPr>
          <w:rFonts w:hint="eastAsia" w:hAnsi="宋体"/>
          <w:sz w:val="21"/>
          <w:szCs w:val="21"/>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sz w:val="21"/>
          <w:szCs w:val="21"/>
        </w:rPr>
      </w:pPr>
      <w:r>
        <w:rPr>
          <w:rFonts w:hint="eastAsia" w:hAnsi="宋体"/>
          <w:sz w:val="21"/>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rPr>
      </w:pPr>
      <w:r>
        <w:rPr>
          <w:rFonts w:hint="eastAsia" w:hAnsi="宋体"/>
          <w:sz w:val="21"/>
          <w:szCs w:val="21"/>
        </w:rPr>
        <w:t>6.3在评审期间，供应商不得向磋商小组成员询问评审情况，不得进行旨在影响评审结果的活动。</w:t>
      </w:r>
    </w:p>
    <w:p>
      <w:pPr>
        <w:spacing w:line="360" w:lineRule="auto"/>
        <w:ind w:firstLine="420" w:firstLineChars="200"/>
        <w:rPr>
          <w:rFonts w:hAnsi="宋体"/>
          <w:sz w:val="21"/>
          <w:szCs w:val="21"/>
        </w:rPr>
      </w:pPr>
      <w:r>
        <w:rPr>
          <w:rFonts w:hint="eastAsia" w:hAnsi="宋体"/>
          <w:sz w:val="21"/>
          <w:szCs w:val="21"/>
        </w:rPr>
        <w:t>6.4磋商小组不向未成交供应商解释落选原因，不退还响应文件。</w:t>
      </w:r>
    </w:p>
    <w:p>
      <w:pPr>
        <w:spacing w:line="360" w:lineRule="auto"/>
        <w:ind w:firstLine="420" w:firstLineChars="200"/>
        <w:rPr>
          <w:rFonts w:hAnsi="宋体"/>
          <w:sz w:val="21"/>
          <w:szCs w:val="21"/>
        </w:rPr>
      </w:pPr>
      <w:r>
        <w:rPr>
          <w:rFonts w:hint="eastAsia" w:hAnsi="宋体"/>
          <w:sz w:val="21"/>
          <w:szCs w:val="21"/>
        </w:rPr>
        <w:t>6.5所有供应商自行承担与响应有关的全部费用。采购人和采购代理机构在任何情况下均不承担该费用。</w:t>
      </w:r>
    </w:p>
    <w:p>
      <w:pPr>
        <w:pStyle w:val="5"/>
        <w:adjustRightInd/>
        <w:spacing w:line="360" w:lineRule="auto"/>
        <w:ind w:firstLine="420" w:firstLineChars="200"/>
        <w:rPr>
          <w:rFonts w:hAnsi="宋体"/>
          <w:sz w:val="21"/>
          <w:szCs w:val="21"/>
        </w:rPr>
      </w:pPr>
      <w:bookmarkStart w:id="46" w:name="_Toc27298"/>
      <w:bookmarkStart w:id="47" w:name="_Toc13371"/>
      <w:bookmarkStart w:id="48" w:name="_Toc497016085"/>
      <w:bookmarkStart w:id="49" w:name="_Toc7897868"/>
      <w:r>
        <w:rPr>
          <w:rFonts w:hint="eastAsia" w:hAnsi="宋体"/>
          <w:sz w:val="21"/>
          <w:szCs w:val="21"/>
        </w:rPr>
        <w:t>7.供应商诚信管理</w:t>
      </w:r>
      <w:bookmarkEnd w:id="46"/>
      <w:bookmarkEnd w:id="47"/>
      <w:bookmarkEnd w:id="48"/>
      <w:bookmarkEnd w:id="49"/>
    </w:p>
    <w:p>
      <w:pPr>
        <w:spacing w:line="360" w:lineRule="auto"/>
        <w:ind w:firstLine="420" w:firstLineChars="200"/>
        <w:rPr>
          <w:rFonts w:hAnsi="宋体"/>
          <w:sz w:val="21"/>
          <w:szCs w:val="21"/>
        </w:rPr>
      </w:pPr>
      <w:r>
        <w:rPr>
          <w:rFonts w:hint="eastAsia" w:hAnsi="宋体"/>
          <w:sz w:val="21"/>
          <w:szCs w:val="21"/>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rPr>
      </w:pPr>
      <w:r>
        <w:rPr>
          <w:rFonts w:hint="eastAsia" w:hAnsi="宋体"/>
          <w:sz w:val="21"/>
          <w:szCs w:val="21"/>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rPr>
      </w:pPr>
    </w:p>
    <w:p>
      <w:pPr>
        <w:pStyle w:val="4"/>
        <w:adjustRightInd/>
        <w:spacing w:line="360" w:lineRule="auto"/>
        <w:ind w:firstLine="562" w:firstLineChars="200"/>
        <w:jc w:val="center"/>
        <w:rPr>
          <w:sz w:val="28"/>
          <w:szCs w:val="28"/>
        </w:rPr>
      </w:pPr>
      <w:bookmarkStart w:id="50" w:name="_Toc23741"/>
      <w:bookmarkStart w:id="51" w:name="_Toc7897869"/>
      <w:r>
        <w:rPr>
          <w:rFonts w:hint="eastAsia"/>
          <w:sz w:val="28"/>
          <w:szCs w:val="28"/>
        </w:rPr>
        <w:t>二、磋商文件说明</w:t>
      </w:r>
      <w:bookmarkEnd w:id="24"/>
      <w:bookmarkEnd w:id="25"/>
      <w:bookmarkEnd w:id="26"/>
      <w:bookmarkEnd w:id="27"/>
      <w:bookmarkEnd w:id="28"/>
      <w:bookmarkEnd w:id="50"/>
      <w:bookmarkEnd w:id="51"/>
    </w:p>
    <w:p>
      <w:pPr>
        <w:pStyle w:val="5"/>
        <w:adjustRightInd/>
        <w:spacing w:line="360" w:lineRule="auto"/>
        <w:ind w:firstLine="420" w:firstLineChars="200"/>
        <w:rPr>
          <w:rFonts w:hAnsi="宋体"/>
          <w:sz w:val="21"/>
          <w:szCs w:val="21"/>
        </w:rPr>
      </w:pPr>
      <w:bookmarkStart w:id="52" w:name="_Toc23606"/>
      <w:bookmarkStart w:id="53" w:name="_Toc29560"/>
      <w:bookmarkStart w:id="54" w:name="_Toc110953836"/>
      <w:bookmarkStart w:id="55" w:name="_Toc7897870"/>
      <w:bookmarkStart w:id="56" w:name="_Toc507407361"/>
      <w:bookmarkStart w:id="57" w:name="_Toc466786436"/>
      <w:bookmarkStart w:id="58" w:name="_Toc102277758"/>
      <w:bookmarkStart w:id="59" w:name="_Toc6968689"/>
      <w:bookmarkStart w:id="60" w:name="_Toc6882677"/>
      <w:r>
        <w:rPr>
          <w:rFonts w:hint="eastAsia" w:hAnsi="宋体"/>
          <w:sz w:val="21"/>
          <w:szCs w:val="21"/>
        </w:rPr>
        <w:t>8.磋商文件构成</w:t>
      </w:r>
      <w:bookmarkEnd w:id="52"/>
      <w:bookmarkEnd w:id="53"/>
      <w:bookmarkEnd w:id="54"/>
      <w:bookmarkEnd w:id="55"/>
    </w:p>
    <w:p>
      <w:pPr>
        <w:spacing w:line="360" w:lineRule="auto"/>
        <w:ind w:firstLine="420" w:firstLineChars="200"/>
        <w:rPr>
          <w:rFonts w:hAnsi="宋体"/>
          <w:sz w:val="21"/>
          <w:szCs w:val="21"/>
        </w:rPr>
      </w:pPr>
      <w:r>
        <w:rPr>
          <w:rFonts w:hint="eastAsia" w:hAnsi="宋体"/>
          <w:sz w:val="21"/>
          <w:szCs w:val="21"/>
        </w:rPr>
        <w:t>8.1磋商文件用以阐明项目情况、评审程序、评审办法、定标标准和合同条款参考范本和响应文件的制作等，由磋商邀请书、采购需求、供应商须知、响应文件格式和合同范本构成。</w:t>
      </w:r>
    </w:p>
    <w:p>
      <w:pPr>
        <w:pStyle w:val="5"/>
        <w:adjustRightInd/>
        <w:spacing w:line="360" w:lineRule="auto"/>
        <w:ind w:firstLine="420" w:firstLineChars="200"/>
        <w:rPr>
          <w:rFonts w:hAnsi="宋体"/>
          <w:sz w:val="21"/>
          <w:szCs w:val="21"/>
        </w:rPr>
      </w:pPr>
      <w:bookmarkStart w:id="61" w:name="_Toc110953837"/>
      <w:bookmarkStart w:id="62" w:name="_Toc16827"/>
      <w:bookmarkStart w:id="63" w:name="_Toc7897871"/>
      <w:bookmarkStart w:id="64" w:name="_Toc19701"/>
      <w:r>
        <w:rPr>
          <w:rFonts w:hint="eastAsia" w:hAnsi="宋体"/>
          <w:sz w:val="21"/>
          <w:szCs w:val="21"/>
        </w:rPr>
        <w:t>9.磋商文件的修改</w:t>
      </w:r>
      <w:bookmarkEnd w:id="61"/>
      <w:bookmarkEnd w:id="62"/>
      <w:bookmarkEnd w:id="63"/>
      <w:bookmarkEnd w:id="64"/>
    </w:p>
    <w:p>
      <w:pPr>
        <w:spacing w:line="360" w:lineRule="auto"/>
        <w:ind w:firstLine="420" w:firstLineChars="200"/>
        <w:rPr>
          <w:rFonts w:hAnsi="宋体"/>
          <w:sz w:val="21"/>
          <w:szCs w:val="21"/>
        </w:rPr>
      </w:pPr>
      <w:r>
        <w:rPr>
          <w:rFonts w:hint="eastAsia" w:hAnsi="宋体"/>
          <w:sz w:val="21"/>
          <w:szCs w:val="21"/>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rPr>
      </w:pPr>
      <w:r>
        <w:rPr>
          <w:rFonts w:hint="eastAsia" w:hAnsi="宋体"/>
          <w:sz w:val="21"/>
          <w:szCs w:val="21"/>
        </w:rPr>
        <w:t>9.2如果修改的时间距响应文件递交截止时间不足5日的，将相应顺延递交首次响应文件截止时间。</w:t>
      </w:r>
    </w:p>
    <w:p>
      <w:pPr>
        <w:pStyle w:val="13"/>
        <w:ind w:firstLine="400"/>
      </w:pPr>
    </w:p>
    <w:bookmarkEnd w:id="56"/>
    <w:bookmarkEnd w:id="57"/>
    <w:bookmarkEnd w:id="58"/>
    <w:bookmarkEnd w:id="59"/>
    <w:bookmarkEnd w:id="60"/>
    <w:p>
      <w:pPr>
        <w:pStyle w:val="4"/>
        <w:adjustRightInd/>
        <w:spacing w:line="360" w:lineRule="auto"/>
        <w:ind w:firstLine="562" w:firstLineChars="200"/>
        <w:jc w:val="center"/>
        <w:rPr>
          <w:sz w:val="28"/>
          <w:szCs w:val="28"/>
        </w:rPr>
      </w:pPr>
      <w:bookmarkStart w:id="65" w:name="_Toc15398"/>
      <w:bookmarkStart w:id="66" w:name="_Toc110953838"/>
      <w:bookmarkStart w:id="67" w:name="_Toc7897872"/>
      <w:bookmarkStart w:id="68" w:name="_Toc102277759"/>
      <w:bookmarkStart w:id="69" w:name="_Toc6968690"/>
      <w:bookmarkStart w:id="70" w:name="_Toc6882678"/>
      <w:bookmarkStart w:id="71" w:name="_Toc466786437"/>
      <w:bookmarkStart w:id="72" w:name="_Toc507407362"/>
      <w:r>
        <w:rPr>
          <w:rFonts w:hint="eastAsia"/>
          <w:sz w:val="28"/>
          <w:szCs w:val="28"/>
        </w:rPr>
        <w:t>三、响应文件的制作</w:t>
      </w:r>
      <w:bookmarkEnd w:id="65"/>
      <w:bookmarkEnd w:id="66"/>
      <w:bookmarkEnd w:id="67"/>
    </w:p>
    <w:p>
      <w:pPr>
        <w:pStyle w:val="5"/>
        <w:adjustRightInd/>
        <w:spacing w:line="360" w:lineRule="auto"/>
        <w:ind w:firstLine="420" w:firstLineChars="200"/>
        <w:rPr>
          <w:rFonts w:hAnsi="宋体"/>
          <w:sz w:val="21"/>
          <w:szCs w:val="21"/>
        </w:rPr>
      </w:pPr>
      <w:bookmarkStart w:id="73" w:name="_Toc7897873"/>
      <w:bookmarkStart w:id="74" w:name="_Toc23789"/>
      <w:bookmarkStart w:id="75" w:name="_Toc110953839"/>
      <w:bookmarkStart w:id="76" w:name="_Toc15756"/>
      <w:r>
        <w:rPr>
          <w:rFonts w:hint="eastAsia" w:hAnsi="宋体"/>
          <w:sz w:val="21"/>
          <w:szCs w:val="21"/>
        </w:rPr>
        <w:t>10.制作要求</w:t>
      </w:r>
      <w:bookmarkEnd w:id="73"/>
      <w:bookmarkEnd w:id="74"/>
      <w:bookmarkEnd w:id="75"/>
      <w:bookmarkEnd w:id="76"/>
    </w:p>
    <w:p>
      <w:pPr>
        <w:spacing w:line="360" w:lineRule="auto"/>
        <w:ind w:firstLine="420" w:firstLineChars="200"/>
        <w:rPr>
          <w:rFonts w:hAnsi="宋体"/>
          <w:sz w:val="21"/>
          <w:szCs w:val="21"/>
        </w:rPr>
      </w:pPr>
      <w:r>
        <w:rPr>
          <w:rFonts w:hint="eastAsia" w:hAnsi="宋体"/>
          <w:sz w:val="21"/>
          <w:szCs w:val="21"/>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rPr>
      </w:pPr>
      <w:r>
        <w:rPr>
          <w:rFonts w:hint="eastAsia" w:hAnsi="宋体"/>
          <w:sz w:val="21"/>
          <w:szCs w:val="21"/>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rPr>
      </w:pPr>
      <w:r>
        <w:rPr>
          <w:rFonts w:hint="eastAsia" w:hAnsi="宋体"/>
          <w:sz w:val="21"/>
          <w:szCs w:val="21"/>
        </w:rPr>
        <w:t>10.</w:t>
      </w:r>
      <w:r>
        <w:rPr>
          <w:rFonts w:hint="eastAsia" w:hAnsi="宋体"/>
          <w:b/>
          <w:sz w:val="21"/>
          <w:szCs w:val="21"/>
        </w:rPr>
        <w:t>3供应商应提供正本一份、副本三份、唱标信封一份。</w:t>
      </w:r>
      <w:r>
        <w:rPr>
          <w:rFonts w:hint="eastAsia" w:hAnsi="宋体"/>
          <w:sz w:val="21"/>
          <w:szCs w:val="21"/>
        </w:rPr>
        <w:t>在每一份响应文件上要明确注明“正本”、“副本”或“唱标信封”字样，一旦正本和副本有差异，以正本为准。</w:t>
      </w:r>
    </w:p>
    <w:p>
      <w:pPr>
        <w:spacing w:line="360" w:lineRule="auto"/>
        <w:ind w:firstLine="420" w:firstLineChars="200"/>
        <w:rPr>
          <w:rFonts w:hAnsi="宋体"/>
          <w:sz w:val="21"/>
          <w:szCs w:val="21"/>
        </w:rPr>
      </w:pPr>
      <w:r>
        <w:rPr>
          <w:rFonts w:hint="eastAsia" w:hAnsi="宋体"/>
          <w:sz w:val="21"/>
          <w:szCs w:val="21"/>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rPr>
      </w:pPr>
      <w:r>
        <w:rPr>
          <w:rFonts w:hint="eastAsia" w:hAnsi="宋体"/>
          <w:sz w:val="21"/>
          <w:szCs w:val="21"/>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rPr>
      </w:pPr>
      <w:r>
        <w:rPr>
          <w:rFonts w:hint="eastAsia" w:hAnsi="宋体"/>
          <w:sz w:val="21"/>
          <w:szCs w:val="21"/>
        </w:rPr>
        <w:t>10.6电报、电话、传真、电子邮件形式的响应概不接受。</w:t>
      </w:r>
    </w:p>
    <w:p>
      <w:pPr>
        <w:pStyle w:val="5"/>
        <w:adjustRightInd/>
        <w:spacing w:line="360" w:lineRule="auto"/>
        <w:ind w:firstLine="420" w:firstLineChars="200"/>
        <w:rPr>
          <w:rFonts w:hAnsi="宋体"/>
          <w:sz w:val="21"/>
          <w:szCs w:val="21"/>
        </w:rPr>
      </w:pPr>
      <w:bookmarkStart w:id="77" w:name="_Toc7897874"/>
      <w:bookmarkStart w:id="78" w:name="_Toc18079"/>
      <w:bookmarkStart w:id="79" w:name="_Toc20552"/>
      <w:bookmarkStart w:id="80" w:name="_Toc110953840"/>
      <w:r>
        <w:rPr>
          <w:rFonts w:hint="eastAsia" w:hAnsi="宋体"/>
          <w:sz w:val="21"/>
          <w:szCs w:val="21"/>
        </w:rPr>
        <w:t>11.响应文件的内容</w:t>
      </w:r>
      <w:bookmarkEnd w:id="77"/>
      <w:bookmarkEnd w:id="78"/>
      <w:bookmarkEnd w:id="79"/>
      <w:bookmarkEnd w:id="80"/>
    </w:p>
    <w:p>
      <w:pPr>
        <w:spacing w:line="360" w:lineRule="auto"/>
        <w:ind w:firstLine="420" w:firstLineChars="200"/>
        <w:rPr>
          <w:rFonts w:hAnsi="宋体"/>
          <w:sz w:val="21"/>
          <w:szCs w:val="21"/>
        </w:rPr>
      </w:pPr>
      <w:r>
        <w:rPr>
          <w:rFonts w:hint="eastAsia" w:hAnsi="宋体"/>
          <w:sz w:val="21"/>
          <w:szCs w:val="21"/>
        </w:rPr>
        <w:t>11.1响应文件应包括下列部分：</w:t>
      </w:r>
    </w:p>
    <w:p>
      <w:pPr>
        <w:spacing w:line="360" w:lineRule="auto"/>
        <w:ind w:firstLine="420" w:firstLineChars="200"/>
        <w:rPr>
          <w:rFonts w:hAnsi="宋体"/>
          <w:sz w:val="21"/>
          <w:szCs w:val="21"/>
        </w:rPr>
      </w:pPr>
      <w:r>
        <w:rPr>
          <w:rFonts w:hint="eastAsia" w:hAnsi="宋体"/>
          <w:sz w:val="21"/>
          <w:szCs w:val="21"/>
        </w:rPr>
        <w:t>11.1.1商务、技术文件</w:t>
      </w:r>
    </w:p>
    <w:p>
      <w:pPr>
        <w:spacing w:line="360" w:lineRule="auto"/>
        <w:ind w:firstLine="420" w:firstLineChars="200"/>
        <w:rPr>
          <w:rFonts w:hAnsi="宋体"/>
          <w:sz w:val="21"/>
          <w:szCs w:val="21"/>
        </w:rPr>
      </w:pPr>
      <w:r>
        <w:rPr>
          <w:rFonts w:hint="eastAsia" w:hAnsi="宋体"/>
          <w:sz w:val="21"/>
          <w:szCs w:val="21"/>
        </w:rPr>
        <w:t>11.1.2唱标信封（须独立密封）</w:t>
      </w:r>
    </w:p>
    <w:p>
      <w:pPr>
        <w:spacing w:line="360" w:lineRule="auto"/>
        <w:rPr>
          <w:rFonts w:hAnsi="宋体"/>
          <w:sz w:val="21"/>
          <w:szCs w:val="21"/>
        </w:rPr>
      </w:pPr>
      <w:r>
        <w:rPr>
          <w:rFonts w:hint="eastAsia" w:hAnsi="宋体"/>
          <w:sz w:val="21"/>
          <w:szCs w:val="21"/>
        </w:rPr>
        <w:t>11.2响应（磋商）报价</w:t>
      </w:r>
    </w:p>
    <w:p>
      <w:pPr>
        <w:spacing w:line="360" w:lineRule="auto"/>
        <w:ind w:firstLine="420" w:firstLineChars="200"/>
        <w:rPr>
          <w:rFonts w:hAnsi="宋体"/>
          <w:sz w:val="21"/>
          <w:szCs w:val="21"/>
        </w:rPr>
      </w:pPr>
      <w:r>
        <w:rPr>
          <w:rFonts w:hint="eastAsia" w:hAnsi="宋体"/>
          <w:sz w:val="21"/>
          <w:szCs w:val="21"/>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rPr>
      </w:pPr>
      <w:r>
        <w:rPr>
          <w:rFonts w:hint="eastAsia" w:hAnsi="宋体"/>
          <w:sz w:val="21"/>
          <w:szCs w:val="21"/>
        </w:rPr>
        <w:t>（2）磋商报价应包括所有应支付的对专利权和版权、设计或其他知识产权而需要向其他方支付的版税。</w:t>
      </w:r>
    </w:p>
    <w:p>
      <w:pPr>
        <w:spacing w:line="360" w:lineRule="auto"/>
        <w:ind w:firstLine="420" w:firstLineChars="200"/>
        <w:rPr>
          <w:rFonts w:hAnsi="宋体"/>
          <w:sz w:val="21"/>
          <w:szCs w:val="21"/>
        </w:rPr>
      </w:pPr>
      <w:r>
        <w:rPr>
          <w:rFonts w:hint="eastAsia" w:hAnsi="宋体"/>
          <w:sz w:val="21"/>
          <w:szCs w:val="21"/>
        </w:rPr>
        <w:t>（3）供应商应按响应文件的《报价一览表》格式填写响应内容的单价和总价。</w:t>
      </w:r>
    </w:p>
    <w:p>
      <w:pPr>
        <w:spacing w:line="360" w:lineRule="auto"/>
        <w:ind w:firstLine="422" w:firstLineChars="200"/>
        <w:rPr>
          <w:rFonts w:hAnsi="宋体"/>
          <w:b/>
          <w:sz w:val="21"/>
          <w:szCs w:val="21"/>
        </w:rPr>
      </w:pPr>
      <w:r>
        <w:rPr>
          <w:rFonts w:hint="eastAsia" w:hAnsi="宋体"/>
          <w:b/>
          <w:sz w:val="21"/>
          <w:szCs w:val="21"/>
        </w:rPr>
        <w:t>（4）</w:t>
      </w:r>
      <w:r>
        <w:rPr>
          <w:rFonts w:hint="eastAsia" w:hAnsi="宋体"/>
          <w:b/>
          <w:bCs/>
          <w:sz w:val="21"/>
          <w:szCs w:val="21"/>
        </w:rPr>
        <w:t>供应商每次报价超过最高限价视为非实质性响应磋商而予以拒绝。</w:t>
      </w:r>
    </w:p>
    <w:p>
      <w:pPr>
        <w:spacing w:line="360" w:lineRule="auto"/>
        <w:ind w:firstLine="420" w:firstLineChars="200"/>
        <w:rPr>
          <w:rFonts w:hAnsi="宋体"/>
          <w:sz w:val="21"/>
          <w:szCs w:val="21"/>
        </w:rPr>
      </w:pPr>
      <w:r>
        <w:rPr>
          <w:rFonts w:hint="eastAsia" w:hAnsi="宋体"/>
          <w:sz w:val="21"/>
          <w:szCs w:val="21"/>
        </w:rPr>
        <w:t>（5）经磋商后，供应商所报的最后磋商报价在合同执行过程中是固定不变的，不得以任何理由予以变更。</w:t>
      </w:r>
    </w:p>
    <w:p>
      <w:pPr>
        <w:spacing w:line="360" w:lineRule="auto"/>
        <w:ind w:firstLine="422" w:firstLineChars="200"/>
        <w:rPr>
          <w:rFonts w:hAnsi="宋体"/>
          <w:b/>
          <w:sz w:val="21"/>
          <w:szCs w:val="21"/>
        </w:rPr>
      </w:pPr>
      <w:r>
        <w:rPr>
          <w:rFonts w:hint="eastAsia" w:hAnsi="宋体"/>
          <w:b/>
          <w:sz w:val="21"/>
          <w:szCs w:val="21"/>
        </w:rPr>
        <w:t>（6）供应商只能就单个项目提供唯一的方案和报价，不接受选择性的方案和报价。</w:t>
      </w:r>
    </w:p>
    <w:p>
      <w:pPr>
        <w:spacing w:line="360" w:lineRule="auto"/>
        <w:ind w:firstLine="420" w:firstLineChars="200"/>
        <w:rPr>
          <w:rFonts w:hAnsi="宋体"/>
          <w:sz w:val="21"/>
          <w:szCs w:val="21"/>
        </w:rPr>
      </w:pPr>
      <w:r>
        <w:rPr>
          <w:rFonts w:hint="eastAsia" w:hAnsi="宋体"/>
          <w:sz w:val="21"/>
          <w:szCs w:val="21"/>
        </w:rPr>
        <w:t>11.3证明供应商合格和资格的文件</w:t>
      </w:r>
    </w:p>
    <w:p>
      <w:pPr>
        <w:spacing w:line="360" w:lineRule="auto"/>
        <w:ind w:firstLine="420" w:firstLineChars="200"/>
        <w:rPr>
          <w:rFonts w:hAnsi="宋体"/>
          <w:sz w:val="21"/>
          <w:szCs w:val="21"/>
        </w:rPr>
      </w:pPr>
      <w:r>
        <w:rPr>
          <w:rFonts w:hint="eastAsia" w:hAnsi="宋体"/>
          <w:sz w:val="21"/>
          <w:szCs w:val="21"/>
        </w:rPr>
        <w:t>11.4供应商应当提交具备履行合同的证明文件。</w:t>
      </w:r>
    </w:p>
    <w:p>
      <w:pPr>
        <w:spacing w:line="360" w:lineRule="auto"/>
        <w:ind w:firstLine="420" w:firstLineChars="200"/>
        <w:rPr>
          <w:rFonts w:hAnsi="宋体"/>
          <w:sz w:val="21"/>
          <w:szCs w:val="21"/>
        </w:rPr>
      </w:pPr>
      <w:r>
        <w:rPr>
          <w:rFonts w:hint="eastAsia" w:hAnsi="宋体"/>
          <w:sz w:val="21"/>
          <w:szCs w:val="21"/>
        </w:rPr>
        <w:t>11.5证明文件包括：履行合同所必须具备的财务能力证明、技术能力证明，符合磋商文件资格要求的证明等。</w:t>
      </w:r>
    </w:p>
    <w:p>
      <w:pPr>
        <w:spacing w:line="360" w:lineRule="auto"/>
        <w:ind w:firstLine="420" w:firstLineChars="200"/>
        <w:rPr>
          <w:rFonts w:hAnsi="宋体"/>
          <w:sz w:val="21"/>
          <w:szCs w:val="21"/>
        </w:rPr>
      </w:pPr>
      <w:r>
        <w:rPr>
          <w:rFonts w:hint="eastAsia" w:hAnsi="宋体"/>
          <w:sz w:val="21"/>
          <w:szCs w:val="21"/>
        </w:rPr>
        <w:t>11.6证明服务的合格性和符合磋商文件规定的文件。</w:t>
      </w:r>
    </w:p>
    <w:p>
      <w:pPr>
        <w:spacing w:line="360" w:lineRule="auto"/>
        <w:ind w:firstLine="420" w:firstLineChars="200"/>
        <w:rPr>
          <w:rFonts w:hAnsi="宋体"/>
          <w:sz w:val="21"/>
          <w:szCs w:val="21"/>
        </w:rPr>
      </w:pPr>
      <w:r>
        <w:rPr>
          <w:rFonts w:hint="eastAsia" w:hAnsi="宋体"/>
          <w:sz w:val="21"/>
          <w:szCs w:val="21"/>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rPr>
      </w:pPr>
      <w:r>
        <w:rPr>
          <w:rFonts w:hint="eastAsia" w:hAnsi="宋体"/>
          <w:sz w:val="21"/>
          <w:szCs w:val="21"/>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5"/>
        <w:adjustRightInd/>
        <w:spacing w:line="360" w:lineRule="auto"/>
        <w:ind w:firstLine="420" w:firstLineChars="200"/>
        <w:rPr>
          <w:rFonts w:hAnsi="宋体"/>
          <w:sz w:val="21"/>
          <w:szCs w:val="21"/>
        </w:rPr>
      </w:pPr>
      <w:bookmarkStart w:id="81" w:name="_Toc21763"/>
      <w:bookmarkStart w:id="82" w:name="_Toc110953841"/>
      <w:bookmarkStart w:id="83" w:name="_Toc7897875"/>
      <w:bookmarkStart w:id="84" w:name="_Toc9150"/>
      <w:r>
        <w:rPr>
          <w:rFonts w:hint="eastAsia" w:hAnsi="宋体"/>
          <w:sz w:val="21"/>
          <w:szCs w:val="21"/>
        </w:rPr>
        <w:t>12.响应文件格式</w:t>
      </w:r>
      <w:bookmarkEnd w:id="81"/>
      <w:bookmarkEnd w:id="82"/>
      <w:bookmarkEnd w:id="83"/>
      <w:bookmarkEnd w:id="84"/>
    </w:p>
    <w:p>
      <w:pPr>
        <w:spacing w:line="360" w:lineRule="auto"/>
        <w:ind w:firstLine="420" w:firstLineChars="200"/>
        <w:rPr>
          <w:rFonts w:hAnsi="宋体"/>
          <w:sz w:val="21"/>
          <w:szCs w:val="21"/>
        </w:rPr>
      </w:pPr>
      <w:r>
        <w:rPr>
          <w:rFonts w:hint="eastAsia" w:hAnsi="宋体"/>
          <w:sz w:val="21"/>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5"/>
        <w:adjustRightInd/>
        <w:spacing w:line="360" w:lineRule="auto"/>
        <w:ind w:firstLine="420" w:firstLineChars="200"/>
        <w:rPr>
          <w:rFonts w:hAnsi="宋体"/>
          <w:sz w:val="21"/>
          <w:szCs w:val="21"/>
        </w:rPr>
      </w:pPr>
      <w:bookmarkStart w:id="85" w:name="_Toc185150707"/>
      <w:bookmarkStart w:id="86" w:name="_Toc24570"/>
      <w:bookmarkStart w:id="87" w:name="_Toc30889"/>
      <w:bookmarkStart w:id="88" w:name="_Toc7897876"/>
      <w:r>
        <w:rPr>
          <w:rFonts w:hint="eastAsia" w:hAnsi="宋体"/>
          <w:sz w:val="21"/>
          <w:szCs w:val="21"/>
        </w:rPr>
        <w:t>13.</w:t>
      </w:r>
      <w:bookmarkEnd w:id="85"/>
      <w:r>
        <w:rPr>
          <w:rFonts w:hint="eastAsia" w:hAnsi="宋体"/>
          <w:sz w:val="21"/>
          <w:szCs w:val="21"/>
        </w:rPr>
        <w:t>磋商保证金</w:t>
      </w:r>
      <w:bookmarkEnd w:id="86"/>
      <w:bookmarkEnd w:id="87"/>
      <w:bookmarkEnd w:id="88"/>
    </w:p>
    <w:p>
      <w:pPr>
        <w:spacing w:line="360" w:lineRule="auto"/>
        <w:ind w:firstLine="420" w:firstLineChars="200"/>
        <w:rPr>
          <w:rFonts w:hAnsi="宋体"/>
          <w:sz w:val="21"/>
          <w:szCs w:val="21"/>
        </w:rPr>
      </w:pPr>
      <w:r>
        <w:rPr>
          <w:rFonts w:hint="eastAsia" w:hAnsi="宋体"/>
          <w:sz w:val="21"/>
          <w:szCs w:val="21"/>
        </w:rPr>
        <w:t>13.1供应商应向采购代理机构提交磋商保证金，并作为其响应文件的一部分。磋商保证金的金额：</w:t>
      </w:r>
    </w:p>
    <w:tbl>
      <w:tblPr>
        <w:tblStyle w:val="5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sz w:val="21"/>
                <w:szCs w:val="21"/>
              </w:rPr>
            </w:pPr>
            <w:r>
              <w:rPr>
                <w:rFonts w:hint="eastAsia" w:hAnsi="宋体"/>
                <w:b/>
                <w:sz w:val="21"/>
                <w:szCs w:val="21"/>
              </w:rPr>
              <w:t>内容</w:t>
            </w:r>
          </w:p>
        </w:tc>
        <w:tc>
          <w:tcPr>
            <w:tcW w:w="3461" w:type="dxa"/>
            <w:shd w:val="clear" w:color="auto" w:fill="E0E0E0"/>
            <w:vAlign w:val="center"/>
          </w:tcPr>
          <w:p>
            <w:pPr>
              <w:snapToGrid w:val="0"/>
              <w:jc w:val="center"/>
              <w:rPr>
                <w:rFonts w:hAnsi="宋体"/>
                <w:b/>
                <w:sz w:val="21"/>
                <w:szCs w:val="21"/>
              </w:rPr>
            </w:pPr>
            <w:r>
              <w:rPr>
                <w:rFonts w:hint="eastAsia" w:hAnsi="宋体"/>
                <w:b/>
                <w:sz w:val="21"/>
                <w:szCs w:val="21"/>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Ansi="宋体"/>
                <w:sz w:val="21"/>
                <w:szCs w:val="21"/>
              </w:rPr>
            </w:pPr>
            <w:r>
              <w:rPr>
                <w:rFonts w:hint="eastAsia" w:hAnsi="宋体"/>
                <w:sz w:val="21"/>
                <w:szCs w:val="21"/>
              </w:rPr>
              <w:t>旗云花园销售法律服务项目</w:t>
            </w:r>
          </w:p>
        </w:tc>
        <w:tc>
          <w:tcPr>
            <w:tcW w:w="3461" w:type="dxa"/>
            <w:vAlign w:val="center"/>
          </w:tcPr>
          <w:p>
            <w:pPr>
              <w:widowControl/>
              <w:jc w:val="center"/>
              <w:rPr>
                <w:rFonts w:hAnsi="宋体"/>
                <w:sz w:val="21"/>
                <w:szCs w:val="21"/>
              </w:rPr>
            </w:pPr>
            <w:r>
              <w:rPr>
                <w:rFonts w:hint="eastAsia" w:hAnsi="宋体"/>
                <w:sz w:val="21"/>
                <w:szCs w:val="21"/>
              </w:rPr>
              <w:t>贰万元整（¥20,000.00元）</w:t>
            </w:r>
          </w:p>
        </w:tc>
      </w:tr>
    </w:tbl>
    <w:p>
      <w:pPr>
        <w:spacing w:line="360" w:lineRule="auto"/>
        <w:ind w:firstLine="420" w:firstLineChars="200"/>
        <w:rPr>
          <w:rFonts w:hAnsi="宋体"/>
          <w:sz w:val="21"/>
          <w:szCs w:val="21"/>
        </w:rPr>
      </w:pPr>
      <w:r>
        <w:rPr>
          <w:rFonts w:hint="eastAsia" w:hAnsi="宋体"/>
          <w:sz w:val="21"/>
          <w:szCs w:val="21"/>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sz w:val="21"/>
          <w:szCs w:val="21"/>
        </w:rPr>
      </w:pPr>
      <w:r>
        <w:rPr>
          <w:rFonts w:hint="eastAsia" w:hAnsi="宋体"/>
          <w:sz w:val="21"/>
          <w:szCs w:val="21"/>
        </w:rPr>
        <w:t xml:space="preserve">13.3磋商保证金以银行划账形式提交，应符合下列规定： </w:t>
      </w:r>
    </w:p>
    <w:p>
      <w:pPr>
        <w:autoSpaceDE/>
        <w:autoSpaceDN/>
        <w:adjustRightInd/>
        <w:spacing w:line="360" w:lineRule="auto"/>
        <w:ind w:firstLine="840" w:firstLineChars="400"/>
        <w:jc w:val="both"/>
        <w:rPr>
          <w:rFonts w:hAnsi="宋体"/>
          <w:bCs/>
          <w:sz w:val="21"/>
          <w:szCs w:val="21"/>
        </w:rPr>
      </w:pPr>
      <w:r>
        <w:rPr>
          <w:rFonts w:hint="eastAsia" w:hAnsi="宋体"/>
          <w:bCs/>
          <w:sz w:val="21"/>
          <w:szCs w:val="21"/>
        </w:rPr>
        <w:t>账户名称：广东泰通伟业工程咨询有限公司</w:t>
      </w:r>
    </w:p>
    <w:p>
      <w:pPr>
        <w:autoSpaceDE/>
        <w:autoSpaceDN/>
        <w:adjustRightInd/>
        <w:spacing w:line="360" w:lineRule="auto"/>
        <w:ind w:firstLine="840" w:firstLineChars="400"/>
        <w:jc w:val="both"/>
        <w:rPr>
          <w:rFonts w:hAnsi="宋体"/>
          <w:bCs/>
          <w:sz w:val="21"/>
          <w:szCs w:val="21"/>
        </w:rPr>
      </w:pPr>
      <w:r>
        <w:rPr>
          <w:rFonts w:hint="eastAsia" w:hAnsi="宋体"/>
          <w:bCs/>
          <w:sz w:val="21"/>
          <w:szCs w:val="21"/>
        </w:rPr>
        <w:t>账号：6232590699050015385</w:t>
      </w:r>
    </w:p>
    <w:p>
      <w:pPr>
        <w:spacing w:line="360" w:lineRule="auto"/>
        <w:ind w:firstLine="840" w:firstLineChars="400"/>
        <w:jc w:val="both"/>
        <w:rPr>
          <w:rFonts w:hAnsi="宋体"/>
          <w:bCs/>
          <w:sz w:val="21"/>
          <w:szCs w:val="21"/>
        </w:rPr>
      </w:pPr>
      <w:r>
        <w:rPr>
          <w:rFonts w:hint="eastAsia" w:hAnsi="宋体"/>
          <w:bCs/>
          <w:sz w:val="21"/>
          <w:szCs w:val="21"/>
        </w:rPr>
        <w:t>开户行：广发银行股份有限公司东莞东翔支行</w:t>
      </w:r>
    </w:p>
    <w:p>
      <w:pPr>
        <w:spacing w:line="360" w:lineRule="auto"/>
        <w:ind w:firstLine="420" w:firstLineChars="200"/>
        <w:rPr>
          <w:rFonts w:hAnsi="宋体"/>
          <w:sz w:val="21"/>
          <w:szCs w:val="21"/>
        </w:rPr>
      </w:pPr>
      <w:r>
        <w:rPr>
          <w:rFonts w:hint="eastAsia" w:hAnsi="宋体"/>
          <w:sz w:val="21"/>
          <w:szCs w:val="21"/>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rPr>
      </w:pPr>
      <w:r>
        <w:rPr>
          <w:rFonts w:hint="eastAsia" w:hAnsi="宋体"/>
          <w:sz w:val="21"/>
          <w:szCs w:val="21"/>
        </w:rPr>
        <w:t>13.4供应商应将汇款底单复印件附在《磋商保证金汇入情况说明》中。并将《磋商保证金汇入情况说明》连同开标一览表一起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rPr>
      </w:pPr>
      <w:r>
        <w:rPr>
          <w:rFonts w:hint="eastAsia" w:hAnsi="宋体"/>
          <w:sz w:val="21"/>
          <w:szCs w:val="21"/>
        </w:rPr>
        <w:t>13.5凡没有根据规定递交磋商保证金的，应视为非响应性磋商予以拒绝。</w:t>
      </w:r>
    </w:p>
    <w:p>
      <w:pPr>
        <w:spacing w:line="360" w:lineRule="auto"/>
        <w:ind w:firstLine="420" w:firstLineChars="200"/>
        <w:rPr>
          <w:rFonts w:hAnsi="宋体"/>
          <w:sz w:val="21"/>
          <w:szCs w:val="21"/>
        </w:rPr>
      </w:pPr>
      <w:r>
        <w:rPr>
          <w:rFonts w:hint="eastAsia" w:hAnsi="宋体"/>
          <w:sz w:val="21"/>
          <w:szCs w:val="21"/>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rPr>
      </w:pPr>
      <w:r>
        <w:rPr>
          <w:rFonts w:hint="eastAsia" w:hAnsi="宋体"/>
          <w:sz w:val="21"/>
          <w:szCs w:val="21"/>
        </w:rPr>
        <w:t>13.7下列任何情况发生时，磋商保证金将被没收：</w:t>
      </w:r>
    </w:p>
    <w:p>
      <w:pPr>
        <w:spacing w:line="360" w:lineRule="auto"/>
        <w:ind w:firstLine="420" w:firstLineChars="200"/>
        <w:rPr>
          <w:rFonts w:hAnsi="宋体"/>
          <w:sz w:val="21"/>
          <w:szCs w:val="21"/>
        </w:rPr>
      </w:pPr>
      <w:r>
        <w:rPr>
          <w:rFonts w:hint="eastAsia" w:hAnsi="宋体"/>
          <w:sz w:val="21"/>
          <w:szCs w:val="21"/>
        </w:rPr>
        <w:t>13.7.1供应商在磋商文件中规定的磋商有效期内撤回其磋商；</w:t>
      </w:r>
    </w:p>
    <w:p>
      <w:pPr>
        <w:spacing w:line="360" w:lineRule="auto"/>
        <w:ind w:firstLine="420" w:firstLineChars="200"/>
        <w:rPr>
          <w:rFonts w:hAnsi="宋体"/>
          <w:sz w:val="21"/>
          <w:szCs w:val="21"/>
        </w:rPr>
      </w:pPr>
      <w:r>
        <w:rPr>
          <w:rFonts w:hint="eastAsia" w:hAnsi="宋体"/>
          <w:sz w:val="21"/>
          <w:szCs w:val="21"/>
        </w:rPr>
        <w:t>13.7.2供应商串通磋商或者以其他弄虚作假方式磋商；</w:t>
      </w:r>
    </w:p>
    <w:p>
      <w:pPr>
        <w:spacing w:line="360" w:lineRule="auto"/>
        <w:ind w:firstLine="420" w:firstLineChars="200"/>
        <w:rPr>
          <w:rFonts w:hAnsi="宋体"/>
          <w:sz w:val="21"/>
          <w:szCs w:val="21"/>
        </w:rPr>
      </w:pPr>
      <w:r>
        <w:rPr>
          <w:rFonts w:hint="eastAsia" w:hAnsi="宋体"/>
          <w:sz w:val="21"/>
          <w:szCs w:val="21"/>
        </w:rPr>
        <w:t>13.7.3成交供应商在规定期限内未能按规定签订合同；</w:t>
      </w:r>
    </w:p>
    <w:p>
      <w:pPr>
        <w:spacing w:line="360" w:lineRule="auto"/>
        <w:ind w:firstLine="420" w:firstLineChars="200"/>
        <w:rPr>
          <w:rFonts w:hAnsi="宋体"/>
          <w:sz w:val="21"/>
          <w:szCs w:val="21"/>
        </w:rPr>
      </w:pPr>
      <w:r>
        <w:rPr>
          <w:rFonts w:hint="eastAsia" w:hAnsi="宋体"/>
          <w:sz w:val="21"/>
          <w:szCs w:val="21"/>
        </w:rPr>
        <w:t>13.7.4法律法规规定和磋商文件中规定的其它情况。</w:t>
      </w:r>
    </w:p>
    <w:p>
      <w:pPr>
        <w:pStyle w:val="5"/>
        <w:adjustRightInd/>
        <w:spacing w:line="360" w:lineRule="auto"/>
        <w:ind w:firstLine="420" w:firstLineChars="200"/>
        <w:rPr>
          <w:rFonts w:hAnsi="宋体"/>
          <w:sz w:val="21"/>
          <w:szCs w:val="21"/>
        </w:rPr>
      </w:pPr>
      <w:bookmarkStart w:id="89" w:name="_Toc467987824"/>
      <w:bookmarkStart w:id="90" w:name="_Toc7897877"/>
      <w:bookmarkStart w:id="91" w:name="_Toc2525"/>
      <w:bookmarkStart w:id="92" w:name="_Toc110953842"/>
      <w:bookmarkStart w:id="93" w:name="_Toc503758471"/>
      <w:bookmarkStart w:id="94" w:name="_Toc480171880"/>
      <w:bookmarkStart w:id="95" w:name="_Toc467236741"/>
      <w:bookmarkStart w:id="96" w:name="_Toc480020258"/>
      <w:bookmarkStart w:id="97" w:name="_Toc32304"/>
      <w:bookmarkStart w:id="98" w:name="_Toc458262615"/>
      <w:bookmarkStart w:id="99" w:name="_Toc454701382"/>
      <w:bookmarkStart w:id="100" w:name="_Toc480010709"/>
      <w:bookmarkStart w:id="101" w:name="_Toc468157537"/>
      <w:bookmarkStart w:id="102" w:name="_Toc480021054"/>
      <w:bookmarkStart w:id="103" w:name="_Toc468606030"/>
      <w:bookmarkStart w:id="104" w:name="_Toc479991583"/>
      <w:r>
        <w:rPr>
          <w:rFonts w:hint="eastAsia" w:hAnsi="宋体"/>
          <w:sz w:val="21"/>
          <w:szCs w:val="21"/>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sz w:val="21"/>
          <w:szCs w:val="21"/>
        </w:rPr>
      </w:pPr>
      <w:r>
        <w:rPr>
          <w:rFonts w:hint="eastAsia" w:hAnsi="宋体"/>
          <w:sz w:val="21"/>
          <w:szCs w:val="21"/>
        </w:rPr>
        <w:t>14.1响应文件从开启响应文件之日起，响应有效期为90个工作日。</w:t>
      </w:r>
    </w:p>
    <w:p>
      <w:pPr>
        <w:spacing w:line="360" w:lineRule="auto"/>
        <w:ind w:firstLine="420" w:firstLineChars="200"/>
        <w:rPr>
          <w:rFonts w:hAnsi="宋体"/>
          <w:sz w:val="21"/>
          <w:szCs w:val="21"/>
        </w:rPr>
      </w:pPr>
      <w:r>
        <w:rPr>
          <w:rFonts w:hint="eastAsia" w:hAnsi="宋体"/>
          <w:sz w:val="21"/>
          <w:szCs w:val="21"/>
        </w:rPr>
        <w:t>14.2特殊情况下，采购代理机构可于响应有效期期满之前，要求供应商同意延长响应有效期，要求与答复均应为书面形式。对于同意该要求的供应商，既不要求也不允许其修改响应文件。</w:t>
      </w:r>
    </w:p>
    <w:p>
      <w:pPr>
        <w:pStyle w:val="13"/>
        <w:ind w:firstLine="400"/>
      </w:pPr>
    </w:p>
    <w:bookmarkEnd w:id="68"/>
    <w:bookmarkEnd w:id="69"/>
    <w:bookmarkEnd w:id="70"/>
    <w:bookmarkEnd w:id="71"/>
    <w:bookmarkEnd w:id="72"/>
    <w:p>
      <w:pPr>
        <w:pStyle w:val="4"/>
        <w:adjustRightInd/>
        <w:spacing w:line="360" w:lineRule="auto"/>
        <w:ind w:firstLine="562" w:firstLineChars="200"/>
        <w:jc w:val="center"/>
        <w:rPr>
          <w:sz w:val="28"/>
          <w:szCs w:val="28"/>
        </w:rPr>
      </w:pPr>
      <w:bookmarkStart w:id="105" w:name="_Toc110953843"/>
      <w:bookmarkStart w:id="106" w:name="_Toc17761"/>
      <w:bookmarkStart w:id="107" w:name="_Toc7897878"/>
      <w:bookmarkStart w:id="108" w:name="_Toc6882679"/>
      <w:bookmarkStart w:id="109" w:name="_Toc102277760"/>
      <w:bookmarkStart w:id="110" w:name="_Toc466786438"/>
      <w:bookmarkStart w:id="111" w:name="_Toc6968691"/>
      <w:bookmarkStart w:id="112" w:name="_Toc507407363"/>
      <w:r>
        <w:rPr>
          <w:rFonts w:hint="eastAsia"/>
          <w:sz w:val="28"/>
          <w:szCs w:val="28"/>
        </w:rPr>
        <w:t>四、响应文件的递交</w:t>
      </w:r>
      <w:bookmarkEnd w:id="105"/>
      <w:bookmarkEnd w:id="106"/>
      <w:bookmarkEnd w:id="107"/>
    </w:p>
    <w:p>
      <w:pPr>
        <w:pStyle w:val="5"/>
        <w:adjustRightInd/>
        <w:spacing w:line="360" w:lineRule="auto"/>
        <w:ind w:firstLine="420" w:firstLineChars="200"/>
        <w:rPr>
          <w:rFonts w:hAnsi="宋体"/>
          <w:sz w:val="21"/>
          <w:szCs w:val="21"/>
        </w:rPr>
      </w:pPr>
      <w:bookmarkStart w:id="113" w:name="_Toc7897879"/>
      <w:bookmarkStart w:id="114" w:name="_Toc110953844"/>
      <w:bookmarkStart w:id="115" w:name="_Toc11500"/>
      <w:bookmarkStart w:id="116" w:name="_Toc2684"/>
      <w:r>
        <w:rPr>
          <w:rFonts w:hint="eastAsia" w:hAnsi="宋体"/>
          <w:sz w:val="21"/>
          <w:szCs w:val="21"/>
        </w:rPr>
        <w:t>15.响应文件的密封和标记</w:t>
      </w:r>
      <w:bookmarkEnd w:id="113"/>
      <w:bookmarkEnd w:id="114"/>
      <w:bookmarkEnd w:id="115"/>
      <w:bookmarkEnd w:id="116"/>
    </w:p>
    <w:p>
      <w:pPr>
        <w:spacing w:line="360" w:lineRule="auto"/>
        <w:ind w:firstLine="420" w:firstLineChars="200"/>
        <w:rPr>
          <w:rFonts w:hAnsi="宋体"/>
          <w:sz w:val="21"/>
          <w:szCs w:val="21"/>
        </w:rPr>
      </w:pPr>
      <w:r>
        <w:rPr>
          <w:rFonts w:hint="eastAsia" w:hAnsi="宋体"/>
          <w:sz w:val="21"/>
          <w:szCs w:val="21"/>
        </w:rPr>
        <w:t>15.1供应商应将响应文件正本和副本用信封分别密封，并标明供应商的名称、采购编号及“正本”或“副本”字样。</w:t>
      </w:r>
    </w:p>
    <w:p>
      <w:pPr>
        <w:spacing w:line="360" w:lineRule="auto"/>
        <w:ind w:firstLine="422" w:firstLineChars="200"/>
        <w:rPr>
          <w:rFonts w:hAnsi="宋体"/>
          <w:b/>
          <w:sz w:val="21"/>
          <w:szCs w:val="21"/>
        </w:rPr>
      </w:pPr>
      <w:r>
        <w:rPr>
          <w:rFonts w:hint="eastAsia" w:hAnsi="宋体"/>
          <w:b/>
          <w:sz w:val="21"/>
          <w:szCs w:val="21"/>
        </w:rPr>
        <w:t>15.2唱标信封应单独密封，与磋商响应文件一同提交。</w:t>
      </w:r>
    </w:p>
    <w:p>
      <w:pPr>
        <w:tabs>
          <w:tab w:val="left" w:pos="567"/>
        </w:tabs>
        <w:spacing w:line="360" w:lineRule="auto"/>
        <w:ind w:firstLine="420" w:firstLineChars="200"/>
        <w:rPr>
          <w:rFonts w:hAnsi="宋体"/>
          <w:sz w:val="21"/>
          <w:szCs w:val="21"/>
        </w:rPr>
      </w:pPr>
      <w:r>
        <w:rPr>
          <w:rFonts w:hint="eastAsia" w:hAnsi="宋体"/>
          <w:sz w:val="21"/>
          <w:szCs w:val="21"/>
        </w:rPr>
        <w:t>15.3在磋商响应文件密封袋上均应标明以下内容：</w:t>
      </w:r>
    </w:p>
    <w:p>
      <w:pPr>
        <w:spacing w:line="360" w:lineRule="auto"/>
        <w:ind w:firstLine="420" w:firstLineChars="200"/>
        <w:rPr>
          <w:rFonts w:hAnsi="宋体"/>
          <w:sz w:val="21"/>
          <w:szCs w:val="21"/>
        </w:rPr>
      </w:pPr>
      <w:r>
        <w:rPr>
          <w:rFonts w:hint="eastAsia" w:hAnsi="宋体"/>
          <w:sz w:val="21"/>
          <w:szCs w:val="21"/>
        </w:rPr>
        <w:t>① 收 件 人：；</w:t>
      </w:r>
    </w:p>
    <w:p>
      <w:pPr>
        <w:spacing w:line="360" w:lineRule="auto"/>
        <w:ind w:firstLine="420" w:firstLineChars="200"/>
        <w:rPr>
          <w:rFonts w:hAnsi="宋体"/>
          <w:sz w:val="21"/>
          <w:szCs w:val="21"/>
        </w:rPr>
      </w:pPr>
      <w:r>
        <w:rPr>
          <w:rFonts w:hint="eastAsia" w:hAnsi="宋体"/>
          <w:sz w:val="21"/>
          <w:szCs w:val="21"/>
        </w:rPr>
        <w:t>② 项目名称：；</w:t>
      </w:r>
    </w:p>
    <w:p>
      <w:pPr>
        <w:spacing w:line="360" w:lineRule="auto"/>
        <w:ind w:firstLine="420" w:firstLineChars="200"/>
        <w:rPr>
          <w:rFonts w:hAnsi="宋体"/>
          <w:sz w:val="21"/>
          <w:szCs w:val="21"/>
        </w:rPr>
      </w:pPr>
      <w:r>
        <w:rPr>
          <w:rFonts w:hint="eastAsia" w:hAnsi="宋体"/>
          <w:sz w:val="21"/>
          <w:szCs w:val="21"/>
        </w:rPr>
        <w:t>③ 采购编号：；</w:t>
      </w:r>
    </w:p>
    <w:p>
      <w:pPr>
        <w:spacing w:line="360" w:lineRule="auto"/>
        <w:ind w:firstLine="420" w:firstLineChars="200"/>
        <w:rPr>
          <w:rFonts w:hAnsi="宋体"/>
          <w:sz w:val="21"/>
          <w:szCs w:val="21"/>
        </w:rPr>
      </w:pPr>
      <w:r>
        <w:rPr>
          <w:rFonts w:hint="eastAsia" w:hAnsi="宋体"/>
          <w:sz w:val="21"/>
          <w:szCs w:val="21"/>
        </w:rPr>
        <w:t>④        年   月   日   时   分开标，此时间以前不得开封；</w:t>
      </w:r>
    </w:p>
    <w:p>
      <w:pPr>
        <w:spacing w:line="360" w:lineRule="auto"/>
        <w:ind w:firstLine="420" w:firstLineChars="200"/>
        <w:rPr>
          <w:rFonts w:hAnsi="宋体"/>
          <w:sz w:val="21"/>
          <w:szCs w:val="21"/>
        </w:rPr>
      </w:pPr>
      <w:r>
        <w:rPr>
          <w:rFonts w:hint="eastAsia" w:hAnsi="宋体"/>
          <w:sz w:val="21"/>
          <w:szCs w:val="21"/>
        </w:rPr>
        <w:t>⑤ 标明供应商名称、地址、联系人和电话以及文件的种类（如商务技术文件、唱标信封等）。</w:t>
      </w:r>
    </w:p>
    <w:p>
      <w:pPr>
        <w:spacing w:line="360" w:lineRule="auto"/>
        <w:ind w:firstLine="420" w:firstLineChars="200"/>
        <w:rPr>
          <w:rFonts w:hAnsi="宋体"/>
          <w:sz w:val="21"/>
          <w:szCs w:val="21"/>
        </w:rPr>
      </w:pPr>
      <w:r>
        <w:rPr>
          <w:rFonts w:hint="eastAsia" w:hAnsi="宋体"/>
          <w:sz w:val="21"/>
          <w:szCs w:val="21"/>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rPr>
      </w:pPr>
      <w:r>
        <w:rPr>
          <w:rFonts w:hint="eastAsia" w:hAnsi="宋体"/>
          <w:sz w:val="21"/>
          <w:szCs w:val="21"/>
        </w:rPr>
        <w:t>15.5未按上述规定进行密封、标记和递交的，采购代理机构对响应文件的不依时间递交、误投、破损、封装不合格或提前拆封不负责。</w:t>
      </w:r>
    </w:p>
    <w:p>
      <w:pPr>
        <w:pStyle w:val="5"/>
        <w:adjustRightInd/>
        <w:spacing w:line="360" w:lineRule="auto"/>
        <w:ind w:firstLine="420" w:firstLineChars="200"/>
        <w:rPr>
          <w:rFonts w:hAnsi="宋体"/>
          <w:sz w:val="21"/>
          <w:szCs w:val="21"/>
        </w:rPr>
      </w:pPr>
      <w:bookmarkStart w:id="117" w:name="_Toc7897880"/>
      <w:bookmarkStart w:id="118" w:name="_Toc110953845"/>
      <w:bookmarkStart w:id="119" w:name="_Toc10017"/>
      <w:bookmarkStart w:id="120" w:name="_Toc12710"/>
      <w:r>
        <w:rPr>
          <w:rFonts w:hint="eastAsia" w:hAnsi="宋体"/>
          <w:sz w:val="21"/>
          <w:szCs w:val="21"/>
        </w:rPr>
        <w:t>16.响应文件的递交</w:t>
      </w:r>
      <w:bookmarkEnd w:id="117"/>
      <w:bookmarkEnd w:id="118"/>
      <w:bookmarkEnd w:id="119"/>
      <w:bookmarkEnd w:id="120"/>
    </w:p>
    <w:p>
      <w:pPr>
        <w:spacing w:line="360" w:lineRule="auto"/>
        <w:ind w:firstLine="420" w:firstLineChars="200"/>
        <w:rPr>
          <w:rFonts w:hAnsi="宋体"/>
          <w:sz w:val="21"/>
          <w:szCs w:val="21"/>
        </w:rPr>
      </w:pPr>
      <w:r>
        <w:rPr>
          <w:rFonts w:hint="eastAsia" w:hAnsi="宋体"/>
          <w:sz w:val="21"/>
          <w:szCs w:val="21"/>
        </w:rPr>
        <w:t>16.1所有响应文件都必须在响应截止时间之前送至采购代理机构。</w:t>
      </w:r>
    </w:p>
    <w:p>
      <w:pPr>
        <w:spacing w:line="360" w:lineRule="auto"/>
        <w:ind w:firstLine="420" w:firstLineChars="200"/>
        <w:rPr>
          <w:rFonts w:hAnsi="宋体"/>
          <w:sz w:val="21"/>
          <w:szCs w:val="21"/>
        </w:rPr>
      </w:pPr>
      <w:r>
        <w:rPr>
          <w:rFonts w:hint="eastAsia" w:hAnsi="宋体"/>
          <w:sz w:val="21"/>
          <w:szCs w:val="21"/>
        </w:rPr>
        <w:t>16.2采购代理机构拒绝接受以下文件：</w:t>
      </w:r>
    </w:p>
    <w:p>
      <w:pPr>
        <w:spacing w:line="360" w:lineRule="auto"/>
        <w:ind w:firstLine="420" w:firstLineChars="200"/>
        <w:rPr>
          <w:rFonts w:hAnsi="宋体"/>
          <w:sz w:val="21"/>
          <w:szCs w:val="21"/>
        </w:rPr>
      </w:pPr>
      <w:r>
        <w:rPr>
          <w:rFonts w:hint="eastAsia" w:hAnsi="宋体"/>
          <w:sz w:val="21"/>
          <w:szCs w:val="21"/>
        </w:rPr>
        <w:t>（1）提前递交的文件，</w:t>
      </w:r>
    </w:p>
    <w:p>
      <w:pPr>
        <w:spacing w:line="360" w:lineRule="auto"/>
        <w:ind w:firstLine="420" w:firstLineChars="200"/>
        <w:rPr>
          <w:rFonts w:hAnsi="宋体"/>
          <w:sz w:val="21"/>
          <w:szCs w:val="21"/>
        </w:rPr>
      </w:pPr>
      <w:r>
        <w:rPr>
          <w:rFonts w:hint="eastAsia" w:hAnsi="宋体"/>
          <w:sz w:val="21"/>
          <w:szCs w:val="21"/>
        </w:rPr>
        <w:t>（2）在响应截止时间后递交的响应文件，</w:t>
      </w:r>
    </w:p>
    <w:p>
      <w:pPr>
        <w:spacing w:line="360" w:lineRule="auto"/>
        <w:ind w:firstLine="420" w:firstLineChars="200"/>
        <w:rPr>
          <w:rFonts w:hAnsi="宋体"/>
          <w:sz w:val="21"/>
          <w:szCs w:val="21"/>
        </w:rPr>
      </w:pPr>
      <w:r>
        <w:rPr>
          <w:rFonts w:hint="eastAsia" w:hAnsi="宋体"/>
          <w:sz w:val="21"/>
          <w:szCs w:val="21"/>
        </w:rPr>
        <w:t>（3）未按规定包装和密封的响应文件。</w:t>
      </w:r>
    </w:p>
    <w:p>
      <w:pPr>
        <w:spacing w:line="360" w:lineRule="auto"/>
        <w:ind w:firstLine="420" w:firstLineChars="200"/>
        <w:rPr>
          <w:rFonts w:hAnsi="宋体"/>
          <w:b/>
          <w:bCs/>
          <w:sz w:val="21"/>
          <w:szCs w:val="21"/>
          <w:lang w:val="zh-CN"/>
        </w:rPr>
      </w:pPr>
      <w:r>
        <w:rPr>
          <w:rFonts w:hint="eastAsia" w:hAnsi="宋体"/>
          <w:sz w:val="21"/>
          <w:szCs w:val="21"/>
        </w:rPr>
        <w:t>16.3响应文件的修改与撤回</w:t>
      </w:r>
    </w:p>
    <w:p>
      <w:pPr>
        <w:spacing w:line="360" w:lineRule="auto"/>
        <w:ind w:firstLine="420" w:firstLineChars="200"/>
        <w:rPr>
          <w:rFonts w:hAnsi="宋体"/>
          <w:sz w:val="21"/>
          <w:szCs w:val="21"/>
        </w:rPr>
      </w:pPr>
      <w:r>
        <w:rPr>
          <w:rFonts w:hint="eastAsia" w:hAnsi="宋体"/>
          <w:sz w:val="21"/>
          <w:szCs w:val="21"/>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rPr>
      </w:pPr>
      <w:r>
        <w:rPr>
          <w:rFonts w:hint="eastAsia" w:hAnsi="宋体"/>
          <w:sz w:val="21"/>
          <w:szCs w:val="21"/>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rPr>
      </w:pPr>
    </w:p>
    <w:p>
      <w:pPr>
        <w:pStyle w:val="4"/>
        <w:adjustRightInd/>
        <w:spacing w:line="360" w:lineRule="auto"/>
        <w:ind w:firstLine="562" w:firstLineChars="200"/>
        <w:jc w:val="center"/>
        <w:rPr>
          <w:sz w:val="28"/>
          <w:szCs w:val="28"/>
        </w:rPr>
      </w:pPr>
      <w:bookmarkStart w:id="121" w:name="_Toc7897881"/>
      <w:bookmarkStart w:id="122" w:name="_Toc22874"/>
      <w:r>
        <w:rPr>
          <w:rFonts w:hint="eastAsia"/>
          <w:sz w:val="28"/>
          <w:szCs w:val="28"/>
        </w:rPr>
        <w:t>五、采购仪式和</w:t>
      </w:r>
      <w:bookmarkEnd w:id="108"/>
      <w:bookmarkEnd w:id="109"/>
      <w:bookmarkEnd w:id="110"/>
      <w:bookmarkEnd w:id="111"/>
      <w:bookmarkEnd w:id="112"/>
      <w:r>
        <w:rPr>
          <w:rFonts w:hint="eastAsia"/>
          <w:sz w:val="28"/>
          <w:szCs w:val="28"/>
        </w:rPr>
        <w:t>评审会议</w:t>
      </w:r>
      <w:bookmarkEnd w:id="121"/>
      <w:bookmarkEnd w:id="122"/>
    </w:p>
    <w:p>
      <w:pPr>
        <w:pStyle w:val="5"/>
        <w:adjustRightInd/>
        <w:spacing w:line="360" w:lineRule="auto"/>
        <w:ind w:firstLine="422" w:firstLineChars="200"/>
        <w:rPr>
          <w:rFonts w:hAnsi="宋体"/>
          <w:b/>
          <w:sz w:val="21"/>
          <w:szCs w:val="21"/>
        </w:rPr>
      </w:pPr>
      <w:bookmarkStart w:id="123" w:name="_Toc475249134"/>
      <w:r>
        <w:rPr>
          <w:rFonts w:hint="eastAsia" w:hAnsi="宋体"/>
          <w:b/>
          <w:sz w:val="21"/>
          <w:szCs w:val="21"/>
        </w:rPr>
        <w:t>17.</w:t>
      </w:r>
      <w:bookmarkEnd w:id="123"/>
      <w:r>
        <w:rPr>
          <w:rFonts w:hint="eastAsia" w:hAnsi="宋体"/>
          <w:b/>
          <w:sz w:val="21"/>
          <w:szCs w:val="21"/>
        </w:rPr>
        <w:t>开启响应文件</w:t>
      </w:r>
    </w:p>
    <w:p>
      <w:pPr>
        <w:spacing w:line="360" w:lineRule="auto"/>
        <w:ind w:firstLine="420" w:firstLineChars="200"/>
        <w:rPr>
          <w:rFonts w:hAnsi="宋体"/>
          <w:sz w:val="21"/>
          <w:szCs w:val="21"/>
        </w:rPr>
      </w:pPr>
      <w:bookmarkStart w:id="124" w:name="_Toc475249135"/>
      <w:bookmarkStart w:id="125" w:name="_Toc475249138"/>
      <w:r>
        <w:rPr>
          <w:rFonts w:hint="eastAsia" w:hAnsi="宋体"/>
          <w:sz w:val="21"/>
          <w:szCs w:val="21"/>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rPr>
      </w:pPr>
      <w:r>
        <w:rPr>
          <w:rFonts w:hint="eastAsia" w:hAnsi="宋体"/>
          <w:sz w:val="21"/>
          <w:szCs w:val="21"/>
        </w:rPr>
        <w:t>17.2开启采购文件前，采购人、采购代理机构和供应商将检查响应文件的密封情况。在确认密封完好后，进行拆封唱标。唱标主要内容为响应文件正本中《报价一览表》的内容以及采购代理机构认为合适的其他内容，并做唱标记录。</w:t>
      </w:r>
    </w:p>
    <w:p>
      <w:pPr>
        <w:pStyle w:val="5"/>
        <w:adjustRightInd/>
        <w:spacing w:line="360" w:lineRule="auto"/>
        <w:ind w:firstLine="422" w:firstLineChars="200"/>
        <w:rPr>
          <w:rFonts w:hAnsi="宋体"/>
          <w:b/>
          <w:sz w:val="21"/>
          <w:szCs w:val="21"/>
        </w:rPr>
      </w:pPr>
      <w:r>
        <w:rPr>
          <w:rFonts w:hint="eastAsia" w:hAnsi="宋体"/>
          <w:b/>
          <w:sz w:val="21"/>
          <w:szCs w:val="21"/>
        </w:rPr>
        <w:t>18.磋商小组</w:t>
      </w:r>
      <w:bookmarkEnd w:id="124"/>
    </w:p>
    <w:p>
      <w:pPr>
        <w:spacing w:line="360" w:lineRule="auto"/>
        <w:ind w:firstLine="420" w:firstLineChars="200"/>
        <w:rPr>
          <w:rFonts w:hAnsi="宋体"/>
          <w:sz w:val="21"/>
          <w:szCs w:val="21"/>
        </w:rPr>
      </w:pPr>
      <w:r>
        <w:rPr>
          <w:rFonts w:hint="eastAsia" w:hAnsi="宋体"/>
          <w:sz w:val="21"/>
          <w:szCs w:val="21"/>
        </w:rPr>
        <w:t>18.1采购代理机构将根据项目特点组建磋商小组，磋商小组由采购人代表和评审专家共3人以上单数组成，其中评审专家人数不得少于磋商小组成员总数的2/3。</w:t>
      </w:r>
    </w:p>
    <w:p>
      <w:pPr>
        <w:pStyle w:val="5"/>
        <w:adjustRightInd/>
        <w:spacing w:line="360" w:lineRule="auto"/>
        <w:ind w:firstLine="422" w:firstLineChars="200"/>
        <w:rPr>
          <w:rFonts w:hAnsi="宋体"/>
          <w:b/>
          <w:sz w:val="21"/>
          <w:szCs w:val="21"/>
        </w:rPr>
      </w:pPr>
      <w:bookmarkStart w:id="126" w:name="_Toc37121259"/>
      <w:bookmarkStart w:id="127" w:name="_Toc535141844"/>
      <w:r>
        <w:rPr>
          <w:rFonts w:hint="eastAsia" w:hAnsi="宋体"/>
          <w:b/>
          <w:sz w:val="21"/>
          <w:szCs w:val="21"/>
        </w:rPr>
        <w:t>19.对响应文件的初审</w:t>
      </w:r>
      <w:bookmarkEnd w:id="126"/>
      <w:bookmarkEnd w:id="127"/>
    </w:p>
    <w:p>
      <w:pPr>
        <w:spacing w:line="360" w:lineRule="auto"/>
        <w:ind w:firstLine="420" w:firstLineChars="200"/>
        <w:rPr>
          <w:rFonts w:hAnsi="宋体"/>
          <w:sz w:val="21"/>
          <w:szCs w:val="21"/>
        </w:rPr>
      </w:pPr>
      <w:r>
        <w:rPr>
          <w:rFonts w:hint="eastAsia" w:hAnsi="宋体"/>
          <w:sz w:val="21"/>
          <w:szCs w:val="21"/>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rPr>
      </w:pPr>
      <w:r>
        <w:rPr>
          <w:rFonts w:hint="eastAsia" w:hAnsi="宋体"/>
          <w:sz w:val="21"/>
          <w:szCs w:val="21"/>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rPr>
      </w:pPr>
      <w:r>
        <w:rPr>
          <w:rFonts w:hint="eastAsia" w:hAnsi="宋体"/>
          <w:sz w:val="21"/>
          <w:szCs w:val="21"/>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rPr>
      </w:pPr>
      <w:r>
        <w:rPr>
          <w:rFonts w:hint="eastAsia" w:hAnsi="宋体"/>
          <w:sz w:val="21"/>
          <w:szCs w:val="21"/>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rPr>
      </w:pPr>
      <w:r>
        <w:rPr>
          <w:rFonts w:hint="eastAsia" w:hAnsi="宋体"/>
          <w:sz w:val="21"/>
          <w:szCs w:val="21"/>
        </w:rPr>
        <w:t>19.5磋商小组确定响应文件的响应性，只根据响应文件本身的内容，而不寻找外部的证据。</w:t>
      </w:r>
    </w:p>
    <w:p>
      <w:pPr>
        <w:spacing w:line="360" w:lineRule="auto"/>
        <w:ind w:firstLine="420" w:firstLineChars="200"/>
        <w:rPr>
          <w:rFonts w:hAnsi="宋体"/>
          <w:sz w:val="21"/>
          <w:szCs w:val="21"/>
        </w:rPr>
      </w:pPr>
      <w:r>
        <w:rPr>
          <w:rFonts w:hint="eastAsia" w:hAnsi="宋体"/>
          <w:sz w:val="21"/>
          <w:szCs w:val="21"/>
        </w:rPr>
        <w:t>19.6实质上没有响应磋商文件要求的响应文件将被拒绝。供应商不得通过修正或撤销不合要求的偏离或保留从而使其响应成为实质上的响应。</w:t>
      </w:r>
    </w:p>
    <w:p>
      <w:pPr>
        <w:pStyle w:val="5"/>
        <w:adjustRightInd/>
        <w:spacing w:line="360" w:lineRule="auto"/>
        <w:ind w:firstLine="422" w:firstLineChars="200"/>
        <w:rPr>
          <w:rFonts w:hAnsi="宋体"/>
          <w:b/>
          <w:sz w:val="21"/>
          <w:szCs w:val="21"/>
        </w:rPr>
      </w:pPr>
      <w:r>
        <w:rPr>
          <w:rFonts w:hint="eastAsia" w:hAnsi="宋体"/>
          <w:b/>
          <w:sz w:val="21"/>
          <w:szCs w:val="21"/>
        </w:rPr>
        <w:t>20.对响应文件的澄清</w:t>
      </w:r>
    </w:p>
    <w:p>
      <w:pPr>
        <w:spacing w:line="360" w:lineRule="auto"/>
        <w:ind w:firstLine="420" w:firstLineChars="200"/>
        <w:rPr>
          <w:rFonts w:hAnsi="宋体"/>
          <w:sz w:val="21"/>
          <w:szCs w:val="21"/>
        </w:rPr>
      </w:pPr>
      <w:r>
        <w:rPr>
          <w:rFonts w:hint="eastAsia" w:hAnsi="宋体"/>
          <w:sz w:val="21"/>
          <w:szCs w:val="21"/>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rPr>
      </w:pPr>
      <w:r>
        <w:rPr>
          <w:rFonts w:hint="eastAsia" w:hAnsi="宋体"/>
          <w:sz w:val="21"/>
          <w:szCs w:val="21"/>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rPr>
      </w:pPr>
      <w:r>
        <w:rPr>
          <w:rFonts w:hint="eastAsia" w:hAnsi="宋体"/>
          <w:sz w:val="21"/>
          <w:szCs w:val="21"/>
        </w:rPr>
        <w:t>20.3供应商的法定代表人或委托代理人应当按照采购代理机构通知的时间和地点接受询问，对响应文件中含义不明确的内容作必要的澄清、说明或者纠正。</w:t>
      </w:r>
    </w:p>
    <w:p>
      <w:pPr>
        <w:pStyle w:val="5"/>
        <w:adjustRightInd/>
        <w:spacing w:line="360" w:lineRule="auto"/>
        <w:ind w:firstLine="422" w:firstLineChars="200"/>
        <w:rPr>
          <w:rFonts w:hAnsi="宋体"/>
          <w:b/>
          <w:sz w:val="21"/>
          <w:szCs w:val="21"/>
        </w:rPr>
      </w:pPr>
      <w:r>
        <w:rPr>
          <w:rFonts w:hint="eastAsia" w:hAnsi="宋体"/>
          <w:b/>
          <w:sz w:val="21"/>
          <w:szCs w:val="21"/>
        </w:rPr>
        <w:t>21.开展磋商</w:t>
      </w:r>
    </w:p>
    <w:p>
      <w:pPr>
        <w:spacing w:line="360" w:lineRule="auto"/>
        <w:ind w:firstLine="420" w:firstLineChars="200"/>
        <w:rPr>
          <w:rFonts w:hAnsi="宋体"/>
          <w:sz w:val="21"/>
          <w:szCs w:val="21"/>
        </w:rPr>
      </w:pPr>
      <w:r>
        <w:rPr>
          <w:rFonts w:hint="eastAsia" w:hAnsi="宋体"/>
          <w:sz w:val="21"/>
          <w:szCs w:val="21"/>
        </w:rPr>
        <w:t>21.1主持人宣布评审纪律，磋商小组所有成员及相关工作人员签名确认。</w:t>
      </w:r>
    </w:p>
    <w:p>
      <w:pPr>
        <w:spacing w:line="360" w:lineRule="auto"/>
        <w:ind w:firstLine="420" w:firstLineChars="200"/>
        <w:rPr>
          <w:rFonts w:hAnsi="宋体"/>
          <w:sz w:val="21"/>
          <w:szCs w:val="21"/>
        </w:rPr>
      </w:pPr>
      <w:r>
        <w:rPr>
          <w:rFonts w:hint="eastAsia" w:hAnsi="宋体"/>
          <w:sz w:val="21"/>
          <w:szCs w:val="21"/>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rPr>
      </w:pPr>
      <w:r>
        <w:rPr>
          <w:rFonts w:hint="eastAsia" w:hAnsi="宋体"/>
          <w:sz w:val="21"/>
          <w:szCs w:val="21"/>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rPr>
      </w:pPr>
      <w:r>
        <w:rPr>
          <w:rFonts w:hint="eastAsia" w:hAnsi="宋体"/>
          <w:sz w:val="21"/>
          <w:szCs w:val="21"/>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5"/>
        <w:adjustRightInd/>
        <w:spacing w:line="360" w:lineRule="auto"/>
        <w:ind w:firstLine="422" w:firstLineChars="200"/>
        <w:rPr>
          <w:rFonts w:hAnsi="宋体"/>
          <w:b/>
          <w:sz w:val="21"/>
          <w:szCs w:val="21"/>
        </w:rPr>
      </w:pPr>
      <w:r>
        <w:rPr>
          <w:rFonts w:hint="eastAsia" w:hAnsi="宋体"/>
          <w:b/>
          <w:sz w:val="21"/>
          <w:szCs w:val="21"/>
        </w:rPr>
        <w:t>22.最后报价</w:t>
      </w:r>
    </w:p>
    <w:p>
      <w:pPr>
        <w:spacing w:line="360" w:lineRule="auto"/>
        <w:ind w:firstLine="420" w:firstLineChars="200"/>
        <w:rPr>
          <w:rFonts w:hAnsi="宋体"/>
          <w:sz w:val="21"/>
          <w:szCs w:val="21"/>
        </w:rPr>
      </w:pPr>
      <w:r>
        <w:rPr>
          <w:rFonts w:hint="eastAsia" w:hAnsi="宋体"/>
          <w:sz w:val="21"/>
          <w:szCs w:val="21"/>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rPr>
      </w:pPr>
      <w:r>
        <w:rPr>
          <w:rFonts w:hint="eastAsia" w:hAnsi="宋体"/>
          <w:sz w:val="21"/>
          <w:szCs w:val="21"/>
        </w:rPr>
        <w:t>22.2已提交响应文件的供应商，在提交最后报价之前，可以根据磋商情况退出磋商。采购人、采购代理机构应当退还退出磋商的供应商的磋商保证金。</w:t>
      </w:r>
    </w:p>
    <w:bookmarkEnd w:id="125"/>
    <w:p>
      <w:pPr>
        <w:pStyle w:val="5"/>
        <w:adjustRightInd/>
        <w:spacing w:line="360" w:lineRule="auto"/>
        <w:ind w:firstLine="422" w:firstLineChars="200"/>
        <w:rPr>
          <w:rFonts w:hAnsi="宋体"/>
          <w:b/>
          <w:sz w:val="21"/>
          <w:szCs w:val="21"/>
        </w:rPr>
      </w:pPr>
      <w:r>
        <w:rPr>
          <w:rFonts w:hint="eastAsia" w:hAnsi="宋体"/>
          <w:b/>
          <w:sz w:val="21"/>
          <w:szCs w:val="21"/>
        </w:rPr>
        <w:t>23.综合评分</w:t>
      </w:r>
    </w:p>
    <w:p>
      <w:pPr>
        <w:spacing w:line="360" w:lineRule="auto"/>
        <w:ind w:firstLine="420" w:firstLineChars="200"/>
        <w:rPr>
          <w:rFonts w:hAnsi="宋体"/>
          <w:sz w:val="21"/>
          <w:szCs w:val="21"/>
        </w:rPr>
      </w:pPr>
      <w:r>
        <w:rPr>
          <w:rFonts w:hint="eastAsia" w:hAnsi="宋体"/>
          <w:sz w:val="21"/>
          <w:szCs w:val="21"/>
        </w:rPr>
        <w:t>经磋商确定最终采购需求和提交最后报价的供应商后，由磋商小组采用综合评分法对提交最后报价的供应商的响应文件和最后报价进行综合评分。详见本文件《第四篇 评标工作大纲》。</w:t>
      </w:r>
    </w:p>
    <w:p>
      <w:pPr>
        <w:pStyle w:val="13"/>
        <w:ind w:firstLine="400"/>
      </w:pPr>
    </w:p>
    <w:p>
      <w:pPr>
        <w:pStyle w:val="4"/>
        <w:adjustRightInd/>
        <w:spacing w:line="360" w:lineRule="auto"/>
        <w:ind w:firstLine="562" w:firstLineChars="200"/>
        <w:jc w:val="center"/>
        <w:rPr>
          <w:sz w:val="28"/>
          <w:szCs w:val="28"/>
        </w:rPr>
      </w:pPr>
      <w:bookmarkStart w:id="128" w:name="_Toc18625"/>
      <w:bookmarkStart w:id="129" w:name="_Toc7897882"/>
      <w:r>
        <w:rPr>
          <w:rFonts w:hint="eastAsia"/>
          <w:sz w:val="28"/>
          <w:szCs w:val="28"/>
        </w:rPr>
        <w:t>六、确定成交供应商</w:t>
      </w:r>
      <w:bookmarkEnd w:id="128"/>
      <w:bookmarkEnd w:id="129"/>
    </w:p>
    <w:p>
      <w:pPr>
        <w:pStyle w:val="5"/>
        <w:adjustRightInd/>
        <w:spacing w:line="360" w:lineRule="auto"/>
        <w:ind w:firstLine="422" w:firstLineChars="200"/>
        <w:rPr>
          <w:rFonts w:hAnsi="宋体"/>
          <w:b/>
          <w:sz w:val="21"/>
          <w:szCs w:val="21"/>
        </w:rPr>
      </w:pPr>
      <w:r>
        <w:rPr>
          <w:rFonts w:hint="eastAsia" w:hAnsi="宋体"/>
          <w:b/>
          <w:sz w:val="21"/>
          <w:szCs w:val="21"/>
        </w:rPr>
        <w:t>24.确定成交</w:t>
      </w:r>
    </w:p>
    <w:p>
      <w:pPr>
        <w:spacing w:line="360" w:lineRule="auto"/>
        <w:ind w:firstLine="420" w:firstLineChars="200"/>
        <w:rPr>
          <w:rFonts w:hAnsi="宋体"/>
          <w:sz w:val="21"/>
          <w:szCs w:val="21"/>
        </w:rPr>
      </w:pPr>
      <w:r>
        <w:rPr>
          <w:rFonts w:hint="eastAsia" w:hAnsi="宋体"/>
          <w:sz w:val="21"/>
          <w:szCs w:val="21"/>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rPr>
      </w:pPr>
      <w:r>
        <w:rPr>
          <w:rFonts w:hint="eastAsia" w:hAnsi="宋体"/>
          <w:sz w:val="21"/>
          <w:szCs w:val="21"/>
        </w:rPr>
        <w:t>24.2采购人从成交候选供应商名单中按照综合得分排序确定2名成交供应商。</w:t>
      </w:r>
    </w:p>
    <w:p>
      <w:pPr>
        <w:spacing w:line="360" w:lineRule="auto"/>
        <w:ind w:firstLine="420" w:firstLineChars="200"/>
        <w:rPr>
          <w:rFonts w:hAnsi="宋体"/>
          <w:sz w:val="21"/>
          <w:szCs w:val="21"/>
        </w:rPr>
      </w:pPr>
      <w:r>
        <w:rPr>
          <w:rFonts w:hint="eastAsia" w:hAnsi="宋体"/>
          <w:sz w:val="21"/>
          <w:szCs w:val="21"/>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5"/>
        <w:adjustRightInd/>
        <w:spacing w:line="360" w:lineRule="auto"/>
        <w:ind w:firstLine="422"/>
        <w:rPr>
          <w:b/>
          <w:sz w:val="21"/>
          <w:szCs w:val="21"/>
        </w:rPr>
      </w:pPr>
      <w:r>
        <w:rPr>
          <w:rFonts w:hint="eastAsia"/>
          <w:b/>
          <w:sz w:val="21"/>
          <w:szCs w:val="21"/>
        </w:rPr>
        <w:t>25.资格后审</w:t>
      </w:r>
    </w:p>
    <w:p>
      <w:pPr>
        <w:spacing w:line="360" w:lineRule="auto"/>
        <w:ind w:firstLine="420" w:firstLineChars="200"/>
        <w:rPr>
          <w:sz w:val="21"/>
          <w:szCs w:val="21"/>
        </w:rPr>
      </w:pPr>
      <w:r>
        <w:rPr>
          <w:sz w:val="21"/>
          <w:szCs w:val="21"/>
        </w:rPr>
        <w:t>2</w:t>
      </w:r>
      <w:r>
        <w:rPr>
          <w:rFonts w:hint="eastAsia"/>
          <w:sz w:val="21"/>
          <w:szCs w:val="21"/>
        </w:rPr>
        <w:t>5</w:t>
      </w:r>
      <w:r>
        <w:rPr>
          <w:sz w:val="21"/>
          <w:szCs w:val="21"/>
        </w:rPr>
        <w:t>.1</w:t>
      </w:r>
      <w:r>
        <w:rPr>
          <w:rFonts w:hint="eastAsia"/>
          <w:sz w:val="21"/>
          <w:szCs w:val="21"/>
        </w:rPr>
        <w:t>采购人</w:t>
      </w:r>
      <w:r>
        <w:rPr>
          <w:sz w:val="21"/>
          <w:szCs w:val="21"/>
        </w:rPr>
        <w:t>将根据磋商文件中的要求，对评委会推荐的</w:t>
      </w:r>
      <w:r>
        <w:rPr>
          <w:rFonts w:hint="eastAsia"/>
          <w:sz w:val="21"/>
          <w:szCs w:val="21"/>
        </w:rPr>
        <w:t>成交候选人</w:t>
      </w:r>
      <w:r>
        <w:rPr>
          <w:sz w:val="21"/>
          <w:szCs w:val="21"/>
        </w:rPr>
        <w:t>进行资格后审。</w:t>
      </w:r>
    </w:p>
    <w:p>
      <w:pPr>
        <w:spacing w:line="360" w:lineRule="auto"/>
        <w:ind w:firstLine="420" w:firstLineChars="200"/>
        <w:rPr>
          <w:sz w:val="21"/>
          <w:szCs w:val="21"/>
        </w:rPr>
      </w:pPr>
      <w:r>
        <w:rPr>
          <w:sz w:val="21"/>
          <w:szCs w:val="21"/>
        </w:rPr>
        <w:t>2</w:t>
      </w:r>
      <w:r>
        <w:rPr>
          <w:rFonts w:hint="eastAsia"/>
          <w:sz w:val="21"/>
          <w:szCs w:val="21"/>
        </w:rPr>
        <w:t>5</w:t>
      </w:r>
      <w:r>
        <w:rPr>
          <w:sz w:val="21"/>
          <w:szCs w:val="21"/>
        </w:rPr>
        <w:t>.2</w:t>
      </w:r>
      <w:r>
        <w:rPr>
          <w:rFonts w:hint="eastAsia"/>
          <w:sz w:val="21"/>
          <w:szCs w:val="21"/>
        </w:rPr>
        <w:t>成交候选人</w:t>
      </w:r>
      <w:r>
        <w:rPr>
          <w:sz w:val="21"/>
          <w:szCs w:val="21"/>
        </w:rPr>
        <w:t>须无条件配合资格后审，否则</w:t>
      </w:r>
      <w:r>
        <w:rPr>
          <w:rFonts w:hint="eastAsia"/>
          <w:sz w:val="21"/>
          <w:szCs w:val="21"/>
        </w:rPr>
        <w:t>采购人</w:t>
      </w:r>
      <w:r>
        <w:rPr>
          <w:sz w:val="21"/>
          <w:szCs w:val="21"/>
        </w:rPr>
        <w:t>有权取消中标资格。</w:t>
      </w:r>
    </w:p>
    <w:p>
      <w:pPr>
        <w:spacing w:line="360" w:lineRule="auto"/>
        <w:ind w:firstLine="420" w:firstLineChars="200"/>
        <w:rPr>
          <w:sz w:val="21"/>
          <w:szCs w:val="21"/>
        </w:rPr>
      </w:pPr>
      <w:r>
        <w:rPr>
          <w:sz w:val="21"/>
          <w:szCs w:val="21"/>
        </w:rPr>
        <w:t>2</w:t>
      </w:r>
      <w:r>
        <w:rPr>
          <w:rFonts w:hint="eastAsia"/>
          <w:sz w:val="21"/>
          <w:szCs w:val="21"/>
        </w:rPr>
        <w:t>5</w:t>
      </w:r>
      <w:r>
        <w:rPr>
          <w:sz w:val="21"/>
          <w:szCs w:val="21"/>
        </w:rPr>
        <w:t>.3资格</w:t>
      </w:r>
      <w:r>
        <w:rPr>
          <w:rFonts w:hint="eastAsia"/>
          <w:sz w:val="21"/>
          <w:szCs w:val="21"/>
        </w:rPr>
        <w:t>后审</w:t>
      </w:r>
      <w:r>
        <w:rPr>
          <w:sz w:val="21"/>
          <w:szCs w:val="21"/>
        </w:rPr>
        <w:t>须提供包括但不限于营业执照、税务登记证和在</w:t>
      </w:r>
      <w:r>
        <w:rPr>
          <w:rFonts w:hint="eastAsia"/>
          <w:sz w:val="21"/>
          <w:szCs w:val="21"/>
        </w:rPr>
        <w:t>磋商响应文件</w:t>
      </w:r>
      <w:r>
        <w:rPr>
          <w:sz w:val="21"/>
          <w:szCs w:val="21"/>
        </w:rPr>
        <w:t>中提供的资质证明文件、合同等重要证明文件的原件进行核对，综合考察</w:t>
      </w:r>
      <w:r>
        <w:rPr>
          <w:rFonts w:hint="eastAsia"/>
          <w:sz w:val="21"/>
          <w:szCs w:val="21"/>
        </w:rPr>
        <w:t>成交供应商</w:t>
      </w:r>
      <w:r>
        <w:rPr>
          <w:sz w:val="21"/>
          <w:szCs w:val="21"/>
        </w:rPr>
        <w:t>的履约能力。如</w:t>
      </w:r>
      <w:r>
        <w:rPr>
          <w:rFonts w:hint="eastAsia"/>
          <w:sz w:val="21"/>
          <w:szCs w:val="21"/>
        </w:rPr>
        <w:t>采购人</w:t>
      </w:r>
      <w:r>
        <w:rPr>
          <w:sz w:val="21"/>
          <w:szCs w:val="21"/>
        </w:rPr>
        <w:t>要求还须提供业绩证明的其他材料,</w:t>
      </w:r>
      <w:r>
        <w:rPr>
          <w:rFonts w:hint="eastAsia"/>
          <w:sz w:val="21"/>
          <w:szCs w:val="21"/>
        </w:rPr>
        <w:t>成交候选人</w:t>
      </w:r>
      <w:r>
        <w:rPr>
          <w:sz w:val="21"/>
          <w:szCs w:val="21"/>
        </w:rPr>
        <w:t>须配合提供。如授权其分支机构进行项目实施或提供售后服务的，亦应提供其与分支机构关系的法律证明材料。</w:t>
      </w:r>
    </w:p>
    <w:p>
      <w:pPr>
        <w:spacing w:line="360" w:lineRule="auto"/>
        <w:ind w:firstLine="420" w:firstLineChars="200"/>
        <w:rPr>
          <w:sz w:val="21"/>
          <w:szCs w:val="21"/>
        </w:rPr>
      </w:pPr>
      <w:r>
        <w:rPr>
          <w:sz w:val="21"/>
          <w:szCs w:val="21"/>
        </w:rPr>
        <w:t>2</w:t>
      </w:r>
      <w:r>
        <w:rPr>
          <w:rFonts w:hint="eastAsia"/>
          <w:sz w:val="21"/>
          <w:szCs w:val="21"/>
        </w:rPr>
        <w:t>5</w:t>
      </w:r>
      <w:r>
        <w:rPr>
          <w:sz w:val="21"/>
          <w:szCs w:val="21"/>
        </w:rPr>
        <w:t>.4如发现</w:t>
      </w:r>
      <w:r>
        <w:rPr>
          <w:rFonts w:hint="eastAsia"/>
          <w:sz w:val="21"/>
          <w:szCs w:val="21"/>
        </w:rPr>
        <w:t>供应商</w:t>
      </w:r>
      <w:r>
        <w:rPr>
          <w:sz w:val="21"/>
          <w:szCs w:val="21"/>
        </w:rPr>
        <w:t>提交虚假资料谋取中标的，</w:t>
      </w:r>
      <w:r>
        <w:rPr>
          <w:rFonts w:hint="eastAsia"/>
          <w:sz w:val="21"/>
          <w:szCs w:val="21"/>
        </w:rPr>
        <w:t>采购人</w:t>
      </w:r>
      <w:r>
        <w:rPr>
          <w:sz w:val="21"/>
          <w:szCs w:val="21"/>
        </w:rPr>
        <w:t>有权没收其</w:t>
      </w:r>
      <w:r>
        <w:rPr>
          <w:rFonts w:hint="eastAsia"/>
          <w:sz w:val="21"/>
          <w:szCs w:val="21"/>
        </w:rPr>
        <w:t>磋商</w:t>
      </w:r>
      <w:r>
        <w:rPr>
          <w:sz w:val="21"/>
          <w:szCs w:val="21"/>
        </w:rPr>
        <w:t>保证金，并保留追究其赔偿</w:t>
      </w:r>
      <w:r>
        <w:rPr>
          <w:rFonts w:hint="eastAsia"/>
          <w:sz w:val="21"/>
          <w:szCs w:val="21"/>
        </w:rPr>
        <w:t>采购人</w:t>
      </w:r>
      <w:r>
        <w:rPr>
          <w:sz w:val="21"/>
          <w:szCs w:val="21"/>
        </w:rPr>
        <w:t>由此而造成一切损失的责任。</w:t>
      </w:r>
    </w:p>
    <w:p>
      <w:pPr>
        <w:spacing w:line="360" w:lineRule="auto"/>
        <w:ind w:firstLine="420" w:firstLineChars="200"/>
        <w:rPr>
          <w:sz w:val="21"/>
          <w:szCs w:val="21"/>
        </w:rPr>
      </w:pPr>
      <w:r>
        <w:rPr>
          <w:sz w:val="21"/>
          <w:szCs w:val="21"/>
        </w:rPr>
        <w:t>2</w:t>
      </w:r>
      <w:r>
        <w:rPr>
          <w:rFonts w:hint="eastAsia"/>
          <w:sz w:val="21"/>
          <w:szCs w:val="21"/>
        </w:rPr>
        <w:t>5</w:t>
      </w:r>
      <w:r>
        <w:rPr>
          <w:sz w:val="21"/>
          <w:szCs w:val="21"/>
        </w:rPr>
        <w:t>.5</w:t>
      </w:r>
      <w:r>
        <w:rPr>
          <w:rFonts w:hint="eastAsia"/>
          <w:sz w:val="21"/>
          <w:szCs w:val="21"/>
        </w:rPr>
        <w:t>采购人</w:t>
      </w:r>
      <w:r>
        <w:rPr>
          <w:sz w:val="21"/>
          <w:szCs w:val="21"/>
        </w:rPr>
        <w:t>保留审查</w:t>
      </w:r>
      <w:r>
        <w:rPr>
          <w:rFonts w:hint="eastAsia"/>
          <w:sz w:val="21"/>
          <w:szCs w:val="21"/>
        </w:rPr>
        <w:t>成交供应商</w:t>
      </w:r>
      <w:r>
        <w:rPr>
          <w:sz w:val="21"/>
          <w:szCs w:val="21"/>
        </w:rPr>
        <w:t>是否有能力令</w:t>
      </w:r>
      <w:r>
        <w:rPr>
          <w:rFonts w:hint="eastAsia"/>
          <w:sz w:val="21"/>
          <w:szCs w:val="21"/>
        </w:rPr>
        <w:t>采购人</w:t>
      </w:r>
      <w:r>
        <w:rPr>
          <w:sz w:val="21"/>
          <w:szCs w:val="21"/>
        </w:rPr>
        <w:t>满意的履行合同的权利，包括但不限于对</w:t>
      </w:r>
      <w:r>
        <w:rPr>
          <w:rFonts w:hint="eastAsia"/>
          <w:sz w:val="21"/>
          <w:szCs w:val="21"/>
        </w:rPr>
        <w:t>成交供应商</w:t>
      </w:r>
      <w:r>
        <w:rPr>
          <w:sz w:val="21"/>
          <w:szCs w:val="21"/>
        </w:rPr>
        <w:t>的规模、人员、场地、生产能力、供货能力等方面的核实或现场考察。如果审查通过，</w:t>
      </w:r>
      <w:r>
        <w:rPr>
          <w:rFonts w:hint="eastAsia"/>
          <w:sz w:val="21"/>
          <w:szCs w:val="21"/>
        </w:rPr>
        <w:t>采购人</w:t>
      </w:r>
      <w:r>
        <w:rPr>
          <w:sz w:val="21"/>
          <w:szCs w:val="21"/>
        </w:rPr>
        <w:t>将把合同授予该</w:t>
      </w:r>
      <w:r>
        <w:rPr>
          <w:rFonts w:hint="eastAsia"/>
          <w:sz w:val="21"/>
          <w:szCs w:val="21"/>
        </w:rPr>
        <w:t>供应商；</w:t>
      </w:r>
      <w:r>
        <w:rPr>
          <w:sz w:val="21"/>
          <w:szCs w:val="21"/>
        </w:rPr>
        <w:t>如果审查没有通过，</w:t>
      </w:r>
      <w:r>
        <w:rPr>
          <w:rFonts w:hint="eastAsia"/>
          <w:sz w:val="21"/>
          <w:szCs w:val="21"/>
        </w:rPr>
        <w:t>采购人</w:t>
      </w:r>
      <w:r>
        <w:rPr>
          <w:sz w:val="21"/>
          <w:szCs w:val="21"/>
        </w:rPr>
        <w:t>将拒绝其投标，并对下一个候选的</w:t>
      </w:r>
      <w:r>
        <w:rPr>
          <w:rFonts w:hint="eastAsia"/>
          <w:sz w:val="21"/>
          <w:szCs w:val="21"/>
        </w:rPr>
        <w:t>供应商</w:t>
      </w:r>
      <w:r>
        <w:rPr>
          <w:sz w:val="21"/>
          <w:szCs w:val="21"/>
        </w:rPr>
        <w:t>能否令人满意地履行合同作类似的审查或重新采购。</w:t>
      </w:r>
    </w:p>
    <w:p>
      <w:pPr>
        <w:pStyle w:val="5"/>
        <w:adjustRightInd/>
        <w:spacing w:line="360" w:lineRule="auto"/>
        <w:ind w:firstLine="422" w:firstLineChars="200"/>
        <w:rPr>
          <w:rFonts w:hAnsi="宋体"/>
          <w:b/>
          <w:sz w:val="21"/>
          <w:szCs w:val="21"/>
        </w:rPr>
      </w:pPr>
      <w:bookmarkStart w:id="130" w:name="_Toc475249142"/>
      <w:r>
        <w:rPr>
          <w:rFonts w:hint="eastAsia" w:hAnsi="宋体"/>
          <w:b/>
          <w:sz w:val="21"/>
          <w:szCs w:val="21"/>
        </w:rPr>
        <w:t>26.成交通知</w:t>
      </w:r>
      <w:bookmarkEnd w:id="130"/>
    </w:p>
    <w:p>
      <w:pPr>
        <w:spacing w:line="360" w:lineRule="auto"/>
        <w:ind w:firstLine="420" w:firstLineChars="200"/>
        <w:rPr>
          <w:rFonts w:hAnsi="宋体"/>
          <w:sz w:val="21"/>
          <w:szCs w:val="21"/>
        </w:rPr>
      </w:pPr>
      <w:r>
        <w:rPr>
          <w:rFonts w:hint="eastAsia" w:hAnsi="宋体"/>
          <w:sz w:val="21"/>
          <w:szCs w:val="21"/>
        </w:rPr>
        <w:t>26.1采购代理机构将在采购人确定成交供应商后之日起的2个工作日内发出《成交通知书》，并公告成交结果。</w:t>
      </w:r>
    </w:p>
    <w:p>
      <w:pPr>
        <w:spacing w:line="360" w:lineRule="auto"/>
        <w:ind w:firstLine="420" w:firstLineChars="200"/>
        <w:rPr>
          <w:rFonts w:hAnsi="宋体"/>
          <w:sz w:val="21"/>
          <w:szCs w:val="21"/>
        </w:rPr>
      </w:pPr>
      <w:r>
        <w:rPr>
          <w:rFonts w:hint="eastAsia" w:hAnsi="宋体"/>
          <w:sz w:val="21"/>
          <w:szCs w:val="21"/>
        </w:rPr>
        <w:t>26.2《成交通知书》是签订采购合同的依据和组成部分。</w:t>
      </w:r>
    </w:p>
    <w:p>
      <w:pPr>
        <w:spacing w:line="360" w:lineRule="auto"/>
        <w:ind w:firstLine="420" w:firstLineChars="200"/>
        <w:rPr>
          <w:rFonts w:hAnsi="宋体"/>
          <w:sz w:val="21"/>
          <w:szCs w:val="21"/>
        </w:rPr>
      </w:pPr>
      <w:r>
        <w:rPr>
          <w:rFonts w:hint="eastAsia" w:hAnsi="宋体"/>
          <w:sz w:val="21"/>
          <w:szCs w:val="21"/>
        </w:rPr>
        <w:t>26.3成交结果将在采购文件指定的采购信息发布媒体上公告，同时向成交供应商发出成交通知书，并将磋商文件随成交结果同时公告。</w:t>
      </w:r>
    </w:p>
    <w:p>
      <w:pPr>
        <w:pStyle w:val="13"/>
        <w:ind w:firstLine="400"/>
      </w:pPr>
    </w:p>
    <w:p>
      <w:pPr>
        <w:pStyle w:val="4"/>
        <w:adjustRightInd/>
        <w:spacing w:line="360" w:lineRule="auto"/>
        <w:ind w:firstLine="562" w:firstLineChars="200"/>
        <w:jc w:val="center"/>
        <w:rPr>
          <w:sz w:val="28"/>
          <w:szCs w:val="28"/>
        </w:rPr>
      </w:pPr>
      <w:bookmarkStart w:id="131" w:name="_Toc110953852"/>
      <w:bookmarkStart w:id="132" w:name="_Toc37756778"/>
      <w:bookmarkStart w:id="133" w:name="_Toc7897883"/>
      <w:bookmarkStart w:id="134" w:name="_Toc28276"/>
      <w:bookmarkStart w:id="135" w:name="_Toc475249143"/>
      <w:r>
        <w:rPr>
          <w:rFonts w:hint="eastAsia"/>
          <w:sz w:val="28"/>
          <w:szCs w:val="28"/>
        </w:rPr>
        <w:t>七、签订采购合同</w:t>
      </w:r>
      <w:bookmarkEnd w:id="131"/>
      <w:bookmarkEnd w:id="132"/>
      <w:bookmarkEnd w:id="133"/>
      <w:bookmarkEnd w:id="134"/>
    </w:p>
    <w:p>
      <w:pPr>
        <w:spacing w:line="360" w:lineRule="auto"/>
        <w:ind w:firstLine="420" w:firstLineChars="200"/>
        <w:rPr>
          <w:rFonts w:hAnsi="宋体"/>
          <w:sz w:val="21"/>
          <w:szCs w:val="21"/>
        </w:rPr>
      </w:pPr>
      <w:r>
        <w:rPr>
          <w:rFonts w:hint="eastAsia" w:hAnsi="宋体"/>
          <w:sz w:val="21"/>
          <w:szCs w:val="21"/>
        </w:rPr>
        <w:t>27.采购人与成交供应商应当在成交通知书发出之日起30日内，按照采购文件确定的事项签订采购合同。</w:t>
      </w:r>
    </w:p>
    <w:p>
      <w:pPr>
        <w:spacing w:line="360" w:lineRule="auto"/>
        <w:ind w:firstLine="420" w:firstLineChars="200"/>
        <w:rPr>
          <w:rFonts w:hAnsi="宋体"/>
          <w:sz w:val="21"/>
          <w:szCs w:val="21"/>
        </w:rPr>
      </w:pPr>
      <w:r>
        <w:rPr>
          <w:rFonts w:hint="eastAsia" w:hAnsi="宋体"/>
          <w:sz w:val="21"/>
          <w:szCs w:val="21"/>
        </w:rPr>
        <w:t>28.合同内容不得与磋商文件和响应文件内容有实质性偏离。</w:t>
      </w:r>
    </w:p>
    <w:p>
      <w:pPr>
        <w:spacing w:line="360" w:lineRule="auto"/>
        <w:ind w:firstLine="420" w:firstLineChars="200"/>
        <w:rPr>
          <w:rFonts w:hAnsi="宋体"/>
          <w:sz w:val="21"/>
          <w:szCs w:val="21"/>
        </w:rPr>
      </w:pPr>
      <w:r>
        <w:rPr>
          <w:rFonts w:hint="eastAsia" w:hAnsi="宋体"/>
          <w:sz w:val="21"/>
          <w:szCs w:val="21"/>
        </w:rPr>
        <w:t>29.采购合同自签订之日起7个工作日内，采购人应将合同副本报采购代理机构归档。</w:t>
      </w:r>
    </w:p>
    <w:p>
      <w:pPr>
        <w:spacing w:line="360" w:lineRule="auto"/>
        <w:ind w:firstLine="420" w:firstLineChars="200"/>
        <w:rPr>
          <w:rFonts w:hAnsi="宋体"/>
          <w:sz w:val="21"/>
          <w:szCs w:val="21"/>
          <w:lang w:val="zh-CN"/>
        </w:rPr>
      </w:pPr>
      <w:r>
        <w:rPr>
          <w:rFonts w:hint="eastAsia" w:hAnsi="宋体"/>
          <w:sz w:val="21"/>
          <w:szCs w:val="21"/>
        </w:rPr>
        <w:t>30</w:t>
      </w:r>
      <w:r>
        <w:rPr>
          <w:rFonts w:hint="eastAsia" w:hAnsi="宋体"/>
          <w:sz w:val="21"/>
          <w:szCs w:val="21"/>
          <w:lang w:val="zh-CN"/>
        </w:rPr>
        <w:tab/>
      </w:r>
      <w:r>
        <w:rPr>
          <w:rFonts w:hint="eastAsia" w:hAnsi="宋体"/>
          <w:sz w:val="21"/>
          <w:szCs w:val="21"/>
          <w:lang w:val="zh-CN"/>
        </w:rPr>
        <w:t>履约</w:t>
      </w:r>
      <w:r>
        <w:rPr>
          <w:rFonts w:hint="eastAsia" w:hAnsi="宋体"/>
          <w:sz w:val="21"/>
          <w:szCs w:val="21"/>
        </w:rPr>
        <w:t>担保</w:t>
      </w:r>
    </w:p>
    <w:p>
      <w:pPr>
        <w:spacing w:line="360" w:lineRule="auto"/>
        <w:ind w:firstLine="420" w:firstLineChars="200"/>
        <w:rPr>
          <w:rFonts w:hAnsi="宋体"/>
          <w:sz w:val="21"/>
          <w:szCs w:val="21"/>
        </w:rPr>
      </w:pPr>
      <w:r>
        <w:rPr>
          <w:rFonts w:hint="eastAsia" w:hAnsi="宋体"/>
          <w:sz w:val="21"/>
          <w:szCs w:val="21"/>
        </w:rPr>
        <w:t>30</w:t>
      </w:r>
      <w:r>
        <w:rPr>
          <w:rFonts w:hint="eastAsia" w:hAnsi="宋体"/>
          <w:sz w:val="21"/>
          <w:szCs w:val="21"/>
          <w:lang w:val="zh-CN"/>
        </w:rPr>
        <w:t>.1</w:t>
      </w:r>
      <w:r>
        <w:rPr>
          <w:rFonts w:hint="eastAsia" w:hAnsi="宋体"/>
          <w:sz w:val="21"/>
          <w:szCs w:val="21"/>
        </w:rPr>
        <w:t>签订合同前，成交供应商应提交履约担保。</w:t>
      </w:r>
    </w:p>
    <w:p>
      <w:pPr>
        <w:spacing w:line="360" w:lineRule="auto"/>
        <w:ind w:firstLine="420" w:firstLineChars="200"/>
        <w:rPr>
          <w:rFonts w:hAnsi="宋体"/>
          <w:sz w:val="21"/>
          <w:szCs w:val="21"/>
        </w:rPr>
      </w:pPr>
      <w:r>
        <w:rPr>
          <w:rFonts w:hint="eastAsia" w:hAnsi="宋体"/>
          <w:sz w:val="21"/>
          <w:szCs w:val="21"/>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sz w:val="21"/>
          <w:szCs w:val="21"/>
          <w:lang w:val="zh-CN"/>
        </w:rPr>
      </w:pPr>
      <w:r>
        <w:rPr>
          <w:rFonts w:hint="eastAsia" w:hAnsi="宋体"/>
          <w:sz w:val="21"/>
          <w:szCs w:val="21"/>
        </w:rPr>
        <w:t>30.3</w:t>
      </w:r>
      <w:r>
        <w:rPr>
          <w:rFonts w:hint="eastAsia" w:hAnsi="宋体"/>
          <w:sz w:val="21"/>
          <w:szCs w:val="21"/>
          <w:lang w:val="zh-CN"/>
        </w:rPr>
        <w:t>履约保函应是由银行支行一级或以上银行机构出具，并经甲方同意，非东莞市行政区内的银行出具的保函需经担保银行所在地公证机关公证并出具公证书。履约保函的内容，应符合磋商文件、投标响应文件和合同的要求。履约保函应在合同有效期满后28天内继续有效。</w:t>
      </w:r>
    </w:p>
    <w:p>
      <w:pPr>
        <w:spacing w:line="360" w:lineRule="auto"/>
        <w:ind w:firstLine="420" w:firstLineChars="200"/>
        <w:rPr>
          <w:rFonts w:hAnsi="宋体"/>
          <w:sz w:val="21"/>
          <w:szCs w:val="21"/>
          <w:lang w:val="zh-CN"/>
        </w:rPr>
      </w:pPr>
      <w:r>
        <w:rPr>
          <w:rFonts w:hint="eastAsia" w:hAnsi="宋体"/>
          <w:sz w:val="21"/>
          <w:szCs w:val="21"/>
        </w:rPr>
        <w:t>30.4</w:t>
      </w:r>
      <w:r>
        <w:rPr>
          <w:rFonts w:hint="eastAsia" w:hAnsi="宋体"/>
          <w:sz w:val="21"/>
          <w:szCs w:val="21"/>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rPr>
      </w:pPr>
      <w:r>
        <w:rPr>
          <w:rFonts w:hint="eastAsia" w:hAnsi="宋体"/>
          <w:sz w:val="21"/>
          <w:szCs w:val="21"/>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lang w:val="zh-CN"/>
        </w:rPr>
      </w:pPr>
      <w:r>
        <w:rPr>
          <w:rFonts w:hint="eastAsia" w:hAnsi="宋体"/>
          <w:sz w:val="21"/>
          <w:szCs w:val="21"/>
          <w:lang w:val="zh-CN"/>
        </w:rPr>
        <w:t>31.发票</w:t>
      </w:r>
    </w:p>
    <w:p>
      <w:pPr>
        <w:spacing w:line="360" w:lineRule="auto"/>
        <w:ind w:firstLine="420" w:firstLineChars="200"/>
        <w:rPr>
          <w:rFonts w:hAnsi="宋体"/>
          <w:sz w:val="21"/>
          <w:szCs w:val="21"/>
          <w:lang w:val="zh-CN"/>
        </w:rPr>
      </w:pPr>
      <w:r>
        <w:rPr>
          <w:rFonts w:hint="eastAsia" w:hAnsi="宋体"/>
          <w:sz w:val="21"/>
          <w:szCs w:val="21"/>
        </w:rPr>
        <w:t>31</w:t>
      </w:r>
      <w:r>
        <w:rPr>
          <w:rFonts w:hint="eastAsia" w:hAnsi="宋体"/>
          <w:sz w:val="21"/>
          <w:szCs w:val="21"/>
          <w:lang w:val="zh-CN"/>
        </w:rPr>
        <w:t>.1该项目获得中标的成交供应商在执行合同过程中，向采购人出具的发票必须是由成交供应商开具，不得以其他单位或个人名义出具。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rPr>
      </w:pPr>
      <w:r>
        <w:rPr>
          <w:rFonts w:hint="eastAsia" w:hAnsi="宋体"/>
          <w:sz w:val="21"/>
          <w:szCs w:val="21"/>
        </w:rPr>
        <w:t>31.2成交供应商需提交增值税专用发票，并于备注栏写明项目名称及合同名称。</w:t>
      </w:r>
    </w:p>
    <w:p>
      <w:pPr>
        <w:spacing w:line="360" w:lineRule="auto"/>
        <w:ind w:firstLine="420" w:firstLineChars="200"/>
        <w:rPr>
          <w:rFonts w:hAnsi="宋体"/>
          <w:sz w:val="21"/>
          <w:szCs w:val="21"/>
        </w:rPr>
      </w:pPr>
      <w:r>
        <w:rPr>
          <w:rFonts w:hint="eastAsia" w:hAnsi="宋体"/>
          <w:sz w:val="21"/>
          <w:szCs w:val="21"/>
        </w:rPr>
        <w:t>31.3在合同履行期间，如遇国家的税率调整，则以开具发票的时间为准，以原合同约定价格不含税金额不变作为基准，按照新税率重新计算含税价格。</w:t>
      </w:r>
    </w:p>
    <w:bookmarkEnd w:id="135"/>
    <w:p>
      <w:pPr>
        <w:pStyle w:val="4"/>
        <w:adjustRightInd/>
        <w:spacing w:line="360" w:lineRule="auto"/>
        <w:ind w:firstLine="562" w:firstLineChars="200"/>
        <w:jc w:val="center"/>
        <w:rPr>
          <w:sz w:val="28"/>
          <w:szCs w:val="28"/>
          <w:lang w:val="zh-CN"/>
        </w:rPr>
      </w:pPr>
      <w:bookmarkStart w:id="136" w:name="_Toc3498"/>
      <w:bookmarkStart w:id="137" w:name="_Toc396137239"/>
      <w:bookmarkStart w:id="138" w:name="_Toc5141"/>
      <w:r>
        <w:rPr>
          <w:rFonts w:hint="eastAsia"/>
          <w:sz w:val="28"/>
          <w:szCs w:val="28"/>
          <w:lang w:val="zh-CN"/>
        </w:rPr>
        <w:t>八、质疑与回复</w:t>
      </w:r>
      <w:bookmarkEnd w:id="136"/>
      <w:bookmarkEnd w:id="137"/>
      <w:bookmarkEnd w:id="138"/>
    </w:p>
    <w:p>
      <w:pPr>
        <w:spacing w:line="360" w:lineRule="auto"/>
        <w:ind w:firstLine="420" w:firstLineChars="200"/>
        <w:rPr>
          <w:rFonts w:hAnsi="宋体"/>
          <w:sz w:val="21"/>
          <w:szCs w:val="21"/>
        </w:rPr>
      </w:pPr>
      <w:r>
        <w:rPr>
          <w:rFonts w:hint="eastAsia" w:hAnsi="宋体"/>
          <w:sz w:val="21"/>
          <w:szCs w:val="21"/>
        </w:rPr>
        <w:t>32   质疑与回复</w:t>
      </w:r>
    </w:p>
    <w:p>
      <w:pPr>
        <w:spacing w:line="360" w:lineRule="auto"/>
        <w:ind w:firstLine="420" w:firstLineChars="200"/>
        <w:rPr>
          <w:rFonts w:hAnsi="宋体"/>
          <w:sz w:val="21"/>
          <w:szCs w:val="21"/>
        </w:rPr>
      </w:pPr>
      <w:r>
        <w:rPr>
          <w:rFonts w:hint="eastAsia" w:hAnsi="宋体"/>
          <w:sz w:val="21"/>
          <w:szCs w:val="21"/>
        </w:rPr>
        <w:t>32.1 质疑书应当包括下列主要内容：</w:t>
      </w:r>
    </w:p>
    <w:p>
      <w:pPr>
        <w:spacing w:line="360" w:lineRule="auto"/>
        <w:ind w:left="539" w:right="17" w:hanging="539"/>
        <w:jc w:val="both"/>
        <w:rPr>
          <w:rFonts w:hAnsi="宋体"/>
          <w:sz w:val="21"/>
          <w:szCs w:val="21"/>
        </w:rPr>
      </w:pPr>
      <w:r>
        <w:rPr>
          <w:rFonts w:hint="eastAsia" w:hAnsi="宋体"/>
          <w:sz w:val="21"/>
          <w:szCs w:val="21"/>
        </w:rPr>
        <w:t>　　（1）供应商的姓名或者名称、地址、邮编、联系人及联系电话；</w:t>
      </w:r>
    </w:p>
    <w:p>
      <w:pPr>
        <w:spacing w:line="360" w:lineRule="auto"/>
        <w:ind w:left="539" w:right="17" w:hanging="539"/>
        <w:jc w:val="both"/>
        <w:rPr>
          <w:rFonts w:hAnsi="宋体"/>
          <w:sz w:val="21"/>
          <w:szCs w:val="21"/>
        </w:rPr>
      </w:pPr>
      <w:r>
        <w:rPr>
          <w:rFonts w:hint="eastAsia" w:hAnsi="宋体"/>
          <w:sz w:val="21"/>
          <w:szCs w:val="21"/>
        </w:rPr>
        <w:t>　　（2）质疑项目的名称、编号；</w:t>
      </w:r>
    </w:p>
    <w:p>
      <w:pPr>
        <w:spacing w:line="360" w:lineRule="auto"/>
        <w:ind w:left="539" w:right="17" w:hanging="539"/>
        <w:jc w:val="both"/>
        <w:rPr>
          <w:rFonts w:hAnsi="宋体"/>
          <w:sz w:val="21"/>
          <w:szCs w:val="21"/>
        </w:rPr>
      </w:pPr>
      <w:r>
        <w:rPr>
          <w:rFonts w:hint="eastAsia" w:hAnsi="宋体"/>
          <w:sz w:val="21"/>
          <w:szCs w:val="21"/>
        </w:rPr>
        <w:t>　　（3）具体、明确的质疑事项和与质疑事项相关的请求；</w:t>
      </w:r>
    </w:p>
    <w:p>
      <w:pPr>
        <w:spacing w:line="360" w:lineRule="auto"/>
        <w:ind w:left="539" w:right="17" w:hanging="539"/>
        <w:jc w:val="both"/>
        <w:rPr>
          <w:rFonts w:hAnsi="宋体"/>
          <w:sz w:val="21"/>
          <w:szCs w:val="21"/>
        </w:rPr>
      </w:pPr>
      <w:r>
        <w:rPr>
          <w:rFonts w:hint="eastAsia" w:hAnsi="宋体"/>
          <w:sz w:val="21"/>
          <w:szCs w:val="21"/>
        </w:rPr>
        <w:t>　　（4）事实依据；</w:t>
      </w:r>
    </w:p>
    <w:p>
      <w:pPr>
        <w:spacing w:line="360" w:lineRule="auto"/>
        <w:ind w:left="539" w:right="17" w:hanging="539"/>
        <w:jc w:val="both"/>
        <w:rPr>
          <w:rFonts w:hAnsi="宋体"/>
          <w:sz w:val="21"/>
          <w:szCs w:val="21"/>
        </w:rPr>
      </w:pPr>
      <w:r>
        <w:rPr>
          <w:rFonts w:hint="eastAsia" w:hAnsi="宋体"/>
          <w:sz w:val="21"/>
          <w:szCs w:val="21"/>
        </w:rPr>
        <w:t>　　（5）必要的法律依据；</w:t>
      </w:r>
    </w:p>
    <w:p>
      <w:pPr>
        <w:spacing w:line="360" w:lineRule="auto"/>
        <w:ind w:left="539" w:right="17" w:hanging="539"/>
        <w:jc w:val="both"/>
        <w:rPr>
          <w:rFonts w:hAnsi="宋体"/>
          <w:sz w:val="21"/>
          <w:szCs w:val="21"/>
        </w:rPr>
      </w:pPr>
      <w:r>
        <w:rPr>
          <w:rFonts w:hint="eastAsia" w:hAnsi="宋体"/>
          <w:sz w:val="21"/>
          <w:szCs w:val="21"/>
        </w:rPr>
        <w:t>　　（6）提出质疑的日期。</w:t>
      </w:r>
    </w:p>
    <w:p>
      <w:pPr>
        <w:spacing w:line="360" w:lineRule="auto"/>
        <w:ind w:firstLine="420" w:firstLineChars="200"/>
        <w:rPr>
          <w:rFonts w:hAnsi="宋体"/>
          <w:sz w:val="21"/>
          <w:szCs w:val="21"/>
        </w:rPr>
      </w:pPr>
      <w:r>
        <w:rPr>
          <w:rFonts w:hint="eastAsia" w:hAnsi="宋体"/>
          <w:kern w:val="2"/>
          <w:sz w:val="21"/>
          <w:szCs w:val="21"/>
        </w:rPr>
        <w:t>32</w:t>
      </w:r>
      <w:r>
        <w:rPr>
          <w:rFonts w:hint="eastAsia" w:hAnsi="宋体"/>
          <w:sz w:val="21"/>
          <w:szCs w:val="21"/>
        </w:rPr>
        <w:t>.2. 质疑书应当署名。质疑人为自然人的，应当由本人签名；质疑人为法人或者</w:t>
      </w:r>
      <w:r>
        <w:rPr>
          <w:rFonts w:hint="eastAsia" w:hAnsi="宋体"/>
          <w:kern w:val="2"/>
          <w:sz w:val="21"/>
          <w:szCs w:val="21"/>
          <w:lang w:val="zh-CN"/>
        </w:rPr>
        <w:t>其他</w:t>
      </w:r>
      <w:r>
        <w:rPr>
          <w:rFonts w:hint="eastAsia" w:hAnsi="宋体"/>
          <w:sz w:val="21"/>
          <w:szCs w:val="21"/>
        </w:rPr>
        <w:t>组织的，应当由法定代表人或者主要负责人签名并加盖公章。</w:t>
      </w:r>
    </w:p>
    <w:p>
      <w:pPr>
        <w:spacing w:line="360" w:lineRule="auto"/>
        <w:ind w:firstLine="420" w:firstLineChars="200"/>
        <w:rPr>
          <w:rFonts w:hAnsi="宋体"/>
          <w:sz w:val="21"/>
          <w:szCs w:val="21"/>
        </w:rPr>
      </w:pPr>
      <w:r>
        <w:rPr>
          <w:rFonts w:hint="eastAsia" w:hAnsi="宋体"/>
          <w:sz w:val="21"/>
          <w:szCs w:val="21"/>
        </w:rPr>
        <w:t>32.3.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rPr>
      </w:pPr>
      <w:r>
        <w:rPr>
          <w:rFonts w:hint="eastAsia" w:hAnsi="宋体"/>
          <w:sz w:val="21"/>
          <w:szCs w:val="21"/>
        </w:rPr>
        <w:t>32.4. 供应商认为采购过程和中标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sz w:val="21"/>
          <w:szCs w:val="21"/>
        </w:rPr>
      </w:pPr>
      <w:r>
        <w:rPr>
          <w:rFonts w:hint="eastAsia" w:hAnsi="宋体"/>
          <w:sz w:val="21"/>
          <w:szCs w:val="21"/>
        </w:rPr>
        <w:t>32.5.供应商在法定质疑期内一次性提出针对同一采购程序环节的质疑。</w:t>
      </w:r>
    </w:p>
    <w:p>
      <w:pPr>
        <w:spacing w:line="360" w:lineRule="auto"/>
        <w:ind w:firstLine="420" w:firstLineChars="200"/>
        <w:rPr>
          <w:rFonts w:hAnsi="宋体"/>
          <w:sz w:val="21"/>
          <w:szCs w:val="21"/>
        </w:rPr>
      </w:pPr>
      <w:r>
        <w:rPr>
          <w:rFonts w:hint="eastAsia" w:hAnsi="宋体"/>
          <w:sz w:val="21"/>
          <w:szCs w:val="21"/>
        </w:rPr>
        <w:t>32.6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rPr>
      </w:pPr>
      <w:bookmarkStart w:id="139" w:name="_Toc29421"/>
      <w:r>
        <w:rPr>
          <w:rFonts w:hint="eastAsia"/>
          <w:sz w:val="21"/>
          <w:szCs w:val="21"/>
        </w:rPr>
        <w:t>32.7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39"/>
    </w:p>
    <w:p>
      <w:pPr>
        <w:pStyle w:val="3"/>
        <w:keepNext/>
        <w:keepLines/>
        <w:pageBreakBefore/>
        <w:numPr>
          <w:ilvl w:val="0"/>
          <w:numId w:val="10"/>
        </w:numPr>
        <w:tabs>
          <w:tab w:val="left" w:pos="1080"/>
        </w:tabs>
        <w:spacing w:line="360" w:lineRule="auto"/>
        <w:ind w:left="1262" w:hanging="1262" w:hangingChars="449"/>
        <w:jc w:val="center"/>
        <w:rPr>
          <w:rFonts w:hAnsi="宋体"/>
          <w:b/>
          <w:bCs/>
          <w:kern w:val="44"/>
          <w:sz w:val="28"/>
          <w:szCs w:val="28"/>
          <w:lang w:val="zh-CN"/>
        </w:rPr>
      </w:pPr>
      <w:bookmarkStart w:id="140" w:name="_Toc396137240"/>
      <w:bookmarkStart w:id="141" w:name="_Toc22751"/>
      <w:r>
        <w:rPr>
          <w:rFonts w:hint="eastAsia" w:hAnsi="宋体"/>
          <w:b/>
          <w:bCs/>
          <w:kern w:val="44"/>
          <w:sz w:val="28"/>
          <w:szCs w:val="28"/>
          <w:lang w:val="zh-CN"/>
        </w:rPr>
        <w:t>用户需求书</w:t>
      </w:r>
      <w:bookmarkEnd w:id="140"/>
      <w:bookmarkEnd w:id="141"/>
    </w:p>
    <w:p>
      <w:pPr>
        <w:pStyle w:val="4"/>
        <w:spacing w:line="360" w:lineRule="auto"/>
        <w:rPr>
          <w:bCs/>
        </w:rPr>
      </w:pPr>
      <w:bookmarkStart w:id="142" w:name="_Toc6538"/>
      <w:r>
        <w:rPr>
          <w:rFonts w:hint="eastAsia"/>
          <w:bCs/>
        </w:rPr>
        <w:t>一、项目基本情况</w:t>
      </w:r>
      <w:bookmarkEnd w:id="142"/>
    </w:p>
    <w:p>
      <w:pPr>
        <w:spacing w:line="360" w:lineRule="auto"/>
        <w:ind w:firstLine="420" w:firstLineChars="200"/>
        <w:rPr>
          <w:rFonts w:hAnsi="宋体"/>
          <w:sz w:val="21"/>
          <w:szCs w:val="21"/>
        </w:rPr>
      </w:pPr>
      <w:r>
        <w:rPr>
          <w:rFonts w:hint="eastAsia" w:hAnsi="宋体"/>
          <w:sz w:val="21"/>
          <w:szCs w:val="21"/>
        </w:rPr>
        <w:t>（一）项目概况：东实旗云花园总占地面积16462.13平方米，建筑面积约11.34万平方米。其中可售住宅面积约8.24万平方米，可售商铺面积约0.2万平方米，车位数量为681个（其中125个是人防车位、可售车位556个）。</w:t>
      </w:r>
    </w:p>
    <w:p>
      <w:pPr>
        <w:tabs>
          <w:tab w:val="left" w:pos="0"/>
        </w:tabs>
        <w:spacing w:line="360" w:lineRule="auto"/>
        <w:ind w:firstLine="420" w:firstLineChars="200"/>
        <w:rPr>
          <w:bCs/>
          <w:sz w:val="21"/>
          <w:szCs w:val="21"/>
        </w:rPr>
      </w:pPr>
      <w:r>
        <w:rPr>
          <w:rFonts w:hint="eastAsia"/>
          <w:bCs/>
          <w:sz w:val="21"/>
          <w:szCs w:val="21"/>
        </w:rPr>
        <w:t>（二）服务内容：</w:t>
      </w:r>
      <w:r>
        <w:rPr>
          <w:rFonts w:hAnsi="宋体"/>
          <w:sz w:val="21"/>
          <w:szCs w:val="21"/>
        </w:rPr>
        <w:t>本次采购律师事务所数量为2家</w:t>
      </w:r>
      <w:r>
        <w:rPr>
          <w:rFonts w:hint="eastAsia" w:hAnsi="宋体"/>
          <w:sz w:val="21"/>
          <w:szCs w:val="21"/>
        </w:rPr>
        <w:t>（购房业主自主选择服务的律师事务所）</w:t>
      </w:r>
      <w:r>
        <w:rPr>
          <w:rFonts w:hAnsi="宋体"/>
          <w:sz w:val="21"/>
          <w:szCs w:val="21"/>
        </w:rPr>
        <w:t>。</w:t>
      </w:r>
      <w:r>
        <w:rPr>
          <w:rFonts w:hint="eastAsia"/>
          <w:bCs/>
          <w:sz w:val="21"/>
          <w:szCs w:val="21"/>
        </w:rPr>
        <w:t>在采购人指定的东莞</w:t>
      </w:r>
      <w:r>
        <w:rPr>
          <w:rFonts w:hint="eastAsia"/>
          <w:b/>
          <w:sz w:val="21"/>
          <w:szCs w:val="21"/>
          <w:u w:val="single"/>
        </w:rPr>
        <w:t>旗云花园</w:t>
      </w:r>
      <w:r>
        <w:rPr>
          <w:rFonts w:hint="eastAsia"/>
          <w:bCs/>
          <w:sz w:val="21"/>
          <w:szCs w:val="21"/>
        </w:rPr>
        <w:t>项目签约现场派驻每个项目不少于2名工作人员（工作人员有人休息时须安排相应人员跟进），为采购人属下项目的商品房买卖合同有关事宜提供法律服务，并根据业务的需要，在签约高峰期保证工作人员的充足性（具体人员安排可根据销售进度、采购人要求及时调整）。</w:t>
      </w:r>
    </w:p>
    <w:p>
      <w:pPr>
        <w:tabs>
          <w:tab w:val="left" w:pos="0"/>
        </w:tabs>
        <w:spacing w:line="360" w:lineRule="auto"/>
        <w:ind w:firstLine="420" w:firstLineChars="200"/>
        <w:rPr>
          <w:bCs/>
          <w:sz w:val="21"/>
          <w:szCs w:val="21"/>
        </w:rPr>
      </w:pPr>
      <w:r>
        <w:rPr>
          <w:rFonts w:hint="eastAsia"/>
          <w:bCs/>
          <w:sz w:val="21"/>
          <w:szCs w:val="21"/>
        </w:rPr>
        <w:t>（三）提供法律服务的期间为：</w:t>
      </w:r>
      <w:r>
        <w:rPr>
          <w:rFonts w:hAnsi="宋体"/>
          <w:sz w:val="21"/>
          <w:szCs w:val="21"/>
        </w:rPr>
        <w:t>服务期限自双方签订合同起，为期48个月。</w:t>
      </w:r>
    </w:p>
    <w:p>
      <w:pPr>
        <w:pStyle w:val="4"/>
        <w:spacing w:line="360" w:lineRule="auto"/>
        <w:rPr>
          <w:bCs/>
          <w:szCs w:val="14"/>
        </w:rPr>
      </w:pPr>
      <w:r>
        <w:rPr>
          <w:rFonts w:hint="eastAsia"/>
          <w:bCs/>
          <w:szCs w:val="14"/>
        </w:rPr>
        <w:t>二、法律服务的范围与要求</w:t>
      </w:r>
    </w:p>
    <w:p>
      <w:pPr>
        <w:tabs>
          <w:tab w:val="left" w:pos="0"/>
        </w:tabs>
        <w:spacing w:line="360" w:lineRule="auto"/>
        <w:ind w:firstLine="422" w:firstLineChars="200"/>
        <w:rPr>
          <w:b/>
          <w:sz w:val="21"/>
          <w:szCs w:val="21"/>
        </w:rPr>
      </w:pPr>
      <w:r>
        <w:rPr>
          <w:rFonts w:hint="eastAsia"/>
          <w:b/>
          <w:sz w:val="21"/>
          <w:szCs w:val="21"/>
        </w:rPr>
        <w:t>（一）销售前期</w:t>
      </w:r>
    </w:p>
    <w:p>
      <w:pPr>
        <w:numPr>
          <w:ilvl w:val="255"/>
          <w:numId w:val="0"/>
        </w:numPr>
        <w:tabs>
          <w:tab w:val="left" w:pos="-2977"/>
        </w:tabs>
        <w:spacing w:line="360" w:lineRule="auto"/>
        <w:ind w:firstLine="420" w:firstLineChars="200"/>
        <w:rPr>
          <w:bCs/>
          <w:sz w:val="21"/>
          <w:szCs w:val="21"/>
        </w:rPr>
      </w:pPr>
      <w:r>
        <w:rPr>
          <w:rFonts w:hint="eastAsia"/>
          <w:bCs/>
          <w:sz w:val="21"/>
          <w:szCs w:val="21"/>
        </w:rPr>
        <w:t>1、代为修改、审核《认购书》、《商品房买卖合同》及补充协议、《前期物业服务协议》、《业主临时公约》等相关销售资料。开售前期销售培训，包括认购和签约注意事项、沟通机制、商品房买卖合同及合同补充协议解读（重点）、相关法律法规、案例分析等等。</w:t>
      </w:r>
    </w:p>
    <w:p>
      <w:pPr>
        <w:numPr>
          <w:ilvl w:val="255"/>
          <w:numId w:val="0"/>
        </w:numPr>
        <w:tabs>
          <w:tab w:val="left" w:pos="-2977"/>
        </w:tabs>
        <w:spacing w:line="360" w:lineRule="auto"/>
        <w:ind w:firstLine="420" w:firstLineChars="200"/>
        <w:rPr>
          <w:bCs/>
          <w:sz w:val="21"/>
          <w:szCs w:val="21"/>
        </w:rPr>
      </w:pPr>
      <w:r>
        <w:rPr>
          <w:rFonts w:hint="eastAsia"/>
          <w:bCs/>
          <w:sz w:val="21"/>
          <w:szCs w:val="21"/>
        </w:rPr>
        <w:t>2、开售前驻项目签约人员的进场，确定具体的签约流程、认购和签约资料的准备、签约设备、网上系统的申报、安装、调试等。</w:t>
      </w:r>
    </w:p>
    <w:p>
      <w:pPr>
        <w:numPr>
          <w:ilvl w:val="255"/>
          <w:numId w:val="0"/>
        </w:numPr>
        <w:tabs>
          <w:tab w:val="left" w:pos="0"/>
          <w:tab w:val="left" w:pos="900"/>
        </w:tabs>
        <w:spacing w:line="360" w:lineRule="auto"/>
        <w:ind w:firstLine="420" w:firstLineChars="200"/>
        <w:rPr>
          <w:bCs/>
          <w:sz w:val="21"/>
          <w:szCs w:val="21"/>
        </w:rPr>
      </w:pPr>
      <w:r>
        <w:rPr>
          <w:rFonts w:hint="eastAsia"/>
          <w:bCs/>
          <w:sz w:val="21"/>
          <w:szCs w:val="21"/>
        </w:rPr>
        <w:t>3、更新、维护现场公示栏、公示台资料和协助《商品房销售价格》物价局备案后的公示。</w:t>
      </w:r>
    </w:p>
    <w:p>
      <w:pPr>
        <w:numPr>
          <w:ilvl w:val="255"/>
          <w:numId w:val="0"/>
        </w:numPr>
        <w:tabs>
          <w:tab w:val="left" w:pos="0"/>
          <w:tab w:val="left" w:pos="900"/>
        </w:tabs>
        <w:spacing w:line="360" w:lineRule="auto"/>
        <w:ind w:firstLine="420" w:firstLineChars="200"/>
        <w:rPr>
          <w:bCs/>
          <w:sz w:val="21"/>
          <w:szCs w:val="21"/>
        </w:rPr>
      </w:pPr>
      <w:r>
        <w:rPr>
          <w:rFonts w:hint="eastAsia"/>
          <w:bCs/>
          <w:sz w:val="21"/>
          <w:szCs w:val="21"/>
        </w:rPr>
        <w:t>4、为采购人提供关于商品房销售的法律咨询。</w:t>
      </w:r>
    </w:p>
    <w:p>
      <w:pPr>
        <w:numPr>
          <w:ilvl w:val="255"/>
          <w:numId w:val="0"/>
        </w:numPr>
        <w:tabs>
          <w:tab w:val="left" w:pos="0"/>
          <w:tab w:val="left" w:pos="900"/>
        </w:tabs>
        <w:spacing w:line="360" w:lineRule="auto"/>
        <w:ind w:firstLine="420" w:firstLineChars="200"/>
        <w:rPr>
          <w:bCs/>
          <w:sz w:val="21"/>
          <w:szCs w:val="21"/>
        </w:rPr>
      </w:pPr>
      <w:r>
        <w:rPr>
          <w:rFonts w:hint="eastAsia"/>
          <w:bCs/>
          <w:sz w:val="21"/>
          <w:szCs w:val="21"/>
        </w:rPr>
        <w:t>5、协助采购人办理预售许可证和签约建档手续。</w:t>
      </w:r>
    </w:p>
    <w:p>
      <w:pPr>
        <w:tabs>
          <w:tab w:val="left" w:pos="0"/>
        </w:tabs>
        <w:spacing w:line="360" w:lineRule="auto"/>
        <w:ind w:firstLine="422" w:firstLineChars="200"/>
        <w:rPr>
          <w:b/>
          <w:sz w:val="21"/>
          <w:szCs w:val="21"/>
        </w:rPr>
      </w:pPr>
      <w:r>
        <w:rPr>
          <w:rFonts w:hint="eastAsia"/>
          <w:b/>
          <w:sz w:val="21"/>
          <w:szCs w:val="21"/>
        </w:rPr>
        <w:t>（二）商品房买卖合同的签约与备案</w:t>
      </w:r>
    </w:p>
    <w:p>
      <w:pPr>
        <w:numPr>
          <w:ilvl w:val="255"/>
          <w:numId w:val="0"/>
        </w:numPr>
        <w:tabs>
          <w:tab w:val="left" w:pos="-2268"/>
        </w:tabs>
        <w:spacing w:line="360" w:lineRule="auto"/>
        <w:ind w:left="2" w:leftChars="1" w:firstLine="420" w:firstLineChars="200"/>
        <w:rPr>
          <w:bCs/>
          <w:sz w:val="21"/>
          <w:szCs w:val="21"/>
        </w:rPr>
      </w:pPr>
      <w:r>
        <w:rPr>
          <w:rFonts w:hint="eastAsia"/>
          <w:bCs/>
          <w:sz w:val="21"/>
          <w:szCs w:val="21"/>
        </w:rPr>
        <w:t>1、负责向购房者解答有关签订《认购书》（含资料归档）及《认购书补充协议》、《商品房买卖合同》及补充协议、《前期物业服务协议》、《业主临时公约》等的法律咨询及文件。</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2、负责审查购房者身份证明资料与签约资格，网上录入并指导购房者签订房地产交易网的《商品房认购书》、认购书补充协议及相关销售资料，解释有关条款。</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3、负责填写、网上录入并指导购房者书面签订《商品房买卖合同》及补充协议、《前期物业服务协议》、《业主临时公约》，并向购房者解释有关条款。</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4、审查合同的签订是否完整、规范、有效，并按规定加盖采购人的公章、法人章。</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5、负责代理采购人委托的《商品房买卖合同》登记备案手续，并按项目所在地房管部门的要求做好相关备案手续的工作，直至取回已备案的合同，通知购房者领取《商品房买卖合同》，或与银行进行合同、抵押资料交接手续及办理合同变更、注销相关业务。</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6、协助购房者办理物业维修基金或契税的缴交、变更或退还手续，办理物业基金或契税的电话催交或书面催交通知书，协助银行按揭所须资料的催交，完善资料提交按揭银行进行合同备案。</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7、负责涉外身份的购房者（含港、澳、台、外籍人士）办理合同公证手续。</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8、负责关于合同注销备案（含合同注销公证）手续、合同变更的其他事项等手续。</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9、负责采购人销售系统的录入、更新。</w:t>
      </w:r>
    </w:p>
    <w:p>
      <w:pPr>
        <w:numPr>
          <w:ilvl w:val="255"/>
          <w:numId w:val="0"/>
        </w:numPr>
        <w:tabs>
          <w:tab w:val="left" w:pos="0"/>
        </w:tabs>
        <w:spacing w:line="360" w:lineRule="auto"/>
        <w:ind w:left="2" w:leftChars="1" w:firstLine="420" w:firstLineChars="200"/>
        <w:rPr>
          <w:bCs/>
          <w:sz w:val="21"/>
          <w:szCs w:val="21"/>
        </w:rPr>
      </w:pPr>
      <w:r>
        <w:rPr>
          <w:rFonts w:hint="eastAsia"/>
          <w:bCs/>
          <w:sz w:val="21"/>
          <w:szCs w:val="21"/>
        </w:rPr>
        <w:t>10、处理由签订合同引起的客户投诉。</w:t>
      </w:r>
    </w:p>
    <w:p>
      <w:pPr>
        <w:tabs>
          <w:tab w:val="left" w:pos="0"/>
        </w:tabs>
        <w:spacing w:line="360" w:lineRule="auto"/>
        <w:ind w:firstLine="422" w:firstLineChars="200"/>
        <w:rPr>
          <w:b/>
          <w:sz w:val="21"/>
          <w:szCs w:val="21"/>
        </w:rPr>
      </w:pPr>
      <w:r>
        <w:rPr>
          <w:rFonts w:hint="eastAsia"/>
          <w:b/>
          <w:sz w:val="21"/>
          <w:szCs w:val="21"/>
        </w:rPr>
        <w:t>（三）档案管理及其它事务工作</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1、代理购房者办理房地产权证、国有土地使用证等相关工作（办证通知书的打印、邮寄或电话通知及销售系统的录入更新）。</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2、协助在采购人ERP销售系统中录入入伙服务与产权服务及面积补差的客户资料，保证销售系统资料的完整性。</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3、购房者客户档案资料以及客户各类变更、折扣等审批单的整理、归档工作，并按采购人要求定时移交相关档案资料。</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4、按采购人要求及时报送相关报表、协助采购人处理日常事务工作。</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5、协助处理相关交付、办证纠纷。如涉及诉讼、仲裁的，另行协商委托代理事宜。</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6、按政府或建设局、房管、物价部门的要求做好销售现场的资料公示的整理。</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7、在提供法律服务时，供应商收集客户所反映的有关商品房购买的信息，及时反馈给采购人，便于采购人对销售策略作相应的调整。</w:t>
      </w:r>
    </w:p>
    <w:p>
      <w:pPr>
        <w:numPr>
          <w:ilvl w:val="255"/>
          <w:numId w:val="0"/>
        </w:numPr>
        <w:tabs>
          <w:tab w:val="left" w:pos="-2977"/>
        </w:tabs>
        <w:spacing w:line="360" w:lineRule="auto"/>
        <w:ind w:left="5" w:leftChars="2" w:firstLine="420" w:firstLineChars="200"/>
        <w:rPr>
          <w:bCs/>
          <w:sz w:val="21"/>
          <w:szCs w:val="21"/>
        </w:rPr>
      </w:pPr>
      <w:r>
        <w:rPr>
          <w:rFonts w:hint="eastAsia"/>
          <w:bCs/>
          <w:sz w:val="21"/>
          <w:szCs w:val="21"/>
        </w:rPr>
        <w:t>8、房产单元按商品房买卖合同规定有面积误差的，供应商协助采购人财务部处理客户面积误差的相关工作。</w:t>
      </w:r>
    </w:p>
    <w:p>
      <w:pPr>
        <w:tabs>
          <w:tab w:val="left" w:pos="-1985"/>
        </w:tabs>
        <w:spacing w:line="360" w:lineRule="auto"/>
        <w:ind w:firstLine="422" w:firstLineChars="200"/>
        <w:rPr>
          <w:b/>
          <w:sz w:val="21"/>
          <w:szCs w:val="21"/>
        </w:rPr>
      </w:pPr>
      <w:r>
        <w:rPr>
          <w:rFonts w:hint="eastAsia"/>
          <w:b/>
          <w:sz w:val="21"/>
          <w:szCs w:val="21"/>
        </w:rPr>
        <w:t>（四）办理《房地产权证》（含《国有土地使用权证》），及代出证部门收取相关税费（契税与物业维修基金除外）</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1、邮寄办证通知书或以电话形式方式通知购房者办理《房地产权证》（按商品房买卖合同约定的办证期限），整理邮寄回执按要求进行归档。</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2、审查办理《房地产权证》所提交的相关资料和文件是否齐全、有效。</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3、填写办理《房地产权证》的相关资料。</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4、办理《房地产权证》登记手续，直至办妥出《房地产权证》为止及协助购房者领取《房地产权证》、催领通知手续。</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5、根据《商品房买卖合同》标的总金额计算，并向购房者开出办理房地产权证的相关税费，供应商保证计算、收款及开票的准确性和一致性。因金额、名称等错误造成房地产权证办理的延期等损失由供应商承担，同时由此引起采购人的损失由供应商承担。</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6、项目如须至各区地税部门以支票等形式代客户缴交契税，并通知客户领取契税发票(南海区项目可客户自行缴交)。</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7、供应商必须将所收取的款项准时存入采购人指定的银行账户或缴交给相关部门，并于收款三天内向采购人提供该客户的有效缴款凭证。因供应商过错造成合同备案、房地产权证办理的延误等损失由供应商承担。</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8、供应商保证代收的税费的安全，如有需要，经供应商书面申请并得到采购人书面同意，采购人可根据供应商要求提供必要的保障条件。</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9、供应商保证法律服务工作结束后编制税费统计表交采购人指定的人员核对，并按采购人要求填写交接表格式。</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10、如业主须自行办理房地产权证的，供应商可将办证所需资料移交相关业主，并做好签收资料归档记录，向业主移交办产权证资料时必须资料齐全、其他收款、备案、面积补差及房屋交付工作已经完成的情况下才可进行。</w:t>
      </w:r>
    </w:p>
    <w:p>
      <w:pPr>
        <w:tabs>
          <w:tab w:val="left" w:pos="-1843"/>
        </w:tabs>
        <w:spacing w:line="360" w:lineRule="auto"/>
        <w:ind w:firstLine="422" w:firstLineChars="200"/>
        <w:rPr>
          <w:b/>
          <w:sz w:val="21"/>
          <w:szCs w:val="21"/>
        </w:rPr>
      </w:pPr>
      <w:r>
        <w:rPr>
          <w:rFonts w:hint="eastAsia"/>
          <w:b/>
          <w:sz w:val="21"/>
          <w:szCs w:val="21"/>
        </w:rPr>
        <w:t>（五）采购人要求供应商配合的一些其他工作</w:t>
      </w:r>
    </w:p>
    <w:p>
      <w:pPr>
        <w:pStyle w:val="183"/>
        <w:numPr>
          <w:ilvl w:val="255"/>
          <w:numId w:val="0"/>
        </w:numPr>
        <w:tabs>
          <w:tab w:val="left" w:pos="-1843"/>
        </w:tabs>
        <w:spacing w:line="360" w:lineRule="auto"/>
        <w:ind w:firstLine="420" w:firstLineChars="200"/>
        <w:rPr>
          <w:bCs/>
          <w:sz w:val="21"/>
          <w:szCs w:val="21"/>
        </w:rPr>
      </w:pPr>
      <w:r>
        <w:rPr>
          <w:rFonts w:hint="eastAsia"/>
          <w:bCs/>
          <w:sz w:val="21"/>
          <w:szCs w:val="21"/>
        </w:rPr>
        <w:t>1、因政策变化或新要求增加的工作量。</w:t>
      </w:r>
    </w:p>
    <w:p>
      <w:pPr>
        <w:pStyle w:val="183"/>
        <w:numPr>
          <w:ilvl w:val="255"/>
          <w:numId w:val="0"/>
        </w:numPr>
        <w:tabs>
          <w:tab w:val="left" w:pos="-1843"/>
        </w:tabs>
        <w:spacing w:line="360" w:lineRule="auto"/>
        <w:ind w:firstLine="420" w:firstLineChars="200"/>
        <w:rPr>
          <w:bCs/>
          <w:sz w:val="21"/>
          <w:szCs w:val="21"/>
        </w:rPr>
      </w:pPr>
      <w:r>
        <w:rPr>
          <w:rFonts w:hint="eastAsia"/>
          <w:bCs/>
          <w:sz w:val="21"/>
          <w:szCs w:val="21"/>
        </w:rPr>
        <w:t>2、因采购人集团公司要求增加的工作，包括报表，合作协议审查，审计检查配合等等。</w:t>
      </w:r>
    </w:p>
    <w:p>
      <w:pPr>
        <w:pStyle w:val="4"/>
        <w:spacing w:line="360" w:lineRule="auto"/>
        <w:rPr>
          <w:lang w:val="zh-CN"/>
        </w:rPr>
      </w:pPr>
      <w:r>
        <w:rPr>
          <w:rFonts w:hint="eastAsia"/>
          <w:lang w:val="zh-CN"/>
        </w:rPr>
        <w:t>三、人员要求</w:t>
      </w:r>
    </w:p>
    <w:p>
      <w:pPr>
        <w:numPr>
          <w:ilvl w:val="255"/>
          <w:numId w:val="0"/>
        </w:numPr>
        <w:spacing w:line="360" w:lineRule="auto"/>
        <w:ind w:firstLine="420" w:firstLineChars="200"/>
        <w:rPr>
          <w:bCs/>
          <w:sz w:val="21"/>
          <w:szCs w:val="21"/>
        </w:rPr>
      </w:pPr>
      <w:r>
        <w:rPr>
          <w:rFonts w:hint="eastAsia"/>
          <w:bCs/>
          <w:sz w:val="21"/>
          <w:szCs w:val="21"/>
        </w:rPr>
        <w:t>（一）派驻人员的要求</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1、成交供应商派驻人员至少应为律师助理及以上资格的人员，从法律专业毕业并具有与协议服务事项相关的工作经验。</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2、成交供应商应指派具有丰富经验的执业律师每月到销售现场培训一次，每次不得少于3小时。</w:t>
      </w:r>
    </w:p>
    <w:p>
      <w:pPr>
        <w:numPr>
          <w:ilvl w:val="255"/>
          <w:numId w:val="0"/>
        </w:numPr>
        <w:spacing w:line="360" w:lineRule="auto"/>
        <w:ind w:firstLine="420" w:firstLineChars="200"/>
        <w:rPr>
          <w:bCs/>
          <w:sz w:val="21"/>
          <w:szCs w:val="21"/>
        </w:rPr>
      </w:pPr>
      <w:r>
        <w:rPr>
          <w:rFonts w:hint="eastAsia"/>
          <w:bCs/>
          <w:sz w:val="21"/>
          <w:szCs w:val="21"/>
        </w:rPr>
        <w:t>（二）根据管理规定，成交供应商派驻人员应遵守采购人的规章制度与员工手则；日常工作过程中，应严格遵守《服务守则》（合同附件一）</w:t>
      </w:r>
    </w:p>
    <w:p>
      <w:pPr>
        <w:numPr>
          <w:ilvl w:val="255"/>
          <w:numId w:val="0"/>
        </w:numPr>
        <w:spacing w:line="360" w:lineRule="auto"/>
        <w:ind w:firstLine="420" w:firstLineChars="200"/>
        <w:rPr>
          <w:bCs/>
          <w:sz w:val="21"/>
          <w:szCs w:val="21"/>
        </w:rPr>
      </w:pPr>
      <w:r>
        <w:rPr>
          <w:rFonts w:hint="eastAsia"/>
          <w:bCs/>
          <w:sz w:val="21"/>
          <w:szCs w:val="21"/>
        </w:rPr>
        <w:t>（三）成交供应商派驻人员应向采购人备案，在成交供应商派驻人员进场时，成交供应商应将派驻人员名单及身份证明文件提交采购人存档。若有人员变动情况，成交供应商应提前一周通知采购人，并将变动后的人员名单及身份证明文件交给采购人。</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 xml:space="preserve">（四）成交供应商应向采购人提交书面的管理文件，包括：派驻人员的组织架构、岗位职责及管理条例，派驻人员中包括管理人员、执业律师及律师助理。 </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（五）如服务过程当中，成交供应商派驻人员不符合或不按采购人要求开展工作的，采购人可提出更换派驻人员。</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（六）成交供应商按照采购人确认的合同版本签订商品房买卖合同，并且遵守采购人对购房者签约时间的承诺，不得拖延签约时间、擅自修改合同内容或对购房者做出超出商品房买卖合同以外的承诺。</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（七）成交供应商应维护采购人的良好形象和声誉，不得散布对采购人不利的言论，不得因提供法律服务事宜对采购人利益、品牌、形象、声誉造成不利影响。</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（八）对于在合作中知悉的采购人的商业秘密，成交供应商应承担保密的义务。</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（九）在提供法律服务过程中，成交供应商应尽职尽责，不得虚假承诺、欺诈、误导客户。</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（十）成交供应商应按每日、每周向采购人提供日报、周报，汇报每日、每周签约及备案情况、合同签订问题并提供解决方案，汇报办理房地产权证等情况。</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（十一）无论何方原因导致协议须解除的，成交供应商须对采购人的客户资料与采购人的商业资料进行保密，不得用于任何用途，同时成交供应商与采购人须完善所有的资料交接手续。</w:t>
      </w:r>
    </w:p>
    <w:p>
      <w:pPr>
        <w:numPr>
          <w:ilvl w:val="255"/>
          <w:numId w:val="0"/>
        </w:numPr>
        <w:tabs>
          <w:tab w:val="left" w:pos="-1843"/>
        </w:tabs>
        <w:spacing w:line="360" w:lineRule="auto"/>
        <w:ind w:left="2" w:leftChars="1" w:firstLine="420" w:firstLineChars="200"/>
        <w:rPr>
          <w:bCs/>
          <w:sz w:val="21"/>
          <w:szCs w:val="21"/>
        </w:rPr>
      </w:pPr>
      <w:r>
        <w:rPr>
          <w:rFonts w:hint="eastAsia"/>
          <w:bCs/>
          <w:sz w:val="21"/>
          <w:szCs w:val="21"/>
        </w:rPr>
        <w:t>（十二）成交供应商提供销售法律服务的律师服务费用由成交供应商按协议的约定向该项目客户收取，采购人无需承担费用支付义务。因协议项下律师服务的提供及律师费用收取产生的与购房者之间的相关的争议、纠纷、索赔等，均由成交供应商负责妥善处理并承担相关费用和责任，确保不对采购人的利益、品牌、形象、声誉造成不利影响；如因此导致采购人损失的，该等损失包括但不限于经济赔偿以及为处理该等事由而支出的诉讼费用、律师费用等，概由成交供应商负责赔偿，采购人有权从成交供应商的保证金中扣除相应费用，如不足以弥补采购人损失的，采购人有权通过协议约定的争议解决方式要求成交供应商承担赔偿责任。</w:t>
      </w:r>
    </w:p>
    <w:p>
      <w:pPr>
        <w:pStyle w:val="4"/>
        <w:spacing w:line="360" w:lineRule="auto"/>
        <w:rPr>
          <w:bCs/>
          <w:szCs w:val="14"/>
        </w:rPr>
      </w:pPr>
      <w:r>
        <w:rPr>
          <w:rFonts w:hint="eastAsia"/>
          <w:bCs/>
          <w:szCs w:val="14"/>
        </w:rPr>
        <w:t>四、收费办法</w:t>
      </w:r>
    </w:p>
    <w:p>
      <w:pPr>
        <w:pStyle w:val="183"/>
        <w:numPr>
          <w:ilvl w:val="0"/>
          <w:numId w:val="14"/>
        </w:numPr>
        <w:tabs>
          <w:tab w:val="left" w:pos="0"/>
        </w:tabs>
        <w:spacing w:line="360" w:lineRule="auto"/>
        <w:ind w:firstLine="420"/>
        <w:rPr>
          <w:bCs/>
          <w:sz w:val="21"/>
          <w:szCs w:val="21"/>
        </w:rPr>
      </w:pPr>
      <w:r>
        <w:rPr>
          <w:rFonts w:hint="eastAsia"/>
          <w:bCs/>
          <w:sz w:val="21"/>
          <w:szCs w:val="21"/>
        </w:rPr>
        <w:t>本</w:t>
      </w:r>
      <w:r>
        <w:rPr>
          <w:bCs/>
          <w:sz w:val="21"/>
          <w:szCs w:val="21"/>
        </w:rPr>
        <w:t>项目各项</w:t>
      </w:r>
      <w:r>
        <w:rPr>
          <w:rFonts w:hint="eastAsia"/>
          <w:bCs/>
          <w:sz w:val="21"/>
          <w:szCs w:val="21"/>
        </w:rPr>
        <w:t>律师服务费最高限价如下：</w:t>
      </w:r>
    </w:p>
    <w:p>
      <w:pPr>
        <w:pStyle w:val="183"/>
        <w:tabs>
          <w:tab w:val="left" w:pos="0"/>
        </w:tabs>
        <w:spacing w:line="360" w:lineRule="auto"/>
        <w:ind w:firstLine="0" w:firstLineChars="0"/>
        <w:rPr>
          <w:bCs/>
          <w:sz w:val="21"/>
          <w:szCs w:val="21"/>
        </w:rPr>
      </w:pPr>
    </w:p>
    <w:p>
      <w:pPr>
        <w:pStyle w:val="183"/>
        <w:tabs>
          <w:tab w:val="left" w:pos="0"/>
        </w:tabs>
        <w:spacing w:line="360" w:lineRule="auto"/>
        <w:ind w:firstLine="0" w:firstLineChars="0"/>
        <w:rPr>
          <w:bCs/>
          <w:sz w:val="21"/>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145"/>
        <w:gridCol w:w="237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gridSpan w:val="2"/>
            <w:shd w:val="clear" w:color="auto" w:fill="auto"/>
            <w:noWrap/>
          </w:tcPr>
          <w:p>
            <w:pPr>
              <w:widowControl/>
              <w:spacing w:line="600" w:lineRule="exact"/>
              <w:ind w:right="-53"/>
              <w:jc w:val="center"/>
              <w:textAlignment w:val="bottom"/>
              <w:rPr>
                <w:rFonts w:hAnsi="宋体"/>
                <w:bCs/>
                <w:sz w:val="21"/>
                <w:szCs w:val="21"/>
              </w:rPr>
            </w:pPr>
            <w:r>
              <w:rPr>
                <w:rFonts w:hint="eastAsia" w:hAnsi="宋体"/>
                <w:sz w:val="21"/>
                <w:szCs w:val="21"/>
              </w:rPr>
              <w:t>签约事项</w:t>
            </w:r>
          </w:p>
        </w:tc>
        <w:tc>
          <w:tcPr>
            <w:tcW w:w="2370" w:type="dxa"/>
            <w:shd w:val="clear" w:color="auto" w:fill="auto"/>
            <w:noWrap/>
          </w:tcPr>
          <w:p>
            <w:pPr>
              <w:widowControl/>
              <w:spacing w:line="600" w:lineRule="exact"/>
              <w:ind w:right="-53"/>
              <w:jc w:val="center"/>
              <w:textAlignment w:val="bottom"/>
              <w:rPr>
                <w:rFonts w:hAnsi="宋体"/>
                <w:bCs/>
                <w:sz w:val="21"/>
                <w:szCs w:val="21"/>
              </w:rPr>
            </w:pPr>
            <w:r>
              <w:rPr>
                <w:rFonts w:hint="eastAsia" w:hAnsi="宋体"/>
                <w:sz w:val="21"/>
                <w:szCs w:val="21"/>
              </w:rPr>
              <w:t>律师签约费</w:t>
            </w:r>
          </w:p>
        </w:tc>
        <w:tc>
          <w:tcPr>
            <w:tcW w:w="3330" w:type="dxa"/>
            <w:shd w:val="clear" w:color="auto" w:fill="auto"/>
            <w:noWrap/>
          </w:tcPr>
          <w:p>
            <w:pPr>
              <w:widowControl/>
              <w:spacing w:line="600" w:lineRule="exact"/>
              <w:ind w:right="-53"/>
              <w:jc w:val="center"/>
              <w:textAlignment w:val="bottom"/>
              <w:rPr>
                <w:rFonts w:hAnsi="宋体"/>
                <w:sz w:val="21"/>
                <w:szCs w:val="21"/>
              </w:rPr>
            </w:pPr>
            <w:r>
              <w:rPr>
                <w:rFonts w:hint="eastAsia" w:hAnsi="宋体"/>
                <w:sz w:val="21"/>
                <w:szCs w:val="21"/>
              </w:rPr>
              <w:t>律师办证费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9"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住宅</w:t>
            </w: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一次性</w:t>
            </w:r>
          </w:p>
        </w:tc>
        <w:tc>
          <w:tcPr>
            <w:tcW w:w="2370"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1400元/套</w:t>
            </w:r>
          </w:p>
        </w:tc>
        <w:tc>
          <w:tcPr>
            <w:tcW w:w="3330"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已包含在签约费内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shd w:val="clear" w:color="auto" w:fill="auto"/>
            <w:noWrap/>
            <w:vAlign w:val="center"/>
          </w:tcPr>
          <w:p>
            <w:pPr>
              <w:widowControl/>
              <w:spacing w:line="600" w:lineRule="exact"/>
              <w:ind w:right="-53"/>
              <w:jc w:val="center"/>
              <w:textAlignment w:val="bottom"/>
              <w:rPr>
                <w:rFonts w:hAnsi="宋体"/>
                <w:sz w:val="21"/>
                <w:szCs w:val="21"/>
              </w:rPr>
            </w:pP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按揭</w:t>
            </w:r>
          </w:p>
        </w:tc>
        <w:tc>
          <w:tcPr>
            <w:tcW w:w="2370"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2000元/套</w:t>
            </w:r>
          </w:p>
        </w:tc>
        <w:tc>
          <w:tcPr>
            <w:tcW w:w="3330" w:type="dxa"/>
            <w:vMerge w:val="continue"/>
            <w:shd w:val="clear" w:color="auto" w:fill="auto"/>
            <w:noWrap/>
            <w:vAlign w:val="center"/>
          </w:tcPr>
          <w:p>
            <w:pPr>
              <w:widowControl/>
              <w:spacing w:line="600" w:lineRule="exact"/>
              <w:ind w:right="-53"/>
              <w:jc w:val="center"/>
              <w:textAlignment w:val="bottom"/>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商铺</w:t>
            </w: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一次性</w:t>
            </w:r>
          </w:p>
        </w:tc>
        <w:tc>
          <w:tcPr>
            <w:tcW w:w="2370"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1400元/套</w:t>
            </w:r>
          </w:p>
        </w:tc>
        <w:tc>
          <w:tcPr>
            <w:tcW w:w="3330"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已包含在签约费内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shd w:val="clear" w:color="auto" w:fill="auto"/>
            <w:noWrap/>
            <w:vAlign w:val="center"/>
          </w:tcPr>
          <w:p>
            <w:pPr>
              <w:widowControl/>
              <w:spacing w:line="600" w:lineRule="exact"/>
              <w:ind w:right="-53"/>
              <w:jc w:val="center"/>
              <w:textAlignment w:val="bottom"/>
              <w:rPr>
                <w:rFonts w:hAnsi="宋体"/>
                <w:sz w:val="21"/>
                <w:szCs w:val="21"/>
              </w:rPr>
            </w:pP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按揭</w:t>
            </w:r>
          </w:p>
        </w:tc>
        <w:tc>
          <w:tcPr>
            <w:tcW w:w="2370"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2000元/套</w:t>
            </w:r>
          </w:p>
        </w:tc>
        <w:tc>
          <w:tcPr>
            <w:tcW w:w="3330" w:type="dxa"/>
            <w:vMerge w:val="continue"/>
            <w:shd w:val="clear" w:color="auto" w:fill="auto"/>
            <w:noWrap/>
            <w:vAlign w:val="center"/>
          </w:tcPr>
          <w:p>
            <w:pPr>
              <w:widowControl/>
              <w:spacing w:line="600" w:lineRule="exact"/>
              <w:ind w:right="-53"/>
              <w:jc w:val="center"/>
              <w:textAlignment w:val="bottom"/>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车位</w:t>
            </w: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统一收费</w:t>
            </w:r>
          </w:p>
        </w:tc>
        <w:tc>
          <w:tcPr>
            <w:tcW w:w="2370"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600元/个</w:t>
            </w:r>
          </w:p>
        </w:tc>
        <w:tc>
          <w:tcPr>
            <w:tcW w:w="3330"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已包含在签约费内</w:t>
            </w:r>
          </w:p>
        </w:tc>
      </w:tr>
    </w:tbl>
    <w:p>
      <w:pPr>
        <w:pStyle w:val="183"/>
        <w:tabs>
          <w:tab w:val="left" w:pos="0"/>
        </w:tabs>
        <w:spacing w:line="360" w:lineRule="auto"/>
        <w:ind w:firstLine="0" w:firstLineChars="0"/>
        <w:rPr>
          <w:b/>
          <w:bCs/>
          <w:sz w:val="21"/>
          <w:szCs w:val="21"/>
        </w:rPr>
      </w:pPr>
      <w:r>
        <w:rPr>
          <w:b/>
          <w:bCs/>
          <w:sz w:val="21"/>
          <w:szCs w:val="21"/>
        </w:rPr>
        <w:t>注</w:t>
      </w:r>
      <w:r>
        <w:rPr>
          <w:rFonts w:hint="eastAsia"/>
          <w:b/>
          <w:bCs/>
          <w:sz w:val="21"/>
          <w:szCs w:val="21"/>
        </w:rPr>
        <w:t>：如</w:t>
      </w:r>
      <w:r>
        <w:rPr>
          <w:b/>
          <w:bCs/>
          <w:sz w:val="21"/>
          <w:szCs w:val="21"/>
        </w:rPr>
        <w:t>供应商报价</w:t>
      </w:r>
      <w:r>
        <w:rPr>
          <w:rFonts w:hint="eastAsia"/>
          <w:b/>
          <w:bCs/>
          <w:sz w:val="21"/>
          <w:szCs w:val="21"/>
        </w:rPr>
        <w:t>可</w:t>
      </w:r>
      <w:r>
        <w:rPr>
          <w:b/>
          <w:bCs/>
          <w:sz w:val="21"/>
          <w:szCs w:val="21"/>
        </w:rPr>
        <w:t>优惠</w:t>
      </w:r>
      <w:r>
        <w:rPr>
          <w:rFonts w:hint="eastAsia"/>
          <w:b/>
          <w:bCs/>
          <w:sz w:val="21"/>
          <w:szCs w:val="21"/>
        </w:rPr>
        <w:t>，</w:t>
      </w:r>
      <w:r>
        <w:rPr>
          <w:b/>
          <w:bCs/>
          <w:sz w:val="21"/>
          <w:szCs w:val="21"/>
        </w:rPr>
        <w:t>须以上表收费标准为基准价格进行同比例费率下浮</w:t>
      </w:r>
      <w:r>
        <w:rPr>
          <w:rFonts w:hint="eastAsia"/>
          <w:b/>
          <w:bCs/>
          <w:sz w:val="21"/>
          <w:szCs w:val="21"/>
        </w:rPr>
        <w:t>，</w:t>
      </w:r>
      <w:r>
        <w:rPr>
          <w:b/>
          <w:bCs/>
          <w:sz w:val="21"/>
          <w:szCs w:val="21"/>
        </w:rPr>
        <w:t>不允许随意单项下调收费报价</w:t>
      </w:r>
      <w:r>
        <w:rPr>
          <w:rFonts w:hint="eastAsia"/>
          <w:b/>
          <w:bCs/>
          <w:sz w:val="21"/>
          <w:szCs w:val="21"/>
        </w:rPr>
        <w:t>。</w:t>
      </w:r>
    </w:p>
    <w:p>
      <w:pPr>
        <w:pStyle w:val="183"/>
        <w:numPr>
          <w:ilvl w:val="255"/>
          <w:numId w:val="0"/>
        </w:numPr>
        <w:tabs>
          <w:tab w:val="left" w:pos="0"/>
        </w:tabs>
        <w:spacing w:line="360" w:lineRule="auto"/>
        <w:ind w:firstLine="420" w:firstLineChars="200"/>
        <w:rPr>
          <w:bCs/>
          <w:sz w:val="21"/>
          <w:szCs w:val="21"/>
        </w:rPr>
      </w:pPr>
      <w:r>
        <w:rPr>
          <w:rFonts w:hint="eastAsia"/>
          <w:bCs/>
          <w:sz w:val="21"/>
          <w:szCs w:val="21"/>
        </w:rPr>
        <w:t>1、律师服务费（</w:t>
      </w:r>
      <w:r>
        <w:rPr>
          <w:bCs/>
          <w:sz w:val="21"/>
          <w:szCs w:val="21"/>
        </w:rPr>
        <w:t>此费用包括办理</w:t>
      </w:r>
      <w:r>
        <w:rPr>
          <w:rFonts w:hint="eastAsia"/>
          <w:bCs/>
          <w:sz w:val="21"/>
          <w:szCs w:val="21"/>
        </w:rPr>
        <w:t>签</w:t>
      </w:r>
      <w:r>
        <w:rPr>
          <w:bCs/>
          <w:sz w:val="21"/>
          <w:szCs w:val="21"/>
        </w:rPr>
        <w:t>约手续所涉及到</w:t>
      </w:r>
      <w:r>
        <w:rPr>
          <w:rFonts w:hint="eastAsia"/>
          <w:bCs/>
          <w:sz w:val="21"/>
          <w:szCs w:val="21"/>
        </w:rPr>
        <w:t>的</w:t>
      </w:r>
      <w:r>
        <w:rPr>
          <w:bCs/>
          <w:sz w:val="21"/>
          <w:szCs w:val="21"/>
        </w:rPr>
        <w:t>政府相关手续，包括不限</w:t>
      </w:r>
      <w:r>
        <w:rPr>
          <w:rFonts w:hint="eastAsia"/>
          <w:bCs/>
          <w:sz w:val="21"/>
          <w:szCs w:val="21"/>
        </w:rPr>
        <w:t>于</w:t>
      </w:r>
      <w:r>
        <w:rPr>
          <w:bCs/>
          <w:sz w:val="21"/>
          <w:szCs w:val="21"/>
        </w:rPr>
        <w:t>查册、按揭、备案、抵押、交付、档案、办证等</w:t>
      </w:r>
      <w:r>
        <w:rPr>
          <w:rFonts w:hint="eastAsia"/>
          <w:bCs/>
          <w:sz w:val="21"/>
          <w:szCs w:val="21"/>
        </w:rPr>
        <w:t>相</w:t>
      </w:r>
      <w:r>
        <w:rPr>
          <w:bCs/>
          <w:sz w:val="21"/>
          <w:szCs w:val="21"/>
        </w:rPr>
        <w:t>关手续）</w:t>
      </w:r>
      <w:r>
        <w:rPr>
          <w:rFonts w:hint="eastAsia"/>
          <w:bCs/>
          <w:sz w:val="21"/>
          <w:szCs w:val="21"/>
        </w:rPr>
        <w:t>，</w:t>
      </w:r>
      <w:r>
        <w:rPr>
          <w:bCs/>
          <w:sz w:val="21"/>
          <w:szCs w:val="21"/>
        </w:rPr>
        <w:t>收费标准如</w:t>
      </w:r>
      <w:r>
        <w:rPr>
          <w:rFonts w:hint="eastAsia"/>
          <w:bCs/>
          <w:sz w:val="21"/>
          <w:szCs w:val="21"/>
        </w:rPr>
        <w:t>上表</w:t>
      </w:r>
      <w:r>
        <w:rPr>
          <w:bCs/>
          <w:sz w:val="21"/>
          <w:szCs w:val="21"/>
        </w:rPr>
        <w:t>所述：</w:t>
      </w:r>
    </w:p>
    <w:p>
      <w:pPr>
        <w:pStyle w:val="183"/>
        <w:numPr>
          <w:ilvl w:val="0"/>
          <w:numId w:val="15"/>
        </w:numPr>
        <w:spacing w:line="360" w:lineRule="auto"/>
        <w:rPr>
          <w:bCs/>
          <w:sz w:val="21"/>
          <w:szCs w:val="21"/>
        </w:rPr>
      </w:pPr>
      <w:r>
        <w:rPr>
          <w:rFonts w:hint="eastAsia"/>
          <w:bCs/>
          <w:sz w:val="21"/>
          <w:szCs w:val="21"/>
        </w:rPr>
        <w:t>办证保证金收取及结算</w:t>
      </w:r>
    </w:p>
    <w:p>
      <w:pPr>
        <w:pStyle w:val="183"/>
        <w:spacing w:line="360" w:lineRule="auto"/>
        <w:rPr>
          <w:bCs/>
          <w:sz w:val="21"/>
          <w:szCs w:val="21"/>
        </w:rPr>
      </w:pPr>
      <w:r>
        <w:rPr>
          <w:rFonts w:hint="eastAsia"/>
          <w:bCs/>
          <w:sz w:val="21"/>
          <w:szCs w:val="21"/>
        </w:rPr>
        <w:t>办证保证金：以成交供应商的名义开设成交供应商于采购人双方共管账户，银行预留印鉴卡需采购人盖章，未经采购人同意，该共管账户不得更换任何印鉴章。存取款必须通过支票办理，不得通过网银。该共管账户，成交供应商按季度所受理楼栋的总户数统一存入办证保证金（500元/户），并提供入账凭证；</w:t>
      </w:r>
    </w:p>
    <w:p>
      <w:pPr>
        <w:pStyle w:val="183"/>
        <w:spacing w:line="360" w:lineRule="auto"/>
        <w:rPr>
          <w:bCs/>
          <w:sz w:val="21"/>
          <w:szCs w:val="21"/>
        </w:rPr>
      </w:pPr>
      <w:r>
        <w:rPr>
          <w:rFonts w:hint="eastAsia"/>
          <w:bCs/>
          <w:sz w:val="21"/>
          <w:szCs w:val="21"/>
        </w:rPr>
        <w:t>结算条件：根据办证考核标准及完成效率，结合出证情况及入账凭证按季度结算。以达到办证条件起时间计算，每季度解冻一次，如在90天内完成面签，则全额结算办证保证金；如超过90天未满半年完成面签，则结算办证保证金的80%，剩余</w:t>
      </w:r>
      <w:r>
        <w:rPr>
          <w:bCs/>
          <w:sz w:val="21"/>
          <w:szCs w:val="21"/>
        </w:rPr>
        <w:t>20%</w:t>
      </w:r>
      <w:r>
        <w:rPr>
          <w:rFonts w:hint="eastAsia"/>
          <w:bCs/>
          <w:sz w:val="21"/>
          <w:szCs w:val="21"/>
        </w:rPr>
        <w:t>获取不动产权证后再结算；如超过半年未完成面签，则扣罚单套办证保证金的</w:t>
      </w:r>
      <w:r>
        <w:rPr>
          <w:bCs/>
          <w:sz w:val="21"/>
          <w:szCs w:val="21"/>
        </w:rPr>
        <w:t>10%</w:t>
      </w:r>
      <w:r>
        <w:rPr>
          <w:rFonts w:hint="eastAsia"/>
          <w:bCs/>
          <w:sz w:val="21"/>
          <w:szCs w:val="21"/>
        </w:rPr>
        <w:t>；如超过一年未完</w:t>
      </w:r>
      <w:r>
        <w:rPr>
          <w:bCs/>
          <w:sz w:val="21"/>
          <w:szCs w:val="21"/>
        </w:rPr>
        <w:t>成，则扣罚单</w:t>
      </w:r>
      <w:r>
        <w:rPr>
          <w:rFonts w:hint="eastAsia"/>
          <w:bCs/>
          <w:sz w:val="21"/>
          <w:szCs w:val="21"/>
        </w:rPr>
        <w:t>套</w:t>
      </w:r>
      <w:r>
        <w:rPr>
          <w:bCs/>
          <w:sz w:val="21"/>
          <w:szCs w:val="21"/>
        </w:rPr>
        <w:t>办证保证金的</w:t>
      </w:r>
      <w:r>
        <w:rPr>
          <w:rFonts w:hint="eastAsia"/>
          <w:bCs/>
          <w:sz w:val="21"/>
          <w:szCs w:val="21"/>
        </w:rPr>
        <w:t>20%；以</w:t>
      </w:r>
      <w:r>
        <w:rPr>
          <w:bCs/>
          <w:sz w:val="21"/>
          <w:szCs w:val="21"/>
        </w:rPr>
        <w:t>此以半年</w:t>
      </w:r>
      <w:r>
        <w:rPr>
          <w:rFonts w:hint="eastAsia"/>
          <w:bCs/>
          <w:sz w:val="21"/>
          <w:szCs w:val="21"/>
        </w:rPr>
        <w:t>递</w:t>
      </w:r>
      <w:r>
        <w:rPr>
          <w:bCs/>
          <w:sz w:val="21"/>
          <w:szCs w:val="21"/>
        </w:rPr>
        <w:t>增</w:t>
      </w:r>
      <w:r>
        <w:rPr>
          <w:rFonts w:hint="eastAsia"/>
          <w:bCs/>
          <w:sz w:val="21"/>
          <w:szCs w:val="21"/>
        </w:rPr>
        <w:t>。</w:t>
      </w:r>
    </w:p>
    <w:p>
      <w:pPr>
        <w:pStyle w:val="183"/>
        <w:numPr>
          <w:ilvl w:val="255"/>
          <w:numId w:val="0"/>
        </w:numPr>
        <w:spacing w:line="360" w:lineRule="auto"/>
        <w:ind w:firstLine="422" w:firstLineChars="200"/>
        <w:rPr>
          <w:b/>
          <w:sz w:val="21"/>
          <w:szCs w:val="21"/>
        </w:rPr>
      </w:pPr>
      <w:r>
        <w:rPr>
          <w:rFonts w:hint="eastAsia"/>
          <w:b/>
          <w:sz w:val="21"/>
          <w:szCs w:val="21"/>
        </w:rPr>
        <w:t>3、以上</w:t>
      </w:r>
      <w:r>
        <w:rPr>
          <w:b/>
          <w:sz w:val="21"/>
          <w:szCs w:val="21"/>
        </w:rPr>
        <w:t>1</w:t>
      </w:r>
      <w:r>
        <w:rPr>
          <w:rFonts w:hint="eastAsia"/>
          <w:b/>
          <w:sz w:val="21"/>
          <w:szCs w:val="21"/>
        </w:rPr>
        <w:t>、2项中约定的收费标准</w:t>
      </w:r>
      <w:r>
        <w:rPr>
          <w:b/>
          <w:sz w:val="21"/>
          <w:szCs w:val="21"/>
        </w:rPr>
        <w:t>有效期</w:t>
      </w:r>
      <w:r>
        <w:rPr>
          <w:rFonts w:hint="eastAsia"/>
          <w:b/>
          <w:sz w:val="21"/>
          <w:szCs w:val="21"/>
        </w:rPr>
        <w:t>起至所签订的协议终止。</w:t>
      </w:r>
    </w:p>
    <w:p>
      <w:pPr>
        <w:pStyle w:val="183"/>
        <w:numPr>
          <w:ilvl w:val="0"/>
          <w:numId w:val="14"/>
        </w:numPr>
        <w:spacing w:line="360" w:lineRule="auto"/>
        <w:ind w:firstLine="420"/>
        <w:rPr>
          <w:bCs/>
          <w:sz w:val="21"/>
          <w:szCs w:val="21"/>
        </w:rPr>
      </w:pPr>
      <w:r>
        <w:rPr>
          <w:rFonts w:hint="eastAsia"/>
          <w:bCs/>
          <w:sz w:val="21"/>
          <w:szCs w:val="21"/>
        </w:rPr>
        <w:t>成交供应商依据协议书约定提供法律服务并代收相关费用的同时，须向支付费用的一方开立代收收据，待委托事项完成后凭收费单位最终开立的符合税务主管部门要求的发票或行政事业性收据与支付费用的一方依据“多退少补”原则据实结算。</w:t>
      </w:r>
    </w:p>
    <w:p>
      <w:pPr>
        <w:pStyle w:val="4"/>
        <w:spacing w:line="360" w:lineRule="auto"/>
        <w:rPr>
          <w:bCs/>
          <w:szCs w:val="14"/>
        </w:rPr>
      </w:pPr>
      <w:bookmarkStart w:id="143" w:name="_Toc24837"/>
      <w:bookmarkStart w:id="144" w:name="_Toc25745"/>
      <w:r>
        <w:rPr>
          <w:rFonts w:hint="eastAsia"/>
          <w:bCs/>
          <w:szCs w:val="14"/>
        </w:rPr>
        <w:t>五、报价要求</w:t>
      </w:r>
      <w:bookmarkEnd w:id="143"/>
      <w:bookmarkEnd w:id="144"/>
    </w:p>
    <w:p>
      <w:pPr>
        <w:widowControl/>
        <w:numPr>
          <w:ilvl w:val="255"/>
          <w:numId w:val="0"/>
        </w:numPr>
        <w:autoSpaceDE/>
        <w:autoSpaceDN/>
        <w:adjustRightInd/>
        <w:spacing w:line="360" w:lineRule="auto"/>
        <w:ind w:firstLine="420" w:firstLineChars="200"/>
        <w:rPr>
          <w:rFonts w:hAnsi="宋体"/>
          <w:sz w:val="21"/>
          <w:szCs w:val="21"/>
        </w:rPr>
      </w:pPr>
      <w:r>
        <w:rPr>
          <w:rFonts w:hint="eastAsia" w:hAnsi="宋体"/>
          <w:sz w:val="21"/>
          <w:szCs w:val="21"/>
        </w:rPr>
        <w:t>1、本项目采用填报统一下浮率的方式进行报价，下浮率填报时保留小数点后两位（各子项下浮率必须一致，如下浮率不一致，报价无效处理）。</w:t>
      </w:r>
    </w:p>
    <w:p>
      <w:pPr>
        <w:widowControl/>
        <w:autoSpaceDE/>
        <w:autoSpaceDN/>
        <w:adjustRightInd/>
        <w:spacing w:line="360" w:lineRule="auto"/>
        <w:ind w:firstLine="420" w:firstLineChars="200"/>
        <w:rPr>
          <w:rFonts w:hAnsi="宋体"/>
          <w:sz w:val="21"/>
          <w:szCs w:val="21"/>
        </w:rPr>
      </w:pPr>
      <w:r>
        <w:rPr>
          <w:rFonts w:hint="eastAsia" w:hAnsi="宋体"/>
          <w:sz w:val="21"/>
          <w:szCs w:val="21"/>
        </w:rPr>
        <w:t>2、磋商报价应包括：完成本次采购所有服务内容的费用，包括人工费、保险费、设备使用费、各种税务费、必须的辅助材料费及合同实施过程中不可预见费用等全部费用。</w:t>
      </w:r>
    </w:p>
    <w:p>
      <w:pPr>
        <w:pStyle w:val="3"/>
        <w:keepNext/>
        <w:keepLines/>
        <w:pageBreakBefore/>
        <w:numPr>
          <w:ilvl w:val="0"/>
          <w:numId w:val="16"/>
        </w:numPr>
        <w:spacing w:line="360" w:lineRule="auto"/>
        <w:jc w:val="center"/>
        <w:rPr>
          <w:rFonts w:hAnsi="宋体"/>
          <w:b/>
          <w:bCs/>
          <w:kern w:val="44"/>
          <w:sz w:val="28"/>
          <w:szCs w:val="28"/>
          <w:lang w:val="zh-CN"/>
        </w:rPr>
      </w:pPr>
      <w:bookmarkStart w:id="145" w:name="_Toc13957"/>
      <w:r>
        <w:rPr>
          <w:rFonts w:hint="eastAsia" w:hAnsi="宋体"/>
          <w:b/>
          <w:bCs/>
          <w:kern w:val="44"/>
          <w:sz w:val="28"/>
          <w:szCs w:val="28"/>
          <w:lang w:val="zh-CN"/>
        </w:rPr>
        <w:t>评标工作大纲</w:t>
      </w:r>
      <w:bookmarkEnd w:id="145"/>
    </w:p>
    <w:p>
      <w:pPr>
        <w:pStyle w:val="21"/>
        <w:spacing w:line="360" w:lineRule="auto"/>
        <w:ind w:firstLine="422" w:firstLineChars="200"/>
        <w:jc w:val="both"/>
        <w:rPr>
          <w:rFonts w:hAnsi="宋体"/>
          <w:sz w:val="21"/>
          <w:szCs w:val="21"/>
        </w:rPr>
      </w:pPr>
      <w:r>
        <w:rPr>
          <w:rFonts w:hint="eastAsia" w:hAnsi="宋体"/>
          <w:sz w:val="21"/>
          <w:szCs w:val="21"/>
        </w:rPr>
        <w:t>一、磋商小组对响应文件进行初审，初审包括资格性审查和符合性审查。</w:t>
      </w:r>
    </w:p>
    <w:tbl>
      <w:tblPr>
        <w:tblStyle w:val="5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rPr>
            </w:pPr>
            <w:r>
              <w:rPr>
                <w:rFonts w:hint="eastAsia" w:ascii="宋体" w:hAnsi="宋体"/>
                <w:b/>
                <w:bCs/>
                <w:szCs w:val="21"/>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rPr>
            </w:pPr>
            <w:r>
              <w:rPr>
                <w:rFonts w:hint="eastAsia" w:ascii="宋体" w:hAnsi="宋体"/>
                <w:b/>
                <w:bCs/>
                <w:szCs w:val="21"/>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rPr>
            </w:pPr>
            <w:r>
              <w:rPr>
                <w:rFonts w:hint="eastAsia" w:ascii="宋体" w:hAnsi="宋体"/>
                <w:b/>
                <w:bCs/>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rPr>
            </w:pPr>
            <w:r>
              <w:rPr>
                <w:rFonts w:hint="eastAsia" w:ascii="宋体" w:hAnsi="宋体"/>
                <w:bCs/>
                <w:szCs w:val="21"/>
              </w:rPr>
              <w:t>资格性审查</w:t>
            </w:r>
          </w:p>
        </w:tc>
        <w:tc>
          <w:tcPr>
            <w:tcW w:w="5801" w:type="dxa"/>
            <w:vAlign w:val="center"/>
          </w:tcPr>
          <w:p>
            <w:pPr>
              <w:spacing w:line="360" w:lineRule="auto"/>
              <w:rPr>
                <w:rFonts w:hAnsi="宋体"/>
                <w:sz w:val="21"/>
                <w:szCs w:val="21"/>
              </w:rPr>
            </w:pPr>
            <w:r>
              <w:rPr>
                <w:rFonts w:hint="eastAsia" w:hAnsi="宋体"/>
                <w:sz w:val="21"/>
                <w:szCs w:val="21"/>
              </w:rPr>
              <w:t>资格瑕疵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磋商保证金瑕疵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rPr>
            </w:pPr>
            <w:r>
              <w:rPr>
                <w:rFonts w:hint="eastAsia" w:ascii="宋体" w:hAnsi="宋体"/>
                <w:bCs/>
                <w:szCs w:val="21"/>
              </w:rPr>
              <w:t>符合性审查</w:t>
            </w:r>
          </w:p>
        </w:tc>
        <w:tc>
          <w:tcPr>
            <w:tcW w:w="5801" w:type="dxa"/>
            <w:vAlign w:val="center"/>
          </w:tcPr>
          <w:p>
            <w:pPr>
              <w:spacing w:line="360" w:lineRule="auto"/>
              <w:rPr>
                <w:rFonts w:hAnsi="宋体"/>
                <w:sz w:val="21"/>
                <w:szCs w:val="21"/>
              </w:rPr>
            </w:pPr>
            <w:r>
              <w:rPr>
                <w:rFonts w:hint="eastAsia" w:hAnsi="宋体"/>
                <w:sz w:val="21"/>
                <w:szCs w:val="21"/>
              </w:rPr>
              <w:t>供应商代表身份审查</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磋商响应文件的有效性、完整性瑕疵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技术响应瑕疵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商务响应瑕疵</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报价</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违规行为</w:t>
            </w:r>
          </w:p>
        </w:tc>
        <w:tc>
          <w:tcPr>
            <w:tcW w:w="1230" w:type="dxa"/>
          </w:tcPr>
          <w:p>
            <w:pPr>
              <w:pStyle w:val="144"/>
              <w:spacing w:line="360" w:lineRule="auto"/>
              <w:ind w:firstLine="0" w:firstLineChars="0"/>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rPr>
            </w:pPr>
          </w:p>
        </w:tc>
        <w:tc>
          <w:tcPr>
            <w:tcW w:w="5801" w:type="dxa"/>
            <w:vAlign w:val="center"/>
          </w:tcPr>
          <w:p>
            <w:pPr>
              <w:spacing w:line="360" w:lineRule="auto"/>
              <w:rPr>
                <w:rFonts w:hAnsi="宋体"/>
                <w:sz w:val="21"/>
                <w:szCs w:val="21"/>
              </w:rPr>
            </w:pPr>
            <w:r>
              <w:rPr>
                <w:rFonts w:hint="eastAsia" w:hAnsi="宋体"/>
                <w:sz w:val="21"/>
                <w:szCs w:val="21"/>
              </w:rPr>
              <w:t>法律法规及磋商文件中规定的其它情形。</w:t>
            </w:r>
          </w:p>
        </w:tc>
        <w:tc>
          <w:tcPr>
            <w:tcW w:w="1230" w:type="dxa"/>
          </w:tcPr>
          <w:p>
            <w:pPr>
              <w:pStyle w:val="144"/>
              <w:spacing w:line="360" w:lineRule="auto"/>
              <w:ind w:firstLine="0" w:firstLineChars="0"/>
              <w:jc w:val="left"/>
              <w:rPr>
                <w:rFonts w:ascii="宋体" w:hAnsi="宋体"/>
                <w:bCs/>
                <w:szCs w:val="21"/>
              </w:rPr>
            </w:pPr>
          </w:p>
        </w:tc>
      </w:tr>
    </w:tbl>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（一）资格性检查</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1) 资格瑕疵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包括但不限于：①资格证明文件未提供或不符合磋商文件要求的；②供应商与采购人、采购代理机构有利害关系的。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2) 磋商保证金瑕疵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包括但不限于：①供应商未提交磋商文件保证金或金额不足；②提交方式、提交时间不符合采购要求；③磋商文件保证金有效期不符合采购要求的。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（二）符合性检查</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1) 供应商代表身份审查</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包括但不限于：①供应商代表未参加开标会；②供应商代表无有效授权；③核对供应商代表身份时，不能提供相应的身份证明或不相符。</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2) 响应文件的有效性、完整性瑕疵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3) 技术响应瑕疵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4) 商务响应瑕疵</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5）报价</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包括但不限于：报价不得超过本磋商文件明确的项目预算。</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6）违规行为</w:t>
      </w:r>
    </w:p>
    <w:p>
      <w:pPr>
        <w:pStyle w:val="21"/>
        <w:spacing w:line="360" w:lineRule="auto"/>
        <w:ind w:firstLine="420" w:firstLineChars="200"/>
        <w:jc w:val="left"/>
        <w:rPr>
          <w:rFonts w:hAnsi="宋体"/>
          <w:b w:val="0"/>
          <w:bCs w:val="0"/>
          <w:sz w:val="21"/>
          <w:szCs w:val="21"/>
        </w:rPr>
      </w:pPr>
      <w:r>
        <w:rPr>
          <w:rFonts w:hint="eastAsia" w:hAnsi="宋体"/>
          <w:b w:val="0"/>
          <w:bCs w:val="0"/>
          <w:sz w:val="21"/>
          <w:szCs w:val="21"/>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1"/>
        <w:numPr>
          <w:ilvl w:val="0"/>
          <w:numId w:val="17"/>
        </w:numPr>
        <w:spacing w:line="360" w:lineRule="auto"/>
        <w:ind w:firstLine="420" w:firstLineChars="200"/>
        <w:jc w:val="left"/>
        <w:rPr>
          <w:rFonts w:hAnsi="宋体"/>
          <w:b w:val="0"/>
          <w:bCs w:val="0"/>
          <w:sz w:val="21"/>
          <w:szCs w:val="21"/>
        </w:rPr>
      </w:pPr>
      <w:r>
        <w:rPr>
          <w:rFonts w:hint="eastAsia" w:hAnsi="宋体"/>
          <w:b w:val="0"/>
          <w:bCs w:val="0"/>
          <w:sz w:val="21"/>
          <w:szCs w:val="21"/>
        </w:rPr>
        <w:t>法律法规及磋商文件中规定的其它情形。</w:t>
      </w:r>
    </w:p>
    <w:p>
      <w:pPr>
        <w:pStyle w:val="21"/>
        <w:spacing w:line="360" w:lineRule="auto"/>
        <w:jc w:val="left"/>
        <w:rPr>
          <w:rFonts w:hAnsi="宋体"/>
          <w:b w:val="0"/>
          <w:bCs w:val="0"/>
          <w:sz w:val="21"/>
          <w:szCs w:val="21"/>
        </w:rPr>
      </w:pPr>
    </w:p>
    <w:p>
      <w:pPr>
        <w:pStyle w:val="21"/>
        <w:numPr>
          <w:ilvl w:val="0"/>
          <w:numId w:val="11"/>
        </w:numPr>
        <w:spacing w:line="360" w:lineRule="auto"/>
        <w:ind w:firstLine="422" w:firstLineChars="200"/>
        <w:jc w:val="left"/>
        <w:rPr>
          <w:rFonts w:hAnsi="宋体"/>
          <w:sz w:val="21"/>
          <w:szCs w:val="21"/>
        </w:rPr>
      </w:pPr>
      <w:r>
        <w:rPr>
          <w:rFonts w:hint="eastAsia" w:hAnsi="宋体"/>
          <w:sz w:val="21"/>
          <w:szCs w:val="21"/>
        </w:rPr>
        <w:t>经过磋商阶段后，磋商小组按照磋商文件确定的评审标准和方法对提交最后报价的供应商的响应文件进行评审和比较，推荐候选成交供应商，制订评审报告。</w:t>
      </w:r>
    </w:p>
    <w:p>
      <w:pPr>
        <w:pStyle w:val="21"/>
        <w:spacing w:line="360" w:lineRule="auto"/>
        <w:ind w:left="480" w:leftChars="200"/>
        <w:jc w:val="left"/>
        <w:rPr>
          <w:rFonts w:hAnsi="宋体"/>
          <w:sz w:val="21"/>
          <w:szCs w:val="21"/>
        </w:rPr>
      </w:pPr>
    </w:p>
    <w:p>
      <w:pPr>
        <w:pStyle w:val="28"/>
        <w:spacing w:line="360" w:lineRule="auto"/>
        <w:ind w:firstLine="422" w:firstLineChars="200"/>
        <w:rPr>
          <w:rFonts w:hAnsi="宋体"/>
          <w:b/>
          <w:bCs/>
          <w:szCs w:val="21"/>
        </w:rPr>
      </w:pPr>
      <w:r>
        <w:rPr>
          <w:rFonts w:hint="eastAsia" w:hAnsi="宋体"/>
          <w:b/>
          <w:bCs/>
          <w:szCs w:val="21"/>
        </w:rPr>
        <w:t>三、评审因素及评分权重</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69"/>
        <w:gridCol w:w="736"/>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14" w:type="dxa"/>
            <w:noWrap/>
            <w:vAlign w:val="center"/>
          </w:tcPr>
          <w:p>
            <w:pPr>
              <w:spacing w:line="360" w:lineRule="auto"/>
              <w:jc w:val="center"/>
              <w:rPr>
                <w:rFonts w:hAnsi="宋体"/>
                <w:b/>
                <w:bCs/>
                <w:sz w:val="21"/>
                <w:szCs w:val="21"/>
              </w:rPr>
            </w:pPr>
            <w:r>
              <w:rPr>
                <w:rFonts w:hint="eastAsia" w:hAnsi="宋体"/>
                <w:b/>
                <w:bCs/>
                <w:sz w:val="21"/>
                <w:szCs w:val="21"/>
              </w:rPr>
              <w:t>序号</w:t>
            </w:r>
          </w:p>
        </w:tc>
        <w:tc>
          <w:tcPr>
            <w:tcW w:w="1269" w:type="dxa"/>
            <w:noWrap/>
            <w:vAlign w:val="center"/>
          </w:tcPr>
          <w:p>
            <w:pPr>
              <w:spacing w:line="360" w:lineRule="auto"/>
              <w:jc w:val="center"/>
              <w:rPr>
                <w:rFonts w:hAnsi="宋体"/>
                <w:b/>
                <w:bCs/>
                <w:sz w:val="21"/>
                <w:szCs w:val="21"/>
              </w:rPr>
            </w:pPr>
            <w:r>
              <w:rPr>
                <w:rFonts w:hint="eastAsia" w:hAnsi="宋体"/>
                <w:b/>
                <w:bCs/>
                <w:sz w:val="21"/>
                <w:szCs w:val="21"/>
              </w:rPr>
              <w:t>评分内容</w:t>
            </w:r>
          </w:p>
        </w:tc>
        <w:tc>
          <w:tcPr>
            <w:tcW w:w="736" w:type="dxa"/>
            <w:noWrap/>
            <w:vAlign w:val="center"/>
          </w:tcPr>
          <w:p>
            <w:pPr>
              <w:spacing w:line="360" w:lineRule="auto"/>
              <w:jc w:val="center"/>
              <w:rPr>
                <w:rFonts w:hAnsi="宋体"/>
                <w:b/>
                <w:bCs/>
                <w:sz w:val="21"/>
                <w:szCs w:val="21"/>
              </w:rPr>
            </w:pPr>
            <w:r>
              <w:rPr>
                <w:rFonts w:hint="eastAsia" w:hAnsi="宋体"/>
                <w:b/>
                <w:bCs/>
                <w:sz w:val="21"/>
                <w:szCs w:val="21"/>
              </w:rPr>
              <w:t>分值</w:t>
            </w:r>
          </w:p>
        </w:tc>
        <w:tc>
          <w:tcPr>
            <w:tcW w:w="6312" w:type="dxa"/>
            <w:noWrap/>
            <w:vAlign w:val="center"/>
          </w:tcPr>
          <w:p>
            <w:pPr>
              <w:spacing w:line="360" w:lineRule="auto"/>
              <w:jc w:val="center"/>
              <w:rPr>
                <w:rFonts w:hAnsi="宋体"/>
                <w:b/>
                <w:bCs/>
                <w:sz w:val="21"/>
                <w:szCs w:val="21"/>
              </w:rPr>
            </w:pPr>
            <w:r>
              <w:rPr>
                <w:rFonts w:hint="eastAsia" w:hAnsi="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931" w:type="dxa"/>
            <w:gridSpan w:val="4"/>
            <w:noWrap/>
            <w:vAlign w:val="center"/>
          </w:tcPr>
          <w:p>
            <w:pPr>
              <w:spacing w:line="360" w:lineRule="auto"/>
              <w:jc w:val="center"/>
              <w:rPr>
                <w:rFonts w:hAnsi="宋体"/>
                <w:sz w:val="21"/>
                <w:szCs w:val="21"/>
              </w:rPr>
            </w:pPr>
            <w:r>
              <w:rPr>
                <w:rFonts w:hint="eastAsia" w:hAnsi="宋体"/>
                <w:b/>
                <w:bCs/>
                <w:sz w:val="21"/>
                <w:szCs w:val="21"/>
              </w:rPr>
              <w:t>商务评分（20分）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ign w:val="center"/>
          </w:tcPr>
          <w:p>
            <w:pPr>
              <w:spacing w:line="360" w:lineRule="auto"/>
              <w:jc w:val="center"/>
              <w:rPr>
                <w:rFonts w:hAnsi="宋体"/>
                <w:sz w:val="21"/>
                <w:szCs w:val="21"/>
              </w:rPr>
            </w:pPr>
            <w:r>
              <w:rPr>
                <w:rFonts w:hint="eastAsia" w:hAnsi="宋体"/>
                <w:sz w:val="21"/>
                <w:szCs w:val="21"/>
              </w:rPr>
              <w:t>1</w:t>
            </w:r>
          </w:p>
        </w:tc>
        <w:tc>
          <w:tcPr>
            <w:tcW w:w="1269" w:type="dxa"/>
            <w:noWrap/>
            <w:vAlign w:val="center"/>
          </w:tcPr>
          <w:p>
            <w:pPr>
              <w:spacing w:line="360" w:lineRule="auto"/>
              <w:rPr>
                <w:rFonts w:hAnsi="宋体"/>
                <w:sz w:val="21"/>
                <w:szCs w:val="21"/>
              </w:rPr>
            </w:pPr>
            <w:r>
              <w:rPr>
                <w:rFonts w:hint="eastAsia" w:hAnsi="宋体"/>
                <w:sz w:val="21"/>
                <w:szCs w:val="21"/>
              </w:rPr>
              <w:t>财务状况</w:t>
            </w:r>
          </w:p>
        </w:tc>
        <w:tc>
          <w:tcPr>
            <w:tcW w:w="736" w:type="dxa"/>
            <w:noWrap/>
            <w:vAlign w:val="center"/>
          </w:tcPr>
          <w:p>
            <w:pPr>
              <w:spacing w:line="360" w:lineRule="auto"/>
              <w:jc w:val="center"/>
              <w:rPr>
                <w:rFonts w:hAnsi="宋体"/>
                <w:sz w:val="21"/>
                <w:szCs w:val="21"/>
              </w:rPr>
            </w:pPr>
            <w:r>
              <w:rPr>
                <w:rFonts w:hint="eastAsia" w:hAnsi="宋体"/>
                <w:sz w:val="21"/>
                <w:szCs w:val="21"/>
              </w:rPr>
              <w:t>3分</w:t>
            </w:r>
          </w:p>
        </w:tc>
        <w:tc>
          <w:tcPr>
            <w:tcW w:w="6312" w:type="dxa"/>
            <w:noWrap/>
            <w:vAlign w:val="center"/>
          </w:tcPr>
          <w:p>
            <w:pPr>
              <w:spacing w:line="360" w:lineRule="auto"/>
              <w:rPr>
                <w:rFonts w:hAnsi="宋体"/>
                <w:sz w:val="21"/>
                <w:szCs w:val="21"/>
              </w:rPr>
            </w:pPr>
            <w:r>
              <w:rPr>
                <w:rFonts w:hint="eastAsia"/>
                <w:bCs/>
                <w:sz w:val="21"/>
                <w:szCs w:val="21"/>
              </w:rPr>
              <w:t>根据供应商2017年1月1日至2019年12月31日的财务状况进行综合评审，三年盈利的得3分，两年盈利的得2分，一年盈利的得1分，其他情况得不得分。（提供经会计师事务所审计的财务报告复印件加盖公章）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ign w:val="center"/>
          </w:tcPr>
          <w:p>
            <w:pPr>
              <w:spacing w:line="360" w:lineRule="auto"/>
              <w:jc w:val="center"/>
              <w:rPr>
                <w:rFonts w:hAnsi="宋体"/>
                <w:sz w:val="21"/>
                <w:szCs w:val="21"/>
              </w:rPr>
            </w:pPr>
            <w:r>
              <w:rPr>
                <w:rFonts w:hint="eastAsia" w:hAnsi="宋体"/>
                <w:sz w:val="21"/>
                <w:szCs w:val="21"/>
              </w:rPr>
              <w:t>2</w:t>
            </w:r>
          </w:p>
        </w:tc>
        <w:tc>
          <w:tcPr>
            <w:tcW w:w="1269" w:type="dxa"/>
            <w:noWrap/>
            <w:vAlign w:val="center"/>
          </w:tcPr>
          <w:p>
            <w:pPr>
              <w:spacing w:line="360" w:lineRule="auto"/>
              <w:rPr>
                <w:rFonts w:hAnsi="宋体"/>
                <w:sz w:val="21"/>
                <w:szCs w:val="21"/>
              </w:rPr>
            </w:pPr>
            <w:r>
              <w:rPr>
                <w:rFonts w:hint="eastAsia" w:hAnsi="宋体"/>
                <w:sz w:val="21"/>
                <w:szCs w:val="21"/>
              </w:rPr>
              <w:t>业绩</w:t>
            </w:r>
          </w:p>
        </w:tc>
        <w:tc>
          <w:tcPr>
            <w:tcW w:w="736" w:type="dxa"/>
            <w:noWrap/>
            <w:vAlign w:val="center"/>
          </w:tcPr>
          <w:p>
            <w:pPr>
              <w:spacing w:line="360" w:lineRule="auto"/>
              <w:jc w:val="center"/>
              <w:rPr>
                <w:rFonts w:hAnsi="宋体"/>
                <w:sz w:val="21"/>
                <w:szCs w:val="21"/>
              </w:rPr>
            </w:pPr>
            <w:r>
              <w:rPr>
                <w:rFonts w:hint="eastAsia" w:hAnsi="宋体"/>
                <w:sz w:val="21"/>
                <w:szCs w:val="21"/>
              </w:rPr>
              <w:t>10分</w:t>
            </w:r>
          </w:p>
        </w:tc>
        <w:tc>
          <w:tcPr>
            <w:tcW w:w="6312" w:type="dxa"/>
            <w:noWrap/>
            <w:vAlign w:val="center"/>
          </w:tcPr>
          <w:p>
            <w:pPr>
              <w:spacing w:line="360" w:lineRule="auto"/>
              <w:rPr>
                <w:rFonts w:hAnsi="宋体"/>
                <w:sz w:val="21"/>
                <w:szCs w:val="21"/>
              </w:rPr>
            </w:pPr>
            <w:r>
              <w:rPr>
                <w:rFonts w:hint="eastAsia" w:hAnsi="宋体"/>
                <w:sz w:val="21"/>
                <w:szCs w:val="21"/>
              </w:rPr>
              <w:t>供应商2017年9月1日至2020年9月1日（以签订合同时间为准）有承担过房地产开发企业销售法律服务工作的，每个合同得1分，最高得10分；（须提供销售法律服务合同复印件</w:t>
            </w:r>
            <w:r>
              <w:rPr>
                <w:rFonts w:hint="eastAsia"/>
                <w:sz w:val="21"/>
                <w:szCs w:val="21"/>
              </w:rPr>
              <w:t>加盖供应商公章</w:t>
            </w:r>
            <w:r>
              <w:rPr>
                <w:rFonts w:hint="eastAsia" w:hAnsi="宋体"/>
                <w:sz w:val="21"/>
                <w:szCs w:val="21"/>
              </w:rPr>
              <w:t>）</w:t>
            </w:r>
          </w:p>
          <w:p>
            <w:pPr>
              <w:spacing w:line="360" w:lineRule="auto"/>
              <w:rPr>
                <w:rFonts w:hAnsi="宋体"/>
                <w:sz w:val="21"/>
                <w:szCs w:val="21"/>
              </w:rPr>
            </w:pPr>
            <w:r>
              <w:rPr>
                <w:rFonts w:hint="eastAsia" w:hAnsi="宋体"/>
                <w:sz w:val="21"/>
                <w:szCs w:val="21"/>
              </w:rPr>
              <w:t>备注：以上业绩不重复得分，须提供合同关键页复印件（关键页包括合同名称、合同时间、签字盖章页）以</w:t>
            </w:r>
            <w:r>
              <w:rPr>
                <w:rFonts w:hint="eastAsia" w:ascii="Calibri" w:hAnsi="宋体"/>
                <w:kern w:val="2"/>
                <w:sz w:val="21"/>
                <w:szCs w:val="21"/>
              </w:rPr>
              <w:t>及与项目相关的发票或完税证明等材料</w:t>
            </w:r>
            <w:r>
              <w:rPr>
                <w:rFonts w:hint="eastAsia"/>
                <w:sz w:val="21"/>
                <w:szCs w:val="21"/>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ign w:val="center"/>
          </w:tcPr>
          <w:p>
            <w:pPr>
              <w:spacing w:line="360" w:lineRule="auto"/>
              <w:jc w:val="center"/>
              <w:rPr>
                <w:rFonts w:hAnsi="宋体"/>
                <w:sz w:val="21"/>
                <w:szCs w:val="21"/>
              </w:rPr>
            </w:pPr>
            <w:r>
              <w:rPr>
                <w:rFonts w:hint="eastAsia" w:hAnsi="宋体"/>
                <w:sz w:val="21"/>
                <w:szCs w:val="21"/>
              </w:rPr>
              <w:t>3</w:t>
            </w:r>
          </w:p>
        </w:tc>
        <w:tc>
          <w:tcPr>
            <w:tcW w:w="1269" w:type="dxa"/>
            <w:noWrap/>
            <w:vAlign w:val="center"/>
          </w:tcPr>
          <w:p>
            <w:pPr>
              <w:spacing w:line="360" w:lineRule="auto"/>
              <w:rPr>
                <w:rFonts w:hAnsi="宋体"/>
                <w:sz w:val="21"/>
                <w:szCs w:val="21"/>
              </w:rPr>
            </w:pPr>
            <w:r>
              <w:rPr>
                <w:rFonts w:hint="eastAsia" w:hAnsi="宋体"/>
                <w:sz w:val="21"/>
                <w:szCs w:val="21"/>
              </w:rPr>
              <w:t>项目团队</w:t>
            </w:r>
          </w:p>
        </w:tc>
        <w:tc>
          <w:tcPr>
            <w:tcW w:w="736" w:type="dxa"/>
            <w:noWrap/>
            <w:vAlign w:val="center"/>
          </w:tcPr>
          <w:p>
            <w:pPr>
              <w:spacing w:line="360" w:lineRule="auto"/>
              <w:jc w:val="center"/>
              <w:rPr>
                <w:rFonts w:hAnsi="宋体"/>
                <w:sz w:val="21"/>
                <w:szCs w:val="21"/>
              </w:rPr>
            </w:pPr>
            <w:r>
              <w:rPr>
                <w:rFonts w:hint="eastAsia" w:hAnsi="宋体"/>
                <w:sz w:val="21"/>
                <w:szCs w:val="21"/>
              </w:rPr>
              <w:t>7分</w:t>
            </w:r>
          </w:p>
        </w:tc>
        <w:tc>
          <w:tcPr>
            <w:tcW w:w="6312" w:type="dxa"/>
            <w:noWrap/>
            <w:vAlign w:val="center"/>
          </w:tcPr>
          <w:p>
            <w:pPr>
              <w:pStyle w:val="144"/>
              <w:spacing w:line="360" w:lineRule="auto"/>
              <w:ind w:firstLine="0" w:firstLineChars="0"/>
              <w:rPr>
                <w:rFonts w:asciiTheme="minorEastAsia" w:hAnsiTheme="minorEastAsia" w:eastAsiaTheme="minorEastAsia"/>
              </w:rPr>
            </w:pPr>
            <w:r>
              <w:rPr>
                <w:rFonts w:hint="eastAsia" w:asciiTheme="minorEastAsia" w:hAnsiTheme="minorEastAsia" w:eastAsiaTheme="minorEastAsia"/>
                <w:szCs w:val="21"/>
              </w:rPr>
              <w:t>（1）供应商拟派本项目人员数量满足用户需求书的最低要求基础上，每增派1名得1分，本项最高得3分。</w:t>
            </w:r>
          </w:p>
          <w:p>
            <w:pPr>
              <w:spacing w:line="360" w:lineRule="auto"/>
              <w:rPr>
                <w:sz w:val="21"/>
                <w:szCs w:val="21"/>
              </w:rPr>
            </w:pPr>
            <w:r>
              <w:rPr>
                <w:rFonts w:hint="eastAsia"/>
                <w:sz w:val="21"/>
                <w:szCs w:val="21"/>
              </w:rPr>
              <w:t>（2）项目负责人：</w:t>
            </w:r>
          </w:p>
          <w:p>
            <w:pPr>
              <w:spacing w:line="360" w:lineRule="auto"/>
              <w:rPr>
                <w:sz w:val="21"/>
                <w:szCs w:val="21"/>
              </w:rPr>
            </w:pPr>
            <w:r>
              <w:rPr>
                <w:rFonts w:hint="eastAsia"/>
                <w:sz w:val="21"/>
                <w:szCs w:val="21"/>
              </w:rPr>
              <w:t>①拟投入本项目负责人，持有律师执业证的，得1分。</w:t>
            </w:r>
          </w:p>
          <w:p>
            <w:pPr>
              <w:spacing w:line="360" w:lineRule="auto"/>
              <w:rPr>
                <w:sz w:val="21"/>
                <w:szCs w:val="21"/>
              </w:rPr>
            </w:pPr>
            <w:r>
              <w:rPr>
                <w:rFonts w:hint="eastAsia"/>
                <w:sz w:val="21"/>
                <w:szCs w:val="21"/>
              </w:rPr>
              <w:t>②承担过</w:t>
            </w:r>
            <w:r>
              <w:rPr>
                <w:rFonts w:hint="eastAsia" w:hAnsi="宋体"/>
                <w:sz w:val="21"/>
                <w:szCs w:val="21"/>
              </w:rPr>
              <w:t>开发企业</w:t>
            </w:r>
            <w:r>
              <w:rPr>
                <w:rFonts w:hint="eastAsia"/>
                <w:sz w:val="21"/>
                <w:szCs w:val="21"/>
              </w:rPr>
              <w:t>销售法律服务项目的，得1分。（须提供合同复印件加盖供应商公章，如合同未能体现项目经理等主要信息，由供应商提供相关证明材料加盖公章。）</w:t>
            </w:r>
          </w:p>
          <w:p>
            <w:pPr>
              <w:pStyle w:val="144"/>
              <w:numPr>
                <w:ilvl w:val="255"/>
                <w:numId w:val="0"/>
              </w:numPr>
              <w:spacing w:line="360" w:lineRule="auto"/>
              <w:rPr>
                <w:szCs w:val="21"/>
              </w:rPr>
            </w:pPr>
            <w:r>
              <w:rPr>
                <w:rFonts w:hint="eastAsia"/>
                <w:szCs w:val="21"/>
              </w:rPr>
              <w:t>（3）项目团队（项目负责人除外）：</w:t>
            </w:r>
          </w:p>
          <w:p>
            <w:pPr>
              <w:pStyle w:val="144"/>
              <w:numPr>
                <w:ilvl w:val="255"/>
                <w:numId w:val="0"/>
              </w:numPr>
              <w:spacing w:line="360" w:lineRule="auto"/>
              <w:rPr>
                <w:szCs w:val="21"/>
              </w:rPr>
            </w:pPr>
            <w:r>
              <w:rPr>
                <w:rFonts w:hint="eastAsia"/>
                <w:szCs w:val="21"/>
              </w:rPr>
              <w:t>拟投入本项团队，持有律师执业证的，每一名加1分，本项最高得2分。</w:t>
            </w:r>
          </w:p>
          <w:p>
            <w:pPr>
              <w:spacing w:line="360" w:lineRule="auto"/>
              <w:rPr>
                <w:rFonts w:hAnsi="宋体"/>
                <w:sz w:val="21"/>
                <w:szCs w:val="21"/>
              </w:rPr>
            </w:pPr>
            <w:r>
              <w:rPr>
                <w:rFonts w:hint="eastAsia"/>
                <w:bCs/>
                <w:sz w:val="21"/>
                <w:szCs w:val="21"/>
              </w:rPr>
              <w:t>（注：须提供以上人员相关证书复印件及供应商为其缴纳的最近六个月社会养老保险有效凭证复印件加盖供应商公章。）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931" w:type="dxa"/>
            <w:gridSpan w:val="4"/>
            <w:noWrap/>
            <w:vAlign w:val="center"/>
          </w:tcPr>
          <w:p>
            <w:pPr>
              <w:spacing w:line="360" w:lineRule="auto"/>
              <w:jc w:val="center"/>
              <w:rPr>
                <w:rFonts w:hAnsi="宋体"/>
                <w:b/>
                <w:bCs/>
                <w:sz w:val="21"/>
                <w:szCs w:val="21"/>
              </w:rPr>
            </w:pPr>
            <w:r>
              <w:rPr>
                <w:rFonts w:hint="eastAsia" w:hAnsi="宋体"/>
                <w:b/>
                <w:bCs/>
                <w:sz w:val="21"/>
                <w:szCs w:val="21"/>
              </w:rPr>
              <w:t>技术评分（50分）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ign w:val="center"/>
          </w:tcPr>
          <w:p>
            <w:pPr>
              <w:spacing w:line="360" w:lineRule="auto"/>
              <w:jc w:val="center"/>
              <w:rPr>
                <w:rFonts w:hAnsi="宋体"/>
                <w:sz w:val="21"/>
                <w:szCs w:val="21"/>
              </w:rPr>
            </w:pPr>
            <w:r>
              <w:rPr>
                <w:rFonts w:hint="eastAsia" w:hAnsi="宋体"/>
                <w:sz w:val="21"/>
                <w:szCs w:val="21"/>
              </w:rPr>
              <w:t>1</w:t>
            </w:r>
          </w:p>
        </w:tc>
        <w:tc>
          <w:tcPr>
            <w:tcW w:w="1269" w:type="dxa"/>
            <w:noWrap/>
            <w:vAlign w:val="center"/>
          </w:tcPr>
          <w:p>
            <w:pPr>
              <w:spacing w:line="360" w:lineRule="auto"/>
              <w:rPr>
                <w:rFonts w:hAnsi="宋体"/>
                <w:sz w:val="21"/>
                <w:szCs w:val="21"/>
              </w:rPr>
            </w:pPr>
            <w:r>
              <w:rPr>
                <w:rFonts w:hint="eastAsia" w:hAnsi="宋体"/>
                <w:sz w:val="21"/>
                <w:szCs w:val="21"/>
              </w:rPr>
              <w:t>响应程度</w:t>
            </w:r>
          </w:p>
        </w:tc>
        <w:tc>
          <w:tcPr>
            <w:tcW w:w="736" w:type="dxa"/>
            <w:noWrap/>
            <w:vAlign w:val="center"/>
          </w:tcPr>
          <w:p>
            <w:pPr>
              <w:spacing w:line="360" w:lineRule="auto"/>
              <w:rPr>
                <w:rFonts w:hAnsi="宋体"/>
                <w:sz w:val="21"/>
                <w:szCs w:val="21"/>
              </w:rPr>
            </w:pPr>
            <w:r>
              <w:rPr>
                <w:rFonts w:hint="eastAsia" w:hAnsi="宋体"/>
                <w:sz w:val="21"/>
                <w:szCs w:val="21"/>
              </w:rPr>
              <w:t>15分</w:t>
            </w:r>
          </w:p>
        </w:tc>
        <w:tc>
          <w:tcPr>
            <w:tcW w:w="6312" w:type="dxa"/>
            <w:noWrap/>
            <w:vAlign w:val="center"/>
          </w:tcPr>
          <w:p>
            <w:pPr>
              <w:spacing w:line="360" w:lineRule="auto"/>
              <w:rPr>
                <w:rFonts w:hAnsi="宋体"/>
                <w:sz w:val="21"/>
                <w:szCs w:val="21"/>
              </w:rPr>
            </w:pPr>
            <w:r>
              <w:rPr>
                <w:rFonts w:hint="eastAsia" w:hAnsi="宋体"/>
                <w:sz w:val="21"/>
                <w:szCs w:val="21"/>
              </w:rPr>
              <w:t>根据供应商是否能够对用户需求的理解及响应程度情况进行评审。</w:t>
            </w:r>
          </w:p>
          <w:p>
            <w:pPr>
              <w:spacing w:line="360" w:lineRule="auto"/>
              <w:rPr>
                <w:rFonts w:hAnsi="宋体"/>
                <w:sz w:val="21"/>
                <w:szCs w:val="21"/>
              </w:rPr>
            </w:pPr>
            <w:r>
              <w:rPr>
                <w:rFonts w:hint="eastAsia" w:hAnsi="宋体"/>
                <w:sz w:val="21"/>
                <w:szCs w:val="21"/>
              </w:rPr>
              <w:t>优：理解和响应程度完整合理、可行性强，完全满足并优于磋商文件要求，得15分；</w:t>
            </w:r>
          </w:p>
          <w:p>
            <w:pPr>
              <w:spacing w:line="360" w:lineRule="auto"/>
              <w:rPr>
                <w:rFonts w:hAnsi="宋体"/>
                <w:sz w:val="21"/>
                <w:szCs w:val="21"/>
              </w:rPr>
            </w:pPr>
            <w:r>
              <w:rPr>
                <w:rFonts w:hint="eastAsia" w:hAnsi="宋体"/>
                <w:sz w:val="21"/>
                <w:szCs w:val="21"/>
              </w:rPr>
              <w:t>良：理解和响应程度完整、可行性一般，符合磋商文件要求，得10分；</w:t>
            </w:r>
          </w:p>
          <w:p>
            <w:pPr>
              <w:spacing w:line="360" w:lineRule="auto"/>
              <w:rPr>
                <w:rFonts w:hAnsi="宋体"/>
                <w:sz w:val="21"/>
                <w:szCs w:val="21"/>
              </w:rPr>
            </w:pPr>
            <w:r>
              <w:rPr>
                <w:rFonts w:hint="eastAsia" w:hAnsi="宋体"/>
                <w:sz w:val="21"/>
                <w:szCs w:val="21"/>
              </w:rPr>
              <w:t>中：理解和响应程度基本完整、可行性较差，基本符合磋商文件要求，得7分；</w:t>
            </w:r>
          </w:p>
          <w:p>
            <w:pPr>
              <w:spacing w:line="360" w:lineRule="auto"/>
              <w:rPr>
                <w:rFonts w:hAnsi="宋体"/>
                <w:sz w:val="21"/>
                <w:szCs w:val="21"/>
              </w:rPr>
            </w:pPr>
            <w:r>
              <w:rPr>
                <w:rFonts w:hint="eastAsia" w:hAnsi="宋体"/>
                <w:sz w:val="21"/>
                <w:szCs w:val="21"/>
              </w:rPr>
              <w:t>差：有对磋商文件响应，但不完整，可行性差，难以满足磋商文件要求，得3分；</w:t>
            </w:r>
          </w:p>
          <w:p>
            <w:pPr>
              <w:spacing w:line="360" w:lineRule="auto"/>
              <w:rPr>
                <w:rFonts w:hAnsi="宋体"/>
                <w:sz w:val="21"/>
                <w:szCs w:val="21"/>
              </w:rPr>
            </w:pPr>
            <w:r>
              <w:rPr>
                <w:rFonts w:hint="eastAsia" w:hAnsi="宋体"/>
                <w:sz w:val="2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ign w:val="center"/>
          </w:tcPr>
          <w:p>
            <w:pPr>
              <w:spacing w:line="360" w:lineRule="auto"/>
              <w:jc w:val="center"/>
              <w:rPr>
                <w:rFonts w:hAnsi="宋体"/>
                <w:sz w:val="21"/>
                <w:szCs w:val="21"/>
              </w:rPr>
            </w:pPr>
            <w:r>
              <w:rPr>
                <w:rFonts w:hint="eastAsia" w:hAnsi="宋体"/>
                <w:sz w:val="21"/>
                <w:szCs w:val="21"/>
              </w:rPr>
              <w:t>2</w:t>
            </w:r>
          </w:p>
        </w:tc>
        <w:tc>
          <w:tcPr>
            <w:tcW w:w="1269" w:type="dxa"/>
            <w:noWrap/>
            <w:vAlign w:val="center"/>
          </w:tcPr>
          <w:p>
            <w:pPr>
              <w:spacing w:line="360" w:lineRule="auto"/>
              <w:rPr>
                <w:rFonts w:hAnsi="宋体"/>
                <w:sz w:val="21"/>
                <w:szCs w:val="21"/>
              </w:rPr>
            </w:pPr>
            <w:r>
              <w:rPr>
                <w:rFonts w:hint="eastAsia" w:hAnsi="宋体"/>
                <w:sz w:val="21"/>
                <w:szCs w:val="21"/>
              </w:rPr>
              <w:t>服务方案</w:t>
            </w:r>
          </w:p>
        </w:tc>
        <w:tc>
          <w:tcPr>
            <w:tcW w:w="736" w:type="dxa"/>
            <w:noWrap/>
            <w:vAlign w:val="center"/>
          </w:tcPr>
          <w:p>
            <w:pPr>
              <w:spacing w:line="360" w:lineRule="auto"/>
              <w:rPr>
                <w:rFonts w:hAnsi="宋体"/>
                <w:sz w:val="21"/>
                <w:szCs w:val="21"/>
              </w:rPr>
            </w:pPr>
            <w:r>
              <w:rPr>
                <w:rFonts w:hint="eastAsia" w:hAnsi="宋体"/>
                <w:sz w:val="21"/>
                <w:szCs w:val="21"/>
              </w:rPr>
              <w:t>20分</w:t>
            </w:r>
          </w:p>
        </w:tc>
        <w:tc>
          <w:tcPr>
            <w:tcW w:w="6312" w:type="dxa"/>
            <w:noWrap/>
            <w:vAlign w:val="center"/>
          </w:tcPr>
          <w:p>
            <w:pPr>
              <w:spacing w:line="360" w:lineRule="auto"/>
              <w:rPr>
                <w:rFonts w:hAnsi="宋体"/>
                <w:sz w:val="21"/>
                <w:szCs w:val="21"/>
              </w:rPr>
            </w:pPr>
            <w:r>
              <w:rPr>
                <w:rFonts w:hint="eastAsia" w:hAnsi="宋体"/>
                <w:sz w:val="21"/>
                <w:szCs w:val="21"/>
              </w:rPr>
              <w:t>根据供应商针对本项目服务内容、服务流程、管理服务架构、方法及人员档案/薪资管理等方案是否合理、可行、适用、易于实施等方面进行评价：</w:t>
            </w:r>
          </w:p>
          <w:p>
            <w:pPr>
              <w:spacing w:line="360" w:lineRule="auto"/>
              <w:rPr>
                <w:rFonts w:hAnsi="宋体"/>
                <w:sz w:val="21"/>
                <w:szCs w:val="21"/>
              </w:rPr>
            </w:pPr>
            <w:r>
              <w:rPr>
                <w:rFonts w:hint="eastAsia" w:hAnsi="宋体"/>
                <w:sz w:val="21"/>
                <w:szCs w:val="21"/>
              </w:rPr>
              <w:t>优：方案完整合理、可行性强，完全满足并优于磋商文件要求，得20分；</w:t>
            </w:r>
          </w:p>
          <w:p>
            <w:pPr>
              <w:spacing w:line="360" w:lineRule="auto"/>
              <w:rPr>
                <w:rFonts w:hAnsi="宋体"/>
                <w:sz w:val="21"/>
                <w:szCs w:val="21"/>
              </w:rPr>
            </w:pPr>
            <w:r>
              <w:rPr>
                <w:rFonts w:hint="eastAsia" w:hAnsi="宋体"/>
                <w:sz w:val="21"/>
                <w:szCs w:val="21"/>
              </w:rPr>
              <w:t>良：方案完整、可行性一般，符合磋商文件要求，得15分；</w:t>
            </w:r>
          </w:p>
          <w:p>
            <w:pPr>
              <w:spacing w:line="360" w:lineRule="auto"/>
              <w:rPr>
                <w:rFonts w:hAnsi="宋体"/>
                <w:sz w:val="21"/>
                <w:szCs w:val="21"/>
              </w:rPr>
            </w:pPr>
            <w:r>
              <w:rPr>
                <w:rFonts w:hint="eastAsia" w:hAnsi="宋体"/>
                <w:sz w:val="21"/>
                <w:szCs w:val="21"/>
              </w:rPr>
              <w:t>中：方案基本完整、可行性较差，基本符合磋商文件要求，得10分；</w:t>
            </w:r>
          </w:p>
          <w:p>
            <w:pPr>
              <w:spacing w:line="360" w:lineRule="auto"/>
              <w:rPr>
                <w:rFonts w:hAnsi="宋体"/>
                <w:sz w:val="21"/>
                <w:szCs w:val="21"/>
              </w:rPr>
            </w:pPr>
            <w:r>
              <w:rPr>
                <w:rFonts w:hint="eastAsia" w:hAnsi="宋体"/>
                <w:sz w:val="21"/>
                <w:szCs w:val="21"/>
              </w:rPr>
              <w:t>差：方案不完整、可行性差，难以满足磋商文件要求，得5分；</w:t>
            </w:r>
          </w:p>
          <w:p>
            <w:pPr>
              <w:spacing w:line="360" w:lineRule="auto"/>
              <w:rPr>
                <w:rFonts w:hAnsi="宋体"/>
                <w:sz w:val="21"/>
                <w:szCs w:val="21"/>
              </w:rPr>
            </w:pPr>
            <w:r>
              <w:rPr>
                <w:rFonts w:hint="eastAsia" w:hAnsi="宋体"/>
                <w:sz w:val="2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ign w:val="center"/>
          </w:tcPr>
          <w:p>
            <w:pPr>
              <w:spacing w:line="360" w:lineRule="auto"/>
              <w:jc w:val="center"/>
              <w:rPr>
                <w:rFonts w:hAnsi="宋体"/>
                <w:sz w:val="21"/>
                <w:szCs w:val="21"/>
              </w:rPr>
            </w:pPr>
            <w:r>
              <w:rPr>
                <w:rFonts w:hint="eastAsia" w:hAnsi="宋体"/>
                <w:sz w:val="21"/>
                <w:szCs w:val="21"/>
              </w:rPr>
              <w:t>3</w:t>
            </w:r>
          </w:p>
        </w:tc>
        <w:tc>
          <w:tcPr>
            <w:tcW w:w="1269" w:type="dxa"/>
            <w:noWrap/>
            <w:vAlign w:val="center"/>
          </w:tcPr>
          <w:p>
            <w:pPr>
              <w:spacing w:line="360" w:lineRule="auto"/>
              <w:rPr>
                <w:rFonts w:hAnsi="宋体"/>
                <w:sz w:val="21"/>
                <w:szCs w:val="21"/>
              </w:rPr>
            </w:pPr>
            <w:r>
              <w:rPr>
                <w:rFonts w:hint="eastAsia" w:hAnsi="宋体"/>
                <w:sz w:val="21"/>
                <w:szCs w:val="21"/>
              </w:rPr>
              <w:t>质量保证</w:t>
            </w:r>
          </w:p>
        </w:tc>
        <w:tc>
          <w:tcPr>
            <w:tcW w:w="736" w:type="dxa"/>
            <w:noWrap/>
            <w:vAlign w:val="center"/>
          </w:tcPr>
          <w:p>
            <w:pPr>
              <w:spacing w:line="360" w:lineRule="auto"/>
              <w:rPr>
                <w:rFonts w:hAnsi="宋体"/>
                <w:sz w:val="21"/>
                <w:szCs w:val="21"/>
              </w:rPr>
            </w:pPr>
            <w:r>
              <w:rPr>
                <w:rFonts w:hint="eastAsia" w:hAnsi="宋体"/>
                <w:sz w:val="21"/>
                <w:szCs w:val="21"/>
              </w:rPr>
              <w:t>15分</w:t>
            </w:r>
          </w:p>
        </w:tc>
        <w:tc>
          <w:tcPr>
            <w:tcW w:w="6312" w:type="dxa"/>
            <w:noWrap/>
            <w:vAlign w:val="center"/>
          </w:tcPr>
          <w:p>
            <w:pPr>
              <w:spacing w:line="360" w:lineRule="auto"/>
              <w:rPr>
                <w:rFonts w:hAnsi="宋体"/>
                <w:sz w:val="21"/>
                <w:szCs w:val="21"/>
              </w:rPr>
            </w:pPr>
            <w:r>
              <w:rPr>
                <w:rFonts w:hint="eastAsia" w:hAnsi="宋体"/>
                <w:sz w:val="21"/>
                <w:szCs w:val="21"/>
              </w:rPr>
              <w:t>根据供应商针对本项目客户服务及关系维护方案（含劳动争议处理、风险防范、增值服务等）是否合理、可行、适用、易于实施等方面进行评价：</w:t>
            </w:r>
          </w:p>
          <w:p>
            <w:pPr>
              <w:spacing w:line="360" w:lineRule="auto"/>
              <w:rPr>
                <w:rFonts w:hAnsi="宋体"/>
                <w:sz w:val="21"/>
                <w:szCs w:val="21"/>
              </w:rPr>
            </w:pPr>
            <w:r>
              <w:rPr>
                <w:rFonts w:hint="eastAsia" w:hAnsi="宋体"/>
                <w:sz w:val="21"/>
                <w:szCs w:val="21"/>
              </w:rPr>
              <w:t>优：方案完整合理、可行性强，完全满足并优于磋商文件要求，得15分；</w:t>
            </w:r>
          </w:p>
          <w:p>
            <w:pPr>
              <w:spacing w:line="360" w:lineRule="auto"/>
              <w:rPr>
                <w:rFonts w:hAnsi="宋体"/>
                <w:sz w:val="21"/>
                <w:szCs w:val="21"/>
              </w:rPr>
            </w:pPr>
            <w:r>
              <w:rPr>
                <w:rFonts w:hint="eastAsia" w:hAnsi="宋体"/>
                <w:sz w:val="21"/>
                <w:szCs w:val="21"/>
              </w:rPr>
              <w:t>良：方案完整、可行性一般，符合磋商文件要求，得10分；</w:t>
            </w:r>
          </w:p>
          <w:p>
            <w:pPr>
              <w:spacing w:line="360" w:lineRule="auto"/>
              <w:rPr>
                <w:rFonts w:hAnsi="宋体"/>
                <w:sz w:val="21"/>
                <w:szCs w:val="21"/>
              </w:rPr>
            </w:pPr>
            <w:r>
              <w:rPr>
                <w:rFonts w:hint="eastAsia" w:hAnsi="宋体"/>
                <w:sz w:val="21"/>
                <w:szCs w:val="21"/>
              </w:rPr>
              <w:t>中：方案基本完整、可行性较差，基本符合磋商文件要求，得7分；</w:t>
            </w:r>
          </w:p>
          <w:p>
            <w:pPr>
              <w:spacing w:line="360" w:lineRule="auto"/>
              <w:rPr>
                <w:rFonts w:hAnsi="宋体"/>
                <w:sz w:val="21"/>
                <w:szCs w:val="21"/>
              </w:rPr>
            </w:pPr>
            <w:r>
              <w:rPr>
                <w:rFonts w:hint="eastAsia" w:hAnsi="宋体"/>
                <w:sz w:val="21"/>
                <w:szCs w:val="21"/>
              </w:rPr>
              <w:t>差：方案不完整、可行性差，难以满足磋商文件要求，得3分；</w:t>
            </w:r>
          </w:p>
          <w:p>
            <w:pPr>
              <w:spacing w:line="360" w:lineRule="auto"/>
              <w:rPr>
                <w:rFonts w:hAnsi="宋体"/>
                <w:sz w:val="21"/>
                <w:szCs w:val="21"/>
              </w:rPr>
            </w:pPr>
            <w:r>
              <w:rPr>
                <w:rFonts w:hint="eastAsia" w:hAnsi="宋体"/>
                <w:sz w:val="2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gridSpan w:val="4"/>
            <w:noWrap/>
            <w:vAlign w:val="center"/>
          </w:tcPr>
          <w:p>
            <w:pPr>
              <w:spacing w:line="360" w:lineRule="auto"/>
              <w:jc w:val="center"/>
              <w:rPr>
                <w:rFonts w:hAnsi="宋体"/>
                <w:sz w:val="21"/>
                <w:szCs w:val="21"/>
              </w:rPr>
            </w:pPr>
            <w:r>
              <w:rPr>
                <w:rFonts w:hint="eastAsia"/>
                <w:b/>
                <w:sz w:val="21"/>
                <w:szCs w:val="21"/>
              </w:rPr>
              <w:t>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1</w:t>
            </w:r>
          </w:p>
        </w:tc>
        <w:tc>
          <w:tcPr>
            <w:tcW w:w="1269" w:type="dxa"/>
            <w:noWrap/>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价格</w:t>
            </w:r>
          </w:p>
        </w:tc>
        <w:tc>
          <w:tcPr>
            <w:tcW w:w="736" w:type="dxa"/>
            <w:noWrap/>
            <w:vAlign w:val="center"/>
          </w:tcPr>
          <w:p>
            <w:pPr>
              <w:pStyle w:val="75"/>
              <w:spacing w:line="360" w:lineRule="auto"/>
              <w:ind w:firstLine="0" w:firstLineChars="0"/>
              <w:jc w:val="center"/>
              <w:rPr>
                <w:rFonts w:ascii="宋体" w:eastAsia="宋体"/>
                <w:sz w:val="21"/>
                <w:szCs w:val="21"/>
              </w:rPr>
            </w:pPr>
            <w:r>
              <w:rPr>
                <w:rFonts w:hint="eastAsia" w:ascii="宋体" w:eastAsia="宋体"/>
                <w:sz w:val="21"/>
                <w:szCs w:val="21"/>
              </w:rPr>
              <w:t>30分</w:t>
            </w:r>
          </w:p>
        </w:tc>
        <w:tc>
          <w:tcPr>
            <w:tcW w:w="6312" w:type="dxa"/>
            <w:noWrap/>
            <w:vAlign w:val="center"/>
          </w:tcPr>
          <w:p>
            <w:pPr>
              <w:spacing w:line="360" w:lineRule="auto"/>
              <w:rPr>
                <w:rFonts w:hAnsi="宋体"/>
                <w:sz w:val="21"/>
                <w:szCs w:val="21"/>
              </w:rPr>
            </w:pPr>
            <w:r>
              <w:rPr>
                <w:rFonts w:hint="eastAsia" w:hAnsi="宋体"/>
                <w:sz w:val="21"/>
                <w:szCs w:val="21"/>
              </w:rPr>
              <w:t>价格分计算方法：满足磋商文件要求且投标价格最低的投标报价为评标基准价，其价格分为满分。其他供应商的价格分统一按照下列公式计算：投标报价得分=(评标基准价／投标报价)×价格权重（30%）×100</w:t>
            </w:r>
          </w:p>
        </w:tc>
      </w:tr>
    </w:tbl>
    <w:p>
      <w:pPr>
        <w:widowControl/>
        <w:tabs>
          <w:tab w:val="left" w:pos="907"/>
        </w:tabs>
        <w:snapToGrid w:val="0"/>
        <w:spacing w:line="360" w:lineRule="auto"/>
        <w:rPr>
          <w:rFonts w:hAnsi="宋体"/>
          <w:bCs/>
          <w:sz w:val="21"/>
          <w:szCs w:val="21"/>
        </w:rPr>
      </w:pPr>
      <w:r>
        <w:rPr>
          <w:rFonts w:hint="eastAsia" w:hAnsi="宋体"/>
          <w:bCs/>
          <w:sz w:val="21"/>
          <w:szCs w:val="21"/>
        </w:rPr>
        <w:t>注：（1）上证明文件均提供加盖公章复印件。</w:t>
      </w:r>
    </w:p>
    <w:p>
      <w:pPr>
        <w:widowControl/>
        <w:tabs>
          <w:tab w:val="left" w:pos="907"/>
        </w:tabs>
        <w:snapToGrid w:val="0"/>
        <w:spacing w:line="360" w:lineRule="auto"/>
        <w:ind w:firstLine="420" w:firstLineChars="200"/>
        <w:rPr>
          <w:rFonts w:hAnsi="宋体"/>
          <w:bCs/>
          <w:sz w:val="21"/>
          <w:szCs w:val="21"/>
        </w:rPr>
      </w:pPr>
      <w:r>
        <w:rPr>
          <w:rFonts w:hint="eastAsia" w:hAnsi="宋体"/>
          <w:bCs/>
          <w:sz w:val="21"/>
          <w:szCs w:val="21"/>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ind w:firstLine="420" w:firstLineChars="200"/>
        <w:rPr>
          <w:rFonts w:hAnsi="宋体"/>
          <w:bCs/>
          <w:sz w:val="21"/>
          <w:szCs w:val="21"/>
        </w:rPr>
      </w:pPr>
      <w:r>
        <w:rPr>
          <w:rFonts w:hint="eastAsia" w:hAnsi="宋体"/>
          <w:bCs/>
          <w:sz w:val="21"/>
          <w:szCs w:val="21"/>
        </w:rPr>
        <w:t>（3）若中标将在发放成交通知书前逐一核对核查原件，请勿提供虚假、过期材料，否则将依据相关规定严肃处理。</w:t>
      </w:r>
    </w:p>
    <w:p>
      <w:pPr>
        <w:pStyle w:val="28"/>
        <w:spacing w:line="360" w:lineRule="auto"/>
        <w:ind w:firstLine="422" w:firstLineChars="200"/>
        <w:rPr>
          <w:rFonts w:hAnsi="宋体"/>
          <w:b/>
          <w:szCs w:val="21"/>
        </w:rPr>
      </w:pPr>
      <w:r>
        <w:rPr>
          <w:rFonts w:hint="eastAsia" w:hAnsi="宋体"/>
          <w:b/>
          <w:szCs w:val="21"/>
        </w:rPr>
        <w:t>四、技术评审</w:t>
      </w:r>
    </w:p>
    <w:p>
      <w:pPr>
        <w:spacing w:line="360" w:lineRule="auto"/>
        <w:ind w:firstLine="420" w:firstLineChars="200"/>
        <w:rPr>
          <w:rFonts w:hAnsi="宋体"/>
          <w:bCs/>
          <w:sz w:val="21"/>
          <w:szCs w:val="21"/>
        </w:rPr>
      </w:pPr>
      <w:r>
        <w:rPr>
          <w:rFonts w:hint="eastAsia" w:hAnsi="宋体"/>
          <w:sz w:val="21"/>
          <w:szCs w:val="21"/>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szCs w:val="21"/>
        </w:rPr>
      </w:pPr>
      <w:r>
        <w:rPr>
          <w:rFonts w:hint="eastAsia" w:hAnsi="宋体"/>
          <w:szCs w:val="21"/>
        </w:rPr>
        <w:t>2.将每一个磋商小组成员的评分汇总，取其算术平均值，为该供应商的技术评定得分。</w:t>
      </w:r>
    </w:p>
    <w:p>
      <w:pPr>
        <w:pStyle w:val="28"/>
        <w:spacing w:line="360" w:lineRule="auto"/>
        <w:ind w:firstLine="422" w:firstLineChars="200"/>
        <w:rPr>
          <w:rFonts w:hAnsi="宋体"/>
          <w:b/>
          <w:szCs w:val="21"/>
        </w:rPr>
      </w:pPr>
    </w:p>
    <w:p>
      <w:pPr>
        <w:pStyle w:val="28"/>
        <w:spacing w:line="360" w:lineRule="auto"/>
        <w:ind w:firstLine="422" w:firstLineChars="200"/>
        <w:rPr>
          <w:rFonts w:hAnsi="宋体"/>
          <w:b/>
          <w:szCs w:val="21"/>
        </w:rPr>
      </w:pPr>
      <w:r>
        <w:rPr>
          <w:rFonts w:hint="eastAsia" w:hAnsi="宋体"/>
          <w:b/>
          <w:szCs w:val="21"/>
        </w:rPr>
        <w:t>五、商务评审</w:t>
      </w:r>
    </w:p>
    <w:p>
      <w:pPr>
        <w:pStyle w:val="28"/>
        <w:spacing w:line="360" w:lineRule="auto"/>
        <w:ind w:firstLine="420" w:firstLineChars="200"/>
        <w:rPr>
          <w:rFonts w:hAnsi="宋体"/>
          <w:szCs w:val="21"/>
        </w:rPr>
      </w:pPr>
      <w:r>
        <w:rPr>
          <w:rFonts w:hint="eastAsia" w:hAnsi="宋体"/>
          <w:szCs w:val="21"/>
        </w:rPr>
        <w:t>1.由磋商小组评价每个供应商的商务条件，填写《商务评分表》。</w:t>
      </w:r>
    </w:p>
    <w:p>
      <w:pPr>
        <w:pStyle w:val="28"/>
        <w:spacing w:line="360" w:lineRule="auto"/>
        <w:ind w:firstLine="420" w:firstLineChars="200"/>
        <w:rPr>
          <w:rFonts w:hAnsi="宋体"/>
          <w:szCs w:val="21"/>
        </w:rPr>
      </w:pPr>
      <w:r>
        <w:rPr>
          <w:rFonts w:hint="eastAsia" w:hAnsi="宋体"/>
          <w:szCs w:val="21"/>
        </w:rPr>
        <w:t>2.将每一个磋商小组成员的评分汇总，取其算术平均值，为该供应商的商务得分。</w:t>
      </w:r>
    </w:p>
    <w:p>
      <w:pPr>
        <w:pStyle w:val="28"/>
        <w:spacing w:line="360" w:lineRule="auto"/>
        <w:ind w:firstLine="422" w:firstLineChars="200"/>
        <w:rPr>
          <w:rFonts w:hAnsi="宋体"/>
          <w:b/>
          <w:szCs w:val="21"/>
        </w:rPr>
      </w:pPr>
    </w:p>
    <w:p>
      <w:pPr>
        <w:pStyle w:val="28"/>
        <w:spacing w:line="360" w:lineRule="auto"/>
        <w:ind w:firstLine="422" w:firstLineChars="200"/>
        <w:rPr>
          <w:rFonts w:hAnsi="宋体"/>
          <w:b/>
          <w:szCs w:val="21"/>
        </w:rPr>
      </w:pPr>
      <w:r>
        <w:rPr>
          <w:rFonts w:hint="eastAsia" w:hAnsi="宋体"/>
          <w:b/>
          <w:szCs w:val="21"/>
        </w:rPr>
        <w:t>六、报价评审（如有）</w:t>
      </w:r>
    </w:p>
    <w:p>
      <w:pPr>
        <w:tabs>
          <w:tab w:val="left" w:pos="1365"/>
        </w:tabs>
        <w:spacing w:line="360" w:lineRule="auto"/>
        <w:ind w:firstLine="420" w:firstLineChars="200"/>
        <w:rPr>
          <w:rFonts w:hAnsi="宋体"/>
          <w:sz w:val="21"/>
          <w:szCs w:val="21"/>
        </w:rPr>
      </w:pPr>
      <w:r>
        <w:rPr>
          <w:rFonts w:hint="eastAsia" w:hAnsi="宋体"/>
          <w:sz w:val="21"/>
          <w:szCs w:val="21"/>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rPr>
      </w:pPr>
      <w:r>
        <w:rPr>
          <w:rFonts w:hint="eastAsia" w:hAnsi="宋体"/>
          <w:sz w:val="21"/>
          <w:szCs w:val="21"/>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rPr>
      </w:pPr>
      <w:r>
        <w:rPr>
          <w:rFonts w:hint="eastAsia" w:hAnsi="宋体"/>
          <w:sz w:val="21"/>
          <w:szCs w:val="21"/>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rPr>
      </w:pPr>
      <w:r>
        <w:rPr>
          <w:rFonts w:hint="eastAsia" w:hAnsi="宋体"/>
          <w:sz w:val="21"/>
          <w:szCs w:val="21"/>
        </w:rPr>
        <w:t>1.3当分项之和与总价不一致时，以单价为准，并修正总价。</w:t>
      </w:r>
    </w:p>
    <w:p>
      <w:pPr>
        <w:tabs>
          <w:tab w:val="left" w:pos="1365"/>
        </w:tabs>
        <w:spacing w:line="360" w:lineRule="auto"/>
        <w:ind w:firstLine="420" w:firstLineChars="200"/>
        <w:rPr>
          <w:rFonts w:hAnsi="宋体"/>
          <w:sz w:val="21"/>
          <w:szCs w:val="21"/>
        </w:rPr>
      </w:pPr>
      <w:r>
        <w:rPr>
          <w:rFonts w:hint="eastAsia" w:hAnsi="宋体"/>
          <w:sz w:val="21"/>
          <w:szCs w:val="21"/>
        </w:rPr>
        <w:t>2.价格评分：</w:t>
      </w:r>
    </w:p>
    <w:p>
      <w:pPr>
        <w:spacing w:line="360" w:lineRule="auto"/>
        <w:ind w:firstLine="420" w:firstLineChars="200"/>
        <w:rPr>
          <w:rFonts w:hAnsi="宋体"/>
          <w:sz w:val="21"/>
          <w:szCs w:val="21"/>
        </w:rPr>
      </w:pPr>
      <w:r>
        <w:rPr>
          <w:rFonts w:hint="eastAsia" w:hAnsi="宋体"/>
          <w:sz w:val="21"/>
          <w:szCs w:val="21"/>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szCs w:val="21"/>
        </w:rPr>
      </w:pPr>
    </w:p>
    <w:p>
      <w:pPr>
        <w:pStyle w:val="28"/>
        <w:tabs>
          <w:tab w:val="left" w:pos="1365"/>
        </w:tabs>
        <w:spacing w:line="360" w:lineRule="auto"/>
        <w:ind w:left="16" w:firstLine="422" w:firstLineChars="200"/>
        <w:rPr>
          <w:rFonts w:hAnsi="宋体"/>
          <w:b/>
          <w:szCs w:val="21"/>
        </w:rPr>
      </w:pPr>
      <w:r>
        <w:rPr>
          <w:rFonts w:hint="eastAsia" w:hAnsi="宋体"/>
          <w:b/>
          <w:szCs w:val="21"/>
        </w:rPr>
        <w:t>七、综合得分的计算</w:t>
      </w:r>
    </w:p>
    <w:p>
      <w:pPr>
        <w:spacing w:line="360" w:lineRule="auto"/>
        <w:ind w:firstLine="420" w:firstLineChars="200"/>
        <w:rPr>
          <w:rFonts w:hAnsi="宋体"/>
          <w:sz w:val="21"/>
          <w:szCs w:val="21"/>
        </w:rPr>
      </w:pPr>
      <w:r>
        <w:rPr>
          <w:rFonts w:hint="eastAsia" w:hAnsi="宋体"/>
          <w:sz w:val="21"/>
          <w:szCs w:val="21"/>
        </w:rPr>
        <w:t>1.综合得分=技术评审得分+商务评审得分+磋商报价得分。</w:t>
      </w:r>
    </w:p>
    <w:p>
      <w:pPr>
        <w:spacing w:line="360" w:lineRule="auto"/>
        <w:ind w:firstLine="420" w:firstLineChars="200"/>
        <w:rPr>
          <w:rFonts w:hAnsi="宋体"/>
          <w:sz w:val="21"/>
          <w:szCs w:val="21"/>
        </w:rPr>
      </w:pPr>
      <w:r>
        <w:rPr>
          <w:rFonts w:hint="eastAsia" w:hAnsi="宋体"/>
          <w:sz w:val="21"/>
          <w:szCs w:val="21"/>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lang w:val="zh-CN"/>
        </w:rPr>
      </w:pPr>
    </w:p>
    <w:p>
      <w:pPr>
        <w:pStyle w:val="3"/>
        <w:keepNext/>
        <w:keepLines/>
        <w:pageBreakBefore/>
        <w:numPr>
          <w:ilvl w:val="0"/>
          <w:numId w:val="16"/>
        </w:numPr>
        <w:spacing w:line="360" w:lineRule="auto"/>
        <w:jc w:val="center"/>
        <w:rPr>
          <w:rFonts w:hAnsi="宋体"/>
          <w:b/>
          <w:bCs/>
        </w:rPr>
      </w:pPr>
      <w:bookmarkStart w:id="146" w:name="_Toc15636"/>
      <w:r>
        <w:rPr>
          <w:rFonts w:hint="eastAsia" w:hAnsi="宋体"/>
          <w:b/>
          <w:bCs/>
          <w:kern w:val="44"/>
          <w:sz w:val="28"/>
          <w:szCs w:val="28"/>
          <w:lang w:val="zh-CN"/>
        </w:rPr>
        <w:t>合同条款格式</w:t>
      </w:r>
      <w:bookmarkEnd w:id="146"/>
    </w:p>
    <w:p>
      <w:pPr>
        <w:spacing w:line="360" w:lineRule="auto"/>
        <w:ind w:firstLine="7722" w:firstLineChars="3205"/>
        <w:rPr>
          <w:szCs w:val="14"/>
        </w:rPr>
      </w:pPr>
      <w:r>
        <w:rPr>
          <w:rFonts w:hint="eastAsia"/>
          <w:b/>
          <w:bCs/>
          <w:szCs w:val="14"/>
        </w:rPr>
        <w:t>合同号：</w:t>
      </w:r>
    </w:p>
    <w:p>
      <w:pPr>
        <w:spacing w:line="360" w:lineRule="auto"/>
        <w:jc w:val="center"/>
        <w:rPr>
          <w:rFonts w:ascii="黑体" w:eastAsia="黑体"/>
          <w:bCs/>
          <w:sz w:val="18"/>
          <w:szCs w:val="18"/>
        </w:rPr>
      </w:pPr>
      <w:r>
        <w:rPr>
          <w:rFonts w:hint="eastAsia" w:ascii="黑体" w:eastAsia="黑体"/>
          <w:b/>
          <w:bCs/>
          <w:sz w:val="32"/>
          <w:szCs w:val="32"/>
        </w:rPr>
        <w:t>旗云花园销售法律服务合同</w:t>
      </w:r>
    </w:p>
    <w:p>
      <w:pPr>
        <w:spacing w:line="360" w:lineRule="auto"/>
        <w:jc w:val="center"/>
        <w:rPr>
          <w:rFonts w:ascii="黑体" w:eastAsia="黑体"/>
          <w:bCs/>
          <w:sz w:val="18"/>
          <w:szCs w:val="18"/>
        </w:rPr>
      </w:pPr>
    </w:p>
    <w:p>
      <w:pPr>
        <w:snapToGrid w:val="0"/>
        <w:spacing w:line="360" w:lineRule="auto"/>
        <w:rPr>
          <w:szCs w:val="21"/>
        </w:rPr>
      </w:pPr>
      <w:r>
        <w:rPr>
          <w:rFonts w:hint="eastAsia"/>
          <w:szCs w:val="14"/>
        </w:rPr>
        <w:t>甲方：</w:t>
      </w:r>
    </w:p>
    <w:p>
      <w:pPr>
        <w:snapToGrid w:val="0"/>
        <w:spacing w:line="360" w:lineRule="auto"/>
        <w:rPr>
          <w:szCs w:val="21"/>
        </w:rPr>
      </w:pPr>
      <w:r>
        <w:rPr>
          <w:rFonts w:hint="eastAsia"/>
          <w:bCs/>
          <w:szCs w:val="21"/>
        </w:rPr>
        <w:t>地    址：</w:t>
      </w:r>
    </w:p>
    <w:p>
      <w:pPr>
        <w:snapToGrid w:val="0"/>
        <w:spacing w:line="360" w:lineRule="auto"/>
        <w:rPr>
          <w:szCs w:val="14"/>
        </w:rPr>
      </w:pPr>
      <w:r>
        <w:rPr>
          <w:rFonts w:hint="eastAsia"/>
          <w:szCs w:val="14"/>
        </w:rPr>
        <w:t>乙方</w:t>
      </w:r>
      <w:r>
        <w:rPr>
          <w:rFonts w:hint="eastAsia"/>
          <w:szCs w:val="21"/>
        </w:rPr>
        <w:t>：</w:t>
      </w:r>
    </w:p>
    <w:p>
      <w:pPr>
        <w:snapToGrid w:val="0"/>
        <w:spacing w:line="360" w:lineRule="auto"/>
        <w:rPr>
          <w:szCs w:val="21"/>
        </w:rPr>
      </w:pPr>
      <w:r>
        <w:rPr>
          <w:rFonts w:hint="eastAsia"/>
          <w:szCs w:val="14"/>
        </w:rPr>
        <w:t>地址</w:t>
      </w:r>
      <w:r>
        <w:rPr>
          <w:rFonts w:hint="eastAsia"/>
          <w:szCs w:val="21"/>
        </w:rPr>
        <w:t>：</w:t>
      </w:r>
    </w:p>
    <w:p>
      <w:pPr>
        <w:tabs>
          <w:tab w:val="left" w:pos="0"/>
        </w:tabs>
        <w:spacing w:line="360" w:lineRule="auto"/>
        <w:ind w:firstLine="600" w:firstLineChars="250"/>
        <w:rPr>
          <w:bCs/>
          <w:szCs w:val="14"/>
        </w:rPr>
      </w:pPr>
      <w:r>
        <w:rPr>
          <w:rFonts w:hint="eastAsia"/>
          <w:bCs/>
          <w:szCs w:val="14"/>
        </w:rPr>
        <w:t>甲方就属下项目与商品房买卖合同有关的事宜，聘请乙方为其提供法律服务，双方经过协商，达成协议如下：</w:t>
      </w:r>
    </w:p>
    <w:p>
      <w:pPr>
        <w:numPr>
          <w:ilvl w:val="0"/>
          <w:numId w:val="18"/>
        </w:numPr>
        <w:tabs>
          <w:tab w:val="left" w:pos="0"/>
        </w:tabs>
        <w:spacing w:line="360" w:lineRule="auto"/>
        <w:rPr>
          <w:b/>
          <w:bCs/>
          <w:szCs w:val="14"/>
        </w:rPr>
      </w:pPr>
      <w:r>
        <w:rPr>
          <w:rFonts w:hint="eastAsia"/>
          <w:b/>
          <w:bCs/>
          <w:szCs w:val="14"/>
        </w:rPr>
        <w:t>合作事项</w:t>
      </w:r>
    </w:p>
    <w:p>
      <w:pPr>
        <w:tabs>
          <w:tab w:val="left" w:pos="0"/>
        </w:tabs>
        <w:spacing w:line="360" w:lineRule="auto"/>
        <w:rPr>
          <w:bCs/>
          <w:szCs w:val="14"/>
        </w:rPr>
      </w:pPr>
      <w:r>
        <w:rPr>
          <w:rFonts w:hint="eastAsia"/>
          <w:bCs/>
          <w:szCs w:val="14"/>
        </w:rPr>
        <w:t>（一）乙方接受甲方委托，在甲方指定的东莞</w:t>
      </w:r>
      <w:r>
        <w:rPr>
          <w:rFonts w:hint="eastAsia"/>
          <w:b/>
          <w:szCs w:val="14"/>
          <w:u w:val="single"/>
        </w:rPr>
        <w:t>旗云花园</w:t>
      </w:r>
      <w:r>
        <w:rPr>
          <w:rFonts w:hint="eastAsia"/>
          <w:bCs/>
          <w:szCs w:val="14"/>
        </w:rPr>
        <w:t>项目签约现场派驻每个项目不少于2名工作人员（工作人员有人休息时须安排相应人员跟进），为甲方属下项目的商品房买卖合同有关事宜提供法律服务，并根据业务的需要，在签约高峰期保证工作人员的充足性（具体人员安排可根据销售进度、甲方要求及时调整）。</w:t>
      </w:r>
    </w:p>
    <w:p>
      <w:pPr>
        <w:tabs>
          <w:tab w:val="left" w:pos="0"/>
        </w:tabs>
        <w:spacing w:line="360" w:lineRule="auto"/>
        <w:rPr>
          <w:bCs/>
          <w:szCs w:val="14"/>
        </w:rPr>
      </w:pPr>
      <w:r>
        <w:rPr>
          <w:rFonts w:hint="eastAsia"/>
          <w:bCs/>
          <w:szCs w:val="14"/>
        </w:rPr>
        <w:t>（二）乙方提供法律服务的期间为：自本协议生效之日起至【】年【】月【】日止。</w:t>
      </w:r>
    </w:p>
    <w:p>
      <w:pPr>
        <w:tabs>
          <w:tab w:val="left" w:pos="0"/>
        </w:tabs>
        <w:spacing w:line="360" w:lineRule="auto"/>
        <w:rPr>
          <w:b/>
          <w:bCs/>
          <w:szCs w:val="14"/>
        </w:rPr>
      </w:pPr>
      <w:r>
        <w:rPr>
          <w:rFonts w:hint="eastAsia"/>
          <w:b/>
          <w:bCs/>
          <w:szCs w:val="14"/>
        </w:rPr>
        <w:t>二、乙方提供法律服务的范围与要求</w:t>
      </w:r>
    </w:p>
    <w:p>
      <w:pPr>
        <w:tabs>
          <w:tab w:val="left" w:pos="0"/>
        </w:tabs>
        <w:spacing w:line="360" w:lineRule="auto"/>
        <w:rPr>
          <w:bCs/>
          <w:szCs w:val="14"/>
        </w:rPr>
      </w:pPr>
      <w:r>
        <w:rPr>
          <w:rFonts w:hint="eastAsia"/>
          <w:bCs/>
          <w:szCs w:val="14"/>
        </w:rPr>
        <w:t>（一）销售前期</w:t>
      </w:r>
    </w:p>
    <w:p>
      <w:pPr>
        <w:numPr>
          <w:ilvl w:val="255"/>
          <w:numId w:val="0"/>
        </w:numPr>
        <w:tabs>
          <w:tab w:val="left" w:pos="-2977"/>
        </w:tabs>
        <w:spacing w:line="360" w:lineRule="auto"/>
        <w:ind w:firstLine="480" w:firstLineChars="200"/>
        <w:rPr>
          <w:bCs/>
          <w:szCs w:val="14"/>
        </w:rPr>
      </w:pPr>
      <w:r>
        <w:rPr>
          <w:rFonts w:hint="eastAsia"/>
          <w:bCs/>
          <w:szCs w:val="14"/>
        </w:rPr>
        <w:t>1、代为修改、审核《认购书》、《商品房买卖合同》及补充协议、《前期物业服务协议》、《业主临时公约》等相关销售资料。开售前期销售培训，包括认购和签约注意事项、沟通机制、商品房买卖合同及合同补充协议解读（重点）、相关法律法规、案例分析等等。</w:t>
      </w:r>
    </w:p>
    <w:p>
      <w:pPr>
        <w:numPr>
          <w:ilvl w:val="255"/>
          <w:numId w:val="0"/>
        </w:numPr>
        <w:tabs>
          <w:tab w:val="left" w:pos="-2977"/>
        </w:tabs>
        <w:spacing w:line="360" w:lineRule="auto"/>
        <w:ind w:firstLine="480" w:firstLineChars="200"/>
        <w:rPr>
          <w:bCs/>
          <w:szCs w:val="14"/>
        </w:rPr>
      </w:pPr>
      <w:r>
        <w:rPr>
          <w:rFonts w:hint="eastAsia"/>
          <w:bCs/>
          <w:szCs w:val="14"/>
        </w:rPr>
        <w:t>2、开售前驻项目签约人员的进场，确定具体的签约流程、认购和签约资料的准备、签约设备、网上系统的申报、安装、调试等。</w:t>
      </w:r>
    </w:p>
    <w:p>
      <w:pPr>
        <w:numPr>
          <w:ilvl w:val="255"/>
          <w:numId w:val="0"/>
        </w:numPr>
        <w:tabs>
          <w:tab w:val="left" w:pos="0"/>
          <w:tab w:val="left" w:pos="900"/>
        </w:tabs>
        <w:spacing w:line="360" w:lineRule="auto"/>
        <w:ind w:firstLine="480" w:firstLineChars="200"/>
        <w:rPr>
          <w:bCs/>
          <w:szCs w:val="14"/>
        </w:rPr>
      </w:pPr>
      <w:r>
        <w:rPr>
          <w:rFonts w:hint="eastAsia"/>
          <w:bCs/>
          <w:szCs w:val="14"/>
        </w:rPr>
        <w:t>3、更新、维护现场公示栏、公示台资料和协助《商品房销售价格》物价局备案后的公示。</w:t>
      </w:r>
    </w:p>
    <w:p>
      <w:pPr>
        <w:numPr>
          <w:ilvl w:val="255"/>
          <w:numId w:val="0"/>
        </w:numPr>
        <w:tabs>
          <w:tab w:val="left" w:pos="0"/>
          <w:tab w:val="left" w:pos="900"/>
        </w:tabs>
        <w:spacing w:line="360" w:lineRule="auto"/>
        <w:ind w:firstLine="480" w:firstLineChars="200"/>
        <w:rPr>
          <w:bCs/>
          <w:szCs w:val="14"/>
        </w:rPr>
      </w:pPr>
      <w:r>
        <w:rPr>
          <w:rFonts w:hint="eastAsia"/>
          <w:bCs/>
          <w:szCs w:val="14"/>
        </w:rPr>
        <w:t>4、为甲方提供关于商品房销售的法律咨询。</w:t>
      </w:r>
    </w:p>
    <w:p>
      <w:pPr>
        <w:numPr>
          <w:ilvl w:val="255"/>
          <w:numId w:val="0"/>
        </w:numPr>
        <w:tabs>
          <w:tab w:val="left" w:pos="0"/>
          <w:tab w:val="left" w:pos="900"/>
        </w:tabs>
        <w:spacing w:line="360" w:lineRule="auto"/>
        <w:ind w:firstLine="480" w:firstLineChars="200"/>
        <w:rPr>
          <w:bCs/>
          <w:szCs w:val="14"/>
        </w:rPr>
      </w:pPr>
      <w:r>
        <w:rPr>
          <w:rFonts w:hint="eastAsia"/>
          <w:bCs/>
          <w:szCs w:val="14"/>
        </w:rPr>
        <w:t>5、协助甲方办理预售许可证和签约建档手续。</w:t>
      </w:r>
    </w:p>
    <w:p>
      <w:pPr>
        <w:tabs>
          <w:tab w:val="left" w:pos="0"/>
        </w:tabs>
        <w:spacing w:line="360" w:lineRule="auto"/>
        <w:rPr>
          <w:bCs/>
          <w:szCs w:val="14"/>
        </w:rPr>
      </w:pPr>
      <w:r>
        <w:rPr>
          <w:rFonts w:hint="eastAsia"/>
          <w:bCs/>
          <w:szCs w:val="14"/>
        </w:rPr>
        <w:t>（二）商品房买卖合同的签约与备案</w:t>
      </w:r>
    </w:p>
    <w:p>
      <w:pPr>
        <w:numPr>
          <w:ilvl w:val="255"/>
          <w:numId w:val="0"/>
        </w:numPr>
        <w:tabs>
          <w:tab w:val="left" w:pos="-2268"/>
        </w:tabs>
        <w:spacing w:line="360" w:lineRule="auto"/>
        <w:ind w:left="2" w:leftChars="1" w:firstLine="480" w:firstLineChars="200"/>
        <w:rPr>
          <w:bCs/>
          <w:szCs w:val="14"/>
        </w:rPr>
      </w:pPr>
      <w:r>
        <w:rPr>
          <w:rFonts w:hint="eastAsia"/>
          <w:bCs/>
          <w:szCs w:val="14"/>
        </w:rPr>
        <w:t>1、负责向购房者解答有关签订《认购书》（含资料归档）及《认购书补充协议》、《商品房买卖合同》及补充协议、《前期物业服务协议》、《业主临时公约》等的法律咨询及文件。</w:t>
      </w:r>
    </w:p>
    <w:p>
      <w:pPr>
        <w:numPr>
          <w:ilvl w:val="255"/>
          <w:numId w:val="0"/>
        </w:numPr>
        <w:tabs>
          <w:tab w:val="left" w:pos="0"/>
        </w:tabs>
        <w:spacing w:line="360" w:lineRule="auto"/>
        <w:ind w:left="2" w:leftChars="1" w:firstLine="480" w:firstLineChars="200"/>
        <w:rPr>
          <w:bCs/>
          <w:szCs w:val="14"/>
        </w:rPr>
      </w:pPr>
      <w:r>
        <w:rPr>
          <w:rFonts w:hint="eastAsia"/>
          <w:bCs/>
          <w:szCs w:val="14"/>
        </w:rPr>
        <w:t>2、负责审查购房者身份证明资料与签约资格，网上录入并指导购房者签订房地产交易网的《商品房认购书》、认购书补充协议及相关销售资料，解释有关条款。</w:t>
      </w:r>
    </w:p>
    <w:p>
      <w:pPr>
        <w:numPr>
          <w:ilvl w:val="255"/>
          <w:numId w:val="0"/>
        </w:numPr>
        <w:tabs>
          <w:tab w:val="left" w:pos="0"/>
        </w:tabs>
        <w:spacing w:line="360" w:lineRule="auto"/>
        <w:ind w:left="2" w:leftChars="1" w:firstLine="480" w:firstLineChars="200"/>
        <w:rPr>
          <w:bCs/>
          <w:szCs w:val="14"/>
        </w:rPr>
      </w:pPr>
      <w:r>
        <w:rPr>
          <w:rFonts w:hint="eastAsia"/>
          <w:bCs/>
          <w:szCs w:val="14"/>
        </w:rPr>
        <w:t>3、负责填写、网上录入并指导购房者书面签订《商品房买卖合同》及补充协议、《前期物业服务协议》、《业主临时公约》，并向购房者解释有关条款。</w:t>
      </w:r>
    </w:p>
    <w:p>
      <w:pPr>
        <w:numPr>
          <w:ilvl w:val="255"/>
          <w:numId w:val="0"/>
        </w:numPr>
        <w:tabs>
          <w:tab w:val="left" w:pos="0"/>
        </w:tabs>
        <w:spacing w:line="360" w:lineRule="auto"/>
        <w:ind w:left="2" w:leftChars="1" w:firstLine="480" w:firstLineChars="200"/>
        <w:rPr>
          <w:bCs/>
          <w:szCs w:val="14"/>
        </w:rPr>
      </w:pPr>
      <w:r>
        <w:rPr>
          <w:rFonts w:hint="eastAsia"/>
          <w:bCs/>
          <w:szCs w:val="14"/>
        </w:rPr>
        <w:t>4、审查合同的签订是否完整、规范、有效，并按规定加盖甲方的公章、法人章。</w:t>
      </w:r>
    </w:p>
    <w:p>
      <w:pPr>
        <w:numPr>
          <w:ilvl w:val="255"/>
          <w:numId w:val="0"/>
        </w:numPr>
        <w:tabs>
          <w:tab w:val="left" w:pos="0"/>
        </w:tabs>
        <w:spacing w:line="360" w:lineRule="auto"/>
        <w:ind w:left="2" w:leftChars="1" w:firstLine="480" w:firstLineChars="200"/>
        <w:rPr>
          <w:bCs/>
          <w:szCs w:val="14"/>
        </w:rPr>
      </w:pPr>
      <w:r>
        <w:rPr>
          <w:rFonts w:hint="eastAsia"/>
          <w:bCs/>
          <w:szCs w:val="14"/>
        </w:rPr>
        <w:t>5、负责代理甲方委托的《商品房买卖合同》登记备案手续，并按项目所在地房管部门的要求做好相关备案手续的工作，直至取回已备案的合同，通知购房者领取《商品房买卖合同》，或与银行进行合同、抵押资料交接手续及办理合同变更、注销相关业务。</w:t>
      </w:r>
    </w:p>
    <w:p>
      <w:pPr>
        <w:numPr>
          <w:ilvl w:val="255"/>
          <w:numId w:val="0"/>
        </w:numPr>
        <w:tabs>
          <w:tab w:val="left" w:pos="0"/>
        </w:tabs>
        <w:spacing w:line="360" w:lineRule="auto"/>
        <w:ind w:left="2" w:leftChars="1" w:firstLine="480" w:firstLineChars="200"/>
        <w:rPr>
          <w:bCs/>
          <w:szCs w:val="14"/>
        </w:rPr>
      </w:pPr>
      <w:r>
        <w:rPr>
          <w:rFonts w:hint="eastAsia"/>
          <w:bCs/>
          <w:szCs w:val="14"/>
        </w:rPr>
        <w:t>6、协助购房者办理物业维修基金或契税的缴交、变更或退还手续，办理物业基金或契税的电话催交或书面催交通知书，协助银行按揭所须资料的催交，完善资料提交按揭银行进行合同备案。</w:t>
      </w:r>
    </w:p>
    <w:p>
      <w:pPr>
        <w:numPr>
          <w:ilvl w:val="255"/>
          <w:numId w:val="0"/>
        </w:numPr>
        <w:tabs>
          <w:tab w:val="left" w:pos="0"/>
        </w:tabs>
        <w:spacing w:line="360" w:lineRule="auto"/>
        <w:ind w:left="2" w:leftChars="1" w:firstLine="480" w:firstLineChars="200"/>
        <w:rPr>
          <w:bCs/>
          <w:szCs w:val="14"/>
        </w:rPr>
      </w:pPr>
      <w:r>
        <w:rPr>
          <w:rFonts w:hint="eastAsia"/>
          <w:bCs/>
          <w:szCs w:val="14"/>
        </w:rPr>
        <w:t>7、负责涉外身份的购房者（含港、澳、台、外籍人士）办理合同公证手续。</w:t>
      </w:r>
    </w:p>
    <w:p>
      <w:pPr>
        <w:numPr>
          <w:ilvl w:val="255"/>
          <w:numId w:val="0"/>
        </w:numPr>
        <w:tabs>
          <w:tab w:val="left" w:pos="0"/>
        </w:tabs>
        <w:spacing w:line="360" w:lineRule="auto"/>
        <w:ind w:left="2" w:leftChars="1" w:firstLine="480" w:firstLineChars="200"/>
        <w:rPr>
          <w:bCs/>
          <w:szCs w:val="14"/>
        </w:rPr>
      </w:pPr>
      <w:r>
        <w:rPr>
          <w:rFonts w:hint="eastAsia"/>
          <w:bCs/>
          <w:szCs w:val="14"/>
        </w:rPr>
        <w:t>8、负责关于合同注销备案（含合同注销公证）手续、合同变更的其他事项等手续。</w:t>
      </w:r>
    </w:p>
    <w:p>
      <w:pPr>
        <w:numPr>
          <w:ilvl w:val="255"/>
          <w:numId w:val="0"/>
        </w:numPr>
        <w:tabs>
          <w:tab w:val="left" w:pos="0"/>
        </w:tabs>
        <w:spacing w:line="360" w:lineRule="auto"/>
        <w:ind w:left="2" w:leftChars="1" w:firstLine="480" w:firstLineChars="200"/>
        <w:rPr>
          <w:bCs/>
          <w:szCs w:val="14"/>
        </w:rPr>
      </w:pPr>
      <w:r>
        <w:rPr>
          <w:rFonts w:hint="eastAsia"/>
          <w:bCs/>
          <w:szCs w:val="14"/>
        </w:rPr>
        <w:t>9、负责甲方销售系统的录入、更新。</w:t>
      </w:r>
    </w:p>
    <w:p>
      <w:pPr>
        <w:numPr>
          <w:ilvl w:val="255"/>
          <w:numId w:val="0"/>
        </w:numPr>
        <w:tabs>
          <w:tab w:val="left" w:pos="0"/>
        </w:tabs>
        <w:spacing w:line="360" w:lineRule="auto"/>
        <w:ind w:left="2" w:leftChars="1" w:firstLine="480" w:firstLineChars="200"/>
        <w:rPr>
          <w:bCs/>
          <w:szCs w:val="14"/>
        </w:rPr>
      </w:pPr>
      <w:r>
        <w:rPr>
          <w:rFonts w:hint="eastAsia"/>
          <w:bCs/>
          <w:szCs w:val="14"/>
        </w:rPr>
        <w:t>10、处理由签订合同引起的客户投诉。</w:t>
      </w:r>
    </w:p>
    <w:p>
      <w:pPr>
        <w:tabs>
          <w:tab w:val="left" w:pos="0"/>
        </w:tabs>
        <w:spacing w:line="360" w:lineRule="auto"/>
        <w:rPr>
          <w:bCs/>
          <w:szCs w:val="14"/>
        </w:rPr>
      </w:pPr>
      <w:r>
        <w:rPr>
          <w:rFonts w:hint="eastAsia"/>
          <w:bCs/>
          <w:szCs w:val="14"/>
        </w:rPr>
        <w:t>（三）档案管理及其它事务工作</w:t>
      </w:r>
    </w:p>
    <w:p>
      <w:pPr>
        <w:numPr>
          <w:ilvl w:val="255"/>
          <w:numId w:val="0"/>
        </w:numPr>
        <w:tabs>
          <w:tab w:val="left" w:pos="-2977"/>
        </w:tabs>
        <w:spacing w:line="360" w:lineRule="auto"/>
        <w:ind w:left="5" w:leftChars="2" w:firstLine="480" w:firstLineChars="200"/>
        <w:rPr>
          <w:bCs/>
          <w:szCs w:val="14"/>
        </w:rPr>
      </w:pPr>
      <w:r>
        <w:rPr>
          <w:rFonts w:hint="eastAsia"/>
          <w:bCs/>
          <w:szCs w:val="14"/>
        </w:rPr>
        <w:t>1、代理购房者办理房地产权证、国有土地使用证等相关工作（办证通知书的打印、邮寄或电话通知及销售系统的录入更新）。</w:t>
      </w:r>
    </w:p>
    <w:p>
      <w:pPr>
        <w:numPr>
          <w:ilvl w:val="255"/>
          <w:numId w:val="0"/>
        </w:numPr>
        <w:tabs>
          <w:tab w:val="left" w:pos="-2977"/>
        </w:tabs>
        <w:spacing w:line="360" w:lineRule="auto"/>
        <w:ind w:left="5" w:leftChars="2" w:firstLine="480" w:firstLineChars="200"/>
        <w:rPr>
          <w:bCs/>
          <w:szCs w:val="14"/>
        </w:rPr>
      </w:pPr>
      <w:r>
        <w:rPr>
          <w:rFonts w:hint="eastAsia"/>
          <w:bCs/>
          <w:szCs w:val="14"/>
        </w:rPr>
        <w:t>2、协助在甲方ERP销售系统中录入入伙服务与产权服务及面积补差的客户资料，保证销售系统资料的完整性。</w:t>
      </w:r>
    </w:p>
    <w:p>
      <w:pPr>
        <w:numPr>
          <w:ilvl w:val="255"/>
          <w:numId w:val="0"/>
        </w:numPr>
        <w:tabs>
          <w:tab w:val="left" w:pos="-2977"/>
        </w:tabs>
        <w:spacing w:line="360" w:lineRule="auto"/>
        <w:ind w:left="5" w:leftChars="2" w:firstLine="480" w:firstLineChars="200"/>
        <w:rPr>
          <w:bCs/>
          <w:szCs w:val="14"/>
        </w:rPr>
      </w:pPr>
      <w:r>
        <w:rPr>
          <w:rFonts w:hint="eastAsia"/>
          <w:bCs/>
          <w:szCs w:val="14"/>
        </w:rPr>
        <w:t>3、购房者客户档案资料以及客户各类变更、折扣等审批单的整理、归档工作，并按甲方要求定时移交相关档案资料。</w:t>
      </w:r>
    </w:p>
    <w:p>
      <w:pPr>
        <w:numPr>
          <w:ilvl w:val="255"/>
          <w:numId w:val="0"/>
        </w:numPr>
        <w:tabs>
          <w:tab w:val="left" w:pos="-2977"/>
        </w:tabs>
        <w:spacing w:line="360" w:lineRule="auto"/>
        <w:ind w:left="5" w:leftChars="2" w:firstLine="480" w:firstLineChars="200"/>
        <w:rPr>
          <w:bCs/>
          <w:szCs w:val="14"/>
        </w:rPr>
      </w:pPr>
      <w:r>
        <w:rPr>
          <w:rFonts w:hint="eastAsia"/>
          <w:bCs/>
          <w:szCs w:val="14"/>
        </w:rPr>
        <w:t>4、按甲方要求及时报送相关报表、协助甲方处理日常事务工作。</w:t>
      </w:r>
    </w:p>
    <w:p>
      <w:pPr>
        <w:numPr>
          <w:ilvl w:val="255"/>
          <w:numId w:val="0"/>
        </w:numPr>
        <w:tabs>
          <w:tab w:val="left" w:pos="-2977"/>
        </w:tabs>
        <w:spacing w:line="360" w:lineRule="auto"/>
        <w:ind w:left="5" w:leftChars="2" w:firstLine="480" w:firstLineChars="200"/>
        <w:rPr>
          <w:bCs/>
          <w:szCs w:val="14"/>
        </w:rPr>
      </w:pPr>
      <w:r>
        <w:rPr>
          <w:rFonts w:hint="eastAsia"/>
          <w:bCs/>
          <w:szCs w:val="14"/>
        </w:rPr>
        <w:t>5、协助处理相关交付、办证纠纷。如涉及诉讼、仲裁的，另行协商委托代理事宜。</w:t>
      </w:r>
    </w:p>
    <w:p>
      <w:pPr>
        <w:numPr>
          <w:ilvl w:val="255"/>
          <w:numId w:val="0"/>
        </w:numPr>
        <w:tabs>
          <w:tab w:val="left" w:pos="-2977"/>
        </w:tabs>
        <w:spacing w:line="360" w:lineRule="auto"/>
        <w:ind w:left="5" w:leftChars="2" w:firstLine="480" w:firstLineChars="200"/>
        <w:rPr>
          <w:bCs/>
          <w:szCs w:val="14"/>
        </w:rPr>
      </w:pPr>
      <w:r>
        <w:rPr>
          <w:rFonts w:hint="eastAsia"/>
          <w:bCs/>
          <w:szCs w:val="14"/>
        </w:rPr>
        <w:t>6、按政府或建设局、房管、物价部门的要求做好销售现场的资料公示的整理。</w:t>
      </w:r>
    </w:p>
    <w:p>
      <w:pPr>
        <w:numPr>
          <w:ilvl w:val="255"/>
          <w:numId w:val="0"/>
        </w:numPr>
        <w:tabs>
          <w:tab w:val="left" w:pos="-2977"/>
        </w:tabs>
        <w:spacing w:line="360" w:lineRule="auto"/>
        <w:ind w:left="5" w:leftChars="2" w:firstLine="480" w:firstLineChars="200"/>
        <w:rPr>
          <w:bCs/>
          <w:szCs w:val="14"/>
        </w:rPr>
      </w:pPr>
      <w:r>
        <w:rPr>
          <w:rFonts w:hint="eastAsia"/>
          <w:bCs/>
          <w:szCs w:val="14"/>
        </w:rPr>
        <w:t>7、在提供法律服务时，乙方收集客户所反映的有关商品房购买的信息，及时反馈给甲方，便于甲方对销售策略作相应的调整。</w:t>
      </w:r>
    </w:p>
    <w:p>
      <w:pPr>
        <w:numPr>
          <w:ilvl w:val="255"/>
          <w:numId w:val="0"/>
        </w:numPr>
        <w:tabs>
          <w:tab w:val="left" w:pos="-2977"/>
        </w:tabs>
        <w:spacing w:line="360" w:lineRule="auto"/>
        <w:ind w:left="5" w:leftChars="2" w:firstLine="480" w:firstLineChars="200"/>
        <w:rPr>
          <w:bCs/>
          <w:szCs w:val="14"/>
        </w:rPr>
      </w:pPr>
      <w:r>
        <w:rPr>
          <w:rFonts w:hint="eastAsia"/>
          <w:bCs/>
          <w:szCs w:val="14"/>
        </w:rPr>
        <w:t>8、房产单元按商品房买卖合同规定有面积误差的，乙方协助甲方财务部处理客户面积误差的相关工作。</w:t>
      </w:r>
    </w:p>
    <w:p>
      <w:pPr>
        <w:tabs>
          <w:tab w:val="left" w:pos="-1985"/>
        </w:tabs>
        <w:spacing w:line="360" w:lineRule="auto"/>
        <w:ind w:left="648" w:hanging="648" w:hangingChars="270"/>
        <w:rPr>
          <w:bCs/>
          <w:szCs w:val="14"/>
        </w:rPr>
      </w:pPr>
      <w:r>
        <w:rPr>
          <w:rFonts w:hint="eastAsia"/>
          <w:bCs/>
          <w:szCs w:val="14"/>
        </w:rPr>
        <w:t>（四）办理《房地产权证》（含《国有土地使用权证》），及代出证部门收取相关税费（契税与物业维修基金除外）</w:t>
      </w:r>
    </w:p>
    <w:p>
      <w:pPr>
        <w:numPr>
          <w:ilvl w:val="255"/>
          <w:numId w:val="0"/>
        </w:numPr>
        <w:tabs>
          <w:tab w:val="left" w:pos="-1843"/>
        </w:tabs>
        <w:spacing w:line="360" w:lineRule="auto"/>
        <w:ind w:left="2" w:leftChars="1" w:firstLine="480" w:firstLineChars="200"/>
        <w:rPr>
          <w:bCs/>
          <w:szCs w:val="14"/>
        </w:rPr>
      </w:pPr>
      <w:r>
        <w:rPr>
          <w:rFonts w:hint="eastAsia"/>
          <w:bCs/>
          <w:szCs w:val="14"/>
        </w:rPr>
        <w:t>1、邮寄办证通知书或以电话形式方式通知购房者办理《房地产权证》（按商品房买卖合同约定的办证期限），整理邮寄回执按要求进行归档。</w:t>
      </w:r>
    </w:p>
    <w:p>
      <w:pPr>
        <w:numPr>
          <w:ilvl w:val="255"/>
          <w:numId w:val="0"/>
        </w:numPr>
        <w:tabs>
          <w:tab w:val="left" w:pos="-1843"/>
        </w:tabs>
        <w:spacing w:line="360" w:lineRule="auto"/>
        <w:ind w:left="2" w:leftChars="1" w:firstLine="480" w:firstLineChars="200"/>
        <w:rPr>
          <w:bCs/>
          <w:szCs w:val="14"/>
        </w:rPr>
      </w:pPr>
      <w:r>
        <w:rPr>
          <w:rFonts w:hint="eastAsia"/>
          <w:bCs/>
          <w:szCs w:val="14"/>
        </w:rPr>
        <w:t>2、审查办理《房地产权证》所提交的相关资料和文件是否齐全、有效。</w:t>
      </w:r>
    </w:p>
    <w:p>
      <w:pPr>
        <w:numPr>
          <w:ilvl w:val="255"/>
          <w:numId w:val="0"/>
        </w:numPr>
        <w:tabs>
          <w:tab w:val="left" w:pos="-1843"/>
        </w:tabs>
        <w:spacing w:line="360" w:lineRule="auto"/>
        <w:ind w:left="2" w:leftChars="1" w:firstLine="480" w:firstLineChars="200"/>
        <w:rPr>
          <w:bCs/>
          <w:szCs w:val="14"/>
        </w:rPr>
      </w:pPr>
      <w:r>
        <w:rPr>
          <w:rFonts w:hint="eastAsia"/>
          <w:bCs/>
          <w:szCs w:val="14"/>
        </w:rPr>
        <w:t>3、填写办理《房地产权证》的相关资料。</w:t>
      </w:r>
    </w:p>
    <w:p>
      <w:pPr>
        <w:numPr>
          <w:ilvl w:val="255"/>
          <w:numId w:val="0"/>
        </w:numPr>
        <w:tabs>
          <w:tab w:val="left" w:pos="-1843"/>
        </w:tabs>
        <w:spacing w:line="360" w:lineRule="auto"/>
        <w:ind w:left="2" w:leftChars="1" w:firstLine="480" w:firstLineChars="200"/>
        <w:rPr>
          <w:bCs/>
          <w:szCs w:val="14"/>
        </w:rPr>
      </w:pPr>
      <w:r>
        <w:rPr>
          <w:rFonts w:hint="eastAsia"/>
          <w:bCs/>
          <w:szCs w:val="14"/>
        </w:rPr>
        <w:t>4、办理《房地产权证》登记手续，直至办妥出《房地产权证》为止及协助购房者领取《房地产权证》、催领通知手续。</w:t>
      </w:r>
    </w:p>
    <w:p>
      <w:pPr>
        <w:numPr>
          <w:ilvl w:val="255"/>
          <w:numId w:val="0"/>
        </w:numPr>
        <w:tabs>
          <w:tab w:val="left" w:pos="-1843"/>
        </w:tabs>
        <w:spacing w:line="360" w:lineRule="auto"/>
        <w:ind w:left="2" w:leftChars="1" w:firstLine="480" w:firstLineChars="200"/>
        <w:rPr>
          <w:bCs/>
          <w:szCs w:val="14"/>
        </w:rPr>
      </w:pPr>
      <w:r>
        <w:rPr>
          <w:rFonts w:hint="eastAsia"/>
          <w:bCs/>
          <w:szCs w:val="14"/>
        </w:rPr>
        <w:t>5、根据《商品房买卖合同》标的总金额计算，并向购房者开出办理房地产权证的相关税费，乙方保证计算、收款及开票的准确性和一致性。因金额、名称等错误造成房地产权证办理的延期等损失由乙方承担，同时由此引起甲方的损失由乙方承担。</w:t>
      </w:r>
    </w:p>
    <w:p>
      <w:pPr>
        <w:numPr>
          <w:ilvl w:val="255"/>
          <w:numId w:val="0"/>
        </w:numPr>
        <w:tabs>
          <w:tab w:val="left" w:pos="-1843"/>
        </w:tabs>
        <w:spacing w:line="360" w:lineRule="auto"/>
        <w:ind w:left="2" w:leftChars="1" w:firstLine="480" w:firstLineChars="200"/>
        <w:rPr>
          <w:bCs/>
          <w:szCs w:val="14"/>
        </w:rPr>
      </w:pPr>
      <w:r>
        <w:rPr>
          <w:rFonts w:hint="eastAsia"/>
          <w:bCs/>
          <w:szCs w:val="14"/>
        </w:rPr>
        <w:t>6、项目如须至各区地税部门以支票等形式代客户缴交契税，并通知客户领取契税发票(南海区项目可客户自行缴交)。</w:t>
      </w:r>
    </w:p>
    <w:p>
      <w:pPr>
        <w:numPr>
          <w:ilvl w:val="255"/>
          <w:numId w:val="0"/>
        </w:numPr>
        <w:tabs>
          <w:tab w:val="left" w:pos="-1843"/>
        </w:tabs>
        <w:spacing w:line="360" w:lineRule="auto"/>
        <w:ind w:left="2" w:leftChars="1" w:firstLine="480" w:firstLineChars="200"/>
        <w:rPr>
          <w:bCs/>
          <w:szCs w:val="14"/>
        </w:rPr>
      </w:pPr>
      <w:r>
        <w:rPr>
          <w:rFonts w:hint="eastAsia"/>
          <w:bCs/>
          <w:szCs w:val="14"/>
        </w:rPr>
        <w:t>7、乙方必须将所收取的款项准时存入甲方指定的银行账户或缴交给相关部门，并于收款三天内向甲方提供该客户的有效缴款凭证。因乙方过错造成合同备案、房地产权证办理的延误等损失由乙方承担。</w:t>
      </w:r>
    </w:p>
    <w:p>
      <w:pPr>
        <w:numPr>
          <w:ilvl w:val="255"/>
          <w:numId w:val="0"/>
        </w:numPr>
        <w:tabs>
          <w:tab w:val="left" w:pos="-1843"/>
        </w:tabs>
        <w:spacing w:line="360" w:lineRule="auto"/>
        <w:ind w:left="2" w:leftChars="1" w:firstLine="480" w:firstLineChars="200"/>
        <w:rPr>
          <w:bCs/>
          <w:szCs w:val="14"/>
        </w:rPr>
      </w:pPr>
      <w:r>
        <w:rPr>
          <w:rFonts w:hint="eastAsia"/>
          <w:bCs/>
          <w:szCs w:val="14"/>
        </w:rPr>
        <w:t>8、乙方保证代收的税费的安全，如有需要，经乙方书面申请并得到甲方书面同意，甲方可根据乙方要求提供必要的保障条件。</w:t>
      </w:r>
    </w:p>
    <w:p>
      <w:pPr>
        <w:numPr>
          <w:ilvl w:val="255"/>
          <w:numId w:val="0"/>
        </w:numPr>
        <w:tabs>
          <w:tab w:val="left" w:pos="-1843"/>
        </w:tabs>
        <w:spacing w:line="360" w:lineRule="auto"/>
        <w:ind w:left="2" w:leftChars="1" w:firstLine="480" w:firstLineChars="200"/>
        <w:rPr>
          <w:bCs/>
          <w:szCs w:val="14"/>
        </w:rPr>
      </w:pPr>
      <w:r>
        <w:rPr>
          <w:rFonts w:hint="eastAsia"/>
          <w:bCs/>
          <w:szCs w:val="14"/>
        </w:rPr>
        <w:t>9、乙方保证法律服务工作结束后编制税费统计表交甲方指定的人员核对，并按甲方要求填写交接表格式。</w:t>
      </w:r>
    </w:p>
    <w:p>
      <w:pPr>
        <w:numPr>
          <w:ilvl w:val="255"/>
          <w:numId w:val="0"/>
        </w:numPr>
        <w:tabs>
          <w:tab w:val="left" w:pos="-1843"/>
        </w:tabs>
        <w:spacing w:line="360" w:lineRule="auto"/>
        <w:ind w:left="2" w:leftChars="1" w:firstLine="480" w:firstLineChars="200"/>
        <w:rPr>
          <w:bCs/>
          <w:szCs w:val="14"/>
        </w:rPr>
      </w:pPr>
      <w:r>
        <w:rPr>
          <w:rFonts w:hint="eastAsia"/>
          <w:bCs/>
          <w:szCs w:val="14"/>
        </w:rPr>
        <w:t>10、如业主须自行办理房地产权证的，乙方可将办证所需资料移交相关业主，并做好签收资料归档记录，向业主移交办产权证资料时必须资料齐全、其他收款、备案、面积补差及房屋交付工作已经完成的情况下才可进行。</w:t>
      </w:r>
    </w:p>
    <w:p>
      <w:pPr>
        <w:tabs>
          <w:tab w:val="left" w:pos="-1843"/>
        </w:tabs>
        <w:spacing w:line="360" w:lineRule="auto"/>
        <w:rPr>
          <w:bCs/>
          <w:szCs w:val="14"/>
        </w:rPr>
      </w:pPr>
      <w:r>
        <w:rPr>
          <w:rFonts w:hint="eastAsia"/>
          <w:bCs/>
          <w:szCs w:val="14"/>
        </w:rPr>
        <w:t>（五）甲方要求乙方配合的一些其他工作</w:t>
      </w:r>
    </w:p>
    <w:p>
      <w:pPr>
        <w:pStyle w:val="183"/>
        <w:numPr>
          <w:ilvl w:val="255"/>
          <w:numId w:val="0"/>
        </w:numPr>
        <w:tabs>
          <w:tab w:val="left" w:pos="-1843"/>
        </w:tabs>
        <w:spacing w:line="360" w:lineRule="auto"/>
        <w:rPr>
          <w:bCs/>
          <w:szCs w:val="14"/>
        </w:rPr>
      </w:pPr>
      <w:r>
        <w:rPr>
          <w:rFonts w:hint="eastAsia"/>
          <w:bCs/>
          <w:szCs w:val="14"/>
        </w:rPr>
        <w:t>1、因政策变化或新要求增加的工作量。</w:t>
      </w:r>
    </w:p>
    <w:p>
      <w:pPr>
        <w:pStyle w:val="183"/>
        <w:numPr>
          <w:ilvl w:val="255"/>
          <w:numId w:val="0"/>
        </w:numPr>
        <w:tabs>
          <w:tab w:val="left" w:pos="-1843"/>
        </w:tabs>
        <w:spacing w:line="360" w:lineRule="auto"/>
        <w:rPr>
          <w:bCs/>
          <w:szCs w:val="14"/>
        </w:rPr>
      </w:pPr>
      <w:r>
        <w:rPr>
          <w:rFonts w:hint="eastAsia"/>
          <w:bCs/>
          <w:szCs w:val="14"/>
        </w:rPr>
        <w:t>2、因甲方集团公司要求增加的工作，包括报表，合作协议审查，审计检查配合等等。</w:t>
      </w:r>
    </w:p>
    <w:p>
      <w:pPr>
        <w:tabs>
          <w:tab w:val="left" w:pos="-1843"/>
        </w:tabs>
        <w:spacing w:line="360" w:lineRule="auto"/>
        <w:rPr>
          <w:bCs/>
          <w:szCs w:val="14"/>
        </w:rPr>
      </w:pPr>
      <w:r>
        <w:rPr>
          <w:rFonts w:hint="eastAsia"/>
          <w:b/>
          <w:bCs/>
          <w:szCs w:val="14"/>
        </w:rPr>
        <w:t>三、甲方的权利和义务</w:t>
      </w:r>
    </w:p>
    <w:p>
      <w:pPr>
        <w:pStyle w:val="183"/>
        <w:numPr>
          <w:ilvl w:val="0"/>
          <w:numId w:val="19"/>
        </w:numPr>
        <w:spacing w:line="500" w:lineRule="exact"/>
        <w:ind w:firstLineChars="0"/>
        <w:rPr>
          <w:bCs/>
          <w:szCs w:val="14"/>
        </w:rPr>
      </w:pPr>
      <w:r>
        <w:rPr>
          <w:rFonts w:hint="eastAsia"/>
          <w:bCs/>
          <w:szCs w:val="14"/>
        </w:rPr>
        <w:t>为乙方免费提供律师签约办公场地、电话、传真等办公条件。</w:t>
      </w:r>
    </w:p>
    <w:p>
      <w:pPr>
        <w:pStyle w:val="183"/>
        <w:numPr>
          <w:ilvl w:val="0"/>
          <w:numId w:val="19"/>
        </w:numPr>
        <w:spacing w:line="500" w:lineRule="exact"/>
        <w:ind w:firstLineChars="0"/>
        <w:rPr>
          <w:bCs/>
          <w:szCs w:val="14"/>
        </w:rPr>
      </w:pPr>
      <w:r>
        <w:rPr>
          <w:rFonts w:hint="eastAsia"/>
          <w:bCs/>
          <w:szCs w:val="14"/>
        </w:rPr>
        <w:t>如实向乙方提供签署买卖合同所需的查丈报告、项目资料、合同附图及补充协议等资料、文件，以便乙方开展法律服务。</w:t>
      </w:r>
    </w:p>
    <w:p>
      <w:pPr>
        <w:pStyle w:val="183"/>
        <w:numPr>
          <w:ilvl w:val="0"/>
          <w:numId w:val="19"/>
        </w:numPr>
        <w:spacing w:line="500" w:lineRule="exact"/>
        <w:ind w:firstLineChars="0"/>
        <w:rPr>
          <w:bCs/>
          <w:szCs w:val="14"/>
        </w:rPr>
      </w:pPr>
      <w:r>
        <w:rPr>
          <w:rFonts w:hint="eastAsia"/>
          <w:bCs/>
          <w:szCs w:val="14"/>
        </w:rPr>
        <w:t>协助乙方开展乙方签约人员的业务培训并提供必要的技术支持。</w:t>
      </w:r>
    </w:p>
    <w:p>
      <w:pPr>
        <w:pStyle w:val="183"/>
        <w:numPr>
          <w:ilvl w:val="0"/>
          <w:numId w:val="19"/>
        </w:numPr>
        <w:spacing w:line="500" w:lineRule="exact"/>
        <w:ind w:firstLineChars="0"/>
        <w:rPr>
          <w:bCs/>
          <w:szCs w:val="14"/>
        </w:rPr>
      </w:pPr>
      <w:r>
        <w:rPr>
          <w:rFonts w:hint="eastAsia"/>
          <w:bCs/>
          <w:szCs w:val="14"/>
        </w:rPr>
        <w:t>甲方应及时前往规划局、建设局及东莞市房地产交易所办理有关该项目的相关证件及权属登记备案、确权手续，以保证乙方能顺利进行该项目《商品房买卖合同》的备案、不动</w:t>
      </w:r>
      <w:r>
        <w:rPr>
          <w:bCs/>
          <w:szCs w:val="14"/>
        </w:rPr>
        <w:t>产权</w:t>
      </w:r>
      <w:r>
        <w:rPr>
          <w:rFonts w:hint="eastAsia"/>
          <w:bCs/>
          <w:szCs w:val="14"/>
        </w:rPr>
        <w:t>证办理工作。</w:t>
      </w:r>
    </w:p>
    <w:p>
      <w:pPr>
        <w:tabs>
          <w:tab w:val="left" w:pos="-2552"/>
          <w:tab w:val="left" w:pos="-2410"/>
        </w:tabs>
        <w:spacing w:line="360" w:lineRule="auto"/>
        <w:rPr>
          <w:bCs/>
          <w:szCs w:val="14"/>
        </w:rPr>
      </w:pPr>
    </w:p>
    <w:p>
      <w:pPr>
        <w:tabs>
          <w:tab w:val="left" w:pos="-2552"/>
          <w:tab w:val="left" w:pos="-2410"/>
        </w:tabs>
        <w:spacing w:line="360" w:lineRule="auto"/>
        <w:rPr>
          <w:bCs/>
          <w:szCs w:val="14"/>
        </w:rPr>
      </w:pPr>
      <w:r>
        <w:rPr>
          <w:rFonts w:hint="eastAsia"/>
          <w:b/>
          <w:bCs/>
          <w:szCs w:val="14"/>
        </w:rPr>
        <w:t>四、乙方的权利和义务</w:t>
      </w:r>
    </w:p>
    <w:p>
      <w:pPr>
        <w:numPr>
          <w:ilvl w:val="255"/>
          <w:numId w:val="0"/>
        </w:numPr>
        <w:spacing w:line="360" w:lineRule="auto"/>
        <w:ind w:left="-482" w:leftChars="-201"/>
        <w:rPr>
          <w:bCs/>
          <w:szCs w:val="14"/>
        </w:rPr>
      </w:pPr>
      <w:r>
        <w:rPr>
          <w:rFonts w:hint="eastAsia"/>
          <w:bCs/>
          <w:szCs w:val="14"/>
        </w:rPr>
        <w:t xml:space="preserve">    （一）对乙方派驻人员的要求：</w:t>
      </w:r>
    </w:p>
    <w:p>
      <w:pPr>
        <w:numPr>
          <w:ilvl w:val="255"/>
          <w:numId w:val="0"/>
        </w:numPr>
        <w:spacing w:line="360" w:lineRule="auto"/>
        <w:ind w:left="-482" w:leftChars="-201"/>
        <w:rPr>
          <w:bCs/>
          <w:szCs w:val="14"/>
        </w:rPr>
      </w:pPr>
      <w:r>
        <w:rPr>
          <w:rFonts w:hint="eastAsia"/>
          <w:bCs/>
          <w:szCs w:val="14"/>
        </w:rPr>
        <w:t xml:space="preserve">     1、乙方派驻人员至少应为律师助理及以上资格的人员，从法律专业毕业并具有与本协议服务事项相关的工作经验。</w:t>
      </w:r>
    </w:p>
    <w:p>
      <w:pPr>
        <w:numPr>
          <w:ilvl w:val="255"/>
          <w:numId w:val="0"/>
        </w:numPr>
        <w:spacing w:line="360" w:lineRule="auto"/>
        <w:ind w:left="-482" w:leftChars="-201"/>
        <w:rPr>
          <w:bCs/>
          <w:szCs w:val="14"/>
        </w:rPr>
      </w:pPr>
      <w:r>
        <w:rPr>
          <w:rFonts w:hint="eastAsia"/>
          <w:bCs/>
          <w:szCs w:val="14"/>
        </w:rPr>
        <w:t xml:space="preserve">     2、乙方应指派具有丰富经验的执业律师【每月】到销售现场培训一次，每次不得少于【3】小时。</w:t>
      </w:r>
    </w:p>
    <w:p>
      <w:pPr>
        <w:numPr>
          <w:ilvl w:val="255"/>
          <w:numId w:val="0"/>
        </w:numPr>
        <w:spacing w:line="360" w:lineRule="auto"/>
        <w:ind w:left="-482" w:leftChars="-201"/>
        <w:rPr>
          <w:bCs/>
          <w:szCs w:val="14"/>
        </w:rPr>
      </w:pPr>
      <w:r>
        <w:rPr>
          <w:rFonts w:hint="eastAsia"/>
          <w:bCs/>
          <w:szCs w:val="14"/>
        </w:rPr>
        <w:t xml:space="preserve">    （二）根据管理规定，乙方派驻人员应遵守甲方的规章制度与员工手则；日常工作过程中，应严格遵守《服务守则》（附件一）</w:t>
      </w:r>
    </w:p>
    <w:p>
      <w:pPr>
        <w:numPr>
          <w:ilvl w:val="255"/>
          <w:numId w:val="0"/>
        </w:numPr>
        <w:spacing w:line="360" w:lineRule="auto"/>
        <w:ind w:left="-482" w:leftChars="-201"/>
        <w:rPr>
          <w:bCs/>
          <w:szCs w:val="14"/>
        </w:rPr>
      </w:pPr>
      <w:r>
        <w:rPr>
          <w:rFonts w:hint="eastAsia"/>
          <w:bCs/>
          <w:szCs w:val="14"/>
        </w:rPr>
        <w:t xml:space="preserve">    （三）乙方派驻人员应向甲方备案，在乙方派驻人员进场时，乙方应将派驻人员名单及身份证明文件提交甲方存档。若有人员变动情况，乙方应提前一周通知甲方，并将变动后的人员名单及身份证明文件交给甲方。</w:t>
      </w:r>
    </w:p>
    <w:p>
      <w:pPr>
        <w:numPr>
          <w:ilvl w:val="255"/>
          <w:numId w:val="0"/>
        </w:numPr>
        <w:spacing w:line="360" w:lineRule="auto"/>
        <w:ind w:left="-482" w:leftChars="-201" w:firstLine="420"/>
        <w:rPr>
          <w:bCs/>
          <w:szCs w:val="14"/>
        </w:rPr>
      </w:pPr>
      <w:r>
        <w:rPr>
          <w:rFonts w:hint="eastAsia"/>
          <w:bCs/>
          <w:szCs w:val="14"/>
        </w:rPr>
        <w:t xml:space="preserve">（四）乙方应向甲方提交书面的管理文件，包括：派驻人员的组织架构、岗位职责及管理条例，派驻人员中包括管理人员、执业律师及律师助理。 </w:t>
      </w:r>
    </w:p>
    <w:p>
      <w:pPr>
        <w:numPr>
          <w:ilvl w:val="255"/>
          <w:numId w:val="0"/>
        </w:numPr>
        <w:spacing w:line="360" w:lineRule="auto"/>
        <w:ind w:left="-482" w:leftChars="-201" w:firstLine="420"/>
        <w:rPr>
          <w:bCs/>
          <w:szCs w:val="14"/>
        </w:rPr>
      </w:pPr>
      <w:r>
        <w:rPr>
          <w:rFonts w:hint="eastAsia"/>
          <w:bCs/>
          <w:szCs w:val="14"/>
        </w:rPr>
        <w:t>（五）如服务过程当中，乙方派驻人员不符合或不按甲方要求开展工作的，甲方可提出更换派驻人员。</w:t>
      </w:r>
    </w:p>
    <w:p>
      <w:pPr>
        <w:numPr>
          <w:ilvl w:val="255"/>
          <w:numId w:val="0"/>
        </w:numPr>
        <w:spacing w:line="360" w:lineRule="auto"/>
        <w:ind w:left="-482" w:leftChars="-201"/>
        <w:rPr>
          <w:bCs/>
          <w:szCs w:val="14"/>
        </w:rPr>
      </w:pPr>
      <w:r>
        <w:rPr>
          <w:rFonts w:hint="eastAsia"/>
          <w:bCs/>
          <w:szCs w:val="14"/>
        </w:rPr>
        <w:t xml:space="preserve">    （六）乙方按照甲方确认的合同版本签订商品房买卖合同，并且遵守甲方对购房者签约时间的承诺，不得拖延签约时间、擅自修改合同内容或对购房者做出超出商品房买卖合同以外的承诺。</w:t>
      </w:r>
    </w:p>
    <w:p>
      <w:pPr>
        <w:numPr>
          <w:ilvl w:val="255"/>
          <w:numId w:val="0"/>
        </w:numPr>
        <w:spacing w:line="360" w:lineRule="auto"/>
        <w:ind w:left="-482" w:leftChars="-201"/>
        <w:rPr>
          <w:bCs/>
          <w:szCs w:val="14"/>
        </w:rPr>
      </w:pPr>
      <w:r>
        <w:rPr>
          <w:rFonts w:hint="eastAsia"/>
          <w:bCs/>
          <w:szCs w:val="14"/>
        </w:rPr>
        <w:t xml:space="preserve">    （七）乙方应维护甲方的良好形象和声誉，不得散布对甲方不利的言论，不得因提供法律服务事宜对甲方利益、品牌、形象、声誉造成不利影响。</w:t>
      </w:r>
    </w:p>
    <w:p>
      <w:pPr>
        <w:numPr>
          <w:ilvl w:val="255"/>
          <w:numId w:val="0"/>
        </w:numPr>
        <w:spacing w:line="360" w:lineRule="auto"/>
        <w:ind w:left="-482" w:leftChars="-201"/>
        <w:rPr>
          <w:bCs/>
          <w:szCs w:val="14"/>
        </w:rPr>
      </w:pPr>
      <w:r>
        <w:rPr>
          <w:rFonts w:hint="eastAsia"/>
          <w:bCs/>
          <w:szCs w:val="14"/>
        </w:rPr>
        <w:t xml:space="preserve">    （八）对于在合作中知悉的甲方的商业秘密，乙方应承担保密的义务。</w:t>
      </w:r>
    </w:p>
    <w:p>
      <w:pPr>
        <w:numPr>
          <w:ilvl w:val="255"/>
          <w:numId w:val="0"/>
        </w:numPr>
        <w:spacing w:line="360" w:lineRule="auto"/>
        <w:rPr>
          <w:bCs/>
          <w:szCs w:val="14"/>
        </w:rPr>
      </w:pPr>
      <w:r>
        <w:rPr>
          <w:rFonts w:hint="eastAsia"/>
          <w:bCs/>
          <w:szCs w:val="14"/>
        </w:rPr>
        <w:t>（九）在提供法律服务过程中，乙方应尽职尽责，不得虚假承诺、欺诈、误导客户。</w:t>
      </w:r>
    </w:p>
    <w:p>
      <w:pPr>
        <w:numPr>
          <w:ilvl w:val="255"/>
          <w:numId w:val="0"/>
        </w:numPr>
        <w:spacing w:line="360" w:lineRule="auto"/>
        <w:ind w:left="-482" w:leftChars="-201"/>
        <w:rPr>
          <w:bCs/>
          <w:szCs w:val="14"/>
        </w:rPr>
      </w:pPr>
      <w:r>
        <w:rPr>
          <w:rFonts w:hint="eastAsia"/>
          <w:bCs/>
          <w:szCs w:val="14"/>
        </w:rPr>
        <w:t xml:space="preserve">   （十）乙方应按每日、每周向甲方提供日报、周报，汇报每日、每周签约及备案情况、合同签订问题并提供解决方案，汇报办理房地产权证等情况。</w:t>
      </w:r>
    </w:p>
    <w:p>
      <w:pPr>
        <w:numPr>
          <w:ilvl w:val="255"/>
          <w:numId w:val="0"/>
        </w:numPr>
        <w:spacing w:line="360" w:lineRule="auto"/>
        <w:ind w:left="-482" w:leftChars="-201"/>
        <w:rPr>
          <w:bCs/>
          <w:szCs w:val="14"/>
        </w:rPr>
      </w:pPr>
      <w:r>
        <w:rPr>
          <w:rFonts w:hint="eastAsia"/>
          <w:bCs/>
          <w:szCs w:val="14"/>
        </w:rPr>
        <w:t xml:space="preserve">   （十一）无论何方原因导致本协议须解除的，乙方须对甲方的客户资料与甲方的商业资料进行保密，不得用于任何用途，同时乙方与甲方须完善所有的资料交接手续。</w:t>
      </w:r>
    </w:p>
    <w:p>
      <w:pPr>
        <w:numPr>
          <w:ilvl w:val="255"/>
          <w:numId w:val="0"/>
        </w:numPr>
        <w:spacing w:line="360" w:lineRule="auto"/>
        <w:ind w:left="-482" w:leftChars="-201"/>
        <w:rPr>
          <w:bCs/>
          <w:szCs w:val="14"/>
        </w:rPr>
      </w:pPr>
      <w:r>
        <w:rPr>
          <w:rFonts w:hint="eastAsia"/>
          <w:bCs/>
          <w:szCs w:val="14"/>
        </w:rPr>
        <w:t xml:space="preserve">   （十二）本协议项下乙方提供销售法律服务的律师服务费用由乙方按本协议第五条的约定向该项目客户收取，甲方无需承担费用支付义务。因本协议项下律师服务的提供及律师费用收取产生的与购房者之间的相关的争议、纠纷、索赔等，均由乙方负责妥善处理并承担相关费用和责任，确保不对甲方的利益、品牌、形象、声誉造成不利影响；如因此导致甲方损失的，该等损失包括但不限于经济赔偿以及为处理该等事由而支出的诉讼费用、律师费用等，概由乙方负责赔偿，甲方有权从乙方的保证金中扣除相应费用，如不足以弥补甲方损失的，甲方有权通过本协议约定的争议解决方式要求乙方承担赔偿责任。</w:t>
      </w:r>
    </w:p>
    <w:p>
      <w:pPr>
        <w:numPr>
          <w:ilvl w:val="255"/>
          <w:numId w:val="0"/>
        </w:numPr>
        <w:spacing w:line="360" w:lineRule="auto"/>
        <w:ind w:left="-482" w:leftChars="-201"/>
        <w:rPr>
          <w:bCs/>
          <w:szCs w:val="14"/>
        </w:rPr>
      </w:pPr>
    </w:p>
    <w:p>
      <w:pPr>
        <w:tabs>
          <w:tab w:val="left" w:pos="0"/>
        </w:tabs>
        <w:spacing w:line="360" w:lineRule="auto"/>
        <w:rPr>
          <w:b/>
          <w:bCs/>
          <w:szCs w:val="14"/>
        </w:rPr>
      </w:pPr>
      <w:r>
        <w:rPr>
          <w:rFonts w:hint="eastAsia"/>
          <w:b/>
          <w:bCs/>
          <w:szCs w:val="14"/>
        </w:rPr>
        <w:t>五、收费办法</w:t>
      </w:r>
    </w:p>
    <w:p>
      <w:pPr>
        <w:pStyle w:val="183"/>
        <w:tabs>
          <w:tab w:val="left" w:pos="0"/>
        </w:tabs>
        <w:spacing w:line="360" w:lineRule="auto"/>
        <w:ind w:firstLine="0" w:firstLineChars="0"/>
        <w:rPr>
          <w:bCs/>
          <w:szCs w:val="14"/>
        </w:rPr>
      </w:pPr>
      <w:r>
        <w:rPr>
          <w:rFonts w:hint="eastAsia"/>
          <w:bCs/>
          <w:szCs w:val="14"/>
        </w:rPr>
        <w:t>（一）经甲、乙双方协商，乙方向该</w:t>
      </w:r>
      <w:r>
        <w:rPr>
          <w:bCs/>
          <w:szCs w:val="14"/>
        </w:rPr>
        <w:t>项目</w:t>
      </w:r>
      <w:r>
        <w:rPr>
          <w:rFonts w:hint="eastAsia"/>
          <w:bCs/>
          <w:szCs w:val="14"/>
        </w:rPr>
        <w:t>客户收取律师服务费及相关付款情况约定如下：</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145"/>
        <w:gridCol w:w="237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gridSpan w:val="2"/>
            <w:shd w:val="clear" w:color="auto" w:fill="auto"/>
            <w:noWrap/>
          </w:tcPr>
          <w:p>
            <w:pPr>
              <w:widowControl/>
              <w:spacing w:line="600" w:lineRule="exact"/>
              <w:ind w:right="-53"/>
              <w:jc w:val="center"/>
              <w:textAlignment w:val="bottom"/>
              <w:rPr>
                <w:rFonts w:hAnsi="宋体"/>
                <w:bCs/>
              </w:rPr>
            </w:pPr>
            <w:r>
              <w:rPr>
                <w:rFonts w:hint="eastAsia" w:hAnsi="宋体"/>
              </w:rPr>
              <w:t>签约事项</w:t>
            </w:r>
          </w:p>
        </w:tc>
        <w:tc>
          <w:tcPr>
            <w:tcW w:w="2370" w:type="dxa"/>
            <w:shd w:val="clear" w:color="auto" w:fill="auto"/>
            <w:noWrap/>
          </w:tcPr>
          <w:p>
            <w:pPr>
              <w:widowControl/>
              <w:spacing w:line="600" w:lineRule="exact"/>
              <w:ind w:right="-53"/>
              <w:jc w:val="center"/>
              <w:textAlignment w:val="bottom"/>
              <w:rPr>
                <w:rFonts w:hAnsi="宋体"/>
                <w:bCs/>
              </w:rPr>
            </w:pPr>
            <w:r>
              <w:rPr>
                <w:rFonts w:hint="eastAsia" w:hAnsi="宋体"/>
              </w:rPr>
              <w:t>律师签约费</w:t>
            </w:r>
          </w:p>
        </w:tc>
        <w:tc>
          <w:tcPr>
            <w:tcW w:w="3330" w:type="dxa"/>
            <w:shd w:val="clear" w:color="auto" w:fill="auto"/>
            <w:noWrap/>
          </w:tcPr>
          <w:p>
            <w:pPr>
              <w:widowControl/>
              <w:spacing w:line="600" w:lineRule="exact"/>
              <w:ind w:right="-53"/>
              <w:jc w:val="center"/>
              <w:textAlignment w:val="bottom"/>
              <w:rPr>
                <w:rFonts w:hAnsi="宋体"/>
              </w:rPr>
            </w:pPr>
            <w:r>
              <w:rPr>
                <w:rFonts w:hint="eastAsia" w:hAnsi="宋体"/>
              </w:rPr>
              <w:t>律师办证费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9" w:type="dxa"/>
            <w:vMerge w:val="restart"/>
            <w:shd w:val="clear" w:color="auto" w:fill="auto"/>
            <w:noWrap/>
            <w:vAlign w:val="center"/>
          </w:tcPr>
          <w:p>
            <w:pPr>
              <w:widowControl/>
              <w:spacing w:line="600" w:lineRule="exact"/>
              <w:ind w:right="-53"/>
              <w:jc w:val="center"/>
              <w:textAlignment w:val="bottom"/>
              <w:rPr>
                <w:rFonts w:hAnsi="宋体"/>
              </w:rPr>
            </w:pPr>
            <w:r>
              <w:rPr>
                <w:rFonts w:hint="eastAsia" w:hAnsi="宋体"/>
              </w:rPr>
              <w:t>住宅</w:t>
            </w:r>
          </w:p>
        </w:tc>
        <w:tc>
          <w:tcPr>
            <w:tcW w:w="2145" w:type="dxa"/>
            <w:shd w:val="clear" w:color="auto" w:fill="auto"/>
            <w:noWrap/>
            <w:vAlign w:val="center"/>
          </w:tcPr>
          <w:p>
            <w:pPr>
              <w:widowControl/>
              <w:spacing w:line="600" w:lineRule="exact"/>
              <w:ind w:right="-53"/>
              <w:jc w:val="center"/>
              <w:textAlignment w:val="bottom"/>
              <w:rPr>
                <w:rFonts w:hAnsi="宋体"/>
              </w:rPr>
            </w:pPr>
            <w:r>
              <w:rPr>
                <w:rFonts w:hint="eastAsia" w:hAnsi="宋体"/>
              </w:rPr>
              <w:t>一次性</w:t>
            </w:r>
          </w:p>
        </w:tc>
        <w:tc>
          <w:tcPr>
            <w:tcW w:w="2370" w:type="dxa"/>
            <w:shd w:val="clear" w:color="auto" w:fill="auto"/>
            <w:noWrap/>
            <w:vAlign w:val="center"/>
          </w:tcPr>
          <w:p>
            <w:pPr>
              <w:widowControl/>
              <w:spacing w:line="600" w:lineRule="exact"/>
              <w:ind w:right="-53"/>
              <w:jc w:val="center"/>
              <w:textAlignment w:val="bottom"/>
              <w:rPr>
                <w:rFonts w:hAnsi="宋体"/>
              </w:rPr>
            </w:pPr>
          </w:p>
        </w:tc>
        <w:tc>
          <w:tcPr>
            <w:tcW w:w="3330" w:type="dxa"/>
            <w:vMerge w:val="restart"/>
            <w:shd w:val="clear" w:color="auto" w:fill="auto"/>
            <w:noWrap/>
            <w:vAlign w:val="center"/>
          </w:tcPr>
          <w:p>
            <w:pPr>
              <w:widowControl/>
              <w:spacing w:line="600" w:lineRule="exact"/>
              <w:ind w:right="-53"/>
              <w:jc w:val="center"/>
              <w:textAlignment w:val="bottom"/>
              <w:rPr>
                <w:rFonts w:hAnsi="宋体"/>
              </w:rPr>
            </w:pPr>
            <w:r>
              <w:rPr>
                <w:rFonts w:hint="eastAsia" w:hAnsi="宋体"/>
              </w:rPr>
              <w:t>已包含在签约费内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shd w:val="clear" w:color="auto" w:fill="auto"/>
            <w:noWrap/>
            <w:vAlign w:val="center"/>
          </w:tcPr>
          <w:p>
            <w:pPr>
              <w:widowControl/>
              <w:spacing w:line="600" w:lineRule="exact"/>
              <w:ind w:right="-53"/>
              <w:jc w:val="center"/>
              <w:textAlignment w:val="bottom"/>
              <w:rPr>
                <w:rFonts w:hAnsi="宋体"/>
              </w:rPr>
            </w:pPr>
          </w:p>
        </w:tc>
        <w:tc>
          <w:tcPr>
            <w:tcW w:w="2145" w:type="dxa"/>
            <w:shd w:val="clear" w:color="auto" w:fill="auto"/>
            <w:noWrap/>
            <w:vAlign w:val="center"/>
          </w:tcPr>
          <w:p>
            <w:pPr>
              <w:widowControl/>
              <w:spacing w:line="600" w:lineRule="exact"/>
              <w:ind w:right="-53"/>
              <w:jc w:val="center"/>
              <w:textAlignment w:val="bottom"/>
              <w:rPr>
                <w:rFonts w:hAnsi="宋体"/>
              </w:rPr>
            </w:pPr>
            <w:r>
              <w:rPr>
                <w:rFonts w:hint="eastAsia" w:hAnsi="宋体"/>
              </w:rPr>
              <w:t>按揭</w:t>
            </w:r>
          </w:p>
        </w:tc>
        <w:tc>
          <w:tcPr>
            <w:tcW w:w="2370" w:type="dxa"/>
            <w:shd w:val="clear" w:color="auto" w:fill="auto"/>
            <w:noWrap/>
            <w:vAlign w:val="center"/>
          </w:tcPr>
          <w:p>
            <w:pPr>
              <w:widowControl/>
              <w:spacing w:line="600" w:lineRule="exact"/>
              <w:ind w:right="-53"/>
              <w:jc w:val="center"/>
              <w:textAlignment w:val="bottom"/>
              <w:rPr>
                <w:rFonts w:hAnsi="宋体"/>
              </w:rPr>
            </w:pPr>
          </w:p>
        </w:tc>
        <w:tc>
          <w:tcPr>
            <w:tcW w:w="3330" w:type="dxa"/>
            <w:vMerge w:val="continue"/>
            <w:shd w:val="clear" w:color="auto" w:fill="auto"/>
            <w:noWrap/>
            <w:vAlign w:val="center"/>
          </w:tcPr>
          <w:p>
            <w:pPr>
              <w:widowControl/>
              <w:spacing w:line="600" w:lineRule="exact"/>
              <w:ind w:right="-53"/>
              <w:jc w:val="center"/>
              <w:textAlignment w:val="bottom"/>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restart"/>
            <w:shd w:val="clear" w:color="auto" w:fill="auto"/>
            <w:noWrap/>
            <w:vAlign w:val="center"/>
          </w:tcPr>
          <w:p>
            <w:pPr>
              <w:widowControl/>
              <w:spacing w:line="600" w:lineRule="exact"/>
              <w:ind w:right="-53"/>
              <w:jc w:val="center"/>
              <w:textAlignment w:val="bottom"/>
              <w:rPr>
                <w:rFonts w:hAnsi="宋体"/>
              </w:rPr>
            </w:pPr>
            <w:r>
              <w:rPr>
                <w:rFonts w:hint="eastAsia" w:hAnsi="宋体"/>
              </w:rPr>
              <w:t>商铺</w:t>
            </w:r>
          </w:p>
        </w:tc>
        <w:tc>
          <w:tcPr>
            <w:tcW w:w="2145" w:type="dxa"/>
            <w:shd w:val="clear" w:color="auto" w:fill="auto"/>
            <w:noWrap/>
            <w:vAlign w:val="center"/>
          </w:tcPr>
          <w:p>
            <w:pPr>
              <w:widowControl/>
              <w:spacing w:line="600" w:lineRule="exact"/>
              <w:ind w:right="-53"/>
              <w:jc w:val="center"/>
              <w:textAlignment w:val="bottom"/>
              <w:rPr>
                <w:rFonts w:hAnsi="宋体"/>
              </w:rPr>
            </w:pPr>
            <w:r>
              <w:rPr>
                <w:rFonts w:hint="eastAsia" w:hAnsi="宋体"/>
              </w:rPr>
              <w:t>一次性</w:t>
            </w:r>
          </w:p>
        </w:tc>
        <w:tc>
          <w:tcPr>
            <w:tcW w:w="2370" w:type="dxa"/>
            <w:shd w:val="clear" w:color="auto" w:fill="auto"/>
            <w:noWrap/>
            <w:vAlign w:val="center"/>
          </w:tcPr>
          <w:p>
            <w:pPr>
              <w:widowControl/>
              <w:spacing w:line="600" w:lineRule="exact"/>
              <w:ind w:right="-53"/>
              <w:jc w:val="center"/>
              <w:textAlignment w:val="bottom"/>
              <w:rPr>
                <w:rFonts w:hAnsi="宋体"/>
              </w:rPr>
            </w:pPr>
          </w:p>
        </w:tc>
        <w:tc>
          <w:tcPr>
            <w:tcW w:w="3330" w:type="dxa"/>
            <w:vMerge w:val="restart"/>
            <w:shd w:val="clear" w:color="auto" w:fill="auto"/>
            <w:noWrap/>
            <w:vAlign w:val="center"/>
          </w:tcPr>
          <w:p>
            <w:pPr>
              <w:widowControl/>
              <w:spacing w:line="600" w:lineRule="exact"/>
              <w:ind w:right="-53"/>
              <w:jc w:val="center"/>
              <w:textAlignment w:val="bottom"/>
              <w:rPr>
                <w:rFonts w:hAnsi="宋体"/>
              </w:rPr>
            </w:pPr>
            <w:r>
              <w:rPr>
                <w:rFonts w:hint="eastAsia" w:hAnsi="宋体"/>
              </w:rPr>
              <w:t>已包含在签约费内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shd w:val="clear" w:color="auto" w:fill="auto"/>
            <w:noWrap/>
            <w:vAlign w:val="center"/>
          </w:tcPr>
          <w:p>
            <w:pPr>
              <w:widowControl/>
              <w:spacing w:line="600" w:lineRule="exact"/>
              <w:ind w:right="-53"/>
              <w:jc w:val="center"/>
              <w:textAlignment w:val="bottom"/>
              <w:rPr>
                <w:rFonts w:hAnsi="宋体"/>
              </w:rPr>
            </w:pPr>
          </w:p>
        </w:tc>
        <w:tc>
          <w:tcPr>
            <w:tcW w:w="2145" w:type="dxa"/>
            <w:shd w:val="clear" w:color="auto" w:fill="auto"/>
            <w:noWrap/>
            <w:vAlign w:val="center"/>
          </w:tcPr>
          <w:p>
            <w:pPr>
              <w:widowControl/>
              <w:spacing w:line="600" w:lineRule="exact"/>
              <w:ind w:right="-53"/>
              <w:jc w:val="center"/>
              <w:textAlignment w:val="bottom"/>
              <w:rPr>
                <w:rFonts w:hAnsi="宋体"/>
              </w:rPr>
            </w:pPr>
            <w:r>
              <w:rPr>
                <w:rFonts w:hint="eastAsia" w:hAnsi="宋体"/>
              </w:rPr>
              <w:t>按揭</w:t>
            </w:r>
          </w:p>
        </w:tc>
        <w:tc>
          <w:tcPr>
            <w:tcW w:w="2370" w:type="dxa"/>
            <w:shd w:val="clear" w:color="auto" w:fill="auto"/>
            <w:noWrap/>
            <w:vAlign w:val="center"/>
          </w:tcPr>
          <w:p>
            <w:pPr>
              <w:widowControl/>
              <w:spacing w:line="600" w:lineRule="exact"/>
              <w:ind w:right="-53"/>
              <w:jc w:val="center"/>
              <w:textAlignment w:val="bottom"/>
              <w:rPr>
                <w:rFonts w:hAnsi="宋体"/>
              </w:rPr>
            </w:pPr>
          </w:p>
        </w:tc>
        <w:tc>
          <w:tcPr>
            <w:tcW w:w="3330" w:type="dxa"/>
            <w:vMerge w:val="continue"/>
            <w:shd w:val="clear" w:color="auto" w:fill="auto"/>
            <w:noWrap/>
            <w:vAlign w:val="center"/>
          </w:tcPr>
          <w:p>
            <w:pPr>
              <w:widowControl/>
              <w:spacing w:line="600" w:lineRule="exact"/>
              <w:ind w:right="-53"/>
              <w:jc w:val="center"/>
              <w:textAlignment w:val="bottom"/>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shd w:val="clear" w:color="auto" w:fill="auto"/>
            <w:noWrap/>
            <w:vAlign w:val="center"/>
          </w:tcPr>
          <w:p>
            <w:pPr>
              <w:widowControl/>
              <w:spacing w:line="600" w:lineRule="exact"/>
              <w:ind w:right="-53"/>
              <w:jc w:val="center"/>
              <w:textAlignment w:val="bottom"/>
              <w:rPr>
                <w:rFonts w:hAnsi="宋体"/>
              </w:rPr>
            </w:pPr>
            <w:r>
              <w:rPr>
                <w:rFonts w:hint="eastAsia" w:hAnsi="宋体"/>
              </w:rPr>
              <w:t>车位</w:t>
            </w:r>
          </w:p>
        </w:tc>
        <w:tc>
          <w:tcPr>
            <w:tcW w:w="2145" w:type="dxa"/>
            <w:shd w:val="clear" w:color="auto" w:fill="auto"/>
            <w:noWrap/>
            <w:vAlign w:val="center"/>
          </w:tcPr>
          <w:p>
            <w:pPr>
              <w:widowControl/>
              <w:spacing w:line="600" w:lineRule="exact"/>
              <w:ind w:right="-53"/>
              <w:jc w:val="center"/>
              <w:textAlignment w:val="bottom"/>
              <w:rPr>
                <w:rFonts w:hAnsi="宋体"/>
              </w:rPr>
            </w:pPr>
            <w:r>
              <w:rPr>
                <w:rFonts w:hint="eastAsia" w:hAnsi="宋体"/>
              </w:rPr>
              <w:t>统一收费</w:t>
            </w:r>
          </w:p>
        </w:tc>
        <w:tc>
          <w:tcPr>
            <w:tcW w:w="2370" w:type="dxa"/>
            <w:shd w:val="clear" w:color="auto" w:fill="auto"/>
            <w:noWrap/>
            <w:vAlign w:val="center"/>
          </w:tcPr>
          <w:p>
            <w:pPr>
              <w:widowControl/>
              <w:spacing w:line="600" w:lineRule="exact"/>
              <w:ind w:right="-53"/>
              <w:jc w:val="center"/>
              <w:textAlignment w:val="bottom"/>
              <w:rPr>
                <w:rFonts w:hAnsi="宋体"/>
              </w:rPr>
            </w:pPr>
          </w:p>
        </w:tc>
        <w:tc>
          <w:tcPr>
            <w:tcW w:w="3330" w:type="dxa"/>
            <w:shd w:val="clear" w:color="auto" w:fill="auto"/>
            <w:noWrap/>
            <w:vAlign w:val="center"/>
          </w:tcPr>
          <w:p>
            <w:pPr>
              <w:widowControl/>
              <w:spacing w:line="600" w:lineRule="exact"/>
              <w:ind w:right="-53"/>
              <w:jc w:val="center"/>
              <w:textAlignment w:val="bottom"/>
              <w:rPr>
                <w:rFonts w:hAnsi="宋体"/>
              </w:rPr>
            </w:pPr>
            <w:r>
              <w:rPr>
                <w:rFonts w:hint="eastAsia" w:hAnsi="宋体"/>
              </w:rPr>
              <w:t>已包含在签约费内</w:t>
            </w:r>
          </w:p>
        </w:tc>
      </w:tr>
    </w:tbl>
    <w:p>
      <w:pPr>
        <w:pStyle w:val="183"/>
        <w:numPr>
          <w:ilvl w:val="255"/>
          <w:numId w:val="0"/>
        </w:numPr>
        <w:tabs>
          <w:tab w:val="left" w:pos="0"/>
        </w:tabs>
        <w:spacing w:line="360" w:lineRule="auto"/>
        <w:rPr>
          <w:bCs/>
          <w:szCs w:val="14"/>
        </w:rPr>
      </w:pPr>
    </w:p>
    <w:p>
      <w:pPr>
        <w:pStyle w:val="183"/>
        <w:numPr>
          <w:ilvl w:val="255"/>
          <w:numId w:val="0"/>
        </w:numPr>
        <w:tabs>
          <w:tab w:val="left" w:pos="0"/>
        </w:tabs>
        <w:spacing w:line="360" w:lineRule="auto"/>
        <w:rPr>
          <w:bCs/>
          <w:szCs w:val="14"/>
        </w:rPr>
      </w:pPr>
      <w:r>
        <w:rPr>
          <w:rFonts w:hint="eastAsia"/>
          <w:bCs/>
          <w:szCs w:val="14"/>
        </w:rPr>
        <w:t>1、律师服务费（</w:t>
      </w:r>
      <w:r>
        <w:rPr>
          <w:bCs/>
          <w:szCs w:val="14"/>
        </w:rPr>
        <w:t>此费用包括办理</w:t>
      </w:r>
      <w:r>
        <w:rPr>
          <w:rFonts w:hint="eastAsia"/>
          <w:bCs/>
          <w:szCs w:val="14"/>
        </w:rPr>
        <w:t>签</w:t>
      </w:r>
      <w:r>
        <w:rPr>
          <w:bCs/>
          <w:szCs w:val="14"/>
        </w:rPr>
        <w:t>约手续所涉及到</w:t>
      </w:r>
      <w:r>
        <w:rPr>
          <w:rFonts w:hint="eastAsia"/>
          <w:bCs/>
          <w:szCs w:val="14"/>
        </w:rPr>
        <w:t>的</w:t>
      </w:r>
      <w:r>
        <w:rPr>
          <w:bCs/>
          <w:szCs w:val="14"/>
        </w:rPr>
        <w:t>政府相关手续，包括不限</w:t>
      </w:r>
      <w:r>
        <w:rPr>
          <w:rFonts w:hint="eastAsia"/>
          <w:bCs/>
          <w:szCs w:val="14"/>
        </w:rPr>
        <w:t>于</w:t>
      </w:r>
      <w:r>
        <w:rPr>
          <w:bCs/>
          <w:szCs w:val="14"/>
        </w:rPr>
        <w:t>查册、按揭、备案、抵押、交付、档案、办证等</w:t>
      </w:r>
      <w:r>
        <w:rPr>
          <w:rFonts w:hint="eastAsia"/>
          <w:bCs/>
          <w:szCs w:val="14"/>
        </w:rPr>
        <w:t>相</w:t>
      </w:r>
      <w:r>
        <w:rPr>
          <w:bCs/>
          <w:szCs w:val="14"/>
        </w:rPr>
        <w:t>关手续）</w:t>
      </w:r>
      <w:r>
        <w:rPr>
          <w:rFonts w:hint="eastAsia"/>
          <w:bCs/>
          <w:szCs w:val="14"/>
        </w:rPr>
        <w:t>，</w:t>
      </w:r>
      <w:r>
        <w:rPr>
          <w:bCs/>
          <w:szCs w:val="14"/>
        </w:rPr>
        <w:t>收费标准如</w:t>
      </w:r>
      <w:r>
        <w:rPr>
          <w:rFonts w:hint="eastAsia"/>
          <w:bCs/>
          <w:szCs w:val="14"/>
        </w:rPr>
        <w:t>上表</w:t>
      </w:r>
      <w:r>
        <w:rPr>
          <w:bCs/>
          <w:szCs w:val="14"/>
        </w:rPr>
        <w:t>所述：</w:t>
      </w:r>
    </w:p>
    <w:p>
      <w:pPr>
        <w:pStyle w:val="183"/>
        <w:spacing w:line="500" w:lineRule="exact"/>
        <w:ind w:firstLine="0" w:firstLineChars="0"/>
        <w:rPr>
          <w:bCs/>
          <w:szCs w:val="14"/>
        </w:rPr>
      </w:pPr>
      <w:r>
        <w:rPr>
          <w:rFonts w:hint="eastAsia"/>
          <w:bCs/>
          <w:szCs w:val="14"/>
        </w:rPr>
        <w:t>2、办证保证金收取及结算</w:t>
      </w:r>
    </w:p>
    <w:p>
      <w:pPr>
        <w:pStyle w:val="183"/>
        <w:spacing w:line="360" w:lineRule="auto"/>
        <w:ind w:firstLine="480"/>
        <w:rPr>
          <w:bCs/>
          <w:szCs w:val="14"/>
        </w:rPr>
      </w:pPr>
      <w:r>
        <w:rPr>
          <w:rFonts w:hint="eastAsia"/>
          <w:bCs/>
          <w:szCs w:val="14"/>
        </w:rPr>
        <w:t>办证保证金：以乙方的名义开设甲乙双方共管账户，银行预留印鉴卡需甲方盖章，未经甲方同意，该共管账户不得更换任何印鉴章。存取款必须通过支票办理，不得通过网银。该共管账户，乙方按季度所受理楼栋的总户数统一存入办证保证金（500元/户），并提供入账凭证；</w:t>
      </w:r>
    </w:p>
    <w:p>
      <w:pPr>
        <w:pStyle w:val="183"/>
        <w:spacing w:line="360" w:lineRule="auto"/>
        <w:ind w:firstLine="480"/>
        <w:rPr>
          <w:bCs/>
          <w:szCs w:val="14"/>
        </w:rPr>
      </w:pPr>
      <w:r>
        <w:rPr>
          <w:rFonts w:hint="eastAsia"/>
          <w:bCs/>
          <w:szCs w:val="14"/>
        </w:rPr>
        <w:t>结算条件：根据办证考核标准及完成效率，结合出证情况及入账凭证按季度结算。以达到办证条件起时间计算，每季度解冻一次，如在90天内完成面签，则全额结算办证保证金；如超过90天未满半年完成面签，则结算办证保证金的80%，剩余</w:t>
      </w:r>
      <w:r>
        <w:rPr>
          <w:bCs/>
          <w:szCs w:val="14"/>
        </w:rPr>
        <w:t>20%</w:t>
      </w:r>
      <w:r>
        <w:rPr>
          <w:rFonts w:hint="eastAsia"/>
          <w:bCs/>
          <w:szCs w:val="14"/>
        </w:rPr>
        <w:t>获取不动产权证后再结算；如超过半年未完成面签，则扣罚单套办证保证金的</w:t>
      </w:r>
      <w:r>
        <w:rPr>
          <w:bCs/>
          <w:szCs w:val="14"/>
        </w:rPr>
        <w:t>10%</w:t>
      </w:r>
      <w:r>
        <w:rPr>
          <w:rFonts w:hint="eastAsia"/>
          <w:bCs/>
          <w:szCs w:val="14"/>
        </w:rPr>
        <w:t>；如超过一年未完</w:t>
      </w:r>
      <w:r>
        <w:rPr>
          <w:bCs/>
          <w:szCs w:val="14"/>
        </w:rPr>
        <w:t>成，则扣罚单</w:t>
      </w:r>
      <w:r>
        <w:rPr>
          <w:rFonts w:hint="eastAsia"/>
          <w:bCs/>
          <w:szCs w:val="14"/>
        </w:rPr>
        <w:t>套</w:t>
      </w:r>
      <w:r>
        <w:rPr>
          <w:bCs/>
          <w:szCs w:val="14"/>
        </w:rPr>
        <w:t>办证保证金的</w:t>
      </w:r>
      <w:r>
        <w:rPr>
          <w:rFonts w:hint="eastAsia"/>
          <w:bCs/>
          <w:szCs w:val="14"/>
        </w:rPr>
        <w:t>20%；以</w:t>
      </w:r>
      <w:r>
        <w:rPr>
          <w:bCs/>
          <w:szCs w:val="14"/>
        </w:rPr>
        <w:t>此以半年</w:t>
      </w:r>
      <w:r>
        <w:rPr>
          <w:rFonts w:hint="eastAsia"/>
          <w:bCs/>
          <w:szCs w:val="14"/>
        </w:rPr>
        <w:t>递</w:t>
      </w:r>
      <w:r>
        <w:rPr>
          <w:bCs/>
          <w:szCs w:val="14"/>
        </w:rPr>
        <w:t>增</w:t>
      </w:r>
      <w:r>
        <w:rPr>
          <w:rFonts w:hint="eastAsia"/>
          <w:bCs/>
          <w:szCs w:val="14"/>
        </w:rPr>
        <w:t>。</w:t>
      </w:r>
    </w:p>
    <w:p>
      <w:pPr>
        <w:pStyle w:val="183"/>
        <w:numPr>
          <w:ilvl w:val="255"/>
          <w:numId w:val="0"/>
        </w:numPr>
        <w:spacing w:line="500" w:lineRule="exact"/>
        <w:rPr>
          <w:b/>
          <w:szCs w:val="14"/>
        </w:rPr>
      </w:pPr>
      <w:r>
        <w:rPr>
          <w:rFonts w:hint="eastAsia"/>
          <w:b/>
          <w:szCs w:val="14"/>
        </w:rPr>
        <w:t>3、以上</w:t>
      </w:r>
      <w:r>
        <w:rPr>
          <w:b/>
          <w:szCs w:val="14"/>
        </w:rPr>
        <w:t>1</w:t>
      </w:r>
      <w:r>
        <w:rPr>
          <w:rFonts w:hint="eastAsia"/>
          <w:b/>
          <w:szCs w:val="14"/>
        </w:rPr>
        <w:t>、2项中约定的收费标准</w:t>
      </w:r>
      <w:r>
        <w:rPr>
          <w:b/>
          <w:szCs w:val="14"/>
        </w:rPr>
        <w:t>有效期</w:t>
      </w:r>
      <w:r>
        <w:rPr>
          <w:rFonts w:hint="eastAsia"/>
          <w:b/>
          <w:szCs w:val="14"/>
        </w:rPr>
        <w:t>起至本协议终止。</w:t>
      </w:r>
    </w:p>
    <w:p>
      <w:pPr>
        <w:pStyle w:val="183"/>
        <w:spacing w:line="500" w:lineRule="exact"/>
        <w:ind w:firstLine="0" w:firstLineChars="0"/>
        <w:rPr>
          <w:bCs/>
          <w:szCs w:val="14"/>
        </w:rPr>
      </w:pPr>
      <w:r>
        <w:rPr>
          <w:rFonts w:hint="eastAsia"/>
          <w:bCs/>
          <w:szCs w:val="14"/>
        </w:rPr>
        <w:t>（二）乙方依据本协议书第一条约定提供法律服务并代收相关费用的同时，须向支付费用的一方开立代收收据，待委托事项完成后凭收费单位最终开立的符合税务主管部门要求的发票或行政事业性收据与支付费用的一方依据“多退少补”原则据实结算。</w:t>
      </w:r>
    </w:p>
    <w:p>
      <w:pPr>
        <w:pStyle w:val="183"/>
        <w:spacing w:line="500" w:lineRule="exact"/>
        <w:ind w:left="420" w:firstLine="0" w:firstLineChars="0"/>
        <w:rPr>
          <w:bCs/>
          <w:szCs w:val="14"/>
        </w:rPr>
      </w:pPr>
    </w:p>
    <w:p>
      <w:pPr>
        <w:tabs>
          <w:tab w:val="left" w:pos="0"/>
        </w:tabs>
        <w:spacing w:line="360" w:lineRule="auto"/>
        <w:rPr>
          <w:b/>
          <w:bCs/>
          <w:szCs w:val="14"/>
        </w:rPr>
      </w:pPr>
      <w:r>
        <w:rPr>
          <w:rFonts w:hint="eastAsia"/>
          <w:b/>
          <w:bCs/>
          <w:szCs w:val="14"/>
        </w:rPr>
        <w:t>六、违约责任</w:t>
      </w:r>
    </w:p>
    <w:p>
      <w:pPr>
        <w:numPr>
          <w:ilvl w:val="255"/>
          <w:numId w:val="0"/>
        </w:numPr>
        <w:spacing w:line="360" w:lineRule="auto"/>
        <w:rPr>
          <w:b/>
          <w:bCs/>
          <w:szCs w:val="14"/>
        </w:rPr>
      </w:pPr>
      <w:r>
        <w:rPr>
          <w:rFonts w:hint="eastAsia"/>
          <w:bCs/>
          <w:szCs w:val="14"/>
        </w:rPr>
        <w:t>（一）由乙方原因造成商品房买卖合同签订错误，由乙方负责更正。同时，乙方应向甲方支付违约金，违约金按相应事项之律师收费标准的1</w:t>
      </w:r>
      <w:r>
        <w:rPr>
          <w:bCs/>
          <w:szCs w:val="14"/>
        </w:rPr>
        <w:t>.1</w:t>
      </w:r>
      <w:r>
        <w:rPr>
          <w:rFonts w:hint="eastAsia"/>
          <w:bCs/>
          <w:szCs w:val="14"/>
        </w:rPr>
        <w:t>倍计算，甲方有权直接从乙方保证金内扣除相应费用，情节严重的甲方有权向乙方追讨名誉及经济的损失。</w:t>
      </w:r>
    </w:p>
    <w:p>
      <w:pPr>
        <w:numPr>
          <w:ilvl w:val="255"/>
          <w:numId w:val="0"/>
        </w:numPr>
        <w:spacing w:line="360" w:lineRule="auto"/>
        <w:ind w:left="6"/>
        <w:rPr>
          <w:bCs/>
          <w:szCs w:val="14"/>
        </w:rPr>
      </w:pPr>
      <w:r>
        <w:rPr>
          <w:rFonts w:hint="eastAsia"/>
          <w:bCs/>
          <w:szCs w:val="14"/>
        </w:rPr>
        <w:t>（二）甲方提供的办公设备，由乙方负责妥善使用和保管，如有损坏，由乙方负责赔偿。</w:t>
      </w:r>
    </w:p>
    <w:p>
      <w:pPr>
        <w:numPr>
          <w:ilvl w:val="255"/>
          <w:numId w:val="0"/>
        </w:numPr>
        <w:spacing w:line="360" w:lineRule="auto"/>
        <w:ind w:left="6"/>
        <w:rPr>
          <w:bCs/>
          <w:szCs w:val="14"/>
        </w:rPr>
      </w:pPr>
      <w:r>
        <w:rPr>
          <w:rFonts w:hint="eastAsia"/>
          <w:bCs/>
          <w:szCs w:val="14"/>
        </w:rPr>
        <w:t>（三）如发生下述情形之一的，视为乙方严重违约，乙方应赔偿甲方损失，甲方有权单方解除本协议，乙方已付的保证金不再退还，同时，甲方根据情况保留追究乙方法律责任的权利。</w:t>
      </w:r>
    </w:p>
    <w:p>
      <w:pPr>
        <w:pStyle w:val="183"/>
        <w:numPr>
          <w:ilvl w:val="255"/>
          <w:numId w:val="0"/>
        </w:numPr>
        <w:tabs>
          <w:tab w:val="left" w:pos="0"/>
        </w:tabs>
        <w:spacing w:line="360" w:lineRule="auto"/>
        <w:ind w:left="289"/>
        <w:rPr>
          <w:bCs/>
          <w:szCs w:val="14"/>
        </w:rPr>
      </w:pPr>
      <w:r>
        <w:rPr>
          <w:rFonts w:hint="eastAsia"/>
          <w:bCs/>
          <w:szCs w:val="14"/>
        </w:rPr>
        <w:t>1、未按照甲方认可的合同范本填写、签订商品房买卖合同和签约附件资料；</w:t>
      </w:r>
    </w:p>
    <w:p>
      <w:pPr>
        <w:pStyle w:val="183"/>
        <w:numPr>
          <w:ilvl w:val="255"/>
          <w:numId w:val="0"/>
        </w:numPr>
        <w:tabs>
          <w:tab w:val="left" w:pos="0"/>
        </w:tabs>
        <w:spacing w:line="360" w:lineRule="auto"/>
        <w:ind w:left="289"/>
        <w:rPr>
          <w:bCs/>
          <w:szCs w:val="14"/>
        </w:rPr>
      </w:pPr>
      <w:r>
        <w:rPr>
          <w:rFonts w:hint="eastAsia"/>
          <w:bCs/>
          <w:szCs w:val="14"/>
        </w:rPr>
        <w:t>2、商品买卖合同签订错误未能及时补救，或无法补救的；</w:t>
      </w:r>
    </w:p>
    <w:p>
      <w:pPr>
        <w:pStyle w:val="183"/>
        <w:numPr>
          <w:ilvl w:val="255"/>
          <w:numId w:val="0"/>
        </w:numPr>
        <w:tabs>
          <w:tab w:val="left" w:pos="0"/>
        </w:tabs>
        <w:spacing w:line="360" w:lineRule="auto"/>
        <w:ind w:left="289"/>
        <w:rPr>
          <w:bCs/>
          <w:szCs w:val="14"/>
        </w:rPr>
      </w:pPr>
      <w:r>
        <w:rPr>
          <w:rFonts w:hint="eastAsia"/>
          <w:bCs/>
          <w:szCs w:val="14"/>
        </w:rPr>
        <w:t>3、未按照本协议所附《服务守则》规定进行工作的；</w:t>
      </w:r>
    </w:p>
    <w:p>
      <w:pPr>
        <w:pStyle w:val="183"/>
        <w:numPr>
          <w:ilvl w:val="255"/>
          <w:numId w:val="0"/>
        </w:numPr>
        <w:tabs>
          <w:tab w:val="left" w:pos="0"/>
        </w:tabs>
        <w:spacing w:line="360" w:lineRule="auto"/>
        <w:ind w:left="289"/>
        <w:rPr>
          <w:bCs/>
          <w:szCs w:val="14"/>
        </w:rPr>
      </w:pPr>
      <w:r>
        <w:rPr>
          <w:rFonts w:hint="eastAsia"/>
          <w:bCs/>
          <w:szCs w:val="14"/>
        </w:rPr>
        <w:t>4、未经甲方许可将因法律服务产生的信息用于其它商业用途或向第三方泄露、披露甲方商业秘密和资料的；</w:t>
      </w:r>
    </w:p>
    <w:p>
      <w:pPr>
        <w:pStyle w:val="183"/>
        <w:numPr>
          <w:ilvl w:val="255"/>
          <w:numId w:val="0"/>
        </w:numPr>
        <w:tabs>
          <w:tab w:val="left" w:pos="0"/>
        </w:tabs>
        <w:spacing w:line="360" w:lineRule="auto"/>
        <w:ind w:left="289"/>
        <w:rPr>
          <w:bCs/>
          <w:szCs w:val="14"/>
        </w:rPr>
      </w:pPr>
      <w:r>
        <w:rPr>
          <w:rFonts w:hint="eastAsia"/>
          <w:bCs/>
          <w:szCs w:val="14"/>
        </w:rPr>
        <w:t>5、未经甲方同意，乙方派出的驻场服务人员不能再为甲方的竞争对手服务；</w:t>
      </w:r>
    </w:p>
    <w:p>
      <w:pPr>
        <w:pStyle w:val="183"/>
        <w:numPr>
          <w:ilvl w:val="255"/>
          <w:numId w:val="0"/>
        </w:numPr>
        <w:tabs>
          <w:tab w:val="left" w:pos="0"/>
        </w:tabs>
        <w:spacing w:line="360" w:lineRule="auto"/>
        <w:ind w:left="289"/>
        <w:rPr>
          <w:bCs/>
          <w:szCs w:val="14"/>
        </w:rPr>
      </w:pPr>
      <w:r>
        <w:rPr>
          <w:rFonts w:hint="eastAsia"/>
          <w:bCs/>
          <w:szCs w:val="14"/>
        </w:rPr>
        <w:t>6、乙方工作的表现与服务，如收到客户投诉达三次或收到与甲方合作单位例如银行等投诉达三次的，甲方有权终止合作协议。</w:t>
      </w:r>
    </w:p>
    <w:p>
      <w:pPr>
        <w:numPr>
          <w:ilvl w:val="255"/>
          <w:numId w:val="0"/>
        </w:numPr>
        <w:spacing w:line="360" w:lineRule="auto"/>
        <w:ind w:left="6"/>
        <w:rPr>
          <w:bCs/>
          <w:szCs w:val="14"/>
        </w:rPr>
      </w:pPr>
      <w:r>
        <w:rPr>
          <w:rFonts w:hint="eastAsia"/>
          <w:bCs/>
          <w:szCs w:val="14"/>
        </w:rPr>
        <w:t>（四）合同履行期间，由于乙方原因，导致未能按甲方要求完成工作事项或完成未达标准或者有违规事件发生等，甲方有权发出警告函给乙方，甲方累计发出三次警告函后，甲方有权单方终止本合同并没收乙方保证金，乙方同意不因此追究甲方的任何责任。</w:t>
      </w:r>
    </w:p>
    <w:p>
      <w:pPr>
        <w:numPr>
          <w:ilvl w:val="255"/>
          <w:numId w:val="0"/>
        </w:numPr>
        <w:spacing w:line="360" w:lineRule="auto"/>
        <w:ind w:left="6"/>
        <w:rPr>
          <w:bCs/>
          <w:szCs w:val="14"/>
        </w:rPr>
      </w:pPr>
      <w:r>
        <w:rPr>
          <w:rFonts w:hint="eastAsia"/>
          <w:bCs/>
          <w:szCs w:val="14"/>
        </w:rPr>
        <w:t>（五）由于乙方原因，乙方单方面向甲方提出提前终止合同的，乙方须至少提前两个月向甲方发出书面通知。在正式终止合同前，乙方须按本协议继续为甲方服务，并有义务配合甲方完成所有的交接工作，同时乙方须向甲方支付2万元的违约金。</w:t>
      </w:r>
    </w:p>
    <w:p>
      <w:pPr>
        <w:spacing w:line="500" w:lineRule="exact"/>
        <w:rPr>
          <w:b/>
          <w:szCs w:val="14"/>
        </w:rPr>
      </w:pPr>
      <w:r>
        <w:rPr>
          <w:rFonts w:hint="eastAsia"/>
          <w:b/>
          <w:szCs w:val="14"/>
        </w:rPr>
        <w:t>双方无论因何原因解除合同，乙方均应按“服务守则”完成已签订合同的各项工作。</w:t>
      </w:r>
    </w:p>
    <w:p>
      <w:pPr>
        <w:spacing w:line="360" w:lineRule="auto"/>
        <w:ind w:left="6"/>
        <w:rPr>
          <w:bCs/>
          <w:szCs w:val="14"/>
        </w:rPr>
      </w:pPr>
      <w:r>
        <w:rPr>
          <w:rFonts w:hint="eastAsia"/>
          <w:b/>
          <w:bCs/>
          <w:szCs w:val="14"/>
        </w:rPr>
        <w:t>七、其他事宜</w:t>
      </w:r>
    </w:p>
    <w:p>
      <w:pPr>
        <w:pStyle w:val="183"/>
        <w:numPr>
          <w:ilvl w:val="255"/>
          <w:numId w:val="0"/>
        </w:numPr>
        <w:spacing w:line="500" w:lineRule="exact"/>
        <w:rPr>
          <w:bCs/>
          <w:szCs w:val="14"/>
        </w:rPr>
      </w:pPr>
      <w:r>
        <w:rPr>
          <w:rFonts w:hint="eastAsia"/>
          <w:bCs/>
          <w:szCs w:val="14"/>
        </w:rPr>
        <w:t>（一）为了便于沟通，甲方安排，乙方安排，上述两人为双方的交接人员，专门从事资料交接、信息交换及法律服务费用的核对结算等工作。</w:t>
      </w:r>
    </w:p>
    <w:p>
      <w:pPr>
        <w:pStyle w:val="183"/>
        <w:numPr>
          <w:ilvl w:val="255"/>
          <w:numId w:val="0"/>
        </w:numPr>
        <w:spacing w:line="500" w:lineRule="exact"/>
        <w:rPr>
          <w:bCs/>
          <w:szCs w:val="14"/>
        </w:rPr>
      </w:pPr>
      <w:r>
        <w:rPr>
          <w:rFonts w:hint="eastAsia"/>
          <w:bCs/>
          <w:szCs w:val="14"/>
        </w:rPr>
        <w:t>（二）乙方于本合同生效之日起30日内，乙方须向甲方支付贰万元作为保证金，如与乙方有关的纠纷（投诉）未解决完毕的，甲方可暂缓支付保证金直到纠纷得到妥善解决为止；待本合同结束后，甲方在30日内原路退还剩余保证金，如保证金已扣完，则不再进行退还。甲乙双方账号如下：</w:t>
      </w:r>
    </w:p>
    <w:p>
      <w:pPr>
        <w:tabs>
          <w:tab w:val="left" w:pos="0"/>
        </w:tabs>
        <w:spacing w:line="360" w:lineRule="auto"/>
        <w:rPr>
          <w:bCs/>
          <w:szCs w:val="14"/>
        </w:rPr>
      </w:pPr>
      <w:r>
        <w:rPr>
          <w:bCs/>
          <w:szCs w:val="14"/>
        </w:rPr>
        <w:t xml:space="preserve">A) </w:t>
      </w:r>
      <w:r>
        <w:rPr>
          <w:rFonts w:hint="eastAsia"/>
          <w:bCs/>
          <w:szCs w:val="14"/>
        </w:rPr>
        <w:t>甲方收款账户</w:t>
      </w:r>
    </w:p>
    <w:p>
      <w:pPr>
        <w:tabs>
          <w:tab w:val="left" w:pos="0"/>
        </w:tabs>
        <w:spacing w:line="360" w:lineRule="auto"/>
        <w:ind w:firstLine="600" w:firstLineChars="250"/>
        <w:rPr>
          <w:bCs/>
          <w:szCs w:val="14"/>
        </w:rPr>
      </w:pPr>
      <w:r>
        <w:rPr>
          <w:rFonts w:hint="eastAsia"/>
          <w:bCs/>
          <w:szCs w:val="14"/>
        </w:rPr>
        <w:t>公司名称：</w:t>
      </w:r>
    </w:p>
    <w:p>
      <w:pPr>
        <w:tabs>
          <w:tab w:val="left" w:pos="0"/>
        </w:tabs>
        <w:spacing w:line="360" w:lineRule="auto"/>
        <w:ind w:firstLine="600" w:firstLineChars="250"/>
        <w:rPr>
          <w:bCs/>
          <w:szCs w:val="14"/>
        </w:rPr>
      </w:pPr>
      <w:r>
        <w:rPr>
          <w:rFonts w:hint="eastAsia"/>
          <w:bCs/>
          <w:szCs w:val="14"/>
        </w:rPr>
        <w:t>纳税人识别号：</w:t>
      </w:r>
    </w:p>
    <w:p>
      <w:pPr>
        <w:tabs>
          <w:tab w:val="left" w:pos="0"/>
        </w:tabs>
        <w:spacing w:line="360" w:lineRule="auto"/>
        <w:ind w:firstLine="600" w:firstLineChars="250"/>
        <w:rPr>
          <w:bCs/>
          <w:szCs w:val="14"/>
        </w:rPr>
      </w:pPr>
      <w:r>
        <w:rPr>
          <w:rFonts w:hint="eastAsia"/>
          <w:bCs/>
          <w:szCs w:val="14"/>
        </w:rPr>
        <w:t>税务登记地址：</w:t>
      </w:r>
    </w:p>
    <w:p>
      <w:pPr>
        <w:tabs>
          <w:tab w:val="left" w:pos="0"/>
        </w:tabs>
        <w:spacing w:line="360" w:lineRule="auto"/>
        <w:ind w:firstLine="600" w:firstLineChars="250"/>
        <w:rPr>
          <w:bCs/>
          <w:szCs w:val="14"/>
        </w:rPr>
      </w:pPr>
      <w:r>
        <w:rPr>
          <w:rFonts w:hint="eastAsia"/>
          <w:bCs/>
          <w:szCs w:val="14"/>
        </w:rPr>
        <w:t>电话号码：</w:t>
      </w:r>
    </w:p>
    <w:p>
      <w:pPr>
        <w:tabs>
          <w:tab w:val="left" w:pos="0"/>
        </w:tabs>
        <w:spacing w:line="360" w:lineRule="auto"/>
        <w:ind w:firstLine="600" w:firstLineChars="250"/>
        <w:rPr>
          <w:bCs/>
          <w:szCs w:val="14"/>
        </w:rPr>
      </w:pPr>
      <w:r>
        <w:rPr>
          <w:rFonts w:hint="eastAsia"/>
          <w:bCs/>
          <w:szCs w:val="14"/>
        </w:rPr>
        <w:t>开户银行：</w:t>
      </w:r>
    </w:p>
    <w:p>
      <w:pPr>
        <w:tabs>
          <w:tab w:val="left" w:pos="0"/>
        </w:tabs>
        <w:spacing w:line="360" w:lineRule="auto"/>
        <w:ind w:firstLine="600" w:firstLineChars="250"/>
        <w:rPr>
          <w:bCs/>
          <w:szCs w:val="14"/>
        </w:rPr>
      </w:pPr>
      <w:r>
        <w:rPr>
          <w:rFonts w:hint="eastAsia"/>
          <w:bCs/>
          <w:szCs w:val="14"/>
        </w:rPr>
        <w:t>银行账号：</w:t>
      </w:r>
    </w:p>
    <w:p>
      <w:pPr>
        <w:tabs>
          <w:tab w:val="left" w:pos="0"/>
        </w:tabs>
        <w:spacing w:line="360" w:lineRule="auto"/>
        <w:rPr>
          <w:bCs/>
          <w:szCs w:val="14"/>
        </w:rPr>
      </w:pPr>
      <w:r>
        <w:rPr>
          <w:bCs/>
          <w:szCs w:val="14"/>
        </w:rPr>
        <w:t>B)</w:t>
      </w:r>
      <w:r>
        <w:rPr>
          <w:rFonts w:hint="eastAsia"/>
          <w:bCs/>
          <w:szCs w:val="14"/>
        </w:rPr>
        <w:t>乙方收款账户</w:t>
      </w:r>
    </w:p>
    <w:p>
      <w:pPr>
        <w:tabs>
          <w:tab w:val="left" w:pos="0"/>
        </w:tabs>
        <w:spacing w:line="360" w:lineRule="auto"/>
        <w:ind w:firstLine="600" w:firstLineChars="250"/>
        <w:rPr>
          <w:bCs/>
          <w:szCs w:val="14"/>
        </w:rPr>
      </w:pPr>
      <w:r>
        <w:rPr>
          <w:rFonts w:hint="eastAsia"/>
          <w:bCs/>
          <w:szCs w:val="14"/>
        </w:rPr>
        <w:t>公司名称：</w:t>
      </w:r>
    </w:p>
    <w:p>
      <w:pPr>
        <w:tabs>
          <w:tab w:val="left" w:pos="0"/>
        </w:tabs>
        <w:spacing w:line="360" w:lineRule="auto"/>
        <w:ind w:firstLine="600" w:firstLineChars="250"/>
        <w:rPr>
          <w:bCs/>
          <w:szCs w:val="14"/>
        </w:rPr>
      </w:pPr>
      <w:r>
        <w:rPr>
          <w:rFonts w:hint="eastAsia"/>
          <w:bCs/>
          <w:szCs w:val="14"/>
        </w:rPr>
        <w:t>纳税人识别号：</w:t>
      </w:r>
    </w:p>
    <w:p>
      <w:pPr>
        <w:tabs>
          <w:tab w:val="left" w:pos="0"/>
        </w:tabs>
        <w:spacing w:line="360" w:lineRule="auto"/>
        <w:ind w:firstLine="600" w:firstLineChars="250"/>
        <w:rPr>
          <w:bCs/>
          <w:szCs w:val="14"/>
        </w:rPr>
      </w:pPr>
      <w:r>
        <w:rPr>
          <w:rFonts w:hint="eastAsia"/>
          <w:bCs/>
          <w:szCs w:val="14"/>
        </w:rPr>
        <w:t>税务登记地址：</w:t>
      </w:r>
    </w:p>
    <w:p>
      <w:pPr>
        <w:tabs>
          <w:tab w:val="left" w:pos="0"/>
        </w:tabs>
        <w:spacing w:line="360" w:lineRule="auto"/>
        <w:ind w:firstLine="600" w:firstLineChars="250"/>
        <w:rPr>
          <w:bCs/>
          <w:szCs w:val="14"/>
        </w:rPr>
      </w:pPr>
      <w:r>
        <w:rPr>
          <w:rFonts w:hint="eastAsia"/>
          <w:bCs/>
          <w:szCs w:val="14"/>
        </w:rPr>
        <w:t>电话号码：</w:t>
      </w:r>
    </w:p>
    <w:p>
      <w:pPr>
        <w:tabs>
          <w:tab w:val="left" w:pos="0"/>
        </w:tabs>
        <w:spacing w:line="360" w:lineRule="auto"/>
        <w:ind w:firstLine="600" w:firstLineChars="250"/>
        <w:rPr>
          <w:bCs/>
          <w:szCs w:val="14"/>
        </w:rPr>
      </w:pPr>
      <w:r>
        <w:rPr>
          <w:rFonts w:hint="eastAsia"/>
          <w:bCs/>
          <w:szCs w:val="14"/>
        </w:rPr>
        <w:t>开户银行：</w:t>
      </w:r>
    </w:p>
    <w:p>
      <w:pPr>
        <w:tabs>
          <w:tab w:val="left" w:pos="0"/>
        </w:tabs>
        <w:spacing w:line="360" w:lineRule="auto"/>
        <w:ind w:firstLine="600" w:firstLineChars="250"/>
        <w:rPr>
          <w:bCs/>
          <w:szCs w:val="14"/>
        </w:rPr>
      </w:pPr>
      <w:r>
        <w:rPr>
          <w:rFonts w:hint="eastAsia"/>
          <w:bCs/>
          <w:szCs w:val="14"/>
        </w:rPr>
        <w:t>银行账号：</w:t>
      </w:r>
    </w:p>
    <w:p>
      <w:pPr>
        <w:pStyle w:val="183"/>
        <w:numPr>
          <w:ilvl w:val="255"/>
          <w:numId w:val="0"/>
        </w:numPr>
        <w:spacing w:line="500" w:lineRule="exact"/>
        <w:rPr>
          <w:bCs/>
          <w:szCs w:val="14"/>
        </w:rPr>
      </w:pPr>
      <w:r>
        <w:rPr>
          <w:rFonts w:hint="eastAsia"/>
          <w:bCs/>
          <w:szCs w:val="14"/>
        </w:rPr>
        <w:t>（三）甲方与乙方签订的服务协议，非特指由乙方独家提供法律服务，甲方可同时委托其他律师所提供法律服务。</w:t>
      </w:r>
    </w:p>
    <w:p>
      <w:pPr>
        <w:tabs>
          <w:tab w:val="left" w:pos="0"/>
        </w:tabs>
        <w:spacing w:line="360" w:lineRule="auto"/>
        <w:rPr>
          <w:b/>
          <w:bCs/>
          <w:szCs w:val="14"/>
        </w:rPr>
      </w:pPr>
    </w:p>
    <w:p>
      <w:pPr>
        <w:tabs>
          <w:tab w:val="left" w:pos="0"/>
        </w:tabs>
        <w:spacing w:line="360" w:lineRule="auto"/>
        <w:rPr>
          <w:b/>
          <w:bCs/>
          <w:szCs w:val="14"/>
        </w:rPr>
      </w:pPr>
      <w:r>
        <w:rPr>
          <w:rFonts w:hint="eastAsia"/>
          <w:b/>
          <w:bCs/>
          <w:szCs w:val="14"/>
        </w:rPr>
        <w:t>八、本协议一式</w:t>
      </w:r>
      <w:r>
        <w:rPr>
          <w:rFonts w:hint="eastAsia"/>
          <w:b/>
          <w:bCs/>
          <w:szCs w:val="14"/>
          <w:u w:val="single"/>
        </w:rPr>
        <w:t xml:space="preserve"> 伍 </w:t>
      </w:r>
      <w:r>
        <w:rPr>
          <w:rFonts w:hint="eastAsia"/>
          <w:b/>
          <w:bCs/>
          <w:szCs w:val="14"/>
        </w:rPr>
        <w:t>份，甲方执</w:t>
      </w:r>
      <w:r>
        <w:rPr>
          <w:rFonts w:hint="eastAsia"/>
          <w:b/>
          <w:bCs/>
          <w:szCs w:val="14"/>
          <w:u w:val="single"/>
        </w:rPr>
        <w:t xml:space="preserve"> 肆 </w:t>
      </w:r>
      <w:r>
        <w:rPr>
          <w:rFonts w:hint="eastAsia"/>
          <w:b/>
          <w:bCs/>
          <w:szCs w:val="14"/>
        </w:rPr>
        <w:t>份，乙方执</w:t>
      </w:r>
      <w:r>
        <w:rPr>
          <w:rFonts w:hint="eastAsia"/>
          <w:b/>
          <w:bCs/>
          <w:szCs w:val="14"/>
          <w:u w:val="single"/>
        </w:rPr>
        <w:t xml:space="preserve"> 壹 </w:t>
      </w:r>
      <w:r>
        <w:rPr>
          <w:rFonts w:hint="eastAsia"/>
          <w:b/>
          <w:bCs/>
          <w:szCs w:val="14"/>
        </w:rPr>
        <w:t>份。</w:t>
      </w:r>
    </w:p>
    <w:p>
      <w:pPr>
        <w:tabs>
          <w:tab w:val="left" w:pos="0"/>
        </w:tabs>
        <w:spacing w:line="360" w:lineRule="auto"/>
        <w:ind w:firstLine="602" w:firstLineChars="250"/>
        <w:rPr>
          <w:b/>
          <w:bCs/>
          <w:szCs w:val="14"/>
        </w:rPr>
      </w:pPr>
    </w:p>
    <w:p>
      <w:pPr>
        <w:tabs>
          <w:tab w:val="left" w:pos="0"/>
        </w:tabs>
        <w:spacing w:line="360" w:lineRule="auto"/>
        <w:rPr>
          <w:b/>
          <w:bCs/>
          <w:szCs w:val="14"/>
        </w:rPr>
      </w:pPr>
      <w:r>
        <w:rPr>
          <w:rFonts w:hint="eastAsia"/>
          <w:b/>
          <w:bCs/>
          <w:szCs w:val="14"/>
        </w:rPr>
        <w:t>九、双方因本协议的履行产生纠纷的，应当协商解决，协商不成，任何一方应当向甲方所在地有管辖权的人民法院提起诉讼。</w:t>
      </w:r>
    </w:p>
    <w:p>
      <w:pPr>
        <w:tabs>
          <w:tab w:val="left" w:pos="0"/>
        </w:tabs>
        <w:spacing w:line="360" w:lineRule="auto"/>
        <w:ind w:firstLine="602" w:firstLineChars="250"/>
        <w:rPr>
          <w:b/>
          <w:bCs/>
          <w:szCs w:val="14"/>
        </w:rPr>
      </w:pPr>
    </w:p>
    <w:p>
      <w:pPr>
        <w:tabs>
          <w:tab w:val="left" w:pos="0"/>
        </w:tabs>
        <w:spacing w:line="360" w:lineRule="auto"/>
        <w:rPr>
          <w:b/>
          <w:bCs/>
          <w:szCs w:val="14"/>
        </w:rPr>
      </w:pPr>
      <w:r>
        <w:rPr>
          <w:rFonts w:hint="eastAsia"/>
          <w:b/>
          <w:bCs/>
          <w:szCs w:val="14"/>
        </w:rPr>
        <w:t>十、经甲乙双方代表盖章认可的《服务守则》作为本协议的补充协议，与本协议具有同等法律效力。（详见附件一）</w:t>
      </w:r>
    </w:p>
    <w:p>
      <w:pPr>
        <w:tabs>
          <w:tab w:val="left" w:pos="0"/>
        </w:tabs>
        <w:spacing w:line="360" w:lineRule="auto"/>
        <w:rPr>
          <w:b/>
          <w:bCs/>
          <w:szCs w:val="14"/>
        </w:rPr>
      </w:pPr>
    </w:p>
    <w:p>
      <w:pPr>
        <w:tabs>
          <w:tab w:val="left" w:pos="0"/>
        </w:tabs>
        <w:spacing w:line="360" w:lineRule="auto"/>
        <w:rPr>
          <w:b/>
          <w:bCs/>
          <w:szCs w:val="14"/>
        </w:rPr>
      </w:pPr>
      <w:r>
        <w:rPr>
          <w:rFonts w:hint="eastAsia"/>
          <w:b/>
          <w:bCs/>
          <w:szCs w:val="14"/>
        </w:rPr>
        <w:t>十一、廉洁从业</w:t>
      </w:r>
    </w:p>
    <w:p>
      <w:pPr>
        <w:tabs>
          <w:tab w:val="left" w:pos="0"/>
        </w:tabs>
        <w:spacing w:line="360" w:lineRule="auto"/>
        <w:ind w:firstLine="600" w:firstLineChars="250"/>
        <w:rPr>
          <w:bCs/>
          <w:szCs w:val="14"/>
        </w:rPr>
      </w:pPr>
      <w:r>
        <w:rPr>
          <w:rFonts w:hint="eastAsia"/>
          <w:bCs/>
          <w:szCs w:val="14"/>
        </w:rPr>
        <w:t>甲方员工不得接受乙方安排的的宴请、现金、礼品、有价证券/购物卡、土特产品，或参加乙方邀请的高尔夫、国内外参观考察/培训活动等可能对公正履行职责有影响的活动，乙方如发现甲方单位员工有类似行为的应及时向指定的监督部门举报。</w:t>
      </w: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r>
        <w:rPr>
          <w:rFonts w:hint="eastAsia"/>
          <w:bCs/>
          <w:szCs w:val="14"/>
        </w:rPr>
        <w:t>甲方：                                 乙方：</w:t>
      </w:r>
    </w:p>
    <w:p>
      <w:pPr>
        <w:tabs>
          <w:tab w:val="left" w:pos="0"/>
        </w:tabs>
        <w:spacing w:line="360" w:lineRule="auto"/>
        <w:ind w:firstLine="600" w:firstLineChars="250"/>
        <w:rPr>
          <w:bCs/>
          <w:szCs w:val="14"/>
        </w:rPr>
      </w:pPr>
      <w:r>
        <w:rPr>
          <w:rFonts w:hint="eastAsia"/>
          <w:bCs/>
          <w:szCs w:val="14"/>
        </w:rPr>
        <w:t xml:space="preserve">代表人：                               代表人：   </w:t>
      </w: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r>
        <w:rPr>
          <w:rFonts w:hint="eastAsia"/>
          <w:bCs/>
          <w:szCs w:val="14"/>
        </w:rPr>
        <w:t xml:space="preserve"> 年      月      日                     年      月       日</w:t>
      </w:r>
    </w:p>
    <w:p>
      <w:pPr>
        <w:tabs>
          <w:tab w:val="left" w:pos="0"/>
        </w:tabs>
        <w:spacing w:line="360" w:lineRule="auto"/>
        <w:rPr>
          <w:bCs/>
          <w:szCs w:val="14"/>
        </w:rPr>
      </w:pPr>
    </w:p>
    <w:p>
      <w:pPr>
        <w:tabs>
          <w:tab w:val="left" w:pos="0"/>
        </w:tabs>
        <w:spacing w:line="360" w:lineRule="auto"/>
        <w:rPr>
          <w:bCs/>
          <w:szCs w:val="14"/>
        </w:rPr>
      </w:pPr>
      <w:r>
        <w:rPr>
          <w:rFonts w:hint="eastAsia"/>
          <w:bCs/>
          <w:szCs w:val="14"/>
        </w:rPr>
        <w:br w:type="page"/>
      </w:r>
    </w:p>
    <w:p>
      <w:pPr>
        <w:tabs>
          <w:tab w:val="left" w:pos="0"/>
        </w:tabs>
        <w:spacing w:line="360" w:lineRule="auto"/>
        <w:rPr>
          <w:bCs/>
          <w:szCs w:val="14"/>
        </w:rPr>
      </w:pPr>
      <w:r>
        <w:rPr>
          <w:rFonts w:hint="eastAsia"/>
          <w:bCs/>
          <w:szCs w:val="14"/>
        </w:rPr>
        <w:t>附件一：</w:t>
      </w:r>
    </w:p>
    <w:p>
      <w:pPr>
        <w:tabs>
          <w:tab w:val="left" w:pos="0"/>
        </w:tabs>
        <w:spacing w:line="360" w:lineRule="auto"/>
        <w:jc w:val="center"/>
        <w:rPr>
          <w:b/>
          <w:bCs/>
          <w:sz w:val="32"/>
          <w:szCs w:val="32"/>
        </w:rPr>
      </w:pPr>
      <w:r>
        <w:rPr>
          <w:rFonts w:hint="eastAsia"/>
          <w:b/>
          <w:bCs/>
          <w:sz w:val="32"/>
          <w:szCs w:val="32"/>
        </w:rPr>
        <w:t>服务守则</w:t>
      </w:r>
    </w:p>
    <w:p>
      <w:pPr>
        <w:tabs>
          <w:tab w:val="left" w:pos="0"/>
        </w:tabs>
        <w:spacing w:line="360" w:lineRule="auto"/>
        <w:ind w:firstLine="452" w:firstLineChars="250"/>
        <w:jc w:val="center"/>
        <w:rPr>
          <w:b/>
          <w:bCs/>
          <w:sz w:val="18"/>
          <w:szCs w:val="18"/>
        </w:rPr>
      </w:pPr>
    </w:p>
    <w:p>
      <w:pPr>
        <w:tabs>
          <w:tab w:val="left" w:pos="0"/>
        </w:tabs>
        <w:spacing w:line="360" w:lineRule="auto"/>
        <w:ind w:firstLine="420" w:firstLineChars="200"/>
        <w:rPr>
          <w:bCs/>
          <w:sz w:val="21"/>
          <w:szCs w:val="21"/>
        </w:rPr>
      </w:pPr>
      <w:r>
        <w:rPr>
          <w:rFonts w:hint="eastAsia"/>
          <w:bCs/>
          <w:sz w:val="21"/>
          <w:szCs w:val="21"/>
        </w:rPr>
        <w:t>为了提高工作效率和客户满意度，在法律服务方面，</w:t>
      </w:r>
      <w:r>
        <w:rPr>
          <w:rFonts w:hint="eastAsia"/>
          <w:b/>
          <w:bCs/>
          <w:sz w:val="21"/>
          <w:szCs w:val="21"/>
          <w:u w:val="single"/>
        </w:rPr>
        <w:t>东莞市东实旗云投资有限公司</w:t>
      </w:r>
      <w:r>
        <w:rPr>
          <w:rFonts w:hint="eastAsia"/>
          <w:bCs/>
          <w:sz w:val="21"/>
          <w:szCs w:val="21"/>
        </w:rPr>
        <w:t xml:space="preserve">与共同制订以下服务守则，以供律师所驻场人员遵守： </w:t>
      </w:r>
    </w:p>
    <w:p>
      <w:pPr>
        <w:tabs>
          <w:tab w:val="left" w:pos="0"/>
        </w:tabs>
        <w:spacing w:line="360" w:lineRule="auto"/>
        <w:ind w:firstLine="422" w:firstLineChars="200"/>
        <w:rPr>
          <w:b/>
          <w:sz w:val="21"/>
          <w:szCs w:val="21"/>
        </w:rPr>
      </w:pPr>
      <w:r>
        <w:rPr>
          <w:rFonts w:hint="eastAsia"/>
          <w:b/>
          <w:sz w:val="21"/>
          <w:szCs w:val="21"/>
        </w:rPr>
        <w:t>注</w:t>
      </w:r>
      <w:r>
        <w:rPr>
          <w:b/>
          <w:sz w:val="21"/>
          <w:szCs w:val="21"/>
        </w:rPr>
        <w:t>：以下操作</w:t>
      </w:r>
      <w:r>
        <w:rPr>
          <w:rFonts w:hint="eastAsia"/>
          <w:b/>
          <w:sz w:val="21"/>
          <w:szCs w:val="21"/>
        </w:rPr>
        <w:t>细则会</w:t>
      </w:r>
      <w:r>
        <w:rPr>
          <w:b/>
          <w:sz w:val="21"/>
          <w:szCs w:val="21"/>
        </w:rPr>
        <w:t>根据市场、政策的变化进行相应的调整，以</w:t>
      </w:r>
      <w:r>
        <w:rPr>
          <w:rFonts w:hint="eastAsia"/>
          <w:b/>
          <w:sz w:val="21"/>
          <w:szCs w:val="21"/>
        </w:rPr>
        <w:t>甲方</w:t>
      </w:r>
      <w:r>
        <w:rPr>
          <w:b/>
          <w:sz w:val="21"/>
          <w:szCs w:val="21"/>
        </w:rPr>
        <w:t>要求为</w:t>
      </w:r>
      <w:r>
        <w:rPr>
          <w:rFonts w:hint="eastAsia"/>
          <w:b/>
          <w:sz w:val="21"/>
          <w:szCs w:val="21"/>
        </w:rPr>
        <w:t>准。</w:t>
      </w:r>
    </w:p>
    <w:p>
      <w:pPr>
        <w:spacing w:line="360" w:lineRule="auto"/>
        <w:rPr>
          <w:b/>
          <w:sz w:val="21"/>
          <w:szCs w:val="21"/>
        </w:rPr>
      </w:pPr>
    </w:p>
    <w:p>
      <w:pPr>
        <w:widowControl/>
        <w:numPr>
          <w:ilvl w:val="0"/>
          <w:numId w:val="20"/>
        </w:numPr>
        <w:spacing w:line="360" w:lineRule="auto"/>
        <w:rPr>
          <w:b/>
          <w:sz w:val="21"/>
          <w:szCs w:val="21"/>
        </w:rPr>
      </w:pPr>
      <w:r>
        <w:rPr>
          <w:rFonts w:hint="eastAsia"/>
          <w:b/>
          <w:sz w:val="21"/>
          <w:szCs w:val="21"/>
        </w:rPr>
        <w:t>前期准备工作（完成时间：集中签约前一周）</w:t>
      </w:r>
    </w:p>
    <w:p>
      <w:pPr>
        <w:pStyle w:val="183"/>
        <w:widowControl/>
        <w:numPr>
          <w:ilvl w:val="0"/>
          <w:numId w:val="21"/>
        </w:numPr>
        <w:spacing w:line="360" w:lineRule="auto"/>
        <w:ind w:firstLineChars="0"/>
        <w:rPr>
          <w:bCs/>
          <w:sz w:val="21"/>
          <w:szCs w:val="21"/>
        </w:rPr>
      </w:pPr>
      <w:r>
        <w:rPr>
          <w:rFonts w:hint="eastAsia"/>
          <w:bCs/>
          <w:sz w:val="21"/>
          <w:szCs w:val="21"/>
        </w:rPr>
        <w:t>熟悉每期签约文本，包括买卖合同、补充协议及</w:t>
      </w:r>
      <w:r>
        <w:rPr>
          <w:bCs/>
          <w:sz w:val="21"/>
          <w:szCs w:val="21"/>
        </w:rPr>
        <w:t>相关签</w:t>
      </w:r>
      <w:r>
        <w:rPr>
          <w:rFonts w:hint="eastAsia"/>
          <w:bCs/>
          <w:sz w:val="21"/>
          <w:szCs w:val="21"/>
        </w:rPr>
        <w:t>署</w:t>
      </w:r>
      <w:r>
        <w:rPr>
          <w:bCs/>
          <w:sz w:val="21"/>
          <w:szCs w:val="21"/>
        </w:rPr>
        <w:t>资料</w:t>
      </w:r>
      <w:r>
        <w:rPr>
          <w:rFonts w:hint="eastAsia"/>
          <w:bCs/>
          <w:sz w:val="21"/>
          <w:szCs w:val="21"/>
        </w:rPr>
        <w:t>、前期物业服务协议、业主临时管理公约的基本内容。</w:t>
      </w:r>
    </w:p>
    <w:p>
      <w:pPr>
        <w:pStyle w:val="183"/>
        <w:widowControl/>
        <w:numPr>
          <w:ilvl w:val="0"/>
          <w:numId w:val="21"/>
        </w:numPr>
        <w:spacing w:line="360" w:lineRule="auto"/>
        <w:ind w:firstLineChars="0"/>
        <w:rPr>
          <w:bCs/>
          <w:sz w:val="21"/>
          <w:szCs w:val="21"/>
        </w:rPr>
      </w:pPr>
      <w:r>
        <w:rPr>
          <w:rFonts w:hint="eastAsia"/>
          <w:bCs/>
          <w:sz w:val="21"/>
          <w:szCs w:val="21"/>
        </w:rPr>
        <w:t>准备签</w:t>
      </w:r>
      <w:r>
        <w:rPr>
          <w:bCs/>
          <w:sz w:val="21"/>
          <w:szCs w:val="21"/>
        </w:rPr>
        <w:t>约</w:t>
      </w:r>
      <w:r>
        <w:rPr>
          <w:rFonts w:hint="eastAsia"/>
          <w:bCs/>
          <w:sz w:val="21"/>
          <w:szCs w:val="21"/>
        </w:rPr>
        <w:t>资料</w:t>
      </w:r>
      <w:r>
        <w:rPr>
          <w:bCs/>
          <w:sz w:val="21"/>
          <w:szCs w:val="21"/>
        </w:rPr>
        <w:t>，</w:t>
      </w:r>
      <w:r>
        <w:rPr>
          <w:rFonts w:hint="eastAsia"/>
          <w:bCs/>
          <w:sz w:val="21"/>
          <w:szCs w:val="21"/>
        </w:rPr>
        <w:t>包</w:t>
      </w:r>
      <w:r>
        <w:rPr>
          <w:bCs/>
          <w:sz w:val="21"/>
          <w:szCs w:val="21"/>
        </w:rPr>
        <w:t>括合同、附图、协议、税费申报等资料，并</w:t>
      </w:r>
      <w:r>
        <w:rPr>
          <w:rFonts w:hint="eastAsia"/>
          <w:bCs/>
          <w:sz w:val="21"/>
          <w:szCs w:val="21"/>
        </w:rPr>
        <w:t>核对</w:t>
      </w:r>
      <w:r>
        <w:rPr>
          <w:bCs/>
          <w:sz w:val="21"/>
          <w:szCs w:val="21"/>
        </w:rPr>
        <w:t>信息</w:t>
      </w:r>
      <w:r>
        <w:rPr>
          <w:rFonts w:hint="eastAsia"/>
          <w:bCs/>
          <w:sz w:val="21"/>
          <w:szCs w:val="21"/>
        </w:rPr>
        <w:t>。</w:t>
      </w:r>
    </w:p>
    <w:p>
      <w:pPr>
        <w:pStyle w:val="183"/>
        <w:widowControl/>
        <w:numPr>
          <w:ilvl w:val="0"/>
          <w:numId w:val="21"/>
        </w:numPr>
        <w:spacing w:line="360" w:lineRule="auto"/>
        <w:ind w:firstLineChars="0"/>
        <w:rPr>
          <w:bCs/>
          <w:sz w:val="21"/>
          <w:szCs w:val="21"/>
        </w:rPr>
      </w:pPr>
      <w:r>
        <w:rPr>
          <w:rFonts w:hint="eastAsia"/>
          <w:bCs/>
          <w:sz w:val="21"/>
          <w:szCs w:val="21"/>
        </w:rPr>
        <w:t>遇集中签约时，须于签约开始日提前一周，完成与按揭银行的联系，了解银行贷款政策的变化，准备充足的银行贷款填写资料，了解正确的填写要求操作细则。</w:t>
      </w:r>
    </w:p>
    <w:p>
      <w:pPr>
        <w:pStyle w:val="183"/>
        <w:widowControl/>
        <w:numPr>
          <w:ilvl w:val="0"/>
          <w:numId w:val="21"/>
        </w:numPr>
        <w:spacing w:line="360" w:lineRule="auto"/>
        <w:ind w:firstLineChars="0"/>
        <w:rPr>
          <w:bCs/>
          <w:sz w:val="21"/>
          <w:szCs w:val="21"/>
        </w:rPr>
      </w:pPr>
      <w:r>
        <w:rPr>
          <w:rFonts w:hint="eastAsia"/>
          <w:bCs/>
          <w:sz w:val="21"/>
          <w:szCs w:val="21"/>
        </w:rPr>
        <w:t>熟悉项目按揭银行楼栋分配，引导客户签署对应按揭银行资料。</w:t>
      </w:r>
    </w:p>
    <w:p>
      <w:pPr>
        <w:pStyle w:val="183"/>
        <w:widowControl/>
        <w:numPr>
          <w:ilvl w:val="0"/>
          <w:numId w:val="21"/>
        </w:numPr>
        <w:spacing w:line="360" w:lineRule="auto"/>
        <w:ind w:firstLineChars="0"/>
        <w:rPr>
          <w:bCs/>
          <w:sz w:val="21"/>
          <w:szCs w:val="21"/>
        </w:rPr>
      </w:pPr>
      <w:r>
        <w:rPr>
          <w:rFonts w:hint="eastAsia"/>
          <w:bCs/>
          <w:sz w:val="21"/>
          <w:szCs w:val="21"/>
        </w:rPr>
        <w:t>在熟悉以上1-</w:t>
      </w:r>
      <w:r>
        <w:rPr>
          <w:bCs/>
          <w:sz w:val="21"/>
          <w:szCs w:val="21"/>
        </w:rPr>
        <w:t>4</w:t>
      </w:r>
      <w:r>
        <w:rPr>
          <w:rFonts w:hint="eastAsia"/>
          <w:bCs/>
          <w:sz w:val="21"/>
          <w:szCs w:val="21"/>
        </w:rPr>
        <w:t>项要求后，对小组内成员进行培训。</w:t>
      </w:r>
    </w:p>
    <w:p>
      <w:pPr>
        <w:pStyle w:val="183"/>
        <w:widowControl/>
        <w:numPr>
          <w:ilvl w:val="0"/>
          <w:numId w:val="21"/>
        </w:numPr>
        <w:spacing w:line="360" w:lineRule="auto"/>
        <w:ind w:firstLineChars="0"/>
        <w:rPr>
          <w:bCs/>
          <w:sz w:val="21"/>
          <w:szCs w:val="21"/>
        </w:rPr>
      </w:pPr>
      <w:r>
        <w:rPr>
          <w:rFonts w:hint="eastAsia"/>
          <w:bCs/>
          <w:sz w:val="21"/>
          <w:szCs w:val="21"/>
        </w:rPr>
        <w:t>会同银行、销售人员开展培训工作，统一口径，相互配合。</w:t>
      </w:r>
    </w:p>
    <w:p>
      <w:pPr>
        <w:pStyle w:val="183"/>
        <w:widowControl/>
        <w:numPr>
          <w:ilvl w:val="0"/>
          <w:numId w:val="21"/>
        </w:numPr>
        <w:spacing w:line="360" w:lineRule="auto"/>
        <w:ind w:firstLineChars="0"/>
        <w:rPr>
          <w:bCs/>
          <w:sz w:val="21"/>
          <w:szCs w:val="21"/>
        </w:rPr>
      </w:pPr>
      <w:r>
        <w:rPr>
          <w:rFonts w:hint="eastAsia"/>
          <w:bCs/>
          <w:sz w:val="21"/>
          <w:szCs w:val="21"/>
        </w:rPr>
        <w:t>确定相关资料及银行政策后，律师所要对全体人员（尤其是现场经办人员）再次进行开盘前的培训及动员，明确职</w:t>
      </w:r>
      <w:r>
        <w:rPr>
          <w:bCs/>
          <w:sz w:val="21"/>
          <w:szCs w:val="21"/>
        </w:rPr>
        <w:t>责</w:t>
      </w:r>
      <w:r>
        <w:rPr>
          <w:rFonts w:hint="eastAsia"/>
          <w:bCs/>
          <w:sz w:val="21"/>
          <w:szCs w:val="21"/>
        </w:rPr>
        <w:t>分工，落实责任。</w:t>
      </w:r>
    </w:p>
    <w:p>
      <w:pPr>
        <w:pStyle w:val="183"/>
        <w:widowControl/>
        <w:spacing w:line="360" w:lineRule="auto"/>
        <w:ind w:left="420" w:firstLine="0" w:firstLineChars="0"/>
        <w:rPr>
          <w:bCs/>
          <w:sz w:val="21"/>
          <w:szCs w:val="21"/>
        </w:rPr>
      </w:pPr>
    </w:p>
    <w:p>
      <w:pPr>
        <w:pStyle w:val="183"/>
        <w:numPr>
          <w:ilvl w:val="0"/>
          <w:numId w:val="20"/>
        </w:numPr>
        <w:spacing w:line="360" w:lineRule="auto"/>
        <w:ind w:firstLineChars="0"/>
        <w:rPr>
          <w:b/>
          <w:sz w:val="21"/>
          <w:szCs w:val="21"/>
        </w:rPr>
      </w:pPr>
      <w:r>
        <w:rPr>
          <w:rFonts w:hint="eastAsia"/>
          <w:b/>
          <w:sz w:val="21"/>
          <w:szCs w:val="21"/>
        </w:rPr>
        <w:t>按</w:t>
      </w:r>
      <w:r>
        <w:rPr>
          <w:b/>
          <w:sz w:val="21"/>
          <w:szCs w:val="21"/>
        </w:rPr>
        <w:t>揭</w:t>
      </w:r>
      <w:r>
        <w:rPr>
          <w:rFonts w:hint="eastAsia"/>
          <w:b/>
          <w:sz w:val="21"/>
          <w:szCs w:val="21"/>
        </w:rPr>
        <w:t>征信提前查询、查</w:t>
      </w:r>
      <w:r>
        <w:rPr>
          <w:b/>
          <w:sz w:val="21"/>
          <w:szCs w:val="21"/>
        </w:rPr>
        <w:t>册查询、</w:t>
      </w:r>
      <w:r>
        <w:rPr>
          <w:rFonts w:hint="eastAsia"/>
          <w:b/>
          <w:sz w:val="21"/>
          <w:szCs w:val="21"/>
        </w:rPr>
        <w:t xml:space="preserve">客户预约 </w:t>
      </w:r>
    </w:p>
    <w:p>
      <w:pPr>
        <w:pStyle w:val="183"/>
        <w:numPr>
          <w:ilvl w:val="0"/>
          <w:numId w:val="22"/>
        </w:numPr>
        <w:spacing w:line="360" w:lineRule="auto"/>
        <w:ind w:firstLineChars="0"/>
        <w:rPr>
          <w:bCs/>
          <w:sz w:val="21"/>
          <w:szCs w:val="21"/>
        </w:rPr>
      </w:pPr>
      <w:r>
        <w:rPr>
          <w:rFonts w:hint="eastAsia"/>
          <w:bCs/>
          <w:sz w:val="21"/>
          <w:szCs w:val="21"/>
        </w:rPr>
        <w:t>配合销售在认筹前对客户的信用进行查询，配合筛选客户的基本购买资格；同</w:t>
      </w:r>
      <w:r>
        <w:rPr>
          <w:bCs/>
          <w:sz w:val="21"/>
          <w:szCs w:val="21"/>
        </w:rPr>
        <w:t>时跟</w:t>
      </w:r>
      <w:r>
        <w:rPr>
          <w:rFonts w:hint="eastAsia"/>
          <w:bCs/>
          <w:sz w:val="21"/>
          <w:szCs w:val="21"/>
        </w:rPr>
        <w:t>进</w:t>
      </w:r>
      <w:r>
        <w:rPr>
          <w:bCs/>
          <w:sz w:val="21"/>
          <w:szCs w:val="21"/>
        </w:rPr>
        <w:t>银行</w:t>
      </w:r>
      <w:r>
        <w:rPr>
          <w:rFonts w:hint="eastAsia"/>
          <w:bCs/>
          <w:sz w:val="21"/>
          <w:szCs w:val="21"/>
        </w:rPr>
        <w:t>征</w:t>
      </w:r>
      <w:r>
        <w:rPr>
          <w:bCs/>
          <w:sz w:val="21"/>
          <w:szCs w:val="21"/>
        </w:rPr>
        <w:t>信查询结果，从提供名单</w:t>
      </w:r>
      <w:r>
        <w:rPr>
          <w:rFonts w:hint="eastAsia"/>
          <w:bCs/>
          <w:sz w:val="21"/>
          <w:szCs w:val="21"/>
        </w:rPr>
        <w:t>到</w:t>
      </w:r>
      <w:r>
        <w:rPr>
          <w:bCs/>
          <w:sz w:val="21"/>
          <w:szCs w:val="21"/>
        </w:rPr>
        <w:t>取得查</w:t>
      </w:r>
      <w:r>
        <w:rPr>
          <w:rFonts w:hint="eastAsia"/>
          <w:bCs/>
          <w:sz w:val="21"/>
          <w:szCs w:val="21"/>
        </w:rPr>
        <w:t>询</w:t>
      </w:r>
      <w:r>
        <w:rPr>
          <w:bCs/>
          <w:sz w:val="21"/>
          <w:szCs w:val="21"/>
        </w:rPr>
        <w:t>结果，需在两个工作日内完成，</w:t>
      </w:r>
      <w:r>
        <w:rPr>
          <w:rFonts w:hint="eastAsia"/>
          <w:bCs/>
          <w:sz w:val="21"/>
          <w:szCs w:val="21"/>
        </w:rPr>
        <w:t>特殊情况，须确保第一时间取得结果，如银行未能配合需及时反馈。</w:t>
      </w:r>
    </w:p>
    <w:p>
      <w:pPr>
        <w:pStyle w:val="183"/>
        <w:numPr>
          <w:ilvl w:val="0"/>
          <w:numId w:val="22"/>
        </w:numPr>
        <w:spacing w:line="360" w:lineRule="auto"/>
        <w:ind w:firstLineChars="0"/>
        <w:rPr>
          <w:bCs/>
          <w:sz w:val="21"/>
          <w:szCs w:val="21"/>
        </w:rPr>
      </w:pPr>
      <w:r>
        <w:rPr>
          <w:rFonts w:hint="eastAsia"/>
          <w:bCs/>
          <w:sz w:val="21"/>
          <w:szCs w:val="21"/>
        </w:rPr>
        <w:t>须与客户</w:t>
      </w:r>
      <w:r>
        <w:rPr>
          <w:bCs/>
          <w:sz w:val="21"/>
          <w:szCs w:val="21"/>
        </w:rPr>
        <w:t>面签征信查询授权书</w:t>
      </w:r>
      <w:r>
        <w:rPr>
          <w:rFonts w:hint="eastAsia"/>
          <w:bCs/>
          <w:sz w:val="21"/>
          <w:szCs w:val="21"/>
        </w:rPr>
        <w:t>。</w:t>
      </w:r>
    </w:p>
    <w:p>
      <w:pPr>
        <w:pStyle w:val="183"/>
        <w:numPr>
          <w:ilvl w:val="0"/>
          <w:numId w:val="22"/>
        </w:numPr>
        <w:spacing w:line="360" w:lineRule="auto"/>
        <w:ind w:firstLineChars="0"/>
        <w:rPr>
          <w:bCs/>
          <w:sz w:val="21"/>
          <w:szCs w:val="21"/>
        </w:rPr>
      </w:pPr>
      <w:r>
        <w:rPr>
          <w:rFonts w:hint="eastAsia"/>
          <w:bCs/>
          <w:sz w:val="21"/>
          <w:szCs w:val="21"/>
        </w:rPr>
        <w:t>签约主办负责对征信结果进行分析，对征信有问题的需及时与客户沟通，最大程度上满足客户实现贷款。沟通时间为取得结果当天，原则上不迟于第二天。</w:t>
      </w:r>
    </w:p>
    <w:p>
      <w:pPr>
        <w:pStyle w:val="183"/>
        <w:numPr>
          <w:ilvl w:val="0"/>
          <w:numId w:val="22"/>
        </w:numPr>
        <w:spacing w:line="360" w:lineRule="auto"/>
        <w:ind w:firstLineChars="0"/>
        <w:rPr>
          <w:bCs/>
          <w:sz w:val="21"/>
          <w:szCs w:val="21"/>
        </w:rPr>
      </w:pPr>
      <w:r>
        <w:rPr>
          <w:bCs/>
          <w:sz w:val="21"/>
          <w:szCs w:val="21"/>
        </w:rPr>
        <w:t>客户提交查册资料，</w:t>
      </w:r>
      <w:r>
        <w:rPr>
          <w:rFonts w:hint="eastAsia"/>
          <w:bCs/>
          <w:sz w:val="21"/>
          <w:szCs w:val="21"/>
        </w:rPr>
        <w:t>需</w:t>
      </w:r>
      <w:r>
        <w:rPr>
          <w:bCs/>
          <w:sz w:val="21"/>
          <w:szCs w:val="21"/>
        </w:rPr>
        <w:t>于第</w:t>
      </w:r>
      <w:r>
        <w:rPr>
          <w:rFonts w:hint="eastAsia"/>
          <w:bCs/>
          <w:sz w:val="21"/>
          <w:szCs w:val="21"/>
        </w:rPr>
        <w:t>二</w:t>
      </w:r>
      <w:r>
        <w:rPr>
          <w:bCs/>
          <w:sz w:val="21"/>
          <w:szCs w:val="21"/>
        </w:rPr>
        <w:t>天前提交房所进行查询，跟进查</w:t>
      </w:r>
      <w:r>
        <w:rPr>
          <w:rFonts w:hint="eastAsia"/>
          <w:bCs/>
          <w:sz w:val="21"/>
          <w:szCs w:val="21"/>
        </w:rPr>
        <w:t>询</w:t>
      </w:r>
      <w:r>
        <w:rPr>
          <w:bCs/>
          <w:sz w:val="21"/>
          <w:szCs w:val="21"/>
        </w:rPr>
        <w:t>结果</w:t>
      </w:r>
      <w:r>
        <w:rPr>
          <w:rFonts w:hint="eastAsia"/>
          <w:bCs/>
          <w:sz w:val="21"/>
          <w:szCs w:val="21"/>
        </w:rPr>
        <w:t>，并需</w:t>
      </w:r>
      <w:r>
        <w:rPr>
          <w:bCs/>
          <w:sz w:val="21"/>
          <w:szCs w:val="21"/>
        </w:rPr>
        <w:t>在</w:t>
      </w:r>
      <w:r>
        <w:rPr>
          <w:rFonts w:hint="eastAsia"/>
          <w:bCs/>
          <w:sz w:val="21"/>
          <w:szCs w:val="21"/>
        </w:rPr>
        <w:t>2-5日内</w:t>
      </w:r>
      <w:r>
        <w:rPr>
          <w:bCs/>
          <w:sz w:val="21"/>
          <w:szCs w:val="21"/>
        </w:rPr>
        <w:t>获取查询结果</w:t>
      </w:r>
      <w:r>
        <w:rPr>
          <w:rFonts w:hint="eastAsia"/>
          <w:bCs/>
          <w:sz w:val="21"/>
          <w:szCs w:val="21"/>
        </w:rPr>
        <w:t>。</w:t>
      </w:r>
    </w:p>
    <w:p>
      <w:pPr>
        <w:pStyle w:val="183"/>
        <w:numPr>
          <w:ilvl w:val="0"/>
          <w:numId w:val="22"/>
        </w:numPr>
        <w:spacing w:line="360" w:lineRule="auto"/>
        <w:ind w:firstLineChars="0"/>
        <w:rPr>
          <w:bCs/>
          <w:sz w:val="21"/>
          <w:szCs w:val="21"/>
        </w:rPr>
      </w:pPr>
      <w:r>
        <w:rPr>
          <w:rFonts w:hint="eastAsia"/>
          <w:bCs/>
          <w:sz w:val="21"/>
          <w:szCs w:val="21"/>
        </w:rPr>
        <w:t>认购后未经查询征信情况的客户直接前来签约的，可以当场给到银行查询并取得结果的可以签约，否则不予签约。</w:t>
      </w:r>
    </w:p>
    <w:p>
      <w:pPr>
        <w:pStyle w:val="183"/>
        <w:numPr>
          <w:ilvl w:val="0"/>
          <w:numId w:val="22"/>
        </w:numPr>
        <w:spacing w:line="360" w:lineRule="auto"/>
        <w:ind w:firstLineChars="0"/>
        <w:rPr>
          <w:bCs/>
          <w:sz w:val="21"/>
          <w:szCs w:val="21"/>
        </w:rPr>
      </w:pPr>
      <w:r>
        <w:rPr>
          <w:rFonts w:hint="eastAsia"/>
          <w:bCs/>
          <w:sz w:val="21"/>
          <w:szCs w:val="21"/>
        </w:rPr>
        <w:t>对符合预约情况的（一次性付款、按揭已取得咨信结果），项目签约主办安排小组成员与客户电话预约确定签约时间、并告知需携带的资料及签约费用。</w:t>
      </w:r>
    </w:p>
    <w:p>
      <w:pPr>
        <w:pStyle w:val="183"/>
        <w:numPr>
          <w:ilvl w:val="0"/>
          <w:numId w:val="22"/>
        </w:numPr>
        <w:spacing w:line="360" w:lineRule="auto"/>
        <w:ind w:firstLineChars="0"/>
        <w:rPr>
          <w:bCs/>
          <w:sz w:val="21"/>
          <w:szCs w:val="21"/>
        </w:rPr>
      </w:pPr>
      <w:r>
        <w:rPr>
          <w:rFonts w:hint="eastAsia"/>
          <w:bCs/>
          <w:sz w:val="21"/>
          <w:szCs w:val="21"/>
        </w:rPr>
        <w:t>如认购后超出7天未签约，客户拖延办理签约手续的，律师所在与指定人员沟通后即可发出律师函，律师函按甲方规定版本发送。</w:t>
      </w:r>
    </w:p>
    <w:p>
      <w:pPr>
        <w:pStyle w:val="183"/>
        <w:spacing w:line="360" w:lineRule="auto"/>
        <w:ind w:left="420" w:firstLine="0" w:firstLineChars="0"/>
        <w:rPr>
          <w:bCs/>
          <w:sz w:val="21"/>
          <w:szCs w:val="21"/>
        </w:rPr>
      </w:pPr>
    </w:p>
    <w:p>
      <w:pPr>
        <w:pStyle w:val="183"/>
        <w:numPr>
          <w:ilvl w:val="0"/>
          <w:numId w:val="20"/>
        </w:numPr>
        <w:spacing w:line="360" w:lineRule="auto"/>
        <w:ind w:firstLineChars="0"/>
        <w:rPr>
          <w:b/>
          <w:sz w:val="21"/>
          <w:szCs w:val="21"/>
        </w:rPr>
      </w:pPr>
      <w:r>
        <w:rPr>
          <w:rFonts w:hint="eastAsia"/>
          <w:b/>
          <w:sz w:val="21"/>
          <w:szCs w:val="21"/>
        </w:rPr>
        <w:t>合同签订（完成时间：当天）</w:t>
      </w:r>
    </w:p>
    <w:p>
      <w:pPr>
        <w:pStyle w:val="183"/>
        <w:numPr>
          <w:ilvl w:val="0"/>
          <w:numId w:val="23"/>
        </w:numPr>
        <w:spacing w:line="360" w:lineRule="auto"/>
        <w:ind w:firstLineChars="0"/>
        <w:rPr>
          <w:bCs/>
          <w:sz w:val="21"/>
          <w:szCs w:val="21"/>
        </w:rPr>
      </w:pPr>
      <w:r>
        <w:rPr>
          <w:rFonts w:hint="eastAsia"/>
          <w:bCs/>
          <w:sz w:val="21"/>
          <w:szCs w:val="21"/>
        </w:rPr>
        <w:t>客户到来后，首先核验身份，核对认购书、销售系统记录等，确定客户的证件信息与认购书、系统记录买方的姓名、身份证号码保持一致，并注意核验证件的有效性，如</w:t>
      </w:r>
      <w:r>
        <w:rPr>
          <w:bCs/>
          <w:sz w:val="21"/>
          <w:szCs w:val="21"/>
        </w:rPr>
        <w:t>不一致与及时</w:t>
      </w:r>
      <w:r>
        <w:rPr>
          <w:rFonts w:hint="eastAsia"/>
          <w:bCs/>
          <w:sz w:val="21"/>
          <w:szCs w:val="21"/>
        </w:rPr>
        <w:t>反</w:t>
      </w:r>
      <w:r>
        <w:rPr>
          <w:bCs/>
          <w:sz w:val="21"/>
          <w:szCs w:val="21"/>
        </w:rPr>
        <w:t>馈并更改信息</w:t>
      </w:r>
      <w:r>
        <w:rPr>
          <w:rFonts w:hint="eastAsia"/>
          <w:bCs/>
          <w:sz w:val="21"/>
          <w:szCs w:val="21"/>
        </w:rPr>
        <w:t>。</w:t>
      </w:r>
    </w:p>
    <w:p>
      <w:pPr>
        <w:pStyle w:val="183"/>
        <w:spacing w:line="360" w:lineRule="auto"/>
        <w:ind w:left="420" w:firstLine="0" w:firstLineChars="0"/>
        <w:rPr>
          <w:bCs/>
          <w:sz w:val="21"/>
          <w:szCs w:val="21"/>
        </w:rPr>
      </w:pPr>
      <w:r>
        <w:rPr>
          <w:rFonts w:hint="eastAsia"/>
          <w:b/>
          <w:sz w:val="21"/>
          <w:szCs w:val="21"/>
        </w:rPr>
        <w:t>注意：复印客户证件资料时须注意清晰性，如因客户证件本身不清楚的，应告知客户可能不能办</w:t>
      </w:r>
      <w:r>
        <w:rPr>
          <w:b/>
          <w:sz w:val="21"/>
          <w:szCs w:val="21"/>
        </w:rPr>
        <w:t>理</w:t>
      </w:r>
      <w:r>
        <w:rPr>
          <w:rFonts w:hint="eastAsia"/>
          <w:b/>
          <w:sz w:val="21"/>
          <w:szCs w:val="21"/>
        </w:rPr>
        <w:t>相关业务或者可能要求提交原件。</w:t>
      </w:r>
    </w:p>
    <w:p>
      <w:pPr>
        <w:pStyle w:val="183"/>
        <w:numPr>
          <w:ilvl w:val="0"/>
          <w:numId w:val="23"/>
        </w:numPr>
        <w:spacing w:line="360" w:lineRule="auto"/>
        <w:ind w:firstLineChars="0"/>
        <w:rPr>
          <w:bCs/>
          <w:sz w:val="21"/>
          <w:szCs w:val="21"/>
        </w:rPr>
      </w:pPr>
      <w:r>
        <w:rPr>
          <w:rFonts w:hint="eastAsia"/>
          <w:bCs/>
          <w:sz w:val="21"/>
          <w:szCs w:val="21"/>
        </w:rPr>
        <w:t>核对认购书、甲方指定系统成交价格，在二者一致情况下，方可与客户办理签约后</w:t>
      </w:r>
      <w:r>
        <w:rPr>
          <w:bCs/>
          <w:sz w:val="21"/>
          <w:szCs w:val="21"/>
        </w:rPr>
        <w:t>续</w:t>
      </w:r>
      <w:r>
        <w:rPr>
          <w:rFonts w:hint="eastAsia"/>
          <w:bCs/>
          <w:sz w:val="21"/>
          <w:szCs w:val="21"/>
        </w:rPr>
        <w:t xml:space="preserve">手续。 </w:t>
      </w:r>
    </w:p>
    <w:p>
      <w:pPr>
        <w:pStyle w:val="183"/>
        <w:numPr>
          <w:ilvl w:val="0"/>
          <w:numId w:val="23"/>
        </w:numPr>
        <w:spacing w:line="360" w:lineRule="auto"/>
        <w:ind w:firstLineChars="0"/>
        <w:rPr>
          <w:bCs/>
          <w:sz w:val="21"/>
          <w:szCs w:val="21"/>
        </w:rPr>
      </w:pPr>
      <w:r>
        <w:rPr>
          <w:rFonts w:hint="eastAsia"/>
          <w:bCs/>
          <w:sz w:val="21"/>
          <w:szCs w:val="21"/>
        </w:rPr>
        <w:t>如出现客户名称、成交价格与甲方指定系统不一致的情况，应于第一时间与甲方销售现场人员核实，如确定需更改认购书，告知客户前往销售人员处办理。持更改后的认购书，才可办理签约。</w:t>
      </w:r>
    </w:p>
    <w:p>
      <w:pPr>
        <w:pStyle w:val="183"/>
        <w:numPr>
          <w:ilvl w:val="0"/>
          <w:numId w:val="23"/>
        </w:numPr>
        <w:spacing w:line="360" w:lineRule="auto"/>
        <w:ind w:firstLineChars="0"/>
        <w:rPr>
          <w:bCs/>
          <w:sz w:val="21"/>
          <w:szCs w:val="21"/>
        </w:rPr>
      </w:pPr>
      <w:r>
        <w:rPr>
          <w:rFonts w:hint="eastAsia"/>
          <w:bCs/>
          <w:sz w:val="21"/>
          <w:szCs w:val="21"/>
        </w:rPr>
        <w:t>签署缴纳契税的相关承诺书等文件，按实际符合情况安排客户交纳契税。</w:t>
      </w:r>
    </w:p>
    <w:p>
      <w:pPr>
        <w:pStyle w:val="183"/>
        <w:numPr>
          <w:ilvl w:val="0"/>
          <w:numId w:val="23"/>
        </w:numPr>
        <w:spacing w:line="360" w:lineRule="auto"/>
        <w:ind w:firstLineChars="0"/>
        <w:rPr>
          <w:bCs/>
          <w:sz w:val="21"/>
          <w:szCs w:val="21"/>
        </w:rPr>
      </w:pPr>
      <w:r>
        <w:rPr>
          <w:rFonts w:hint="eastAsia"/>
          <w:bCs/>
          <w:sz w:val="21"/>
          <w:szCs w:val="21"/>
        </w:rPr>
        <w:t>根据收据原件核对客户应付款（楼款）；对买方采取按揭贷款的付款方式的，还需确定首期款、贷款金额、年限。</w:t>
      </w:r>
    </w:p>
    <w:p>
      <w:pPr>
        <w:pStyle w:val="183"/>
        <w:numPr>
          <w:ilvl w:val="0"/>
          <w:numId w:val="23"/>
        </w:numPr>
        <w:spacing w:line="360" w:lineRule="auto"/>
        <w:ind w:firstLineChars="0"/>
        <w:rPr>
          <w:bCs/>
          <w:sz w:val="21"/>
          <w:szCs w:val="21"/>
        </w:rPr>
      </w:pPr>
      <w:r>
        <w:rPr>
          <w:rFonts w:hint="eastAsia"/>
          <w:bCs/>
          <w:sz w:val="21"/>
          <w:szCs w:val="21"/>
        </w:rPr>
        <w:t>签署合同前检查客户的相关协议、文件、交款是否齐全，确认无漏的情况下安排签署合同。</w:t>
      </w:r>
    </w:p>
    <w:p>
      <w:pPr>
        <w:pStyle w:val="183"/>
        <w:numPr>
          <w:ilvl w:val="0"/>
          <w:numId w:val="23"/>
        </w:numPr>
        <w:spacing w:line="360" w:lineRule="auto"/>
        <w:ind w:firstLineChars="0"/>
        <w:rPr>
          <w:bCs/>
          <w:sz w:val="21"/>
          <w:szCs w:val="21"/>
        </w:rPr>
      </w:pPr>
      <w:r>
        <w:rPr>
          <w:rFonts w:hint="eastAsia"/>
          <w:bCs/>
          <w:sz w:val="21"/>
          <w:szCs w:val="21"/>
        </w:rPr>
        <w:t>如为选择按揭贷款客户，检查客户提供的按揭贷款资料是否齐全，如不齐全不允许签约，特殊情况需请示甲方人员或邮件反馈客户情况，待甲方人员同意后方可签约，需与客户签约补交资料承诺书，并应主动列明应补交的资料且注明要求提交的时间；同时审核客户的资料情况，选择合适的银行进行签署，对于选择公积金贷款的客户，需判断是否符合，如不符不允许签署。</w:t>
      </w:r>
    </w:p>
    <w:p>
      <w:pPr>
        <w:pStyle w:val="183"/>
        <w:numPr>
          <w:ilvl w:val="0"/>
          <w:numId w:val="23"/>
        </w:numPr>
        <w:spacing w:line="360" w:lineRule="auto"/>
        <w:ind w:firstLineChars="0"/>
        <w:rPr>
          <w:bCs/>
          <w:sz w:val="21"/>
          <w:szCs w:val="21"/>
        </w:rPr>
      </w:pPr>
      <w:r>
        <w:rPr>
          <w:rFonts w:hint="eastAsia"/>
          <w:bCs/>
          <w:sz w:val="21"/>
          <w:szCs w:val="21"/>
        </w:rPr>
        <w:t>按示范文本内容填写买卖合同、借款合同等资料；向客户解释合同及解答有关问题，促成签约。</w:t>
      </w:r>
    </w:p>
    <w:p>
      <w:pPr>
        <w:pStyle w:val="183"/>
        <w:numPr>
          <w:ilvl w:val="0"/>
          <w:numId w:val="23"/>
        </w:numPr>
        <w:spacing w:line="360" w:lineRule="auto"/>
        <w:ind w:firstLineChars="0"/>
        <w:rPr>
          <w:bCs/>
          <w:sz w:val="21"/>
          <w:szCs w:val="21"/>
        </w:rPr>
      </w:pPr>
      <w:r>
        <w:rPr>
          <w:rFonts w:hint="eastAsia"/>
          <w:bCs/>
          <w:sz w:val="21"/>
          <w:szCs w:val="21"/>
        </w:rPr>
        <w:t>仔细检查客户已签署资料，避免遗漏；并按规定向客户收取相关费用。</w:t>
      </w:r>
    </w:p>
    <w:p>
      <w:pPr>
        <w:pStyle w:val="183"/>
        <w:numPr>
          <w:ilvl w:val="0"/>
          <w:numId w:val="23"/>
        </w:numPr>
        <w:spacing w:line="360" w:lineRule="auto"/>
        <w:ind w:firstLineChars="0"/>
        <w:rPr>
          <w:bCs/>
          <w:sz w:val="21"/>
          <w:szCs w:val="21"/>
        </w:rPr>
      </w:pPr>
      <w:r>
        <w:rPr>
          <w:rFonts w:hint="eastAsia"/>
          <w:bCs/>
          <w:sz w:val="21"/>
          <w:szCs w:val="21"/>
        </w:rPr>
        <w:t>对客户提交办理业务之资料，进行书面签收。</w:t>
      </w:r>
    </w:p>
    <w:p>
      <w:pPr>
        <w:pStyle w:val="183"/>
        <w:numPr>
          <w:ilvl w:val="0"/>
          <w:numId w:val="23"/>
        </w:numPr>
        <w:spacing w:line="360" w:lineRule="auto"/>
        <w:ind w:firstLineChars="0"/>
        <w:rPr>
          <w:bCs/>
          <w:sz w:val="21"/>
          <w:szCs w:val="21"/>
        </w:rPr>
      </w:pPr>
      <w:r>
        <w:rPr>
          <w:rFonts w:hint="eastAsia"/>
          <w:bCs/>
          <w:sz w:val="21"/>
          <w:szCs w:val="21"/>
        </w:rPr>
        <w:t>完成上述工作后，主动告知客户后续办理的手续及预计所需时间，并将签约资料清单卡放入给客户的文件册中。</w:t>
      </w:r>
    </w:p>
    <w:p>
      <w:pPr>
        <w:pStyle w:val="183"/>
        <w:numPr>
          <w:ilvl w:val="0"/>
          <w:numId w:val="23"/>
        </w:numPr>
        <w:spacing w:line="360" w:lineRule="auto"/>
        <w:ind w:firstLineChars="0"/>
        <w:rPr>
          <w:bCs/>
          <w:sz w:val="21"/>
          <w:szCs w:val="21"/>
        </w:rPr>
      </w:pPr>
      <w:r>
        <w:rPr>
          <w:rFonts w:hint="eastAsia"/>
          <w:bCs/>
          <w:sz w:val="21"/>
          <w:szCs w:val="21"/>
        </w:rPr>
        <w:t>在办理上述手续中，应通过合理分配时间，确保准确、高效完成。</w:t>
      </w:r>
    </w:p>
    <w:p>
      <w:pPr>
        <w:pStyle w:val="183"/>
        <w:numPr>
          <w:ilvl w:val="0"/>
          <w:numId w:val="23"/>
        </w:numPr>
        <w:spacing w:line="360" w:lineRule="auto"/>
        <w:ind w:firstLineChars="0"/>
        <w:rPr>
          <w:bCs/>
          <w:sz w:val="21"/>
          <w:szCs w:val="21"/>
        </w:rPr>
      </w:pPr>
      <w:r>
        <w:rPr>
          <w:rFonts w:hint="eastAsia"/>
          <w:bCs/>
          <w:sz w:val="21"/>
          <w:szCs w:val="21"/>
        </w:rPr>
        <w:t>签约</w:t>
      </w:r>
      <w:r>
        <w:rPr>
          <w:bCs/>
          <w:sz w:val="21"/>
          <w:szCs w:val="21"/>
        </w:rPr>
        <w:t>过程中及时录</w:t>
      </w:r>
      <w:r>
        <w:rPr>
          <w:rFonts w:hint="eastAsia"/>
          <w:bCs/>
          <w:sz w:val="21"/>
          <w:szCs w:val="21"/>
        </w:rPr>
        <w:t>入</w:t>
      </w:r>
      <w:r>
        <w:rPr>
          <w:bCs/>
          <w:sz w:val="21"/>
          <w:szCs w:val="21"/>
        </w:rPr>
        <w:t>签约信息至系统，</w:t>
      </w:r>
      <w:r>
        <w:rPr>
          <w:rFonts w:hint="eastAsia"/>
          <w:bCs/>
          <w:sz w:val="21"/>
          <w:szCs w:val="21"/>
        </w:rPr>
        <w:t>每天签约结束后完成各类日报。甲方指定系统录入时，需以买卖合同为准（签约时应提示客户提供有效的联系地址、电话）核对、更新甲方指定系统的客户地址、电话。</w:t>
      </w:r>
    </w:p>
    <w:p>
      <w:pPr>
        <w:pStyle w:val="183"/>
        <w:numPr>
          <w:ilvl w:val="0"/>
          <w:numId w:val="23"/>
        </w:numPr>
        <w:spacing w:line="360" w:lineRule="auto"/>
        <w:ind w:firstLineChars="0"/>
        <w:rPr>
          <w:bCs/>
          <w:sz w:val="21"/>
          <w:szCs w:val="21"/>
        </w:rPr>
      </w:pPr>
      <w:r>
        <w:rPr>
          <w:rFonts w:hint="eastAsia"/>
          <w:bCs/>
          <w:sz w:val="21"/>
          <w:szCs w:val="21"/>
        </w:rPr>
        <w:t>每天签约结束后，需按系统档案移交要求，将客户资料全部扫描成电子存档。</w:t>
      </w:r>
    </w:p>
    <w:p>
      <w:pPr>
        <w:pStyle w:val="183"/>
        <w:spacing w:line="520" w:lineRule="exact"/>
        <w:ind w:left="420" w:firstLine="0" w:firstLineChars="0"/>
        <w:rPr>
          <w:bCs/>
          <w:szCs w:val="14"/>
        </w:rPr>
      </w:pPr>
    </w:p>
    <w:p>
      <w:pPr>
        <w:pStyle w:val="20"/>
        <w:spacing w:line="520" w:lineRule="exact"/>
        <w:jc w:val="left"/>
        <w:rPr>
          <w:color w:val="auto"/>
          <w:sz w:val="21"/>
          <w:szCs w:val="14"/>
        </w:rPr>
      </w:pPr>
      <w:r>
        <w:rPr>
          <w:rFonts w:hint="eastAsia"/>
          <w:color w:val="auto"/>
          <w:sz w:val="21"/>
          <w:szCs w:val="14"/>
        </w:rPr>
        <w:t>四、回款跟进（完成时间：网签后5天内）</w:t>
      </w:r>
    </w:p>
    <w:p>
      <w:pPr>
        <w:pStyle w:val="20"/>
        <w:numPr>
          <w:ilvl w:val="0"/>
          <w:numId w:val="24"/>
        </w:numPr>
        <w:spacing w:line="520" w:lineRule="exact"/>
        <w:jc w:val="left"/>
        <w:rPr>
          <w:b w:val="0"/>
          <w:bCs w:val="0"/>
          <w:color w:val="auto"/>
          <w:sz w:val="21"/>
          <w:szCs w:val="14"/>
        </w:rPr>
      </w:pPr>
      <w:r>
        <w:rPr>
          <w:rFonts w:hint="eastAsia"/>
          <w:b w:val="0"/>
          <w:bCs w:val="0"/>
          <w:color w:val="auto"/>
          <w:sz w:val="21"/>
          <w:szCs w:val="14"/>
        </w:rPr>
        <w:t>普通银行贷款签约之日起，2日内完成送件；公积金贷款，需在达到送审条件后2日内完成送件。</w:t>
      </w:r>
    </w:p>
    <w:p>
      <w:pPr>
        <w:pStyle w:val="20"/>
        <w:numPr>
          <w:ilvl w:val="0"/>
          <w:numId w:val="24"/>
        </w:numPr>
        <w:spacing w:line="520" w:lineRule="exact"/>
        <w:jc w:val="left"/>
        <w:rPr>
          <w:b w:val="0"/>
          <w:bCs w:val="0"/>
          <w:color w:val="auto"/>
          <w:sz w:val="21"/>
          <w:szCs w:val="14"/>
        </w:rPr>
      </w:pPr>
      <w:r>
        <w:rPr>
          <w:rFonts w:hint="eastAsia"/>
          <w:b w:val="0"/>
          <w:bCs w:val="0"/>
          <w:color w:val="auto"/>
          <w:sz w:val="21"/>
          <w:szCs w:val="14"/>
        </w:rPr>
        <w:t>跟进银行审批进度，审批中超3天需要跟进银行具体情况，并及时反馈问题；审批中银行或公积金反馈缺资料及补首期等情况，须于收到信息后当天完成与销售及客户沟通，并跟进结果，自通知补资料之日起，如超2天仍未补，需邮件反馈，并按甲方回复意见进行操作。</w:t>
      </w:r>
    </w:p>
    <w:p>
      <w:pPr>
        <w:pStyle w:val="20"/>
        <w:numPr>
          <w:ilvl w:val="0"/>
          <w:numId w:val="24"/>
        </w:numPr>
        <w:spacing w:line="520" w:lineRule="exact"/>
        <w:jc w:val="left"/>
        <w:rPr>
          <w:b w:val="0"/>
          <w:bCs w:val="0"/>
          <w:color w:val="auto"/>
          <w:sz w:val="21"/>
          <w:szCs w:val="14"/>
        </w:rPr>
      </w:pPr>
      <w:r>
        <w:rPr>
          <w:rFonts w:hint="eastAsia"/>
          <w:b w:val="0"/>
          <w:bCs w:val="0"/>
          <w:color w:val="auto"/>
          <w:sz w:val="21"/>
          <w:szCs w:val="14"/>
        </w:rPr>
        <w:t>公积金审批通过后，需第二日安排取件，并于通过后2日内送银行放款。</w:t>
      </w:r>
    </w:p>
    <w:p>
      <w:pPr>
        <w:pStyle w:val="20"/>
        <w:numPr>
          <w:ilvl w:val="0"/>
          <w:numId w:val="24"/>
        </w:numPr>
        <w:spacing w:line="520" w:lineRule="exact"/>
        <w:jc w:val="left"/>
        <w:rPr>
          <w:b w:val="0"/>
          <w:bCs w:val="0"/>
          <w:color w:val="auto"/>
          <w:sz w:val="21"/>
          <w:szCs w:val="14"/>
        </w:rPr>
      </w:pPr>
      <w:r>
        <w:rPr>
          <w:rFonts w:hint="eastAsia"/>
          <w:b w:val="0"/>
          <w:bCs w:val="0"/>
          <w:color w:val="auto"/>
          <w:sz w:val="21"/>
          <w:szCs w:val="14"/>
        </w:rPr>
        <w:t>银行审批</w:t>
      </w:r>
      <w:r>
        <w:rPr>
          <w:b w:val="0"/>
          <w:bCs w:val="0"/>
          <w:color w:val="auto"/>
          <w:sz w:val="21"/>
          <w:szCs w:val="14"/>
        </w:rPr>
        <w:t>通过</w:t>
      </w:r>
      <w:r>
        <w:rPr>
          <w:rFonts w:hint="eastAsia"/>
          <w:b w:val="0"/>
          <w:bCs w:val="0"/>
          <w:color w:val="auto"/>
          <w:sz w:val="21"/>
          <w:szCs w:val="14"/>
        </w:rPr>
        <w:t>后</w:t>
      </w:r>
      <w:r>
        <w:rPr>
          <w:b w:val="0"/>
          <w:bCs w:val="0"/>
          <w:color w:val="auto"/>
          <w:sz w:val="21"/>
          <w:szCs w:val="14"/>
        </w:rPr>
        <w:t>，需</w:t>
      </w:r>
      <w:r>
        <w:rPr>
          <w:rFonts w:hint="eastAsia"/>
          <w:b w:val="0"/>
          <w:bCs w:val="0"/>
          <w:color w:val="auto"/>
          <w:sz w:val="21"/>
          <w:szCs w:val="14"/>
        </w:rPr>
        <w:t>3天</w:t>
      </w:r>
      <w:r>
        <w:rPr>
          <w:b w:val="0"/>
          <w:bCs w:val="0"/>
          <w:color w:val="auto"/>
          <w:sz w:val="21"/>
          <w:szCs w:val="14"/>
        </w:rPr>
        <w:t>内催促银行返回抵押资料</w:t>
      </w:r>
      <w:r>
        <w:rPr>
          <w:rFonts w:hint="eastAsia"/>
          <w:b w:val="0"/>
          <w:bCs w:val="0"/>
          <w:color w:val="auto"/>
          <w:sz w:val="21"/>
          <w:szCs w:val="14"/>
        </w:rPr>
        <w:t>（视情况</w:t>
      </w:r>
      <w:r>
        <w:rPr>
          <w:b w:val="0"/>
          <w:bCs w:val="0"/>
          <w:color w:val="auto"/>
          <w:sz w:val="21"/>
          <w:szCs w:val="14"/>
        </w:rPr>
        <w:t>调整</w:t>
      </w:r>
      <w:r>
        <w:rPr>
          <w:rFonts w:hint="eastAsia"/>
          <w:b w:val="0"/>
          <w:bCs w:val="0"/>
          <w:color w:val="auto"/>
          <w:sz w:val="21"/>
          <w:szCs w:val="14"/>
        </w:rPr>
        <w:t>），以实现</w:t>
      </w:r>
      <w:r>
        <w:rPr>
          <w:b w:val="0"/>
          <w:bCs w:val="0"/>
          <w:color w:val="auto"/>
          <w:sz w:val="21"/>
          <w:szCs w:val="14"/>
        </w:rPr>
        <w:t>备抵同送</w:t>
      </w:r>
      <w:r>
        <w:rPr>
          <w:rFonts w:hint="eastAsia"/>
          <w:b w:val="0"/>
          <w:bCs w:val="0"/>
          <w:color w:val="auto"/>
          <w:sz w:val="21"/>
          <w:szCs w:val="14"/>
        </w:rPr>
        <w:t>；</w:t>
      </w:r>
      <w:r>
        <w:rPr>
          <w:b w:val="0"/>
          <w:bCs w:val="0"/>
          <w:color w:val="auto"/>
          <w:sz w:val="21"/>
          <w:szCs w:val="14"/>
        </w:rPr>
        <w:t>若银行延迟返还抵押资料或不配合</w:t>
      </w:r>
      <w:r>
        <w:rPr>
          <w:rFonts w:hint="eastAsia"/>
          <w:b w:val="0"/>
          <w:bCs w:val="0"/>
          <w:color w:val="auto"/>
          <w:sz w:val="21"/>
          <w:szCs w:val="14"/>
        </w:rPr>
        <w:t>，</w:t>
      </w:r>
      <w:r>
        <w:rPr>
          <w:b w:val="0"/>
          <w:bCs w:val="0"/>
          <w:color w:val="auto"/>
          <w:sz w:val="21"/>
          <w:szCs w:val="14"/>
        </w:rPr>
        <w:t>及时</w:t>
      </w:r>
      <w:r>
        <w:rPr>
          <w:rFonts w:hint="eastAsia"/>
          <w:b w:val="0"/>
          <w:bCs w:val="0"/>
          <w:color w:val="auto"/>
          <w:sz w:val="21"/>
          <w:szCs w:val="14"/>
        </w:rPr>
        <w:t>反馈跟进</w:t>
      </w:r>
      <w:r>
        <w:rPr>
          <w:b w:val="0"/>
          <w:bCs w:val="0"/>
          <w:color w:val="auto"/>
          <w:sz w:val="21"/>
          <w:szCs w:val="14"/>
        </w:rPr>
        <w:t>。</w:t>
      </w:r>
      <w:r>
        <w:rPr>
          <w:rFonts w:hint="eastAsia"/>
          <w:b w:val="0"/>
          <w:bCs w:val="0"/>
          <w:color w:val="auto"/>
          <w:sz w:val="21"/>
          <w:szCs w:val="14"/>
        </w:rPr>
        <w:t>（完成时间</w:t>
      </w:r>
      <w:r>
        <w:rPr>
          <w:b w:val="0"/>
          <w:bCs w:val="0"/>
          <w:color w:val="auto"/>
          <w:sz w:val="21"/>
          <w:szCs w:val="14"/>
        </w:rPr>
        <w:t>：</w:t>
      </w:r>
      <w:r>
        <w:rPr>
          <w:rFonts w:hint="eastAsia"/>
          <w:b w:val="0"/>
          <w:bCs w:val="0"/>
          <w:color w:val="auto"/>
          <w:sz w:val="21"/>
          <w:szCs w:val="14"/>
        </w:rPr>
        <w:t>3天内）</w:t>
      </w:r>
    </w:p>
    <w:p>
      <w:pPr>
        <w:pStyle w:val="20"/>
        <w:numPr>
          <w:ilvl w:val="0"/>
          <w:numId w:val="24"/>
        </w:numPr>
        <w:spacing w:line="520" w:lineRule="exact"/>
        <w:jc w:val="left"/>
        <w:rPr>
          <w:b w:val="0"/>
          <w:bCs w:val="0"/>
          <w:color w:val="auto"/>
          <w:sz w:val="21"/>
          <w:szCs w:val="14"/>
        </w:rPr>
      </w:pPr>
      <w:r>
        <w:rPr>
          <w:rFonts w:hint="eastAsia"/>
          <w:b w:val="0"/>
          <w:bCs w:val="0"/>
          <w:color w:val="auto"/>
          <w:sz w:val="21"/>
          <w:szCs w:val="14"/>
        </w:rPr>
        <w:t>分期付款按协议付款日期进行跟进，超</w:t>
      </w:r>
      <w:r>
        <w:rPr>
          <w:b w:val="0"/>
          <w:bCs w:val="0"/>
          <w:color w:val="auto"/>
          <w:sz w:val="21"/>
          <w:szCs w:val="14"/>
        </w:rPr>
        <w:t>1</w:t>
      </w:r>
      <w:r>
        <w:rPr>
          <w:rFonts w:hint="eastAsia"/>
          <w:b w:val="0"/>
          <w:bCs w:val="0"/>
          <w:color w:val="auto"/>
          <w:sz w:val="21"/>
          <w:szCs w:val="14"/>
        </w:rPr>
        <w:t>天未按期补齐，律师所在与指定人员沟通后即可发出律师函，律师函按甲方规定版本发送。</w:t>
      </w:r>
    </w:p>
    <w:p>
      <w:pPr>
        <w:pStyle w:val="20"/>
        <w:numPr>
          <w:ilvl w:val="0"/>
          <w:numId w:val="24"/>
        </w:numPr>
        <w:spacing w:line="520" w:lineRule="exact"/>
        <w:jc w:val="left"/>
        <w:rPr>
          <w:b w:val="0"/>
          <w:bCs w:val="0"/>
          <w:color w:val="auto"/>
          <w:sz w:val="21"/>
          <w:szCs w:val="14"/>
        </w:rPr>
      </w:pPr>
      <w:r>
        <w:rPr>
          <w:rFonts w:hint="eastAsia"/>
          <w:b w:val="0"/>
          <w:bCs w:val="0"/>
          <w:color w:val="auto"/>
          <w:sz w:val="21"/>
          <w:szCs w:val="14"/>
        </w:rPr>
        <w:t>紧密跟进回款进度，5天内回款。如银行政策变动，视情况另行通知。</w:t>
      </w:r>
    </w:p>
    <w:p>
      <w:pPr>
        <w:pStyle w:val="20"/>
        <w:numPr>
          <w:ilvl w:val="0"/>
          <w:numId w:val="24"/>
        </w:numPr>
        <w:spacing w:line="520" w:lineRule="exact"/>
        <w:jc w:val="left"/>
        <w:rPr>
          <w:b w:val="0"/>
          <w:bCs w:val="0"/>
          <w:color w:val="auto"/>
          <w:sz w:val="21"/>
          <w:szCs w:val="14"/>
        </w:rPr>
      </w:pPr>
      <w:r>
        <w:rPr>
          <w:b w:val="0"/>
          <w:bCs w:val="0"/>
          <w:color w:val="auto"/>
          <w:sz w:val="21"/>
          <w:szCs w:val="14"/>
        </w:rPr>
        <w:t>及</w:t>
      </w:r>
      <w:r>
        <w:rPr>
          <w:rFonts w:hint="eastAsia"/>
          <w:b w:val="0"/>
          <w:bCs w:val="0"/>
          <w:color w:val="auto"/>
          <w:sz w:val="21"/>
          <w:szCs w:val="14"/>
        </w:rPr>
        <w:t>时按</w:t>
      </w:r>
      <w:r>
        <w:rPr>
          <w:b w:val="0"/>
          <w:bCs w:val="0"/>
          <w:color w:val="auto"/>
          <w:sz w:val="21"/>
          <w:szCs w:val="14"/>
        </w:rPr>
        <w:t>要求</w:t>
      </w:r>
      <w:r>
        <w:rPr>
          <w:rFonts w:hint="eastAsia"/>
          <w:b w:val="0"/>
          <w:bCs w:val="0"/>
          <w:color w:val="auto"/>
          <w:sz w:val="21"/>
          <w:szCs w:val="14"/>
        </w:rPr>
        <w:t>时</w:t>
      </w:r>
      <w:r>
        <w:rPr>
          <w:b w:val="0"/>
          <w:bCs w:val="0"/>
          <w:color w:val="auto"/>
          <w:sz w:val="21"/>
          <w:szCs w:val="14"/>
        </w:rPr>
        <w:t>间完成</w:t>
      </w:r>
      <w:r>
        <w:rPr>
          <w:rFonts w:hint="eastAsia"/>
          <w:b w:val="0"/>
          <w:bCs w:val="0"/>
          <w:color w:val="auto"/>
          <w:sz w:val="21"/>
          <w:szCs w:val="14"/>
        </w:rPr>
        <w:t>抵</w:t>
      </w:r>
      <w:r>
        <w:rPr>
          <w:b w:val="0"/>
          <w:bCs w:val="0"/>
          <w:color w:val="auto"/>
          <w:sz w:val="21"/>
          <w:szCs w:val="14"/>
        </w:rPr>
        <w:t>押回</w:t>
      </w:r>
      <w:r>
        <w:rPr>
          <w:rFonts w:hint="eastAsia"/>
          <w:b w:val="0"/>
          <w:bCs w:val="0"/>
          <w:color w:val="auto"/>
          <w:sz w:val="21"/>
          <w:szCs w:val="14"/>
        </w:rPr>
        <w:t>执。（完成时间</w:t>
      </w:r>
      <w:r>
        <w:rPr>
          <w:b w:val="0"/>
          <w:bCs w:val="0"/>
          <w:color w:val="auto"/>
          <w:sz w:val="21"/>
          <w:szCs w:val="14"/>
        </w:rPr>
        <w:t>：</w:t>
      </w:r>
      <w:r>
        <w:rPr>
          <w:rFonts w:hint="eastAsia"/>
          <w:b w:val="0"/>
          <w:bCs w:val="0"/>
          <w:color w:val="auto"/>
          <w:sz w:val="21"/>
          <w:szCs w:val="14"/>
        </w:rPr>
        <w:t>3天内）</w:t>
      </w:r>
    </w:p>
    <w:p>
      <w:pPr>
        <w:pStyle w:val="20"/>
        <w:spacing w:line="520" w:lineRule="exact"/>
        <w:ind w:left="420"/>
        <w:rPr>
          <w:color w:val="auto"/>
          <w:sz w:val="21"/>
          <w:szCs w:val="14"/>
        </w:rPr>
      </w:pPr>
    </w:p>
    <w:p>
      <w:pPr>
        <w:pStyle w:val="20"/>
        <w:spacing w:line="520" w:lineRule="exact"/>
        <w:jc w:val="left"/>
        <w:rPr>
          <w:color w:val="auto"/>
          <w:sz w:val="21"/>
          <w:szCs w:val="14"/>
        </w:rPr>
      </w:pPr>
      <w:r>
        <w:rPr>
          <w:rFonts w:hint="eastAsia"/>
          <w:color w:val="auto"/>
          <w:sz w:val="21"/>
          <w:szCs w:val="14"/>
        </w:rPr>
        <w:t>五、合同复核、移交（完成时间：</w:t>
      </w:r>
      <w:r>
        <w:rPr>
          <w:color w:val="auto"/>
          <w:sz w:val="21"/>
          <w:szCs w:val="14"/>
        </w:rPr>
        <w:t>3</w:t>
      </w:r>
      <w:r>
        <w:rPr>
          <w:rFonts w:hint="eastAsia"/>
          <w:color w:val="auto"/>
          <w:sz w:val="21"/>
          <w:szCs w:val="14"/>
        </w:rPr>
        <w:t>个工作日）</w:t>
      </w:r>
    </w:p>
    <w:p>
      <w:pPr>
        <w:pStyle w:val="20"/>
        <w:numPr>
          <w:ilvl w:val="0"/>
          <w:numId w:val="25"/>
        </w:numPr>
        <w:tabs>
          <w:tab w:val="left" w:pos="0"/>
        </w:tabs>
        <w:spacing w:line="520" w:lineRule="exact"/>
        <w:jc w:val="left"/>
        <w:rPr>
          <w:b w:val="0"/>
          <w:bCs w:val="0"/>
          <w:color w:val="auto"/>
          <w:sz w:val="21"/>
          <w:szCs w:val="14"/>
        </w:rPr>
      </w:pPr>
      <w:r>
        <w:rPr>
          <w:rFonts w:hint="eastAsia"/>
          <w:b w:val="0"/>
          <w:bCs w:val="0"/>
          <w:color w:val="auto"/>
          <w:sz w:val="21"/>
          <w:szCs w:val="14"/>
        </w:rPr>
        <w:t>为保证合同的质量，必须建立合同专人复核制度。负责对已签订的合同各项内容进行全面复核，重点核对姓名、房号、房款金额、交付时间、交楼标准、户型图、补充协议等内容。</w:t>
      </w:r>
    </w:p>
    <w:p>
      <w:pPr>
        <w:pStyle w:val="20"/>
        <w:numPr>
          <w:ilvl w:val="0"/>
          <w:numId w:val="25"/>
        </w:numPr>
        <w:tabs>
          <w:tab w:val="left" w:pos="0"/>
        </w:tabs>
        <w:spacing w:line="520" w:lineRule="exact"/>
        <w:jc w:val="left"/>
        <w:rPr>
          <w:b w:val="0"/>
          <w:bCs w:val="0"/>
          <w:color w:val="auto"/>
          <w:sz w:val="21"/>
          <w:szCs w:val="14"/>
        </w:rPr>
      </w:pPr>
      <w:r>
        <w:rPr>
          <w:b w:val="0"/>
          <w:bCs w:val="0"/>
          <w:color w:val="auto"/>
          <w:sz w:val="21"/>
          <w:szCs w:val="14"/>
        </w:rPr>
        <w:t>项目楼栋</w:t>
      </w:r>
      <w:r>
        <w:rPr>
          <w:rFonts w:hint="eastAsia"/>
          <w:b w:val="0"/>
          <w:bCs w:val="0"/>
          <w:color w:val="auto"/>
          <w:sz w:val="21"/>
          <w:szCs w:val="14"/>
        </w:rPr>
        <w:t>第一</w:t>
      </w:r>
      <w:r>
        <w:rPr>
          <w:b w:val="0"/>
          <w:bCs w:val="0"/>
          <w:color w:val="auto"/>
          <w:sz w:val="21"/>
          <w:szCs w:val="14"/>
        </w:rPr>
        <w:t>份合同，需当天提供至</w:t>
      </w:r>
      <w:r>
        <w:rPr>
          <w:rFonts w:hint="eastAsia"/>
          <w:b w:val="0"/>
          <w:bCs w:val="0"/>
          <w:color w:val="auto"/>
          <w:sz w:val="21"/>
          <w:szCs w:val="14"/>
        </w:rPr>
        <w:t>甲方签约</w:t>
      </w:r>
      <w:r>
        <w:rPr>
          <w:b w:val="0"/>
          <w:bCs w:val="0"/>
          <w:color w:val="auto"/>
          <w:sz w:val="21"/>
          <w:szCs w:val="14"/>
        </w:rPr>
        <w:t>组人员</w:t>
      </w:r>
      <w:r>
        <w:rPr>
          <w:rFonts w:hint="eastAsia"/>
          <w:b w:val="0"/>
          <w:bCs w:val="0"/>
          <w:color w:val="auto"/>
          <w:sz w:val="21"/>
          <w:szCs w:val="14"/>
        </w:rPr>
        <w:t>审核</w:t>
      </w:r>
      <w:r>
        <w:rPr>
          <w:b w:val="0"/>
          <w:bCs w:val="0"/>
          <w:color w:val="auto"/>
          <w:sz w:val="21"/>
          <w:szCs w:val="14"/>
        </w:rPr>
        <w:t>校对，通过后由</w:t>
      </w:r>
      <w:r>
        <w:rPr>
          <w:rFonts w:hint="eastAsia"/>
          <w:b w:val="0"/>
          <w:bCs w:val="0"/>
          <w:color w:val="auto"/>
          <w:sz w:val="21"/>
          <w:szCs w:val="14"/>
        </w:rPr>
        <w:t>甲方</w:t>
      </w:r>
      <w:r>
        <w:rPr>
          <w:b w:val="0"/>
          <w:bCs w:val="0"/>
          <w:color w:val="auto"/>
          <w:sz w:val="21"/>
          <w:szCs w:val="14"/>
        </w:rPr>
        <w:t>签约组人员签名确认，</w:t>
      </w:r>
      <w:r>
        <w:rPr>
          <w:rFonts w:hint="eastAsia"/>
          <w:b w:val="0"/>
          <w:bCs w:val="0"/>
          <w:color w:val="auto"/>
          <w:sz w:val="21"/>
          <w:szCs w:val="14"/>
        </w:rPr>
        <w:t>方</w:t>
      </w:r>
      <w:r>
        <w:rPr>
          <w:b w:val="0"/>
          <w:bCs w:val="0"/>
          <w:color w:val="auto"/>
          <w:sz w:val="21"/>
          <w:szCs w:val="14"/>
        </w:rPr>
        <w:t>可盖章。</w:t>
      </w:r>
    </w:p>
    <w:p>
      <w:pPr>
        <w:pStyle w:val="20"/>
        <w:numPr>
          <w:ilvl w:val="0"/>
          <w:numId w:val="25"/>
        </w:numPr>
        <w:tabs>
          <w:tab w:val="left" w:pos="0"/>
        </w:tabs>
        <w:spacing w:line="520" w:lineRule="exact"/>
        <w:jc w:val="left"/>
        <w:rPr>
          <w:b w:val="0"/>
          <w:bCs w:val="0"/>
          <w:color w:val="auto"/>
          <w:sz w:val="21"/>
          <w:szCs w:val="14"/>
        </w:rPr>
      </w:pPr>
      <w:r>
        <w:rPr>
          <w:rFonts w:hint="eastAsia"/>
          <w:b w:val="0"/>
          <w:bCs w:val="0"/>
          <w:color w:val="auto"/>
          <w:sz w:val="21"/>
          <w:szCs w:val="14"/>
        </w:rPr>
        <w:t>在合同签署后3日内完成已签订的买卖合同、贷款合同整理、复核、盖章。</w:t>
      </w:r>
    </w:p>
    <w:p>
      <w:pPr>
        <w:pStyle w:val="20"/>
        <w:numPr>
          <w:ilvl w:val="0"/>
          <w:numId w:val="25"/>
        </w:numPr>
        <w:tabs>
          <w:tab w:val="left" w:pos="0"/>
        </w:tabs>
        <w:spacing w:line="520" w:lineRule="exact"/>
        <w:jc w:val="left"/>
        <w:rPr>
          <w:b w:val="0"/>
          <w:bCs w:val="0"/>
          <w:color w:val="auto"/>
          <w:sz w:val="21"/>
          <w:szCs w:val="14"/>
        </w:rPr>
      </w:pPr>
      <w:r>
        <w:rPr>
          <w:rFonts w:hint="eastAsia"/>
          <w:b w:val="0"/>
          <w:bCs w:val="0"/>
          <w:color w:val="auto"/>
          <w:sz w:val="21"/>
          <w:szCs w:val="14"/>
        </w:rPr>
        <w:t>审核员视银行要求检查贷款合同，之后由具备律师资质律师签名见证。</w:t>
      </w:r>
    </w:p>
    <w:p>
      <w:pPr>
        <w:pStyle w:val="20"/>
        <w:tabs>
          <w:tab w:val="left" w:pos="0"/>
        </w:tabs>
        <w:spacing w:line="520" w:lineRule="exact"/>
        <w:ind w:left="420"/>
        <w:rPr>
          <w:color w:val="auto"/>
          <w:sz w:val="21"/>
          <w:szCs w:val="14"/>
        </w:rPr>
      </w:pPr>
    </w:p>
    <w:p>
      <w:pPr>
        <w:pStyle w:val="44"/>
        <w:spacing w:line="520" w:lineRule="exact"/>
        <w:rPr>
          <w:b/>
          <w:color w:val="auto"/>
          <w:szCs w:val="14"/>
        </w:rPr>
      </w:pPr>
      <w:r>
        <w:rPr>
          <w:rFonts w:hint="eastAsia"/>
          <w:b/>
          <w:color w:val="auto"/>
          <w:szCs w:val="14"/>
        </w:rPr>
        <w:t>六、合同备案、抵押、付款办理</w:t>
      </w:r>
    </w:p>
    <w:p>
      <w:pPr>
        <w:pStyle w:val="44"/>
        <w:numPr>
          <w:ilvl w:val="0"/>
          <w:numId w:val="26"/>
        </w:numPr>
        <w:spacing w:line="520" w:lineRule="exact"/>
        <w:ind w:right="-28"/>
        <w:rPr>
          <w:bCs/>
          <w:color w:val="auto"/>
          <w:szCs w:val="14"/>
        </w:rPr>
      </w:pPr>
      <w:r>
        <w:rPr>
          <w:rFonts w:hint="eastAsia"/>
          <w:bCs/>
          <w:color w:val="auto"/>
          <w:szCs w:val="14"/>
        </w:rPr>
        <w:t>买卖合同盖章后，制作清单连同一本原件合同报送当地地税分局作契税缴纳申请，待地税分局审核无误后缴纳契税，将缴税单据给到地税分局出具契税完税证明。（完成时间：</w:t>
      </w:r>
      <w:r>
        <w:rPr>
          <w:bCs/>
          <w:color w:val="auto"/>
          <w:szCs w:val="14"/>
        </w:rPr>
        <w:t>90</w:t>
      </w:r>
      <w:r>
        <w:rPr>
          <w:rFonts w:hint="eastAsia"/>
          <w:bCs/>
          <w:color w:val="auto"/>
          <w:szCs w:val="14"/>
        </w:rPr>
        <w:t>天）</w:t>
      </w:r>
    </w:p>
    <w:p>
      <w:pPr>
        <w:pStyle w:val="44"/>
        <w:numPr>
          <w:ilvl w:val="0"/>
          <w:numId w:val="26"/>
        </w:numPr>
        <w:spacing w:line="520" w:lineRule="exact"/>
        <w:ind w:right="-28"/>
        <w:rPr>
          <w:bCs/>
          <w:color w:val="auto"/>
          <w:szCs w:val="14"/>
        </w:rPr>
      </w:pPr>
      <w:r>
        <w:rPr>
          <w:rFonts w:hint="eastAsia"/>
          <w:bCs/>
          <w:color w:val="auto"/>
          <w:szCs w:val="14"/>
        </w:rPr>
        <w:t>将缴纳专项维修金资料\清单上报给指定银行，待银行核定后办理专项维修金付款缴纳，并跟进银行出具缴纳收据。（完成时间：</w:t>
      </w:r>
      <w:r>
        <w:rPr>
          <w:bCs/>
          <w:color w:val="auto"/>
          <w:szCs w:val="14"/>
        </w:rPr>
        <w:t>2</w:t>
      </w:r>
      <w:r>
        <w:rPr>
          <w:rFonts w:hint="eastAsia"/>
          <w:bCs/>
          <w:color w:val="auto"/>
          <w:szCs w:val="14"/>
        </w:rPr>
        <w:t>个工作日）</w:t>
      </w:r>
    </w:p>
    <w:p>
      <w:pPr>
        <w:pStyle w:val="44"/>
        <w:numPr>
          <w:ilvl w:val="0"/>
          <w:numId w:val="26"/>
        </w:numPr>
        <w:spacing w:line="520" w:lineRule="exact"/>
        <w:ind w:right="-28"/>
        <w:rPr>
          <w:bCs/>
          <w:color w:val="auto"/>
          <w:szCs w:val="14"/>
        </w:rPr>
      </w:pPr>
      <w:r>
        <w:rPr>
          <w:rFonts w:hint="eastAsia"/>
          <w:bCs/>
          <w:color w:val="auto"/>
          <w:szCs w:val="14"/>
        </w:rPr>
        <w:t>制作预售款缴费通知单，移交甲方指定人员，同时做好移交单据登记，并跟进甲方提供《预售款进账通知书》。（完成时间：签</w:t>
      </w:r>
      <w:r>
        <w:rPr>
          <w:bCs/>
          <w:color w:val="auto"/>
          <w:szCs w:val="14"/>
        </w:rPr>
        <w:t>约后</w:t>
      </w:r>
      <w:r>
        <w:rPr>
          <w:rFonts w:hint="eastAsia"/>
          <w:bCs/>
          <w:color w:val="auto"/>
          <w:szCs w:val="14"/>
        </w:rPr>
        <w:t>1个工作日）</w:t>
      </w:r>
    </w:p>
    <w:p>
      <w:pPr>
        <w:pStyle w:val="44"/>
        <w:numPr>
          <w:ilvl w:val="0"/>
          <w:numId w:val="26"/>
        </w:numPr>
        <w:spacing w:line="520" w:lineRule="exact"/>
        <w:ind w:right="-28"/>
        <w:rPr>
          <w:bCs/>
          <w:color w:val="auto"/>
          <w:szCs w:val="14"/>
        </w:rPr>
      </w:pPr>
      <w:r>
        <w:rPr>
          <w:rFonts w:hint="eastAsia"/>
          <w:bCs/>
          <w:color w:val="auto"/>
          <w:szCs w:val="14"/>
        </w:rPr>
        <w:t>送</w:t>
      </w:r>
      <w:r>
        <w:rPr>
          <w:bCs/>
          <w:color w:val="auto"/>
          <w:szCs w:val="14"/>
        </w:rPr>
        <w:t>备案：</w:t>
      </w:r>
      <w:r>
        <w:rPr>
          <w:rFonts w:hint="eastAsia"/>
          <w:bCs/>
          <w:color w:val="auto"/>
          <w:szCs w:val="14"/>
        </w:rPr>
        <w:t>自</w:t>
      </w:r>
      <w:r>
        <w:rPr>
          <w:bCs/>
          <w:color w:val="auto"/>
          <w:szCs w:val="14"/>
        </w:rPr>
        <w:t>签约之日起</w:t>
      </w:r>
      <w:r>
        <w:rPr>
          <w:rFonts w:hint="eastAsia"/>
          <w:bCs/>
          <w:color w:val="auto"/>
          <w:szCs w:val="14"/>
        </w:rPr>
        <w:t>，整理送审备案资料，并按镇区要求时间内完成送审备案</w:t>
      </w:r>
      <w:r>
        <w:rPr>
          <w:bCs/>
          <w:color w:val="auto"/>
          <w:szCs w:val="14"/>
        </w:rPr>
        <w:t>，必须完成</w:t>
      </w:r>
      <w:r>
        <w:rPr>
          <w:rFonts w:hint="eastAsia"/>
          <w:bCs/>
          <w:color w:val="auto"/>
          <w:szCs w:val="14"/>
        </w:rPr>
        <w:t>备案</w:t>
      </w:r>
      <w:r>
        <w:rPr>
          <w:bCs/>
          <w:color w:val="auto"/>
          <w:szCs w:val="14"/>
        </w:rPr>
        <w:t>手续，并完成取件流程。</w:t>
      </w:r>
      <w:r>
        <w:rPr>
          <w:rFonts w:hint="eastAsia"/>
          <w:bCs/>
          <w:color w:val="auto"/>
          <w:szCs w:val="14"/>
        </w:rPr>
        <w:t>（完成时间：</w:t>
      </w:r>
      <w:r>
        <w:rPr>
          <w:bCs/>
          <w:color w:val="auto"/>
          <w:szCs w:val="14"/>
        </w:rPr>
        <w:t>7</w:t>
      </w:r>
      <w:r>
        <w:rPr>
          <w:rFonts w:hint="eastAsia"/>
          <w:bCs/>
          <w:color w:val="auto"/>
          <w:szCs w:val="14"/>
        </w:rPr>
        <w:t>个工作日）</w:t>
      </w:r>
    </w:p>
    <w:p>
      <w:pPr>
        <w:pStyle w:val="44"/>
        <w:numPr>
          <w:ilvl w:val="0"/>
          <w:numId w:val="26"/>
        </w:numPr>
        <w:spacing w:line="520" w:lineRule="exact"/>
        <w:ind w:right="-28"/>
        <w:rPr>
          <w:bCs/>
          <w:color w:val="auto"/>
          <w:szCs w:val="14"/>
        </w:rPr>
      </w:pPr>
      <w:r>
        <w:rPr>
          <w:rFonts w:hint="eastAsia"/>
          <w:bCs/>
          <w:color w:val="auto"/>
          <w:szCs w:val="14"/>
        </w:rPr>
        <w:t>送抵押：合同备案完成后，整理办理抵押所需资料，确认无误后送房所办理抵押，</w:t>
      </w:r>
      <w:r>
        <w:rPr>
          <w:bCs/>
          <w:color w:val="auto"/>
          <w:szCs w:val="14"/>
        </w:rPr>
        <w:t>并完成取件流程</w:t>
      </w:r>
      <w:r>
        <w:rPr>
          <w:rFonts w:hint="eastAsia"/>
          <w:bCs/>
          <w:color w:val="auto"/>
          <w:szCs w:val="14"/>
        </w:rPr>
        <w:t>。（完成时间：备案取件后</w:t>
      </w:r>
      <w:r>
        <w:rPr>
          <w:bCs/>
          <w:color w:val="auto"/>
          <w:szCs w:val="14"/>
        </w:rPr>
        <w:t>2</w:t>
      </w:r>
      <w:r>
        <w:rPr>
          <w:rFonts w:hint="eastAsia"/>
          <w:bCs/>
          <w:color w:val="auto"/>
          <w:szCs w:val="14"/>
        </w:rPr>
        <w:t>个工作日）</w:t>
      </w:r>
    </w:p>
    <w:p>
      <w:pPr>
        <w:pStyle w:val="44"/>
        <w:numPr>
          <w:ilvl w:val="0"/>
          <w:numId w:val="26"/>
        </w:numPr>
        <w:spacing w:line="520" w:lineRule="exact"/>
        <w:ind w:right="-28"/>
        <w:rPr>
          <w:bCs/>
          <w:color w:val="auto"/>
          <w:szCs w:val="14"/>
        </w:rPr>
      </w:pPr>
      <w:r>
        <w:rPr>
          <w:rFonts w:hint="eastAsia"/>
          <w:bCs/>
          <w:color w:val="auto"/>
          <w:szCs w:val="14"/>
        </w:rPr>
        <w:t>备案完成后，分类整理抵押清单、合同等资料，将备案清单及票据等资料按甲方要求进行登记、移交，并做好移交记录（完成时间：取件后一个月内）</w:t>
      </w:r>
    </w:p>
    <w:p>
      <w:pPr>
        <w:pStyle w:val="44"/>
        <w:numPr>
          <w:ilvl w:val="0"/>
          <w:numId w:val="26"/>
        </w:numPr>
        <w:spacing w:line="520" w:lineRule="exact"/>
        <w:ind w:right="-28"/>
        <w:rPr>
          <w:bCs/>
          <w:color w:val="auto"/>
          <w:szCs w:val="14"/>
        </w:rPr>
      </w:pPr>
      <w:r>
        <w:rPr>
          <w:bCs/>
          <w:color w:val="auto"/>
          <w:szCs w:val="14"/>
        </w:rPr>
        <w:t>抵押</w:t>
      </w:r>
      <w:r>
        <w:rPr>
          <w:rFonts w:hint="eastAsia"/>
          <w:bCs/>
          <w:color w:val="auto"/>
          <w:szCs w:val="14"/>
        </w:rPr>
        <w:t>完成</w:t>
      </w:r>
      <w:r>
        <w:rPr>
          <w:bCs/>
          <w:color w:val="auto"/>
          <w:szCs w:val="14"/>
        </w:rPr>
        <w:t>后</w:t>
      </w:r>
      <w:r>
        <w:rPr>
          <w:rFonts w:hint="eastAsia"/>
          <w:bCs/>
          <w:color w:val="auto"/>
          <w:szCs w:val="14"/>
        </w:rPr>
        <w:t>将&lt;银行他项权证&gt;、&lt;抵押登记清单&gt;一份等送回银行。（完成时间：取件后2周内）。</w:t>
      </w:r>
    </w:p>
    <w:p>
      <w:pPr>
        <w:pStyle w:val="44"/>
        <w:numPr>
          <w:ilvl w:val="0"/>
          <w:numId w:val="26"/>
        </w:numPr>
        <w:spacing w:line="520" w:lineRule="exact"/>
        <w:ind w:right="-28"/>
        <w:rPr>
          <w:bCs/>
          <w:color w:val="auto"/>
          <w:szCs w:val="14"/>
        </w:rPr>
      </w:pPr>
      <w:r>
        <w:rPr>
          <w:bCs/>
          <w:color w:val="auto"/>
          <w:szCs w:val="14"/>
        </w:rPr>
        <w:t>根据</w:t>
      </w:r>
      <w:r>
        <w:rPr>
          <w:rFonts w:hint="eastAsia"/>
          <w:bCs/>
          <w:color w:val="auto"/>
          <w:szCs w:val="14"/>
        </w:rPr>
        <w:t>上述步骤</w:t>
      </w:r>
      <w:r>
        <w:rPr>
          <w:bCs/>
          <w:color w:val="auto"/>
          <w:szCs w:val="14"/>
        </w:rPr>
        <w:t>，</w:t>
      </w:r>
      <w:r>
        <w:rPr>
          <w:rFonts w:hint="eastAsia"/>
          <w:bCs/>
          <w:color w:val="auto"/>
          <w:szCs w:val="14"/>
        </w:rPr>
        <w:t>安排专人录入甲方指定系统“送备案抵押登记日期、</w:t>
      </w:r>
      <w:r>
        <w:rPr>
          <w:bCs/>
          <w:color w:val="auto"/>
          <w:szCs w:val="14"/>
        </w:rPr>
        <w:t>备案</w:t>
      </w:r>
      <w:r>
        <w:rPr>
          <w:rFonts w:hint="eastAsia"/>
          <w:bCs/>
          <w:color w:val="auto"/>
          <w:szCs w:val="14"/>
        </w:rPr>
        <w:t>抵押</w:t>
      </w:r>
      <w:r>
        <w:rPr>
          <w:bCs/>
          <w:color w:val="auto"/>
          <w:szCs w:val="14"/>
        </w:rPr>
        <w:t>完成日期、取抵押回执日期</w:t>
      </w:r>
      <w:r>
        <w:rPr>
          <w:rFonts w:hint="eastAsia"/>
          <w:bCs/>
          <w:color w:val="auto"/>
          <w:szCs w:val="14"/>
        </w:rPr>
        <w:t>、合同交接日期、抵押合同交接日期” 并于录入时再次核对合同内容：包括姓名、房号、楼价、付款方式、电话、地址、合同编号、交楼日期（完成时间：取件后一周内）。</w:t>
      </w:r>
    </w:p>
    <w:p>
      <w:pPr>
        <w:pStyle w:val="44"/>
        <w:numPr>
          <w:ilvl w:val="0"/>
          <w:numId w:val="26"/>
        </w:numPr>
        <w:spacing w:line="520" w:lineRule="exact"/>
        <w:ind w:right="-28"/>
        <w:rPr>
          <w:bCs/>
          <w:color w:val="auto"/>
          <w:szCs w:val="14"/>
        </w:rPr>
      </w:pPr>
      <w:r>
        <w:rPr>
          <w:rFonts w:hint="eastAsia"/>
          <w:bCs/>
          <w:color w:val="auto"/>
          <w:szCs w:val="14"/>
        </w:rPr>
        <w:t>一次性付款客户，于取得完成备案合同后一周内通知客户领取相关资料并登记。</w:t>
      </w:r>
    </w:p>
    <w:p>
      <w:pPr>
        <w:pStyle w:val="44"/>
        <w:spacing w:line="520" w:lineRule="exact"/>
        <w:ind w:left="420" w:right="-28"/>
        <w:rPr>
          <w:bCs/>
          <w:color w:val="auto"/>
          <w:szCs w:val="14"/>
        </w:rPr>
      </w:pPr>
    </w:p>
    <w:p>
      <w:pPr>
        <w:spacing w:line="520" w:lineRule="exact"/>
        <w:ind w:right="-1708"/>
        <w:rPr>
          <w:b/>
          <w:sz w:val="21"/>
          <w:szCs w:val="21"/>
        </w:rPr>
      </w:pPr>
      <w:r>
        <w:rPr>
          <w:rFonts w:hint="eastAsia"/>
          <w:b/>
          <w:sz w:val="21"/>
          <w:szCs w:val="21"/>
        </w:rPr>
        <w:t>七、合同资料交接（完成时间取得资料后一周内）</w:t>
      </w:r>
    </w:p>
    <w:p>
      <w:pPr>
        <w:pStyle w:val="183"/>
        <w:numPr>
          <w:ilvl w:val="0"/>
          <w:numId w:val="27"/>
        </w:numPr>
        <w:spacing w:line="520" w:lineRule="exact"/>
        <w:ind w:firstLineChars="0"/>
        <w:rPr>
          <w:bCs/>
          <w:sz w:val="21"/>
          <w:szCs w:val="21"/>
        </w:rPr>
      </w:pPr>
      <w:r>
        <w:rPr>
          <w:rFonts w:hint="eastAsia"/>
          <w:bCs/>
          <w:sz w:val="21"/>
          <w:szCs w:val="21"/>
        </w:rPr>
        <w:t>涉及与甲方进行资料的交接，按档案移交细则执行。</w:t>
      </w:r>
    </w:p>
    <w:p>
      <w:pPr>
        <w:pStyle w:val="183"/>
        <w:numPr>
          <w:ilvl w:val="0"/>
          <w:numId w:val="27"/>
        </w:numPr>
        <w:spacing w:line="520" w:lineRule="exact"/>
        <w:ind w:firstLineChars="0"/>
        <w:rPr>
          <w:bCs/>
          <w:sz w:val="21"/>
          <w:szCs w:val="21"/>
        </w:rPr>
      </w:pPr>
      <w:r>
        <w:rPr>
          <w:rFonts w:hint="eastAsia"/>
          <w:bCs/>
          <w:sz w:val="21"/>
          <w:szCs w:val="21"/>
        </w:rPr>
        <w:t>涉及与客户资料的交接，一次性付款的，要求时间为合同备案完毕后一周内。银行贷款的，首次于银行返回供款资料后2个工作日内，供楼日期前完成通知；第二次于贷款合同办理完成抵押手续后一周内移交。</w:t>
      </w:r>
    </w:p>
    <w:p>
      <w:pPr>
        <w:pStyle w:val="183"/>
        <w:numPr>
          <w:ilvl w:val="0"/>
          <w:numId w:val="27"/>
        </w:numPr>
        <w:spacing w:line="520" w:lineRule="exact"/>
        <w:ind w:firstLineChars="0"/>
        <w:rPr>
          <w:bCs/>
          <w:sz w:val="21"/>
          <w:szCs w:val="21"/>
        </w:rPr>
      </w:pPr>
      <w:r>
        <w:rPr>
          <w:rFonts w:hint="eastAsia"/>
          <w:bCs/>
          <w:sz w:val="21"/>
          <w:szCs w:val="21"/>
        </w:rPr>
        <w:t>跟进</w:t>
      </w:r>
      <w:r>
        <w:rPr>
          <w:bCs/>
          <w:sz w:val="21"/>
          <w:szCs w:val="21"/>
        </w:rPr>
        <w:t>客户资料领</w:t>
      </w:r>
      <w:r>
        <w:rPr>
          <w:rFonts w:hint="eastAsia"/>
          <w:bCs/>
          <w:sz w:val="21"/>
          <w:szCs w:val="21"/>
        </w:rPr>
        <w:t>取</w:t>
      </w:r>
      <w:r>
        <w:rPr>
          <w:bCs/>
          <w:sz w:val="21"/>
          <w:szCs w:val="21"/>
        </w:rPr>
        <w:t>情况，做好</w:t>
      </w:r>
      <w:r>
        <w:rPr>
          <w:rFonts w:hint="eastAsia"/>
          <w:bCs/>
          <w:sz w:val="21"/>
          <w:szCs w:val="21"/>
        </w:rPr>
        <w:t>通</w:t>
      </w:r>
      <w:r>
        <w:rPr>
          <w:bCs/>
          <w:sz w:val="21"/>
          <w:szCs w:val="21"/>
        </w:rPr>
        <w:t>知与记录</w:t>
      </w:r>
      <w:r>
        <w:rPr>
          <w:rFonts w:hint="eastAsia"/>
          <w:bCs/>
          <w:sz w:val="21"/>
          <w:szCs w:val="21"/>
        </w:rPr>
        <w:t>等</w:t>
      </w:r>
      <w:r>
        <w:rPr>
          <w:bCs/>
          <w:sz w:val="21"/>
          <w:szCs w:val="21"/>
        </w:rPr>
        <w:t>工作，</w:t>
      </w:r>
      <w:r>
        <w:rPr>
          <w:rFonts w:hint="eastAsia"/>
          <w:bCs/>
          <w:sz w:val="21"/>
          <w:szCs w:val="21"/>
        </w:rPr>
        <w:t>按</w:t>
      </w:r>
      <w:r>
        <w:rPr>
          <w:bCs/>
          <w:sz w:val="21"/>
          <w:szCs w:val="21"/>
        </w:rPr>
        <w:t>要求反馈客户领取情况。</w:t>
      </w:r>
      <w:r>
        <w:rPr>
          <w:rFonts w:hint="eastAsia"/>
          <w:bCs/>
          <w:sz w:val="21"/>
          <w:szCs w:val="21"/>
        </w:rPr>
        <w:t>每月最后一天由律师所出具一份未领取资料报表明细表，包括上期库存，本月新增，累计库存。提交甲方指定人员。</w:t>
      </w:r>
    </w:p>
    <w:p>
      <w:pPr>
        <w:pStyle w:val="183"/>
        <w:numPr>
          <w:ilvl w:val="0"/>
          <w:numId w:val="27"/>
        </w:numPr>
        <w:spacing w:line="520" w:lineRule="exact"/>
        <w:ind w:firstLineChars="0"/>
        <w:rPr>
          <w:bCs/>
          <w:sz w:val="21"/>
          <w:szCs w:val="21"/>
        </w:rPr>
      </w:pPr>
      <w:r>
        <w:rPr>
          <w:rFonts w:hint="eastAsia"/>
          <w:bCs/>
          <w:sz w:val="21"/>
          <w:szCs w:val="21"/>
        </w:rPr>
        <w:t>对未领取的资料（合同、不动</w:t>
      </w:r>
      <w:r>
        <w:rPr>
          <w:bCs/>
          <w:sz w:val="21"/>
          <w:szCs w:val="21"/>
        </w:rPr>
        <w:t>产权</w:t>
      </w:r>
      <w:r>
        <w:rPr>
          <w:rFonts w:hint="eastAsia"/>
          <w:bCs/>
          <w:sz w:val="21"/>
          <w:szCs w:val="21"/>
        </w:rPr>
        <w:t>证等），律师所需妥善放置，分类标注，方便查找。</w:t>
      </w:r>
    </w:p>
    <w:p>
      <w:pPr>
        <w:pStyle w:val="183"/>
        <w:numPr>
          <w:ilvl w:val="0"/>
          <w:numId w:val="27"/>
        </w:numPr>
        <w:spacing w:line="520" w:lineRule="exact"/>
        <w:ind w:firstLineChars="0"/>
        <w:rPr>
          <w:bCs/>
          <w:sz w:val="21"/>
          <w:szCs w:val="21"/>
        </w:rPr>
      </w:pPr>
      <w:r>
        <w:rPr>
          <w:rFonts w:hint="eastAsia"/>
          <w:bCs/>
          <w:sz w:val="21"/>
          <w:szCs w:val="21"/>
        </w:rPr>
        <w:t>客户已领取买卖合同、不动</w:t>
      </w:r>
      <w:r>
        <w:rPr>
          <w:bCs/>
          <w:sz w:val="21"/>
          <w:szCs w:val="21"/>
        </w:rPr>
        <w:t>产权</w:t>
      </w:r>
      <w:r>
        <w:rPr>
          <w:rFonts w:hint="eastAsia"/>
          <w:bCs/>
          <w:sz w:val="21"/>
          <w:szCs w:val="21"/>
        </w:rPr>
        <w:t>证及相</w:t>
      </w:r>
      <w:r>
        <w:rPr>
          <w:bCs/>
          <w:sz w:val="21"/>
          <w:szCs w:val="21"/>
        </w:rPr>
        <w:t>关资料</w:t>
      </w:r>
      <w:r>
        <w:rPr>
          <w:rFonts w:hint="eastAsia"/>
          <w:bCs/>
          <w:sz w:val="21"/>
          <w:szCs w:val="21"/>
        </w:rPr>
        <w:t>的，由资料员在甲方指定系统及系统中对应录入[合同领取时间]、[不动</w:t>
      </w:r>
      <w:r>
        <w:rPr>
          <w:bCs/>
          <w:sz w:val="21"/>
          <w:szCs w:val="21"/>
        </w:rPr>
        <w:t>产权</w:t>
      </w:r>
      <w:r>
        <w:rPr>
          <w:rFonts w:hint="eastAsia"/>
          <w:bCs/>
          <w:sz w:val="21"/>
          <w:szCs w:val="21"/>
        </w:rPr>
        <w:t>证领取时间]及</w:t>
      </w:r>
      <w:r>
        <w:rPr>
          <w:bCs/>
          <w:sz w:val="21"/>
          <w:szCs w:val="21"/>
        </w:rPr>
        <w:t>相关资料领取时间，</w:t>
      </w:r>
      <w:r>
        <w:rPr>
          <w:rFonts w:hint="eastAsia"/>
          <w:bCs/>
          <w:sz w:val="21"/>
          <w:szCs w:val="21"/>
        </w:rPr>
        <w:t>（由律师所代领不动</w:t>
      </w:r>
      <w:r>
        <w:rPr>
          <w:bCs/>
          <w:sz w:val="21"/>
          <w:szCs w:val="21"/>
        </w:rPr>
        <w:t>产权</w:t>
      </w:r>
      <w:r>
        <w:rPr>
          <w:rFonts w:hint="eastAsia"/>
          <w:bCs/>
          <w:sz w:val="21"/>
          <w:szCs w:val="21"/>
        </w:rPr>
        <w:t>证的需要录入领取时间）。</w:t>
      </w:r>
    </w:p>
    <w:p>
      <w:pPr>
        <w:pStyle w:val="183"/>
        <w:numPr>
          <w:ilvl w:val="0"/>
          <w:numId w:val="27"/>
        </w:numPr>
        <w:spacing w:line="520" w:lineRule="exact"/>
        <w:ind w:firstLineChars="0"/>
        <w:rPr>
          <w:bCs/>
          <w:sz w:val="21"/>
          <w:szCs w:val="21"/>
        </w:rPr>
      </w:pPr>
      <w:r>
        <w:rPr>
          <w:rFonts w:hint="eastAsia"/>
          <w:bCs/>
          <w:sz w:val="21"/>
          <w:szCs w:val="21"/>
        </w:rPr>
        <w:t>所有资料交接（包括与甲方、银行、客户等）全部做好签收记录，以便后期查询。</w:t>
      </w:r>
    </w:p>
    <w:p>
      <w:pPr>
        <w:tabs>
          <w:tab w:val="left" w:pos="-2977"/>
        </w:tabs>
        <w:spacing w:line="360" w:lineRule="auto"/>
        <w:rPr>
          <w:bCs/>
          <w:sz w:val="21"/>
          <w:szCs w:val="21"/>
        </w:rPr>
      </w:pPr>
      <w:r>
        <w:rPr>
          <w:rFonts w:hint="eastAsia"/>
          <w:b/>
          <w:sz w:val="21"/>
          <w:szCs w:val="21"/>
        </w:rPr>
        <w:t>八、签约现场人员考核制度</w:t>
      </w:r>
    </w:p>
    <w:tbl>
      <w:tblPr>
        <w:tblStyle w:val="52"/>
        <w:tblW w:w="9464" w:type="dxa"/>
        <w:tblInd w:w="0" w:type="dxa"/>
        <w:tblLayout w:type="fixed"/>
        <w:tblCellMar>
          <w:top w:w="0" w:type="dxa"/>
          <w:left w:w="108" w:type="dxa"/>
          <w:bottom w:w="0" w:type="dxa"/>
          <w:right w:w="108" w:type="dxa"/>
        </w:tblCellMar>
      </w:tblPr>
      <w:tblGrid>
        <w:gridCol w:w="785"/>
        <w:gridCol w:w="598"/>
        <w:gridCol w:w="6381"/>
        <w:gridCol w:w="1700"/>
      </w:tblGrid>
      <w:tr>
        <w:tblPrEx>
          <w:tblCellMar>
            <w:top w:w="0" w:type="dxa"/>
            <w:left w:w="108" w:type="dxa"/>
            <w:bottom w:w="0" w:type="dxa"/>
            <w:right w:w="108" w:type="dxa"/>
          </w:tblCellMar>
        </w:tblPrEx>
        <w:trPr>
          <w:trHeight w:val="480" w:hRule="atLeast"/>
        </w:trPr>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b/>
                <w:bCs/>
                <w:sz w:val="21"/>
                <w:szCs w:val="21"/>
              </w:rPr>
            </w:pPr>
            <w:r>
              <w:rPr>
                <w:rFonts w:hint="eastAsia" w:hAnsi="宋体"/>
                <w:b/>
                <w:bCs/>
                <w:sz w:val="21"/>
                <w:szCs w:val="21"/>
              </w:rPr>
              <w:t>类别</w:t>
            </w:r>
          </w:p>
        </w:tc>
        <w:tc>
          <w:tcPr>
            <w:tcW w:w="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
                <w:bCs/>
                <w:sz w:val="21"/>
                <w:szCs w:val="21"/>
              </w:rPr>
            </w:pPr>
            <w:r>
              <w:rPr>
                <w:rFonts w:hint="eastAsia" w:hAnsi="宋体"/>
                <w:b/>
                <w:bCs/>
                <w:sz w:val="21"/>
                <w:szCs w:val="21"/>
              </w:rPr>
              <w:t>序号</w:t>
            </w:r>
          </w:p>
        </w:tc>
        <w:tc>
          <w:tcPr>
            <w:tcW w:w="6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
                <w:bCs/>
                <w:sz w:val="21"/>
                <w:szCs w:val="21"/>
              </w:rPr>
            </w:pPr>
            <w:r>
              <w:rPr>
                <w:rFonts w:hint="eastAsia" w:hAnsi="宋体"/>
                <w:b/>
                <w:bCs/>
                <w:sz w:val="21"/>
                <w:szCs w:val="21"/>
              </w:rPr>
              <w:t>细则</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
                <w:bCs/>
                <w:sz w:val="21"/>
                <w:szCs w:val="21"/>
              </w:rPr>
            </w:pPr>
            <w:r>
              <w:rPr>
                <w:rFonts w:hint="eastAsia" w:hAnsi="宋体"/>
                <w:b/>
                <w:bCs/>
                <w:sz w:val="21"/>
                <w:szCs w:val="21"/>
              </w:rPr>
              <w:t>扣款</w:t>
            </w:r>
            <w:r>
              <w:rPr>
                <w:rFonts w:hint="eastAsia" w:hAnsi="宋体"/>
                <w:b/>
                <w:bCs/>
                <w:sz w:val="21"/>
                <w:szCs w:val="21"/>
              </w:rPr>
              <w:br w:type="textWrapping"/>
            </w:r>
            <w:r>
              <w:rPr>
                <w:rFonts w:hint="eastAsia" w:hAnsi="宋体"/>
                <w:b/>
                <w:bCs/>
                <w:sz w:val="21"/>
                <w:szCs w:val="21"/>
              </w:rPr>
              <w:t>（保证金）</w:t>
            </w:r>
          </w:p>
        </w:tc>
      </w:tr>
      <w:tr>
        <w:tblPrEx>
          <w:tblCellMar>
            <w:top w:w="0" w:type="dxa"/>
            <w:left w:w="108" w:type="dxa"/>
            <w:bottom w:w="0" w:type="dxa"/>
            <w:right w:w="108" w:type="dxa"/>
          </w:tblCellMar>
        </w:tblPrEx>
        <w:trPr>
          <w:trHeight w:val="285" w:hRule="atLeast"/>
        </w:trPr>
        <w:tc>
          <w:tcPr>
            <w:tcW w:w="7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日常行为及工作</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上班考勤（含集中交付）例如迟到早退</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50元/次/人</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工作期间出现玩手机、打瞌睡、着装、行为举止不规范等不良行为的</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上班迟到、早退进而影响签约等工作或接到投诉</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隐瞒工作失误，未及时反馈，视情况严重</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100-500元/次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客户及现场对工作人员的有效投诉，视情况严重</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100-500元/次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A6</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工作日报、周报、要求反馈工作未按要求发送且未按要求跟进、反馈</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A7</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对于安排传达的相关工作及事项未及时传达或执行（含未开销售会议）</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A8</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工作邮件当天之内未反馈\及未按要求执行工作,如申请\反馈等等</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A9</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律师函内容错误、寄发的要求或描述内容错误</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50元/封</w:t>
            </w:r>
          </w:p>
        </w:tc>
      </w:tr>
      <w:tr>
        <w:tblPrEx>
          <w:tblCellMar>
            <w:top w:w="0" w:type="dxa"/>
            <w:left w:w="108" w:type="dxa"/>
            <w:bottom w:w="0" w:type="dxa"/>
            <w:right w:w="108" w:type="dxa"/>
          </w:tblCellMar>
        </w:tblPrEx>
        <w:trPr>
          <w:trHeight w:val="285" w:hRule="atLeast"/>
        </w:trPr>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签约</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合同及协议未按要求签订，未造成重大影响；</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买卖合同签错导致撤销7天之内可完成重签</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买卖合同及协议签错导致办理终止重签或者其它影响（涉及违约另行承担）</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200-500/户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合同签错导致影响未按考核标准完成回款、备案、抵押</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买卖合同及协议签错导致影响其它客户缴费</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B6</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买卖合同及协议签错导致客户投诉或产生重大影响</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1000/户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B7</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因律师有效原因导致合同签署后需退房</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B8</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对超10天未签约的客户未及时跟进邮件反馈</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B9</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相关贷款合同及其它签约资料错误或因此引起其它问题</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50-500元/户</w:t>
            </w:r>
          </w:p>
        </w:tc>
      </w:tr>
      <w:tr>
        <w:tblPrEx>
          <w:tblCellMar>
            <w:top w:w="0" w:type="dxa"/>
            <w:left w:w="108" w:type="dxa"/>
            <w:bottom w:w="0" w:type="dxa"/>
            <w:right w:w="108" w:type="dxa"/>
          </w:tblCellMar>
        </w:tblPrEx>
        <w:trPr>
          <w:trHeight w:val="285" w:hRule="atLeast"/>
        </w:trPr>
        <w:tc>
          <w:tcPr>
            <w:tcW w:w="7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回款</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C1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超过3天未送件</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C2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自银行通知补资料起，超10天未补，未及时跟进反馈</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C3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因跟进不到位导致银行未按要求放款或放错款，视情况严重</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100-500元/户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C4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分期付款客户超5天未及时付款且未跟进反馈</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30元/户</w:t>
            </w:r>
          </w:p>
        </w:tc>
      </w:tr>
      <w:tr>
        <w:tblPrEx>
          <w:tblCellMar>
            <w:top w:w="0" w:type="dxa"/>
            <w:left w:w="108" w:type="dxa"/>
            <w:bottom w:w="0" w:type="dxa"/>
            <w:right w:w="108" w:type="dxa"/>
          </w:tblCellMar>
        </w:tblPrEx>
        <w:trPr>
          <w:trHeight w:val="285" w:hRule="atLeast"/>
        </w:trPr>
        <w:tc>
          <w:tcPr>
            <w:tcW w:w="7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备案</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D1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因律师跟进不到位，导致备案过期</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100元/次</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D2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备案取件完成时间超过30天</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30元/户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D3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因跟进不及时造成无法备抵同送</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30元/户</w:t>
            </w:r>
          </w:p>
        </w:tc>
      </w:tr>
      <w:tr>
        <w:tblPrEx>
          <w:tblCellMar>
            <w:top w:w="0" w:type="dxa"/>
            <w:left w:w="108" w:type="dxa"/>
            <w:bottom w:w="0" w:type="dxa"/>
            <w:right w:w="108" w:type="dxa"/>
          </w:tblCellMar>
        </w:tblPrEx>
        <w:trPr>
          <w:trHeight w:val="285" w:hRule="atLeast"/>
        </w:trPr>
        <w:tc>
          <w:tcPr>
            <w:tcW w:w="7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抵押</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E1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备抵拆分，抵押超10天未能完成</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100元/户</w:t>
            </w:r>
          </w:p>
        </w:tc>
      </w:tr>
      <w:tr>
        <w:tblPrEx>
          <w:tblCellMar>
            <w:top w:w="0" w:type="dxa"/>
            <w:left w:w="108" w:type="dxa"/>
            <w:bottom w:w="0" w:type="dxa"/>
            <w:right w:w="108" w:type="dxa"/>
          </w:tblCellMar>
        </w:tblPrEx>
        <w:trPr>
          <w:trHeight w:val="285" w:hRule="atLeast"/>
        </w:trPr>
        <w:tc>
          <w:tcPr>
            <w:tcW w:w="7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付款</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未按考核要求及时制作付款单</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付款单的收款账号、金额、明细错误</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造成款项付错</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由于律师所原因延迟填单导致需特殊加急付款</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未按考核要求及时跟进付款进度导致影响备案送审及完成</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F6</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付款流程出现问题后隐瞒、知情不报</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F7</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未及时跟进契税付款，导致出现违约金</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律师自与客户协商</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F8</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未及时跟进自缴契税客户</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F9</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未及时跟进契税付款及出票，或者不及时反馈问题，造成投诉及赔偿的（涉及其它的赔偿另算）</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50元/户</w:t>
            </w:r>
          </w:p>
        </w:tc>
      </w:tr>
      <w:tr>
        <w:tblPrEx>
          <w:tblCellMar>
            <w:top w:w="0" w:type="dxa"/>
            <w:left w:w="108" w:type="dxa"/>
            <w:bottom w:w="0" w:type="dxa"/>
            <w:right w:w="108" w:type="dxa"/>
          </w:tblCellMar>
        </w:tblPrEx>
        <w:trPr>
          <w:trHeight w:val="285" w:hRule="atLeast"/>
        </w:trPr>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系统</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G1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不规范操作导致“签约信息不及时”</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G2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销售系统信息漏填/错填/错转/未按要求按时录入</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G3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销售系统客户基本信息需与签署合同不一致</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30元/户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G4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签约系统未按规定按时录入信息</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10元/户/节点</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G5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签约系统如因未及时补录造成各项工作进展按相对应的工作模块进行扣罚</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10元/户/节点</w:t>
            </w:r>
          </w:p>
        </w:tc>
      </w:tr>
      <w:tr>
        <w:tblPrEx>
          <w:tblCellMar>
            <w:top w:w="0" w:type="dxa"/>
            <w:left w:w="108" w:type="dxa"/>
            <w:bottom w:w="0" w:type="dxa"/>
            <w:right w:w="108" w:type="dxa"/>
          </w:tblCellMar>
        </w:tblPrEx>
        <w:trPr>
          <w:trHeight w:val="285" w:hRule="atLeast"/>
        </w:trPr>
        <w:tc>
          <w:tcPr>
            <w:tcW w:w="785"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交付</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H1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集中交付，不配合完成交付通知的制作、寄发</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nil"/>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H2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销售系统地址、电话与客户买卖合同登记内容不匹配</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nil"/>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H3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对符合零星交付交付条件的，逾期未通知交付（以系统为准）</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nil"/>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H4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对不符合交付条件的，错发交付通知</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nil"/>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H5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经办零星交付时，交付通知书内信息未填写完整</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100元/户</w:t>
            </w:r>
          </w:p>
        </w:tc>
      </w:tr>
      <w:tr>
        <w:tblPrEx>
          <w:tblCellMar>
            <w:top w:w="0" w:type="dxa"/>
            <w:left w:w="108" w:type="dxa"/>
            <w:bottom w:w="0" w:type="dxa"/>
            <w:right w:w="108" w:type="dxa"/>
          </w:tblCellMar>
        </w:tblPrEx>
        <w:trPr>
          <w:trHeight w:val="285" w:hRule="atLeast"/>
        </w:trPr>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办证</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集中交付期间，不安排人员或不按规定人数至交付现场收取办证资料</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500元/次</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预售楼栋交付后，已有购房发票的业主资料，30日内送至地税开取《办证证明》</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500元/栋</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零星开具办证证明的，收到业主资料后30日内开出、移交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完成确权后，30日内预约委托办证业主前往房所面签</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完成确权后，30日内向未申请办证业主发放书面《办证通知》</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500元/栋</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I6</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交付后50天未完成办证证明开具（超过10%以上未完成）</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500元/栋</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I7</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确权后20天未完成办证银行审核（超过10%以上未完成）</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500元/栋</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I8</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银行放款回单在放款后30天未移交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20元/户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I9</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办证证明交付后50天未完成</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5元/户</w:t>
            </w:r>
          </w:p>
        </w:tc>
      </w:tr>
      <w:tr>
        <w:tblPrEx>
          <w:tblCellMar>
            <w:top w:w="0" w:type="dxa"/>
            <w:left w:w="108" w:type="dxa"/>
            <w:bottom w:w="0" w:type="dxa"/>
            <w:right w:w="108" w:type="dxa"/>
          </w:tblCellMar>
        </w:tblPrEx>
        <w:trPr>
          <w:trHeight w:val="285" w:hRule="atLeast"/>
        </w:trPr>
        <w:tc>
          <w:tcPr>
            <w:tcW w:w="78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I10</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办证银行审核确权后超20天未完成</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5元/户</w:t>
            </w:r>
          </w:p>
        </w:tc>
      </w:tr>
      <w:tr>
        <w:tblPrEx>
          <w:tblCellMar>
            <w:top w:w="0" w:type="dxa"/>
            <w:left w:w="108" w:type="dxa"/>
            <w:bottom w:w="0" w:type="dxa"/>
            <w:right w:w="108" w:type="dxa"/>
          </w:tblCellMar>
        </w:tblPrEx>
        <w:trPr>
          <w:trHeight w:val="285" w:hRule="atLeast"/>
        </w:trPr>
        <w:tc>
          <w:tcPr>
            <w:tcW w:w="7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hAnsi="宋体"/>
                <w:sz w:val="21"/>
                <w:szCs w:val="21"/>
              </w:rPr>
              <w:t>档案资料</w:t>
            </w: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Q1</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契税票据复印件移交超过次月15号的</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Q2</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备案明细和票据及抵押资料需在完成备案及抵押后30天未移交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30元/批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Q3</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银行放款回单在放款后30天未移交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30元/批</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Q4</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通知函、终止协议等在完成后10天未移交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Q5</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客户档案资料未按档案移交细则进行移交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Q6</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造成客户资料丢失</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100元/户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Q7</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造成客户资料丢失无法补回或影响其它事务并导致投诉</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500元/户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Q8</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客户档案移交，扣除20%允许交付时移交以外，其余的超过60天未移交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r>
        <w:tblPrEx>
          <w:tblCellMar>
            <w:top w:w="0" w:type="dxa"/>
            <w:left w:w="108" w:type="dxa"/>
            <w:bottom w:w="0" w:type="dxa"/>
            <w:right w:w="108" w:type="dxa"/>
          </w:tblCellMar>
        </w:tblPrEx>
        <w:trPr>
          <w:trHeight w:val="285" w:hRule="atLeast"/>
        </w:trPr>
        <w:tc>
          <w:tcPr>
            <w:tcW w:w="785" w:type="dxa"/>
            <w:vMerge w:val="continue"/>
            <w:tcBorders>
              <w:top w:val="nil"/>
              <w:left w:val="single" w:color="auto" w:sz="4" w:space="0"/>
              <w:bottom w:val="single" w:color="auto" w:sz="4" w:space="0"/>
              <w:right w:val="single" w:color="auto" w:sz="4" w:space="0"/>
            </w:tcBorders>
            <w:vAlign w:val="center"/>
          </w:tcPr>
          <w:p>
            <w:pPr>
              <w:widowControl/>
              <w:rPr>
                <w:rFonts w:hAnsi="宋体"/>
                <w:sz w:val="21"/>
                <w:szCs w:val="21"/>
              </w:rPr>
            </w:pPr>
          </w:p>
        </w:tc>
        <w:tc>
          <w:tcPr>
            <w:tcW w:w="598"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Q9</w:t>
            </w:r>
          </w:p>
        </w:tc>
        <w:tc>
          <w:tcPr>
            <w:tcW w:w="6381" w:type="dxa"/>
            <w:tcBorders>
              <w:top w:val="nil"/>
              <w:left w:val="nil"/>
              <w:bottom w:val="single" w:color="auto" w:sz="4" w:space="0"/>
              <w:right w:val="single" w:color="auto" w:sz="4" w:space="0"/>
            </w:tcBorders>
            <w:shd w:val="clear" w:color="auto" w:fill="auto"/>
            <w:vAlign w:val="bottom"/>
          </w:tcPr>
          <w:p>
            <w:pPr>
              <w:widowControl/>
              <w:rPr>
                <w:rFonts w:hAnsi="宋体"/>
                <w:sz w:val="21"/>
                <w:szCs w:val="21"/>
              </w:rPr>
            </w:pPr>
            <w:r>
              <w:rPr>
                <w:rFonts w:hint="eastAsia" w:hAnsi="宋体"/>
                <w:sz w:val="21"/>
                <w:szCs w:val="21"/>
              </w:rPr>
              <w:t>非同签备案、抵押办结资料，允许40%交付时移交以外，其余的超60天未移交</w:t>
            </w:r>
          </w:p>
        </w:tc>
        <w:tc>
          <w:tcPr>
            <w:tcW w:w="1700" w:type="dxa"/>
            <w:tcBorders>
              <w:top w:val="nil"/>
              <w:left w:val="nil"/>
              <w:bottom w:val="single" w:color="auto" w:sz="4" w:space="0"/>
              <w:right w:val="single" w:color="auto" w:sz="4" w:space="0"/>
            </w:tcBorders>
            <w:shd w:val="clear" w:color="auto" w:fill="auto"/>
            <w:vAlign w:val="bottom"/>
          </w:tcPr>
          <w:p>
            <w:pPr>
              <w:widowControl/>
              <w:jc w:val="center"/>
              <w:rPr>
                <w:rFonts w:hAnsi="宋体"/>
                <w:sz w:val="21"/>
                <w:szCs w:val="21"/>
              </w:rPr>
            </w:pPr>
            <w:r>
              <w:rPr>
                <w:rFonts w:hint="eastAsia" w:hAnsi="宋体"/>
                <w:sz w:val="21"/>
                <w:szCs w:val="21"/>
              </w:rPr>
              <w:t>10元/户</w:t>
            </w:r>
          </w:p>
        </w:tc>
      </w:tr>
    </w:tbl>
    <w:p>
      <w:pPr>
        <w:tabs>
          <w:tab w:val="left" w:pos="0"/>
        </w:tabs>
        <w:spacing w:line="360" w:lineRule="auto"/>
        <w:ind w:firstLine="527" w:firstLineChars="250"/>
        <w:rPr>
          <w:rFonts w:hAnsi="宋体"/>
          <w:bCs/>
          <w:sz w:val="21"/>
          <w:szCs w:val="21"/>
        </w:rPr>
      </w:pPr>
      <w:r>
        <w:rPr>
          <w:rFonts w:hint="eastAsia" w:hAnsi="宋体"/>
          <w:b/>
          <w:bCs/>
          <w:sz w:val="21"/>
          <w:szCs w:val="21"/>
        </w:rPr>
        <w:t>如因律所过失，产生客户赔偿的，由律所承担客户赔偿费用，采购人视情况严重性保留追加律所责任的权利如因律所过失，产生客户赔偿的，由律所承担客户赔偿费用，采购人视情况严重性</w:t>
      </w: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r>
        <w:rPr>
          <w:rFonts w:hint="eastAsia"/>
          <w:bCs/>
          <w:szCs w:val="14"/>
        </w:rPr>
        <w:t xml:space="preserve">甲方：                                乙方：  </w:t>
      </w: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r>
        <w:rPr>
          <w:rFonts w:hint="eastAsia"/>
          <w:bCs/>
          <w:szCs w:val="14"/>
        </w:rPr>
        <w:t>代表人：                              代表人：</w:t>
      </w:r>
    </w:p>
    <w:p>
      <w:pPr>
        <w:tabs>
          <w:tab w:val="left" w:pos="0"/>
        </w:tabs>
        <w:spacing w:line="360" w:lineRule="auto"/>
        <w:ind w:firstLine="600" w:firstLineChars="250"/>
        <w:rPr>
          <w:bCs/>
          <w:szCs w:val="14"/>
        </w:rPr>
      </w:pPr>
    </w:p>
    <w:p>
      <w:pPr>
        <w:tabs>
          <w:tab w:val="left" w:pos="0"/>
        </w:tabs>
        <w:spacing w:line="360" w:lineRule="auto"/>
        <w:ind w:firstLine="600" w:firstLineChars="250"/>
        <w:rPr>
          <w:bCs/>
          <w:szCs w:val="14"/>
        </w:rPr>
      </w:pPr>
      <w:r>
        <w:rPr>
          <w:rFonts w:hint="eastAsia"/>
          <w:bCs/>
          <w:szCs w:val="14"/>
        </w:rPr>
        <w:t>年     月     日                    年     月     日</w:t>
      </w:r>
    </w:p>
    <w:p>
      <w:pPr>
        <w:widowControl/>
      </w:pPr>
      <w:r>
        <w:br w:type="page"/>
      </w:r>
    </w:p>
    <w:p>
      <w:pPr>
        <w:widowControl/>
        <w:autoSpaceDE/>
        <w:autoSpaceDN/>
        <w:adjustRightInd/>
        <w:jc w:val="center"/>
      </w:pPr>
      <w:r>
        <w:rPr>
          <w:rFonts w:hint="eastAsia" w:ascii="方正小标宋简体" w:hAnsi="黑体" w:eastAsia="方正小标宋简体"/>
          <w:b/>
          <w:sz w:val="44"/>
          <w:szCs w:val="44"/>
        </w:rPr>
        <w:t>阳光合作协议</w:t>
      </w:r>
    </w:p>
    <w:p>
      <w:pPr>
        <w:spacing w:before="163" w:beforeLines="50" w:after="163" w:afterLines="50" w:line="360" w:lineRule="auto"/>
        <w:ind w:firstLine="420" w:firstLineChars="200"/>
        <w:contextualSpacing/>
        <w:rPr>
          <w:rFonts w:hAnsi="宋体"/>
          <w:sz w:val="21"/>
          <w:szCs w:val="21"/>
        </w:rPr>
      </w:pPr>
      <w:r>
        <w:rPr>
          <w:rFonts w:hint="eastAsia" w:hAnsi="宋体"/>
          <w:sz w:val="21"/>
          <w:szCs w:val="21"/>
        </w:rPr>
        <w:t>甲方：</w:t>
      </w:r>
      <w:r>
        <w:rPr>
          <w:rFonts w:hAnsi="宋体"/>
          <w:sz w:val="21"/>
          <w:szCs w:val="21"/>
        </w:rPr>
        <w:t xml:space="preserve"> </w:t>
      </w:r>
    </w:p>
    <w:p>
      <w:pPr>
        <w:spacing w:before="163" w:beforeLines="50" w:after="163" w:afterLines="50" w:line="360" w:lineRule="auto"/>
        <w:ind w:firstLine="420" w:firstLineChars="200"/>
        <w:contextualSpacing/>
        <w:rPr>
          <w:rFonts w:hAnsi="宋体"/>
          <w:sz w:val="21"/>
          <w:szCs w:val="21"/>
        </w:rPr>
      </w:pPr>
      <w:r>
        <w:rPr>
          <w:rFonts w:hint="eastAsia" w:hAnsi="宋体"/>
          <w:sz w:val="21"/>
          <w:szCs w:val="21"/>
        </w:rPr>
        <w:t>乙方：</w:t>
      </w:r>
      <w:r>
        <w:rPr>
          <w:rFonts w:hAnsi="宋体"/>
          <w:sz w:val="21"/>
          <w:szCs w:val="21"/>
        </w:rPr>
        <w:t xml:space="preserve"> </w:t>
      </w:r>
    </w:p>
    <w:p>
      <w:pPr>
        <w:spacing w:before="163" w:beforeLines="50" w:after="163" w:afterLines="50" w:line="360" w:lineRule="auto"/>
        <w:ind w:firstLine="420" w:firstLineChars="200"/>
        <w:contextualSpacing/>
        <w:rPr>
          <w:sz w:val="21"/>
          <w:szCs w:val="21"/>
        </w:rPr>
      </w:pPr>
      <w:r>
        <w:rPr>
          <w:rFonts w:hint="eastAsia" w:hAnsi="宋体"/>
          <w:sz w:val="21"/>
          <w:szCs w:val="21"/>
        </w:rPr>
        <w:t xml:space="preserve">    甲乙双方于 2020年     月     日签署了《旗云花园销售法律服务合同》（以下简称原合同），为加强双方阳光合作，保证职员职业安全，甲乙双方经协商签订本协议并作为双方共同遵守的阳光合作行为准则。</w:t>
      </w:r>
    </w:p>
    <w:p>
      <w:pPr>
        <w:widowControl/>
        <w:numPr>
          <w:ilvl w:val="0"/>
          <w:numId w:val="28"/>
        </w:numPr>
        <w:autoSpaceDE/>
        <w:autoSpaceDN/>
        <w:adjustRightInd/>
        <w:spacing w:before="163" w:beforeLines="50" w:after="163" w:afterLines="50" w:line="360" w:lineRule="auto"/>
        <w:ind w:left="0" w:firstLine="422" w:firstLineChars="200"/>
        <w:contextualSpacing/>
        <w:rPr>
          <w:rFonts w:hAnsi="宋体"/>
          <w:b/>
          <w:sz w:val="21"/>
          <w:szCs w:val="21"/>
        </w:rPr>
      </w:pPr>
      <w:r>
        <w:rPr>
          <w:rFonts w:hint="eastAsia" w:hAnsi="宋体"/>
          <w:b/>
          <w:sz w:val="21"/>
          <w:szCs w:val="21"/>
        </w:rPr>
        <w:t>甲方责任</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1.甲方有责任向乙方介绍本单位有关采购管理通用原则和本协议的规定。</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2.甲方有责任对本单位相关人员进行阳光合作教育。</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4.甲方人员如违反阳光合作管理制度及本协议规定，甲方视情节轻重、影响大小给予行政及经济处罚。</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5．对于乙方举报甲方人员违反阳光合作规定的情况，甲方应及时进行调查，根据调查情况进行处理，并将调查结果向乙方反馈。</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6.接受举报的一方应为举报方保密，不得对举报方进行报复，对举报属实和严格遵守《阳光合作协议》的合作方，在同等条件下给予后续合作的优先权。</w:t>
      </w:r>
    </w:p>
    <w:p>
      <w:pPr>
        <w:widowControl/>
        <w:numPr>
          <w:ilvl w:val="0"/>
          <w:numId w:val="28"/>
        </w:numPr>
        <w:autoSpaceDE/>
        <w:autoSpaceDN/>
        <w:adjustRightInd/>
        <w:spacing w:before="163" w:beforeLines="50" w:after="163" w:afterLines="50" w:line="360" w:lineRule="auto"/>
        <w:ind w:left="0" w:firstLine="422" w:firstLineChars="200"/>
        <w:contextualSpacing/>
        <w:rPr>
          <w:rFonts w:hAnsi="宋体"/>
          <w:b/>
          <w:sz w:val="21"/>
          <w:szCs w:val="21"/>
        </w:rPr>
      </w:pPr>
      <w:r>
        <w:rPr>
          <w:rFonts w:hint="eastAsia" w:hAnsi="宋体"/>
          <w:b/>
          <w:sz w:val="21"/>
          <w:szCs w:val="21"/>
        </w:rPr>
        <w:t>乙方责任</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1.乙方应保证乙方人员了解甲方有关采购管理通用原则和及本协议的规定，并遵照执行。</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2.乙方不得以任何形式给予甲方人员回扣、赠送实物、现金、有价证券、礼券等有价物品或提供旅游等其他可能影响职务行为公正履行的活动（以下统称“财物”）。</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3.乙方有责任接受甲方对乙方在合作期间阳光合作管理执行情况的监督，并对甲方相关调查工作主动配合。</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 xml:space="preserve">5．甲方接受乙方实名或匿名举报，保证为举报者的信息保密，常设举报部门及电话： </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举报受理部门：东莞实业投资控股集团有限公司纪检监察部</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东实集团举报邮箱：dgsyjjjc@163.com</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东实集团举报电话：0769-28822331（周一至周五9:00-12:00和14:00-18:00）</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邮寄地址：东莞市东城区八一路1号机关二号大院9号楼204室，东莞实业投资控股集团有限公司纪检监察部收，邮编523000。</w:t>
      </w:r>
    </w:p>
    <w:p>
      <w:pPr>
        <w:widowControl/>
        <w:numPr>
          <w:ilvl w:val="0"/>
          <w:numId w:val="28"/>
        </w:numPr>
        <w:autoSpaceDE/>
        <w:autoSpaceDN/>
        <w:adjustRightInd/>
        <w:spacing w:before="163" w:beforeLines="50" w:after="163" w:afterLines="50" w:line="360" w:lineRule="auto"/>
        <w:ind w:left="0" w:firstLine="422" w:firstLineChars="200"/>
        <w:contextualSpacing/>
        <w:rPr>
          <w:rFonts w:hAnsi="宋体"/>
          <w:b/>
          <w:sz w:val="21"/>
          <w:szCs w:val="21"/>
        </w:rPr>
      </w:pPr>
      <w:r>
        <w:rPr>
          <w:rFonts w:hint="eastAsia" w:hAnsi="宋体"/>
          <w:b/>
          <w:sz w:val="21"/>
          <w:szCs w:val="21"/>
        </w:rPr>
        <w:t>其他</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1.本协议是原合同的补充协议，与原合同有同等法律效力。</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2.</w:t>
      </w:r>
      <w:r>
        <w:rPr>
          <w:rFonts w:hAnsi="宋体"/>
          <w:sz w:val="21"/>
          <w:szCs w:val="21"/>
        </w:rPr>
        <w:t>本</w:t>
      </w:r>
      <w:r>
        <w:rPr>
          <w:rFonts w:hint="eastAsia" w:hAnsi="宋体"/>
          <w:sz w:val="21"/>
          <w:szCs w:val="21"/>
        </w:rPr>
        <w:t>协议</w:t>
      </w:r>
      <w:r>
        <w:rPr>
          <w:rFonts w:hAnsi="宋体"/>
          <w:sz w:val="21"/>
          <w:szCs w:val="21"/>
        </w:rPr>
        <w:t>一式</w:t>
      </w:r>
      <w:r>
        <w:rPr>
          <w:rFonts w:hint="eastAsia" w:hAnsi="宋体"/>
          <w:sz w:val="21"/>
          <w:szCs w:val="21"/>
        </w:rPr>
        <w:t>五</w:t>
      </w:r>
      <w:r>
        <w:rPr>
          <w:rFonts w:hAnsi="宋体"/>
          <w:sz w:val="21"/>
          <w:szCs w:val="21"/>
        </w:rPr>
        <w:t>份，甲方执</w:t>
      </w:r>
      <w:r>
        <w:rPr>
          <w:rFonts w:hint="eastAsia" w:hAnsi="宋体"/>
          <w:sz w:val="21"/>
          <w:szCs w:val="21"/>
        </w:rPr>
        <w:t>四</w:t>
      </w:r>
      <w:r>
        <w:rPr>
          <w:rFonts w:hAnsi="宋体"/>
          <w:sz w:val="21"/>
          <w:szCs w:val="21"/>
        </w:rPr>
        <w:t>份，乙方执</w:t>
      </w:r>
      <w:r>
        <w:rPr>
          <w:rFonts w:hint="eastAsia" w:hAnsi="宋体"/>
          <w:sz w:val="21"/>
          <w:szCs w:val="21"/>
        </w:rPr>
        <w:t>一</w:t>
      </w:r>
      <w:r>
        <w:rPr>
          <w:rFonts w:hAnsi="宋体"/>
          <w:sz w:val="21"/>
          <w:szCs w:val="21"/>
        </w:rPr>
        <w:t>份</w:t>
      </w:r>
      <w:r>
        <w:rPr>
          <w:rFonts w:hint="eastAsia" w:hAnsi="宋体"/>
          <w:sz w:val="21"/>
          <w:szCs w:val="21"/>
        </w:rPr>
        <w:t>,具有同等法律效力。</w:t>
      </w:r>
    </w:p>
    <w:p>
      <w:pPr>
        <w:spacing w:before="163" w:beforeLines="50" w:after="163" w:afterLines="50" w:line="360" w:lineRule="auto"/>
        <w:ind w:left="120" w:leftChars="50" w:firstLine="420" w:firstLineChars="200"/>
        <w:contextualSpacing/>
        <w:rPr>
          <w:rFonts w:hAnsi="宋体"/>
          <w:sz w:val="21"/>
          <w:szCs w:val="21"/>
        </w:rPr>
      </w:pPr>
      <w:r>
        <w:rPr>
          <w:rFonts w:hint="eastAsia" w:hAnsi="宋体"/>
          <w:sz w:val="21"/>
          <w:szCs w:val="21"/>
        </w:rPr>
        <w:t>3.本协议经双方签署后生效。</w:t>
      </w:r>
    </w:p>
    <w:p>
      <w:pPr>
        <w:spacing w:before="163" w:beforeLines="50" w:after="163" w:afterLines="50" w:line="360" w:lineRule="auto"/>
        <w:ind w:firstLine="420" w:firstLineChars="200"/>
        <w:contextualSpacing/>
        <w:rPr>
          <w:rFonts w:hAnsi="宋体"/>
          <w:sz w:val="21"/>
          <w:szCs w:val="21"/>
        </w:rPr>
      </w:pPr>
    </w:p>
    <w:p>
      <w:pPr>
        <w:spacing w:before="163" w:beforeLines="50" w:after="163" w:afterLines="50" w:line="360" w:lineRule="auto"/>
        <w:ind w:firstLine="420" w:firstLineChars="200"/>
        <w:contextualSpacing/>
        <w:rPr>
          <w:sz w:val="21"/>
          <w:szCs w:val="21"/>
        </w:rPr>
      </w:pPr>
      <w:r>
        <w:rPr>
          <w:rFonts w:hint="eastAsia" w:hAnsi="宋体"/>
          <w:sz w:val="21"/>
          <w:szCs w:val="21"/>
        </w:rPr>
        <w:t>甲方（盖章）：                      乙方（盖章）：</w:t>
      </w:r>
      <w:r>
        <w:rPr>
          <w:sz w:val="21"/>
          <w:szCs w:val="21"/>
        </w:rPr>
        <w:t xml:space="preserve"> </w:t>
      </w:r>
    </w:p>
    <w:p>
      <w:pPr>
        <w:spacing w:before="163" w:beforeLines="50" w:after="163" w:afterLines="50" w:line="360" w:lineRule="auto"/>
        <w:ind w:firstLine="420" w:firstLineChars="200"/>
        <w:contextualSpacing/>
        <w:rPr>
          <w:rFonts w:hAnsi="宋体"/>
          <w:sz w:val="21"/>
          <w:szCs w:val="21"/>
        </w:rPr>
      </w:pPr>
    </w:p>
    <w:p>
      <w:pPr>
        <w:spacing w:before="163" w:beforeLines="50" w:after="163" w:afterLines="50" w:line="360" w:lineRule="auto"/>
        <w:ind w:firstLine="420" w:firstLineChars="200"/>
        <w:contextualSpacing/>
        <w:rPr>
          <w:sz w:val="21"/>
          <w:szCs w:val="21"/>
        </w:rPr>
      </w:pPr>
      <w:r>
        <w:rPr>
          <w:rFonts w:hint="eastAsia" w:hAnsi="宋体"/>
          <w:sz w:val="21"/>
          <w:szCs w:val="21"/>
        </w:rPr>
        <w:t>法定代表人（授权代表）：</w:t>
      </w:r>
      <w:r>
        <w:rPr>
          <w:rFonts w:hint="eastAsia"/>
          <w:sz w:val="21"/>
          <w:szCs w:val="21"/>
        </w:rPr>
        <w:tab/>
      </w:r>
      <w:r>
        <w:rPr>
          <w:rFonts w:hint="eastAsia"/>
          <w:sz w:val="21"/>
          <w:szCs w:val="21"/>
        </w:rPr>
        <w:tab/>
      </w:r>
      <w:r>
        <w:rPr>
          <w:rFonts w:hint="eastAsia"/>
          <w:sz w:val="21"/>
          <w:szCs w:val="21"/>
        </w:rPr>
        <w:t xml:space="preserve">  </w:t>
      </w:r>
      <w:r>
        <w:rPr>
          <w:rFonts w:hint="eastAsia"/>
          <w:sz w:val="21"/>
          <w:szCs w:val="21"/>
        </w:rPr>
        <w:tab/>
      </w:r>
      <w:r>
        <w:rPr>
          <w:rFonts w:hint="eastAsia"/>
          <w:sz w:val="21"/>
          <w:szCs w:val="21"/>
        </w:rPr>
        <w:t xml:space="preserve">   </w:t>
      </w:r>
      <w:r>
        <w:rPr>
          <w:rFonts w:hint="eastAsia" w:hAnsi="宋体"/>
          <w:sz w:val="21"/>
          <w:szCs w:val="21"/>
        </w:rPr>
        <w:t>法定代表人（授权代表）：</w:t>
      </w:r>
    </w:p>
    <w:p>
      <w:pPr>
        <w:spacing w:before="163" w:beforeLines="50" w:after="163" w:afterLines="50" w:line="360" w:lineRule="auto"/>
        <w:ind w:firstLine="420" w:firstLineChars="200"/>
        <w:contextualSpacing/>
        <w:rPr>
          <w:rFonts w:hAnsi="宋体"/>
          <w:sz w:val="21"/>
          <w:szCs w:val="21"/>
        </w:rPr>
      </w:pPr>
    </w:p>
    <w:p>
      <w:pPr>
        <w:spacing w:before="163" w:beforeLines="50" w:after="163" w:afterLines="50" w:line="360" w:lineRule="auto"/>
        <w:ind w:firstLine="420" w:firstLineChars="200"/>
        <w:contextualSpacing/>
        <w:rPr>
          <w:sz w:val="21"/>
          <w:szCs w:val="21"/>
        </w:rPr>
      </w:pPr>
      <w:r>
        <w:rPr>
          <w:rFonts w:hint="eastAsia" w:hAnsi="宋体"/>
          <w:sz w:val="21"/>
          <w:szCs w:val="21"/>
        </w:rPr>
        <w:t>签约日期：   年   月   日</w:t>
      </w:r>
      <w:bookmarkStart w:id="147" w:name="现场签证通知单"/>
      <w:bookmarkEnd w:id="147"/>
      <w:bookmarkStart w:id="148" w:name="设计变更通知单"/>
      <w:bookmarkEnd w:id="148"/>
      <w:r>
        <w:rPr>
          <w:sz w:val="21"/>
          <w:szCs w:val="21"/>
        </w:rPr>
        <w:tab/>
      </w:r>
      <w:r>
        <w:rPr>
          <w:sz w:val="21"/>
          <w:szCs w:val="21"/>
        </w:rPr>
        <w:t xml:space="preserve">    </w:t>
      </w:r>
      <w:r>
        <w:rPr>
          <w:rFonts w:hint="eastAsia"/>
          <w:sz w:val="21"/>
          <w:szCs w:val="21"/>
        </w:rPr>
        <w:t xml:space="preserve">   </w:t>
      </w:r>
      <w:r>
        <w:rPr>
          <w:rFonts w:hint="eastAsia" w:hAnsi="宋体"/>
          <w:sz w:val="21"/>
          <w:szCs w:val="21"/>
        </w:rPr>
        <w:t>签约日期：   年   月   日</w:t>
      </w:r>
    </w:p>
    <w:p/>
    <w:p>
      <w:pPr>
        <w:spacing w:line="480" w:lineRule="auto"/>
      </w:pPr>
    </w:p>
    <w:p>
      <w:pPr>
        <w:pStyle w:val="3"/>
        <w:keepNext/>
        <w:keepLines/>
        <w:pageBreakBefore/>
        <w:spacing w:line="360" w:lineRule="auto"/>
        <w:jc w:val="center"/>
        <w:rPr>
          <w:rFonts w:hAnsi="宋体"/>
          <w:b/>
          <w:bCs/>
          <w:kern w:val="44"/>
          <w:sz w:val="28"/>
          <w:szCs w:val="28"/>
          <w:lang w:val="zh-CN"/>
        </w:rPr>
      </w:pPr>
      <w:bookmarkStart w:id="149" w:name="_Toc396137242"/>
      <w:bookmarkStart w:id="150" w:name="_Toc8470"/>
      <w:r>
        <w:rPr>
          <w:rFonts w:hint="eastAsia" w:hAnsi="宋体"/>
          <w:b/>
          <w:bCs/>
          <w:kern w:val="44"/>
          <w:sz w:val="28"/>
          <w:szCs w:val="28"/>
          <w:lang w:val="zh-CN"/>
        </w:rPr>
        <w:t>第六篇磋商响应文件格式</w:t>
      </w:r>
      <w:bookmarkEnd w:id="149"/>
      <w:bookmarkEnd w:id="150"/>
    </w:p>
    <w:p>
      <w:pPr>
        <w:pStyle w:val="4"/>
        <w:jc w:val="center"/>
        <w:rPr>
          <w:sz w:val="28"/>
          <w:szCs w:val="28"/>
        </w:rPr>
      </w:pPr>
      <w:bookmarkStart w:id="151" w:name="_Toc20258"/>
      <w:bookmarkStart w:id="152" w:name="_Toc1982"/>
      <w:bookmarkStart w:id="153" w:name="_Toc17622"/>
      <w:bookmarkStart w:id="154" w:name="_Toc3836"/>
      <w:bookmarkStart w:id="155" w:name="_Toc19311"/>
      <w:bookmarkStart w:id="156" w:name="_Toc9566"/>
      <w:r>
        <w:rPr>
          <w:rFonts w:hint="eastAsia"/>
          <w:sz w:val="28"/>
          <w:szCs w:val="28"/>
        </w:rPr>
        <w:t>第一部分  价格文件</w:t>
      </w:r>
      <w:bookmarkEnd w:id="151"/>
      <w:bookmarkEnd w:id="152"/>
      <w:bookmarkEnd w:id="153"/>
      <w:bookmarkEnd w:id="154"/>
    </w:p>
    <w:p/>
    <w:p>
      <w:pPr>
        <w:pStyle w:val="5"/>
        <w:numPr>
          <w:ilvl w:val="1"/>
          <w:numId w:val="29"/>
        </w:numPr>
        <w:spacing w:line="360" w:lineRule="auto"/>
        <w:ind w:left="0" w:firstLine="0"/>
        <w:jc w:val="center"/>
        <w:rPr>
          <w:b/>
        </w:rPr>
      </w:pPr>
      <w:bookmarkStart w:id="157" w:name="_Toc123"/>
      <w:bookmarkStart w:id="158" w:name="_Toc3014"/>
      <w:bookmarkStart w:id="159" w:name="_Toc32151"/>
      <w:bookmarkStart w:id="160" w:name="_Toc26372"/>
      <w:bookmarkStart w:id="161" w:name="_Toc15441"/>
      <w:bookmarkStart w:id="162" w:name="_Toc10902"/>
      <w:bookmarkStart w:id="163" w:name="_Toc28260"/>
      <w:bookmarkStart w:id="164" w:name="_Toc24011"/>
      <w:bookmarkStart w:id="165" w:name="_Toc1144"/>
      <w:r>
        <w:rPr>
          <w:rFonts w:hint="eastAsia"/>
          <w:b/>
        </w:rPr>
        <w:t>报价一览表</w:t>
      </w:r>
      <w:bookmarkEnd w:id="157"/>
      <w:bookmarkEnd w:id="158"/>
      <w:bookmarkEnd w:id="159"/>
      <w:bookmarkEnd w:id="160"/>
      <w:bookmarkEnd w:id="161"/>
      <w:bookmarkEnd w:id="162"/>
      <w:bookmarkEnd w:id="163"/>
      <w:bookmarkEnd w:id="164"/>
      <w:bookmarkEnd w:id="165"/>
    </w:p>
    <w:p>
      <w:pPr>
        <w:pStyle w:val="28"/>
        <w:spacing w:line="360" w:lineRule="auto"/>
        <w:jc w:val="left"/>
        <w:rPr>
          <w:rFonts w:hAnsi="宋体"/>
          <w:szCs w:val="21"/>
        </w:rPr>
      </w:pPr>
    </w:p>
    <w:p>
      <w:pPr>
        <w:widowControl/>
        <w:wordWrap w:val="0"/>
        <w:spacing w:line="360" w:lineRule="auto"/>
        <w:jc w:val="both"/>
        <w:rPr>
          <w:rFonts w:ascii="ˎ̥" w:hAnsi="ˎ̥"/>
          <w:sz w:val="18"/>
          <w:szCs w:val="18"/>
        </w:rPr>
      </w:pPr>
      <w:r>
        <w:rPr>
          <w:rFonts w:hint="eastAsia" w:hAnsi="宋体"/>
          <w:szCs w:val="21"/>
        </w:rPr>
        <w:t xml:space="preserve">       </w:t>
      </w:r>
      <w:r>
        <w:rPr>
          <w:rFonts w:hint="eastAsia" w:hAnsi="宋体"/>
        </w:rPr>
        <w:t xml:space="preserve">                                                      </w:t>
      </w:r>
      <w:r>
        <w:rPr>
          <w:rFonts w:ascii="ˎ̥" w:hAnsi="ˎ̥"/>
          <w:sz w:val="18"/>
          <w:szCs w:val="18"/>
        </w:rPr>
        <w:t> </w:t>
      </w:r>
      <w:r>
        <w:rPr>
          <w:rFonts w:hint="eastAsia" w:hAnsi="宋体"/>
          <w:sz w:val="22"/>
          <w:szCs w:val="22"/>
        </w:rPr>
        <w:t>单位：元（人民币）</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067"/>
        <w:gridCol w:w="3459"/>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175" w:type="dxa"/>
            <w:vAlign w:val="center"/>
          </w:tcPr>
          <w:p>
            <w:pPr>
              <w:jc w:val="center"/>
              <w:rPr>
                <w:rFonts w:hAnsi="宋体"/>
                <w:sz w:val="21"/>
                <w:szCs w:val="21"/>
              </w:rPr>
            </w:pPr>
            <w:r>
              <w:rPr>
                <w:rFonts w:hint="eastAsia" w:hAnsi="宋体"/>
                <w:sz w:val="21"/>
                <w:szCs w:val="21"/>
              </w:rPr>
              <w:t>项目编号</w:t>
            </w:r>
          </w:p>
        </w:tc>
        <w:tc>
          <w:tcPr>
            <w:tcW w:w="2067" w:type="dxa"/>
            <w:vAlign w:val="center"/>
          </w:tcPr>
          <w:p>
            <w:pPr>
              <w:jc w:val="center"/>
              <w:rPr>
                <w:rFonts w:hAnsi="宋体"/>
                <w:sz w:val="21"/>
                <w:szCs w:val="21"/>
              </w:rPr>
            </w:pPr>
            <w:r>
              <w:rPr>
                <w:rFonts w:hint="eastAsia" w:hAnsi="宋体"/>
                <w:sz w:val="21"/>
                <w:szCs w:val="21"/>
              </w:rPr>
              <w:t>项目名称</w:t>
            </w:r>
          </w:p>
        </w:tc>
        <w:tc>
          <w:tcPr>
            <w:tcW w:w="3459" w:type="dxa"/>
            <w:vAlign w:val="center"/>
          </w:tcPr>
          <w:p>
            <w:pPr>
              <w:jc w:val="center"/>
              <w:rPr>
                <w:rFonts w:hAnsi="宋体"/>
                <w:bCs/>
                <w:kern w:val="2"/>
                <w:sz w:val="21"/>
                <w:szCs w:val="21"/>
                <w:lang w:bidi="ar"/>
              </w:rPr>
            </w:pPr>
            <w:r>
              <w:rPr>
                <w:rFonts w:hint="eastAsia" w:hAnsi="宋体"/>
                <w:bCs/>
                <w:kern w:val="2"/>
                <w:sz w:val="21"/>
                <w:szCs w:val="21"/>
                <w:lang w:bidi="ar"/>
              </w:rPr>
              <w:t>报价（下浮率%）</w:t>
            </w:r>
          </w:p>
        </w:tc>
        <w:tc>
          <w:tcPr>
            <w:tcW w:w="2254" w:type="dxa"/>
            <w:vAlign w:val="center"/>
          </w:tcPr>
          <w:p>
            <w:pPr>
              <w:jc w:val="center"/>
              <w:rPr>
                <w:rFonts w:hAnsi="宋体"/>
                <w:bCs/>
                <w:kern w:val="2"/>
                <w:sz w:val="21"/>
                <w:szCs w:val="21"/>
                <w:lang w:bidi="ar"/>
              </w:rPr>
            </w:pPr>
            <w:r>
              <w:rPr>
                <w:rFonts w:hint="eastAsia" w:hAnsi="宋体"/>
                <w:bCs/>
                <w:kern w:val="2"/>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jc w:val="center"/>
        </w:trPr>
        <w:tc>
          <w:tcPr>
            <w:tcW w:w="1175" w:type="dxa"/>
            <w:vAlign w:val="center"/>
          </w:tcPr>
          <w:p>
            <w:pPr>
              <w:jc w:val="center"/>
              <w:rPr>
                <w:rFonts w:hAnsi="宋体"/>
                <w:sz w:val="21"/>
                <w:szCs w:val="21"/>
              </w:rPr>
            </w:pPr>
          </w:p>
        </w:tc>
        <w:tc>
          <w:tcPr>
            <w:tcW w:w="2067" w:type="dxa"/>
            <w:vAlign w:val="center"/>
          </w:tcPr>
          <w:p>
            <w:pPr>
              <w:spacing w:line="240" w:lineRule="atLeast"/>
              <w:jc w:val="center"/>
              <w:rPr>
                <w:rFonts w:hAnsi="宋体"/>
                <w:sz w:val="21"/>
                <w:szCs w:val="21"/>
              </w:rPr>
            </w:pPr>
          </w:p>
        </w:tc>
        <w:tc>
          <w:tcPr>
            <w:tcW w:w="3459" w:type="dxa"/>
            <w:vAlign w:val="center"/>
          </w:tcPr>
          <w:p>
            <w:pPr>
              <w:rPr>
                <w:rFonts w:hAnsi="宋体"/>
                <w:sz w:val="21"/>
                <w:szCs w:val="21"/>
              </w:rPr>
            </w:pPr>
            <w:r>
              <w:rPr>
                <w:rFonts w:hint="eastAsia" w:hAnsi="宋体"/>
                <w:sz w:val="21"/>
                <w:szCs w:val="21"/>
              </w:rPr>
              <w:t>大写：</w:t>
            </w:r>
          </w:p>
          <w:p>
            <w:pPr>
              <w:pStyle w:val="13"/>
              <w:ind w:firstLine="400"/>
            </w:pPr>
          </w:p>
          <w:p>
            <w:pPr>
              <w:rPr>
                <w:rFonts w:hAnsi="宋体"/>
                <w:sz w:val="21"/>
                <w:szCs w:val="21"/>
              </w:rPr>
            </w:pPr>
            <w:r>
              <w:rPr>
                <w:rFonts w:hint="eastAsia" w:hAnsi="宋体"/>
                <w:sz w:val="21"/>
                <w:szCs w:val="21"/>
              </w:rPr>
              <w:t>小写：</w:t>
            </w:r>
          </w:p>
        </w:tc>
        <w:tc>
          <w:tcPr>
            <w:tcW w:w="2254" w:type="dxa"/>
            <w:vAlign w:val="center"/>
          </w:tcPr>
          <w:p>
            <w:pPr>
              <w:rPr>
                <w:rFonts w:hAnsi="宋体"/>
                <w:sz w:val="21"/>
                <w:szCs w:val="21"/>
              </w:rPr>
            </w:pPr>
          </w:p>
        </w:tc>
      </w:tr>
    </w:tbl>
    <w:p>
      <w:pPr>
        <w:snapToGrid w:val="0"/>
        <w:spacing w:line="360" w:lineRule="auto"/>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2"/>
          <w:szCs w:val="22"/>
        </w:rPr>
      </w:pPr>
      <w:r>
        <w:rPr>
          <w:rFonts w:hint="eastAsia" w:hAnsi="宋体"/>
          <w:sz w:val="21"/>
          <w:szCs w:val="21"/>
        </w:rPr>
        <w:t xml:space="preserve">日期：年月日 </w:t>
      </w: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5"/>
        <w:numPr>
          <w:ilvl w:val="255"/>
          <w:numId w:val="0"/>
        </w:numPr>
        <w:spacing w:line="360" w:lineRule="auto"/>
        <w:jc w:val="center"/>
        <w:rPr>
          <w:b/>
        </w:rPr>
      </w:pPr>
      <w:bookmarkStart w:id="166" w:name="_Toc27404"/>
      <w:bookmarkStart w:id="167" w:name="_Toc11597"/>
      <w:bookmarkStart w:id="168" w:name="_Toc3178"/>
      <w:r>
        <w:rPr>
          <w:rFonts w:hint="eastAsia"/>
          <w:b/>
        </w:rPr>
        <w:t>二、投标分项报价表</w:t>
      </w:r>
      <w:bookmarkEnd w:id="166"/>
      <w:bookmarkEnd w:id="167"/>
      <w:bookmarkEnd w:id="168"/>
    </w:p>
    <w:p>
      <w:pPr>
        <w:pStyle w:val="21"/>
        <w:spacing w:line="380" w:lineRule="exact"/>
        <w:jc w:val="both"/>
        <w:rPr>
          <w:rFonts w:hAnsi="宋体"/>
          <w:sz w:val="22"/>
          <w:szCs w:val="22"/>
        </w:rPr>
      </w:pPr>
      <w:r>
        <w:rPr>
          <w:rFonts w:hint="eastAsia" w:hAnsi="宋体"/>
          <w:sz w:val="22"/>
          <w:szCs w:val="22"/>
        </w:rPr>
        <w:t xml:space="preserve">项目名称：                                 </w:t>
      </w:r>
    </w:p>
    <w:p>
      <w:pPr>
        <w:pStyle w:val="21"/>
        <w:spacing w:line="380" w:lineRule="exact"/>
        <w:jc w:val="both"/>
        <w:rPr>
          <w:rFonts w:hAnsi="宋体"/>
          <w:sz w:val="22"/>
          <w:szCs w:val="22"/>
        </w:rPr>
      </w:pPr>
      <w:r>
        <w:rPr>
          <w:rFonts w:hint="eastAsia" w:hAnsi="宋体"/>
          <w:sz w:val="22"/>
          <w:szCs w:val="22"/>
        </w:rPr>
        <w:t>项目编号：</w:t>
      </w:r>
    </w:p>
    <w:p>
      <w:pPr>
        <w:widowControl/>
        <w:wordWrap w:val="0"/>
        <w:spacing w:line="360" w:lineRule="auto"/>
        <w:jc w:val="right"/>
        <w:rPr>
          <w:rFonts w:ascii="ˎ̥" w:hAnsi="ˎ̥"/>
          <w:sz w:val="18"/>
          <w:szCs w:val="18"/>
        </w:rPr>
      </w:pPr>
      <w:r>
        <w:rPr>
          <w:rFonts w:ascii="ˎ̥" w:hAnsi="ˎ̥"/>
          <w:sz w:val="18"/>
          <w:szCs w:val="18"/>
        </w:rPr>
        <w:t> </w:t>
      </w:r>
      <w:r>
        <w:rPr>
          <w:rFonts w:hint="eastAsia" w:hAnsi="宋体"/>
          <w:sz w:val="22"/>
          <w:szCs w:val="22"/>
        </w:rPr>
        <w:t>单位：元/（人民币）</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145"/>
        <w:gridCol w:w="319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gridSpan w:val="2"/>
            <w:shd w:val="clear" w:color="auto" w:fill="auto"/>
            <w:noWrap/>
          </w:tcPr>
          <w:p>
            <w:pPr>
              <w:widowControl/>
              <w:spacing w:line="600" w:lineRule="exact"/>
              <w:ind w:right="-53"/>
              <w:jc w:val="center"/>
              <w:textAlignment w:val="bottom"/>
              <w:rPr>
                <w:rFonts w:hAnsi="宋体"/>
                <w:bCs/>
                <w:sz w:val="21"/>
                <w:szCs w:val="21"/>
              </w:rPr>
            </w:pPr>
            <w:r>
              <w:rPr>
                <w:rFonts w:hint="eastAsia" w:hAnsi="宋体"/>
                <w:sz w:val="21"/>
                <w:szCs w:val="21"/>
              </w:rPr>
              <w:t>签约事项</w:t>
            </w:r>
          </w:p>
        </w:tc>
        <w:tc>
          <w:tcPr>
            <w:tcW w:w="3195" w:type="dxa"/>
            <w:shd w:val="clear" w:color="auto" w:fill="auto"/>
            <w:noWrap/>
          </w:tcPr>
          <w:p>
            <w:pPr>
              <w:widowControl/>
              <w:spacing w:line="600" w:lineRule="exact"/>
              <w:ind w:right="-53"/>
              <w:jc w:val="center"/>
              <w:textAlignment w:val="bottom"/>
              <w:rPr>
                <w:rFonts w:hAnsi="宋体"/>
                <w:bCs/>
                <w:sz w:val="21"/>
                <w:szCs w:val="21"/>
              </w:rPr>
            </w:pPr>
            <w:r>
              <w:rPr>
                <w:rFonts w:hint="eastAsia" w:hAnsi="宋体"/>
                <w:sz w:val="21"/>
                <w:szCs w:val="21"/>
              </w:rPr>
              <w:t>律师签约费</w:t>
            </w:r>
          </w:p>
        </w:tc>
        <w:tc>
          <w:tcPr>
            <w:tcW w:w="2505" w:type="dxa"/>
            <w:shd w:val="clear" w:color="auto" w:fill="auto"/>
            <w:noWrap/>
          </w:tcPr>
          <w:p>
            <w:pPr>
              <w:widowControl/>
              <w:spacing w:line="600" w:lineRule="exact"/>
              <w:ind w:right="-53"/>
              <w:jc w:val="center"/>
              <w:textAlignment w:val="bottom"/>
              <w:rPr>
                <w:rFonts w:hAnsi="宋体"/>
                <w:sz w:val="21"/>
                <w:szCs w:val="21"/>
              </w:rPr>
            </w:pPr>
            <w:r>
              <w:rPr>
                <w:rFonts w:hint="eastAsia" w:hAnsi="宋体"/>
                <w:sz w:val="21"/>
                <w:szCs w:val="21"/>
              </w:rPr>
              <w:t>律师办证费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9"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住宅</w:t>
            </w: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一次性</w:t>
            </w:r>
          </w:p>
        </w:tc>
        <w:tc>
          <w:tcPr>
            <w:tcW w:w="319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下浮   %，即   元/套</w:t>
            </w:r>
          </w:p>
        </w:tc>
        <w:tc>
          <w:tcPr>
            <w:tcW w:w="2505"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已包含在签约费内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shd w:val="clear" w:color="auto" w:fill="auto"/>
            <w:noWrap/>
            <w:vAlign w:val="center"/>
          </w:tcPr>
          <w:p>
            <w:pPr>
              <w:widowControl/>
              <w:spacing w:line="600" w:lineRule="exact"/>
              <w:ind w:right="-53"/>
              <w:jc w:val="center"/>
              <w:textAlignment w:val="bottom"/>
              <w:rPr>
                <w:rFonts w:hAnsi="宋体"/>
                <w:sz w:val="21"/>
                <w:szCs w:val="21"/>
              </w:rPr>
            </w:pP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按揭</w:t>
            </w:r>
          </w:p>
        </w:tc>
        <w:tc>
          <w:tcPr>
            <w:tcW w:w="319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下浮   %，即   元/套</w:t>
            </w:r>
          </w:p>
        </w:tc>
        <w:tc>
          <w:tcPr>
            <w:tcW w:w="2505" w:type="dxa"/>
            <w:vMerge w:val="continue"/>
            <w:shd w:val="clear" w:color="auto" w:fill="auto"/>
            <w:noWrap/>
            <w:vAlign w:val="center"/>
          </w:tcPr>
          <w:p>
            <w:pPr>
              <w:widowControl/>
              <w:spacing w:line="600" w:lineRule="exact"/>
              <w:ind w:right="-53"/>
              <w:jc w:val="center"/>
              <w:textAlignment w:val="bottom"/>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商铺</w:t>
            </w: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一次性</w:t>
            </w:r>
          </w:p>
        </w:tc>
        <w:tc>
          <w:tcPr>
            <w:tcW w:w="319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下浮   %，即   元/套</w:t>
            </w:r>
          </w:p>
        </w:tc>
        <w:tc>
          <w:tcPr>
            <w:tcW w:w="2505" w:type="dxa"/>
            <w:vMerge w:val="restart"/>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已包含在签约费内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shd w:val="clear" w:color="auto" w:fill="auto"/>
            <w:noWrap/>
            <w:vAlign w:val="center"/>
          </w:tcPr>
          <w:p>
            <w:pPr>
              <w:widowControl/>
              <w:spacing w:line="600" w:lineRule="exact"/>
              <w:ind w:right="-53"/>
              <w:jc w:val="center"/>
              <w:textAlignment w:val="bottom"/>
              <w:rPr>
                <w:rFonts w:hAnsi="宋体"/>
                <w:sz w:val="21"/>
                <w:szCs w:val="21"/>
              </w:rPr>
            </w:pP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按揭</w:t>
            </w:r>
          </w:p>
        </w:tc>
        <w:tc>
          <w:tcPr>
            <w:tcW w:w="319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下浮   %，即   元/套</w:t>
            </w:r>
          </w:p>
        </w:tc>
        <w:tc>
          <w:tcPr>
            <w:tcW w:w="2505" w:type="dxa"/>
            <w:vMerge w:val="continue"/>
            <w:shd w:val="clear" w:color="auto" w:fill="auto"/>
            <w:noWrap/>
            <w:vAlign w:val="center"/>
          </w:tcPr>
          <w:p>
            <w:pPr>
              <w:widowControl/>
              <w:spacing w:line="600" w:lineRule="exact"/>
              <w:ind w:right="-53"/>
              <w:jc w:val="center"/>
              <w:textAlignment w:val="bottom"/>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车位</w:t>
            </w:r>
          </w:p>
        </w:tc>
        <w:tc>
          <w:tcPr>
            <w:tcW w:w="214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统一收费</w:t>
            </w:r>
          </w:p>
        </w:tc>
        <w:tc>
          <w:tcPr>
            <w:tcW w:w="319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下浮   %，即   元/套</w:t>
            </w:r>
          </w:p>
        </w:tc>
        <w:tc>
          <w:tcPr>
            <w:tcW w:w="2505" w:type="dxa"/>
            <w:shd w:val="clear" w:color="auto" w:fill="auto"/>
            <w:noWrap/>
            <w:vAlign w:val="center"/>
          </w:tcPr>
          <w:p>
            <w:pPr>
              <w:widowControl/>
              <w:spacing w:line="600" w:lineRule="exact"/>
              <w:ind w:right="-53"/>
              <w:jc w:val="center"/>
              <w:textAlignment w:val="bottom"/>
              <w:rPr>
                <w:rFonts w:hAnsi="宋体"/>
                <w:sz w:val="21"/>
                <w:szCs w:val="21"/>
              </w:rPr>
            </w:pPr>
            <w:r>
              <w:rPr>
                <w:rFonts w:hint="eastAsia" w:hAnsi="宋体"/>
                <w:sz w:val="21"/>
                <w:szCs w:val="21"/>
              </w:rPr>
              <w:t>已包含在签约费内</w:t>
            </w:r>
          </w:p>
        </w:tc>
      </w:tr>
    </w:tbl>
    <w:p>
      <w:pPr>
        <w:pStyle w:val="2"/>
        <w:ind w:firstLine="690" w:firstLineChars="300"/>
        <w:rPr>
          <w:rFonts w:hAnsi="宋体"/>
          <w:sz w:val="21"/>
          <w:szCs w:val="21"/>
        </w:rPr>
      </w:pPr>
      <w:r>
        <w:rPr>
          <w:rFonts w:hint="eastAsia" w:hAnsi="宋体"/>
          <w:sz w:val="21"/>
          <w:szCs w:val="21"/>
        </w:rPr>
        <w:t>本项目采用填报统一下浮率的方式进行报价，下浮率填报时保留小数点后两位（各子项下浮率必须一致，如下浮率不一致，报价无效处理）</w:t>
      </w:r>
    </w:p>
    <w:p>
      <w:pPr>
        <w:pStyle w:val="2"/>
        <w:rPr>
          <w:rFonts w:hAnsi="宋体"/>
          <w:sz w:val="21"/>
          <w:szCs w:val="21"/>
        </w:rPr>
      </w:pPr>
    </w:p>
    <w:p>
      <w:pPr>
        <w:pStyle w:val="2"/>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2"/>
          <w:szCs w:val="22"/>
        </w:rPr>
      </w:pPr>
      <w:r>
        <w:rPr>
          <w:rFonts w:hint="eastAsia" w:hAnsi="宋体"/>
          <w:sz w:val="21"/>
          <w:szCs w:val="21"/>
        </w:rPr>
        <w:t xml:space="preserve">日期：年月日 </w:t>
      </w: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2"/>
        <w:rPr>
          <w:rFonts w:hAnsi="宋体"/>
          <w:sz w:val="21"/>
          <w:szCs w:val="21"/>
        </w:rPr>
      </w:pPr>
    </w:p>
    <w:p>
      <w:pPr>
        <w:pStyle w:val="4"/>
        <w:jc w:val="center"/>
        <w:rPr>
          <w:bCs/>
          <w:sz w:val="28"/>
          <w:szCs w:val="28"/>
        </w:rPr>
      </w:pPr>
      <w:r>
        <w:rPr>
          <w:rFonts w:hint="eastAsia"/>
          <w:sz w:val="28"/>
          <w:szCs w:val="28"/>
        </w:rPr>
        <w:t xml:space="preserve">第二部分 </w:t>
      </w:r>
      <w:bookmarkEnd w:id="155"/>
      <w:bookmarkEnd w:id="156"/>
      <w:bookmarkStart w:id="169" w:name="_Toc12158"/>
      <w:bookmarkStart w:id="170" w:name="_Toc18450"/>
      <w:bookmarkStart w:id="171" w:name="_Toc7897890"/>
      <w:bookmarkStart w:id="172" w:name="_Toc27849"/>
      <w:bookmarkStart w:id="173" w:name="_Toc476976200"/>
      <w:bookmarkStart w:id="174" w:name="_Toc458262638"/>
      <w:bookmarkStart w:id="175" w:name="_Toc454701405"/>
      <w:bookmarkStart w:id="176" w:name="_Toc467236768"/>
      <w:bookmarkStart w:id="177" w:name="_Toc486671572"/>
      <w:bookmarkStart w:id="178" w:name="_Toc110953866"/>
      <w:bookmarkStart w:id="179" w:name="_Toc479991616"/>
      <w:bookmarkStart w:id="180" w:name="_Toc468606064"/>
      <w:bookmarkStart w:id="181" w:name="_Toc467987856"/>
      <w:bookmarkStart w:id="182" w:name="_Toc480010742"/>
      <w:bookmarkStart w:id="183" w:name="_Toc480020289"/>
      <w:bookmarkStart w:id="184" w:name="_Toc468157569"/>
      <w:bookmarkStart w:id="185" w:name="_Toc480021085"/>
      <w:r>
        <w:rPr>
          <w:rFonts w:hint="eastAsia"/>
          <w:bCs/>
          <w:sz w:val="28"/>
          <w:szCs w:val="28"/>
        </w:rPr>
        <w:t>商务文件</w:t>
      </w:r>
      <w:bookmarkEnd w:id="169"/>
      <w:bookmarkEnd w:id="170"/>
      <w:bookmarkStart w:id="186" w:name="_Hlt10519799"/>
      <w:bookmarkEnd w:id="186"/>
      <w:bookmarkStart w:id="187" w:name="_Hlt10456397"/>
      <w:bookmarkEnd w:id="187"/>
    </w:p>
    <w:p/>
    <w:p>
      <w:pPr>
        <w:pStyle w:val="4"/>
        <w:numPr>
          <w:ilvl w:val="0"/>
          <w:numId w:val="30"/>
        </w:numPr>
        <w:jc w:val="center"/>
        <w:rPr>
          <w:b w:val="0"/>
          <w:sz w:val="28"/>
          <w:szCs w:val="28"/>
        </w:rPr>
      </w:pPr>
      <w:bookmarkStart w:id="188" w:name="_Toc18728"/>
      <w:r>
        <w:rPr>
          <w:rFonts w:hint="eastAsia"/>
          <w:sz w:val="28"/>
          <w:szCs w:val="28"/>
        </w:rPr>
        <w:t>响应书</w:t>
      </w:r>
      <w:bookmarkEnd w:id="171"/>
      <w:bookmarkEnd w:id="172"/>
      <w:bookmarkEnd w:id="173"/>
      <w:bookmarkEnd w:id="174"/>
      <w:bookmarkEnd w:id="175"/>
      <w:bookmarkEnd w:id="176"/>
      <w:bookmarkEnd w:id="177"/>
      <w:bookmarkEnd w:id="188"/>
    </w:p>
    <w:p>
      <w:pPr>
        <w:pStyle w:val="30"/>
        <w:autoSpaceDE/>
        <w:autoSpaceDN/>
        <w:adjustRightInd/>
        <w:spacing w:line="480" w:lineRule="exact"/>
        <w:ind w:left="6000"/>
        <w:rPr>
          <w:rFonts w:hAnsi="宋体"/>
          <w:sz w:val="24"/>
        </w:rPr>
      </w:pPr>
    </w:p>
    <w:p>
      <w:pPr>
        <w:pStyle w:val="30"/>
        <w:autoSpaceDE/>
        <w:autoSpaceDN/>
        <w:adjustRightInd/>
        <w:spacing w:line="480" w:lineRule="exact"/>
        <w:ind w:left="0" w:leftChars="0"/>
        <w:rPr>
          <w:rFonts w:hAnsi="宋体"/>
        </w:rPr>
      </w:pPr>
      <w:r>
        <w:rPr>
          <w:rFonts w:hint="eastAsia" w:hAnsi="宋体"/>
        </w:rPr>
        <w:t>致：广东泰通伟业工程咨询有限公司</w:t>
      </w:r>
    </w:p>
    <w:p>
      <w:pPr>
        <w:spacing w:line="480" w:lineRule="exact"/>
        <w:ind w:firstLine="420" w:firstLineChars="200"/>
        <w:rPr>
          <w:rFonts w:hAnsi="宋体"/>
          <w:sz w:val="21"/>
          <w:szCs w:val="21"/>
        </w:rPr>
      </w:pPr>
      <w:r>
        <w:rPr>
          <w:rFonts w:hint="eastAsia" w:hAnsi="宋体"/>
          <w:sz w:val="21"/>
          <w:szCs w:val="21"/>
        </w:rPr>
        <w:t>根据贵方（采购编号：）的磋商邀请和磋商文件，供应商承诺如下：</w:t>
      </w:r>
    </w:p>
    <w:p>
      <w:pPr>
        <w:spacing w:line="480" w:lineRule="exact"/>
        <w:ind w:firstLine="420" w:firstLineChars="200"/>
        <w:rPr>
          <w:rFonts w:hAnsi="宋体"/>
          <w:sz w:val="21"/>
          <w:szCs w:val="21"/>
        </w:rPr>
      </w:pPr>
      <w:r>
        <w:rPr>
          <w:rFonts w:hint="eastAsia" w:hAnsi="宋体"/>
          <w:sz w:val="21"/>
          <w:szCs w:val="21"/>
        </w:rPr>
        <w:t>1.签字代表</w:t>
      </w:r>
      <w:r>
        <w:rPr>
          <w:rFonts w:hint="eastAsia" w:hAnsi="宋体"/>
          <w:sz w:val="21"/>
          <w:szCs w:val="21"/>
          <w:u w:val="single"/>
        </w:rPr>
        <w:t>（姓名、职务）</w:t>
      </w:r>
      <w:r>
        <w:rPr>
          <w:rFonts w:hint="eastAsia" w:hAnsi="宋体"/>
          <w:sz w:val="21"/>
          <w:szCs w:val="21"/>
        </w:rPr>
        <w:t>经正式授权并代表供应商</w:t>
      </w:r>
      <w:r>
        <w:rPr>
          <w:rFonts w:hint="eastAsia" w:hAnsi="宋体"/>
          <w:sz w:val="21"/>
          <w:szCs w:val="21"/>
          <w:u w:val="single"/>
        </w:rPr>
        <w:t>（供应商名称、地址）</w:t>
      </w:r>
      <w:r>
        <w:rPr>
          <w:rFonts w:hint="eastAsia" w:hAnsi="宋体"/>
          <w:sz w:val="21"/>
          <w:szCs w:val="21"/>
        </w:rPr>
        <w:t>提交响应文件正本份和副本份。</w:t>
      </w:r>
    </w:p>
    <w:p>
      <w:pPr>
        <w:spacing w:line="480" w:lineRule="exact"/>
        <w:ind w:firstLine="420" w:firstLineChars="200"/>
        <w:rPr>
          <w:rFonts w:hAnsi="宋体"/>
          <w:sz w:val="21"/>
          <w:szCs w:val="21"/>
        </w:rPr>
      </w:pPr>
      <w:r>
        <w:rPr>
          <w:rFonts w:hint="eastAsia" w:hAnsi="宋体"/>
          <w:sz w:val="21"/>
          <w:szCs w:val="21"/>
        </w:rPr>
        <w:t>2.供应商愿意参加响应并在成交后按磋商文件规定履行义务。</w:t>
      </w:r>
    </w:p>
    <w:p>
      <w:pPr>
        <w:spacing w:line="480" w:lineRule="exact"/>
        <w:ind w:firstLine="420" w:firstLineChars="200"/>
        <w:rPr>
          <w:rFonts w:hAnsi="宋体"/>
          <w:sz w:val="21"/>
          <w:szCs w:val="21"/>
        </w:rPr>
      </w:pPr>
      <w:r>
        <w:rPr>
          <w:rFonts w:hint="eastAsia" w:hAnsi="宋体"/>
          <w:sz w:val="21"/>
          <w:szCs w:val="21"/>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rPr>
      </w:pPr>
      <w:r>
        <w:rPr>
          <w:rFonts w:hint="eastAsia" w:hAnsi="宋体"/>
          <w:sz w:val="21"/>
          <w:szCs w:val="21"/>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rPr>
      </w:pPr>
      <w:r>
        <w:rPr>
          <w:rFonts w:hint="eastAsia" w:hAnsi="宋体"/>
          <w:sz w:val="21"/>
          <w:szCs w:val="21"/>
        </w:rPr>
        <w:t>5.参加本项目采购活动前3年内，在经营活动中没有重大违法记录。</w:t>
      </w:r>
    </w:p>
    <w:p>
      <w:pPr>
        <w:spacing w:line="480" w:lineRule="exact"/>
        <w:ind w:firstLine="420" w:firstLineChars="200"/>
        <w:rPr>
          <w:rFonts w:hAnsi="宋体"/>
          <w:sz w:val="21"/>
          <w:szCs w:val="21"/>
        </w:rPr>
      </w:pPr>
      <w:r>
        <w:rPr>
          <w:rFonts w:hint="eastAsia" w:hAnsi="宋体"/>
          <w:sz w:val="21"/>
          <w:szCs w:val="21"/>
        </w:rPr>
        <w:t>6.响应有效期为90个工作日，自开启响应文件之日起算。</w:t>
      </w:r>
    </w:p>
    <w:p>
      <w:pPr>
        <w:spacing w:line="480" w:lineRule="exact"/>
        <w:ind w:firstLine="420" w:firstLineChars="200"/>
        <w:rPr>
          <w:rFonts w:hAnsi="宋体"/>
          <w:sz w:val="21"/>
          <w:szCs w:val="21"/>
        </w:rPr>
      </w:pPr>
      <w:r>
        <w:rPr>
          <w:rFonts w:hint="eastAsia" w:hAnsi="宋体"/>
          <w:sz w:val="21"/>
          <w:szCs w:val="21"/>
        </w:rPr>
        <w:t>7.同意在成交后按照磋商文件的规定缴纳成交服务费。</w:t>
      </w:r>
    </w:p>
    <w:p>
      <w:pPr>
        <w:spacing w:line="480" w:lineRule="exact"/>
        <w:ind w:firstLine="420" w:firstLineChars="200"/>
        <w:rPr>
          <w:rFonts w:hAnsi="宋体"/>
          <w:sz w:val="21"/>
          <w:szCs w:val="21"/>
        </w:rPr>
      </w:pPr>
      <w:r>
        <w:rPr>
          <w:rFonts w:hint="eastAsia" w:hAnsi="宋体"/>
          <w:sz w:val="21"/>
          <w:szCs w:val="21"/>
        </w:rPr>
        <w:t>8.如果开启响应文件后，在响应有效期内撤回文件的，我单位愿意承担贵单位由此而产生的损失。</w:t>
      </w:r>
    </w:p>
    <w:p>
      <w:pPr>
        <w:spacing w:line="480" w:lineRule="exact"/>
        <w:ind w:firstLine="420" w:firstLineChars="200"/>
        <w:rPr>
          <w:rFonts w:hAnsi="宋体"/>
          <w:sz w:val="21"/>
          <w:szCs w:val="21"/>
        </w:rPr>
      </w:pPr>
      <w:r>
        <w:rPr>
          <w:rFonts w:hint="eastAsia" w:hAnsi="宋体"/>
          <w:sz w:val="21"/>
          <w:szCs w:val="21"/>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rPr>
      </w:pPr>
      <w:r>
        <w:rPr>
          <w:rFonts w:hint="eastAsia" w:hAnsi="宋体"/>
          <w:sz w:val="21"/>
          <w:szCs w:val="21"/>
        </w:rPr>
        <w:t>10.与本响应有关的一切正式往来通讯请寄：</w:t>
      </w:r>
    </w:p>
    <w:p>
      <w:pPr>
        <w:spacing w:line="480" w:lineRule="exact"/>
        <w:ind w:firstLine="420" w:firstLineChars="200"/>
        <w:rPr>
          <w:rFonts w:hAnsi="宋体"/>
          <w:sz w:val="21"/>
          <w:szCs w:val="21"/>
        </w:rPr>
      </w:pPr>
    </w:p>
    <w:p>
      <w:pPr>
        <w:spacing w:line="480" w:lineRule="exact"/>
        <w:ind w:firstLine="420" w:firstLineChars="200"/>
        <w:rPr>
          <w:rFonts w:hAnsi="宋体"/>
          <w:sz w:val="21"/>
          <w:szCs w:val="21"/>
        </w:rPr>
      </w:pPr>
      <w:r>
        <w:rPr>
          <w:rFonts w:hint="eastAsia" w:hAnsi="宋体"/>
          <w:sz w:val="21"/>
          <w:szCs w:val="21"/>
        </w:rPr>
        <w:t>供应商名称：</w:t>
      </w:r>
      <w:r>
        <w:rPr>
          <w:rFonts w:hint="eastAsia" w:hAnsi="宋体"/>
          <w:sz w:val="21"/>
          <w:szCs w:val="21"/>
          <w:u w:val="single"/>
        </w:rPr>
        <w:t xml:space="preserve">            （盖公章）                   </w:t>
      </w:r>
    </w:p>
    <w:p>
      <w:pPr>
        <w:spacing w:line="480" w:lineRule="exact"/>
        <w:ind w:firstLine="420" w:firstLineChars="200"/>
        <w:rPr>
          <w:rFonts w:hAnsi="宋体"/>
          <w:sz w:val="21"/>
          <w:szCs w:val="21"/>
          <w:u w:val="single"/>
        </w:rPr>
      </w:pPr>
      <w:r>
        <w:rPr>
          <w:rFonts w:hint="eastAsia" w:hAnsi="宋体"/>
          <w:sz w:val="21"/>
          <w:szCs w:val="21"/>
        </w:rPr>
        <w:t>供应商代表姓名、职务（印刷体）：</w:t>
      </w:r>
    </w:p>
    <w:p>
      <w:pPr>
        <w:spacing w:line="480" w:lineRule="exact"/>
        <w:ind w:firstLine="420" w:firstLineChars="200"/>
        <w:rPr>
          <w:rFonts w:hAnsi="宋体"/>
          <w:sz w:val="21"/>
          <w:szCs w:val="21"/>
        </w:rPr>
      </w:pPr>
      <w:r>
        <w:rPr>
          <w:rFonts w:hint="eastAsia" w:hAnsi="宋体"/>
          <w:sz w:val="21"/>
          <w:szCs w:val="21"/>
        </w:rPr>
        <w:t>供应商联系电话、传真：</w:t>
      </w:r>
    </w:p>
    <w:p>
      <w:pPr>
        <w:spacing w:line="480" w:lineRule="exact"/>
        <w:ind w:firstLine="420" w:firstLineChars="200"/>
        <w:rPr>
          <w:rFonts w:hAnsi="宋体"/>
          <w:sz w:val="21"/>
          <w:szCs w:val="21"/>
        </w:rPr>
      </w:pPr>
      <w:r>
        <w:rPr>
          <w:rFonts w:hint="eastAsia" w:hAnsi="宋体"/>
          <w:sz w:val="21"/>
          <w:szCs w:val="21"/>
        </w:rPr>
        <w:t>日期：年月日</w:t>
      </w:r>
    </w:p>
    <w:p>
      <w:pPr>
        <w:pStyle w:val="4"/>
        <w:numPr>
          <w:ilvl w:val="0"/>
          <w:numId w:val="30"/>
        </w:numPr>
        <w:jc w:val="center"/>
        <w:rPr>
          <w:bCs/>
          <w:sz w:val="28"/>
          <w:szCs w:val="28"/>
        </w:rPr>
      </w:pPr>
      <w:r>
        <w:rPr>
          <w:sz w:val="22"/>
          <w:szCs w:val="22"/>
        </w:rPr>
        <w:br w:type="page"/>
      </w:r>
      <w:bookmarkStart w:id="189" w:name="_Toc7897891"/>
      <w:bookmarkStart w:id="190" w:name="_Toc31943"/>
      <w:bookmarkStart w:id="191" w:name="_Toc10808"/>
      <w:r>
        <w:rPr>
          <w:rFonts w:hint="eastAsia"/>
          <w:bCs/>
          <w:sz w:val="28"/>
          <w:szCs w:val="28"/>
        </w:rPr>
        <w:t>法定代表人证明书</w:t>
      </w:r>
      <w:bookmarkEnd w:id="189"/>
      <w:bookmarkEnd w:id="190"/>
      <w:bookmarkEnd w:id="191"/>
    </w:p>
    <w:p>
      <w:pPr>
        <w:spacing w:line="420" w:lineRule="atLeast"/>
        <w:rPr>
          <w:rFonts w:hAnsi="宋体"/>
          <w:sz w:val="21"/>
          <w:szCs w:val="21"/>
        </w:rPr>
      </w:pPr>
      <w:r>
        <w:rPr>
          <w:rFonts w:hint="eastAsia" w:hAnsi="宋体"/>
          <w:sz w:val="21"/>
          <w:szCs w:val="21"/>
        </w:rPr>
        <w:t>致：广东泰通伟业工程咨询有限公司</w:t>
      </w:r>
    </w:p>
    <w:p>
      <w:pPr>
        <w:pStyle w:val="75"/>
        <w:spacing w:line="420" w:lineRule="atLeast"/>
        <w:ind w:firstLine="433"/>
        <w:rPr>
          <w:rFonts w:ascii="宋体" w:eastAsia="宋体"/>
          <w:sz w:val="21"/>
          <w:szCs w:val="21"/>
        </w:rPr>
      </w:pPr>
    </w:p>
    <w:p>
      <w:pPr>
        <w:pStyle w:val="75"/>
        <w:spacing w:line="420" w:lineRule="atLeast"/>
        <w:ind w:firstLine="433"/>
        <w:rPr>
          <w:rFonts w:ascii="宋体" w:eastAsia="宋体"/>
          <w:sz w:val="21"/>
          <w:szCs w:val="21"/>
        </w:rPr>
      </w:pPr>
      <w:r>
        <w:rPr>
          <w:rFonts w:hint="eastAsia" w:ascii="宋体" w:eastAsia="宋体"/>
          <w:sz w:val="21"/>
          <w:szCs w:val="21"/>
        </w:rPr>
        <w:t xml:space="preserve">供应商名称: </w:t>
      </w:r>
    </w:p>
    <w:p>
      <w:pPr>
        <w:pStyle w:val="75"/>
        <w:spacing w:line="420" w:lineRule="atLeast"/>
        <w:ind w:firstLine="433"/>
        <w:rPr>
          <w:rFonts w:ascii="宋体" w:eastAsia="宋体"/>
          <w:sz w:val="21"/>
          <w:szCs w:val="21"/>
        </w:rPr>
      </w:pPr>
      <w:r>
        <w:rPr>
          <w:rFonts w:hint="eastAsia" w:ascii="宋体" w:eastAsia="宋体"/>
          <w:sz w:val="21"/>
          <w:szCs w:val="21"/>
        </w:rPr>
        <w:t>单 位 性质：</w:t>
      </w:r>
    </w:p>
    <w:p>
      <w:pPr>
        <w:pStyle w:val="75"/>
        <w:spacing w:line="420" w:lineRule="atLeast"/>
        <w:ind w:firstLine="433"/>
        <w:rPr>
          <w:rFonts w:ascii="宋体" w:eastAsia="宋体"/>
          <w:sz w:val="21"/>
          <w:szCs w:val="21"/>
        </w:rPr>
      </w:pPr>
      <w:r>
        <w:rPr>
          <w:rFonts w:hint="eastAsia" w:ascii="宋体" w:eastAsia="宋体"/>
          <w:sz w:val="21"/>
          <w:szCs w:val="21"/>
        </w:rPr>
        <w:t>地      址：</w:t>
      </w:r>
    </w:p>
    <w:p>
      <w:pPr>
        <w:pStyle w:val="75"/>
        <w:spacing w:line="420" w:lineRule="atLeast"/>
        <w:ind w:firstLine="433"/>
        <w:rPr>
          <w:rFonts w:ascii="宋体" w:eastAsia="宋体"/>
          <w:sz w:val="21"/>
          <w:szCs w:val="21"/>
        </w:rPr>
      </w:pPr>
      <w:r>
        <w:rPr>
          <w:rFonts w:hint="eastAsia" w:ascii="宋体" w:eastAsia="宋体"/>
          <w:sz w:val="21"/>
          <w:szCs w:val="21"/>
        </w:rPr>
        <w:t>成 立 时间：年月日</w:t>
      </w:r>
    </w:p>
    <w:p>
      <w:pPr>
        <w:pStyle w:val="75"/>
        <w:spacing w:line="420" w:lineRule="atLeast"/>
        <w:ind w:firstLine="433"/>
        <w:rPr>
          <w:rFonts w:ascii="宋体" w:eastAsia="宋体"/>
          <w:sz w:val="21"/>
          <w:szCs w:val="21"/>
        </w:rPr>
      </w:pPr>
      <w:r>
        <w:rPr>
          <w:rFonts w:hint="eastAsia" w:ascii="宋体" w:eastAsia="宋体"/>
          <w:sz w:val="21"/>
          <w:szCs w:val="21"/>
        </w:rPr>
        <w:t>经 营 期限：</w:t>
      </w:r>
    </w:p>
    <w:p>
      <w:pPr>
        <w:pStyle w:val="75"/>
        <w:spacing w:line="420" w:lineRule="atLeast"/>
        <w:ind w:firstLine="433"/>
        <w:rPr>
          <w:rFonts w:ascii="宋体" w:eastAsia="宋体"/>
          <w:sz w:val="21"/>
          <w:szCs w:val="21"/>
        </w:rPr>
      </w:pPr>
      <w:r>
        <w:rPr>
          <w:rFonts w:hint="eastAsia" w:ascii="宋体" w:eastAsia="宋体"/>
          <w:sz w:val="21"/>
          <w:szCs w:val="21"/>
        </w:rPr>
        <w:t>姓名：性别：年龄：职务：</w:t>
      </w:r>
    </w:p>
    <w:p>
      <w:pPr>
        <w:pStyle w:val="75"/>
        <w:spacing w:line="420" w:lineRule="atLeast"/>
        <w:ind w:firstLine="433"/>
        <w:rPr>
          <w:rFonts w:ascii="宋体" w:eastAsia="宋体"/>
          <w:sz w:val="21"/>
          <w:szCs w:val="21"/>
        </w:rPr>
      </w:pPr>
      <w:r>
        <w:rPr>
          <w:rFonts w:hint="eastAsia" w:ascii="宋体" w:eastAsia="宋体"/>
          <w:sz w:val="21"/>
          <w:szCs w:val="21"/>
        </w:rPr>
        <w:t>系（供应商名称）的法定代表人。</w:t>
      </w:r>
    </w:p>
    <w:p>
      <w:pPr>
        <w:spacing w:line="420" w:lineRule="atLeast"/>
        <w:ind w:firstLine="420" w:firstLineChars="200"/>
        <w:rPr>
          <w:rFonts w:hAnsi="宋体"/>
          <w:sz w:val="21"/>
          <w:szCs w:val="21"/>
        </w:rPr>
      </w:pPr>
      <w:r>
        <w:rPr>
          <w:rFonts w:hint="eastAsia" w:hAnsi="宋体"/>
          <w:sz w:val="21"/>
          <w:szCs w:val="21"/>
        </w:rPr>
        <w:t>特此证明。</w:t>
      </w:r>
    </w:p>
    <w:p>
      <w:pPr>
        <w:pStyle w:val="75"/>
        <w:spacing w:line="500" w:lineRule="atLeast"/>
        <w:ind w:firstLine="3517" w:firstLineChars="1675"/>
        <w:rPr>
          <w:rFonts w:ascii="宋体" w:eastAsia="宋体"/>
          <w:sz w:val="21"/>
          <w:szCs w:val="21"/>
        </w:rPr>
      </w:pPr>
    </w:p>
    <w:p>
      <w:pPr>
        <w:pStyle w:val="75"/>
        <w:spacing w:line="500" w:lineRule="atLeast"/>
        <w:ind w:firstLine="3517" w:firstLineChars="1675"/>
        <w:rPr>
          <w:rFonts w:ascii="宋体" w:eastAsia="宋体"/>
          <w:sz w:val="21"/>
          <w:szCs w:val="21"/>
        </w:rPr>
      </w:pPr>
      <w:r>
        <w:rPr>
          <w:rFonts w:hint="eastAsia" w:ascii="宋体" w:eastAsia="宋体"/>
          <w:sz w:val="21"/>
          <w:szCs w:val="21"/>
        </w:rPr>
        <w:t>供应商名称（加盖公章）</w:t>
      </w:r>
    </w:p>
    <w:p>
      <w:pPr>
        <w:pStyle w:val="75"/>
        <w:spacing w:line="500" w:lineRule="atLeast"/>
        <w:ind w:firstLine="3517" w:firstLineChars="1675"/>
        <w:rPr>
          <w:rFonts w:ascii="宋体" w:eastAsia="宋体"/>
          <w:sz w:val="21"/>
          <w:szCs w:val="21"/>
        </w:rPr>
      </w:pPr>
      <w:r>
        <w:rPr>
          <w:rFonts w:hint="eastAsia" w:ascii="宋体" w:eastAsia="宋体"/>
          <w:sz w:val="21"/>
          <w:szCs w:val="21"/>
        </w:rPr>
        <w:t>法定代表人（签名或盖私章）：</w:t>
      </w:r>
    </w:p>
    <w:p>
      <w:pPr>
        <w:pStyle w:val="75"/>
        <w:spacing w:line="500" w:lineRule="atLeast"/>
        <w:ind w:firstLine="3517" w:firstLineChars="1675"/>
        <w:rPr>
          <w:rFonts w:ascii="宋体" w:eastAsia="宋体"/>
          <w:sz w:val="21"/>
          <w:szCs w:val="21"/>
          <w:u w:val="single"/>
        </w:rPr>
      </w:pPr>
      <w:r>
        <w:rPr>
          <w:rFonts w:hint="eastAsia" w:ascii="宋体" w:eastAsia="宋体"/>
          <w:sz w:val="21"/>
          <w:szCs w:val="21"/>
        </w:rPr>
        <w:t>身份证号码：</w:t>
      </w:r>
    </w:p>
    <w:p>
      <w:pPr>
        <w:pStyle w:val="75"/>
        <w:spacing w:line="500" w:lineRule="atLeast"/>
        <w:ind w:firstLine="3507" w:firstLineChars="1670"/>
        <w:rPr>
          <w:rFonts w:ascii="宋体" w:eastAsia="宋体"/>
          <w:sz w:val="21"/>
          <w:szCs w:val="21"/>
        </w:rPr>
      </w:pPr>
      <w:r>
        <w:rPr>
          <w:rFonts w:hint="eastAsia" w:ascii="宋体" w:eastAsia="宋体"/>
          <w:sz w:val="21"/>
          <w:szCs w:val="21"/>
        </w:rPr>
        <w:t>日      期：年月日</w:t>
      </w:r>
    </w:p>
    <w:p>
      <w:pPr>
        <w:pStyle w:val="75"/>
        <w:spacing w:line="460" w:lineRule="exact"/>
        <w:ind w:firstLine="433"/>
        <w:rPr>
          <w:rFonts w:ascii="宋体" w:eastAsia="宋体"/>
          <w:sz w:val="21"/>
          <w:szCs w:val="21"/>
        </w:rPr>
      </w:pPr>
    </w:p>
    <w:p>
      <w:pPr>
        <w:spacing w:line="420" w:lineRule="atLeast"/>
        <w:ind w:firstLine="422" w:firstLineChars="200"/>
        <w:rPr>
          <w:rFonts w:hAnsi="宋体"/>
          <w:b/>
          <w:sz w:val="21"/>
          <w:szCs w:val="21"/>
        </w:rPr>
      </w:pPr>
    </w:p>
    <w:p>
      <w:pPr>
        <w:spacing w:line="420" w:lineRule="atLeast"/>
        <w:ind w:firstLine="422" w:firstLineChars="200"/>
        <w:rPr>
          <w:rFonts w:hAnsi="宋体"/>
          <w:b/>
          <w:sz w:val="21"/>
          <w:szCs w:val="21"/>
        </w:rPr>
      </w:pPr>
      <w:r>
        <w:rPr>
          <w:rFonts w:hint="eastAsia" w:hAnsi="宋体"/>
          <w:b/>
          <w:sz w:val="21"/>
          <w:szCs w:val="21"/>
        </w:rPr>
        <w:t>须附：法定代表人身份证复印件（加盖公章）</w:t>
      </w:r>
    </w:p>
    <w:p>
      <w:pPr>
        <w:spacing w:line="420" w:lineRule="atLeast"/>
        <w:ind w:firstLine="422" w:firstLineChars="200"/>
        <w:rPr>
          <w:b/>
          <w:sz w:val="21"/>
          <w:szCs w:val="21"/>
        </w:rPr>
      </w:pPr>
    </w:p>
    <w:tbl>
      <w:tblPr>
        <w:tblStyle w:val="5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正面</w:t>
            </w:r>
          </w:p>
        </w:tc>
        <w:tc>
          <w:tcPr>
            <w:tcW w:w="418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背面</w:t>
            </w:r>
          </w:p>
        </w:tc>
      </w:tr>
    </w:tbl>
    <w:p>
      <w:pPr>
        <w:rPr>
          <w:rFonts w:hAnsi="宋体"/>
        </w:rPr>
      </w:pPr>
    </w:p>
    <w:p>
      <w:pPr>
        <w:rPr>
          <w:rFonts w:hAnsi="宋体"/>
          <w:sz w:val="28"/>
          <w:szCs w:val="28"/>
        </w:rPr>
      </w:pPr>
    </w:p>
    <w:p>
      <w:pPr>
        <w:pStyle w:val="4"/>
        <w:numPr>
          <w:ilvl w:val="0"/>
          <w:numId w:val="30"/>
        </w:numPr>
        <w:jc w:val="center"/>
        <w:rPr>
          <w:bCs/>
          <w:sz w:val="28"/>
          <w:szCs w:val="28"/>
        </w:rPr>
      </w:pPr>
      <w:r>
        <w:rPr>
          <w:rFonts w:hint="eastAsia"/>
          <w:bCs/>
          <w:sz w:val="28"/>
          <w:szCs w:val="28"/>
        </w:rPr>
        <w:br w:type="page"/>
      </w:r>
      <w:bookmarkStart w:id="192" w:name="_Toc19634"/>
      <w:bookmarkStart w:id="193" w:name="_Toc7897892"/>
      <w:bookmarkStart w:id="194" w:name="_Toc28882"/>
      <w:r>
        <w:rPr>
          <w:rFonts w:hint="eastAsia"/>
          <w:bCs/>
          <w:sz w:val="28"/>
          <w:szCs w:val="28"/>
        </w:rPr>
        <w:t>授权委托书（加法人证明书）</w:t>
      </w:r>
      <w:bookmarkEnd w:id="192"/>
      <w:bookmarkEnd w:id="193"/>
      <w:bookmarkEnd w:id="194"/>
    </w:p>
    <w:p>
      <w:pPr>
        <w:pStyle w:val="13"/>
        <w:ind w:firstLine="400"/>
      </w:pPr>
    </w:p>
    <w:p>
      <w:pPr>
        <w:spacing w:line="420" w:lineRule="exact"/>
        <w:rPr>
          <w:rFonts w:hAnsi="宋体"/>
          <w:sz w:val="22"/>
          <w:szCs w:val="22"/>
        </w:rPr>
      </w:pPr>
    </w:p>
    <w:p>
      <w:pPr>
        <w:spacing w:line="420" w:lineRule="exact"/>
        <w:rPr>
          <w:rFonts w:hAnsi="宋体"/>
          <w:sz w:val="21"/>
          <w:szCs w:val="21"/>
        </w:rPr>
      </w:pPr>
      <w:r>
        <w:rPr>
          <w:rFonts w:hint="eastAsia" w:hAnsi="宋体"/>
          <w:sz w:val="21"/>
          <w:szCs w:val="21"/>
        </w:rPr>
        <w:t>致：广东泰通伟业工程咨询有限公司</w:t>
      </w:r>
    </w:p>
    <w:p>
      <w:pPr>
        <w:pStyle w:val="75"/>
        <w:spacing w:line="420" w:lineRule="exact"/>
        <w:ind w:firstLine="450" w:firstLineChars="0"/>
        <w:rPr>
          <w:rFonts w:ascii="宋体" w:eastAsia="宋体"/>
          <w:sz w:val="21"/>
          <w:szCs w:val="21"/>
        </w:rPr>
      </w:pPr>
      <w:r>
        <w:rPr>
          <w:rFonts w:hint="eastAsia" w:ascii="宋体" w:eastAsia="宋体"/>
          <w:sz w:val="21"/>
          <w:szCs w:val="21"/>
        </w:rPr>
        <w:t>本人</w:t>
      </w:r>
      <w:r>
        <w:rPr>
          <w:rFonts w:hint="eastAsia" w:ascii="宋体" w:eastAsia="宋体"/>
          <w:sz w:val="21"/>
          <w:szCs w:val="21"/>
          <w:u w:val="single"/>
        </w:rPr>
        <w:t xml:space="preserve">  （姓名） </w:t>
      </w:r>
      <w:r>
        <w:rPr>
          <w:rFonts w:hint="eastAsia" w:ascii="宋体" w:eastAsia="宋体"/>
          <w:sz w:val="21"/>
          <w:szCs w:val="21"/>
        </w:rPr>
        <w:t>系</w:t>
      </w:r>
      <w:r>
        <w:rPr>
          <w:rFonts w:hint="eastAsia" w:ascii="宋体" w:eastAsia="宋体"/>
          <w:sz w:val="21"/>
          <w:szCs w:val="21"/>
          <w:u w:val="single"/>
        </w:rPr>
        <w:t xml:space="preserve">     （供应商名称）        </w:t>
      </w:r>
      <w:r>
        <w:rPr>
          <w:rFonts w:hint="eastAsia" w:ascii="宋体" w:eastAsia="宋体"/>
          <w:sz w:val="21"/>
          <w:szCs w:val="21"/>
        </w:rPr>
        <w:t>的法定代表人，现委托</w:t>
      </w:r>
      <w:r>
        <w:rPr>
          <w:rFonts w:hint="eastAsia" w:ascii="宋体" w:eastAsia="宋体"/>
          <w:sz w:val="21"/>
          <w:szCs w:val="21"/>
          <w:u w:val="single"/>
        </w:rPr>
        <w:t xml:space="preserve"> （姓名） </w:t>
      </w:r>
      <w:r>
        <w:rPr>
          <w:rFonts w:hint="eastAsia" w:ascii="宋体" w:eastAsia="宋体"/>
          <w:sz w:val="21"/>
          <w:szCs w:val="21"/>
        </w:rPr>
        <w:t>为我方合法代理人。代理人根据授权，以我方名义签署、澄清、说明、补正、递交、撤回、修改</w:t>
      </w:r>
      <w:r>
        <w:rPr>
          <w:rFonts w:hint="eastAsia" w:ascii="宋体" w:eastAsia="宋体"/>
          <w:sz w:val="21"/>
          <w:szCs w:val="21"/>
          <w:u w:val="single"/>
        </w:rPr>
        <w:t xml:space="preserve">        （项目名称）        </w:t>
      </w:r>
      <w:r>
        <w:rPr>
          <w:rFonts w:hint="eastAsia" w:ascii="宋体" w:eastAsia="宋体"/>
          <w:sz w:val="21"/>
          <w:szCs w:val="21"/>
        </w:rPr>
        <w:t>[采购编号：</w:t>
      </w:r>
      <w:r>
        <w:rPr>
          <w:rFonts w:hint="eastAsia" w:ascii="宋体" w:eastAsia="宋体"/>
          <w:sz w:val="21"/>
          <w:szCs w:val="21"/>
          <w:u w:val="single"/>
        </w:rPr>
        <w:t>　　　　　　　</w:t>
      </w:r>
      <w:r>
        <w:rPr>
          <w:rFonts w:hint="eastAsia" w:ascii="宋体" w:eastAsia="宋体"/>
          <w:sz w:val="21"/>
          <w:szCs w:val="21"/>
        </w:rPr>
        <w:t>]磋商响应文件、签订合同和处理有关事宜，其法律后果由我方承担。</w:t>
      </w:r>
    </w:p>
    <w:p>
      <w:pPr>
        <w:pStyle w:val="75"/>
        <w:spacing w:line="420" w:lineRule="exact"/>
        <w:ind w:firstLine="428" w:firstLineChars="204"/>
        <w:rPr>
          <w:rFonts w:ascii="宋体" w:eastAsia="宋体"/>
          <w:sz w:val="21"/>
          <w:szCs w:val="21"/>
        </w:rPr>
      </w:pPr>
      <w:r>
        <w:rPr>
          <w:rFonts w:hint="eastAsia" w:ascii="宋体" w:eastAsia="宋体"/>
          <w:sz w:val="21"/>
          <w:szCs w:val="21"/>
        </w:rPr>
        <w:t>本委托书于</w:t>
      </w:r>
      <w:r>
        <w:rPr>
          <w:rFonts w:hint="eastAsia" w:ascii="宋体" w:eastAsia="宋体"/>
          <w:sz w:val="21"/>
          <w:szCs w:val="21"/>
          <w:u w:val="single"/>
        </w:rPr>
        <w:t xml:space="preserve">　    </w:t>
      </w:r>
      <w:r>
        <w:rPr>
          <w:rFonts w:hint="eastAsia" w:ascii="宋体" w:eastAsia="宋体"/>
          <w:sz w:val="21"/>
          <w:szCs w:val="21"/>
        </w:rPr>
        <w:t>年</w:t>
      </w:r>
      <w:r>
        <w:rPr>
          <w:rFonts w:hint="eastAsia" w:ascii="宋体" w:eastAsia="宋体"/>
          <w:sz w:val="21"/>
          <w:szCs w:val="21"/>
          <w:u w:val="single"/>
        </w:rPr>
        <w:t xml:space="preserve">　 </w:t>
      </w:r>
      <w:r>
        <w:rPr>
          <w:rFonts w:hint="eastAsia" w:ascii="宋体" w:eastAsia="宋体"/>
          <w:sz w:val="21"/>
          <w:szCs w:val="21"/>
        </w:rPr>
        <w:t>月</w:t>
      </w:r>
      <w:r>
        <w:rPr>
          <w:rFonts w:hint="eastAsia" w:ascii="宋体" w:eastAsia="宋体"/>
          <w:sz w:val="21"/>
          <w:szCs w:val="21"/>
          <w:u w:val="single"/>
        </w:rPr>
        <w:t xml:space="preserve">　 </w:t>
      </w:r>
      <w:r>
        <w:rPr>
          <w:rFonts w:hint="eastAsia" w:ascii="宋体" w:eastAsia="宋体"/>
          <w:sz w:val="21"/>
          <w:szCs w:val="21"/>
        </w:rPr>
        <w:t>日签字生效，特此证明。</w:t>
      </w:r>
    </w:p>
    <w:p>
      <w:pPr>
        <w:pStyle w:val="75"/>
        <w:spacing w:line="420" w:lineRule="exact"/>
        <w:ind w:firstLine="450" w:firstLineChars="0"/>
        <w:rPr>
          <w:rFonts w:ascii="宋体" w:eastAsia="宋体"/>
          <w:sz w:val="21"/>
          <w:szCs w:val="21"/>
        </w:rPr>
      </w:pPr>
      <w:r>
        <w:rPr>
          <w:rFonts w:hint="eastAsia" w:ascii="宋体" w:eastAsia="宋体"/>
          <w:sz w:val="21"/>
          <w:szCs w:val="21"/>
        </w:rPr>
        <w:t>代理人无转委托权</w:t>
      </w:r>
    </w:p>
    <w:p>
      <w:pPr>
        <w:pStyle w:val="75"/>
        <w:spacing w:line="420" w:lineRule="exact"/>
        <w:ind w:firstLine="450" w:firstLineChars="0"/>
        <w:rPr>
          <w:rFonts w:ascii="宋体" w:eastAsia="宋体"/>
          <w:sz w:val="21"/>
          <w:szCs w:val="21"/>
        </w:rPr>
      </w:pPr>
    </w:p>
    <w:p>
      <w:pPr>
        <w:pStyle w:val="75"/>
        <w:spacing w:line="420" w:lineRule="exact"/>
        <w:ind w:firstLine="428" w:firstLineChars="204"/>
        <w:rPr>
          <w:rFonts w:ascii="宋体" w:eastAsia="宋体"/>
          <w:sz w:val="21"/>
          <w:szCs w:val="21"/>
        </w:rPr>
      </w:pPr>
    </w:p>
    <w:p>
      <w:pPr>
        <w:pStyle w:val="75"/>
        <w:spacing w:line="420" w:lineRule="exact"/>
        <w:ind w:firstLine="3517" w:firstLineChars="1675"/>
        <w:rPr>
          <w:rFonts w:ascii="宋体" w:eastAsia="宋体"/>
          <w:sz w:val="21"/>
          <w:szCs w:val="21"/>
        </w:rPr>
      </w:pPr>
      <w:r>
        <w:rPr>
          <w:rFonts w:hint="eastAsia" w:ascii="宋体" w:eastAsia="宋体"/>
          <w:sz w:val="21"/>
          <w:szCs w:val="21"/>
        </w:rPr>
        <w:t>供应商名称（加盖公章）</w:t>
      </w:r>
    </w:p>
    <w:p>
      <w:pPr>
        <w:pStyle w:val="75"/>
        <w:spacing w:line="420" w:lineRule="exact"/>
        <w:ind w:firstLine="3517" w:firstLineChars="1675"/>
        <w:rPr>
          <w:rFonts w:ascii="宋体" w:eastAsia="宋体"/>
          <w:sz w:val="21"/>
          <w:szCs w:val="21"/>
        </w:rPr>
      </w:pPr>
      <w:r>
        <w:rPr>
          <w:rFonts w:hint="eastAsia" w:ascii="宋体" w:eastAsia="宋体"/>
          <w:sz w:val="21"/>
          <w:szCs w:val="21"/>
        </w:rPr>
        <w:t>法定代表人（签名或盖私章）：</w:t>
      </w:r>
    </w:p>
    <w:p>
      <w:pPr>
        <w:pStyle w:val="75"/>
        <w:spacing w:line="420" w:lineRule="exact"/>
        <w:ind w:firstLine="3517" w:firstLineChars="1675"/>
        <w:rPr>
          <w:rFonts w:ascii="宋体" w:eastAsia="宋体"/>
          <w:sz w:val="21"/>
          <w:szCs w:val="21"/>
        </w:rPr>
      </w:pPr>
      <w:r>
        <w:rPr>
          <w:rFonts w:hint="eastAsia" w:ascii="宋体" w:eastAsia="宋体"/>
          <w:sz w:val="21"/>
          <w:szCs w:val="21"/>
        </w:rPr>
        <w:t>身份证号码：</w:t>
      </w:r>
    </w:p>
    <w:p>
      <w:pPr>
        <w:pStyle w:val="75"/>
        <w:spacing w:line="420" w:lineRule="exact"/>
        <w:ind w:firstLine="3517" w:firstLineChars="1675"/>
        <w:rPr>
          <w:rFonts w:ascii="宋体" w:eastAsia="宋体"/>
          <w:sz w:val="21"/>
          <w:szCs w:val="21"/>
        </w:rPr>
      </w:pPr>
    </w:p>
    <w:p>
      <w:pPr>
        <w:pStyle w:val="75"/>
        <w:spacing w:line="420" w:lineRule="exact"/>
        <w:ind w:firstLine="3517" w:firstLineChars="1675"/>
        <w:rPr>
          <w:rFonts w:ascii="宋体" w:eastAsia="宋体"/>
          <w:sz w:val="21"/>
          <w:szCs w:val="21"/>
        </w:rPr>
      </w:pPr>
      <w:r>
        <w:rPr>
          <w:rFonts w:hint="eastAsia" w:ascii="宋体" w:eastAsia="宋体"/>
          <w:sz w:val="21"/>
          <w:szCs w:val="21"/>
        </w:rPr>
        <w:t>受托代理人（签名或盖私章）：</w:t>
      </w:r>
    </w:p>
    <w:p>
      <w:pPr>
        <w:pStyle w:val="75"/>
        <w:spacing w:line="420" w:lineRule="exact"/>
        <w:ind w:firstLine="3517" w:firstLineChars="1675"/>
        <w:rPr>
          <w:rFonts w:ascii="宋体" w:eastAsia="宋体"/>
          <w:sz w:val="21"/>
          <w:szCs w:val="21"/>
          <w:u w:val="single"/>
        </w:rPr>
      </w:pPr>
      <w:r>
        <w:rPr>
          <w:rFonts w:hint="eastAsia" w:ascii="宋体" w:eastAsia="宋体"/>
          <w:sz w:val="21"/>
          <w:szCs w:val="21"/>
        </w:rPr>
        <w:t>身份证号码：</w:t>
      </w:r>
    </w:p>
    <w:p>
      <w:pPr>
        <w:pStyle w:val="75"/>
        <w:spacing w:line="460" w:lineRule="exact"/>
        <w:ind w:firstLine="3507" w:firstLineChars="1670"/>
        <w:rPr>
          <w:rFonts w:ascii="宋体" w:eastAsia="宋体"/>
          <w:sz w:val="21"/>
          <w:szCs w:val="21"/>
        </w:rPr>
      </w:pPr>
      <w:r>
        <w:rPr>
          <w:rFonts w:hint="eastAsia" w:ascii="宋体" w:eastAsia="宋体"/>
          <w:sz w:val="21"/>
          <w:szCs w:val="21"/>
        </w:rPr>
        <w:t>日      期：年月日</w:t>
      </w:r>
    </w:p>
    <w:p>
      <w:pPr>
        <w:spacing w:line="420" w:lineRule="atLeast"/>
        <w:ind w:firstLine="422" w:firstLineChars="200"/>
        <w:rPr>
          <w:rFonts w:hAnsi="宋体"/>
          <w:b/>
          <w:sz w:val="21"/>
          <w:szCs w:val="21"/>
        </w:rPr>
      </w:pPr>
    </w:p>
    <w:p>
      <w:pPr>
        <w:spacing w:line="420" w:lineRule="atLeast"/>
        <w:ind w:firstLine="422" w:firstLineChars="200"/>
        <w:rPr>
          <w:rFonts w:hAnsi="宋体"/>
          <w:b/>
          <w:sz w:val="21"/>
          <w:szCs w:val="21"/>
        </w:rPr>
      </w:pPr>
    </w:p>
    <w:p>
      <w:pPr>
        <w:spacing w:line="420" w:lineRule="atLeast"/>
        <w:ind w:firstLine="422" w:firstLineChars="200"/>
        <w:rPr>
          <w:rFonts w:hAnsi="宋体"/>
          <w:b/>
          <w:sz w:val="21"/>
          <w:szCs w:val="21"/>
        </w:rPr>
      </w:pPr>
      <w:r>
        <w:rPr>
          <w:rFonts w:hint="eastAsia" w:hAnsi="宋体"/>
          <w:b/>
          <w:sz w:val="21"/>
          <w:szCs w:val="21"/>
        </w:rPr>
        <w:t>须附：授权代理人身份证复印件（加盖公章）</w:t>
      </w:r>
    </w:p>
    <w:p>
      <w:pPr>
        <w:spacing w:line="420" w:lineRule="atLeast"/>
        <w:ind w:firstLine="420" w:firstLineChars="200"/>
        <w:rPr>
          <w:sz w:val="21"/>
          <w:szCs w:val="21"/>
        </w:rPr>
      </w:pPr>
    </w:p>
    <w:tbl>
      <w:tblPr>
        <w:tblStyle w:val="5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正面</w:t>
            </w:r>
          </w:p>
        </w:tc>
        <w:tc>
          <w:tcPr>
            <w:tcW w:w="4232" w:type="dxa"/>
            <w:vAlign w:val="center"/>
          </w:tcPr>
          <w:p>
            <w:pPr>
              <w:pStyle w:val="75"/>
              <w:spacing w:line="460" w:lineRule="exact"/>
              <w:ind w:firstLine="0" w:firstLineChars="0"/>
              <w:jc w:val="center"/>
              <w:rPr>
                <w:rFonts w:ascii="宋体" w:eastAsia="宋体"/>
                <w:sz w:val="21"/>
                <w:szCs w:val="21"/>
              </w:rPr>
            </w:pPr>
            <w:r>
              <w:rPr>
                <w:rFonts w:hint="eastAsia" w:ascii="宋体" w:eastAsia="宋体"/>
                <w:sz w:val="21"/>
                <w:szCs w:val="21"/>
              </w:rPr>
              <w:t>背面</w:t>
            </w:r>
          </w:p>
        </w:tc>
      </w:tr>
    </w:tbl>
    <w:p>
      <w:pPr>
        <w:pStyle w:val="13"/>
        <w:ind w:firstLine="482"/>
        <w:rPr>
          <w:b/>
          <w:sz w:val="24"/>
          <w:szCs w:val="24"/>
        </w:rPr>
      </w:pPr>
    </w:p>
    <w:p>
      <w:pPr>
        <w:tabs>
          <w:tab w:val="left" w:pos="7740"/>
        </w:tabs>
        <w:spacing w:line="360" w:lineRule="auto"/>
        <w:rPr>
          <w:rFonts w:hAnsi="宋体"/>
          <w:sz w:val="21"/>
          <w:szCs w:val="21"/>
        </w:rPr>
      </w:pPr>
      <w:bookmarkStart w:id="195" w:name="_Toc4592"/>
      <w:bookmarkStart w:id="196" w:name="_Toc7897893"/>
    </w:p>
    <w:p>
      <w:pPr>
        <w:pStyle w:val="13"/>
        <w:ind w:firstLine="0" w:firstLineChars="0"/>
      </w:pPr>
    </w:p>
    <w:p>
      <w:pPr>
        <w:pStyle w:val="13"/>
        <w:ind w:firstLine="0" w:firstLineChars="0"/>
      </w:pPr>
    </w:p>
    <w:p>
      <w:pPr>
        <w:pStyle w:val="13"/>
        <w:ind w:firstLine="0" w:firstLineChars="0"/>
      </w:pPr>
    </w:p>
    <w:p>
      <w:pPr>
        <w:pStyle w:val="4"/>
        <w:numPr>
          <w:ilvl w:val="0"/>
          <w:numId w:val="30"/>
        </w:numPr>
        <w:jc w:val="center"/>
        <w:rPr>
          <w:sz w:val="28"/>
          <w:szCs w:val="28"/>
        </w:rPr>
      </w:pPr>
      <w:bookmarkStart w:id="197" w:name="_Toc17363"/>
      <w:r>
        <w:rPr>
          <w:rFonts w:hint="eastAsia"/>
          <w:sz w:val="28"/>
          <w:szCs w:val="28"/>
        </w:rPr>
        <w:t>供应商基本情况说明</w:t>
      </w:r>
      <w:bookmarkEnd w:id="195"/>
      <w:bookmarkEnd w:id="196"/>
      <w:bookmarkEnd w:id="197"/>
    </w:p>
    <w:p>
      <w:pPr>
        <w:spacing w:line="360" w:lineRule="auto"/>
        <w:rPr>
          <w:rFonts w:hAnsi="宋体"/>
          <w:sz w:val="22"/>
          <w:szCs w:val="22"/>
        </w:rPr>
      </w:pPr>
    </w:p>
    <w:p>
      <w:pPr>
        <w:spacing w:line="360" w:lineRule="auto"/>
        <w:rPr>
          <w:rFonts w:hAnsi="宋体"/>
          <w:sz w:val="21"/>
          <w:szCs w:val="21"/>
        </w:rPr>
      </w:pPr>
      <w:r>
        <w:rPr>
          <w:rFonts w:hint="eastAsia" w:hAnsi="宋体"/>
          <w:sz w:val="21"/>
          <w:szCs w:val="21"/>
        </w:rPr>
        <w:t>一、</w:t>
      </w:r>
      <w:r>
        <w:rPr>
          <w:rFonts w:hAnsi="宋体"/>
          <w:sz w:val="21"/>
          <w:szCs w:val="21"/>
        </w:rPr>
        <w:t>公司基本情况</w:t>
      </w:r>
    </w:p>
    <w:p>
      <w:pPr>
        <w:tabs>
          <w:tab w:val="left" w:pos="4678"/>
        </w:tabs>
        <w:spacing w:line="360" w:lineRule="auto"/>
        <w:rPr>
          <w:rFonts w:hAnsi="宋体"/>
          <w:sz w:val="21"/>
          <w:szCs w:val="21"/>
        </w:rPr>
      </w:pPr>
      <w:r>
        <w:rPr>
          <w:rFonts w:hAnsi="宋体"/>
          <w:sz w:val="21"/>
          <w:szCs w:val="21"/>
        </w:rPr>
        <w:t>1、公司名称： 电话号码：</w:t>
      </w:r>
    </w:p>
    <w:p>
      <w:pPr>
        <w:spacing w:line="360" w:lineRule="auto"/>
        <w:rPr>
          <w:rFonts w:hAnsi="宋体"/>
          <w:sz w:val="21"/>
          <w:szCs w:val="21"/>
        </w:rPr>
      </w:pPr>
      <w:r>
        <w:rPr>
          <w:rFonts w:hAnsi="宋体"/>
          <w:sz w:val="21"/>
          <w:szCs w:val="21"/>
        </w:rPr>
        <w:t>2、地  址： 传  真：</w:t>
      </w:r>
    </w:p>
    <w:p>
      <w:pPr>
        <w:spacing w:line="360" w:lineRule="auto"/>
        <w:rPr>
          <w:rFonts w:hAnsi="宋体"/>
          <w:sz w:val="21"/>
          <w:szCs w:val="21"/>
          <w:u w:val="single"/>
        </w:rPr>
      </w:pPr>
      <w:r>
        <w:rPr>
          <w:rFonts w:hAnsi="宋体"/>
          <w:sz w:val="21"/>
          <w:szCs w:val="21"/>
        </w:rPr>
        <w:t>3、注册资金： 经济性质：</w:t>
      </w:r>
    </w:p>
    <w:p>
      <w:pPr>
        <w:spacing w:line="360" w:lineRule="auto"/>
        <w:rPr>
          <w:rFonts w:hAnsi="宋体"/>
          <w:sz w:val="21"/>
          <w:szCs w:val="21"/>
        </w:rPr>
      </w:pPr>
      <w:r>
        <w:rPr>
          <w:rFonts w:hAnsi="宋体"/>
          <w:sz w:val="21"/>
          <w:szCs w:val="21"/>
        </w:rPr>
        <w:t xml:space="preserve">4、公司开户银行名称及账号：      </w:t>
      </w:r>
    </w:p>
    <w:p>
      <w:pPr>
        <w:spacing w:line="360" w:lineRule="auto"/>
        <w:rPr>
          <w:rFonts w:hAnsi="宋体"/>
          <w:sz w:val="21"/>
          <w:szCs w:val="21"/>
        </w:rPr>
      </w:pPr>
      <w:r>
        <w:rPr>
          <w:rFonts w:hAnsi="宋体"/>
          <w:sz w:val="21"/>
          <w:szCs w:val="21"/>
        </w:rPr>
        <w:t xml:space="preserve">5、营业注册执照号：  </w:t>
      </w:r>
    </w:p>
    <w:p>
      <w:pPr>
        <w:spacing w:line="360" w:lineRule="auto"/>
        <w:rPr>
          <w:rFonts w:hAnsi="宋体"/>
          <w:sz w:val="21"/>
          <w:szCs w:val="21"/>
        </w:rPr>
      </w:pPr>
      <w:r>
        <w:rPr>
          <w:rFonts w:hAnsi="宋体"/>
          <w:sz w:val="21"/>
          <w:szCs w:val="21"/>
        </w:rPr>
        <w:t>6、公司简介:</w:t>
      </w:r>
    </w:p>
    <w:p>
      <w:pPr>
        <w:spacing w:line="360" w:lineRule="auto"/>
        <w:rPr>
          <w:rFonts w:hAnsi="宋体"/>
          <w:sz w:val="21"/>
          <w:szCs w:val="21"/>
        </w:rPr>
      </w:pPr>
      <w:r>
        <w:rPr>
          <w:rFonts w:hAnsi="宋体"/>
          <w:sz w:val="21"/>
          <w:szCs w:val="21"/>
        </w:rPr>
        <w:t>7、公司财务情况：</w:t>
      </w:r>
    </w:p>
    <w:p>
      <w:pPr>
        <w:spacing w:line="360" w:lineRule="auto"/>
        <w:jc w:val="right"/>
        <w:rPr>
          <w:rFonts w:hAnsi="宋体"/>
          <w:sz w:val="21"/>
          <w:szCs w:val="21"/>
        </w:rPr>
      </w:pPr>
      <w:r>
        <w:rPr>
          <w:rFonts w:hint="eastAsia" w:hAnsi="宋体"/>
          <w:sz w:val="21"/>
          <w:szCs w:val="21"/>
        </w:rPr>
        <w:t>【价格单位：（人民币）元】</w:t>
      </w:r>
    </w:p>
    <w:tbl>
      <w:tblPr>
        <w:tblStyle w:val="52"/>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rPr>
            </w:pPr>
            <w:r>
              <w:rPr>
                <w:rFonts w:hint="eastAsia" w:hAnsi="宋体"/>
                <w:sz w:val="21"/>
                <w:szCs w:val="21"/>
              </w:rPr>
              <w:t>年  度</w:t>
            </w:r>
          </w:p>
        </w:tc>
        <w:tc>
          <w:tcPr>
            <w:tcW w:w="1809" w:type="dxa"/>
            <w:vAlign w:val="center"/>
          </w:tcPr>
          <w:p>
            <w:pPr>
              <w:jc w:val="center"/>
              <w:rPr>
                <w:rFonts w:hAnsi="宋体"/>
                <w:sz w:val="21"/>
                <w:szCs w:val="21"/>
              </w:rPr>
            </w:pPr>
            <w:r>
              <w:rPr>
                <w:rFonts w:hint="eastAsia" w:hAnsi="宋体"/>
                <w:sz w:val="21"/>
                <w:szCs w:val="21"/>
              </w:rPr>
              <w:t>总资产（元）</w:t>
            </w:r>
          </w:p>
        </w:tc>
        <w:tc>
          <w:tcPr>
            <w:tcW w:w="1809" w:type="dxa"/>
            <w:vAlign w:val="center"/>
          </w:tcPr>
          <w:p>
            <w:pPr>
              <w:jc w:val="center"/>
              <w:rPr>
                <w:rFonts w:hAnsi="宋体"/>
                <w:sz w:val="21"/>
                <w:szCs w:val="21"/>
              </w:rPr>
            </w:pPr>
            <w:r>
              <w:rPr>
                <w:rFonts w:hint="eastAsia" w:hAnsi="宋体"/>
                <w:sz w:val="21"/>
                <w:szCs w:val="21"/>
              </w:rPr>
              <w:t>资产负债率（%）</w:t>
            </w:r>
          </w:p>
        </w:tc>
        <w:tc>
          <w:tcPr>
            <w:tcW w:w="1839" w:type="dxa"/>
            <w:vAlign w:val="center"/>
          </w:tcPr>
          <w:p>
            <w:pPr>
              <w:jc w:val="center"/>
              <w:rPr>
                <w:rFonts w:hAnsi="宋体"/>
                <w:sz w:val="21"/>
                <w:szCs w:val="21"/>
              </w:rPr>
            </w:pPr>
            <w:r>
              <w:rPr>
                <w:rFonts w:hint="eastAsia" w:hAnsi="宋体"/>
                <w:sz w:val="21"/>
                <w:szCs w:val="21"/>
              </w:rPr>
              <w:t>年营业额（元）</w:t>
            </w:r>
          </w:p>
        </w:tc>
        <w:tc>
          <w:tcPr>
            <w:tcW w:w="1851" w:type="dxa"/>
            <w:vAlign w:val="center"/>
          </w:tcPr>
          <w:p>
            <w:pPr>
              <w:jc w:val="center"/>
              <w:rPr>
                <w:rFonts w:hAnsi="宋体"/>
                <w:sz w:val="21"/>
                <w:szCs w:val="21"/>
              </w:rPr>
            </w:pPr>
            <w:r>
              <w:rPr>
                <w:rFonts w:hint="eastAsia" w:hAnsi="宋体"/>
                <w:sz w:val="21"/>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39" w:type="dxa"/>
            <w:vAlign w:val="center"/>
          </w:tcPr>
          <w:p>
            <w:pPr>
              <w:spacing w:line="360" w:lineRule="auto"/>
              <w:jc w:val="center"/>
              <w:rPr>
                <w:rFonts w:hAnsi="宋体"/>
                <w:sz w:val="21"/>
                <w:szCs w:val="21"/>
              </w:rPr>
            </w:pPr>
          </w:p>
        </w:tc>
        <w:tc>
          <w:tcPr>
            <w:tcW w:w="1851"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39" w:type="dxa"/>
            <w:vAlign w:val="center"/>
          </w:tcPr>
          <w:p>
            <w:pPr>
              <w:spacing w:line="360" w:lineRule="auto"/>
              <w:jc w:val="center"/>
              <w:rPr>
                <w:rFonts w:hAnsi="宋体"/>
                <w:sz w:val="21"/>
                <w:szCs w:val="21"/>
              </w:rPr>
            </w:pPr>
          </w:p>
        </w:tc>
        <w:tc>
          <w:tcPr>
            <w:tcW w:w="1851"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09" w:type="dxa"/>
            <w:vAlign w:val="center"/>
          </w:tcPr>
          <w:p>
            <w:pPr>
              <w:spacing w:line="360" w:lineRule="auto"/>
              <w:jc w:val="center"/>
              <w:rPr>
                <w:rFonts w:hAnsi="宋体"/>
                <w:sz w:val="21"/>
                <w:szCs w:val="21"/>
              </w:rPr>
            </w:pPr>
          </w:p>
        </w:tc>
        <w:tc>
          <w:tcPr>
            <w:tcW w:w="1839" w:type="dxa"/>
            <w:vAlign w:val="center"/>
          </w:tcPr>
          <w:p>
            <w:pPr>
              <w:spacing w:line="360" w:lineRule="auto"/>
              <w:jc w:val="center"/>
              <w:rPr>
                <w:rFonts w:hAnsi="宋体"/>
                <w:sz w:val="21"/>
                <w:szCs w:val="21"/>
              </w:rPr>
            </w:pPr>
          </w:p>
        </w:tc>
        <w:tc>
          <w:tcPr>
            <w:tcW w:w="1851" w:type="dxa"/>
            <w:vAlign w:val="center"/>
          </w:tcPr>
          <w:p>
            <w:pPr>
              <w:spacing w:line="360" w:lineRule="auto"/>
              <w:jc w:val="center"/>
              <w:rPr>
                <w:rFonts w:hAnsi="宋体"/>
                <w:sz w:val="21"/>
                <w:szCs w:val="21"/>
              </w:rPr>
            </w:pPr>
          </w:p>
        </w:tc>
      </w:tr>
    </w:tbl>
    <w:p>
      <w:pPr>
        <w:spacing w:line="360" w:lineRule="auto"/>
        <w:rPr>
          <w:rFonts w:hAnsi="宋体"/>
          <w:b/>
          <w:sz w:val="21"/>
          <w:szCs w:val="21"/>
        </w:rPr>
      </w:pPr>
    </w:p>
    <w:p>
      <w:pPr>
        <w:tabs>
          <w:tab w:val="left" w:pos="420"/>
          <w:tab w:val="left" w:pos="1485"/>
        </w:tabs>
        <w:spacing w:line="360" w:lineRule="auto"/>
        <w:rPr>
          <w:rFonts w:hAnsi="宋体"/>
          <w:sz w:val="21"/>
          <w:szCs w:val="21"/>
        </w:rPr>
      </w:pPr>
      <w:r>
        <w:rPr>
          <w:rFonts w:hint="eastAsia" w:hAnsi="宋体"/>
          <w:sz w:val="21"/>
          <w:szCs w:val="21"/>
        </w:rPr>
        <w:t>二、</w:t>
      </w:r>
      <w:r>
        <w:rPr>
          <w:rFonts w:hAnsi="宋体"/>
          <w:sz w:val="21"/>
          <w:szCs w:val="21"/>
        </w:rPr>
        <w:t>供应商获得国家有关部门颁发的资质证明</w:t>
      </w:r>
      <w:r>
        <w:rPr>
          <w:rFonts w:hint="eastAsia" w:hAnsi="宋体"/>
          <w:sz w:val="21"/>
          <w:szCs w:val="21"/>
        </w:rPr>
        <w:t>或荣誉</w:t>
      </w:r>
      <w:r>
        <w:rPr>
          <w:rFonts w:hAnsi="宋体"/>
          <w:sz w:val="21"/>
          <w:szCs w:val="21"/>
        </w:rPr>
        <w:t>：</w:t>
      </w:r>
      <w:r>
        <w:rPr>
          <w:rFonts w:hint="eastAsia" w:hAnsi="宋体"/>
          <w:sz w:val="21"/>
          <w:szCs w:val="21"/>
        </w:rPr>
        <w:t>（如有）</w:t>
      </w:r>
    </w:p>
    <w:tbl>
      <w:tblPr>
        <w:tblStyle w:val="52"/>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rPr>
            </w:pPr>
            <w:r>
              <w:rPr>
                <w:rFonts w:hAnsi="宋体"/>
                <w:sz w:val="21"/>
                <w:szCs w:val="21"/>
              </w:rPr>
              <w:t>证书名称</w:t>
            </w:r>
          </w:p>
        </w:tc>
        <w:tc>
          <w:tcPr>
            <w:tcW w:w="1800" w:type="dxa"/>
            <w:vAlign w:val="center"/>
          </w:tcPr>
          <w:p>
            <w:pPr>
              <w:jc w:val="center"/>
              <w:rPr>
                <w:rFonts w:hAnsi="宋体"/>
                <w:sz w:val="21"/>
                <w:szCs w:val="21"/>
              </w:rPr>
            </w:pPr>
            <w:r>
              <w:rPr>
                <w:rFonts w:hAnsi="宋体"/>
                <w:sz w:val="21"/>
                <w:szCs w:val="21"/>
              </w:rPr>
              <w:t>发证单位</w:t>
            </w:r>
          </w:p>
        </w:tc>
        <w:tc>
          <w:tcPr>
            <w:tcW w:w="1800" w:type="dxa"/>
            <w:vAlign w:val="center"/>
          </w:tcPr>
          <w:p>
            <w:pPr>
              <w:jc w:val="center"/>
              <w:rPr>
                <w:rFonts w:hAnsi="宋体"/>
                <w:sz w:val="21"/>
                <w:szCs w:val="21"/>
              </w:rPr>
            </w:pPr>
            <w:r>
              <w:rPr>
                <w:rFonts w:hAnsi="宋体"/>
                <w:sz w:val="21"/>
                <w:szCs w:val="21"/>
              </w:rPr>
              <w:t>证书等级</w:t>
            </w:r>
          </w:p>
        </w:tc>
        <w:tc>
          <w:tcPr>
            <w:tcW w:w="1830" w:type="dxa"/>
            <w:vAlign w:val="center"/>
          </w:tcPr>
          <w:p>
            <w:pPr>
              <w:jc w:val="center"/>
              <w:rPr>
                <w:rFonts w:hAnsi="宋体"/>
                <w:sz w:val="21"/>
                <w:szCs w:val="21"/>
              </w:rPr>
            </w:pPr>
            <w:r>
              <w:rPr>
                <w:rFonts w:hAnsi="宋体"/>
                <w:sz w:val="21"/>
                <w:szCs w:val="21"/>
              </w:rPr>
              <w:t>证书有效期</w:t>
            </w:r>
          </w:p>
        </w:tc>
        <w:tc>
          <w:tcPr>
            <w:tcW w:w="1842" w:type="dxa"/>
            <w:vAlign w:val="center"/>
          </w:tcPr>
          <w:p>
            <w:pPr>
              <w:jc w:val="center"/>
              <w:rPr>
                <w:rFonts w:hAnsi="宋体"/>
                <w:sz w:val="21"/>
                <w:szCs w:val="21"/>
              </w:rPr>
            </w:pPr>
            <w:r>
              <w:rPr>
                <w:rFonts w:hint="eastAsia" w:hAnsi="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30" w:type="dxa"/>
            <w:vAlign w:val="center"/>
          </w:tcPr>
          <w:p>
            <w:pPr>
              <w:spacing w:line="360" w:lineRule="auto"/>
              <w:jc w:val="center"/>
              <w:rPr>
                <w:rFonts w:hAnsi="宋体"/>
                <w:sz w:val="21"/>
                <w:szCs w:val="21"/>
              </w:rPr>
            </w:pPr>
          </w:p>
        </w:tc>
        <w:tc>
          <w:tcPr>
            <w:tcW w:w="1842"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30" w:type="dxa"/>
            <w:vAlign w:val="center"/>
          </w:tcPr>
          <w:p>
            <w:pPr>
              <w:spacing w:line="360" w:lineRule="auto"/>
              <w:jc w:val="center"/>
              <w:rPr>
                <w:rFonts w:hAnsi="宋体"/>
                <w:sz w:val="21"/>
                <w:szCs w:val="21"/>
              </w:rPr>
            </w:pPr>
          </w:p>
        </w:tc>
        <w:tc>
          <w:tcPr>
            <w:tcW w:w="1842" w:type="dxa"/>
            <w:vAlign w:val="center"/>
          </w:tcPr>
          <w:p>
            <w:pPr>
              <w:spacing w:line="360" w:lineRule="auto"/>
              <w:jc w:val="center"/>
              <w:rPr>
                <w:rFonts w:hAnsi="宋体"/>
                <w:sz w:val="21"/>
                <w:szCs w:val="21"/>
              </w:rPr>
            </w:pPr>
          </w:p>
        </w:tc>
      </w:tr>
    </w:tbl>
    <w:p>
      <w:pPr>
        <w:spacing w:line="420" w:lineRule="atLeast"/>
        <w:rPr>
          <w:rFonts w:hAnsi="宋体"/>
          <w:sz w:val="21"/>
          <w:szCs w:val="21"/>
        </w:rPr>
      </w:pPr>
      <w:r>
        <w:rPr>
          <w:rFonts w:hint="eastAsia" w:hAnsi="宋体"/>
          <w:sz w:val="21"/>
          <w:szCs w:val="21"/>
        </w:rPr>
        <w:t>备注：以上资质或荣誉必须提供相关证明材料。</w:t>
      </w:r>
    </w:p>
    <w:p>
      <w:pPr>
        <w:spacing w:line="420" w:lineRule="atLeast"/>
        <w:rPr>
          <w:rFonts w:hAnsi="宋体"/>
          <w:sz w:val="21"/>
          <w:szCs w:val="21"/>
        </w:rPr>
      </w:pPr>
      <w:r>
        <w:rPr>
          <w:rFonts w:hint="eastAsia" w:hAnsi="宋体"/>
          <w:sz w:val="21"/>
          <w:szCs w:val="21"/>
        </w:rPr>
        <w:t>兹证明上述声明是真实、正确的，并提供了全部能提供的资料和数据，我方同意遵照贵方要求出示有关证明文件。</w:t>
      </w: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 xml:space="preserve">日期：年月日 </w:t>
      </w:r>
    </w:p>
    <w:p>
      <w:pPr>
        <w:pStyle w:val="4"/>
        <w:numPr>
          <w:ilvl w:val="0"/>
          <w:numId w:val="30"/>
        </w:numPr>
        <w:jc w:val="center"/>
        <w:rPr>
          <w:b w:val="0"/>
          <w:sz w:val="28"/>
          <w:szCs w:val="28"/>
          <w:u w:val="single"/>
        </w:rPr>
      </w:pPr>
      <w:r>
        <w:rPr>
          <w:sz w:val="22"/>
          <w:szCs w:val="22"/>
        </w:rPr>
        <w:br w:type="page"/>
      </w:r>
      <w:bookmarkStart w:id="198" w:name="_Toc7897894"/>
      <w:bookmarkStart w:id="199" w:name="_Toc27094"/>
      <w:bookmarkStart w:id="200" w:name="_Toc17704"/>
      <w:r>
        <w:rPr>
          <w:rFonts w:hint="eastAsia"/>
          <w:bCs/>
          <w:sz w:val="28"/>
          <w:szCs w:val="28"/>
        </w:rPr>
        <w:t>偏离表</w:t>
      </w:r>
      <w:bookmarkEnd w:id="178"/>
      <w:bookmarkEnd w:id="198"/>
      <w:bookmarkEnd w:id="199"/>
      <w:bookmarkEnd w:id="200"/>
    </w:p>
    <w:p>
      <w:pPr>
        <w:pStyle w:val="13"/>
        <w:ind w:firstLine="480"/>
        <w:rPr>
          <w:sz w:val="24"/>
          <w:szCs w:val="21"/>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rPr>
      </w:pPr>
    </w:p>
    <w:tbl>
      <w:tblPr>
        <w:tblStyle w:val="5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rPr>
            </w:pPr>
            <w:r>
              <w:rPr>
                <w:rFonts w:hint="eastAsia" w:hAnsi="宋体"/>
                <w:b/>
                <w:bCs/>
                <w:sz w:val="21"/>
                <w:szCs w:val="21"/>
              </w:rPr>
              <w:t>序号</w:t>
            </w:r>
          </w:p>
        </w:tc>
        <w:tc>
          <w:tcPr>
            <w:tcW w:w="2161" w:type="dxa"/>
            <w:vAlign w:val="center"/>
          </w:tcPr>
          <w:p>
            <w:pPr>
              <w:jc w:val="center"/>
              <w:rPr>
                <w:rFonts w:hAnsi="宋体"/>
                <w:b/>
                <w:bCs/>
                <w:sz w:val="21"/>
                <w:szCs w:val="21"/>
              </w:rPr>
            </w:pPr>
            <w:r>
              <w:rPr>
                <w:rFonts w:hint="eastAsia" w:hAnsi="宋体"/>
                <w:b/>
                <w:bCs/>
                <w:sz w:val="21"/>
                <w:szCs w:val="21"/>
              </w:rPr>
              <w:t>项 目</w:t>
            </w:r>
          </w:p>
        </w:tc>
        <w:tc>
          <w:tcPr>
            <w:tcW w:w="1241" w:type="dxa"/>
            <w:vAlign w:val="center"/>
          </w:tcPr>
          <w:p>
            <w:pPr>
              <w:jc w:val="center"/>
              <w:rPr>
                <w:rFonts w:hAnsi="宋体"/>
                <w:b/>
                <w:bCs/>
                <w:sz w:val="21"/>
                <w:szCs w:val="21"/>
              </w:rPr>
            </w:pPr>
            <w:r>
              <w:rPr>
                <w:rFonts w:hint="eastAsia" w:hAnsi="宋体"/>
                <w:b/>
                <w:bCs/>
                <w:sz w:val="21"/>
                <w:szCs w:val="21"/>
              </w:rPr>
              <w:t>磋商文件要求</w:t>
            </w:r>
          </w:p>
        </w:tc>
        <w:tc>
          <w:tcPr>
            <w:tcW w:w="1984" w:type="dxa"/>
            <w:vAlign w:val="center"/>
          </w:tcPr>
          <w:p>
            <w:pPr>
              <w:jc w:val="center"/>
              <w:rPr>
                <w:rFonts w:hAnsi="宋体"/>
                <w:b/>
                <w:bCs/>
                <w:sz w:val="21"/>
                <w:szCs w:val="21"/>
              </w:rPr>
            </w:pPr>
            <w:r>
              <w:rPr>
                <w:rFonts w:hint="eastAsia" w:hAnsi="宋体"/>
                <w:b/>
                <w:bCs/>
                <w:sz w:val="21"/>
                <w:szCs w:val="21"/>
              </w:rPr>
              <w:t>响应文件</w:t>
            </w:r>
          </w:p>
          <w:p>
            <w:pPr>
              <w:jc w:val="center"/>
              <w:rPr>
                <w:rFonts w:hAnsi="宋体"/>
                <w:b/>
                <w:bCs/>
                <w:sz w:val="21"/>
                <w:szCs w:val="21"/>
              </w:rPr>
            </w:pPr>
            <w:r>
              <w:rPr>
                <w:rFonts w:hint="eastAsia" w:hAnsi="宋体"/>
                <w:b/>
                <w:bCs/>
                <w:sz w:val="21"/>
                <w:szCs w:val="21"/>
              </w:rPr>
              <w:t>响应情况</w:t>
            </w:r>
          </w:p>
        </w:tc>
        <w:tc>
          <w:tcPr>
            <w:tcW w:w="1276" w:type="dxa"/>
            <w:vAlign w:val="center"/>
          </w:tcPr>
          <w:p>
            <w:pPr>
              <w:jc w:val="center"/>
              <w:rPr>
                <w:rFonts w:hAnsi="宋体"/>
                <w:b/>
                <w:bCs/>
                <w:sz w:val="21"/>
                <w:szCs w:val="21"/>
              </w:rPr>
            </w:pPr>
            <w:r>
              <w:rPr>
                <w:rFonts w:hint="eastAsia" w:hAnsi="宋体"/>
                <w:b/>
                <w:bCs/>
                <w:sz w:val="21"/>
                <w:szCs w:val="21"/>
              </w:rPr>
              <w:t>偏离情况</w:t>
            </w:r>
          </w:p>
        </w:tc>
        <w:tc>
          <w:tcPr>
            <w:tcW w:w="1594" w:type="dxa"/>
            <w:vAlign w:val="center"/>
          </w:tcPr>
          <w:p>
            <w:pPr>
              <w:jc w:val="center"/>
              <w:rPr>
                <w:rFonts w:hAnsi="宋体"/>
                <w:b/>
                <w:bCs/>
                <w:sz w:val="21"/>
                <w:szCs w:val="21"/>
              </w:rPr>
            </w:pPr>
            <w:r>
              <w:rPr>
                <w:rFonts w:hint="eastAsia" w:hAnsi="宋体"/>
                <w:b/>
                <w:bCs/>
                <w:sz w:val="21"/>
                <w:szCs w:val="21"/>
              </w:rPr>
              <w:t>偏离情况</w:t>
            </w:r>
          </w:p>
          <w:p>
            <w:pPr>
              <w:jc w:val="center"/>
              <w:rPr>
                <w:rFonts w:hAnsi="宋体"/>
                <w:b/>
                <w:bCs/>
                <w:sz w:val="21"/>
                <w:szCs w:val="21"/>
              </w:rPr>
            </w:pPr>
            <w:r>
              <w:rPr>
                <w:rFonts w:hint="eastAsia" w:hAnsi="宋体"/>
                <w:b/>
                <w:bCs/>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1</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ind w:left="-446" w:leftChars="-186" w:firstLine="390" w:firstLineChars="186"/>
              <w:jc w:val="center"/>
              <w:rPr>
                <w:rFonts w:hAnsi="宋体"/>
                <w:sz w:val="21"/>
                <w:szCs w:val="21"/>
              </w:rPr>
            </w:pPr>
          </w:p>
        </w:tc>
        <w:tc>
          <w:tcPr>
            <w:tcW w:w="1594" w:type="dxa"/>
            <w:vAlign w:val="center"/>
          </w:tcPr>
          <w:p>
            <w:pPr>
              <w:ind w:left="-446" w:leftChars="-186" w:firstLine="390" w:firstLineChars="186"/>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2</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3</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r>
              <w:rPr>
                <w:rFonts w:hint="eastAsia" w:hAnsi="宋体"/>
                <w:b/>
                <w:sz w:val="21"/>
                <w:szCs w:val="21"/>
              </w:rPr>
              <w:t>···</w:t>
            </w: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p>
        </w:tc>
        <w:tc>
          <w:tcPr>
            <w:tcW w:w="2161" w:type="dxa"/>
            <w:vAlign w:val="center"/>
          </w:tcPr>
          <w:p>
            <w:pPr>
              <w:rPr>
                <w:rFonts w:hAnsi="宋体"/>
                <w:bCs/>
                <w:sz w:val="21"/>
                <w:szCs w:val="21"/>
              </w:rPr>
            </w:pP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rPr>
            </w:pPr>
          </w:p>
        </w:tc>
        <w:tc>
          <w:tcPr>
            <w:tcW w:w="2161" w:type="dxa"/>
            <w:vAlign w:val="center"/>
          </w:tcPr>
          <w:p>
            <w:pPr>
              <w:jc w:val="center"/>
              <w:rPr>
                <w:rFonts w:hAnsi="宋体"/>
                <w:bCs/>
                <w:sz w:val="21"/>
                <w:szCs w:val="21"/>
              </w:rPr>
            </w:pPr>
            <w:r>
              <w:rPr>
                <w:rFonts w:hint="eastAsia" w:hAnsi="宋体"/>
                <w:bCs/>
                <w:sz w:val="21"/>
                <w:szCs w:val="21"/>
              </w:rPr>
              <w:t>其他</w:t>
            </w:r>
          </w:p>
        </w:tc>
        <w:tc>
          <w:tcPr>
            <w:tcW w:w="1241" w:type="dxa"/>
            <w:vAlign w:val="center"/>
          </w:tcPr>
          <w:p>
            <w:pPr>
              <w:jc w:val="center"/>
              <w:rPr>
                <w:rFonts w:hAnsi="宋体"/>
                <w:sz w:val="21"/>
                <w:szCs w:val="21"/>
              </w:rPr>
            </w:pPr>
          </w:p>
        </w:tc>
        <w:tc>
          <w:tcPr>
            <w:tcW w:w="1984" w:type="dxa"/>
            <w:vAlign w:val="center"/>
          </w:tcPr>
          <w:p>
            <w:pPr>
              <w:jc w:val="center"/>
              <w:rPr>
                <w:rFonts w:hAnsi="宋体"/>
                <w:sz w:val="21"/>
                <w:szCs w:val="21"/>
              </w:rPr>
            </w:pPr>
          </w:p>
        </w:tc>
        <w:tc>
          <w:tcPr>
            <w:tcW w:w="1276" w:type="dxa"/>
            <w:vAlign w:val="center"/>
          </w:tcPr>
          <w:p>
            <w:pPr>
              <w:jc w:val="center"/>
              <w:rPr>
                <w:rFonts w:hAnsi="宋体"/>
                <w:sz w:val="21"/>
                <w:szCs w:val="21"/>
              </w:rPr>
            </w:pPr>
          </w:p>
        </w:tc>
        <w:tc>
          <w:tcPr>
            <w:tcW w:w="1594" w:type="dxa"/>
            <w:vAlign w:val="center"/>
          </w:tcPr>
          <w:p>
            <w:pPr>
              <w:jc w:val="center"/>
              <w:rPr>
                <w:rFonts w:hAnsi="宋体"/>
                <w:sz w:val="21"/>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rPr>
      </w:pPr>
      <w:r>
        <w:rPr>
          <w:rFonts w:hint="eastAsia" w:hAnsi="宋体"/>
          <w:sz w:val="21"/>
          <w:szCs w:val="21"/>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rPr>
      </w:pPr>
      <w:r>
        <w:rPr>
          <w:rFonts w:hint="eastAsia" w:hAnsi="宋体"/>
          <w:sz w:val="21"/>
          <w:szCs w:val="21"/>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rPr>
      </w:pPr>
      <w:r>
        <w:rPr>
          <w:rFonts w:hint="eastAsia" w:hAnsi="宋体"/>
          <w:sz w:val="21"/>
          <w:szCs w:val="21"/>
        </w:rPr>
        <w:t>2.“</w:t>
      </w:r>
      <w:r>
        <w:rPr>
          <w:rFonts w:hint="eastAsia" w:hAnsi="宋体"/>
          <w:bCs/>
          <w:sz w:val="21"/>
          <w:szCs w:val="21"/>
        </w:rPr>
        <w:t>偏离情况</w:t>
      </w:r>
      <w:r>
        <w:rPr>
          <w:rFonts w:hint="eastAsia" w:hAnsi="宋体"/>
          <w:sz w:val="21"/>
          <w:szCs w:val="21"/>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2"/>
          <w:szCs w:val="22"/>
        </w:rPr>
      </w:pPr>
      <w:r>
        <w:rPr>
          <w:rFonts w:hint="eastAsia" w:hAnsi="宋体"/>
          <w:sz w:val="21"/>
          <w:szCs w:val="21"/>
        </w:rPr>
        <w:t xml:space="preserve">日期：年月日 </w:t>
      </w:r>
    </w:p>
    <w:p/>
    <w:p/>
    <w:p/>
    <w:p/>
    <w:p/>
    <w:p/>
    <w:p/>
    <w:p/>
    <w:p/>
    <w:p/>
    <w:p/>
    <w:p/>
    <w:p/>
    <w:p/>
    <w:p>
      <w:pPr>
        <w:pStyle w:val="4"/>
        <w:numPr>
          <w:ilvl w:val="0"/>
          <w:numId w:val="30"/>
        </w:numPr>
        <w:jc w:val="center"/>
        <w:rPr>
          <w:rFonts w:ascii="Calibri" w:hAnsi="Times New Roman"/>
          <w:sz w:val="28"/>
          <w:szCs w:val="28"/>
        </w:rPr>
      </w:pPr>
      <w:bookmarkStart w:id="201" w:name="_Toc8299"/>
      <w:bookmarkStart w:id="202" w:name="_Toc7897895"/>
      <w:bookmarkStart w:id="203" w:name="_Toc31965"/>
      <w:r>
        <w:rPr>
          <w:rFonts w:hint="eastAsia" w:ascii="Calibri"/>
          <w:sz w:val="28"/>
          <w:szCs w:val="28"/>
        </w:rPr>
        <w:t>磋商</w:t>
      </w:r>
      <w:r>
        <w:rPr>
          <w:rFonts w:hint="eastAsia" w:ascii="Calibri" w:hAnsi="Times New Roman"/>
          <w:sz w:val="28"/>
          <w:szCs w:val="28"/>
        </w:rPr>
        <w:t>文件“★”号条款响应表</w:t>
      </w:r>
      <w:bookmarkEnd w:id="201"/>
    </w:p>
    <w:p>
      <w:pPr>
        <w:rPr>
          <w:rFonts w:hAnsi="宋体"/>
          <w:b/>
          <w:bCs/>
        </w:rPr>
      </w:pPr>
    </w:p>
    <w:p>
      <w:pPr>
        <w:rPr>
          <w:rFonts w:hAnsi="宋体"/>
          <w:b/>
          <w:bCs/>
        </w:rPr>
      </w:pPr>
    </w:p>
    <w:tbl>
      <w:tblPr>
        <w:tblStyle w:val="5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rPr>
            </w:pPr>
            <w:r>
              <w:rPr>
                <w:rFonts w:hint="eastAsia" w:hAnsi="宋体"/>
                <w:sz w:val="21"/>
                <w:szCs w:val="21"/>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rPr>
            </w:pPr>
            <w:r>
              <w:rPr>
                <w:rFonts w:hint="eastAsia" w:hAnsi="宋体"/>
                <w:sz w:val="21"/>
                <w:szCs w:val="21"/>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rPr>
            </w:pPr>
            <w:r>
              <w:rPr>
                <w:rFonts w:hint="eastAsia" w:hAnsi="宋体"/>
                <w:sz w:val="21"/>
                <w:szCs w:val="21"/>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sz w:val="21"/>
                <w:szCs w:val="21"/>
              </w:rPr>
            </w:pPr>
          </w:p>
        </w:tc>
        <w:tc>
          <w:tcPr>
            <w:tcW w:w="1266"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条款号</w:t>
            </w:r>
          </w:p>
        </w:tc>
        <w:tc>
          <w:tcPr>
            <w:tcW w:w="3371"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简要内容</w:t>
            </w:r>
          </w:p>
        </w:tc>
        <w:tc>
          <w:tcPr>
            <w:tcW w:w="2113"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偏离情况</w:t>
            </w:r>
          </w:p>
        </w:tc>
        <w:tc>
          <w:tcPr>
            <w:tcW w:w="2079" w:type="dxa"/>
            <w:vAlign w:val="center"/>
          </w:tcPr>
          <w:p>
            <w:pPr>
              <w:autoSpaceDE/>
              <w:autoSpaceDN/>
              <w:adjustRightInd/>
              <w:spacing w:before="120" w:after="120" w:line="360" w:lineRule="auto"/>
              <w:jc w:val="center"/>
              <w:rPr>
                <w:rFonts w:hAnsi="宋体"/>
                <w:sz w:val="21"/>
                <w:szCs w:val="21"/>
              </w:rPr>
            </w:pPr>
            <w:r>
              <w:rPr>
                <w:rFonts w:hint="eastAsia" w:hAnsi="宋体"/>
                <w:sz w:val="21"/>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rPr>
            </w:pPr>
            <w:r>
              <w:rPr>
                <w:rFonts w:hint="eastAsia" w:hAnsi="宋体"/>
                <w:sz w:val="21"/>
                <w:szCs w:val="21"/>
              </w:rPr>
              <w:t>1</w:t>
            </w:r>
          </w:p>
        </w:tc>
        <w:tc>
          <w:tcPr>
            <w:tcW w:w="1266" w:type="dxa"/>
            <w:vAlign w:val="center"/>
          </w:tcPr>
          <w:p>
            <w:pPr>
              <w:spacing w:line="360" w:lineRule="auto"/>
              <w:jc w:val="center"/>
              <w:rPr>
                <w:rFonts w:hAnsi="宋体"/>
                <w:sz w:val="21"/>
                <w:szCs w:val="21"/>
              </w:rPr>
            </w:pPr>
          </w:p>
          <w:p>
            <w:pPr>
              <w:spacing w:line="360" w:lineRule="auto"/>
              <w:jc w:val="center"/>
              <w:rPr>
                <w:rFonts w:hAnsi="宋体"/>
                <w:sz w:val="21"/>
                <w:szCs w:val="21"/>
              </w:rPr>
            </w:pPr>
          </w:p>
          <w:p>
            <w:pPr>
              <w:spacing w:line="360" w:lineRule="auto"/>
              <w:jc w:val="center"/>
              <w:rPr>
                <w:rFonts w:hAnsi="宋体"/>
                <w:sz w:val="21"/>
                <w:szCs w:val="21"/>
              </w:rPr>
            </w:pPr>
          </w:p>
          <w:p>
            <w:pPr>
              <w:spacing w:line="360" w:lineRule="auto"/>
              <w:jc w:val="center"/>
              <w:rPr>
                <w:rFonts w:hAnsi="宋体"/>
                <w:sz w:val="21"/>
                <w:szCs w:val="21"/>
              </w:rPr>
            </w:pPr>
          </w:p>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vAlign w:val="center"/>
          </w:tcPr>
          <w:p>
            <w:pPr>
              <w:keepNext/>
              <w:keepLines/>
              <w:autoSpaceDE/>
              <w:autoSpaceDN/>
              <w:adjustRightInd/>
              <w:spacing w:before="120" w:after="120" w:line="360" w:lineRule="auto"/>
              <w:ind w:left="629"/>
              <w:jc w:val="center"/>
              <w:outlineLvl w:val="2"/>
              <w:rPr>
                <w:rFonts w:hAnsi="宋体"/>
                <w:sz w:val="21"/>
                <w:szCs w:val="21"/>
              </w:rPr>
            </w:pPr>
          </w:p>
        </w:tc>
        <w:tc>
          <w:tcPr>
            <w:tcW w:w="2079" w:type="dxa"/>
            <w:vAlign w:val="center"/>
          </w:tcPr>
          <w:p>
            <w:pPr>
              <w:keepNext/>
              <w:keepLines/>
              <w:autoSpaceDE/>
              <w:autoSpaceDN/>
              <w:adjustRightInd/>
              <w:spacing w:before="120" w:after="120" w:line="360" w:lineRule="auto"/>
              <w:ind w:left="629"/>
              <w:jc w:val="center"/>
              <w:outlineLvl w:val="2"/>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rPr>
            </w:pPr>
            <w:r>
              <w:rPr>
                <w:rFonts w:hint="eastAsia" w:hAnsi="宋体"/>
                <w:sz w:val="21"/>
                <w:szCs w:val="21"/>
              </w:rPr>
              <w:t>2</w:t>
            </w: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629"/>
              <w:jc w:val="both"/>
              <w:outlineLvl w:val="2"/>
              <w:rPr>
                <w:rFonts w:hAnsi="宋体"/>
                <w:sz w:val="21"/>
                <w:szCs w:val="21"/>
              </w:rPr>
            </w:pPr>
          </w:p>
        </w:tc>
        <w:tc>
          <w:tcPr>
            <w:tcW w:w="2079" w:type="dxa"/>
            <w:vAlign w:val="center"/>
          </w:tcPr>
          <w:p>
            <w:pPr>
              <w:keepNext/>
              <w:keepLines/>
              <w:autoSpaceDE/>
              <w:autoSpaceDN/>
              <w:adjustRightInd/>
              <w:spacing w:before="120" w:after="120" w:line="360" w:lineRule="auto"/>
              <w:ind w:left="629"/>
              <w:jc w:val="both"/>
              <w:outlineLvl w:val="2"/>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r>
              <w:rPr>
                <w:rFonts w:hint="eastAsia" w:hAnsi="宋体"/>
                <w:kern w:val="2"/>
                <w:sz w:val="21"/>
                <w:szCs w:val="21"/>
              </w:rPr>
              <w:t>3</w:t>
            </w: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r>
              <w:rPr>
                <w:rFonts w:hint="eastAsia" w:hAnsi="宋体"/>
                <w:kern w:val="2"/>
                <w:sz w:val="21"/>
                <w:szCs w:val="21"/>
              </w:rPr>
              <w:t>……</w:t>
            </w: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rPr>
            </w:pPr>
          </w:p>
        </w:tc>
        <w:tc>
          <w:tcPr>
            <w:tcW w:w="1266" w:type="dxa"/>
            <w:vAlign w:val="center"/>
          </w:tcPr>
          <w:p>
            <w:pPr>
              <w:spacing w:line="360" w:lineRule="auto"/>
              <w:jc w:val="center"/>
              <w:rPr>
                <w:rFonts w:hAnsi="宋体"/>
                <w:sz w:val="21"/>
                <w:szCs w:val="21"/>
              </w:rPr>
            </w:pPr>
          </w:p>
        </w:tc>
        <w:tc>
          <w:tcPr>
            <w:tcW w:w="3371" w:type="dxa"/>
            <w:vAlign w:val="center"/>
          </w:tcPr>
          <w:p>
            <w:pPr>
              <w:spacing w:line="360" w:lineRule="auto"/>
              <w:jc w:val="center"/>
              <w:rPr>
                <w:rFonts w:hAnsi="宋体"/>
                <w:sz w:val="21"/>
                <w:szCs w:val="21"/>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rPr>
            </w:pPr>
          </w:p>
        </w:tc>
      </w:tr>
    </w:tbl>
    <w:p>
      <w:pPr>
        <w:autoSpaceDE/>
        <w:autoSpaceDN/>
        <w:adjustRightInd/>
        <w:spacing w:line="360" w:lineRule="auto"/>
        <w:ind w:left="565" w:leftChars="-59" w:hanging="707" w:hangingChars="337"/>
        <w:jc w:val="both"/>
        <w:rPr>
          <w:rFonts w:hAnsi="宋体"/>
          <w:b/>
          <w:kern w:val="2"/>
          <w:sz w:val="21"/>
          <w:szCs w:val="21"/>
        </w:rPr>
      </w:pPr>
      <w:r>
        <w:rPr>
          <w:rFonts w:hint="eastAsia" w:hAnsi="宋体"/>
          <w:kern w:val="2"/>
          <w:sz w:val="21"/>
          <w:szCs w:val="21"/>
        </w:rPr>
        <w:t>注：1、</w:t>
      </w:r>
      <w:r>
        <w:rPr>
          <w:rFonts w:hint="eastAsia" w:hAnsi="宋体"/>
          <w:b/>
          <w:kern w:val="2"/>
          <w:sz w:val="21"/>
          <w:szCs w:val="21"/>
        </w:rPr>
        <w:t>供应商应按照磋商文件用户需求要求，逐条、如实地填写“偏离情况”项</w:t>
      </w:r>
      <w:r>
        <w:rPr>
          <w:rFonts w:hint="eastAsia" w:hAnsi="宋体"/>
          <w:kern w:val="2"/>
          <w:sz w:val="21"/>
          <w:szCs w:val="21"/>
        </w:rPr>
        <w:t>。</w:t>
      </w:r>
      <w:r>
        <w:rPr>
          <w:rFonts w:hint="eastAsia" w:hAnsi="宋体"/>
          <w:b/>
          <w:kern w:val="2"/>
          <w:sz w:val="21"/>
          <w:szCs w:val="21"/>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sz w:val="21"/>
          <w:szCs w:val="21"/>
        </w:rPr>
      </w:pPr>
      <w:r>
        <w:rPr>
          <w:rFonts w:hint="eastAsia" w:hAnsi="宋体"/>
          <w:b/>
          <w:kern w:val="2"/>
          <w:sz w:val="21"/>
          <w:szCs w:val="21"/>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rPr>
          <w:rFonts w:hAnsi="宋体"/>
          <w:sz w:val="22"/>
          <w:szCs w:val="22"/>
        </w:rPr>
      </w:pPr>
      <w:r>
        <w:rPr>
          <w:rFonts w:hint="eastAsia" w:hAnsi="宋体"/>
          <w:sz w:val="21"/>
          <w:szCs w:val="21"/>
        </w:rPr>
        <w:t>日期：年月日</w:t>
      </w:r>
    </w:p>
    <w:p>
      <w:pPr>
        <w:pStyle w:val="13"/>
        <w:ind w:firstLine="400"/>
      </w:pPr>
    </w:p>
    <w:p>
      <w:pPr>
        <w:pStyle w:val="4"/>
        <w:numPr>
          <w:ilvl w:val="0"/>
          <w:numId w:val="30"/>
        </w:numPr>
        <w:jc w:val="center"/>
        <w:rPr>
          <w:sz w:val="28"/>
          <w:szCs w:val="28"/>
        </w:rPr>
      </w:pPr>
      <w:bookmarkStart w:id="204" w:name="_Toc12735"/>
      <w:r>
        <w:rPr>
          <w:rFonts w:hint="eastAsia"/>
          <w:bCs/>
          <w:sz w:val="28"/>
          <w:szCs w:val="28"/>
        </w:rPr>
        <w:t>供应商所获资质或奖项证书一览表</w:t>
      </w:r>
      <w:bookmarkEnd w:id="202"/>
      <w:bookmarkEnd w:id="203"/>
      <w:bookmarkEnd w:id="204"/>
    </w:p>
    <w:p>
      <w:pPr>
        <w:pStyle w:val="13"/>
        <w:tabs>
          <w:tab w:val="left" w:pos="8280"/>
        </w:tabs>
        <w:spacing w:line="480" w:lineRule="exact"/>
        <w:ind w:firstLine="482"/>
        <w:rPr>
          <w:rFonts w:hAnsi="宋体"/>
          <w:b/>
          <w:sz w:val="24"/>
          <w:szCs w:val="21"/>
        </w:rPr>
      </w:pPr>
    </w:p>
    <w:tbl>
      <w:tblPr>
        <w:tblStyle w:val="5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0" w:firstLineChars="0"/>
              <w:jc w:val="both"/>
              <w:rPr>
                <w:rFonts w:ascii="Times New Roman" w:hAnsi="宋体"/>
                <w:b/>
                <w:bCs/>
                <w:sz w:val="21"/>
                <w:szCs w:val="21"/>
              </w:rPr>
            </w:pPr>
            <w:r>
              <w:rPr>
                <w:rFonts w:hint="eastAsia" w:ascii="Times New Roman" w:hAnsi="宋体"/>
                <w:b/>
                <w:bCs/>
                <w:sz w:val="21"/>
                <w:szCs w:val="21"/>
              </w:rPr>
              <w:t>序号</w:t>
            </w:r>
          </w:p>
        </w:tc>
        <w:tc>
          <w:tcPr>
            <w:tcW w:w="2218"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证书名称及等级</w:t>
            </w:r>
          </w:p>
        </w:tc>
        <w:tc>
          <w:tcPr>
            <w:tcW w:w="2218"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证书编号</w:t>
            </w:r>
          </w:p>
        </w:tc>
        <w:tc>
          <w:tcPr>
            <w:tcW w:w="1862"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发证单位</w:t>
            </w:r>
          </w:p>
        </w:tc>
        <w:tc>
          <w:tcPr>
            <w:tcW w:w="1529" w:type="dxa"/>
            <w:vAlign w:val="center"/>
          </w:tcPr>
          <w:p>
            <w:pPr>
              <w:pStyle w:val="13"/>
              <w:ind w:firstLine="422"/>
              <w:jc w:val="center"/>
              <w:rPr>
                <w:rFonts w:ascii="Times New Roman" w:hAnsi="宋体"/>
                <w:b/>
                <w:bCs/>
                <w:sz w:val="21"/>
                <w:szCs w:val="21"/>
              </w:rPr>
            </w:pPr>
            <w:r>
              <w:rPr>
                <w:rFonts w:hint="eastAsia" w:ascii="Times New Roman" w:hAnsi="宋体"/>
                <w:b/>
                <w:bCs/>
                <w:sz w:val="21"/>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2218" w:type="dxa"/>
            <w:vAlign w:val="center"/>
          </w:tcPr>
          <w:p>
            <w:pPr>
              <w:pStyle w:val="13"/>
              <w:ind w:firstLine="422"/>
              <w:jc w:val="center"/>
              <w:rPr>
                <w:rFonts w:ascii="Times New Roman" w:hAnsi="宋体"/>
                <w:b/>
                <w:bCs/>
                <w:sz w:val="21"/>
                <w:szCs w:val="21"/>
              </w:rPr>
            </w:pPr>
          </w:p>
        </w:tc>
        <w:tc>
          <w:tcPr>
            <w:tcW w:w="1862" w:type="dxa"/>
            <w:vAlign w:val="center"/>
          </w:tcPr>
          <w:p>
            <w:pPr>
              <w:pStyle w:val="13"/>
              <w:ind w:firstLine="422"/>
              <w:jc w:val="center"/>
              <w:rPr>
                <w:rFonts w:ascii="Times New Roman" w:hAnsi="宋体"/>
                <w:b/>
                <w:bCs/>
                <w:sz w:val="21"/>
                <w:szCs w:val="21"/>
              </w:rPr>
            </w:pPr>
          </w:p>
        </w:tc>
        <w:tc>
          <w:tcPr>
            <w:tcW w:w="1529" w:type="dxa"/>
            <w:vAlign w:val="center"/>
          </w:tcPr>
          <w:p>
            <w:pPr>
              <w:pStyle w:val="13"/>
              <w:ind w:firstLine="422"/>
              <w:jc w:val="center"/>
              <w:rPr>
                <w:rFonts w:ascii="Times New Roman" w:hAnsi="宋体"/>
                <w:b/>
                <w:bCs/>
                <w:sz w:val="21"/>
                <w:szCs w:val="21"/>
              </w:rPr>
            </w:pPr>
          </w:p>
        </w:tc>
      </w:tr>
    </w:tbl>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 xml:space="preserve">日期：年月日 </w:t>
      </w:r>
    </w:p>
    <w:p>
      <w:pPr>
        <w:spacing w:line="480" w:lineRule="exact"/>
        <w:rPr>
          <w:rFonts w:hAnsi="宋体"/>
          <w:b/>
          <w:szCs w:val="21"/>
          <w:u w:val="single"/>
        </w:rPr>
      </w:pPr>
    </w:p>
    <w:p>
      <w:pPr>
        <w:spacing w:line="480" w:lineRule="exact"/>
        <w:rPr>
          <w:rFonts w:hAnsi="宋体"/>
          <w:b/>
          <w:bCs/>
          <w:szCs w:val="21"/>
        </w:rPr>
      </w:pPr>
    </w:p>
    <w:p>
      <w:pPr>
        <w:spacing w:line="480" w:lineRule="exact"/>
        <w:rPr>
          <w:rFonts w:hAnsi="宋体"/>
          <w:b/>
          <w:bCs/>
          <w:szCs w:val="21"/>
        </w:rPr>
      </w:pPr>
    </w:p>
    <w:p/>
    <w:p>
      <w:pPr>
        <w:pStyle w:val="4"/>
        <w:numPr>
          <w:ilvl w:val="0"/>
          <w:numId w:val="30"/>
        </w:numPr>
        <w:jc w:val="center"/>
        <w:rPr>
          <w:sz w:val="28"/>
          <w:szCs w:val="28"/>
        </w:rPr>
      </w:pPr>
      <w:r>
        <w:br w:type="page"/>
      </w:r>
      <w:bookmarkStart w:id="205" w:name="_Toc7897896"/>
      <w:bookmarkStart w:id="206" w:name="_Toc4539"/>
      <w:bookmarkStart w:id="207" w:name="_Toc4884"/>
      <w:r>
        <w:rPr>
          <w:rFonts w:hint="eastAsia"/>
          <w:bCs/>
          <w:sz w:val="28"/>
          <w:szCs w:val="28"/>
        </w:rPr>
        <w:t>项目业绩一览表</w:t>
      </w:r>
      <w:bookmarkEnd w:id="205"/>
      <w:bookmarkEnd w:id="206"/>
      <w:bookmarkEnd w:id="207"/>
    </w:p>
    <w:p>
      <w:pPr>
        <w:pStyle w:val="28"/>
        <w:spacing w:line="480" w:lineRule="exact"/>
        <w:jc w:val="center"/>
        <w:rPr>
          <w:rFonts w:hAnsi="宋体"/>
          <w:b/>
          <w:sz w:val="22"/>
          <w:szCs w:val="22"/>
        </w:rPr>
      </w:pPr>
    </w:p>
    <w:tbl>
      <w:tblPr>
        <w:tblStyle w:val="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rPr>
            </w:pPr>
            <w:r>
              <w:rPr>
                <w:rFonts w:hint="eastAsia" w:hAnsi="宋体"/>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r>
              <w:rPr>
                <w:rFonts w:hint="eastAsia" w:hAnsi="宋体"/>
                <w:szCs w:val="21"/>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u w:val="single"/>
              </w:rPr>
            </w:pPr>
          </w:p>
        </w:tc>
      </w:tr>
    </w:tbl>
    <w:p>
      <w:pPr>
        <w:pStyle w:val="28"/>
        <w:spacing w:line="480" w:lineRule="exact"/>
        <w:rPr>
          <w:rFonts w:hAnsi="宋体"/>
          <w:sz w:val="22"/>
          <w:szCs w:val="22"/>
        </w:rPr>
      </w:pPr>
    </w:p>
    <w:p>
      <w:pPr>
        <w:pStyle w:val="28"/>
        <w:spacing w:line="480" w:lineRule="exact"/>
        <w:rPr>
          <w:rFonts w:hAnsi="宋体"/>
          <w:sz w:val="22"/>
          <w:szCs w:val="22"/>
        </w:rPr>
      </w:pPr>
      <w:r>
        <w:rPr>
          <w:rFonts w:hint="eastAsia" w:hAnsi="宋体"/>
          <w:sz w:val="22"/>
          <w:szCs w:val="22"/>
        </w:rPr>
        <w:t>要求：</w:t>
      </w:r>
    </w:p>
    <w:p>
      <w:pPr>
        <w:pStyle w:val="28"/>
        <w:spacing w:line="480" w:lineRule="exact"/>
        <w:ind w:firstLine="440" w:firstLineChars="200"/>
        <w:rPr>
          <w:rFonts w:hAnsi="宋体"/>
          <w:sz w:val="22"/>
          <w:szCs w:val="22"/>
        </w:rPr>
      </w:pPr>
      <w:r>
        <w:rPr>
          <w:rFonts w:hint="eastAsia" w:hAnsi="宋体"/>
          <w:sz w:val="22"/>
          <w:szCs w:val="22"/>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sz w:val="22"/>
          <w:szCs w:val="22"/>
        </w:rPr>
      </w:pPr>
    </w:p>
    <w:p>
      <w:pPr>
        <w:overflowPunct w:val="0"/>
        <w:spacing w:line="460" w:lineRule="exact"/>
        <w:rPr>
          <w:rFonts w:hAnsi="宋体"/>
          <w:sz w:val="22"/>
          <w:szCs w:val="22"/>
        </w:rPr>
      </w:pPr>
      <w:r>
        <w:rPr>
          <w:rFonts w:hint="eastAsia" w:hAnsi="宋体"/>
          <w:sz w:val="22"/>
          <w:szCs w:val="22"/>
        </w:rPr>
        <w:t>供应商名称（加盖公章）：</w:t>
      </w:r>
    </w:p>
    <w:p>
      <w:pPr>
        <w:overflowPunct w:val="0"/>
        <w:spacing w:line="460" w:lineRule="exact"/>
        <w:rPr>
          <w:rFonts w:hAnsi="宋体"/>
          <w:sz w:val="22"/>
          <w:szCs w:val="22"/>
        </w:rPr>
      </w:pPr>
      <w:r>
        <w:rPr>
          <w:rFonts w:hint="eastAsia" w:hAnsi="宋体"/>
          <w:sz w:val="22"/>
          <w:szCs w:val="22"/>
        </w:rPr>
        <w:t>供应商法定代表人或受委托人（签名或盖私章）：</w:t>
      </w:r>
    </w:p>
    <w:p>
      <w:pPr>
        <w:overflowPunct w:val="0"/>
        <w:spacing w:line="460" w:lineRule="exact"/>
        <w:rPr>
          <w:rFonts w:hAnsi="宋体"/>
          <w:sz w:val="22"/>
          <w:szCs w:val="22"/>
        </w:rPr>
      </w:pPr>
      <w:r>
        <w:rPr>
          <w:rFonts w:hint="eastAsia" w:hAnsi="宋体"/>
          <w:sz w:val="22"/>
          <w:szCs w:val="22"/>
        </w:rPr>
        <w:t xml:space="preserve">日期：年月日 </w:t>
      </w:r>
    </w:p>
    <w:p>
      <w:pPr>
        <w:pStyle w:val="4"/>
        <w:numPr>
          <w:ilvl w:val="0"/>
          <w:numId w:val="30"/>
        </w:numPr>
        <w:jc w:val="center"/>
        <w:rPr>
          <w:b w:val="0"/>
          <w:bCs/>
          <w:sz w:val="28"/>
        </w:rPr>
      </w:pPr>
      <w:r>
        <w:rPr>
          <w:sz w:val="22"/>
          <w:szCs w:val="22"/>
        </w:rPr>
        <w:br w:type="page"/>
      </w:r>
      <w:bookmarkStart w:id="208" w:name="_Toc23633"/>
      <w:bookmarkStart w:id="209" w:name="_Toc17432"/>
      <w:bookmarkStart w:id="210" w:name="_Toc7897897"/>
      <w:r>
        <w:rPr>
          <w:rFonts w:hint="eastAsia"/>
          <w:bCs/>
          <w:sz w:val="28"/>
        </w:rPr>
        <w:t>在经营活动中没有重大违法记录的书面声明</w:t>
      </w:r>
      <w:bookmarkEnd w:id="208"/>
      <w:bookmarkEnd w:id="209"/>
      <w:bookmarkEnd w:id="210"/>
    </w:p>
    <w:p>
      <w:pPr>
        <w:pStyle w:val="75"/>
        <w:ind w:firstLine="0" w:firstLineChars="0"/>
        <w:jc w:val="center"/>
        <w:rPr>
          <w:rFonts w:ascii="宋体" w:eastAsia="宋体"/>
          <w:b/>
          <w:sz w:val="28"/>
        </w:rPr>
      </w:pPr>
    </w:p>
    <w:p>
      <w:pPr>
        <w:spacing w:line="360" w:lineRule="auto"/>
        <w:rPr>
          <w:rFonts w:hAnsi="宋体"/>
          <w:sz w:val="21"/>
          <w:szCs w:val="21"/>
          <w:u w:val="single"/>
        </w:rPr>
      </w:pPr>
      <w:r>
        <w:rPr>
          <w:rFonts w:hint="eastAsia" w:hAnsi="宋体"/>
          <w:sz w:val="21"/>
          <w:szCs w:val="21"/>
        </w:rPr>
        <w:t>致：</w:t>
      </w:r>
    </w:p>
    <w:p>
      <w:pPr>
        <w:spacing w:line="360" w:lineRule="auto"/>
        <w:rPr>
          <w:rFonts w:hAnsi="宋体"/>
          <w:sz w:val="21"/>
          <w:szCs w:val="21"/>
        </w:rPr>
      </w:pPr>
      <w:r>
        <w:rPr>
          <w:rFonts w:hint="eastAsia" w:hAnsi="宋体"/>
          <w:sz w:val="21"/>
          <w:szCs w:val="21"/>
        </w:rPr>
        <w:t xml:space="preserve">        本公司参加采购项目（采购编号）的采购活动，并声明：</w:t>
      </w:r>
    </w:p>
    <w:p>
      <w:pPr>
        <w:spacing w:line="360" w:lineRule="auto"/>
        <w:rPr>
          <w:rFonts w:hAnsi="宋体"/>
          <w:sz w:val="21"/>
          <w:szCs w:val="21"/>
        </w:rPr>
      </w:pPr>
      <w:r>
        <w:rPr>
          <w:rFonts w:hint="eastAsia" w:hAnsi="宋体"/>
          <w:sz w:val="21"/>
          <w:szCs w:val="21"/>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rPr>
      </w:pPr>
      <w:r>
        <w:rPr>
          <w:rFonts w:hint="eastAsia" w:hAnsi="宋体"/>
          <w:sz w:val="21"/>
          <w:szCs w:val="21"/>
        </w:rPr>
        <w:t xml:space="preserve">    特此声明！</w:t>
      </w:r>
    </w:p>
    <w:p>
      <w:pPr>
        <w:rPr>
          <w:rFonts w:hAnsi="宋体"/>
          <w:sz w:val="21"/>
          <w:szCs w:val="21"/>
        </w:rPr>
      </w:pPr>
    </w:p>
    <w:p>
      <w:pPr>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1"/>
          <w:szCs w:val="21"/>
        </w:rPr>
      </w:pPr>
      <w:r>
        <w:rPr>
          <w:rFonts w:hint="eastAsia" w:hAnsi="宋体"/>
          <w:sz w:val="21"/>
          <w:szCs w:val="21"/>
        </w:rPr>
        <w:t xml:space="preserve">日期：年月日 </w:t>
      </w:r>
    </w:p>
    <w:bookmarkEnd w:id="179"/>
    <w:bookmarkEnd w:id="180"/>
    <w:bookmarkEnd w:id="181"/>
    <w:bookmarkEnd w:id="182"/>
    <w:bookmarkEnd w:id="183"/>
    <w:bookmarkEnd w:id="184"/>
    <w:bookmarkEnd w:id="185"/>
    <w:p>
      <w:pPr>
        <w:pStyle w:val="4"/>
        <w:numPr>
          <w:ilvl w:val="0"/>
          <w:numId w:val="30"/>
        </w:numPr>
        <w:jc w:val="center"/>
        <w:rPr>
          <w:b w:val="0"/>
          <w:sz w:val="28"/>
          <w:szCs w:val="28"/>
        </w:rPr>
      </w:pPr>
      <w:bookmarkStart w:id="211" w:name="_Toc110953865"/>
      <w:bookmarkStart w:id="212" w:name="_Toc480020290"/>
      <w:bookmarkStart w:id="213" w:name="_Toc467987857"/>
      <w:bookmarkStart w:id="214" w:name="_Toc468157570"/>
      <w:bookmarkStart w:id="215" w:name="_Toc454701411"/>
      <w:bookmarkStart w:id="216" w:name="_Toc479991617"/>
      <w:bookmarkStart w:id="217" w:name="_Toc480021086"/>
      <w:bookmarkStart w:id="218" w:name="_Toc467236774"/>
      <w:bookmarkStart w:id="219" w:name="_Toc480010743"/>
      <w:bookmarkStart w:id="220" w:name="_Toc35233726"/>
      <w:bookmarkStart w:id="221" w:name="_Toc480171915"/>
      <w:bookmarkStart w:id="222" w:name="_Toc468606065"/>
      <w:bookmarkStart w:id="223" w:name="_Toc458262644"/>
      <w:r>
        <w:rPr>
          <w:sz w:val="22"/>
          <w:szCs w:val="22"/>
        </w:rPr>
        <w:br w:type="page"/>
      </w:r>
      <w:bookmarkEnd w:id="211"/>
      <w:bookmarkStart w:id="224" w:name="_Toc7897900"/>
      <w:bookmarkStart w:id="225" w:name="_Toc2461"/>
      <w:bookmarkStart w:id="226" w:name="_Toc8181"/>
      <w:r>
        <w:rPr>
          <w:rFonts w:hint="eastAsia"/>
          <w:sz w:val="28"/>
          <w:szCs w:val="28"/>
        </w:rPr>
        <w:t>针对本项目拟派人员及其技术资格一览表</w:t>
      </w:r>
      <w:bookmarkEnd w:id="224"/>
      <w:bookmarkEnd w:id="225"/>
      <w:bookmarkEnd w:id="226"/>
    </w:p>
    <w:p>
      <w:pPr>
        <w:pStyle w:val="28"/>
        <w:spacing w:line="480" w:lineRule="exact"/>
        <w:ind w:left="-202" w:leftChars="-84" w:firstLine="241" w:firstLineChars="100"/>
        <w:rPr>
          <w:rFonts w:hAnsi="宋体"/>
          <w:b/>
          <w:sz w:val="24"/>
          <w:szCs w:val="21"/>
        </w:rPr>
      </w:pPr>
    </w:p>
    <w:p>
      <w:pPr>
        <w:pStyle w:val="28"/>
        <w:spacing w:line="480" w:lineRule="exact"/>
        <w:ind w:left="-202" w:leftChars="-84" w:firstLine="221" w:firstLineChars="100"/>
        <w:rPr>
          <w:rFonts w:hAnsi="宋体"/>
          <w:b/>
          <w:sz w:val="22"/>
          <w:szCs w:val="22"/>
          <w:u w:val="single"/>
        </w:rPr>
      </w:pPr>
    </w:p>
    <w:tbl>
      <w:tblPr>
        <w:tblStyle w:val="5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szCs w:val="21"/>
              </w:rPr>
            </w:pPr>
            <w:r>
              <w:rPr>
                <w:rFonts w:hint="eastAsia" w:hAnsi="宋体"/>
                <w:b/>
                <w:szCs w:val="21"/>
              </w:rPr>
              <w:t>序号</w:t>
            </w:r>
          </w:p>
        </w:tc>
        <w:tc>
          <w:tcPr>
            <w:tcW w:w="1026" w:type="dxa"/>
            <w:vAlign w:val="center"/>
          </w:tcPr>
          <w:p>
            <w:pPr>
              <w:pStyle w:val="28"/>
              <w:spacing w:line="480" w:lineRule="exact"/>
              <w:jc w:val="center"/>
              <w:rPr>
                <w:rFonts w:hAnsi="宋体"/>
                <w:b/>
                <w:szCs w:val="21"/>
              </w:rPr>
            </w:pPr>
            <w:r>
              <w:rPr>
                <w:rFonts w:hint="eastAsia" w:hAnsi="宋体"/>
                <w:b/>
                <w:szCs w:val="21"/>
              </w:rPr>
              <w:t>姓名</w:t>
            </w:r>
          </w:p>
        </w:tc>
        <w:tc>
          <w:tcPr>
            <w:tcW w:w="877" w:type="dxa"/>
            <w:vAlign w:val="center"/>
          </w:tcPr>
          <w:p>
            <w:pPr>
              <w:pStyle w:val="28"/>
              <w:spacing w:line="480" w:lineRule="exact"/>
              <w:jc w:val="center"/>
              <w:rPr>
                <w:rFonts w:hAnsi="宋体"/>
                <w:b/>
                <w:szCs w:val="21"/>
              </w:rPr>
            </w:pPr>
            <w:r>
              <w:rPr>
                <w:rFonts w:hint="eastAsia" w:hAnsi="宋体"/>
                <w:b/>
                <w:szCs w:val="21"/>
              </w:rPr>
              <w:t>职位</w:t>
            </w:r>
          </w:p>
        </w:tc>
        <w:tc>
          <w:tcPr>
            <w:tcW w:w="1533" w:type="dxa"/>
          </w:tcPr>
          <w:p>
            <w:pPr>
              <w:pStyle w:val="28"/>
              <w:spacing w:line="480" w:lineRule="exact"/>
              <w:jc w:val="center"/>
              <w:rPr>
                <w:rFonts w:hAnsi="宋体"/>
                <w:b/>
                <w:szCs w:val="21"/>
              </w:rPr>
            </w:pPr>
            <w:r>
              <w:rPr>
                <w:rFonts w:hint="eastAsia" w:hAnsi="宋体"/>
                <w:b/>
                <w:szCs w:val="21"/>
              </w:rPr>
              <w:t>拟在本项目担任职务</w:t>
            </w:r>
          </w:p>
        </w:tc>
        <w:tc>
          <w:tcPr>
            <w:tcW w:w="1357" w:type="dxa"/>
            <w:vAlign w:val="center"/>
          </w:tcPr>
          <w:p>
            <w:pPr>
              <w:pStyle w:val="28"/>
              <w:spacing w:line="480" w:lineRule="exact"/>
              <w:jc w:val="center"/>
              <w:rPr>
                <w:rFonts w:hAnsi="宋体"/>
                <w:b/>
                <w:szCs w:val="21"/>
              </w:rPr>
            </w:pPr>
            <w:r>
              <w:rPr>
                <w:rFonts w:hint="eastAsia" w:hAnsi="宋体"/>
                <w:b/>
                <w:szCs w:val="21"/>
              </w:rPr>
              <w:t>专业、资格证件</w:t>
            </w:r>
          </w:p>
        </w:tc>
        <w:tc>
          <w:tcPr>
            <w:tcW w:w="1200" w:type="dxa"/>
            <w:vAlign w:val="center"/>
          </w:tcPr>
          <w:p>
            <w:pPr>
              <w:pStyle w:val="28"/>
              <w:spacing w:line="480" w:lineRule="exact"/>
              <w:jc w:val="center"/>
              <w:rPr>
                <w:rFonts w:hAnsi="宋体"/>
                <w:b/>
                <w:szCs w:val="21"/>
              </w:rPr>
            </w:pPr>
            <w:r>
              <w:rPr>
                <w:rFonts w:hint="eastAsia" w:hAnsi="宋体"/>
                <w:b/>
                <w:szCs w:val="21"/>
              </w:rPr>
              <w:t>发证时间</w:t>
            </w:r>
          </w:p>
        </w:tc>
        <w:tc>
          <w:tcPr>
            <w:tcW w:w="1403" w:type="dxa"/>
            <w:vAlign w:val="center"/>
          </w:tcPr>
          <w:p>
            <w:pPr>
              <w:pStyle w:val="28"/>
              <w:spacing w:line="480" w:lineRule="exact"/>
              <w:jc w:val="center"/>
              <w:rPr>
                <w:rFonts w:hAnsi="宋体"/>
                <w:b/>
                <w:szCs w:val="21"/>
              </w:rPr>
            </w:pPr>
            <w:r>
              <w:rPr>
                <w:rFonts w:hint="eastAsia" w:hAnsi="宋体"/>
                <w:b/>
                <w:szCs w:val="21"/>
              </w:rPr>
              <w:t>经验年限</w:t>
            </w:r>
          </w:p>
        </w:tc>
        <w:tc>
          <w:tcPr>
            <w:tcW w:w="1403" w:type="dxa"/>
          </w:tcPr>
          <w:p>
            <w:pPr>
              <w:pStyle w:val="28"/>
              <w:spacing w:line="480" w:lineRule="exact"/>
              <w:jc w:val="center"/>
              <w:rPr>
                <w:rFonts w:hAnsi="宋体"/>
                <w:b/>
                <w:szCs w:val="21"/>
              </w:rPr>
            </w:pPr>
            <w:r>
              <w:rPr>
                <w:rFonts w:hint="eastAsia" w:hAnsi="宋体"/>
                <w:b/>
                <w:szCs w:val="21"/>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r>
              <w:rPr>
                <w:rFonts w:hint="eastAsia" w:hAnsi="宋体"/>
                <w:szCs w:val="21"/>
              </w:rPr>
              <w:t>项目负责人</w:t>
            </w: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vAlign w:val="center"/>
          </w:tcPr>
          <w:p>
            <w:pPr>
              <w:jc w:val="center"/>
              <w:rPr>
                <w:rFonts w:hAnsi="宋体"/>
                <w:sz w:val="21"/>
                <w:szCs w:val="21"/>
              </w:rPr>
            </w:pPr>
            <w:r>
              <w:rPr>
                <w:rFonts w:hint="eastAsia" w:hAnsi="宋体"/>
                <w:sz w:val="21"/>
                <w:szCs w:val="21"/>
              </w:rPr>
              <w:t>项目人员</w:t>
            </w: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r>
              <w:rPr>
                <w:rFonts w:hint="eastAsia" w:hAnsi="宋体"/>
                <w:szCs w:val="21"/>
              </w:rPr>
              <w:t>…</w:t>
            </w: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rPr>
            </w:pPr>
          </w:p>
        </w:tc>
        <w:tc>
          <w:tcPr>
            <w:tcW w:w="1026" w:type="dxa"/>
            <w:vAlign w:val="center"/>
          </w:tcPr>
          <w:p>
            <w:pPr>
              <w:pStyle w:val="28"/>
              <w:spacing w:line="480" w:lineRule="exact"/>
              <w:jc w:val="center"/>
              <w:rPr>
                <w:rFonts w:hAnsi="宋体"/>
                <w:szCs w:val="21"/>
              </w:rPr>
            </w:pPr>
          </w:p>
        </w:tc>
        <w:tc>
          <w:tcPr>
            <w:tcW w:w="877" w:type="dxa"/>
            <w:vAlign w:val="center"/>
          </w:tcPr>
          <w:p>
            <w:pPr>
              <w:pStyle w:val="28"/>
              <w:spacing w:line="480" w:lineRule="exact"/>
              <w:jc w:val="center"/>
              <w:rPr>
                <w:rFonts w:hAnsi="宋体"/>
                <w:szCs w:val="21"/>
              </w:rPr>
            </w:pPr>
          </w:p>
        </w:tc>
        <w:tc>
          <w:tcPr>
            <w:tcW w:w="1533" w:type="dxa"/>
          </w:tcPr>
          <w:p>
            <w:pPr>
              <w:pStyle w:val="28"/>
              <w:spacing w:line="480" w:lineRule="exact"/>
              <w:jc w:val="center"/>
              <w:rPr>
                <w:rFonts w:hAnsi="宋体"/>
                <w:szCs w:val="21"/>
              </w:rPr>
            </w:pPr>
          </w:p>
        </w:tc>
        <w:tc>
          <w:tcPr>
            <w:tcW w:w="1357" w:type="dxa"/>
            <w:vAlign w:val="center"/>
          </w:tcPr>
          <w:p>
            <w:pPr>
              <w:pStyle w:val="28"/>
              <w:spacing w:line="480" w:lineRule="exact"/>
              <w:jc w:val="center"/>
              <w:rPr>
                <w:rFonts w:hAnsi="宋体"/>
                <w:szCs w:val="21"/>
              </w:rPr>
            </w:pPr>
          </w:p>
        </w:tc>
        <w:tc>
          <w:tcPr>
            <w:tcW w:w="1200" w:type="dxa"/>
            <w:vAlign w:val="center"/>
          </w:tcPr>
          <w:p>
            <w:pPr>
              <w:pStyle w:val="28"/>
              <w:spacing w:line="480" w:lineRule="exact"/>
              <w:jc w:val="center"/>
              <w:rPr>
                <w:rFonts w:hAnsi="宋体"/>
                <w:szCs w:val="21"/>
              </w:rPr>
            </w:pPr>
          </w:p>
        </w:tc>
        <w:tc>
          <w:tcPr>
            <w:tcW w:w="1403" w:type="dxa"/>
            <w:vAlign w:val="center"/>
          </w:tcPr>
          <w:p>
            <w:pPr>
              <w:pStyle w:val="28"/>
              <w:spacing w:line="480" w:lineRule="exact"/>
              <w:jc w:val="center"/>
              <w:rPr>
                <w:rFonts w:hAnsi="宋体"/>
                <w:szCs w:val="21"/>
              </w:rPr>
            </w:pPr>
          </w:p>
        </w:tc>
        <w:tc>
          <w:tcPr>
            <w:tcW w:w="1403" w:type="dxa"/>
          </w:tcPr>
          <w:p>
            <w:pPr>
              <w:pStyle w:val="28"/>
              <w:spacing w:line="480" w:lineRule="exact"/>
              <w:jc w:val="center"/>
              <w:rPr>
                <w:rFonts w:hAnsi="宋体"/>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rPr>
      </w:pPr>
      <w:r>
        <w:rPr>
          <w:rFonts w:hint="eastAsia" w:hAnsi="宋体"/>
          <w:sz w:val="21"/>
          <w:szCs w:val="21"/>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rPr>
      </w:pPr>
      <w:r>
        <w:rPr>
          <w:rFonts w:hint="eastAsia" w:hAnsi="宋体"/>
          <w:sz w:val="21"/>
          <w:szCs w:val="21"/>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rPr>
      </w:pPr>
      <w:r>
        <w:rPr>
          <w:rFonts w:hint="eastAsia" w:hAnsi="宋体"/>
          <w:sz w:val="21"/>
          <w:szCs w:val="21"/>
        </w:rPr>
        <w:t>2.供应商应当在响应文件中提供评分标准中要求提供的资料。（上述文件均加盖供应商公章）</w:t>
      </w:r>
    </w:p>
    <w:p>
      <w:pPr>
        <w:pStyle w:val="21"/>
        <w:rPr>
          <w:rFonts w:hAnsi="宋体"/>
          <w:sz w:val="21"/>
          <w:szCs w:val="21"/>
        </w:rPr>
      </w:pPr>
    </w:p>
    <w:p>
      <w:pPr>
        <w:overflowPunct w:val="0"/>
        <w:spacing w:line="460" w:lineRule="exact"/>
        <w:rPr>
          <w:rFonts w:hAnsi="宋体"/>
          <w:sz w:val="21"/>
          <w:szCs w:val="21"/>
        </w:rPr>
      </w:pPr>
      <w:r>
        <w:rPr>
          <w:rFonts w:hint="eastAsia" w:hAnsi="宋体"/>
          <w:sz w:val="21"/>
          <w:szCs w:val="21"/>
        </w:rPr>
        <w:t>供应商名称（加盖公章）：</w:t>
      </w:r>
    </w:p>
    <w:p>
      <w:pPr>
        <w:overflowPunct w:val="0"/>
        <w:spacing w:line="460" w:lineRule="exact"/>
        <w:rPr>
          <w:rFonts w:hAnsi="宋体"/>
          <w:sz w:val="21"/>
          <w:szCs w:val="21"/>
        </w:rPr>
      </w:pPr>
      <w:r>
        <w:rPr>
          <w:rFonts w:hint="eastAsia" w:hAnsi="宋体"/>
          <w:sz w:val="21"/>
          <w:szCs w:val="21"/>
        </w:rPr>
        <w:t>供应商法定代表人或受委托人（签名或盖私章）：</w:t>
      </w:r>
    </w:p>
    <w:p>
      <w:pPr>
        <w:overflowPunct w:val="0"/>
        <w:spacing w:line="460" w:lineRule="exact"/>
        <w:rPr>
          <w:rFonts w:hAnsi="宋体"/>
          <w:sz w:val="22"/>
          <w:szCs w:val="22"/>
        </w:rPr>
      </w:pPr>
      <w:r>
        <w:rPr>
          <w:rFonts w:hint="eastAsia" w:hAnsi="宋体"/>
          <w:sz w:val="21"/>
          <w:szCs w:val="21"/>
        </w:rPr>
        <w:t>日期：年月日</w:t>
      </w:r>
    </w:p>
    <w:p>
      <w:pPr>
        <w:spacing w:line="480" w:lineRule="exact"/>
        <w:rPr>
          <w:rFonts w:hAnsi="宋体"/>
          <w:b/>
          <w:bCs/>
          <w:szCs w:val="21"/>
          <w:u w:val="single"/>
        </w:rPr>
      </w:pPr>
    </w:p>
    <w:p>
      <w:pPr>
        <w:pStyle w:val="4"/>
        <w:numPr>
          <w:ilvl w:val="0"/>
          <w:numId w:val="30"/>
        </w:numPr>
        <w:jc w:val="center"/>
        <w:rPr>
          <w:bCs/>
          <w:sz w:val="28"/>
          <w:szCs w:val="28"/>
        </w:rPr>
      </w:pPr>
      <w:r>
        <w:rPr>
          <w:bCs/>
          <w:szCs w:val="21"/>
        </w:rPr>
        <w:br w:type="page"/>
      </w:r>
      <w:bookmarkEnd w:id="212"/>
      <w:bookmarkEnd w:id="213"/>
      <w:bookmarkEnd w:id="214"/>
      <w:bookmarkEnd w:id="215"/>
      <w:bookmarkEnd w:id="216"/>
      <w:bookmarkEnd w:id="217"/>
      <w:bookmarkEnd w:id="218"/>
      <w:bookmarkEnd w:id="219"/>
      <w:bookmarkEnd w:id="220"/>
      <w:bookmarkEnd w:id="221"/>
      <w:bookmarkEnd w:id="222"/>
      <w:bookmarkEnd w:id="223"/>
      <w:bookmarkStart w:id="227" w:name="_Toc13441"/>
      <w:r>
        <w:rPr>
          <w:rFonts w:hint="eastAsia"/>
          <w:bCs/>
          <w:sz w:val="28"/>
          <w:szCs w:val="28"/>
        </w:rPr>
        <w:t>磋商保证金汇入情况说明（适用于转账、电汇方式）</w:t>
      </w:r>
      <w:bookmarkEnd w:id="227"/>
    </w:p>
    <w:p>
      <w:pPr>
        <w:spacing w:line="460" w:lineRule="exact"/>
        <w:rPr>
          <w:rFonts w:hAnsi="宋体"/>
          <w:b/>
          <w:bCs/>
          <w:sz w:val="22"/>
          <w:szCs w:val="22"/>
        </w:rPr>
      </w:pPr>
    </w:p>
    <w:p>
      <w:pPr>
        <w:spacing w:line="460" w:lineRule="exact"/>
        <w:rPr>
          <w:rFonts w:hAnsi="宋体"/>
          <w:sz w:val="21"/>
          <w:szCs w:val="21"/>
        </w:rPr>
      </w:pPr>
      <w:r>
        <w:rPr>
          <w:rFonts w:hint="eastAsia" w:hAnsi="宋体"/>
          <w:sz w:val="21"/>
          <w:szCs w:val="21"/>
        </w:rPr>
        <w:t xml:space="preserve">广东泰通伟业工程咨询有限公司： </w:t>
      </w:r>
    </w:p>
    <w:p>
      <w:pPr>
        <w:spacing w:line="460" w:lineRule="exact"/>
        <w:ind w:firstLine="420" w:firstLineChars="200"/>
        <w:rPr>
          <w:rFonts w:hAnsi="宋体"/>
          <w:sz w:val="21"/>
          <w:szCs w:val="21"/>
        </w:rPr>
      </w:pPr>
      <w:r>
        <w:rPr>
          <w:rFonts w:hint="eastAsia" w:hAnsi="宋体"/>
          <w:sz w:val="21"/>
          <w:szCs w:val="21"/>
        </w:rPr>
        <w:t>本单位已按</w:t>
      </w:r>
      <w:r>
        <w:rPr>
          <w:rFonts w:hint="eastAsia" w:hAnsi="宋体"/>
          <w:sz w:val="21"/>
          <w:szCs w:val="21"/>
          <w:u w:val="single"/>
        </w:rPr>
        <w:t xml:space="preserve">  （项目名称）   （</w:t>
      </w:r>
      <w:r>
        <w:rPr>
          <w:rFonts w:hint="eastAsia" w:hAnsi="宋体"/>
          <w:sz w:val="21"/>
          <w:szCs w:val="21"/>
        </w:rPr>
        <w:t>采购编号：</w:t>
      </w:r>
      <w:r>
        <w:rPr>
          <w:rFonts w:hint="eastAsia" w:hAnsi="宋体"/>
          <w:sz w:val="21"/>
          <w:szCs w:val="21"/>
          <w:u w:val="single"/>
        </w:rPr>
        <w:t xml:space="preserve">     ）</w:t>
      </w:r>
      <w:r>
        <w:rPr>
          <w:rFonts w:hint="eastAsia" w:hAnsi="宋体"/>
          <w:sz w:val="21"/>
          <w:szCs w:val="21"/>
        </w:rPr>
        <w:t>的磋商文件要求，于年月日前以（付款形式）方式汇入指定帐户（帐户名称：，帐号：,开户银行：）。</w:t>
      </w:r>
    </w:p>
    <w:p>
      <w:pPr>
        <w:spacing w:line="460" w:lineRule="exact"/>
        <w:ind w:firstLine="420" w:firstLineChars="200"/>
        <w:rPr>
          <w:rFonts w:hAnsi="宋体"/>
          <w:sz w:val="21"/>
          <w:szCs w:val="21"/>
        </w:rPr>
      </w:pPr>
      <w:r>
        <w:rPr>
          <w:rFonts w:hint="eastAsia" w:hAnsi="宋体"/>
          <w:sz w:val="21"/>
          <w:szCs w:val="21"/>
        </w:rPr>
        <w:t>供应商磋商保证金的汇款情况：（详见附件－磋商保证金进帐单）汇出时间：年月日；</w:t>
      </w:r>
    </w:p>
    <w:p>
      <w:pPr>
        <w:spacing w:line="460" w:lineRule="exact"/>
        <w:ind w:firstLine="420" w:firstLineChars="200"/>
        <w:rPr>
          <w:rFonts w:hAnsi="宋体"/>
          <w:sz w:val="21"/>
          <w:szCs w:val="21"/>
          <w:u w:val="single"/>
        </w:rPr>
      </w:pPr>
      <w:r>
        <w:rPr>
          <w:rFonts w:hint="eastAsia" w:hAnsi="宋体"/>
          <w:sz w:val="21"/>
          <w:szCs w:val="21"/>
        </w:rPr>
        <w:t>汇款金额：（大写）人民币</w:t>
      </w:r>
      <w:r>
        <w:rPr>
          <w:rFonts w:hint="eastAsia" w:hAnsi="宋体"/>
          <w:sz w:val="21"/>
          <w:szCs w:val="21"/>
          <w:u w:val="single"/>
        </w:rPr>
        <w:t xml:space="preserve">               元整</w:t>
      </w:r>
    </w:p>
    <w:p>
      <w:pPr>
        <w:spacing w:line="460" w:lineRule="exact"/>
        <w:ind w:firstLine="1365" w:firstLineChars="650"/>
        <w:rPr>
          <w:rFonts w:hAnsi="宋体"/>
          <w:sz w:val="21"/>
          <w:szCs w:val="21"/>
          <w:u w:val="single"/>
        </w:rPr>
      </w:pPr>
      <w:r>
        <w:rPr>
          <w:rFonts w:hint="eastAsia" w:hAnsi="宋体"/>
          <w:sz w:val="21"/>
          <w:szCs w:val="21"/>
        </w:rPr>
        <w:t>（小写）￥元。</w:t>
      </w:r>
    </w:p>
    <w:p>
      <w:pPr>
        <w:spacing w:line="460" w:lineRule="exact"/>
        <w:ind w:firstLine="420" w:firstLineChars="200"/>
        <w:rPr>
          <w:rFonts w:hAnsi="宋体"/>
          <w:sz w:val="21"/>
          <w:szCs w:val="21"/>
          <w:u w:val="single"/>
        </w:rPr>
      </w:pPr>
      <w:r>
        <w:rPr>
          <w:rFonts w:hint="eastAsia" w:hAnsi="宋体"/>
          <w:sz w:val="21"/>
          <w:szCs w:val="21"/>
        </w:rPr>
        <w:t>汇款帐户名称：</w:t>
      </w:r>
      <w:r>
        <w:rPr>
          <w:rFonts w:hint="eastAsia" w:hAnsi="宋体"/>
          <w:sz w:val="21"/>
          <w:szCs w:val="21"/>
          <w:u w:val="single"/>
        </w:rPr>
        <w:t xml:space="preserve">  （必须是磋商时使用的单位名称）   </w:t>
      </w:r>
    </w:p>
    <w:p>
      <w:pPr>
        <w:spacing w:line="460" w:lineRule="exact"/>
        <w:ind w:firstLine="420" w:firstLineChars="200"/>
        <w:rPr>
          <w:rFonts w:hAnsi="宋体"/>
          <w:sz w:val="21"/>
          <w:szCs w:val="21"/>
        </w:rPr>
      </w:pPr>
      <w:r>
        <w:rPr>
          <w:rFonts w:hint="eastAsia" w:hAnsi="宋体"/>
          <w:sz w:val="21"/>
          <w:szCs w:val="21"/>
        </w:rPr>
        <w:t>帐    号：</w:t>
      </w:r>
      <w:r>
        <w:rPr>
          <w:rFonts w:hint="eastAsia" w:hAnsi="宋体"/>
          <w:sz w:val="21"/>
          <w:szCs w:val="21"/>
          <w:u w:val="single"/>
        </w:rPr>
        <w:t xml:space="preserve">  （必须是磋商时使用的帐号）     </w:t>
      </w:r>
    </w:p>
    <w:p>
      <w:pPr>
        <w:spacing w:line="460" w:lineRule="exact"/>
        <w:ind w:firstLine="420" w:firstLineChars="200"/>
        <w:rPr>
          <w:rFonts w:hAnsi="宋体"/>
          <w:sz w:val="21"/>
          <w:szCs w:val="21"/>
          <w:u w:val="single"/>
        </w:rPr>
      </w:pPr>
      <w:r>
        <w:rPr>
          <w:rFonts w:hint="eastAsia" w:hAnsi="宋体"/>
          <w:sz w:val="21"/>
          <w:szCs w:val="21"/>
        </w:rPr>
        <w:t>开户银行：</w:t>
      </w:r>
      <w:r>
        <w:rPr>
          <w:rFonts w:hint="eastAsia" w:hAnsi="宋体"/>
          <w:sz w:val="21"/>
          <w:szCs w:val="21"/>
          <w:u w:val="single"/>
        </w:rPr>
        <w:t xml:space="preserve">    银行   省    市          (分行/支行)    </w:t>
      </w:r>
    </w:p>
    <w:p>
      <w:pPr>
        <w:spacing w:line="460" w:lineRule="exact"/>
        <w:ind w:firstLine="420" w:firstLineChars="200"/>
        <w:rPr>
          <w:rFonts w:hAnsi="宋体"/>
          <w:sz w:val="21"/>
          <w:szCs w:val="21"/>
        </w:rPr>
      </w:pPr>
      <w:r>
        <w:rPr>
          <w:rFonts w:hint="eastAsia" w:hAnsi="宋体"/>
          <w:sz w:val="21"/>
          <w:szCs w:val="21"/>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rPr>
      </w:pPr>
      <w:r>
        <w:rPr>
          <w:rFonts w:hint="eastAsia" w:hAnsi="宋体"/>
          <w:sz w:val="21"/>
          <w:szCs w:val="21"/>
        </w:rPr>
        <w:t>磋商保证金退回时，请按上述资料退回。</w:t>
      </w:r>
    </w:p>
    <w:p>
      <w:pPr>
        <w:spacing w:line="460" w:lineRule="exact"/>
        <w:rPr>
          <w:rFonts w:hAnsi="宋体"/>
          <w:b/>
          <w:bCs/>
          <w:sz w:val="21"/>
          <w:szCs w:val="21"/>
        </w:rPr>
      </w:pPr>
    </w:p>
    <w:p>
      <w:pPr>
        <w:spacing w:line="460" w:lineRule="exact"/>
        <w:rPr>
          <w:rFonts w:hAnsi="宋体"/>
          <w:b/>
          <w:bCs/>
          <w:sz w:val="21"/>
          <w:szCs w:val="21"/>
        </w:rPr>
      </w:pPr>
      <w:r>
        <w:rPr>
          <w:rFonts w:hint="eastAsia" w:hAnsi="宋体"/>
          <w:b/>
          <w:bCs/>
          <w:sz w:val="21"/>
          <w:szCs w:val="21"/>
        </w:rPr>
        <w:t>附件：磋商保证金进帐单复印件（加盖公章）</w:t>
      </w:r>
    </w:p>
    <w:p>
      <w:pPr>
        <w:spacing w:line="460" w:lineRule="exact"/>
        <w:ind w:right="965" w:rightChars="402"/>
        <w:jc w:val="right"/>
        <w:rPr>
          <w:rFonts w:hAnsi="宋体"/>
          <w:sz w:val="21"/>
          <w:szCs w:val="21"/>
        </w:rPr>
      </w:pPr>
      <w:r>
        <w:rPr>
          <w:rFonts w:hint="eastAsia" w:hAnsi="宋体"/>
          <w:sz w:val="21"/>
          <w:szCs w:val="21"/>
        </w:rPr>
        <w:t>（公章）</w:t>
      </w:r>
    </w:p>
    <w:p>
      <w:pPr>
        <w:spacing w:line="460" w:lineRule="exact"/>
        <w:ind w:right="718" w:rightChars="299"/>
        <w:jc w:val="right"/>
        <w:rPr>
          <w:rFonts w:hAnsi="宋体"/>
          <w:sz w:val="21"/>
          <w:szCs w:val="21"/>
        </w:rPr>
      </w:pPr>
      <w:r>
        <w:rPr>
          <w:rFonts w:hint="eastAsia" w:hAnsi="宋体"/>
          <w:sz w:val="21"/>
          <w:szCs w:val="21"/>
        </w:rPr>
        <w:t>年   月   日</w:t>
      </w:r>
    </w:p>
    <w:p>
      <w:pPr>
        <w:spacing w:line="460" w:lineRule="exact"/>
        <w:rPr>
          <w:rFonts w:hAnsi="宋体"/>
          <w:sz w:val="21"/>
          <w:szCs w:val="21"/>
        </w:rPr>
      </w:pPr>
      <w:r>
        <w:rPr>
          <w:rFonts w:hint="eastAsia" w:hAnsi="宋体"/>
          <w:sz w:val="21"/>
          <w:szCs w:val="21"/>
        </w:rPr>
        <w:t xml:space="preserve">单位名称：           </w:t>
      </w:r>
    </w:p>
    <w:p>
      <w:pPr>
        <w:spacing w:line="460" w:lineRule="exact"/>
        <w:rPr>
          <w:rFonts w:hAnsi="宋体"/>
          <w:sz w:val="21"/>
          <w:szCs w:val="21"/>
        </w:rPr>
      </w:pPr>
      <w:r>
        <w:rPr>
          <w:rFonts w:hint="eastAsia" w:hAnsi="宋体"/>
          <w:sz w:val="21"/>
          <w:szCs w:val="21"/>
        </w:rPr>
        <w:t xml:space="preserve">单位地址：           </w:t>
      </w:r>
    </w:p>
    <w:p>
      <w:pPr>
        <w:spacing w:line="460" w:lineRule="exact"/>
        <w:rPr>
          <w:rFonts w:hAnsi="宋体"/>
          <w:sz w:val="21"/>
          <w:szCs w:val="21"/>
        </w:rPr>
      </w:pPr>
      <w:r>
        <w:rPr>
          <w:rFonts w:hint="eastAsia" w:hAnsi="宋体"/>
          <w:sz w:val="21"/>
          <w:szCs w:val="21"/>
        </w:rPr>
        <w:t xml:space="preserve">联系人：                   </w:t>
      </w:r>
    </w:p>
    <w:p>
      <w:pPr>
        <w:spacing w:line="460" w:lineRule="exact"/>
        <w:rPr>
          <w:rFonts w:hAnsi="宋体"/>
          <w:sz w:val="21"/>
          <w:szCs w:val="21"/>
        </w:rPr>
      </w:pPr>
      <w:r>
        <w:rPr>
          <w:rFonts w:hint="eastAsia" w:hAnsi="宋体"/>
          <w:sz w:val="21"/>
          <w:szCs w:val="21"/>
        </w:rPr>
        <w:t xml:space="preserve">单位电话：                 联系人手机：              </w:t>
      </w:r>
    </w:p>
    <w:p>
      <w:pPr>
        <w:spacing w:line="360" w:lineRule="auto"/>
        <w:rPr>
          <w:rFonts w:hAnsi="宋体"/>
          <w:b/>
          <w:sz w:val="21"/>
          <w:szCs w:val="21"/>
        </w:rPr>
      </w:pPr>
    </w:p>
    <w:p>
      <w:pPr>
        <w:rPr>
          <w:sz w:val="21"/>
          <w:szCs w:val="21"/>
        </w:rPr>
      </w:pPr>
      <w:r>
        <w:rPr>
          <w:rFonts w:hint="eastAsia"/>
          <w:sz w:val="21"/>
          <w:szCs w:val="21"/>
        </w:rPr>
        <w:t>注：1、本说明的所有内容（包括所填写内容）均需打印；2、本说明及磋商保证金进帐单复印件（加盖公章）在磋商时放入唱标信封内。</w:t>
      </w:r>
    </w:p>
    <w:p/>
    <w:p>
      <w:pPr>
        <w:overflowPunct w:val="0"/>
        <w:spacing w:line="460" w:lineRule="exact"/>
        <w:rPr>
          <w:rFonts w:hAnsi="宋体"/>
          <w:sz w:val="22"/>
          <w:szCs w:val="22"/>
        </w:rPr>
      </w:pPr>
      <w:r>
        <w:br w:type="page"/>
      </w:r>
    </w:p>
    <w:p>
      <w:pPr>
        <w:pStyle w:val="4"/>
        <w:pageBreakBefore/>
        <w:spacing w:line="360" w:lineRule="auto"/>
        <w:jc w:val="center"/>
        <w:rPr>
          <w:bCs/>
          <w:sz w:val="28"/>
          <w:szCs w:val="28"/>
        </w:rPr>
      </w:pPr>
      <w:bookmarkStart w:id="228" w:name="_Toc19888"/>
      <w:bookmarkStart w:id="229" w:name="_Toc20966"/>
      <w:r>
        <w:rPr>
          <w:rFonts w:hint="eastAsia"/>
          <w:bCs/>
          <w:sz w:val="28"/>
          <w:szCs w:val="28"/>
        </w:rPr>
        <w:t>第三部分 技术文件</w:t>
      </w:r>
      <w:bookmarkEnd w:id="228"/>
      <w:bookmarkEnd w:id="229"/>
    </w:p>
    <w:p>
      <w:pPr>
        <w:jc w:val="center"/>
      </w:pPr>
    </w:p>
    <w:p>
      <w:pPr>
        <w:pStyle w:val="4"/>
        <w:numPr>
          <w:ilvl w:val="0"/>
          <w:numId w:val="31"/>
        </w:numPr>
        <w:jc w:val="center"/>
      </w:pPr>
      <w:bookmarkStart w:id="230" w:name="_Toc9540"/>
      <w:bookmarkStart w:id="231" w:name="_Toc15167"/>
      <w:bookmarkStart w:id="232" w:name="_Toc25949"/>
      <w:bookmarkStart w:id="233" w:name="_Toc1852"/>
      <w:bookmarkStart w:id="234" w:name="_Toc9579"/>
      <w:bookmarkStart w:id="235" w:name="_Toc31683"/>
      <w:bookmarkStart w:id="236" w:name="_Toc24064"/>
      <w:bookmarkStart w:id="237" w:name="_Toc28884"/>
      <w:r>
        <w:rPr>
          <w:rFonts w:hint="eastAsia"/>
        </w:rPr>
        <w:t>技术方案</w:t>
      </w:r>
      <w:bookmarkEnd w:id="230"/>
      <w:bookmarkEnd w:id="231"/>
      <w:bookmarkEnd w:id="232"/>
      <w:bookmarkEnd w:id="233"/>
      <w:bookmarkEnd w:id="234"/>
      <w:bookmarkEnd w:id="235"/>
      <w:bookmarkEnd w:id="236"/>
      <w:bookmarkEnd w:id="237"/>
    </w:p>
    <w:p>
      <w:pPr>
        <w:snapToGrid w:val="0"/>
        <w:spacing w:line="360" w:lineRule="auto"/>
        <w:rPr>
          <w:rFonts w:hAnsi="宋体"/>
          <w:sz w:val="21"/>
          <w:szCs w:val="21"/>
        </w:rPr>
      </w:pPr>
    </w:p>
    <w:p>
      <w:pPr>
        <w:snapToGrid w:val="0"/>
        <w:spacing w:line="360" w:lineRule="auto"/>
        <w:ind w:firstLine="420" w:firstLineChars="200"/>
        <w:rPr>
          <w:rFonts w:hAnsi="宋体"/>
          <w:sz w:val="21"/>
          <w:szCs w:val="21"/>
        </w:rPr>
      </w:pPr>
      <w:r>
        <w:rPr>
          <w:rFonts w:hint="eastAsia" w:hAnsi="宋体"/>
          <w:sz w:val="21"/>
          <w:szCs w:val="21"/>
        </w:rPr>
        <w:t>根据用户需求书编写。</w:t>
      </w:r>
    </w:p>
    <w:p>
      <w:pPr>
        <w:snapToGrid w:val="0"/>
        <w:spacing w:line="360" w:lineRule="auto"/>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4"/>
        <w:numPr>
          <w:ilvl w:val="0"/>
          <w:numId w:val="31"/>
        </w:numPr>
        <w:jc w:val="center"/>
      </w:pPr>
      <w:bookmarkStart w:id="238" w:name="_Toc30049"/>
      <w:bookmarkStart w:id="239" w:name="_Toc11036"/>
      <w:bookmarkStart w:id="240" w:name="_Toc28953"/>
      <w:bookmarkStart w:id="241" w:name="_Toc23849"/>
      <w:bookmarkStart w:id="242" w:name="_Toc24947"/>
      <w:bookmarkStart w:id="243" w:name="_Toc9619"/>
      <w:bookmarkStart w:id="244" w:name="_Toc15530"/>
      <w:bookmarkStart w:id="245" w:name="_Toc12278"/>
      <w:r>
        <w:rPr>
          <w:rFonts w:hint="eastAsia"/>
        </w:rPr>
        <w:t>其他资料</w:t>
      </w:r>
      <w:bookmarkEnd w:id="238"/>
      <w:bookmarkEnd w:id="239"/>
      <w:bookmarkEnd w:id="240"/>
      <w:bookmarkEnd w:id="241"/>
      <w:bookmarkEnd w:id="242"/>
      <w:bookmarkEnd w:id="243"/>
      <w:bookmarkEnd w:id="244"/>
      <w:bookmarkEnd w:id="245"/>
    </w:p>
    <w:p>
      <w:pPr>
        <w:pStyle w:val="28"/>
        <w:spacing w:line="360" w:lineRule="auto"/>
        <w:ind w:firstLine="420"/>
        <w:rPr>
          <w:rFonts w:hAnsi="宋体"/>
        </w:rPr>
      </w:pPr>
    </w:p>
    <w:p>
      <w:pPr>
        <w:spacing w:line="360" w:lineRule="auto"/>
        <w:rPr>
          <w:rFonts w:hAnsi="宋体"/>
          <w:sz w:val="21"/>
          <w:szCs w:val="21"/>
        </w:rPr>
      </w:pPr>
      <w:r>
        <w:rPr>
          <w:rFonts w:hint="eastAsia" w:hAnsi="宋体"/>
          <w:sz w:val="21"/>
          <w:szCs w:val="21"/>
        </w:rPr>
        <w:t>1、磋商文件要求提供的其他资料（如有）</w:t>
      </w:r>
    </w:p>
    <w:p>
      <w:pPr>
        <w:spacing w:line="360" w:lineRule="auto"/>
        <w:rPr>
          <w:rFonts w:hAnsi="宋体"/>
          <w:sz w:val="21"/>
          <w:szCs w:val="21"/>
        </w:rPr>
      </w:pPr>
      <w:r>
        <w:rPr>
          <w:rFonts w:hint="eastAsia" w:hAnsi="宋体"/>
          <w:sz w:val="21"/>
          <w:szCs w:val="21"/>
        </w:rPr>
        <w:t>2、供应商认为需要提供的其他资料（如有）</w:t>
      </w: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13"/>
        <w:rPr>
          <w:rFonts w:hAnsi="宋体"/>
          <w:sz w:val="21"/>
          <w:szCs w:val="21"/>
        </w:rPr>
      </w:pPr>
    </w:p>
    <w:p>
      <w:pPr>
        <w:pStyle w:val="4"/>
        <w:jc w:val="center"/>
        <w:rPr>
          <w:sz w:val="28"/>
          <w:szCs w:val="28"/>
        </w:rPr>
      </w:pPr>
      <w:bookmarkStart w:id="246" w:name="_Toc17492"/>
      <w:r>
        <w:rPr>
          <w:rFonts w:hint="eastAsia"/>
          <w:sz w:val="28"/>
          <w:szCs w:val="28"/>
        </w:rPr>
        <w:t>第四部分 唱标信封</w:t>
      </w:r>
      <w:r>
        <w:rPr>
          <w:rFonts w:hint="eastAsia"/>
          <w:bCs/>
          <w:sz w:val="28"/>
          <w:szCs w:val="28"/>
        </w:rPr>
        <w:t>（单独编制装订成册，单独封装）</w:t>
      </w:r>
      <w:bookmarkEnd w:id="246"/>
    </w:p>
    <w:p>
      <w:pPr>
        <w:pStyle w:val="75"/>
        <w:spacing w:line="460" w:lineRule="exact"/>
        <w:ind w:firstLine="0" w:firstLineChars="0"/>
        <w:rPr>
          <w:rFonts w:ascii="宋体" w:eastAsia="宋体"/>
          <w:sz w:val="21"/>
          <w:szCs w:val="21"/>
        </w:rPr>
      </w:pPr>
      <w:r>
        <w:rPr>
          <w:rFonts w:hint="eastAsia" w:ascii="宋体" w:eastAsia="宋体"/>
          <w:sz w:val="21"/>
          <w:szCs w:val="21"/>
        </w:rPr>
        <w:t>唱标信封内装：</w:t>
      </w:r>
    </w:p>
    <w:p>
      <w:pPr>
        <w:pStyle w:val="75"/>
        <w:spacing w:line="460" w:lineRule="exact"/>
        <w:ind w:firstLine="433"/>
        <w:rPr>
          <w:rFonts w:ascii="宋体" w:eastAsia="宋体"/>
          <w:sz w:val="21"/>
          <w:szCs w:val="21"/>
        </w:rPr>
      </w:pPr>
      <w:r>
        <w:rPr>
          <w:rFonts w:hint="eastAsia" w:ascii="宋体" w:eastAsia="宋体"/>
          <w:sz w:val="21"/>
          <w:szCs w:val="21"/>
        </w:rPr>
        <w:t>（1）报价一览表复印件加盖公章；</w:t>
      </w:r>
    </w:p>
    <w:p>
      <w:pPr>
        <w:pStyle w:val="75"/>
        <w:spacing w:line="460" w:lineRule="exact"/>
        <w:ind w:firstLine="433"/>
        <w:rPr>
          <w:rFonts w:ascii="宋体" w:eastAsia="宋体"/>
          <w:sz w:val="21"/>
          <w:szCs w:val="21"/>
        </w:rPr>
      </w:pPr>
      <w:r>
        <w:rPr>
          <w:rFonts w:hint="eastAsia" w:ascii="宋体" w:eastAsia="宋体"/>
          <w:sz w:val="21"/>
          <w:szCs w:val="21"/>
        </w:rPr>
        <w:t>（2）磋商保证金汇入情况说明及银行汇款凭证（或担保函）复印件加盖公章；</w:t>
      </w:r>
    </w:p>
    <w:p>
      <w:pPr>
        <w:pStyle w:val="75"/>
        <w:spacing w:line="460" w:lineRule="exact"/>
        <w:ind w:firstLine="433"/>
        <w:rPr>
          <w:rFonts w:ascii="宋体" w:eastAsia="宋体"/>
          <w:sz w:val="21"/>
          <w:szCs w:val="21"/>
        </w:rPr>
      </w:pPr>
      <w:r>
        <w:rPr>
          <w:rFonts w:hint="eastAsia" w:ascii="宋体" w:eastAsia="宋体"/>
          <w:sz w:val="21"/>
          <w:szCs w:val="21"/>
        </w:rPr>
        <w:t>（3）法定代表人证明书加盖公章；</w:t>
      </w:r>
    </w:p>
    <w:p>
      <w:pPr>
        <w:pStyle w:val="75"/>
        <w:spacing w:line="460" w:lineRule="exact"/>
        <w:ind w:firstLine="433"/>
        <w:rPr>
          <w:rFonts w:ascii="宋体" w:eastAsia="宋体"/>
          <w:sz w:val="21"/>
          <w:szCs w:val="21"/>
        </w:rPr>
      </w:pPr>
      <w:r>
        <w:rPr>
          <w:rFonts w:hint="eastAsia" w:ascii="宋体" w:eastAsia="宋体"/>
          <w:sz w:val="21"/>
          <w:szCs w:val="21"/>
        </w:rPr>
        <w:t>（4）法定代表人授权委托书加盖公章（法定代表人磋商的除外）；</w:t>
      </w:r>
    </w:p>
    <w:p>
      <w:pPr>
        <w:pStyle w:val="75"/>
        <w:spacing w:line="460" w:lineRule="exact"/>
        <w:ind w:firstLine="433"/>
        <w:rPr>
          <w:rFonts w:ascii="宋体" w:eastAsia="宋体"/>
          <w:sz w:val="22"/>
          <w:szCs w:val="22"/>
        </w:rPr>
      </w:pPr>
      <w:r>
        <w:rPr>
          <w:rFonts w:hint="eastAsia" w:ascii="宋体" w:eastAsia="宋体"/>
          <w:sz w:val="21"/>
          <w:szCs w:val="21"/>
        </w:rPr>
        <w:t>（5）磋商文件电子文件（签字、盖章后的磋商文件PDF格式扫描版电子文件, 可采用光盘介质或U盘装载）；</w:t>
      </w:r>
    </w:p>
    <w:p>
      <w:pPr>
        <w:pStyle w:val="75"/>
        <w:spacing w:line="460" w:lineRule="exact"/>
        <w:ind w:firstLine="453"/>
        <w:rPr>
          <w:rFonts w:ascii="宋体" w:eastAsia="宋体"/>
          <w:sz w:val="22"/>
          <w:szCs w:val="22"/>
        </w:rPr>
      </w:pPr>
    </w:p>
    <w:p/>
    <w:p>
      <w:pPr>
        <w:rPr>
          <w:lang w:val="zh-CN"/>
        </w:rPr>
      </w:pPr>
      <w:bookmarkStart w:id="247" w:name="_Toc396137262"/>
    </w:p>
    <w:p>
      <w:pPr>
        <w:rPr>
          <w:lang w:val="zh-CN"/>
        </w:rPr>
      </w:pPr>
    </w:p>
    <w:p>
      <w:pPr>
        <w:rPr>
          <w:lang w:val="zh-CN"/>
        </w:rPr>
      </w:pPr>
    </w:p>
    <w:bookmarkEnd w:id="247"/>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Garamond">
    <w:altName w:val="PMingLiU-ExtB"/>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简体">
    <w:altName w:val="黑体"/>
    <w:panose1 w:val="02010601030101010101"/>
    <w:charset w:val="86"/>
    <w:family w:val="auto"/>
    <w:pitch w:val="default"/>
    <w:sig w:usb0="00000000" w:usb1="00000000" w:usb2="00000010" w:usb3="00000000" w:csb0="00040000" w:csb1="00000000"/>
  </w:font>
  <w:font w:name="时尚中黑简体">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6"/>
      </w:rPr>
    </w:pPr>
    <w:r>
      <w:fldChar w:fldCharType="begin"/>
    </w:r>
    <w:r>
      <w:rPr>
        <w:rStyle w:val="56"/>
      </w:rPr>
      <w:instrText xml:space="preserve">PAGE  </w:instrText>
    </w:r>
    <w:r>
      <w:fldChar w:fldCharType="separate"/>
    </w:r>
    <w:r>
      <w:rPr>
        <w:rStyle w:val="56"/>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k582qtgEAAFcDAAAOAAAAAAAAAAEAIAAAACIBAABkcnMvZTJvRG9jLnhtbFBLBQYAAAAABgAG&#10;AFkBAABKBQ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6"/>
      </w:rPr>
    </w:pPr>
    <w:r>
      <w:fldChar w:fldCharType="begin"/>
    </w:r>
    <w:r>
      <w:rPr>
        <w:rStyle w:val="56"/>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QaFtwtgEAAFcDAAAOAAAAAAAAAAEAIAAAACIBAABkcnMvZTJvRG9jLnhtbFBLBQYAAAAABgAG&#10;AFkBAABKBQ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57216"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1">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2">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3">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F"/>
    <w:multiLevelType w:val="multilevel"/>
    <w:tmpl w:val="0000001F"/>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CD56B5A"/>
    <w:multiLevelType w:val="multilevel"/>
    <w:tmpl w:val="0CD56B5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1CF5C6F"/>
    <w:multiLevelType w:val="multilevel"/>
    <w:tmpl w:val="11CF5C6F"/>
    <w:lvl w:ilvl="0" w:tentative="0">
      <w:start w:val="1"/>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97311E1"/>
    <w:multiLevelType w:val="multilevel"/>
    <w:tmpl w:val="197311E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9">
    <w:nsid w:val="272B4955"/>
    <w:multiLevelType w:val="multilevel"/>
    <w:tmpl w:val="272B495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21">
    <w:nsid w:val="38EE3305"/>
    <w:multiLevelType w:val="multilevel"/>
    <w:tmpl w:val="38EE330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46A4F3E"/>
    <w:multiLevelType w:val="multilevel"/>
    <w:tmpl w:val="446A4F3E"/>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DFE45E5"/>
    <w:multiLevelType w:val="multilevel"/>
    <w:tmpl w:val="4DFE45E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25">
    <w:nsid w:val="57289543"/>
    <w:multiLevelType w:val="singleLevel"/>
    <w:tmpl w:val="57289543"/>
    <w:lvl w:ilvl="0" w:tentative="0">
      <w:start w:val="7"/>
      <w:numFmt w:val="decimal"/>
      <w:suff w:val="nothing"/>
      <w:lvlText w:val="%1)"/>
      <w:lvlJc w:val="left"/>
    </w:lvl>
  </w:abstractNum>
  <w:abstractNum w:abstractNumId="26">
    <w:nsid w:val="5D809549"/>
    <w:multiLevelType w:val="singleLevel"/>
    <w:tmpl w:val="5D809549"/>
    <w:lvl w:ilvl="0" w:tentative="0">
      <w:start w:val="1"/>
      <w:numFmt w:val="chineseCounting"/>
      <w:suff w:val="nothing"/>
      <w:lvlText w:val="%1、"/>
      <w:lvlJc w:val="left"/>
    </w:lvl>
  </w:abstractNum>
  <w:abstractNum w:abstractNumId="27">
    <w:nsid w:val="5D8099A3"/>
    <w:multiLevelType w:val="singleLevel"/>
    <w:tmpl w:val="5D8099A3"/>
    <w:lvl w:ilvl="0" w:tentative="0">
      <w:start w:val="2"/>
      <w:numFmt w:val="decimal"/>
      <w:suff w:val="nothing"/>
      <w:lvlText w:val="%1、"/>
      <w:lvlJc w:val="left"/>
    </w:lvl>
  </w:abstractNum>
  <w:abstractNum w:abstractNumId="28">
    <w:nsid w:val="61750910"/>
    <w:multiLevelType w:val="multilevel"/>
    <w:tmpl w:val="61750910"/>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2192583"/>
    <w:multiLevelType w:val="multilevel"/>
    <w:tmpl w:val="6219258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3B556C6"/>
    <w:multiLevelType w:val="multilevel"/>
    <w:tmpl w:val="63B556C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8"/>
  </w:num>
  <w:num w:numId="3">
    <w:abstractNumId w:val="20"/>
  </w:num>
  <w:num w:numId="4">
    <w:abstractNumId w:val="12"/>
  </w:num>
  <w:num w:numId="5">
    <w:abstractNumId w:val="9"/>
  </w:num>
  <w:num w:numId="6">
    <w:abstractNumId w:val="5"/>
  </w:num>
  <w:num w:numId="7">
    <w:abstractNumId w:val="3"/>
  </w:num>
  <w:num w:numId="8">
    <w:abstractNumId w:val="6"/>
  </w:num>
  <w:num w:numId="9">
    <w:abstractNumId w:val="13"/>
  </w:num>
  <w:num w:numId="10">
    <w:abstractNumId w:val="11"/>
  </w:num>
  <w:num w:numId="11">
    <w:abstractNumId w:val="10"/>
  </w:num>
  <w:num w:numId="12">
    <w:abstractNumId w:val="2"/>
  </w:num>
  <w:num w:numId="13">
    <w:abstractNumId w:val="0"/>
  </w:num>
  <w:num w:numId="14">
    <w:abstractNumId w:val="23"/>
  </w:num>
  <w:num w:numId="15">
    <w:abstractNumId w:val="27"/>
  </w:num>
  <w:num w:numId="16">
    <w:abstractNumId w:val="4"/>
  </w:num>
  <w:num w:numId="17">
    <w:abstractNumId w:val="25"/>
  </w:num>
  <w:num w:numId="18">
    <w:abstractNumId w:val="26"/>
  </w:num>
  <w:num w:numId="19">
    <w:abstractNumId w:val="15"/>
  </w:num>
  <w:num w:numId="20">
    <w:abstractNumId w:val="16"/>
  </w:num>
  <w:num w:numId="21">
    <w:abstractNumId w:val="30"/>
  </w:num>
  <w:num w:numId="22">
    <w:abstractNumId w:val="22"/>
  </w:num>
  <w:num w:numId="23">
    <w:abstractNumId w:val="28"/>
  </w:num>
  <w:num w:numId="24">
    <w:abstractNumId w:val="29"/>
  </w:num>
  <w:num w:numId="25">
    <w:abstractNumId w:val="21"/>
  </w:num>
  <w:num w:numId="26">
    <w:abstractNumId w:val="19"/>
  </w:num>
  <w:num w:numId="27">
    <w:abstractNumId w:val="1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0"/>
    <w:rsid w:val="00010435"/>
    <w:rsid w:val="0002249C"/>
    <w:rsid w:val="00027890"/>
    <w:rsid w:val="00027CAC"/>
    <w:rsid w:val="000310C4"/>
    <w:rsid w:val="00035CB4"/>
    <w:rsid w:val="00036141"/>
    <w:rsid w:val="00055CD6"/>
    <w:rsid w:val="000656BF"/>
    <w:rsid w:val="00075200"/>
    <w:rsid w:val="000823D9"/>
    <w:rsid w:val="000E3D5A"/>
    <w:rsid w:val="000F69BF"/>
    <w:rsid w:val="00106809"/>
    <w:rsid w:val="00113D74"/>
    <w:rsid w:val="0011439F"/>
    <w:rsid w:val="00114927"/>
    <w:rsid w:val="00135223"/>
    <w:rsid w:val="00145E79"/>
    <w:rsid w:val="00152EFD"/>
    <w:rsid w:val="00154A8C"/>
    <w:rsid w:val="001617C8"/>
    <w:rsid w:val="00172A27"/>
    <w:rsid w:val="001749FA"/>
    <w:rsid w:val="00180D42"/>
    <w:rsid w:val="001B549E"/>
    <w:rsid w:val="001B72E4"/>
    <w:rsid w:val="001D4260"/>
    <w:rsid w:val="001E2687"/>
    <w:rsid w:val="002002A4"/>
    <w:rsid w:val="00201FF9"/>
    <w:rsid w:val="00216ABC"/>
    <w:rsid w:val="002172C9"/>
    <w:rsid w:val="00227BF3"/>
    <w:rsid w:val="0025609E"/>
    <w:rsid w:val="00267764"/>
    <w:rsid w:val="00270A95"/>
    <w:rsid w:val="002908F6"/>
    <w:rsid w:val="00291FAB"/>
    <w:rsid w:val="002C0888"/>
    <w:rsid w:val="002D687C"/>
    <w:rsid w:val="002E58AE"/>
    <w:rsid w:val="002F557F"/>
    <w:rsid w:val="00354336"/>
    <w:rsid w:val="003613BD"/>
    <w:rsid w:val="00371F4A"/>
    <w:rsid w:val="00376337"/>
    <w:rsid w:val="003824C3"/>
    <w:rsid w:val="00391ED7"/>
    <w:rsid w:val="00393E42"/>
    <w:rsid w:val="003C2F31"/>
    <w:rsid w:val="003F155D"/>
    <w:rsid w:val="004207FB"/>
    <w:rsid w:val="0044257A"/>
    <w:rsid w:val="0045071E"/>
    <w:rsid w:val="0046288B"/>
    <w:rsid w:val="00465BC3"/>
    <w:rsid w:val="00473DA1"/>
    <w:rsid w:val="004D2652"/>
    <w:rsid w:val="004D7717"/>
    <w:rsid w:val="004E24C5"/>
    <w:rsid w:val="004F2737"/>
    <w:rsid w:val="004F6105"/>
    <w:rsid w:val="00535E71"/>
    <w:rsid w:val="005471BA"/>
    <w:rsid w:val="00553F3A"/>
    <w:rsid w:val="00555F92"/>
    <w:rsid w:val="00563F71"/>
    <w:rsid w:val="005A06DF"/>
    <w:rsid w:val="005A539A"/>
    <w:rsid w:val="005B5C14"/>
    <w:rsid w:val="005F1AA0"/>
    <w:rsid w:val="005F37C4"/>
    <w:rsid w:val="006023DD"/>
    <w:rsid w:val="006071A1"/>
    <w:rsid w:val="0063318C"/>
    <w:rsid w:val="00636A66"/>
    <w:rsid w:val="00637720"/>
    <w:rsid w:val="006421D2"/>
    <w:rsid w:val="00643C95"/>
    <w:rsid w:val="006529BE"/>
    <w:rsid w:val="00675141"/>
    <w:rsid w:val="00694DD2"/>
    <w:rsid w:val="006C4ED2"/>
    <w:rsid w:val="006E2C33"/>
    <w:rsid w:val="006E4CD7"/>
    <w:rsid w:val="006F3B65"/>
    <w:rsid w:val="006F6156"/>
    <w:rsid w:val="00722579"/>
    <w:rsid w:val="007266BA"/>
    <w:rsid w:val="00737573"/>
    <w:rsid w:val="0075111E"/>
    <w:rsid w:val="00766AFF"/>
    <w:rsid w:val="0079444F"/>
    <w:rsid w:val="007A6701"/>
    <w:rsid w:val="007B21FC"/>
    <w:rsid w:val="007B3581"/>
    <w:rsid w:val="007F1FF8"/>
    <w:rsid w:val="007F2B89"/>
    <w:rsid w:val="00803E82"/>
    <w:rsid w:val="00803F10"/>
    <w:rsid w:val="00821042"/>
    <w:rsid w:val="00821BD7"/>
    <w:rsid w:val="00831E15"/>
    <w:rsid w:val="00835AD1"/>
    <w:rsid w:val="008371B0"/>
    <w:rsid w:val="00847835"/>
    <w:rsid w:val="008978FA"/>
    <w:rsid w:val="008A0878"/>
    <w:rsid w:val="008B5078"/>
    <w:rsid w:val="008B52E4"/>
    <w:rsid w:val="008C4084"/>
    <w:rsid w:val="008C4968"/>
    <w:rsid w:val="008E129D"/>
    <w:rsid w:val="008E4970"/>
    <w:rsid w:val="009009BC"/>
    <w:rsid w:val="00904619"/>
    <w:rsid w:val="009229CB"/>
    <w:rsid w:val="009329DD"/>
    <w:rsid w:val="009422CE"/>
    <w:rsid w:val="00944D1A"/>
    <w:rsid w:val="00951A8F"/>
    <w:rsid w:val="009B27B4"/>
    <w:rsid w:val="009C6B18"/>
    <w:rsid w:val="009E2C75"/>
    <w:rsid w:val="009F7268"/>
    <w:rsid w:val="00A03228"/>
    <w:rsid w:val="00A1101A"/>
    <w:rsid w:val="00A11A47"/>
    <w:rsid w:val="00A37D41"/>
    <w:rsid w:val="00A52F6D"/>
    <w:rsid w:val="00A752A6"/>
    <w:rsid w:val="00A82229"/>
    <w:rsid w:val="00A975B4"/>
    <w:rsid w:val="00AA7D8C"/>
    <w:rsid w:val="00AB4015"/>
    <w:rsid w:val="00B04B0E"/>
    <w:rsid w:val="00B16495"/>
    <w:rsid w:val="00B225FD"/>
    <w:rsid w:val="00B248DA"/>
    <w:rsid w:val="00B27975"/>
    <w:rsid w:val="00B3522D"/>
    <w:rsid w:val="00B50EA0"/>
    <w:rsid w:val="00B71A50"/>
    <w:rsid w:val="00B74DE3"/>
    <w:rsid w:val="00B818AE"/>
    <w:rsid w:val="00B8723E"/>
    <w:rsid w:val="00B96173"/>
    <w:rsid w:val="00BB399A"/>
    <w:rsid w:val="00BB48AD"/>
    <w:rsid w:val="00BB6F89"/>
    <w:rsid w:val="00BC02E2"/>
    <w:rsid w:val="00BF09ED"/>
    <w:rsid w:val="00BF27E1"/>
    <w:rsid w:val="00C008CC"/>
    <w:rsid w:val="00C00F5A"/>
    <w:rsid w:val="00C16CB7"/>
    <w:rsid w:val="00C2037E"/>
    <w:rsid w:val="00C25C61"/>
    <w:rsid w:val="00C40AF8"/>
    <w:rsid w:val="00C5753E"/>
    <w:rsid w:val="00C61390"/>
    <w:rsid w:val="00C9061D"/>
    <w:rsid w:val="00C9065B"/>
    <w:rsid w:val="00C97323"/>
    <w:rsid w:val="00CB45F9"/>
    <w:rsid w:val="00CC3CDE"/>
    <w:rsid w:val="00CD0AE3"/>
    <w:rsid w:val="00CD2444"/>
    <w:rsid w:val="00CD3B80"/>
    <w:rsid w:val="00D07594"/>
    <w:rsid w:val="00D17FB1"/>
    <w:rsid w:val="00D31F0D"/>
    <w:rsid w:val="00D34EDF"/>
    <w:rsid w:val="00D35C22"/>
    <w:rsid w:val="00D56F2A"/>
    <w:rsid w:val="00D954DE"/>
    <w:rsid w:val="00DB7E8A"/>
    <w:rsid w:val="00DF0CE0"/>
    <w:rsid w:val="00E023D0"/>
    <w:rsid w:val="00E438D2"/>
    <w:rsid w:val="00E53F8C"/>
    <w:rsid w:val="00E55F5A"/>
    <w:rsid w:val="00E61200"/>
    <w:rsid w:val="00E63FBE"/>
    <w:rsid w:val="00E7282E"/>
    <w:rsid w:val="00E80F9B"/>
    <w:rsid w:val="00E90F29"/>
    <w:rsid w:val="00EA1D81"/>
    <w:rsid w:val="00EB1ABE"/>
    <w:rsid w:val="00EB4346"/>
    <w:rsid w:val="00EB4766"/>
    <w:rsid w:val="00EC52AF"/>
    <w:rsid w:val="00EC6E88"/>
    <w:rsid w:val="00ED0FB7"/>
    <w:rsid w:val="00ED1779"/>
    <w:rsid w:val="00EE7CA8"/>
    <w:rsid w:val="00EF6736"/>
    <w:rsid w:val="00EF6B76"/>
    <w:rsid w:val="00EF70D6"/>
    <w:rsid w:val="00F014C7"/>
    <w:rsid w:val="00F04A9D"/>
    <w:rsid w:val="00F07594"/>
    <w:rsid w:val="00F20A56"/>
    <w:rsid w:val="00F31719"/>
    <w:rsid w:val="00F32C3A"/>
    <w:rsid w:val="00F54AFB"/>
    <w:rsid w:val="00FC4DD8"/>
    <w:rsid w:val="00FD2681"/>
    <w:rsid w:val="00FD40C9"/>
    <w:rsid w:val="01016788"/>
    <w:rsid w:val="010B18A0"/>
    <w:rsid w:val="01630778"/>
    <w:rsid w:val="01A12C3F"/>
    <w:rsid w:val="01D142D7"/>
    <w:rsid w:val="021F4C81"/>
    <w:rsid w:val="02414B92"/>
    <w:rsid w:val="028366E4"/>
    <w:rsid w:val="02A56B80"/>
    <w:rsid w:val="02B5383F"/>
    <w:rsid w:val="02C560C8"/>
    <w:rsid w:val="02F741FF"/>
    <w:rsid w:val="03240B2D"/>
    <w:rsid w:val="03404A6C"/>
    <w:rsid w:val="035324D3"/>
    <w:rsid w:val="03601E29"/>
    <w:rsid w:val="036719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F2807"/>
    <w:rsid w:val="074D0B91"/>
    <w:rsid w:val="07667537"/>
    <w:rsid w:val="076F789A"/>
    <w:rsid w:val="0784472B"/>
    <w:rsid w:val="079B0031"/>
    <w:rsid w:val="079F5559"/>
    <w:rsid w:val="07E16810"/>
    <w:rsid w:val="084C0B9D"/>
    <w:rsid w:val="0873640D"/>
    <w:rsid w:val="08783888"/>
    <w:rsid w:val="08AE00F7"/>
    <w:rsid w:val="08C30F20"/>
    <w:rsid w:val="09717CB2"/>
    <w:rsid w:val="09A37C42"/>
    <w:rsid w:val="09B71979"/>
    <w:rsid w:val="09CA4C87"/>
    <w:rsid w:val="0A1846AD"/>
    <w:rsid w:val="0A2B3EC7"/>
    <w:rsid w:val="0A334DE9"/>
    <w:rsid w:val="0A3673D1"/>
    <w:rsid w:val="0A747C95"/>
    <w:rsid w:val="0A99628C"/>
    <w:rsid w:val="0AA12C61"/>
    <w:rsid w:val="0AB00F86"/>
    <w:rsid w:val="0AD50B07"/>
    <w:rsid w:val="0B0D3780"/>
    <w:rsid w:val="0B192E69"/>
    <w:rsid w:val="0B1E5674"/>
    <w:rsid w:val="0C405D06"/>
    <w:rsid w:val="0C5F45C4"/>
    <w:rsid w:val="0C6352C9"/>
    <w:rsid w:val="0C694A19"/>
    <w:rsid w:val="0C6E22F8"/>
    <w:rsid w:val="0C752414"/>
    <w:rsid w:val="0C781DA4"/>
    <w:rsid w:val="0CA4014A"/>
    <w:rsid w:val="0CA90085"/>
    <w:rsid w:val="0CF9441B"/>
    <w:rsid w:val="0CFE63A4"/>
    <w:rsid w:val="0D0807FC"/>
    <w:rsid w:val="0D33119A"/>
    <w:rsid w:val="0D4A2577"/>
    <w:rsid w:val="0D4D7EA2"/>
    <w:rsid w:val="0D596969"/>
    <w:rsid w:val="0D6D348A"/>
    <w:rsid w:val="0D9C0739"/>
    <w:rsid w:val="0DC77E1F"/>
    <w:rsid w:val="0DE500C7"/>
    <w:rsid w:val="0E30061A"/>
    <w:rsid w:val="0E693E94"/>
    <w:rsid w:val="0EAB15DF"/>
    <w:rsid w:val="0EBD4ECC"/>
    <w:rsid w:val="0EC12B61"/>
    <w:rsid w:val="0ECB16D0"/>
    <w:rsid w:val="0F0F3E67"/>
    <w:rsid w:val="0F554B61"/>
    <w:rsid w:val="0F703AFE"/>
    <w:rsid w:val="0F901408"/>
    <w:rsid w:val="0FA658B8"/>
    <w:rsid w:val="0FA725F9"/>
    <w:rsid w:val="0FB125A0"/>
    <w:rsid w:val="1007384E"/>
    <w:rsid w:val="107962EB"/>
    <w:rsid w:val="107D7A08"/>
    <w:rsid w:val="10C4053D"/>
    <w:rsid w:val="10D24A7B"/>
    <w:rsid w:val="10D763F7"/>
    <w:rsid w:val="10DA580F"/>
    <w:rsid w:val="111A2A3D"/>
    <w:rsid w:val="11244D2A"/>
    <w:rsid w:val="114253E0"/>
    <w:rsid w:val="11461A94"/>
    <w:rsid w:val="115D274C"/>
    <w:rsid w:val="115E3727"/>
    <w:rsid w:val="11B472DB"/>
    <w:rsid w:val="11B60E20"/>
    <w:rsid w:val="1207493D"/>
    <w:rsid w:val="124364E9"/>
    <w:rsid w:val="125654B3"/>
    <w:rsid w:val="129E014D"/>
    <w:rsid w:val="12AC1D0D"/>
    <w:rsid w:val="12BA6A0A"/>
    <w:rsid w:val="12C2266E"/>
    <w:rsid w:val="12CB160F"/>
    <w:rsid w:val="12D77FEC"/>
    <w:rsid w:val="12DB00BA"/>
    <w:rsid w:val="12F90EE0"/>
    <w:rsid w:val="1305698C"/>
    <w:rsid w:val="1306089F"/>
    <w:rsid w:val="13276FF6"/>
    <w:rsid w:val="13693296"/>
    <w:rsid w:val="139726F4"/>
    <w:rsid w:val="139B4F53"/>
    <w:rsid w:val="13CE5FC4"/>
    <w:rsid w:val="13F53443"/>
    <w:rsid w:val="144C6770"/>
    <w:rsid w:val="147778EA"/>
    <w:rsid w:val="14943CCC"/>
    <w:rsid w:val="14CD7B2A"/>
    <w:rsid w:val="14F865C3"/>
    <w:rsid w:val="150F189B"/>
    <w:rsid w:val="1517294D"/>
    <w:rsid w:val="153642D6"/>
    <w:rsid w:val="15457698"/>
    <w:rsid w:val="154A5906"/>
    <w:rsid w:val="158A75E1"/>
    <w:rsid w:val="1592511B"/>
    <w:rsid w:val="159C567E"/>
    <w:rsid w:val="15A520DA"/>
    <w:rsid w:val="15C0221F"/>
    <w:rsid w:val="15D77617"/>
    <w:rsid w:val="15E6513C"/>
    <w:rsid w:val="15E819C1"/>
    <w:rsid w:val="160500F3"/>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E453C"/>
    <w:rsid w:val="18E514CE"/>
    <w:rsid w:val="190848C5"/>
    <w:rsid w:val="190A3B3E"/>
    <w:rsid w:val="191474B7"/>
    <w:rsid w:val="192C0FEE"/>
    <w:rsid w:val="19331160"/>
    <w:rsid w:val="19496281"/>
    <w:rsid w:val="196F6FC1"/>
    <w:rsid w:val="19711A8D"/>
    <w:rsid w:val="19992BD1"/>
    <w:rsid w:val="19AB5ACC"/>
    <w:rsid w:val="19CA0483"/>
    <w:rsid w:val="1A6E6871"/>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628F7"/>
    <w:rsid w:val="1C79295A"/>
    <w:rsid w:val="1CA03602"/>
    <w:rsid w:val="1CBF26E7"/>
    <w:rsid w:val="1CCC24BC"/>
    <w:rsid w:val="1CE512E6"/>
    <w:rsid w:val="1CEF2480"/>
    <w:rsid w:val="1D8A0E3C"/>
    <w:rsid w:val="1D9254CD"/>
    <w:rsid w:val="1DA15E50"/>
    <w:rsid w:val="1DB27B15"/>
    <w:rsid w:val="1DB87E85"/>
    <w:rsid w:val="1DC85751"/>
    <w:rsid w:val="1DC934BA"/>
    <w:rsid w:val="1DEB61F5"/>
    <w:rsid w:val="1E16086E"/>
    <w:rsid w:val="1E927FD6"/>
    <w:rsid w:val="1E9860A5"/>
    <w:rsid w:val="1EA838E7"/>
    <w:rsid w:val="1ED20877"/>
    <w:rsid w:val="1EF77DC5"/>
    <w:rsid w:val="1EFA5E2E"/>
    <w:rsid w:val="1F383ACC"/>
    <w:rsid w:val="1F596305"/>
    <w:rsid w:val="1F9062F5"/>
    <w:rsid w:val="1FEB5C6A"/>
    <w:rsid w:val="202209B9"/>
    <w:rsid w:val="2028006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EC4950"/>
    <w:rsid w:val="22ED5F44"/>
    <w:rsid w:val="231A56E2"/>
    <w:rsid w:val="231F7C19"/>
    <w:rsid w:val="232B5FAF"/>
    <w:rsid w:val="233F76E0"/>
    <w:rsid w:val="23481CC9"/>
    <w:rsid w:val="235F1272"/>
    <w:rsid w:val="23AE10BA"/>
    <w:rsid w:val="23E56B32"/>
    <w:rsid w:val="24142B46"/>
    <w:rsid w:val="2433149D"/>
    <w:rsid w:val="246270E4"/>
    <w:rsid w:val="24772C2B"/>
    <w:rsid w:val="248B2E3F"/>
    <w:rsid w:val="24DF22D5"/>
    <w:rsid w:val="25241FCD"/>
    <w:rsid w:val="257008BE"/>
    <w:rsid w:val="258A0443"/>
    <w:rsid w:val="25E86FC2"/>
    <w:rsid w:val="261D7A35"/>
    <w:rsid w:val="263A612D"/>
    <w:rsid w:val="26483965"/>
    <w:rsid w:val="267E61B2"/>
    <w:rsid w:val="268B0B22"/>
    <w:rsid w:val="26BB7E4E"/>
    <w:rsid w:val="26D075A8"/>
    <w:rsid w:val="26D17DBC"/>
    <w:rsid w:val="26D24757"/>
    <w:rsid w:val="274D17E4"/>
    <w:rsid w:val="27506176"/>
    <w:rsid w:val="275D4096"/>
    <w:rsid w:val="27A57C3A"/>
    <w:rsid w:val="27D20BC1"/>
    <w:rsid w:val="27E65DF6"/>
    <w:rsid w:val="280553D3"/>
    <w:rsid w:val="280F6C60"/>
    <w:rsid w:val="281253C2"/>
    <w:rsid w:val="28163476"/>
    <w:rsid w:val="286F250E"/>
    <w:rsid w:val="287D2504"/>
    <w:rsid w:val="2886147E"/>
    <w:rsid w:val="28A87389"/>
    <w:rsid w:val="28B81772"/>
    <w:rsid w:val="291176CC"/>
    <w:rsid w:val="291C67BC"/>
    <w:rsid w:val="29573123"/>
    <w:rsid w:val="297F7A53"/>
    <w:rsid w:val="2992095F"/>
    <w:rsid w:val="29AC6651"/>
    <w:rsid w:val="29C4608A"/>
    <w:rsid w:val="29F21662"/>
    <w:rsid w:val="29F51AC1"/>
    <w:rsid w:val="29F51D07"/>
    <w:rsid w:val="29FC30C2"/>
    <w:rsid w:val="2A783D0E"/>
    <w:rsid w:val="2A9C0461"/>
    <w:rsid w:val="2AD0515C"/>
    <w:rsid w:val="2AF16E8B"/>
    <w:rsid w:val="2B27452A"/>
    <w:rsid w:val="2B2D4BDC"/>
    <w:rsid w:val="2B767712"/>
    <w:rsid w:val="2BBA7AC6"/>
    <w:rsid w:val="2BFC26B9"/>
    <w:rsid w:val="2C3C0A88"/>
    <w:rsid w:val="2C596FFF"/>
    <w:rsid w:val="2CA6566A"/>
    <w:rsid w:val="2CAE7599"/>
    <w:rsid w:val="2CB749B3"/>
    <w:rsid w:val="2CBB6294"/>
    <w:rsid w:val="2CBF39BD"/>
    <w:rsid w:val="2D2E04D4"/>
    <w:rsid w:val="2D3878C4"/>
    <w:rsid w:val="2D3A4057"/>
    <w:rsid w:val="2D994DBE"/>
    <w:rsid w:val="2DC06900"/>
    <w:rsid w:val="2DD53F02"/>
    <w:rsid w:val="2E0A0263"/>
    <w:rsid w:val="2E3359F5"/>
    <w:rsid w:val="2E73484D"/>
    <w:rsid w:val="2E734C4D"/>
    <w:rsid w:val="2E9A7164"/>
    <w:rsid w:val="2EE1137A"/>
    <w:rsid w:val="2EEB0819"/>
    <w:rsid w:val="2F010E90"/>
    <w:rsid w:val="2F0C69E6"/>
    <w:rsid w:val="2F0D5CED"/>
    <w:rsid w:val="2F236129"/>
    <w:rsid w:val="2F2C56BA"/>
    <w:rsid w:val="2F356A16"/>
    <w:rsid w:val="2F4614DA"/>
    <w:rsid w:val="2FA00DAE"/>
    <w:rsid w:val="30081603"/>
    <w:rsid w:val="31190489"/>
    <w:rsid w:val="31232963"/>
    <w:rsid w:val="315857B1"/>
    <w:rsid w:val="31AB6658"/>
    <w:rsid w:val="31BC3F1B"/>
    <w:rsid w:val="32137CF0"/>
    <w:rsid w:val="32224344"/>
    <w:rsid w:val="32340C69"/>
    <w:rsid w:val="32363F32"/>
    <w:rsid w:val="32471F5A"/>
    <w:rsid w:val="3253078F"/>
    <w:rsid w:val="325E3A96"/>
    <w:rsid w:val="32B7356F"/>
    <w:rsid w:val="330C088A"/>
    <w:rsid w:val="33185471"/>
    <w:rsid w:val="332A5E08"/>
    <w:rsid w:val="334F202E"/>
    <w:rsid w:val="33A04007"/>
    <w:rsid w:val="33A60671"/>
    <w:rsid w:val="33AF4FB4"/>
    <w:rsid w:val="33DE4357"/>
    <w:rsid w:val="34121E45"/>
    <w:rsid w:val="341D5AAB"/>
    <w:rsid w:val="342732F1"/>
    <w:rsid w:val="342B2E3E"/>
    <w:rsid w:val="3454463B"/>
    <w:rsid w:val="346B507B"/>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1D6A89"/>
    <w:rsid w:val="386D019E"/>
    <w:rsid w:val="38894B13"/>
    <w:rsid w:val="38C10BFB"/>
    <w:rsid w:val="38DD791D"/>
    <w:rsid w:val="3920221B"/>
    <w:rsid w:val="39334BFF"/>
    <w:rsid w:val="393667C3"/>
    <w:rsid w:val="393A7A07"/>
    <w:rsid w:val="39457CAF"/>
    <w:rsid w:val="3948048E"/>
    <w:rsid w:val="39B565E1"/>
    <w:rsid w:val="39D4235F"/>
    <w:rsid w:val="3A006410"/>
    <w:rsid w:val="3A257802"/>
    <w:rsid w:val="3A606A76"/>
    <w:rsid w:val="3A921749"/>
    <w:rsid w:val="3AA81B41"/>
    <w:rsid w:val="3AE32AA3"/>
    <w:rsid w:val="3B143086"/>
    <w:rsid w:val="3B1A2D8C"/>
    <w:rsid w:val="3B4042AB"/>
    <w:rsid w:val="3B66210B"/>
    <w:rsid w:val="3B7F1810"/>
    <w:rsid w:val="3B972AF7"/>
    <w:rsid w:val="3BB70D15"/>
    <w:rsid w:val="3BC91BB9"/>
    <w:rsid w:val="3C120308"/>
    <w:rsid w:val="3C42650A"/>
    <w:rsid w:val="3C762DF2"/>
    <w:rsid w:val="3C7D1D40"/>
    <w:rsid w:val="3C9B51F8"/>
    <w:rsid w:val="3CDD0DBD"/>
    <w:rsid w:val="3D101034"/>
    <w:rsid w:val="3D544EBB"/>
    <w:rsid w:val="3E136ED4"/>
    <w:rsid w:val="3E782727"/>
    <w:rsid w:val="3E8A1A02"/>
    <w:rsid w:val="3E8E765E"/>
    <w:rsid w:val="3EA9393D"/>
    <w:rsid w:val="3EAD0498"/>
    <w:rsid w:val="3EC56D78"/>
    <w:rsid w:val="3EC7715A"/>
    <w:rsid w:val="3ED16A4F"/>
    <w:rsid w:val="3EDC543E"/>
    <w:rsid w:val="3EF75B65"/>
    <w:rsid w:val="3EFB570C"/>
    <w:rsid w:val="3F2B7413"/>
    <w:rsid w:val="3F5871FB"/>
    <w:rsid w:val="3F8E35DC"/>
    <w:rsid w:val="3F8F5DC2"/>
    <w:rsid w:val="3FA46F4F"/>
    <w:rsid w:val="3FB00475"/>
    <w:rsid w:val="3FBF5991"/>
    <w:rsid w:val="3FE10717"/>
    <w:rsid w:val="40023F34"/>
    <w:rsid w:val="40090025"/>
    <w:rsid w:val="40181902"/>
    <w:rsid w:val="40411288"/>
    <w:rsid w:val="404742BD"/>
    <w:rsid w:val="40600DD5"/>
    <w:rsid w:val="40E21CB8"/>
    <w:rsid w:val="410F31C3"/>
    <w:rsid w:val="4112553B"/>
    <w:rsid w:val="41344AAB"/>
    <w:rsid w:val="41550C30"/>
    <w:rsid w:val="41875FCE"/>
    <w:rsid w:val="4190424D"/>
    <w:rsid w:val="41F6399A"/>
    <w:rsid w:val="41F94DC7"/>
    <w:rsid w:val="41FA3A29"/>
    <w:rsid w:val="42137C42"/>
    <w:rsid w:val="422E57D7"/>
    <w:rsid w:val="42555DF7"/>
    <w:rsid w:val="42A27001"/>
    <w:rsid w:val="42C507A4"/>
    <w:rsid w:val="42F07508"/>
    <w:rsid w:val="43270B23"/>
    <w:rsid w:val="43366434"/>
    <w:rsid w:val="434A0913"/>
    <w:rsid w:val="4362758D"/>
    <w:rsid w:val="436A64E9"/>
    <w:rsid w:val="43711057"/>
    <w:rsid w:val="439C4F5E"/>
    <w:rsid w:val="43E630D7"/>
    <w:rsid w:val="43F02783"/>
    <w:rsid w:val="441E75D0"/>
    <w:rsid w:val="44656E26"/>
    <w:rsid w:val="44786783"/>
    <w:rsid w:val="449457D3"/>
    <w:rsid w:val="44BE5C95"/>
    <w:rsid w:val="44DD6EB7"/>
    <w:rsid w:val="450018DF"/>
    <w:rsid w:val="450F2BC2"/>
    <w:rsid w:val="45105BA8"/>
    <w:rsid w:val="451D2C75"/>
    <w:rsid w:val="454746DD"/>
    <w:rsid w:val="455367B2"/>
    <w:rsid w:val="45555732"/>
    <w:rsid w:val="455F10D7"/>
    <w:rsid w:val="456355DA"/>
    <w:rsid w:val="459C4648"/>
    <w:rsid w:val="45A02EDD"/>
    <w:rsid w:val="45E61BCA"/>
    <w:rsid w:val="4638018C"/>
    <w:rsid w:val="46416C3D"/>
    <w:rsid w:val="46433285"/>
    <w:rsid w:val="46526D41"/>
    <w:rsid w:val="46584865"/>
    <w:rsid w:val="468200E4"/>
    <w:rsid w:val="469815BE"/>
    <w:rsid w:val="46B27CB1"/>
    <w:rsid w:val="46D34E98"/>
    <w:rsid w:val="47001117"/>
    <w:rsid w:val="47246805"/>
    <w:rsid w:val="47492E75"/>
    <w:rsid w:val="474F7F9F"/>
    <w:rsid w:val="475F3AC1"/>
    <w:rsid w:val="479A2ED2"/>
    <w:rsid w:val="47B328B4"/>
    <w:rsid w:val="47C13542"/>
    <w:rsid w:val="48113D01"/>
    <w:rsid w:val="484C7B11"/>
    <w:rsid w:val="485E0A04"/>
    <w:rsid w:val="48761BE3"/>
    <w:rsid w:val="48A4548A"/>
    <w:rsid w:val="48A57E1F"/>
    <w:rsid w:val="48DE3BBF"/>
    <w:rsid w:val="491D19DF"/>
    <w:rsid w:val="49304CB2"/>
    <w:rsid w:val="496F6EBE"/>
    <w:rsid w:val="49814F4C"/>
    <w:rsid w:val="49A364F7"/>
    <w:rsid w:val="49C4569B"/>
    <w:rsid w:val="4A074043"/>
    <w:rsid w:val="4A090DC7"/>
    <w:rsid w:val="4A091441"/>
    <w:rsid w:val="4A14567E"/>
    <w:rsid w:val="4A1E6180"/>
    <w:rsid w:val="4A2308FE"/>
    <w:rsid w:val="4A287AB1"/>
    <w:rsid w:val="4A505FAA"/>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5C46FA"/>
    <w:rsid w:val="4C850277"/>
    <w:rsid w:val="4C9904F2"/>
    <w:rsid w:val="4D354FF0"/>
    <w:rsid w:val="4D4C32B8"/>
    <w:rsid w:val="4DBB048A"/>
    <w:rsid w:val="4DE07DE4"/>
    <w:rsid w:val="4E0D5D14"/>
    <w:rsid w:val="4E2F45C0"/>
    <w:rsid w:val="4E363F2F"/>
    <w:rsid w:val="4EA546F0"/>
    <w:rsid w:val="4EAF3AED"/>
    <w:rsid w:val="4EB0019E"/>
    <w:rsid w:val="4ECB1385"/>
    <w:rsid w:val="4ED32851"/>
    <w:rsid w:val="4ED35762"/>
    <w:rsid w:val="4EF5014E"/>
    <w:rsid w:val="4EFA3C4E"/>
    <w:rsid w:val="4F235A8E"/>
    <w:rsid w:val="4F33554E"/>
    <w:rsid w:val="4F6461D6"/>
    <w:rsid w:val="4F7B292B"/>
    <w:rsid w:val="4F9E59ED"/>
    <w:rsid w:val="4FDC58FD"/>
    <w:rsid w:val="4FDE1C0C"/>
    <w:rsid w:val="4FF12E27"/>
    <w:rsid w:val="50202BC7"/>
    <w:rsid w:val="50216FE4"/>
    <w:rsid w:val="50614DD7"/>
    <w:rsid w:val="506B628A"/>
    <w:rsid w:val="50787CFE"/>
    <w:rsid w:val="50AE1AE4"/>
    <w:rsid w:val="51167E7F"/>
    <w:rsid w:val="51390032"/>
    <w:rsid w:val="515C74D2"/>
    <w:rsid w:val="51652C0F"/>
    <w:rsid w:val="518D4538"/>
    <w:rsid w:val="51960DFD"/>
    <w:rsid w:val="51BB2BF3"/>
    <w:rsid w:val="51FD0367"/>
    <w:rsid w:val="52377D55"/>
    <w:rsid w:val="52862351"/>
    <w:rsid w:val="52984624"/>
    <w:rsid w:val="52F10B24"/>
    <w:rsid w:val="534A2585"/>
    <w:rsid w:val="53921453"/>
    <w:rsid w:val="53A31787"/>
    <w:rsid w:val="53E637C7"/>
    <w:rsid w:val="53E8647E"/>
    <w:rsid w:val="53F45929"/>
    <w:rsid w:val="53FC0907"/>
    <w:rsid w:val="542D457B"/>
    <w:rsid w:val="5468198B"/>
    <w:rsid w:val="549A0B06"/>
    <w:rsid w:val="54A655A6"/>
    <w:rsid w:val="54DE1AE8"/>
    <w:rsid w:val="54EB74E4"/>
    <w:rsid w:val="55284AD7"/>
    <w:rsid w:val="5530324E"/>
    <w:rsid w:val="55457E29"/>
    <w:rsid w:val="555B0657"/>
    <w:rsid w:val="556032BE"/>
    <w:rsid w:val="55B86023"/>
    <w:rsid w:val="55FF3036"/>
    <w:rsid w:val="56213505"/>
    <w:rsid w:val="56292705"/>
    <w:rsid w:val="5632227A"/>
    <w:rsid w:val="564E3203"/>
    <w:rsid w:val="568C03E5"/>
    <w:rsid w:val="57374E0B"/>
    <w:rsid w:val="57444728"/>
    <w:rsid w:val="575B090B"/>
    <w:rsid w:val="57926FF9"/>
    <w:rsid w:val="57E738F8"/>
    <w:rsid w:val="57EB5B27"/>
    <w:rsid w:val="57EC2D60"/>
    <w:rsid w:val="58263426"/>
    <w:rsid w:val="5829364F"/>
    <w:rsid w:val="583C0E12"/>
    <w:rsid w:val="5862414F"/>
    <w:rsid w:val="58A14304"/>
    <w:rsid w:val="58A3772F"/>
    <w:rsid w:val="58CC5EFE"/>
    <w:rsid w:val="58DC30FE"/>
    <w:rsid w:val="58FB3B6A"/>
    <w:rsid w:val="59205FDE"/>
    <w:rsid w:val="59393A95"/>
    <w:rsid w:val="594A3241"/>
    <w:rsid w:val="594D3E46"/>
    <w:rsid w:val="595C3DA0"/>
    <w:rsid w:val="595E62F2"/>
    <w:rsid w:val="59693F87"/>
    <w:rsid w:val="59B42F07"/>
    <w:rsid w:val="59BB77BA"/>
    <w:rsid w:val="5A07770B"/>
    <w:rsid w:val="5A2C4220"/>
    <w:rsid w:val="5A316507"/>
    <w:rsid w:val="5A497C34"/>
    <w:rsid w:val="5A4C0E52"/>
    <w:rsid w:val="5A7B33E5"/>
    <w:rsid w:val="5A8C664D"/>
    <w:rsid w:val="5AC20EBF"/>
    <w:rsid w:val="5ADF42CD"/>
    <w:rsid w:val="5B3846E5"/>
    <w:rsid w:val="5B5C5E93"/>
    <w:rsid w:val="5B5E3394"/>
    <w:rsid w:val="5B74024A"/>
    <w:rsid w:val="5B792560"/>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B6EDD"/>
    <w:rsid w:val="5D806796"/>
    <w:rsid w:val="5D827D40"/>
    <w:rsid w:val="5DC43C07"/>
    <w:rsid w:val="5DCA3A55"/>
    <w:rsid w:val="5DCD3255"/>
    <w:rsid w:val="5DDD259D"/>
    <w:rsid w:val="5E167AC6"/>
    <w:rsid w:val="5E1718AD"/>
    <w:rsid w:val="5E33770D"/>
    <w:rsid w:val="5E532ADD"/>
    <w:rsid w:val="5E610B28"/>
    <w:rsid w:val="5E66579C"/>
    <w:rsid w:val="5E91320F"/>
    <w:rsid w:val="5E915A7A"/>
    <w:rsid w:val="5EA33A97"/>
    <w:rsid w:val="5ED134B6"/>
    <w:rsid w:val="5EF55DBA"/>
    <w:rsid w:val="5F6B1358"/>
    <w:rsid w:val="5FC866E5"/>
    <w:rsid w:val="60090629"/>
    <w:rsid w:val="60413F7F"/>
    <w:rsid w:val="604552EA"/>
    <w:rsid w:val="60667F2D"/>
    <w:rsid w:val="606A3C6B"/>
    <w:rsid w:val="609B5019"/>
    <w:rsid w:val="60B4769E"/>
    <w:rsid w:val="610242F6"/>
    <w:rsid w:val="6119401A"/>
    <w:rsid w:val="611D2CA6"/>
    <w:rsid w:val="61200642"/>
    <w:rsid w:val="61652DB1"/>
    <w:rsid w:val="61970BE7"/>
    <w:rsid w:val="620A3859"/>
    <w:rsid w:val="62204E0F"/>
    <w:rsid w:val="62207D5C"/>
    <w:rsid w:val="622A6599"/>
    <w:rsid w:val="624063A3"/>
    <w:rsid w:val="62845968"/>
    <w:rsid w:val="62B35B81"/>
    <w:rsid w:val="62B75EDD"/>
    <w:rsid w:val="62C01D55"/>
    <w:rsid w:val="62C92F2D"/>
    <w:rsid w:val="62D93169"/>
    <w:rsid w:val="631D5B18"/>
    <w:rsid w:val="631E201F"/>
    <w:rsid w:val="63320961"/>
    <w:rsid w:val="63577D60"/>
    <w:rsid w:val="636514C6"/>
    <w:rsid w:val="636F701B"/>
    <w:rsid w:val="6382662F"/>
    <w:rsid w:val="63C95202"/>
    <w:rsid w:val="63CB4107"/>
    <w:rsid w:val="64090834"/>
    <w:rsid w:val="64116EAE"/>
    <w:rsid w:val="64272A3B"/>
    <w:rsid w:val="6467063D"/>
    <w:rsid w:val="648F4A0E"/>
    <w:rsid w:val="64937E71"/>
    <w:rsid w:val="6495646A"/>
    <w:rsid w:val="64FA320D"/>
    <w:rsid w:val="65106BD2"/>
    <w:rsid w:val="65953363"/>
    <w:rsid w:val="65B841DE"/>
    <w:rsid w:val="65CA03C9"/>
    <w:rsid w:val="65E1661E"/>
    <w:rsid w:val="660918F9"/>
    <w:rsid w:val="663C1302"/>
    <w:rsid w:val="665F0112"/>
    <w:rsid w:val="669A5886"/>
    <w:rsid w:val="66BF54E4"/>
    <w:rsid w:val="67101119"/>
    <w:rsid w:val="67151BB5"/>
    <w:rsid w:val="67400D4D"/>
    <w:rsid w:val="677A414A"/>
    <w:rsid w:val="67C952B3"/>
    <w:rsid w:val="68720AE2"/>
    <w:rsid w:val="68AA7215"/>
    <w:rsid w:val="68ED6911"/>
    <w:rsid w:val="6903642B"/>
    <w:rsid w:val="690F1870"/>
    <w:rsid w:val="692F5E27"/>
    <w:rsid w:val="69466675"/>
    <w:rsid w:val="698C2B7F"/>
    <w:rsid w:val="69AB5D7A"/>
    <w:rsid w:val="69F575F2"/>
    <w:rsid w:val="6A4C7335"/>
    <w:rsid w:val="6A545ADB"/>
    <w:rsid w:val="6A5D05BD"/>
    <w:rsid w:val="6A6B273C"/>
    <w:rsid w:val="6A703222"/>
    <w:rsid w:val="6AAA18E6"/>
    <w:rsid w:val="6AC938A9"/>
    <w:rsid w:val="6B2F05BC"/>
    <w:rsid w:val="6B435167"/>
    <w:rsid w:val="6BB237C9"/>
    <w:rsid w:val="6BDF1336"/>
    <w:rsid w:val="6C3161F1"/>
    <w:rsid w:val="6C3745DF"/>
    <w:rsid w:val="6C6253EB"/>
    <w:rsid w:val="6C666B72"/>
    <w:rsid w:val="6C8F3EF6"/>
    <w:rsid w:val="6CAD55CC"/>
    <w:rsid w:val="6CBE1616"/>
    <w:rsid w:val="6CC15F94"/>
    <w:rsid w:val="6D0C01A9"/>
    <w:rsid w:val="6D493A0A"/>
    <w:rsid w:val="6D551BE3"/>
    <w:rsid w:val="6D882AE9"/>
    <w:rsid w:val="6D8E2C9C"/>
    <w:rsid w:val="6DAD51A4"/>
    <w:rsid w:val="6E017D0E"/>
    <w:rsid w:val="6E1E1DB6"/>
    <w:rsid w:val="6E3F4BAC"/>
    <w:rsid w:val="6E735A03"/>
    <w:rsid w:val="6EA04E08"/>
    <w:rsid w:val="6EAA18F7"/>
    <w:rsid w:val="6ECF710B"/>
    <w:rsid w:val="6EEE5D94"/>
    <w:rsid w:val="6F0B5A13"/>
    <w:rsid w:val="6F1579C7"/>
    <w:rsid w:val="6F175448"/>
    <w:rsid w:val="6F62521C"/>
    <w:rsid w:val="6F782463"/>
    <w:rsid w:val="6FC26F58"/>
    <w:rsid w:val="6FD761EC"/>
    <w:rsid w:val="6FF1085F"/>
    <w:rsid w:val="70750A7A"/>
    <w:rsid w:val="70991D59"/>
    <w:rsid w:val="709A5C21"/>
    <w:rsid w:val="70D02722"/>
    <w:rsid w:val="714B6CD7"/>
    <w:rsid w:val="71D8215F"/>
    <w:rsid w:val="71DF1D07"/>
    <w:rsid w:val="71FB7CB1"/>
    <w:rsid w:val="720D209A"/>
    <w:rsid w:val="7221044F"/>
    <w:rsid w:val="723126FD"/>
    <w:rsid w:val="724C22E8"/>
    <w:rsid w:val="725F0F01"/>
    <w:rsid w:val="729D5E1F"/>
    <w:rsid w:val="72E72EAA"/>
    <w:rsid w:val="7331658B"/>
    <w:rsid w:val="733C6C97"/>
    <w:rsid w:val="734B4A4B"/>
    <w:rsid w:val="734C70B6"/>
    <w:rsid w:val="73560C2B"/>
    <w:rsid w:val="735E4E1D"/>
    <w:rsid w:val="7388314F"/>
    <w:rsid w:val="73CB394C"/>
    <w:rsid w:val="73D51780"/>
    <w:rsid w:val="73F006A6"/>
    <w:rsid w:val="73F022C4"/>
    <w:rsid w:val="73FF26B3"/>
    <w:rsid w:val="74071758"/>
    <w:rsid w:val="741425AC"/>
    <w:rsid w:val="7463178E"/>
    <w:rsid w:val="746371B3"/>
    <w:rsid w:val="747A43C9"/>
    <w:rsid w:val="75397634"/>
    <w:rsid w:val="75595BE3"/>
    <w:rsid w:val="757606EF"/>
    <w:rsid w:val="75844FC1"/>
    <w:rsid w:val="75EE069B"/>
    <w:rsid w:val="7615419A"/>
    <w:rsid w:val="76172D6A"/>
    <w:rsid w:val="761A409E"/>
    <w:rsid w:val="762F02D7"/>
    <w:rsid w:val="763D7340"/>
    <w:rsid w:val="767A6C09"/>
    <w:rsid w:val="76880BA0"/>
    <w:rsid w:val="768C2564"/>
    <w:rsid w:val="76BA43D5"/>
    <w:rsid w:val="76BE21DC"/>
    <w:rsid w:val="76CD5B13"/>
    <w:rsid w:val="76DF3C76"/>
    <w:rsid w:val="76EB41A9"/>
    <w:rsid w:val="76F71295"/>
    <w:rsid w:val="7706359E"/>
    <w:rsid w:val="771A5653"/>
    <w:rsid w:val="7734542F"/>
    <w:rsid w:val="774073C9"/>
    <w:rsid w:val="77460079"/>
    <w:rsid w:val="77567D26"/>
    <w:rsid w:val="775D2B17"/>
    <w:rsid w:val="7760235E"/>
    <w:rsid w:val="77C64121"/>
    <w:rsid w:val="77C83182"/>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F7D69"/>
    <w:rsid w:val="7AA27F96"/>
    <w:rsid w:val="7AD44A1D"/>
    <w:rsid w:val="7B045A0E"/>
    <w:rsid w:val="7B137629"/>
    <w:rsid w:val="7B1B29C2"/>
    <w:rsid w:val="7B8C329C"/>
    <w:rsid w:val="7BA57F90"/>
    <w:rsid w:val="7BBC18FF"/>
    <w:rsid w:val="7C100290"/>
    <w:rsid w:val="7C151FE3"/>
    <w:rsid w:val="7C1D63E0"/>
    <w:rsid w:val="7C2925EF"/>
    <w:rsid w:val="7C463AF9"/>
    <w:rsid w:val="7C691C0E"/>
    <w:rsid w:val="7C7654E0"/>
    <w:rsid w:val="7C941779"/>
    <w:rsid w:val="7C9D56FC"/>
    <w:rsid w:val="7C9E2AE3"/>
    <w:rsid w:val="7CDE5607"/>
    <w:rsid w:val="7D0D23F8"/>
    <w:rsid w:val="7D0D6679"/>
    <w:rsid w:val="7D1819A4"/>
    <w:rsid w:val="7D57537E"/>
    <w:rsid w:val="7D79413D"/>
    <w:rsid w:val="7D872924"/>
    <w:rsid w:val="7D8F5F9C"/>
    <w:rsid w:val="7DF008DD"/>
    <w:rsid w:val="7E252BD1"/>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12">
    <w:name w:val="toc 7"/>
    <w:basedOn w:val="1"/>
    <w:next w:val="1"/>
    <w:qFormat/>
    <w:uiPriority w:val="0"/>
    <w:pPr>
      <w:ind w:left="1440"/>
    </w:pPr>
    <w:rPr>
      <w:rFonts w:ascii="Calibri" w:cs="Calibri"/>
      <w:sz w:val="18"/>
      <w:szCs w:val="18"/>
    </w:rPr>
  </w:style>
  <w:style w:type="paragraph" w:styleId="13">
    <w:name w:val="Normal Indent"/>
    <w:basedOn w:val="1"/>
    <w:link w:val="76"/>
    <w:qFormat/>
    <w:uiPriority w:val="0"/>
    <w:pPr>
      <w:widowControl/>
      <w:autoSpaceDE/>
      <w:autoSpaceDN/>
      <w:adjustRightInd/>
      <w:ind w:firstLine="420" w:firstLineChars="200"/>
    </w:pPr>
    <w:rPr>
      <w:rFonts w:asci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9">
    <w:name w:val="annotation text"/>
    <w:basedOn w:val="1"/>
    <w:qFormat/>
    <w:uiPriority w:val="0"/>
    <w:pPr>
      <w:widowControl/>
      <w:autoSpaceDE/>
      <w:autoSpaceDN/>
      <w:adjustRightInd/>
    </w:pPr>
    <w:rPr>
      <w:rFonts w:ascii="Times New Roman"/>
      <w:sz w:val="21"/>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w:basedOn w:val="1"/>
    <w:next w:val="1"/>
    <w:link w:val="81"/>
    <w:qFormat/>
    <w:uiPriority w:val="0"/>
    <w:pPr>
      <w:ind w:right="-26"/>
      <w:jc w:val="center"/>
    </w:pPr>
    <w:rPr>
      <w:rFonts w:hAnsi="Times New Roman"/>
      <w:b/>
      <w:bCs/>
      <w:kern w:val="2"/>
      <w:sz w:val="84"/>
      <w:szCs w:val="84"/>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9"/>
    <w:next w:val="19"/>
    <w:qFormat/>
    <w:uiPriority w:val="0"/>
    <w:rPr>
      <w:b/>
      <w:bCs/>
    </w:rPr>
  </w:style>
  <w:style w:type="paragraph" w:styleId="50">
    <w:name w:val="Body Text First Indent"/>
    <w:basedOn w:val="21"/>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51">
    <w:name w:val="Body Text First Indent 2"/>
    <w:basedOn w:val="22"/>
    <w:semiHidden/>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yperlink"/>
    <w:qFormat/>
    <w:uiPriority w:val="0"/>
    <w:rPr>
      <w:color w:val="333333"/>
      <w:u w:val="none"/>
    </w:rPr>
  </w:style>
  <w:style w:type="character" w:styleId="60">
    <w:name w:val="annotation reference"/>
    <w:basedOn w:val="54"/>
    <w:qFormat/>
    <w:uiPriority w:val="0"/>
    <w:rPr>
      <w:sz w:val="21"/>
      <w:szCs w:val="21"/>
    </w:rPr>
  </w:style>
  <w:style w:type="paragraph" w:customStyle="1" w:styleId="6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首行缩进"/>
    <w:basedOn w:val="1"/>
    <w:qFormat/>
    <w:uiPriority w:val="0"/>
    <w:pPr>
      <w:ind w:firstLine="480" w:firstLineChars="200"/>
    </w:pPr>
    <w:rPr>
      <w:lang w:val="zh-CN"/>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5"/>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4"/>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3"/>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1"/>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7"/>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7"/>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1"/>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paragraph" w:customStyle="1" w:styleId="183">
    <w:name w:val="列表段落1"/>
    <w:basedOn w:val="1"/>
    <w:qFormat/>
    <w:uiPriority w:val="34"/>
    <w:pPr>
      <w:ind w:firstLine="420" w:firstLineChars="200"/>
    </w:pPr>
  </w:style>
  <w:style w:type="paragraph" w:customStyle="1" w:styleId="184">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60</Pages>
  <Words>5358</Words>
  <Characters>30541</Characters>
  <Lines>254</Lines>
  <Paragraphs>71</Paragraphs>
  <TotalTime>33</TotalTime>
  <ScaleCrop>false</ScaleCrop>
  <LinksUpToDate>false</LinksUpToDate>
  <CharactersWithSpaces>35828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2019-09-17T11:02:00Z</dcterms:created>
  <dc:creator>lyy</dc:creator>
  <cp:lastModifiedBy>Administrator</cp:lastModifiedBy>
  <cp:lastPrinted>2020-07-10T09:47:00Z</cp:lastPrinted>
  <dcterms:modified xsi:type="dcterms:W3CDTF">2020-09-30T06:33:02Z</dcterms:modified>
  <dc:title>货物公开</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