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26"/>
        <w:jc w:val="center"/>
        <w:textAlignment w:val="bottom"/>
        <w:rPr>
          <w:rFonts w:hAnsi="宋体"/>
          <w:b/>
          <w:color w:val="auto"/>
          <w:sz w:val="72"/>
          <w:highlight w:val="none"/>
        </w:rPr>
      </w:pPr>
    </w:p>
    <w:p>
      <w:pPr>
        <w:pStyle w:val="2"/>
        <w:rPr>
          <w:color w:val="auto"/>
          <w:highlight w:val="none"/>
        </w:rPr>
      </w:pPr>
    </w:p>
    <w:p>
      <w:pPr>
        <w:widowControl/>
        <w:spacing w:line="360" w:lineRule="auto"/>
        <w:ind w:right="-26"/>
        <w:jc w:val="center"/>
        <w:textAlignment w:val="bottom"/>
        <w:rPr>
          <w:rFonts w:hAnsi="宋体"/>
          <w:b/>
          <w:color w:val="auto"/>
          <w:sz w:val="72"/>
          <w:highlight w:val="none"/>
        </w:rPr>
      </w:pPr>
    </w:p>
    <w:p>
      <w:pPr>
        <w:snapToGrid w:val="0"/>
        <w:jc w:val="center"/>
        <w:outlineLvl w:val="0"/>
        <w:rPr>
          <w:rFonts w:ascii="黑体" w:hAnsi="华文中宋" w:eastAsia="黑体" w:cs="华文中宋"/>
          <w:b/>
          <w:bCs/>
          <w:color w:val="auto"/>
          <w:sz w:val="72"/>
          <w:szCs w:val="72"/>
          <w:highlight w:val="none"/>
        </w:rPr>
      </w:pPr>
      <w:bookmarkStart w:id="0" w:name="_Toc5586"/>
      <w:r>
        <w:rPr>
          <w:rFonts w:hint="eastAsia" w:ascii="黑体" w:hAnsi="华文中宋" w:eastAsia="黑体" w:cs="华文中宋"/>
          <w:b/>
          <w:bCs/>
          <w:color w:val="auto"/>
          <w:sz w:val="72"/>
          <w:szCs w:val="72"/>
          <w:highlight w:val="none"/>
        </w:rPr>
        <w:t>竞争性磋商文件</w:t>
      </w:r>
      <w:bookmarkEnd w:id="0"/>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r>
        <w:rPr>
          <w:color w:val="auto"/>
          <w:sz w:val="44"/>
          <w:highlight w:val="none"/>
        </w:rPr>
        <mc:AlternateContent>
          <mc:Choice Requires="wps">
            <w:drawing>
              <wp:anchor distT="0" distB="0" distL="114300" distR="114300" simplePos="0" relativeHeight="251662336" behindDoc="1" locked="0" layoutInCell="1" allowOverlap="1">
                <wp:simplePos x="0" y="0"/>
                <wp:positionH relativeFrom="column">
                  <wp:posOffset>181610</wp:posOffset>
                </wp:positionH>
                <wp:positionV relativeFrom="paragraph">
                  <wp:posOffset>213995</wp:posOffset>
                </wp:positionV>
                <wp:extent cx="4991735" cy="1652905"/>
                <wp:effectExtent l="0" t="0" r="18415" b="4445"/>
                <wp:wrapNone/>
                <wp:docPr id="3" name="文本框 6"/>
                <wp:cNvGraphicFramePr/>
                <a:graphic xmlns:a="http://schemas.openxmlformats.org/drawingml/2006/main">
                  <a:graphicData uri="http://schemas.microsoft.com/office/word/2010/wordprocessingShape">
                    <wps:wsp>
                      <wps:cNvSpPr txBox="1"/>
                      <wps:spPr>
                        <a:xfrm>
                          <a:off x="0" y="0"/>
                          <a:ext cx="4991735" cy="1652905"/>
                        </a:xfrm>
                        <a:prstGeom prst="rect">
                          <a:avLst/>
                        </a:prstGeom>
                        <a:gradFill rotWithShape="0">
                          <a:gsLst>
                            <a:gs pos="0">
                              <a:srgbClr val="FFFFFF"/>
                            </a:gs>
                            <a:gs pos="100000">
                              <a:srgbClr val="FFFFFF"/>
                            </a:gs>
                          </a:gsLst>
                          <a:lin ang="0"/>
                          <a:tileRect/>
                        </a:gradFill>
                        <a:ln w="15875">
                          <a:noFill/>
                        </a:ln>
                        <a:effectLst/>
                      </wps:spPr>
                      <wps:txb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项目名称：松山湖创新创业社区人才公寓(</w:t>
                            </w:r>
                            <w:r>
                              <w:rPr>
                                <w:rFonts w:hint="eastAsia" w:ascii="黑体" w:hAnsi="黑体" w:eastAsia="黑体" w:cs="黑体"/>
                                <w:b/>
                                <w:sz w:val="32"/>
                                <w:lang w:eastAsia="zh-CN"/>
                              </w:rPr>
                              <w:t>公租房</w:t>
                            </w:r>
                            <w:r>
                              <w:rPr>
                                <w:rFonts w:hint="eastAsia" w:ascii="黑体" w:hAnsi="黑体" w:eastAsia="黑体" w:cs="黑体"/>
                                <w:b/>
                                <w:sz w:val="32"/>
                              </w:rPr>
                              <w:t>)、松寓智能水电表改造项目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项目编号：TTWY-22067</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wps:txbx>
                      <wps:bodyPr upright="1"/>
                    </wps:wsp>
                  </a:graphicData>
                </a:graphic>
              </wp:anchor>
            </w:drawing>
          </mc:Choice>
          <mc:Fallback>
            <w:pict>
              <v:shape id="文本框 6" o:spid="_x0000_s1026" o:spt="202" type="#_x0000_t202" style="position:absolute;left:0pt;margin-left:14.3pt;margin-top:16.85pt;height:130.15pt;width:393.05pt;z-index:-251654144;mso-width-relative:page;mso-height-relative:page;" fillcolor="#FFFFFF" filled="t" stroked="f" coordsize="21600,21600" o:gfxdata="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&#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X03So2gAAAAkBAAAPAAAAAAAAAAEAIAAAACIAAABk&#10;cnMvZG93bnJldi54bWxQSwECFAAUAAAACACHTuJAD2XGmwQCAAAXBAAADgAAAAAAAAABACAAAAAp&#10;AQAAZHJzL2Uyb0RvYy54bWxQSwUGAAAAAAYABgBZAQAAnwUAAAAA&#10;">
                <v:fill type="gradient" on="t" color2="#FFFFFF" angle="90" focus="100%" focussize="0,0">
                  <o:fill type="gradientUnscaled" v:ext="backwardCompatible"/>
                </v:fill>
                <v:stroke on="f" weight="1.25pt"/>
                <v:imagedata o:title=""/>
                <o:lock v:ext="edit" aspectratio="f"/>
                <v:textbox>
                  <w:txbxContent>
                    <w:p>
                      <w:pPr>
                        <w:widowControl/>
                        <w:spacing w:line="360" w:lineRule="auto"/>
                        <w:ind w:left="1606" w:right="-26" w:hanging="1606" w:hangingChars="500"/>
                        <w:jc w:val="both"/>
                        <w:textAlignment w:val="bottom"/>
                        <w:rPr>
                          <w:rFonts w:ascii="黑体" w:hAnsi="黑体" w:eastAsia="黑体" w:cs="黑体"/>
                          <w:b/>
                          <w:sz w:val="32"/>
                        </w:rPr>
                      </w:pPr>
                      <w:r>
                        <w:rPr>
                          <w:rFonts w:hint="eastAsia" w:ascii="黑体" w:hAnsi="黑体" w:eastAsia="黑体" w:cs="黑体"/>
                          <w:b/>
                          <w:sz w:val="32"/>
                        </w:rPr>
                        <w:t>项目名称：松山湖创新创业社区人才公寓(</w:t>
                      </w:r>
                      <w:r>
                        <w:rPr>
                          <w:rFonts w:hint="eastAsia" w:ascii="黑体" w:hAnsi="黑体" w:eastAsia="黑体" w:cs="黑体"/>
                          <w:b/>
                          <w:sz w:val="32"/>
                          <w:lang w:eastAsia="zh-CN"/>
                        </w:rPr>
                        <w:t>公租房</w:t>
                      </w:r>
                      <w:r>
                        <w:rPr>
                          <w:rFonts w:hint="eastAsia" w:ascii="黑体" w:hAnsi="黑体" w:eastAsia="黑体" w:cs="黑体"/>
                          <w:b/>
                          <w:sz w:val="32"/>
                        </w:rPr>
                        <w:t>)、松寓智能水电表改造项目</w:t>
                      </w:r>
                    </w:p>
                    <w:p>
                      <w:pPr>
                        <w:widowControl/>
                        <w:spacing w:line="360" w:lineRule="auto"/>
                        <w:ind w:right="-26"/>
                        <w:jc w:val="both"/>
                        <w:textAlignment w:val="bottom"/>
                        <w:rPr>
                          <w:rFonts w:ascii="黑体" w:hAnsi="黑体" w:eastAsia="黑体" w:cs="黑体"/>
                          <w:b/>
                          <w:sz w:val="32"/>
                        </w:rPr>
                      </w:pPr>
                      <w:r>
                        <w:rPr>
                          <w:rFonts w:hint="eastAsia" w:ascii="黑体" w:hAnsi="黑体" w:eastAsia="黑体" w:cs="黑体"/>
                          <w:b/>
                          <w:sz w:val="32"/>
                        </w:rPr>
                        <w:t>项目编号：TTWY-22067</w:t>
                      </w:r>
                    </w:p>
                    <w:p>
                      <w:pPr>
                        <w:widowControl/>
                        <w:spacing w:line="360" w:lineRule="auto"/>
                        <w:ind w:right="-26"/>
                        <w:textAlignment w:val="bottom"/>
                        <w:rPr>
                          <w:rFonts w:ascii="黑体" w:hAnsi="黑体" w:eastAsia="黑体" w:cs="黑体"/>
                          <w:b/>
                          <w:sz w:val="32"/>
                        </w:rPr>
                      </w:pPr>
                      <w:r>
                        <w:rPr>
                          <w:rFonts w:hint="eastAsia" w:ascii="黑体" w:hAnsi="黑体" w:eastAsia="黑体" w:cs="黑体"/>
                          <w:b/>
                          <w:sz w:val="32"/>
                        </w:rPr>
                        <w:t>采 购 人：东莞市大学创新城建设发展有限公司</w:t>
                      </w:r>
                    </w:p>
                    <w:p/>
                  </w:txbxContent>
                </v:textbox>
              </v:shape>
            </w:pict>
          </mc:Fallback>
        </mc:AlternateContent>
      </w: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jc w:val="center"/>
        <w:textAlignment w:val="bottom"/>
        <w:rPr>
          <w:rFonts w:hAnsi="宋体"/>
          <w:b/>
          <w:color w:val="auto"/>
          <w:sz w:val="44"/>
          <w:highlight w:val="none"/>
        </w:rPr>
      </w:pPr>
    </w:p>
    <w:p>
      <w:pPr>
        <w:widowControl/>
        <w:spacing w:line="360" w:lineRule="auto"/>
        <w:ind w:right="-26"/>
        <w:textAlignment w:val="bottom"/>
        <w:rPr>
          <w:rFonts w:hAnsi="宋体"/>
          <w:b/>
          <w:color w:val="auto"/>
          <w:sz w:val="32"/>
          <w:highlight w:val="none"/>
        </w:rPr>
      </w:pPr>
      <w:r>
        <w:rPr>
          <w:rFonts w:hint="eastAsia" w:hAnsi="宋体"/>
          <w:bCs/>
          <w:color w:val="auto"/>
          <w:sz w:val="21"/>
          <w:szCs w:val="21"/>
          <w:highlight w:val="none"/>
        </w:rPr>
        <w:drawing>
          <wp:anchor distT="0" distB="0" distL="114300" distR="114300" simplePos="0" relativeHeight="251659264" behindDoc="1" locked="0" layoutInCell="1" allowOverlap="1">
            <wp:simplePos x="0" y="0"/>
            <wp:positionH relativeFrom="column">
              <wp:posOffset>441325</wp:posOffset>
            </wp:positionH>
            <wp:positionV relativeFrom="paragraph">
              <wp:posOffset>217805</wp:posOffset>
            </wp:positionV>
            <wp:extent cx="977900" cy="977900"/>
            <wp:effectExtent l="19050" t="0" r="0" b="0"/>
            <wp:wrapNone/>
            <wp:docPr id="2"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公司logo"/>
                    <pic:cNvPicPr>
                      <a:picLocks noChangeAspect="1" noChangeArrowheads="1"/>
                    </pic:cNvPicPr>
                  </pic:nvPicPr>
                  <pic:blipFill>
                    <a:blip r:embed="rId11" cstate="print"/>
                    <a:srcRect/>
                    <a:stretch>
                      <a:fillRect/>
                    </a:stretch>
                  </pic:blipFill>
                  <pic:spPr>
                    <a:xfrm>
                      <a:off x="0" y="0"/>
                      <a:ext cx="977900" cy="977900"/>
                    </a:xfrm>
                    <a:prstGeom prst="rect">
                      <a:avLst/>
                    </a:prstGeom>
                    <a:noFill/>
                    <a:ln w="9525" cmpd="sng">
                      <a:noFill/>
                      <a:miter lim="800000"/>
                      <a:headEnd/>
                      <a:tailEnd/>
                    </a:ln>
                    <a:effectLst/>
                  </pic:spPr>
                </pic:pic>
              </a:graphicData>
            </a:graphic>
          </wp:anchor>
        </w:drawing>
      </w:r>
    </w:p>
    <w:p>
      <w:pPr>
        <w:widowControl/>
        <w:spacing w:line="360" w:lineRule="auto"/>
        <w:ind w:right="-26" w:firstLine="2249" w:firstLineChars="700"/>
        <w:textAlignment w:val="bottom"/>
        <w:outlineLvl w:val="0"/>
        <w:rPr>
          <w:rFonts w:ascii="黑体" w:hAnsi="黑体" w:eastAsia="黑体" w:cs="黑体"/>
          <w:b/>
          <w:color w:val="auto"/>
          <w:sz w:val="32"/>
          <w:highlight w:val="none"/>
        </w:rPr>
      </w:pPr>
      <w:bookmarkStart w:id="1" w:name="_Toc21437"/>
      <w:r>
        <w:rPr>
          <w:rFonts w:hint="eastAsia" w:ascii="黑体" w:hAnsi="黑体" w:eastAsia="黑体" w:cs="黑体"/>
          <w:b/>
          <w:color w:val="auto"/>
          <w:sz w:val="32"/>
          <w:highlight w:val="none"/>
        </w:rPr>
        <w:t>广东泰通伟业工程咨询有限公司</w:t>
      </w:r>
      <w:bookmarkEnd w:id="1"/>
      <w:r>
        <w:rPr>
          <w:rFonts w:hint="eastAsia" w:ascii="黑体" w:hAnsi="黑体" w:eastAsia="黑体" w:cs="黑体"/>
          <w:b/>
          <w:color w:val="auto"/>
          <w:sz w:val="32"/>
          <w:highlight w:val="none"/>
        </w:rPr>
        <w:t xml:space="preserve"> </w:t>
      </w:r>
    </w:p>
    <w:p>
      <w:pPr>
        <w:widowControl/>
        <w:spacing w:line="360" w:lineRule="auto"/>
        <w:ind w:right="-26" w:hanging="480"/>
        <w:jc w:val="center"/>
        <w:textAlignment w:val="bottom"/>
        <w:rPr>
          <w:rFonts w:ascii="黑体" w:hAnsi="黑体" w:eastAsia="黑体" w:cs="黑体"/>
          <w:b/>
          <w:color w:val="auto"/>
          <w:sz w:val="32"/>
          <w:highlight w:val="none"/>
        </w:rPr>
      </w:pPr>
      <w:r>
        <w:rPr>
          <w:rFonts w:hint="eastAsia" w:ascii="黑体" w:hAnsi="黑体" w:eastAsia="黑体" w:cs="黑体"/>
          <w:b/>
          <w:color w:val="auto"/>
          <w:sz w:val="32"/>
          <w:highlight w:val="none"/>
        </w:rPr>
        <w:t xml:space="preserve">    二〇二三年一月</w:t>
      </w: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widowControl/>
        <w:spacing w:line="360" w:lineRule="auto"/>
        <w:ind w:right="-26" w:hanging="480"/>
        <w:jc w:val="center"/>
        <w:textAlignment w:val="bottom"/>
        <w:rPr>
          <w:rFonts w:ascii="黑体" w:hAnsi="黑体" w:eastAsia="黑体" w:cs="黑体"/>
          <w:b/>
          <w:color w:val="auto"/>
          <w:sz w:val="32"/>
          <w:highlight w:val="none"/>
        </w:rPr>
      </w:pPr>
    </w:p>
    <w:p>
      <w:pPr>
        <w:jc w:val="both"/>
        <w:rPr>
          <w:rFonts w:hAnsi="宋体"/>
          <w:color w:val="auto"/>
          <w:highlight w:val="none"/>
          <w:lang w:val="zh-CN"/>
        </w:rPr>
        <w:sectPr>
          <w:headerReference r:id="rId4" w:type="first"/>
          <w:headerReference r:id="rId3" w:type="default"/>
          <w:footerReference r:id="rId5" w:type="default"/>
          <w:footerReference r:id="rId6" w:type="even"/>
          <w:type w:val="nextColumn"/>
          <w:pgSz w:w="11907" w:h="16840"/>
          <w:pgMar w:top="1440" w:right="1800" w:bottom="1440" w:left="1800" w:header="851" w:footer="992" w:gutter="0"/>
          <w:pgNumType w:start="0"/>
          <w:cols w:space="720" w:num="1"/>
          <w:docGrid w:type="lines" w:linePitch="312" w:charSpace="0"/>
        </w:sectPr>
      </w:pPr>
      <w:bookmarkStart w:id="2" w:name="_Toc13507"/>
    </w:p>
    <w:bookmarkEnd w:id="2"/>
    <w:p>
      <w:pPr>
        <w:spacing w:line="360" w:lineRule="auto"/>
        <w:ind w:left="48" w:leftChars="20"/>
        <w:jc w:val="center"/>
        <w:rPr>
          <w:rFonts w:ascii="黑体" w:hAnsi="黑体" w:eastAsia="黑体" w:cs="黑体"/>
          <w:color w:val="auto"/>
          <w:sz w:val="32"/>
          <w:szCs w:val="32"/>
          <w:highlight w:val="none"/>
        </w:rPr>
      </w:pPr>
      <w:bookmarkStart w:id="3" w:name="_Toc27261"/>
      <w:r>
        <w:rPr>
          <w:rFonts w:hint="eastAsia" w:ascii="黑体" w:hAnsi="黑体" w:eastAsia="黑体" w:cs="黑体"/>
          <w:color w:val="auto"/>
          <w:sz w:val="32"/>
          <w:szCs w:val="32"/>
          <w:highlight w:val="none"/>
        </w:rPr>
        <w:t>温馨提示</w:t>
      </w:r>
    </w:p>
    <w:p>
      <w:pPr>
        <w:jc w:val="center"/>
        <w:rPr>
          <w:rFonts w:ascii="黑体" w:hAnsi="黑体" w:eastAsia="黑体" w:cs="黑体"/>
          <w:color w:val="auto"/>
          <w:highlight w:val="none"/>
        </w:rPr>
      </w:pPr>
      <w:r>
        <w:rPr>
          <w:rFonts w:hint="eastAsia" w:ascii="黑体" w:hAnsi="黑体" w:eastAsia="黑体" w:cs="黑体"/>
          <w:color w:val="auto"/>
          <w:highlight w:val="none"/>
        </w:rPr>
        <w:t>（本提示内容非磋商文件的组成部分，仅为善意提醒。如有不一致，以磋商文件为准）</w:t>
      </w:r>
    </w:p>
    <w:p>
      <w:pPr>
        <w:spacing w:line="360" w:lineRule="auto"/>
        <w:ind w:left="48" w:leftChars="20"/>
        <w:jc w:val="center"/>
        <w:rPr>
          <w:rFonts w:ascii="黑体" w:hAnsi="黑体" w:eastAsia="黑体" w:cs="黑体"/>
          <w:color w:val="auto"/>
          <w:sz w:val="32"/>
          <w:szCs w:val="32"/>
          <w:highlight w:val="none"/>
        </w:rPr>
      </w:pP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磋商截止时间一到，采购代理机构不接收供应商的任何相关磋商资料、文件。为此，请适当提前到达。</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磋商保证金必须于磋商截止时间前到达磋商文件中所注明账户。由于转账当天不一定能够达账，为避免因磋商保证金未到账而导致磋商被拒，建议至少提前2个工作日转账。</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请正确填写《报价一览表》。多子包项目请仔细检查子包号，子包号与子包名称必须对应。</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请仔细检查磋商响应文件是否已按磋商文件要求盖章、签名、签署日期。</w:t>
      </w:r>
    </w:p>
    <w:p>
      <w:pPr>
        <w:numPr>
          <w:ilvl w:val="0"/>
          <w:numId w:val="9"/>
        </w:numPr>
        <w:spacing w:line="360" w:lineRule="auto"/>
        <w:ind w:left="180" w:firstLine="48" w:firstLineChars="20"/>
        <w:jc w:val="both"/>
        <w:outlineLvl w:val="0"/>
        <w:rPr>
          <w:rFonts w:ascii="黑体" w:hAnsi="黑体" w:eastAsia="黑体" w:cs="黑体"/>
          <w:color w:val="auto"/>
          <w:highlight w:val="none"/>
        </w:rPr>
      </w:pPr>
      <w:bookmarkStart w:id="4" w:name="_Toc17927"/>
      <w:r>
        <w:rPr>
          <w:rFonts w:hint="eastAsia" w:ascii="黑体" w:hAnsi="黑体" w:eastAsia="黑体" w:cs="黑体"/>
          <w:color w:val="auto"/>
          <w:highlight w:val="none"/>
        </w:rPr>
        <w:t>磋商响应文件应按顺序编制页码。</w:t>
      </w:r>
      <w:bookmarkEnd w:id="4"/>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如所投产品属于许可证管理范围内的，须提交相应的许可证复印件。</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为了提高采购效率，节约社会交易成本与时间，望购买了磋商文件而决定不参加本次磋商的供应商，在磋商响应文件递交截止时间的3日前，按《磋商邀请函》中的联系方式，以书面形式告知采购代理机构。对您的支持与配合，谨此致谢。</w:t>
      </w:r>
    </w:p>
    <w:p>
      <w:pPr>
        <w:numPr>
          <w:ilvl w:val="0"/>
          <w:numId w:val="9"/>
        </w:numPr>
        <w:spacing w:line="360" w:lineRule="auto"/>
        <w:ind w:left="180" w:firstLine="48" w:firstLineChars="20"/>
        <w:jc w:val="both"/>
        <w:rPr>
          <w:rFonts w:ascii="黑体" w:hAnsi="黑体" w:eastAsia="黑体" w:cs="黑体"/>
          <w:color w:val="auto"/>
          <w:highlight w:val="none"/>
        </w:rPr>
      </w:pPr>
      <w:r>
        <w:rPr>
          <w:rFonts w:hint="eastAsia" w:ascii="黑体" w:hAnsi="黑体" w:eastAsia="黑体" w:cs="黑体"/>
          <w:color w:val="auto"/>
          <w:highlight w:val="none"/>
        </w:rPr>
        <w:t>如需供应商支付的各种费用，如磋商文件售价、工程图纸押金、保证金和采购代理服务费等，磋商文件将书面详细告知，请供应商按磋商文件规定的方式和金额支付。</w:t>
      </w: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jc w:val="center"/>
        <w:rPr>
          <w:rFonts w:hAnsi="宋体"/>
          <w:b/>
          <w:bCs/>
          <w:color w:val="auto"/>
          <w:sz w:val="32"/>
          <w:szCs w:val="32"/>
          <w:highlight w:val="none"/>
          <w:lang w:val="zh-CN"/>
        </w:rPr>
      </w:pPr>
    </w:p>
    <w:p>
      <w:pPr>
        <w:pStyle w:val="8"/>
        <w:ind w:firstLine="643"/>
        <w:rPr>
          <w:rFonts w:hAnsi="宋体"/>
          <w:b/>
          <w:bCs/>
          <w:color w:val="auto"/>
          <w:sz w:val="32"/>
          <w:szCs w:val="32"/>
          <w:highlight w:val="none"/>
          <w:lang w:val="zh-CN"/>
        </w:rPr>
        <w:sectPr>
          <w:headerReference r:id="rId7" w:type="default"/>
          <w:pgSz w:w="11906" w:h="16838"/>
          <w:pgMar w:top="1440" w:right="1800" w:bottom="1440" w:left="1800" w:header="851" w:footer="992" w:gutter="0"/>
          <w:cols w:space="425" w:num="1"/>
          <w:docGrid w:type="lines" w:linePitch="312" w:charSpace="0"/>
        </w:sectPr>
      </w:pPr>
    </w:p>
    <w:p>
      <w:pPr>
        <w:rPr>
          <w:color w:val="auto"/>
          <w:highlight w:val="none"/>
        </w:rPr>
      </w:pPr>
    </w:p>
    <w:p>
      <w:pPr>
        <w:jc w:val="center"/>
        <w:rPr>
          <w:rFonts w:hAnsi="宋体"/>
          <w:b/>
          <w:bCs/>
          <w:color w:val="auto"/>
          <w:sz w:val="32"/>
          <w:szCs w:val="32"/>
          <w:highlight w:val="none"/>
          <w:lang w:val="zh-CN"/>
        </w:rPr>
      </w:pPr>
      <w:r>
        <w:rPr>
          <w:rFonts w:hAnsi="宋体"/>
          <w:b/>
          <w:bCs/>
          <w:color w:val="auto"/>
          <w:sz w:val="32"/>
          <w:szCs w:val="32"/>
          <w:highlight w:val="none"/>
          <w:lang w:val="zh-CN"/>
        </w:rPr>
        <w:t>目录</w:t>
      </w:r>
      <w:bookmarkStart w:id="5" w:name="_Toc396137229"/>
    </w:p>
    <w:sdt>
      <w:sdtPr>
        <w:rPr>
          <w:rFonts w:hAnsi="宋体"/>
          <w:b/>
          <w:bCs/>
          <w:color w:val="auto"/>
          <w:sz w:val="36"/>
          <w:szCs w:val="44"/>
          <w:highlight w:val="none"/>
        </w:rPr>
        <w:id w:val="147463129"/>
        <w15:color w:val="DBDBDB"/>
        <w:docPartObj>
          <w:docPartGallery w:val="Table of Contents"/>
          <w:docPartUnique/>
        </w:docPartObj>
      </w:sdtPr>
      <w:sdtEndPr>
        <w:rPr>
          <w:rFonts w:hAnsi="宋体"/>
          <w:b/>
          <w:bCs/>
          <w:color w:val="auto"/>
          <w:sz w:val="36"/>
          <w:szCs w:val="44"/>
          <w:highlight w:val="none"/>
        </w:rPr>
      </w:sdtEndPr>
      <w:sdtContent>
        <w:p>
          <w:pPr>
            <w:spacing w:line="360" w:lineRule="auto"/>
            <w:jc w:val="both"/>
            <w:rPr>
              <w:b/>
              <w:bCs/>
              <w:color w:val="auto"/>
              <w:sz w:val="44"/>
              <w:szCs w:val="44"/>
              <w:highlight w:val="none"/>
            </w:rPr>
          </w:pPr>
        </w:p>
        <w:p>
          <w:pPr>
            <w:pStyle w:val="185"/>
            <w:tabs>
              <w:tab w:val="right" w:leader="dot" w:pos="8306"/>
            </w:tabs>
            <w:spacing w:line="360" w:lineRule="auto"/>
            <w:jc w:val="center"/>
            <w:rPr>
              <w:b/>
              <w:bCs/>
              <w:color w:val="auto"/>
              <w:sz w:val="32"/>
              <w:szCs w:val="32"/>
              <w:highlight w:val="none"/>
            </w:rPr>
          </w:pPr>
          <w:r>
            <w:rPr>
              <w:b/>
              <w:bCs/>
              <w:color w:val="auto"/>
              <w:sz w:val="32"/>
              <w:szCs w:val="32"/>
              <w:highlight w:val="none"/>
            </w:rPr>
            <w:fldChar w:fldCharType="begin"/>
          </w:r>
          <w:r>
            <w:rPr>
              <w:b/>
              <w:bCs/>
              <w:color w:val="auto"/>
              <w:sz w:val="32"/>
              <w:szCs w:val="32"/>
              <w:highlight w:val="none"/>
            </w:rPr>
            <w:instrText xml:space="preserve">TOC \o "1-1" \h \u </w:instrText>
          </w:r>
          <w:r>
            <w:rPr>
              <w:b/>
              <w:bCs/>
              <w:color w:val="auto"/>
              <w:sz w:val="32"/>
              <w:szCs w:val="32"/>
              <w:highlight w:val="none"/>
            </w:rPr>
            <w:fldChar w:fldCharType="separate"/>
          </w:r>
          <w:r>
            <w:rPr>
              <w:color w:val="auto"/>
              <w:highlight w:val="none"/>
            </w:rPr>
            <w:fldChar w:fldCharType="begin"/>
          </w:r>
          <w:r>
            <w:rPr>
              <w:color w:val="auto"/>
              <w:highlight w:val="none"/>
            </w:rPr>
            <w:instrText xml:space="preserve"> HYPERLINK \l "_Toc3573" </w:instrText>
          </w:r>
          <w:r>
            <w:rPr>
              <w:color w:val="auto"/>
              <w:highlight w:val="none"/>
            </w:rPr>
            <w:fldChar w:fldCharType="separate"/>
          </w:r>
          <w:r>
            <w:rPr>
              <w:rFonts w:hAnsi="宋体"/>
              <w:b/>
              <w:bCs/>
              <w:color w:val="auto"/>
              <w:kern w:val="44"/>
              <w:sz w:val="32"/>
              <w:szCs w:val="48"/>
              <w:highlight w:val="none"/>
              <w:lang w:val="zh-CN"/>
            </w:rPr>
            <w:t xml:space="preserve">第一篇 </w:t>
          </w:r>
          <w:r>
            <w:rPr>
              <w:rFonts w:hint="eastAsia" w:hAnsi="宋体"/>
              <w:b/>
              <w:bCs/>
              <w:color w:val="auto"/>
              <w:kern w:val="44"/>
              <w:sz w:val="32"/>
              <w:szCs w:val="48"/>
              <w:highlight w:val="none"/>
            </w:rPr>
            <w:t>磋商邀请书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_Toc3573 \h </w:instrText>
          </w:r>
          <w:r>
            <w:rPr>
              <w:b/>
              <w:bCs/>
              <w:color w:val="auto"/>
              <w:sz w:val="32"/>
              <w:szCs w:val="32"/>
              <w:highlight w:val="none"/>
            </w:rPr>
            <w:fldChar w:fldCharType="separate"/>
          </w:r>
          <w:r>
            <w:rPr>
              <w:b/>
              <w:bCs/>
              <w:color w:val="auto"/>
              <w:sz w:val="32"/>
              <w:szCs w:val="32"/>
              <w:highlight w:val="none"/>
            </w:rPr>
            <w:t>3</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"_Toc17779" </w:instrText>
          </w:r>
          <w:r>
            <w:rPr>
              <w:color w:val="auto"/>
              <w:highlight w:val="none"/>
            </w:rPr>
            <w:fldChar w:fldCharType="separate"/>
          </w:r>
          <w:r>
            <w:rPr>
              <w:rFonts w:hAnsi="宋体"/>
              <w:b/>
              <w:bCs/>
              <w:color w:val="auto"/>
              <w:kern w:val="44"/>
              <w:sz w:val="32"/>
              <w:szCs w:val="48"/>
              <w:highlight w:val="none"/>
              <w:lang w:val="zh-CN"/>
            </w:rPr>
            <w:t xml:space="preserve">第二篇 </w:t>
          </w:r>
          <w:r>
            <w:rPr>
              <w:rFonts w:hint="eastAsia" w:hAnsi="宋体"/>
              <w:b/>
              <w:bCs/>
              <w:color w:val="auto"/>
              <w:kern w:val="44"/>
              <w:sz w:val="32"/>
              <w:szCs w:val="48"/>
              <w:highlight w:val="none"/>
              <w:lang w:val="zh-CN"/>
            </w:rPr>
            <w:t>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_Toc17779 \h </w:instrText>
          </w:r>
          <w:r>
            <w:rPr>
              <w:b/>
              <w:bCs/>
              <w:color w:val="auto"/>
              <w:sz w:val="32"/>
              <w:szCs w:val="32"/>
              <w:highlight w:val="none"/>
            </w:rPr>
            <w:fldChar w:fldCharType="separate"/>
          </w:r>
          <w:r>
            <w:rPr>
              <w:b/>
              <w:bCs/>
              <w:color w:val="auto"/>
              <w:sz w:val="32"/>
              <w:szCs w:val="32"/>
              <w:highlight w:val="none"/>
            </w:rPr>
            <w:t>5</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"_Toc22134" </w:instrText>
          </w:r>
          <w:r>
            <w:rPr>
              <w:color w:val="auto"/>
              <w:highlight w:val="none"/>
            </w:rPr>
            <w:fldChar w:fldCharType="separate"/>
          </w:r>
          <w:r>
            <w:rPr>
              <w:rFonts w:hAnsi="宋体"/>
              <w:b/>
              <w:bCs/>
              <w:color w:val="auto"/>
              <w:kern w:val="44"/>
              <w:sz w:val="32"/>
              <w:szCs w:val="48"/>
              <w:highlight w:val="none"/>
              <w:lang w:val="zh-CN"/>
            </w:rPr>
            <w:t xml:space="preserve">第三篇 </w:t>
          </w:r>
          <w:r>
            <w:rPr>
              <w:rFonts w:hint="eastAsia" w:hAnsi="宋体"/>
              <w:b/>
              <w:bCs/>
              <w:color w:val="auto"/>
              <w:kern w:val="44"/>
              <w:sz w:val="32"/>
              <w:szCs w:val="48"/>
              <w:highlight w:val="none"/>
              <w:lang w:val="zh-CN"/>
            </w:rPr>
            <w:t>用户需求书</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_Toc22134 \h </w:instrText>
          </w:r>
          <w:r>
            <w:rPr>
              <w:b/>
              <w:bCs/>
              <w:color w:val="auto"/>
              <w:sz w:val="32"/>
              <w:szCs w:val="32"/>
              <w:highlight w:val="none"/>
            </w:rPr>
            <w:fldChar w:fldCharType="separate"/>
          </w:r>
          <w:r>
            <w:rPr>
              <w:b/>
              <w:bCs/>
              <w:color w:val="auto"/>
              <w:sz w:val="32"/>
              <w:szCs w:val="32"/>
              <w:highlight w:val="none"/>
            </w:rPr>
            <w:t>17</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"_Toc28792" </w:instrText>
          </w:r>
          <w:r>
            <w:rPr>
              <w:color w:val="auto"/>
              <w:highlight w:val="none"/>
            </w:rPr>
            <w:fldChar w:fldCharType="separate"/>
          </w:r>
          <w:r>
            <w:rPr>
              <w:rFonts w:hAnsi="宋体"/>
              <w:b/>
              <w:bCs/>
              <w:color w:val="auto"/>
              <w:kern w:val="44"/>
              <w:sz w:val="32"/>
              <w:szCs w:val="48"/>
              <w:highlight w:val="none"/>
              <w:lang w:val="zh-CN"/>
            </w:rPr>
            <w:t xml:space="preserve">第四篇 </w:t>
          </w:r>
          <w:r>
            <w:rPr>
              <w:rFonts w:hint="eastAsia" w:hAnsi="宋体"/>
              <w:b/>
              <w:bCs/>
              <w:color w:val="auto"/>
              <w:kern w:val="44"/>
              <w:sz w:val="32"/>
              <w:szCs w:val="48"/>
              <w:highlight w:val="none"/>
              <w:lang w:val="zh-CN"/>
            </w:rPr>
            <w:t>评审工作大纲</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_Toc28792 \h </w:instrText>
          </w:r>
          <w:r>
            <w:rPr>
              <w:b/>
              <w:bCs/>
              <w:color w:val="auto"/>
              <w:sz w:val="32"/>
              <w:szCs w:val="32"/>
              <w:highlight w:val="none"/>
            </w:rPr>
            <w:fldChar w:fldCharType="separate"/>
          </w:r>
          <w:r>
            <w:rPr>
              <w:b/>
              <w:bCs/>
              <w:color w:val="auto"/>
              <w:sz w:val="32"/>
              <w:szCs w:val="32"/>
              <w:highlight w:val="none"/>
            </w:rPr>
            <w:t>35</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"_Toc3360" </w:instrText>
          </w:r>
          <w:r>
            <w:rPr>
              <w:color w:val="auto"/>
              <w:highlight w:val="none"/>
            </w:rPr>
            <w:fldChar w:fldCharType="separate"/>
          </w:r>
          <w:r>
            <w:rPr>
              <w:rFonts w:hAnsi="宋体"/>
              <w:b/>
              <w:bCs/>
              <w:color w:val="auto"/>
              <w:sz w:val="32"/>
              <w:szCs w:val="32"/>
              <w:highlight w:val="none"/>
            </w:rPr>
            <w:t xml:space="preserve">第五篇 </w:t>
          </w:r>
          <w:r>
            <w:rPr>
              <w:rFonts w:hint="eastAsia" w:hAnsi="宋体"/>
              <w:b/>
              <w:bCs/>
              <w:color w:val="auto"/>
              <w:kern w:val="44"/>
              <w:sz w:val="32"/>
              <w:szCs w:val="48"/>
              <w:highlight w:val="none"/>
              <w:lang w:val="zh-CN"/>
            </w:rPr>
            <w:t>合同条款格式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_Toc3360 \h </w:instrText>
          </w:r>
          <w:r>
            <w:rPr>
              <w:b/>
              <w:bCs/>
              <w:color w:val="auto"/>
              <w:sz w:val="32"/>
              <w:szCs w:val="32"/>
              <w:highlight w:val="none"/>
            </w:rPr>
            <w:fldChar w:fldCharType="separate"/>
          </w:r>
          <w:r>
            <w:rPr>
              <w:b/>
              <w:bCs/>
              <w:color w:val="auto"/>
              <w:sz w:val="32"/>
              <w:szCs w:val="32"/>
              <w:highlight w:val="none"/>
            </w:rPr>
            <w:t>42</w:t>
          </w:r>
          <w:r>
            <w:rPr>
              <w:b/>
              <w:bCs/>
              <w:color w:val="auto"/>
              <w:sz w:val="32"/>
              <w:szCs w:val="32"/>
              <w:highlight w:val="none"/>
            </w:rPr>
            <w:fldChar w:fldCharType="end"/>
          </w:r>
          <w:r>
            <w:rPr>
              <w:b/>
              <w:bCs/>
              <w:color w:val="auto"/>
              <w:sz w:val="32"/>
              <w:szCs w:val="32"/>
              <w:highlight w:val="none"/>
            </w:rPr>
            <w:fldChar w:fldCharType="end"/>
          </w:r>
        </w:p>
        <w:p>
          <w:pPr>
            <w:pStyle w:val="185"/>
            <w:tabs>
              <w:tab w:val="right" w:leader="dot" w:pos="8306"/>
            </w:tabs>
            <w:spacing w:line="360" w:lineRule="auto"/>
            <w:jc w:val="center"/>
            <w:rPr>
              <w:b/>
              <w:bCs/>
              <w:color w:val="auto"/>
              <w:sz w:val="32"/>
              <w:szCs w:val="32"/>
              <w:highlight w:val="none"/>
            </w:rPr>
          </w:pPr>
          <w:r>
            <w:rPr>
              <w:color w:val="auto"/>
              <w:highlight w:val="none"/>
            </w:rPr>
            <w:fldChar w:fldCharType="begin"/>
          </w:r>
          <w:r>
            <w:rPr>
              <w:color w:val="auto"/>
              <w:highlight w:val="none"/>
            </w:rPr>
            <w:instrText xml:space="preserve"> HYPERLINK \l "_Toc9129" </w:instrText>
          </w:r>
          <w:r>
            <w:rPr>
              <w:color w:val="auto"/>
              <w:highlight w:val="none"/>
            </w:rPr>
            <w:fldChar w:fldCharType="separate"/>
          </w:r>
          <w:r>
            <w:rPr>
              <w:rFonts w:hint="eastAsia" w:hAnsi="宋体"/>
              <w:b/>
              <w:bCs/>
              <w:color w:val="auto"/>
              <w:kern w:val="44"/>
              <w:sz w:val="32"/>
              <w:szCs w:val="48"/>
              <w:highlight w:val="none"/>
              <w:lang w:val="zh-CN"/>
            </w:rPr>
            <w:t>第六篇磋商响应文件格式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_Toc9129 \h </w:instrText>
          </w:r>
          <w:r>
            <w:rPr>
              <w:b/>
              <w:bCs/>
              <w:color w:val="auto"/>
              <w:sz w:val="32"/>
              <w:szCs w:val="32"/>
              <w:highlight w:val="none"/>
            </w:rPr>
            <w:fldChar w:fldCharType="separate"/>
          </w:r>
          <w:r>
            <w:rPr>
              <w:b/>
              <w:bCs/>
              <w:color w:val="auto"/>
              <w:sz w:val="32"/>
              <w:szCs w:val="32"/>
              <w:highlight w:val="none"/>
            </w:rPr>
            <w:t>69</w:t>
          </w:r>
          <w:r>
            <w:rPr>
              <w:b/>
              <w:bCs/>
              <w:color w:val="auto"/>
              <w:sz w:val="32"/>
              <w:szCs w:val="32"/>
              <w:highlight w:val="none"/>
            </w:rPr>
            <w:fldChar w:fldCharType="end"/>
          </w:r>
          <w:r>
            <w:rPr>
              <w:b/>
              <w:bCs/>
              <w:color w:val="auto"/>
              <w:sz w:val="32"/>
              <w:szCs w:val="32"/>
              <w:highlight w:val="none"/>
            </w:rPr>
            <w:fldChar w:fldCharType="end"/>
          </w:r>
        </w:p>
        <w:p>
          <w:pPr>
            <w:spacing w:line="360" w:lineRule="auto"/>
            <w:jc w:val="center"/>
            <w:rPr>
              <w:color w:val="auto"/>
              <w:highlight w:val="none"/>
            </w:rPr>
          </w:pPr>
          <w:r>
            <w:rPr>
              <w:b/>
              <w:bCs/>
              <w:color w:val="auto"/>
              <w:sz w:val="32"/>
              <w:szCs w:val="32"/>
              <w:highlight w:val="none"/>
            </w:rPr>
            <w:fldChar w:fldCharType="end"/>
          </w:r>
        </w:p>
      </w:sdtContent>
    </w:sdt>
    <w:p>
      <w:pPr>
        <w:jc w:val="center"/>
        <w:rPr>
          <w:color w:val="auto"/>
          <w:highlight w:val="none"/>
        </w:rPr>
      </w:pPr>
      <w:r>
        <w:rPr>
          <w:rFonts w:hAnsi="宋体"/>
          <w:b/>
          <w:bCs/>
          <w:caps/>
          <w:color w:val="auto"/>
          <w:sz w:val="21"/>
          <w:szCs w:val="21"/>
          <w:highlight w:val="none"/>
        </w:rPr>
        <w:fldChar w:fldCharType="begin"/>
      </w:r>
      <w:r>
        <w:rPr>
          <w:rStyle w:val="58"/>
          <w:rFonts w:hAnsi="宋体"/>
          <w:b/>
          <w:bCs/>
          <w:caps/>
          <w:color w:val="auto"/>
          <w:sz w:val="21"/>
          <w:szCs w:val="21"/>
          <w:highlight w:val="none"/>
        </w:rPr>
        <w:instrText xml:space="preserve"> TOC \o "1-3" \h \z \u </w:instrText>
      </w:r>
      <w:r>
        <w:rPr>
          <w:rFonts w:hAnsi="宋体"/>
          <w:b/>
          <w:bCs/>
          <w:caps/>
          <w:color w:val="auto"/>
          <w:sz w:val="21"/>
          <w:szCs w:val="21"/>
          <w:highlight w:val="none"/>
        </w:rPr>
        <w:fldChar w:fldCharType="separate"/>
      </w:r>
    </w:p>
    <w:p>
      <w:pPr>
        <w:pStyle w:val="5"/>
        <w:keepNext/>
        <w:keepLines/>
        <w:pageBreakBefore/>
        <w:numPr>
          <w:ilvl w:val="0"/>
          <w:numId w:val="10"/>
        </w:numPr>
        <w:tabs>
          <w:tab w:val="left" w:pos="1080"/>
        </w:tabs>
        <w:spacing w:line="360" w:lineRule="auto"/>
        <w:ind w:left="1078" w:hanging="1077" w:hangingChars="449"/>
        <w:jc w:val="center"/>
        <w:rPr>
          <w:rFonts w:hAnsi="宋体"/>
          <w:b/>
          <w:bCs/>
          <w:color w:val="auto"/>
          <w:kern w:val="44"/>
          <w:sz w:val="28"/>
          <w:szCs w:val="28"/>
          <w:highlight w:val="none"/>
          <w:lang w:val="zh-CN"/>
        </w:rPr>
      </w:pPr>
      <w:bookmarkStart w:id="6" w:name="_Toc3573"/>
      <w:r>
        <w:rPr>
          <w:color w:val="auto"/>
          <w:highlight w:val="none"/>
        </w:rPr>
        <w:fldChar w:fldCharType="end"/>
      </w:r>
      <w:bookmarkEnd w:id="5"/>
      <w:r>
        <w:rPr>
          <w:rFonts w:hint="eastAsia" w:hAnsi="宋体"/>
          <w:b/>
          <w:bCs/>
          <w:color w:val="auto"/>
          <w:kern w:val="44"/>
          <w:sz w:val="28"/>
          <w:szCs w:val="28"/>
          <w:highlight w:val="none"/>
        </w:rPr>
        <w:t>磋商邀请书</w:t>
      </w:r>
      <w:bookmarkEnd w:id="3"/>
      <w:bookmarkEnd w:id="6"/>
    </w:p>
    <w:p>
      <w:pPr>
        <w:widowControl/>
        <w:tabs>
          <w:tab w:val="left" w:pos="-360"/>
        </w:tabs>
        <w:adjustRightInd/>
        <w:spacing w:line="360" w:lineRule="auto"/>
        <w:ind w:right="-34" w:firstLine="420" w:firstLineChars="200"/>
        <w:jc w:val="both"/>
        <w:textAlignment w:val="bottom"/>
        <w:rPr>
          <w:rFonts w:hAnsi="宋体"/>
          <w:color w:val="auto"/>
          <w:sz w:val="21"/>
          <w:szCs w:val="21"/>
          <w:highlight w:val="none"/>
        </w:rPr>
      </w:pPr>
      <w:r>
        <w:rPr>
          <w:rFonts w:hint="eastAsia" w:hAnsi="宋体"/>
          <w:color w:val="auto"/>
          <w:sz w:val="21"/>
          <w:szCs w:val="21"/>
          <w:highlight w:val="none"/>
        </w:rPr>
        <w:t>广东泰通伟业工程咨询有限公司（以下简称“采购代理机构”）受东莞市大学创新城建设发展有限公司（以下简称“采购人”）的委托，为松山湖创新创业社区人才公寓(</w:t>
      </w:r>
      <w:r>
        <w:rPr>
          <w:rFonts w:hint="eastAsia" w:hAnsi="宋体"/>
          <w:color w:val="auto"/>
          <w:sz w:val="21"/>
          <w:szCs w:val="21"/>
          <w:highlight w:val="none"/>
          <w:lang w:eastAsia="zh-CN"/>
        </w:rPr>
        <w:t>公租房</w:t>
      </w:r>
      <w:r>
        <w:rPr>
          <w:rFonts w:hint="eastAsia" w:hAnsi="宋体"/>
          <w:color w:val="auto"/>
          <w:sz w:val="21"/>
          <w:szCs w:val="21"/>
          <w:highlight w:val="none"/>
        </w:rPr>
        <w:t>)、松寓智能水电表改造项目(项目编号：TTWY-22067) 采购所需的服务。本项目采用竞争性磋商采购方式，欢迎合格供应商就本项目提交密封磋商。</w:t>
      </w:r>
    </w:p>
    <w:p>
      <w:pPr>
        <w:widowControl/>
        <w:numPr>
          <w:ilvl w:val="0"/>
          <w:numId w:val="11"/>
        </w:numPr>
        <w:adjustRightInd/>
        <w:spacing w:line="360" w:lineRule="auto"/>
        <w:outlineLvl w:val="0"/>
        <w:rPr>
          <w:rFonts w:hAnsi="宋体"/>
          <w:color w:val="auto"/>
          <w:sz w:val="21"/>
          <w:szCs w:val="21"/>
          <w:highlight w:val="none"/>
        </w:rPr>
      </w:pPr>
      <w:bookmarkStart w:id="7" w:name="_Toc12537"/>
      <w:r>
        <w:rPr>
          <w:rFonts w:hint="eastAsia" w:hAnsi="宋体"/>
          <w:b/>
          <w:bCs/>
          <w:color w:val="auto"/>
          <w:kern w:val="28"/>
          <w:sz w:val="21"/>
          <w:szCs w:val="21"/>
          <w:highlight w:val="none"/>
        </w:rPr>
        <w:t>邀请合格供应商就下列所有服务提交密封磋商：</w:t>
      </w:r>
      <w:bookmarkEnd w:id="7"/>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项目名称：松山湖创新创业社区人才公寓(</w:t>
      </w:r>
      <w:r>
        <w:rPr>
          <w:rFonts w:hint="eastAsia" w:hAnsi="宋体"/>
          <w:color w:val="auto"/>
          <w:sz w:val="21"/>
          <w:szCs w:val="21"/>
          <w:highlight w:val="none"/>
          <w:lang w:eastAsia="zh-CN"/>
        </w:rPr>
        <w:t>公租房</w:t>
      </w:r>
      <w:r>
        <w:rPr>
          <w:rFonts w:hint="eastAsia" w:hAnsi="宋体"/>
          <w:color w:val="auto"/>
          <w:sz w:val="21"/>
          <w:szCs w:val="21"/>
          <w:highlight w:val="none"/>
        </w:rPr>
        <w:t>)、松寓智能水电表改造项目</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项目编号：TTWY-22067</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项目预算金额：1,710,624.15元（大写：人民币壹佰柒拾壹万零陆佰贰拾肆元壹角伍分）。</w:t>
      </w:r>
    </w:p>
    <w:p>
      <w:pPr>
        <w:widowControl/>
        <w:numPr>
          <w:ilvl w:val="0"/>
          <w:numId w:val="12"/>
        </w:numPr>
        <w:tabs>
          <w:tab w:val="left" w:pos="-360"/>
        </w:tabs>
        <w:adjustRightInd/>
        <w:spacing w:line="360" w:lineRule="auto"/>
        <w:ind w:right="-34"/>
        <w:jc w:val="both"/>
        <w:textAlignment w:val="bottom"/>
        <w:rPr>
          <w:rFonts w:hAnsi="宋体"/>
          <w:color w:val="auto"/>
          <w:sz w:val="21"/>
          <w:szCs w:val="21"/>
          <w:highlight w:val="none"/>
        </w:rPr>
      </w:pPr>
      <w:r>
        <w:rPr>
          <w:rFonts w:hint="eastAsia" w:hAnsi="宋体"/>
          <w:color w:val="auto"/>
          <w:sz w:val="21"/>
          <w:szCs w:val="21"/>
          <w:highlight w:val="none"/>
        </w:rPr>
        <w:t>项目需求：详见磋商文件第三篇用户需求书。</w:t>
      </w:r>
    </w:p>
    <w:p>
      <w:pPr>
        <w:widowControl/>
        <w:adjustRightInd/>
        <w:spacing w:line="360" w:lineRule="auto"/>
        <w:outlineLvl w:val="0"/>
        <w:rPr>
          <w:rFonts w:hAnsi="宋体"/>
          <w:b/>
          <w:bCs/>
          <w:color w:val="auto"/>
          <w:kern w:val="28"/>
          <w:sz w:val="21"/>
          <w:szCs w:val="21"/>
          <w:highlight w:val="none"/>
        </w:rPr>
      </w:pPr>
      <w:bookmarkStart w:id="8" w:name="_Toc4600"/>
      <w:r>
        <w:rPr>
          <w:rFonts w:hint="eastAsia" w:hAnsi="宋体"/>
          <w:b/>
          <w:bCs/>
          <w:color w:val="auto"/>
          <w:kern w:val="28"/>
          <w:sz w:val="21"/>
          <w:szCs w:val="21"/>
          <w:highlight w:val="none"/>
          <w:lang w:val="zh-CN"/>
        </w:rPr>
        <w:t>二、供应商须满足以下资格条件</w:t>
      </w:r>
      <w:r>
        <w:rPr>
          <w:rFonts w:hint="eastAsia" w:hAnsi="宋体"/>
          <w:b/>
          <w:bCs/>
          <w:color w:val="auto"/>
          <w:kern w:val="28"/>
          <w:sz w:val="21"/>
          <w:szCs w:val="21"/>
          <w:highlight w:val="none"/>
        </w:rPr>
        <w:t>：</w:t>
      </w:r>
      <w:bookmarkEnd w:id="8"/>
    </w:p>
    <w:p>
      <w:pPr>
        <w:widowControl/>
        <w:numPr>
          <w:ilvl w:val="0"/>
          <w:numId w:val="13"/>
        </w:numPr>
        <w:adjustRightInd/>
        <w:spacing w:line="360" w:lineRule="auto"/>
        <w:ind w:right="53"/>
        <w:textAlignment w:val="bottom"/>
        <w:rPr>
          <w:rFonts w:hAnsi="宋体"/>
          <w:color w:val="auto"/>
          <w:kern w:val="2"/>
          <w:sz w:val="21"/>
          <w:szCs w:val="21"/>
          <w:highlight w:val="none"/>
        </w:rPr>
      </w:pPr>
      <w:bookmarkStart w:id="9" w:name="_Toc396137230"/>
      <w:r>
        <w:rPr>
          <w:rFonts w:hint="eastAsia" w:hAnsi="宋体"/>
          <w:color w:val="auto"/>
          <w:kern w:val="2"/>
          <w:sz w:val="21"/>
          <w:szCs w:val="21"/>
          <w:highlight w:val="none"/>
        </w:rPr>
        <w:t>供应商须为在中华人民共和国境内登记注册的具有独立承担民事责任能力的法人或其他组织；</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（二）供应商的单位负责人为同一人或者存在直接控股、管理关系的不同供应商，不得参加同一合同项下的采购活动。</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（三）供应商参加采购活动前三年内，在经营活动中没有重大违法记录。（须提供书面声明）；</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四）供应商未被列入“信用中国”网站(www.creditchina.gov.cn)“记录失信被执行人或重大税收违法案件当事人名单或政府采购严重违法失信行为”记录名单（以采购代理机构投标截止日当天在“信用中国”网站（www.creditchina.gov.cn）查询结果为准，如相关失信记录已失效，供应商需提供相关证明资料）。</w:t>
      </w:r>
    </w:p>
    <w:p>
      <w:pPr>
        <w:widowControl/>
        <w:adjustRightInd/>
        <w:spacing w:line="360" w:lineRule="auto"/>
        <w:ind w:left="420" w:right="53"/>
        <w:textAlignment w:val="bottom"/>
        <w:rPr>
          <w:rFonts w:hAnsi="宋体"/>
          <w:color w:val="auto"/>
          <w:kern w:val="2"/>
          <w:sz w:val="21"/>
          <w:szCs w:val="21"/>
          <w:highlight w:val="none"/>
        </w:rPr>
      </w:pPr>
      <w:r>
        <w:rPr>
          <w:rFonts w:hint="eastAsia" w:hAnsi="宋体"/>
          <w:color w:val="auto"/>
          <w:kern w:val="2"/>
          <w:sz w:val="21"/>
          <w:szCs w:val="21"/>
          <w:highlight w:val="none"/>
        </w:rPr>
        <w:t>（五）本项目不接受联合体投标。</w:t>
      </w:r>
    </w:p>
    <w:p>
      <w:pPr>
        <w:spacing w:line="360" w:lineRule="auto"/>
        <w:outlineLvl w:val="0"/>
        <w:rPr>
          <w:rFonts w:hAnsi="宋体"/>
          <w:b/>
          <w:bCs/>
          <w:color w:val="auto"/>
          <w:sz w:val="21"/>
          <w:szCs w:val="21"/>
          <w:highlight w:val="none"/>
        </w:rPr>
      </w:pPr>
      <w:bookmarkStart w:id="10" w:name="_Toc8581"/>
      <w:r>
        <w:rPr>
          <w:rFonts w:hint="eastAsia" w:hAnsi="宋体"/>
          <w:b/>
          <w:bCs/>
          <w:color w:val="auto"/>
          <w:sz w:val="21"/>
          <w:szCs w:val="21"/>
          <w:highlight w:val="none"/>
        </w:rPr>
        <w:t>三、获取磋商文件：</w:t>
      </w:r>
      <w:bookmarkEnd w:id="10"/>
    </w:p>
    <w:p>
      <w:pPr>
        <w:widowControl/>
        <w:adjustRightInd/>
        <w:spacing w:line="360" w:lineRule="auto"/>
        <w:ind w:left="420"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本项目无须报名，磋商文件下载地址：</w:t>
      </w:r>
      <w:r>
        <w:rPr>
          <w:rFonts w:hint="eastAsia" w:hAnsi="宋体"/>
          <w:color w:val="auto"/>
          <w:spacing w:val="-6"/>
          <w:kern w:val="28"/>
          <w:sz w:val="21"/>
          <w:szCs w:val="21"/>
          <w:highlight w:val="none"/>
        </w:rPr>
        <w:t>中国招标投标公共服务平台（http://www.cebpubservice.com/）</w:t>
      </w:r>
      <w:r>
        <w:rPr>
          <w:rFonts w:hint="eastAsia" w:hAnsi="宋体"/>
          <w:color w:val="auto"/>
          <w:kern w:val="28"/>
          <w:sz w:val="21"/>
          <w:szCs w:val="21"/>
          <w:highlight w:val="none"/>
        </w:rPr>
        <w:t>、东莞实业投资控股集团有限公司-招标采购栏目（http://www.dgsy.com.cn/）、广东泰通伟业工程咨询有限公司官网-招标采购栏目（http://www.weiyecoltd.com/）。</w:t>
      </w:r>
    </w:p>
    <w:p>
      <w:pPr>
        <w:widowControl/>
        <w:adjustRightInd/>
        <w:spacing w:line="360" w:lineRule="auto"/>
        <w:ind w:left="420" w:right="53" w:firstLine="420" w:firstLineChars="200"/>
        <w:textAlignment w:val="bottom"/>
        <w:rPr>
          <w:rFonts w:hAnsi="宋体"/>
          <w:color w:val="auto"/>
          <w:kern w:val="28"/>
          <w:sz w:val="21"/>
          <w:szCs w:val="21"/>
          <w:highlight w:val="none"/>
        </w:rPr>
      </w:pPr>
      <w:r>
        <w:rPr>
          <w:rFonts w:hint="eastAsia" w:hAnsi="宋体"/>
          <w:color w:val="auto"/>
          <w:kern w:val="28"/>
          <w:sz w:val="21"/>
          <w:szCs w:val="21"/>
          <w:highlight w:val="none"/>
        </w:rPr>
        <w:t>采购结果公告发布媒介：东莞实业投资控股集团有限公司-招标采购栏目（http://www.dgsy.com.cn/）</w:t>
      </w:r>
    </w:p>
    <w:p>
      <w:pPr>
        <w:pStyle w:val="20"/>
        <w:rPr>
          <w:color w:val="auto"/>
          <w:highlight w:val="none"/>
        </w:rPr>
      </w:pPr>
      <w:r>
        <w:rPr>
          <w:rFonts w:hint="eastAsia" w:hAnsi="宋体"/>
          <w:color w:val="auto"/>
          <w:kern w:val="28"/>
          <w:szCs w:val="21"/>
          <w:highlight w:val="none"/>
        </w:rPr>
        <w:t xml:space="preserve">    磋商文件公告期限：自公告之日起三个工作日。</w:t>
      </w:r>
    </w:p>
    <w:p>
      <w:pPr>
        <w:pStyle w:val="29"/>
        <w:spacing w:line="360" w:lineRule="auto"/>
        <w:rPr>
          <w:rFonts w:hAnsi="宋体"/>
          <w:b/>
          <w:bCs/>
          <w:color w:val="auto"/>
          <w:szCs w:val="21"/>
          <w:highlight w:val="none"/>
        </w:rPr>
      </w:pPr>
      <w:r>
        <w:rPr>
          <w:rFonts w:hint="eastAsia" w:hAnsi="宋体"/>
          <w:b/>
          <w:bCs/>
          <w:color w:val="auto"/>
          <w:szCs w:val="21"/>
          <w:highlight w:val="none"/>
        </w:rPr>
        <w:t>四、接收响应文件的时间、地点、截止时间，开启响应文件时间、地点</w:t>
      </w:r>
      <w:r>
        <w:rPr>
          <w:rFonts w:hint="eastAsia" w:hAnsi="宋体"/>
          <w:b/>
          <w:color w:val="auto"/>
          <w:szCs w:val="21"/>
          <w:highlight w:val="none"/>
        </w:rPr>
        <w:t>：</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1、接收响应文件的时间：2023年</w:t>
      </w:r>
      <w:r>
        <w:rPr>
          <w:rFonts w:hint="eastAsia" w:hAnsi="宋体"/>
          <w:color w:val="auto"/>
          <w:sz w:val="21"/>
          <w:szCs w:val="21"/>
          <w:highlight w:val="none"/>
          <w:lang w:val="en-US" w:eastAsia="zh-CN"/>
        </w:rPr>
        <w:t>1</w:t>
      </w:r>
      <w:r>
        <w:rPr>
          <w:rFonts w:hint="eastAsia" w:hAnsi="宋体"/>
          <w:color w:val="auto"/>
          <w:sz w:val="21"/>
          <w:szCs w:val="21"/>
          <w:highlight w:val="none"/>
        </w:rPr>
        <w:t>月</w:t>
      </w:r>
      <w:r>
        <w:rPr>
          <w:rFonts w:hint="eastAsia" w:hAnsi="宋体"/>
          <w:color w:val="auto"/>
          <w:sz w:val="21"/>
          <w:szCs w:val="21"/>
          <w:highlight w:val="none"/>
          <w:lang w:val="en-US" w:eastAsia="zh-CN"/>
        </w:rPr>
        <w:t>17</w:t>
      </w:r>
      <w:r>
        <w:rPr>
          <w:rFonts w:hint="eastAsia" w:hAnsi="宋体"/>
          <w:color w:val="auto"/>
          <w:sz w:val="21"/>
          <w:szCs w:val="21"/>
          <w:highlight w:val="none"/>
        </w:rPr>
        <w:t>日上午9:00～9:30。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2、接收响应文件截止时间及开启响应文件时间：2023年</w:t>
      </w:r>
      <w:r>
        <w:rPr>
          <w:rFonts w:hint="eastAsia" w:hAnsi="宋体"/>
          <w:color w:val="auto"/>
          <w:sz w:val="21"/>
          <w:szCs w:val="21"/>
          <w:highlight w:val="none"/>
          <w:lang w:val="en-US" w:eastAsia="zh-CN"/>
        </w:rPr>
        <w:t>1</w:t>
      </w:r>
      <w:r>
        <w:rPr>
          <w:rFonts w:hint="eastAsia" w:hAnsi="宋体"/>
          <w:color w:val="auto"/>
          <w:sz w:val="21"/>
          <w:szCs w:val="21"/>
          <w:highlight w:val="none"/>
        </w:rPr>
        <w:t>月</w:t>
      </w:r>
      <w:r>
        <w:rPr>
          <w:rFonts w:hint="eastAsia" w:hAnsi="宋体"/>
          <w:color w:val="auto"/>
          <w:sz w:val="21"/>
          <w:szCs w:val="21"/>
          <w:highlight w:val="none"/>
          <w:lang w:val="en-US" w:eastAsia="zh-CN"/>
        </w:rPr>
        <w:t>17</w:t>
      </w:r>
      <w:r>
        <w:rPr>
          <w:rFonts w:hint="eastAsia" w:hAnsi="宋体"/>
          <w:color w:val="auto"/>
          <w:sz w:val="21"/>
          <w:szCs w:val="21"/>
          <w:highlight w:val="none"/>
        </w:rPr>
        <w:t>日上午9:30。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3、接收响应文件地点：东莞市东城莞龙路下桥银门街一号办公楼六楼618室。</w:t>
      </w:r>
    </w:p>
    <w:p>
      <w:pPr>
        <w:spacing w:line="360" w:lineRule="auto"/>
        <w:outlineLvl w:val="0"/>
        <w:rPr>
          <w:rFonts w:hAnsi="宋体"/>
          <w:b/>
          <w:bCs/>
          <w:color w:val="auto"/>
          <w:sz w:val="21"/>
          <w:szCs w:val="21"/>
          <w:highlight w:val="none"/>
        </w:rPr>
      </w:pPr>
      <w:bookmarkStart w:id="11" w:name="_Toc26926"/>
      <w:r>
        <w:rPr>
          <w:rFonts w:hint="eastAsia" w:hAnsi="宋体"/>
          <w:b/>
          <w:bCs/>
          <w:color w:val="auto"/>
          <w:sz w:val="21"/>
          <w:szCs w:val="21"/>
          <w:highlight w:val="none"/>
        </w:rPr>
        <w:t>五、</w:t>
      </w:r>
      <w:r>
        <w:rPr>
          <w:rFonts w:hint="eastAsia" w:hAnsi="宋体"/>
          <w:b/>
          <w:color w:val="auto"/>
          <w:sz w:val="21"/>
          <w:szCs w:val="21"/>
          <w:highlight w:val="none"/>
        </w:rPr>
        <w:t>采购代理机构</w:t>
      </w:r>
      <w:r>
        <w:rPr>
          <w:rFonts w:hint="eastAsia" w:hAnsi="宋体"/>
          <w:b/>
          <w:bCs/>
          <w:color w:val="auto"/>
          <w:sz w:val="21"/>
          <w:szCs w:val="21"/>
          <w:highlight w:val="none"/>
        </w:rPr>
        <w:t>及采购人</w:t>
      </w:r>
      <w:r>
        <w:rPr>
          <w:rFonts w:hint="eastAsia" w:hAnsi="宋体"/>
          <w:b/>
          <w:color w:val="auto"/>
          <w:sz w:val="21"/>
          <w:szCs w:val="21"/>
          <w:highlight w:val="none"/>
        </w:rPr>
        <w:t>的地址和联系方式</w:t>
      </w:r>
      <w:r>
        <w:rPr>
          <w:rFonts w:hint="eastAsia" w:hAnsi="宋体"/>
          <w:b/>
          <w:bCs/>
          <w:color w:val="auto"/>
          <w:sz w:val="21"/>
          <w:szCs w:val="21"/>
          <w:highlight w:val="none"/>
        </w:rPr>
        <w:t>：</w:t>
      </w:r>
      <w:bookmarkEnd w:id="11"/>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采购代理机构：</w:t>
      </w:r>
      <w:r>
        <w:rPr>
          <w:rFonts w:hAnsi="宋体"/>
          <w:color w:val="auto"/>
          <w:sz w:val="21"/>
          <w:szCs w:val="21"/>
          <w:highlight w:val="none"/>
        </w:rPr>
        <w:t>广东泰通伟业工程咨询有限公司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东莞市东城莞龙路下桥银门街一号办公楼六楼606室招标采购部</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项目</w:t>
      </w:r>
      <w:r>
        <w:rPr>
          <w:rFonts w:hAnsi="宋体"/>
          <w:color w:val="auto"/>
          <w:sz w:val="21"/>
          <w:szCs w:val="21"/>
          <w:highlight w:val="none"/>
        </w:rPr>
        <w:t>联系人:</w:t>
      </w:r>
      <w:r>
        <w:rPr>
          <w:rFonts w:hint="eastAsia" w:hAnsi="宋体"/>
          <w:color w:val="auto"/>
          <w:sz w:val="21"/>
          <w:szCs w:val="21"/>
          <w:highlight w:val="none"/>
        </w:rPr>
        <w:t xml:space="preserve"> 冼小姐</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话：0769</w:t>
      </w:r>
      <w:r>
        <w:rPr>
          <w:rFonts w:hint="eastAsia" w:hAnsi="宋体"/>
          <w:color w:val="auto"/>
          <w:sz w:val="21"/>
          <w:szCs w:val="21"/>
          <w:highlight w:val="none"/>
        </w:rPr>
        <w:t>-22088829</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邮    箱</w:t>
      </w:r>
      <w:r>
        <w:rPr>
          <w:rFonts w:hAnsi="宋体"/>
          <w:color w:val="auto"/>
          <w:sz w:val="21"/>
          <w:szCs w:val="21"/>
          <w:highlight w:val="none"/>
        </w:rPr>
        <w:t>：</w:t>
      </w:r>
      <w:r>
        <w:rPr>
          <w:rFonts w:hint="eastAsia" w:hAnsi="宋体"/>
          <w:color w:val="auto"/>
          <w:sz w:val="21"/>
          <w:szCs w:val="21"/>
          <w:highlight w:val="none"/>
        </w:rPr>
        <w:t>WYZFCG@126.com</w:t>
      </w:r>
    </w:p>
    <w:p>
      <w:pPr>
        <w:spacing w:line="360" w:lineRule="auto"/>
        <w:ind w:right="-34" w:firstLine="424" w:firstLineChars="202"/>
        <w:jc w:val="both"/>
        <w:rPr>
          <w:rFonts w:hAnsi="宋体"/>
          <w:color w:val="auto"/>
          <w:sz w:val="21"/>
          <w:szCs w:val="21"/>
          <w:highlight w:val="none"/>
        </w:rPr>
      </w:pPr>
      <w:r>
        <w:rPr>
          <w:rFonts w:hint="eastAsia" w:hAnsi="宋体"/>
          <w:color w:val="auto"/>
          <w:sz w:val="21"/>
          <w:szCs w:val="21"/>
          <w:highlight w:val="none"/>
        </w:rPr>
        <w:t>采 购 人：东莞市大学创新城建设发展有限公司</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地    址：</w:t>
      </w:r>
      <w:r>
        <w:rPr>
          <w:rFonts w:hint="eastAsia" w:hAnsi="宋体"/>
          <w:color w:val="auto"/>
          <w:sz w:val="21"/>
          <w:szCs w:val="21"/>
          <w:highlight w:val="none"/>
        </w:rPr>
        <w:t>东莞市松山湖大学创新城G4栋20层</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联 系 人:</w:t>
      </w:r>
      <w:r>
        <w:rPr>
          <w:rFonts w:hint="eastAsia" w:hAnsi="宋体"/>
          <w:color w:val="auto"/>
          <w:sz w:val="21"/>
          <w:szCs w:val="21"/>
          <w:highlight w:val="none"/>
        </w:rPr>
        <w:t xml:space="preserve"> 谢工</w:t>
      </w:r>
    </w:p>
    <w:p>
      <w:pPr>
        <w:spacing w:line="360" w:lineRule="auto"/>
        <w:ind w:right="-34" w:firstLine="424" w:firstLineChars="202"/>
        <w:jc w:val="both"/>
        <w:rPr>
          <w:rFonts w:hAnsi="宋体"/>
          <w:color w:val="auto"/>
          <w:sz w:val="21"/>
          <w:szCs w:val="21"/>
          <w:highlight w:val="none"/>
        </w:rPr>
      </w:pPr>
      <w:r>
        <w:rPr>
          <w:rFonts w:hAnsi="宋体"/>
          <w:color w:val="auto"/>
          <w:sz w:val="21"/>
          <w:szCs w:val="21"/>
          <w:highlight w:val="none"/>
        </w:rPr>
        <w:t>电    话：</w:t>
      </w:r>
      <w:r>
        <w:rPr>
          <w:rFonts w:hint="eastAsia" w:hAnsi="宋体"/>
          <w:color w:val="auto"/>
          <w:sz w:val="21"/>
          <w:szCs w:val="21"/>
          <w:highlight w:val="none"/>
        </w:rPr>
        <w:t>0769-38888010</w:t>
      </w:r>
    </w:p>
    <w:p>
      <w:pPr>
        <w:spacing w:line="360" w:lineRule="auto"/>
        <w:ind w:firstLine="422" w:firstLineChars="200"/>
        <w:jc w:val="right"/>
        <w:rPr>
          <w:b/>
          <w:color w:val="auto"/>
          <w:sz w:val="21"/>
          <w:szCs w:val="21"/>
          <w:highlight w:val="none"/>
        </w:rPr>
      </w:pPr>
      <w:r>
        <w:rPr>
          <w:rFonts w:hint="eastAsia"/>
          <w:b/>
          <w:color w:val="auto"/>
          <w:sz w:val="21"/>
          <w:szCs w:val="21"/>
          <w:highlight w:val="none"/>
        </w:rPr>
        <w:t xml:space="preserve">                                         东莞市大学创新城建设发展有限公司</w:t>
      </w:r>
    </w:p>
    <w:p>
      <w:pPr>
        <w:spacing w:line="360" w:lineRule="auto"/>
        <w:ind w:firstLine="422" w:firstLineChars="200"/>
        <w:jc w:val="right"/>
        <w:rPr>
          <w:b/>
          <w:color w:val="auto"/>
          <w:sz w:val="21"/>
          <w:szCs w:val="21"/>
          <w:highlight w:val="none"/>
        </w:rPr>
      </w:pPr>
      <w:r>
        <w:rPr>
          <w:rFonts w:hint="eastAsia"/>
          <w:b/>
          <w:color w:val="auto"/>
          <w:sz w:val="21"/>
          <w:szCs w:val="21"/>
          <w:highlight w:val="none"/>
        </w:rPr>
        <w:t>广东泰通伟业工程咨询有限公司</w:t>
      </w:r>
    </w:p>
    <w:p>
      <w:pPr>
        <w:wordWrap w:val="0"/>
        <w:spacing w:line="360" w:lineRule="auto"/>
        <w:ind w:right="-34" w:firstLine="426" w:firstLineChars="202"/>
        <w:jc w:val="right"/>
        <w:rPr>
          <w:rFonts w:hAnsi="宋体"/>
          <w:color w:val="auto"/>
          <w:sz w:val="21"/>
          <w:szCs w:val="21"/>
          <w:highlight w:val="none"/>
        </w:rPr>
      </w:pPr>
      <w:r>
        <w:rPr>
          <w:rFonts w:hint="eastAsia" w:hAnsi="宋体"/>
          <w:b/>
          <w:color w:val="auto"/>
          <w:sz w:val="21"/>
          <w:szCs w:val="21"/>
          <w:highlight w:val="none"/>
        </w:rPr>
        <w:t>2023年1</w:t>
      </w:r>
      <w:r>
        <w:rPr>
          <w:rFonts w:hint="eastAsia" w:hAnsi="宋体"/>
          <w:b/>
          <w:bCs/>
          <w:color w:val="auto"/>
          <w:sz w:val="21"/>
          <w:szCs w:val="21"/>
          <w:highlight w:val="none"/>
        </w:rPr>
        <w:t>月</w:t>
      </w:r>
      <w:r>
        <w:rPr>
          <w:rFonts w:hint="eastAsia" w:hAnsi="宋体"/>
          <w:b/>
          <w:bCs/>
          <w:color w:val="auto"/>
          <w:sz w:val="21"/>
          <w:szCs w:val="21"/>
          <w:highlight w:val="none"/>
          <w:lang w:val="en-US" w:eastAsia="zh-CN"/>
        </w:rPr>
        <w:t>6</w:t>
      </w:r>
      <w:r>
        <w:rPr>
          <w:rFonts w:hint="eastAsia" w:hAnsi="宋体"/>
          <w:b/>
          <w:bCs/>
          <w:color w:val="auto"/>
          <w:sz w:val="21"/>
          <w:szCs w:val="21"/>
          <w:highlight w:val="none"/>
        </w:rPr>
        <w:t>日</w:t>
      </w:r>
    </w:p>
    <w:p>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2" w:name="_Toc17779"/>
      <w:bookmarkStart w:id="13" w:name="_Toc16634"/>
      <w:r>
        <w:rPr>
          <w:rFonts w:hint="eastAsia" w:hAnsi="宋体"/>
          <w:b/>
          <w:bCs/>
          <w:color w:val="auto"/>
          <w:kern w:val="44"/>
          <w:sz w:val="28"/>
          <w:szCs w:val="28"/>
          <w:highlight w:val="none"/>
          <w:lang w:val="zh-CN"/>
        </w:rPr>
        <w:t>供应商须知</w:t>
      </w:r>
      <w:bookmarkEnd w:id="9"/>
      <w:bookmarkEnd w:id="12"/>
      <w:bookmarkEnd w:id="13"/>
    </w:p>
    <w:p>
      <w:pPr>
        <w:pStyle w:val="6"/>
        <w:adjustRightInd/>
        <w:spacing w:line="360" w:lineRule="auto"/>
        <w:ind w:firstLine="562" w:firstLineChars="200"/>
        <w:jc w:val="center"/>
        <w:rPr>
          <w:color w:val="auto"/>
          <w:sz w:val="28"/>
          <w:szCs w:val="28"/>
          <w:highlight w:val="none"/>
        </w:rPr>
      </w:pPr>
      <w:bookmarkStart w:id="14" w:name="_Toc7897861"/>
      <w:bookmarkStart w:id="15" w:name="_Toc507407359"/>
      <w:bookmarkStart w:id="16" w:name="_Toc12804"/>
      <w:bookmarkStart w:id="17" w:name="_Toc466786434"/>
      <w:bookmarkStart w:id="18" w:name="_Toc5203"/>
      <w:bookmarkStart w:id="19" w:name="_Toc102277756"/>
      <w:bookmarkStart w:id="20" w:name="_Toc6882675"/>
      <w:bookmarkStart w:id="21" w:name="_Toc6968687"/>
      <w:r>
        <w:rPr>
          <w:rFonts w:hint="eastAsia"/>
          <w:color w:val="auto"/>
          <w:sz w:val="28"/>
          <w:szCs w:val="28"/>
          <w:highlight w:val="none"/>
        </w:rPr>
        <w:t>一、说  明</w:t>
      </w:r>
      <w:bookmarkEnd w:id="14"/>
      <w:bookmarkEnd w:id="15"/>
      <w:bookmarkEnd w:id="16"/>
      <w:bookmarkEnd w:id="17"/>
      <w:bookmarkEnd w:id="18"/>
      <w:bookmarkEnd w:id="19"/>
      <w:bookmarkEnd w:id="20"/>
      <w:bookmarkEnd w:id="21"/>
    </w:p>
    <w:p>
      <w:pPr>
        <w:pStyle w:val="7"/>
        <w:adjustRightInd/>
        <w:spacing w:line="360" w:lineRule="auto"/>
        <w:ind w:firstLine="420" w:firstLineChars="200"/>
        <w:rPr>
          <w:rFonts w:hAnsi="宋体"/>
          <w:color w:val="auto"/>
          <w:sz w:val="21"/>
          <w:szCs w:val="21"/>
          <w:highlight w:val="none"/>
        </w:rPr>
      </w:pPr>
      <w:bookmarkStart w:id="22" w:name="_Toc7897862"/>
      <w:bookmarkStart w:id="23" w:name="_Toc3730"/>
      <w:bookmarkStart w:id="24" w:name="_Toc475249114"/>
      <w:bookmarkStart w:id="25" w:name="_Toc24987"/>
      <w:r>
        <w:rPr>
          <w:rFonts w:hint="eastAsia" w:hAnsi="宋体"/>
          <w:color w:val="auto"/>
          <w:sz w:val="21"/>
          <w:szCs w:val="21"/>
          <w:highlight w:val="none"/>
        </w:rPr>
        <w:t>1.适用范围</w:t>
      </w:r>
      <w:bookmarkEnd w:id="22"/>
      <w:bookmarkEnd w:id="23"/>
      <w:bookmarkEnd w:id="24"/>
      <w:bookmarkEnd w:id="25"/>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1.1本磋商文件仅适用于本次采购邀请中所叙述的项目。</w:t>
      </w:r>
    </w:p>
    <w:p>
      <w:pPr>
        <w:spacing w:line="360" w:lineRule="auto"/>
        <w:ind w:firstLine="420" w:firstLineChars="200"/>
        <w:textAlignment w:val="baseline"/>
        <w:rPr>
          <w:rFonts w:hAnsi="宋体"/>
          <w:color w:val="auto"/>
          <w:sz w:val="21"/>
          <w:szCs w:val="21"/>
          <w:highlight w:val="none"/>
        </w:rPr>
      </w:pPr>
      <w:r>
        <w:rPr>
          <w:rFonts w:hint="eastAsia" w:hAnsi="宋体"/>
          <w:color w:val="auto"/>
          <w:sz w:val="21"/>
          <w:szCs w:val="21"/>
          <w:highlight w:val="none"/>
        </w:rPr>
        <w:t>1.2本磋商文件的解释权在采购代理机构。</w:t>
      </w:r>
    </w:p>
    <w:p>
      <w:pPr>
        <w:pStyle w:val="7"/>
        <w:adjustRightInd/>
        <w:spacing w:line="360" w:lineRule="auto"/>
        <w:ind w:firstLine="420" w:firstLineChars="200"/>
        <w:rPr>
          <w:rFonts w:hAnsi="宋体"/>
          <w:color w:val="auto"/>
          <w:sz w:val="21"/>
          <w:szCs w:val="21"/>
          <w:highlight w:val="none"/>
        </w:rPr>
      </w:pPr>
      <w:bookmarkStart w:id="26" w:name="_Toc9738"/>
      <w:bookmarkStart w:id="27" w:name="_Toc598"/>
      <w:bookmarkStart w:id="28" w:name="_Toc475249115"/>
      <w:bookmarkStart w:id="29" w:name="_Toc7897863"/>
      <w:r>
        <w:rPr>
          <w:rFonts w:hint="eastAsia" w:hAnsi="宋体"/>
          <w:color w:val="auto"/>
          <w:sz w:val="21"/>
          <w:szCs w:val="21"/>
          <w:highlight w:val="none"/>
        </w:rPr>
        <w:t>2.定义</w:t>
      </w:r>
      <w:bookmarkEnd w:id="26"/>
      <w:bookmarkEnd w:id="27"/>
      <w:bookmarkEnd w:id="28"/>
      <w:bookmarkEnd w:id="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2.1“采购人”是指东莞市大学创新城建设发展有限公司。</w:t>
      </w:r>
    </w:p>
    <w:p>
      <w:pPr>
        <w:spacing w:line="360" w:lineRule="auto"/>
        <w:ind w:firstLine="420" w:firstLineChars="200"/>
        <w:rPr>
          <w:rFonts w:hAnsi="宋体"/>
          <w:b/>
          <w:color w:val="auto"/>
          <w:sz w:val="21"/>
          <w:szCs w:val="21"/>
          <w:highlight w:val="none"/>
        </w:rPr>
      </w:pPr>
      <w:r>
        <w:rPr>
          <w:rFonts w:hint="eastAsia" w:hAnsi="宋体"/>
          <w:color w:val="auto"/>
          <w:sz w:val="21"/>
          <w:szCs w:val="21"/>
          <w:highlight w:val="none"/>
        </w:rPr>
        <w:t>2.2“采购代理机构”是指广东泰通伟业工程咨询有限公司。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2.3“供应商”指向采购代理机构提交响应文件的法人。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 货物：卖方按磋商文件规定向买方提供的货物。</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2.5 服务：磋商文件规定卖方必须承担的咨询、技术协助、培训及其它相关义务。</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 语言：磋商文件的语言为简体中文。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 日期：指公历日。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 时间：指北京时间。</w:t>
      </w:r>
    </w:p>
    <w:p>
      <w:pPr>
        <w:pStyle w:val="7"/>
        <w:adjustRightInd/>
        <w:spacing w:line="360" w:lineRule="auto"/>
        <w:ind w:firstLine="420" w:firstLineChars="200"/>
        <w:rPr>
          <w:rFonts w:hAnsi="宋体"/>
          <w:color w:val="auto"/>
          <w:sz w:val="21"/>
          <w:szCs w:val="21"/>
          <w:highlight w:val="none"/>
        </w:rPr>
      </w:pPr>
      <w:bookmarkStart w:id="30" w:name="_Toc24709"/>
      <w:bookmarkStart w:id="31" w:name="_Toc110953831"/>
      <w:bookmarkStart w:id="32" w:name="_Toc7897864"/>
      <w:bookmarkStart w:id="33" w:name="_Toc367"/>
      <w:bookmarkStart w:id="34" w:name="_Toc6882676"/>
      <w:bookmarkStart w:id="35" w:name="_Toc507407360"/>
      <w:bookmarkStart w:id="36" w:name="_Toc102277757"/>
      <w:bookmarkStart w:id="37" w:name="_Toc6968688"/>
      <w:bookmarkStart w:id="38" w:name="_Toc466786435"/>
      <w:r>
        <w:rPr>
          <w:rFonts w:hint="eastAsia" w:hAnsi="宋体"/>
          <w:color w:val="auto"/>
          <w:sz w:val="21"/>
          <w:szCs w:val="21"/>
          <w:highlight w:val="none"/>
        </w:rPr>
        <w:t>3.适用法律</w:t>
      </w:r>
      <w:bookmarkEnd w:id="30"/>
      <w:bookmarkEnd w:id="31"/>
      <w:bookmarkEnd w:id="32"/>
      <w:bookmarkEnd w:id="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采购人、供应商和采购代理机构均应当参照东莞市大学创新城建设发展有限公司相关招标采购规定执行。</w:t>
      </w:r>
    </w:p>
    <w:p>
      <w:pPr>
        <w:pStyle w:val="7"/>
        <w:adjustRightInd/>
        <w:spacing w:line="360" w:lineRule="auto"/>
        <w:ind w:firstLine="420" w:firstLineChars="200"/>
        <w:rPr>
          <w:rFonts w:hAnsi="宋体"/>
          <w:color w:val="auto"/>
          <w:sz w:val="21"/>
          <w:szCs w:val="21"/>
          <w:highlight w:val="none"/>
          <w:lang w:val="zh-CN"/>
        </w:rPr>
      </w:pPr>
      <w:bookmarkStart w:id="39" w:name="_Toc20707"/>
      <w:bookmarkStart w:id="40" w:name="_Toc110953833"/>
      <w:bookmarkStart w:id="41" w:name="_Toc7897866"/>
      <w:bookmarkStart w:id="42" w:name="_Toc10397"/>
      <w:r>
        <w:rPr>
          <w:rFonts w:hint="eastAsia" w:hAnsi="宋体"/>
          <w:color w:val="auto"/>
          <w:sz w:val="21"/>
          <w:szCs w:val="21"/>
          <w:highlight w:val="none"/>
          <w:lang w:val="zh-CN"/>
        </w:rPr>
        <w:t>4</w:t>
      </w:r>
      <w:r>
        <w:rPr>
          <w:rFonts w:hint="eastAsia" w:hAnsi="宋体"/>
          <w:color w:val="auto"/>
          <w:sz w:val="21"/>
          <w:szCs w:val="21"/>
          <w:highlight w:val="none"/>
        </w:rPr>
        <w:t>.</w:t>
      </w:r>
      <w:r>
        <w:rPr>
          <w:rFonts w:hint="eastAsia" w:hAnsi="宋体"/>
          <w:color w:val="auto"/>
          <w:sz w:val="21"/>
          <w:szCs w:val="21"/>
          <w:highlight w:val="none"/>
          <w:lang w:val="zh-CN"/>
        </w:rPr>
        <w:t>本项目不接受联合体磋商。</w:t>
      </w:r>
      <w:bookmarkEnd w:id="39"/>
    </w:p>
    <w:p>
      <w:pPr>
        <w:pStyle w:val="7"/>
        <w:adjustRightInd/>
        <w:spacing w:line="360" w:lineRule="auto"/>
        <w:ind w:firstLine="420" w:firstLineChars="200"/>
        <w:rPr>
          <w:rFonts w:hAnsi="宋体"/>
          <w:bCs/>
          <w:color w:val="auto"/>
          <w:sz w:val="21"/>
          <w:szCs w:val="21"/>
          <w:highlight w:val="none"/>
        </w:rPr>
      </w:pPr>
      <w:bookmarkStart w:id="43" w:name="_Toc10368"/>
      <w:r>
        <w:rPr>
          <w:rFonts w:hint="eastAsia" w:hAnsi="宋体"/>
          <w:color w:val="auto"/>
          <w:sz w:val="21"/>
          <w:szCs w:val="21"/>
          <w:highlight w:val="none"/>
        </w:rPr>
        <w:t>5.禁止事项</w:t>
      </w:r>
      <w:bookmarkEnd w:id="40"/>
      <w:bookmarkEnd w:id="41"/>
      <w:bookmarkEnd w:id="42"/>
      <w:bookmarkEnd w:id="43"/>
    </w:p>
    <w:p>
      <w:pPr>
        <w:spacing w:line="360" w:lineRule="auto"/>
        <w:ind w:firstLine="420" w:firstLineChars="200"/>
        <w:rPr>
          <w:rFonts w:hAnsi="宋体"/>
          <w:color w:val="auto"/>
          <w:sz w:val="21"/>
          <w:szCs w:val="21"/>
          <w:highlight w:val="none"/>
        </w:rPr>
      </w:pPr>
      <w:bookmarkStart w:id="44" w:name="_Toc98126218"/>
      <w:bookmarkStart w:id="45" w:name="_Toc98126293"/>
      <w:r>
        <w:rPr>
          <w:rFonts w:hint="eastAsia" w:hAnsi="宋体"/>
          <w:color w:val="auto"/>
          <w:sz w:val="21"/>
          <w:szCs w:val="21"/>
          <w:highlight w:val="none"/>
        </w:rPr>
        <w:t>5.1采购人、供应商和采购代理机构不得相互串通损害国家利益、社会公共利益和其他当事人的合法权益。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5.2供应商不得向采购人、采购代理机构、磋商小组的组成人员行贿或者采取其他不正当手段谋取成交。</w:t>
      </w:r>
      <w:bookmarkEnd w:id="44"/>
      <w:bookmarkEnd w:id="45"/>
    </w:p>
    <w:p>
      <w:pPr>
        <w:spacing w:line="360" w:lineRule="auto"/>
        <w:ind w:firstLine="420" w:firstLineChars="200"/>
        <w:rPr>
          <w:rFonts w:hAnsi="宋体"/>
          <w:color w:val="auto"/>
          <w:sz w:val="21"/>
          <w:szCs w:val="21"/>
          <w:highlight w:val="none"/>
        </w:rPr>
      </w:pPr>
      <w:bookmarkStart w:id="46" w:name="_Toc98126219"/>
      <w:bookmarkStart w:id="47" w:name="_Toc98126294"/>
      <w:r>
        <w:rPr>
          <w:rFonts w:hint="eastAsia" w:hAnsi="宋体"/>
          <w:color w:val="auto"/>
          <w:sz w:val="21"/>
          <w:szCs w:val="21"/>
          <w:highlight w:val="none"/>
        </w:rPr>
        <w:t>5.3采购代理机构不得向采购人行贿或者采取其他不正当手段谋取非法利益。</w:t>
      </w:r>
      <w:bookmarkEnd w:id="46"/>
      <w:bookmarkEnd w:id="47"/>
    </w:p>
    <w:p>
      <w:pPr>
        <w:spacing w:line="360" w:lineRule="auto"/>
        <w:ind w:firstLine="420" w:firstLineChars="200"/>
        <w:rPr>
          <w:rFonts w:hAnsi="宋体"/>
          <w:color w:val="auto"/>
          <w:sz w:val="21"/>
          <w:szCs w:val="21"/>
          <w:highlight w:val="none"/>
        </w:rPr>
      </w:pPr>
      <w:bookmarkStart w:id="48" w:name="_Toc98126220"/>
      <w:bookmarkStart w:id="49" w:name="_Toc98126295"/>
      <w:r>
        <w:rPr>
          <w:rFonts w:hint="eastAsia" w:hAnsi="宋体"/>
          <w:color w:val="auto"/>
          <w:sz w:val="21"/>
          <w:szCs w:val="21"/>
          <w:highlight w:val="none"/>
        </w:rPr>
        <w:t>5.4除供应商被要求对响应文件进行质疑澄清外，从开启响应文件之时起至授予合同止，供应商不得就与其响应文件有关的事项主动与磋商小组、采购人以及采购代理机构接触。</w:t>
      </w:r>
      <w:bookmarkEnd w:id="48"/>
      <w:bookmarkEnd w:id="49"/>
    </w:p>
    <w:p>
      <w:pPr>
        <w:pStyle w:val="7"/>
        <w:adjustRightInd/>
        <w:spacing w:line="360" w:lineRule="auto"/>
        <w:ind w:firstLine="420" w:firstLineChars="200"/>
        <w:rPr>
          <w:rFonts w:hAnsi="宋体"/>
          <w:bCs/>
          <w:color w:val="auto"/>
          <w:sz w:val="21"/>
          <w:szCs w:val="21"/>
          <w:highlight w:val="none"/>
        </w:rPr>
      </w:pPr>
      <w:bookmarkStart w:id="50" w:name="_Toc110953834"/>
      <w:bookmarkStart w:id="51" w:name="_Toc2863"/>
      <w:bookmarkStart w:id="52" w:name="_Toc25870"/>
      <w:bookmarkStart w:id="53" w:name="_Toc7897867"/>
      <w:r>
        <w:rPr>
          <w:rFonts w:hint="eastAsia" w:hAnsi="宋体"/>
          <w:color w:val="auto"/>
          <w:sz w:val="21"/>
          <w:szCs w:val="21"/>
          <w:highlight w:val="none"/>
        </w:rPr>
        <w:t>6.保密及其它注意事项</w:t>
      </w:r>
      <w:bookmarkEnd w:id="50"/>
      <w:bookmarkEnd w:id="51"/>
      <w:bookmarkEnd w:id="52"/>
      <w:bookmarkEnd w:id="53"/>
    </w:p>
    <w:p>
      <w:pPr>
        <w:spacing w:line="360" w:lineRule="auto"/>
        <w:ind w:firstLine="420" w:firstLineChars="200"/>
        <w:rPr>
          <w:rFonts w:hAnsi="宋体"/>
          <w:color w:val="auto"/>
          <w:sz w:val="21"/>
          <w:szCs w:val="21"/>
          <w:highlight w:val="none"/>
        </w:rPr>
      </w:pPr>
      <w:bookmarkStart w:id="54" w:name="_Toc98126297"/>
      <w:bookmarkStart w:id="55" w:name="_Toc98126222"/>
      <w:r>
        <w:rPr>
          <w:rFonts w:hint="eastAsia" w:hAnsi="宋体"/>
          <w:color w:val="auto"/>
          <w:sz w:val="21"/>
          <w:szCs w:val="21"/>
          <w:highlight w:val="none"/>
        </w:rPr>
        <w:t>6.1凡参与采购工作的有关人员均应自觉接受有关主管部门的监督，不得向他人透露可能影响公平竞争的有关情况。</w:t>
      </w:r>
      <w:bookmarkEnd w:id="54"/>
      <w:bookmarkEnd w:id="5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磋商小组人员之外。</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6.3在评审期间，供应商不得向磋商小组成员询问评审情况，不得进行旨在影响评审结果的活动。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6.4磋商小组不向未成交供应商解释落选原因，不退还响应文件。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6.5所有供应商自行承担与响应有关的全部费用。采购人和采购代理机构在任何情况下均不承担该费用。</w:t>
      </w:r>
    </w:p>
    <w:p>
      <w:pPr>
        <w:pStyle w:val="7"/>
        <w:adjustRightInd/>
        <w:spacing w:line="360" w:lineRule="auto"/>
        <w:ind w:firstLine="420" w:firstLineChars="200"/>
        <w:rPr>
          <w:rFonts w:hAnsi="宋体"/>
          <w:color w:val="auto"/>
          <w:sz w:val="21"/>
          <w:szCs w:val="21"/>
          <w:highlight w:val="none"/>
        </w:rPr>
      </w:pPr>
      <w:bookmarkStart w:id="56" w:name="_Toc27298"/>
      <w:bookmarkStart w:id="57" w:name="_Toc7897868"/>
      <w:bookmarkStart w:id="58" w:name="_Toc497016085"/>
      <w:bookmarkStart w:id="59" w:name="_Toc13371"/>
      <w:r>
        <w:rPr>
          <w:rFonts w:hint="eastAsia" w:hAnsi="宋体"/>
          <w:color w:val="auto"/>
          <w:sz w:val="21"/>
          <w:szCs w:val="21"/>
          <w:highlight w:val="none"/>
        </w:rPr>
        <w:t>7.供应商诚信管理</w:t>
      </w:r>
      <w:bookmarkEnd w:id="56"/>
      <w:bookmarkEnd w:id="57"/>
      <w:bookmarkEnd w:id="58"/>
      <w:bookmarkEnd w:id="5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7.1供应商在本磋商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7.2如果采购人或采购代理机构有证据表明供应商在本磋商项目的竞争中存在腐败、欺诈或其他严重违背诚信原则的行为，则将拒绝其响应。</w:t>
      </w:r>
    </w:p>
    <w:p>
      <w:pPr>
        <w:spacing w:line="360" w:lineRule="auto"/>
        <w:rPr>
          <w:rFonts w:hAnsi="宋体"/>
          <w:color w:val="auto"/>
          <w:sz w:val="21"/>
          <w:szCs w:val="21"/>
          <w:highlight w:val="none"/>
        </w:rPr>
      </w:pPr>
    </w:p>
    <w:p>
      <w:pPr>
        <w:pStyle w:val="6"/>
        <w:adjustRightInd/>
        <w:spacing w:line="360" w:lineRule="auto"/>
        <w:ind w:firstLine="562" w:firstLineChars="200"/>
        <w:jc w:val="center"/>
        <w:rPr>
          <w:color w:val="auto"/>
          <w:sz w:val="28"/>
          <w:szCs w:val="28"/>
          <w:highlight w:val="none"/>
        </w:rPr>
      </w:pPr>
      <w:bookmarkStart w:id="60" w:name="_Toc17498"/>
      <w:bookmarkStart w:id="61" w:name="_Toc23741"/>
      <w:bookmarkStart w:id="62" w:name="_Toc7897869"/>
      <w:r>
        <w:rPr>
          <w:rFonts w:hint="eastAsia"/>
          <w:color w:val="auto"/>
          <w:sz w:val="28"/>
          <w:szCs w:val="28"/>
          <w:highlight w:val="none"/>
        </w:rPr>
        <w:t>二、磋商文件说明</w:t>
      </w:r>
      <w:bookmarkEnd w:id="34"/>
      <w:bookmarkEnd w:id="35"/>
      <w:bookmarkEnd w:id="36"/>
      <w:bookmarkEnd w:id="37"/>
      <w:bookmarkEnd w:id="38"/>
      <w:bookmarkEnd w:id="60"/>
      <w:bookmarkEnd w:id="61"/>
      <w:bookmarkEnd w:id="62"/>
    </w:p>
    <w:p>
      <w:pPr>
        <w:pStyle w:val="7"/>
        <w:adjustRightInd/>
        <w:spacing w:line="360" w:lineRule="auto"/>
        <w:ind w:firstLine="420" w:firstLineChars="200"/>
        <w:rPr>
          <w:rFonts w:hAnsi="宋体"/>
          <w:color w:val="auto"/>
          <w:sz w:val="21"/>
          <w:szCs w:val="21"/>
          <w:highlight w:val="none"/>
        </w:rPr>
      </w:pPr>
      <w:bookmarkStart w:id="63" w:name="_Toc7897870"/>
      <w:bookmarkStart w:id="64" w:name="_Toc23606"/>
      <w:bookmarkStart w:id="65" w:name="_Toc29560"/>
      <w:bookmarkStart w:id="66" w:name="_Toc110953836"/>
      <w:bookmarkStart w:id="67" w:name="_Toc507407361"/>
      <w:bookmarkStart w:id="68" w:name="_Toc6882677"/>
      <w:bookmarkStart w:id="69" w:name="_Toc102277758"/>
      <w:bookmarkStart w:id="70" w:name="_Toc466786436"/>
      <w:bookmarkStart w:id="71" w:name="_Toc6968689"/>
      <w:r>
        <w:rPr>
          <w:rFonts w:hint="eastAsia" w:hAnsi="宋体"/>
          <w:color w:val="auto"/>
          <w:sz w:val="21"/>
          <w:szCs w:val="21"/>
          <w:highlight w:val="none"/>
        </w:rPr>
        <w:t>8.磋商文件构成</w:t>
      </w:r>
      <w:bookmarkEnd w:id="63"/>
      <w:bookmarkEnd w:id="64"/>
      <w:bookmarkEnd w:id="65"/>
      <w:bookmarkEnd w:id="6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8.1磋商文件用以阐明项目情况、评审程序、评审办法、定标标准和合同条款参考范本和响应文件的制作等，由采购邀请函、采购需求、供应商须知、响应文件格式和合同范本构成。</w:t>
      </w:r>
    </w:p>
    <w:p>
      <w:pPr>
        <w:pStyle w:val="7"/>
        <w:adjustRightInd/>
        <w:spacing w:line="360" w:lineRule="auto"/>
        <w:ind w:firstLine="420" w:firstLineChars="200"/>
        <w:rPr>
          <w:rFonts w:hAnsi="宋体"/>
          <w:color w:val="auto"/>
          <w:sz w:val="21"/>
          <w:szCs w:val="21"/>
          <w:highlight w:val="none"/>
        </w:rPr>
      </w:pPr>
      <w:bookmarkStart w:id="72" w:name="_Toc16827"/>
      <w:bookmarkStart w:id="73" w:name="_Toc19701"/>
      <w:bookmarkStart w:id="74" w:name="_Toc110953837"/>
      <w:bookmarkStart w:id="75" w:name="_Toc7897871"/>
      <w:r>
        <w:rPr>
          <w:rFonts w:hint="eastAsia" w:hAnsi="宋体"/>
          <w:color w:val="auto"/>
          <w:sz w:val="21"/>
          <w:szCs w:val="21"/>
          <w:highlight w:val="none"/>
        </w:rPr>
        <w:t>9.磋商文件的修改</w:t>
      </w:r>
      <w:bookmarkEnd w:id="72"/>
      <w:bookmarkEnd w:id="73"/>
      <w:bookmarkEnd w:id="74"/>
      <w:bookmarkEnd w:id="7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9.1提交首次响应文件截止之日前，采购人、采购代理机构或者磋商小组可以对已发出的磋商文件进行必要的澄清或者修改，澄清或者修改的内容作为磋商文件的组成部分。澄清或者修改的内容可能影响响应文件编制的，将在提交首次响应文件截止时间5日前以书面形式通知所有获取磋商文件的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9.2如果修改的时间距响应文件递交截止时间不足5日的，将相应顺延递交首次响应文件截止时间。</w:t>
      </w:r>
    </w:p>
    <w:p>
      <w:pPr>
        <w:pStyle w:val="8"/>
        <w:ind w:firstLine="400"/>
        <w:rPr>
          <w:color w:val="auto"/>
          <w:highlight w:val="none"/>
        </w:rPr>
      </w:pPr>
    </w:p>
    <w:bookmarkEnd w:id="67"/>
    <w:bookmarkEnd w:id="68"/>
    <w:bookmarkEnd w:id="69"/>
    <w:bookmarkEnd w:id="70"/>
    <w:bookmarkEnd w:id="71"/>
    <w:p>
      <w:pPr>
        <w:pStyle w:val="6"/>
        <w:adjustRightInd/>
        <w:spacing w:line="360" w:lineRule="auto"/>
        <w:ind w:firstLine="562" w:firstLineChars="200"/>
        <w:jc w:val="center"/>
        <w:rPr>
          <w:color w:val="auto"/>
          <w:sz w:val="28"/>
          <w:szCs w:val="28"/>
          <w:highlight w:val="none"/>
        </w:rPr>
      </w:pPr>
      <w:bookmarkStart w:id="76" w:name="_Toc110953838"/>
      <w:bookmarkStart w:id="77" w:name="_Toc7897872"/>
      <w:bookmarkStart w:id="78" w:name="_Toc15398"/>
      <w:bookmarkStart w:id="79" w:name="_Toc18245"/>
      <w:bookmarkStart w:id="80" w:name="_Toc6968690"/>
      <w:bookmarkStart w:id="81" w:name="_Toc507407362"/>
      <w:bookmarkStart w:id="82" w:name="_Toc6882678"/>
      <w:bookmarkStart w:id="83" w:name="_Toc102277759"/>
      <w:bookmarkStart w:id="84" w:name="_Toc466786437"/>
      <w:r>
        <w:rPr>
          <w:rFonts w:hint="eastAsia"/>
          <w:color w:val="auto"/>
          <w:sz w:val="28"/>
          <w:szCs w:val="28"/>
          <w:highlight w:val="none"/>
        </w:rPr>
        <w:t>三、响应文件的制作</w:t>
      </w:r>
      <w:bookmarkEnd w:id="76"/>
      <w:bookmarkEnd w:id="77"/>
      <w:bookmarkEnd w:id="78"/>
      <w:bookmarkEnd w:id="79"/>
    </w:p>
    <w:p>
      <w:pPr>
        <w:pStyle w:val="7"/>
        <w:adjustRightInd/>
        <w:spacing w:line="360" w:lineRule="auto"/>
        <w:ind w:firstLine="420" w:firstLineChars="200"/>
        <w:rPr>
          <w:rFonts w:hAnsi="宋体"/>
          <w:color w:val="auto"/>
          <w:sz w:val="21"/>
          <w:szCs w:val="21"/>
          <w:highlight w:val="none"/>
        </w:rPr>
      </w:pPr>
      <w:bookmarkStart w:id="85" w:name="_Toc23789"/>
      <w:bookmarkStart w:id="86" w:name="_Toc110953839"/>
      <w:bookmarkStart w:id="87" w:name="_Toc15756"/>
      <w:bookmarkStart w:id="88" w:name="_Toc7897873"/>
      <w:r>
        <w:rPr>
          <w:rFonts w:hint="eastAsia" w:hAnsi="宋体"/>
          <w:color w:val="auto"/>
          <w:sz w:val="21"/>
          <w:szCs w:val="21"/>
          <w:highlight w:val="none"/>
        </w:rPr>
        <w:t>10.制作要求</w:t>
      </w:r>
      <w:bookmarkEnd w:id="85"/>
      <w:bookmarkEnd w:id="86"/>
      <w:bookmarkEnd w:id="87"/>
      <w:bookmarkEnd w:id="8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10.1供应商应当仔细阅读磋商文件的所有内容，按磋商文件的要求提供响应文件，并保证所提供的全部资料的真实性及对磋商文件作出实质性响应。</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10.2供应商应按磋商文件中提供的响应文件格式制作响应文件。如有关表格不能满足填报需要，可以对表格格式作出相应调整，但不得更改表格的实质性内容。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w:t>
      </w:r>
      <w:r>
        <w:rPr>
          <w:rFonts w:hint="eastAsia" w:hAnsi="宋体"/>
          <w:b/>
          <w:color w:val="auto"/>
          <w:sz w:val="21"/>
          <w:szCs w:val="21"/>
          <w:highlight w:val="none"/>
        </w:rPr>
        <w:t>3供应商应提供正本一份、副本三份、唱标信封一份。</w:t>
      </w:r>
      <w:r>
        <w:rPr>
          <w:rFonts w:hint="eastAsia" w:hAnsi="宋体"/>
          <w:color w:val="auto"/>
          <w:sz w:val="21"/>
          <w:szCs w:val="21"/>
          <w:highlight w:val="none"/>
        </w:rPr>
        <w:t>在每一份响应文件上要明确注明“正本”、“副本”或“唱标信封”字样，一旦正本和副本有差异，以正本为准。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10.4响应文件的正本必须打印，并由供应商的法定代表人或经正式授权对供应商有约束力的委托代理人在响应文件上签字并加盖公章。委托代理人必须出具书面形式的《授权委托书》并附在响应文件中。响应文件的副本可采用正本的复印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10.6电报、电话、传真、电子邮件形式的响应概不接受。</w:t>
      </w:r>
    </w:p>
    <w:p>
      <w:pPr>
        <w:pStyle w:val="7"/>
        <w:adjustRightInd/>
        <w:spacing w:line="360" w:lineRule="auto"/>
        <w:ind w:firstLine="420" w:firstLineChars="200"/>
        <w:rPr>
          <w:rFonts w:hAnsi="宋体"/>
          <w:color w:val="auto"/>
          <w:sz w:val="21"/>
          <w:szCs w:val="21"/>
          <w:highlight w:val="none"/>
        </w:rPr>
      </w:pPr>
      <w:bookmarkStart w:id="89" w:name="_Toc110953840"/>
      <w:bookmarkStart w:id="90" w:name="_Toc18079"/>
      <w:bookmarkStart w:id="91" w:name="_Toc7897874"/>
      <w:bookmarkStart w:id="92" w:name="_Toc20552"/>
      <w:r>
        <w:rPr>
          <w:rFonts w:hint="eastAsia" w:hAnsi="宋体"/>
          <w:color w:val="auto"/>
          <w:sz w:val="21"/>
          <w:szCs w:val="21"/>
          <w:highlight w:val="none"/>
        </w:rPr>
        <w:t>11.响应文件的内容</w:t>
      </w:r>
      <w:bookmarkEnd w:id="89"/>
      <w:bookmarkEnd w:id="90"/>
      <w:bookmarkEnd w:id="91"/>
      <w:bookmarkEnd w:id="92"/>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11.1响应文件应包括下列部分：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11.1.1价格文件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11.1.2商务、技术文件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11.1.3唱标信封（须独立密封）</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供应商应如实详细提供第11.1款所要求的全部资料，价格部分文件必须单独装订成册，商务、技术和其他证明资料等磋商响应文件不能出现磋商价格。</w:t>
      </w:r>
    </w:p>
    <w:p>
      <w:pPr>
        <w:spacing w:line="360" w:lineRule="auto"/>
        <w:rPr>
          <w:rFonts w:hAnsi="宋体"/>
          <w:color w:val="auto"/>
          <w:sz w:val="21"/>
          <w:szCs w:val="21"/>
          <w:highlight w:val="none"/>
        </w:rPr>
      </w:pPr>
      <w:r>
        <w:rPr>
          <w:rFonts w:hint="eastAsia" w:hAnsi="宋体"/>
          <w:color w:val="auto"/>
          <w:sz w:val="21"/>
          <w:szCs w:val="21"/>
          <w:highlight w:val="none"/>
        </w:rPr>
        <w:t>11.2响应（磋商）报价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（1）响应（磋商）报价应为人民币含税全包价，报价应包含服务及所需的各种税费、售后服务费及合同实施过程中的应预见和不可预见费用等完成合同规定责任和义务、达到合同目的的一切费用。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（2）磋商报价应包括所有应支付的对专利权和版权、设计或其他知识产权而需要向其他方支付的版税。</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（3）供应商应按响应文件的《报价一览表》格式填写响应内容的单价和总价。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（4）</w:t>
      </w:r>
      <w:r>
        <w:rPr>
          <w:rFonts w:hint="eastAsia" w:hAnsi="宋体"/>
          <w:b/>
          <w:bCs/>
          <w:color w:val="auto"/>
          <w:sz w:val="21"/>
          <w:szCs w:val="21"/>
          <w:highlight w:val="none"/>
        </w:rPr>
        <w:t>供应商每次报价超过最高限价视为非实质性响应磋商而予以拒绝。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（5）经磋商后，供应商所报的最后磋商报价在合同执行过程中是固定不变的，不得以任何理由予以变更。</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（6）供应商只能就单个项目提供唯一的方案和报价，不接受选择性的方案和报价。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11.3证明供应商合格和资格的文件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11.4供应商应当提交具备履行合同的证明文件。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11.5证明文件包括：履行合同所必须具备的财务能力证明、技术能力证明，符合磋商文件资格要求的证明等。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11.6证明服务的合格性和符合磋商文件规定的文件。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11.7供应商应提交其拟供的合同项下的服务的合格性符合磋商文件规定的证明文件，并作为其响应文件的一部分。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11.8服务合格性的证明文件应包括服务来源地的说明，服务与磋商文件的要求相一致的证明文件，其他说明所提供服务已对技术要求做出了实质性响应的文件或说明与技术规格条文的偏差和例外等，形式可以是文字说明、图纸及其他资料。</w:t>
      </w:r>
    </w:p>
    <w:p>
      <w:pPr>
        <w:pStyle w:val="7"/>
        <w:adjustRightInd/>
        <w:spacing w:line="360" w:lineRule="auto"/>
        <w:ind w:firstLine="420" w:firstLineChars="200"/>
        <w:rPr>
          <w:rFonts w:hAnsi="宋体"/>
          <w:color w:val="auto"/>
          <w:sz w:val="21"/>
          <w:szCs w:val="21"/>
          <w:highlight w:val="none"/>
        </w:rPr>
      </w:pPr>
      <w:bookmarkStart w:id="93" w:name="_Toc9150"/>
      <w:bookmarkStart w:id="94" w:name="_Toc21763"/>
      <w:bookmarkStart w:id="95" w:name="_Toc7897875"/>
      <w:bookmarkStart w:id="96" w:name="_Toc110953841"/>
      <w:r>
        <w:rPr>
          <w:rFonts w:hint="eastAsia" w:hAnsi="宋体"/>
          <w:color w:val="auto"/>
          <w:sz w:val="21"/>
          <w:szCs w:val="21"/>
          <w:highlight w:val="none"/>
        </w:rPr>
        <w:t>12.响应文件格式</w:t>
      </w:r>
      <w:bookmarkEnd w:id="93"/>
      <w:bookmarkEnd w:id="94"/>
      <w:bookmarkEnd w:id="95"/>
      <w:bookmarkEnd w:id="9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p>
      <w:pPr>
        <w:pStyle w:val="7"/>
        <w:adjustRightInd/>
        <w:spacing w:line="360" w:lineRule="auto"/>
        <w:ind w:firstLine="420" w:firstLineChars="200"/>
        <w:rPr>
          <w:rFonts w:hAnsi="宋体"/>
          <w:color w:val="auto"/>
          <w:sz w:val="21"/>
          <w:szCs w:val="21"/>
          <w:highlight w:val="none"/>
        </w:rPr>
      </w:pPr>
      <w:bookmarkStart w:id="304" w:name="_GoBack"/>
      <w:bookmarkEnd w:id="304"/>
      <w:bookmarkStart w:id="97" w:name="_Toc185150707"/>
      <w:bookmarkStart w:id="98" w:name="_Toc30889"/>
      <w:bookmarkStart w:id="99" w:name="_Toc7897876"/>
      <w:bookmarkStart w:id="100" w:name="_Toc24570"/>
      <w:r>
        <w:rPr>
          <w:rFonts w:hint="eastAsia" w:hAnsi="宋体"/>
          <w:color w:val="auto"/>
          <w:sz w:val="21"/>
          <w:szCs w:val="21"/>
          <w:highlight w:val="none"/>
        </w:rPr>
        <w:t>13.</w:t>
      </w:r>
      <w:bookmarkEnd w:id="97"/>
      <w:r>
        <w:rPr>
          <w:rFonts w:hint="eastAsia" w:hAnsi="宋体"/>
          <w:color w:val="auto"/>
          <w:sz w:val="21"/>
          <w:szCs w:val="21"/>
          <w:highlight w:val="none"/>
        </w:rPr>
        <w:t>磋商保证金</w:t>
      </w:r>
      <w:bookmarkEnd w:id="98"/>
      <w:bookmarkEnd w:id="99"/>
      <w:bookmarkEnd w:id="10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13.1供应商应向采购代理机构提交磋商保证金，并作为其响应文件的一部分。磋商保证金的金额：</w:t>
      </w:r>
    </w:p>
    <w:tbl>
      <w:tblPr>
        <w:tblStyle w:val="51"/>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exact"/>
          <w:jc w:val="center"/>
        </w:trPr>
        <w:tc>
          <w:tcPr>
            <w:tcW w:w="512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内容</w:t>
            </w:r>
          </w:p>
        </w:tc>
        <w:tc>
          <w:tcPr>
            <w:tcW w:w="3679" w:type="dxa"/>
            <w:shd w:val="clear" w:color="auto" w:fill="E0E0E0"/>
            <w:vAlign w:val="center"/>
          </w:tcPr>
          <w:p>
            <w:pPr>
              <w:snapToGrid w:val="0"/>
              <w:jc w:val="center"/>
              <w:rPr>
                <w:rFonts w:hAnsi="宋体"/>
                <w:b/>
                <w:color w:val="auto"/>
                <w:sz w:val="21"/>
                <w:szCs w:val="21"/>
                <w:highlight w:val="none"/>
              </w:rPr>
            </w:pPr>
            <w:r>
              <w:rPr>
                <w:rFonts w:hint="eastAsia" w:hAnsi="宋体"/>
                <w:b/>
                <w:color w:val="auto"/>
                <w:sz w:val="21"/>
                <w:szCs w:val="21"/>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129" w:type="dxa"/>
            <w:vAlign w:val="center"/>
          </w:tcPr>
          <w:p>
            <w:pPr>
              <w:widowControl/>
              <w:jc w:val="center"/>
              <w:rPr>
                <w:rFonts w:hAnsi="宋体"/>
                <w:color w:val="auto"/>
                <w:sz w:val="21"/>
                <w:szCs w:val="21"/>
                <w:highlight w:val="none"/>
              </w:rPr>
            </w:pPr>
            <w:r>
              <w:rPr>
                <w:rFonts w:hint="eastAsia" w:hAnsi="宋体"/>
                <w:color w:val="auto"/>
                <w:sz w:val="21"/>
                <w:szCs w:val="21"/>
                <w:highlight w:val="none"/>
              </w:rPr>
              <w:t>松山湖创新创业社区人才公寓(</w:t>
            </w:r>
            <w:r>
              <w:rPr>
                <w:rFonts w:hint="eastAsia" w:hAnsi="宋体"/>
                <w:color w:val="auto"/>
                <w:sz w:val="21"/>
                <w:szCs w:val="21"/>
                <w:highlight w:val="none"/>
                <w:lang w:eastAsia="zh-CN"/>
              </w:rPr>
              <w:t>公租房</w:t>
            </w:r>
            <w:r>
              <w:rPr>
                <w:rFonts w:hint="eastAsia" w:hAnsi="宋体"/>
                <w:color w:val="auto"/>
                <w:sz w:val="21"/>
                <w:szCs w:val="21"/>
                <w:highlight w:val="none"/>
              </w:rPr>
              <w:t>)、松寓智能水电表改造项目</w:t>
            </w:r>
          </w:p>
        </w:tc>
        <w:tc>
          <w:tcPr>
            <w:tcW w:w="3679" w:type="dxa"/>
            <w:vAlign w:val="center"/>
          </w:tcPr>
          <w:p>
            <w:pPr>
              <w:widowControl/>
              <w:jc w:val="center"/>
              <w:rPr>
                <w:rFonts w:hAnsi="宋体"/>
                <w:color w:val="auto"/>
                <w:sz w:val="21"/>
                <w:szCs w:val="21"/>
                <w:highlight w:val="none"/>
              </w:rPr>
            </w:pPr>
            <w:r>
              <w:rPr>
                <w:rFonts w:hint="eastAsia" w:hAnsi="宋体"/>
                <w:color w:val="auto"/>
                <w:sz w:val="21"/>
                <w:szCs w:val="21"/>
                <w:highlight w:val="none"/>
              </w:rPr>
              <w:t xml:space="preserve"> 人民币叁万肆仟元</w:t>
            </w:r>
            <w:r>
              <w:rPr>
                <w:rFonts w:hAnsi="宋体"/>
                <w:color w:val="auto"/>
                <w:sz w:val="21"/>
                <w:szCs w:val="21"/>
                <w:highlight w:val="none"/>
              </w:rPr>
              <w:t>整</w:t>
            </w:r>
            <w:r>
              <w:rPr>
                <w:rFonts w:hint="eastAsia" w:hAnsi="宋体"/>
                <w:color w:val="auto"/>
                <w:sz w:val="21"/>
                <w:szCs w:val="21"/>
                <w:highlight w:val="none"/>
              </w:rPr>
              <w:t>（¥34000.00元）</w:t>
            </w: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13.2供应商应按要求提交磋商保证金，供应商必须采用银行转账的形式缴交，磋商供应商与交款人名称必须一致，非磋商供应商缴纳的磋商保证金无效。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 xml:space="preserve">13.3磋商保证金以银行划账形式提交，应符合下列规定： </w:t>
      </w:r>
    </w:p>
    <w:p>
      <w:pPr>
        <w:tabs>
          <w:tab w:val="left" w:pos="567"/>
        </w:tabs>
        <w:spacing w:line="360" w:lineRule="auto"/>
        <w:ind w:firstLine="420" w:firstLineChars="200"/>
        <w:jc w:val="both"/>
        <w:rPr>
          <w:rFonts w:hAnsi="宋体"/>
          <w:b/>
          <w:bCs/>
          <w:color w:val="auto"/>
          <w:kern w:val="2"/>
          <w:sz w:val="21"/>
          <w:szCs w:val="21"/>
          <w:highlight w:val="none"/>
          <w:lang w:val="zh-CN"/>
        </w:rPr>
      </w:pPr>
      <w:r>
        <w:rPr>
          <w:rFonts w:hint="eastAsia" w:hAnsi="宋体"/>
          <w:color w:val="auto"/>
          <w:kern w:val="2"/>
          <w:sz w:val="21"/>
          <w:szCs w:val="21"/>
          <w:highlight w:val="none"/>
          <w:lang w:val="zh-CN"/>
        </w:rPr>
        <w:t>磋商保证金采用转帐、电汇方式或银行保函方式方式提交，应符合以下要求：</w:t>
      </w:r>
      <w:r>
        <w:rPr>
          <w:rFonts w:hint="eastAsia" w:hAnsi="宋体"/>
          <w:b/>
          <w:bCs/>
          <w:color w:val="auto"/>
          <w:kern w:val="2"/>
          <w:sz w:val="21"/>
          <w:szCs w:val="21"/>
          <w:highlight w:val="none"/>
          <w:lang w:val="zh-CN"/>
        </w:rPr>
        <w:t>采用银行转账、电汇方式提交的，保证金汇入以下磋商保证金专用账户，不接收由以供应商分支机构、私人帐户和其他单位转入的保证金。</w:t>
      </w:r>
      <w:r>
        <w:rPr>
          <w:rFonts w:hint="eastAsia" w:hAnsi="宋体"/>
          <w:color w:val="auto"/>
          <w:kern w:val="2"/>
          <w:sz w:val="21"/>
          <w:szCs w:val="21"/>
          <w:highlight w:val="none"/>
          <w:lang w:val="zh-CN"/>
        </w:rPr>
        <w:t>磋商保证金必须在磋商响应文件递交截止前到账，磋商保证金未按规定时间到达指定账户或提交金额不足的，将被视为无效磋商。且在备注或用途中注明本项目的</w:t>
      </w:r>
      <w:r>
        <w:rPr>
          <w:rFonts w:hint="eastAsia" w:hAnsi="宋体"/>
          <w:b/>
          <w:bCs/>
          <w:color w:val="auto"/>
          <w:kern w:val="2"/>
          <w:sz w:val="21"/>
          <w:szCs w:val="21"/>
          <w:highlight w:val="none"/>
          <w:lang w:val="zh-CN"/>
        </w:rPr>
        <w:t>项目编号、包号</w:t>
      </w:r>
      <w:r>
        <w:rPr>
          <w:rFonts w:hint="eastAsia" w:hAnsi="宋体"/>
          <w:color w:val="auto"/>
          <w:kern w:val="2"/>
          <w:sz w:val="21"/>
          <w:szCs w:val="21"/>
          <w:highlight w:val="none"/>
          <w:lang w:val="zh-CN"/>
        </w:rPr>
        <w:t>。</w:t>
      </w:r>
      <w:r>
        <w:rPr>
          <w:rFonts w:hint="eastAsia" w:hAnsi="宋体"/>
          <w:b/>
          <w:bCs/>
          <w:color w:val="auto"/>
          <w:kern w:val="2"/>
          <w:sz w:val="21"/>
          <w:szCs w:val="21"/>
          <w:highlight w:val="none"/>
          <w:lang w:val="zh-CN"/>
        </w:rPr>
        <w:t>采用银行保函方式递交的，请将保函原件于开标当天磋商截止时间前递交至采购代理机构。</w:t>
      </w:r>
    </w:p>
    <w:p>
      <w:pPr>
        <w:tabs>
          <w:tab w:val="left" w:pos="567"/>
        </w:tabs>
        <w:spacing w:line="360" w:lineRule="auto"/>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磋商保证金专用账户如下：</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账户名称：广东泰通伟业工程咨询有限公司</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账  号：6232590699050054913</w:t>
      </w:r>
    </w:p>
    <w:p>
      <w:pPr>
        <w:spacing w:line="360" w:lineRule="auto"/>
        <w:ind w:firstLine="422" w:firstLineChars="200"/>
        <w:rPr>
          <w:rFonts w:hAnsi="宋体"/>
          <w:b/>
          <w:bCs/>
          <w:color w:val="auto"/>
          <w:kern w:val="2"/>
          <w:sz w:val="21"/>
          <w:szCs w:val="21"/>
          <w:highlight w:val="none"/>
          <w:lang w:val="zh-CN"/>
        </w:rPr>
      </w:pPr>
      <w:r>
        <w:rPr>
          <w:rFonts w:hint="eastAsia" w:hAnsi="宋体"/>
          <w:b/>
          <w:bCs/>
          <w:color w:val="auto"/>
          <w:kern w:val="2"/>
          <w:sz w:val="21"/>
          <w:szCs w:val="21"/>
          <w:highlight w:val="none"/>
          <w:lang w:val="zh-CN"/>
        </w:rPr>
        <w:t>开户行：广发银行股份有限公司东莞东翔支行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必须保证资金以其供应商的名称（以分公司或子公司汇款无效）在本项目磋商响应文件截止前汇入到保证金专用账户（以银行到帐为准），可采用银行转帐方式提交，但不可以采用现金方式（包括以存现方式）提交，未按要求提交磋商保证金的将导致废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13.4供应商应将汇款底单复印件附在《磋商保证金汇入情况说明》中。并将《磋商保证金汇入情况说明》密封在单独的唱标信封内。磋商保证金的汇入单位名称须与磋商供应商名称一致，不接受以分支机构名义或个人账户代替供应商进行汇款。</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13.5凡没有根据规定递交磋商保证金的，应视为非响应性磋商予以拒绝。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13.6未成交供应商的磋商保证金自成交通知书发出后5个工作日内退还（不计利息）；成交供应商的磋商保证金，将在其签署合同后，采购代理机构在5个工作日内退还（不计利息）。逾期办理的，采购人不承担迟延退款责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13.7下列任何情况发生时，磋商保证金将被没收：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13.7.1供应商在磋商文件中规定的磋商有效期内撤回其磋商；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13.7.2供应商串通磋商或者以其他弄虚作假方式磋商；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13.7.3成交供应商在规定期限内未能按规定签订合同；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13.7.4法律法规规定和磋商文件中规定的其它情况。</w:t>
      </w:r>
    </w:p>
    <w:p>
      <w:pPr>
        <w:pStyle w:val="7"/>
        <w:adjustRightInd/>
        <w:spacing w:line="360" w:lineRule="auto"/>
        <w:ind w:firstLine="420" w:firstLineChars="200"/>
        <w:rPr>
          <w:rFonts w:hAnsi="宋体"/>
          <w:color w:val="auto"/>
          <w:sz w:val="21"/>
          <w:szCs w:val="21"/>
          <w:highlight w:val="none"/>
        </w:rPr>
      </w:pPr>
      <w:bookmarkStart w:id="101" w:name="_Toc468157537"/>
      <w:bookmarkStart w:id="102" w:name="_Toc467987824"/>
      <w:bookmarkStart w:id="103" w:name="_Toc479991583"/>
      <w:bookmarkStart w:id="104" w:name="_Toc7897877"/>
      <w:bookmarkStart w:id="105" w:name="_Toc468606030"/>
      <w:bookmarkStart w:id="106" w:name="_Toc32304"/>
      <w:bookmarkStart w:id="107" w:name="_Toc458262615"/>
      <w:bookmarkStart w:id="108" w:name="_Toc480171880"/>
      <w:bookmarkStart w:id="109" w:name="_Toc480021054"/>
      <w:bookmarkStart w:id="110" w:name="_Toc467236741"/>
      <w:bookmarkStart w:id="111" w:name="_Toc480010709"/>
      <w:bookmarkStart w:id="112" w:name="_Toc454701382"/>
      <w:bookmarkStart w:id="113" w:name="_Toc110953842"/>
      <w:bookmarkStart w:id="114" w:name="_Toc503758471"/>
      <w:bookmarkStart w:id="115" w:name="_Toc2525"/>
      <w:bookmarkStart w:id="116" w:name="_Toc480020258"/>
      <w:r>
        <w:rPr>
          <w:rFonts w:hint="eastAsia" w:hAnsi="宋体"/>
          <w:color w:val="auto"/>
          <w:sz w:val="21"/>
          <w:szCs w:val="21"/>
          <w:highlight w:val="none"/>
        </w:rPr>
        <w:t>14.响应有效期</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14.1响应文件从开启响应文件之日起，响应有效期为90个工作日。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14.2特殊情况下，采购代理机构可于响应有效期期满之前，要求供应商同意延长响应有效期，要求与答复均应为书面形式。对于同意该要求的供应商，既不要求也不允许其修改响应文件。</w:t>
      </w:r>
    </w:p>
    <w:p>
      <w:pPr>
        <w:pStyle w:val="8"/>
        <w:ind w:firstLine="400"/>
        <w:rPr>
          <w:color w:val="auto"/>
          <w:highlight w:val="none"/>
        </w:rPr>
      </w:pPr>
    </w:p>
    <w:bookmarkEnd w:id="80"/>
    <w:bookmarkEnd w:id="81"/>
    <w:bookmarkEnd w:id="82"/>
    <w:bookmarkEnd w:id="83"/>
    <w:bookmarkEnd w:id="84"/>
    <w:p>
      <w:pPr>
        <w:pStyle w:val="6"/>
        <w:adjustRightInd/>
        <w:spacing w:line="360" w:lineRule="auto"/>
        <w:ind w:firstLine="562" w:firstLineChars="200"/>
        <w:jc w:val="center"/>
        <w:rPr>
          <w:color w:val="auto"/>
          <w:sz w:val="28"/>
          <w:szCs w:val="28"/>
          <w:highlight w:val="none"/>
        </w:rPr>
      </w:pPr>
      <w:bookmarkStart w:id="117" w:name="_Toc17761"/>
      <w:bookmarkStart w:id="118" w:name="_Toc2740"/>
      <w:bookmarkStart w:id="119" w:name="_Toc110953843"/>
      <w:bookmarkStart w:id="120" w:name="_Toc7897878"/>
      <w:bookmarkStart w:id="121" w:name="_Toc6882679"/>
      <w:bookmarkStart w:id="122" w:name="_Toc507407363"/>
      <w:bookmarkStart w:id="123" w:name="_Toc466786438"/>
      <w:bookmarkStart w:id="124" w:name="_Toc6968691"/>
      <w:bookmarkStart w:id="125" w:name="_Toc102277760"/>
      <w:r>
        <w:rPr>
          <w:rFonts w:hint="eastAsia"/>
          <w:color w:val="auto"/>
          <w:sz w:val="28"/>
          <w:szCs w:val="28"/>
          <w:highlight w:val="none"/>
        </w:rPr>
        <w:t>四、响应文件的递交</w:t>
      </w:r>
      <w:bookmarkEnd w:id="117"/>
      <w:bookmarkEnd w:id="118"/>
      <w:bookmarkEnd w:id="119"/>
      <w:bookmarkEnd w:id="120"/>
    </w:p>
    <w:p>
      <w:pPr>
        <w:pStyle w:val="7"/>
        <w:adjustRightInd/>
        <w:spacing w:line="360" w:lineRule="auto"/>
        <w:ind w:firstLine="420" w:firstLineChars="200"/>
        <w:rPr>
          <w:rFonts w:hAnsi="宋体"/>
          <w:color w:val="auto"/>
          <w:sz w:val="21"/>
          <w:szCs w:val="21"/>
          <w:highlight w:val="none"/>
        </w:rPr>
      </w:pPr>
      <w:bookmarkStart w:id="126" w:name="_Toc2684"/>
      <w:bookmarkStart w:id="127" w:name="_Toc7897879"/>
      <w:bookmarkStart w:id="128" w:name="_Toc11500"/>
      <w:bookmarkStart w:id="129" w:name="_Toc110953844"/>
      <w:r>
        <w:rPr>
          <w:rFonts w:hint="eastAsia" w:hAnsi="宋体"/>
          <w:color w:val="auto"/>
          <w:sz w:val="21"/>
          <w:szCs w:val="21"/>
          <w:highlight w:val="none"/>
        </w:rPr>
        <w:t>15.响应文件的密封和标记</w:t>
      </w:r>
      <w:bookmarkEnd w:id="126"/>
      <w:bookmarkEnd w:id="127"/>
      <w:bookmarkEnd w:id="128"/>
      <w:bookmarkEnd w:id="129"/>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15.1供应商应将响应文件正本和副本用信封分别密封，并标明供应商的名称、采购编号及“正本”或“副本”字样。</w:t>
      </w:r>
    </w:p>
    <w:p>
      <w:pPr>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15.2唱标信封应单独密封，与磋商响应文件一同提交。</w:t>
      </w:r>
    </w:p>
    <w:p>
      <w:pPr>
        <w:tabs>
          <w:tab w:val="left" w:pos="567"/>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15.3在磋商响应文件密封袋上均应标明以下内容：</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 收 件 人：；</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 项目名称：；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 采购编号：；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        年   月   日   时   分开标，此时间以前不得开封；</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 标明供应商名称、地址、联系人和电话以及文件的种类（如价格文件、商务技术文件、唱标信封等）。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15.4供应商应按上述规定进行密封和标记后，将响应文件按照磋商文件中规定的时间和地址送至采购代理机构。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15.5未按上述规定进行密封、标记和递交的，采购代理机构对响应文件的不依时间递交、误投、破损、封装不合格或提前拆封不负责。</w:t>
      </w:r>
    </w:p>
    <w:p>
      <w:pPr>
        <w:pStyle w:val="7"/>
        <w:adjustRightInd/>
        <w:spacing w:line="360" w:lineRule="auto"/>
        <w:ind w:firstLine="420" w:firstLineChars="200"/>
        <w:rPr>
          <w:rFonts w:hAnsi="宋体"/>
          <w:color w:val="auto"/>
          <w:sz w:val="21"/>
          <w:szCs w:val="21"/>
          <w:highlight w:val="none"/>
        </w:rPr>
      </w:pPr>
      <w:bookmarkStart w:id="130" w:name="_Toc12710"/>
      <w:bookmarkStart w:id="131" w:name="_Toc10017"/>
      <w:bookmarkStart w:id="132" w:name="_Toc7897880"/>
      <w:bookmarkStart w:id="133" w:name="_Toc110953845"/>
      <w:r>
        <w:rPr>
          <w:rFonts w:hint="eastAsia" w:hAnsi="宋体"/>
          <w:color w:val="auto"/>
          <w:sz w:val="21"/>
          <w:szCs w:val="21"/>
          <w:highlight w:val="none"/>
        </w:rPr>
        <w:t>16.响应文件的递交</w:t>
      </w:r>
      <w:bookmarkEnd w:id="130"/>
      <w:bookmarkEnd w:id="131"/>
      <w:bookmarkEnd w:id="132"/>
      <w:bookmarkEnd w:id="133"/>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16.1所有响应文件都必须在响应截止时间之前送至采购代理机构。</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16.2采购代理机构拒绝接受以下文件：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（1）提前递交的文件，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（2）在响应截止时间后递交的响应文件，</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（3）未按规定包装和密封的响应文件。</w:t>
      </w:r>
    </w:p>
    <w:p>
      <w:pPr>
        <w:spacing w:line="360" w:lineRule="auto"/>
        <w:ind w:firstLine="420" w:firstLineChars="200"/>
        <w:rPr>
          <w:rFonts w:hAnsi="宋体"/>
          <w:b/>
          <w:bCs/>
          <w:color w:val="auto"/>
          <w:sz w:val="21"/>
          <w:szCs w:val="21"/>
          <w:highlight w:val="none"/>
          <w:lang w:val="zh-CN"/>
        </w:rPr>
      </w:pPr>
      <w:r>
        <w:rPr>
          <w:rFonts w:hint="eastAsia" w:hAnsi="宋体"/>
          <w:color w:val="auto"/>
          <w:sz w:val="21"/>
          <w:szCs w:val="21"/>
          <w:highlight w:val="none"/>
        </w:rPr>
        <w:t>16.3响应文件的修改与撤回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（1）供应商在递交响应文件后到响应截止时间之前，可以补充、修改或撤回其响应文件，但供应商必须以书面形式通知采购代理机构。补充、修改的内容与响应文件不一致的，以补偿、修改的内容为准。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（2）除法律法规允许的情况外，在响应截止时间之后至响应有效期之间的这段时间内，供应商不得对其响应文件做任何修改，亦不得撤回其响应，否则磋商保证金将不予退还。</w:t>
      </w:r>
    </w:p>
    <w:p>
      <w:pPr>
        <w:spacing w:line="360" w:lineRule="auto"/>
        <w:ind w:firstLine="420" w:firstLineChars="200"/>
        <w:rPr>
          <w:rFonts w:hAnsi="宋体"/>
          <w:color w:val="auto"/>
          <w:sz w:val="21"/>
          <w:szCs w:val="21"/>
          <w:highlight w:val="none"/>
        </w:rPr>
      </w:pPr>
    </w:p>
    <w:p>
      <w:pPr>
        <w:pStyle w:val="6"/>
        <w:adjustRightInd/>
        <w:spacing w:line="360" w:lineRule="auto"/>
        <w:ind w:firstLine="562" w:firstLineChars="200"/>
        <w:jc w:val="center"/>
        <w:rPr>
          <w:color w:val="auto"/>
          <w:sz w:val="28"/>
          <w:szCs w:val="28"/>
          <w:highlight w:val="none"/>
        </w:rPr>
      </w:pPr>
      <w:bookmarkStart w:id="134" w:name="_Toc7897881"/>
      <w:bookmarkStart w:id="135" w:name="_Toc3138"/>
      <w:bookmarkStart w:id="136" w:name="_Toc22874"/>
      <w:r>
        <w:rPr>
          <w:rFonts w:hint="eastAsia"/>
          <w:color w:val="auto"/>
          <w:sz w:val="28"/>
          <w:szCs w:val="28"/>
          <w:highlight w:val="none"/>
        </w:rPr>
        <w:t>五、采购仪式和</w:t>
      </w:r>
      <w:bookmarkEnd w:id="121"/>
      <w:bookmarkEnd w:id="122"/>
      <w:bookmarkEnd w:id="123"/>
      <w:bookmarkEnd w:id="124"/>
      <w:bookmarkEnd w:id="125"/>
      <w:r>
        <w:rPr>
          <w:rFonts w:hint="eastAsia"/>
          <w:color w:val="auto"/>
          <w:sz w:val="28"/>
          <w:szCs w:val="28"/>
          <w:highlight w:val="none"/>
        </w:rPr>
        <w:t>评审会议</w:t>
      </w:r>
      <w:bookmarkEnd w:id="134"/>
      <w:bookmarkEnd w:id="135"/>
      <w:bookmarkEnd w:id="136"/>
    </w:p>
    <w:p>
      <w:pPr>
        <w:pStyle w:val="7"/>
        <w:adjustRightInd/>
        <w:spacing w:line="360" w:lineRule="auto"/>
        <w:ind w:firstLine="422" w:firstLineChars="200"/>
        <w:rPr>
          <w:rFonts w:hAnsi="宋体"/>
          <w:b/>
          <w:color w:val="auto"/>
          <w:sz w:val="21"/>
          <w:szCs w:val="21"/>
          <w:highlight w:val="none"/>
        </w:rPr>
      </w:pPr>
      <w:bookmarkStart w:id="137" w:name="_Toc475249134"/>
      <w:r>
        <w:rPr>
          <w:rFonts w:hint="eastAsia" w:hAnsi="宋体"/>
          <w:b/>
          <w:color w:val="auto"/>
          <w:sz w:val="21"/>
          <w:szCs w:val="21"/>
          <w:highlight w:val="none"/>
        </w:rPr>
        <w:t>17.</w:t>
      </w:r>
      <w:bookmarkEnd w:id="137"/>
      <w:r>
        <w:rPr>
          <w:rFonts w:hint="eastAsia" w:hAnsi="宋体"/>
          <w:b/>
          <w:color w:val="auto"/>
          <w:sz w:val="21"/>
          <w:szCs w:val="21"/>
          <w:highlight w:val="none"/>
        </w:rPr>
        <w:t>开启响应文件</w:t>
      </w:r>
    </w:p>
    <w:p>
      <w:pPr>
        <w:spacing w:line="360" w:lineRule="auto"/>
        <w:ind w:firstLine="420" w:firstLineChars="200"/>
        <w:rPr>
          <w:rFonts w:hAnsi="宋体"/>
          <w:color w:val="auto"/>
          <w:sz w:val="21"/>
          <w:szCs w:val="21"/>
          <w:highlight w:val="none"/>
        </w:rPr>
      </w:pPr>
      <w:bookmarkStart w:id="138" w:name="_Toc475249135"/>
      <w:bookmarkStart w:id="139" w:name="_Toc475249138"/>
      <w:r>
        <w:rPr>
          <w:rFonts w:hint="eastAsia" w:hAnsi="宋体"/>
          <w:color w:val="auto"/>
          <w:sz w:val="21"/>
          <w:szCs w:val="21"/>
          <w:highlight w:val="none"/>
        </w:rPr>
        <w:t>17.1采购代理机构在《磋商邀请书》规定的日期、时间和地点在有供应商代表在场的场合组织采购仪式，参加采购仪式的代表应签名报到以证明其出席。</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17.2开启响应文件前，采购人、采购代理机构和供应商将检查响应文件的密封情况。在确认密封完好后，进行拆封唱标。唱标主要内容为响应文件正本中磋商保证金的内容以及采购代理机构认为合适的其他内容，并做唱标记录。</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18.磋商小组</w:t>
      </w:r>
      <w:bookmarkEnd w:id="13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18.1采购代理机构将根据项目特点组建磋商小组，磋商小组由采购人代表和评审专家共3人以上单数组成，其中评审专家人数不得少于磋商小组成员总数的2/3。</w:t>
      </w:r>
    </w:p>
    <w:p>
      <w:pPr>
        <w:pStyle w:val="7"/>
        <w:adjustRightInd/>
        <w:spacing w:line="360" w:lineRule="auto"/>
        <w:ind w:firstLine="422" w:firstLineChars="200"/>
        <w:rPr>
          <w:rFonts w:hAnsi="宋体"/>
          <w:b/>
          <w:color w:val="auto"/>
          <w:sz w:val="21"/>
          <w:szCs w:val="21"/>
          <w:highlight w:val="none"/>
        </w:rPr>
      </w:pPr>
      <w:bookmarkStart w:id="140" w:name="_Toc535141844"/>
      <w:bookmarkStart w:id="141" w:name="_Toc37121259"/>
      <w:r>
        <w:rPr>
          <w:rFonts w:hint="eastAsia" w:hAnsi="宋体"/>
          <w:b/>
          <w:color w:val="auto"/>
          <w:sz w:val="21"/>
          <w:szCs w:val="21"/>
          <w:highlight w:val="none"/>
        </w:rPr>
        <w:t>19.对响应文件的初审</w:t>
      </w:r>
      <w:bookmarkEnd w:id="140"/>
      <w:bookmarkEnd w:id="141"/>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19.1开启响应文件后，采购代理机构将组织磋商小组对响应文件进行初审，初审包括资格性审查和符合性审查。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19.2资格性审查是指依据法律规定和磋商文件的规定，对响应文件中的资格证明等进行审查，确定供应商是否具备响应资格。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19.3符合性审查是指依据磋商文件的规定，从响应文件的有效性、完整性和对磋商文件的响应程度进行审查，以确定是否对磋商文件的实质性要求作出响应，包括审查响应文件是否完整，有否计算错误，文件签署是否合格，响应书的编排是否有序等。</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19.4在对响应文件进行详细评估之前，磋商小组将审查每份响应文件是否实质上响应了磋商文件的要求。实质性响应的响应应该是与磋商文件要求的全部条款、条件和规格相符，没有重大偏离的响应。对关键条文的偏离、保留或反对，例如关于适用法律、税及关税等的偏离将被认为是实质上的偏离，而纠正这些偏离将影响到其他提交实质性响应响应的供应商的公平竞争地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19.5磋商小组确定响应文件的响应性，只根据响应文件本身的内容，而不寻找外部的证据。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19.6实质上没有响应磋商文件要求的响应文件将被拒绝。供应商不得通过修正或撤销不合要求的偏离或保留从而使其响应成为实质上的响应。</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20.对响应文件的澄清</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20.1磋商小组在对响应文件的有效性、完整性和响应程度进行审查时，可以要求供应商对响应文件中含义不明确、同类问题表述不一致或者有明显文字和计算错误的内容等作出必要的澄清、说明或者更正。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磋商小组不接受响应人主动提出的澄清、说明或更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20.2响应文件内容表述不一致按照以下方法处理：响应文件中报价一览表内容与响应文件明细表内容不一致的，以报价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20.3供应商的法定代表人或委托代理人应当按照采购代理机构通知的时间和地点接受询问，对响应文件中含义不明确的内容作必要的澄清、说明或者纠正。</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21.开展磋商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21.1主持人宣布评审纪律，磋商小组所有成员及相关工作人员签名确认。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21.2磋商小组所有成员应当集中与单一供应商分别进行一轮或多轮的磋商（具体磋商轮次由磋商小组视情况决定）在磋商中，磋商小组及有关当事人应当严格遵循保密原则，任何人不得透露与磋商有关的供应商的技术、价格和其他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21.3在磋商过程中，磋商小组可以根据磋商文件和磋商情况实质性变动采购需求中的技术、服务要求以及合同草案条款，但不得变动磋商文件中的其他内容，并应当以书面形式通知所有参加磋商的供应商。实质性变动的内容，须经采购人代表确认。对磋商文件作出的实质性变动是磋商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21.4供应商应当按照磋商文件的变动情况和磋商小组的要求重新提交响应文件（或补充以书面材料），并由其法定代表人或授权代表签字或者加盖公章。由授权代表签字的，应当附法定代表人授权书。供应商为自然人的，应当由本人签字并附身份证明。补充文件是响应文件的组成部分。</w:t>
      </w:r>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22.最后报价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22.1磋商文件能够详细列明采购标的的技术、服务要求的，磋商结束后，磋商小组应当要求所有实质性响应的供应商在规定时间内提交最后报价，除法律法规规定的允许的情况外，提交最后报价的供应商不得少于3家。最后报价是供应商响应文件的有效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22.2已提交响应文件的供应商，在提交最后报价之前，可以根据磋商情况退出磋商。采购人、采购代理机构应当退还退出磋商的供应商的磋商保证金。</w:t>
      </w:r>
    </w:p>
    <w:bookmarkEnd w:id="139"/>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23.综合评分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经磋商确定最终采购需求和提交最后报价的供应商后，由磋商小组采用综合评分法对提交最后报价的供应商的响应文件和最后报价进行综合评分。详见本文件《第四篇 评标工作大纲》。</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rPr>
      </w:pPr>
      <w:bookmarkStart w:id="142" w:name="_Toc7897882"/>
      <w:bookmarkStart w:id="143" w:name="_Toc18625"/>
      <w:bookmarkStart w:id="144" w:name="_Toc21174"/>
      <w:r>
        <w:rPr>
          <w:rFonts w:hint="eastAsia"/>
          <w:color w:val="auto"/>
          <w:sz w:val="28"/>
          <w:szCs w:val="28"/>
          <w:highlight w:val="none"/>
        </w:rPr>
        <w:t>六、确定成交供应商</w:t>
      </w:r>
      <w:bookmarkEnd w:id="142"/>
      <w:bookmarkEnd w:id="143"/>
      <w:bookmarkEnd w:id="144"/>
    </w:p>
    <w:p>
      <w:pPr>
        <w:pStyle w:val="7"/>
        <w:adjustRightInd/>
        <w:spacing w:line="360" w:lineRule="auto"/>
        <w:ind w:firstLine="422" w:firstLineChars="200"/>
        <w:rPr>
          <w:rFonts w:hAnsi="宋体"/>
          <w:b/>
          <w:color w:val="auto"/>
          <w:sz w:val="21"/>
          <w:szCs w:val="21"/>
          <w:highlight w:val="none"/>
        </w:rPr>
      </w:pPr>
      <w:r>
        <w:rPr>
          <w:rFonts w:hint="eastAsia" w:hAnsi="宋体"/>
          <w:b/>
          <w:color w:val="auto"/>
          <w:sz w:val="21"/>
          <w:szCs w:val="21"/>
          <w:highlight w:val="none"/>
        </w:rPr>
        <w:t>24.确定成交</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24.1磋商小组完成评审工作后，出具评审报告，推荐3名以上成交候选供应商。符合法律法规允许的情况的，可以推荐2家成交候选供应商。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24.2采购人从成交候选供应商名单中按照综合得分排序确定1名成交供应商。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24.3根据响应或评审情况，采购代理机构保留在确定成交供应商之前任何时候接受或拒绝任何响应，以及宣布评审程序无效或拒绝所有响应的权力，对受影响的供应商不承担任何责任，也无义务向受影响的供应商解释这一行动的理由。</w:t>
      </w:r>
    </w:p>
    <w:p>
      <w:pPr>
        <w:pStyle w:val="7"/>
        <w:adjustRightInd/>
        <w:spacing w:line="360" w:lineRule="auto"/>
        <w:ind w:firstLine="422"/>
        <w:rPr>
          <w:b/>
          <w:color w:val="auto"/>
          <w:sz w:val="21"/>
          <w:szCs w:val="21"/>
          <w:highlight w:val="none"/>
        </w:rPr>
      </w:pPr>
      <w:r>
        <w:rPr>
          <w:rFonts w:hint="eastAsia"/>
          <w:b/>
          <w:color w:val="auto"/>
          <w:sz w:val="21"/>
          <w:szCs w:val="21"/>
          <w:highlight w:val="none"/>
        </w:rPr>
        <w:t>25.资格后审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.1</w:t>
      </w:r>
      <w:r>
        <w:rPr>
          <w:rFonts w:hint="eastAsia"/>
          <w:color w:val="auto"/>
          <w:sz w:val="21"/>
          <w:szCs w:val="21"/>
          <w:highlight w:val="none"/>
        </w:rPr>
        <w:t>采购人</w:t>
      </w:r>
      <w:r>
        <w:rPr>
          <w:color w:val="auto"/>
          <w:sz w:val="21"/>
          <w:szCs w:val="21"/>
          <w:highlight w:val="none"/>
        </w:rPr>
        <w:t>将根据</w:t>
      </w:r>
      <w:r>
        <w:rPr>
          <w:rFonts w:hint="eastAsia"/>
          <w:color w:val="auto"/>
          <w:sz w:val="21"/>
          <w:szCs w:val="21"/>
          <w:highlight w:val="none"/>
        </w:rPr>
        <w:t>磋商文件</w:t>
      </w:r>
      <w:r>
        <w:rPr>
          <w:color w:val="auto"/>
          <w:sz w:val="21"/>
          <w:szCs w:val="21"/>
          <w:highlight w:val="none"/>
        </w:rPr>
        <w:t>中的要求，对评委会推荐的</w:t>
      </w:r>
      <w:r>
        <w:rPr>
          <w:rFonts w:hint="eastAsia"/>
          <w:color w:val="auto"/>
          <w:sz w:val="21"/>
          <w:szCs w:val="21"/>
          <w:highlight w:val="none"/>
        </w:rPr>
        <w:t>成交候选人</w:t>
      </w:r>
      <w:r>
        <w:rPr>
          <w:color w:val="auto"/>
          <w:sz w:val="21"/>
          <w:szCs w:val="21"/>
          <w:highlight w:val="none"/>
        </w:rPr>
        <w:t>进行资格后审。</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.2</w:t>
      </w:r>
      <w:r>
        <w:rPr>
          <w:rFonts w:hint="eastAsia"/>
          <w:color w:val="auto"/>
          <w:sz w:val="21"/>
          <w:szCs w:val="21"/>
          <w:highlight w:val="none"/>
        </w:rPr>
        <w:t>成交候选人</w:t>
      </w:r>
      <w:r>
        <w:rPr>
          <w:color w:val="auto"/>
          <w:sz w:val="21"/>
          <w:szCs w:val="21"/>
          <w:highlight w:val="none"/>
        </w:rPr>
        <w:t>须无条件配合资格后审，否则</w:t>
      </w:r>
      <w:r>
        <w:rPr>
          <w:rFonts w:hint="eastAsia"/>
          <w:color w:val="auto"/>
          <w:sz w:val="21"/>
          <w:szCs w:val="21"/>
          <w:highlight w:val="none"/>
        </w:rPr>
        <w:t>采购人</w:t>
      </w:r>
      <w:r>
        <w:rPr>
          <w:color w:val="auto"/>
          <w:sz w:val="21"/>
          <w:szCs w:val="21"/>
          <w:highlight w:val="none"/>
        </w:rPr>
        <w:t>有权取消</w:t>
      </w:r>
      <w:r>
        <w:rPr>
          <w:rFonts w:hint="eastAsia"/>
          <w:color w:val="auto"/>
          <w:sz w:val="21"/>
          <w:szCs w:val="21"/>
          <w:highlight w:val="none"/>
        </w:rPr>
        <w:t>成交</w:t>
      </w:r>
      <w:r>
        <w:rPr>
          <w:color w:val="auto"/>
          <w:sz w:val="21"/>
          <w:szCs w:val="21"/>
          <w:highlight w:val="none"/>
        </w:rPr>
        <w:t>资格。</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.3资格</w:t>
      </w:r>
      <w:r>
        <w:rPr>
          <w:rFonts w:hint="eastAsia"/>
          <w:color w:val="auto"/>
          <w:sz w:val="21"/>
          <w:szCs w:val="21"/>
          <w:highlight w:val="none"/>
        </w:rPr>
        <w:t>后审</w:t>
      </w:r>
      <w:r>
        <w:rPr>
          <w:color w:val="auto"/>
          <w:sz w:val="21"/>
          <w:szCs w:val="21"/>
          <w:highlight w:val="none"/>
        </w:rPr>
        <w:t>须提供包括但不限于营业执照、税务登记证和在</w:t>
      </w:r>
      <w:r>
        <w:rPr>
          <w:rFonts w:hint="eastAsia"/>
          <w:color w:val="auto"/>
          <w:sz w:val="21"/>
          <w:szCs w:val="21"/>
          <w:highlight w:val="none"/>
        </w:rPr>
        <w:t>磋商响应文件</w:t>
      </w:r>
      <w:r>
        <w:rPr>
          <w:color w:val="auto"/>
          <w:sz w:val="21"/>
          <w:szCs w:val="21"/>
          <w:highlight w:val="none"/>
        </w:rPr>
        <w:t>中提供的资质证明文件、合同等重要证明文件的原件进行核对，综合考察</w:t>
      </w:r>
      <w:r>
        <w:rPr>
          <w:rFonts w:hint="eastAsia"/>
          <w:color w:val="auto"/>
          <w:sz w:val="21"/>
          <w:szCs w:val="21"/>
          <w:highlight w:val="none"/>
        </w:rPr>
        <w:t>成交供应商</w:t>
      </w:r>
      <w:r>
        <w:rPr>
          <w:color w:val="auto"/>
          <w:sz w:val="21"/>
          <w:szCs w:val="21"/>
          <w:highlight w:val="none"/>
        </w:rPr>
        <w:t>的履约能力。如</w:t>
      </w:r>
      <w:r>
        <w:rPr>
          <w:rFonts w:hint="eastAsia"/>
          <w:color w:val="auto"/>
          <w:sz w:val="21"/>
          <w:szCs w:val="21"/>
          <w:highlight w:val="none"/>
        </w:rPr>
        <w:t>采购人</w:t>
      </w:r>
      <w:r>
        <w:rPr>
          <w:color w:val="auto"/>
          <w:sz w:val="21"/>
          <w:szCs w:val="21"/>
          <w:highlight w:val="none"/>
        </w:rPr>
        <w:t>要求还须提供业绩证明的其他材料,</w:t>
      </w:r>
      <w:r>
        <w:rPr>
          <w:rFonts w:hint="eastAsia"/>
          <w:color w:val="auto"/>
          <w:sz w:val="21"/>
          <w:szCs w:val="21"/>
          <w:highlight w:val="none"/>
        </w:rPr>
        <w:t>成交候选人</w:t>
      </w:r>
      <w:r>
        <w:rPr>
          <w:color w:val="auto"/>
          <w:sz w:val="21"/>
          <w:szCs w:val="21"/>
          <w:highlight w:val="none"/>
        </w:rPr>
        <w:t>须配合提供。如授权其分支机构进行项目实施或提供售后服务的，亦应提供其与分支机构关系的法律证明材料。</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.4如发现</w:t>
      </w:r>
      <w:r>
        <w:rPr>
          <w:rFonts w:hint="eastAsia"/>
          <w:color w:val="auto"/>
          <w:sz w:val="21"/>
          <w:szCs w:val="21"/>
          <w:highlight w:val="none"/>
        </w:rPr>
        <w:t>供应商</w:t>
      </w:r>
      <w:r>
        <w:rPr>
          <w:color w:val="auto"/>
          <w:sz w:val="21"/>
          <w:szCs w:val="21"/>
          <w:highlight w:val="none"/>
        </w:rPr>
        <w:t>提交虚假资料谋取</w:t>
      </w:r>
      <w:r>
        <w:rPr>
          <w:rFonts w:hint="eastAsia"/>
          <w:color w:val="auto"/>
          <w:sz w:val="21"/>
          <w:szCs w:val="21"/>
          <w:highlight w:val="none"/>
        </w:rPr>
        <w:t>成交</w:t>
      </w:r>
      <w:r>
        <w:rPr>
          <w:color w:val="auto"/>
          <w:sz w:val="21"/>
          <w:szCs w:val="21"/>
          <w:highlight w:val="none"/>
        </w:rPr>
        <w:t>的，</w:t>
      </w:r>
      <w:r>
        <w:rPr>
          <w:rFonts w:hint="eastAsia"/>
          <w:color w:val="auto"/>
          <w:sz w:val="21"/>
          <w:szCs w:val="21"/>
          <w:highlight w:val="none"/>
        </w:rPr>
        <w:t>采购人</w:t>
      </w:r>
      <w:r>
        <w:rPr>
          <w:color w:val="auto"/>
          <w:sz w:val="21"/>
          <w:szCs w:val="21"/>
          <w:highlight w:val="none"/>
        </w:rPr>
        <w:t>有权没收其</w:t>
      </w:r>
      <w:r>
        <w:rPr>
          <w:rFonts w:hint="eastAsia"/>
          <w:color w:val="auto"/>
          <w:sz w:val="21"/>
          <w:szCs w:val="21"/>
          <w:highlight w:val="none"/>
        </w:rPr>
        <w:t>磋商</w:t>
      </w:r>
      <w:r>
        <w:rPr>
          <w:color w:val="auto"/>
          <w:sz w:val="21"/>
          <w:szCs w:val="21"/>
          <w:highlight w:val="none"/>
        </w:rPr>
        <w:t>保证金，并保留追究其赔偿</w:t>
      </w:r>
      <w:r>
        <w:rPr>
          <w:rFonts w:hint="eastAsia"/>
          <w:color w:val="auto"/>
          <w:sz w:val="21"/>
          <w:szCs w:val="21"/>
          <w:highlight w:val="none"/>
        </w:rPr>
        <w:t>采购人</w:t>
      </w:r>
      <w:r>
        <w:rPr>
          <w:color w:val="auto"/>
          <w:sz w:val="21"/>
          <w:szCs w:val="21"/>
          <w:highlight w:val="none"/>
        </w:rPr>
        <w:t>由此而造成一切损失的责任。</w:t>
      </w:r>
    </w:p>
    <w:p>
      <w:pPr>
        <w:spacing w:line="360" w:lineRule="auto"/>
        <w:ind w:firstLine="420" w:firstLineChars="200"/>
        <w:rPr>
          <w:color w:val="auto"/>
          <w:sz w:val="21"/>
          <w:szCs w:val="21"/>
          <w:highlight w:val="none"/>
        </w:rPr>
      </w:pPr>
      <w:r>
        <w:rPr>
          <w:color w:val="auto"/>
          <w:sz w:val="21"/>
          <w:szCs w:val="21"/>
          <w:highlight w:val="none"/>
        </w:rPr>
        <w:t>2</w:t>
      </w:r>
      <w:r>
        <w:rPr>
          <w:rFonts w:hint="eastAsia"/>
          <w:color w:val="auto"/>
          <w:sz w:val="21"/>
          <w:szCs w:val="21"/>
          <w:highlight w:val="none"/>
        </w:rPr>
        <w:t>5</w:t>
      </w:r>
      <w:r>
        <w:rPr>
          <w:color w:val="auto"/>
          <w:sz w:val="21"/>
          <w:szCs w:val="21"/>
          <w:highlight w:val="none"/>
        </w:rPr>
        <w:t>.5</w:t>
      </w:r>
      <w:r>
        <w:rPr>
          <w:rFonts w:hint="eastAsia"/>
          <w:color w:val="auto"/>
          <w:sz w:val="21"/>
          <w:szCs w:val="21"/>
          <w:highlight w:val="none"/>
        </w:rPr>
        <w:t>采购人</w:t>
      </w:r>
      <w:r>
        <w:rPr>
          <w:color w:val="auto"/>
          <w:sz w:val="21"/>
          <w:szCs w:val="21"/>
          <w:highlight w:val="none"/>
        </w:rPr>
        <w:t>保留审查</w:t>
      </w:r>
      <w:r>
        <w:rPr>
          <w:rFonts w:hint="eastAsia"/>
          <w:color w:val="auto"/>
          <w:sz w:val="21"/>
          <w:szCs w:val="21"/>
          <w:highlight w:val="none"/>
        </w:rPr>
        <w:t>成交供应商</w:t>
      </w:r>
      <w:r>
        <w:rPr>
          <w:color w:val="auto"/>
          <w:sz w:val="21"/>
          <w:szCs w:val="21"/>
          <w:highlight w:val="none"/>
        </w:rPr>
        <w:t>是否有能力令</w:t>
      </w:r>
      <w:r>
        <w:rPr>
          <w:rFonts w:hint="eastAsia"/>
          <w:color w:val="auto"/>
          <w:sz w:val="21"/>
          <w:szCs w:val="21"/>
          <w:highlight w:val="none"/>
        </w:rPr>
        <w:t>采购人</w:t>
      </w:r>
      <w:r>
        <w:rPr>
          <w:color w:val="auto"/>
          <w:sz w:val="21"/>
          <w:szCs w:val="21"/>
          <w:highlight w:val="none"/>
        </w:rPr>
        <w:t>满意的履行合同的权利，包括但不限于对</w:t>
      </w:r>
      <w:r>
        <w:rPr>
          <w:rFonts w:hint="eastAsia"/>
          <w:color w:val="auto"/>
          <w:sz w:val="21"/>
          <w:szCs w:val="21"/>
          <w:highlight w:val="none"/>
        </w:rPr>
        <w:t>成交供应商</w:t>
      </w:r>
      <w:r>
        <w:rPr>
          <w:color w:val="auto"/>
          <w:sz w:val="21"/>
          <w:szCs w:val="21"/>
          <w:highlight w:val="none"/>
        </w:rPr>
        <w:t>的规模、人员、场地、生产能力、供货能力等方面的核实或现场考察。如果审查通过，</w:t>
      </w:r>
      <w:r>
        <w:rPr>
          <w:rFonts w:hint="eastAsia"/>
          <w:color w:val="auto"/>
          <w:sz w:val="21"/>
          <w:szCs w:val="21"/>
          <w:highlight w:val="none"/>
        </w:rPr>
        <w:t>采购人</w:t>
      </w:r>
      <w:r>
        <w:rPr>
          <w:color w:val="auto"/>
          <w:sz w:val="21"/>
          <w:szCs w:val="21"/>
          <w:highlight w:val="none"/>
        </w:rPr>
        <w:t>将把合同授予该</w:t>
      </w:r>
      <w:r>
        <w:rPr>
          <w:rFonts w:hint="eastAsia"/>
          <w:color w:val="auto"/>
          <w:sz w:val="21"/>
          <w:szCs w:val="21"/>
          <w:highlight w:val="none"/>
        </w:rPr>
        <w:t>供应商；</w:t>
      </w:r>
      <w:r>
        <w:rPr>
          <w:color w:val="auto"/>
          <w:sz w:val="21"/>
          <w:szCs w:val="21"/>
          <w:highlight w:val="none"/>
        </w:rPr>
        <w:t>如果审查没有通过，</w:t>
      </w:r>
      <w:r>
        <w:rPr>
          <w:rFonts w:hint="eastAsia"/>
          <w:color w:val="auto"/>
          <w:sz w:val="21"/>
          <w:szCs w:val="21"/>
          <w:highlight w:val="none"/>
        </w:rPr>
        <w:t>采购人</w:t>
      </w:r>
      <w:r>
        <w:rPr>
          <w:color w:val="auto"/>
          <w:sz w:val="21"/>
          <w:szCs w:val="21"/>
          <w:highlight w:val="none"/>
        </w:rPr>
        <w:t>将拒绝其</w:t>
      </w:r>
      <w:r>
        <w:rPr>
          <w:rFonts w:hint="eastAsia"/>
          <w:color w:val="auto"/>
          <w:sz w:val="21"/>
          <w:szCs w:val="21"/>
          <w:highlight w:val="none"/>
        </w:rPr>
        <w:t>磋商</w:t>
      </w:r>
      <w:r>
        <w:rPr>
          <w:color w:val="auto"/>
          <w:sz w:val="21"/>
          <w:szCs w:val="21"/>
          <w:highlight w:val="none"/>
        </w:rPr>
        <w:t>，并对下一个候选的</w:t>
      </w:r>
      <w:r>
        <w:rPr>
          <w:rFonts w:hint="eastAsia"/>
          <w:color w:val="auto"/>
          <w:sz w:val="21"/>
          <w:szCs w:val="21"/>
          <w:highlight w:val="none"/>
        </w:rPr>
        <w:t>供应商</w:t>
      </w:r>
      <w:r>
        <w:rPr>
          <w:color w:val="auto"/>
          <w:sz w:val="21"/>
          <w:szCs w:val="21"/>
          <w:highlight w:val="none"/>
        </w:rPr>
        <w:t>能否令人满意地履行合同作类似的审查或重新采购。</w:t>
      </w:r>
    </w:p>
    <w:p>
      <w:pPr>
        <w:pStyle w:val="7"/>
        <w:adjustRightInd/>
        <w:spacing w:line="360" w:lineRule="auto"/>
        <w:ind w:firstLine="422" w:firstLineChars="200"/>
        <w:rPr>
          <w:rFonts w:hAnsi="宋体"/>
          <w:b/>
          <w:color w:val="auto"/>
          <w:sz w:val="21"/>
          <w:szCs w:val="21"/>
          <w:highlight w:val="none"/>
        </w:rPr>
      </w:pPr>
      <w:bookmarkStart w:id="145" w:name="_Toc475249142"/>
      <w:r>
        <w:rPr>
          <w:rFonts w:hint="eastAsia" w:hAnsi="宋体"/>
          <w:b/>
          <w:color w:val="auto"/>
          <w:sz w:val="21"/>
          <w:szCs w:val="21"/>
          <w:highlight w:val="none"/>
        </w:rPr>
        <w:t>26.成交通知</w:t>
      </w:r>
      <w:bookmarkEnd w:id="145"/>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26.1采购代理机构将在采购人确定成交供应商后之日起的2个工作日内发出《成交通知书》，并公告成交结果。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26.2《成交通知书》是签订采购合同的依据和组成部分。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26.3成交结果将在</w:t>
      </w:r>
      <w:r>
        <w:rPr>
          <w:rFonts w:hint="eastAsia" w:hAnsi="宋体"/>
          <w:color w:val="auto"/>
          <w:kern w:val="28"/>
          <w:sz w:val="21"/>
          <w:szCs w:val="21"/>
          <w:highlight w:val="none"/>
        </w:rPr>
        <w:t>东莞实业投资控股集团有限公司-招标采购栏目（http://www.dgsy.com.cn/）</w:t>
      </w:r>
      <w:r>
        <w:rPr>
          <w:rFonts w:hint="eastAsia" w:hAnsi="宋体"/>
          <w:color w:val="auto"/>
          <w:sz w:val="21"/>
          <w:szCs w:val="21"/>
          <w:highlight w:val="none"/>
        </w:rPr>
        <w:t>上公告，同时向成交供应商发出成交通知书。</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rPr>
      </w:pPr>
      <w:bookmarkStart w:id="146" w:name="_Toc20980"/>
      <w:bookmarkStart w:id="147" w:name="_Toc37756778"/>
      <w:bookmarkStart w:id="148" w:name="_Toc110953852"/>
      <w:bookmarkStart w:id="149" w:name="_Toc7897883"/>
      <w:bookmarkStart w:id="150" w:name="_Toc28276"/>
      <w:bookmarkStart w:id="151" w:name="_Toc475249143"/>
      <w:r>
        <w:rPr>
          <w:rFonts w:hint="eastAsia"/>
          <w:color w:val="auto"/>
          <w:sz w:val="28"/>
          <w:szCs w:val="28"/>
          <w:highlight w:val="none"/>
        </w:rPr>
        <w:t>七、签订采购合同</w:t>
      </w:r>
      <w:bookmarkEnd w:id="146"/>
      <w:bookmarkEnd w:id="147"/>
      <w:bookmarkEnd w:id="148"/>
      <w:bookmarkEnd w:id="149"/>
      <w:bookmarkEnd w:id="150"/>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27.采购人与成交供应商应当在成交通知书发出之日起30日内，按照磋商文件确定的事项签订采购合同。</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28.合同内容不得与磋商文件和响应文件内容有实质性偏离。</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29.采购合同自签订之日起7个工作日内，采购人应将合同副本报采购代理机构归档。</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w:t>
      </w:r>
      <w:r>
        <w:rPr>
          <w:rFonts w:hint="eastAsia" w:hAnsi="宋体"/>
          <w:color w:val="auto"/>
          <w:sz w:val="21"/>
          <w:szCs w:val="21"/>
          <w:highlight w:val="none"/>
          <w:lang w:val="zh-CN"/>
        </w:rPr>
        <w:tab/>
      </w:r>
      <w:r>
        <w:rPr>
          <w:rFonts w:hint="eastAsia" w:hAnsi="宋体"/>
          <w:color w:val="auto"/>
          <w:sz w:val="21"/>
          <w:szCs w:val="21"/>
          <w:highlight w:val="none"/>
          <w:lang w:val="zh-CN"/>
        </w:rPr>
        <w:t>履约</w:t>
      </w:r>
      <w:r>
        <w:rPr>
          <w:rFonts w:hint="eastAsia" w:hAnsi="宋体"/>
          <w:color w:val="auto"/>
          <w:sz w:val="21"/>
          <w:szCs w:val="21"/>
          <w:highlight w:val="none"/>
        </w:rPr>
        <w:t>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w:t>
      </w:r>
      <w:r>
        <w:rPr>
          <w:rFonts w:hint="eastAsia" w:hAnsi="宋体"/>
          <w:color w:val="auto"/>
          <w:sz w:val="21"/>
          <w:szCs w:val="21"/>
          <w:highlight w:val="none"/>
          <w:lang w:val="zh-CN"/>
        </w:rPr>
        <w:t>.1</w:t>
      </w:r>
      <w:r>
        <w:rPr>
          <w:rFonts w:hint="eastAsia" w:hAnsi="宋体"/>
          <w:color w:val="auto"/>
          <w:sz w:val="21"/>
          <w:szCs w:val="21"/>
          <w:highlight w:val="none"/>
        </w:rPr>
        <w:t>签订合同前，成交供应商应提交履约担保。</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30.2成交供应商向采购人提交履约担保，履约担保形式：☑履约保证金；☑ 银行履约保函；□担保公司履约担保书。履约担保金额：合同金额的10%。履约担保账户：采购人指定账户。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30.3</w:t>
      </w:r>
      <w:r>
        <w:rPr>
          <w:rFonts w:hint="eastAsia" w:hAnsi="宋体"/>
          <w:color w:val="auto"/>
          <w:sz w:val="21"/>
          <w:szCs w:val="21"/>
          <w:highlight w:val="none"/>
          <w:lang w:val="zh-CN"/>
        </w:rPr>
        <w:t>履约保函应是由银行支行一级或以上银行机构出具，并经甲方同意，非东莞市行政区内的银行出具的保函需经担保银行所在地公证机关公证并出具公证书。履约保函的内容，应符合磋商文件、磋商响应文件和采购合同的要求。履约保函应在采购合同有效期满后28天内继续有效。</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30.4</w:t>
      </w:r>
      <w:r>
        <w:rPr>
          <w:rFonts w:hint="eastAsia" w:hAnsi="宋体"/>
          <w:color w:val="auto"/>
          <w:sz w:val="21"/>
          <w:szCs w:val="21"/>
          <w:highlight w:val="none"/>
          <w:lang w:val="zh-CN"/>
        </w:rPr>
        <w:t>若成交供应商不按规定提交履约担保，采购人将有充分的理由解除合同，给采购人造成的损失超过履约保证金数额的，还应当对超过部分予以赔偿。</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30.5在整个项目验收合格后，成交供应商向采购人提交退回履约担保的申请，采购人办理履约担保退还手续，将履约担保退回原成交供应商的汇入帐户。</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lang w:val="zh-CN"/>
        </w:rPr>
        <w:t>31.发票</w:t>
      </w:r>
    </w:p>
    <w:p>
      <w:pPr>
        <w:spacing w:line="360" w:lineRule="auto"/>
        <w:ind w:firstLine="420" w:firstLineChars="200"/>
        <w:rPr>
          <w:rFonts w:hAnsi="宋体"/>
          <w:color w:val="auto"/>
          <w:sz w:val="21"/>
          <w:szCs w:val="21"/>
          <w:highlight w:val="none"/>
          <w:lang w:val="zh-CN"/>
        </w:rPr>
      </w:pPr>
      <w:r>
        <w:rPr>
          <w:rFonts w:hint="eastAsia" w:hAnsi="宋体"/>
          <w:color w:val="auto"/>
          <w:sz w:val="21"/>
          <w:szCs w:val="21"/>
          <w:highlight w:val="none"/>
        </w:rPr>
        <w:t>31</w:t>
      </w:r>
      <w:r>
        <w:rPr>
          <w:rFonts w:hint="eastAsia" w:hAnsi="宋体"/>
          <w:color w:val="auto"/>
          <w:sz w:val="21"/>
          <w:szCs w:val="21"/>
          <w:highlight w:val="none"/>
          <w:lang w:val="zh-CN"/>
        </w:rPr>
        <w:t>.1该项目获得成交的成交供应商在执行合同过程中，向采购人出具的发票必须是由成交供应商开具，不得以其他单位或个人名义出具。</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31.2成交供应商需提交增值税专用发票，并于备注栏写明项目名称及合同名称。</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31.3在合同履行期间，如遇国家的税率调整，则以开具发票的时间为准，以原合同约定价格不含税金额不变作为基准，按照新税率重新计算含税价格。</w:t>
      </w:r>
    </w:p>
    <w:p>
      <w:pPr>
        <w:rPr>
          <w:color w:val="auto"/>
          <w:highlight w:val="none"/>
        </w:rPr>
      </w:pPr>
    </w:p>
    <w:bookmarkEnd w:id="151"/>
    <w:p>
      <w:pPr>
        <w:pStyle w:val="6"/>
        <w:adjustRightInd/>
        <w:spacing w:line="360" w:lineRule="auto"/>
        <w:ind w:firstLine="562" w:firstLineChars="200"/>
        <w:jc w:val="center"/>
        <w:rPr>
          <w:color w:val="auto"/>
          <w:sz w:val="21"/>
          <w:szCs w:val="21"/>
          <w:highlight w:val="none"/>
        </w:rPr>
      </w:pPr>
      <w:bookmarkStart w:id="152" w:name="_Toc7897884"/>
      <w:bookmarkStart w:id="153" w:name="_Toc152"/>
      <w:bookmarkStart w:id="154" w:name="_Toc8766"/>
      <w:bookmarkStart w:id="155" w:name="_Toc5141"/>
      <w:bookmarkStart w:id="156" w:name="_Toc396137239"/>
      <w:bookmarkStart w:id="157" w:name="_Toc3498"/>
      <w:r>
        <w:rPr>
          <w:rFonts w:hint="eastAsia"/>
          <w:color w:val="auto"/>
          <w:sz w:val="28"/>
          <w:szCs w:val="28"/>
          <w:highlight w:val="none"/>
        </w:rPr>
        <w:t>八、成交服务费</w:t>
      </w:r>
      <w:bookmarkEnd w:id="152"/>
      <w:bookmarkEnd w:id="153"/>
      <w:bookmarkEnd w:id="154"/>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32.1成交供应商须向采购代理机构按如下标准和规定交纳成交服务费。</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32.2成交服务费参照国家计委[计价格[2002]1980号]文和国家发改委[发改价格[2011]534号]文及相关规定收取，按差额定率累进法计算，按货物类的七折收取，以成交通知书中确定的成交总金额作为收费的计算依据。成交服务费最低收费标准为伍仟元整。</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32.3服务费的货币为人民币。</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32.4服务费应由成交供应商在采购结果公示发出之后，采购人确定可签订合同时交纳，不在报价中单列。</w:t>
      </w:r>
    </w:p>
    <w:p>
      <w:pPr>
        <w:spacing w:line="360" w:lineRule="auto"/>
        <w:ind w:firstLine="428" w:firstLineChars="204"/>
        <w:rPr>
          <w:rFonts w:hAnsi="宋体"/>
          <w:color w:val="auto"/>
          <w:sz w:val="21"/>
          <w:szCs w:val="21"/>
          <w:highlight w:val="none"/>
        </w:rPr>
      </w:pPr>
      <w:r>
        <w:rPr>
          <w:rFonts w:hint="eastAsia" w:hAnsi="宋体"/>
          <w:color w:val="auto"/>
          <w:sz w:val="21"/>
          <w:szCs w:val="21"/>
          <w:highlight w:val="none"/>
        </w:rPr>
        <w:t>32.5以转账或现金的形式支付。</w:t>
      </w:r>
    </w:p>
    <w:p>
      <w:pPr>
        <w:pStyle w:val="8"/>
        <w:ind w:firstLine="400"/>
        <w:rPr>
          <w:color w:val="auto"/>
          <w:highlight w:val="none"/>
        </w:rPr>
      </w:pPr>
    </w:p>
    <w:p>
      <w:pPr>
        <w:pStyle w:val="6"/>
        <w:adjustRightInd/>
        <w:spacing w:line="360" w:lineRule="auto"/>
        <w:ind w:firstLine="562" w:firstLineChars="200"/>
        <w:jc w:val="center"/>
        <w:rPr>
          <w:color w:val="auto"/>
          <w:sz w:val="28"/>
          <w:szCs w:val="28"/>
          <w:highlight w:val="none"/>
          <w:lang w:val="zh-CN"/>
        </w:rPr>
      </w:pPr>
      <w:bookmarkStart w:id="158" w:name="_Toc17153"/>
      <w:r>
        <w:rPr>
          <w:rFonts w:hint="eastAsia"/>
          <w:color w:val="auto"/>
          <w:sz w:val="28"/>
          <w:szCs w:val="28"/>
          <w:highlight w:val="none"/>
          <w:lang w:val="zh-CN"/>
        </w:rPr>
        <w:t>九、质疑与回复</w:t>
      </w:r>
      <w:bookmarkEnd w:id="155"/>
      <w:bookmarkEnd w:id="156"/>
      <w:bookmarkEnd w:id="157"/>
      <w:bookmarkEnd w:id="15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   质疑与回复</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33.1 质疑书应当包括下列主要内容：</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（1）供应商的姓名或者名称、地址、邮编、联系人及联系电话；</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（2）质疑项目的名称、编号；</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（3）具体、明确的质疑事项和与质疑事项相关的请求；</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（4）事实依据；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（5）必要的法律依据；</w:t>
      </w:r>
    </w:p>
    <w:p>
      <w:pPr>
        <w:spacing w:line="360" w:lineRule="auto"/>
        <w:ind w:left="539" w:right="17" w:hanging="539"/>
        <w:jc w:val="both"/>
        <w:rPr>
          <w:rFonts w:hAnsi="宋体"/>
          <w:color w:val="auto"/>
          <w:sz w:val="21"/>
          <w:szCs w:val="21"/>
          <w:highlight w:val="none"/>
        </w:rPr>
      </w:pPr>
      <w:r>
        <w:rPr>
          <w:rFonts w:hint="eastAsia" w:hAnsi="宋体"/>
          <w:color w:val="auto"/>
          <w:sz w:val="21"/>
          <w:szCs w:val="21"/>
          <w:highlight w:val="none"/>
        </w:rPr>
        <w:t>　　（6）提出质疑的日期。</w:t>
      </w:r>
    </w:p>
    <w:p>
      <w:pPr>
        <w:spacing w:line="360" w:lineRule="auto"/>
        <w:ind w:firstLine="420" w:firstLineChars="200"/>
        <w:rPr>
          <w:rFonts w:hAnsi="宋体"/>
          <w:color w:val="auto"/>
          <w:sz w:val="21"/>
          <w:szCs w:val="21"/>
          <w:highlight w:val="none"/>
        </w:rPr>
      </w:pPr>
      <w:r>
        <w:rPr>
          <w:rFonts w:hint="eastAsia" w:hAnsi="宋体"/>
          <w:color w:val="auto"/>
          <w:kern w:val="2"/>
          <w:sz w:val="21"/>
          <w:szCs w:val="21"/>
          <w:highlight w:val="none"/>
        </w:rPr>
        <w:t>33</w:t>
      </w:r>
      <w:r>
        <w:rPr>
          <w:rFonts w:hint="eastAsia" w:hAnsi="宋体"/>
          <w:color w:val="auto"/>
          <w:sz w:val="21"/>
          <w:szCs w:val="21"/>
          <w:highlight w:val="none"/>
        </w:rPr>
        <w:t>.2. 质疑书应当署名。质疑人为自然人的，应当由本人签名；质疑人为法人或者</w:t>
      </w:r>
      <w:r>
        <w:rPr>
          <w:rFonts w:hint="eastAsia" w:hAnsi="宋体"/>
          <w:color w:val="auto"/>
          <w:kern w:val="2"/>
          <w:sz w:val="21"/>
          <w:szCs w:val="21"/>
          <w:highlight w:val="none"/>
          <w:lang w:val="zh-CN"/>
        </w:rPr>
        <w:t>其他</w:t>
      </w:r>
      <w:r>
        <w:rPr>
          <w:rFonts w:hint="eastAsia" w:hAnsi="宋体"/>
          <w:color w:val="auto"/>
          <w:sz w:val="21"/>
          <w:szCs w:val="21"/>
          <w:highlight w:val="none"/>
        </w:rPr>
        <w:t>组织的，应当由法定代表人或者主要负责人签名并加盖公章。</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33.3. 供应商认为磋商文件的内容损害其权益的，应当以书面形式（加盖公章）在磋商文件公示期间或者自期满之日起7个工作日内向采购代理机构提交质疑书原件，逾期质疑无效。供应商以电话、传真或电邮形式提交的质疑属于无效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33.4. 供应商认为采购过程和成交结果使自己的权益受到损害的，应当以书面形式（加盖公章）在知道或者应知其权益受到损害之日起7个工作日内向采购代理机构提交质疑书原件，逾期质疑无效。供应商以电话、传真或电邮形式提交的质疑属于无效质疑。联系人：罗小姐/0769-22652033；联系地址：东莞市东城莞龙路下桥银门街一号办公楼七楼。</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33.5.供应商在法定质疑期内一次性提出针对同一采购程序环节的质疑。</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33.6.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或授权代表签名并加盖公章。采购代理机构受理书面质疑书原件之日起，在规定的期限内作出答复。供应商捏造事实、提供虚假材料或者以非法手段取得证明材料进行投诉的，列入不良行为记录名单，禁止其1至3年内参加采购活动。</w:t>
      </w:r>
    </w:p>
    <w:p>
      <w:pPr>
        <w:spacing w:line="360" w:lineRule="auto"/>
        <w:ind w:firstLine="420" w:firstLineChars="200"/>
        <w:rPr>
          <w:bCs/>
          <w:color w:val="auto"/>
          <w:sz w:val="21"/>
          <w:szCs w:val="21"/>
          <w:highlight w:val="none"/>
        </w:rPr>
      </w:pPr>
      <w:bookmarkStart w:id="159" w:name="_Toc29421"/>
      <w:r>
        <w:rPr>
          <w:rFonts w:hint="eastAsia"/>
          <w:color w:val="auto"/>
          <w:sz w:val="21"/>
          <w:szCs w:val="21"/>
          <w:highlight w:val="none"/>
        </w:rPr>
        <w:t>33.7.采购代理机构在收到供应商的有效书面质疑后7个工作日内作出答复，但答复的内容不涉及商业秘密，质疑供应商对采购人、采购代理机构的质疑答复不满意，或采购人、采购代理机构未在规定期限内作出答复的，可以在答复期满后15个工作日内向同级采购监督管理部门提出投诉。投诉事项应该是经过质疑的事项。</w:t>
      </w:r>
      <w:bookmarkEnd w:id="159"/>
    </w:p>
    <w:p>
      <w:pPr>
        <w:pStyle w:val="50"/>
        <w:ind w:left="648"/>
        <w:rPr>
          <w:color w:val="auto"/>
          <w:highlight w:val="none"/>
        </w:rPr>
      </w:pPr>
    </w:p>
    <w:p>
      <w:pPr>
        <w:pStyle w:val="5"/>
        <w:keepNext/>
        <w:keepLines/>
        <w:pageBreakBefore/>
        <w:numPr>
          <w:ilvl w:val="0"/>
          <w:numId w:val="10"/>
        </w:numPr>
        <w:tabs>
          <w:tab w:val="left" w:pos="1080"/>
        </w:tabs>
        <w:spacing w:line="360" w:lineRule="auto"/>
        <w:ind w:left="1262" w:hanging="1262" w:hangingChars="449"/>
        <w:jc w:val="center"/>
        <w:rPr>
          <w:rFonts w:hAnsi="宋体"/>
          <w:b/>
          <w:bCs/>
          <w:color w:val="auto"/>
          <w:kern w:val="44"/>
          <w:sz w:val="28"/>
          <w:szCs w:val="28"/>
          <w:highlight w:val="none"/>
          <w:lang w:val="zh-CN"/>
        </w:rPr>
      </w:pPr>
      <w:bookmarkStart w:id="160" w:name="_Toc396137240"/>
      <w:bookmarkStart w:id="161" w:name="_Toc22134"/>
      <w:bookmarkStart w:id="162" w:name="_Toc22751"/>
      <w:bookmarkStart w:id="163" w:name="_Toc25591"/>
      <w:bookmarkStart w:id="164" w:name="_Toc25267"/>
      <w:bookmarkStart w:id="165" w:name="_Toc13957"/>
      <w:r>
        <w:rPr>
          <w:rFonts w:hint="eastAsia" w:hAnsi="宋体"/>
          <w:b/>
          <w:bCs/>
          <w:color w:val="auto"/>
          <w:kern w:val="44"/>
          <w:sz w:val="28"/>
          <w:szCs w:val="28"/>
          <w:highlight w:val="none"/>
          <w:lang w:val="zh-CN"/>
        </w:rPr>
        <w:t>用户需求书</w:t>
      </w:r>
      <w:bookmarkEnd w:id="160"/>
      <w:bookmarkEnd w:id="161"/>
      <w:bookmarkEnd w:id="162"/>
    </w:p>
    <w:p>
      <w:pPr>
        <w:pStyle w:val="5"/>
        <w:spacing w:line="360" w:lineRule="auto"/>
        <w:jc w:val="center"/>
        <w:rPr>
          <w:b/>
          <w:bCs/>
          <w:color w:val="auto"/>
          <w:sz w:val="28"/>
          <w:szCs w:val="28"/>
          <w:highlight w:val="none"/>
        </w:rPr>
      </w:pPr>
      <w:bookmarkStart w:id="166" w:name="_Toc31481"/>
      <w:bookmarkStart w:id="167" w:name="_Toc32290"/>
      <w:r>
        <w:rPr>
          <w:rFonts w:hint="eastAsia"/>
          <w:b/>
          <w:bCs/>
          <w:color w:val="auto"/>
          <w:sz w:val="28"/>
          <w:szCs w:val="28"/>
          <w:highlight w:val="none"/>
        </w:rPr>
        <w:t>第一部分 商务需求书</w:t>
      </w:r>
      <w:bookmarkEnd w:id="166"/>
      <w:bookmarkEnd w:id="167"/>
    </w:p>
    <w:tbl>
      <w:tblPr>
        <w:tblStyle w:val="5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98"/>
        <w:gridCol w:w="2049"/>
        <w:gridCol w:w="63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条款名称</w:t>
            </w:r>
          </w:p>
        </w:tc>
        <w:tc>
          <w:tcPr>
            <w:tcW w:w="6397"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说  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1</w:t>
            </w:r>
          </w:p>
        </w:tc>
        <w:tc>
          <w:tcPr>
            <w:tcW w:w="2049" w:type="dxa"/>
            <w:vAlign w:val="center"/>
          </w:tcPr>
          <w:p>
            <w:pPr>
              <w:spacing w:line="360" w:lineRule="auto"/>
              <w:jc w:val="center"/>
              <w:rPr>
                <w:rFonts w:hAnsi="宋体"/>
                <w:color w:val="auto"/>
                <w:sz w:val="21"/>
                <w:szCs w:val="21"/>
                <w:highlight w:val="none"/>
              </w:rPr>
            </w:pPr>
            <w:r>
              <w:rPr>
                <w:rFonts w:hint="eastAsia" w:hAnsi="宋体"/>
                <w:color w:val="auto"/>
                <w:kern w:val="2"/>
                <w:sz w:val="21"/>
                <w:szCs w:val="21"/>
                <w:highlight w:val="none"/>
              </w:rPr>
              <w:t>完工期限</w:t>
            </w:r>
          </w:p>
        </w:tc>
        <w:tc>
          <w:tcPr>
            <w:tcW w:w="6397" w:type="dxa"/>
            <w:vAlign w:val="center"/>
          </w:tcPr>
          <w:p>
            <w:pPr>
              <w:pStyle w:val="144"/>
              <w:spacing w:line="360" w:lineRule="auto"/>
              <w:rPr>
                <w:rFonts w:ascii="宋体" w:hAnsi="宋体"/>
                <w:color w:val="auto"/>
                <w:szCs w:val="21"/>
                <w:highlight w:val="none"/>
              </w:rPr>
            </w:pPr>
            <w:r>
              <w:rPr>
                <w:rFonts w:hint="eastAsia" w:ascii="宋体" w:hAnsi="宋体"/>
                <w:color w:val="auto"/>
                <w:szCs w:val="21"/>
                <w:highlight w:val="none"/>
              </w:rPr>
              <w:t>签订合同之日起30个工作日内完成供货、施工、安装调试及验收交付采购人使用。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2</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质保期</w:t>
            </w:r>
          </w:p>
        </w:tc>
        <w:tc>
          <w:tcPr>
            <w:tcW w:w="6397" w:type="dxa"/>
            <w:vAlign w:val="center"/>
          </w:tcPr>
          <w:p>
            <w:pPr>
              <w:pStyle w:val="144"/>
              <w:spacing w:line="360" w:lineRule="auto"/>
              <w:rPr>
                <w:rFonts w:ascii="宋体" w:hAnsi="宋体"/>
                <w:color w:val="auto"/>
                <w:szCs w:val="21"/>
                <w:highlight w:val="none"/>
              </w:rPr>
            </w:pPr>
            <w:r>
              <w:rPr>
                <w:rFonts w:hint="eastAsia" w:ascii="宋体" w:hAnsi="宋体"/>
                <w:color w:val="auto"/>
                <w:szCs w:val="21"/>
                <w:highlight w:val="none"/>
              </w:rPr>
              <w:t>自验收合格起不少于两年。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60"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3</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报价要求</w:t>
            </w:r>
          </w:p>
        </w:tc>
        <w:tc>
          <w:tcPr>
            <w:tcW w:w="6397" w:type="dxa"/>
            <w:vAlign w:val="center"/>
          </w:tcPr>
          <w:p>
            <w:pPr>
              <w:pStyle w:val="144"/>
              <w:spacing w:line="360" w:lineRule="auto"/>
              <w:rPr>
                <w:rFonts w:ascii="宋体" w:hAnsi="宋体"/>
                <w:color w:val="auto"/>
                <w:szCs w:val="21"/>
                <w:highlight w:val="none"/>
              </w:rPr>
            </w:pPr>
            <w:r>
              <w:rPr>
                <w:rFonts w:hint="eastAsia" w:ascii="宋体" w:hAnsi="宋体"/>
                <w:color w:val="auto"/>
                <w:szCs w:val="21"/>
                <w:highlight w:val="none"/>
              </w:rPr>
              <w:t>①　报价应包含方案图纸及系统深化设计及其所需的货物及所需附件的购置费、采保费、运输费、安装、调试费、保险费、各种税费、检测费、售后服务费及合同实施过程中的应预见和不可预见费用等完成合同规定责任和义务、达到合同目的的一切费用。</w:t>
            </w:r>
          </w:p>
          <w:p>
            <w:pPr>
              <w:pStyle w:val="144"/>
              <w:spacing w:line="360" w:lineRule="auto"/>
              <w:rPr>
                <w:rFonts w:ascii="宋体" w:hAnsi="宋体"/>
                <w:color w:val="auto"/>
                <w:szCs w:val="21"/>
                <w:highlight w:val="none"/>
              </w:rPr>
            </w:pPr>
            <w:r>
              <w:rPr>
                <w:rFonts w:hint="eastAsia" w:ascii="宋体" w:hAnsi="宋体"/>
                <w:color w:val="auto"/>
                <w:szCs w:val="21"/>
                <w:highlight w:val="none"/>
              </w:rPr>
              <w:t>②　投标价应包括所有应支付的对专利权和版权、设计或其他知识产权而需要向其他方支付的版税。</w:t>
            </w:r>
          </w:p>
          <w:p>
            <w:pPr>
              <w:pStyle w:val="144"/>
              <w:spacing w:line="360" w:lineRule="auto"/>
              <w:rPr>
                <w:rFonts w:ascii="宋体" w:hAnsi="宋体"/>
                <w:color w:val="auto"/>
                <w:szCs w:val="21"/>
                <w:highlight w:val="none"/>
              </w:rPr>
            </w:pPr>
            <w:r>
              <w:rPr>
                <w:rFonts w:hint="eastAsia" w:ascii="宋体" w:hAnsi="宋体"/>
                <w:color w:val="auto"/>
                <w:szCs w:val="21"/>
                <w:highlight w:val="none"/>
              </w:rPr>
              <w:t>③合同总价为含税包干价，除约定的内容外不予调整。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4</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付款方式</w:t>
            </w:r>
          </w:p>
        </w:tc>
        <w:tc>
          <w:tcPr>
            <w:tcW w:w="6397" w:type="dxa"/>
            <w:vAlign w:val="center"/>
          </w:tcPr>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rPr>
              <w:t>①　中标通知书发出后，合同签订前中标人向采购人提交为本合同总价10%的不可撤销银行保函或履约保证金；</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rPr>
              <w:t>②　双方签订合同后，中标人提交符合采购人要求的请款报告及相关资料后7天内，支付至合同总额的20%；</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rPr>
              <w:t>③　所有设备安装调试并经采购人书面确认调试合格的，中标人提交符合采购人要求的请款报告及相关资料后7天内，支付至合同总额的80%；</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rPr>
              <w:t>④　项目竣工验收合格并结算完成后，中标人提交符合采购人要求的请款报告及相关资料后7天内，支付至结算价的97%；</w:t>
            </w:r>
          </w:p>
          <w:p>
            <w:pPr>
              <w:pStyle w:val="100"/>
              <w:spacing w:line="360" w:lineRule="auto"/>
              <w:rPr>
                <w:rFonts w:ascii="宋体" w:hAnsi="宋体" w:cs="宋体"/>
                <w:color w:val="auto"/>
                <w:szCs w:val="21"/>
                <w:highlight w:val="none"/>
              </w:rPr>
            </w:pPr>
            <w:r>
              <w:rPr>
                <w:rFonts w:hint="eastAsia" w:ascii="宋体" w:hAnsi="宋体" w:cs="宋体"/>
                <w:color w:val="auto"/>
                <w:szCs w:val="21"/>
                <w:highlight w:val="none"/>
              </w:rPr>
              <w:t>⑤剩余结算价的3%为项目质保金，自竣工验收合格之日起计满2年后，中标人提交符合采购人要求的请款报告及相关资料后7天内采购人一次性无息付清。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5</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售后服务</w:t>
            </w:r>
          </w:p>
        </w:tc>
        <w:tc>
          <w:tcPr>
            <w:tcW w:w="6397" w:type="dxa"/>
            <w:vAlign w:val="center"/>
          </w:tcPr>
          <w:p>
            <w:pPr>
              <w:pStyle w:val="100"/>
              <w:spacing w:line="360" w:lineRule="auto"/>
              <w:rPr>
                <w:rFonts w:ascii="宋体" w:hAnsi="宋体" w:cs="宋体"/>
                <w:color w:val="auto"/>
                <w:szCs w:val="21"/>
                <w:highlight w:val="none"/>
              </w:rPr>
            </w:pPr>
            <w:r>
              <w:rPr>
                <w:rFonts w:hint="eastAsia" w:ascii="宋体" w:hAnsi="宋体" w:cs="宋体"/>
                <w:bCs/>
                <w:color w:val="auto"/>
                <w:szCs w:val="21"/>
                <w:highlight w:val="none"/>
              </w:rPr>
              <w:t>质保期内</w:t>
            </w:r>
            <w:r>
              <w:rPr>
                <w:rFonts w:hint="eastAsia" w:ascii="宋体" w:hAnsi="宋体" w:cs="宋体"/>
                <w:color w:val="auto"/>
                <w:szCs w:val="21"/>
                <w:highlight w:val="none"/>
              </w:rPr>
              <w:t>中标人须提供7×24服务；接到报修电话1个小时内作出响应、4个小时内达现场，</w:t>
            </w:r>
            <w:r>
              <w:rPr>
                <w:rFonts w:hint="eastAsia" w:ascii="宋体" w:hAnsi="宋体" w:cs="宋体"/>
                <w:bCs/>
                <w:color w:val="auto"/>
                <w:szCs w:val="21"/>
                <w:highlight w:val="none"/>
              </w:rPr>
              <w:t>小故障2小时内修复，大故障24小时内修复，质保服务方式均为中标人上门服务。非采购人的人为原因而出现产品质量及安装问题，由中标人负责包修、包换或包退。并承担上述情况产生的一切费用。质保期后如果采购人要求，中标人应长期负责有偿优惠维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6</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kern w:val="2"/>
                <w:sz w:val="21"/>
                <w:szCs w:val="21"/>
                <w:highlight w:val="none"/>
              </w:rPr>
              <w:t>服务地点</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采购人指定地点。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7</w:t>
            </w:r>
          </w:p>
        </w:tc>
        <w:tc>
          <w:tcPr>
            <w:tcW w:w="2049" w:type="dxa"/>
            <w:vAlign w:val="center"/>
          </w:tcPr>
          <w:p>
            <w:pPr>
              <w:spacing w:line="360" w:lineRule="auto"/>
              <w:jc w:val="center"/>
              <w:rPr>
                <w:rFonts w:hAnsi="宋体"/>
                <w:color w:val="auto"/>
                <w:kern w:val="2"/>
                <w:sz w:val="21"/>
                <w:szCs w:val="21"/>
                <w:highlight w:val="none"/>
              </w:rPr>
            </w:pPr>
            <w:r>
              <w:rPr>
                <w:rFonts w:hint="eastAsia" w:hAnsi="宋体"/>
                <w:color w:val="auto"/>
                <w:sz w:val="21"/>
                <w:szCs w:val="21"/>
                <w:highlight w:val="none"/>
              </w:rPr>
              <w:t>合同条款</w:t>
            </w:r>
          </w:p>
        </w:tc>
        <w:tc>
          <w:tcPr>
            <w:tcW w:w="6397" w:type="dxa"/>
            <w:vAlign w:val="center"/>
          </w:tcPr>
          <w:p>
            <w:pPr>
              <w:pStyle w:val="10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供应商实质响应合同各条款。</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98" w:type="dxa"/>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8</w:t>
            </w:r>
          </w:p>
        </w:tc>
        <w:tc>
          <w:tcPr>
            <w:tcW w:w="2049" w:type="dxa"/>
            <w:vAlign w:val="center"/>
          </w:tcPr>
          <w:p>
            <w:pPr>
              <w:spacing w:line="360" w:lineRule="auto"/>
              <w:jc w:val="center"/>
              <w:rPr>
                <w:rFonts w:hAnsi="宋体"/>
                <w:bCs/>
                <w:color w:val="auto"/>
                <w:sz w:val="21"/>
                <w:szCs w:val="21"/>
                <w:highlight w:val="none"/>
              </w:rPr>
            </w:pPr>
            <w:r>
              <w:rPr>
                <w:rFonts w:hint="eastAsia" w:hAnsi="宋体"/>
                <w:bCs/>
                <w:color w:val="auto"/>
                <w:sz w:val="21"/>
                <w:szCs w:val="21"/>
                <w:highlight w:val="none"/>
              </w:rPr>
              <w:t>其他服务要求</w:t>
            </w:r>
          </w:p>
        </w:tc>
        <w:tc>
          <w:tcPr>
            <w:tcW w:w="6397" w:type="dxa"/>
            <w:vAlign w:val="center"/>
          </w:tcPr>
          <w:p>
            <w:pPr>
              <w:pStyle w:val="144"/>
              <w:spacing w:line="360" w:lineRule="auto"/>
              <w:ind w:firstLine="0" w:firstLineChars="0"/>
              <w:rPr>
                <w:rFonts w:ascii="宋体" w:hAnsi="宋体"/>
                <w:color w:val="auto"/>
                <w:szCs w:val="21"/>
                <w:highlight w:val="none"/>
              </w:rPr>
            </w:pPr>
            <w:r>
              <w:rPr>
                <w:rFonts w:hint="eastAsia" w:ascii="宋体" w:hAnsi="宋体"/>
                <w:color w:val="auto"/>
                <w:szCs w:val="21"/>
                <w:highlight w:val="none"/>
              </w:rPr>
              <w:t>详见技术需求书。</w:t>
            </w:r>
          </w:p>
        </w:tc>
      </w:tr>
    </w:tbl>
    <w:p>
      <w:pPr>
        <w:pStyle w:val="8"/>
        <w:rPr>
          <w:rFonts w:ascii="宋体" w:hAnsi="宋体"/>
          <w:color w:val="auto"/>
          <w:sz w:val="21"/>
          <w:szCs w:val="21"/>
          <w:highlight w:val="none"/>
        </w:rPr>
      </w:pPr>
    </w:p>
    <w:p>
      <w:pPr>
        <w:pStyle w:val="5"/>
        <w:jc w:val="center"/>
        <w:rPr>
          <w:rFonts w:hAnsi="宋体"/>
          <w:b/>
          <w:color w:val="auto"/>
          <w:sz w:val="21"/>
          <w:szCs w:val="21"/>
          <w:highlight w:val="none"/>
        </w:rPr>
      </w:pPr>
      <w:r>
        <w:rPr>
          <w:rFonts w:hint="eastAsia" w:hAnsi="宋体"/>
          <w:b/>
          <w:color w:val="auto"/>
          <w:sz w:val="21"/>
          <w:szCs w:val="21"/>
          <w:highlight w:val="none"/>
        </w:rPr>
        <w:t>第二部分 技术需求书</w:t>
      </w:r>
      <w:bookmarkEnd w:id="163"/>
      <w:bookmarkEnd w:id="164"/>
    </w:p>
    <w:p>
      <w:pPr>
        <w:pStyle w:val="6"/>
        <w:spacing w:line="360" w:lineRule="auto"/>
        <w:rPr>
          <w:color w:val="auto"/>
          <w:sz w:val="21"/>
          <w:szCs w:val="21"/>
          <w:highlight w:val="none"/>
        </w:rPr>
      </w:pPr>
      <w:bookmarkStart w:id="168" w:name="_Toc30247"/>
      <w:bookmarkStart w:id="169" w:name="_Toc3032"/>
      <w:r>
        <w:rPr>
          <w:rFonts w:hint="eastAsia"/>
          <w:color w:val="auto"/>
          <w:sz w:val="21"/>
          <w:szCs w:val="21"/>
          <w:highlight w:val="none"/>
        </w:rPr>
        <w:t>一、项目概况</w:t>
      </w:r>
      <w:bookmarkEnd w:id="168"/>
      <w:bookmarkEnd w:id="169"/>
    </w:p>
    <w:p>
      <w:pPr>
        <w:spacing w:line="360" w:lineRule="auto"/>
        <w:ind w:firstLine="420" w:firstLineChars="200"/>
        <w:rPr>
          <w:rFonts w:hAnsi="宋体"/>
          <w:color w:val="auto"/>
          <w:sz w:val="21"/>
          <w:szCs w:val="21"/>
          <w:highlight w:val="none"/>
        </w:rPr>
      </w:pPr>
      <w:bookmarkStart w:id="170" w:name="_Toc30804"/>
      <w:r>
        <w:rPr>
          <w:rFonts w:hint="eastAsia" w:hAnsi="宋体"/>
          <w:color w:val="auto"/>
          <w:sz w:val="21"/>
          <w:szCs w:val="21"/>
          <w:highlight w:val="none"/>
        </w:rPr>
        <w:t>为提升松山湖国际创新创业社区H2、H3栋人才公寓、松寓的水电抄表效率，做好能耗管理，对上述区域进行智能水电表改造，将现场普通水表、电表进行拆除更换，安装具备远程抄表和能耗监测功能的智能水表、电表，实现用水、用电数据的采集及传输，可对用水用电数据进行抄读及能耗分析。</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采购范围包括：松山湖国际创新创业社区H2栋、H3栋人才公寓、松寓共1486户，室内、室外、楼栋公共区域的智能水电表（松寓仅完成电表部分）升级及远程抄表系统部署，具体详见采购方案及图纸。</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系统需实现以下功能：</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1.楼宇用电一级计量、电能质量监测：实现足够的用电大数据实时分析能力，满足节约型园区用电节能需求；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2.楼宇用水一级计量、实时监测：配置水表数据采集器、智能采集模块装置，实现因地制宜的有线、无线用水数据传输，实现足够的用水大数据实时分析能力，满足节约型园区用水节能需求；</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3.空气能热泵水电计量、实时监测管理：在空气能热泵配电箱安装远程集抄型（4G）三相预付费电表，在空气能热泵进水管安装远程集抄型（NB-IOT）智能远传水表，以实现空气能热泵的用电、用水计量管理；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4.系统开发、集成、对接：系统需实现集成展示、实时查询、管理；开放对接端口；</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5.水泵房监测：可实时监测水位位置、水流量、水瞬时流量、水压、水泵转送，水泵用电量情况、报警功能，实现与现有水泵房控制动力柜系统对接。</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6.平台集成、扩展：平台集成现有的其它能源管理系统，做到一键链接或一体化展示。并考虑充分余量，后续可能的数据及子系统接入，包括变电所自动化管理系统、楼宇分项计量系统、空调照明节能管理系统等以后的接入空间。</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7.能耗数据实时采集：系统实现与数据网关、采集器、智能采集模块的实时通讯，完成能耗数据的接收、处理和存储功能。实现对数据网关、采集器、无线采集模块的集中管理、配置、状态监控。展示实时监控数据、运行状态参数、实时计量数据、历史数据，设置计量表的参数；水电表计具有实时监控功能，通过表计监控界面，可以查阅当前耗能的情况，便于进行管理。可以随时查看实时监测数据与历史监测数据。</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8.能耗数据传输&amp;处理：现场表计所采集的能耗数据，有线形式通过标准 RS485 接口传输，并采用 TCP／IP 通信协议通过数据网关或高质量采集器自动并实时上传给本地后台数据库，远程抄表形式通过智能4G或 NB-IOT 模块传输，以保证数据得到有效的管理和支持高效率的查询服务，同时数据传输采取一定的编码规则，实现数据组织、存储及交换的一致性。系统能够很好的对水、电等计量数据实现准确采集，安全传输、汇总，并且显示页面具有较快的刷新频率，数据同步刷新时间不大于15分钟。</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9.定额管理：定额管理，为能耗管理提供参考数据和监管数据，平台可以提供定额管理模式，每个管理者都有独立的定额设计，在平台运行阶段，不断给出定额结算情况，并以图表等方式展示，便于决策、管理；可通过定额与实际用量对比图和预测差值曲线，直接掌握各楼宇、各阶段的用电情况，再结合住宿面积、人数等基础信息，实现分析单位面积、人数的用电情况，逐步调整用能指标。</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10.其它功能：设备运行状态发生错误报警，实时显示报警设备处理情况，处理时间和相关责任人信息；</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系统设置：设置系统数据库，账户数据，部门设置、管理员权限设置等参数，首次使用必须设置；信息查询：根据管理需求灵活的查询信息等； 平台对接：能提供预留接口及接口的连接数据以便业主将其与其他应用程序相连；</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平台维护：具备设备监控平台以及管理平台，并有能力根据要求添加、删除、修改功能。</w:t>
      </w:r>
    </w:p>
    <w:bookmarkEnd w:id="170"/>
    <w:p>
      <w:pPr>
        <w:pStyle w:val="6"/>
        <w:spacing w:line="360" w:lineRule="auto"/>
        <w:ind w:firstLine="422" w:firstLineChars="200"/>
        <w:jc w:val="both"/>
        <w:rPr>
          <w:b w:val="0"/>
          <w:bCs/>
          <w:color w:val="auto"/>
          <w:sz w:val="21"/>
          <w:szCs w:val="21"/>
          <w:highlight w:val="none"/>
        </w:rPr>
      </w:pPr>
      <w:r>
        <w:rPr>
          <w:rFonts w:hint="eastAsia"/>
          <w:bCs/>
          <w:color w:val="auto"/>
          <w:sz w:val="21"/>
          <w:szCs w:val="21"/>
          <w:highlight w:val="none"/>
        </w:rPr>
        <w:t>二、技术要求和标准：</w:t>
      </w:r>
    </w:p>
    <w:p>
      <w:pPr>
        <w:pStyle w:val="144"/>
        <w:spacing w:line="360" w:lineRule="auto"/>
        <w:ind w:left="480" w:leftChars="200" w:firstLine="0" w:firstLineChars="0"/>
        <w:rPr>
          <w:rFonts w:ascii="宋体" w:hAnsi="宋体"/>
          <w:color w:val="auto"/>
          <w:szCs w:val="21"/>
          <w:highlight w:val="none"/>
        </w:rPr>
      </w:pPr>
      <w:r>
        <w:rPr>
          <w:rFonts w:hint="eastAsia" w:ascii="宋体" w:hAnsi="宋体"/>
          <w:color w:val="auto"/>
          <w:szCs w:val="21"/>
          <w:highlight w:val="none"/>
        </w:rPr>
        <w:t>1、智能电表技术要求</w:t>
      </w:r>
    </w:p>
    <w:tbl>
      <w:tblPr>
        <w:tblStyle w:val="51"/>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665"/>
        <w:gridCol w:w="602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1665"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项目</w:t>
            </w:r>
          </w:p>
        </w:tc>
        <w:tc>
          <w:tcPr>
            <w:tcW w:w="6025"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要求值</w:t>
            </w:r>
          </w:p>
        </w:tc>
        <w:tc>
          <w:tcPr>
            <w:tcW w:w="1220"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665" w:type="dxa"/>
            <w:vAlign w:val="center"/>
          </w:tcPr>
          <w:p>
            <w:pPr>
              <w:jc w:val="center"/>
              <w:rPr>
                <w:rFonts w:hAnsi="宋体"/>
                <w:bCs/>
                <w:color w:val="auto"/>
                <w:sz w:val="21"/>
                <w:szCs w:val="21"/>
                <w:highlight w:val="none"/>
              </w:rPr>
            </w:pPr>
            <w:r>
              <w:rPr>
                <w:rFonts w:hint="eastAsia" w:hAnsi="宋体"/>
                <w:bCs/>
                <w:color w:val="auto"/>
                <w:sz w:val="21"/>
                <w:szCs w:val="21"/>
                <w:highlight w:val="none"/>
              </w:rPr>
              <w:t>引用标准</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符合国家电网Q/GDW1364-2013《单相智能电能表技术规范》；GB/T 17215.211-2021 交流电测量设备 通用要求、试验和试验条件；符合中华人民共和国电力行业标准DL/T 698-1999《低压电力用户集中抄表系统技术条件》；</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计量原理</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采用在线式传输，实现可靠的数据通信； 电表充值必须逻辑加密，每一次充值的下发报文根据购电次数计算，确保充值报文即便被截取也不能重复充值。</w:t>
            </w:r>
          </w:p>
        </w:tc>
        <w:tc>
          <w:tcPr>
            <w:tcW w:w="1220"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基本要求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额定电流</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单相(5/60A)；三相(3×1.5/6A、3×5/60A、3×20/80A）</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额定电压</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单相220V，三相四线：3×220/380V；</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准确度等级</w:t>
            </w:r>
          </w:p>
        </w:tc>
        <w:tc>
          <w:tcPr>
            <w:tcW w:w="6025" w:type="dxa"/>
            <w:vAlign w:val="center"/>
          </w:tcPr>
          <w:p>
            <w:pPr>
              <w:jc w:val="center"/>
              <w:rPr>
                <w:rFonts w:hAnsi="宋体"/>
                <w:b/>
                <w:color w:val="auto"/>
                <w:sz w:val="21"/>
                <w:szCs w:val="21"/>
                <w:highlight w:val="none"/>
              </w:rPr>
            </w:pPr>
            <w:r>
              <w:rPr>
                <w:rFonts w:hint="eastAsia" w:hAnsi="宋体"/>
                <w:bCs/>
                <w:color w:val="auto"/>
                <w:sz w:val="21"/>
                <w:szCs w:val="21"/>
                <w:highlight w:val="none"/>
              </w:rPr>
              <w:t>单相有功 1级、三相有功0.5S、无功2.0级</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3.4</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环境条件</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参比温度：23℃；工作温度范围：-10℃～60℃；参比湿度：40%～90%；年平均湿度：≤85%</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功能要求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安全要求</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电表的计量数据不允许进行修改，以保证数据的准确性</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4.2</w:t>
            </w:r>
          </w:p>
        </w:tc>
        <w:tc>
          <w:tcPr>
            <w:tcW w:w="1665" w:type="dxa"/>
            <w:vAlign w:val="center"/>
          </w:tcPr>
          <w:p>
            <w:pPr>
              <w:ind w:firstLine="210" w:firstLineChars="100"/>
              <w:rPr>
                <w:rFonts w:hAnsi="宋体"/>
                <w:color w:val="auto"/>
                <w:sz w:val="21"/>
                <w:szCs w:val="21"/>
                <w:highlight w:val="none"/>
              </w:rPr>
            </w:pPr>
            <w:r>
              <w:rPr>
                <w:rFonts w:hint="eastAsia" w:hAnsi="宋体"/>
                <w:color w:val="auto"/>
                <w:sz w:val="21"/>
                <w:szCs w:val="21"/>
                <w:highlight w:val="none"/>
              </w:rPr>
              <w:t>计量功能</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1)具有正、反向有功电能量、四象限无功电能量计量功能，并可据此设置组合有功和组合无功电能量。</w:t>
            </w:r>
          </w:p>
          <w:p>
            <w:pPr>
              <w:rPr>
                <w:rFonts w:hAnsi="宋体"/>
                <w:color w:val="auto"/>
                <w:sz w:val="21"/>
                <w:szCs w:val="21"/>
                <w:highlight w:val="none"/>
              </w:rPr>
            </w:pPr>
            <w:r>
              <w:rPr>
                <w:rFonts w:hint="eastAsia" w:hAnsi="宋体"/>
                <w:color w:val="auto"/>
                <w:sz w:val="21"/>
                <w:szCs w:val="21"/>
                <w:highlight w:val="none"/>
              </w:rPr>
              <w:t>2)分时计量功能：支持尖、峰、平、谷四个费率；内置两套时区表、两套日时段表，可以按需编程配置，并可设定两套时区表切换时间和两套日时段表切换时间，实现相互切换；</w:t>
            </w:r>
          </w:p>
          <w:p>
            <w:pPr>
              <w:rPr>
                <w:rFonts w:hAnsi="宋体"/>
                <w:color w:val="auto"/>
                <w:sz w:val="21"/>
                <w:szCs w:val="21"/>
                <w:highlight w:val="none"/>
              </w:rPr>
            </w:pPr>
            <w:r>
              <w:rPr>
                <w:rFonts w:hint="eastAsia" w:hAnsi="宋体"/>
                <w:color w:val="auto"/>
                <w:sz w:val="21"/>
                <w:szCs w:val="21"/>
                <w:highlight w:val="none"/>
              </w:rPr>
              <w:t>3)需量测量：最大需量测量记录正反向总有功、无功需量及需量发生时间。</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系统显示功能</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显示界面直观、友好，数据意义清晰、明了，便于查询。</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4.4</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电表显示屏</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电表液晶屏上必须显示剩余电量、有功总电能、电流、电压、当前总功率。</w:t>
            </w:r>
          </w:p>
        </w:tc>
        <w:tc>
          <w:tcPr>
            <w:tcW w:w="1220"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4.5</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通讯功能</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1)电表采用RS485通讯方式，可以通过485通讯抄回表内数据，通讯规约遵循DL/T 645—2007或MODBUS通讯协议；RS485</w:t>
            </w:r>
            <w:r>
              <w:rPr>
                <w:rFonts w:hint="eastAsia" w:hAnsi="宋体"/>
                <w:color w:val="auto"/>
                <w:sz w:val="21"/>
                <w:szCs w:val="21"/>
                <w:highlight w:val="none"/>
                <w:lang w:val="zh-CN"/>
              </w:rPr>
              <w:t>接口通信速率可设置</w:t>
            </w:r>
            <w:r>
              <w:rPr>
                <w:rFonts w:hint="eastAsia" w:hAnsi="宋体"/>
                <w:color w:val="auto"/>
                <w:sz w:val="21"/>
                <w:szCs w:val="21"/>
                <w:highlight w:val="none"/>
              </w:rPr>
              <w:t>，</w:t>
            </w:r>
            <w:r>
              <w:rPr>
                <w:rFonts w:hint="eastAsia" w:hAnsi="宋体"/>
                <w:color w:val="auto"/>
                <w:sz w:val="21"/>
                <w:szCs w:val="21"/>
                <w:highlight w:val="none"/>
                <w:lang w:val="zh-CN"/>
              </w:rPr>
              <w:t>标准速率为</w:t>
            </w:r>
            <w:r>
              <w:rPr>
                <w:rFonts w:hint="eastAsia" w:hAnsi="宋体"/>
                <w:color w:val="auto"/>
                <w:sz w:val="21"/>
                <w:szCs w:val="21"/>
                <w:highlight w:val="none"/>
              </w:rPr>
              <w:t>1200bps</w:t>
            </w:r>
            <w:r>
              <w:rPr>
                <w:rFonts w:hint="eastAsia" w:hAnsi="宋体"/>
                <w:color w:val="auto"/>
                <w:sz w:val="21"/>
                <w:szCs w:val="21"/>
                <w:highlight w:val="none"/>
                <w:lang w:val="zh-CN"/>
              </w:rPr>
              <w:t>、</w:t>
            </w:r>
            <w:r>
              <w:rPr>
                <w:rFonts w:hint="eastAsia" w:hAnsi="宋体"/>
                <w:color w:val="auto"/>
                <w:sz w:val="21"/>
                <w:szCs w:val="21"/>
                <w:highlight w:val="none"/>
              </w:rPr>
              <w:t xml:space="preserve">2400bps </w:t>
            </w:r>
            <w:r>
              <w:rPr>
                <w:rFonts w:hint="eastAsia" w:hAnsi="宋体"/>
                <w:color w:val="auto"/>
                <w:sz w:val="21"/>
                <w:szCs w:val="21"/>
                <w:highlight w:val="none"/>
                <w:lang w:val="zh-CN"/>
              </w:rPr>
              <w:t>、</w:t>
            </w:r>
            <w:r>
              <w:rPr>
                <w:rFonts w:hint="eastAsia" w:hAnsi="宋体"/>
                <w:color w:val="auto"/>
                <w:sz w:val="21"/>
                <w:szCs w:val="21"/>
                <w:highlight w:val="none"/>
              </w:rPr>
              <w:t xml:space="preserve">4800bps </w:t>
            </w:r>
            <w:r>
              <w:rPr>
                <w:rFonts w:hint="eastAsia" w:hAnsi="宋体"/>
                <w:color w:val="auto"/>
                <w:sz w:val="21"/>
                <w:szCs w:val="21"/>
                <w:highlight w:val="none"/>
                <w:lang w:val="zh-CN"/>
              </w:rPr>
              <w:t>、</w:t>
            </w:r>
            <w:r>
              <w:rPr>
                <w:rFonts w:hint="eastAsia" w:hAnsi="宋体"/>
                <w:color w:val="auto"/>
                <w:sz w:val="21"/>
                <w:szCs w:val="21"/>
                <w:highlight w:val="none"/>
              </w:rPr>
              <w:t>9600bps</w:t>
            </w:r>
            <w:r>
              <w:rPr>
                <w:rFonts w:hint="eastAsia" w:hAnsi="宋体"/>
                <w:color w:val="auto"/>
                <w:sz w:val="21"/>
                <w:szCs w:val="21"/>
                <w:highlight w:val="none"/>
                <w:lang w:val="zh-CN"/>
              </w:rPr>
              <w:t>；</w:t>
            </w:r>
            <w:r>
              <w:rPr>
                <w:rFonts w:hint="eastAsia" w:hAnsi="宋体"/>
                <w:color w:val="auto"/>
                <w:sz w:val="21"/>
                <w:szCs w:val="21"/>
                <w:highlight w:val="none"/>
              </w:rPr>
              <w:t>2)电表内置无线通信模块，支持4G无线通信；支持网关采集功能3)支持蓝牙通讯。</w:t>
            </w:r>
          </w:p>
        </w:tc>
        <w:tc>
          <w:tcPr>
            <w:tcW w:w="1220"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4.6</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常数</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电能表的常数必须保证1％Ib或1％In，COSφ＝1时，每个脉冲间隔＜1.5分钟。</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4.7</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误差要求</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电能表在出厂时，各点的误差应控制在误差限制的60％内。</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4.8</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能耗监测功能</w:t>
            </w:r>
          </w:p>
        </w:tc>
        <w:tc>
          <w:tcPr>
            <w:tcW w:w="6025" w:type="dxa"/>
            <w:vAlign w:val="center"/>
          </w:tcPr>
          <w:p>
            <w:pPr>
              <w:numPr>
                <w:ilvl w:val="0"/>
                <w:numId w:val="14"/>
              </w:numPr>
              <w:rPr>
                <w:rFonts w:hAnsi="宋体"/>
                <w:color w:val="auto"/>
                <w:sz w:val="21"/>
                <w:szCs w:val="21"/>
                <w:highlight w:val="none"/>
              </w:rPr>
            </w:pPr>
            <w:r>
              <w:rPr>
                <w:rFonts w:hint="eastAsia" w:hAnsi="宋体"/>
                <w:color w:val="auto"/>
                <w:sz w:val="21"/>
                <w:szCs w:val="21"/>
                <w:highlight w:val="none"/>
              </w:rPr>
              <w:t>能测量电压、电流、功率以及功率因数等电网参数；具有正反向有功、四象限无功最大需量测量功能。</w:t>
            </w:r>
          </w:p>
          <w:p>
            <w:pPr>
              <w:rPr>
                <w:rFonts w:hAnsi="宋体"/>
                <w:color w:val="auto"/>
                <w:sz w:val="21"/>
                <w:szCs w:val="21"/>
                <w:highlight w:val="none"/>
              </w:rPr>
            </w:pPr>
            <w:r>
              <w:rPr>
                <w:rFonts w:hint="eastAsia" w:hAnsi="宋体"/>
                <w:color w:val="auto"/>
                <w:sz w:val="21"/>
                <w:szCs w:val="21"/>
                <w:highlight w:val="none"/>
              </w:rPr>
              <w:t>2.数据存储功能：支持多种冻结方式，包括：日冻结、整点冻结、定时冻结、瞬时冻结、约定冻结。</w:t>
            </w:r>
          </w:p>
          <w:p>
            <w:pPr>
              <w:rPr>
                <w:rFonts w:hAnsi="宋体"/>
                <w:color w:val="auto"/>
                <w:sz w:val="21"/>
                <w:szCs w:val="21"/>
                <w:highlight w:val="none"/>
              </w:rPr>
            </w:pPr>
            <w:r>
              <w:rPr>
                <w:rFonts w:hint="eastAsia" w:hAnsi="宋体"/>
                <w:color w:val="auto"/>
                <w:sz w:val="21"/>
                <w:szCs w:val="21"/>
                <w:highlight w:val="none"/>
              </w:rPr>
              <w:t>3.负荷记录功能：可记录电压、电流、频率；有、无功功率；功率因数；有、无功总电能等4类数据。</w:t>
            </w:r>
          </w:p>
        </w:tc>
        <w:tc>
          <w:tcPr>
            <w:tcW w:w="1220"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4.9</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事件记录</w:t>
            </w:r>
          </w:p>
        </w:tc>
        <w:tc>
          <w:tcPr>
            <w:tcW w:w="6025" w:type="dxa"/>
            <w:vAlign w:val="center"/>
          </w:tcPr>
          <w:p>
            <w:pPr>
              <w:numPr>
                <w:ilvl w:val="0"/>
                <w:numId w:val="15"/>
              </w:numPr>
              <w:rPr>
                <w:rFonts w:hAnsi="宋体"/>
                <w:color w:val="auto"/>
                <w:sz w:val="21"/>
                <w:szCs w:val="21"/>
                <w:highlight w:val="none"/>
              </w:rPr>
            </w:pPr>
            <w:r>
              <w:rPr>
                <w:rFonts w:hint="eastAsia" w:hAnsi="宋体"/>
                <w:color w:val="auto"/>
                <w:sz w:val="21"/>
                <w:szCs w:val="21"/>
                <w:highlight w:val="none"/>
              </w:rPr>
              <w:t>永久记录电能表清零事件的发生时刻及清零时的电能量数据。</w:t>
            </w:r>
          </w:p>
          <w:p>
            <w:pPr>
              <w:numPr>
                <w:ilvl w:val="0"/>
                <w:numId w:val="15"/>
              </w:numPr>
              <w:rPr>
                <w:rFonts w:hAnsi="宋体"/>
                <w:color w:val="auto"/>
                <w:sz w:val="21"/>
                <w:szCs w:val="21"/>
                <w:highlight w:val="none"/>
              </w:rPr>
            </w:pPr>
            <w:r>
              <w:rPr>
                <w:rFonts w:hint="eastAsia" w:hAnsi="宋体"/>
                <w:color w:val="auto"/>
                <w:sz w:val="21"/>
                <w:szCs w:val="21"/>
                <w:highlight w:val="none"/>
              </w:rPr>
              <w:t>记录编程总次数，最近10次编程的时刻、操作者代码、编程项的数据标识。</w:t>
            </w:r>
          </w:p>
          <w:p>
            <w:pPr>
              <w:numPr>
                <w:ilvl w:val="0"/>
                <w:numId w:val="15"/>
              </w:numPr>
              <w:rPr>
                <w:rFonts w:hAnsi="宋体"/>
                <w:color w:val="auto"/>
                <w:sz w:val="21"/>
                <w:szCs w:val="21"/>
                <w:highlight w:val="none"/>
              </w:rPr>
            </w:pPr>
            <w:r>
              <w:rPr>
                <w:rFonts w:hint="eastAsia" w:hAnsi="宋体"/>
                <w:color w:val="auto"/>
                <w:sz w:val="21"/>
                <w:szCs w:val="21"/>
                <w:highlight w:val="none"/>
              </w:rPr>
              <w:t>记录跳闸总次数，最近10次跳闸发生的时间、原因和跳闸时的电压（功率因数）、功率。</w:t>
            </w:r>
          </w:p>
          <w:p>
            <w:pPr>
              <w:numPr>
                <w:ilvl w:val="0"/>
                <w:numId w:val="15"/>
              </w:numPr>
              <w:rPr>
                <w:rFonts w:hAnsi="宋体"/>
                <w:color w:val="auto"/>
                <w:sz w:val="21"/>
                <w:szCs w:val="21"/>
                <w:highlight w:val="none"/>
              </w:rPr>
            </w:pPr>
            <w:r>
              <w:rPr>
                <w:rFonts w:hint="eastAsia" w:hAnsi="宋体"/>
                <w:color w:val="auto"/>
                <w:sz w:val="21"/>
                <w:szCs w:val="21"/>
                <w:highlight w:val="none"/>
              </w:rPr>
              <w:t>记录校时总次数（不包含广播校时），最近10次校时的时刻、操作者代码。</w:t>
            </w:r>
          </w:p>
          <w:p>
            <w:pPr>
              <w:numPr>
                <w:ilvl w:val="0"/>
                <w:numId w:val="15"/>
              </w:numPr>
              <w:rPr>
                <w:rFonts w:hAnsi="宋体"/>
                <w:color w:val="auto"/>
                <w:sz w:val="21"/>
                <w:szCs w:val="21"/>
                <w:highlight w:val="none"/>
              </w:rPr>
            </w:pPr>
            <w:r>
              <w:rPr>
                <w:rFonts w:hint="eastAsia" w:hAnsi="宋体"/>
                <w:color w:val="auto"/>
                <w:sz w:val="21"/>
                <w:szCs w:val="21"/>
                <w:highlight w:val="none"/>
              </w:rPr>
              <w:t>记录报警总次数，最近10次报警发生的时间、原因和报警时的电压（功率因数）、功率。</w:t>
            </w:r>
          </w:p>
          <w:p>
            <w:pPr>
              <w:numPr>
                <w:ilvl w:val="0"/>
                <w:numId w:val="15"/>
              </w:numPr>
              <w:rPr>
                <w:rFonts w:hAnsi="宋体"/>
                <w:color w:val="auto"/>
                <w:sz w:val="21"/>
                <w:szCs w:val="21"/>
                <w:highlight w:val="none"/>
              </w:rPr>
            </w:pPr>
            <w:r>
              <w:rPr>
                <w:rFonts w:hint="eastAsia" w:hAnsi="宋体"/>
                <w:color w:val="auto"/>
                <w:sz w:val="21"/>
                <w:szCs w:val="21"/>
                <w:highlight w:val="none"/>
              </w:rPr>
              <w:t>可记录过压、过流、过温总次数，以及最近10次过压、过流，过温发生及结束的时刻。</w:t>
            </w:r>
          </w:p>
        </w:tc>
        <w:tc>
          <w:tcPr>
            <w:tcW w:w="1220"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4.10</w:t>
            </w:r>
          </w:p>
        </w:tc>
        <w:tc>
          <w:tcPr>
            <w:tcW w:w="1665" w:type="dxa"/>
            <w:vAlign w:val="center"/>
          </w:tcPr>
          <w:p>
            <w:pPr>
              <w:ind w:firstLine="210" w:firstLineChars="100"/>
              <w:rPr>
                <w:rFonts w:hAnsi="宋体"/>
                <w:color w:val="auto"/>
                <w:sz w:val="21"/>
                <w:szCs w:val="21"/>
                <w:highlight w:val="none"/>
              </w:rPr>
            </w:pPr>
            <w:r>
              <w:rPr>
                <w:rFonts w:hint="eastAsia" w:hAnsi="宋体"/>
                <w:color w:val="auto"/>
                <w:sz w:val="21"/>
                <w:szCs w:val="21"/>
                <w:highlight w:val="none"/>
              </w:rPr>
              <w:t>保护功能</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1）过压保护：当电表电压大于等于设定的阀值时，自动跳闸，保护用电设备；当电压恢复正常时，解除跳闸。</w:t>
            </w:r>
          </w:p>
          <w:p>
            <w:pPr>
              <w:rPr>
                <w:rFonts w:hAnsi="宋体"/>
                <w:color w:val="auto"/>
                <w:sz w:val="21"/>
                <w:szCs w:val="21"/>
                <w:highlight w:val="none"/>
              </w:rPr>
            </w:pPr>
            <w:r>
              <w:rPr>
                <w:rFonts w:hint="eastAsia" w:hAnsi="宋体"/>
                <w:color w:val="auto"/>
                <w:sz w:val="21"/>
                <w:szCs w:val="21"/>
                <w:highlight w:val="none"/>
              </w:rPr>
              <w:t>2）过流保护：负载功率超过设定阀值跳闸。</w:t>
            </w:r>
          </w:p>
          <w:p>
            <w:pPr>
              <w:rPr>
                <w:rFonts w:hAnsi="宋体"/>
                <w:color w:val="auto"/>
                <w:sz w:val="21"/>
                <w:szCs w:val="21"/>
                <w:highlight w:val="none"/>
              </w:rPr>
            </w:pPr>
            <w:r>
              <w:rPr>
                <w:rFonts w:hint="eastAsia" w:hAnsi="宋体"/>
                <w:color w:val="auto"/>
                <w:sz w:val="21"/>
                <w:szCs w:val="21"/>
                <w:highlight w:val="none"/>
              </w:rPr>
              <w:t>3）过温保护：电表可监测内部工作温度，当监测温度大于温度设定值时跳闸，当温度回复正常时，解除跳闸。</w:t>
            </w:r>
          </w:p>
        </w:tc>
        <w:tc>
          <w:tcPr>
            <w:tcW w:w="1220"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元器件和结构要求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主要元器件</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选用知名品牌，特别是对于重要元器件，</w:t>
            </w:r>
          </w:p>
          <w:p>
            <w:pPr>
              <w:rPr>
                <w:rFonts w:hAnsi="宋体"/>
                <w:color w:val="auto"/>
                <w:sz w:val="21"/>
                <w:szCs w:val="21"/>
                <w:highlight w:val="none"/>
              </w:rPr>
            </w:pPr>
            <w:r>
              <w:rPr>
                <w:rFonts w:hint="eastAsia" w:hAnsi="宋体"/>
                <w:color w:val="auto"/>
                <w:sz w:val="21"/>
                <w:szCs w:val="21"/>
                <w:highlight w:val="none"/>
              </w:rPr>
              <w:t>如：MCU、变压器、计量芯片、电容等。</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铭牌</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铭牌，相当于记录电表身份的一个信息牌。</w:t>
            </w:r>
          </w:p>
          <w:p>
            <w:pPr>
              <w:rPr>
                <w:rFonts w:hAnsi="宋体"/>
                <w:color w:val="auto"/>
                <w:sz w:val="21"/>
                <w:szCs w:val="21"/>
                <w:highlight w:val="none"/>
              </w:rPr>
            </w:pPr>
            <w:r>
              <w:rPr>
                <w:rFonts w:hint="eastAsia" w:hAnsi="宋体"/>
                <w:color w:val="auto"/>
                <w:sz w:val="21"/>
                <w:szCs w:val="21"/>
                <w:highlight w:val="none"/>
              </w:rPr>
              <w:t>符合相关的国家规范。</w:t>
            </w:r>
          </w:p>
        </w:tc>
        <w:tc>
          <w:tcPr>
            <w:tcW w:w="1220"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表壳</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应具有阻燃、密封、防尘、防潮、防水性能，并有一定的强度，由能抗变形。腐蚀、老化的阻燃材料制成。电能表端钮盒盖内侧应标出接线图。</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5.4</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表底电量</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电能表出厂时，各电量值表底数应置为"0"kW/h（kVarh）。</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5.5</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铅封</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为防止电表被拆开，应有可靠的双铅封位置。封印应选用具有厂家明显标志的防伪（维一数字）铅封。</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5.6</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接线端子</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电能表接线螺丝、接线桩均采用优质不锈钢镀镍端子，具有防锈蚀、可靠的机械强度，接线盒内外螺丝均“+”、“－”字通用。</w:t>
            </w:r>
            <w:r>
              <w:rPr>
                <w:rFonts w:hint="eastAsia" w:hAnsi="宋体"/>
                <w:bCs/>
                <w:color w:val="auto"/>
                <w:sz w:val="21"/>
                <w:szCs w:val="21"/>
                <w:highlight w:val="none"/>
              </w:rPr>
              <w:t>并采用正下端接线。</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6</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其他要求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6.1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功耗</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每相电压回路≤2W和4VA；每相电流回路≤2.0VA。</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6.2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电压范围</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任意一相输入电压≥0.75Un时，电能表应能正常工作；当输入电压≤1.3Un时，电能表应能长期工作。输入电压为0.8～1.2Un时误差应满足的要求。</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6.3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过压能力</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电能表应能承受1.9Un历时4小时不损坏</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7</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安装方式</w:t>
            </w:r>
          </w:p>
        </w:tc>
        <w:tc>
          <w:tcPr>
            <w:tcW w:w="6025" w:type="dxa"/>
            <w:vAlign w:val="center"/>
          </w:tcPr>
          <w:p>
            <w:pPr>
              <w:pStyle w:val="131"/>
              <w:widowControl/>
              <w:ind w:left="480" w:leftChars="200" w:firstLine="840" w:firstLineChars="400"/>
              <w:rPr>
                <w:rFonts w:ascii="宋体" w:hAnsi="宋体" w:cs="宋体"/>
                <w:color w:val="auto"/>
                <w:sz w:val="21"/>
                <w:szCs w:val="21"/>
                <w:highlight w:val="none"/>
              </w:rPr>
            </w:pPr>
            <w:r>
              <w:rPr>
                <w:rFonts w:hint="eastAsia" w:ascii="宋体" w:hAnsi="宋体" w:cs="宋体"/>
                <w:color w:val="auto"/>
                <w:sz w:val="21"/>
                <w:szCs w:val="21"/>
                <w:highlight w:val="none"/>
              </w:rPr>
              <w:t>根据现场情况可选壁挂式或导轨式</w:t>
            </w:r>
          </w:p>
        </w:tc>
        <w:tc>
          <w:tcPr>
            <w:tcW w:w="1220"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8</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质保期</w:t>
            </w:r>
          </w:p>
        </w:tc>
        <w:tc>
          <w:tcPr>
            <w:tcW w:w="6025" w:type="dxa"/>
            <w:vAlign w:val="center"/>
          </w:tcPr>
          <w:p>
            <w:pPr>
              <w:pStyle w:val="131"/>
              <w:widowControl/>
              <w:ind w:left="480" w:leftChars="200" w:firstLine="1680" w:firstLineChars="800"/>
              <w:rPr>
                <w:rFonts w:ascii="宋体" w:hAnsi="宋体" w:cs="宋体"/>
                <w:color w:val="auto"/>
                <w:sz w:val="21"/>
                <w:szCs w:val="21"/>
                <w:highlight w:val="none"/>
              </w:rPr>
            </w:pPr>
            <w:r>
              <w:rPr>
                <w:rFonts w:hint="eastAsia" w:ascii="宋体" w:hAnsi="宋体" w:cs="宋体"/>
                <w:color w:val="auto"/>
                <w:sz w:val="21"/>
                <w:szCs w:val="21"/>
                <w:highlight w:val="none"/>
              </w:rPr>
              <w:t>不低于5年</w:t>
            </w:r>
          </w:p>
        </w:tc>
        <w:tc>
          <w:tcPr>
            <w:tcW w:w="1220" w:type="dxa"/>
            <w:vAlign w:val="center"/>
          </w:tcPr>
          <w:p>
            <w:pPr>
              <w:jc w:val="center"/>
              <w:rPr>
                <w:rFonts w:hAnsi="宋体"/>
                <w:color w:val="auto"/>
                <w:sz w:val="21"/>
                <w:szCs w:val="21"/>
                <w:highlight w:val="none"/>
              </w:rPr>
            </w:pPr>
          </w:p>
        </w:tc>
      </w:tr>
    </w:tbl>
    <w:p>
      <w:pPr>
        <w:spacing w:line="360" w:lineRule="auto"/>
        <w:ind w:firstLine="420" w:firstLineChars="200"/>
        <w:rPr>
          <w:rFonts w:hAnsi="宋体"/>
          <w:color w:val="auto"/>
          <w:sz w:val="21"/>
          <w:szCs w:val="21"/>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2、智能有线水表技术要求</w:t>
      </w:r>
    </w:p>
    <w:tbl>
      <w:tblPr>
        <w:tblStyle w:val="51"/>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665"/>
        <w:gridCol w:w="601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7" w:type="dxa"/>
            <w:vAlign w:val="center"/>
          </w:tcPr>
          <w:p>
            <w:pPr>
              <w:jc w:val="center"/>
              <w:rPr>
                <w:rFonts w:hAnsi="宋体"/>
                <w:b/>
                <w:bCs/>
                <w:color w:val="auto"/>
                <w:sz w:val="21"/>
                <w:szCs w:val="21"/>
                <w:highlight w:val="none"/>
              </w:rPr>
            </w:pPr>
            <w:bookmarkStart w:id="171" w:name="_Hlk122179799"/>
            <w:r>
              <w:rPr>
                <w:rFonts w:hint="eastAsia" w:hAnsi="宋体"/>
                <w:b/>
                <w:bCs/>
                <w:color w:val="auto"/>
                <w:sz w:val="21"/>
                <w:szCs w:val="21"/>
                <w:highlight w:val="none"/>
              </w:rPr>
              <w:t>序号</w:t>
            </w:r>
          </w:p>
        </w:tc>
        <w:tc>
          <w:tcPr>
            <w:tcW w:w="1665"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项目</w:t>
            </w:r>
          </w:p>
        </w:tc>
        <w:tc>
          <w:tcPr>
            <w:tcW w:w="601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要求值</w:t>
            </w:r>
          </w:p>
        </w:tc>
        <w:tc>
          <w:tcPr>
            <w:tcW w:w="123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引用标准</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符合GB/T 778-2007《封闭满管道中水流量的测量饮用冷水水表和热水水表》国家标准；符合CJ/T 224-2012《电子远传水表》建设部标准；通讯协议为CJ/T188-2004《户用计量仪表数据传输技术条件》或DL/T645-1997《多功能电能表通讯协议》；</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计量原理</w:t>
            </w:r>
          </w:p>
        </w:tc>
        <w:tc>
          <w:tcPr>
            <w:tcW w:w="6011" w:type="dxa"/>
            <w:vAlign w:val="center"/>
          </w:tcPr>
          <w:p>
            <w:pPr>
              <w:spacing w:line="360" w:lineRule="exact"/>
              <w:jc w:val="center"/>
              <w:rPr>
                <w:rFonts w:hAnsi="宋体"/>
                <w:color w:val="auto"/>
                <w:sz w:val="21"/>
                <w:szCs w:val="21"/>
                <w:highlight w:val="none"/>
              </w:rPr>
            </w:pPr>
            <w:r>
              <w:rPr>
                <w:rFonts w:hint="eastAsia" w:hAnsi="宋体"/>
                <w:color w:val="auto"/>
                <w:sz w:val="21"/>
                <w:szCs w:val="21"/>
                <w:highlight w:val="none"/>
              </w:rPr>
              <w:t>水表内置 CPU、存贮芯片和M-BUS 光电通讯模块。由光电管直接读取表计的计数器码盘示数，采用对射式方式,直接读取字轮数据，即“表记窗口值”，不存在累计脉冲与换算数值的二次换算，没有累计误差；采用低功耗设计，只有读数时才需供电；采用先进的数据编码及校验方式，通讯可靠性高。</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基本要求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公称口径</w:t>
            </w:r>
          </w:p>
        </w:tc>
        <w:tc>
          <w:tcPr>
            <w:tcW w:w="6011" w:type="dxa"/>
            <w:vAlign w:val="center"/>
          </w:tcPr>
          <w:p>
            <w:pPr>
              <w:ind w:firstLine="2310" w:firstLineChars="1100"/>
              <w:rPr>
                <w:rFonts w:hAnsi="宋体"/>
                <w:color w:val="auto"/>
                <w:sz w:val="21"/>
                <w:szCs w:val="21"/>
                <w:highlight w:val="none"/>
              </w:rPr>
            </w:pPr>
            <w:r>
              <w:rPr>
                <w:rFonts w:hint="eastAsia" w:hAnsi="宋体"/>
                <w:color w:val="auto"/>
                <w:sz w:val="21"/>
                <w:szCs w:val="21"/>
                <w:highlight w:val="none"/>
              </w:rPr>
              <w:t>DN15~DN50</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环境参数</w:t>
            </w:r>
          </w:p>
        </w:tc>
        <w:tc>
          <w:tcPr>
            <w:tcW w:w="6011" w:type="dxa"/>
            <w:vAlign w:val="center"/>
          </w:tcPr>
          <w:p>
            <w:pPr>
              <w:spacing w:line="120" w:lineRule="auto"/>
              <w:rPr>
                <w:rFonts w:hAnsi="宋体"/>
                <w:color w:val="auto"/>
                <w:sz w:val="21"/>
                <w:szCs w:val="21"/>
                <w:highlight w:val="none"/>
              </w:rPr>
            </w:pPr>
            <w:r>
              <w:rPr>
                <w:rFonts w:hint="eastAsia" w:hAnsi="宋体"/>
                <w:color w:val="auto"/>
                <w:sz w:val="21"/>
                <w:szCs w:val="21"/>
                <w:highlight w:val="none"/>
              </w:rPr>
              <w:t>温度等级：T30/T90</w:t>
            </w:r>
          </w:p>
          <w:p>
            <w:pPr>
              <w:spacing w:line="120" w:lineRule="auto"/>
              <w:rPr>
                <w:rFonts w:hAnsi="宋体"/>
                <w:color w:val="auto"/>
                <w:sz w:val="21"/>
                <w:szCs w:val="21"/>
                <w:highlight w:val="none"/>
              </w:rPr>
            </w:pPr>
            <w:r>
              <w:rPr>
                <w:rFonts w:hint="eastAsia" w:hAnsi="宋体"/>
                <w:color w:val="auto"/>
                <w:sz w:val="21"/>
                <w:szCs w:val="21"/>
                <w:highlight w:val="none"/>
              </w:rPr>
              <w:t>压力等级：MAP10(1.0MPa)</w:t>
            </w:r>
          </w:p>
          <w:p>
            <w:pPr>
              <w:spacing w:line="120" w:lineRule="auto"/>
              <w:rPr>
                <w:rFonts w:hAnsi="宋体"/>
                <w:color w:val="auto"/>
                <w:sz w:val="21"/>
                <w:szCs w:val="21"/>
                <w:highlight w:val="none"/>
              </w:rPr>
            </w:pPr>
            <w:r>
              <w:rPr>
                <w:rFonts w:hint="eastAsia" w:hAnsi="宋体"/>
                <w:color w:val="auto"/>
                <w:sz w:val="21"/>
                <w:szCs w:val="21"/>
                <w:highlight w:val="none"/>
              </w:rPr>
              <w:t>压力损失：△p63(0.063MPa)</w:t>
            </w:r>
          </w:p>
          <w:p>
            <w:pPr>
              <w:spacing w:line="120" w:lineRule="auto"/>
              <w:rPr>
                <w:rFonts w:hAnsi="宋体"/>
                <w:color w:val="auto"/>
                <w:sz w:val="21"/>
                <w:szCs w:val="21"/>
                <w:highlight w:val="none"/>
              </w:rPr>
            </w:pPr>
            <w:r>
              <w:rPr>
                <w:rFonts w:hint="eastAsia" w:hAnsi="宋体"/>
                <w:color w:val="auto"/>
                <w:sz w:val="21"/>
                <w:szCs w:val="21"/>
                <w:highlight w:val="none"/>
              </w:rPr>
              <w:t>上游流场敏感度等级： U10(公称口径10倍)</w:t>
            </w:r>
          </w:p>
          <w:p>
            <w:pPr>
              <w:spacing w:line="120" w:lineRule="auto"/>
              <w:rPr>
                <w:rFonts w:hAnsi="宋体"/>
                <w:color w:val="auto"/>
                <w:sz w:val="21"/>
                <w:szCs w:val="21"/>
                <w:highlight w:val="none"/>
              </w:rPr>
            </w:pPr>
            <w:r>
              <w:rPr>
                <w:rFonts w:hint="eastAsia" w:hAnsi="宋体"/>
                <w:color w:val="auto"/>
                <w:sz w:val="21"/>
                <w:szCs w:val="21"/>
                <w:highlight w:val="none"/>
              </w:rPr>
              <w:t>下游流场敏感度等级： D5(公称口径5倍)</w:t>
            </w:r>
          </w:p>
          <w:p>
            <w:pPr>
              <w:spacing w:line="120" w:lineRule="auto"/>
              <w:rPr>
                <w:rFonts w:hAnsi="宋体"/>
                <w:color w:val="auto"/>
                <w:sz w:val="21"/>
                <w:szCs w:val="21"/>
                <w:highlight w:val="none"/>
              </w:rPr>
            </w:pPr>
            <w:r>
              <w:rPr>
                <w:rFonts w:hint="eastAsia" w:hAnsi="宋体"/>
                <w:color w:val="auto"/>
                <w:sz w:val="21"/>
                <w:szCs w:val="21"/>
                <w:highlight w:val="none"/>
              </w:rPr>
              <w:t>气候和机械环境等级：B级</w:t>
            </w:r>
          </w:p>
          <w:p>
            <w:pPr>
              <w:spacing w:line="120" w:lineRule="auto"/>
              <w:rPr>
                <w:rFonts w:hAnsi="宋体"/>
                <w:color w:val="auto"/>
                <w:sz w:val="21"/>
                <w:szCs w:val="21"/>
                <w:highlight w:val="none"/>
              </w:rPr>
            </w:pPr>
            <w:r>
              <w:rPr>
                <w:rFonts w:hint="eastAsia" w:hAnsi="宋体"/>
                <w:color w:val="auto"/>
                <w:sz w:val="21"/>
                <w:szCs w:val="21"/>
                <w:highlight w:val="none"/>
              </w:rPr>
              <w:t>电磁环境等级：E1</w:t>
            </w:r>
          </w:p>
          <w:p>
            <w:pPr>
              <w:spacing w:line="120" w:lineRule="auto"/>
              <w:rPr>
                <w:rFonts w:hAnsi="宋体"/>
                <w:color w:val="auto"/>
                <w:sz w:val="21"/>
                <w:szCs w:val="21"/>
                <w:highlight w:val="none"/>
              </w:rPr>
            </w:pPr>
            <w:r>
              <w:rPr>
                <w:rFonts w:hint="eastAsia" w:hAnsi="宋体"/>
                <w:color w:val="auto"/>
                <w:sz w:val="21"/>
                <w:szCs w:val="21"/>
                <w:highlight w:val="none"/>
              </w:rPr>
              <w:t>不可测反向流</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功能要求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w:t>
            </w:r>
          </w:p>
        </w:tc>
        <w:tc>
          <w:tcPr>
            <w:tcW w:w="1665" w:type="dxa"/>
            <w:vAlign w:val="center"/>
          </w:tcPr>
          <w:p>
            <w:pPr>
              <w:ind w:firstLine="420" w:firstLineChars="200"/>
              <w:rPr>
                <w:rFonts w:hAnsi="宋体"/>
                <w:color w:val="auto"/>
                <w:sz w:val="21"/>
                <w:szCs w:val="21"/>
                <w:highlight w:val="none"/>
              </w:rPr>
            </w:pPr>
            <w:r>
              <w:rPr>
                <w:rFonts w:hint="eastAsia" w:hAnsi="宋体"/>
                <w:color w:val="auto"/>
                <w:sz w:val="21"/>
                <w:szCs w:val="21"/>
                <w:highlight w:val="none"/>
              </w:rPr>
              <w:t>计量精度</w:t>
            </w:r>
          </w:p>
        </w:tc>
        <w:tc>
          <w:tcPr>
            <w:tcW w:w="6011" w:type="dxa"/>
            <w:vAlign w:val="center"/>
          </w:tcPr>
          <w:p>
            <w:pPr>
              <w:rPr>
                <w:rFonts w:hAnsi="宋体"/>
                <w:color w:val="auto"/>
                <w:sz w:val="21"/>
                <w:szCs w:val="21"/>
                <w:highlight w:val="none"/>
              </w:rPr>
            </w:pPr>
            <w:r>
              <w:rPr>
                <w:rFonts w:hint="eastAsia" w:hAnsi="宋体"/>
                <w:color w:val="auto"/>
                <w:sz w:val="21"/>
                <w:szCs w:val="21"/>
                <w:highlight w:val="none"/>
              </w:rPr>
              <w:t>1）精度不低于B级；2）水表量程比：R=Q3/Q1;R≥100,具有型评报告；</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4.2</w:t>
            </w:r>
          </w:p>
        </w:tc>
        <w:tc>
          <w:tcPr>
            <w:tcW w:w="1665" w:type="dxa"/>
            <w:vAlign w:val="center"/>
          </w:tcPr>
          <w:p>
            <w:pPr>
              <w:ind w:firstLine="420" w:firstLineChars="200"/>
              <w:rPr>
                <w:rFonts w:hAnsi="宋体"/>
                <w:color w:val="auto"/>
                <w:sz w:val="21"/>
                <w:szCs w:val="21"/>
                <w:highlight w:val="none"/>
              </w:rPr>
            </w:pPr>
            <w:r>
              <w:rPr>
                <w:rFonts w:hint="eastAsia" w:hAnsi="宋体"/>
                <w:color w:val="auto"/>
                <w:sz w:val="21"/>
                <w:szCs w:val="21"/>
                <w:highlight w:val="none"/>
              </w:rPr>
              <w:t>无源直读</w:t>
            </w:r>
          </w:p>
        </w:tc>
        <w:tc>
          <w:tcPr>
            <w:tcW w:w="6011" w:type="dxa"/>
            <w:vAlign w:val="center"/>
          </w:tcPr>
          <w:p>
            <w:pPr>
              <w:spacing w:line="360" w:lineRule="exact"/>
              <w:jc w:val="center"/>
              <w:rPr>
                <w:rFonts w:hAnsi="宋体"/>
                <w:color w:val="auto"/>
                <w:sz w:val="21"/>
                <w:szCs w:val="21"/>
                <w:highlight w:val="none"/>
              </w:rPr>
            </w:pPr>
            <w:r>
              <w:rPr>
                <w:rFonts w:hint="eastAsia" w:hAnsi="宋体"/>
                <w:color w:val="auto"/>
                <w:sz w:val="21"/>
                <w:szCs w:val="21"/>
                <w:highlight w:val="none"/>
              </w:rPr>
              <w:t>平时无需供电，只需要在抄表时候供电，故障率和功耗低，使用寿命久</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电磁兼容</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可拆式机芯结构，整体全铜封式;EMC测试达到国家标准要求，克服了直读水表外界电磁干扰的影响精度的难题</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4.4</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地址要求</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每个表计属于本表唯一通讯地址编码，出厂后不得更改</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4.5</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故障保护</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针对通讯总线路开路、短路等设备有故障保护机制</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4.6</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防护等级</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整体防护等级达到IP68</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4.7</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误差要求</w:t>
            </w:r>
          </w:p>
        </w:tc>
        <w:tc>
          <w:tcPr>
            <w:tcW w:w="6011" w:type="dxa"/>
            <w:vAlign w:val="center"/>
          </w:tcPr>
          <w:p>
            <w:pPr>
              <w:numPr>
                <w:ilvl w:val="0"/>
                <w:numId w:val="16"/>
              </w:numPr>
              <w:jc w:val="center"/>
              <w:rPr>
                <w:rFonts w:hAnsi="宋体"/>
                <w:color w:val="auto"/>
                <w:sz w:val="21"/>
                <w:szCs w:val="21"/>
                <w:highlight w:val="none"/>
              </w:rPr>
            </w:pPr>
            <w:r>
              <w:rPr>
                <w:rFonts w:hint="eastAsia" w:hAnsi="宋体"/>
                <w:color w:val="auto"/>
                <w:sz w:val="21"/>
                <w:szCs w:val="21"/>
                <w:highlight w:val="none"/>
              </w:rPr>
              <w:t>水温在额定工作条件规定范围以内时，以最小流量（Q1）与分界流量（Q2）（不包括Q2）之间的流量排出的体积的最大允许误差为±5%；</w:t>
            </w:r>
          </w:p>
          <w:p>
            <w:pPr>
              <w:numPr>
                <w:ilvl w:val="0"/>
                <w:numId w:val="16"/>
              </w:numPr>
              <w:ind w:left="147"/>
              <w:jc w:val="center"/>
              <w:rPr>
                <w:rFonts w:hAnsi="宋体"/>
                <w:color w:val="auto"/>
                <w:sz w:val="21"/>
                <w:szCs w:val="21"/>
                <w:highlight w:val="none"/>
              </w:rPr>
            </w:pPr>
            <w:r>
              <w:rPr>
                <w:rFonts w:hint="eastAsia" w:hAnsi="宋体"/>
                <w:color w:val="auto"/>
                <w:sz w:val="21"/>
                <w:szCs w:val="21"/>
                <w:highlight w:val="none"/>
              </w:rPr>
              <w:t>以分界流量（Q2）（包括Q2）与过载流最（Q4）之间的流量排出的体积的最大允许误差:a)水温≤30时℃为±2%；b)水温&gt;30时℃为±3%。</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4.8</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工作电压</w:t>
            </w:r>
          </w:p>
        </w:tc>
        <w:tc>
          <w:tcPr>
            <w:tcW w:w="6011" w:type="dxa"/>
            <w:vAlign w:val="center"/>
          </w:tcPr>
          <w:p>
            <w:pPr>
              <w:jc w:val="center"/>
              <w:rPr>
                <w:rFonts w:hAnsi="宋体"/>
                <w:color w:val="auto"/>
                <w:sz w:val="21"/>
                <w:szCs w:val="21"/>
                <w:highlight w:val="none"/>
              </w:rPr>
            </w:pPr>
            <w:r>
              <w:rPr>
                <w:rFonts w:hint="eastAsia" w:hAnsi="宋体"/>
                <w:b/>
                <w:color w:val="auto"/>
                <w:sz w:val="21"/>
                <w:szCs w:val="21"/>
                <w:highlight w:val="none"/>
              </w:rPr>
              <w:t>DC36</w:t>
            </w:r>
            <w:r>
              <w:rPr>
                <w:rFonts w:hint="eastAsia" w:hAnsi="宋体"/>
                <w:color w:val="auto"/>
                <w:sz w:val="21"/>
                <w:szCs w:val="21"/>
                <w:highlight w:val="none"/>
              </w:rPr>
              <w:t>V</w:t>
            </w:r>
          </w:p>
        </w:tc>
        <w:tc>
          <w:tcPr>
            <w:tcW w:w="1234" w:type="dxa"/>
            <w:vAlign w:val="center"/>
          </w:tcPr>
          <w:p>
            <w:pPr>
              <w:spacing w:after="120" w:line="48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4.9</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工作电流</w:t>
            </w:r>
          </w:p>
        </w:tc>
        <w:tc>
          <w:tcPr>
            <w:tcW w:w="6011" w:type="dxa"/>
            <w:vAlign w:val="center"/>
          </w:tcPr>
          <w:p>
            <w:pPr>
              <w:ind w:left="147" w:firstLine="630" w:firstLineChars="300"/>
              <w:jc w:val="center"/>
              <w:rPr>
                <w:rFonts w:hAnsi="宋体"/>
                <w:color w:val="auto"/>
                <w:sz w:val="21"/>
                <w:szCs w:val="21"/>
                <w:highlight w:val="none"/>
              </w:rPr>
            </w:pPr>
            <w:r>
              <w:rPr>
                <w:rFonts w:hint="eastAsia" w:hAnsi="宋体"/>
                <w:color w:val="auto"/>
                <w:sz w:val="21"/>
                <w:szCs w:val="21"/>
                <w:highlight w:val="none"/>
              </w:rPr>
              <w:t>抄表工作电流≤9.0mA  静态工作电流≤1.3mA</w:t>
            </w:r>
          </w:p>
        </w:tc>
        <w:tc>
          <w:tcPr>
            <w:tcW w:w="1234" w:type="dxa"/>
            <w:vAlign w:val="center"/>
          </w:tcPr>
          <w:p>
            <w:pPr>
              <w:spacing w:after="120" w:line="48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4.10</w:t>
            </w:r>
          </w:p>
        </w:tc>
        <w:tc>
          <w:tcPr>
            <w:tcW w:w="1665" w:type="dxa"/>
            <w:vAlign w:val="center"/>
          </w:tcPr>
          <w:p>
            <w:pPr>
              <w:ind w:firstLine="210" w:firstLineChars="100"/>
              <w:rPr>
                <w:rFonts w:hAnsi="宋体"/>
                <w:color w:val="auto"/>
                <w:sz w:val="21"/>
                <w:szCs w:val="21"/>
                <w:highlight w:val="none"/>
              </w:rPr>
            </w:pPr>
            <w:r>
              <w:rPr>
                <w:rFonts w:hint="eastAsia" w:hAnsi="宋体"/>
                <w:color w:val="auto"/>
                <w:sz w:val="21"/>
                <w:szCs w:val="21"/>
                <w:highlight w:val="none"/>
              </w:rPr>
              <w:t>传输速率</w:t>
            </w:r>
          </w:p>
        </w:tc>
        <w:tc>
          <w:tcPr>
            <w:tcW w:w="6011" w:type="dxa"/>
            <w:vAlign w:val="center"/>
          </w:tcPr>
          <w:p>
            <w:pPr>
              <w:ind w:left="147" w:firstLine="630" w:firstLineChars="300"/>
              <w:jc w:val="center"/>
              <w:rPr>
                <w:rFonts w:hAnsi="宋体"/>
                <w:color w:val="auto"/>
                <w:sz w:val="21"/>
                <w:szCs w:val="21"/>
                <w:highlight w:val="none"/>
              </w:rPr>
            </w:pPr>
            <w:r>
              <w:rPr>
                <w:rFonts w:hint="eastAsia" w:hAnsi="宋体"/>
                <w:color w:val="auto"/>
                <w:sz w:val="21"/>
                <w:szCs w:val="21"/>
                <w:highlight w:val="none"/>
              </w:rPr>
              <w:t>1200BPS、2400BPS、4800BPS、9600BPS</w:t>
            </w:r>
          </w:p>
        </w:tc>
        <w:tc>
          <w:tcPr>
            <w:tcW w:w="1234" w:type="dxa"/>
            <w:vAlign w:val="center"/>
          </w:tcPr>
          <w:p>
            <w:pPr>
              <w:spacing w:after="120" w:line="48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其他要求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安装方式</w:t>
            </w:r>
          </w:p>
        </w:tc>
        <w:tc>
          <w:tcPr>
            <w:tcW w:w="6011" w:type="dxa"/>
            <w:vAlign w:val="center"/>
          </w:tcPr>
          <w:p>
            <w:pPr>
              <w:rPr>
                <w:rFonts w:hAnsi="宋体"/>
                <w:color w:val="auto"/>
                <w:sz w:val="21"/>
                <w:szCs w:val="21"/>
                <w:highlight w:val="none"/>
              </w:rPr>
            </w:pPr>
            <w:r>
              <w:rPr>
                <w:rFonts w:hint="eastAsia" w:hAnsi="宋体"/>
                <w:color w:val="auto"/>
                <w:sz w:val="21"/>
                <w:szCs w:val="21"/>
                <w:highlight w:val="none"/>
              </w:rPr>
              <w:t xml:space="preserve">                卧式内置不锈钢滤网,水平安装</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质保期</w:t>
            </w:r>
          </w:p>
        </w:tc>
        <w:tc>
          <w:tcPr>
            <w:tcW w:w="6011" w:type="dxa"/>
            <w:vAlign w:val="center"/>
          </w:tcPr>
          <w:p>
            <w:pPr>
              <w:ind w:firstLine="1890" w:firstLineChars="900"/>
              <w:rPr>
                <w:rFonts w:hAnsi="宋体"/>
                <w:color w:val="auto"/>
                <w:sz w:val="21"/>
                <w:szCs w:val="21"/>
                <w:highlight w:val="none"/>
              </w:rPr>
            </w:pPr>
            <w:r>
              <w:rPr>
                <w:rFonts w:hint="eastAsia" w:hAnsi="宋体"/>
                <w:color w:val="auto"/>
                <w:sz w:val="21"/>
                <w:szCs w:val="21"/>
                <w:highlight w:val="none"/>
              </w:rPr>
              <w:t>不低于3年</w:t>
            </w:r>
          </w:p>
        </w:tc>
        <w:tc>
          <w:tcPr>
            <w:tcW w:w="1234" w:type="dxa"/>
            <w:vAlign w:val="center"/>
          </w:tcPr>
          <w:p>
            <w:pPr>
              <w:jc w:val="center"/>
              <w:rPr>
                <w:rFonts w:hAnsi="宋体"/>
                <w:color w:val="auto"/>
                <w:sz w:val="21"/>
                <w:szCs w:val="21"/>
                <w:highlight w:val="none"/>
              </w:rPr>
            </w:pPr>
          </w:p>
        </w:tc>
      </w:tr>
      <w:bookmarkEnd w:id="171"/>
    </w:tbl>
    <w:p>
      <w:pPr>
        <w:spacing w:line="360" w:lineRule="auto"/>
        <w:rPr>
          <w:rFonts w:hAnsi="宋体"/>
          <w:color w:val="auto"/>
          <w:sz w:val="21"/>
          <w:szCs w:val="21"/>
          <w:highlight w:val="none"/>
        </w:rPr>
      </w:pPr>
      <w:r>
        <w:rPr>
          <w:rFonts w:hint="eastAsia" w:hAnsi="宋体"/>
          <w:color w:val="auto"/>
          <w:sz w:val="21"/>
          <w:szCs w:val="21"/>
          <w:highlight w:val="none"/>
        </w:rPr>
        <w:t>3、智能无线水表技术要求</w:t>
      </w:r>
    </w:p>
    <w:tbl>
      <w:tblPr>
        <w:tblStyle w:val="51"/>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665"/>
        <w:gridCol w:w="601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1665"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项目</w:t>
            </w:r>
          </w:p>
        </w:tc>
        <w:tc>
          <w:tcPr>
            <w:tcW w:w="601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要求值</w:t>
            </w:r>
          </w:p>
        </w:tc>
        <w:tc>
          <w:tcPr>
            <w:tcW w:w="123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引用标准</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符合GB/T 778-2007《封闭满管道中水流量的测量饮用冷水水表和热水水表》国家标准；符合CJ/T 224-2012《电子远传水表》建设部标准；满足《GB4208-2008》规定防护等级；具有省级及以上卫生部门出具的涉水产品卫生检测报告。</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计量原理</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无线物联网智能水表由远传基表、无线通讯模块等部件组成。无线通讯模块通过 基站直接把用户每日（可自定义）用水数据自动发送到云端数据服务器，表端直接与云平台服务端通信，设备具有中华人民共和国工业和信息化部无线电管理局颁发的无线电发射设备型号核准证（内含NB-Iot和蓝牙终端双通道）、中华人民共和国工业及信息化部电信设进网许可证。</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基本要求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公称口径</w:t>
            </w:r>
          </w:p>
        </w:tc>
        <w:tc>
          <w:tcPr>
            <w:tcW w:w="6011" w:type="dxa"/>
            <w:vAlign w:val="center"/>
          </w:tcPr>
          <w:p>
            <w:pPr>
              <w:ind w:firstLine="2310" w:firstLineChars="1100"/>
              <w:rPr>
                <w:rFonts w:hAnsi="宋体"/>
                <w:color w:val="auto"/>
                <w:sz w:val="21"/>
                <w:szCs w:val="21"/>
                <w:highlight w:val="none"/>
              </w:rPr>
            </w:pPr>
            <w:r>
              <w:rPr>
                <w:rFonts w:hint="eastAsia" w:hAnsi="宋体"/>
                <w:color w:val="auto"/>
                <w:sz w:val="21"/>
                <w:szCs w:val="21"/>
                <w:highlight w:val="none"/>
              </w:rPr>
              <w:t>DN15~DN20</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环境参数</w:t>
            </w:r>
          </w:p>
        </w:tc>
        <w:tc>
          <w:tcPr>
            <w:tcW w:w="6011" w:type="dxa"/>
            <w:vAlign w:val="center"/>
          </w:tcPr>
          <w:p>
            <w:pPr>
              <w:spacing w:line="120" w:lineRule="auto"/>
              <w:rPr>
                <w:rFonts w:hAnsi="宋体"/>
                <w:color w:val="auto"/>
                <w:sz w:val="21"/>
                <w:szCs w:val="21"/>
                <w:highlight w:val="none"/>
              </w:rPr>
            </w:pPr>
            <w:r>
              <w:rPr>
                <w:rFonts w:hint="eastAsia" w:hAnsi="宋体"/>
                <w:color w:val="auto"/>
                <w:sz w:val="21"/>
                <w:szCs w:val="21"/>
                <w:highlight w:val="none"/>
              </w:rPr>
              <w:t>温度等级：T30/T90</w:t>
            </w:r>
          </w:p>
          <w:p>
            <w:pPr>
              <w:spacing w:line="120" w:lineRule="auto"/>
              <w:rPr>
                <w:rFonts w:hAnsi="宋体"/>
                <w:color w:val="auto"/>
                <w:sz w:val="21"/>
                <w:szCs w:val="21"/>
                <w:highlight w:val="none"/>
              </w:rPr>
            </w:pPr>
            <w:r>
              <w:rPr>
                <w:rFonts w:hint="eastAsia" w:hAnsi="宋体"/>
                <w:color w:val="auto"/>
                <w:sz w:val="21"/>
                <w:szCs w:val="21"/>
                <w:highlight w:val="none"/>
              </w:rPr>
              <w:t>压力等级：MAP10(1.0MPa)</w:t>
            </w:r>
          </w:p>
          <w:p>
            <w:pPr>
              <w:spacing w:line="120" w:lineRule="auto"/>
              <w:rPr>
                <w:rFonts w:hAnsi="宋体"/>
                <w:color w:val="auto"/>
                <w:sz w:val="21"/>
                <w:szCs w:val="21"/>
                <w:highlight w:val="none"/>
              </w:rPr>
            </w:pPr>
            <w:r>
              <w:rPr>
                <w:rFonts w:hint="eastAsia" w:hAnsi="宋体"/>
                <w:color w:val="auto"/>
                <w:sz w:val="21"/>
                <w:szCs w:val="21"/>
                <w:highlight w:val="none"/>
              </w:rPr>
              <w:t>压力损失：△p63(0.063MPa)</w:t>
            </w:r>
          </w:p>
          <w:p>
            <w:pPr>
              <w:spacing w:line="120" w:lineRule="auto"/>
              <w:rPr>
                <w:rFonts w:hAnsi="宋体"/>
                <w:color w:val="auto"/>
                <w:sz w:val="21"/>
                <w:szCs w:val="21"/>
                <w:highlight w:val="none"/>
              </w:rPr>
            </w:pPr>
            <w:r>
              <w:rPr>
                <w:rFonts w:hint="eastAsia" w:hAnsi="宋体"/>
                <w:color w:val="auto"/>
                <w:sz w:val="21"/>
                <w:szCs w:val="21"/>
                <w:highlight w:val="none"/>
              </w:rPr>
              <w:t>上游流场敏感度等级： U10(公称口径10倍)</w:t>
            </w:r>
          </w:p>
          <w:p>
            <w:pPr>
              <w:spacing w:line="120" w:lineRule="auto"/>
              <w:rPr>
                <w:rFonts w:hAnsi="宋体"/>
                <w:color w:val="auto"/>
                <w:sz w:val="21"/>
                <w:szCs w:val="21"/>
                <w:highlight w:val="none"/>
              </w:rPr>
            </w:pPr>
            <w:r>
              <w:rPr>
                <w:rFonts w:hint="eastAsia" w:hAnsi="宋体"/>
                <w:color w:val="auto"/>
                <w:sz w:val="21"/>
                <w:szCs w:val="21"/>
                <w:highlight w:val="none"/>
              </w:rPr>
              <w:t>下游流场敏感度等级： D5(公称口径5倍)</w:t>
            </w:r>
          </w:p>
          <w:p>
            <w:pPr>
              <w:spacing w:line="120" w:lineRule="auto"/>
              <w:rPr>
                <w:rFonts w:hAnsi="宋体"/>
                <w:color w:val="auto"/>
                <w:sz w:val="21"/>
                <w:szCs w:val="21"/>
                <w:highlight w:val="none"/>
              </w:rPr>
            </w:pPr>
            <w:r>
              <w:rPr>
                <w:rFonts w:hint="eastAsia" w:hAnsi="宋体"/>
                <w:color w:val="auto"/>
                <w:sz w:val="21"/>
                <w:szCs w:val="21"/>
                <w:highlight w:val="none"/>
              </w:rPr>
              <w:t>气候和机械环境等级：B级</w:t>
            </w:r>
          </w:p>
          <w:p>
            <w:pPr>
              <w:spacing w:line="120" w:lineRule="auto"/>
              <w:rPr>
                <w:rFonts w:hAnsi="宋体"/>
                <w:color w:val="auto"/>
                <w:sz w:val="21"/>
                <w:szCs w:val="21"/>
                <w:highlight w:val="none"/>
              </w:rPr>
            </w:pPr>
            <w:r>
              <w:rPr>
                <w:rFonts w:hint="eastAsia" w:hAnsi="宋体"/>
                <w:color w:val="auto"/>
                <w:sz w:val="21"/>
                <w:szCs w:val="21"/>
                <w:highlight w:val="none"/>
              </w:rPr>
              <w:t>电磁环境等级：E1</w:t>
            </w:r>
          </w:p>
          <w:p>
            <w:pPr>
              <w:spacing w:line="120" w:lineRule="auto"/>
              <w:rPr>
                <w:rFonts w:hAnsi="宋体"/>
                <w:color w:val="auto"/>
                <w:sz w:val="21"/>
                <w:szCs w:val="21"/>
                <w:highlight w:val="none"/>
              </w:rPr>
            </w:pPr>
            <w:r>
              <w:rPr>
                <w:rFonts w:hint="eastAsia" w:hAnsi="宋体"/>
                <w:color w:val="auto"/>
                <w:sz w:val="21"/>
                <w:szCs w:val="21"/>
                <w:highlight w:val="none"/>
              </w:rPr>
              <w:t>不可测反向流</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功能要求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w:t>
            </w:r>
          </w:p>
        </w:tc>
        <w:tc>
          <w:tcPr>
            <w:tcW w:w="1665" w:type="dxa"/>
            <w:vAlign w:val="center"/>
          </w:tcPr>
          <w:p>
            <w:pPr>
              <w:ind w:firstLine="210" w:firstLineChars="100"/>
              <w:rPr>
                <w:rFonts w:hAnsi="宋体"/>
                <w:color w:val="auto"/>
                <w:sz w:val="21"/>
                <w:szCs w:val="21"/>
                <w:highlight w:val="none"/>
              </w:rPr>
            </w:pPr>
            <w:r>
              <w:rPr>
                <w:rFonts w:hint="eastAsia" w:hAnsi="宋体"/>
                <w:color w:val="auto"/>
                <w:sz w:val="21"/>
                <w:szCs w:val="21"/>
                <w:highlight w:val="none"/>
              </w:rPr>
              <w:t>计量精度</w:t>
            </w:r>
          </w:p>
        </w:tc>
        <w:tc>
          <w:tcPr>
            <w:tcW w:w="6011" w:type="dxa"/>
            <w:vAlign w:val="center"/>
          </w:tcPr>
          <w:p>
            <w:pPr>
              <w:spacing w:line="360" w:lineRule="exact"/>
              <w:jc w:val="center"/>
              <w:rPr>
                <w:rFonts w:hAnsi="宋体"/>
                <w:color w:val="auto"/>
                <w:sz w:val="21"/>
                <w:szCs w:val="21"/>
                <w:highlight w:val="none"/>
              </w:rPr>
            </w:pPr>
            <w:r>
              <w:rPr>
                <w:rFonts w:hint="eastAsia" w:hAnsi="宋体"/>
                <w:color w:val="auto"/>
                <w:sz w:val="21"/>
                <w:szCs w:val="21"/>
                <w:highlight w:val="none"/>
              </w:rPr>
              <w:t>1）精度不低于B级；2）水表量程比：R=Q3/Q1;R≥100,具有型评报告；</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4.2</w:t>
            </w:r>
          </w:p>
        </w:tc>
        <w:tc>
          <w:tcPr>
            <w:tcW w:w="1665" w:type="dxa"/>
            <w:vAlign w:val="center"/>
          </w:tcPr>
          <w:p>
            <w:pPr>
              <w:ind w:firstLine="210" w:firstLineChars="100"/>
              <w:rPr>
                <w:rFonts w:hAnsi="宋体"/>
                <w:color w:val="auto"/>
                <w:sz w:val="21"/>
                <w:szCs w:val="21"/>
                <w:highlight w:val="none"/>
              </w:rPr>
            </w:pPr>
            <w:r>
              <w:rPr>
                <w:rFonts w:hint="eastAsia" w:hAnsi="宋体"/>
                <w:color w:val="auto"/>
                <w:sz w:val="21"/>
                <w:szCs w:val="21"/>
                <w:highlight w:val="none"/>
              </w:rPr>
              <w:t>通讯功能</w:t>
            </w:r>
          </w:p>
        </w:tc>
        <w:tc>
          <w:tcPr>
            <w:tcW w:w="6011" w:type="dxa"/>
            <w:vAlign w:val="center"/>
          </w:tcPr>
          <w:p>
            <w:pPr>
              <w:spacing w:line="360" w:lineRule="exact"/>
              <w:jc w:val="center"/>
              <w:rPr>
                <w:rFonts w:hAnsi="宋体"/>
                <w:b/>
                <w:bCs/>
                <w:color w:val="auto"/>
                <w:sz w:val="21"/>
                <w:szCs w:val="21"/>
                <w:highlight w:val="none"/>
              </w:rPr>
            </w:pPr>
            <w:r>
              <w:rPr>
                <w:rFonts w:hint="eastAsia" w:hAnsi="宋体"/>
                <w:color w:val="auto"/>
                <w:sz w:val="21"/>
                <w:szCs w:val="21"/>
                <w:highlight w:val="none"/>
              </w:rPr>
              <w:t>具有物联网无线通讯模块及本地蓝牙通讯模块，支持周期性定时主动上报表计读数；支持内置/外置天线，信号稳定可靠，实现全覆盖，无盲区。</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预警功能</w:t>
            </w:r>
          </w:p>
        </w:tc>
        <w:tc>
          <w:tcPr>
            <w:tcW w:w="6011" w:type="dxa"/>
            <w:vAlign w:val="center"/>
          </w:tcPr>
          <w:p>
            <w:pPr>
              <w:rPr>
                <w:rFonts w:hAnsi="宋体"/>
                <w:color w:val="auto"/>
                <w:sz w:val="21"/>
                <w:szCs w:val="21"/>
                <w:highlight w:val="none"/>
              </w:rPr>
            </w:pPr>
            <w:r>
              <w:rPr>
                <w:rFonts w:hint="eastAsia" w:hAnsi="宋体"/>
                <w:color w:val="auto"/>
                <w:sz w:val="21"/>
                <w:szCs w:val="21"/>
                <w:highlight w:val="none"/>
              </w:rPr>
              <w:t>具有电池欠压，计量异常告警通知，可设定阶梯水价，根据不同设置不同基准</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4.4</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地址要求</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每个表计属于本表唯一通讯地址编码，出厂后不得更改</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4.5</w:t>
            </w:r>
          </w:p>
        </w:tc>
        <w:tc>
          <w:tcPr>
            <w:tcW w:w="1665" w:type="dxa"/>
            <w:vAlign w:val="center"/>
          </w:tcPr>
          <w:p>
            <w:pPr>
              <w:ind w:firstLine="420" w:firstLineChars="200"/>
              <w:rPr>
                <w:rFonts w:hAnsi="宋体"/>
                <w:color w:val="auto"/>
                <w:sz w:val="21"/>
                <w:szCs w:val="21"/>
                <w:highlight w:val="none"/>
              </w:rPr>
            </w:pPr>
            <w:r>
              <w:rPr>
                <w:rFonts w:hint="eastAsia" w:hAnsi="宋体"/>
                <w:color w:val="auto"/>
                <w:sz w:val="21"/>
                <w:szCs w:val="21"/>
                <w:highlight w:val="none"/>
              </w:rPr>
              <w:t>结构设计</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可更换电池设计，电池盒需采用独立可更换的涉及，无须开主体上盖，更换须便捷</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4.6</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防护等级</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整体防护等级达到IP68</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4.7</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误差要求</w:t>
            </w:r>
          </w:p>
        </w:tc>
        <w:tc>
          <w:tcPr>
            <w:tcW w:w="6011" w:type="dxa"/>
            <w:vAlign w:val="center"/>
          </w:tcPr>
          <w:p>
            <w:pPr>
              <w:ind w:left="147"/>
              <w:jc w:val="center"/>
              <w:rPr>
                <w:rFonts w:hAnsi="宋体"/>
                <w:color w:val="auto"/>
                <w:sz w:val="21"/>
                <w:szCs w:val="21"/>
                <w:highlight w:val="none"/>
              </w:rPr>
            </w:pPr>
            <w:r>
              <w:rPr>
                <w:rFonts w:hint="eastAsia" w:hAnsi="宋体"/>
                <w:color w:val="auto"/>
                <w:sz w:val="21"/>
                <w:szCs w:val="21"/>
                <w:highlight w:val="none"/>
              </w:rPr>
              <w:t>1.水温在额定工作条件规定范围以内时，以最小流量（Q1）与分界流量（Q2）（不包括Q2）之间的流量排出的体积的最大允许误差为±5%；</w:t>
            </w:r>
          </w:p>
          <w:p>
            <w:pPr>
              <w:ind w:left="147"/>
              <w:rPr>
                <w:rFonts w:hAnsi="宋体"/>
                <w:color w:val="auto"/>
                <w:sz w:val="21"/>
                <w:szCs w:val="21"/>
                <w:highlight w:val="none"/>
              </w:rPr>
            </w:pPr>
            <w:r>
              <w:rPr>
                <w:rFonts w:hint="eastAsia" w:hAnsi="宋体"/>
                <w:color w:val="auto"/>
                <w:sz w:val="21"/>
                <w:szCs w:val="21"/>
                <w:highlight w:val="none"/>
              </w:rPr>
              <w:t>2.以分界流量（Q2）（包括Q2）与过载流最（Q4）之间的流量排出的体积的最大允许误差:a)水温≤30时℃为±2%；b)水温&gt;30时℃为±3%。</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4.8</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工作电压</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电池电压3.6V</w:t>
            </w:r>
          </w:p>
        </w:tc>
        <w:tc>
          <w:tcPr>
            <w:tcW w:w="1234"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4.9</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工作电流</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静态电流：&lt;10uA 平均电流：≈25uA</w:t>
            </w:r>
          </w:p>
        </w:tc>
        <w:tc>
          <w:tcPr>
            <w:tcW w:w="1234"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4.10</w:t>
            </w:r>
          </w:p>
        </w:tc>
        <w:tc>
          <w:tcPr>
            <w:tcW w:w="1665" w:type="dxa"/>
          </w:tcPr>
          <w:p>
            <w:pPr>
              <w:jc w:val="center"/>
              <w:rPr>
                <w:rFonts w:hAnsi="宋体"/>
                <w:color w:val="auto"/>
                <w:sz w:val="21"/>
                <w:szCs w:val="21"/>
                <w:highlight w:val="none"/>
              </w:rPr>
            </w:pPr>
            <w:r>
              <w:rPr>
                <w:rFonts w:hint="eastAsia" w:hAnsi="宋体"/>
                <w:color w:val="auto"/>
                <w:sz w:val="21"/>
                <w:szCs w:val="21"/>
                <w:highlight w:val="none"/>
              </w:rPr>
              <w:t>频段信息</w:t>
            </w:r>
          </w:p>
        </w:tc>
        <w:tc>
          <w:tcPr>
            <w:tcW w:w="6011" w:type="dxa"/>
          </w:tcPr>
          <w:p>
            <w:pPr>
              <w:jc w:val="center"/>
              <w:rPr>
                <w:rFonts w:hAnsi="宋体"/>
                <w:color w:val="auto"/>
                <w:sz w:val="21"/>
                <w:szCs w:val="21"/>
                <w:highlight w:val="none"/>
              </w:rPr>
            </w:pPr>
            <w:r>
              <w:rPr>
                <w:rFonts w:hint="eastAsia" w:hAnsi="宋体"/>
                <w:color w:val="auto"/>
                <w:sz w:val="21"/>
                <w:szCs w:val="21"/>
                <w:highlight w:val="none"/>
              </w:rPr>
              <w:t>850MHz/900MHz/800MHz/700MHz</w:t>
            </w:r>
          </w:p>
        </w:tc>
        <w:tc>
          <w:tcPr>
            <w:tcW w:w="1234"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其他要求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安装方式</w:t>
            </w:r>
          </w:p>
        </w:tc>
        <w:tc>
          <w:tcPr>
            <w:tcW w:w="6011" w:type="dxa"/>
            <w:vAlign w:val="center"/>
          </w:tcPr>
          <w:p>
            <w:pPr>
              <w:rPr>
                <w:rFonts w:hAnsi="宋体"/>
                <w:color w:val="auto"/>
                <w:sz w:val="21"/>
                <w:szCs w:val="21"/>
                <w:highlight w:val="none"/>
              </w:rPr>
            </w:pPr>
            <w:r>
              <w:rPr>
                <w:rFonts w:hint="eastAsia" w:hAnsi="宋体"/>
                <w:color w:val="auto"/>
                <w:sz w:val="21"/>
                <w:szCs w:val="21"/>
                <w:highlight w:val="none"/>
              </w:rPr>
              <w:t xml:space="preserve">                卧式内置不锈钢滤网,水平安装</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质保期</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设备质保不低于3年，电池使用寿命及通讯资费均不低于6年；</w:t>
            </w:r>
          </w:p>
        </w:tc>
        <w:tc>
          <w:tcPr>
            <w:tcW w:w="1234" w:type="dxa"/>
            <w:vAlign w:val="center"/>
          </w:tcPr>
          <w:p>
            <w:pPr>
              <w:jc w:val="center"/>
              <w:rPr>
                <w:rFonts w:hAnsi="宋体"/>
                <w:color w:val="auto"/>
                <w:sz w:val="21"/>
                <w:szCs w:val="21"/>
                <w:highlight w:val="none"/>
              </w:rPr>
            </w:pP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4、水表集中器技术要求</w:t>
      </w:r>
    </w:p>
    <w:tbl>
      <w:tblPr>
        <w:tblStyle w:val="51"/>
        <w:tblW w:w="0" w:type="auto"/>
        <w:jc w:val="center"/>
        <w:tblLayout w:type="autofit"/>
        <w:tblCellMar>
          <w:top w:w="0" w:type="dxa"/>
          <w:left w:w="0" w:type="dxa"/>
          <w:bottom w:w="0" w:type="dxa"/>
          <w:right w:w="0" w:type="dxa"/>
        </w:tblCellMar>
      </w:tblPr>
      <w:tblGrid>
        <w:gridCol w:w="450"/>
        <w:gridCol w:w="951"/>
        <w:gridCol w:w="8268"/>
      </w:tblGrid>
      <w:tr>
        <w:tblPrEx>
          <w:tblCellMar>
            <w:top w:w="0" w:type="dxa"/>
            <w:left w:w="0" w:type="dxa"/>
            <w:bottom w:w="0" w:type="dxa"/>
            <w:right w:w="0" w:type="dxa"/>
          </w:tblCellMar>
        </w:tblPrEx>
        <w:trPr>
          <w:trHeight w:val="66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说明</w:t>
            </w:r>
          </w:p>
        </w:tc>
      </w:tr>
      <w:tr>
        <w:tblPrEx>
          <w:tblCellMar>
            <w:top w:w="0" w:type="dxa"/>
            <w:left w:w="0" w:type="dxa"/>
            <w:bottom w:w="0" w:type="dxa"/>
            <w:right w:w="0" w:type="dxa"/>
          </w:tblCellMar>
        </w:tblPrEx>
        <w:trPr>
          <w:trHeight w:val="9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通讯功能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7"/>
              </w:numPr>
              <w:rPr>
                <w:rFonts w:hAnsi="宋体"/>
                <w:color w:val="auto"/>
                <w:sz w:val="21"/>
                <w:szCs w:val="21"/>
                <w:highlight w:val="none"/>
              </w:rPr>
            </w:pPr>
            <w:r>
              <w:rPr>
                <w:rFonts w:hint="eastAsia" w:hAnsi="宋体"/>
                <w:color w:val="auto"/>
                <w:sz w:val="21"/>
                <w:szCs w:val="21"/>
                <w:highlight w:val="none"/>
              </w:rPr>
              <w:t>具有与网络设备工业总线、和串行口设备装置连接功能；上行支持 Cat1、以太网通讯端口，下行支持 RS485、Mbus、蓝牙通讯端口。</w:t>
            </w:r>
          </w:p>
          <w:p>
            <w:pPr>
              <w:numPr>
                <w:ilvl w:val="0"/>
                <w:numId w:val="17"/>
              </w:numPr>
              <w:rPr>
                <w:rFonts w:hAnsi="宋体"/>
                <w:color w:val="auto"/>
                <w:sz w:val="21"/>
                <w:szCs w:val="21"/>
                <w:highlight w:val="none"/>
              </w:rPr>
            </w:pPr>
            <w:r>
              <w:rPr>
                <w:rFonts w:hint="eastAsia" w:hAnsi="宋体"/>
                <w:color w:val="auto"/>
                <w:sz w:val="21"/>
                <w:szCs w:val="21"/>
                <w:highlight w:val="none"/>
              </w:rPr>
              <w:t>配备不少于四路 RS485 及 MBUS 下行通讯端口，一个下行通讯端口支持同通讯波特率及校验核设备的同时接入；</w:t>
            </w:r>
          </w:p>
        </w:tc>
      </w:tr>
      <w:tr>
        <w:tblPrEx>
          <w:tblCellMar>
            <w:top w:w="0" w:type="dxa"/>
            <w:left w:w="0" w:type="dxa"/>
            <w:bottom w:w="0" w:type="dxa"/>
            <w:right w:w="0" w:type="dxa"/>
          </w:tblCellMar>
        </w:tblPrEx>
        <w:trPr>
          <w:trHeight w:val="27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pacing w:val="-3"/>
                <w:sz w:val="21"/>
                <w:szCs w:val="21"/>
                <w:highlight w:val="none"/>
              </w:rPr>
              <w:t>数据采集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8"/>
              </w:numPr>
              <w:rPr>
                <w:rFonts w:hAnsi="宋体"/>
                <w:color w:val="auto"/>
                <w:sz w:val="21"/>
                <w:szCs w:val="21"/>
                <w:highlight w:val="none"/>
              </w:rPr>
            </w:pPr>
            <w:r>
              <w:rPr>
                <w:rFonts w:hint="eastAsia" w:hAnsi="宋体"/>
                <w:color w:val="auto"/>
                <w:sz w:val="21"/>
                <w:szCs w:val="21"/>
                <w:highlight w:val="none"/>
              </w:rPr>
              <w:t>具有数据采集功能，通过 RS485/Mbus 总线连接到需采集的终端设备，经过智能网关主站协议 Q/GDW376.1-2013 把采集数据实时转发到后台系统；</w:t>
            </w:r>
          </w:p>
          <w:p>
            <w:pPr>
              <w:numPr>
                <w:ilvl w:val="0"/>
                <w:numId w:val="18"/>
              </w:numPr>
              <w:rPr>
                <w:rFonts w:hAnsi="宋体"/>
                <w:color w:val="auto"/>
                <w:sz w:val="21"/>
                <w:szCs w:val="21"/>
                <w:highlight w:val="none"/>
              </w:rPr>
            </w:pPr>
            <w:r>
              <w:rPr>
                <w:rFonts w:hint="eastAsia" w:hAnsi="宋体"/>
                <w:color w:val="auto"/>
                <w:sz w:val="21"/>
                <w:szCs w:val="21"/>
                <w:highlight w:val="none"/>
              </w:rPr>
              <w:t>数据冻结功能：可根据设置，支持每 5 分钟、15 分钟、30 分钟、60 分钟定时数据冻结存储，自动冻结測量点号的冻结数据供采集系统抄读；</w:t>
            </w:r>
          </w:p>
          <w:p>
            <w:pPr>
              <w:numPr>
                <w:ilvl w:val="0"/>
                <w:numId w:val="18"/>
              </w:numPr>
              <w:rPr>
                <w:rFonts w:hAnsi="宋体"/>
                <w:color w:val="auto"/>
                <w:sz w:val="21"/>
                <w:szCs w:val="21"/>
                <w:highlight w:val="none"/>
              </w:rPr>
            </w:pPr>
            <w:r>
              <w:rPr>
                <w:rFonts w:hint="eastAsia" w:hAnsi="宋体"/>
                <w:color w:val="auto"/>
                <w:sz w:val="21"/>
                <w:szCs w:val="21"/>
                <w:highlight w:val="none"/>
              </w:rPr>
              <w:t>大数据量存储：各测量点可存储 31 日冻结数据，最大支持 36 个月的历史</w:t>
            </w:r>
          </w:p>
          <w:p>
            <w:pPr>
              <w:numPr>
                <w:ilvl w:val="0"/>
                <w:numId w:val="18"/>
              </w:numPr>
              <w:rPr>
                <w:rFonts w:hAnsi="宋体"/>
                <w:color w:val="auto"/>
                <w:sz w:val="21"/>
                <w:szCs w:val="21"/>
                <w:highlight w:val="none"/>
              </w:rPr>
            </w:pPr>
            <w:r>
              <w:rPr>
                <w:rFonts w:hint="eastAsia" w:hAnsi="宋体"/>
                <w:color w:val="auto"/>
                <w:sz w:val="21"/>
                <w:szCs w:val="21"/>
                <w:highlight w:val="none"/>
              </w:rPr>
              <w:t>记录，采用高可靠存储，数据保存时间不小于 120 个月。</w:t>
            </w:r>
          </w:p>
          <w:p>
            <w:pPr>
              <w:numPr>
                <w:ilvl w:val="0"/>
                <w:numId w:val="18"/>
              </w:numPr>
              <w:rPr>
                <w:rFonts w:hAnsi="宋体"/>
                <w:color w:val="auto"/>
                <w:sz w:val="21"/>
                <w:szCs w:val="21"/>
                <w:highlight w:val="none"/>
              </w:rPr>
            </w:pPr>
            <w:r>
              <w:rPr>
                <w:rFonts w:hint="eastAsia" w:hAnsi="宋体"/>
                <w:color w:val="auto"/>
                <w:sz w:val="21"/>
                <w:szCs w:val="21"/>
                <w:highlight w:val="none"/>
              </w:rPr>
              <w:t>数据断点续传：数据上传支持断点续传；</w:t>
            </w:r>
          </w:p>
        </w:tc>
      </w:tr>
      <w:tr>
        <w:tblPrEx>
          <w:tblCellMar>
            <w:top w:w="0" w:type="dxa"/>
            <w:left w:w="0" w:type="dxa"/>
            <w:bottom w:w="0" w:type="dxa"/>
            <w:right w:w="0" w:type="dxa"/>
          </w:tblCellMar>
        </w:tblPrEx>
        <w:trPr>
          <w:trHeight w:val="9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jc w:val="center"/>
              <w:rPr>
                <w:rFonts w:hAnsi="宋体"/>
                <w:color w:val="auto"/>
                <w:sz w:val="21"/>
                <w:szCs w:val="21"/>
                <w:highlight w:val="none"/>
              </w:rPr>
            </w:pPr>
            <w:r>
              <w:rPr>
                <w:rFonts w:hint="eastAsia" w:hAnsi="宋体"/>
                <w:color w:val="auto"/>
                <w:sz w:val="21"/>
                <w:szCs w:val="21"/>
                <w:highlight w:val="none"/>
              </w:rPr>
              <w:t>数据上报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9"/>
              </w:numPr>
              <w:rPr>
                <w:rFonts w:hAnsi="宋体"/>
                <w:color w:val="auto"/>
                <w:sz w:val="21"/>
                <w:szCs w:val="21"/>
                <w:highlight w:val="none"/>
              </w:rPr>
            </w:pPr>
            <w:r>
              <w:rPr>
                <w:rFonts w:hint="eastAsia" w:hAnsi="宋体"/>
                <w:color w:val="auto"/>
                <w:sz w:val="21"/>
                <w:szCs w:val="21"/>
                <w:highlight w:val="none"/>
              </w:rPr>
              <w:t>主动上报功能：支持分钟级能耗数据主动上报；</w:t>
            </w:r>
          </w:p>
          <w:p>
            <w:pPr>
              <w:numPr>
                <w:ilvl w:val="0"/>
                <w:numId w:val="19"/>
              </w:numPr>
              <w:rPr>
                <w:rFonts w:hAnsi="宋体"/>
                <w:color w:val="auto"/>
                <w:sz w:val="21"/>
                <w:szCs w:val="21"/>
                <w:highlight w:val="none"/>
              </w:rPr>
            </w:pPr>
            <w:r>
              <w:rPr>
                <w:rFonts w:hint="eastAsia" w:hAnsi="宋体"/>
                <w:color w:val="auto"/>
                <w:sz w:val="21"/>
                <w:szCs w:val="21"/>
                <w:highlight w:val="none"/>
              </w:rPr>
              <w:t>具有与至少2个数据中心同时通信转发数据的功能；</w:t>
            </w:r>
          </w:p>
        </w:tc>
      </w:tr>
      <w:tr>
        <w:tblPrEx>
          <w:tblCellMar>
            <w:top w:w="0" w:type="dxa"/>
            <w:left w:w="0" w:type="dxa"/>
            <w:bottom w:w="0" w:type="dxa"/>
            <w:right w:w="0" w:type="dxa"/>
          </w:tblCellMar>
        </w:tblPrEx>
        <w:trPr>
          <w:trHeight w:val="1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智能功能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Ansi="宋体"/>
                <w:color w:val="auto"/>
                <w:sz w:val="21"/>
                <w:szCs w:val="21"/>
                <w:highlight w:val="none"/>
              </w:rPr>
            </w:pPr>
            <w:r>
              <w:rPr>
                <w:rFonts w:hint="eastAsia" w:hAnsi="宋体"/>
                <w:color w:val="auto"/>
                <w:sz w:val="21"/>
                <w:szCs w:val="21"/>
                <w:highlight w:val="none"/>
              </w:rPr>
              <w:t xml:space="preserve">  a）设备支持停电上报功能，通讯线路短路、断路等异常事件主动上报功能 ; 能自动测试下行 Mbus 通道负载情况，具有短路、过载指示功能，同时切断有故障的通道，保障设备不被损坏。</w:t>
            </w:r>
          </w:p>
          <w:p>
            <w:pPr>
              <w:ind w:left="200"/>
              <w:rPr>
                <w:rFonts w:hAnsi="宋体"/>
                <w:color w:val="auto"/>
                <w:sz w:val="21"/>
                <w:szCs w:val="21"/>
                <w:highlight w:val="none"/>
              </w:rPr>
            </w:pPr>
            <w:r>
              <w:rPr>
                <w:rFonts w:hint="eastAsia" w:hAnsi="宋体"/>
                <w:color w:val="auto"/>
                <w:sz w:val="21"/>
                <w:szCs w:val="21"/>
                <w:highlight w:val="none"/>
              </w:rPr>
              <w:t xml:space="preserve">b）具备智能寻表功能：对下行 RS485 通讯线路上的表计，具备自动搜表匹配通讯参数功能，减少现场调试工作量。                               </w:t>
            </w:r>
          </w:p>
        </w:tc>
      </w:tr>
      <w:tr>
        <w:tblPrEx>
          <w:tblCellMar>
            <w:top w:w="0" w:type="dxa"/>
            <w:left w:w="0" w:type="dxa"/>
            <w:bottom w:w="0" w:type="dxa"/>
            <w:right w:w="0" w:type="dxa"/>
          </w:tblCellMar>
        </w:tblPrEx>
        <w:trPr>
          <w:trHeight w:val="47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时钟控制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hAnsi="宋体"/>
                <w:color w:val="auto"/>
                <w:sz w:val="21"/>
                <w:szCs w:val="21"/>
                <w:highlight w:val="none"/>
              </w:rPr>
            </w:pPr>
            <w:r>
              <w:rPr>
                <w:rFonts w:hint="eastAsia" w:hAnsi="宋体"/>
                <w:color w:val="auto"/>
                <w:sz w:val="21"/>
                <w:szCs w:val="21"/>
                <w:highlight w:val="none"/>
              </w:rPr>
              <w:t>带硬件时钟，可保证集中器时钟长期准确、稳定。</w:t>
            </w:r>
          </w:p>
        </w:tc>
      </w:tr>
      <w:tr>
        <w:tblPrEx>
          <w:tblCellMar>
            <w:top w:w="0" w:type="dxa"/>
            <w:left w:w="0" w:type="dxa"/>
            <w:bottom w:w="0" w:type="dxa"/>
            <w:right w:w="0" w:type="dxa"/>
          </w:tblCellMar>
        </w:tblPrEx>
        <w:trPr>
          <w:trHeight w:val="7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运行维护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0"/>
              </w:numPr>
              <w:rPr>
                <w:rFonts w:hAnsi="宋体"/>
                <w:color w:val="auto"/>
                <w:sz w:val="21"/>
                <w:szCs w:val="21"/>
                <w:highlight w:val="none"/>
              </w:rPr>
            </w:pPr>
            <w:r>
              <w:rPr>
                <w:rFonts w:hint="eastAsia" w:hAnsi="宋体"/>
                <w:color w:val="auto"/>
                <w:sz w:val="21"/>
                <w:szCs w:val="21"/>
                <w:highlight w:val="none"/>
              </w:rPr>
              <w:t>本地运维：具备从本地蓝牙通讯端口配置通讯主站、端口、在线和离线等通讯参数，并监控设备运行情况，查询并导出设备运行日志功能。</w:t>
            </w:r>
          </w:p>
          <w:p>
            <w:pPr>
              <w:numPr>
                <w:ilvl w:val="0"/>
                <w:numId w:val="20"/>
              </w:numPr>
              <w:rPr>
                <w:rFonts w:hAnsi="宋体"/>
                <w:color w:val="auto"/>
                <w:sz w:val="21"/>
                <w:szCs w:val="21"/>
                <w:highlight w:val="none"/>
              </w:rPr>
            </w:pPr>
            <w:r>
              <w:rPr>
                <w:rFonts w:hint="eastAsia" w:hAnsi="宋体"/>
                <w:color w:val="auto"/>
                <w:sz w:val="21"/>
                <w:szCs w:val="21"/>
                <w:highlight w:val="none"/>
              </w:rPr>
              <w:t>远程运维：主站配备运维通道，支持设备管理，自动侦测设备停电、通讯线路短路、断路、过载等异常事件，并配置专用的运维APP，主动推送相关信息给运维人员。</w:t>
            </w:r>
          </w:p>
        </w:tc>
      </w:tr>
      <w:tr>
        <w:tblPrEx>
          <w:tblCellMar>
            <w:top w:w="0" w:type="dxa"/>
            <w:left w:w="0" w:type="dxa"/>
            <w:bottom w:w="0" w:type="dxa"/>
            <w:right w:w="0" w:type="dxa"/>
          </w:tblCellMar>
        </w:tblPrEx>
        <w:trPr>
          <w:trHeight w:val="5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升级功能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1"/>
              </w:numPr>
              <w:rPr>
                <w:rFonts w:hAnsi="宋体"/>
                <w:color w:val="auto"/>
                <w:sz w:val="21"/>
                <w:szCs w:val="21"/>
                <w:highlight w:val="none"/>
              </w:rPr>
            </w:pPr>
            <w:r>
              <w:rPr>
                <w:rFonts w:hint="eastAsia" w:hAnsi="宋体"/>
                <w:color w:val="auto"/>
                <w:sz w:val="21"/>
                <w:szCs w:val="21"/>
                <w:highlight w:val="none"/>
              </w:rPr>
              <w:t>支持蓝牙、USB本地升级；</w:t>
            </w:r>
          </w:p>
          <w:p>
            <w:pPr>
              <w:numPr>
                <w:ilvl w:val="0"/>
                <w:numId w:val="21"/>
              </w:numPr>
              <w:rPr>
                <w:rFonts w:hAnsi="宋体"/>
                <w:color w:val="auto"/>
                <w:sz w:val="21"/>
                <w:szCs w:val="21"/>
                <w:highlight w:val="none"/>
              </w:rPr>
            </w:pPr>
            <w:r>
              <w:rPr>
                <w:rFonts w:hint="eastAsia" w:hAnsi="宋体"/>
                <w:color w:val="auto"/>
                <w:sz w:val="21"/>
                <w:szCs w:val="21"/>
                <w:highlight w:val="none"/>
              </w:rPr>
              <w:t>远程自动升级维护；</w:t>
            </w:r>
          </w:p>
        </w:tc>
      </w:tr>
      <w:tr>
        <w:tblPrEx>
          <w:tblCellMar>
            <w:top w:w="0" w:type="dxa"/>
            <w:left w:w="0" w:type="dxa"/>
            <w:bottom w:w="0" w:type="dxa"/>
            <w:right w:w="0" w:type="dxa"/>
          </w:tblCellMar>
        </w:tblPrEx>
        <w:trPr>
          <w:trHeight w:val="45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质保期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Ansi="宋体"/>
                <w:color w:val="auto"/>
                <w:sz w:val="21"/>
                <w:szCs w:val="21"/>
                <w:highlight w:val="none"/>
              </w:rPr>
            </w:pPr>
            <w:r>
              <w:rPr>
                <w:rFonts w:hint="eastAsia" w:hAnsi="宋体"/>
                <w:color w:val="auto"/>
                <w:sz w:val="21"/>
                <w:szCs w:val="21"/>
                <w:highlight w:val="none"/>
              </w:rPr>
              <w:t xml:space="preserve">     设备质保不低于5年</w:t>
            </w:r>
          </w:p>
        </w:tc>
      </w:tr>
    </w:tbl>
    <w:p>
      <w:pPr>
        <w:rPr>
          <w:rFonts w:hAnsi="宋体"/>
          <w:color w:val="auto"/>
          <w:sz w:val="21"/>
          <w:szCs w:val="21"/>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5、电表集中器技术要求</w:t>
      </w:r>
    </w:p>
    <w:tbl>
      <w:tblPr>
        <w:tblStyle w:val="51"/>
        <w:tblpPr w:leftFromText="180" w:rightFromText="180" w:vertAnchor="text" w:horzAnchor="margin" w:tblpXSpec="center" w:tblpY="88"/>
        <w:tblOverlap w:val="never"/>
        <w:tblW w:w="5000" w:type="pct"/>
        <w:tblInd w:w="0" w:type="dxa"/>
        <w:tblLayout w:type="autofit"/>
        <w:tblCellMar>
          <w:top w:w="0" w:type="dxa"/>
          <w:left w:w="0" w:type="dxa"/>
          <w:bottom w:w="0" w:type="dxa"/>
          <w:right w:w="0" w:type="dxa"/>
        </w:tblCellMar>
      </w:tblPr>
      <w:tblGrid>
        <w:gridCol w:w="450"/>
        <w:gridCol w:w="949"/>
        <w:gridCol w:w="8270"/>
      </w:tblGrid>
      <w:tr>
        <w:tblPrEx>
          <w:tblCellMar>
            <w:top w:w="0" w:type="dxa"/>
            <w:left w:w="0" w:type="dxa"/>
            <w:bottom w:w="0" w:type="dxa"/>
            <w:right w:w="0" w:type="dxa"/>
          </w:tblCellMar>
        </w:tblPrEx>
        <w:trPr>
          <w:trHeight w:val="662"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序号</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功能</w:t>
            </w:r>
          </w:p>
        </w:tc>
        <w:tc>
          <w:tcPr>
            <w:tcW w:w="4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说明</w:t>
            </w:r>
          </w:p>
        </w:tc>
      </w:tr>
      <w:tr>
        <w:tblPrEx>
          <w:tblCellMar>
            <w:top w:w="0" w:type="dxa"/>
            <w:left w:w="0" w:type="dxa"/>
            <w:bottom w:w="0" w:type="dxa"/>
            <w:right w:w="0" w:type="dxa"/>
          </w:tblCellMar>
        </w:tblPrEx>
        <w:trPr>
          <w:trHeight w:val="99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通讯功能</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rPr>
                <w:rFonts w:hAnsi="宋体"/>
                <w:color w:val="auto"/>
                <w:sz w:val="21"/>
                <w:szCs w:val="21"/>
                <w:highlight w:val="none"/>
              </w:rPr>
            </w:pPr>
            <w:r>
              <w:rPr>
                <w:rFonts w:hint="eastAsia" w:hAnsi="宋体"/>
                <w:color w:val="auto"/>
                <w:sz w:val="21"/>
                <w:szCs w:val="21"/>
                <w:highlight w:val="none"/>
              </w:rPr>
              <w:t>a)具有与网络设备工业总线、和串行口设备装置连接功能；上行支持 Cat1、以太网通讯端口，下行支持 RS485、蓝牙通讯端口。</w:t>
            </w:r>
          </w:p>
          <w:p>
            <w:pPr>
              <w:ind w:left="200"/>
              <w:rPr>
                <w:rFonts w:hAnsi="宋体"/>
                <w:color w:val="auto"/>
                <w:sz w:val="21"/>
                <w:szCs w:val="21"/>
                <w:highlight w:val="none"/>
              </w:rPr>
            </w:pPr>
            <w:r>
              <w:rPr>
                <w:rFonts w:hint="eastAsia" w:hAnsi="宋体"/>
                <w:color w:val="auto"/>
                <w:sz w:val="21"/>
                <w:szCs w:val="21"/>
                <w:highlight w:val="none"/>
              </w:rPr>
              <w:t>b) 配备不少于四路 RS485下行通讯端口，一个下行通讯端口支持同通讯波特率及校验核设备的同时接入；</w:t>
            </w:r>
          </w:p>
        </w:tc>
      </w:tr>
      <w:tr>
        <w:tblPrEx>
          <w:tblCellMar>
            <w:top w:w="0" w:type="dxa"/>
            <w:left w:w="0" w:type="dxa"/>
            <w:bottom w:w="0" w:type="dxa"/>
            <w:right w:w="0" w:type="dxa"/>
          </w:tblCellMar>
        </w:tblPrEx>
        <w:trPr>
          <w:trHeight w:val="2618"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pacing w:val="-3"/>
                <w:sz w:val="21"/>
                <w:szCs w:val="21"/>
                <w:highlight w:val="none"/>
              </w:rPr>
              <w:t>数据采集</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rPr>
                <w:rFonts w:hAnsi="宋体"/>
                <w:color w:val="auto"/>
                <w:sz w:val="21"/>
                <w:szCs w:val="21"/>
                <w:highlight w:val="none"/>
              </w:rPr>
            </w:pPr>
            <w:r>
              <w:rPr>
                <w:rFonts w:hint="eastAsia" w:hAnsi="宋体"/>
                <w:color w:val="auto"/>
                <w:sz w:val="21"/>
                <w:szCs w:val="21"/>
                <w:highlight w:val="none"/>
              </w:rPr>
              <w:t>a)有数据采集功能，通过 RS485总线连接到需采集的终端设备，经过智能网关主站协议 Q/GDW376.1-2013 把采集数据实时转发到后台系统；</w:t>
            </w:r>
          </w:p>
          <w:p>
            <w:pPr>
              <w:ind w:left="200"/>
              <w:rPr>
                <w:rFonts w:hAnsi="宋体"/>
                <w:color w:val="auto"/>
                <w:sz w:val="21"/>
                <w:szCs w:val="21"/>
                <w:highlight w:val="none"/>
              </w:rPr>
            </w:pPr>
            <w:r>
              <w:rPr>
                <w:rFonts w:hint="eastAsia" w:hAnsi="宋体"/>
                <w:color w:val="auto"/>
                <w:sz w:val="21"/>
                <w:szCs w:val="21"/>
                <w:highlight w:val="none"/>
              </w:rPr>
              <w:t>b)数据冻结功能：可根据设置，支持每 5 分钟、15 分钟、30 分钟、60 分钟定时数据冻结存储，自动冻结測量点号的冻结数据供采集系统抄读；</w:t>
            </w:r>
          </w:p>
          <w:p>
            <w:pPr>
              <w:ind w:left="200"/>
              <w:rPr>
                <w:rFonts w:hAnsi="宋体"/>
                <w:color w:val="auto"/>
                <w:sz w:val="21"/>
                <w:szCs w:val="21"/>
                <w:highlight w:val="none"/>
              </w:rPr>
            </w:pPr>
            <w:r>
              <w:rPr>
                <w:rFonts w:hint="eastAsia" w:hAnsi="宋体"/>
                <w:color w:val="auto"/>
                <w:sz w:val="21"/>
                <w:szCs w:val="21"/>
                <w:highlight w:val="none"/>
              </w:rPr>
              <w:t>c)大数据量存储：各测量点可存储 31 日冻结数据，最大支持 36 个月的历史</w:t>
            </w:r>
          </w:p>
          <w:p>
            <w:pPr>
              <w:ind w:left="200"/>
              <w:rPr>
                <w:rFonts w:hAnsi="宋体"/>
                <w:color w:val="auto"/>
                <w:sz w:val="21"/>
                <w:szCs w:val="21"/>
                <w:highlight w:val="none"/>
              </w:rPr>
            </w:pPr>
            <w:r>
              <w:rPr>
                <w:rFonts w:hint="eastAsia" w:hAnsi="宋体"/>
                <w:color w:val="auto"/>
                <w:sz w:val="21"/>
                <w:szCs w:val="21"/>
                <w:highlight w:val="none"/>
              </w:rPr>
              <w:t>d)记录，采用高可靠存储，数据保存时间不小于 120 个月。</w:t>
            </w:r>
          </w:p>
          <w:p>
            <w:pPr>
              <w:ind w:left="200"/>
              <w:rPr>
                <w:rFonts w:hAnsi="宋体"/>
                <w:color w:val="auto"/>
                <w:sz w:val="21"/>
                <w:szCs w:val="21"/>
                <w:highlight w:val="none"/>
              </w:rPr>
            </w:pPr>
            <w:r>
              <w:rPr>
                <w:rFonts w:hint="eastAsia" w:hAnsi="宋体"/>
                <w:color w:val="auto"/>
                <w:sz w:val="21"/>
                <w:szCs w:val="21"/>
                <w:highlight w:val="none"/>
              </w:rPr>
              <w:t>e)数据断点续传：数据上传支持断点续传；</w:t>
            </w:r>
          </w:p>
        </w:tc>
      </w:tr>
      <w:tr>
        <w:tblPrEx>
          <w:tblCellMar>
            <w:top w:w="0" w:type="dxa"/>
            <w:left w:w="0" w:type="dxa"/>
            <w:bottom w:w="0" w:type="dxa"/>
            <w:right w:w="0" w:type="dxa"/>
          </w:tblCellMar>
        </w:tblPrEx>
        <w:trPr>
          <w:trHeight w:val="594"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数据上报</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rPr>
                <w:rFonts w:hAnsi="宋体"/>
                <w:color w:val="auto"/>
                <w:sz w:val="21"/>
                <w:szCs w:val="21"/>
                <w:highlight w:val="none"/>
              </w:rPr>
            </w:pPr>
            <w:r>
              <w:rPr>
                <w:rFonts w:hint="eastAsia" w:hAnsi="宋体"/>
                <w:color w:val="auto"/>
                <w:sz w:val="21"/>
                <w:szCs w:val="21"/>
                <w:highlight w:val="none"/>
              </w:rPr>
              <w:t>a)主动上报功能：支持分钟级能耗数据主动上报；</w:t>
            </w:r>
          </w:p>
          <w:p>
            <w:pPr>
              <w:ind w:left="200"/>
              <w:rPr>
                <w:rFonts w:hAnsi="宋体"/>
                <w:color w:val="auto"/>
                <w:sz w:val="21"/>
                <w:szCs w:val="21"/>
                <w:highlight w:val="none"/>
              </w:rPr>
            </w:pPr>
            <w:r>
              <w:rPr>
                <w:rFonts w:hint="eastAsia" w:hAnsi="宋体"/>
                <w:color w:val="auto"/>
                <w:sz w:val="21"/>
                <w:szCs w:val="21"/>
                <w:highlight w:val="none"/>
              </w:rPr>
              <w:t>b）具有与至少2个数据中心同时通信转发数据的功能；</w:t>
            </w:r>
          </w:p>
        </w:tc>
      </w:tr>
      <w:tr>
        <w:tblPrEx>
          <w:tblCellMar>
            <w:top w:w="0" w:type="dxa"/>
            <w:left w:w="0" w:type="dxa"/>
            <w:bottom w:w="0" w:type="dxa"/>
            <w:right w:w="0" w:type="dxa"/>
          </w:tblCellMar>
        </w:tblPrEx>
        <w:trPr>
          <w:trHeight w:val="17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4</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智能功能</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Ansi="宋体"/>
                <w:color w:val="auto"/>
                <w:sz w:val="21"/>
                <w:szCs w:val="21"/>
                <w:highlight w:val="none"/>
              </w:rPr>
            </w:pPr>
            <w:r>
              <w:rPr>
                <w:rFonts w:hint="eastAsia" w:hAnsi="宋体"/>
                <w:color w:val="auto"/>
                <w:sz w:val="21"/>
                <w:szCs w:val="21"/>
                <w:highlight w:val="none"/>
              </w:rPr>
              <w:t xml:space="preserve">  a）设备支持停电上报功能，通讯线路短路、断路等异常事件主动上报功能 ; 能自动测试下行 RS485 通道负载情况，具有短路、过载指示功能，同时切断有故障的通道，保障设备不被损坏。</w:t>
            </w:r>
          </w:p>
          <w:p>
            <w:pPr>
              <w:ind w:left="200"/>
              <w:rPr>
                <w:rFonts w:hAnsi="宋体"/>
                <w:color w:val="auto"/>
                <w:sz w:val="21"/>
                <w:szCs w:val="21"/>
                <w:highlight w:val="none"/>
              </w:rPr>
            </w:pPr>
            <w:r>
              <w:rPr>
                <w:rFonts w:hint="eastAsia" w:hAnsi="宋体"/>
                <w:color w:val="auto"/>
                <w:sz w:val="21"/>
                <w:szCs w:val="21"/>
                <w:highlight w:val="none"/>
              </w:rPr>
              <w:t xml:space="preserve">b）具备智能寻表功能：对下行 RS485 通讯线路上的表计，具备自动搜表匹配通讯参数功能，减少现场调试工作量。                                                    </w:t>
            </w:r>
          </w:p>
        </w:tc>
      </w:tr>
      <w:tr>
        <w:tblPrEx>
          <w:tblCellMar>
            <w:top w:w="0" w:type="dxa"/>
            <w:left w:w="0" w:type="dxa"/>
            <w:bottom w:w="0" w:type="dxa"/>
            <w:right w:w="0" w:type="dxa"/>
          </w:tblCellMar>
        </w:tblPrEx>
        <w:trPr>
          <w:trHeight w:val="476"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5</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时钟控制</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hAnsi="宋体"/>
                <w:color w:val="auto"/>
                <w:sz w:val="21"/>
                <w:szCs w:val="21"/>
                <w:highlight w:val="none"/>
              </w:rPr>
            </w:pPr>
            <w:r>
              <w:rPr>
                <w:rFonts w:hint="eastAsia" w:hAnsi="宋体"/>
                <w:color w:val="auto"/>
                <w:sz w:val="21"/>
                <w:szCs w:val="21"/>
                <w:highlight w:val="none"/>
              </w:rPr>
              <w:t>带硬件时钟，可保证集中器时钟长期准确、稳定。</w:t>
            </w:r>
          </w:p>
        </w:tc>
      </w:tr>
      <w:tr>
        <w:tblPrEx>
          <w:tblCellMar>
            <w:top w:w="0" w:type="dxa"/>
            <w:left w:w="0" w:type="dxa"/>
            <w:bottom w:w="0" w:type="dxa"/>
            <w:right w:w="0" w:type="dxa"/>
          </w:tblCellMar>
        </w:tblPrEx>
        <w:trPr>
          <w:trHeight w:val="766"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6</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运行维护</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rPr>
                <w:rFonts w:hAnsi="宋体"/>
                <w:color w:val="auto"/>
                <w:sz w:val="21"/>
                <w:szCs w:val="21"/>
                <w:highlight w:val="none"/>
              </w:rPr>
            </w:pPr>
            <w:r>
              <w:rPr>
                <w:rFonts w:hint="eastAsia" w:hAnsi="宋体"/>
                <w:color w:val="auto"/>
                <w:sz w:val="21"/>
                <w:szCs w:val="21"/>
                <w:highlight w:val="none"/>
              </w:rPr>
              <w:t>a)本地运维：具备从本地蓝牙通讯端口配置通讯主站、端口、在线和离线等通讯参数，并监控设备运行情况，查询并导出设备运行日志功能。</w:t>
            </w:r>
          </w:p>
          <w:p>
            <w:pPr>
              <w:ind w:left="200"/>
              <w:rPr>
                <w:rFonts w:hAnsi="宋体"/>
                <w:color w:val="auto"/>
                <w:sz w:val="21"/>
                <w:szCs w:val="21"/>
                <w:highlight w:val="none"/>
              </w:rPr>
            </w:pPr>
            <w:r>
              <w:rPr>
                <w:rFonts w:hint="eastAsia" w:hAnsi="宋体"/>
                <w:color w:val="auto"/>
                <w:sz w:val="21"/>
                <w:szCs w:val="21"/>
                <w:highlight w:val="none"/>
              </w:rPr>
              <w:t>b）远程运维：主站配备运维通道，支持设备管理，自动侦测设备停电、通讯线路短路、断路、过载等异常事件，并配置专用的运维APP，主动推送相关信息给运维人员。</w:t>
            </w:r>
          </w:p>
        </w:tc>
      </w:tr>
      <w:tr>
        <w:tblPrEx>
          <w:tblCellMar>
            <w:top w:w="0" w:type="dxa"/>
            <w:left w:w="0" w:type="dxa"/>
            <w:bottom w:w="0" w:type="dxa"/>
            <w:right w:w="0" w:type="dxa"/>
          </w:tblCellMar>
        </w:tblPrEx>
        <w:trPr>
          <w:trHeight w:val="551"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7</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升级功能</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rPr>
                <w:rFonts w:hAnsi="宋体"/>
                <w:color w:val="auto"/>
                <w:sz w:val="21"/>
                <w:szCs w:val="21"/>
                <w:highlight w:val="none"/>
              </w:rPr>
            </w:pPr>
            <w:r>
              <w:rPr>
                <w:rFonts w:hint="eastAsia" w:hAnsi="宋体"/>
                <w:color w:val="auto"/>
                <w:sz w:val="21"/>
                <w:szCs w:val="21"/>
                <w:highlight w:val="none"/>
              </w:rPr>
              <w:t>a)支持蓝牙、USB本地升级；</w:t>
            </w:r>
          </w:p>
          <w:p>
            <w:pPr>
              <w:ind w:left="200"/>
              <w:rPr>
                <w:rFonts w:hAnsi="宋体"/>
                <w:color w:val="auto"/>
                <w:sz w:val="21"/>
                <w:szCs w:val="21"/>
                <w:highlight w:val="none"/>
              </w:rPr>
            </w:pPr>
            <w:r>
              <w:rPr>
                <w:rFonts w:hint="eastAsia" w:hAnsi="宋体"/>
                <w:color w:val="auto"/>
                <w:sz w:val="21"/>
                <w:szCs w:val="21"/>
                <w:highlight w:val="none"/>
              </w:rPr>
              <w:t>b）远程自动升级维护；</w:t>
            </w:r>
          </w:p>
        </w:tc>
      </w:tr>
      <w:tr>
        <w:tblPrEx>
          <w:tblCellMar>
            <w:top w:w="0" w:type="dxa"/>
            <w:left w:w="0" w:type="dxa"/>
            <w:bottom w:w="0" w:type="dxa"/>
            <w:right w:w="0" w:type="dxa"/>
          </w:tblCellMar>
        </w:tblPrEx>
        <w:trPr>
          <w:trHeight w:val="457"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8</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质保期</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Ansi="宋体"/>
                <w:color w:val="auto"/>
                <w:sz w:val="21"/>
                <w:szCs w:val="21"/>
                <w:highlight w:val="none"/>
              </w:rPr>
            </w:pPr>
            <w:r>
              <w:rPr>
                <w:rFonts w:hint="eastAsia" w:hAnsi="宋体"/>
                <w:color w:val="auto"/>
                <w:sz w:val="21"/>
                <w:szCs w:val="21"/>
                <w:highlight w:val="none"/>
              </w:rPr>
              <w:t xml:space="preserve">  设备质保不低于5年</w:t>
            </w:r>
          </w:p>
        </w:tc>
      </w:tr>
    </w:tbl>
    <w:p>
      <w:pPr>
        <w:pStyle w:val="50"/>
        <w:ind w:left="648"/>
        <w:rPr>
          <w:rFonts w:ascii="宋体" w:hAnsi="宋体"/>
          <w:color w:val="auto"/>
          <w:szCs w:val="21"/>
          <w:highlight w:val="none"/>
        </w:rPr>
      </w:pPr>
    </w:p>
    <w:p>
      <w:pPr>
        <w:pStyle w:val="50"/>
        <w:ind w:left="648"/>
        <w:rPr>
          <w:rFonts w:ascii="宋体" w:hAnsi="宋体"/>
          <w:color w:val="auto"/>
          <w:szCs w:val="21"/>
          <w:highlight w:val="none"/>
        </w:rPr>
      </w:pPr>
    </w:p>
    <w:p>
      <w:pPr>
        <w:rPr>
          <w:rFonts w:hAnsi="宋体"/>
          <w:color w:val="auto"/>
          <w:sz w:val="21"/>
          <w:szCs w:val="21"/>
          <w:highlight w:val="none"/>
          <w:shd w:val="clear" w:color="auto" w:fill="FFFFFF" w:themeFill="background1"/>
        </w:rPr>
      </w:pPr>
      <w:r>
        <w:rPr>
          <w:rFonts w:hint="eastAsia" w:hAnsi="宋体"/>
          <w:color w:val="auto"/>
          <w:sz w:val="21"/>
          <w:szCs w:val="21"/>
          <w:highlight w:val="none"/>
          <w:shd w:val="clear" w:color="auto" w:fill="FFFFFF" w:themeFill="background1"/>
        </w:rPr>
        <w:t>6、系统功能</w:t>
      </w:r>
    </w:p>
    <w:p>
      <w:pPr>
        <w:ind w:firstLine="420" w:firstLineChars="200"/>
        <w:rPr>
          <w:rFonts w:hAnsi="宋体"/>
          <w:color w:val="auto"/>
          <w:sz w:val="21"/>
          <w:szCs w:val="21"/>
          <w:highlight w:val="none"/>
        </w:rPr>
      </w:pPr>
      <w:r>
        <w:rPr>
          <w:rFonts w:hint="eastAsia" w:hAnsi="宋体"/>
          <w:color w:val="auto"/>
          <w:sz w:val="21"/>
          <w:szCs w:val="21"/>
          <w:highlight w:val="none"/>
        </w:rPr>
        <w:t>系统需为本地化部署，系统需满足以下功能：</w:t>
      </w:r>
    </w:p>
    <w:p>
      <w:pPr>
        <w:spacing w:line="560" w:lineRule="exact"/>
        <w:ind w:firstLine="420" w:firstLineChars="200"/>
        <w:rPr>
          <w:rFonts w:hAnsi="宋体"/>
          <w:color w:val="auto"/>
          <w:sz w:val="21"/>
          <w:szCs w:val="21"/>
          <w:highlight w:val="none"/>
          <w:shd w:val="clear" w:color="auto" w:fill="FFFFFF" w:themeFill="background1"/>
        </w:rPr>
      </w:pPr>
      <w:r>
        <w:rPr>
          <w:rFonts w:hint="eastAsia" w:hAnsi="宋体"/>
          <w:color w:val="auto"/>
          <w:sz w:val="21"/>
          <w:szCs w:val="21"/>
          <w:highlight w:val="none"/>
          <w:shd w:val="clear" w:color="auto" w:fill="FFFFFF" w:themeFill="background1"/>
        </w:rPr>
        <w:t>1.能耗管理首页：系统需可以将能源数据发布到平台上，展现当前建筑群、建筑的总能耗值、不同建筑的不同类别的各类能耗值等。</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shd w:val="clear" w:color="auto" w:fill="FFFFFF" w:themeFill="background1"/>
        </w:rPr>
        <w:t>2.实时监测：对于建筑用电（空调、照明、动力用电等分项</w:t>
      </w:r>
      <w:r>
        <w:rPr>
          <w:rFonts w:hint="eastAsia" w:hAnsi="宋体"/>
          <w:color w:val="auto"/>
          <w:sz w:val="21"/>
          <w:szCs w:val="21"/>
          <w:highlight w:val="none"/>
        </w:rPr>
        <w:t>）、用水等能源消耗进行实时计量、监测，确保各用能环节的安全持续运行，包含用电回路监测、用电结构图、用水结构图、在线监测（当日）图表曲线、设备报警等功能。</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3.实时数据查询：动态显示整个电力系统单线图、供水系统管网图等，系统实时显示从各类能耗测量仪表中通过通讯方式获取的各种数据，以便用户及时了解电力系统、用水系统等中各自的运行参数，这些数据包括：电量、电流、电压、功率、功率因数、谐波（变电所）等重要电气参数；用水量、累计用水量、电表读数等参数； 瞬时流量、累计流量、温度等其它能源参数。</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4.网络通讯：系统具有良好的网络显示、诊断功能，能在线显示能耗监测平台的网络通讯状态，发生网络故障时，能在屏幕上显示故障单元和故障部位。平台具有良好的开放性，能方便的与其他系统通讯，如变配电监控系统、远程抄表计量系统、用水监测系统、楼宇监控系统、DCS 系统、ECS 系统等，实现各平台、各系统间的数据共享。</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5.电能质量管理：对于整个系统范围内的电能质量和电能使用可靠性状况进行持续的监测，系统需提供了全面的电能质量管理和分析功能，可以通过用电结构图进行直观展示用电数据的变化，分析功能有：电压波动、电压骤升骤降、三相不平衡、瞬变等，帮助完成变电所回路谐波评估工作，判断系统内的谐波产生源，为治理主要谐波污染提供有力依据。确保重点区域如网络中心等处的精密设备的用电安全。</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6.历史查询：系统收集各监测控制与管理装置的实时数据并存储在本地数据库，可保存长时段的历史记录。平台可以标准和设定文件格式随时调用和打印上述历史数据，自动生成历史用能趋势曲线，历史用能趋势曲线应具有三年以上的回溯长度窗口。</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7.能耗分析：系统可灵活选择年/月/日等方式查询各楼栋建筑用水、用电等能耗情况，采用图、表、曲线、折线等方式直观对比显示各用能区域能耗情况。</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8.建筑分类能耗汇总：系统可灵活选择年/月/日等方式查询各建筑用能情况，采用 饼图、表格等方式直观对比显示各建筑用水、用电等能耗数据，查询不同功用类型建筑 水、电等用能统计及对比分析。</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9.用电分项能耗分析：系统按照二、三级计量要求（如照明插座、空调用电、动力用电、特殊用电等），对不同的终端用电进行分项智能分析、趋势预测、历史查询等。</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10.智能报表：系统包含综合能耗报表（年/月/日），也可设定年/月的快捷报表，对于能耗数据提供同比、类比、环比、离散分析、差异对比分析等分析功能，同时支持在线查询、word/excel 报表导出及在线打印功能。</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11.节能监测：系统对关键指标、能效考核、重要监测项目进行监测并提供自主配 置标准值、监测项及应对策略的功能，包含能效分析、节能量对比核算等。</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12.监测与报警：系统在能源参数的越限、设备重要状态变化、通讯中断时触发报警，按高低重要性等级分类的系统级报警，同时系统还支持定期的邮件报警等。</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13.能效管理：系统帮助建立能耗的考核制度，以建筑为单位能耗统计，包括：单位面积综合能耗、单位面积空调能耗、单位面积照明能耗等进行关键指标能耗考核分析，方便节能处管理人员对机关建筑用能情况进行评估。</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14.用能计划预警：根据能耗统计历史数据为每个建筑、各类设备或各用能环节的 用能量设置定额；建立用能计划模型、分配使用计划，建立能耗超标报警机制，当实际用能超过计划值或是预警值时，平台进行报警提示。</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15.能效公示与排名：系统提供能耗公示、分类建筑能耗排名，从而督促能耗较高的机关建筑进行分析、整改等动作。</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16.资产管理；建立通信产品、计量设备的资产台账，通过系统对能源设备等信息 进行综合管理、日常维护、系统报警等。</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17.安全验证：软件的使用期限，使用模块采用硬件加密方式授权，进行保护防止破解；通过web.config 中的相关身份配置，IIS 中的安全设置，以及防火墙，杀毒软 件的设置进行对软件的访问安全性保护和数据存储安全。</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18.用户管理：本系统软件为系统管理员、后勤管理人员、设备维护人员等提供分级密码，并对所有操作自动进行带时标事件记录，可建立良好的反事故措施。所有的系统操作员能够根据权限大小赋予某特性，这些特性规定了各个操作员对系统及各种活动 的适用范围，如用户名，口令字，操作权限及操作范围等特性。</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19.数据采集处理：系统通过能耗自动采集对各项能耗参数进行实时采集监测，可以实现报表的定义、录入、审核、汇总、发布、管理的一体化业务处理，通过系统权限 控制，实现不同层次用户的报表及数据管理。</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20.能耗数据补录：对一些暂时未实现自动化采集的设备，可以人工补录，以保证数据的完整性和统计数据的准确性。同时对建筑面积、功能区域划分、人员情况、运转时间等客观数据实现录入或导入，人工成本等计算模型，逐步完善成一个综合性数据管理分析的系统。</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21.系统扩容：系统可以纳入已有或未来新建的子系统，如：变配电监控系统、 智能照明节电系统、智能空调节电系统、光伏能源系统等相关节能系统，完善能耗数据库作为能源管理系统的数据分析基础。</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22.系统操作日志、账户操作日志和追踪审计：系统将把每个操作员所做的每一步操作都记录在数据库中，对其所有的操作都有可追溯性。</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23.对房间、硬件的各项操作可批量或个别进行： 系统允许对房间和硬件进行预定义分组，当对用户进行各项操作时，均可按组进行操作。</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24.掉电数据保护、断电恢复功能：当电脑因非正常关机而引起数据库损坏时，系统 软件会自动对数据库进行修复，绝对保障数据的安全。</w:t>
      </w:r>
    </w:p>
    <w:p>
      <w:pPr>
        <w:spacing w:line="560" w:lineRule="exact"/>
        <w:ind w:firstLine="420" w:firstLineChars="200"/>
        <w:rPr>
          <w:rFonts w:hAnsi="宋体"/>
          <w:color w:val="auto"/>
          <w:sz w:val="21"/>
          <w:szCs w:val="21"/>
          <w:highlight w:val="none"/>
        </w:rPr>
      </w:pPr>
      <w:r>
        <w:rPr>
          <w:rFonts w:hint="eastAsia" w:hAnsi="宋体"/>
          <w:color w:val="auto"/>
          <w:sz w:val="21"/>
          <w:szCs w:val="21"/>
          <w:highlight w:val="none"/>
        </w:rPr>
        <w:t>25.用电数据统计功能：包含操作日志、报警、各房间用电数据报表、各操作员财务账单等，支持报表打印功能，报表形式多样灵活，统计准确快速。</w:t>
      </w:r>
    </w:p>
    <w:p>
      <w:pPr>
        <w:pStyle w:val="6"/>
        <w:spacing w:line="360" w:lineRule="auto"/>
        <w:ind w:firstLine="422" w:firstLineChars="200"/>
        <w:jc w:val="both"/>
        <w:rPr>
          <w:color w:val="auto"/>
          <w:sz w:val="21"/>
          <w:szCs w:val="21"/>
          <w:highlight w:val="none"/>
        </w:rPr>
      </w:pPr>
      <w:r>
        <w:rPr>
          <w:rFonts w:hint="eastAsia"/>
          <w:color w:val="auto"/>
          <w:sz w:val="21"/>
          <w:szCs w:val="21"/>
          <w:highlight w:val="none"/>
        </w:rPr>
        <w:t>三、采购清单</w:t>
      </w:r>
    </w:p>
    <w:p>
      <w:pPr>
        <w:pStyle w:val="2"/>
        <w:jc w:val="left"/>
        <w:rPr>
          <w:color w:val="auto"/>
          <w:highlight w:val="none"/>
        </w:rPr>
      </w:pPr>
      <w:r>
        <w:rPr>
          <w:rFonts w:hint="eastAsia"/>
          <w:color w:val="auto"/>
          <w:sz w:val="21"/>
          <w:szCs w:val="21"/>
          <w:highlight w:val="none"/>
        </w:rPr>
        <w:t>投标人投标前应实地考察采购方的安装现场并作出充分的估计。以下列出系统使用的主要设备的材料、规格、型号和数量。未列明但实际需要的设备、材料及数量由投标者按要求自行计定后确定，费用包含在投标总价内（其中管线</w:t>
      </w:r>
      <w:r>
        <w:rPr>
          <w:rFonts w:hint="eastAsia"/>
          <w:color w:val="auto"/>
          <w:sz w:val="21"/>
          <w:szCs w:val="21"/>
          <w:highlight w:val="none"/>
          <w:lang w:val="en-US"/>
        </w:rPr>
        <w:t>敷设（清单5-8项、23-26项、42-45项）</w:t>
      </w:r>
      <w:r>
        <w:rPr>
          <w:rFonts w:hint="eastAsia"/>
          <w:color w:val="auto"/>
          <w:sz w:val="21"/>
          <w:szCs w:val="21"/>
          <w:highlight w:val="none"/>
        </w:rPr>
        <w:t>根据</w:t>
      </w:r>
      <w:r>
        <w:rPr>
          <w:rFonts w:hint="eastAsia"/>
          <w:color w:val="auto"/>
          <w:sz w:val="21"/>
          <w:szCs w:val="21"/>
          <w:highlight w:val="none"/>
          <w:lang w:val="en-US"/>
        </w:rPr>
        <w:t>竣工图</w:t>
      </w:r>
      <w:r>
        <w:rPr>
          <w:rFonts w:hint="eastAsia"/>
          <w:color w:val="auto"/>
          <w:sz w:val="21"/>
          <w:szCs w:val="21"/>
          <w:highlight w:val="none"/>
        </w:rPr>
        <w:t>纸据实结算），采购人将不再追加任何费用。</w:t>
      </w:r>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1535"/>
        <w:gridCol w:w="6477"/>
        <w:gridCol w:w="562"/>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单相费控智能表(壁挂)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1.名称:单相费控智能表(壁挂)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三相费控智能表(壁挂)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1.名称:三相费控智能表(壁挂)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0" w:type="auto"/>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0" w:type="auto"/>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0" w:type="auto"/>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三相导轨电能表4P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1.名称:三相导轨电能表4P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电表集中器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1.名称:电表集中器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能要求:1）有数据采集功能、实时转发到后台系统；2)数据冻结功能；3)大数据量存储；4)数据断点续传；5）设备支持停电上报功能、异常事件主动上报功能；6）具备智能寻表、匹配通讯功能；7）支持蓝牙、USB本地升级、远程自动升级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PVVSP-2*1.0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3.规格:RVVP2*1.0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3.规格:RVV3*1.5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PVC管 DN20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2.材质:刚性难燃管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3.规格:PVC管 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楼层穿孔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1.名称:楼层穿孔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采集器箱体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1.名称:采集器箱体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2.三相电能表拆除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抄表采集系统设备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1.名称:抄表采集系统安装调试 多表采集智能终端调试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2.详见系统功能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H3-3号公租房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单相费控智能表(壁挂)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1.名称:单相费控智能表(壁挂)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三相费控智能表(壁挂)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1.名称:三相费控智能表(壁挂)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智能有线冷水表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1.名称:智能有线冷水表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智能有线冷水表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1.名称:智能有线冷水表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智能有线冷水表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1.名称:智能有线冷水表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智能远传热水表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1.名称:智能远传热水表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无线NB热水表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1.名称:无线NB热水表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4.功能:1）具有物联网无线通讯模块及本地蓝牙通讯模块；2）具有电池欠压，计量异常告警通知；3）可设定阶梯水价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无线NB冷水表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1.名称:无线NB冷水表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4.功能:1）具有物联网无线通讯模块及本地蓝牙通讯模块；2）具有电池欠压，计量异常告警通知；3）可设定阶梯水价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水表集中器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1.名称:水表集中器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能要求:1）有数据采集功能、实时转发到后台系统；2)数据冻结功能；3)大数据量存储；4)数据断点续传；5）设备支持停电上报功能、异常事件主动上报功能；6）具备智能寻表、匹配通讯功能；7）支持蓝牙、USB本地升级、远程自动升级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电表集中器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1.名称:电表集中器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能要求:1）有数据采集功能、实时转发到后台系统；2)数据冻结功能；3)大数据量存储；4)数据断点续传；5）设备支持停电上报功能、异常事件主动上报功能；6）具备智能寻表、匹配通讯功能；7）支持蓝牙、USB本地升级、远程自动升级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PVVSP-2*1.0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3.规格:RVVP2*1.0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3.规格:RVV3*1.5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PVC管 DN20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2.材质:刚性难燃管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3.规格:PVC管 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楼层穿孔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1.名称:楼层穿孔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采集器箱体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1.名称:采集器箱体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2.三相电能表拆除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水表拆装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2.DN50~DN150口径类拆除及安装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水表拆装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2.DN15~DN40口径类拆除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抄表采集系统设备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1.名称:抄表采集系统安装调试 多表采集智能终端调试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2.详见系统功能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H2-2号公租房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单相费控智能表(壁挂)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1.名称:单相费控智能表(壁挂)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三相费控智能表(壁挂)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1.名称:三相费控智能表(壁挂)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智能有线冷水表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1.名称:智能有线冷水表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智能有线冷水表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1.名称:智能有线冷水表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智能远传热水表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1.名称:智能远传热水表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无线NB热水表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1.名称:无线NB热水表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4.功能:1）具有物联网无线通讯模块及本地蓝牙通讯模块；2）具有电池欠压，计量异常告警通知；3）可设定阶梯水价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无线NB冷水表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1.名称:无线NB冷水表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4.功能:1）具有物联网无线通讯模块及本地蓝牙通讯模块；2）具有电池欠压，计量异常告警通知；3）可设定阶梯水价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水表集中器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1.名称:水表集中器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能要求:1）有数据采集功能、实时转发到后台系统；2)数据冻结功能；3)大数据量存储；4)数据断点续传；5）设备支持停电上报功能、异常事件主动上报功能；6）具备智能寻表、匹配通讯功能；7）支持蓝牙、USB本地升级、远程自动升级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电表集中器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1.名称:电表集中器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能要求:1）有数据采集功能、实时转发到后台系统；2)数据冻结功能；3)大数据量存储；4)数据断点续传；5）设备支持停电上报功能、异常事件主动上报功能；6）具备智能寻表、匹配通讯功能；7）支持蓝牙、USB本地升级、远程自动升级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PVVSP-2*1.0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3.规格:RVVP2*1.0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RVV3*1.5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3.规格:RVV3*1.5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PVC管 DN20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2.材质:刚性难燃管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3.规格:PVC管 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楼层穿孔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1.名称:楼层穿孔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2.工程量暂定，需据实结算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采集器箱体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1.名称:采集器箱体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2.三相电能表拆除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2.单相电能表拆除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水表拆装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2.DN15~DN40口径类拆除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抄表采集系统设备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1.名称:抄表采集系统安装调试 多表采集智能终端调试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2.详见系统功能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r>
    </w:tbl>
    <w:p>
      <w:pPr>
        <w:rPr>
          <w:color w:val="auto"/>
          <w:highlight w:val="none"/>
        </w:rPr>
      </w:pPr>
    </w:p>
    <w:p>
      <w:pPr>
        <w:pStyle w:val="6"/>
        <w:spacing w:line="360" w:lineRule="auto"/>
        <w:ind w:firstLine="422" w:firstLineChars="200"/>
        <w:jc w:val="both"/>
        <w:rPr>
          <w:color w:val="auto"/>
          <w:sz w:val="21"/>
          <w:szCs w:val="21"/>
          <w:highlight w:val="none"/>
        </w:rPr>
      </w:pPr>
      <w:r>
        <w:rPr>
          <w:rFonts w:hint="eastAsia"/>
          <w:color w:val="auto"/>
          <w:sz w:val="21"/>
          <w:szCs w:val="21"/>
          <w:highlight w:val="none"/>
        </w:rPr>
        <w:t>四、设备技术参数要求</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320"/>
        <w:gridCol w:w="631"/>
        <w:gridCol w:w="1500"/>
        <w:gridCol w:w="6505"/>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93" w:type="pct"/>
            <w:shd w:val="clear" w:color="auto" w:fill="FFFFFF"/>
            <w:noWrap/>
            <w:vAlign w:val="center"/>
          </w:tcPr>
          <w:p>
            <w:pPr>
              <w:textAlignment w:val="center"/>
              <w:rPr>
                <w:rFonts w:hAnsi="宋体"/>
                <w:color w:val="auto"/>
                <w:sz w:val="18"/>
                <w:szCs w:val="18"/>
                <w:highlight w:val="none"/>
              </w:rPr>
            </w:pPr>
            <w:r>
              <w:rPr>
                <w:rFonts w:hint="eastAsia" w:hAnsi="宋体"/>
                <w:color w:val="auto"/>
                <w:sz w:val="18"/>
                <w:szCs w:val="18"/>
                <w:highlight w:val="none"/>
                <w:lang w:bidi="ar"/>
              </w:rPr>
              <w:t>序号</w:t>
            </w:r>
          </w:p>
        </w:tc>
        <w:tc>
          <w:tcPr>
            <w:tcW w:w="514" w:type="pct"/>
            <w:shd w:val="clear" w:color="auto" w:fill="FFFFFF"/>
            <w:vAlign w:val="center"/>
          </w:tcPr>
          <w:p>
            <w:pPr>
              <w:jc w:val="cente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lang w:bidi="ar"/>
              </w:rPr>
              <w:t>类别</w:t>
            </w: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名称</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型号规格</w:t>
            </w:r>
          </w:p>
        </w:tc>
        <w:tc>
          <w:tcPr>
            <w:tcW w:w="1602"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主要参数</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w:t>
            </w:r>
          </w:p>
        </w:tc>
        <w:tc>
          <w:tcPr>
            <w:tcW w:w="514" w:type="pct"/>
            <w:vMerge w:val="restart"/>
            <w:shd w:val="clear" w:color="auto" w:fill="FFFFFF"/>
            <w:vAlign w:val="center"/>
          </w:tcPr>
          <w:p>
            <w:pPr>
              <w:jc w:val="cente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b/>
                <w:bCs/>
                <w:color w:val="auto"/>
                <w:sz w:val="16"/>
                <w:szCs w:val="16"/>
                <w:highlight w:val="none"/>
                <w:lang w:bidi="ar"/>
              </w:rPr>
              <w:t>硬件类</w:t>
            </w:r>
          </w:p>
        </w:tc>
        <w:tc>
          <w:tcPr>
            <w:tcW w:w="947" w:type="pct"/>
            <w:shd w:val="clear" w:color="auto" w:fill="FFFFFF"/>
            <w:vAlign w:val="center"/>
          </w:tcPr>
          <w:p>
            <w:pPr>
              <w:ind w:firstLine="320" w:firstLineChars="200"/>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智能单相电表</w:t>
            </w:r>
          </w:p>
        </w:tc>
        <w:tc>
          <w:tcPr>
            <w:tcW w:w="1214" w:type="pct"/>
            <w:shd w:val="clear" w:color="auto" w:fill="FFFFFF"/>
            <w:noWrap/>
            <w:vAlign w:val="center"/>
          </w:tcPr>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电流：5（60）A</w:t>
            </w:r>
          </w:p>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电压：220V</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1.技术要求满足或高于智能硬件中智能电表技术要求；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2</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智能三相表</w:t>
            </w:r>
          </w:p>
        </w:tc>
        <w:tc>
          <w:tcPr>
            <w:tcW w:w="1214" w:type="pct"/>
            <w:shd w:val="clear" w:color="auto" w:fill="FFFFFF"/>
            <w:noWrap/>
            <w:vAlign w:val="center"/>
          </w:tcPr>
          <w:p>
            <w:pPr>
              <w:textAlignment w:val="center"/>
              <w:rPr>
                <w:color w:val="auto"/>
                <w:sz w:val="18"/>
                <w:szCs w:val="18"/>
                <w:highlight w:val="none"/>
              </w:rPr>
            </w:pPr>
            <w:r>
              <w:rPr>
                <w:rFonts w:hint="eastAsia"/>
                <w:color w:val="auto"/>
                <w:sz w:val="18"/>
                <w:szCs w:val="18"/>
                <w:highlight w:val="none"/>
              </w:rPr>
              <w:t xml:space="preserve">电流：3*1.5（6）A; </w:t>
            </w:r>
          </w:p>
          <w:p>
            <w:pPr>
              <w:ind w:firstLine="540" w:firstLineChars="300"/>
              <w:textAlignment w:val="center"/>
              <w:rPr>
                <w:color w:val="auto"/>
                <w:sz w:val="18"/>
                <w:szCs w:val="18"/>
                <w:highlight w:val="none"/>
              </w:rPr>
            </w:pPr>
            <w:r>
              <w:rPr>
                <w:rFonts w:hint="eastAsia"/>
                <w:color w:val="auto"/>
                <w:sz w:val="18"/>
                <w:szCs w:val="18"/>
                <w:highlight w:val="none"/>
              </w:rPr>
              <w:t>3*5（60）A;</w:t>
            </w:r>
          </w:p>
          <w:p>
            <w:pPr>
              <w:ind w:firstLine="540" w:firstLineChars="300"/>
              <w:textAlignment w:val="center"/>
              <w:rPr>
                <w:color w:val="auto"/>
                <w:sz w:val="18"/>
                <w:szCs w:val="18"/>
                <w:highlight w:val="none"/>
              </w:rPr>
            </w:pPr>
            <w:r>
              <w:rPr>
                <w:rFonts w:hint="eastAsia"/>
                <w:color w:val="auto"/>
                <w:sz w:val="18"/>
                <w:szCs w:val="18"/>
                <w:highlight w:val="none"/>
              </w:rPr>
              <w:t>3*10（100）A；</w:t>
            </w:r>
          </w:p>
          <w:p>
            <w:pPr>
              <w:spacing w:after="120"/>
              <w:ind w:firstLine="360" w:firstLineChars="200"/>
              <w:rPr>
                <w:color w:val="auto"/>
                <w:highlight w:val="none"/>
              </w:rPr>
            </w:pPr>
            <w:r>
              <w:rPr>
                <w:rFonts w:hint="eastAsia"/>
                <w:color w:val="auto"/>
                <w:sz w:val="18"/>
                <w:szCs w:val="18"/>
                <w:highlight w:val="none"/>
              </w:rPr>
              <w:t>电压：3*220/380V</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1.技术要求满足或高于智能硬件中智能电表技术要求；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3</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智能三相导轨电表</w:t>
            </w:r>
          </w:p>
        </w:tc>
        <w:tc>
          <w:tcPr>
            <w:tcW w:w="1214" w:type="pct"/>
            <w:shd w:val="clear" w:color="auto" w:fill="FFFFFF"/>
            <w:noWrap/>
            <w:vAlign w:val="center"/>
          </w:tcPr>
          <w:p>
            <w:pPr>
              <w:textAlignment w:val="center"/>
              <w:rPr>
                <w:color w:val="auto"/>
                <w:sz w:val="18"/>
                <w:szCs w:val="18"/>
                <w:highlight w:val="none"/>
              </w:rPr>
            </w:pPr>
            <w:r>
              <w:rPr>
                <w:rFonts w:hint="eastAsia"/>
                <w:color w:val="auto"/>
                <w:sz w:val="18"/>
                <w:szCs w:val="18"/>
                <w:highlight w:val="none"/>
              </w:rPr>
              <w:t xml:space="preserve">电流：3*1.5（6）A; </w:t>
            </w:r>
          </w:p>
          <w:p>
            <w:pPr>
              <w:ind w:firstLine="540" w:firstLineChars="300"/>
              <w:textAlignment w:val="center"/>
              <w:rPr>
                <w:color w:val="auto"/>
                <w:sz w:val="18"/>
                <w:szCs w:val="18"/>
                <w:highlight w:val="none"/>
              </w:rPr>
            </w:pPr>
            <w:r>
              <w:rPr>
                <w:rFonts w:hint="eastAsia"/>
                <w:color w:val="auto"/>
                <w:sz w:val="18"/>
                <w:szCs w:val="18"/>
                <w:highlight w:val="none"/>
              </w:rPr>
              <w:t>3*5（60）A;</w:t>
            </w:r>
          </w:p>
          <w:p>
            <w:pPr>
              <w:ind w:firstLine="540" w:firstLineChars="300"/>
              <w:textAlignment w:val="center"/>
              <w:rPr>
                <w:color w:val="auto"/>
                <w:sz w:val="18"/>
                <w:szCs w:val="18"/>
                <w:highlight w:val="none"/>
              </w:rPr>
            </w:pPr>
            <w:r>
              <w:rPr>
                <w:rFonts w:hint="eastAsia"/>
                <w:color w:val="auto"/>
                <w:sz w:val="18"/>
                <w:szCs w:val="18"/>
                <w:highlight w:val="none"/>
              </w:rPr>
              <w:t>3*10（100）A；</w:t>
            </w:r>
          </w:p>
          <w:p>
            <w:pPr>
              <w:textAlignment w:val="center"/>
              <w:rPr>
                <w:rFonts w:ascii="微软雅黑" w:hAnsi="微软雅黑" w:eastAsia="微软雅黑" w:cs="微软雅黑"/>
                <w:color w:val="auto"/>
                <w:sz w:val="18"/>
                <w:szCs w:val="18"/>
                <w:highlight w:val="none"/>
              </w:rPr>
            </w:pPr>
            <w:r>
              <w:rPr>
                <w:rFonts w:hint="eastAsia"/>
                <w:color w:val="auto"/>
                <w:sz w:val="18"/>
                <w:szCs w:val="18"/>
                <w:highlight w:val="none"/>
              </w:rPr>
              <w:t xml:space="preserve">电压：3*220/380V </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1.尺寸：4P导轨式；</w:t>
            </w:r>
          </w:p>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2.技术要求满足或高于智能硬件中智能电表技术要求；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4</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智能有线冷水表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DN20</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2.技术要求满足或高于智能硬件中智能有线水表技术要求；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5</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智能有线冷水表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DN32</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2.技术要求满足或高于智能硬件中智能有线水表技术要求；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6</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智能有线冷水表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DN50</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2.技术要求满足或高于智能硬件中智能有线水表技术要求；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7</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智能有线热水表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DN15</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2.技术要求满足或高于智能硬件中智能有线水表技术要求；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8</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无线NB热水表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DN15</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2.技术要求满足或高于智能硬件中智能无线水表技术要求；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9</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无线NB冷水表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DN20</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2.技术要求满足或高于智能硬件中智能无线水表技术要求；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10</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水表集中器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1.技术要求满足或高于智能硬件中相关集中器技术要求；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11</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电表集中器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1.技术要求满足或高于智能硬件中相关集中器技术要求；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12</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系统部署</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云端通讯</w:t>
            </w:r>
          </w:p>
        </w:tc>
        <w:tc>
          <w:tcPr>
            <w:tcW w:w="1602" w:type="pct"/>
            <w:shd w:val="clear" w:color="auto" w:fill="FFFFFF"/>
            <w:noWrap/>
            <w:vAlign w:val="center"/>
          </w:tcPr>
          <w:p>
            <w:pPr>
              <w:ind w:firstLine="800" w:firstLineChars="500"/>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项目内容分配</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13</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vMerge w:val="restar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数据采集</w:t>
            </w:r>
          </w:p>
        </w:tc>
        <w:tc>
          <w:tcPr>
            <w:tcW w:w="1214"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三相电力监测仪                                     3*1.5（6）A  3*220/380V</w:t>
            </w:r>
          </w:p>
        </w:tc>
        <w:tc>
          <w:tcPr>
            <w:tcW w:w="1602" w:type="pct"/>
            <w:shd w:val="clear" w:color="auto" w:fill="FFFFFF"/>
            <w:noWrap/>
            <w:vAlign w:val="center"/>
          </w:tcPr>
          <w:p>
            <w:pPr>
              <w:jc w:val="cente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集成现场所有具备通讯接口三相电力仪表，系统集成计量收费、能耗监测板块功能；</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14</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vMerge w:val="continue"/>
            <w:shd w:val="clear" w:color="auto" w:fill="FFFFFF"/>
            <w:vAlign w:val="center"/>
          </w:tcPr>
          <w:p>
            <w:pPr>
              <w:jc w:val="center"/>
              <w:rPr>
                <w:rFonts w:ascii="微软雅黑" w:hAnsi="微软雅黑" w:eastAsia="微软雅黑" w:cs="微软雅黑"/>
                <w:color w:val="auto"/>
                <w:sz w:val="18"/>
                <w:szCs w:val="18"/>
                <w:highlight w:val="none"/>
              </w:rPr>
            </w:pPr>
          </w:p>
        </w:tc>
        <w:tc>
          <w:tcPr>
            <w:tcW w:w="1214"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单相导轨表2P</w:t>
            </w:r>
          </w:p>
        </w:tc>
        <w:tc>
          <w:tcPr>
            <w:tcW w:w="1602" w:type="pct"/>
            <w:shd w:val="clear" w:color="auto" w:fill="FFFFFF"/>
            <w:noWrap/>
            <w:vAlign w:val="center"/>
          </w:tcPr>
          <w:p>
            <w:pPr>
              <w:jc w:val="cente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集成现场具备通讯接口智能导轨表，系统集成计量收费、能耗监测板块功能；</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15</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系统调试</w:t>
            </w:r>
          </w:p>
        </w:tc>
        <w:tc>
          <w:tcPr>
            <w:tcW w:w="1214" w:type="pct"/>
            <w:shd w:val="clear" w:color="auto" w:fill="FFFFFF"/>
            <w:noWrap/>
            <w:vAlign w:val="center"/>
          </w:tcPr>
          <w:p>
            <w:pPr>
              <w:jc w:val="center"/>
              <w:rPr>
                <w:rFonts w:ascii="微软雅黑" w:hAnsi="微软雅黑" w:eastAsia="微软雅黑" w:cs="微软雅黑"/>
                <w:b/>
                <w:bCs/>
                <w:color w:val="auto"/>
                <w:sz w:val="18"/>
                <w:szCs w:val="18"/>
                <w:highlight w:val="none"/>
              </w:rPr>
            </w:pPr>
            <w:r>
              <w:rPr>
                <w:rFonts w:hint="eastAsia" w:ascii="微软雅黑" w:hAnsi="微软雅黑" w:eastAsia="微软雅黑" w:cs="微软雅黑"/>
                <w:color w:val="auto"/>
                <w:sz w:val="18"/>
                <w:szCs w:val="18"/>
                <w:highlight w:val="none"/>
              </w:rPr>
              <w:t>/</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系统部署，现场勘测，档案建立，计量设备调试上线，培训指导操作</w:t>
            </w:r>
          </w:p>
        </w:tc>
        <w:tc>
          <w:tcPr>
            <w:tcW w:w="427" w:type="pct"/>
            <w:shd w:val="clear" w:color="auto" w:fill="FFFFFF"/>
            <w:noWrap/>
            <w:vAlign w:val="center"/>
          </w:tcPr>
          <w:p>
            <w:pPr>
              <w:jc w:val="center"/>
              <w:textAlignment w:val="center"/>
              <w:rPr>
                <w:rFonts w:ascii="微软雅黑" w:hAnsi="微软雅黑" w:eastAsia="微软雅黑" w:cs="微软雅黑"/>
                <w:b/>
                <w:bCs/>
                <w:color w:val="auto"/>
                <w:sz w:val="18"/>
                <w:szCs w:val="18"/>
                <w:highlight w:val="none"/>
              </w:rPr>
            </w:pPr>
            <w:r>
              <w:rPr>
                <w:rFonts w:hint="eastAsia" w:ascii="微软雅黑" w:hAnsi="微软雅黑" w:eastAsia="微软雅黑" w:cs="微软雅黑"/>
                <w:color w:val="auto"/>
                <w:sz w:val="18"/>
                <w:szCs w:val="18"/>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16</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 xml:space="preserve">软硬件整体运维 </w:t>
            </w:r>
          </w:p>
        </w:tc>
        <w:tc>
          <w:tcPr>
            <w:tcW w:w="1214" w:type="pct"/>
            <w:shd w:val="clear" w:color="auto" w:fill="FFFFFF"/>
            <w:noWrap/>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 xml:space="preserve">1）整体系统运维托管：包含软件维护、升级、硬件、物联网通讯运维服务。 </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 xml:space="preserve">2）硬件保障：具体为排查异常水、电表，异常水表电表有偿维修，及时处理水电表故障及线上问题，并及时反馈业主方，提交处理建议。 </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 xml:space="preserve">3）系统运维：每季度系统巡检不低于 2 次（客户巡检表审核签订为准），提交系统运行报告。 </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9" w:hRule="atLeast"/>
          <w:jc w:val="center"/>
        </w:trPr>
        <w:tc>
          <w:tcPr>
            <w:tcW w:w="293" w:type="pct"/>
            <w:shd w:val="clear" w:color="auto" w:fill="FFFFFF"/>
            <w:noWrap/>
            <w:vAlign w:val="center"/>
          </w:tcPr>
          <w:p>
            <w:pPr>
              <w:jc w:val="center"/>
              <w:textAlignment w:val="center"/>
              <w:rPr>
                <w:rFonts w:hAnsi="宋体"/>
                <w:color w:val="auto"/>
                <w:sz w:val="18"/>
                <w:szCs w:val="18"/>
                <w:highlight w:val="none"/>
                <w:lang w:bidi="ar"/>
              </w:rPr>
            </w:pPr>
            <w:r>
              <w:rPr>
                <w:rFonts w:hint="eastAsia" w:hAnsi="宋体"/>
                <w:color w:val="auto"/>
                <w:sz w:val="18"/>
                <w:szCs w:val="18"/>
                <w:highlight w:val="none"/>
                <w:lang w:bidi="ar"/>
              </w:rPr>
              <w:t>17</w:t>
            </w:r>
          </w:p>
          <w:p>
            <w:pPr>
              <w:jc w:val="center"/>
              <w:textAlignment w:val="center"/>
              <w:rPr>
                <w:rFonts w:hAnsi="宋体"/>
                <w:color w:val="auto"/>
                <w:sz w:val="18"/>
                <w:szCs w:val="18"/>
                <w:highlight w:val="none"/>
              </w:rPr>
            </w:pPr>
          </w:p>
        </w:tc>
        <w:tc>
          <w:tcPr>
            <w:tcW w:w="514" w:type="pct"/>
            <w:vMerge w:val="restart"/>
            <w:shd w:val="clear" w:color="auto" w:fill="FFFFFF"/>
            <w:vAlign w:val="center"/>
          </w:tcPr>
          <w:p>
            <w:pPr>
              <w:jc w:val="center"/>
              <w:textAlignment w:val="center"/>
              <w:rPr>
                <w:rFonts w:ascii="微软雅黑" w:hAnsi="微软雅黑" w:eastAsia="微软雅黑" w:cs="微软雅黑"/>
                <w:b/>
                <w:bCs/>
                <w:color w:val="auto"/>
                <w:sz w:val="16"/>
                <w:szCs w:val="16"/>
                <w:highlight w:val="none"/>
              </w:rPr>
            </w:pPr>
            <w:r>
              <w:rPr>
                <w:rFonts w:hint="eastAsia" w:ascii="微软雅黑" w:hAnsi="微软雅黑" w:eastAsia="微软雅黑" w:cs="微软雅黑"/>
                <w:b/>
                <w:bCs/>
                <w:color w:val="auto"/>
                <w:sz w:val="16"/>
                <w:szCs w:val="16"/>
                <w:highlight w:val="none"/>
              </w:rPr>
              <w:t>操作平台</w:t>
            </w: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lang w:bidi="ar"/>
              </w:rPr>
            </w:pPr>
            <w:r>
              <w:rPr>
                <w:rFonts w:hint="eastAsia" w:ascii="微软雅黑" w:hAnsi="微软雅黑" w:eastAsia="微软雅黑" w:cs="微软雅黑"/>
                <w:color w:val="auto"/>
                <w:sz w:val="18"/>
                <w:szCs w:val="18"/>
                <w:highlight w:val="none"/>
                <w:lang w:bidi="ar"/>
              </w:rPr>
              <w:t>水电集抄收费系统</w:t>
            </w:r>
          </w:p>
        </w:tc>
        <w:tc>
          <w:tcPr>
            <w:tcW w:w="1214" w:type="pct"/>
            <w:shd w:val="clear" w:color="auto" w:fill="FFFFFF"/>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lang w:val="zh-CN"/>
              </w:rPr>
            </w:pPr>
            <w:r>
              <w:rPr>
                <w:rFonts w:hint="eastAsia" w:ascii="微软雅黑" w:hAnsi="微软雅黑" w:eastAsia="微软雅黑" w:cs="微软雅黑"/>
                <w:color w:val="auto"/>
                <w:sz w:val="16"/>
                <w:szCs w:val="16"/>
                <w:highlight w:val="none"/>
                <w:lang w:val="zh-CN"/>
              </w:rPr>
              <w:t>功能主要包括：领导视窗、收费管理、</w:t>
            </w:r>
            <w:r>
              <w:rPr>
                <w:rFonts w:hint="eastAsia" w:ascii="微软雅黑" w:hAnsi="微软雅黑" w:eastAsia="微软雅黑" w:cs="微软雅黑"/>
                <w:color w:val="auto"/>
                <w:sz w:val="16"/>
                <w:szCs w:val="16"/>
                <w:highlight w:val="none"/>
              </w:rPr>
              <w:t>能源管理</w:t>
            </w:r>
            <w:r>
              <w:rPr>
                <w:rFonts w:hint="eastAsia" w:ascii="微软雅黑" w:hAnsi="微软雅黑" w:eastAsia="微软雅黑" w:cs="微软雅黑"/>
                <w:color w:val="auto"/>
                <w:sz w:val="16"/>
                <w:szCs w:val="16"/>
                <w:highlight w:val="none"/>
                <w:lang w:val="zh-CN"/>
              </w:rPr>
              <w:t>、用电</w:t>
            </w:r>
            <w:r>
              <w:rPr>
                <w:rFonts w:hint="eastAsia" w:ascii="微软雅黑" w:hAnsi="微软雅黑" w:eastAsia="微软雅黑" w:cs="微软雅黑"/>
                <w:color w:val="auto"/>
                <w:sz w:val="16"/>
                <w:szCs w:val="16"/>
                <w:highlight w:val="none"/>
              </w:rPr>
              <w:t>安全</w:t>
            </w:r>
            <w:r>
              <w:rPr>
                <w:rFonts w:hint="eastAsia" w:ascii="微软雅黑" w:hAnsi="微软雅黑" w:eastAsia="微软雅黑" w:cs="微软雅黑"/>
                <w:color w:val="auto"/>
                <w:sz w:val="16"/>
                <w:szCs w:val="16"/>
                <w:highlight w:val="none"/>
                <w:lang w:val="zh-CN"/>
              </w:rPr>
              <w:t>、</w:t>
            </w:r>
            <w:r>
              <w:rPr>
                <w:rFonts w:hint="eastAsia" w:ascii="微软雅黑" w:hAnsi="微软雅黑" w:eastAsia="微软雅黑" w:cs="微软雅黑"/>
                <w:color w:val="auto"/>
                <w:sz w:val="16"/>
                <w:szCs w:val="16"/>
                <w:highlight w:val="none"/>
              </w:rPr>
              <w:t>配电监控</w:t>
            </w:r>
            <w:r>
              <w:rPr>
                <w:rFonts w:hint="eastAsia" w:ascii="微软雅黑" w:hAnsi="微软雅黑" w:eastAsia="微软雅黑" w:cs="微软雅黑"/>
                <w:color w:val="auto"/>
                <w:sz w:val="16"/>
                <w:szCs w:val="16"/>
                <w:highlight w:val="none"/>
                <w:lang w:val="zh-CN"/>
              </w:rPr>
              <w:t>等。事件记录、日志查询、用户管理、参数设置等：</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w:t>
            </w:r>
            <w:r>
              <w:rPr>
                <w:rFonts w:hint="eastAsia" w:ascii="微软雅黑" w:hAnsi="微软雅黑" w:eastAsia="微软雅黑" w:cs="微软雅黑"/>
                <w:color w:val="auto"/>
                <w:sz w:val="16"/>
                <w:szCs w:val="16"/>
                <w:highlight w:val="none"/>
                <w:lang w:val="zh-CN"/>
              </w:rPr>
              <w:t>、</w:t>
            </w:r>
            <w:r>
              <w:rPr>
                <w:rFonts w:hint="eastAsia" w:ascii="微软雅黑" w:hAnsi="微软雅黑" w:eastAsia="微软雅黑" w:cs="微软雅黑"/>
                <w:color w:val="auto"/>
                <w:sz w:val="16"/>
                <w:szCs w:val="16"/>
                <w:highlight w:val="none"/>
              </w:rPr>
              <w:t>数据采集功能：能够自动采集所需要数据和上报；</w:t>
            </w:r>
          </w:p>
          <w:p>
            <w:pPr>
              <w:textAlignment w:val="center"/>
              <w:rPr>
                <w:rFonts w:ascii="微软雅黑" w:hAnsi="微软雅黑" w:eastAsia="微软雅黑" w:cs="微软雅黑"/>
                <w:color w:val="auto"/>
                <w:sz w:val="16"/>
                <w:szCs w:val="16"/>
                <w:highlight w:val="none"/>
                <w:lang w:val="zh-CN"/>
              </w:rPr>
            </w:pPr>
            <w:r>
              <w:rPr>
                <w:rFonts w:hint="eastAsia" w:ascii="微软雅黑" w:hAnsi="微软雅黑" w:eastAsia="微软雅黑" w:cs="微软雅黑"/>
                <w:color w:val="auto"/>
                <w:sz w:val="16"/>
                <w:szCs w:val="16"/>
                <w:highlight w:val="none"/>
              </w:rPr>
              <w:t>2</w:t>
            </w:r>
            <w:r>
              <w:rPr>
                <w:rFonts w:hint="eastAsia" w:ascii="微软雅黑" w:hAnsi="微软雅黑" w:eastAsia="微软雅黑" w:cs="微软雅黑"/>
                <w:color w:val="auto"/>
                <w:sz w:val="16"/>
                <w:szCs w:val="16"/>
                <w:highlight w:val="none"/>
                <w:lang w:val="zh-CN"/>
              </w:rPr>
              <w:t>、数据冻结功能：</w:t>
            </w:r>
            <w:r>
              <w:rPr>
                <w:rFonts w:hint="eastAsia" w:ascii="微软雅黑" w:hAnsi="微软雅黑" w:eastAsia="微软雅黑" w:cs="微软雅黑"/>
                <w:color w:val="auto"/>
                <w:sz w:val="16"/>
                <w:szCs w:val="16"/>
                <w:highlight w:val="none"/>
              </w:rPr>
              <w:t>智能电表可以冻结数据，采集设备和系统能够保存主要数据；</w:t>
            </w:r>
          </w:p>
          <w:p>
            <w:pPr>
              <w:textAlignment w:val="center"/>
              <w:rPr>
                <w:rFonts w:ascii="微软雅黑" w:hAnsi="微软雅黑" w:eastAsia="微软雅黑" w:cs="微软雅黑"/>
                <w:color w:val="auto"/>
                <w:sz w:val="16"/>
                <w:szCs w:val="16"/>
                <w:highlight w:val="none"/>
                <w:lang w:val="zh-CN"/>
              </w:rPr>
            </w:pPr>
            <w:r>
              <w:rPr>
                <w:rFonts w:hint="eastAsia" w:ascii="微软雅黑" w:hAnsi="微软雅黑" w:eastAsia="微软雅黑" w:cs="微软雅黑"/>
                <w:color w:val="auto"/>
                <w:sz w:val="16"/>
                <w:szCs w:val="16"/>
                <w:highlight w:val="none"/>
                <w:lang w:val="zh-CN"/>
              </w:rPr>
              <w:t>3、权限设置功能；</w:t>
            </w:r>
          </w:p>
          <w:p>
            <w:pPr>
              <w:textAlignment w:val="center"/>
              <w:rPr>
                <w:rFonts w:ascii="微软雅黑" w:hAnsi="微软雅黑" w:eastAsia="微软雅黑" w:cs="微软雅黑"/>
                <w:color w:val="auto"/>
                <w:sz w:val="16"/>
                <w:szCs w:val="16"/>
                <w:highlight w:val="none"/>
                <w:lang w:val="zh-CN"/>
              </w:rPr>
            </w:pPr>
            <w:r>
              <w:rPr>
                <w:rFonts w:hint="eastAsia" w:ascii="微软雅黑" w:hAnsi="微软雅黑" w:eastAsia="微软雅黑" w:cs="微软雅黑"/>
                <w:color w:val="auto"/>
                <w:sz w:val="16"/>
                <w:szCs w:val="16"/>
                <w:highlight w:val="none"/>
                <w:lang w:val="zh-CN"/>
              </w:rPr>
              <w:t>4、报警功能；</w:t>
            </w:r>
          </w:p>
          <w:p>
            <w:pPr>
              <w:textAlignment w:val="center"/>
              <w:rPr>
                <w:rFonts w:ascii="微软雅黑" w:hAnsi="微软雅黑" w:eastAsia="微软雅黑" w:cs="微软雅黑"/>
                <w:color w:val="auto"/>
                <w:sz w:val="16"/>
                <w:szCs w:val="16"/>
                <w:highlight w:val="none"/>
                <w:lang w:val="zh-CN"/>
              </w:rPr>
            </w:pPr>
            <w:r>
              <w:rPr>
                <w:rFonts w:hint="eastAsia" w:ascii="微软雅黑" w:hAnsi="微软雅黑" w:eastAsia="微软雅黑" w:cs="微软雅黑"/>
                <w:color w:val="auto"/>
                <w:sz w:val="16"/>
                <w:szCs w:val="16"/>
                <w:highlight w:val="none"/>
                <w:lang w:val="zh-CN"/>
              </w:rPr>
              <w:t>5、</w:t>
            </w:r>
            <w:r>
              <w:rPr>
                <w:rFonts w:hint="eastAsia" w:ascii="微软雅黑" w:hAnsi="微软雅黑" w:eastAsia="微软雅黑" w:cs="微软雅黑"/>
                <w:color w:val="auto"/>
                <w:sz w:val="16"/>
                <w:szCs w:val="16"/>
                <w:highlight w:val="none"/>
              </w:rPr>
              <w:t>缴费及查询功能；</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6、通知告知功能；</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7、欠费停用功能平台；</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8、用户绑定；</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9、管理员账号权限要求；</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10、报表统计要求；</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11、资产统计要求；</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12、紧急保电功能</w:t>
            </w:r>
          </w:p>
          <w:p>
            <w:pPr>
              <w:textAlignment w:val="center"/>
              <w:rPr>
                <w:color w:val="auto"/>
                <w:highlight w:val="none"/>
              </w:rPr>
            </w:pPr>
            <w:r>
              <w:rPr>
                <w:rFonts w:hint="eastAsia" w:ascii="微软雅黑" w:hAnsi="微软雅黑" w:eastAsia="微软雅黑" w:cs="微软雅黑"/>
                <w:color w:val="auto"/>
                <w:sz w:val="16"/>
                <w:szCs w:val="16"/>
                <w:highlight w:val="none"/>
              </w:rPr>
              <w:t>13、移动端微信公众号+小程序功能：绑定房间、户号、设备可以查询支付水电费用，可提交物业杂费，可进行报修；</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18</w:t>
            </w:r>
          </w:p>
        </w:tc>
        <w:tc>
          <w:tcPr>
            <w:tcW w:w="514" w:type="pct"/>
            <w:vMerge w:val="continue"/>
            <w:shd w:val="clear" w:color="auto" w:fill="FFFFFF"/>
            <w:vAlign w:val="center"/>
          </w:tcPr>
          <w:p>
            <w:pPr>
              <w:jc w:val="center"/>
              <w:rPr>
                <w:rFonts w:ascii="微软雅黑" w:hAnsi="微软雅黑" w:eastAsia="微软雅黑" w:cs="微软雅黑"/>
                <w:b/>
                <w:bCs/>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系统工作站</w:t>
            </w:r>
          </w:p>
        </w:tc>
        <w:tc>
          <w:tcPr>
            <w:tcW w:w="1214" w:type="pct"/>
            <w:shd w:val="clear" w:color="auto" w:fill="FFFFFF"/>
            <w:noWrap/>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1、产品形态：2U机架式，带安装轨；</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2、CPU：配置1颗CPU，单颗CPU主频≥2.1GHz，单颗CPU核数≥8核；</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3、内存：≥16个内存插槽，配置16GB DDR4内存；</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4、硬盘：4TB SATA HDD；</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5、网卡配置：4个千兆电口；</w:t>
            </w:r>
          </w:p>
          <w:p>
            <w:pP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6"/>
                <w:szCs w:val="16"/>
                <w:highlight w:val="none"/>
              </w:rPr>
              <w:t>6、电源、风扇：≥2个冗余电源；</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bl>
    <w:p>
      <w:pPr>
        <w:pStyle w:val="50"/>
        <w:ind w:left="0" w:leftChars="0" w:firstLine="0" w:firstLineChars="0"/>
        <w:rPr>
          <w:color w:val="auto"/>
          <w:highlight w:val="none"/>
        </w:rPr>
      </w:pPr>
    </w:p>
    <w:p>
      <w:pPr>
        <w:pStyle w:val="3"/>
        <w:ind w:firstLine="210"/>
        <w:rPr>
          <w:color w:val="auto"/>
          <w:highlight w:val="none"/>
        </w:rPr>
      </w:pPr>
      <w:bookmarkStart w:id="172" w:name="_Toc20858"/>
    </w:p>
    <w:bookmarkEnd w:id="165"/>
    <w:bookmarkEnd w:id="172"/>
    <w:p>
      <w:pPr>
        <w:pStyle w:val="5"/>
        <w:keepNext/>
        <w:keepLines/>
        <w:pageBreakBefore/>
        <w:numPr>
          <w:ilvl w:val="0"/>
          <w:numId w:val="22"/>
        </w:numPr>
        <w:spacing w:line="360" w:lineRule="auto"/>
        <w:jc w:val="center"/>
        <w:rPr>
          <w:rFonts w:hAnsi="宋体"/>
          <w:b/>
          <w:bCs/>
          <w:color w:val="auto"/>
          <w:kern w:val="44"/>
          <w:sz w:val="28"/>
          <w:szCs w:val="28"/>
          <w:highlight w:val="none"/>
          <w:lang w:val="zh-CN"/>
        </w:rPr>
      </w:pPr>
      <w:bookmarkStart w:id="173" w:name="_Toc28792"/>
      <w:bookmarkStart w:id="174" w:name="_Toc4437"/>
      <w:r>
        <w:rPr>
          <w:rFonts w:hint="eastAsia" w:hAnsi="宋体"/>
          <w:b/>
          <w:bCs/>
          <w:color w:val="auto"/>
          <w:kern w:val="44"/>
          <w:sz w:val="28"/>
          <w:szCs w:val="28"/>
          <w:highlight w:val="none"/>
          <w:lang w:val="zh-CN"/>
        </w:rPr>
        <w:t>评审工作大纲</w:t>
      </w:r>
      <w:bookmarkEnd w:id="173"/>
    </w:p>
    <w:p>
      <w:pPr>
        <w:pStyle w:val="2"/>
        <w:spacing w:line="360" w:lineRule="auto"/>
        <w:ind w:firstLine="422" w:firstLineChars="200"/>
        <w:jc w:val="both"/>
        <w:rPr>
          <w:rFonts w:hAnsi="宋体"/>
          <w:color w:val="auto"/>
          <w:sz w:val="21"/>
          <w:szCs w:val="21"/>
          <w:highlight w:val="none"/>
        </w:rPr>
      </w:pPr>
      <w:r>
        <w:rPr>
          <w:rFonts w:hint="eastAsia" w:hAnsi="宋体"/>
          <w:color w:val="auto"/>
          <w:sz w:val="21"/>
          <w:szCs w:val="21"/>
          <w:highlight w:val="none"/>
        </w:rPr>
        <w:t>一、磋商小组对响应文件进行初审，初审包括资格性审查和符合性审查。</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801"/>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审查项目</w:t>
            </w:r>
          </w:p>
        </w:tc>
        <w:tc>
          <w:tcPr>
            <w:tcW w:w="5801" w:type="dxa"/>
            <w:vAlign w:val="center"/>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内容</w:t>
            </w:r>
          </w:p>
        </w:tc>
        <w:tc>
          <w:tcPr>
            <w:tcW w:w="1230" w:type="dxa"/>
          </w:tcPr>
          <w:p>
            <w:pPr>
              <w:pStyle w:val="144"/>
              <w:spacing w:before="163" w:beforeLines="50" w:after="163" w:afterLines="50"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资格性审查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资格瑕疵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磋商保证金瑕疵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restart"/>
            <w:vAlign w:val="center"/>
          </w:tcPr>
          <w:p>
            <w:pPr>
              <w:pStyle w:val="144"/>
              <w:spacing w:line="360" w:lineRule="auto"/>
              <w:ind w:firstLine="0" w:firstLineChars="0"/>
              <w:jc w:val="center"/>
              <w:rPr>
                <w:rFonts w:ascii="宋体" w:hAnsi="宋体"/>
                <w:bCs/>
                <w:color w:val="auto"/>
                <w:szCs w:val="21"/>
                <w:highlight w:val="none"/>
              </w:rPr>
            </w:pPr>
            <w:r>
              <w:rPr>
                <w:rFonts w:hint="eastAsia" w:ascii="宋体" w:hAnsi="宋体"/>
                <w:bCs/>
                <w:color w:val="auto"/>
                <w:szCs w:val="21"/>
                <w:highlight w:val="none"/>
              </w:rPr>
              <w:t>符合性审查</w:t>
            </w: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供应商代表身份审查</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磋商响应文件的有效性、完整性瑕疵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技术响应瑕疵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商务响应瑕疵</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报价</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违规行为</w:t>
            </w:r>
          </w:p>
        </w:tc>
        <w:tc>
          <w:tcPr>
            <w:tcW w:w="1230" w:type="dxa"/>
          </w:tcPr>
          <w:p>
            <w:pPr>
              <w:pStyle w:val="144"/>
              <w:spacing w:line="360" w:lineRule="auto"/>
              <w:ind w:firstLine="0" w:firstLineChars="0"/>
              <w:jc w:val="left"/>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vMerge w:val="continue"/>
            <w:vAlign w:val="center"/>
          </w:tcPr>
          <w:p>
            <w:pPr>
              <w:pStyle w:val="144"/>
              <w:spacing w:line="360" w:lineRule="auto"/>
              <w:ind w:firstLine="0" w:firstLineChars="0"/>
              <w:jc w:val="center"/>
              <w:rPr>
                <w:rFonts w:ascii="宋体" w:hAnsi="宋体"/>
                <w:bCs/>
                <w:color w:val="auto"/>
                <w:szCs w:val="21"/>
                <w:highlight w:val="none"/>
              </w:rPr>
            </w:pPr>
          </w:p>
        </w:tc>
        <w:tc>
          <w:tcPr>
            <w:tcW w:w="5801" w:type="dxa"/>
            <w:vAlign w:val="center"/>
          </w:tcPr>
          <w:p>
            <w:pPr>
              <w:spacing w:line="360" w:lineRule="auto"/>
              <w:rPr>
                <w:rFonts w:hAnsi="宋体"/>
                <w:color w:val="auto"/>
                <w:sz w:val="21"/>
                <w:szCs w:val="21"/>
                <w:highlight w:val="none"/>
              </w:rPr>
            </w:pPr>
            <w:r>
              <w:rPr>
                <w:rFonts w:hint="eastAsia" w:hAnsi="宋体"/>
                <w:color w:val="auto"/>
                <w:sz w:val="21"/>
                <w:szCs w:val="21"/>
                <w:highlight w:val="none"/>
              </w:rPr>
              <w:t>法律法规及磋商文件中规定的其它情形。</w:t>
            </w:r>
          </w:p>
        </w:tc>
        <w:tc>
          <w:tcPr>
            <w:tcW w:w="1230" w:type="dxa"/>
          </w:tcPr>
          <w:p>
            <w:pPr>
              <w:pStyle w:val="144"/>
              <w:spacing w:line="360" w:lineRule="auto"/>
              <w:ind w:firstLine="0" w:firstLineChars="0"/>
              <w:jc w:val="left"/>
              <w:rPr>
                <w:rFonts w:ascii="宋体" w:hAnsi="宋体"/>
                <w:bCs/>
                <w:color w:val="auto"/>
                <w:szCs w:val="21"/>
                <w:highlight w:val="none"/>
              </w:rPr>
            </w:pPr>
          </w:p>
        </w:tc>
      </w:tr>
    </w:tbl>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（一）资格性检查</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1)资格瑕疵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①资格证明文件未提供或不符合磋商文件要求的；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②供应商与采购人、采购代理机构有利害关系的。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2)磋商保证金瑕疵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①供应商未提交磋商文件保证金或金额不足；</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②提交方式、提交时间不符合采购要求；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③磋商文件保证金有效期不符合采购要求的。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（二）符合性检查</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1)供应商代表身份审查</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①供应商代表无有效授权；</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②核对供应商代表身份时，不能提供相应的身份证明或不相符。</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2)响应文件的有效性、完整性瑕疵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①响应文件的数量、制作、密封、标记不符合要求；</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②响应文件无法定代表人或其授权代表签字，或签字人无法定代表人有效授权的；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③签字盖章不符合磋商文件要求的；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④响应文件内容有严重缺漏项的；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⑤报价有严重缺漏项的；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⑥响应文件的关键内容字迹模糊、无法辨认的。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3)技术响应瑕疵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①响应文件不满足磋商文件中加注星号（★）的主要参数要求或加注星号的主要参数无技术资料支持的；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②一般参数超出允许偏离的最大范围或最高项数的；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③响应文件技术响应与事实不符或虚假磋商的；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④《技术规格偏离表》填写不明或不实的；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⑤将一个包中的内容拆开磋商的；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⑥供应商对同一货物或服务磋商时，同时提供两套或两套以上的磋商方案的；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⑦明显不符合技术规格、技术标准要求的；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⑧其他未实质性响应磋商文件技术要求的。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4)商务响应瑕疵</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①磋商文件加注星号（★）的商务要求负偏离的；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②项目完成期未满足磋商文件要求的；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③报价超出采购预算的。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④《商务条款偏离表》填写不明或不实的；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⑤供应商低于成本报价竞标的；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⑥响应文件附有采购人不能接受的条件的；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⑦其他未实质性响应磋商文件商务要求的。</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5）报价</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包括但不限于：报价不得超过本磋商文件明确的项目预算。</w:t>
      </w:r>
    </w:p>
    <w:p>
      <w:pPr>
        <w:pStyle w:val="2"/>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6）违规行为</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包括但不限于：</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①以他人的名义磋商、串通磋商、以行贿手段谋取成交或者以其他弄虚作假方式参与磋商的；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②拒不按照要求对响应文件进行澄清、说明或者补正的；</w:t>
      </w:r>
    </w:p>
    <w:p>
      <w:pPr>
        <w:pStyle w:val="2"/>
        <w:spacing w:line="360" w:lineRule="auto"/>
        <w:ind w:firstLine="420" w:firstLineChars="200"/>
        <w:jc w:val="left"/>
        <w:rPr>
          <w:rFonts w:hAnsi="宋体"/>
          <w:b w:val="0"/>
          <w:bCs w:val="0"/>
          <w:color w:val="auto"/>
          <w:sz w:val="21"/>
          <w:szCs w:val="21"/>
          <w:highlight w:val="none"/>
        </w:rPr>
      </w:pPr>
      <w:r>
        <w:rPr>
          <w:rFonts w:hint="eastAsia" w:hAnsi="宋体"/>
          <w:b w:val="0"/>
          <w:bCs w:val="0"/>
          <w:color w:val="auto"/>
          <w:sz w:val="21"/>
          <w:szCs w:val="21"/>
          <w:highlight w:val="none"/>
        </w:rPr>
        <w:t>③扰乱开标、评标秩序，干扰磋商工作正常进行的。</w:t>
      </w:r>
    </w:p>
    <w:p>
      <w:pPr>
        <w:pStyle w:val="2"/>
        <w:numPr>
          <w:ilvl w:val="0"/>
          <w:numId w:val="23"/>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法律法规及磋商文件中规定的其它情形。</w:t>
      </w:r>
    </w:p>
    <w:p>
      <w:pPr>
        <w:pStyle w:val="2"/>
        <w:numPr>
          <w:ilvl w:val="0"/>
          <w:numId w:val="11"/>
        </w:numPr>
        <w:spacing w:line="360" w:lineRule="auto"/>
        <w:ind w:firstLine="422" w:firstLineChars="200"/>
        <w:jc w:val="left"/>
        <w:rPr>
          <w:rFonts w:hAnsi="宋体"/>
          <w:color w:val="auto"/>
          <w:sz w:val="21"/>
          <w:szCs w:val="21"/>
          <w:highlight w:val="none"/>
        </w:rPr>
      </w:pPr>
      <w:r>
        <w:rPr>
          <w:rFonts w:hint="eastAsia" w:hAnsi="宋体"/>
          <w:color w:val="auto"/>
          <w:sz w:val="21"/>
          <w:szCs w:val="21"/>
          <w:highlight w:val="none"/>
        </w:rPr>
        <w:t>经过磋商阶段后，磋商小组按照磋商文件确定的评审标准和方法对提交最后报价的供应商的响应文件进行评审和比较，推荐候选成交供应商，编制评审报告。</w:t>
      </w:r>
    </w:p>
    <w:p>
      <w:pPr>
        <w:pStyle w:val="29"/>
        <w:spacing w:line="360" w:lineRule="auto"/>
        <w:ind w:firstLine="422" w:firstLineChars="200"/>
        <w:outlineLvl w:val="0"/>
        <w:rPr>
          <w:rFonts w:hAnsi="宋体"/>
          <w:b/>
          <w:bCs/>
          <w:color w:val="auto"/>
          <w:szCs w:val="21"/>
          <w:highlight w:val="none"/>
        </w:rPr>
      </w:pPr>
      <w:r>
        <w:rPr>
          <w:rFonts w:hint="eastAsia" w:hAnsi="宋体"/>
          <w:b/>
          <w:bCs/>
          <w:color w:val="auto"/>
          <w:szCs w:val="21"/>
          <w:highlight w:val="none"/>
        </w:rPr>
        <w:t>三、评审因素及评分权重</w:t>
      </w:r>
      <w:bookmarkEnd w:id="174"/>
    </w:p>
    <w:p>
      <w:pPr>
        <w:tabs>
          <w:tab w:val="left" w:pos="660"/>
        </w:tabs>
        <w:autoSpaceDE/>
        <w:autoSpaceDN/>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1、评委考核打分的评分因素及分值:总分100分</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99"/>
        <w:gridCol w:w="678"/>
        <w:gridCol w:w="37"/>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序号</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评分内容</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分值</w:t>
            </w:r>
          </w:p>
        </w:tc>
        <w:tc>
          <w:tcPr>
            <w:tcW w:w="5800"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价格评分（50分）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价格</w:t>
            </w:r>
          </w:p>
        </w:tc>
        <w:tc>
          <w:tcPr>
            <w:tcW w:w="678"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50分</w:t>
            </w:r>
          </w:p>
        </w:tc>
        <w:tc>
          <w:tcPr>
            <w:tcW w:w="5837"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rPr>
                <w:color w:val="auto"/>
                <w:kern w:val="2"/>
                <w:sz w:val="21"/>
                <w:szCs w:val="21"/>
                <w:highlight w:val="none"/>
              </w:rPr>
            </w:pPr>
            <w:r>
              <w:rPr>
                <w:rFonts w:hint="eastAsia"/>
                <w:color w:val="auto"/>
                <w:kern w:val="2"/>
                <w:sz w:val="21"/>
                <w:szCs w:val="21"/>
                <w:highlight w:val="none"/>
              </w:rPr>
              <w:t>价格分计算方法：满足磋商文件要求且磋商价格最低的磋商报价为评标基准价，其价格分为满分。其他供应商的价格分统一按照下列公式计算：磋商报价得分=(评标基准价／磋商报价)×价格权重50%×100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商务评分（15分）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企业业绩</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12分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供应商2018年至今承接水电表采购安装相关业绩的，每个得3分，本项最高得12分：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注：须同时提供以下证明材料加盖公章：①合同主要页复印件；②客户联系人及电话以查证；③与项目相关的发票或完税证明等材料（张数不限）。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企业实力</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供应商具有由国家认证认可监督管理部门批准设立的认证机构颁发并在有效期内的质量管理体系认证证书、环境管理体系认证证书、职业健康安全管理体系认证证书，每个得1分；最高3分。</w:t>
            </w:r>
          </w:p>
          <w:p>
            <w:pPr>
              <w:spacing w:line="360" w:lineRule="auto"/>
              <w:rPr>
                <w:rFonts w:hAnsi="宋体"/>
                <w:color w:val="auto"/>
                <w:sz w:val="21"/>
                <w:szCs w:val="21"/>
                <w:highlight w:val="none"/>
              </w:rPr>
            </w:pPr>
            <w:r>
              <w:rPr>
                <w:rFonts w:hint="eastAsia" w:hAnsi="宋体"/>
                <w:color w:val="auto"/>
                <w:sz w:val="21"/>
                <w:szCs w:val="21"/>
                <w:highlight w:val="none"/>
              </w:rPr>
              <w:t>注：须提供证书复印件加盖供应商公章。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8" w:type="dxa"/>
            <w:gridSpan w:val="5"/>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b/>
                <w:color w:val="auto"/>
                <w:kern w:val="2"/>
                <w:sz w:val="21"/>
                <w:szCs w:val="21"/>
                <w:highlight w:val="none"/>
              </w:rPr>
            </w:pPr>
            <w:r>
              <w:rPr>
                <w:rFonts w:hint="eastAsia"/>
                <w:b/>
                <w:color w:val="auto"/>
                <w:kern w:val="2"/>
                <w:sz w:val="21"/>
                <w:szCs w:val="21"/>
                <w:highlight w:val="none"/>
              </w:rPr>
              <w:t>技术评分（35分）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1</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项目实施方案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lang w:val="zh-CN"/>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根据供应商提供的项目实施方案（包括不限于施工</w:t>
            </w:r>
            <w:r>
              <w:rPr>
                <w:rFonts w:hint="eastAsia" w:hAnsi="宋体"/>
                <w:bCs/>
                <w:color w:val="auto"/>
                <w:sz w:val="21"/>
                <w:szCs w:val="21"/>
                <w:highlight w:val="none"/>
              </w:rPr>
              <w:t>进度安排、项目验收方案、货物运输及保护措施、</w:t>
            </w:r>
            <w:r>
              <w:rPr>
                <w:rFonts w:hint="eastAsia" w:hAnsi="宋体"/>
                <w:color w:val="auto"/>
                <w:sz w:val="21"/>
                <w:szCs w:val="21"/>
                <w:highlight w:val="none"/>
              </w:rPr>
              <w:t>安装调试方案、系统开发内容）进行评审：</w:t>
            </w:r>
          </w:p>
          <w:p>
            <w:pPr>
              <w:spacing w:line="360" w:lineRule="auto"/>
              <w:rPr>
                <w:rFonts w:hAnsi="宋体"/>
                <w:color w:val="auto"/>
                <w:sz w:val="21"/>
                <w:szCs w:val="21"/>
                <w:highlight w:val="none"/>
              </w:rPr>
            </w:pPr>
            <w:r>
              <w:rPr>
                <w:rFonts w:hint="eastAsia" w:hAnsi="宋体"/>
                <w:color w:val="auto"/>
                <w:sz w:val="21"/>
                <w:szCs w:val="21"/>
                <w:highlight w:val="none"/>
              </w:rPr>
              <w:t>①针对本项目特征制定的实施方案的可靠性、可行性、安全性非常高的，进度计划安排非常科学合理，可行性强的，系统开发内容优于用户需求的，得6分；</w:t>
            </w:r>
          </w:p>
          <w:p>
            <w:pPr>
              <w:spacing w:line="360" w:lineRule="auto"/>
              <w:rPr>
                <w:rFonts w:hAnsi="宋体"/>
                <w:color w:val="auto"/>
                <w:sz w:val="21"/>
                <w:szCs w:val="21"/>
                <w:highlight w:val="none"/>
              </w:rPr>
            </w:pPr>
            <w:r>
              <w:rPr>
                <w:rFonts w:hint="eastAsia" w:hAnsi="宋体"/>
                <w:color w:val="auto"/>
                <w:sz w:val="21"/>
                <w:szCs w:val="21"/>
                <w:highlight w:val="none"/>
              </w:rPr>
              <w:t>②针对本项目特征制定的实施方案的可靠性、可行性、安全性比较高的，进度计划安排比较科学合理，可行性较强的，系统开发内容能满足需求的，得3分；</w:t>
            </w:r>
          </w:p>
          <w:p>
            <w:pPr>
              <w:spacing w:line="360" w:lineRule="auto"/>
              <w:rPr>
                <w:rFonts w:hAnsi="宋体"/>
                <w:color w:val="auto"/>
                <w:sz w:val="21"/>
                <w:szCs w:val="21"/>
                <w:highlight w:val="none"/>
              </w:rPr>
            </w:pPr>
            <w:r>
              <w:rPr>
                <w:rFonts w:hint="eastAsia" w:hAnsi="宋体"/>
                <w:color w:val="auto"/>
                <w:sz w:val="21"/>
                <w:szCs w:val="21"/>
                <w:highlight w:val="none"/>
              </w:rPr>
              <w:t>③针对本项目特征制定的实施方案的可靠性、可行性、安全性较差的，进度计划安排比较简单，可行性较差的，系统开发内容不能完全满足需求的，得1分；</w:t>
            </w:r>
          </w:p>
          <w:p>
            <w:pPr>
              <w:spacing w:line="360" w:lineRule="auto"/>
              <w:rPr>
                <w:rFonts w:hAnsi="宋体"/>
                <w:color w:val="auto"/>
                <w:sz w:val="21"/>
                <w:szCs w:val="21"/>
                <w:highlight w:val="none"/>
                <w:lang w:val="zh-CN"/>
              </w:rPr>
            </w:pPr>
            <w:r>
              <w:rPr>
                <w:rFonts w:hint="eastAsia" w:hAnsi="宋体"/>
                <w:color w:val="auto"/>
                <w:sz w:val="21"/>
                <w:szCs w:val="21"/>
                <w:highlight w:val="none"/>
              </w:rPr>
              <w:t>④未提供对应方案的不得分。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2</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进度保证措施</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lang w:val="en-US" w:eastAsia="zh-CN"/>
              </w:rPr>
              <w:t>8</w:t>
            </w:r>
            <w:r>
              <w:rPr>
                <w:rFonts w:hint="eastAsia" w:hAnsi="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hAnsi="宋体"/>
                <w:color w:val="auto"/>
                <w:sz w:val="21"/>
                <w:szCs w:val="21"/>
                <w:highlight w:val="none"/>
              </w:rPr>
            </w:pPr>
            <w:r>
              <w:rPr>
                <w:rFonts w:hint="eastAsia" w:hAnsi="宋体"/>
                <w:color w:val="auto"/>
                <w:sz w:val="21"/>
                <w:szCs w:val="21"/>
                <w:highlight w:val="none"/>
              </w:rPr>
              <w:t xml:space="preserve"> 对供应商实施组织进度保障措施的科学合理、可行性，主要项目方案、供货安装进度安排、安全保证措施及其承诺等进行综合评价：</w:t>
            </w:r>
          </w:p>
          <w:p>
            <w:pPr>
              <w:spacing w:line="360" w:lineRule="auto"/>
              <w:rPr>
                <w:rFonts w:hint="eastAsia" w:hAnsi="宋体"/>
                <w:color w:val="auto"/>
                <w:sz w:val="21"/>
                <w:szCs w:val="21"/>
                <w:highlight w:val="none"/>
              </w:rPr>
            </w:pPr>
            <w:r>
              <w:rPr>
                <w:rFonts w:hint="eastAsia" w:hAnsi="宋体"/>
                <w:color w:val="auto"/>
                <w:sz w:val="21"/>
                <w:szCs w:val="21"/>
                <w:highlight w:val="none"/>
              </w:rPr>
              <w:t>①进度保障措施完整合理、可行性强，完全满足并优于招标文件要求，得</w:t>
            </w:r>
            <w:r>
              <w:rPr>
                <w:rFonts w:hint="eastAsia" w:hAnsi="宋体"/>
                <w:color w:val="auto"/>
                <w:sz w:val="21"/>
                <w:szCs w:val="21"/>
                <w:highlight w:val="none"/>
                <w:lang w:val="en-US" w:eastAsia="zh-CN"/>
              </w:rPr>
              <w:t>8</w:t>
            </w:r>
            <w:r>
              <w:rPr>
                <w:rFonts w:hint="eastAsia" w:hAnsi="宋体"/>
                <w:color w:val="auto"/>
                <w:sz w:val="21"/>
                <w:szCs w:val="21"/>
                <w:highlight w:val="none"/>
              </w:rPr>
              <w:t>分；</w:t>
            </w:r>
          </w:p>
          <w:p>
            <w:pPr>
              <w:spacing w:line="360" w:lineRule="auto"/>
              <w:rPr>
                <w:rFonts w:hint="eastAsia" w:hAnsi="宋体"/>
                <w:color w:val="auto"/>
                <w:sz w:val="21"/>
                <w:szCs w:val="21"/>
                <w:highlight w:val="none"/>
              </w:rPr>
            </w:pPr>
            <w:r>
              <w:rPr>
                <w:rFonts w:hint="eastAsia" w:hAnsi="宋体"/>
                <w:color w:val="auto"/>
                <w:sz w:val="21"/>
                <w:szCs w:val="21"/>
                <w:highlight w:val="none"/>
              </w:rPr>
              <w:t>②进度保障措施较完整、可行性一般，得</w:t>
            </w:r>
            <w:r>
              <w:rPr>
                <w:rFonts w:hint="eastAsia" w:hAnsi="宋体"/>
                <w:color w:val="auto"/>
                <w:sz w:val="21"/>
                <w:szCs w:val="21"/>
                <w:highlight w:val="none"/>
                <w:lang w:val="en-US" w:eastAsia="zh-CN"/>
              </w:rPr>
              <w:t>4</w:t>
            </w:r>
            <w:r>
              <w:rPr>
                <w:rFonts w:hint="eastAsia" w:hAnsi="宋体"/>
                <w:color w:val="auto"/>
                <w:sz w:val="21"/>
                <w:szCs w:val="21"/>
                <w:highlight w:val="none"/>
              </w:rPr>
              <w:t>分。</w:t>
            </w:r>
          </w:p>
          <w:p>
            <w:pPr>
              <w:spacing w:line="360" w:lineRule="auto"/>
              <w:rPr>
                <w:rFonts w:hint="eastAsia" w:hAnsi="宋体"/>
                <w:color w:val="auto"/>
                <w:sz w:val="21"/>
                <w:szCs w:val="21"/>
                <w:highlight w:val="none"/>
              </w:rPr>
            </w:pPr>
            <w:r>
              <w:rPr>
                <w:rFonts w:hint="eastAsia" w:hAnsi="宋体"/>
                <w:color w:val="auto"/>
                <w:sz w:val="21"/>
                <w:szCs w:val="21"/>
                <w:highlight w:val="none"/>
              </w:rPr>
              <w:t>②进度保障措施不完整、可行性差，得1分。</w:t>
            </w:r>
          </w:p>
          <w:p>
            <w:pPr>
              <w:spacing w:line="360" w:lineRule="auto"/>
              <w:rPr>
                <w:rFonts w:hAnsi="宋体"/>
                <w:color w:val="auto"/>
                <w:sz w:val="21"/>
                <w:szCs w:val="21"/>
                <w:highlight w:val="none"/>
              </w:rPr>
            </w:pPr>
            <w:r>
              <w:rPr>
                <w:rFonts w:hint="eastAsia" w:hAnsi="宋体"/>
                <w:color w:val="auto"/>
                <w:sz w:val="21"/>
                <w:szCs w:val="21"/>
                <w:highlight w:val="none"/>
              </w:rPr>
              <w:t>③无提供对应内容不得分。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3</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lang w:val="zh-CN"/>
              </w:rPr>
            </w:pPr>
            <w:r>
              <w:rPr>
                <w:rFonts w:hint="eastAsia" w:hAnsi="宋体"/>
                <w:color w:val="auto"/>
                <w:sz w:val="21"/>
                <w:szCs w:val="21"/>
                <w:highlight w:val="none"/>
              </w:rPr>
              <w:t>货物质量可靠性</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pStyle w:val="168"/>
              <w:keepNext w:val="0"/>
              <w:tabs>
                <w:tab w:val="left" w:pos="585"/>
                <w:tab w:val="left" w:pos="680"/>
              </w:tabs>
              <w:spacing w:after="48" w:line="360" w:lineRule="auto"/>
              <w:jc w:val="center"/>
              <w:rPr>
                <w:rFonts w:ascii="宋体" w:hAnsi="宋体"/>
                <w:color w:val="auto"/>
                <w:szCs w:val="21"/>
                <w:highlight w:val="none"/>
              </w:rPr>
            </w:pPr>
            <w:r>
              <w:rPr>
                <w:rFonts w:hint="eastAsia" w:ascii="宋体" w:hAnsi="宋体"/>
                <w:color w:val="auto"/>
                <w:szCs w:val="21"/>
                <w:highlight w:val="none"/>
              </w:rPr>
              <w:t>8分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根据货物质量可靠性等情况进行综合评价：</w:t>
            </w:r>
          </w:p>
          <w:p>
            <w:pPr>
              <w:spacing w:line="360" w:lineRule="auto"/>
              <w:rPr>
                <w:rFonts w:hAnsi="宋体"/>
                <w:color w:val="auto"/>
                <w:sz w:val="21"/>
                <w:szCs w:val="21"/>
                <w:highlight w:val="none"/>
              </w:rPr>
            </w:pPr>
            <w:r>
              <w:rPr>
                <w:rFonts w:hint="eastAsia" w:hAnsi="宋体"/>
                <w:color w:val="auto"/>
                <w:sz w:val="21"/>
                <w:szCs w:val="21"/>
                <w:highlight w:val="none"/>
              </w:rPr>
              <w:t>①投标货物的质量可靠性高，货物制造技术、制造设备、生产工艺达到行业内高水平，使用材料与部件等方面行业高质量，得8分；</w:t>
            </w:r>
          </w:p>
          <w:p>
            <w:pPr>
              <w:spacing w:line="360" w:lineRule="auto"/>
              <w:rPr>
                <w:rFonts w:hAnsi="宋体"/>
                <w:color w:val="auto"/>
                <w:sz w:val="21"/>
                <w:szCs w:val="21"/>
                <w:highlight w:val="none"/>
              </w:rPr>
            </w:pPr>
            <w:r>
              <w:rPr>
                <w:rFonts w:hint="eastAsia" w:hAnsi="宋体"/>
                <w:color w:val="auto"/>
                <w:sz w:val="21"/>
                <w:szCs w:val="21"/>
                <w:highlight w:val="none"/>
              </w:rPr>
              <w:t>②投标货物的质量可靠性较高，货物制造技术、制造设备、生产工艺达到行业内较高水平，使用材料与部件等方面行业较高质量，得4分；</w:t>
            </w:r>
          </w:p>
          <w:p>
            <w:pPr>
              <w:spacing w:line="360" w:lineRule="auto"/>
              <w:rPr>
                <w:rFonts w:hAnsi="宋体"/>
                <w:color w:val="auto"/>
                <w:sz w:val="21"/>
                <w:szCs w:val="21"/>
                <w:highlight w:val="none"/>
              </w:rPr>
            </w:pPr>
            <w:r>
              <w:rPr>
                <w:rFonts w:hint="eastAsia" w:hAnsi="宋体"/>
                <w:color w:val="auto"/>
                <w:sz w:val="21"/>
                <w:szCs w:val="21"/>
                <w:highlight w:val="none"/>
              </w:rPr>
              <w:t>③投标货物的质量可靠性一般，货物制造技术、制造设备、生产工艺一般，使用材料与部件等方面质量一般，得1分；</w:t>
            </w:r>
          </w:p>
          <w:p>
            <w:pPr>
              <w:spacing w:before="32" w:beforeLines="10" w:after="30" w:line="360" w:lineRule="auto"/>
              <w:rPr>
                <w:rFonts w:hAnsi="宋体"/>
                <w:color w:val="auto"/>
                <w:sz w:val="21"/>
                <w:szCs w:val="21"/>
                <w:highlight w:val="none"/>
                <w:lang w:val="zh-CN"/>
              </w:rPr>
            </w:pPr>
            <w:r>
              <w:rPr>
                <w:rFonts w:hint="eastAsia" w:hAnsi="宋体"/>
                <w:color w:val="auto"/>
                <w:sz w:val="21"/>
                <w:szCs w:val="21"/>
                <w:highlight w:val="none"/>
              </w:rPr>
              <w:t>④未提供项目方案的不得分。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4</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Cs/>
                <w:color w:val="auto"/>
                <w:sz w:val="21"/>
                <w:szCs w:val="21"/>
                <w:highlight w:val="none"/>
              </w:rPr>
            </w:pPr>
            <w:r>
              <w:rPr>
                <w:rFonts w:hint="eastAsia" w:hAnsi="宋体"/>
                <w:color w:val="auto"/>
                <w:sz w:val="21"/>
                <w:szCs w:val="21"/>
                <w:highlight w:val="none"/>
                <w:lang w:bidi="ar"/>
              </w:rPr>
              <w:t>质量保证措施方案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zh-CN"/>
              </w:rPr>
              <w:t>分</w:t>
            </w:r>
          </w:p>
        </w:tc>
        <w:tc>
          <w:tcPr>
            <w:tcW w:w="5800" w:type="dxa"/>
            <w:tcBorders>
              <w:top w:val="single" w:color="auto" w:sz="4" w:space="0"/>
              <w:left w:val="single" w:color="auto" w:sz="4" w:space="0"/>
              <w:bottom w:val="single" w:color="auto" w:sz="4" w:space="0"/>
              <w:right w:val="single" w:color="auto" w:sz="4" w:space="0"/>
            </w:tcBorders>
            <w:vAlign w:val="center"/>
          </w:tcPr>
          <w:p>
            <w:pPr>
              <w:spacing w:line="360" w:lineRule="auto"/>
              <w:rPr>
                <w:rFonts w:hAnsi="宋体"/>
                <w:color w:val="auto"/>
                <w:sz w:val="21"/>
                <w:szCs w:val="21"/>
                <w:highlight w:val="none"/>
              </w:rPr>
            </w:pPr>
            <w:r>
              <w:rPr>
                <w:rFonts w:hint="eastAsia" w:hAnsi="宋体"/>
                <w:color w:val="auto"/>
                <w:sz w:val="21"/>
                <w:szCs w:val="21"/>
                <w:highlight w:val="none"/>
              </w:rPr>
              <w:t>根据供应商提供质量保证措施方案（包括但不限于质量目标、项目质量的控制、质量保证措施等）进行评审：</w:t>
            </w:r>
          </w:p>
          <w:p>
            <w:pPr>
              <w:spacing w:line="360" w:lineRule="auto"/>
              <w:rPr>
                <w:rFonts w:hAnsi="宋体"/>
                <w:color w:val="auto"/>
                <w:spacing w:val="-2"/>
                <w:sz w:val="21"/>
                <w:szCs w:val="21"/>
                <w:highlight w:val="none"/>
              </w:rPr>
            </w:pPr>
            <w:r>
              <w:rPr>
                <w:rFonts w:hint="eastAsia" w:hAnsi="宋体"/>
                <w:color w:val="auto"/>
                <w:spacing w:val="-2"/>
                <w:sz w:val="21"/>
                <w:szCs w:val="21"/>
                <w:highlight w:val="none"/>
              </w:rPr>
              <w:t>①质量目标非常明确、对项目质量的控制非常详细、检验手段非常科学，</w:t>
            </w:r>
            <w:r>
              <w:rPr>
                <w:rFonts w:hint="eastAsia" w:hAnsi="宋体"/>
                <w:color w:val="auto"/>
                <w:sz w:val="21"/>
                <w:szCs w:val="21"/>
                <w:highlight w:val="none"/>
              </w:rPr>
              <w:t>质量保证措施非常具体，可行的，</w:t>
            </w:r>
            <w:r>
              <w:rPr>
                <w:rFonts w:hint="eastAsia" w:hAnsi="宋体"/>
                <w:color w:val="auto"/>
                <w:spacing w:val="-2"/>
                <w:sz w:val="21"/>
                <w:szCs w:val="21"/>
                <w:highlight w:val="none"/>
              </w:rPr>
              <w:t>得5分；</w:t>
            </w:r>
          </w:p>
          <w:p>
            <w:pPr>
              <w:spacing w:line="360" w:lineRule="auto"/>
              <w:rPr>
                <w:rFonts w:hAnsi="宋体"/>
                <w:color w:val="auto"/>
                <w:sz w:val="21"/>
                <w:szCs w:val="21"/>
                <w:highlight w:val="none"/>
              </w:rPr>
            </w:pPr>
            <w:r>
              <w:rPr>
                <w:rFonts w:hint="eastAsia" w:hAnsi="宋体"/>
                <w:color w:val="auto"/>
                <w:sz w:val="21"/>
                <w:szCs w:val="21"/>
                <w:highlight w:val="none"/>
              </w:rPr>
              <w:t>②质量目标比较明确、对项目质量的控制较为详细、检验手段比较科学，质量保证措施比较具体，可行的，得3分；</w:t>
            </w:r>
          </w:p>
          <w:p>
            <w:pPr>
              <w:spacing w:line="360" w:lineRule="auto"/>
              <w:rPr>
                <w:rFonts w:hAnsi="宋体"/>
                <w:color w:val="auto"/>
                <w:sz w:val="21"/>
                <w:szCs w:val="21"/>
                <w:highlight w:val="none"/>
              </w:rPr>
            </w:pPr>
            <w:r>
              <w:rPr>
                <w:rFonts w:hint="eastAsia" w:hAnsi="宋体"/>
                <w:color w:val="auto"/>
                <w:sz w:val="21"/>
                <w:szCs w:val="21"/>
                <w:highlight w:val="none"/>
              </w:rPr>
              <w:t>③质量目标基本明确、对项目质量的控制详细程度一般、检验手段科学性较差，质量保证措施不够具体，可行性较差的，得1分；</w:t>
            </w:r>
          </w:p>
          <w:p>
            <w:pPr>
              <w:spacing w:line="360" w:lineRule="auto"/>
              <w:rPr>
                <w:rFonts w:hAnsi="宋体"/>
                <w:color w:val="auto"/>
                <w:sz w:val="21"/>
                <w:szCs w:val="21"/>
                <w:highlight w:val="none"/>
              </w:rPr>
            </w:pPr>
            <w:r>
              <w:rPr>
                <w:rFonts w:hint="eastAsia" w:hAnsi="宋体"/>
                <w:color w:val="auto"/>
                <w:sz w:val="21"/>
                <w:szCs w:val="21"/>
                <w:highlight w:val="none"/>
              </w:rPr>
              <w:t>④未提供对应方案的不得分。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5</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Cs/>
                <w:color w:val="auto"/>
                <w:sz w:val="21"/>
                <w:szCs w:val="21"/>
                <w:highlight w:val="none"/>
              </w:rPr>
            </w:pPr>
            <w:r>
              <w:rPr>
                <w:rFonts w:hint="eastAsia" w:hAnsi="宋体"/>
                <w:color w:val="auto"/>
                <w:sz w:val="21"/>
                <w:szCs w:val="21"/>
                <w:highlight w:val="none"/>
              </w:rPr>
              <w:t>售后服务方案</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lang w:val="en-US" w:eastAsia="zh-CN"/>
              </w:rPr>
              <w:t>4</w:t>
            </w:r>
            <w:r>
              <w:rPr>
                <w:rFonts w:hint="eastAsia" w:hAnsi="宋体"/>
                <w:color w:val="auto"/>
                <w:sz w:val="21"/>
                <w:szCs w:val="21"/>
                <w:highlight w:val="none"/>
              </w:rPr>
              <w:t>分</w:t>
            </w:r>
          </w:p>
        </w:tc>
        <w:tc>
          <w:tcPr>
            <w:tcW w:w="5800" w:type="dxa"/>
            <w:tcBorders>
              <w:top w:val="single" w:color="auto" w:sz="4" w:space="0"/>
              <w:left w:val="single" w:color="auto" w:sz="4" w:space="0"/>
              <w:bottom w:val="single" w:color="auto" w:sz="4" w:space="0"/>
              <w:right w:val="single" w:color="auto" w:sz="4" w:space="0"/>
            </w:tcBorders>
            <w:vAlign w:val="center"/>
          </w:tcPr>
          <w:p>
            <w:pPr>
              <w:pStyle w:val="168"/>
              <w:keepNext w:val="0"/>
              <w:tabs>
                <w:tab w:val="left" w:pos="585"/>
                <w:tab w:val="left" w:pos="680"/>
              </w:tabs>
              <w:spacing w:after="0" w:line="360" w:lineRule="auto"/>
              <w:rPr>
                <w:rFonts w:ascii="宋体" w:hAnsi="宋体"/>
                <w:color w:val="auto"/>
                <w:kern w:val="0"/>
                <w:szCs w:val="21"/>
                <w:highlight w:val="none"/>
              </w:rPr>
            </w:pPr>
            <w:r>
              <w:rPr>
                <w:rFonts w:hint="eastAsia" w:ascii="宋体" w:hAnsi="宋体"/>
                <w:color w:val="auto"/>
                <w:szCs w:val="21"/>
                <w:highlight w:val="none"/>
              </w:rPr>
              <w:t>根据供应商提供的售后服务方案（包括不限于</w:t>
            </w:r>
            <w:r>
              <w:rPr>
                <w:rFonts w:hint="eastAsia" w:ascii="宋体" w:hAnsi="宋体"/>
                <w:bCs/>
                <w:color w:val="auto"/>
                <w:szCs w:val="21"/>
                <w:highlight w:val="none"/>
              </w:rPr>
              <w:t>质保期、应急维修时间安排、质保期外的维修服务收费标准、售后服务人员配置安排</w:t>
            </w:r>
            <w:r>
              <w:rPr>
                <w:rFonts w:hint="eastAsia" w:ascii="宋体" w:hAnsi="宋体"/>
                <w:color w:val="auto"/>
                <w:szCs w:val="21"/>
                <w:highlight w:val="none"/>
              </w:rPr>
              <w:t>）进行评审：</w:t>
            </w:r>
          </w:p>
          <w:p>
            <w:pPr>
              <w:pStyle w:val="168"/>
              <w:keepNext w:val="0"/>
              <w:tabs>
                <w:tab w:val="left" w:pos="585"/>
                <w:tab w:val="left" w:pos="680"/>
              </w:tabs>
              <w:spacing w:after="0" w:line="360" w:lineRule="auto"/>
              <w:rPr>
                <w:rFonts w:ascii="宋体" w:hAnsi="宋体"/>
                <w:color w:val="auto"/>
                <w:szCs w:val="21"/>
                <w:highlight w:val="none"/>
              </w:rPr>
            </w:pPr>
            <w:r>
              <w:rPr>
                <w:rFonts w:hint="eastAsia" w:ascii="宋体" w:hAnsi="宋体"/>
                <w:color w:val="auto"/>
                <w:szCs w:val="21"/>
                <w:highlight w:val="none"/>
              </w:rPr>
              <w:t>①</w:t>
            </w:r>
            <w:r>
              <w:rPr>
                <w:rFonts w:hint="eastAsia" w:ascii="宋体" w:hAnsi="宋体"/>
                <w:bCs/>
                <w:color w:val="auto"/>
                <w:szCs w:val="21"/>
                <w:highlight w:val="none"/>
              </w:rPr>
              <w:t>质保期完全</w:t>
            </w:r>
            <w:r>
              <w:rPr>
                <w:rFonts w:hint="eastAsia" w:ascii="宋体" w:hAnsi="宋体"/>
                <w:color w:val="auto"/>
                <w:szCs w:val="21"/>
                <w:highlight w:val="none"/>
              </w:rPr>
              <w:t>满足或承诺优于采购需求，售后方案非常具体详细，应急维修响应非常迅速，</w:t>
            </w:r>
            <w:r>
              <w:rPr>
                <w:rFonts w:hint="eastAsia" w:ascii="宋体" w:hAnsi="宋体"/>
                <w:bCs/>
                <w:color w:val="auto"/>
                <w:szCs w:val="21"/>
                <w:highlight w:val="none"/>
              </w:rPr>
              <w:t>质保期外的维修服务收费标准非常明确，服务人员配置安排非常合理、可行的，得4分；</w:t>
            </w:r>
          </w:p>
          <w:p>
            <w:pPr>
              <w:pStyle w:val="168"/>
              <w:keepNext w:val="0"/>
              <w:tabs>
                <w:tab w:val="left" w:pos="585"/>
                <w:tab w:val="left" w:pos="680"/>
              </w:tabs>
              <w:spacing w:after="0" w:line="360" w:lineRule="auto"/>
              <w:rPr>
                <w:rFonts w:ascii="宋体" w:hAnsi="宋体"/>
                <w:color w:val="auto"/>
                <w:szCs w:val="21"/>
                <w:highlight w:val="none"/>
              </w:rPr>
            </w:pPr>
            <w:r>
              <w:rPr>
                <w:rFonts w:hint="eastAsia" w:ascii="宋体" w:hAnsi="宋体"/>
                <w:color w:val="auto"/>
                <w:szCs w:val="21"/>
                <w:highlight w:val="none"/>
              </w:rPr>
              <w:t>②</w:t>
            </w:r>
            <w:r>
              <w:rPr>
                <w:rFonts w:hint="eastAsia" w:ascii="宋体" w:hAnsi="宋体"/>
                <w:bCs/>
                <w:color w:val="auto"/>
                <w:szCs w:val="21"/>
                <w:highlight w:val="none"/>
              </w:rPr>
              <w:t>质保期</w:t>
            </w:r>
            <w:r>
              <w:rPr>
                <w:rFonts w:hint="eastAsia" w:ascii="宋体" w:hAnsi="宋体"/>
                <w:color w:val="auto"/>
                <w:szCs w:val="21"/>
                <w:highlight w:val="none"/>
              </w:rPr>
              <w:t>满足采购需求，售后方案比较具体详细，应急维修响应迅速，</w:t>
            </w:r>
            <w:r>
              <w:rPr>
                <w:rFonts w:hint="eastAsia" w:ascii="宋体" w:hAnsi="宋体"/>
                <w:bCs/>
                <w:color w:val="auto"/>
                <w:szCs w:val="21"/>
                <w:highlight w:val="none"/>
              </w:rPr>
              <w:t>质保期外的维修服务收费标准比较明确，服务人员配置安排比较合理、可行的，得2分；</w:t>
            </w:r>
          </w:p>
          <w:p>
            <w:pPr>
              <w:pStyle w:val="75"/>
              <w:spacing w:line="360" w:lineRule="auto"/>
              <w:ind w:firstLine="0" w:firstLineChars="0"/>
              <w:jc w:val="left"/>
              <w:rPr>
                <w:rFonts w:ascii="宋体" w:eastAsia="宋体"/>
                <w:color w:val="auto"/>
                <w:sz w:val="21"/>
                <w:szCs w:val="21"/>
                <w:highlight w:val="none"/>
                <w:lang w:val="zh-CN"/>
              </w:rPr>
            </w:pPr>
            <w:r>
              <w:rPr>
                <w:rFonts w:hint="eastAsia" w:ascii="宋体" w:eastAsia="宋体"/>
                <w:color w:val="auto"/>
                <w:sz w:val="21"/>
                <w:szCs w:val="21"/>
                <w:highlight w:val="none"/>
                <w:lang w:val="zh-CN"/>
              </w:rPr>
              <w:t>③</w:t>
            </w:r>
            <w:r>
              <w:rPr>
                <w:rFonts w:hint="eastAsia" w:ascii="宋体" w:eastAsia="宋体"/>
                <w:bCs/>
                <w:color w:val="auto"/>
                <w:sz w:val="21"/>
                <w:szCs w:val="21"/>
                <w:highlight w:val="none"/>
              </w:rPr>
              <w:t>质保期</w:t>
            </w:r>
            <w:r>
              <w:rPr>
                <w:rFonts w:hint="eastAsia" w:ascii="宋体" w:eastAsia="宋体"/>
                <w:color w:val="auto"/>
                <w:sz w:val="21"/>
                <w:szCs w:val="21"/>
                <w:highlight w:val="none"/>
              </w:rPr>
              <w:t>满足采购需求，但售后方案简略，应急维修响应速度不明确，</w:t>
            </w:r>
            <w:r>
              <w:rPr>
                <w:rFonts w:hint="eastAsia" w:ascii="宋体" w:eastAsia="宋体"/>
                <w:bCs/>
                <w:color w:val="auto"/>
                <w:sz w:val="21"/>
                <w:szCs w:val="21"/>
                <w:highlight w:val="none"/>
              </w:rPr>
              <w:t>服务人员配置安排可行性较低的，得1分</w:t>
            </w:r>
            <w:r>
              <w:rPr>
                <w:rFonts w:hint="eastAsia" w:ascii="宋体" w:eastAsia="宋体"/>
                <w:color w:val="auto"/>
                <w:sz w:val="21"/>
                <w:szCs w:val="21"/>
                <w:highlight w:val="none"/>
              </w:rPr>
              <w:t>；</w:t>
            </w:r>
          </w:p>
          <w:p>
            <w:pPr>
              <w:pStyle w:val="75"/>
              <w:spacing w:line="360" w:lineRule="auto"/>
              <w:ind w:firstLine="0" w:firstLineChars="0"/>
              <w:jc w:val="left"/>
              <w:rPr>
                <w:rFonts w:ascii="宋体" w:eastAsia="宋体"/>
                <w:bCs/>
                <w:color w:val="auto"/>
                <w:sz w:val="21"/>
                <w:szCs w:val="21"/>
                <w:highlight w:val="none"/>
              </w:rPr>
            </w:pPr>
            <w:r>
              <w:rPr>
                <w:rFonts w:hint="eastAsia" w:ascii="宋体" w:eastAsia="宋体"/>
                <w:color w:val="auto"/>
                <w:sz w:val="21"/>
                <w:szCs w:val="21"/>
                <w:highlight w:val="none"/>
              </w:rPr>
              <w:t>④未提供对应方案的不得分。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pStyle w:val="47"/>
              <w:spacing w:line="360" w:lineRule="auto"/>
              <w:jc w:val="center"/>
              <w:rPr>
                <w:color w:val="auto"/>
                <w:kern w:val="2"/>
                <w:sz w:val="21"/>
                <w:szCs w:val="21"/>
                <w:highlight w:val="none"/>
              </w:rPr>
            </w:pPr>
            <w:r>
              <w:rPr>
                <w:rFonts w:hint="eastAsia"/>
                <w:color w:val="auto"/>
                <w:kern w:val="2"/>
                <w:sz w:val="21"/>
                <w:szCs w:val="21"/>
                <w:highlight w:val="none"/>
              </w:rPr>
              <w:t>6</w:t>
            </w:r>
          </w:p>
        </w:tc>
        <w:tc>
          <w:tcPr>
            <w:tcW w:w="159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color w:val="auto"/>
                <w:sz w:val="21"/>
                <w:szCs w:val="21"/>
                <w:highlight w:val="none"/>
              </w:rPr>
            </w:pPr>
            <w:r>
              <w:rPr>
                <w:rFonts w:hint="eastAsia" w:hAnsi="宋体"/>
                <w:color w:val="auto"/>
                <w:sz w:val="21"/>
                <w:szCs w:val="21"/>
                <w:highlight w:val="none"/>
              </w:rPr>
              <w:t>样品质量</w:t>
            </w:r>
          </w:p>
        </w:tc>
        <w:tc>
          <w:tcPr>
            <w:tcW w:w="71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olor w:val="auto"/>
                <w:sz w:val="21"/>
                <w:szCs w:val="21"/>
                <w:highlight w:val="none"/>
              </w:rPr>
            </w:pPr>
            <w:r>
              <w:rPr>
                <w:rFonts w:hint="eastAsia" w:hAnsi="宋体"/>
                <w:color w:val="auto"/>
                <w:sz w:val="21"/>
                <w:szCs w:val="21"/>
                <w:highlight w:val="none"/>
              </w:rPr>
              <w:t>4分</w:t>
            </w:r>
          </w:p>
        </w:tc>
        <w:tc>
          <w:tcPr>
            <w:tcW w:w="5800"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根据供应商提供用户需求书货物清单中的水电表各选任意一样作为样品进行综合评定。</w:t>
            </w:r>
          </w:p>
          <w:p>
            <w:pPr>
              <w:autoSpaceDE/>
              <w:autoSpaceDN/>
              <w:adjustRightIn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优：送交样品对应功能、材质完全满足招标文件要求，样式美观、功能完全满足或优于招标文件、材质优良、耐用及整体感观好的，得4分；</w:t>
            </w:r>
          </w:p>
          <w:p>
            <w:pPr>
              <w:autoSpaceDE/>
              <w:autoSpaceDN/>
              <w:adjustRightIn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中：送交样品对应功能、材质基本质满足招标文件要求，样式一般、功能基本满足招标文件、材质一般、耐用及整体感观一般的，得2分；</w:t>
            </w:r>
          </w:p>
          <w:p>
            <w:pPr>
              <w:autoSpaceDE/>
              <w:autoSpaceDN/>
              <w:adjustRightInd/>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差：提供样品及对应功能、材质未按招标文件要求者得1分；</w:t>
            </w:r>
          </w:p>
          <w:p>
            <w:pPr>
              <w:autoSpaceDE/>
              <w:autoSpaceDN/>
              <w:adjustRightInd/>
              <w:spacing w:line="360" w:lineRule="auto"/>
              <w:ind w:firstLine="420" w:firstLineChars="200"/>
              <w:rPr>
                <w:color w:val="auto"/>
                <w:sz w:val="21"/>
                <w:szCs w:val="21"/>
                <w:highlight w:val="none"/>
              </w:rPr>
            </w:pPr>
            <w:r>
              <w:rPr>
                <w:rFonts w:hint="eastAsia" w:hAnsi="宋体"/>
                <w:color w:val="auto"/>
                <w:sz w:val="21"/>
                <w:szCs w:val="21"/>
                <w:highlight w:val="none"/>
              </w:rPr>
              <w:t>未提供样品的，得0分。</w:t>
            </w:r>
          </w:p>
        </w:tc>
      </w:tr>
    </w:tbl>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注：</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（1）上证明文件均提供加盖公章复印件。</w:t>
      </w:r>
    </w:p>
    <w:p>
      <w:pPr>
        <w:widowControl/>
        <w:tabs>
          <w:tab w:val="left" w:pos="907"/>
        </w:tabs>
        <w:snapToGrid w:val="0"/>
        <w:spacing w:line="360" w:lineRule="auto"/>
        <w:rPr>
          <w:rFonts w:hAnsi="宋体"/>
          <w:bCs/>
          <w:color w:val="auto"/>
          <w:sz w:val="21"/>
          <w:szCs w:val="21"/>
          <w:highlight w:val="none"/>
        </w:rPr>
      </w:pPr>
      <w:r>
        <w:rPr>
          <w:rFonts w:hint="eastAsia" w:hAnsi="宋体"/>
          <w:bCs/>
          <w:color w:val="auto"/>
          <w:sz w:val="21"/>
          <w:szCs w:val="21"/>
          <w:highlight w:val="none"/>
        </w:rPr>
        <w:t>（2）若开标当日评标委员会需要查看以上证明文件原件，供应商请在接到通知后规定时间内携带原件到达评标会场，接受核查，如因迟到或是其他原因不能携原件到达现场接受检查，其造成的所有后果供应商自行承担。</w:t>
      </w:r>
    </w:p>
    <w:p>
      <w:pPr>
        <w:widowControl/>
        <w:spacing w:line="360" w:lineRule="auto"/>
        <w:rPr>
          <w:rFonts w:hAnsi="宋体"/>
          <w:bCs/>
          <w:color w:val="auto"/>
          <w:sz w:val="21"/>
          <w:szCs w:val="21"/>
          <w:highlight w:val="none"/>
        </w:rPr>
      </w:pPr>
      <w:r>
        <w:rPr>
          <w:rFonts w:hint="eastAsia" w:hAnsi="宋体"/>
          <w:bCs/>
          <w:color w:val="auto"/>
          <w:sz w:val="21"/>
          <w:szCs w:val="21"/>
          <w:highlight w:val="none"/>
        </w:rPr>
        <w:t>（3）若成交将在发放成交通知书前逐一核对核查原件，请勿提供虚假、过期材料，否则将依据相关规定严肃处理。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outlineLvl w:val="0"/>
        <w:rPr>
          <w:rFonts w:hAnsi="宋体"/>
          <w:b/>
          <w:color w:val="auto"/>
          <w:szCs w:val="21"/>
          <w:highlight w:val="none"/>
        </w:rPr>
      </w:pPr>
      <w:bookmarkStart w:id="175" w:name="_Toc15603"/>
      <w:r>
        <w:rPr>
          <w:rFonts w:hint="eastAsia" w:hAnsi="宋体"/>
          <w:b/>
          <w:color w:val="auto"/>
          <w:szCs w:val="21"/>
          <w:highlight w:val="none"/>
        </w:rPr>
        <w:t>四、技术评审</w:t>
      </w:r>
      <w:bookmarkEnd w:id="175"/>
    </w:p>
    <w:p>
      <w:pPr>
        <w:spacing w:line="360" w:lineRule="auto"/>
        <w:ind w:firstLine="420" w:firstLineChars="200"/>
        <w:rPr>
          <w:rFonts w:hAnsi="宋体"/>
          <w:bCs/>
          <w:color w:val="auto"/>
          <w:sz w:val="21"/>
          <w:szCs w:val="21"/>
          <w:highlight w:val="none"/>
        </w:rPr>
      </w:pPr>
      <w:r>
        <w:rPr>
          <w:rFonts w:hint="eastAsia" w:hAnsi="宋体"/>
          <w:color w:val="auto"/>
          <w:sz w:val="21"/>
          <w:szCs w:val="21"/>
          <w:highlight w:val="none"/>
        </w:rPr>
        <w:t>1.由磋商小组对所有响应文件的技术部分响应和指标进行审核和分析；对响应文件中文字、图纸说明和指标响应进行评分，填写《技术评分表》。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2.将每一个磋商小组成员的评分汇总，取其算术平均值，为该供应商的技术评定得分。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outlineLvl w:val="0"/>
        <w:rPr>
          <w:rFonts w:hAnsi="宋体"/>
          <w:b/>
          <w:color w:val="auto"/>
          <w:szCs w:val="21"/>
          <w:highlight w:val="none"/>
        </w:rPr>
      </w:pPr>
      <w:bookmarkStart w:id="176" w:name="_Toc4394"/>
      <w:r>
        <w:rPr>
          <w:rFonts w:hint="eastAsia" w:hAnsi="宋体"/>
          <w:b/>
          <w:color w:val="auto"/>
          <w:szCs w:val="21"/>
          <w:highlight w:val="none"/>
        </w:rPr>
        <w:t>五、商务评审</w:t>
      </w:r>
      <w:bookmarkEnd w:id="176"/>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1.由磋商小组评价每个供应商的商务条件，填写《商务评分表》。</w:t>
      </w:r>
    </w:p>
    <w:p>
      <w:pPr>
        <w:pStyle w:val="29"/>
        <w:spacing w:line="360" w:lineRule="auto"/>
        <w:ind w:firstLine="420" w:firstLineChars="200"/>
        <w:rPr>
          <w:rFonts w:hAnsi="宋体"/>
          <w:color w:val="auto"/>
          <w:szCs w:val="21"/>
          <w:highlight w:val="none"/>
        </w:rPr>
      </w:pPr>
      <w:r>
        <w:rPr>
          <w:rFonts w:hint="eastAsia" w:hAnsi="宋体"/>
          <w:color w:val="auto"/>
          <w:szCs w:val="21"/>
          <w:highlight w:val="none"/>
        </w:rPr>
        <w:t>2.将每一个磋商小组成员的评分汇总，取其算术平均值，为该供应商的商务得分。</w:t>
      </w:r>
    </w:p>
    <w:p>
      <w:pPr>
        <w:pStyle w:val="29"/>
        <w:spacing w:line="360" w:lineRule="auto"/>
        <w:ind w:firstLine="422" w:firstLineChars="200"/>
        <w:rPr>
          <w:rFonts w:hAnsi="宋体"/>
          <w:b/>
          <w:color w:val="auto"/>
          <w:szCs w:val="21"/>
          <w:highlight w:val="none"/>
        </w:rPr>
      </w:pPr>
    </w:p>
    <w:p>
      <w:pPr>
        <w:pStyle w:val="29"/>
        <w:spacing w:line="360" w:lineRule="auto"/>
        <w:ind w:firstLine="422" w:firstLineChars="200"/>
        <w:outlineLvl w:val="0"/>
        <w:rPr>
          <w:rFonts w:hAnsi="宋体"/>
          <w:b/>
          <w:color w:val="auto"/>
          <w:szCs w:val="21"/>
          <w:highlight w:val="none"/>
        </w:rPr>
      </w:pPr>
      <w:bookmarkStart w:id="177" w:name="_Toc19007"/>
      <w:r>
        <w:rPr>
          <w:rFonts w:hint="eastAsia" w:hAnsi="宋体"/>
          <w:b/>
          <w:color w:val="auto"/>
          <w:szCs w:val="21"/>
          <w:highlight w:val="none"/>
        </w:rPr>
        <w:t>六、报价评审</w:t>
      </w:r>
      <w:bookmarkEnd w:id="177"/>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1.价格核准：磋商小组对有效供应商的详细报价进行复核，审查是否有计算上的错误或供货范围上的错误。对错误修正的原则如下：</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1.1响应文件的大写金额和小写金额不一致的，以大写金额为准；</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1.2当单价和数量的乘积与总价不一致时，以单价为准，并修正总价，但单价金额小数点有明显错误的除外；</w:t>
      </w:r>
    </w:p>
    <w:p>
      <w:pPr>
        <w:tabs>
          <w:tab w:val="left" w:pos="1365"/>
          <w:tab w:val="left" w:pos="1470"/>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1.3当分项之和与总价不一致时，以单价为准，并修正总价。</w:t>
      </w:r>
    </w:p>
    <w:p>
      <w:pPr>
        <w:tabs>
          <w:tab w:val="left" w:pos="1365"/>
        </w:tabs>
        <w:spacing w:line="360" w:lineRule="auto"/>
        <w:ind w:firstLine="420" w:firstLineChars="200"/>
        <w:rPr>
          <w:rFonts w:hAnsi="宋体"/>
          <w:color w:val="auto"/>
          <w:sz w:val="21"/>
          <w:szCs w:val="21"/>
          <w:highlight w:val="none"/>
        </w:rPr>
      </w:pPr>
      <w:r>
        <w:rPr>
          <w:rFonts w:hint="eastAsia" w:hAnsi="宋体"/>
          <w:color w:val="auto"/>
          <w:sz w:val="21"/>
          <w:szCs w:val="21"/>
          <w:highlight w:val="none"/>
        </w:rPr>
        <w:t>2.价格评分：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将磋商小组修正后的入围供应商的磋商报价，以最后报价最低的供应商的价格为磋商基准价，定基准价的价格评分。其他磋商报价得分＝价格评分×(磋商基准价／最后磋商报价)。由此算出各供应商的报价得分。</w:t>
      </w:r>
    </w:p>
    <w:p>
      <w:pPr>
        <w:pStyle w:val="29"/>
        <w:tabs>
          <w:tab w:val="left" w:pos="1365"/>
        </w:tabs>
        <w:spacing w:line="360" w:lineRule="auto"/>
        <w:ind w:left="16" w:firstLine="422" w:firstLineChars="200"/>
        <w:rPr>
          <w:rFonts w:hAnsi="宋体"/>
          <w:b/>
          <w:color w:val="auto"/>
          <w:szCs w:val="21"/>
          <w:highlight w:val="none"/>
        </w:rPr>
      </w:pPr>
    </w:p>
    <w:p>
      <w:pPr>
        <w:pStyle w:val="29"/>
        <w:tabs>
          <w:tab w:val="left" w:pos="1365"/>
        </w:tabs>
        <w:spacing w:line="360" w:lineRule="auto"/>
        <w:ind w:left="16" w:firstLine="422" w:firstLineChars="200"/>
        <w:outlineLvl w:val="0"/>
        <w:rPr>
          <w:rFonts w:hAnsi="宋体"/>
          <w:b/>
          <w:color w:val="auto"/>
          <w:szCs w:val="21"/>
          <w:highlight w:val="none"/>
        </w:rPr>
      </w:pPr>
      <w:bookmarkStart w:id="178" w:name="_Toc3331"/>
      <w:r>
        <w:rPr>
          <w:rFonts w:hint="eastAsia" w:hAnsi="宋体"/>
          <w:b/>
          <w:color w:val="auto"/>
          <w:szCs w:val="21"/>
          <w:highlight w:val="none"/>
        </w:rPr>
        <w:t>七、综合得分的计算</w:t>
      </w:r>
      <w:bookmarkEnd w:id="178"/>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1.综合得分=技术评审得分+商务评审得分+磋商报价得分。</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2.将综合得分从高到低排出名次，总分第一名为第一成交候选供应商，第二名为第二成交候选供应商，第三名为第三成交候选供应商（综合得分相同的，按磋商报价得分顺序推荐；综合得分相同且磋商报价得分相同的，按技术得分顺序排列）。</w:t>
      </w:r>
    </w:p>
    <w:p>
      <w:pPr>
        <w:rPr>
          <w:color w:val="auto"/>
          <w:highlight w:val="none"/>
          <w:lang w:val="zh-CN"/>
        </w:rPr>
      </w:pPr>
    </w:p>
    <w:p>
      <w:pPr>
        <w:pStyle w:val="5"/>
        <w:keepNext/>
        <w:keepLines/>
        <w:pageBreakBefore/>
        <w:numPr>
          <w:ilvl w:val="0"/>
          <w:numId w:val="22"/>
        </w:numPr>
        <w:spacing w:line="360" w:lineRule="auto"/>
        <w:jc w:val="center"/>
        <w:rPr>
          <w:rFonts w:hAnsi="宋体"/>
          <w:b/>
          <w:bCs/>
          <w:color w:val="auto"/>
          <w:highlight w:val="none"/>
        </w:rPr>
      </w:pPr>
      <w:bookmarkStart w:id="179" w:name="_Toc15636"/>
      <w:bookmarkStart w:id="180" w:name="_Toc3360"/>
      <w:r>
        <w:rPr>
          <w:rFonts w:hint="eastAsia" w:hAnsi="宋体"/>
          <w:b/>
          <w:bCs/>
          <w:color w:val="auto"/>
          <w:kern w:val="44"/>
          <w:sz w:val="28"/>
          <w:szCs w:val="28"/>
          <w:highlight w:val="none"/>
          <w:lang w:val="zh-CN"/>
        </w:rPr>
        <w:t>合同条款格式</w:t>
      </w:r>
      <w:bookmarkEnd w:id="179"/>
      <w:bookmarkEnd w:id="180"/>
    </w:p>
    <w:p>
      <w:pPr>
        <w:jc w:val="center"/>
        <w:rPr>
          <w:rFonts w:hAnsi="宋体"/>
          <w:b/>
          <w:color w:val="auto"/>
          <w:sz w:val="52"/>
          <w:szCs w:val="52"/>
          <w:highlight w:val="none"/>
        </w:rPr>
      </w:pPr>
      <w:r>
        <w:rPr>
          <w:rFonts w:hint="eastAsia" w:hAnsi="宋体"/>
          <w:b/>
          <w:color w:val="auto"/>
          <w:sz w:val="52"/>
          <w:szCs w:val="52"/>
          <w:highlight w:val="none"/>
        </w:rPr>
        <w:t>合  同  书</w:t>
      </w:r>
    </w:p>
    <w:p>
      <w:pPr>
        <w:jc w:val="center"/>
        <w:rPr>
          <w:rFonts w:hAnsi="宋体"/>
          <w:b/>
          <w:color w:val="auto"/>
          <w:sz w:val="52"/>
          <w:szCs w:val="52"/>
          <w:highlight w:val="none"/>
        </w:rPr>
      </w:pPr>
    </w:p>
    <w:p>
      <w:pPr>
        <w:jc w:val="center"/>
        <w:rPr>
          <w:rFonts w:hAnsi="宋体"/>
          <w:color w:val="auto"/>
          <w:highlight w:val="none"/>
        </w:rPr>
      </w:pPr>
    </w:p>
    <w:p>
      <w:pPr>
        <w:jc w:val="center"/>
        <w:rPr>
          <w:rFonts w:ascii="黑体" w:hAnsi="宋体" w:eastAsia="黑体"/>
          <w:b/>
          <w:color w:val="auto"/>
          <w:sz w:val="48"/>
          <w:highlight w:val="none"/>
        </w:rPr>
      </w:pPr>
    </w:p>
    <w:p>
      <w:pPr>
        <w:jc w:val="center"/>
        <w:rPr>
          <w:rFonts w:hAnsi="宋体"/>
          <w:color w:val="auto"/>
          <w:sz w:val="48"/>
          <w:highlight w:val="none"/>
        </w:rPr>
      </w:pPr>
      <w:r>
        <w:rPr>
          <w:rFonts w:hint="eastAsia" w:hAnsi="宋体"/>
          <w:color w:val="auto"/>
          <w:sz w:val="48"/>
          <w:highlight w:val="none"/>
        </w:rPr>
        <w:t xml:space="preserve">  </w:t>
      </w:r>
    </w:p>
    <w:p>
      <w:pPr>
        <w:jc w:val="center"/>
        <w:rPr>
          <w:rFonts w:hAnsi="宋体"/>
          <w:color w:val="auto"/>
          <w:sz w:val="48"/>
          <w:highlight w:val="none"/>
        </w:rPr>
      </w:pPr>
    </w:p>
    <w:p>
      <w:pPr>
        <w:jc w:val="center"/>
        <w:rPr>
          <w:rFonts w:hAnsi="宋体"/>
          <w:color w:val="auto"/>
          <w:sz w:val="48"/>
          <w:highlight w:val="none"/>
        </w:rPr>
      </w:pPr>
    </w:p>
    <w:p>
      <w:pPr>
        <w:jc w:val="center"/>
        <w:rPr>
          <w:rFonts w:hAnsi="宋体"/>
          <w:color w:val="auto"/>
          <w:sz w:val="48"/>
          <w:highlight w:val="none"/>
        </w:rPr>
      </w:pPr>
    </w:p>
    <w:p>
      <w:pPr>
        <w:jc w:val="center"/>
        <w:rPr>
          <w:rFonts w:hAnsi="宋体"/>
          <w:color w:val="auto"/>
          <w:sz w:val="44"/>
          <w:szCs w:val="21"/>
          <w:highlight w:val="none"/>
        </w:rPr>
      </w:pPr>
    </w:p>
    <w:p>
      <w:pPr>
        <w:spacing w:line="360" w:lineRule="auto"/>
        <w:ind w:firstLine="1680" w:firstLineChars="525"/>
        <w:rPr>
          <w:rFonts w:hAnsi="宋体"/>
          <w:color w:val="auto"/>
          <w:sz w:val="32"/>
          <w:highlight w:val="none"/>
          <w:u w:val="single"/>
        </w:rPr>
      </w:pPr>
      <w:r>
        <w:rPr>
          <w:rFonts w:hint="eastAsia" w:hAnsi="宋体"/>
          <w:color w:val="auto"/>
          <w:sz w:val="32"/>
          <w:highlight w:val="none"/>
        </w:rPr>
        <w:t>项目名称：</w:t>
      </w:r>
      <w:r>
        <w:rPr>
          <w:rFonts w:hAnsi="宋体"/>
          <w:color w:val="auto"/>
          <w:sz w:val="32"/>
          <w:highlight w:val="none"/>
          <w:u w:val="single"/>
        </w:rPr>
        <w:t xml:space="preserve">                   </w:t>
      </w:r>
      <w:r>
        <w:rPr>
          <w:rFonts w:hAnsi="宋体"/>
          <w:color w:val="auto"/>
          <w:highlight w:val="none"/>
          <w:u w:val="single"/>
        </w:rPr>
        <w:t xml:space="preserve">        </w:t>
      </w:r>
      <w:r>
        <w:rPr>
          <w:color w:val="auto"/>
          <w:highlight w:val="none"/>
          <w:u w:val="single"/>
        </w:rPr>
        <w:t xml:space="preserve">    </w:t>
      </w:r>
    </w:p>
    <w:p>
      <w:pPr>
        <w:spacing w:line="360" w:lineRule="auto"/>
        <w:ind w:firstLine="1478" w:firstLineChars="462"/>
        <w:rPr>
          <w:rFonts w:hAnsi="宋体"/>
          <w:color w:val="auto"/>
          <w:sz w:val="32"/>
          <w:highlight w:val="none"/>
          <w:u w:val="single"/>
        </w:rPr>
      </w:pPr>
      <w:r>
        <w:rPr>
          <w:rFonts w:hint="eastAsia" w:hAnsi="宋体"/>
          <w:color w:val="auto"/>
          <w:sz w:val="32"/>
          <w:highlight w:val="none"/>
        </w:rPr>
        <w:t xml:space="preserve"> 合同编号：</w:t>
      </w:r>
      <w:r>
        <w:rPr>
          <w:rFonts w:hAnsi="宋体"/>
          <w:color w:val="auto"/>
          <w:sz w:val="32"/>
          <w:highlight w:val="none"/>
          <w:u w:val="single"/>
        </w:rPr>
        <w:t xml:space="preserve">                       </w:t>
      </w:r>
    </w:p>
    <w:p>
      <w:pPr>
        <w:spacing w:line="360" w:lineRule="auto"/>
        <w:ind w:firstLine="1478" w:firstLineChars="462"/>
        <w:rPr>
          <w:rFonts w:hAnsi="宋体"/>
          <w:color w:val="auto"/>
          <w:sz w:val="32"/>
          <w:highlight w:val="none"/>
          <w:u w:val="single"/>
        </w:rPr>
      </w:pPr>
      <w:r>
        <w:rPr>
          <w:rFonts w:hAnsi="宋体"/>
          <w:color w:val="auto"/>
          <w:sz w:val="32"/>
          <w:highlight w:val="none"/>
        </w:rPr>
        <w:t xml:space="preserve"> </w:t>
      </w:r>
      <w:r>
        <w:rPr>
          <w:rFonts w:hint="eastAsia" w:hAnsi="宋体"/>
          <w:color w:val="auto"/>
          <w:sz w:val="32"/>
          <w:highlight w:val="none"/>
        </w:rPr>
        <w:t>签订地点：</w:t>
      </w:r>
      <w:r>
        <w:rPr>
          <w:rFonts w:hAnsi="宋体"/>
          <w:color w:val="auto"/>
          <w:sz w:val="32"/>
          <w:highlight w:val="none"/>
          <w:u w:val="single"/>
        </w:rPr>
        <w:t xml:space="preserve">              </w:t>
      </w:r>
      <w:r>
        <w:rPr>
          <w:rFonts w:hAnsi="宋体"/>
          <w:color w:val="auto"/>
          <w:highlight w:val="none"/>
          <w:u w:val="single"/>
        </w:rPr>
        <w:t xml:space="preserve">     </w:t>
      </w:r>
      <w:r>
        <w:rPr>
          <w:rFonts w:hAnsi="宋体"/>
          <w:color w:val="auto"/>
          <w:sz w:val="32"/>
          <w:highlight w:val="none"/>
          <w:u w:val="single"/>
        </w:rPr>
        <w:t xml:space="preserve">          </w:t>
      </w:r>
    </w:p>
    <w:p>
      <w:pPr>
        <w:ind w:firstLine="1478" w:firstLineChars="462"/>
        <w:jc w:val="center"/>
        <w:rPr>
          <w:rFonts w:hAnsi="宋体"/>
          <w:color w:val="auto"/>
          <w:sz w:val="32"/>
          <w:highlight w:val="none"/>
        </w:rPr>
      </w:pPr>
    </w:p>
    <w:p>
      <w:pPr>
        <w:rPr>
          <w:rFonts w:hAnsi="宋体"/>
          <w:color w:val="auto"/>
          <w:sz w:val="22"/>
          <w:highlight w:val="none"/>
        </w:rPr>
      </w:pPr>
    </w:p>
    <w:p>
      <w:pPr>
        <w:rPr>
          <w:rFonts w:hAnsi="宋体"/>
          <w:color w:val="auto"/>
          <w:sz w:val="32"/>
          <w:highlight w:val="none"/>
        </w:rPr>
      </w:pPr>
    </w:p>
    <w:p>
      <w:pPr>
        <w:tabs>
          <w:tab w:val="left" w:pos="0"/>
        </w:tabs>
        <w:spacing w:line="360" w:lineRule="auto"/>
        <w:jc w:val="center"/>
        <w:rPr>
          <w:rFonts w:hAnsi="宋体"/>
          <w:color w:val="auto"/>
          <w:sz w:val="32"/>
          <w:highlight w:val="none"/>
        </w:rPr>
      </w:pPr>
      <w:r>
        <w:rPr>
          <w:rFonts w:hint="eastAsia" w:hAnsi="宋体"/>
          <w:color w:val="auto"/>
          <w:sz w:val="32"/>
          <w:highlight w:val="none"/>
        </w:rPr>
        <w:t>二○    年</w:t>
      </w:r>
      <w:r>
        <w:rPr>
          <w:rFonts w:hAnsi="宋体"/>
          <w:color w:val="auto"/>
          <w:sz w:val="32"/>
          <w:highlight w:val="none"/>
        </w:rPr>
        <w:t xml:space="preserve">    月    日</w:t>
      </w: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tabs>
          <w:tab w:val="left" w:pos="0"/>
        </w:tabs>
        <w:spacing w:line="360" w:lineRule="auto"/>
        <w:jc w:val="center"/>
        <w:rPr>
          <w:color w:val="auto"/>
          <w:highlight w:val="none"/>
        </w:rPr>
      </w:pPr>
    </w:p>
    <w:p>
      <w:pPr>
        <w:spacing w:line="440" w:lineRule="exact"/>
        <w:rPr>
          <w:rFonts w:hAnsi="宋体"/>
          <w:color w:val="auto"/>
          <w:sz w:val="21"/>
          <w:szCs w:val="21"/>
          <w:highlight w:val="none"/>
        </w:rPr>
      </w:pPr>
      <w:r>
        <w:rPr>
          <w:rFonts w:hint="eastAsia" w:hAnsi="宋体"/>
          <w:color w:val="auto"/>
          <w:sz w:val="21"/>
          <w:szCs w:val="21"/>
          <w:highlight w:val="none"/>
        </w:rPr>
        <w:t xml:space="preserve">甲方：（采购人）                     </w:t>
      </w:r>
    </w:p>
    <w:p>
      <w:pPr>
        <w:spacing w:line="440" w:lineRule="exact"/>
        <w:rPr>
          <w:rFonts w:hAnsi="宋体"/>
          <w:color w:val="auto"/>
          <w:sz w:val="21"/>
          <w:szCs w:val="21"/>
          <w:highlight w:val="none"/>
        </w:rPr>
      </w:pPr>
      <w:r>
        <w:rPr>
          <w:rFonts w:hint="eastAsia" w:hAnsi="宋体"/>
          <w:color w:val="auto"/>
          <w:sz w:val="21"/>
          <w:szCs w:val="21"/>
          <w:highlight w:val="none"/>
        </w:rPr>
        <w:t>乙方：（成交人）</w:t>
      </w:r>
    </w:p>
    <w:p>
      <w:pPr>
        <w:spacing w:line="440" w:lineRule="exact"/>
        <w:ind w:firstLine="420" w:firstLineChars="200"/>
        <w:rPr>
          <w:rFonts w:hAnsi="宋体"/>
          <w:color w:val="auto"/>
          <w:sz w:val="21"/>
          <w:szCs w:val="21"/>
          <w:highlight w:val="none"/>
        </w:rPr>
      </w:pPr>
    </w:p>
    <w:p>
      <w:pPr>
        <w:pStyle w:val="47"/>
        <w:spacing w:line="440" w:lineRule="exact"/>
        <w:ind w:firstLine="420" w:firstLineChars="200"/>
        <w:rPr>
          <w:color w:val="auto"/>
          <w:sz w:val="21"/>
          <w:szCs w:val="21"/>
          <w:highlight w:val="none"/>
        </w:rPr>
      </w:pPr>
      <w:r>
        <w:rPr>
          <w:rFonts w:hint="eastAsia"/>
          <w:color w:val="auto"/>
          <w:sz w:val="21"/>
          <w:szCs w:val="21"/>
          <w:highlight w:val="none"/>
        </w:rPr>
        <w:t>受甲方委托，</w:t>
      </w:r>
      <w:r>
        <w:rPr>
          <w:rFonts w:hint="eastAsia"/>
          <w:color w:val="auto"/>
          <w:sz w:val="21"/>
          <w:szCs w:val="21"/>
          <w:highlight w:val="none"/>
          <w:u w:val="single"/>
        </w:rPr>
        <w:t xml:space="preserve">           (采购代理机构)</w:t>
      </w:r>
      <w:r>
        <w:rPr>
          <w:rFonts w:hint="eastAsia"/>
          <w:color w:val="auto"/>
          <w:sz w:val="21"/>
          <w:szCs w:val="21"/>
          <w:highlight w:val="none"/>
        </w:rPr>
        <w:t>组织对</w:t>
      </w:r>
      <w:r>
        <w:rPr>
          <w:rFonts w:hint="eastAsia"/>
          <w:color w:val="auto"/>
          <w:sz w:val="21"/>
          <w:szCs w:val="21"/>
          <w:highlight w:val="none"/>
          <w:u w:val="single"/>
        </w:rPr>
        <w:t xml:space="preserve">         （项目名称）</w:t>
      </w:r>
      <w:r>
        <w:rPr>
          <w:rFonts w:hint="eastAsia"/>
          <w:color w:val="auto"/>
          <w:sz w:val="21"/>
          <w:szCs w:val="21"/>
          <w:highlight w:val="none"/>
        </w:rPr>
        <w:t>采购项目（采购编号为</w:t>
      </w:r>
      <w:r>
        <w:rPr>
          <w:rFonts w:hint="eastAsia"/>
          <w:color w:val="auto"/>
          <w:sz w:val="21"/>
          <w:szCs w:val="21"/>
          <w:highlight w:val="none"/>
          <w:u w:val="single"/>
        </w:rPr>
        <w:t xml:space="preserve">       </w:t>
      </w:r>
      <w:r>
        <w:rPr>
          <w:rFonts w:hint="eastAsia"/>
          <w:color w:val="auto"/>
          <w:sz w:val="21"/>
          <w:szCs w:val="21"/>
          <w:highlight w:val="none"/>
        </w:rPr>
        <w:t>）进行采购，于</w:t>
      </w:r>
      <w:r>
        <w:rPr>
          <w:rFonts w:hint="eastAsia"/>
          <w:color w:val="auto"/>
          <w:sz w:val="21"/>
          <w:szCs w:val="21"/>
          <w:highlight w:val="none"/>
          <w:u w:val="single"/>
        </w:rPr>
        <w:t xml:space="preserve">  </w:t>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rPr>
        <w:t>日通过公开采购，经评标委员会评定乙方</w:t>
      </w:r>
      <w:r>
        <w:rPr>
          <w:rFonts w:hint="eastAsia"/>
          <w:color w:val="auto"/>
          <w:sz w:val="21"/>
          <w:szCs w:val="21"/>
          <w:highlight w:val="none"/>
          <w:u w:val="single"/>
        </w:rPr>
        <w:t xml:space="preserve">      </w:t>
      </w:r>
      <w:r>
        <w:rPr>
          <w:rFonts w:hint="eastAsia"/>
          <w:color w:val="auto"/>
          <w:sz w:val="21"/>
          <w:szCs w:val="21"/>
          <w:highlight w:val="none"/>
        </w:rPr>
        <w:t>为成交人。为了保护甲乙双方合法权益，根据《中华人民共和国民法典》等有关法律法规的规定，在平等自愿的基础上，甲乙双方按照下面的条款和条件，签署本合同。</w:t>
      </w:r>
    </w:p>
    <w:p>
      <w:pPr>
        <w:pStyle w:val="47"/>
        <w:spacing w:line="440" w:lineRule="exact"/>
        <w:ind w:firstLine="422" w:firstLineChars="200"/>
        <w:rPr>
          <w:b/>
          <w:color w:val="auto"/>
          <w:sz w:val="21"/>
          <w:szCs w:val="21"/>
          <w:highlight w:val="none"/>
        </w:rPr>
      </w:pPr>
      <w:r>
        <w:rPr>
          <w:rFonts w:hint="eastAsia"/>
          <w:b/>
          <w:color w:val="auto"/>
          <w:sz w:val="21"/>
          <w:szCs w:val="21"/>
          <w:highlight w:val="none"/>
        </w:rPr>
        <w:t xml:space="preserve">一、合同组成及合同总价 </w:t>
      </w:r>
    </w:p>
    <w:p>
      <w:pPr>
        <w:pStyle w:val="47"/>
        <w:spacing w:line="440" w:lineRule="exact"/>
        <w:ind w:firstLine="420" w:firstLineChars="200"/>
        <w:rPr>
          <w:color w:val="auto"/>
          <w:sz w:val="21"/>
          <w:szCs w:val="21"/>
          <w:highlight w:val="none"/>
        </w:rPr>
      </w:pPr>
      <w:r>
        <w:rPr>
          <w:rFonts w:hint="eastAsia"/>
          <w:color w:val="auto"/>
          <w:sz w:val="21"/>
          <w:szCs w:val="21"/>
          <w:highlight w:val="none"/>
        </w:rPr>
        <w:t>1.1 合同文件组成内容包括：1、本合同书 ，2、补充协议或者双方签订的备忘录、会议纪要，3、中标通知书，4、采购文件（含采购文件澄清通知），5、投标文件（含澄清内容）等。</w:t>
      </w:r>
    </w:p>
    <w:p>
      <w:pPr>
        <w:pStyle w:val="47"/>
        <w:spacing w:line="440" w:lineRule="exact"/>
        <w:ind w:firstLine="420" w:firstLineChars="200"/>
        <w:rPr>
          <w:color w:val="auto"/>
          <w:sz w:val="21"/>
          <w:szCs w:val="21"/>
          <w:highlight w:val="none"/>
        </w:rPr>
      </w:pPr>
      <w:r>
        <w:rPr>
          <w:rFonts w:hint="eastAsia"/>
          <w:color w:val="auto"/>
          <w:sz w:val="21"/>
          <w:szCs w:val="21"/>
          <w:highlight w:val="none"/>
        </w:rPr>
        <w:t>合同文件内容有冲突的，按照上述顺序优先解释，同一顺序内容有冲突的，以最后签署日期的文件优先。</w:t>
      </w:r>
    </w:p>
    <w:p>
      <w:pPr>
        <w:spacing w:line="360" w:lineRule="auto"/>
        <w:ind w:firstLine="420" w:firstLineChars="200"/>
        <w:rPr>
          <w:rFonts w:hAnsi="宋体"/>
          <w:color w:val="auto"/>
          <w:sz w:val="21"/>
          <w:szCs w:val="21"/>
          <w:highlight w:val="none"/>
        </w:rPr>
      </w:pPr>
      <w:r>
        <w:rPr>
          <w:rFonts w:hint="eastAsia"/>
          <w:color w:val="auto"/>
          <w:sz w:val="21"/>
          <w:szCs w:val="21"/>
          <w:highlight w:val="none"/>
        </w:rPr>
        <w:t>1.2 采购内容：为提升松山湖国际创新创业社区H2、H3栋人才公寓、松寓的水电抄表效率，做好能耗管理，对上述区域进行智能水电表改造，将现场普通水表、电表进行拆除更换，安装具备远程抄表和能耗监测功能的智能水表、电表，实现用水、用电数据的采集及传输，可对用水用电数据进行抄读及能耗分析。</w:t>
      </w:r>
      <w:r>
        <w:rPr>
          <w:rFonts w:hint="eastAsia" w:hAnsi="宋体"/>
          <w:color w:val="auto"/>
          <w:sz w:val="21"/>
          <w:szCs w:val="21"/>
          <w:highlight w:val="none"/>
        </w:rPr>
        <w:t>采购范围包括：松山湖国际创新创业社区H2栋、H3栋人才公寓、松寓共1486户，室内、室外、楼栋公共区域的智能水电表升级及远程抄表系统部署，具体详见采购方案及图纸，合同价范围内乙方应完成上述楼宇（含公共区域）所有水表、电表（松寓仅完成电表部分）进行改造升级，甲方不另行支付额外费用。</w:t>
      </w:r>
    </w:p>
    <w:p>
      <w:pPr>
        <w:pStyle w:val="47"/>
        <w:spacing w:line="440" w:lineRule="exact"/>
        <w:ind w:firstLine="420" w:firstLineChars="200"/>
        <w:rPr>
          <w:color w:val="auto"/>
          <w:sz w:val="21"/>
          <w:szCs w:val="21"/>
          <w:highlight w:val="none"/>
        </w:rPr>
      </w:pPr>
      <w:r>
        <w:rPr>
          <w:rFonts w:hint="eastAsia"/>
          <w:color w:val="auto"/>
          <w:sz w:val="21"/>
          <w:szCs w:val="21"/>
          <w:highlight w:val="none"/>
        </w:rPr>
        <w:t>1.3</w:t>
      </w:r>
      <w:r>
        <w:rPr>
          <w:color w:val="auto"/>
          <w:sz w:val="21"/>
          <w:szCs w:val="21"/>
          <w:highlight w:val="none"/>
        </w:rPr>
        <w:t xml:space="preserve"> </w:t>
      </w:r>
      <w:r>
        <w:rPr>
          <w:rFonts w:hint="eastAsia"/>
          <w:color w:val="auto"/>
          <w:sz w:val="21"/>
          <w:szCs w:val="21"/>
          <w:highlight w:val="none"/>
        </w:rPr>
        <w:t>货物需求收货标准一览表及技术规格:乙方按甲方要求打版各一套并安装到指定位置，甲乙双方对样板签字确认后，按合同数量，样板材质，颜色，规格，摆放位置等要求再批量生产如期交货。</w:t>
      </w:r>
    </w:p>
    <w:p>
      <w:pPr>
        <w:pStyle w:val="47"/>
        <w:spacing w:line="440" w:lineRule="exact"/>
        <w:ind w:firstLine="420" w:firstLineChars="200"/>
        <w:rPr>
          <w:color w:val="auto"/>
          <w:sz w:val="21"/>
          <w:szCs w:val="21"/>
          <w:highlight w:val="none"/>
        </w:rPr>
      </w:pPr>
      <w:r>
        <w:rPr>
          <w:rFonts w:hint="eastAsia"/>
          <w:color w:val="auto"/>
          <w:sz w:val="21"/>
          <w:szCs w:val="21"/>
          <w:highlight w:val="none"/>
        </w:rPr>
        <w:t>1.3.1货物总体要求</w:t>
      </w:r>
    </w:p>
    <w:p>
      <w:pPr>
        <w:pStyle w:val="47"/>
        <w:spacing w:line="440" w:lineRule="exact"/>
        <w:ind w:firstLine="420" w:firstLineChars="200"/>
        <w:rPr>
          <w:color w:val="auto"/>
          <w:sz w:val="21"/>
          <w:szCs w:val="21"/>
          <w:highlight w:val="none"/>
        </w:rPr>
      </w:pPr>
      <w:r>
        <w:rPr>
          <w:rFonts w:hint="eastAsia"/>
          <w:color w:val="auto"/>
          <w:sz w:val="21"/>
          <w:szCs w:val="21"/>
          <w:highlight w:val="none"/>
        </w:rPr>
        <w:t>（1）乙方所投货物必须是原装、全新的产品，符合国家以及该产品的出厂标准。</w:t>
      </w:r>
    </w:p>
    <w:p>
      <w:pPr>
        <w:pStyle w:val="47"/>
        <w:spacing w:line="440" w:lineRule="exact"/>
        <w:ind w:firstLine="420" w:firstLineChars="200"/>
        <w:rPr>
          <w:color w:val="auto"/>
          <w:sz w:val="21"/>
          <w:szCs w:val="21"/>
          <w:highlight w:val="none"/>
        </w:rPr>
      </w:pPr>
      <w:r>
        <w:rPr>
          <w:rFonts w:hint="eastAsia"/>
          <w:color w:val="auto"/>
          <w:sz w:val="21"/>
          <w:szCs w:val="21"/>
          <w:highlight w:val="none"/>
        </w:rPr>
        <w:t>（2）实际供货时将根据现场情况和实际使用功能作调整，如材料、规格、产品的效果图等的要求，乙方须无条件配合甲方的要求调整方案。最终供货方案经甲方确认成品样板或产品效果图后，方可正式实施生产供货，所涉及的一切费用由乙方承担。若乙方最终供应的货物在材质，颜色，规格、性能等方面若出现与经甲方确认的样板或产品效果图不一致，影响设备功能的，则乙方构成违约，应承担违约责任。事先获得甲方书面批准同意的除外。</w:t>
      </w:r>
    </w:p>
    <w:p>
      <w:pPr>
        <w:pStyle w:val="47"/>
        <w:spacing w:line="440" w:lineRule="exact"/>
        <w:ind w:firstLine="420" w:firstLineChars="200"/>
        <w:rPr>
          <w:color w:val="auto"/>
          <w:sz w:val="21"/>
          <w:szCs w:val="21"/>
          <w:highlight w:val="none"/>
        </w:rPr>
      </w:pPr>
      <w:r>
        <w:rPr>
          <w:rFonts w:hint="eastAsia"/>
          <w:color w:val="auto"/>
          <w:sz w:val="21"/>
          <w:szCs w:val="21"/>
          <w:highlight w:val="none"/>
        </w:rPr>
        <w:t>（3）乙方所投货物必须使用环保材料并符合国家环保要求及标准。</w:t>
      </w:r>
    </w:p>
    <w:p>
      <w:pPr>
        <w:pStyle w:val="47"/>
        <w:spacing w:line="440" w:lineRule="exact"/>
        <w:ind w:firstLine="420" w:firstLineChars="200"/>
        <w:rPr>
          <w:color w:val="auto"/>
          <w:sz w:val="21"/>
          <w:szCs w:val="21"/>
          <w:highlight w:val="none"/>
        </w:rPr>
      </w:pPr>
      <w:r>
        <w:rPr>
          <w:rFonts w:hint="eastAsia"/>
          <w:color w:val="auto"/>
          <w:sz w:val="21"/>
          <w:szCs w:val="21"/>
          <w:highlight w:val="none"/>
        </w:rPr>
        <w:t>（4）签定合同后，乙方须无条件配合甲方到其生产加工现场就投入本项目有关的人员、设备、原材料采购、原料品牌、品质、型号、加工生产工艺流程、半成品，以及成品打包前质量、材质、款式等进行监督和检查；乙方须按甲方要求提交原材料采购的原始检验证、环保证、合格证等合法手续凭证，以得到甲方的监督和认可。如人员未能达到采购文件要求和投标文件中的承诺响应的，每发现一人处罚（5万元/每人次）；如设备未能达到采购文件要求和投标文件中的承诺响应的，每发现一台处罚（5万元/每台）；监督检查发现生产过程中有不符合相关规定的，甲方有权视其情节轻重进行处罚。</w:t>
      </w:r>
    </w:p>
    <w:p>
      <w:pPr>
        <w:pStyle w:val="47"/>
        <w:spacing w:line="440" w:lineRule="exact"/>
        <w:ind w:firstLine="420" w:firstLineChars="200"/>
        <w:rPr>
          <w:color w:val="auto"/>
          <w:sz w:val="21"/>
          <w:szCs w:val="21"/>
          <w:highlight w:val="none"/>
        </w:rPr>
      </w:pPr>
      <w:r>
        <w:rPr>
          <w:rFonts w:hint="eastAsia"/>
          <w:color w:val="auto"/>
          <w:sz w:val="21"/>
          <w:szCs w:val="21"/>
          <w:highlight w:val="none"/>
        </w:rPr>
        <w:t>（5）乙方应保证货物在不需要增配未列出配件（特别指出的除外）的前提下货物功能、技术标准能够达到采购文件的要求，而无须再增配未列出的配件；如乙方所提供的产品需要增配配件才能达到要求的，所增配的配件须由乙方免费提供。</w:t>
      </w:r>
    </w:p>
    <w:p>
      <w:pPr>
        <w:pStyle w:val="47"/>
        <w:spacing w:line="440" w:lineRule="exact"/>
        <w:ind w:firstLine="420" w:firstLineChars="200"/>
        <w:rPr>
          <w:color w:val="auto"/>
          <w:sz w:val="21"/>
          <w:szCs w:val="21"/>
          <w:highlight w:val="none"/>
        </w:rPr>
      </w:pPr>
      <w:r>
        <w:rPr>
          <w:rFonts w:hint="eastAsia"/>
          <w:color w:val="auto"/>
          <w:sz w:val="21"/>
          <w:szCs w:val="21"/>
          <w:highlight w:val="none"/>
        </w:rPr>
        <w:t>（6）货物在验收合格前的保险由乙方负责，且乙方负责其派出的现场服务人员人身意外保险。</w:t>
      </w:r>
    </w:p>
    <w:p>
      <w:pPr>
        <w:pStyle w:val="47"/>
        <w:spacing w:line="440" w:lineRule="exact"/>
        <w:ind w:firstLine="420" w:firstLineChars="200"/>
        <w:rPr>
          <w:color w:val="auto"/>
          <w:sz w:val="21"/>
          <w:szCs w:val="21"/>
          <w:highlight w:val="none"/>
        </w:rPr>
      </w:pPr>
      <w:r>
        <w:rPr>
          <w:rFonts w:hint="eastAsia"/>
          <w:color w:val="auto"/>
          <w:sz w:val="21"/>
          <w:szCs w:val="21"/>
          <w:highlight w:val="none"/>
        </w:rPr>
        <w:t>（6）乙方应对甲方提供免费培训服务。</w:t>
      </w:r>
    </w:p>
    <w:p>
      <w:pPr>
        <w:pStyle w:val="47"/>
        <w:spacing w:line="440" w:lineRule="exact"/>
        <w:ind w:firstLine="420" w:firstLineChars="200"/>
        <w:rPr>
          <w:color w:val="auto"/>
          <w:sz w:val="21"/>
          <w:szCs w:val="21"/>
          <w:highlight w:val="none"/>
        </w:rPr>
      </w:pPr>
      <w:r>
        <w:rPr>
          <w:rFonts w:hint="eastAsia"/>
          <w:color w:val="auto"/>
          <w:sz w:val="21"/>
          <w:szCs w:val="21"/>
          <w:highlight w:val="none"/>
        </w:rPr>
        <w:t>1.3.2技术要求和标准：</w:t>
      </w:r>
    </w:p>
    <w:p>
      <w:pPr>
        <w:pStyle w:val="144"/>
        <w:spacing w:line="360" w:lineRule="auto"/>
        <w:ind w:left="480" w:leftChars="200" w:firstLine="0" w:firstLineChars="0"/>
        <w:rPr>
          <w:rFonts w:ascii="宋体" w:hAnsi="宋体"/>
          <w:color w:val="auto"/>
          <w:szCs w:val="21"/>
          <w:highlight w:val="none"/>
        </w:rPr>
      </w:pPr>
      <w:r>
        <w:rPr>
          <w:rFonts w:hint="eastAsia" w:ascii="宋体" w:hAnsi="宋体"/>
          <w:color w:val="auto"/>
          <w:szCs w:val="21"/>
          <w:highlight w:val="none"/>
        </w:rPr>
        <w:t>（1）智能电表技术要求</w:t>
      </w:r>
    </w:p>
    <w:tbl>
      <w:tblPr>
        <w:tblStyle w:val="51"/>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665"/>
        <w:gridCol w:w="6025"/>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1665"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项目</w:t>
            </w:r>
          </w:p>
        </w:tc>
        <w:tc>
          <w:tcPr>
            <w:tcW w:w="6025"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要求值</w:t>
            </w:r>
          </w:p>
        </w:tc>
        <w:tc>
          <w:tcPr>
            <w:tcW w:w="1220"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665" w:type="dxa"/>
            <w:vAlign w:val="center"/>
          </w:tcPr>
          <w:p>
            <w:pPr>
              <w:jc w:val="center"/>
              <w:rPr>
                <w:rFonts w:hAnsi="宋体"/>
                <w:bCs/>
                <w:color w:val="auto"/>
                <w:sz w:val="21"/>
                <w:szCs w:val="21"/>
                <w:highlight w:val="none"/>
              </w:rPr>
            </w:pPr>
            <w:r>
              <w:rPr>
                <w:rFonts w:hint="eastAsia" w:hAnsi="宋体"/>
                <w:bCs/>
                <w:color w:val="auto"/>
                <w:sz w:val="21"/>
                <w:szCs w:val="21"/>
                <w:highlight w:val="none"/>
              </w:rPr>
              <w:t>引用标准</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符合国家电网Q/GDW1364-2013《单相智能电能表技术规范》；GB/T 17215.211-2021 交流电测量设备 通用要求、试验和试验条件；符合中华人民共和国电力行业标准DL/T 698-1999《低压电力用户集中抄表系统技术条件》；</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计量原理</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采用在线式传输，实现可靠的数据通信； 电表充值必须逻辑加密，每一次充值的下发报文根据购电次数计算，确保充值报文即便被截取也不能重复充值。</w:t>
            </w:r>
          </w:p>
        </w:tc>
        <w:tc>
          <w:tcPr>
            <w:tcW w:w="1220"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基本要求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额定电流</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单相(5/60A)；三相(3×1.5/6A、3×5/60A、3×20/80A）</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额定电压</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单相220V，三相四线：3×220/380V；</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准确度等级</w:t>
            </w:r>
          </w:p>
        </w:tc>
        <w:tc>
          <w:tcPr>
            <w:tcW w:w="6025" w:type="dxa"/>
            <w:vAlign w:val="center"/>
          </w:tcPr>
          <w:p>
            <w:pPr>
              <w:jc w:val="center"/>
              <w:rPr>
                <w:rFonts w:hAnsi="宋体"/>
                <w:b/>
                <w:color w:val="auto"/>
                <w:sz w:val="21"/>
                <w:szCs w:val="21"/>
                <w:highlight w:val="none"/>
              </w:rPr>
            </w:pPr>
            <w:r>
              <w:rPr>
                <w:rFonts w:hint="eastAsia" w:hAnsi="宋体"/>
                <w:bCs/>
                <w:color w:val="auto"/>
                <w:sz w:val="21"/>
                <w:szCs w:val="21"/>
                <w:highlight w:val="none"/>
              </w:rPr>
              <w:t>单相有功 1级、三相有功0.5S、无功2.0级</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3.4</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环境条件</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参比温度：23℃；工作温度范围：-10℃～60℃；参比湿度：40%～90%；年平均湿度：≤85%</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功能要求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安全要求</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电表的计量数据不允许进行修改，以保证数据的准确性</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4.2</w:t>
            </w:r>
          </w:p>
        </w:tc>
        <w:tc>
          <w:tcPr>
            <w:tcW w:w="1665" w:type="dxa"/>
            <w:vAlign w:val="center"/>
          </w:tcPr>
          <w:p>
            <w:pPr>
              <w:ind w:firstLine="210" w:firstLineChars="100"/>
              <w:rPr>
                <w:rFonts w:hAnsi="宋体"/>
                <w:color w:val="auto"/>
                <w:sz w:val="21"/>
                <w:szCs w:val="21"/>
                <w:highlight w:val="none"/>
              </w:rPr>
            </w:pPr>
            <w:r>
              <w:rPr>
                <w:rFonts w:hint="eastAsia" w:hAnsi="宋体"/>
                <w:color w:val="auto"/>
                <w:sz w:val="21"/>
                <w:szCs w:val="21"/>
                <w:highlight w:val="none"/>
              </w:rPr>
              <w:t>计量功能</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1)具有正、反向有功电能量、四象限无功电能量计量功能，并可据此设置组合有功和组合无功电能量。</w:t>
            </w:r>
          </w:p>
          <w:p>
            <w:pPr>
              <w:rPr>
                <w:rFonts w:hAnsi="宋体"/>
                <w:color w:val="auto"/>
                <w:sz w:val="21"/>
                <w:szCs w:val="21"/>
                <w:highlight w:val="none"/>
              </w:rPr>
            </w:pPr>
            <w:r>
              <w:rPr>
                <w:rFonts w:hint="eastAsia" w:hAnsi="宋体"/>
                <w:color w:val="auto"/>
                <w:sz w:val="21"/>
                <w:szCs w:val="21"/>
                <w:highlight w:val="none"/>
              </w:rPr>
              <w:t>2)分时计量功能：支持尖、峰、平、谷四个费率；内置两套时区表、两套日时段表，可以按需编程配置，并可设定两套时区表切换时间和两套日时段表切换时间，实现相互切换；</w:t>
            </w:r>
          </w:p>
          <w:p>
            <w:pPr>
              <w:rPr>
                <w:rFonts w:hAnsi="宋体"/>
                <w:color w:val="auto"/>
                <w:sz w:val="21"/>
                <w:szCs w:val="21"/>
                <w:highlight w:val="none"/>
              </w:rPr>
            </w:pPr>
            <w:r>
              <w:rPr>
                <w:rFonts w:hint="eastAsia" w:hAnsi="宋体"/>
                <w:color w:val="auto"/>
                <w:sz w:val="21"/>
                <w:szCs w:val="21"/>
                <w:highlight w:val="none"/>
              </w:rPr>
              <w:t>3)需量测量：最大需量测量记录正反向总有功、无功需量及需量发生时间。</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系统显示功能</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显示界面直观、友好，数据意义清晰、明了，便于查询。</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4.4</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电表显示屏</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电表液晶屏上必须显示剩余电量、有功总电能、电流、电压、当前总功率。</w:t>
            </w:r>
          </w:p>
        </w:tc>
        <w:tc>
          <w:tcPr>
            <w:tcW w:w="1220"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4.5</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通讯功能</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1)电表采用RS485通讯方式，可以通过485通讯抄回表内数据，通讯规约遵循DL/T 645—2007或MODBUS通讯协议；RS485</w:t>
            </w:r>
            <w:r>
              <w:rPr>
                <w:rFonts w:hint="eastAsia" w:hAnsi="宋体"/>
                <w:color w:val="auto"/>
                <w:sz w:val="21"/>
                <w:szCs w:val="21"/>
                <w:highlight w:val="none"/>
                <w:lang w:val="zh-CN"/>
              </w:rPr>
              <w:t>接口通信速率可设置</w:t>
            </w:r>
            <w:r>
              <w:rPr>
                <w:rFonts w:hint="eastAsia" w:hAnsi="宋体"/>
                <w:color w:val="auto"/>
                <w:sz w:val="21"/>
                <w:szCs w:val="21"/>
                <w:highlight w:val="none"/>
              </w:rPr>
              <w:t>，</w:t>
            </w:r>
            <w:r>
              <w:rPr>
                <w:rFonts w:hint="eastAsia" w:hAnsi="宋体"/>
                <w:color w:val="auto"/>
                <w:sz w:val="21"/>
                <w:szCs w:val="21"/>
                <w:highlight w:val="none"/>
                <w:lang w:val="zh-CN"/>
              </w:rPr>
              <w:t>标准速率为</w:t>
            </w:r>
            <w:r>
              <w:rPr>
                <w:rFonts w:hint="eastAsia" w:hAnsi="宋体"/>
                <w:color w:val="auto"/>
                <w:sz w:val="21"/>
                <w:szCs w:val="21"/>
                <w:highlight w:val="none"/>
              </w:rPr>
              <w:t>1200bps</w:t>
            </w:r>
            <w:r>
              <w:rPr>
                <w:rFonts w:hint="eastAsia" w:hAnsi="宋体"/>
                <w:color w:val="auto"/>
                <w:sz w:val="21"/>
                <w:szCs w:val="21"/>
                <w:highlight w:val="none"/>
                <w:lang w:val="zh-CN"/>
              </w:rPr>
              <w:t>、</w:t>
            </w:r>
            <w:r>
              <w:rPr>
                <w:rFonts w:hint="eastAsia" w:hAnsi="宋体"/>
                <w:color w:val="auto"/>
                <w:sz w:val="21"/>
                <w:szCs w:val="21"/>
                <w:highlight w:val="none"/>
              </w:rPr>
              <w:t xml:space="preserve">2400bps </w:t>
            </w:r>
            <w:r>
              <w:rPr>
                <w:rFonts w:hint="eastAsia" w:hAnsi="宋体"/>
                <w:color w:val="auto"/>
                <w:sz w:val="21"/>
                <w:szCs w:val="21"/>
                <w:highlight w:val="none"/>
                <w:lang w:val="zh-CN"/>
              </w:rPr>
              <w:t>、</w:t>
            </w:r>
            <w:r>
              <w:rPr>
                <w:rFonts w:hint="eastAsia" w:hAnsi="宋体"/>
                <w:color w:val="auto"/>
                <w:sz w:val="21"/>
                <w:szCs w:val="21"/>
                <w:highlight w:val="none"/>
              </w:rPr>
              <w:t xml:space="preserve">4800bps </w:t>
            </w:r>
            <w:r>
              <w:rPr>
                <w:rFonts w:hint="eastAsia" w:hAnsi="宋体"/>
                <w:color w:val="auto"/>
                <w:sz w:val="21"/>
                <w:szCs w:val="21"/>
                <w:highlight w:val="none"/>
                <w:lang w:val="zh-CN"/>
              </w:rPr>
              <w:t>、</w:t>
            </w:r>
            <w:r>
              <w:rPr>
                <w:rFonts w:hint="eastAsia" w:hAnsi="宋体"/>
                <w:color w:val="auto"/>
                <w:sz w:val="21"/>
                <w:szCs w:val="21"/>
                <w:highlight w:val="none"/>
              </w:rPr>
              <w:t>9600bps</w:t>
            </w:r>
            <w:r>
              <w:rPr>
                <w:rFonts w:hint="eastAsia" w:hAnsi="宋体"/>
                <w:color w:val="auto"/>
                <w:sz w:val="21"/>
                <w:szCs w:val="21"/>
                <w:highlight w:val="none"/>
                <w:lang w:val="zh-CN"/>
              </w:rPr>
              <w:t>；</w:t>
            </w:r>
            <w:r>
              <w:rPr>
                <w:rFonts w:hint="eastAsia" w:hAnsi="宋体"/>
                <w:color w:val="auto"/>
                <w:sz w:val="21"/>
                <w:szCs w:val="21"/>
                <w:highlight w:val="none"/>
              </w:rPr>
              <w:t>2)电表内置无线通信模块，支持4G无线通信；支持网关采集功能3)支持蓝牙通讯。</w:t>
            </w:r>
          </w:p>
        </w:tc>
        <w:tc>
          <w:tcPr>
            <w:tcW w:w="1220"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4.6</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常数</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电能表的常数必须保证1％Ib或1％In，COSφ＝1时，每个脉冲间隔＜1.5分钟。</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4.7</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误差要求</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电能表在出厂时，各点的误差应控制在误差限制的60％内。</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4.8</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能耗监测功能</w:t>
            </w:r>
          </w:p>
        </w:tc>
        <w:tc>
          <w:tcPr>
            <w:tcW w:w="6025" w:type="dxa"/>
            <w:vAlign w:val="center"/>
          </w:tcPr>
          <w:p>
            <w:pPr>
              <w:numPr>
                <w:ilvl w:val="0"/>
                <w:numId w:val="14"/>
              </w:numPr>
              <w:rPr>
                <w:rFonts w:hAnsi="宋体"/>
                <w:color w:val="auto"/>
                <w:sz w:val="21"/>
                <w:szCs w:val="21"/>
                <w:highlight w:val="none"/>
              </w:rPr>
            </w:pPr>
            <w:r>
              <w:rPr>
                <w:rFonts w:hint="eastAsia" w:hAnsi="宋体"/>
                <w:color w:val="auto"/>
                <w:sz w:val="21"/>
                <w:szCs w:val="21"/>
                <w:highlight w:val="none"/>
              </w:rPr>
              <w:t>能测量电压、电流、功率以及功率因数等电网参数；具有正反向有功、四象限无功最大需量测量功能。</w:t>
            </w:r>
          </w:p>
          <w:p>
            <w:pPr>
              <w:rPr>
                <w:rFonts w:hAnsi="宋体"/>
                <w:color w:val="auto"/>
                <w:sz w:val="21"/>
                <w:szCs w:val="21"/>
                <w:highlight w:val="none"/>
              </w:rPr>
            </w:pPr>
            <w:r>
              <w:rPr>
                <w:rFonts w:hint="eastAsia" w:hAnsi="宋体"/>
                <w:color w:val="auto"/>
                <w:sz w:val="21"/>
                <w:szCs w:val="21"/>
                <w:highlight w:val="none"/>
              </w:rPr>
              <w:t>2.数据存储功能：支持多种冻结方式，包括：日冻结、整点冻结、定时冻结、瞬时冻结、约定冻结。</w:t>
            </w:r>
          </w:p>
          <w:p>
            <w:pPr>
              <w:rPr>
                <w:rFonts w:hAnsi="宋体"/>
                <w:color w:val="auto"/>
                <w:sz w:val="21"/>
                <w:szCs w:val="21"/>
                <w:highlight w:val="none"/>
              </w:rPr>
            </w:pPr>
            <w:r>
              <w:rPr>
                <w:rFonts w:hint="eastAsia" w:hAnsi="宋体"/>
                <w:color w:val="auto"/>
                <w:sz w:val="21"/>
                <w:szCs w:val="21"/>
                <w:highlight w:val="none"/>
              </w:rPr>
              <w:t>3.负荷记录功能：可记录电压、电流、频率；有、无功功率；功率因数；有、无功总电能等4类数据。</w:t>
            </w:r>
          </w:p>
        </w:tc>
        <w:tc>
          <w:tcPr>
            <w:tcW w:w="1220"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4.9</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事件记录</w:t>
            </w:r>
          </w:p>
        </w:tc>
        <w:tc>
          <w:tcPr>
            <w:tcW w:w="6025" w:type="dxa"/>
            <w:vAlign w:val="center"/>
          </w:tcPr>
          <w:p>
            <w:pPr>
              <w:numPr>
                <w:ilvl w:val="0"/>
                <w:numId w:val="15"/>
              </w:numPr>
              <w:rPr>
                <w:rFonts w:hAnsi="宋体"/>
                <w:color w:val="auto"/>
                <w:sz w:val="21"/>
                <w:szCs w:val="21"/>
                <w:highlight w:val="none"/>
              </w:rPr>
            </w:pPr>
            <w:r>
              <w:rPr>
                <w:rFonts w:hint="eastAsia" w:hAnsi="宋体"/>
                <w:color w:val="auto"/>
                <w:sz w:val="21"/>
                <w:szCs w:val="21"/>
                <w:highlight w:val="none"/>
              </w:rPr>
              <w:t>永久记录电能表清零事件的发生时刻及清零时的电能量数据。</w:t>
            </w:r>
          </w:p>
          <w:p>
            <w:pPr>
              <w:numPr>
                <w:ilvl w:val="0"/>
                <w:numId w:val="15"/>
              </w:numPr>
              <w:rPr>
                <w:rFonts w:hAnsi="宋体"/>
                <w:color w:val="auto"/>
                <w:sz w:val="21"/>
                <w:szCs w:val="21"/>
                <w:highlight w:val="none"/>
              </w:rPr>
            </w:pPr>
            <w:r>
              <w:rPr>
                <w:rFonts w:hint="eastAsia" w:hAnsi="宋体"/>
                <w:color w:val="auto"/>
                <w:sz w:val="21"/>
                <w:szCs w:val="21"/>
                <w:highlight w:val="none"/>
              </w:rPr>
              <w:t>记录编程总次数，最近10次编程的时刻、操作者代码、编程项的数据标识。</w:t>
            </w:r>
          </w:p>
          <w:p>
            <w:pPr>
              <w:numPr>
                <w:ilvl w:val="0"/>
                <w:numId w:val="15"/>
              </w:numPr>
              <w:rPr>
                <w:rFonts w:hAnsi="宋体"/>
                <w:color w:val="auto"/>
                <w:sz w:val="21"/>
                <w:szCs w:val="21"/>
                <w:highlight w:val="none"/>
              </w:rPr>
            </w:pPr>
            <w:r>
              <w:rPr>
                <w:rFonts w:hint="eastAsia" w:hAnsi="宋体"/>
                <w:color w:val="auto"/>
                <w:sz w:val="21"/>
                <w:szCs w:val="21"/>
                <w:highlight w:val="none"/>
              </w:rPr>
              <w:t>记录跳闸总次数，最近10次跳闸发生的时间、原因和跳闸时的电压（功率因数）、功率。</w:t>
            </w:r>
          </w:p>
          <w:p>
            <w:pPr>
              <w:numPr>
                <w:ilvl w:val="0"/>
                <w:numId w:val="15"/>
              </w:numPr>
              <w:rPr>
                <w:rFonts w:hAnsi="宋体"/>
                <w:color w:val="auto"/>
                <w:sz w:val="21"/>
                <w:szCs w:val="21"/>
                <w:highlight w:val="none"/>
              </w:rPr>
            </w:pPr>
            <w:r>
              <w:rPr>
                <w:rFonts w:hint="eastAsia" w:hAnsi="宋体"/>
                <w:color w:val="auto"/>
                <w:sz w:val="21"/>
                <w:szCs w:val="21"/>
                <w:highlight w:val="none"/>
              </w:rPr>
              <w:t>记录校时总次数（不包含广播校时），最近10次校时的时刻、操作者代码。</w:t>
            </w:r>
          </w:p>
          <w:p>
            <w:pPr>
              <w:numPr>
                <w:ilvl w:val="0"/>
                <w:numId w:val="15"/>
              </w:numPr>
              <w:rPr>
                <w:rFonts w:hAnsi="宋体"/>
                <w:color w:val="auto"/>
                <w:sz w:val="21"/>
                <w:szCs w:val="21"/>
                <w:highlight w:val="none"/>
              </w:rPr>
            </w:pPr>
            <w:r>
              <w:rPr>
                <w:rFonts w:hint="eastAsia" w:hAnsi="宋体"/>
                <w:color w:val="auto"/>
                <w:sz w:val="21"/>
                <w:szCs w:val="21"/>
                <w:highlight w:val="none"/>
              </w:rPr>
              <w:t>记录报警总次数，最近10次报警发生的时间、原因和报警时的电压（功率因数）、功率。</w:t>
            </w:r>
          </w:p>
          <w:p>
            <w:pPr>
              <w:numPr>
                <w:ilvl w:val="0"/>
                <w:numId w:val="15"/>
              </w:numPr>
              <w:rPr>
                <w:rFonts w:hAnsi="宋体"/>
                <w:color w:val="auto"/>
                <w:sz w:val="21"/>
                <w:szCs w:val="21"/>
                <w:highlight w:val="none"/>
              </w:rPr>
            </w:pPr>
            <w:r>
              <w:rPr>
                <w:rFonts w:hint="eastAsia" w:hAnsi="宋体"/>
                <w:color w:val="auto"/>
                <w:sz w:val="21"/>
                <w:szCs w:val="21"/>
                <w:highlight w:val="none"/>
              </w:rPr>
              <w:t>可记录过压、过流、过温总次数，以及最近10次过压、过流，过温发生及结束的时刻。</w:t>
            </w:r>
          </w:p>
        </w:tc>
        <w:tc>
          <w:tcPr>
            <w:tcW w:w="1220"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4.10</w:t>
            </w:r>
          </w:p>
        </w:tc>
        <w:tc>
          <w:tcPr>
            <w:tcW w:w="1665" w:type="dxa"/>
            <w:vAlign w:val="center"/>
          </w:tcPr>
          <w:p>
            <w:pPr>
              <w:ind w:firstLine="210" w:firstLineChars="100"/>
              <w:rPr>
                <w:rFonts w:hAnsi="宋体"/>
                <w:color w:val="auto"/>
                <w:sz w:val="21"/>
                <w:szCs w:val="21"/>
                <w:highlight w:val="none"/>
              </w:rPr>
            </w:pPr>
            <w:r>
              <w:rPr>
                <w:rFonts w:hint="eastAsia" w:hAnsi="宋体"/>
                <w:color w:val="auto"/>
                <w:sz w:val="21"/>
                <w:szCs w:val="21"/>
                <w:highlight w:val="none"/>
              </w:rPr>
              <w:t>保护功能</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1）过压保护：当电表电压大于等于设定的阀值时，自动跳闸，保护用电设备；当电压恢复正常时，解除跳闸。</w:t>
            </w:r>
          </w:p>
          <w:p>
            <w:pPr>
              <w:rPr>
                <w:rFonts w:hAnsi="宋体"/>
                <w:color w:val="auto"/>
                <w:sz w:val="21"/>
                <w:szCs w:val="21"/>
                <w:highlight w:val="none"/>
              </w:rPr>
            </w:pPr>
            <w:r>
              <w:rPr>
                <w:rFonts w:hint="eastAsia" w:hAnsi="宋体"/>
                <w:color w:val="auto"/>
                <w:sz w:val="21"/>
                <w:szCs w:val="21"/>
                <w:highlight w:val="none"/>
              </w:rPr>
              <w:t>2）过流保护：负载功率超过设定阀值跳闸。</w:t>
            </w:r>
          </w:p>
          <w:p>
            <w:pPr>
              <w:rPr>
                <w:rFonts w:hAnsi="宋体"/>
                <w:color w:val="auto"/>
                <w:sz w:val="21"/>
                <w:szCs w:val="21"/>
                <w:highlight w:val="none"/>
              </w:rPr>
            </w:pPr>
            <w:r>
              <w:rPr>
                <w:rFonts w:hint="eastAsia" w:hAnsi="宋体"/>
                <w:color w:val="auto"/>
                <w:sz w:val="21"/>
                <w:szCs w:val="21"/>
                <w:highlight w:val="none"/>
              </w:rPr>
              <w:t>3）过温保护：电表可监测内部工作温度，当监测温度大于温度设定值时跳闸，当温度回复正常时，解除跳闸。</w:t>
            </w:r>
          </w:p>
        </w:tc>
        <w:tc>
          <w:tcPr>
            <w:tcW w:w="1220"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元器件和结构要求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主要元器件</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选用知名品牌，特别是对于重要元器件，</w:t>
            </w:r>
          </w:p>
          <w:p>
            <w:pPr>
              <w:rPr>
                <w:rFonts w:hAnsi="宋体"/>
                <w:color w:val="auto"/>
                <w:sz w:val="21"/>
                <w:szCs w:val="21"/>
                <w:highlight w:val="none"/>
              </w:rPr>
            </w:pPr>
            <w:r>
              <w:rPr>
                <w:rFonts w:hint="eastAsia" w:hAnsi="宋体"/>
                <w:color w:val="auto"/>
                <w:sz w:val="21"/>
                <w:szCs w:val="21"/>
                <w:highlight w:val="none"/>
              </w:rPr>
              <w:t>如：MCU、变压器、计量芯片、电容等。</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铭牌</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铭牌，相当于记录电表身份的一个信息牌。</w:t>
            </w:r>
          </w:p>
          <w:p>
            <w:pPr>
              <w:rPr>
                <w:rFonts w:hAnsi="宋体"/>
                <w:color w:val="auto"/>
                <w:sz w:val="21"/>
                <w:szCs w:val="21"/>
                <w:highlight w:val="none"/>
              </w:rPr>
            </w:pPr>
            <w:r>
              <w:rPr>
                <w:rFonts w:hint="eastAsia" w:hAnsi="宋体"/>
                <w:color w:val="auto"/>
                <w:sz w:val="21"/>
                <w:szCs w:val="21"/>
                <w:highlight w:val="none"/>
              </w:rPr>
              <w:t>符合相关的国家规范。</w:t>
            </w:r>
          </w:p>
        </w:tc>
        <w:tc>
          <w:tcPr>
            <w:tcW w:w="1220"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表壳</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应具有阻燃、密封、防尘、防潮、防水性能，并有一定的强度，由能抗变形。腐蚀、老化的阻燃材料制成。电能表端钮盒盖内侧应标出接线图。</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5.4</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表底电量</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电能表出厂时，各电量值表底数应置为"0"kW/h（kVarh）。</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5.5</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铅封</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为防止电表被拆开，应有可靠的双铅封位置。封印应选用具有厂家明显标志的防伪（维一数字）铅封。</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5.6</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接线端子</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电能表接线螺丝、接线桩均采用优质不锈钢镀镍端子，具有防锈蚀、可靠的机械强度，接线盒内外螺丝均“+”、“－”字通用。</w:t>
            </w:r>
            <w:r>
              <w:rPr>
                <w:rFonts w:hint="eastAsia" w:hAnsi="宋体"/>
                <w:bCs/>
                <w:color w:val="auto"/>
                <w:sz w:val="21"/>
                <w:szCs w:val="21"/>
                <w:highlight w:val="none"/>
              </w:rPr>
              <w:t>并采用正下端接线。</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6</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其他要求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6.1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功耗</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每相电压回路≤2W和4VA；每相电流回路≤2.0VA。</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6.2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电压范围</w:t>
            </w:r>
          </w:p>
        </w:tc>
        <w:tc>
          <w:tcPr>
            <w:tcW w:w="6025" w:type="dxa"/>
            <w:vAlign w:val="center"/>
          </w:tcPr>
          <w:p>
            <w:pPr>
              <w:rPr>
                <w:rFonts w:hAnsi="宋体"/>
                <w:color w:val="auto"/>
                <w:sz w:val="21"/>
                <w:szCs w:val="21"/>
                <w:highlight w:val="none"/>
              </w:rPr>
            </w:pPr>
            <w:r>
              <w:rPr>
                <w:rFonts w:hint="eastAsia" w:hAnsi="宋体"/>
                <w:color w:val="auto"/>
                <w:sz w:val="21"/>
                <w:szCs w:val="21"/>
                <w:highlight w:val="none"/>
              </w:rPr>
              <w:t>任意一相输入电压≥0.75Un时，电能表应能正常工作；当输入电压≤1.3Un时，电能表应能长期工作。输入电压为0.8～1.2Un时误差应满足的要求。</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6.3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过压能力</w:t>
            </w:r>
          </w:p>
        </w:tc>
        <w:tc>
          <w:tcPr>
            <w:tcW w:w="6025" w:type="dxa"/>
            <w:vAlign w:val="center"/>
          </w:tcPr>
          <w:p>
            <w:pPr>
              <w:jc w:val="center"/>
              <w:rPr>
                <w:rFonts w:hAnsi="宋体"/>
                <w:color w:val="auto"/>
                <w:sz w:val="21"/>
                <w:szCs w:val="21"/>
                <w:highlight w:val="none"/>
              </w:rPr>
            </w:pPr>
            <w:r>
              <w:rPr>
                <w:rFonts w:hint="eastAsia" w:hAnsi="宋体"/>
                <w:color w:val="auto"/>
                <w:sz w:val="21"/>
                <w:szCs w:val="21"/>
                <w:highlight w:val="none"/>
              </w:rPr>
              <w:t>电能表应能承受1.9Un历时4小时不损坏</w:t>
            </w:r>
          </w:p>
        </w:tc>
        <w:tc>
          <w:tcPr>
            <w:tcW w:w="1220"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7</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安装方式</w:t>
            </w:r>
          </w:p>
        </w:tc>
        <w:tc>
          <w:tcPr>
            <w:tcW w:w="6025" w:type="dxa"/>
            <w:vAlign w:val="center"/>
          </w:tcPr>
          <w:p>
            <w:pPr>
              <w:pStyle w:val="131"/>
              <w:widowControl/>
              <w:ind w:left="480" w:leftChars="200" w:firstLine="840" w:firstLineChars="400"/>
              <w:rPr>
                <w:rFonts w:ascii="宋体" w:hAnsi="宋体" w:cs="宋体"/>
                <w:color w:val="auto"/>
                <w:sz w:val="21"/>
                <w:szCs w:val="21"/>
                <w:highlight w:val="none"/>
              </w:rPr>
            </w:pPr>
            <w:r>
              <w:rPr>
                <w:rFonts w:hint="eastAsia" w:ascii="宋体" w:hAnsi="宋体" w:cs="宋体"/>
                <w:color w:val="auto"/>
                <w:sz w:val="21"/>
                <w:szCs w:val="21"/>
                <w:highlight w:val="none"/>
              </w:rPr>
              <w:t>根据现场情况可选壁挂式或导轨式</w:t>
            </w:r>
          </w:p>
        </w:tc>
        <w:tc>
          <w:tcPr>
            <w:tcW w:w="1220"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8</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质保期</w:t>
            </w:r>
          </w:p>
        </w:tc>
        <w:tc>
          <w:tcPr>
            <w:tcW w:w="6025" w:type="dxa"/>
            <w:vAlign w:val="center"/>
          </w:tcPr>
          <w:p>
            <w:pPr>
              <w:pStyle w:val="131"/>
              <w:widowControl/>
              <w:ind w:left="480" w:leftChars="200" w:firstLine="1680" w:firstLineChars="800"/>
              <w:rPr>
                <w:rFonts w:ascii="宋体" w:hAnsi="宋体" w:cs="宋体"/>
                <w:color w:val="auto"/>
                <w:sz w:val="21"/>
                <w:szCs w:val="21"/>
                <w:highlight w:val="none"/>
              </w:rPr>
            </w:pPr>
            <w:r>
              <w:rPr>
                <w:rFonts w:hint="eastAsia" w:ascii="宋体" w:hAnsi="宋体" w:cs="宋体"/>
                <w:color w:val="auto"/>
                <w:sz w:val="21"/>
                <w:szCs w:val="21"/>
                <w:highlight w:val="none"/>
              </w:rPr>
              <w:t>不低于5年</w:t>
            </w:r>
          </w:p>
        </w:tc>
        <w:tc>
          <w:tcPr>
            <w:tcW w:w="1220" w:type="dxa"/>
            <w:vAlign w:val="center"/>
          </w:tcPr>
          <w:p>
            <w:pPr>
              <w:jc w:val="center"/>
              <w:rPr>
                <w:rFonts w:hAnsi="宋体"/>
                <w:color w:val="auto"/>
                <w:sz w:val="21"/>
                <w:szCs w:val="21"/>
                <w:highlight w:val="none"/>
              </w:rPr>
            </w:pPr>
          </w:p>
        </w:tc>
      </w:tr>
    </w:tbl>
    <w:p>
      <w:pPr>
        <w:spacing w:line="360" w:lineRule="auto"/>
        <w:ind w:firstLine="420" w:firstLineChars="200"/>
        <w:rPr>
          <w:rFonts w:hAnsi="宋体"/>
          <w:color w:val="auto"/>
          <w:sz w:val="21"/>
          <w:szCs w:val="21"/>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（2）智能有线水表技术要求</w:t>
      </w:r>
    </w:p>
    <w:tbl>
      <w:tblPr>
        <w:tblStyle w:val="51"/>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665"/>
        <w:gridCol w:w="601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1665"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项目</w:t>
            </w:r>
          </w:p>
        </w:tc>
        <w:tc>
          <w:tcPr>
            <w:tcW w:w="601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要求值</w:t>
            </w:r>
          </w:p>
        </w:tc>
        <w:tc>
          <w:tcPr>
            <w:tcW w:w="123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引用标准</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符合GB/T 778-2007《封闭满管道中水流量的测量饮用冷水水表和热水水表》国家标准；符合CJ/T 224-2012《电子远传水表》建设部标准；通讯协议为CJ/T188-2004《户用计量仪表数据传输技术条件》或DL/T645-1997《多功能电能表通讯协议》；</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计量原理</w:t>
            </w:r>
          </w:p>
        </w:tc>
        <w:tc>
          <w:tcPr>
            <w:tcW w:w="6011" w:type="dxa"/>
            <w:vAlign w:val="center"/>
          </w:tcPr>
          <w:p>
            <w:pPr>
              <w:spacing w:line="360" w:lineRule="exact"/>
              <w:jc w:val="center"/>
              <w:rPr>
                <w:rFonts w:hAnsi="宋体"/>
                <w:color w:val="auto"/>
                <w:sz w:val="21"/>
                <w:szCs w:val="21"/>
                <w:highlight w:val="none"/>
              </w:rPr>
            </w:pPr>
            <w:r>
              <w:rPr>
                <w:rFonts w:hint="eastAsia" w:hAnsi="宋体"/>
                <w:color w:val="auto"/>
                <w:sz w:val="21"/>
                <w:szCs w:val="21"/>
                <w:highlight w:val="none"/>
              </w:rPr>
              <w:t>水表内置 CPU、存贮芯片和M-BUS 光电通讯模块。由光电管直接读取表计的计数器码盘示数，采用对射式方式,直接读取字轮数据，即“表记窗口值”，不存在累计脉冲与换算数值的二次换算，没有累计误差；采用低功耗设计，只有读数时才需供电；采用先进的数据编码及校验方式，通讯可靠性高。</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基本要求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公称口径</w:t>
            </w:r>
          </w:p>
        </w:tc>
        <w:tc>
          <w:tcPr>
            <w:tcW w:w="6011" w:type="dxa"/>
            <w:vAlign w:val="center"/>
          </w:tcPr>
          <w:p>
            <w:pPr>
              <w:ind w:firstLine="2310" w:firstLineChars="1100"/>
              <w:rPr>
                <w:rFonts w:hAnsi="宋体"/>
                <w:color w:val="auto"/>
                <w:sz w:val="21"/>
                <w:szCs w:val="21"/>
                <w:highlight w:val="none"/>
              </w:rPr>
            </w:pPr>
            <w:r>
              <w:rPr>
                <w:rFonts w:hint="eastAsia" w:hAnsi="宋体"/>
                <w:color w:val="auto"/>
                <w:sz w:val="21"/>
                <w:szCs w:val="21"/>
                <w:highlight w:val="none"/>
              </w:rPr>
              <w:t>DN15~DN50</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环境参数</w:t>
            </w:r>
          </w:p>
        </w:tc>
        <w:tc>
          <w:tcPr>
            <w:tcW w:w="6011" w:type="dxa"/>
            <w:vAlign w:val="center"/>
          </w:tcPr>
          <w:p>
            <w:pPr>
              <w:spacing w:line="120" w:lineRule="auto"/>
              <w:rPr>
                <w:rFonts w:hAnsi="宋体"/>
                <w:color w:val="auto"/>
                <w:sz w:val="21"/>
                <w:szCs w:val="21"/>
                <w:highlight w:val="none"/>
              </w:rPr>
            </w:pPr>
            <w:r>
              <w:rPr>
                <w:rFonts w:hint="eastAsia" w:hAnsi="宋体"/>
                <w:color w:val="auto"/>
                <w:sz w:val="21"/>
                <w:szCs w:val="21"/>
                <w:highlight w:val="none"/>
              </w:rPr>
              <w:t>温度等级：T30/T90</w:t>
            </w:r>
          </w:p>
          <w:p>
            <w:pPr>
              <w:spacing w:line="120" w:lineRule="auto"/>
              <w:rPr>
                <w:rFonts w:hAnsi="宋体"/>
                <w:color w:val="auto"/>
                <w:sz w:val="21"/>
                <w:szCs w:val="21"/>
                <w:highlight w:val="none"/>
              </w:rPr>
            </w:pPr>
            <w:r>
              <w:rPr>
                <w:rFonts w:hint="eastAsia" w:hAnsi="宋体"/>
                <w:color w:val="auto"/>
                <w:sz w:val="21"/>
                <w:szCs w:val="21"/>
                <w:highlight w:val="none"/>
              </w:rPr>
              <w:t>压力等级：MAP10(1.0MPa)</w:t>
            </w:r>
          </w:p>
          <w:p>
            <w:pPr>
              <w:spacing w:line="120" w:lineRule="auto"/>
              <w:rPr>
                <w:rFonts w:hAnsi="宋体"/>
                <w:color w:val="auto"/>
                <w:sz w:val="21"/>
                <w:szCs w:val="21"/>
                <w:highlight w:val="none"/>
              </w:rPr>
            </w:pPr>
            <w:r>
              <w:rPr>
                <w:rFonts w:hint="eastAsia" w:hAnsi="宋体"/>
                <w:color w:val="auto"/>
                <w:sz w:val="21"/>
                <w:szCs w:val="21"/>
                <w:highlight w:val="none"/>
              </w:rPr>
              <w:t>压力损失：△p63(0.063MPa)</w:t>
            </w:r>
          </w:p>
          <w:p>
            <w:pPr>
              <w:spacing w:line="120" w:lineRule="auto"/>
              <w:rPr>
                <w:rFonts w:hAnsi="宋体"/>
                <w:color w:val="auto"/>
                <w:sz w:val="21"/>
                <w:szCs w:val="21"/>
                <w:highlight w:val="none"/>
              </w:rPr>
            </w:pPr>
            <w:r>
              <w:rPr>
                <w:rFonts w:hint="eastAsia" w:hAnsi="宋体"/>
                <w:color w:val="auto"/>
                <w:sz w:val="21"/>
                <w:szCs w:val="21"/>
                <w:highlight w:val="none"/>
              </w:rPr>
              <w:t>上游流场敏感度等级： U10(公称口径10倍)</w:t>
            </w:r>
          </w:p>
          <w:p>
            <w:pPr>
              <w:spacing w:line="120" w:lineRule="auto"/>
              <w:rPr>
                <w:rFonts w:hAnsi="宋体"/>
                <w:color w:val="auto"/>
                <w:sz w:val="21"/>
                <w:szCs w:val="21"/>
                <w:highlight w:val="none"/>
              </w:rPr>
            </w:pPr>
            <w:r>
              <w:rPr>
                <w:rFonts w:hint="eastAsia" w:hAnsi="宋体"/>
                <w:color w:val="auto"/>
                <w:sz w:val="21"/>
                <w:szCs w:val="21"/>
                <w:highlight w:val="none"/>
              </w:rPr>
              <w:t>下游流场敏感度等级： D5(公称口径5倍)</w:t>
            </w:r>
          </w:p>
          <w:p>
            <w:pPr>
              <w:spacing w:line="120" w:lineRule="auto"/>
              <w:rPr>
                <w:rFonts w:hAnsi="宋体"/>
                <w:color w:val="auto"/>
                <w:sz w:val="21"/>
                <w:szCs w:val="21"/>
                <w:highlight w:val="none"/>
              </w:rPr>
            </w:pPr>
            <w:r>
              <w:rPr>
                <w:rFonts w:hint="eastAsia" w:hAnsi="宋体"/>
                <w:color w:val="auto"/>
                <w:sz w:val="21"/>
                <w:szCs w:val="21"/>
                <w:highlight w:val="none"/>
              </w:rPr>
              <w:t>气候和机械环境等级：B级</w:t>
            </w:r>
          </w:p>
          <w:p>
            <w:pPr>
              <w:spacing w:line="120" w:lineRule="auto"/>
              <w:rPr>
                <w:rFonts w:hAnsi="宋体"/>
                <w:color w:val="auto"/>
                <w:sz w:val="21"/>
                <w:szCs w:val="21"/>
                <w:highlight w:val="none"/>
              </w:rPr>
            </w:pPr>
            <w:r>
              <w:rPr>
                <w:rFonts w:hint="eastAsia" w:hAnsi="宋体"/>
                <w:color w:val="auto"/>
                <w:sz w:val="21"/>
                <w:szCs w:val="21"/>
                <w:highlight w:val="none"/>
              </w:rPr>
              <w:t>电磁环境等级：E1</w:t>
            </w:r>
          </w:p>
          <w:p>
            <w:pPr>
              <w:spacing w:line="120" w:lineRule="auto"/>
              <w:rPr>
                <w:rFonts w:hAnsi="宋体"/>
                <w:color w:val="auto"/>
                <w:sz w:val="21"/>
                <w:szCs w:val="21"/>
                <w:highlight w:val="none"/>
              </w:rPr>
            </w:pPr>
            <w:r>
              <w:rPr>
                <w:rFonts w:hint="eastAsia" w:hAnsi="宋体"/>
                <w:color w:val="auto"/>
                <w:sz w:val="21"/>
                <w:szCs w:val="21"/>
                <w:highlight w:val="none"/>
              </w:rPr>
              <w:t>不可测反向流</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功能要求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w:t>
            </w:r>
          </w:p>
        </w:tc>
        <w:tc>
          <w:tcPr>
            <w:tcW w:w="1665" w:type="dxa"/>
            <w:vAlign w:val="center"/>
          </w:tcPr>
          <w:p>
            <w:pPr>
              <w:ind w:firstLine="420" w:firstLineChars="200"/>
              <w:rPr>
                <w:rFonts w:hAnsi="宋体"/>
                <w:color w:val="auto"/>
                <w:sz w:val="21"/>
                <w:szCs w:val="21"/>
                <w:highlight w:val="none"/>
              </w:rPr>
            </w:pPr>
            <w:r>
              <w:rPr>
                <w:rFonts w:hint="eastAsia" w:hAnsi="宋体"/>
                <w:color w:val="auto"/>
                <w:sz w:val="21"/>
                <w:szCs w:val="21"/>
                <w:highlight w:val="none"/>
              </w:rPr>
              <w:t>计量精度</w:t>
            </w:r>
          </w:p>
        </w:tc>
        <w:tc>
          <w:tcPr>
            <w:tcW w:w="6011" w:type="dxa"/>
            <w:vAlign w:val="center"/>
          </w:tcPr>
          <w:p>
            <w:pPr>
              <w:rPr>
                <w:rFonts w:hAnsi="宋体"/>
                <w:color w:val="auto"/>
                <w:sz w:val="21"/>
                <w:szCs w:val="21"/>
                <w:highlight w:val="none"/>
              </w:rPr>
            </w:pPr>
            <w:r>
              <w:rPr>
                <w:rFonts w:hint="eastAsia" w:hAnsi="宋体"/>
                <w:color w:val="auto"/>
                <w:sz w:val="21"/>
                <w:szCs w:val="21"/>
                <w:highlight w:val="none"/>
              </w:rPr>
              <w:t>1）精度不低于B级；2）水表量程比：R=Q3/Q1;R≥100,具有型评报告；</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4.2</w:t>
            </w:r>
          </w:p>
        </w:tc>
        <w:tc>
          <w:tcPr>
            <w:tcW w:w="1665" w:type="dxa"/>
            <w:vAlign w:val="center"/>
          </w:tcPr>
          <w:p>
            <w:pPr>
              <w:ind w:firstLine="420" w:firstLineChars="200"/>
              <w:rPr>
                <w:rFonts w:hAnsi="宋体"/>
                <w:color w:val="auto"/>
                <w:sz w:val="21"/>
                <w:szCs w:val="21"/>
                <w:highlight w:val="none"/>
              </w:rPr>
            </w:pPr>
            <w:r>
              <w:rPr>
                <w:rFonts w:hint="eastAsia" w:hAnsi="宋体"/>
                <w:color w:val="auto"/>
                <w:sz w:val="21"/>
                <w:szCs w:val="21"/>
                <w:highlight w:val="none"/>
              </w:rPr>
              <w:t>无源直读</w:t>
            </w:r>
          </w:p>
        </w:tc>
        <w:tc>
          <w:tcPr>
            <w:tcW w:w="6011" w:type="dxa"/>
            <w:vAlign w:val="center"/>
          </w:tcPr>
          <w:p>
            <w:pPr>
              <w:spacing w:line="360" w:lineRule="exact"/>
              <w:jc w:val="center"/>
              <w:rPr>
                <w:rFonts w:hAnsi="宋体"/>
                <w:color w:val="auto"/>
                <w:sz w:val="21"/>
                <w:szCs w:val="21"/>
                <w:highlight w:val="none"/>
              </w:rPr>
            </w:pPr>
            <w:r>
              <w:rPr>
                <w:rFonts w:hint="eastAsia" w:hAnsi="宋体"/>
                <w:color w:val="auto"/>
                <w:sz w:val="21"/>
                <w:szCs w:val="21"/>
                <w:highlight w:val="none"/>
              </w:rPr>
              <w:t>平时无需供电，只需要在抄表时候供电，故障率和功耗低，使用寿命久</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电磁兼容</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可拆式机芯结构，整体全铜封式;EMC测试达到国家标准要求，克服了直读水表外界电磁干扰的影响精度的难题</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4.4</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地址要求</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每个表计属于本表唯一通讯地址编码，出厂后不得更改</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4.5</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故障保护</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针对通讯总线路开路、短路等设备有故障保护机制</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4.6</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防护等级</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整体防护等级达到IP68</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4.7</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误差要求</w:t>
            </w:r>
          </w:p>
        </w:tc>
        <w:tc>
          <w:tcPr>
            <w:tcW w:w="6011" w:type="dxa"/>
            <w:vAlign w:val="center"/>
          </w:tcPr>
          <w:p>
            <w:pPr>
              <w:numPr>
                <w:ilvl w:val="0"/>
                <w:numId w:val="16"/>
              </w:numPr>
              <w:jc w:val="center"/>
              <w:rPr>
                <w:rFonts w:hAnsi="宋体"/>
                <w:color w:val="auto"/>
                <w:sz w:val="21"/>
                <w:szCs w:val="21"/>
                <w:highlight w:val="none"/>
              </w:rPr>
            </w:pPr>
            <w:r>
              <w:rPr>
                <w:rFonts w:hint="eastAsia" w:hAnsi="宋体"/>
                <w:color w:val="auto"/>
                <w:sz w:val="21"/>
                <w:szCs w:val="21"/>
                <w:highlight w:val="none"/>
              </w:rPr>
              <w:t>水温在额定工作条件规定范围以内时，以最小流量（Q1）与分界流量（Q2）（不包括Q2）之间的流量排出的体积的最大允许误差为±5%；</w:t>
            </w:r>
          </w:p>
          <w:p>
            <w:pPr>
              <w:numPr>
                <w:ilvl w:val="0"/>
                <w:numId w:val="16"/>
              </w:numPr>
              <w:ind w:left="147"/>
              <w:jc w:val="center"/>
              <w:rPr>
                <w:rFonts w:hAnsi="宋体"/>
                <w:color w:val="auto"/>
                <w:sz w:val="21"/>
                <w:szCs w:val="21"/>
                <w:highlight w:val="none"/>
              </w:rPr>
            </w:pPr>
            <w:r>
              <w:rPr>
                <w:rFonts w:hint="eastAsia" w:hAnsi="宋体"/>
                <w:color w:val="auto"/>
                <w:sz w:val="21"/>
                <w:szCs w:val="21"/>
                <w:highlight w:val="none"/>
              </w:rPr>
              <w:t>以分界流量（Q2）（包括Q2）与过载流最（Q4）之间的流量排出的体积的最大允许误差:a)水温≤30时℃为±2%；b)水温&gt;30时℃为±3%。</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4.8</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工作电压</w:t>
            </w:r>
          </w:p>
        </w:tc>
        <w:tc>
          <w:tcPr>
            <w:tcW w:w="6011" w:type="dxa"/>
            <w:vAlign w:val="center"/>
          </w:tcPr>
          <w:p>
            <w:pPr>
              <w:jc w:val="center"/>
              <w:rPr>
                <w:rFonts w:hAnsi="宋体"/>
                <w:color w:val="auto"/>
                <w:sz w:val="21"/>
                <w:szCs w:val="21"/>
                <w:highlight w:val="none"/>
              </w:rPr>
            </w:pPr>
            <w:r>
              <w:rPr>
                <w:rFonts w:hint="eastAsia" w:hAnsi="宋体"/>
                <w:b/>
                <w:color w:val="auto"/>
                <w:sz w:val="21"/>
                <w:szCs w:val="21"/>
                <w:highlight w:val="none"/>
              </w:rPr>
              <w:t>DC36</w:t>
            </w:r>
            <w:r>
              <w:rPr>
                <w:rFonts w:hint="eastAsia" w:hAnsi="宋体"/>
                <w:color w:val="auto"/>
                <w:sz w:val="21"/>
                <w:szCs w:val="21"/>
                <w:highlight w:val="none"/>
              </w:rPr>
              <w:t>V</w:t>
            </w:r>
          </w:p>
        </w:tc>
        <w:tc>
          <w:tcPr>
            <w:tcW w:w="1234" w:type="dxa"/>
            <w:vAlign w:val="center"/>
          </w:tcPr>
          <w:p>
            <w:pPr>
              <w:spacing w:after="120" w:line="48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4.9</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工作电流</w:t>
            </w:r>
          </w:p>
        </w:tc>
        <w:tc>
          <w:tcPr>
            <w:tcW w:w="6011" w:type="dxa"/>
            <w:vAlign w:val="center"/>
          </w:tcPr>
          <w:p>
            <w:pPr>
              <w:ind w:left="147" w:firstLine="630" w:firstLineChars="300"/>
              <w:jc w:val="center"/>
              <w:rPr>
                <w:rFonts w:hAnsi="宋体"/>
                <w:color w:val="auto"/>
                <w:sz w:val="21"/>
                <w:szCs w:val="21"/>
                <w:highlight w:val="none"/>
              </w:rPr>
            </w:pPr>
            <w:r>
              <w:rPr>
                <w:rFonts w:hint="eastAsia" w:hAnsi="宋体"/>
                <w:color w:val="auto"/>
                <w:sz w:val="21"/>
                <w:szCs w:val="21"/>
                <w:highlight w:val="none"/>
              </w:rPr>
              <w:t>抄表工作电流≤9.0mA  静态工作电流≤1.3mA</w:t>
            </w:r>
          </w:p>
        </w:tc>
        <w:tc>
          <w:tcPr>
            <w:tcW w:w="1234" w:type="dxa"/>
            <w:vAlign w:val="center"/>
          </w:tcPr>
          <w:p>
            <w:pPr>
              <w:spacing w:after="120" w:line="48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4.10</w:t>
            </w:r>
          </w:p>
        </w:tc>
        <w:tc>
          <w:tcPr>
            <w:tcW w:w="1665" w:type="dxa"/>
            <w:vAlign w:val="center"/>
          </w:tcPr>
          <w:p>
            <w:pPr>
              <w:ind w:firstLine="210" w:firstLineChars="100"/>
              <w:rPr>
                <w:rFonts w:hAnsi="宋体"/>
                <w:color w:val="auto"/>
                <w:sz w:val="21"/>
                <w:szCs w:val="21"/>
                <w:highlight w:val="none"/>
              </w:rPr>
            </w:pPr>
            <w:r>
              <w:rPr>
                <w:rFonts w:hint="eastAsia" w:hAnsi="宋体"/>
                <w:color w:val="auto"/>
                <w:sz w:val="21"/>
                <w:szCs w:val="21"/>
                <w:highlight w:val="none"/>
              </w:rPr>
              <w:t>传输速率</w:t>
            </w:r>
          </w:p>
        </w:tc>
        <w:tc>
          <w:tcPr>
            <w:tcW w:w="6011" w:type="dxa"/>
            <w:vAlign w:val="center"/>
          </w:tcPr>
          <w:p>
            <w:pPr>
              <w:ind w:left="147" w:firstLine="630" w:firstLineChars="300"/>
              <w:jc w:val="center"/>
              <w:rPr>
                <w:rFonts w:hAnsi="宋体"/>
                <w:color w:val="auto"/>
                <w:sz w:val="21"/>
                <w:szCs w:val="21"/>
                <w:highlight w:val="none"/>
              </w:rPr>
            </w:pPr>
            <w:r>
              <w:rPr>
                <w:rFonts w:hint="eastAsia" w:hAnsi="宋体"/>
                <w:color w:val="auto"/>
                <w:sz w:val="21"/>
                <w:szCs w:val="21"/>
                <w:highlight w:val="none"/>
              </w:rPr>
              <w:t>1200BPS、2400BPS、4800BPS、9600BPS</w:t>
            </w:r>
          </w:p>
        </w:tc>
        <w:tc>
          <w:tcPr>
            <w:tcW w:w="1234" w:type="dxa"/>
            <w:vAlign w:val="center"/>
          </w:tcPr>
          <w:p>
            <w:pPr>
              <w:spacing w:after="120" w:line="480" w:lineRule="auto"/>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其他要求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安装方式</w:t>
            </w:r>
          </w:p>
        </w:tc>
        <w:tc>
          <w:tcPr>
            <w:tcW w:w="6011" w:type="dxa"/>
            <w:vAlign w:val="center"/>
          </w:tcPr>
          <w:p>
            <w:pPr>
              <w:rPr>
                <w:rFonts w:hAnsi="宋体"/>
                <w:color w:val="auto"/>
                <w:sz w:val="21"/>
                <w:szCs w:val="21"/>
                <w:highlight w:val="none"/>
              </w:rPr>
            </w:pPr>
            <w:r>
              <w:rPr>
                <w:rFonts w:hint="eastAsia" w:hAnsi="宋体"/>
                <w:color w:val="auto"/>
                <w:sz w:val="21"/>
                <w:szCs w:val="21"/>
                <w:highlight w:val="none"/>
              </w:rPr>
              <w:t xml:space="preserve">                卧式内置不锈钢滤网,水平安装</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质保期</w:t>
            </w:r>
          </w:p>
        </w:tc>
        <w:tc>
          <w:tcPr>
            <w:tcW w:w="6011" w:type="dxa"/>
            <w:vAlign w:val="center"/>
          </w:tcPr>
          <w:p>
            <w:pPr>
              <w:ind w:firstLine="1890" w:firstLineChars="900"/>
              <w:rPr>
                <w:rFonts w:hAnsi="宋体"/>
                <w:color w:val="auto"/>
                <w:sz w:val="21"/>
                <w:szCs w:val="21"/>
                <w:highlight w:val="none"/>
              </w:rPr>
            </w:pPr>
            <w:r>
              <w:rPr>
                <w:rFonts w:hint="eastAsia" w:hAnsi="宋体"/>
                <w:color w:val="auto"/>
                <w:sz w:val="21"/>
                <w:szCs w:val="21"/>
                <w:highlight w:val="none"/>
              </w:rPr>
              <w:t>不低于3年</w:t>
            </w:r>
          </w:p>
        </w:tc>
        <w:tc>
          <w:tcPr>
            <w:tcW w:w="1234" w:type="dxa"/>
            <w:vAlign w:val="center"/>
          </w:tcPr>
          <w:p>
            <w:pPr>
              <w:jc w:val="center"/>
              <w:rPr>
                <w:rFonts w:hAnsi="宋体"/>
                <w:color w:val="auto"/>
                <w:sz w:val="21"/>
                <w:szCs w:val="21"/>
                <w:highlight w:val="none"/>
              </w:rPr>
            </w:pPr>
          </w:p>
        </w:tc>
      </w:tr>
    </w:tbl>
    <w:p>
      <w:pPr>
        <w:spacing w:line="360" w:lineRule="auto"/>
        <w:rPr>
          <w:rFonts w:hAnsi="宋体"/>
          <w:color w:val="auto"/>
          <w:sz w:val="21"/>
          <w:szCs w:val="21"/>
          <w:highlight w:val="none"/>
        </w:rPr>
      </w:pPr>
      <w:r>
        <w:rPr>
          <w:rFonts w:hint="eastAsia" w:hAnsi="宋体"/>
          <w:color w:val="auto"/>
          <w:sz w:val="21"/>
          <w:szCs w:val="21"/>
          <w:highlight w:val="none"/>
        </w:rPr>
        <w:t>（3）智能无线水表技术要求</w:t>
      </w:r>
    </w:p>
    <w:tbl>
      <w:tblPr>
        <w:tblStyle w:val="51"/>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665"/>
        <w:gridCol w:w="6011"/>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85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1665"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项目</w:t>
            </w:r>
          </w:p>
        </w:tc>
        <w:tc>
          <w:tcPr>
            <w:tcW w:w="601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要求值</w:t>
            </w:r>
          </w:p>
        </w:tc>
        <w:tc>
          <w:tcPr>
            <w:tcW w:w="123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引用标准</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符合GB/T 778-2007《封闭满管道中水流量的测量饮用冷水水表和热水水表》国家标准；符合CJ/T 224-2012《电子远传水表》建设部标准；满足《GB4208-2008》规定防护等级；具有省级及以上卫生部门出具的涉水产品卫生检测报告。</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计量原理</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无线物联网智能水表由远传基表、无线通讯模块等部件组成。无线通讯模块通过 基站直接把用户每日（可自定义）用水数据自动发送到云端数据服务器，表端直接与云平台服务端通信，设备具有中华人民共和国工业和信息化部无线电管理局颁发的无线电发射设备型号核准证（内含NB-Iot和蓝牙终端双通道）、中华人民共和国工业及信息化部电信设进网许可证。</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基本要求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公称口径</w:t>
            </w:r>
          </w:p>
        </w:tc>
        <w:tc>
          <w:tcPr>
            <w:tcW w:w="6011" w:type="dxa"/>
            <w:vAlign w:val="center"/>
          </w:tcPr>
          <w:p>
            <w:pPr>
              <w:ind w:firstLine="2310" w:firstLineChars="1100"/>
              <w:rPr>
                <w:rFonts w:hAnsi="宋体"/>
                <w:color w:val="auto"/>
                <w:sz w:val="21"/>
                <w:szCs w:val="21"/>
                <w:highlight w:val="none"/>
              </w:rPr>
            </w:pPr>
            <w:r>
              <w:rPr>
                <w:rFonts w:hint="eastAsia" w:hAnsi="宋体"/>
                <w:color w:val="auto"/>
                <w:sz w:val="21"/>
                <w:szCs w:val="21"/>
                <w:highlight w:val="none"/>
              </w:rPr>
              <w:t>DN15~DN20</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3.2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环境参数</w:t>
            </w:r>
          </w:p>
        </w:tc>
        <w:tc>
          <w:tcPr>
            <w:tcW w:w="6011" w:type="dxa"/>
            <w:vAlign w:val="center"/>
          </w:tcPr>
          <w:p>
            <w:pPr>
              <w:spacing w:line="120" w:lineRule="auto"/>
              <w:rPr>
                <w:rFonts w:hAnsi="宋体"/>
                <w:color w:val="auto"/>
                <w:sz w:val="21"/>
                <w:szCs w:val="21"/>
                <w:highlight w:val="none"/>
              </w:rPr>
            </w:pPr>
            <w:r>
              <w:rPr>
                <w:rFonts w:hint="eastAsia" w:hAnsi="宋体"/>
                <w:color w:val="auto"/>
                <w:sz w:val="21"/>
                <w:szCs w:val="21"/>
                <w:highlight w:val="none"/>
              </w:rPr>
              <w:t>温度等级：T30/T90</w:t>
            </w:r>
          </w:p>
          <w:p>
            <w:pPr>
              <w:spacing w:line="120" w:lineRule="auto"/>
              <w:rPr>
                <w:rFonts w:hAnsi="宋体"/>
                <w:color w:val="auto"/>
                <w:sz w:val="21"/>
                <w:szCs w:val="21"/>
                <w:highlight w:val="none"/>
              </w:rPr>
            </w:pPr>
            <w:r>
              <w:rPr>
                <w:rFonts w:hint="eastAsia" w:hAnsi="宋体"/>
                <w:color w:val="auto"/>
                <w:sz w:val="21"/>
                <w:szCs w:val="21"/>
                <w:highlight w:val="none"/>
              </w:rPr>
              <w:t>压力等级：MAP10(1.0MPa)</w:t>
            </w:r>
          </w:p>
          <w:p>
            <w:pPr>
              <w:spacing w:line="120" w:lineRule="auto"/>
              <w:rPr>
                <w:rFonts w:hAnsi="宋体"/>
                <w:color w:val="auto"/>
                <w:sz w:val="21"/>
                <w:szCs w:val="21"/>
                <w:highlight w:val="none"/>
              </w:rPr>
            </w:pPr>
            <w:r>
              <w:rPr>
                <w:rFonts w:hint="eastAsia" w:hAnsi="宋体"/>
                <w:color w:val="auto"/>
                <w:sz w:val="21"/>
                <w:szCs w:val="21"/>
                <w:highlight w:val="none"/>
              </w:rPr>
              <w:t>压力损失：△p63(0.063MPa)</w:t>
            </w:r>
          </w:p>
          <w:p>
            <w:pPr>
              <w:spacing w:line="120" w:lineRule="auto"/>
              <w:rPr>
                <w:rFonts w:hAnsi="宋体"/>
                <w:color w:val="auto"/>
                <w:sz w:val="21"/>
                <w:szCs w:val="21"/>
                <w:highlight w:val="none"/>
              </w:rPr>
            </w:pPr>
            <w:r>
              <w:rPr>
                <w:rFonts w:hint="eastAsia" w:hAnsi="宋体"/>
                <w:color w:val="auto"/>
                <w:sz w:val="21"/>
                <w:szCs w:val="21"/>
                <w:highlight w:val="none"/>
              </w:rPr>
              <w:t>上游流场敏感度等级： U10(公称口径10倍)</w:t>
            </w:r>
          </w:p>
          <w:p>
            <w:pPr>
              <w:spacing w:line="120" w:lineRule="auto"/>
              <w:rPr>
                <w:rFonts w:hAnsi="宋体"/>
                <w:color w:val="auto"/>
                <w:sz w:val="21"/>
                <w:szCs w:val="21"/>
                <w:highlight w:val="none"/>
              </w:rPr>
            </w:pPr>
            <w:r>
              <w:rPr>
                <w:rFonts w:hint="eastAsia" w:hAnsi="宋体"/>
                <w:color w:val="auto"/>
                <w:sz w:val="21"/>
                <w:szCs w:val="21"/>
                <w:highlight w:val="none"/>
              </w:rPr>
              <w:t>下游流场敏感度等级： D5(公称口径5倍)</w:t>
            </w:r>
          </w:p>
          <w:p>
            <w:pPr>
              <w:spacing w:line="120" w:lineRule="auto"/>
              <w:rPr>
                <w:rFonts w:hAnsi="宋体"/>
                <w:color w:val="auto"/>
                <w:sz w:val="21"/>
                <w:szCs w:val="21"/>
                <w:highlight w:val="none"/>
              </w:rPr>
            </w:pPr>
            <w:r>
              <w:rPr>
                <w:rFonts w:hint="eastAsia" w:hAnsi="宋体"/>
                <w:color w:val="auto"/>
                <w:sz w:val="21"/>
                <w:szCs w:val="21"/>
                <w:highlight w:val="none"/>
              </w:rPr>
              <w:t>气候和机械环境等级：B级</w:t>
            </w:r>
          </w:p>
          <w:p>
            <w:pPr>
              <w:spacing w:line="120" w:lineRule="auto"/>
              <w:rPr>
                <w:rFonts w:hAnsi="宋体"/>
                <w:color w:val="auto"/>
                <w:sz w:val="21"/>
                <w:szCs w:val="21"/>
                <w:highlight w:val="none"/>
              </w:rPr>
            </w:pPr>
            <w:r>
              <w:rPr>
                <w:rFonts w:hint="eastAsia" w:hAnsi="宋体"/>
                <w:color w:val="auto"/>
                <w:sz w:val="21"/>
                <w:szCs w:val="21"/>
                <w:highlight w:val="none"/>
              </w:rPr>
              <w:t>电磁环境等级：E1</w:t>
            </w:r>
          </w:p>
          <w:p>
            <w:pPr>
              <w:spacing w:line="120" w:lineRule="auto"/>
              <w:rPr>
                <w:rFonts w:hAnsi="宋体"/>
                <w:color w:val="auto"/>
                <w:sz w:val="21"/>
                <w:szCs w:val="21"/>
                <w:highlight w:val="none"/>
              </w:rPr>
            </w:pPr>
            <w:r>
              <w:rPr>
                <w:rFonts w:hint="eastAsia" w:hAnsi="宋体"/>
                <w:color w:val="auto"/>
                <w:sz w:val="21"/>
                <w:szCs w:val="21"/>
                <w:highlight w:val="none"/>
              </w:rPr>
              <w:t>不可测反向流</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功能要求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w:t>
            </w:r>
          </w:p>
        </w:tc>
        <w:tc>
          <w:tcPr>
            <w:tcW w:w="1665" w:type="dxa"/>
            <w:vAlign w:val="center"/>
          </w:tcPr>
          <w:p>
            <w:pPr>
              <w:ind w:firstLine="210" w:firstLineChars="100"/>
              <w:rPr>
                <w:rFonts w:hAnsi="宋体"/>
                <w:color w:val="auto"/>
                <w:sz w:val="21"/>
                <w:szCs w:val="21"/>
                <w:highlight w:val="none"/>
              </w:rPr>
            </w:pPr>
            <w:r>
              <w:rPr>
                <w:rFonts w:hint="eastAsia" w:hAnsi="宋体"/>
                <w:color w:val="auto"/>
                <w:sz w:val="21"/>
                <w:szCs w:val="21"/>
                <w:highlight w:val="none"/>
              </w:rPr>
              <w:t>计量精度</w:t>
            </w:r>
          </w:p>
        </w:tc>
        <w:tc>
          <w:tcPr>
            <w:tcW w:w="6011" w:type="dxa"/>
            <w:vAlign w:val="center"/>
          </w:tcPr>
          <w:p>
            <w:pPr>
              <w:spacing w:line="360" w:lineRule="exact"/>
              <w:jc w:val="center"/>
              <w:rPr>
                <w:rFonts w:hAnsi="宋体"/>
                <w:color w:val="auto"/>
                <w:sz w:val="21"/>
                <w:szCs w:val="21"/>
                <w:highlight w:val="none"/>
              </w:rPr>
            </w:pPr>
            <w:r>
              <w:rPr>
                <w:rFonts w:hint="eastAsia" w:hAnsi="宋体"/>
                <w:color w:val="auto"/>
                <w:sz w:val="21"/>
                <w:szCs w:val="21"/>
                <w:highlight w:val="none"/>
              </w:rPr>
              <w:t>1）精度不低于B级；2）水表量程比：R=Q3/Q1;R≥100,具有型评报告；</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4.2</w:t>
            </w:r>
          </w:p>
        </w:tc>
        <w:tc>
          <w:tcPr>
            <w:tcW w:w="1665" w:type="dxa"/>
            <w:vAlign w:val="center"/>
          </w:tcPr>
          <w:p>
            <w:pPr>
              <w:ind w:firstLine="210" w:firstLineChars="100"/>
              <w:rPr>
                <w:rFonts w:hAnsi="宋体"/>
                <w:color w:val="auto"/>
                <w:sz w:val="21"/>
                <w:szCs w:val="21"/>
                <w:highlight w:val="none"/>
              </w:rPr>
            </w:pPr>
            <w:r>
              <w:rPr>
                <w:rFonts w:hint="eastAsia" w:hAnsi="宋体"/>
                <w:color w:val="auto"/>
                <w:sz w:val="21"/>
                <w:szCs w:val="21"/>
                <w:highlight w:val="none"/>
              </w:rPr>
              <w:t>通讯功能</w:t>
            </w:r>
          </w:p>
        </w:tc>
        <w:tc>
          <w:tcPr>
            <w:tcW w:w="6011" w:type="dxa"/>
            <w:vAlign w:val="center"/>
          </w:tcPr>
          <w:p>
            <w:pPr>
              <w:spacing w:line="360" w:lineRule="exact"/>
              <w:jc w:val="center"/>
              <w:rPr>
                <w:rFonts w:hAnsi="宋体"/>
                <w:b/>
                <w:bCs/>
                <w:color w:val="auto"/>
                <w:sz w:val="21"/>
                <w:szCs w:val="21"/>
                <w:highlight w:val="none"/>
              </w:rPr>
            </w:pPr>
            <w:r>
              <w:rPr>
                <w:rFonts w:hint="eastAsia" w:hAnsi="宋体"/>
                <w:color w:val="auto"/>
                <w:sz w:val="21"/>
                <w:szCs w:val="21"/>
                <w:highlight w:val="none"/>
              </w:rPr>
              <w:t>具有物联网无线通讯模块及本地蓝牙通讯模块，支持周期性定时主动上报表计读数；支持内置/外置天线，信号稳定可靠，实现全覆盖，无盲区。</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4.3</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预警功能</w:t>
            </w:r>
          </w:p>
        </w:tc>
        <w:tc>
          <w:tcPr>
            <w:tcW w:w="6011" w:type="dxa"/>
            <w:vAlign w:val="center"/>
          </w:tcPr>
          <w:p>
            <w:pPr>
              <w:rPr>
                <w:rFonts w:hAnsi="宋体"/>
                <w:color w:val="auto"/>
                <w:sz w:val="21"/>
                <w:szCs w:val="21"/>
                <w:highlight w:val="none"/>
              </w:rPr>
            </w:pPr>
            <w:r>
              <w:rPr>
                <w:rFonts w:hint="eastAsia" w:hAnsi="宋体"/>
                <w:color w:val="auto"/>
                <w:sz w:val="21"/>
                <w:szCs w:val="21"/>
                <w:highlight w:val="none"/>
              </w:rPr>
              <w:t>具有电池欠压，计量异常告警通知，可设定阶梯水价，根据不同设置不同基准</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4.4</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地址要求</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每个表计属于本表唯一通讯地址编码，出厂后不得更改</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4.5</w:t>
            </w:r>
          </w:p>
        </w:tc>
        <w:tc>
          <w:tcPr>
            <w:tcW w:w="1665" w:type="dxa"/>
            <w:vAlign w:val="center"/>
          </w:tcPr>
          <w:p>
            <w:pPr>
              <w:ind w:firstLine="420" w:firstLineChars="200"/>
              <w:rPr>
                <w:rFonts w:hAnsi="宋体"/>
                <w:color w:val="auto"/>
                <w:sz w:val="21"/>
                <w:szCs w:val="21"/>
                <w:highlight w:val="none"/>
              </w:rPr>
            </w:pPr>
            <w:r>
              <w:rPr>
                <w:rFonts w:hint="eastAsia" w:hAnsi="宋体"/>
                <w:color w:val="auto"/>
                <w:sz w:val="21"/>
                <w:szCs w:val="21"/>
                <w:highlight w:val="none"/>
              </w:rPr>
              <w:t>结构设计</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可更换电池设计，电池盒需采用独立可更换的涉及，无须开主体上盖，更换须便捷</w:t>
            </w:r>
          </w:p>
        </w:tc>
        <w:tc>
          <w:tcPr>
            <w:tcW w:w="123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4.6</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防护等级</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整体防护等级达到IP68</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4.7</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误差要求</w:t>
            </w:r>
          </w:p>
        </w:tc>
        <w:tc>
          <w:tcPr>
            <w:tcW w:w="6011" w:type="dxa"/>
            <w:vAlign w:val="center"/>
          </w:tcPr>
          <w:p>
            <w:pPr>
              <w:ind w:left="147"/>
              <w:jc w:val="center"/>
              <w:rPr>
                <w:rFonts w:hAnsi="宋体"/>
                <w:color w:val="auto"/>
                <w:sz w:val="21"/>
                <w:szCs w:val="21"/>
                <w:highlight w:val="none"/>
              </w:rPr>
            </w:pPr>
            <w:r>
              <w:rPr>
                <w:rFonts w:hint="eastAsia" w:hAnsi="宋体"/>
                <w:color w:val="auto"/>
                <w:sz w:val="21"/>
                <w:szCs w:val="21"/>
                <w:highlight w:val="none"/>
              </w:rPr>
              <w:t>1.水温在额定工作条件规定范围以内时，以最小流量（Q1）与分界流量（Q2）（不包括Q2）之间的流量排出的体积的最大允许误差为±5%；</w:t>
            </w:r>
          </w:p>
          <w:p>
            <w:pPr>
              <w:ind w:left="147"/>
              <w:rPr>
                <w:rFonts w:hAnsi="宋体"/>
                <w:color w:val="auto"/>
                <w:sz w:val="21"/>
                <w:szCs w:val="21"/>
                <w:highlight w:val="none"/>
              </w:rPr>
            </w:pPr>
            <w:r>
              <w:rPr>
                <w:rFonts w:hint="eastAsia" w:hAnsi="宋体"/>
                <w:color w:val="auto"/>
                <w:sz w:val="21"/>
                <w:szCs w:val="21"/>
                <w:highlight w:val="none"/>
              </w:rPr>
              <w:t>2.以分界流量（Q2）（包括Q2）与过载流最（Q4）之间的流量排出的体积的最大允许误差:a)水温≤30时℃为±2%；b)水温&gt;30时℃为±3%。</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4.8</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工作电压</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电池电压3.6V</w:t>
            </w:r>
          </w:p>
        </w:tc>
        <w:tc>
          <w:tcPr>
            <w:tcW w:w="1234"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4.9</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工作电流</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静态电流：&lt;10uA 平均电流：≈25uA</w:t>
            </w:r>
          </w:p>
        </w:tc>
        <w:tc>
          <w:tcPr>
            <w:tcW w:w="1234"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4.10</w:t>
            </w:r>
          </w:p>
        </w:tc>
        <w:tc>
          <w:tcPr>
            <w:tcW w:w="1665" w:type="dxa"/>
          </w:tcPr>
          <w:p>
            <w:pPr>
              <w:jc w:val="center"/>
              <w:rPr>
                <w:rFonts w:hAnsi="宋体"/>
                <w:color w:val="auto"/>
                <w:sz w:val="21"/>
                <w:szCs w:val="21"/>
                <w:highlight w:val="none"/>
              </w:rPr>
            </w:pPr>
            <w:r>
              <w:rPr>
                <w:rFonts w:hint="eastAsia" w:hAnsi="宋体"/>
                <w:color w:val="auto"/>
                <w:sz w:val="21"/>
                <w:szCs w:val="21"/>
                <w:highlight w:val="none"/>
              </w:rPr>
              <w:t>频段信息</w:t>
            </w:r>
          </w:p>
        </w:tc>
        <w:tc>
          <w:tcPr>
            <w:tcW w:w="6011" w:type="dxa"/>
          </w:tcPr>
          <w:p>
            <w:pPr>
              <w:jc w:val="center"/>
              <w:rPr>
                <w:rFonts w:hAnsi="宋体"/>
                <w:color w:val="auto"/>
                <w:sz w:val="21"/>
                <w:szCs w:val="21"/>
                <w:highlight w:val="none"/>
              </w:rPr>
            </w:pPr>
            <w:r>
              <w:rPr>
                <w:rFonts w:hint="eastAsia" w:hAnsi="宋体"/>
                <w:color w:val="auto"/>
                <w:sz w:val="21"/>
                <w:szCs w:val="21"/>
                <w:highlight w:val="none"/>
              </w:rPr>
              <w:t>850MHz/900MHz/800MHz/700MHz</w:t>
            </w:r>
          </w:p>
        </w:tc>
        <w:tc>
          <w:tcPr>
            <w:tcW w:w="1234" w:type="dxa"/>
            <w:vAlign w:val="center"/>
          </w:tcPr>
          <w:p>
            <w:pPr>
              <w:pStyle w:val="44"/>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w:t>
            </w:r>
          </w:p>
        </w:tc>
        <w:tc>
          <w:tcPr>
            <w:tcW w:w="8910" w:type="dxa"/>
            <w:gridSpan w:val="3"/>
            <w:vAlign w:val="center"/>
          </w:tcPr>
          <w:p>
            <w:pPr>
              <w:jc w:val="center"/>
              <w:rPr>
                <w:rFonts w:hAnsi="宋体"/>
                <w:color w:val="auto"/>
                <w:sz w:val="21"/>
                <w:szCs w:val="21"/>
                <w:highlight w:val="none"/>
              </w:rPr>
            </w:pPr>
            <w:r>
              <w:rPr>
                <w:rFonts w:hint="eastAsia" w:hAnsi="宋体"/>
                <w:color w:val="auto"/>
                <w:sz w:val="21"/>
                <w:szCs w:val="21"/>
                <w:highlight w:val="none"/>
              </w:rPr>
              <w:t>其他要求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5.1</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安装方式</w:t>
            </w:r>
          </w:p>
        </w:tc>
        <w:tc>
          <w:tcPr>
            <w:tcW w:w="6011" w:type="dxa"/>
            <w:vAlign w:val="center"/>
          </w:tcPr>
          <w:p>
            <w:pPr>
              <w:rPr>
                <w:rFonts w:hAnsi="宋体"/>
                <w:color w:val="auto"/>
                <w:sz w:val="21"/>
                <w:szCs w:val="21"/>
                <w:highlight w:val="none"/>
              </w:rPr>
            </w:pPr>
            <w:r>
              <w:rPr>
                <w:rFonts w:hint="eastAsia" w:hAnsi="宋体"/>
                <w:color w:val="auto"/>
                <w:sz w:val="21"/>
                <w:szCs w:val="21"/>
                <w:highlight w:val="none"/>
              </w:rPr>
              <w:t xml:space="preserve">                卧式内置不锈钢滤网,水平安装</w:t>
            </w:r>
          </w:p>
        </w:tc>
        <w:tc>
          <w:tcPr>
            <w:tcW w:w="1234" w:type="dxa"/>
            <w:vAlign w:val="center"/>
          </w:tcPr>
          <w:p>
            <w:pPr>
              <w:jc w:val="center"/>
              <w:rPr>
                <w:rFonts w:hAnsi="宋体"/>
                <w:color w:val="auto"/>
                <w:sz w:val="21"/>
                <w:szCs w:val="21"/>
                <w:highlight w:val="none"/>
              </w:rPr>
            </w:pPr>
            <w:r>
              <w:rPr>
                <w:rFonts w:hint="eastAsia" w:hAnsi="宋体"/>
                <w:color w:val="auto"/>
                <w:sz w:val="21"/>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57" w:type="dxa"/>
            <w:vAlign w:val="center"/>
          </w:tcPr>
          <w:p>
            <w:pPr>
              <w:jc w:val="center"/>
              <w:rPr>
                <w:rFonts w:hAnsi="宋体"/>
                <w:color w:val="auto"/>
                <w:sz w:val="21"/>
                <w:szCs w:val="21"/>
                <w:highlight w:val="none"/>
              </w:rPr>
            </w:pPr>
            <w:r>
              <w:rPr>
                <w:rFonts w:hint="eastAsia" w:hAnsi="宋体"/>
                <w:color w:val="auto"/>
                <w:sz w:val="21"/>
                <w:szCs w:val="21"/>
                <w:highlight w:val="none"/>
              </w:rPr>
              <w:t>5.2</w:t>
            </w:r>
          </w:p>
        </w:tc>
        <w:tc>
          <w:tcPr>
            <w:tcW w:w="1665" w:type="dxa"/>
            <w:vAlign w:val="center"/>
          </w:tcPr>
          <w:p>
            <w:pPr>
              <w:jc w:val="center"/>
              <w:rPr>
                <w:rFonts w:hAnsi="宋体"/>
                <w:color w:val="auto"/>
                <w:sz w:val="21"/>
                <w:szCs w:val="21"/>
                <w:highlight w:val="none"/>
              </w:rPr>
            </w:pPr>
            <w:r>
              <w:rPr>
                <w:rFonts w:hint="eastAsia" w:hAnsi="宋体"/>
                <w:color w:val="auto"/>
                <w:sz w:val="21"/>
                <w:szCs w:val="21"/>
                <w:highlight w:val="none"/>
              </w:rPr>
              <w:t>质保期</w:t>
            </w:r>
          </w:p>
        </w:tc>
        <w:tc>
          <w:tcPr>
            <w:tcW w:w="6011" w:type="dxa"/>
            <w:vAlign w:val="center"/>
          </w:tcPr>
          <w:p>
            <w:pPr>
              <w:jc w:val="center"/>
              <w:rPr>
                <w:rFonts w:hAnsi="宋体"/>
                <w:color w:val="auto"/>
                <w:sz w:val="21"/>
                <w:szCs w:val="21"/>
                <w:highlight w:val="none"/>
              </w:rPr>
            </w:pPr>
            <w:r>
              <w:rPr>
                <w:rFonts w:hint="eastAsia" w:hAnsi="宋体"/>
                <w:color w:val="auto"/>
                <w:sz w:val="21"/>
                <w:szCs w:val="21"/>
                <w:highlight w:val="none"/>
              </w:rPr>
              <w:t>设备质保不低于3年，电池使用寿命及通讯资费均不低于6年；</w:t>
            </w:r>
          </w:p>
        </w:tc>
        <w:tc>
          <w:tcPr>
            <w:tcW w:w="1234" w:type="dxa"/>
            <w:vAlign w:val="center"/>
          </w:tcPr>
          <w:p>
            <w:pPr>
              <w:jc w:val="center"/>
              <w:rPr>
                <w:rFonts w:hAnsi="宋体"/>
                <w:color w:val="auto"/>
                <w:sz w:val="21"/>
                <w:szCs w:val="21"/>
                <w:highlight w:val="none"/>
              </w:rPr>
            </w:pPr>
          </w:p>
        </w:tc>
      </w:tr>
    </w:tbl>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（4）水表集中器技术要求</w:t>
      </w:r>
    </w:p>
    <w:tbl>
      <w:tblPr>
        <w:tblStyle w:val="51"/>
        <w:tblW w:w="0" w:type="auto"/>
        <w:jc w:val="center"/>
        <w:tblLayout w:type="autofit"/>
        <w:tblCellMar>
          <w:top w:w="0" w:type="dxa"/>
          <w:left w:w="0" w:type="dxa"/>
          <w:bottom w:w="0" w:type="dxa"/>
          <w:right w:w="0" w:type="dxa"/>
        </w:tblCellMar>
      </w:tblPr>
      <w:tblGrid>
        <w:gridCol w:w="450"/>
        <w:gridCol w:w="951"/>
        <w:gridCol w:w="8268"/>
      </w:tblGrid>
      <w:tr>
        <w:tblPrEx>
          <w:tblCellMar>
            <w:top w:w="0" w:type="dxa"/>
            <w:left w:w="0" w:type="dxa"/>
            <w:bottom w:w="0" w:type="dxa"/>
            <w:right w:w="0" w:type="dxa"/>
          </w:tblCellMar>
        </w:tblPrEx>
        <w:trPr>
          <w:trHeight w:val="66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说明</w:t>
            </w:r>
          </w:p>
        </w:tc>
      </w:tr>
      <w:tr>
        <w:tblPrEx>
          <w:tblCellMar>
            <w:top w:w="0" w:type="dxa"/>
            <w:left w:w="0" w:type="dxa"/>
            <w:bottom w:w="0" w:type="dxa"/>
            <w:right w:w="0" w:type="dxa"/>
          </w:tblCellMar>
        </w:tblPrEx>
        <w:trPr>
          <w:trHeight w:val="9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通讯功能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7"/>
              </w:numPr>
              <w:rPr>
                <w:rFonts w:hAnsi="宋体"/>
                <w:color w:val="auto"/>
                <w:sz w:val="21"/>
                <w:szCs w:val="21"/>
                <w:highlight w:val="none"/>
              </w:rPr>
            </w:pPr>
            <w:r>
              <w:rPr>
                <w:rFonts w:hint="eastAsia" w:hAnsi="宋体"/>
                <w:color w:val="auto"/>
                <w:sz w:val="21"/>
                <w:szCs w:val="21"/>
                <w:highlight w:val="none"/>
              </w:rPr>
              <w:t>具有与网络设备工业总线、和串行口设备装置连接功能；上行支持 Cat1、以太网通讯端口，下行支持 RS485、Mbus、蓝牙通讯端口。</w:t>
            </w:r>
          </w:p>
          <w:p>
            <w:pPr>
              <w:numPr>
                <w:ilvl w:val="0"/>
                <w:numId w:val="17"/>
              </w:numPr>
              <w:rPr>
                <w:rFonts w:hAnsi="宋体"/>
                <w:color w:val="auto"/>
                <w:sz w:val="21"/>
                <w:szCs w:val="21"/>
                <w:highlight w:val="none"/>
              </w:rPr>
            </w:pPr>
            <w:r>
              <w:rPr>
                <w:rFonts w:hint="eastAsia" w:hAnsi="宋体"/>
                <w:color w:val="auto"/>
                <w:sz w:val="21"/>
                <w:szCs w:val="21"/>
                <w:highlight w:val="none"/>
              </w:rPr>
              <w:t>配备不少于四路 RS485 及 MBUS 下行通讯端口，一个下行通讯端口支持同通讯波特率及校验核设备的同时接入；</w:t>
            </w:r>
          </w:p>
        </w:tc>
      </w:tr>
      <w:tr>
        <w:tblPrEx>
          <w:tblCellMar>
            <w:top w:w="0" w:type="dxa"/>
            <w:left w:w="0" w:type="dxa"/>
            <w:bottom w:w="0" w:type="dxa"/>
            <w:right w:w="0" w:type="dxa"/>
          </w:tblCellMar>
        </w:tblPrEx>
        <w:trPr>
          <w:trHeight w:val="274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pacing w:val="-3"/>
                <w:sz w:val="21"/>
                <w:szCs w:val="21"/>
                <w:highlight w:val="none"/>
              </w:rPr>
              <w:t>数据采集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8"/>
              </w:numPr>
              <w:rPr>
                <w:rFonts w:hAnsi="宋体"/>
                <w:color w:val="auto"/>
                <w:sz w:val="21"/>
                <w:szCs w:val="21"/>
                <w:highlight w:val="none"/>
              </w:rPr>
            </w:pPr>
            <w:r>
              <w:rPr>
                <w:rFonts w:hint="eastAsia" w:hAnsi="宋体"/>
                <w:color w:val="auto"/>
                <w:sz w:val="21"/>
                <w:szCs w:val="21"/>
                <w:highlight w:val="none"/>
              </w:rPr>
              <w:t>具有数据采集功能，通过 RS485/Mbus 总线连接到需采集的终端设备，经过智能网关主站协议 Q/GDW376.1-2013 把采集数据实时转发到后台系统；</w:t>
            </w:r>
          </w:p>
          <w:p>
            <w:pPr>
              <w:numPr>
                <w:ilvl w:val="0"/>
                <w:numId w:val="18"/>
              </w:numPr>
              <w:rPr>
                <w:rFonts w:hAnsi="宋体"/>
                <w:color w:val="auto"/>
                <w:sz w:val="21"/>
                <w:szCs w:val="21"/>
                <w:highlight w:val="none"/>
              </w:rPr>
            </w:pPr>
            <w:r>
              <w:rPr>
                <w:rFonts w:hint="eastAsia" w:hAnsi="宋体"/>
                <w:color w:val="auto"/>
                <w:sz w:val="21"/>
                <w:szCs w:val="21"/>
                <w:highlight w:val="none"/>
              </w:rPr>
              <w:t>数据冻结功能：可根据设置，支持每 5 分钟、15 分钟、30 分钟、60 分钟定时数据冻结存储，自动冻结測量点号的冻结数据供采集系统抄读；</w:t>
            </w:r>
          </w:p>
          <w:p>
            <w:pPr>
              <w:numPr>
                <w:ilvl w:val="0"/>
                <w:numId w:val="18"/>
              </w:numPr>
              <w:rPr>
                <w:rFonts w:hAnsi="宋体"/>
                <w:color w:val="auto"/>
                <w:sz w:val="21"/>
                <w:szCs w:val="21"/>
                <w:highlight w:val="none"/>
              </w:rPr>
            </w:pPr>
            <w:r>
              <w:rPr>
                <w:rFonts w:hint="eastAsia" w:hAnsi="宋体"/>
                <w:color w:val="auto"/>
                <w:sz w:val="21"/>
                <w:szCs w:val="21"/>
                <w:highlight w:val="none"/>
              </w:rPr>
              <w:t>大数据量存储：各测量点可存储 31 日冻结数据，最大支持 36 个月的历史</w:t>
            </w:r>
          </w:p>
          <w:p>
            <w:pPr>
              <w:numPr>
                <w:ilvl w:val="0"/>
                <w:numId w:val="18"/>
              </w:numPr>
              <w:rPr>
                <w:rFonts w:hAnsi="宋体"/>
                <w:color w:val="auto"/>
                <w:sz w:val="21"/>
                <w:szCs w:val="21"/>
                <w:highlight w:val="none"/>
              </w:rPr>
            </w:pPr>
            <w:r>
              <w:rPr>
                <w:rFonts w:hint="eastAsia" w:hAnsi="宋体"/>
                <w:color w:val="auto"/>
                <w:sz w:val="21"/>
                <w:szCs w:val="21"/>
                <w:highlight w:val="none"/>
              </w:rPr>
              <w:t>记录，采用高可靠存储，数据保存时间不小于 120 个月。</w:t>
            </w:r>
          </w:p>
          <w:p>
            <w:pPr>
              <w:numPr>
                <w:ilvl w:val="0"/>
                <w:numId w:val="18"/>
              </w:numPr>
              <w:rPr>
                <w:rFonts w:hAnsi="宋体"/>
                <w:color w:val="auto"/>
                <w:sz w:val="21"/>
                <w:szCs w:val="21"/>
                <w:highlight w:val="none"/>
              </w:rPr>
            </w:pPr>
            <w:r>
              <w:rPr>
                <w:rFonts w:hint="eastAsia" w:hAnsi="宋体"/>
                <w:color w:val="auto"/>
                <w:sz w:val="21"/>
                <w:szCs w:val="21"/>
                <w:highlight w:val="none"/>
              </w:rPr>
              <w:t>数据断点续传：数据上传支持断点续传；</w:t>
            </w:r>
          </w:p>
        </w:tc>
      </w:tr>
      <w:tr>
        <w:tblPrEx>
          <w:tblCellMar>
            <w:top w:w="0" w:type="dxa"/>
            <w:left w:w="0" w:type="dxa"/>
            <w:bottom w:w="0" w:type="dxa"/>
            <w:right w:w="0" w:type="dxa"/>
          </w:tblCellMar>
        </w:tblPrEx>
        <w:trPr>
          <w:trHeight w:val="9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jc w:val="center"/>
              <w:rPr>
                <w:rFonts w:hAnsi="宋体"/>
                <w:color w:val="auto"/>
                <w:sz w:val="21"/>
                <w:szCs w:val="21"/>
                <w:highlight w:val="none"/>
              </w:rPr>
            </w:pPr>
            <w:r>
              <w:rPr>
                <w:rFonts w:hint="eastAsia" w:hAnsi="宋体"/>
                <w:color w:val="auto"/>
                <w:sz w:val="21"/>
                <w:szCs w:val="21"/>
                <w:highlight w:val="none"/>
              </w:rPr>
              <w:t>数据上报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19"/>
              </w:numPr>
              <w:rPr>
                <w:rFonts w:hAnsi="宋体"/>
                <w:color w:val="auto"/>
                <w:sz w:val="21"/>
                <w:szCs w:val="21"/>
                <w:highlight w:val="none"/>
              </w:rPr>
            </w:pPr>
            <w:r>
              <w:rPr>
                <w:rFonts w:hint="eastAsia" w:hAnsi="宋体"/>
                <w:color w:val="auto"/>
                <w:sz w:val="21"/>
                <w:szCs w:val="21"/>
                <w:highlight w:val="none"/>
              </w:rPr>
              <w:t>主动上报功能：支持分钟级能耗数据主动上报；</w:t>
            </w:r>
          </w:p>
          <w:p>
            <w:pPr>
              <w:numPr>
                <w:ilvl w:val="0"/>
                <w:numId w:val="19"/>
              </w:numPr>
              <w:rPr>
                <w:rFonts w:hAnsi="宋体"/>
                <w:color w:val="auto"/>
                <w:sz w:val="21"/>
                <w:szCs w:val="21"/>
                <w:highlight w:val="none"/>
              </w:rPr>
            </w:pPr>
            <w:r>
              <w:rPr>
                <w:rFonts w:hint="eastAsia" w:hAnsi="宋体"/>
                <w:color w:val="auto"/>
                <w:sz w:val="21"/>
                <w:szCs w:val="21"/>
                <w:highlight w:val="none"/>
              </w:rPr>
              <w:t>具有与至少2个数据中心同时通信转发数据的功能；</w:t>
            </w:r>
          </w:p>
        </w:tc>
      </w:tr>
      <w:tr>
        <w:tblPrEx>
          <w:tblCellMar>
            <w:top w:w="0" w:type="dxa"/>
            <w:left w:w="0" w:type="dxa"/>
            <w:bottom w:w="0" w:type="dxa"/>
            <w:right w:w="0" w:type="dxa"/>
          </w:tblCellMar>
        </w:tblPrEx>
        <w:trPr>
          <w:trHeight w:val="1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智能功能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Ansi="宋体"/>
                <w:color w:val="auto"/>
                <w:sz w:val="21"/>
                <w:szCs w:val="21"/>
                <w:highlight w:val="none"/>
              </w:rPr>
            </w:pPr>
            <w:r>
              <w:rPr>
                <w:rFonts w:hint="eastAsia" w:hAnsi="宋体"/>
                <w:color w:val="auto"/>
                <w:sz w:val="21"/>
                <w:szCs w:val="21"/>
                <w:highlight w:val="none"/>
              </w:rPr>
              <w:t xml:space="preserve">  a）设备支持停电上报功能，通讯线路短路、断路等异常事件主动上报功能 ; 能自动测试下行 Mbus 通道负载情况，具有短路、过载指示功能，同时切断有故障的通道，保障设备不被损坏。</w:t>
            </w:r>
          </w:p>
          <w:p>
            <w:pPr>
              <w:ind w:left="200"/>
              <w:rPr>
                <w:rFonts w:hAnsi="宋体"/>
                <w:color w:val="auto"/>
                <w:sz w:val="21"/>
                <w:szCs w:val="21"/>
                <w:highlight w:val="none"/>
              </w:rPr>
            </w:pPr>
            <w:r>
              <w:rPr>
                <w:rFonts w:hint="eastAsia" w:hAnsi="宋体"/>
                <w:color w:val="auto"/>
                <w:sz w:val="21"/>
                <w:szCs w:val="21"/>
                <w:highlight w:val="none"/>
              </w:rPr>
              <w:t xml:space="preserve">b）具备智能寻表功能：对下行 RS485 通讯线路上的表计，具备自动搜表匹配通讯参数功能，减少现场调试工作量。                               </w:t>
            </w:r>
          </w:p>
        </w:tc>
      </w:tr>
      <w:tr>
        <w:tblPrEx>
          <w:tblCellMar>
            <w:top w:w="0" w:type="dxa"/>
            <w:left w:w="0" w:type="dxa"/>
            <w:bottom w:w="0" w:type="dxa"/>
            <w:right w:w="0" w:type="dxa"/>
          </w:tblCellMar>
        </w:tblPrEx>
        <w:trPr>
          <w:trHeight w:val="47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时钟控制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hAnsi="宋体"/>
                <w:color w:val="auto"/>
                <w:sz w:val="21"/>
                <w:szCs w:val="21"/>
                <w:highlight w:val="none"/>
              </w:rPr>
            </w:pPr>
            <w:r>
              <w:rPr>
                <w:rFonts w:hint="eastAsia" w:hAnsi="宋体"/>
                <w:color w:val="auto"/>
                <w:sz w:val="21"/>
                <w:szCs w:val="21"/>
                <w:highlight w:val="none"/>
              </w:rPr>
              <w:t>带硬件时钟，可保证集中器时钟长期准确、稳定。</w:t>
            </w:r>
          </w:p>
        </w:tc>
      </w:tr>
      <w:tr>
        <w:tblPrEx>
          <w:tblCellMar>
            <w:top w:w="0" w:type="dxa"/>
            <w:left w:w="0" w:type="dxa"/>
            <w:bottom w:w="0" w:type="dxa"/>
            <w:right w:w="0" w:type="dxa"/>
          </w:tblCellMar>
        </w:tblPrEx>
        <w:trPr>
          <w:trHeight w:val="766"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运行维护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0"/>
              </w:numPr>
              <w:rPr>
                <w:rFonts w:hAnsi="宋体"/>
                <w:color w:val="auto"/>
                <w:sz w:val="21"/>
                <w:szCs w:val="21"/>
                <w:highlight w:val="none"/>
              </w:rPr>
            </w:pPr>
            <w:r>
              <w:rPr>
                <w:rFonts w:hint="eastAsia" w:hAnsi="宋体"/>
                <w:color w:val="auto"/>
                <w:sz w:val="21"/>
                <w:szCs w:val="21"/>
                <w:highlight w:val="none"/>
              </w:rPr>
              <w:t>本地运维：具备从本地蓝牙通讯端口配置通讯主站、端口、在线和离线等通讯参数，并监控设备运行情况，查询并导出设备运行日志功能。</w:t>
            </w:r>
          </w:p>
          <w:p>
            <w:pPr>
              <w:numPr>
                <w:ilvl w:val="0"/>
                <w:numId w:val="20"/>
              </w:numPr>
              <w:rPr>
                <w:rFonts w:hAnsi="宋体"/>
                <w:color w:val="auto"/>
                <w:sz w:val="21"/>
                <w:szCs w:val="21"/>
                <w:highlight w:val="none"/>
              </w:rPr>
            </w:pPr>
            <w:r>
              <w:rPr>
                <w:rFonts w:hint="eastAsia" w:hAnsi="宋体"/>
                <w:color w:val="auto"/>
                <w:sz w:val="21"/>
                <w:szCs w:val="21"/>
                <w:highlight w:val="none"/>
              </w:rPr>
              <w:t>远程运维：主站配备运维通道，支持设备管理，自动侦测设备停电、通讯线路短路、断路、过载等异常事件，并配置专用的运维APP，主动推送相关信息给运维人员。</w:t>
            </w:r>
          </w:p>
        </w:tc>
      </w:tr>
      <w:tr>
        <w:tblPrEx>
          <w:tblCellMar>
            <w:top w:w="0" w:type="dxa"/>
            <w:left w:w="0" w:type="dxa"/>
            <w:bottom w:w="0" w:type="dxa"/>
            <w:right w:w="0" w:type="dxa"/>
          </w:tblCellMar>
        </w:tblPrEx>
        <w:trPr>
          <w:trHeight w:val="55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升级功能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21"/>
              </w:numPr>
              <w:rPr>
                <w:rFonts w:hAnsi="宋体"/>
                <w:color w:val="auto"/>
                <w:sz w:val="21"/>
                <w:szCs w:val="21"/>
                <w:highlight w:val="none"/>
              </w:rPr>
            </w:pPr>
            <w:r>
              <w:rPr>
                <w:rFonts w:hint="eastAsia" w:hAnsi="宋体"/>
                <w:color w:val="auto"/>
                <w:sz w:val="21"/>
                <w:szCs w:val="21"/>
                <w:highlight w:val="none"/>
              </w:rPr>
              <w:t>支持蓝牙、USB本地升级；</w:t>
            </w:r>
          </w:p>
          <w:p>
            <w:pPr>
              <w:numPr>
                <w:ilvl w:val="0"/>
                <w:numId w:val="21"/>
              </w:numPr>
              <w:rPr>
                <w:rFonts w:hAnsi="宋体"/>
                <w:color w:val="auto"/>
                <w:sz w:val="21"/>
                <w:szCs w:val="21"/>
                <w:highlight w:val="none"/>
              </w:rPr>
            </w:pPr>
            <w:r>
              <w:rPr>
                <w:rFonts w:hint="eastAsia" w:hAnsi="宋体"/>
                <w:color w:val="auto"/>
                <w:sz w:val="21"/>
                <w:szCs w:val="21"/>
                <w:highlight w:val="none"/>
              </w:rPr>
              <w:t>远程自动升级维护；</w:t>
            </w:r>
          </w:p>
        </w:tc>
      </w:tr>
      <w:tr>
        <w:tblPrEx>
          <w:tblCellMar>
            <w:top w:w="0" w:type="dxa"/>
            <w:left w:w="0" w:type="dxa"/>
            <w:bottom w:w="0" w:type="dxa"/>
            <w:right w:w="0" w:type="dxa"/>
          </w:tblCellMar>
        </w:tblPrEx>
        <w:trPr>
          <w:trHeight w:val="45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质保期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Ansi="宋体"/>
                <w:color w:val="auto"/>
                <w:sz w:val="21"/>
                <w:szCs w:val="21"/>
                <w:highlight w:val="none"/>
              </w:rPr>
            </w:pPr>
            <w:r>
              <w:rPr>
                <w:rFonts w:hint="eastAsia" w:hAnsi="宋体"/>
                <w:color w:val="auto"/>
                <w:sz w:val="21"/>
                <w:szCs w:val="21"/>
                <w:highlight w:val="none"/>
              </w:rPr>
              <w:t xml:space="preserve">     设备质保不低于</w:t>
            </w:r>
            <w:r>
              <w:rPr>
                <w:rFonts w:hint="eastAsia" w:hAnsi="宋体"/>
                <w:color w:val="auto"/>
                <w:sz w:val="21"/>
                <w:szCs w:val="21"/>
                <w:highlight w:val="none"/>
                <w:lang w:val="en-US" w:eastAsia="zh-CN"/>
              </w:rPr>
              <w:t>5</w:t>
            </w:r>
            <w:r>
              <w:rPr>
                <w:rFonts w:hint="eastAsia" w:hAnsi="宋体"/>
                <w:color w:val="auto"/>
                <w:sz w:val="21"/>
                <w:szCs w:val="21"/>
                <w:highlight w:val="none"/>
              </w:rPr>
              <w:t>年</w:t>
            </w:r>
          </w:p>
        </w:tc>
      </w:tr>
    </w:tbl>
    <w:p>
      <w:pPr>
        <w:rPr>
          <w:rFonts w:hAnsi="宋体"/>
          <w:color w:val="auto"/>
          <w:sz w:val="21"/>
          <w:szCs w:val="21"/>
          <w:highlight w:val="none"/>
        </w:rPr>
      </w:pP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（5）电表集中器技术要求</w:t>
      </w:r>
    </w:p>
    <w:tbl>
      <w:tblPr>
        <w:tblStyle w:val="51"/>
        <w:tblpPr w:leftFromText="180" w:rightFromText="180" w:vertAnchor="text" w:horzAnchor="margin" w:tblpXSpec="center" w:tblpY="88"/>
        <w:tblOverlap w:val="never"/>
        <w:tblW w:w="5000" w:type="pct"/>
        <w:tblInd w:w="0" w:type="dxa"/>
        <w:tblLayout w:type="autofit"/>
        <w:tblCellMar>
          <w:top w:w="0" w:type="dxa"/>
          <w:left w:w="0" w:type="dxa"/>
          <w:bottom w:w="0" w:type="dxa"/>
          <w:right w:w="0" w:type="dxa"/>
        </w:tblCellMar>
      </w:tblPr>
      <w:tblGrid>
        <w:gridCol w:w="450"/>
        <w:gridCol w:w="949"/>
        <w:gridCol w:w="8270"/>
      </w:tblGrid>
      <w:tr>
        <w:tblPrEx>
          <w:tblCellMar>
            <w:top w:w="0" w:type="dxa"/>
            <w:left w:w="0" w:type="dxa"/>
            <w:bottom w:w="0" w:type="dxa"/>
            <w:right w:w="0" w:type="dxa"/>
          </w:tblCellMar>
        </w:tblPrEx>
        <w:trPr>
          <w:trHeight w:val="662"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序号</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功能</w:t>
            </w:r>
          </w:p>
        </w:tc>
        <w:tc>
          <w:tcPr>
            <w:tcW w:w="4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说明</w:t>
            </w:r>
          </w:p>
        </w:tc>
      </w:tr>
      <w:tr>
        <w:tblPrEx>
          <w:tblCellMar>
            <w:top w:w="0" w:type="dxa"/>
            <w:left w:w="0" w:type="dxa"/>
            <w:bottom w:w="0" w:type="dxa"/>
            <w:right w:w="0" w:type="dxa"/>
          </w:tblCellMar>
        </w:tblPrEx>
        <w:trPr>
          <w:trHeight w:val="993"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1</w:t>
            </w:r>
          </w:p>
        </w:tc>
        <w:tc>
          <w:tcPr>
            <w:tcW w:w="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通讯功能</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rPr>
                <w:rFonts w:hAnsi="宋体"/>
                <w:color w:val="auto"/>
                <w:sz w:val="21"/>
                <w:szCs w:val="21"/>
                <w:highlight w:val="none"/>
              </w:rPr>
            </w:pPr>
            <w:r>
              <w:rPr>
                <w:rFonts w:hint="eastAsia" w:hAnsi="宋体"/>
                <w:color w:val="auto"/>
                <w:sz w:val="21"/>
                <w:szCs w:val="21"/>
                <w:highlight w:val="none"/>
              </w:rPr>
              <w:t>a)具有与网络设备工业总线、和串行口设备装置连接功能；上行支持 Cat1、以太网通讯端口，下行支持 RS485、蓝牙通讯端口。</w:t>
            </w:r>
          </w:p>
          <w:p>
            <w:pPr>
              <w:ind w:left="200"/>
              <w:rPr>
                <w:rFonts w:hAnsi="宋体"/>
                <w:color w:val="auto"/>
                <w:sz w:val="21"/>
                <w:szCs w:val="21"/>
                <w:highlight w:val="none"/>
              </w:rPr>
            </w:pPr>
            <w:r>
              <w:rPr>
                <w:rFonts w:hint="eastAsia" w:hAnsi="宋体"/>
                <w:color w:val="auto"/>
                <w:sz w:val="21"/>
                <w:szCs w:val="21"/>
                <w:highlight w:val="none"/>
              </w:rPr>
              <w:t>b) 配备不少于四路 RS485下行通讯端口，一个下行通讯端口支持同通讯波特率及校验核设备的同时接入；</w:t>
            </w:r>
          </w:p>
        </w:tc>
      </w:tr>
      <w:tr>
        <w:tblPrEx>
          <w:tblCellMar>
            <w:top w:w="0" w:type="dxa"/>
            <w:left w:w="0" w:type="dxa"/>
            <w:bottom w:w="0" w:type="dxa"/>
            <w:right w:w="0" w:type="dxa"/>
          </w:tblCellMar>
        </w:tblPrEx>
        <w:trPr>
          <w:trHeight w:val="2618"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2</w:t>
            </w:r>
          </w:p>
        </w:tc>
        <w:tc>
          <w:tcPr>
            <w:tcW w:w="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pacing w:val="-3"/>
                <w:sz w:val="21"/>
                <w:szCs w:val="21"/>
                <w:highlight w:val="none"/>
              </w:rPr>
              <w:t>数据采集</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rPr>
                <w:rFonts w:hAnsi="宋体"/>
                <w:color w:val="auto"/>
                <w:sz w:val="21"/>
                <w:szCs w:val="21"/>
                <w:highlight w:val="none"/>
              </w:rPr>
            </w:pPr>
            <w:r>
              <w:rPr>
                <w:rFonts w:hint="eastAsia" w:hAnsi="宋体"/>
                <w:color w:val="auto"/>
                <w:sz w:val="21"/>
                <w:szCs w:val="21"/>
                <w:highlight w:val="none"/>
              </w:rPr>
              <w:t>a)有数据采集功能，通过 RS485总线连接到需采集的终端设备，经过智能网关主站协议 Q/GDW376.1-2013 把采集数据实时转发到后台系统；</w:t>
            </w:r>
          </w:p>
          <w:p>
            <w:pPr>
              <w:ind w:left="200"/>
              <w:rPr>
                <w:rFonts w:hAnsi="宋体"/>
                <w:color w:val="auto"/>
                <w:sz w:val="21"/>
                <w:szCs w:val="21"/>
                <w:highlight w:val="none"/>
              </w:rPr>
            </w:pPr>
            <w:r>
              <w:rPr>
                <w:rFonts w:hint="eastAsia" w:hAnsi="宋体"/>
                <w:color w:val="auto"/>
                <w:sz w:val="21"/>
                <w:szCs w:val="21"/>
                <w:highlight w:val="none"/>
              </w:rPr>
              <w:t>b)数据冻结功能：可根据设置，支持每 5 分钟、15 分钟、30 分钟、60 分钟定时数据冻结存储，自动冻结測量点号的冻结数据供采集系统抄读；</w:t>
            </w:r>
          </w:p>
          <w:p>
            <w:pPr>
              <w:ind w:left="200"/>
              <w:rPr>
                <w:rFonts w:hAnsi="宋体"/>
                <w:color w:val="auto"/>
                <w:sz w:val="21"/>
                <w:szCs w:val="21"/>
                <w:highlight w:val="none"/>
              </w:rPr>
            </w:pPr>
            <w:r>
              <w:rPr>
                <w:rFonts w:hint="eastAsia" w:hAnsi="宋体"/>
                <w:color w:val="auto"/>
                <w:sz w:val="21"/>
                <w:szCs w:val="21"/>
                <w:highlight w:val="none"/>
              </w:rPr>
              <w:t>c)大数据量存储：各测量点可存储 31 日冻结数据，最大支持 36 个月的历史</w:t>
            </w:r>
          </w:p>
          <w:p>
            <w:pPr>
              <w:ind w:left="200"/>
              <w:rPr>
                <w:rFonts w:hAnsi="宋体"/>
                <w:color w:val="auto"/>
                <w:sz w:val="21"/>
                <w:szCs w:val="21"/>
                <w:highlight w:val="none"/>
              </w:rPr>
            </w:pPr>
            <w:r>
              <w:rPr>
                <w:rFonts w:hint="eastAsia" w:hAnsi="宋体"/>
                <w:color w:val="auto"/>
                <w:sz w:val="21"/>
                <w:szCs w:val="21"/>
                <w:highlight w:val="none"/>
              </w:rPr>
              <w:t>d)记录，采用高可靠存储，数据保存时间不小于 120 个月。</w:t>
            </w:r>
          </w:p>
          <w:p>
            <w:pPr>
              <w:ind w:left="200"/>
              <w:rPr>
                <w:rFonts w:hAnsi="宋体"/>
                <w:color w:val="auto"/>
                <w:sz w:val="21"/>
                <w:szCs w:val="21"/>
                <w:highlight w:val="none"/>
              </w:rPr>
            </w:pPr>
            <w:r>
              <w:rPr>
                <w:rFonts w:hint="eastAsia" w:hAnsi="宋体"/>
                <w:color w:val="auto"/>
                <w:sz w:val="21"/>
                <w:szCs w:val="21"/>
                <w:highlight w:val="none"/>
              </w:rPr>
              <w:t>e)数据断点续传：数据上传支持断点续传；</w:t>
            </w:r>
          </w:p>
        </w:tc>
      </w:tr>
      <w:tr>
        <w:tblPrEx>
          <w:tblCellMar>
            <w:top w:w="0" w:type="dxa"/>
            <w:left w:w="0" w:type="dxa"/>
            <w:bottom w:w="0" w:type="dxa"/>
            <w:right w:w="0" w:type="dxa"/>
          </w:tblCellMar>
        </w:tblPrEx>
        <w:trPr>
          <w:trHeight w:val="594"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3</w:t>
            </w:r>
          </w:p>
        </w:tc>
        <w:tc>
          <w:tcPr>
            <w:tcW w:w="4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数据上报</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rPr>
                <w:rFonts w:hAnsi="宋体"/>
                <w:color w:val="auto"/>
                <w:sz w:val="21"/>
                <w:szCs w:val="21"/>
                <w:highlight w:val="none"/>
              </w:rPr>
            </w:pPr>
            <w:r>
              <w:rPr>
                <w:rFonts w:hint="eastAsia" w:hAnsi="宋体"/>
                <w:color w:val="auto"/>
                <w:sz w:val="21"/>
                <w:szCs w:val="21"/>
                <w:highlight w:val="none"/>
              </w:rPr>
              <w:t>a)主动上报功能：支持分钟级能耗数据主动上报；</w:t>
            </w:r>
          </w:p>
          <w:p>
            <w:pPr>
              <w:ind w:left="200"/>
              <w:rPr>
                <w:rFonts w:hAnsi="宋体"/>
                <w:color w:val="auto"/>
                <w:sz w:val="21"/>
                <w:szCs w:val="21"/>
                <w:highlight w:val="none"/>
              </w:rPr>
            </w:pPr>
            <w:r>
              <w:rPr>
                <w:rFonts w:hint="eastAsia" w:hAnsi="宋体"/>
                <w:color w:val="auto"/>
                <w:sz w:val="21"/>
                <w:szCs w:val="21"/>
                <w:highlight w:val="none"/>
              </w:rPr>
              <w:t>b）具有与至少2个数据中心同时通信转发数据的功能；</w:t>
            </w:r>
          </w:p>
        </w:tc>
      </w:tr>
      <w:tr>
        <w:tblPrEx>
          <w:tblCellMar>
            <w:top w:w="0" w:type="dxa"/>
            <w:left w:w="0" w:type="dxa"/>
            <w:bottom w:w="0" w:type="dxa"/>
            <w:right w:w="0" w:type="dxa"/>
          </w:tblCellMar>
        </w:tblPrEx>
        <w:trPr>
          <w:trHeight w:val="17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4</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智能功能</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Ansi="宋体"/>
                <w:color w:val="auto"/>
                <w:sz w:val="21"/>
                <w:szCs w:val="21"/>
                <w:highlight w:val="none"/>
              </w:rPr>
            </w:pPr>
            <w:r>
              <w:rPr>
                <w:rFonts w:hint="eastAsia" w:hAnsi="宋体"/>
                <w:color w:val="auto"/>
                <w:sz w:val="21"/>
                <w:szCs w:val="21"/>
                <w:highlight w:val="none"/>
              </w:rPr>
              <w:t xml:space="preserve">  a）设备支持停电上报功能，通讯线路短路、断路等异常事件主动上报功能 ; 能自动测试下行 RS485 通道负载情况，具有短路、过载指示功能，同时切断有故障的通道，保障设备不被损坏。</w:t>
            </w:r>
          </w:p>
          <w:p>
            <w:pPr>
              <w:ind w:left="200"/>
              <w:rPr>
                <w:rFonts w:hAnsi="宋体"/>
                <w:color w:val="auto"/>
                <w:sz w:val="21"/>
                <w:szCs w:val="21"/>
                <w:highlight w:val="none"/>
              </w:rPr>
            </w:pPr>
            <w:r>
              <w:rPr>
                <w:rFonts w:hint="eastAsia" w:hAnsi="宋体"/>
                <w:color w:val="auto"/>
                <w:sz w:val="21"/>
                <w:szCs w:val="21"/>
                <w:highlight w:val="none"/>
              </w:rPr>
              <w:t xml:space="preserve">b）具备智能寻表功能：对下行 RS485 通讯线路上的表计，具备自动搜表匹配通讯参数功能，减少现场调试工作量。                                                    </w:t>
            </w:r>
          </w:p>
        </w:tc>
      </w:tr>
      <w:tr>
        <w:tblPrEx>
          <w:tblCellMar>
            <w:top w:w="0" w:type="dxa"/>
            <w:left w:w="0" w:type="dxa"/>
            <w:bottom w:w="0" w:type="dxa"/>
            <w:right w:w="0" w:type="dxa"/>
          </w:tblCellMar>
        </w:tblPrEx>
        <w:trPr>
          <w:trHeight w:val="476"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5</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时钟控制</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20" w:firstLineChars="200"/>
              <w:rPr>
                <w:rFonts w:hAnsi="宋体"/>
                <w:color w:val="auto"/>
                <w:sz w:val="21"/>
                <w:szCs w:val="21"/>
                <w:highlight w:val="none"/>
              </w:rPr>
            </w:pPr>
            <w:r>
              <w:rPr>
                <w:rFonts w:hint="eastAsia" w:hAnsi="宋体"/>
                <w:color w:val="auto"/>
                <w:sz w:val="21"/>
                <w:szCs w:val="21"/>
                <w:highlight w:val="none"/>
              </w:rPr>
              <w:t>带硬件时钟，可保证集中器时钟长期准确、稳定。</w:t>
            </w:r>
          </w:p>
        </w:tc>
      </w:tr>
      <w:tr>
        <w:tblPrEx>
          <w:tblCellMar>
            <w:top w:w="0" w:type="dxa"/>
            <w:left w:w="0" w:type="dxa"/>
            <w:bottom w:w="0" w:type="dxa"/>
            <w:right w:w="0" w:type="dxa"/>
          </w:tblCellMar>
        </w:tblPrEx>
        <w:trPr>
          <w:trHeight w:val="766"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6</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运行维护</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rPr>
                <w:rFonts w:hAnsi="宋体"/>
                <w:color w:val="auto"/>
                <w:sz w:val="21"/>
                <w:szCs w:val="21"/>
                <w:highlight w:val="none"/>
              </w:rPr>
            </w:pPr>
            <w:r>
              <w:rPr>
                <w:rFonts w:hint="eastAsia" w:hAnsi="宋体"/>
                <w:color w:val="auto"/>
                <w:sz w:val="21"/>
                <w:szCs w:val="21"/>
                <w:highlight w:val="none"/>
              </w:rPr>
              <w:t>a)本地运维：具备从本地蓝牙通讯端口配置通讯主站、端口、在线和离线等通讯参数，并监控设备运行情况，查询并导出设备运行日志功能。</w:t>
            </w:r>
          </w:p>
          <w:p>
            <w:pPr>
              <w:ind w:left="200"/>
              <w:rPr>
                <w:rFonts w:hAnsi="宋体"/>
                <w:color w:val="auto"/>
                <w:sz w:val="21"/>
                <w:szCs w:val="21"/>
                <w:highlight w:val="none"/>
              </w:rPr>
            </w:pPr>
            <w:r>
              <w:rPr>
                <w:rFonts w:hint="eastAsia" w:hAnsi="宋体"/>
                <w:color w:val="auto"/>
                <w:sz w:val="21"/>
                <w:szCs w:val="21"/>
                <w:highlight w:val="none"/>
              </w:rPr>
              <w:t>b）远程运维：主站配备运维通道，支持设备管理，自动侦测设备停电、通讯线路短路、断路、过载等异常事件，并配置专用的运维APP，主动推送相关信息给运维人员。</w:t>
            </w:r>
          </w:p>
        </w:tc>
      </w:tr>
      <w:tr>
        <w:tblPrEx>
          <w:tblCellMar>
            <w:top w:w="0" w:type="dxa"/>
            <w:left w:w="0" w:type="dxa"/>
            <w:bottom w:w="0" w:type="dxa"/>
            <w:right w:w="0" w:type="dxa"/>
          </w:tblCellMar>
        </w:tblPrEx>
        <w:trPr>
          <w:trHeight w:val="551"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7</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升级功能</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200"/>
              <w:rPr>
                <w:rFonts w:hAnsi="宋体"/>
                <w:color w:val="auto"/>
                <w:sz w:val="21"/>
                <w:szCs w:val="21"/>
                <w:highlight w:val="none"/>
              </w:rPr>
            </w:pPr>
            <w:r>
              <w:rPr>
                <w:rFonts w:hint="eastAsia" w:hAnsi="宋体"/>
                <w:color w:val="auto"/>
                <w:sz w:val="21"/>
                <w:szCs w:val="21"/>
                <w:highlight w:val="none"/>
              </w:rPr>
              <w:t>a)支持蓝牙、USB本地升级；</w:t>
            </w:r>
          </w:p>
          <w:p>
            <w:pPr>
              <w:ind w:left="200"/>
              <w:rPr>
                <w:rFonts w:hAnsi="宋体"/>
                <w:color w:val="auto"/>
                <w:sz w:val="21"/>
                <w:szCs w:val="21"/>
                <w:highlight w:val="none"/>
              </w:rPr>
            </w:pPr>
            <w:r>
              <w:rPr>
                <w:rFonts w:hint="eastAsia" w:hAnsi="宋体"/>
                <w:color w:val="auto"/>
                <w:sz w:val="21"/>
                <w:szCs w:val="21"/>
                <w:highlight w:val="none"/>
              </w:rPr>
              <w:t>b）远程自动升级维护；</w:t>
            </w:r>
          </w:p>
        </w:tc>
      </w:tr>
      <w:tr>
        <w:tblPrEx>
          <w:tblCellMar>
            <w:top w:w="0" w:type="dxa"/>
            <w:left w:w="0" w:type="dxa"/>
            <w:bottom w:w="0" w:type="dxa"/>
            <w:right w:w="0" w:type="dxa"/>
          </w:tblCellMar>
        </w:tblPrEx>
        <w:trPr>
          <w:trHeight w:val="457"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8</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Ansi="宋体"/>
                <w:color w:val="auto"/>
                <w:sz w:val="21"/>
                <w:szCs w:val="21"/>
                <w:highlight w:val="none"/>
              </w:rPr>
            </w:pPr>
            <w:r>
              <w:rPr>
                <w:rFonts w:hint="eastAsia" w:hAnsi="宋体"/>
                <w:color w:val="auto"/>
                <w:sz w:val="21"/>
                <w:szCs w:val="21"/>
                <w:highlight w:val="none"/>
              </w:rPr>
              <w:t>质保期</w:t>
            </w:r>
          </w:p>
        </w:tc>
        <w:tc>
          <w:tcPr>
            <w:tcW w:w="42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Ansi="宋体"/>
                <w:color w:val="auto"/>
                <w:sz w:val="21"/>
                <w:szCs w:val="21"/>
                <w:highlight w:val="none"/>
              </w:rPr>
            </w:pPr>
            <w:r>
              <w:rPr>
                <w:rFonts w:hint="eastAsia" w:hAnsi="宋体"/>
                <w:color w:val="auto"/>
                <w:sz w:val="21"/>
                <w:szCs w:val="21"/>
                <w:highlight w:val="none"/>
              </w:rPr>
              <w:t xml:space="preserve">  设备质保不低于</w:t>
            </w:r>
            <w:r>
              <w:rPr>
                <w:rFonts w:hint="eastAsia" w:hAnsi="宋体"/>
                <w:color w:val="auto"/>
                <w:sz w:val="21"/>
                <w:szCs w:val="21"/>
                <w:highlight w:val="none"/>
                <w:lang w:val="en-US" w:eastAsia="zh-CN"/>
              </w:rPr>
              <w:t>5</w:t>
            </w:r>
            <w:r>
              <w:rPr>
                <w:rFonts w:hint="eastAsia" w:hAnsi="宋体"/>
                <w:color w:val="auto"/>
                <w:sz w:val="21"/>
                <w:szCs w:val="21"/>
                <w:highlight w:val="none"/>
              </w:rPr>
              <w:t>年</w:t>
            </w:r>
          </w:p>
        </w:tc>
      </w:tr>
    </w:tbl>
    <w:p>
      <w:pPr>
        <w:rPr>
          <w:rFonts w:hAnsi="宋体"/>
          <w:color w:val="auto"/>
          <w:sz w:val="21"/>
          <w:szCs w:val="21"/>
          <w:highlight w:val="none"/>
        </w:rPr>
      </w:pPr>
    </w:p>
    <w:p>
      <w:pPr>
        <w:pStyle w:val="50"/>
        <w:ind w:left="648"/>
        <w:rPr>
          <w:rFonts w:ascii="宋体" w:hAnsi="宋体"/>
          <w:color w:val="auto"/>
          <w:szCs w:val="21"/>
          <w:highlight w:val="none"/>
        </w:rPr>
      </w:pPr>
    </w:p>
    <w:p>
      <w:pPr>
        <w:pStyle w:val="50"/>
        <w:ind w:left="648"/>
        <w:rPr>
          <w:rFonts w:ascii="宋体" w:hAnsi="宋体"/>
          <w:color w:val="auto"/>
          <w:szCs w:val="21"/>
          <w:highlight w:val="none"/>
        </w:rPr>
      </w:pPr>
    </w:p>
    <w:p>
      <w:pPr>
        <w:rPr>
          <w:rFonts w:hAnsi="宋体"/>
          <w:color w:val="auto"/>
          <w:sz w:val="21"/>
          <w:szCs w:val="21"/>
          <w:highlight w:val="none"/>
          <w:shd w:val="clear" w:color="auto" w:fill="FFFFFF" w:themeFill="background1"/>
        </w:rPr>
      </w:pPr>
      <w:r>
        <w:rPr>
          <w:rFonts w:hint="eastAsia" w:hAnsi="宋体"/>
          <w:color w:val="auto"/>
          <w:sz w:val="21"/>
          <w:szCs w:val="21"/>
          <w:highlight w:val="none"/>
          <w:shd w:val="clear" w:color="auto" w:fill="FFFFFF" w:themeFill="background1"/>
        </w:rPr>
        <w:t>（6）系统功能</w:t>
      </w:r>
    </w:p>
    <w:p>
      <w:pPr>
        <w:ind w:firstLine="420" w:firstLineChars="200"/>
        <w:rPr>
          <w:rFonts w:hAnsi="宋体"/>
          <w:color w:val="auto"/>
          <w:sz w:val="21"/>
          <w:szCs w:val="21"/>
          <w:highlight w:val="none"/>
        </w:rPr>
      </w:pPr>
      <w:r>
        <w:rPr>
          <w:rFonts w:hint="eastAsia" w:hAnsi="宋体"/>
          <w:color w:val="auto"/>
          <w:sz w:val="21"/>
          <w:szCs w:val="21"/>
          <w:highlight w:val="none"/>
        </w:rPr>
        <w:t>系统需为本地化部署，系统需满足以下功能：</w:t>
      </w:r>
    </w:p>
    <w:p>
      <w:pPr>
        <w:numPr>
          <w:ilvl w:val="0"/>
          <w:numId w:val="24"/>
        </w:numPr>
        <w:spacing w:line="560" w:lineRule="exact"/>
        <w:rPr>
          <w:rFonts w:hAnsi="宋体"/>
          <w:color w:val="auto"/>
          <w:sz w:val="21"/>
          <w:szCs w:val="21"/>
          <w:highlight w:val="none"/>
          <w:shd w:val="clear" w:color="auto" w:fill="FFFFFF" w:themeFill="background1"/>
        </w:rPr>
      </w:pPr>
      <w:r>
        <w:rPr>
          <w:rFonts w:hint="eastAsia" w:hAnsi="宋体"/>
          <w:color w:val="auto"/>
          <w:sz w:val="21"/>
          <w:szCs w:val="21"/>
          <w:highlight w:val="none"/>
          <w:shd w:val="clear" w:color="auto" w:fill="FFFFFF" w:themeFill="background1"/>
        </w:rPr>
        <w:t>能耗管理首页：系统需可以将能源数据发布到平台上，展现当前建筑群、建筑的总能耗值、不同建筑的不同类别的各类能耗值等。</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shd w:val="clear" w:color="auto" w:fill="FFFFFF" w:themeFill="background1"/>
        </w:rPr>
        <w:t>实时监测：对于建筑用电（空调、照明、动力用电等分项</w:t>
      </w:r>
      <w:r>
        <w:rPr>
          <w:rFonts w:hint="eastAsia" w:hAnsi="宋体"/>
          <w:color w:val="auto"/>
          <w:sz w:val="21"/>
          <w:szCs w:val="21"/>
          <w:highlight w:val="none"/>
        </w:rPr>
        <w:t>）、用水等能源消耗进行实时计量、监测，确保各用能环节的安全持续运行，包含用电回路监测、用电结构图、用水结构图、在线监测（当日）图表曲线、设备报警等功能。</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实时数据查询：动态显示整个电力系统单线图、供水系统管网图等，系统实时显示从各类能耗测量仪表中通过通讯方式获取的各种数据，以便用户及时了解电力系统、用水系统等中各自的运行参数，这些数据包括：电量、电流、电压、功率、功率因数、谐波（变电所）等重要电气参数；用水量、累计用水量、电表读数等参数； 瞬时流量、累计流量、温度等其它能源参数。</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网络通讯：系统具有良好的网络显示、诊断功能，能在线显示能耗监测平台的网络通讯状态，发生网络故障时，能在屏幕上显示故障单元和故障部位。平台具有良好的开放性，能方便的与其他系统通讯，如变配电监控系统、远程抄表计量系统、用水监测系统、楼宇监控系统、DCS 系统、ECS 系统等，实现各平台、各系统间的数据共享。</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电能质量管理：对于整个系统范围内的电能质量和电能使用可靠性状况进行持续的监测，系统需提供了全面的电能质量管理和分析功能，可以通过用电结构图进行直观展示用电数据的变化，分析功能有：电压波动、电压骤升骤降、三相不平衡、瞬变等，帮助完成变电所回路谐波评估工作，判断系统内的谐波产生源，为治理主要谐波污染提供有力依据。确保重点区域如网络中心等处的精密设备的用电安全。</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历史查询：系统收集各监测控制与管理装置的实时数据并存储在本地数据库，可保存长时段的历史记录。平台可以标准和设定文件格式随时调用和打印上述历史数据，自动生成历史用能趋势曲线，历史用能趋势曲线应具有三年以上的回溯长度窗口。</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能耗分析：系统可灵活选择年/月/日等方式查询各楼栋建筑用水、用电等能耗情况，采用图、表、曲线、折线等方式直观对比显示各用能区域能耗情况。</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建筑分类能耗汇总：系统可灵活选择年/月/日等方式查询各建筑用能情况，采用 饼图、表格等方式直观对比显示各建筑用水、用电等能耗数据，查询不同功用类型建筑 水、电等用能统计及对比分析。</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用电分项能耗分析：系统按照二、三级计量要求（如照明插座、空调用电、动力用电、特殊用电等），对不同的终端用电进行分项智能分析、趋势预测、历史查询等。</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智能报表：系统包含综合能耗报表（年/月/日），也可设定年/月的快捷报表，对于能耗数据提供同比、类比、环比、离散分析、差异对比分析等分析功能，同时支持在线查询、word/excel 报表导出及在线打印功能。</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节能监测：系统对关键指标、能效考核、重要监测项目进行监测并提供自主配 置标准值、监测项及应对策略的功能，包含能效分析、节能量对比核算等。</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监测与报警：系统在能源参数的越限、设备重要状态变化、通讯中断时触发报警，按高低重要性等级分类的系统级报警，同时系统还支持定期的邮件报警等。</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能效管理：系统帮助建立能耗的考核制度，以建筑为单位能耗统计，包括：单位面积综合能耗、单位面积空调能耗、单位面积照明能耗等进行关键指标能耗考核分析，方便节能处管理人员对机关建筑用能情况进行评估。</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用能计划预警：根据能耗统计历史数据为每个建筑、各类设备或各用能环节的 用能量设置定额；建立用能计划模型、分配使用计划，建立能耗超标报警机制，当实际用能超过计划值或是预警值时，平台进行报警提示。</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能效公示与排名：系统提供能耗公示、分类建筑能耗排名，从而督促能耗较高的机关建筑进行分析、整改等动作。</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资产管理；建立通信产品、计量设备的资产台账，通过系统对能源设备等信息 进行综合管理、日常维护、系统报警等。</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安全验证：软件的使用期限，使用模块采用硬件加密方式授权，进行保护防止破解；通过web.config 中的相关身份配置，IIS 中的安全设置，以及防火墙，杀毒软 件的设置进行对软件的访问安全性保护和数据存储安全。</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用户管理：本系统软件为系统管理员、后勤管理人员、设备维护人员等提供分级密码，并对所有操作自动进行带时标事件记录，可建立良好的反事故措施。所有的系统操作员能够根据权限大小赋予某特性，这些特性规定了各个操作员对系统及各种活动 的适用范围，如用户名，口令字，操作权限及操作范围等特性。</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数据采集处理：系统通过能耗自动采集对各项能耗参数进行实时采集监测，可以实现报表的定义、录入、审核、汇总、发布、管理的一体化业务处理，通过系统权限 控制，实现不同层次用户的报表及数据管理。</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能耗数据补录：对一些暂时未实现自动化采集的设备，可以人工补录，以保证数据的完整性和统计数据的准确性。同时对建筑面积、功能区域划分、人员情况、运转时间等客观数据实现录入或导入，人工成本等计算模型，逐步完善成一个综合性数据管理分析的系统。</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系统扩容：系统可以纳入已有或未来新建的子系统，如：变配电监控系统、 智能照明节电系统、智能空调节电系统、光伏能源系统等相关节能系统，完善能耗数据库作为能源管理系统的数据分析基础。</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系统操作日志、账户操作日志和追踪审计：系统将把每个操作员所做的每一步操作都记录在数据库中，对其所有的操作都有可追溯性。</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对房间、硬件的各项操作可批量或个别进行： 系统允许对房间和硬件进行预定义分组，当对用户进行各项操作时，均可按组进行操作。</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掉电数据保护、断电恢复功能：当电脑因非正常关机而引起数据库损坏时，系统 软件会自动对数据库进行修复，绝对保障数据的安全。</w:t>
      </w:r>
    </w:p>
    <w:p>
      <w:pPr>
        <w:numPr>
          <w:ilvl w:val="0"/>
          <w:numId w:val="24"/>
        </w:numPr>
        <w:spacing w:line="560" w:lineRule="exact"/>
        <w:rPr>
          <w:rFonts w:hAnsi="宋体"/>
          <w:color w:val="auto"/>
          <w:sz w:val="21"/>
          <w:szCs w:val="21"/>
          <w:highlight w:val="none"/>
        </w:rPr>
      </w:pPr>
      <w:r>
        <w:rPr>
          <w:rFonts w:hint="eastAsia" w:hAnsi="宋体"/>
          <w:color w:val="auto"/>
          <w:sz w:val="21"/>
          <w:szCs w:val="21"/>
          <w:highlight w:val="none"/>
        </w:rPr>
        <w:t>用电数据统计功能：包含操作日志、报警、各房间用电数据报表、各操作员财务账单等，支持报表打印功能，报表形式多样灵活，统计准确快速。</w:t>
      </w:r>
    </w:p>
    <w:p>
      <w:pPr>
        <w:pStyle w:val="47"/>
        <w:spacing w:line="440" w:lineRule="exact"/>
        <w:ind w:firstLine="420" w:firstLineChars="200"/>
        <w:rPr>
          <w:color w:val="auto"/>
          <w:sz w:val="21"/>
          <w:szCs w:val="21"/>
          <w:highlight w:val="none"/>
        </w:rPr>
      </w:pPr>
      <w:r>
        <w:rPr>
          <w:rFonts w:hint="eastAsia"/>
          <w:color w:val="auto"/>
          <w:sz w:val="21"/>
          <w:szCs w:val="21"/>
          <w:highlight w:val="none"/>
        </w:rPr>
        <w:t>1.3.3 设备技术参数要求</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320"/>
        <w:gridCol w:w="631"/>
        <w:gridCol w:w="1500"/>
        <w:gridCol w:w="6505"/>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textAlignment w:val="center"/>
              <w:rPr>
                <w:rFonts w:hAnsi="宋体"/>
                <w:color w:val="auto"/>
                <w:sz w:val="18"/>
                <w:szCs w:val="18"/>
                <w:highlight w:val="none"/>
              </w:rPr>
            </w:pPr>
            <w:r>
              <w:rPr>
                <w:rFonts w:hint="eastAsia" w:hAnsi="宋体"/>
                <w:color w:val="auto"/>
                <w:sz w:val="18"/>
                <w:szCs w:val="18"/>
                <w:highlight w:val="none"/>
                <w:lang w:bidi="ar"/>
              </w:rPr>
              <w:t>序号</w:t>
            </w:r>
          </w:p>
        </w:tc>
        <w:tc>
          <w:tcPr>
            <w:tcW w:w="514" w:type="pct"/>
            <w:shd w:val="clear" w:color="auto" w:fill="FFFFFF"/>
            <w:vAlign w:val="center"/>
          </w:tcPr>
          <w:p>
            <w:pPr>
              <w:jc w:val="cente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lang w:bidi="ar"/>
              </w:rPr>
              <w:t>类别</w:t>
            </w: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名称</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型号规格</w:t>
            </w:r>
          </w:p>
        </w:tc>
        <w:tc>
          <w:tcPr>
            <w:tcW w:w="1602"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主要参数</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w:t>
            </w:r>
          </w:p>
        </w:tc>
        <w:tc>
          <w:tcPr>
            <w:tcW w:w="514" w:type="pct"/>
            <w:vMerge w:val="restart"/>
            <w:shd w:val="clear" w:color="auto" w:fill="FFFFFF"/>
            <w:vAlign w:val="center"/>
          </w:tcPr>
          <w:p>
            <w:pPr>
              <w:jc w:val="cente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b/>
                <w:bCs/>
                <w:color w:val="auto"/>
                <w:sz w:val="16"/>
                <w:szCs w:val="16"/>
                <w:highlight w:val="none"/>
                <w:lang w:bidi="ar"/>
              </w:rPr>
              <w:t>硬件类</w:t>
            </w:r>
          </w:p>
        </w:tc>
        <w:tc>
          <w:tcPr>
            <w:tcW w:w="947" w:type="pct"/>
            <w:shd w:val="clear" w:color="auto" w:fill="FFFFFF"/>
            <w:vAlign w:val="center"/>
          </w:tcPr>
          <w:p>
            <w:pPr>
              <w:ind w:firstLine="320" w:firstLineChars="200"/>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智能单相电表</w:t>
            </w:r>
          </w:p>
        </w:tc>
        <w:tc>
          <w:tcPr>
            <w:tcW w:w="1214" w:type="pct"/>
            <w:shd w:val="clear" w:color="auto" w:fill="FFFFFF"/>
            <w:noWrap/>
            <w:vAlign w:val="center"/>
          </w:tcPr>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电流：5（60）A</w:t>
            </w:r>
          </w:p>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电压：220V</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1.技术要求满足或高于智能硬件中智能电表技术要求；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2</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智能三相表</w:t>
            </w:r>
          </w:p>
        </w:tc>
        <w:tc>
          <w:tcPr>
            <w:tcW w:w="1214" w:type="pct"/>
            <w:shd w:val="clear" w:color="auto" w:fill="FFFFFF"/>
            <w:noWrap/>
            <w:vAlign w:val="center"/>
          </w:tcPr>
          <w:p>
            <w:pPr>
              <w:textAlignment w:val="center"/>
              <w:rPr>
                <w:color w:val="auto"/>
                <w:sz w:val="18"/>
                <w:szCs w:val="18"/>
                <w:highlight w:val="none"/>
              </w:rPr>
            </w:pPr>
            <w:r>
              <w:rPr>
                <w:rFonts w:hint="eastAsia"/>
                <w:color w:val="auto"/>
                <w:sz w:val="18"/>
                <w:szCs w:val="18"/>
                <w:highlight w:val="none"/>
              </w:rPr>
              <w:t xml:space="preserve">电流：3*1.5（6）A; </w:t>
            </w:r>
          </w:p>
          <w:p>
            <w:pPr>
              <w:ind w:firstLine="540" w:firstLineChars="300"/>
              <w:textAlignment w:val="center"/>
              <w:rPr>
                <w:color w:val="auto"/>
                <w:sz w:val="18"/>
                <w:szCs w:val="18"/>
                <w:highlight w:val="none"/>
              </w:rPr>
            </w:pPr>
            <w:r>
              <w:rPr>
                <w:rFonts w:hint="eastAsia"/>
                <w:color w:val="auto"/>
                <w:sz w:val="18"/>
                <w:szCs w:val="18"/>
                <w:highlight w:val="none"/>
              </w:rPr>
              <w:t>3*5（60）A;</w:t>
            </w:r>
          </w:p>
          <w:p>
            <w:pPr>
              <w:ind w:firstLine="540" w:firstLineChars="300"/>
              <w:textAlignment w:val="center"/>
              <w:rPr>
                <w:color w:val="auto"/>
                <w:sz w:val="18"/>
                <w:szCs w:val="18"/>
                <w:highlight w:val="none"/>
              </w:rPr>
            </w:pPr>
            <w:r>
              <w:rPr>
                <w:rFonts w:hint="eastAsia"/>
                <w:color w:val="auto"/>
                <w:sz w:val="18"/>
                <w:szCs w:val="18"/>
                <w:highlight w:val="none"/>
              </w:rPr>
              <w:t>3*10（100）A；</w:t>
            </w:r>
          </w:p>
          <w:p>
            <w:pPr>
              <w:spacing w:after="120"/>
              <w:ind w:firstLine="360" w:firstLineChars="200"/>
              <w:rPr>
                <w:color w:val="auto"/>
                <w:highlight w:val="none"/>
              </w:rPr>
            </w:pPr>
            <w:r>
              <w:rPr>
                <w:rFonts w:hint="eastAsia"/>
                <w:color w:val="auto"/>
                <w:sz w:val="18"/>
                <w:szCs w:val="18"/>
                <w:highlight w:val="none"/>
              </w:rPr>
              <w:t>电压：3*220/380V</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1.技术要求满足或高于智能硬件中智能电表技术要求；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3</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智能三相导轨电表</w:t>
            </w:r>
          </w:p>
        </w:tc>
        <w:tc>
          <w:tcPr>
            <w:tcW w:w="1214" w:type="pct"/>
            <w:shd w:val="clear" w:color="auto" w:fill="FFFFFF"/>
            <w:noWrap/>
            <w:vAlign w:val="center"/>
          </w:tcPr>
          <w:p>
            <w:pPr>
              <w:textAlignment w:val="center"/>
              <w:rPr>
                <w:color w:val="auto"/>
                <w:sz w:val="18"/>
                <w:szCs w:val="18"/>
                <w:highlight w:val="none"/>
              </w:rPr>
            </w:pPr>
            <w:r>
              <w:rPr>
                <w:rFonts w:hint="eastAsia"/>
                <w:color w:val="auto"/>
                <w:sz w:val="18"/>
                <w:szCs w:val="18"/>
                <w:highlight w:val="none"/>
              </w:rPr>
              <w:t xml:space="preserve">电流：3*1.5（6）A; </w:t>
            </w:r>
          </w:p>
          <w:p>
            <w:pPr>
              <w:ind w:firstLine="540" w:firstLineChars="300"/>
              <w:textAlignment w:val="center"/>
              <w:rPr>
                <w:color w:val="auto"/>
                <w:sz w:val="18"/>
                <w:szCs w:val="18"/>
                <w:highlight w:val="none"/>
              </w:rPr>
            </w:pPr>
            <w:r>
              <w:rPr>
                <w:rFonts w:hint="eastAsia"/>
                <w:color w:val="auto"/>
                <w:sz w:val="18"/>
                <w:szCs w:val="18"/>
                <w:highlight w:val="none"/>
              </w:rPr>
              <w:t>3*5（60）A;</w:t>
            </w:r>
          </w:p>
          <w:p>
            <w:pPr>
              <w:ind w:firstLine="540" w:firstLineChars="300"/>
              <w:textAlignment w:val="center"/>
              <w:rPr>
                <w:color w:val="auto"/>
                <w:sz w:val="18"/>
                <w:szCs w:val="18"/>
                <w:highlight w:val="none"/>
              </w:rPr>
            </w:pPr>
            <w:r>
              <w:rPr>
                <w:rFonts w:hint="eastAsia"/>
                <w:color w:val="auto"/>
                <w:sz w:val="18"/>
                <w:szCs w:val="18"/>
                <w:highlight w:val="none"/>
              </w:rPr>
              <w:t>3*10（100）A；</w:t>
            </w:r>
          </w:p>
          <w:p>
            <w:pPr>
              <w:textAlignment w:val="center"/>
              <w:rPr>
                <w:rFonts w:ascii="微软雅黑" w:hAnsi="微软雅黑" w:eastAsia="微软雅黑" w:cs="微软雅黑"/>
                <w:color w:val="auto"/>
                <w:sz w:val="18"/>
                <w:szCs w:val="18"/>
                <w:highlight w:val="none"/>
              </w:rPr>
            </w:pPr>
            <w:r>
              <w:rPr>
                <w:rFonts w:hint="eastAsia"/>
                <w:color w:val="auto"/>
                <w:sz w:val="18"/>
                <w:szCs w:val="18"/>
                <w:highlight w:val="none"/>
              </w:rPr>
              <w:t xml:space="preserve">电压：3*220/380V </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1.尺寸：4P导轨式；</w:t>
            </w:r>
          </w:p>
          <w:p>
            <w:pPr>
              <w:textAlignment w:val="center"/>
              <w:rPr>
                <w:rFonts w:ascii="微软雅黑" w:hAnsi="微软雅黑" w:eastAsia="微软雅黑" w:cs="微软雅黑"/>
                <w:color w:val="auto"/>
                <w:sz w:val="16"/>
                <w:szCs w:val="16"/>
                <w:highlight w:val="none"/>
                <w:lang w:bidi="ar"/>
              </w:rPr>
            </w:pPr>
            <w:r>
              <w:rPr>
                <w:rFonts w:hint="eastAsia" w:ascii="微软雅黑" w:hAnsi="微软雅黑" w:eastAsia="微软雅黑" w:cs="微软雅黑"/>
                <w:color w:val="auto"/>
                <w:sz w:val="16"/>
                <w:szCs w:val="16"/>
                <w:highlight w:val="none"/>
                <w:lang w:bidi="ar"/>
              </w:rPr>
              <w:t>2.技术要求满足或高于智能硬件中智能电表技术要求；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4</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智能有线冷水表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DN20</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2.技术要求满足或高于智能硬件中智能有线水表技术要求；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5</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智能有线冷水表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DN32</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2.技术要求满足或高于智能硬件中智能有线水表技术要求；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6</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智能有线冷水表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DN50</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2.技术要求满足或高于智能硬件中智能有线水表技术要求；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7</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智能有线热水表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DN15</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2.技术要求满足或高于智能硬件中智能有线水表技术要求；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8</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无线NB热水表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DN15</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2.技术要求满足或高于智能硬件中智能无线水表技术要求；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9</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无线NB冷水表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DN20</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1.水平安装。</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2.技术要求满足或高于智能硬件中智能无线水表技术要求；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10</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水表集中器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1.技术要求满足或高于智能硬件中相关集中器技术要求；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11</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电表集中器</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w:t>
            </w:r>
          </w:p>
        </w:tc>
        <w:tc>
          <w:tcPr>
            <w:tcW w:w="1602" w:type="pct"/>
            <w:shd w:val="clear" w:color="auto" w:fill="FFFFFF"/>
            <w:noWrap/>
            <w:vAlign w:val="center"/>
          </w:tcPr>
          <w:p>
            <w:pP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1.技术要求满足或高于智能硬件中相关集中器技术要求；</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12</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系统部署</w:t>
            </w:r>
          </w:p>
        </w:tc>
        <w:tc>
          <w:tcPr>
            <w:tcW w:w="1214"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云端通讯</w:t>
            </w:r>
          </w:p>
        </w:tc>
        <w:tc>
          <w:tcPr>
            <w:tcW w:w="1602" w:type="pct"/>
            <w:shd w:val="clear" w:color="auto" w:fill="FFFFFF"/>
            <w:noWrap/>
            <w:vAlign w:val="center"/>
          </w:tcPr>
          <w:p>
            <w:pPr>
              <w:ind w:firstLine="800" w:firstLineChars="500"/>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项目内容分配</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13</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vMerge w:val="restar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数据采集</w:t>
            </w:r>
          </w:p>
        </w:tc>
        <w:tc>
          <w:tcPr>
            <w:tcW w:w="1214"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三相电力监测仪                                     3*1.5（6）A  3*220/380V</w:t>
            </w:r>
          </w:p>
        </w:tc>
        <w:tc>
          <w:tcPr>
            <w:tcW w:w="1602" w:type="pct"/>
            <w:shd w:val="clear" w:color="auto" w:fill="FFFFFF"/>
            <w:noWrap/>
            <w:vAlign w:val="center"/>
          </w:tcPr>
          <w:p>
            <w:pPr>
              <w:jc w:val="cente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集成现场所有具备通讯接口三相电力仪表，系统集成计量收费、能耗监测板块功能；</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14</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vMerge w:val="continue"/>
            <w:shd w:val="clear" w:color="auto" w:fill="FFFFFF"/>
            <w:vAlign w:val="center"/>
          </w:tcPr>
          <w:p>
            <w:pPr>
              <w:jc w:val="center"/>
              <w:rPr>
                <w:rFonts w:ascii="微软雅黑" w:hAnsi="微软雅黑" w:eastAsia="微软雅黑" w:cs="微软雅黑"/>
                <w:color w:val="auto"/>
                <w:sz w:val="18"/>
                <w:szCs w:val="18"/>
                <w:highlight w:val="none"/>
              </w:rPr>
            </w:pPr>
          </w:p>
        </w:tc>
        <w:tc>
          <w:tcPr>
            <w:tcW w:w="1214"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单相导轨表2P</w:t>
            </w:r>
          </w:p>
        </w:tc>
        <w:tc>
          <w:tcPr>
            <w:tcW w:w="1602" w:type="pct"/>
            <w:shd w:val="clear" w:color="auto" w:fill="FFFFFF"/>
            <w:noWrap/>
            <w:vAlign w:val="center"/>
          </w:tcPr>
          <w:p>
            <w:pPr>
              <w:jc w:val="cente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集成现场具备通讯接口智能导轨表，系统集成计量收费、能耗监测板块功能；</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15</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系统调试</w:t>
            </w:r>
          </w:p>
        </w:tc>
        <w:tc>
          <w:tcPr>
            <w:tcW w:w="1214" w:type="pct"/>
            <w:shd w:val="clear" w:color="auto" w:fill="FFFFFF"/>
            <w:noWrap/>
            <w:vAlign w:val="center"/>
          </w:tcPr>
          <w:p>
            <w:pPr>
              <w:jc w:val="center"/>
              <w:rPr>
                <w:rFonts w:ascii="微软雅黑" w:hAnsi="微软雅黑" w:eastAsia="微软雅黑" w:cs="微软雅黑"/>
                <w:b/>
                <w:bCs/>
                <w:color w:val="auto"/>
                <w:sz w:val="18"/>
                <w:szCs w:val="18"/>
                <w:highlight w:val="none"/>
              </w:rPr>
            </w:pPr>
            <w:r>
              <w:rPr>
                <w:rFonts w:hint="eastAsia" w:ascii="微软雅黑" w:hAnsi="微软雅黑" w:eastAsia="微软雅黑" w:cs="微软雅黑"/>
                <w:color w:val="auto"/>
                <w:sz w:val="18"/>
                <w:szCs w:val="18"/>
                <w:highlight w:val="none"/>
              </w:rPr>
              <w:t>/</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系统部署，现场勘测，档案建立，计量设备调试上线，培训指导操作</w:t>
            </w:r>
          </w:p>
        </w:tc>
        <w:tc>
          <w:tcPr>
            <w:tcW w:w="427" w:type="pct"/>
            <w:shd w:val="clear" w:color="auto" w:fill="FFFFFF"/>
            <w:noWrap/>
            <w:vAlign w:val="center"/>
          </w:tcPr>
          <w:p>
            <w:pPr>
              <w:jc w:val="center"/>
              <w:textAlignment w:val="center"/>
              <w:rPr>
                <w:rFonts w:ascii="微软雅黑" w:hAnsi="微软雅黑" w:eastAsia="微软雅黑" w:cs="微软雅黑"/>
                <w:b/>
                <w:bCs/>
                <w:color w:val="auto"/>
                <w:sz w:val="18"/>
                <w:szCs w:val="18"/>
                <w:highlight w:val="none"/>
              </w:rPr>
            </w:pPr>
            <w:r>
              <w:rPr>
                <w:rFonts w:hint="eastAsia" w:ascii="微软雅黑" w:hAnsi="微软雅黑" w:eastAsia="微软雅黑" w:cs="微软雅黑"/>
                <w:color w:val="auto"/>
                <w:sz w:val="18"/>
                <w:szCs w:val="18"/>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16</w:t>
            </w:r>
          </w:p>
        </w:tc>
        <w:tc>
          <w:tcPr>
            <w:tcW w:w="514" w:type="pct"/>
            <w:vMerge w:val="continue"/>
            <w:shd w:val="clear" w:color="auto" w:fill="FFFFFF"/>
            <w:vAlign w:val="center"/>
          </w:tcPr>
          <w:p>
            <w:pPr>
              <w:jc w:val="center"/>
              <w:rPr>
                <w:rFonts w:ascii="微软雅黑" w:hAnsi="微软雅黑" w:eastAsia="微软雅黑" w:cs="微软雅黑"/>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 xml:space="preserve">软硬件整体运维 </w:t>
            </w:r>
          </w:p>
        </w:tc>
        <w:tc>
          <w:tcPr>
            <w:tcW w:w="1214" w:type="pct"/>
            <w:shd w:val="clear" w:color="auto" w:fill="FFFFFF"/>
            <w:noWrap/>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 xml:space="preserve">1）整体系统运维托管：包含软件维护、升级、硬件、物联网通讯运维服务。 </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 xml:space="preserve">2）硬件保障：具体为排查异常水、电表，异常水表电表有偿维修，及时处理水电表故障及线上问题，并及时反馈业主方，提交处理建议。 </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 xml:space="preserve">3）系统运维：每季度系统巡检不低于 2 次（客户巡检表审核签订为准），提交系统运行报告。 </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lang w:bidi="ar"/>
              </w:rPr>
            </w:pPr>
            <w:r>
              <w:rPr>
                <w:rFonts w:hint="eastAsia" w:hAnsi="宋体"/>
                <w:color w:val="auto"/>
                <w:sz w:val="18"/>
                <w:szCs w:val="18"/>
                <w:highlight w:val="none"/>
                <w:lang w:bidi="ar"/>
              </w:rPr>
              <w:t>17</w:t>
            </w:r>
          </w:p>
          <w:p>
            <w:pPr>
              <w:jc w:val="center"/>
              <w:textAlignment w:val="center"/>
              <w:rPr>
                <w:rFonts w:hAnsi="宋体"/>
                <w:color w:val="auto"/>
                <w:sz w:val="18"/>
                <w:szCs w:val="18"/>
                <w:highlight w:val="none"/>
              </w:rPr>
            </w:pPr>
          </w:p>
        </w:tc>
        <w:tc>
          <w:tcPr>
            <w:tcW w:w="514" w:type="pct"/>
            <w:vMerge w:val="restart"/>
            <w:shd w:val="clear" w:color="auto" w:fill="FFFFFF"/>
            <w:vAlign w:val="center"/>
          </w:tcPr>
          <w:p>
            <w:pPr>
              <w:jc w:val="center"/>
              <w:textAlignment w:val="center"/>
              <w:rPr>
                <w:rFonts w:ascii="微软雅黑" w:hAnsi="微软雅黑" w:eastAsia="微软雅黑" w:cs="微软雅黑"/>
                <w:b/>
                <w:bCs/>
                <w:color w:val="auto"/>
                <w:sz w:val="16"/>
                <w:szCs w:val="16"/>
                <w:highlight w:val="none"/>
              </w:rPr>
            </w:pPr>
            <w:r>
              <w:rPr>
                <w:rFonts w:hint="eastAsia" w:ascii="微软雅黑" w:hAnsi="微软雅黑" w:eastAsia="微软雅黑" w:cs="微软雅黑"/>
                <w:b/>
                <w:bCs/>
                <w:color w:val="auto"/>
                <w:sz w:val="16"/>
                <w:szCs w:val="16"/>
                <w:highlight w:val="none"/>
              </w:rPr>
              <w:t>操作平台</w:t>
            </w: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lang w:bidi="ar"/>
              </w:rPr>
            </w:pPr>
            <w:r>
              <w:rPr>
                <w:rFonts w:hint="eastAsia" w:ascii="微软雅黑" w:hAnsi="微软雅黑" w:eastAsia="微软雅黑" w:cs="微软雅黑"/>
                <w:color w:val="auto"/>
                <w:sz w:val="18"/>
                <w:szCs w:val="18"/>
                <w:highlight w:val="none"/>
                <w:lang w:bidi="ar"/>
              </w:rPr>
              <w:t>水电集抄收费系统</w:t>
            </w:r>
          </w:p>
        </w:tc>
        <w:tc>
          <w:tcPr>
            <w:tcW w:w="1214" w:type="pct"/>
            <w:shd w:val="clear" w:color="auto" w:fill="FFFFFF"/>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lang w:val="zh-CN"/>
              </w:rPr>
            </w:pPr>
            <w:r>
              <w:rPr>
                <w:rFonts w:hint="eastAsia" w:ascii="微软雅黑" w:hAnsi="微软雅黑" w:eastAsia="微软雅黑" w:cs="微软雅黑"/>
                <w:color w:val="auto"/>
                <w:sz w:val="16"/>
                <w:szCs w:val="16"/>
                <w:highlight w:val="none"/>
                <w:lang w:val="zh-CN"/>
              </w:rPr>
              <w:t>功能主要包括：领导视窗、收费管理、</w:t>
            </w:r>
            <w:r>
              <w:rPr>
                <w:rFonts w:hint="eastAsia" w:ascii="微软雅黑" w:hAnsi="微软雅黑" w:eastAsia="微软雅黑" w:cs="微软雅黑"/>
                <w:color w:val="auto"/>
                <w:sz w:val="16"/>
                <w:szCs w:val="16"/>
                <w:highlight w:val="none"/>
              </w:rPr>
              <w:t>能源管理</w:t>
            </w:r>
            <w:r>
              <w:rPr>
                <w:rFonts w:hint="eastAsia" w:ascii="微软雅黑" w:hAnsi="微软雅黑" w:eastAsia="微软雅黑" w:cs="微软雅黑"/>
                <w:color w:val="auto"/>
                <w:sz w:val="16"/>
                <w:szCs w:val="16"/>
                <w:highlight w:val="none"/>
                <w:lang w:val="zh-CN"/>
              </w:rPr>
              <w:t>、用电</w:t>
            </w:r>
            <w:r>
              <w:rPr>
                <w:rFonts w:hint="eastAsia" w:ascii="微软雅黑" w:hAnsi="微软雅黑" w:eastAsia="微软雅黑" w:cs="微软雅黑"/>
                <w:color w:val="auto"/>
                <w:sz w:val="16"/>
                <w:szCs w:val="16"/>
                <w:highlight w:val="none"/>
              </w:rPr>
              <w:t>安全</w:t>
            </w:r>
            <w:r>
              <w:rPr>
                <w:rFonts w:hint="eastAsia" w:ascii="微软雅黑" w:hAnsi="微软雅黑" w:eastAsia="微软雅黑" w:cs="微软雅黑"/>
                <w:color w:val="auto"/>
                <w:sz w:val="16"/>
                <w:szCs w:val="16"/>
                <w:highlight w:val="none"/>
                <w:lang w:val="zh-CN"/>
              </w:rPr>
              <w:t>、</w:t>
            </w:r>
            <w:r>
              <w:rPr>
                <w:rFonts w:hint="eastAsia" w:ascii="微软雅黑" w:hAnsi="微软雅黑" w:eastAsia="微软雅黑" w:cs="微软雅黑"/>
                <w:color w:val="auto"/>
                <w:sz w:val="16"/>
                <w:szCs w:val="16"/>
                <w:highlight w:val="none"/>
              </w:rPr>
              <w:t>配电监控</w:t>
            </w:r>
            <w:r>
              <w:rPr>
                <w:rFonts w:hint="eastAsia" w:ascii="微软雅黑" w:hAnsi="微软雅黑" w:eastAsia="微软雅黑" w:cs="微软雅黑"/>
                <w:color w:val="auto"/>
                <w:sz w:val="16"/>
                <w:szCs w:val="16"/>
                <w:highlight w:val="none"/>
                <w:lang w:val="zh-CN"/>
              </w:rPr>
              <w:t>等。事件记录、日志查询、用户管理、参数设置等：</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w:t>
            </w:r>
            <w:r>
              <w:rPr>
                <w:rFonts w:hint="eastAsia" w:ascii="微软雅黑" w:hAnsi="微软雅黑" w:eastAsia="微软雅黑" w:cs="微软雅黑"/>
                <w:color w:val="auto"/>
                <w:sz w:val="16"/>
                <w:szCs w:val="16"/>
                <w:highlight w:val="none"/>
                <w:lang w:val="zh-CN"/>
              </w:rPr>
              <w:t>、</w:t>
            </w:r>
            <w:r>
              <w:rPr>
                <w:rFonts w:hint="eastAsia" w:ascii="微软雅黑" w:hAnsi="微软雅黑" w:eastAsia="微软雅黑" w:cs="微软雅黑"/>
                <w:color w:val="auto"/>
                <w:sz w:val="16"/>
                <w:szCs w:val="16"/>
                <w:highlight w:val="none"/>
              </w:rPr>
              <w:t>数据采集功能：能够自动采集所需要数据和上报；</w:t>
            </w:r>
          </w:p>
          <w:p>
            <w:pPr>
              <w:textAlignment w:val="center"/>
              <w:rPr>
                <w:rFonts w:ascii="微软雅黑" w:hAnsi="微软雅黑" w:eastAsia="微软雅黑" w:cs="微软雅黑"/>
                <w:color w:val="auto"/>
                <w:sz w:val="16"/>
                <w:szCs w:val="16"/>
                <w:highlight w:val="none"/>
                <w:lang w:val="zh-CN"/>
              </w:rPr>
            </w:pPr>
            <w:r>
              <w:rPr>
                <w:rFonts w:hint="eastAsia" w:ascii="微软雅黑" w:hAnsi="微软雅黑" w:eastAsia="微软雅黑" w:cs="微软雅黑"/>
                <w:color w:val="auto"/>
                <w:sz w:val="16"/>
                <w:szCs w:val="16"/>
                <w:highlight w:val="none"/>
              </w:rPr>
              <w:t>2</w:t>
            </w:r>
            <w:r>
              <w:rPr>
                <w:rFonts w:hint="eastAsia" w:ascii="微软雅黑" w:hAnsi="微软雅黑" w:eastAsia="微软雅黑" w:cs="微软雅黑"/>
                <w:color w:val="auto"/>
                <w:sz w:val="16"/>
                <w:szCs w:val="16"/>
                <w:highlight w:val="none"/>
                <w:lang w:val="zh-CN"/>
              </w:rPr>
              <w:t>、数据冻结功能：</w:t>
            </w:r>
            <w:r>
              <w:rPr>
                <w:rFonts w:hint="eastAsia" w:ascii="微软雅黑" w:hAnsi="微软雅黑" w:eastAsia="微软雅黑" w:cs="微软雅黑"/>
                <w:color w:val="auto"/>
                <w:sz w:val="16"/>
                <w:szCs w:val="16"/>
                <w:highlight w:val="none"/>
              </w:rPr>
              <w:t>智能电表可以冻结数据，采集设备和系统能够保存主要数据；</w:t>
            </w:r>
          </w:p>
          <w:p>
            <w:pPr>
              <w:textAlignment w:val="center"/>
              <w:rPr>
                <w:rFonts w:ascii="微软雅黑" w:hAnsi="微软雅黑" w:eastAsia="微软雅黑" w:cs="微软雅黑"/>
                <w:color w:val="auto"/>
                <w:sz w:val="16"/>
                <w:szCs w:val="16"/>
                <w:highlight w:val="none"/>
                <w:lang w:val="zh-CN"/>
              </w:rPr>
            </w:pPr>
            <w:r>
              <w:rPr>
                <w:rFonts w:hint="eastAsia" w:ascii="微软雅黑" w:hAnsi="微软雅黑" w:eastAsia="微软雅黑" w:cs="微软雅黑"/>
                <w:color w:val="auto"/>
                <w:sz w:val="16"/>
                <w:szCs w:val="16"/>
                <w:highlight w:val="none"/>
                <w:lang w:val="zh-CN"/>
              </w:rPr>
              <w:t>3、权限设置功能；</w:t>
            </w:r>
          </w:p>
          <w:p>
            <w:pPr>
              <w:textAlignment w:val="center"/>
              <w:rPr>
                <w:rFonts w:ascii="微软雅黑" w:hAnsi="微软雅黑" w:eastAsia="微软雅黑" w:cs="微软雅黑"/>
                <w:color w:val="auto"/>
                <w:sz w:val="16"/>
                <w:szCs w:val="16"/>
                <w:highlight w:val="none"/>
                <w:lang w:val="zh-CN"/>
              </w:rPr>
            </w:pPr>
            <w:r>
              <w:rPr>
                <w:rFonts w:hint="eastAsia" w:ascii="微软雅黑" w:hAnsi="微软雅黑" w:eastAsia="微软雅黑" w:cs="微软雅黑"/>
                <w:color w:val="auto"/>
                <w:sz w:val="16"/>
                <w:szCs w:val="16"/>
                <w:highlight w:val="none"/>
                <w:lang w:val="zh-CN"/>
              </w:rPr>
              <w:t>4、报警功能；</w:t>
            </w:r>
          </w:p>
          <w:p>
            <w:pPr>
              <w:textAlignment w:val="center"/>
              <w:rPr>
                <w:rFonts w:ascii="微软雅黑" w:hAnsi="微软雅黑" w:eastAsia="微软雅黑" w:cs="微软雅黑"/>
                <w:color w:val="auto"/>
                <w:sz w:val="16"/>
                <w:szCs w:val="16"/>
                <w:highlight w:val="none"/>
                <w:lang w:val="zh-CN"/>
              </w:rPr>
            </w:pPr>
            <w:r>
              <w:rPr>
                <w:rFonts w:hint="eastAsia" w:ascii="微软雅黑" w:hAnsi="微软雅黑" w:eastAsia="微软雅黑" w:cs="微软雅黑"/>
                <w:color w:val="auto"/>
                <w:sz w:val="16"/>
                <w:szCs w:val="16"/>
                <w:highlight w:val="none"/>
                <w:lang w:val="zh-CN"/>
              </w:rPr>
              <w:t>5、</w:t>
            </w:r>
            <w:r>
              <w:rPr>
                <w:rFonts w:hint="eastAsia" w:ascii="微软雅黑" w:hAnsi="微软雅黑" w:eastAsia="微软雅黑" w:cs="微软雅黑"/>
                <w:color w:val="auto"/>
                <w:sz w:val="16"/>
                <w:szCs w:val="16"/>
                <w:highlight w:val="none"/>
              </w:rPr>
              <w:t>缴费及查询功能；</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6、通知告知功能；</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7、欠费停用功能平台；</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8、用户绑定；</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9、管理员账号权限要求；</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10、报表统计要求；</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11、资产统计要求；</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12、紧急保电功能</w:t>
            </w:r>
          </w:p>
          <w:p>
            <w:pPr>
              <w:textAlignment w:val="center"/>
              <w:rPr>
                <w:color w:val="auto"/>
                <w:highlight w:val="none"/>
              </w:rPr>
            </w:pPr>
            <w:r>
              <w:rPr>
                <w:rFonts w:hint="eastAsia" w:ascii="微软雅黑" w:hAnsi="微软雅黑" w:eastAsia="微软雅黑" w:cs="微软雅黑"/>
                <w:color w:val="auto"/>
                <w:sz w:val="16"/>
                <w:szCs w:val="16"/>
                <w:highlight w:val="none"/>
              </w:rPr>
              <w:t>13、移动端微信公众号+小程序功能：绑定房间、户号、设备可以查询支付水电费用，可提交物业杂费，可进行报修；</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3" w:type="pct"/>
            <w:shd w:val="clear" w:color="auto" w:fill="FFFFFF"/>
            <w:noWrap/>
            <w:vAlign w:val="center"/>
          </w:tcPr>
          <w:p>
            <w:pPr>
              <w:jc w:val="center"/>
              <w:textAlignment w:val="center"/>
              <w:rPr>
                <w:rFonts w:hAnsi="宋体"/>
                <w:color w:val="auto"/>
                <w:sz w:val="18"/>
                <w:szCs w:val="18"/>
                <w:highlight w:val="none"/>
              </w:rPr>
            </w:pPr>
            <w:r>
              <w:rPr>
                <w:rFonts w:hint="eastAsia" w:hAnsi="宋体"/>
                <w:color w:val="auto"/>
                <w:sz w:val="18"/>
                <w:szCs w:val="18"/>
                <w:highlight w:val="none"/>
                <w:lang w:bidi="ar"/>
              </w:rPr>
              <w:t>18</w:t>
            </w:r>
          </w:p>
        </w:tc>
        <w:tc>
          <w:tcPr>
            <w:tcW w:w="514" w:type="pct"/>
            <w:vMerge w:val="continue"/>
            <w:shd w:val="clear" w:color="auto" w:fill="FFFFFF"/>
            <w:vAlign w:val="center"/>
          </w:tcPr>
          <w:p>
            <w:pPr>
              <w:jc w:val="center"/>
              <w:rPr>
                <w:rFonts w:ascii="微软雅黑" w:hAnsi="微软雅黑" w:eastAsia="微软雅黑" w:cs="微软雅黑"/>
                <w:b/>
                <w:bCs/>
                <w:color w:val="auto"/>
                <w:sz w:val="16"/>
                <w:szCs w:val="16"/>
                <w:highlight w:val="none"/>
              </w:rPr>
            </w:pPr>
          </w:p>
        </w:tc>
        <w:tc>
          <w:tcPr>
            <w:tcW w:w="947" w:type="pct"/>
            <w:shd w:val="clear" w:color="auto" w:fill="FFFFFF"/>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系统工作站</w:t>
            </w:r>
          </w:p>
        </w:tc>
        <w:tc>
          <w:tcPr>
            <w:tcW w:w="1214" w:type="pct"/>
            <w:shd w:val="clear" w:color="auto" w:fill="FFFFFF"/>
            <w:noWrap/>
            <w:vAlign w:val="center"/>
          </w:tcPr>
          <w:p>
            <w:pPr>
              <w:jc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rPr>
              <w:t>/</w:t>
            </w:r>
          </w:p>
        </w:tc>
        <w:tc>
          <w:tcPr>
            <w:tcW w:w="1602" w:type="pct"/>
            <w:shd w:val="clear" w:color="auto" w:fill="FFFFFF"/>
            <w:noWrap/>
            <w:vAlign w:val="center"/>
          </w:tcPr>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1、产品形态：2U机架式，带安装轨；</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2、CPU：配置1颗CPU，单颗CPU主频≥2.1GHz，单颗CPU核数≥8核；</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3、内存：≥16个内存插槽，配置16GB DDR4内存；</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4、硬盘：4TB SATA HDD；</w:t>
            </w:r>
          </w:p>
          <w:p>
            <w:pPr>
              <w:textAlignment w:val="center"/>
              <w:rPr>
                <w:rFonts w:ascii="微软雅黑" w:hAnsi="微软雅黑" w:eastAsia="微软雅黑" w:cs="微软雅黑"/>
                <w:color w:val="auto"/>
                <w:sz w:val="16"/>
                <w:szCs w:val="16"/>
                <w:highlight w:val="none"/>
              </w:rPr>
            </w:pPr>
            <w:r>
              <w:rPr>
                <w:rFonts w:hint="eastAsia" w:ascii="微软雅黑" w:hAnsi="微软雅黑" w:eastAsia="微软雅黑" w:cs="微软雅黑"/>
                <w:color w:val="auto"/>
                <w:sz w:val="16"/>
                <w:szCs w:val="16"/>
                <w:highlight w:val="none"/>
              </w:rPr>
              <w:t>5、网卡配置：4个千兆电口；</w:t>
            </w:r>
          </w:p>
          <w:p>
            <w:pP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6"/>
                <w:szCs w:val="16"/>
                <w:highlight w:val="none"/>
              </w:rPr>
              <w:t>6、电源、风扇：≥2个冗余电源；</w:t>
            </w:r>
          </w:p>
        </w:tc>
        <w:tc>
          <w:tcPr>
            <w:tcW w:w="427" w:type="pct"/>
            <w:shd w:val="clear" w:color="auto" w:fill="FFFFFF"/>
            <w:noWrap/>
            <w:vAlign w:val="center"/>
          </w:tcPr>
          <w:p>
            <w:pPr>
              <w:jc w:val="center"/>
              <w:textAlignment w:val="center"/>
              <w:rPr>
                <w:rFonts w:ascii="微软雅黑" w:hAnsi="微软雅黑" w:eastAsia="微软雅黑" w:cs="微软雅黑"/>
                <w:color w:val="auto"/>
                <w:sz w:val="18"/>
                <w:szCs w:val="18"/>
                <w:highlight w:val="none"/>
              </w:rPr>
            </w:pPr>
            <w:r>
              <w:rPr>
                <w:rFonts w:hint="eastAsia" w:ascii="微软雅黑" w:hAnsi="微软雅黑" w:eastAsia="微软雅黑" w:cs="微软雅黑"/>
                <w:color w:val="auto"/>
                <w:sz w:val="18"/>
                <w:szCs w:val="18"/>
                <w:highlight w:val="none"/>
                <w:lang w:bidi="ar"/>
              </w:rPr>
              <w:t>台</w:t>
            </w:r>
          </w:p>
        </w:tc>
      </w:tr>
    </w:tbl>
    <w:p>
      <w:pPr>
        <w:spacing w:line="560" w:lineRule="exact"/>
        <w:ind w:left="397"/>
        <w:rPr>
          <w:rFonts w:hAnsi="宋体"/>
          <w:color w:val="auto"/>
          <w:sz w:val="21"/>
          <w:szCs w:val="21"/>
          <w:highlight w:val="none"/>
        </w:rPr>
      </w:pPr>
    </w:p>
    <w:p>
      <w:pPr>
        <w:pStyle w:val="3"/>
        <w:ind w:firstLine="422" w:firstLineChars="200"/>
        <w:rPr>
          <w:b/>
          <w:bCs/>
          <w:color w:val="auto"/>
          <w:szCs w:val="21"/>
          <w:highlight w:val="none"/>
        </w:rPr>
      </w:pPr>
    </w:p>
    <w:p>
      <w:pPr>
        <w:pStyle w:val="3"/>
        <w:ind w:firstLine="422" w:firstLineChars="200"/>
        <w:rPr>
          <w:color w:val="auto"/>
          <w:highlight w:val="none"/>
        </w:rPr>
      </w:pPr>
      <w:r>
        <w:rPr>
          <w:rFonts w:hint="eastAsia"/>
          <w:b/>
          <w:bCs/>
          <w:color w:val="auto"/>
          <w:szCs w:val="21"/>
          <w:highlight w:val="none"/>
        </w:rPr>
        <w:t>1.4</w:t>
      </w:r>
      <w:r>
        <w:rPr>
          <w:rFonts w:hint="eastAsia"/>
          <w:color w:val="auto"/>
          <w:szCs w:val="21"/>
          <w:highlight w:val="none"/>
        </w:rPr>
        <w:t>本合同含税总价为¥</w:t>
      </w:r>
      <w:r>
        <w:rPr>
          <w:rFonts w:hint="eastAsia"/>
          <w:color w:val="auto"/>
          <w:szCs w:val="21"/>
          <w:highlight w:val="none"/>
          <w:u w:val="single"/>
        </w:rPr>
        <w:t xml:space="preserve">        </w:t>
      </w:r>
      <w:r>
        <w:rPr>
          <w:rFonts w:hint="eastAsia"/>
          <w:color w:val="auto"/>
          <w:szCs w:val="21"/>
          <w:highlight w:val="none"/>
        </w:rPr>
        <w:t>元（人民币</w:t>
      </w:r>
      <w:r>
        <w:rPr>
          <w:rFonts w:hint="eastAsia"/>
          <w:color w:val="auto"/>
          <w:szCs w:val="21"/>
          <w:highlight w:val="none"/>
          <w:u w:val="single"/>
        </w:rPr>
        <w:t xml:space="preserve">      </w:t>
      </w:r>
      <w:r>
        <w:rPr>
          <w:rFonts w:hint="eastAsia"/>
          <w:color w:val="auto"/>
          <w:szCs w:val="21"/>
          <w:highlight w:val="none"/>
        </w:rPr>
        <w:t>元），其中：增值税税率为</w:t>
      </w:r>
      <w:r>
        <w:rPr>
          <w:rFonts w:hint="eastAsia"/>
          <w:color w:val="auto"/>
          <w:szCs w:val="21"/>
          <w:highlight w:val="none"/>
          <w:u w:val="single"/>
        </w:rPr>
        <w:t xml:space="preserve">   </w:t>
      </w:r>
      <w:r>
        <w:rPr>
          <w:rFonts w:hint="eastAsia"/>
          <w:color w:val="auto"/>
          <w:szCs w:val="21"/>
          <w:highlight w:val="none"/>
        </w:rPr>
        <w:t>%，税金金额¥</w:t>
      </w:r>
      <w:r>
        <w:rPr>
          <w:rFonts w:hint="eastAsia"/>
          <w:color w:val="auto"/>
          <w:szCs w:val="21"/>
          <w:highlight w:val="none"/>
          <w:u w:val="single"/>
        </w:rPr>
        <w:t xml:space="preserve">        </w:t>
      </w:r>
      <w:r>
        <w:rPr>
          <w:rFonts w:hint="eastAsia"/>
          <w:color w:val="auto"/>
          <w:szCs w:val="21"/>
          <w:highlight w:val="none"/>
        </w:rPr>
        <w:t>元，不含税合同总价款为¥</w:t>
      </w:r>
      <w:r>
        <w:rPr>
          <w:rFonts w:hint="eastAsia"/>
          <w:color w:val="auto"/>
          <w:szCs w:val="21"/>
          <w:highlight w:val="none"/>
          <w:u w:val="single"/>
        </w:rPr>
        <w:t xml:space="preserve">        </w:t>
      </w:r>
      <w:r>
        <w:rPr>
          <w:rFonts w:hint="eastAsia"/>
          <w:color w:val="auto"/>
          <w:szCs w:val="21"/>
          <w:highlight w:val="none"/>
        </w:rPr>
        <w:t>元。</w:t>
      </w:r>
    </w:p>
    <w:p>
      <w:pPr>
        <w:pStyle w:val="144"/>
        <w:spacing w:line="360" w:lineRule="auto"/>
        <w:rPr>
          <w:rFonts w:ascii="宋体" w:hAnsi="宋体"/>
          <w:color w:val="auto"/>
          <w:szCs w:val="21"/>
          <w:highlight w:val="none"/>
        </w:rPr>
      </w:pPr>
      <w:r>
        <w:rPr>
          <w:rFonts w:hint="eastAsia"/>
          <w:color w:val="auto"/>
          <w:szCs w:val="21"/>
          <w:highlight w:val="none"/>
        </w:rPr>
        <w:t>本合同价为包干价，除约定内容外不可调整。总价包含</w:t>
      </w:r>
      <w:r>
        <w:rPr>
          <w:rFonts w:hint="eastAsia" w:ascii="宋体" w:hAnsi="宋体"/>
          <w:color w:val="auto"/>
          <w:szCs w:val="21"/>
          <w:highlight w:val="none"/>
        </w:rPr>
        <w:t>应包含</w:t>
      </w:r>
      <w:r>
        <w:rPr>
          <w:rFonts w:hint="eastAsia"/>
          <w:color w:val="auto"/>
          <w:szCs w:val="21"/>
          <w:highlight w:val="none"/>
        </w:rPr>
        <w:t>采购范围内</w:t>
      </w:r>
      <w:r>
        <w:rPr>
          <w:rFonts w:hint="eastAsia" w:ascii="宋体" w:hAnsi="宋体"/>
          <w:color w:val="auto"/>
          <w:szCs w:val="21"/>
          <w:highlight w:val="none"/>
        </w:rPr>
        <w:t>方案图纸及系统深化设计及其所需的货物及所需附件的购置费、采保费、运输费、安装、调试费、保险费、各种税费、检测费、售后服务费、</w:t>
      </w:r>
      <w:r>
        <w:rPr>
          <w:rFonts w:hint="eastAsia"/>
          <w:color w:val="auto"/>
          <w:szCs w:val="21"/>
          <w:highlight w:val="none"/>
        </w:rPr>
        <w:t>保修期间的费用、</w:t>
      </w:r>
      <w:r>
        <w:rPr>
          <w:rFonts w:hint="eastAsia" w:asciiTheme="minorEastAsia" w:hAnsiTheme="minorEastAsia" w:eastAsiaTheme="minorEastAsia" w:cstheme="minorEastAsia"/>
          <w:bCs/>
          <w:color w:val="auto"/>
          <w:szCs w:val="21"/>
          <w:highlight w:val="none"/>
        </w:rPr>
        <w:t>因安装或施工破坏需按原状恢复的费用，包含</w:t>
      </w:r>
      <w:r>
        <w:rPr>
          <w:rFonts w:hint="eastAsia" w:ascii="宋体" w:hAnsi="宋体"/>
          <w:color w:val="auto"/>
          <w:szCs w:val="21"/>
          <w:highlight w:val="none"/>
        </w:rPr>
        <w:t>合同实施过程中的应预见和不可预见等完成合同规定责任和义务、达到合同目的的一切费用。</w:t>
      </w:r>
    </w:p>
    <w:p>
      <w:pPr>
        <w:pStyle w:val="47"/>
        <w:spacing w:line="440" w:lineRule="exact"/>
        <w:ind w:firstLine="420" w:firstLineChars="200"/>
        <w:rPr>
          <w:color w:val="auto"/>
          <w:sz w:val="21"/>
          <w:szCs w:val="21"/>
          <w:highlight w:val="none"/>
        </w:rPr>
      </w:pPr>
      <w:r>
        <w:rPr>
          <w:rFonts w:hint="eastAsia"/>
          <w:color w:val="auto"/>
          <w:sz w:val="21"/>
          <w:szCs w:val="21"/>
          <w:highlight w:val="none"/>
        </w:rPr>
        <w:t>1.5货物清单及价格明细表。</w:t>
      </w:r>
    </w:p>
    <w:p>
      <w:pPr>
        <w:pStyle w:val="47"/>
        <w:spacing w:line="440" w:lineRule="exact"/>
        <w:ind w:firstLine="422" w:firstLineChars="200"/>
        <w:rPr>
          <w:b/>
          <w:color w:val="auto"/>
          <w:sz w:val="21"/>
          <w:szCs w:val="21"/>
          <w:highlight w:val="none"/>
        </w:rPr>
      </w:pPr>
      <w:r>
        <w:rPr>
          <w:rFonts w:hint="eastAsia"/>
          <w:b/>
          <w:color w:val="auto"/>
          <w:sz w:val="21"/>
          <w:szCs w:val="21"/>
          <w:highlight w:val="none"/>
        </w:rPr>
        <w:t>二、合同主要条款</w:t>
      </w:r>
    </w:p>
    <w:p>
      <w:pPr>
        <w:pStyle w:val="47"/>
        <w:spacing w:line="440" w:lineRule="exact"/>
        <w:ind w:firstLine="422" w:firstLineChars="200"/>
        <w:rPr>
          <w:b/>
          <w:bCs/>
          <w:color w:val="auto"/>
          <w:sz w:val="21"/>
          <w:szCs w:val="21"/>
          <w:highlight w:val="none"/>
        </w:rPr>
      </w:pPr>
      <w:r>
        <w:rPr>
          <w:rFonts w:hint="eastAsia"/>
          <w:b/>
          <w:bCs/>
          <w:color w:val="auto"/>
          <w:sz w:val="21"/>
          <w:szCs w:val="21"/>
          <w:highlight w:val="none"/>
        </w:rPr>
        <w:t>1.1本合同的付款方式：</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①乙方应在收到中标通知书之后签订合同前，向甲方提交金额为本合同总价</w:t>
      </w:r>
      <w:r>
        <w:rPr>
          <w:rFonts w:hAnsi="宋体"/>
          <w:color w:val="auto"/>
          <w:sz w:val="21"/>
          <w:szCs w:val="21"/>
          <w:highlight w:val="none"/>
        </w:rPr>
        <w:t>10%的不可撤销银行保函或履约保证金作为履行合同的担保，履约担保期限从合同签订之日起至项目交工验收合格并完成结算后，双方签字之日起7天内保持有效；</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②合同签订后且乙方提交符合甲方要求的请款报告及相关资料后7天内，支付至合同总额的20%；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③所有设备安装调试完成并经甲方书面确认调试合格的，乙方提交符合甲方要求的请款报告及相关资料后</w:t>
      </w:r>
      <w:r>
        <w:rPr>
          <w:rFonts w:hAnsi="宋体"/>
          <w:color w:val="auto"/>
          <w:sz w:val="21"/>
          <w:szCs w:val="21"/>
          <w:highlight w:val="none"/>
        </w:rPr>
        <w:t>7天内，支付至合同总额的80%；</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④</w:t>
      </w:r>
      <w:r>
        <w:rPr>
          <w:rFonts w:hAnsi="宋体"/>
          <w:color w:val="auto"/>
          <w:sz w:val="21"/>
          <w:szCs w:val="21"/>
          <w:highlight w:val="none"/>
        </w:rPr>
        <w:t>项目竣工验收合格并结算完成后，</w:t>
      </w:r>
      <w:r>
        <w:rPr>
          <w:rFonts w:hint="eastAsia" w:hAnsi="宋体"/>
          <w:color w:val="auto"/>
          <w:sz w:val="21"/>
          <w:szCs w:val="21"/>
          <w:highlight w:val="none"/>
        </w:rPr>
        <w:t>乙方</w:t>
      </w:r>
      <w:r>
        <w:rPr>
          <w:rFonts w:hAnsi="宋体"/>
          <w:color w:val="auto"/>
          <w:sz w:val="21"/>
          <w:szCs w:val="21"/>
          <w:highlight w:val="none"/>
        </w:rPr>
        <w:t>提交符合</w:t>
      </w:r>
      <w:r>
        <w:rPr>
          <w:rFonts w:hint="eastAsia" w:hAnsi="宋体"/>
          <w:color w:val="auto"/>
          <w:sz w:val="21"/>
          <w:szCs w:val="21"/>
          <w:highlight w:val="none"/>
        </w:rPr>
        <w:t>甲方</w:t>
      </w:r>
      <w:r>
        <w:rPr>
          <w:rFonts w:hAnsi="宋体"/>
          <w:color w:val="auto"/>
          <w:sz w:val="21"/>
          <w:szCs w:val="21"/>
          <w:highlight w:val="none"/>
        </w:rPr>
        <w:t>要求的请款报告及相关资料后7天内，支付至结算价的97%；</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⑤剩余结算价的</w:t>
      </w:r>
      <w:r>
        <w:rPr>
          <w:rFonts w:hAnsi="宋体"/>
          <w:color w:val="auto"/>
          <w:sz w:val="21"/>
          <w:szCs w:val="21"/>
          <w:highlight w:val="none"/>
        </w:rPr>
        <w:t>3%为项目质保金，自竣工验收合格之日起计满2年后，</w:t>
      </w:r>
      <w:r>
        <w:rPr>
          <w:rFonts w:hint="eastAsia" w:hAnsi="宋体"/>
          <w:color w:val="auto"/>
          <w:sz w:val="21"/>
          <w:szCs w:val="21"/>
          <w:highlight w:val="none"/>
        </w:rPr>
        <w:t>乙方</w:t>
      </w:r>
      <w:r>
        <w:rPr>
          <w:rFonts w:hAnsi="宋体"/>
          <w:color w:val="auto"/>
          <w:sz w:val="21"/>
          <w:szCs w:val="21"/>
          <w:highlight w:val="none"/>
        </w:rPr>
        <w:t>提交符合</w:t>
      </w:r>
      <w:r>
        <w:rPr>
          <w:rFonts w:hint="eastAsia" w:hAnsi="宋体"/>
          <w:color w:val="auto"/>
          <w:sz w:val="21"/>
          <w:szCs w:val="21"/>
          <w:highlight w:val="none"/>
        </w:rPr>
        <w:t>甲方</w:t>
      </w:r>
      <w:r>
        <w:rPr>
          <w:rFonts w:hAnsi="宋体"/>
          <w:color w:val="auto"/>
          <w:sz w:val="21"/>
          <w:szCs w:val="21"/>
          <w:highlight w:val="none"/>
        </w:rPr>
        <w:t>要求的请款报告及相关资料后7天内甲方一次性</w:t>
      </w:r>
      <w:r>
        <w:rPr>
          <w:rFonts w:hint="eastAsia" w:hAnsi="宋体"/>
          <w:color w:val="auto"/>
          <w:sz w:val="21"/>
          <w:szCs w:val="21"/>
          <w:highlight w:val="none"/>
        </w:rPr>
        <w:t>无息</w:t>
      </w:r>
      <w:r>
        <w:rPr>
          <w:rFonts w:hAnsi="宋体"/>
          <w:color w:val="auto"/>
          <w:sz w:val="21"/>
          <w:szCs w:val="21"/>
          <w:highlight w:val="none"/>
        </w:rPr>
        <w:t>付清。</w:t>
      </w:r>
    </w:p>
    <w:p>
      <w:pPr>
        <w:pStyle w:val="2"/>
        <w:snapToGrid w:val="0"/>
        <w:spacing w:line="360" w:lineRule="auto"/>
        <w:ind w:right="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乙方收款账户信息如下：</w:t>
      </w:r>
    </w:p>
    <w:p>
      <w:pPr>
        <w:pStyle w:val="2"/>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账户名：</w:t>
      </w:r>
    </w:p>
    <w:p>
      <w:pPr>
        <w:pStyle w:val="2"/>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账户号：</w:t>
      </w:r>
    </w:p>
    <w:p>
      <w:pPr>
        <w:pStyle w:val="2"/>
        <w:snapToGrid w:val="0"/>
        <w:spacing w:line="360" w:lineRule="auto"/>
        <w:ind w:right="0" w:firstLine="420" w:firstLineChars="200"/>
        <w:jc w:val="left"/>
        <w:rPr>
          <w:rFonts w:hAnsi="宋体"/>
          <w:b w:val="0"/>
          <w:bCs w:val="0"/>
          <w:color w:val="auto"/>
          <w:sz w:val="21"/>
          <w:szCs w:val="21"/>
          <w:highlight w:val="none"/>
          <w:lang w:val="en-US"/>
        </w:rPr>
      </w:pPr>
      <w:r>
        <w:rPr>
          <w:rFonts w:hint="eastAsia" w:hAnsi="宋体"/>
          <w:b w:val="0"/>
          <w:bCs w:val="0"/>
          <w:color w:val="auto"/>
          <w:sz w:val="21"/>
          <w:szCs w:val="21"/>
          <w:highlight w:val="none"/>
          <w:lang w:val="en-US"/>
        </w:rPr>
        <w:t>开户行：</w:t>
      </w:r>
    </w:p>
    <w:p>
      <w:pPr>
        <w:pStyle w:val="47"/>
        <w:spacing w:line="440" w:lineRule="exact"/>
        <w:ind w:firstLine="420" w:firstLineChars="200"/>
        <w:rPr>
          <w:color w:val="auto"/>
          <w:sz w:val="21"/>
          <w:szCs w:val="21"/>
          <w:highlight w:val="none"/>
        </w:rPr>
      </w:pPr>
      <w:r>
        <w:rPr>
          <w:rFonts w:hint="eastAsia"/>
          <w:color w:val="auto"/>
          <w:sz w:val="21"/>
          <w:szCs w:val="21"/>
          <w:highlight w:val="none"/>
        </w:rPr>
        <w:t>按照现行税收政策规定，每次付款前，乙方必须提供合法有效、与本合同总价款条款中增值税税率一致的增值税发票给甲方，且发票名称必需与甲方、乙方完全一致，否则甲方有权拒绝付款且不构成违约；在甲方除支付质保金外的最后一期款项前，乙方须连同当期支付款项发票和质保金发票一并提交给甲方；若后续出现质保问题，按照质保责任和条款，部分或全部扣除质保金的，不退还相应金额的发票。若合同执行期间，如遇国家的税率调整，按最新政策税率执行，结算时按不含税价*新税率调整。如果因乙方怠于或者拒绝提供资料或者办理手续等乙方原因导致的付款迟延，责任全部由乙方承担，甲方不以违约论。</w:t>
      </w:r>
    </w:p>
    <w:p>
      <w:pPr>
        <w:pStyle w:val="47"/>
        <w:spacing w:line="440" w:lineRule="exact"/>
        <w:ind w:firstLine="420" w:firstLineChars="200"/>
        <w:rPr>
          <w:color w:val="auto"/>
          <w:sz w:val="21"/>
          <w:szCs w:val="21"/>
          <w:highlight w:val="none"/>
        </w:rPr>
      </w:pPr>
      <w:r>
        <w:rPr>
          <w:rFonts w:hint="eastAsia"/>
          <w:color w:val="auto"/>
          <w:sz w:val="21"/>
          <w:szCs w:val="21"/>
          <w:highlight w:val="none"/>
        </w:rPr>
        <w:t>1.2本合同货物的交货时间为：</w:t>
      </w:r>
      <w:r>
        <w:rPr>
          <w:rFonts w:hint="eastAsia"/>
          <w:color w:val="auto"/>
          <w:sz w:val="21"/>
          <w:szCs w:val="21"/>
          <w:highlight w:val="none"/>
          <w:u w:val="single"/>
        </w:rPr>
        <w:t xml:space="preserve">  签订合同之日起30个工作日内完成供货、施工、安装调试及验收交付甲方使用 </w:t>
      </w:r>
      <w:r>
        <w:rPr>
          <w:rFonts w:hint="eastAsia"/>
          <w:color w:val="auto"/>
          <w:sz w:val="21"/>
          <w:szCs w:val="21"/>
          <w:highlight w:val="none"/>
        </w:rPr>
        <w:t>；交货地点为：</w:t>
      </w:r>
      <w:r>
        <w:rPr>
          <w:rFonts w:hint="eastAsia"/>
          <w:color w:val="auto"/>
          <w:sz w:val="21"/>
          <w:szCs w:val="21"/>
          <w:highlight w:val="none"/>
          <w:u w:val="single"/>
        </w:rPr>
        <w:t xml:space="preserve">  东莞市松山湖大学创新城   </w:t>
      </w:r>
      <w:r>
        <w:rPr>
          <w:rFonts w:hint="eastAsia"/>
          <w:color w:val="auto"/>
          <w:sz w:val="21"/>
          <w:szCs w:val="21"/>
          <w:highlight w:val="none"/>
        </w:rPr>
        <w:t>。</w:t>
      </w:r>
    </w:p>
    <w:p>
      <w:pPr>
        <w:pStyle w:val="47"/>
        <w:spacing w:line="440" w:lineRule="exact"/>
        <w:ind w:firstLine="420" w:firstLineChars="200"/>
        <w:rPr>
          <w:color w:val="auto"/>
          <w:sz w:val="21"/>
          <w:szCs w:val="21"/>
          <w:highlight w:val="none"/>
        </w:rPr>
      </w:pPr>
      <w:r>
        <w:rPr>
          <w:rFonts w:hint="eastAsia"/>
          <w:color w:val="auto"/>
          <w:sz w:val="21"/>
          <w:szCs w:val="21"/>
          <w:highlight w:val="none"/>
        </w:rPr>
        <w:t>1.3本合同货物的质保期为：</w:t>
      </w:r>
      <w:r>
        <w:rPr>
          <w:rFonts w:hint="eastAsia"/>
          <w:color w:val="auto"/>
          <w:sz w:val="21"/>
          <w:szCs w:val="21"/>
          <w:highlight w:val="none"/>
          <w:u w:val="single"/>
        </w:rPr>
        <w:t xml:space="preserve">  2年 （技术需求中个体设备有更高要求的，遵循更高要求）</w:t>
      </w:r>
      <w:r>
        <w:rPr>
          <w:rFonts w:hint="eastAsia"/>
          <w:color w:val="auto"/>
          <w:sz w:val="21"/>
          <w:szCs w:val="21"/>
          <w:highlight w:val="none"/>
        </w:rPr>
        <w:t>，自货物交付并经甲方验收合格之日起算。质量保修期内发生质量问题，全部由乙方负责包修或者包换，经维修仍无法正常运行的乙方应免费提供质量规格型号不低于原货物的产品进行替换，直至货物质量合格，正常运行。乙方怠于或拒绝履行的，甲方可委托第三方代为履行，发生的费用及损失由乙方承担。</w:t>
      </w:r>
    </w:p>
    <w:p>
      <w:pPr>
        <w:pStyle w:val="47"/>
        <w:spacing w:line="440" w:lineRule="exact"/>
        <w:ind w:firstLine="420" w:firstLineChars="200"/>
        <w:rPr>
          <w:color w:val="auto"/>
          <w:sz w:val="21"/>
          <w:szCs w:val="21"/>
          <w:highlight w:val="none"/>
        </w:rPr>
      </w:pPr>
      <w:r>
        <w:rPr>
          <w:rFonts w:hint="eastAsia"/>
          <w:color w:val="auto"/>
          <w:sz w:val="21"/>
          <w:szCs w:val="21"/>
          <w:highlight w:val="none"/>
        </w:rPr>
        <w:t>1.4具体质量保修服务要求及售后承诺：</w:t>
      </w:r>
      <w:r>
        <w:rPr>
          <w:rFonts w:hint="eastAsia"/>
          <w:color w:val="auto"/>
          <w:sz w:val="21"/>
          <w:szCs w:val="21"/>
          <w:highlight w:val="none"/>
          <w:u w:val="single"/>
        </w:rPr>
        <w:t xml:space="preserve">                       </w:t>
      </w:r>
      <w:r>
        <w:rPr>
          <w:rFonts w:hint="eastAsia"/>
          <w:color w:val="auto"/>
          <w:sz w:val="21"/>
          <w:szCs w:val="21"/>
          <w:highlight w:val="none"/>
        </w:rPr>
        <w:t>。</w:t>
      </w:r>
    </w:p>
    <w:p>
      <w:pPr>
        <w:pStyle w:val="2"/>
        <w:snapToGrid w:val="0"/>
        <w:spacing w:line="360" w:lineRule="auto"/>
        <w:ind w:right="0" w:firstLine="422" w:firstLineChars="200"/>
        <w:jc w:val="left"/>
        <w:rPr>
          <w:rFonts w:hAnsi="宋体"/>
          <w:b w:val="0"/>
          <w:bCs w:val="0"/>
          <w:color w:val="auto"/>
          <w:sz w:val="21"/>
          <w:szCs w:val="21"/>
          <w:highlight w:val="none"/>
          <w:lang w:val="en-US"/>
        </w:rPr>
      </w:pPr>
      <w:r>
        <w:rPr>
          <w:rFonts w:hint="eastAsia" w:hAnsi="宋体"/>
          <w:color w:val="auto"/>
          <w:sz w:val="21"/>
          <w:szCs w:val="21"/>
          <w:highlight w:val="none"/>
          <w:lang w:val="en-US"/>
        </w:rPr>
        <w:t>1.5质量保修金及支付方式：</w:t>
      </w:r>
      <w:r>
        <w:rPr>
          <w:rFonts w:hint="eastAsia" w:hAnsi="宋体"/>
          <w:b w:val="0"/>
          <w:bCs w:val="0"/>
          <w:color w:val="auto"/>
          <w:sz w:val="21"/>
          <w:szCs w:val="21"/>
          <w:highlight w:val="none"/>
          <w:lang w:val="en-US"/>
        </w:rPr>
        <w:t>结算价款的（3%）留作质量保修金。在乙方按本合同约定履行质量保修义务的前提下，甲方于全部货物验收合格之日起届满二年且收到乙方提交的下述质量保修保函之后，甲方将剩余的质量保修金无息退还给乙方。如乙方未按本合同约定履行质量保修义务的，甲方有权不予或推迟向乙方退还质量保修金。甲方向乙方退还质量保修金前，乙方须向甲方提交质量保修</w:t>
      </w:r>
      <w:r>
        <w:rPr>
          <w:rFonts w:hint="eastAsia" w:hAnsi="宋体"/>
          <w:b w:val="0"/>
          <w:bCs w:val="0"/>
          <w:color w:val="auto"/>
          <w:sz w:val="21"/>
          <w:szCs w:val="21"/>
          <w:highlight w:val="none"/>
          <w:lang w:val="en-US" w:eastAsia="zh-CN"/>
        </w:rPr>
        <w:t>承诺</w:t>
      </w:r>
      <w:r>
        <w:rPr>
          <w:rFonts w:hint="eastAsia" w:hAnsi="宋体"/>
          <w:b w:val="0"/>
          <w:bCs w:val="0"/>
          <w:color w:val="auto"/>
          <w:sz w:val="21"/>
          <w:szCs w:val="21"/>
          <w:highlight w:val="none"/>
          <w:lang w:val="en-US"/>
        </w:rPr>
        <w:t>函（如质保期短于两年（含），则无需提供质量保修</w:t>
      </w:r>
      <w:r>
        <w:rPr>
          <w:rFonts w:hint="eastAsia" w:hAnsi="宋体"/>
          <w:b w:val="0"/>
          <w:bCs w:val="0"/>
          <w:color w:val="auto"/>
          <w:sz w:val="21"/>
          <w:szCs w:val="21"/>
          <w:highlight w:val="none"/>
          <w:lang w:val="en-US" w:eastAsia="zh-CN"/>
        </w:rPr>
        <w:t>承诺</w:t>
      </w:r>
      <w:r>
        <w:rPr>
          <w:rFonts w:hint="eastAsia" w:hAnsi="宋体"/>
          <w:b w:val="0"/>
          <w:bCs w:val="0"/>
          <w:color w:val="auto"/>
          <w:sz w:val="21"/>
          <w:szCs w:val="21"/>
          <w:highlight w:val="none"/>
          <w:lang w:val="en-US"/>
        </w:rPr>
        <w:t>函）。该质量保修</w:t>
      </w:r>
      <w:r>
        <w:rPr>
          <w:rFonts w:hint="eastAsia" w:hAnsi="宋体"/>
          <w:b w:val="0"/>
          <w:bCs w:val="0"/>
          <w:color w:val="auto"/>
          <w:sz w:val="21"/>
          <w:szCs w:val="21"/>
          <w:highlight w:val="none"/>
          <w:lang w:val="en-US" w:eastAsia="zh-CN"/>
        </w:rPr>
        <w:t>承诺</w:t>
      </w:r>
      <w:r>
        <w:rPr>
          <w:rFonts w:hint="eastAsia" w:hAnsi="宋体"/>
          <w:b w:val="0"/>
          <w:bCs w:val="0"/>
          <w:color w:val="auto"/>
          <w:sz w:val="21"/>
          <w:szCs w:val="21"/>
          <w:highlight w:val="none"/>
          <w:lang w:val="en-US"/>
        </w:rPr>
        <w:t>函的有效期为全部货物安装验收合格届满二年之日起</w:t>
      </w:r>
      <w:r>
        <w:rPr>
          <w:rFonts w:hint="eastAsia" w:hAnsi="宋体"/>
          <w:b w:val="0"/>
          <w:bCs w:val="0"/>
          <w:color w:val="auto"/>
          <w:sz w:val="21"/>
          <w:szCs w:val="21"/>
          <w:highlight w:val="none"/>
          <w:u w:val="single"/>
          <w:lang w:val="en-US"/>
        </w:rPr>
        <w:t xml:space="preserve">   </w:t>
      </w:r>
      <w:r>
        <w:rPr>
          <w:rFonts w:hint="eastAsia" w:hAnsi="宋体"/>
          <w:b w:val="0"/>
          <w:bCs w:val="0"/>
          <w:color w:val="auto"/>
          <w:sz w:val="21"/>
          <w:szCs w:val="21"/>
          <w:highlight w:val="none"/>
          <w:lang w:val="en-US"/>
        </w:rPr>
        <w:t>年。</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1.6乙方在履行本合同过程中造成其人员或第三人人身、财产损害的，由其自行处理和承担赔偿责任，与甲方无关，乙方不得因此影响本合同的履行。</w:t>
      </w:r>
    </w:p>
    <w:p>
      <w:pPr>
        <w:pStyle w:val="47"/>
        <w:spacing w:line="440" w:lineRule="exact"/>
        <w:ind w:firstLine="420" w:firstLineChars="200"/>
        <w:rPr>
          <w:color w:val="auto"/>
          <w:sz w:val="21"/>
          <w:szCs w:val="21"/>
          <w:highlight w:val="none"/>
        </w:rPr>
      </w:pPr>
      <w:r>
        <w:rPr>
          <w:rFonts w:hint="eastAsia"/>
          <w:color w:val="auto"/>
          <w:sz w:val="21"/>
          <w:szCs w:val="21"/>
          <w:highlight w:val="none"/>
        </w:rPr>
        <w:t>1.7甲方根据项目要求增加其他必要条款：</w:t>
      </w:r>
      <w:r>
        <w:rPr>
          <w:rFonts w:hint="eastAsia"/>
          <w:color w:val="auto"/>
          <w:sz w:val="21"/>
          <w:szCs w:val="21"/>
          <w:highlight w:val="none"/>
          <w:u w:val="single"/>
        </w:rPr>
        <w:t xml:space="preserve">                </w:t>
      </w:r>
      <w:r>
        <w:rPr>
          <w:rFonts w:hint="eastAsia"/>
          <w:color w:val="auto"/>
          <w:sz w:val="21"/>
          <w:szCs w:val="21"/>
          <w:highlight w:val="none"/>
        </w:rPr>
        <w:t>。</w:t>
      </w:r>
    </w:p>
    <w:p>
      <w:pPr>
        <w:pStyle w:val="47"/>
        <w:spacing w:line="440" w:lineRule="exact"/>
        <w:ind w:firstLine="422" w:firstLineChars="200"/>
        <w:rPr>
          <w:b/>
          <w:color w:val="auto"/>
          <w:sz w:val="21"/>
          <w:szCs w:val="21"/>
          <w:highlight w:val="none"/>
        </w:rPr>
      </w:pPr>
      <w:r>
        <w:rPr>
          <w:rFonts w:hint="eastAsia"/>
          <w:b/>
          <w:color w:val="auto"/>
          <w:sz w:val="21"/>
          <w:szCs w:val="21"/>
          <w:highlight w:val="none"/>
        </w:rPr>
        <w:t xml:space="preserve">三、合同一般条款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 定义本合同中的下列术语应解释为：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1.1“合同”系指甲乙双方签署的、合同格式中载明的甲乙双方所达成的协议， 包括所有的附件、附录、和构成合同的其它文件。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1.2“合同价”系指根据合同约定，乙方在完全履行合同义务后甲方应付给乙方的价格。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1.3 “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1.4 “验收”系指合同双方依据强制性的国家技术质量规范和合同约定，确认合同项下的货物符合合同规定的活动。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2 技术规范 </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 xml:space="preserve">2.1 提交货物的技术规范应与采购文件规定的技术规范和其投标文件的技术规范相一致。若技术规范中无相应说明，则以国家有关部门最新颁布的相应标准及规范为准。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3 知识产权 </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 xml:space="preserve">3.1 乙方应保证甲方在使用该货物或其任何一部分时不受第三方提出的侵犯专利权、著作权、商标权和工业设计权等侵犯知识产权的起诉。如果任何第三方提出侵权指控，乙方须与第三方交涉并承担由此发生的一切责任、费用和经济赔偿，导致甲方不能使用成果的还应退还全部项目费用，并承担违约责任及赔偿因此给甲方造成的全部损失。 </w:t>
      </w:r>
    </w:p>
    <w:p>
      <w:pPr>
        <w:pStyle w:val="47"/>
        <w:spacing w:line="440" w:lineRule="exact"/>
        <w:ind w:firstLine="420" w:firstLineChars="200"/>
        <w:rPr>
          <w:color w:val="auto"/>
          <w:sz w:val="21"/>
          <w:szCs w:val="21"/>
          <w:highlight w:val="none"/>
        </w:rPr>
      </w:pPr>
      <w:r>
        <w:rPr>
          <w:rFonts w:hint="eastAsia"/>
          <w:color w:val="auto"/>
          <w:sz w:val="21"/>
          <w:szCs w:val="21"/>
          <w:highlight w:val="none"/>
        </w:rPr>
        <w:t>4 包装要求、</w:t>
      </w:r>
      <w:r>
        <w:rPr>
          <w:rFonts w:hint="eastAsia"/>
          <w:bCs/>
          <w:color w:val="auto"/>
          <w:sz w:val="21"/>
          <w:szCs w:val="21"/>
          <w:highlight w:val="none"/>
        </w:rPr>
        <w:t xml:space="preserve">安装、调试 </w:t>
      </w:r>
    </w:p>
    <w:p>
      <w:pPr>
        <w:pStyle w:val="47"/>
        <w:spacing w:line="440" w:lineRule="exact"/>
        <w:ind w:firstLine="420" w:firstLineChars="200"/>
        <w:rPr>
          <w:color w:val="auto"/>
          <w:sz w:val="21"/>
          <w:szCs w:val="21"/>
          <w:highlight w:val="none"/>
        </w:rPr>
      </w:pPr>
      <w:r>
        <w:rPr>
          <w:rFonts w:hint="eastAsia"/>
          <w:color w:val="auto"/>
          <w:sz w:val="21"/>
          <w:szCs w:val="21"/>
          <w:highlight w:val="none"/>
        </w:rPr>
        <w:t>4.1 除合同另有约定外，乙方提供的全部货物，均应采用本行业通用的方式进行包装，且该包装应符合国家有关包装的</w:t>
      </w:r>
      <w:r>
        <w:rPr>
          <w:color w:val="auto"/>
          <w:highlight w:val="none"/>
        </w:rPr>
        <w:fldChar w:fldCharType="begin"/>
      </w:r>
      <w:r>
        <w:rPr>
          <w:color w:val="auto"/>
          <w:highlight w:val="none"/>
        </w:rPr>
        <w:instrText xml:space="preserve"> HYPERLINK "http://www.chinalawedu.com/" \t "_blank" \o "法律" </w:instrText>
      </w:r>
      <w:r>
        <w:rPr>
          <w:color w:val="auto"/>
          <w:highlight w:val="none"/>
        </w:rPr>
        <w:fldChar w:fldCharType="separate"/>
      </w:r>
      <w:r>
        <w:rPr>
          <w:rStyle w:val="58"/>
          <w:color w:val="auto"/>
          <w:sz w:val="21"/>
          <w:szCs w:val="21"/>
          <w:highlight w:val="none"/>
        </w:rPr>
        <w:t>法律</w:t>
      </w:r>
      <w:r>
        <w:rPr>
          <w:rStyle w:val="58"/>
          <w:color w:val="auto"/>
          <w:sz w:val="21"/>
          <w:szCs w:val="21"/>
          <w:highlight w:val="none"/>
        </w:rPr>
        <w:fldChar w:fldCharType="end"/>
      </w:r>
      <w:r>
        <w:rPr>
          <w:rFonts w:hint="eastAsia"/>
          <w:color w:val="auto"/>
          <w:sz w:val="21"/>
          <w:szCs w:val="21"/>
          <w:highlight w:val="none"/>
        </w:rPr>
        <w:t>、</w:t>
      </w:r>
      <w:r>
        <w:rPr>
          <w:color w:val="auto"/>
          <w:highlight w:val="none"/>
        </w:rPr>
        <w:fldChar w:fldCharType="begin"/>
      </w:r>
      <w:r>
        <w:rPr>
          <w:color w:val="auto"/>
          <w:highlight w:val="none"/>
        </w:rPr>
        <w:instrText xml:space="preserve"> HYPERLINK "http://www.chinalawedu.com/falvfagui/" \t "_blank" \o "法规" </w:instrText>
      </w:r>
      <w:r>
        <w:rPr>
          <w:color w:val="auto"/>
          <w:highlight w:val="none"/>
        </w:rPr>
        <w:fldChar w:fldCharType="separate"/>
      </w:r>
      <w:r>
        <w:rPr>
          <w:rStyle w:val="58"/>
          <w:color w:val="auto"/>
          <w:sz w:val="21"/>
          <w:szCs w:val="21"/>
          <w:highlight w:val="none"/>
        </w:rPr>
        <w:t>法规</w:t>
      </w:r>
      <w:r>
        <w:rPr>
          <w:rStyle w:val="58"/>
          <w:color w:val="auto"/>
          <w:sz w:val="21"/>
          <w:szCs w:val="21"/>
          <w:highlight w:val="none"/>
        </w:rPr>
        <w:fldChar w:fldCharType="end"/>
      </w:r>
      <w:r>
        <w:rPr>
          <w:rFonts w:hint="eastAsia"/>
          <w:color w:val="auto"/>
          <w:sz w:val="21"/>
          <w:szCs w:val="21"/>
          <w:highlight w:val="none"/>
        </w:rPr>
        <w:t xml:space="preserve">的规定。包装应适应于远距离运输、防潮、防震、防锈和防粗暴装卸，确保货物安全无损，运抵现场。由于包装不善等非甲方原因所引起的货物锈蚀、损坏和损失均由乙方承担。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4.2 每件包装箱内应附一份详细装箱单、质量合格证、保修单。 </w:t>
      </w:r>
    </w:p>
    <w:p>
      <w:pPr>
        <w:pStyle w:val="47"/>
        <w:spacing w:line="440" w:lineRule="exact"/>
        <w:ind w:firstLine="422" w:firstLineChars="200"/>
        <w:rPr>
          <w:b/>
          <w:color w:val="auto"/>
          <w:sz w:val="21"/>
          <w:szCs w:val="21"/>
          <w:highlight w:val="none"/>
        </w:rPr>
      </w:pPr>
      <w:r>
        <w:rPr>
          <w:rFonts w:hint="eastAsia"/>
          <w:b/>
          <w:color w:val="auto"/>
          <w:sz w:val="21"/>
          <w:szCs w:val="21"/>
          <w:highlight w:val="none"/>
        </w:rPr>
        <w:t>4.3安装、调试</w:t>
      </w:r>
      <w:r>
        <w:rPr>
          <w:rFonts w:hint="eastAsia"/>
          <w:color w:val="auto"/>
          <w:sz w:val="21"/>
          <w:szCs w:val="21"/>
          <w:highlight w:val="none"/>
        </w:rPr>
        <w:t xml:space="preserve"> </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4.3.1乙方负责货物的包装、运输、安装、调试等工作，并承担由此产生的所有费用，乙方负责到用户指定的地点进行安装、调试。</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4.3.2乙方应提交详细安装进度表。</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4.3.3乙方应设安装负责人，负责安装协调管理工作。</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4.3.4按国家相关施工验收规范进行，分阶段进行调试。</w:t>
      </w:r>
    </w:p>
    <w:p>
      <w:pPr>
        <w:spacing w:line="360" w:lineRule="auto"/>
        <w:ind w:firstLine="420" w:firstLineChars="200"/>
        <w:rPr>
          <w:rFonts w:hAnsi="宋体"/>
          <w:color w:val="auto"/>
          <w:sz w:val="21"/>
          <w:szCs w:val="21"/>
          <w:highlight w:val="none"/>
        </w:rPr>
      </w:pPr>
      <w:r>
        <w:rPr>
          <w:rFonts w:hint="eastAsia" w:hAnsi="宋体"/>
          <w:color w:val="auto"/>
          <w:sz w:val="21"/>
          <w:szCs w:val="21"/>
          <w:highlight w:val="none"/>
        </w:rPr>
        <w:t>4.3.5货物的安装、调试等项工作由乙方负责，但必须在甲方指定人员的参与下进行。调试的原始记录须经各方签字后作为验收的文件之一。乙方调试工作结束后，须向甲方提交调试原始记录等资料，经甲方书面确认调试合格之后，才可视为调试完成。</w:t>
      </w:r>
    </w:p>
    <w:p>
      <w:pPr>
        <w:spacing w:line="360" w:lineRule="auto"/>
        <w:ind w:firstLine="420" w:firstLineChars="200"/>
        <w:rPr>
          <w:color w:val="auto"/>
          <w:sz w:val="21"/>
          <w:szCs w:val="21"/>
          <w:highlight w:val="none"/>
        </w:rPr>
      </w:pPr>
      <w:r>
        <w:rPr>
          <w:rFonts w:hint="eastAsia" w:hAnsi="宋体"/>
          <w:color w:val="auto"/>
          <w:sz w:val="21"/>
          <w:szCs w:val="21"/>
          <w:highlight w:val="none"/>
        </w:rPr>
        <w:t>4.3.6货物开始安装后，甲方可以抽样到市级以上专业部门进行环保检测，如果产品及格则进行验收，如果不及格甲方有权退货。（抽样费用由乙方承担。）</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5 交货方式 </w:t>
      </w:r>
    </w:p>
    <w:p>
      <w:pPr>
        <w:pStyle w:val="47"/>
        <w:spacing w:line="440" w:lineRule="exact"/>
        <w:ind w:firstLine="420" w:firstLineChars="200"/>
        <w:rPr>
          <w:color w:val="auto"/>
          <w:sz w:val="21"/>
          <w:szCs w:val="21"/>
          <w:highlight w:val="none"/>
        </w:rPr>
      </w:pPr>
      <w:r>
        <w:rPr>
          <w:rFonts w:hint="eastAsia"/>
          <w:color w:val="auto"/>
          <w:sz w:val="21"/>
          <w:szCs w:val="21"/>
          <w:highlight w:val="none"/>
        </w:rPr>
        <w:t>5.1 乙方应按甲方指定时间和地点交货。</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6技术资料 </w:t>
      </w:r>
    </w:p>
    <w:p>
      <w:pPr>
        <w:pStyle w:val="47"/>
        <w:spacing w:line="440" w:lineRule="exact"/>
        <w:ind w:firstLine="420" w:firstLineChars="200"/>
        <w:rPr>
          <w:color w:val="auto"/>
          <w:sz w:val="21"/>
          <w:szCs w:val="21"/>
          <w:highlight w:val="none"/>
          <w:u w:val="single"/>
        </w:rPr>
      </w:pPr>
      <w:r>
        <w:rPr>
          <w:rFonts w:hint="eastAsia"/>
          <w:color w:val="auto"/>
          <w:sz w:val="21"/>
          <w:szCs w:val="21"/>
          <w:highlight w:val="none"/>
        </w:rPr>
        <w:t>6.1本合同技术资料（除合同主要条款规定外）将以下方式交付：</w:t>
      </w:r>
      <w:r>
        <w:rPr>
          <w:rFonts w:hint="eastAsia"/>
          <w:color w:val="auto"/>
          <w:sz w:val="21"/>
          <w:szCs w:val="21"/>
          <w:highlight w:val="none"/>
          <w:u w:val="single"/>
        </w:rPr>
        <w:t xml:space="preserve">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乙方在申请竣工验收之前，须提交竣工验收申请资料，竣工验收合格，提交完整的竣工资料（含光盘）给甲方检查存档，同步办理结算（结算资料含光盘）。 </w:t>
      </w:r>
    </w:p>
    <w:p>
      <w:pPr>
        <w:pStyle w:val="47"/>
        <w:spacing w:line="440" w:lineRule="exact"/>
        <w:ind w:firstLine="420" w:firstLineChars="200"/>
        <w:rPr>
          <w:color w:val="auto"/>
          <w:sz w:val="21"/>
          <w:szCs w:val="21"/>
          <w:highlight w:val="none"/>
        </w:rPr>
      </w:pPr>
      <w:r>
        <w:rPr>
          <w:rFonts w:hint="eastAsia"/>
          <w:color w:val="auto"/>
          <w:sz w:val="21"/>
          <w:szCs w:val="21"/>
          <w:highlight w:val="none"/>
        </w:rPr>
        <w:t>6.2乙方所提供货物必须符合国家有关规范和环保要求及甲方的技术要求，并提供货物的出厂测试报告及合格证，进口产品必须具备原产地证明或商检部门的检验证明及合法进货渠道证明。</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7 质量保证 </w:t>
      </w:r>
    </w:p>
    <w:p>
      <w:pPr>
        <w:pStyle w:val="47"/>
        <w:spacing w:line="440" w:lineRule="exact"/>
        <w:ind w:firstLine="420" w:firstLineChars="200"/>
        <w:rPr>
          <w:color w:val="auto"/>
          <w:sz w:val="21"/>
          <w:szCs w:val="21"/>
          <w:highlight w:val="none"/>
        </w:rPr>
      </w:pPr>
      <w:r>
        <w:rPr>
          <w:rFonts w:hint="eastAsia"/>
          <w:color w:val="auto"/>
          <w:sz w:val="21"/>
          <w:szCs w:val="21"/>
          <w:highlight w:val="none"/>
        </w:rPr>
        <w:t>7.1 乙方所供货物必须是原装、全新的产品，并且符合国家以及该产品的出厂标准。</w:t>
      </w:r>
    </w:p>
    <w:p>
      <w:pPr>
        <w:pStyle w:val="47"/>
        <w:spacing w:line="440" w:lineRule="exact"/>
        <w:ind w:firstLine="420" w:firstLineChars="200"/>
        <w:rPr>
          <w:color w:val="auto"/>
          <w:sz w:val="21"/>
          <w:szCs w:val="21"/>
          <w:highlight w:val="none"/>
        </w:rPr>
      </w:pPr>
      <w:r>
        <w:rPr>
          <w:rFonts w:hint="eastAsia"/>
          <w:color w:val="auto"/>
          <w:sz w:val="21"/>
          <w:szCs w:val="21"/>
          <w:highlight w:val="none"/>
        </w:rPr>
        <w:t>7.2 乙方所供货物必须使用环保材料并符合国家环保要求及标准。</w:t>
      </w:r>
    </w:p>
    <w:p>
      <w:pPr>
        <w:pStyle w:val="47"/>
        <w:spacing w:line="440" w:lineRule="exact"/>
        <w:ind w:firstLine="420" w:firstLineChars="200"/>
        <w:rPr>
          <w:color w:val="auto"/>
          <w:sz w:val="21"/>
          <w:szCs w:val="21"/>
          <w:highlight w:val="none"/>
        </w:rPr>
      </w:pPr>
      <w:r>
        <w:rPr>
          <w:rFonts w:hint="eastAsia"/>
          <w:color w:val="auto"/>
          <w:sz w:val="21"/>
          <w:szCs w:val="21"/>
          <w:highlight w:val="none"/>
        </w:rPr>
        <w:t>7.3 所有货物在开箱检验时必须完好，无破损，配置与装箱单相符。数量、质量及性能不低于采购文件需求书中提出的要求。</w:t>
      </w:r>
    </w:p>
    <w:p>
      <w:pPr>
        <w:pStyle w:val="47"/>
        <w:spacing w:line="440" w:lineRule="exact"/>
        <w:ind w:firstLine="420" w:firstLineChars="200"/>
        <w:rPr>
          <w:color w:val="auto"/>
          <w:sz w:val="21"/>
          <w:szCs w:val="21"/>
          <w:highlight w:val="none"/>
        </w:rPr>
      </w:pPr>
      <w:r>
        <w:rPr>
          <w:rFonts w:hint="eastAsia"/>
          <w:color w:val="auto"/>
          <w:sz w:val="21"/>
          <w:szCs w:val="21"/>
          <w:highlight w:val="none"/>
        </w:rPr>
        <w:t>7.4 货物外观清洁，标记编号以及盘面显示等字体清晰，明确。</w:t>
      </w:r>
    </w:p>
    <w:p>
      <w:pPr>
        <w:pStyle w:val="47"/>
        <w:spacing w:line="440" w:lineRule="exact"/>
        <w:ind w:firstLine="420" w:firstLineChars="200"/>
        <w:rPr>
          <w:color w:val="auto"/>
          <w:sz w:val="21"/>
          <w:szCs w:val="21"/>
          <w:highlight w:val="none"/>
        </w:rPr>
      </w:pPr>
      <w:r>
        <w:rPr>
          <w:rFonts w:hint="eastAsia"/>
          <w:color w:val="auto"/>
          <w:sz w:val="21"/>
          <w:szCs w:val="21"/>
          <w:highlight w:val="none"/>
        </w:rPr>
        <w:t>7.5 对于影响货物正常工作的必要组成部分，无论在技术规范中指出与否，乙方都应提供并在投标文件中明确列出。</w:t>
      </w:r>
    </w:p>
    <w:p>
      <w:pPr>
        <w:pStyle w:val="47"/>
        <w:spacing w:line="440" w:lineRule="exact"/>
        <w:ind w:firstLine="420" w:firstLineChars="200"/>
        <w:rPr>
          <w:color w:val="auto"/>
          <w:sz w:val="21"/>
          <w:szCs w:val="21"/>
          <w:highlight w:val="none"/>
        </w:rPr>
      </w:pPr>
      <w:r>
        <w:rPr>
          <w:rFonts w:hint="eastAsia"/>
          <w:color w:val="auto"/>
          <w:sz w:val="21"/>
          <w:szCs w:val="21"/>
          <w:highlight w:val="none"/>
        </w:rPr>
        <w:t>7.6 乙方在实际供货时，若被发现提供的货物未能达到采购文件和投标文件中的有关要求，甲方应以书面形式通知乙方责令整改。在甲方要求乙方整改之日起5日内仍无实质性改进的，甲方将按合同违约条款对乙方进行处罚。</w:t>
      </w:r>
    </w:p>
    <w:p>
      <w:pPr>
        <w:pStyle w:val="47"/>
        <w:spacing w:line="440" w:lineRule="exact"/>
        <w:ind w:firstLine="420" w:firstLineChars="200"/>
        <w:rPr>
          <w:color w:val="auto"/>
          <w:sz w:val="21"/>
          <w:szCs w:val="21"/>
          <w:highlight w:val="none"/>
        </w:rPr>
      </w:pPr>
      <w:r>
        <w:rPr>
          <w:rFonts w:hint="eastAsia"/>
          <w:color w:val="auto"/>
          <w:sz w:val="21"/>
          <w:szCs w:val="21"/>
          <w:highlight w:val="none"/>
        </w:rPr>
        <w:t>7.7 乙方应保证主要材料零部件产地符合用户需求书的有关规定，所有主要材料零部件必须能提供原产地证明、出厂检验报告、完税证明。任何时候，甲方发现产地不符合要求，乙方应无偿更换或负进一步责任。</w:t>
      </w:r>
    </w:p>
    <w:p>
      <w:pPr>
        <w:pStyle w:val="47"/>
        <w:spacing w:line="440" w:lineRule="exact"/>
        <w:ind w:firstLine="420" w:firstLineChars="200"/>
        <w:rPr>
          <w:color w:val="auto"/>
          <w:sz w:val="21"/>
          <w:szCs w:val="21"/>
          <w:highlight w:val="none"/>
        </w:rPr>
      </w:pPr>
      <w:r>
        <w:rPr>
          <w:rFonts w:hint="eastAsia"/>
          <w:color w:val="auto"/>
          <w:sz w:val="21"/>
          <w:szCs w:val="21"/>
          <w:highlight w:val="none"/>
        </w:rPr>
        <w:t>7.8 货物验收合格后，免费保修期为2年（有更高要求的遵循更高要求），时间自货物最终验收合格并交付使用之日起计算，个别货物在采购货物清单内有具体要求保修方式的以该要求为准，人为因素损坏除外。</w:t>
      </w:r>
    </w:p>
    <w:p>
      <w:pPr>
        <w:pStyle w:val="47"/>
        <w:spacing w:line="440" w:lineRule="exact"/>
        <w:ind w:firstLine="420" w:firstLineChars="200"/>
        <w:rPr>
          <w:color w:val="auto"/>
          <w:sz w:val="21"/>
          <w:szCs w:val="21"/>
          <w:highlight w:val="none"/>
        </w:rPr>
      </w:pPr>
      <w:r>
        <w:rPr>
          <w:rFonts w:hint="eastAsia"/>
          <w:color w:val="auto"/>
          <w:sz w:val="21"/>
          <w:szCs w:val="21"/>
          <w:highlight w:val="none"/>
        </w:rPr>
        <w:t>7.9 免费保修期内非人为原因损坏、失效或已达到报废标准的零部件除无偿更换外，对更换上的零部件还应有继续</w:t>
      </w:r>
      <w:r>
        <w:rPr>
          <w:rFonts w:hint="eastAsia"/>
          <w:color w:val="auto"/>
          <w:sz w:val="21"/>
          <w:szCs w:val="21"/>
          <w:highlight w:val="none"/>
          <w:lang w:eastAsia="zh-CN"/>
        </w:rPr>
        <w:t>两</w:t>
      </w:r>
      <w:r>
        <w:rPr>
          <w:rFonts w:hint="eastAsia"/>
          <w:color w:val="auto"/>
          <w:sz w:val="21"/>
          <w:szCs w:val="21"/>
          <w:highlight w:val="none"/>
        </w:rPr>
        <w:t>年的免费保修期。凡因产品质量问题，在保修期内若设备经检修后又在同一部件出现相同质量故障，可无偿更换不低于原设备档次的新设备部件。</w:t>
      </w:r>
    </w:p>
    <w:p>
      <w:pPr>
        <w:pStyle w:val="47"/>
        <w:spacing w:line="440" w:lineRule="exact"/>
        <w:ind w:firstLine="420" w:firstLineChars="200"/>
        <w:rPr>
          <w:color w:val="auto"/>
          <w:sz w:val="21"/>
          <w:szCs w:val="21"/>
          <w:highlight w:val="none"/>
        </w:rPr>
      </w:pPr>
      <w:r>
        <w:rPr>
          <w:rFonts w:hint="eastAsia"/>
          <w:color w:val="auto"/>
          <w:sz w:val="21"/>
          <w:szCs w:val="21"/>
          <w:highlight w:val="none"/>
        </w:rPr>
        <w:t>7.10质保期内非甲方/用户的人为原因而出现产品质量及安装问题，由乙方负责包修、包换或包退，并承担因此而产生的一切费用。</w:t>
      </w:r>
    </w:p>
    <w:p>
      <w:pPr>
        <w:pStyle w:val="47"/>
        <w:spacing w:line="440" w:lineRule="exact"/>
        <w:ind w:firstLine="420" w:firstLineChars="200"/>
        <w:rPr>
          <w:color w:val="auto"/>
          <w:sz w:val="21"/>
          <w:szCs w:val="21"/>
          <w:highlight w:val="none"/>
        </w:rPr>
      </w:pPr>
      <w:r>
        <w:rPr>
          <w:rFonts w:hint="eastAsia"/>
          <w:color w:val="auto"/>
          <w:sz w:val="21"/>
          <w:szCs w:val="21"/>
          <w:highlight w:val="none"/>
        </w:rPr>
        <w:t>7.11 除“合同主要条款”规定外，合同项下货物的质量保证期为自货物通过最终验收之日起两年，水电表及其他主要设备保质期按招标文件及中标结果确定。</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8 检验和验收、售后服务要求 </w:t>
      </w:r>
    </w:p>
    <w:p>
      <w:pPr>
        <w:pStyle w:val="47"/>
        <w:spacing w:line="440" w:lineRule="exact"/>
        <w:ind w:firstLine="420"/>
        <w:rPr>
          <w:color w:val="auto"/>
          <w:sz w:val="21"/>
          <w:szCs w:val="21"/>
          <w:highlight w:val="none"/>
        </w:rPr>
      </w:pPr>
      <w:r>
        <w:rPr>
          <w:rFonts w:hint="eastAsia"/>
          <w:color w:val="auto"/>
          <w:sz w:val="21"/>
          <w:szCs w:val="21"/>
          <w:highlight w:val="none"/>
        </w:rPr>
        <w:t>8.1 验收工作由甲方（或甲方指定的单位）和乙方共同进行。</w:t>
      </w:r>
    </w:p>
    <w:p>
      <w:pPr>
        <w:pStyle w:val="47"/>
        <w:spacing w:line="440" w:lineRule="exact"/>
        <w:ind w:firstLine="420"/>
        <w:rPr>
          <w:color w:val="auto"/>
          <w:sz w:val="21"/>
          <w:szCs w:val="21"/>
          <w:highlight w:val="none"/>
        </w:rPr>
      </w:pPr>
      <w:r>
        <w:rPr>
          <w:rFonts w:hint="eastAsia"/>
          <w:color w:val="auto"/>
          <w:sz w:val="21"/>
          <w:szCs w:val="21"/>
          <w:highlight w:val="none"/>
        </w:rPr>
        <w:t>8.2 验收的项目指标、方法和检测仪器等原则上由乙方在验收开始前5个工作日提交甲方。甲方可以根据技术规范书和国家有关标准进行修改和补充，经双方确认后作为验收的依据。</w:t>
      </w:r>
    </w:p>
    <w:p>
      <w:pPr>
        <w:pStyle w:val="47"/>
        <w:spacing w:line="440" w:lineRule="exact"/>
        <w:ind w:firstLine="420"/>
        <w:rPr>
          <w:color w:val="auto"/>
          <w:sz w:val="21"/>
          <w:szCs w:val="21"/>
          <w:highlight w:val="none"/>
        </w:rPr>
      </w:pPr>
      <w:r>
        <w:rPr>
          <w:rFonts w:hint="eastAsia"/>
          <w:color w:val="auto"/>
          <w:sz w:val="21"/>
          <w:szCs w:val="21"/>
          <w:highlight w:val="none"/>
        </w:rPr>
        <w:t>8.3 验收以甲方技术人员为主，乙方提供技术支援，对在测试中发现的技术问题双方记录，完成测试后，双方签署终验测试报告。</w:t>
      </w:r>
    </w:p>
    <w:p>
      <w:pPr>
        <w:pStyle w:val="47"/>
        <w:spacing w:line="440" w:lineRule="exact"/>
        <w:ind w:firstLine="420"/>
        <w:rPr>
          <w:color w:val="auto"/>
          <w:sz w:val="21"/>
          <w:szCs w:val="21"/>
          <w:highlight w:val="none"/>
        </w:rPr>
      </w:pPr>
      <w:r>
        <w:rPr>
          <w:rFonts w:hint="eastAsia"/>
          <w:color w:val="auto"/>
          <w:sz w:val="21"/>
          <w:szCs w:val="21"/>
          <w:highlight w:val="none"/>
        </w:rPr>
        <w:t>8.4 在验收前，乙方应向甲方提供货物的出厂合格证书、出厂检测报告、厂家装箱清单、使用说明、操作手册、随机附件及其他相关资料。</w:t>
      </w:r>
    </w:p>
    <w:p>
      <w:pPr>
        <w:pStyle w:val="47"/>
        <w:spacing w:line="440" w:lineRule="exact"/>
        <w:ind w:firstLine="420"/>
        <w:rPr>
          <w:color w:val="auto"/>
          <w:sz w:val="21"/>
          <w:szCs w:val="21"/>
          <w:highlight w:val="none"/>
        </w:rPr>
      </w:pPr>
      <w:r>
        <w:rPr>
          <w:rFonts w:hint="eastAsia"/>
          <w:color w:val="auto"/>
          <w:sz w:val="21"/>
          <w:szCs w:val="21"/>
          <w:highlight w:val="none"/>
        </w:rPr>
        <w:t>8.5 由甲方对货物的质量、规格、数量和运行状况及其他进行检验。如发现质量、规格、数量和运行状况等任何一项与采购要求规定不符，甲方有权拒绝验收。</w:t>
      </w:r>
    </w:p>
    <w:p>
      <w:pPr>
        <w:pStyle w:val="47"/>
        <w:spacing w:line="440" w:lineRule="exact"/>
        <w:ind w:firstLine="420"/>
        <w:rPr>
          <w:color w:val="auto"/>
          <w:sz w:val="21"/>
          <w:szCs w:val="21"/>
          <w:highlight w:val="none"/>
        </w:rPr>
      </w:pPr>
      <w:r>
        <w:rPr>
          <w:rFonts w:hint="eastAsia"/>
          <w:color w:val="auto"/>
          <w:sz w:val="21"/>
          <w:szCs w:val="21"/>
          <w:highlight w:val="none"/>
        </w:rPr>
        <w:t>8.6 如因乙方的货物质量原因而影响安装工期，则工期每影响24小时罚款2万元。</w:t>
      </w:r>
    </w:p>
    <w:p>
      <w:pPr>
        <w:pStyle w:val="47"/>
        <w:spacing w:line="440" w:lineRule="exact"/>
        <w:ind w:firstLine="420"/>
        <w:rPr>
          <w:color w:val="auto"/>
          <w:sz w:val="21"/>
          <w:szCs w:val="21"/>
          <w:highlight w:val="none"/>
        </w:rPr>
      </w:pPr>
      <w:r>
        <w:rPr>
          <w:rFonts w:hint="eastAsia"/>
          <w:color w:val="auto"/>
          <w:sz w:val="21"/>
          <w:szCs w:val="21"/>
          <w:highlight w:val="none"/>
        </w:rPr>
        <w:t>8.7如因乙方的技术原因，导致某情况下某设备不能正常使用而影响调试进度，罚款不少于1万元/每（套）。</w:t>
      </w:r>
    </w:p>
    <w:p>
      <w:pPr>
        <w:pStyle w:val="47"/>
        <w:spacing w:line="440" w:lineRule="exact"/>
        <w:ind w:firstLine="420"/>
        <w:rPr>
          <w:color w:val="auto"/>
          <w:sz w:val="21"/>
          <w:szCs w:val="21"/>
          <w:highlight w:val="none"/>
        </w:rPr>
      </w:pPr>
      <w:r>
        <w:rPr>
          <w:rFonts w:hint="eastAsia"/>
          <w:color w:val="auto"/>
          <w:sz w:val="21"/>
          <w:szCs w:val="21"/>
          <w:highlight w:val="none"/>
        </w:rPr>
        <w:t>8.8以上出现的问题，除了罚款外，均由乙方按照甲方限定的合理时间内免费负责处理（包括缺陷处理、更换新部件备件或货物）。</w:t>
      </w:r>
    </w:p>
    <w:p>
      <w:pPr>
        <w:pStyle w:val="47"/>
        <w:spacing w:line="440" w:lineRule="exact"/>
        <w:ind w:firstLine="420"/>
        <w:rPr>
          <w:color w:val="auto"/>
          <w:sz w:val="21"/>
          <w:szCs w:val="21"/>
          <w:highlight w:val="none"/>
        </w:rPr>
      </w:pPr>
      <w:r>
        <w:rPr>
          <w:rFonts w:hint="eastAsia"/>
          <w:color w:val="auto"/>
          <w:sz w:val="21"/>
          <w:szCs w:val="21"/>
          <w:highlight w:val="none"/>
        </w:rPr>
        <w:t>8.9售后服务</w:t>
      </w:r>
    </w:p>
    <w:p>
      <w:pPr>
        <w:pStyle w:val="47"/>
        <w:spacing w:line="440" w:lineRule="exact"/>
        <w:ind w:firstLine="420"/>
        <w:rPr>
          <w:color w:val="auto"/>
          <w:sz w:val="21"/>
          <w:szCs w:val="21"/>
          <w:highlight w:val="none"/>
        </w:rPr>
      </w:pPr>
      <w:r>
        <w:rPr>
          <w:rFonts w:hint="eastAsia"/>
          <w:color w:val="auto"/>
          <w:sz w:val="21"/>
          <w:szCs w:val="21"/>
          <w:highlight w:val="none"/>
        </w:rPr>
        <w:t>8.9.1免费保修期内：</w:t>
      </w:r>
    </w:p>
    <w:p>
      <w:pPr>
        <w:pStyle w:val="195"/>
        <w:snapToGrid w:val="0"/>
        <w:spacing w:before="312" w:after="312" w:line="440" w:lineRule="exact"/>
        <w:ind w:firstLine="420"/>
        <w:rPr>
          <w:rStyle w:val="196"/>
          <w:color w:val="auto"/>
          <w:sz w:val="21"/>
          <w:szCs w:val="21"/>
          <w:highlight w:val="none"/>
        </w:rPr>
      </w:pPr>
      <w:r>
        <w:rPr>
          <w:rStyle w:val="196"/>
          <w:color w:val="auto"/>
          <w:sz w:val="21"/>
          <w:szCs w:val="21"/>
          <w:highlight w:val="none"/>
        </w:rPr>
        <w:t>（1）故障响应时间：免费保修期内，货物出现质量问题，乙方接到质量问题通知后1个小时内到场处理，小故障2小时内修复，大故障24个小时内修复，如无法修复须提供相应规格的货物供甲方替代使用；其他服务承诺在投标文件中说明。如乙方怠于响应或不能及时维修的，甲方有权委托第三方履行，产生的费用及损失一并由乙方承担。</w:t>
      </w:r>
    </w:p>
    <w:p>
      <w:pPr>
        <w:pStyle w:val="47"/>
        <w:spacing w:line="440" w:lineRule="exact"/>
        <w:ind w:firstLine="420"/>
        <w:rPr>
          <w:color w:val="auto"/>
          <w:sz w:val="21"/>
          <w:szCs w:val="21"/>
          <w:highlight w:val="none"/>
        </w:rPr>
      </w:pPr>
      <w:r>
        <w:rPr>
          <w:rFonts w:hint="eastAsia"/>
          <w:color w:val="auto"/>
          <w:sz w:val="21"/>
          <w:szCs w:val="21"/>
          <w:highlight w:val="none"/>
        </w:rPr>
        <w:t>（2）如果货物不能稳定地达到乙方承诺的全部功能，乙方应对此承担责任并承担全部相关费用以及买方的直接损失，经买方同意对货物采用如下一种或几种方式处理：①免费维修和更换损坏零部件；②换货；③降价，但不免除其它正常部分的质量保证责任。如乙方未能在合理的时间内将产品维修、更换或修正以符合规格，买方有权在合理时间内将产品退回卖方后要求返还已付的价款。</w:t>
      </w:r>
    </w:p>
    <w:p>
      <w:pPr>
        <w:pStyle w:val="47"/>
        <w:spacing w:line="440" w:lineRule="exact"/>
        <w:ind w:firstLine="420"/>
        <w:rPr>
          <w:color w:val="auto"/>
          <w:sz w:val="21"/>
          <w:szCs w:val="21"/>
          <w:highlight w:val="none"/>
        </w:rPr>
      </w:pPr>
      <w:r>
        <w:rPr>
          <w:rFonts w:hint="eastAsia"/>
          <w:color w:val="auto"/>
          <w:sz w:val="21"/>
          <w:szCs w:val="21"/>
          <w:highlight w:val="none"/>
        </w:rPr>
        <w:t>8.9.2免费保修期后：提供技术支持和详细的售后服务计划，乙方应按其在东莞地区同类产品的最优惠价格提供保修服务，终身保证配品配件的供应，更换配件的费用以成本计。</w:t>
      </w:r>
    </w:p>
    <w:p>
      <w:pPr>
        <w:pStyle w:val="47"/>
        <w:spacing w:line="440" w:lineRule="exact"/>
        <w:ind w:firstLine="420"/>
        <w:rPr>
          <w:color w:val="auto"/>
          <w:sz w:val="21"/>
          <w:szCs w:val="21"/>
          <w:highlight w:val="none"/>
        </w:rPr>
      </w:pPr>
      <w:r>
        <w:rPr>
          <w:rFonts w:hint="eastAsia"/>
          <w:color w:val="auto"/>
          <w:sz w:val="21"/>
          <w:szCs w:val="21"/>
          <w:highlight w:val="none"/>
        </w:rPr>
        <w:t>8.9.3售后服务机构：设有稳定的维修点或售后服务机构，具有提供日常维护和技术支持的能力，能提供正常的技术、备品备件、服务等；须提供服务机构名称、人员情况、办公地址、联系电话。</w:t>
      </w:r>
    </w:p>
    <w:p>
      <w:pPr>
        <w:pStyle w:val="47"/>
        <w:spacing w:line="440" w:lineRule="exact"/>
        <w:ind w:firstLine="420"/>
        <w:rPr>
          <w:color w:val="auto"/>
          <w:sz w:val="21"/>
          <w:szCs w:val="21"/>
          <w:highlight w:val="none"/>
        </w:rPr>
      </w:pPr>
      <w:r>
        <w:rPr>
          <w:rFonts w:hint="eastAsia"/>
          <w:color w:val="auto"/>
          <w:sz w:val="21"/>
          <w:szCs w:val="21"/>
          <w:highlight w:val="none"/>
        </w:rPr>
        <w:t>8.9.4培训：负责免费对用户人员进行培训，提供详细的培训计划，使其掌握操作使用等基本技能。</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9 索赔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9.1 如果货物的质量、规格、数量、重量等与合同不符，或在合同约定的质量保证期内证实货物存有缺陷，包括潜在的缺陷或使用不符合要求的材料等，甲方有权向乙方提出索赔（索赔金额不低于合同总价5%）。乙方应在甲方提出索赔要求后三日内，进行无偿修理、更换、赔款。如乙方未在规定时间内处理的，甲方有权自行安排修理、更换，由此产生的一切费用和风险由乙方承担且乙方仍需承担质量保修责任。 </w:t>
      </w:r>
    </w:p>
    <w:p>
      <w:pPr>
        <w:pStyle w:val="47"/>
        <w:spacing w:line="440" w:lineRule="exact"/>
        <w:ind w:firstLine="420" w:firstLineChars="200"/>
        <w:rPr>
          <w:color w:val="auto"/>
          <w:sz w:val="21"/>
          <w:szCs w:val="21"/>
          <w:highlight w:val="none"/>
        </w:rPr>
      </w:pPr>
      <w:r>
        <w:rPr>
          <w:rFonts w:hint="eastAsia"/>
          <w:color w:val="auto"/>
          <w:sz w:val="21"/>
          <w:szCs w:val="21"/>
          <w:highlight w:val="none"/>
        </w:rPr>
        <w:t>9.2 在根据合同规定的检验期和质量保证期内，如果乙方对甲方提出的索赔负有责任，乙方应按照甲方同意的方式解决索赔事宜，或由双方协商处理。</w:t>
      </w:r>
    </w:p>
    <w:p>
      <w:pPr>
        <w:pStyle w:val="47"/>
        <w:spacing w:line="440" w:lineRule="exact"/>
        <w:ind w:firstLine="420" w:firstLineChars="200"/>
        <w:rPr>
          <w:color w:val="auto"/>
          <w:sz w:val="21"/>
          <w:szCs w:val="21"/>
          <w:highlight w:val="none"/>
        </w:rPr>
      </w:pPr>
      <w:r>
        <w:rPr>
          <w:rFonts w:hint="eastAsia"/>
          <w:color w:val="auto"/>
          <w:sz w:val="21"/>
          <w:szCs w:val="21"/>
          <w:highlight w:val="none"/>
        </w:rPr>
        <w:t>9.3 如果在甲方发出索赔通知后</w:t>
      </w:r>
      <w:r>
        <w:rPr>
          <w:rFonts w:hint="eastAsia"/>
          <w:color w:val="auto"/>
          <w:sz w:val="21"/>
          <w:szCs w:val="21"/>
          <w:highlight w:val="none"/>
          <w:u w:val="single"/>
        </w:rPr>
        <w:t xml:space="preserve">    </w:t>
      </w:r>
      <w:r>
        <w:rPr>
          <w:rFonts w:hint="eastAsia"/>
          <w:color w:val="auto"/>
          <w:sz w:val="21"/>
          <w:szCs w:val="21"/>
          <w:highlight w:val="none"/>
        </w:rPr>
        <w:t>天内，乙方未作答复，上述索赔要求应视为已被乙方接受。如乙方未能在甲方提出索赔通知后</w:t>
      </w:r>
      <w:r>
        <w:rPr>
          <w:rFonts w:hint="eastAsia"/>
          <w:color w:val="auto"/>
          <w:sz w:val="21"/>
          <w:szCs w:val="21"/>
          <w:highlight w:val="none"/>
          <w:u w:val="single"/>
        </w:rPr>
        <w:t xml:space="preserve">    </w:t>
      </w:r>
      <w:r>
        <w:rPr>
          <w:rFonts w:hint="eastAsia"/>
          <w:color w:val="auto"/>
          <w:sz w:val="21"/>
          <w:szCs w:val="21"/>
          <w:highlight w:val="none"/>
        </w:rPr>
        <w:t>天内或甲方同意的更长时间内，按照本合同规定的方法解决索赔事宜，甲方将从合同款或从乙方开具的履约保证金保函中扣回索赔金额。如果这些金额不足以补偿索赔金额，甲方有权向乙方提出不足部分的补偿。</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9.4 本合同所述之损失、经济赔偿是指甲方因乙方原因而造成的经济损失、因此而向第三方支付的赔偿金、违约金、因此而支付的诉讼费、律师费、公证费、鉴定费、保全费等全部费用。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10 迟延交货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10.1 乙方应按照甲方规定的时间交货和提供服务。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10.2 如果乙方无正当理由迟延交货，甲方有权提出违约损失赔偿或解除合同。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10.3 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11 违约赔偿 </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11.1甲方无正当理由拒收货物，拒付货款的，甲方向乙方偿付货物总金额5%的违约金。</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11.2如果由于甲方未按乙方所提供的技术资料、图纸、说明书和乙方现场技术服务人员的指导而造成货物损坏的，由甲方负责。但乙方有义务尽快提供所需要更换的货物。对于甲方要求的紧急部件，乙方应安排最快的方式运输，所有费用均由甲方负担。</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11.3乙方的投标文件为响应本合同的重要依据之一，履行合同时，如与其在投标时承诺响应的实质性内容有偏离或无法履行的，乙方应向甲方支付合同价格20%的违约金并赔偿甲方因此遭受的所有损失，并责令乙方限期整改。甲方要求其整改之日起5日内仍无实质性改进的，甲方有权单方面解除合同，合同因此解除的，乙方应退还甲方已支付的合同价格（如有）。</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11.4 除合同规定外，如果乙方没有按照合同规定的时间提供质量合格的货物和服务，甲方可要求乙方支付违约金。从逾期之日起每日按本合同总价</w:t>
      </w:r>
      <w:r>
        <w:rPr>
          <w:rFonts w:hint="eastAsia"/>
          <w:color w:val="auto"/>
          <w:sz w:val="21"/>
          <w:szCs w:val="21"/>
          <w:highlight w:val="none"/>
          <w:u w:val="single"/>
        </w:rPr>
        <w:t xml:space="preserve">的 2 </w:t>
      </w:r>
      <w:r>
        <w:rPr>
          <w:rFonts w:hint="eastAsia"/>
          <w:color w:val="auto"/>
          <w:sz w:val="21"/>
          <w:szCs w:val="21"/>
          <w:highlight w:val="none"/>
        </w:rPr>
        <w:t>‰数额向甲方支付违约金；逾期30天以上（含30天）的，甲方有权解除合同，并且乙方应向甲方双倍返还定金，并且给甲方造成的经济损失由乙方承担赔偿责任。</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11.5因乙方原因导致本合同解除或是无法履行的，乙方应向甲方双倍返还定金，且甲方有权决定是否接收属于乙方在现场的一切产品使用于本项目，并有进一步要求向乙方索赔的权利。双倍定金不足以弥补甲方损失的，乙方应另行补足。</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11.6如乙方对合同敷衍执行，或忽视履行合同规定的实质性义务，且从甲方要求其整改之日起5日内仍无实质性改进，甲方有权解除合同，乙方应退还甲方已支付的合同价格（如有），向甲方支付合同价格20%的违约金并赔偿甲方因此遭受的所有损失。</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11.7因乙方原因造成合同终止或解除，乙方应退还甲方已支付的合同价格（如有），乙方应在接到甲方离场通知的5日内无条件撤离现场，否则每逾期一日应向甲方支付人民币10000元的违约金，并赔偿甲方的损失。</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11.8乙方违约或乙方任何其他原因造成甲方损失及/或甲方被追索的及/或承担责任的，甲方均有权拒付全部或部分价款，有权直接从合同价款扣除乙方应支付甲方的违约金、赔偿金。</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11.9在本合同约定的相应履行期限届满之前，乙方明确表示或者以自己的行为表明不履行合同义务的，甲方有权解除本合同。合同因此解除的，乙方应退还甲方已支付的合同价格（如有），向甲方支付合同价格20%的违约金并赔偿甲方因此遭受的所有损失。</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 xml:space="preserve">11.10甲方有权从未支付的款项或是履约保证金中直接扣除乙方的违约金，不足的部分由乙方另行补足。 </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11.11除非因乙方违约致甲方按照本合同的约定单方解除合同或双方协议将合同解除，违约方承担前述违约责任后仍必须履行合同。</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11.12本合同下，双方对违约责任未明确约定的，相关违约责任按合同法及其他法律法规的有关规定执行。本合同项下约定的甲方遭受的损失包括但不限于因乙方违约而使甲方遭受的因减少或迟延运营所遭受的收入损失，向第三方支付的费用、赔偿金，因此而支付的诉讼费、律师费、公证费、鉴定费、保全费等全部费用。</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12 不可抗力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12.1 如果双方中任何一方遭遇法律规定的不可抗力，致使合同履行受阻时，履行合同的期限应予延长，延长的期限应相当于不可抗力所影响的时间。 </w:t>
      </w:r>
    </w:p>
    <w:p>
      <w:pPr>
        <w:pStyle w:val="47"/>
        <w:spacing w:line="440" w:lineRule="exact"/>
        <w:ind w:firstLine="420" w:firstLineChars="200"/>
        <w:rPr>
          <w:color w:val="auto"/>
          <w:sz w:val="21"/>
          <w:szCs w:val="21"/>
          <w:highlight w:val="none"/>
        </w:rPr>
      </w:pPr>
      <w:r>
        <w:rPr>
          <w:rFonts w:hint="eastAsia"/>
          <w:color w:val="auto"/>
          <w:sz w:val="21"/>
          <w:szCs w:val="21"/>
          <w:highlight w:val="none"/>
        </w:rPr>
        <w:t>12.2 受事故影响的一方应在不可抗力的事故发生后尽快书面形式通知另一方，并在事故发生后</w:t>
      </w:r>
      <w:r>
        <w:rPr>
          <w:rFonts w:hint="eastAsia"/>
          <w:color w:val="auto"/>
          <w:sz w:val="21"/>
          <w:szCs w:val="21"/>
          <w:highlight w:val="none"/>
          <w:u w:val="single"/>
        </w:rPr>
        <w:t xml:space="preserve">   </w:t>
      </w:r>
      <w:r>
        <w:rPr>
          <w:rFonts w:hint="eastAsia"/>
          <w:color w:val="auto"/>
          <w:sz w:val="21"/>
          <w:szCs w:val="21"/>
          <w:highlight w:val="none"/>
        </w:rPr>
        <w:t xml:space="preserve">天内，将有关部门出具的证明文件送达另一方。 </w:t>
      </w:r>
    </w:p>
    <w:p>
      <w:pPr>
        <w:pStyle w:val="47"/>
        <w:spacing w:line="440" w:lineRule="exact"/>
        <w:ind w:firstLine="420" w:firstLineChars="200"/>
        <w:rPr>
          <w:color w:val="auto"/>
          <w:sz w:val="21"/>
          <w:szCs w:val="21"/>
          <w:highlight w:val="none"/>
        </w:rPr>
      </w:pPr>
      <w:r>
        <w:rPr>
          <w:rFonts w:hint="eastAsia"/>
          <w:color w:val="auto"/>
          <w:sz w:val="21"/>
          <w:szCs w:val="21"/>
          <w:highlight w:val="none"/>
        </w:rPr>
        <w:t>12.3 不可抗力使合同的某些内容有变更必要的，合同签订双方应通过协商在</w:t>
      </w:r>
      <w:r>
        <w:rPr>
          <w:rFonts w:hint="eastAsia"/>
          <w:color w:val="auto"/>
          <w:sz w:val="21"/>
          <w:szCs w:val="21"/>
          <w:highlight w:val="none"/>
          <w:u w:val="single"/>
        </w:rPr>
        <w:t xml:space="preserve">   </w:t>
      </w:r>
      <w:r>
        <w:rPr>
          <w:rFonts w:hint="eastAsia"/>
          <w:color w:val="auto"/>
          <w:sz w:val="21"/>
          <w:szCs w:val="21"/>
          <w:highlight w:val="none"/>
        </w:rPr>
        <w:t xml:space="preserve">日内达成进一步履行合同的协议，因不可抗力致使合同不能履行的，合同终止。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13税费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13.1 与本合同有关的一切税费均适用中华人民共和国法律的相关规定。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14 合同争议的解决 </w:t>
      </w:r>
    </w:p>
    <w:p>
      <w:pPr>
        <w:pStyle w:val="47"/>
        <w:spacing w:line="440" w:lineRule="exact"/>
        <w:ind w:firstLine="420" w:firstLineChars="200"/>
        <w:rPr>
          <w:color w:val="auto"/>
          <w:sz w:val="21"/>
          <w:szCs w:val="21"/>
          <w:highlight w:val="none"/>
        </w:rPr>
      </w:pPr>
      <w:r>
        <w:rPr>
          <w:rFonts w:hint="eastAsia"/>
          <w:color w:val="auto"/>
          <w:sz w:val="21"/>
          <w:szCs w:val="21"/>
          <w:highlight w:val="none"/>
        </w:rPr>
        <w:t>14.1 因合同履行中发生的争议，可通过合同当事人双方友好协商解决。如自协商开始之起15日内得不到解决，可向甲方所在地有管辖权的人</w:t>
      </w:r>
      <w:r>
        <w:rPr>
          <w:color w:val="auto"/>
          <w:highlight w:val="none"/>
        </w:rPr>
        <w:fldChar w:fldCharType="begin"/>
      </w:r>
      <w:r>
        <w:rPr>
          <w:color w:val="auto"/>
          <w:highlight w:val="none"/>
        </w:rPr>
        <w:instrText xml:space="preserve"> HYPERLINK "http://www.chinalawedu.com/web/23243/" \t "_blank" \o "民法" </w:instrText>
      </w:r>
      <w:r>
        <w:rPr>
          <w:color w:val="auto"/>
          <w:highlight w:val="none"/>
        </w:rPr>
        <w:fldChar w:fldCharType="separate"/>
      </w:r>
      <w:r>
        <w:rPr>
          <w:rStyle w:val="58"/>
          <w:color w:val="auto"/>
          <w:sz w:val="21"/>
          <w:szCs w:val="21"/>
          <w:highlight w:val="none"/>
        </w:rPr>
        <w:t>民法</w:t>
      </w:r>
      <w:r>
        <w:rPr>
          <w:rStyle w:val="58"/>
          <w:color w:val="auto"/>
          <w:sz w:val="21"/>
          <w:szCs w:val="21"/>
          <w:highlight w:val="none"/>
        </w:rPr>
        <w:fldChar w:fldCharType="end"/>
      </w:r>
      <w:r>
        <w:rPr>
          <w:rFonts w:hint="eastAsia"/>
          <w:color w:val="auto"/>
          <w:sz w:val="21"/>
          <w:szCs w:val="21"/>
          <w:highlight w:val="none"/>
        </w:rPr>
        <w:t xml:space="preserve">院提起诉讼。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15 违约解除合同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15.1 在乙方违约的情况下，甲方可向乙方发出书面通知，部分或全部终止合同。同时保留向乙方追诉的权利。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15.2全部或部分解除合同之后，应当遵循诚实信用原则，购买未予交付的货物类似的货物或服务。乙方应承担甲方购买类似货物或服务而产生的额外支出。部分解除合同的，乙方应继续履行合同中未解除的部分。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16破产终止合同 </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 xml:space="preserve">16.1 如果乙方破产或无清偿能力时，甲方可在任何时候以书面通知乙方，提出终止合同而不给乙方补偿。该合同的终止将不损害或不影响甲方已经采取或将要采取任何行动或补救措施的权利。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17 转让和分包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17.1 合同不能转让。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 </w:t>
      </w:r>
    </w:p>
    <w:p>
      <w:pPr>
        <w:pStyle w:val="47"/>
        <w:spacing w:line="440" w:lineRule="exact"/>
        <w:ind w:firstLine="420" w:firstLineChars="200"/>
        <w:rPr>
          <w:color w:val="auto"/>
          <w:sz w:val="21"/>
          <w:szCs w:val="21"/>
          <w:highlight w:val="none"/>
        </w:rPr>
      </w:pPr>
      <w:r>
        <w:rPr>
          <w:rFonts w:hint="eastAsia"/>
          <w:color w:val="auto"/>
          <w:sz w:val="21"/>
          <w:szCs w:val="21"/>
          <w:highlight w:val="none"/>
        </w:rPr>
        <w:t>17.3甲方和乙方都不得擅自变更本合同，但合同继续履行将损害国家和社会公共利益的除外。如必须对合同条款进行改动时，当事人双方须共同签署书面文件，作为合同的补充。</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17.4乙方擅自转让本合同或是未经甲方书面同意将合同项下非主体、非关键性工作分包给他人的，甲方有权立即解除本合同，同时要求乙方支付合同总价20%的违约金，违约金不足以弥补甲方损失，甲方有权继续向乙方追索。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18 计量单位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18.1 各项计量单位与货物清单对应项计量单位一致。 </w:t>
      </w:r>
    </w:p>
    <w:p>
      <w:pPr>
        <w:pStyle w:val="47"/>
        <w:spacing w:line="440" w:lineRule="exact"/>
        <w:ind w:firstLine="420" w:firstLineChars="200"/>
        <w:rPr>
          <w:color w:val="auto"/>
          <w:sz w:val="21"/>
          <w:szCs w:val="21"/>
          <w:highlight w:val="none"/>
        </w:rPr>
      </w:pPr>
      <w:r>
        <w:rPr>
          <w:rFonts w:hint="eastAsia"/>
          <w:color w:val="auto"/>
          <w:sz w:val="21"/>
          <w:szCs w:val="21"/>
          <w:highlight w:val="none"/>
        </w:rPr>
        <w:t xml:space="preserve">19 合同生效和其它 </w:t>
      </w:r>
    </w:p>
    <w:p>
      <w:pPr>
        <w:pStyle w:val="47"/>
        <w:spacing w:line="440" w:lineRule="exact"/>
        <w:ind w:firstLine="420" w:firstLineChars="200"/>
        <w:jc w:val="both"/>
        <w:rPr>
          <w:color w:val="auto"/>
          <w:sz w:val="21"/>
          <w:szCs w:val="21"/>
          <w:highlight w:val="none"/>
        </w:rPr>
      </w:pPr>
      <w:r>
        <w:rPr>
          <w:rFonts w:hint="eastAsia"/>
          <w:color w:val="auto"/>
          <w:sz w:val="21"/>
          <w:szCs w:val="21"/>
          <w:highlight w:val="none"/>
        </w:rPr>
        <w:t xml:space="preserve">19.1 采购项目的采购合同内容的确定应以采购文件和投标文件为基础，不得违背其实质性内容。采购项目的采购合同自签订之日起七个工作日内，甲方应当将合同副本报有关部门备案。合同将在双方签字盖章后开始生效。 </w:t>
      </w:r>
    </w:p>
    <w:p>
      <w:pPr>
        <w:snapToGrid w:val="0"/>
        <w:spacing w:line="440" w:lineRule="exact"/>
        <w:ind w:firstLine="420" w:firstLineChars="200"/>
        <w:rPr>
          <w:rFonts w:hAnsi="宋体"/>
          <w:color w:val="auto"/>
          <w:sz w:val="21"/>
          <w:szCs w:val="21"/>
          <w:highlight w:val="none"/>
        </w:rPr>
      </w:pPr>
      <w:r>
        <w:rPr>
          <w:rFonts w:hint="eastAsia" w:hAnsi="宋体"/>
          <w:color w:val="auto"/>
          <w:sz w:val="21"/>
          <w:szCs w:val="21"/>
          <w:highlight w:val="none"/>
        </w:rPr>
        <w:t>19.</w:t>
      </w:r>
      <w:r>
        <w:rPr>
          <w:rFonts w:hAnsi="宋体"/>
          <w:color w:val="auto"/>
          <w:sz w:val="21"/>
          <w:szCs w:val="21"/>
          <w:highlight w:val="none"/>
        </w:rPr>
        <w:t>2</w:t>
      </w:r>
      <w:r>
        <w:rPr>
          <w:rFonts w:hint="eastAsia" w:hAnsi="宋体"/>
          <w:color w:val="auto"/>
          <w:sz w:val="21"/>
          <w:szCs w:val="21"/>
          <w:highlight w:val="none"/>
        </w:rPr>
        <w:t>本合同一式</w:t>
      </w:r>
      <w:r>
        <w:rPr>
          <w:rFonts w:hint="eastAsia" w:hAnsi="宋体"/>
          <w:color w:val="auto"/>
          <w:sz w:val="21"/>
          <w:szCs w:val="21"/>
          <w:highlight w:val="none"/>
          <w:u w:val="single"/>
        </w:rPr>
        <w:t xml:space="preserve">    </w:t>
      </w:r>
      <w:r>
        <w:rPr>
          <w:rFonts w:hint="eastAsia" w:hAnsi="宋体"/>
          <w:color w:val="auto"/>
          <w:sz w:val="21"/>
          <w:szCs w:val="21"/>
          <w:highlight w:val="none"/>
        </w:rPr>
        <w:t>份，甲方执</w:t>
      </w:r>
      <w:r>
        <w:rPr>
          <w:rFonts w:hint="eastAsia" w:hAnsi="宋体"/>
          <w:color w:val="auto"/>
          <w:sz w:val="21"/>
          <w:szCs w:val="21"/>
          <w:highlight w:val="none"/>
          <w:u w:val="single"/>
        </w:rPr>
        <w:t xml:space="preserve">    </w:t>
      </w:r>
      <w:r>
        <w:rPr>
          <w:rFonts w:hint="eastAsia" w:hAnsi="宋体"/>
          <w:color w:val="auto"/>
          <w:sz w:val="21"/>
          <w:szCs w:val="21"/>
          <w:highlight w:val="none"/>
        </w:rPr>
        <w:t>份，乙方执</w:t>
      </w:r>
      <w:r>
        <w:rPr>
          <w:rFonts w:hint="eastAsia" w:hAnsi="宋体"/>
          <w:color w:val="auto"/>
          <w:sz w:val="21"/>
          <w:szCs w:val="21"/>
          <w:highlight w:val="none"/>
          <w:u w:val="single"/>
        </w:rPr>
        <w:t xml:space="preserve">    </w:t>
      </w:r>
      <w:r>
        <w:rPr>
          <w:rFonts w:hint="eastAsia" w:hAnsi="宋体"/>
          <w:color w:val="auto"/>
          <w:sz w:val="21"/>
          <w:szCs w:val="21"/>
          <w:highlight w:val="none"/>
        </w:rPr>
        <w:t>份，采购代理机构执</w:t>
      </w:r>
      <w:r>
        <w:rPr>
          <w:rFonts w:hint="eastAsia" w:hAnsi="宋体"/>
          <w:color w:val="auto"/>
          <w:sz w:val="21"/>
          <w:szCs w:val="21"/>
          <w:highlight w:val="none"/>
          <w:u w:val="single"/>
        </w:rPr>
        <w:t xml:space="preserve">     </w:t>
      </w:r>
      <w:r>
        <w:rPr>
          <w:rFonts w:hint="eastAsia" w:hAnsi="宋体"/>
          <w:color w:val="auto"/>
          <w:sz w:val="21"/>
          <w:szCs w:val="21"/>
          <w:highlight w:val="none"/>
        </w:rPr>
        <w:t>份，具同等法律效力。本合同合计</w:t>
      </w:r>
      <w:r>
        <w:rPr>
          <w:rFonts w:hint="eastAsia" w:hAnsi="宋体"/>
          <w:color w:val="auto"/>
          <w:sz w:val="21"/>
          <w:szCs w:val="21"/>
          <w:highlight w:val="none"/>
          <w:u w:val="single"/>
        </w:rPr>
        <w:t xml:space="preserve">   </w:t>
      </w:r>
      <w:r>
        <w:rPr>
          <w:rFonts w:hint="eastAsia" w:hAnsi="宋体"/>
          <w:color w:val="auto"/>
          <w:sz w:val="21"/>
          <w:szCs w:val="21"/>
          <w:highlight w:val="none"/>
        </w:rPr>
        <w:t>页，缺页之合同为无效合同。</w:t>
      </w:r>
    </w:p>
    <w:p>
      <w:pPr>
        <w:snapToGrid w:val="0"/>
        <w:spacing w:line="440" w:lineRule="exact"/>
        <w:ind w:firstLine="420" w:firstLineChars="200"/>
        <w:rPr>
          <w:rFonts w:hAnsi="宋体"/>
          <w:color w:val="auto"/>
          <w:sz w:val="21"/>
          <w:szCs w:val="21"/>
          <w:highlight w:val="none"/>
        </w:rPr>
      </w:pPr>
      <w:r>
        <w:rPr>
          <w:rFonts w:hint="eastAsia" w:hAnsi="宋体"/>
          <w:color w:val="auto"/>
          <w:sz w:val="21"/>
          <w:szCs w:val="21"/>
          <w:highlight w:val="none"/>
        </w:rPr>
        <w:t>19.</w:t>
      </w:r>
      <w:r>
        <w:rPr>
          <w:rFonts w:hAnsi="宋体"/>
          <w:color w:val="auto"/>
          <w:sz w:val="21"/>
          <w:szCs w:val="21"/>
          <w:highlight w:val="none"/>
        </w:rPr>
        <w:t>3</w:t>
      </w:r>
      <w:r>
        <w:rPr>
          <w:rFonts w:hint="eastAsia" w:hAnsi="宋体"/>
          <w:color w:val="auto"/>
          <w:sz w:val="21"/>
          <w:szCs w:val="21"/>
          <w:highlight w:val="none"/>
        </w:rPr>
        <w:t>其它未尽事宜，由甲乙双方友好协商解决，并参照《中华人民共和国民法典》有关条款执行。</w:t>
      </w:r>
    </w:p>
    <w:p>
      <w:pPr>
        <w:pStyle w:val="47"/>
        <w:spacing w:line="440" w:lineRule="exact"/>
        <w:ind w:firstLine="420" w:firstLineChars="200"/>
        <w:rPr>
          <w:color w:val="auto"/>
          <w:sz w:val="21"/>
          <w:szCs w:val="21"/>
          <w:highlight w:val="none"/>
        </w:rPr>
      </w:pPr>
      <w:r>
        <w:rPr>
          <w:rFonts w:hint="eastAsia"/>
          <w:color w:val="auto"/>
          <w:sz w:val="21"/>
          <w:szCs w:val="21"/>
          <w:highlight w:val="none"/>
        </w:rPr>
        <w:t>19.</w:t>
      </w:r>
      <w:r>
        <w:rPr>
          <w:color w:val="auto"/>
          <w:sz w:val="21"/>
          <w:szCs w:val="21"/>
          <w:highlight w:val="none"/>
        </w:rPr>
        <w:t>4</w:t>
      </w:r>
      <w:r>
        <w:rPr>
          <w:rFonts w:hint="eastAsia"/>
          <w:color w:val="auto"/>
          <w:sz w:val="21"/>
          <w:szCs w:val="21"/>
          <w:highlight w:val="none"/>
        </w:rPr>
        <w:t>本合同应按照中华人民共和国的法律进行解释。</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（以下无正文）</w:t>
      </w:r>
    </w:p>
    <w:p>
      <w:pPr>
        <w:spacing w:line="440" w:lineRule="exact"/>
        <w:ind w:firstLine="420" w:firstLineChars="200"/>
        <w:rPr>
          <w:rFonts w:hAnsi="宋体"/>
          <w:color w:val="auto"/>
          <w:sz w:val="21"/>
          <w:szCs w:val="21"/>
          <w:highlight w:val="none"/>
        </w:rPr>
      </w:pP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甲方（盖章）：                      乙方（盖章）：</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甲方法定代表(签字)：                乙方法定代表(签字)：</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 xml:space="preserve">地址：                              地址： </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电话：                              电话：</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传真：</w:t>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ab/>
      </w:r>
      <w:r>
        <w:rPr>
          <w:rFonts w:hint="eastAsia" w:hAnsi="宋体"/>
          <w:color w:val="auto"/>
          <w:sz w:val="21"/>
          <w:szCs w:val="21"/>
          <w:highlight w:val="none"/>
        </w:rPr>
        <w:t xml:space="preserve">     传真：</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开户银行：</w:t>
      </w:r>
      <w:r>
        <w:rPr>
          <w:rFonts w:hint="eastAsia" w:hAnsi="宋体"/>
          <w:color w:val="auto"/>
          <w:sz w:val="21"/>
          <w:szCs w:val="21"/>
          <w:highlight w:val="none"/>
        </w:rPr>
        <w:tab/>
      </w:r>
      <w:r>
        <w:rPr>
          <w:rFonts w:hint="eastAsia" w:hAnsi="宋体"/>
          <w:color w:val="auto"/>
          <w:sz w:val="21"/>
          <w:szCs w:val="21"/>
          <w:highlight w:val="none"/>
        </w:rPr>
        <w:t xml:space="preserve">                   开户银行：</w:t>
      </w: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账号：                              账号：</w:t>
      </w:r>
    </w:p>
    <w:p>
      <w:pPr>
        <w:spacing w:line="440" w:lineRule="exact"/>
        <w:ind w:firstLine="420" w:firstLineChars="200"/>
        <w:rPr>
          <w:rFonts w:hAnsi="宋体"/>
          <w:color w:val="auto"/>
          <w:sz w:val="21"/>
          <w:szCs w:val="21"/>
          <w:highlight w:val="none"/>
        </w:rPr>
      </w:pPr>
    </w:p>
    <w:p>
      <w:pPr>
        <w:spacing w:line="440" w:lineRule="exact"/>
        <w:ind w:firstLine="420" w:firstLineChars="200"/>
        <w:rPr>
          <w:rFonts w:hAnsi="宋体"/>
          <w:color w:val="auto"/>
          <w:sz w:val="21"/>
          <w:szCs w:val="21"/>
          <w:highlight w:val="none"/>
        </w:rPr>
      </w:pPr>
      <w:r>
        <w:rPr>
          <w:rFonts w:hint="eastAsia" w:hAnsi="宋体"/>
          <w:color w:val="auto"/>
          <w:sz w:val="21"/>
          <w:szCs w:val="21"/>
          <w:highlight w:val="none"/>
        </w:rPr>
        <w:t>签约时间：</w:t>
      </w:r>
    </w:p>
    <w:p>
      <w:pPr>
        <w:pStyle w:val="197"/>
        <w:spacing w:line="440" w:lineRule="exact"/>
        <w:rPr>
          <w:rFonts w:ascii="宋体" w:hAnsi="宋体"/>
          <w:color w:val="auto"/>
          <w:szCs w:val="21"/>
          <w:highlight w:val="none"/>
        </w:rPr>
      </w:pPr>
      <w:r>
        <w:rPr>
          <w:rFonts w:hint="eastAsia" w:ascii="宋体" w:hAnsi="宋体"/>
          <w:color w:val="auto"/>
          <w:szCs w:val="21"/>
          <w:highlight w:val="none"/>
        </w:rPr>
        <w:t>签约地点：</w:t>
      </w:r>
    </w:p>
    <w:p>
      <w:pPr>
        <w:rPr>
          <w:color w:val="auto"/>
          <w:highlight w:val="none"/>
        </w:rPr>
      </w:pPr>
      <w:r>
        <w:rPr>
          <w:color w:val="auto"/>
          <w:highlight w:val="none"/>
        </w:rPr>
        <w:br w:type="page"/>
      </w:r>
    </w:p>
    <w:p>
      <w:pPr>
        <w:jc w:val="center"/>
        <w:rPr>
          <w:rFonts w:ascii="方正小标宋简体" w:hAnsi="黑体" w:eastAsia="方正小标宋简体"/>
          <w:b/>
          <w:color w:val="auto"/>
          <w:sz w:val="44"/>
          <w:szCs w:val="44"/>
          <w:highlight w:val="none"/>
        </w:rPr>
      </w:pPr>
      <w:r>
        <w:rPr>
          <w:rFonts w:hint="eastAsia" w:ascii="方正小标宋简体" w:hAnsi="黑体" w:eastAsia="方正小标宋简体"/>
          <w:b/>
          <w:color w:val="auto"/>
          <w:sz w:val="44"/>
          <w:szCs w:val="44"/>
          <w:highlight w:val="none"/>
        </w:rPr>
        <w:t>阳光合作协议</w:t>
      </w:r>
    </w:p>
    <w:p>
      <w:pPr>
        <w:autoSpaceDE/>
        <w:autoSpaceDN/>
        <w:adjustRightInd/>
        <w:spacing w:line="360" w:lineRule="auto"/>
        <w:ind w:firstLine="562" w:firstLineChars="200"/>
        <w:jc w:val="center"/>
        <w:rPr>
          <w:b/>
          <w:color w:val="auto"/>
          <w:sz w:val="28"/>
          <w:szCs w:val="28"/>
          <w:highlight w:val="none"/>
        </w:rPr>
      </w:pPr>
    </w:p>
    <w:p>
      <w:pPr>
        <w:autoSpaceDE/>
        <w:autoSpaceDN/>
        <w:adjustRightInd/>
        <w:spacing w:before="163" w:beforeLines="50" w:after="163" w:afterLines="50" w:line="360" w:lineRule="auto"/>
        <w:ind w:firstLine="480" w:firstLineChars="200"/>
        <w:contextualSpacing/>
        <w:rPr>
          <w:rFonts w:hAnsi="宋体"/>
          <w:color w:val="auto"/>
          <w:szCs w:val="21"/>
          <w:highlight w:val="none"/>
          <w:u w:val="single"/>
        </w:rPr>
      </w:pPr>
      <w:r>
        <w:rPr>
          <w:rFonts w:hint="eastAsia" w:hAnsi="宋体"/>
          <w:color w:val="auto"/>
          <w:szCs w:val="21"/>
          <w:highlight w:val="none"/>
        </w:rPr>
        <w:t>甲方：</w:t>
      </w:r>
      <w:r>
        <w:rPr>
          <w:rFonts w:hint="eastAsia" w:hAnsi="宋体"/>
          <w:color w:val="auto"/>
          <w:szCs w:val="21"/>
          <w:highlight w:val="none"/>
          <w:u w:val="single"/>
        </w:rPr>
        <w:t xml:space="preserve">                                </w:t>
      </w:r>
    </w:p>
    <w:p>
      <w:pPr>
        <w:autoSpaceDE/>
        <w:autoSpaceDN/>
        <w:adjustRightInd/>
        <w:spacing w:before="163" w:beforeLines="50" w:after="163" w:afterLines="50" w:line="360" w:lineRule="auto"/>
        <w:ind w:firstLine="480" w:firstLineChars="200"/>
        <w:contextualSpacing/>
        <w:rPr>
          <w:rFonts w:hAnsi="宋体"/>
          <w:color w:val="auto"/>
          <w:szCs w:val="21"/>
          <w:highlight w:val="none"/>
          <w:u w:val="single"/>
        </w:rPr>
      </w:pPr>
      <w:r>
        <w:rPr>
          <w:rFonts w:hint="eastAsia" w:hAnsi="宋体"/>
          <w:color w:val="auto"/>
          <w:szCs w:val="21"/>
          <w:highlight w:val="none"/>
          <w:u w:val="single"/>
        </w:rPr>
        <w:t xml:space="preserve">    </w:t>
      </w:r>
    </w:p>
    <w:p>
      <w:pPr>
        <w:autoSpaceDE/>
        <w:autoSpaceDN/>
        <w:adjustRightInd/>
        <w:spacing w:before="163" w:beforeLines="50" w:after="163" w:afterLines="50" w:line="360" w:lineRule="auto"/>
        <w:ind w:firstLine="480" w:firstLineChars="200"/>
        <w:contextualSpacing/>
        <w:rPr>
          <w:rFonts w:hAnsi="宋体"/>
          <w:color w:val="auto"/>
          <w:szCs w:val="21"/>
          <w:highlight w:val="none"/>
        </w:rPr>
      </w:pPr>
      <w:r>
        <w:rPr>
          <w:rFonts w:hint="eastAsia" w:hAnsi="宋体"/>
          <w:color w:val="auto"/>
          <w:szCs w:val="21"/>
          <w:highlight w:val="none"/>
        </w:rPr>
        <w:t>乙方：</w:t>
      </w:r>
      <w:r>
        <w:rPr>
          <w:rFonts w:hint="eastAsia" w:hAnsi="宋体"/>
          <w:color w:val="auto"/>
          <w:szCs w:val="21"/>
          <w:highlight w:val="none"/>
          <w:u w:val="single"/>
        </w:rPr>
        <w:t xml:space="preserve">                                      </w:t>
      </w:r>
      <w:r>
        <w:rPr>
          <w:rFonts w:hAnsi="宋体"/>
          <w:color w:val="auto"/>
          <w:szCs w:val="21"/>
          <w:highlight w:val="none"/>
        </w:rPr>
        <w:t xml:space="preserve"> </w:t>
      </w:r>
    </w:p>
    <w:p>
      <w:pPr>
        <w:autoSpaceDE/>
        <w:autoSpaceDN/>
        <w:adjustRightInd/>
        <w:spacing w:before="163" w:beforeLines="50" w:after="163" w:afterLines="50" w:line="360" w:lineRule="auto"/>
        <w:ind w:firstLine="480" w:firstLineChars="200"/>
        <w:contextualSpacing/>
        <w:rPr>
          <w:color w:val="auto"/>
          <w:highlight w:val="none"/>
        </w:rPr>
      </w:pPr>
    </w:p>
    <w:p>
      <w:pPr>
        <w:autoSpaceDE/>
        <w:autoSpaceDN/>
        <w:adjustRightInd/>
        <w:spacing w:before="163" w:beforeLines="50" w:after="163" w:afterLines="50" w:line="360" w:lineRule="auto"/>
        <w:ind w:firstLine="480" w:firstLineChars="200"/>
        <w:contextualSpacing/>
        <w:rPr>
          <w:color w:val="auto"/>
          <w:highlight w:val="none"/>
        </w:rPr>
      </w:pPr>
      <w:r>
        <w:rPr>
          <w:rFonts w:hint="eastAsia" w:hAnsi="宋体"/>
          <w:color w:val="auto"/>
          <w:highlight w:val="none"/>
        </w:rPr>
        <w:t>甲乙双方于</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日签署了《……合同》（以下简称原合同），为加强双方阳光合作，保证职员职业安全，甲乙双方经协商签订本协议并作为双方共同遵守的阳光合作行为准则。</w:t>
      </w:r>
    </w:p>
    <w:p>
      <w:pPr>
        <w:widowControl/>
        <w:autoSpaceDE/>
        <w:autoSpaceDN/>
        <w:adjustRightInd/>
        <w:spacing w:before="163" w:beforeLines="50" w:after="163" w:afterLines="50" w:line="360" w:lineRule="auto"/>
        <w:ind w:left="480" w:leftChars="200"/>
        <w:contextualSpacing/>
        <w:rPr>
          <w:rFonts w:hAnsi="宋体"/>
          <w:b/>
          <w:color w:val="auto"/>
          <w:highlight w:val="none"/>
        </w:rPr>
      </w:pPr>
      <w:r>
        <w:rPr>
          <w:rFonts w:hint="eastAsia" w:hAnsi="宋体"/>
          <w:b/>
          <w:color w:val="auto"/>
          <w:highlight w:val="none"/>
        </w:rPr>
        <w:t>一、甲方责任</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1.甲方有责任向乙方介绍本单位有关采购管理通用原则和本协议的规定。</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2.甲方有责任对本单位相关人员进行阳光合作教育。</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4.甲方人员如违反阳光合作管理制度及本协议规定，甲方视情节轻重、影响大小给予行政及经济处罚。</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5．对于乙方举报甲方人员违反阳光合作规定的情况，甲方应及时进行调查，根据调查情况进行处理，并将调查结果向乙方反馈。</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6.接受举报的一方应为举报方保密，不得对举报方进行报复，对举报属实和严格遵守《阳光合作协议》的合作方，在同等条件下给予后续合作的优先权。</w:t>
      </w:r>
    </w:p>
    <w:p>
      <w:pPr>
        <w:widowControl/>
        <w:autoSpaceDE/>
        <w:autoSpaceDN/>
        <w:adjustRightInd/>
        <w:spacing w:before="163" w:beforeLines="50" w:after="163" w:afterLines="50" w:line="360" w:lineRule="auto"/>
        <w:ind w:left="480" w:leftChars="200"/>
        <w:contextualSpacing/>
        <w:rPr>
          <w:rFonts w:hAnsi="宋体"/>
          <w:b/>
          <w:color w:val="auto"/>
          <w:highlight w:val="none"/>
        </w:rPr>
      </w:pPr>
      <w:r>
        <w:rPr>
          <w:rFonts w:hint="eastAsia" w:hAnsi="宋体"/>
          <w:b/>
          <w:color w:val="auto"/>
          <w:highlight w:val="none"/>
        </w:rPr>
        <w:t>二、乙方责任</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1.乙方应保证乙方人员了解甲方有关采购管理通用原则和及本协议的规定，并遵照执行。</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2.乙方不得以任何形式给予甲方人员回扣、赠送实物、现金、有价证券、礼券等有价物品或提供旅游等其他可能影响职务行为公正履行的活动（以下统称“财物”）。</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3.乙方有责任接受甲方对乙方在合作期间阳光合作管理执行情况的监督，并对甲方相关调查工作主动配合。</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 xml:space="preserve">5．甲方接受乙方实名或匿名举报，保证为举报者的信息保密，常设举报部门及电话： </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举报受理部门：东莞实业投资控股集团有限公司法律合规部</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东实集团举报邮箱：dgsyxf@163.com</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东实集团举报电话：0769-28820703（周一至周五9:00-12:00和14:00-18:00）</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邮寄地址：东莞市东城区八一路1号机关二号大院9号楼，东莞实业投资控股集团有限公司法律合规部收，邮编523000。</w:t>
      </w:r>
    </w:p>
    <w:p>
      <w:pPr>
        <w:widowControl/>
        <w:autoSpaceDE/>
        <w:autoSpaceDN/>
        <w:adjustRightInd/>
        <w:spacing w:before="163" w:beforeLines="50" w:after="163" w:afterLines="50" w:line="360" w:lineRule="auto"/>
        <w:ind w:left="480" w:leftChars="200"/>
        <w:contextualSpacing/>
        <w:rPr>
          <w:rFonts w:hAnsi="宋体"/>
          <w:b/>
          <w:color w:val="auto"/>
          <w:highlight w:val="none"/>
        </w:rPr>
      </w:pPr>
      <w:r>
        <w:rPr>
          <w:rFonts w:hint="eastAsia" w:hAnsi="宋体"/>
          <w:b/>
          <w:color w:val="auto"/>
          <w:highlight w:val="none"/>
        </w:rPr>
        <w:t>三、其他</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1.本协议是原合同的补充协议，与原合同有同等法律效力。</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2.</w:t>
      </w:r>
      <w:r>
        <w:rPr>
          <w:rFonts w:hAnsi="宋体"/>
          <w:color w:val="auto"/>
          <w:highlight w:val="none"/>
        </w:rPr>
        <w:t>本</w:t>
      </w:r>
      <w:r>
        <w:rPr>
          <w:rFonts w:hint="eastAsia" w:hAnsi="宋体"/>
          <w:color w:val="auto"/>
          <w:highlight w:val="none"/>
        </w:rPr>
        <w:t>协议</w:t>
      </w:r>
      <w:r>
        <w:rPr>
          <w:rFonts w:hAnsi="宋体"/>
          <w:color w:val="auto"/>
          <w:highlight w:val="none"/>
        </w:rPr>
        <w:t>一式</w:t>
      </w:r>
      <w:r>
        <w:rPr>
          <w:rFonts w:hint="eastAsia" w:hAnsi="宋体"/>
          <w:color w:val="auto"/>
          <w:highlight w:val="none"/>
        </w:rPr>
        <w:t>四</w:t>
      </w:r>
      <w:r>
        <w:rPr>
          <w:rFonts w:hAnsi="宋体"/>
          <w:color w:val="auto"/>
          <w:highlight w:val="none"/>
        </w:rPr>
        <w:t>份，甲方执</w:t>
      </w:r>
      <w:r>
        <w:rPr>
          <w:rFonts w:hint="eastAsia" w:hAnsi="宋体"/>
          <w:color w:val="auto"/>
          <w:highlight w:val="none"/>
        </w:rPr>
        <w:t>贰</w:t>
      </w:r>
      <w:r>
        <w:rPr>
          <w:rFonts w:hAnsi="宋体"/>
          <w:color w:val="auto"/>
          <w:highlight w:val="none"/>
        </w:rPr>
        <w:t>份，乙方执</w:t>
      </w:r>
      <w:r>
        <w:rPr>
          <w:rFonts w:hint="eastAsia" w:hAnsi="宋体"/>
          <w:color w:val="auto"/>
          <w:highlight w:val="none"/>
        </w:rPr>
        <w:t>贰</w:t>
      </w:r>
      <w:r>
        <w:rPr>
          <w:rFonts w:hAnsi="宋体"/>
          <w:color w:val="auto"/>
          <w:highlight w:val="none"/>
        </w:rPr>
        <w:t>份</w:t>
      </w:r>
      <w:r>
        <w:rPr>
          <w:rFonts w:hint="eastAsia" w:hAnsi="宋体"/>
          <w:color w:val="auto"/>
          <w:highlight w:val="none"/>
        </w:rPr>
        <w:t>,具有同等法律效力。</w:t>
      </w:r>
    </w:p>
    <w:p>
      <w:pPr>
        <w:autoSpaceDE/>
        <w:autoSpaceDN/>
        <w:adjustRightInd/>
        <w:spacing w:before="163" w:beforeLines="50" w:after="163" w:afterLines="50" w:line="360" w:lineRule="auto"/>
        <w:ind w:left="120" w:leftChars="50" w:firstLine="480" w:firstLineChars="200"/>
        <w:contextualSpacing/>
        <w:rPr>
          <w:rFonts w:hAnsi="宋体"/>
          <w:color w:val="auto"/>
          <w:highlight w:val="none"/>
        </w:rPr>
      </w:pPr>
      <w:r>
        <w:rPr>
          <w:rFonts w:hint="eastAsia" w:hAnsi="宋体"/>
          <w:color w:val="auto"/>
          <w:highlight w:val="none"/>
        </w:rPr>
        <w:t>3.本协议经双方签署后生效。</w:t>
      </w:r>
    </w:p>
    <w:p>
      <w:pPr>
        <w:autoSpaceDE/>
        <w:autoSpaceDN/>
        <w:adjustRightInd/>
        <w:spacing w:before="163" w:beforeLines="50" w:after="163" w:afterLines="50" w:line="360" w:lineRule="auto"/>
        <w:ind w:firstLine="480" w:firstLineChars="200"/>
        <w:contextualSpacing/>
        <w:rPr>
          <w:rFonts w:hAnsi="宋体"/>
          <w:color w:val="auto"/>
          <w:highlight w:val="none"/>
        </w:rPr>
      </w:pPr>
    </w:p>
    <w:p>
      <w:pPr>
        <w:autoSpaceDE/>
        <w:autoSpaceDN/>
        <w:adjustRightInd/>
        <w:spacing w:before="163" w:beforeLines="50" w:after="163" w:afterLines="50" w:line="360" w:lineRule="auto"/>
        <w:ind w:firstLine="480" w:firstLineChars="200"/>
        <w:contextualSpacing/>
        <w:rPr>
          <w:color w:val="auto"/>
          <w:highlight w:val="none"/>
        </w:rPr>
      </w:pPr>
      <w:r>
        <w:rPr>
          <w:rFonts w:hint="eastAsia" w:hAnsi="宋体"/>
          <w:color w:val="auto"/>
          <w:highlight w:val="none"/>
        </w:rPr>
        <w:t>甲方（盖章）：                      乙方（盖章）：</w:t>
      </w:r>
      <w:r>
        <w:rPr>
          <w:color w:val="auto"/>
          <w:highlight w:val="none"/>
        </w:rPr>
        <w:t xml:space="preserve"> </w:t>
      </w:r>
    </w:p>
    <w:p>
      <w:pPr>
        <w:autoSpaceDE/>
        <w:autoSpaceDN/>
        <w:adjustRightInd/>
        <w:spacing w:before="163" w:beforeLines="50" w:after="163" w:afterLines="50" w:line="360" w:lineRule="auto"/>
        <w:ind w:firstLine="480" w:firstLineChars="200"/>
        <w:contextualSpacing/>
        <w:rPr>
          <w:rFonts w:hAnsi="宋体"/>
          <w:color w:val="auto"/>
          <w:highlight w:val="none"/>
        </w:rPr>
      </w:pPr>
    </w:p>
    <w:p>
      <w:pPr>
        <w:autoSpaceDE/>
        <w:autoSpaceDN/>
        <w:adjustRightInd/>
        <w:spacing w:before="163" w:beforeLines="50" w:after="163" w:afterLines="50" w:line="360" w:lineRule="auto"/>
        <w:ind w:firstLine="480" w:firstLineChars="200"/>
        <w:contextualSpacing/>
        <w:rPr>
          <w:color w:val="auto"/>
          <w:highlight w:val="none"/>
        </w:rPr>
      </w:pPr>
      <w:r>
        <w:rPr>
          <w:rFonts w:hint="eastAsia" w:hAnsi="宋体"/>
          <w:color w:val="auto"/>
          <w:highlight w:val="none"/>
        </w:rPr>
        <w:t>法定代表人（授权代表）：</w:t>
      </w:r>
      <w:r>
        <w:rPr>
          <w:rFonts w:hint="eastAsia"/>
          <w:color w:val="auto"/>
          <w:highlight w:val="none"/>
        </w:rPr>
        <w:tab/>
      </w:r>
      <w:r>
        <w:rPr>
          <w:rFonts w:hint="eastAsia"/>
          <w:color w:val="auto"/>
          <w:highlight w:val="none"/>
        </w:rPr>
        <w:tab/>
      </w:r>
      <w:r>
        <w:rPr>
          <w:rFonts w:hint="eastAsia"/>
          <w:color w:val="auto"/>
          <w:highlight w:val="none"/>
        </w:rPr>
        <w:t xml:space="preserve">  </w:t>
      </w:r>
      <w:r>
        <w:rPr>
          <w:rFonts w:hint="eastAsia"/>
          <w:color w:val="auto"/>
          <w:highlight w:val="none"/>
        </w:rPr>
        <w:tab/>
      </w:r>
      <w:r>
        <w:rPr>
          <w:rFonts w:hint="eastAsia"/>
          <w:color w:val="auto"/>
          <w:highlight w:val="none"/>
        </w:rPr>
        <w:t xml:space="preserve">   </w:t>
      </w:r>
      <w:r>
        <w:rPr>
          <w:rFonts w:hint="eastAsia" w:hAnsi="宋体"/>
          <w:color w:val="auto"/>
          <w:highlight w:val="none"/>
        </w:rPr>
        <w:t>法定代表人（授权代表）：</w:t>
      </w:r>
    </w:p>
    <w:p>
      <w:pPr>
        <w:autoSpaceDE/>
        <w:autoSpaceDN/>
        <w:adjustRightInd/>
        <w:spacing w:before="163" w:beforeLines="50" w:after="163" w:afterLines="50" w:line="360" w:lineRule="auto"/>
        <w:ind w:firstLine="480" w:firstLineChars="200"/>
        <w:contextualSpacing/>
        <w:rPr>
          <w:rFonts w:hAnsi="宋体"/>
          <w:color w:val="auto"/>
          <w:highlight w:val="none"/>
        </w:rPr>
      </w:pPr>
    </w:p>
    <w:p>
      <w:pPr>
        <w:autoSpaceDE/>
        <w:autoSpaceDN/>
        <w:adjustRightInd/>
        <w:spacing w:before="163" w:beforeLines="50" w:after="163" w:afterLines="50" w:line="360" w:lineRule="auto"/>
        <w:ind w:firstLine="480" w:firstLineChars="200"/>
        <w:contextualSpacing/>
        <w:rPr>
          <w:color w:val="auto"/>
          <w:highlight w:val="none"/>
        </w:rPr>
      </w:pPr>
      <w:r>
        <w:rPr>
          <w:rFonts w:hint="eastAsia" w:hAnsi="宋体"/>
          <w:color w:val="auto"/>
          <w:highlight w:val="none"/>
        </w:rPr>
        <w:t>签约日期：   年   月   日</w:t>
      </w:r>
      <w:bookmarkStart w:id="181" w:name="设计变更通知单"/>
      <w:bookmarkEnd w:id="181"/>
      <w:bookmarkStart w:id="182" w:name="现场签证通知单"/>
      <w:bookmarkEnd w:id="182"/>
      <w:r>
        <w:rPr>
          <w:color w:val="auto"/>
          <w:highlight w:val="none"/>
        </w:rPr>
        <w:tab/>
      </w:r>
      <w:r>
        <w:rPr>
          <w:color w:val="auto"/>
          <w:highlight w:val="none"/>
        </w:rPr>
        <w:t xml:space="preserve">    </w:t>
      </w:r>
      <w:r>
        <w:rPr>
          <w:rFonts w:hint="eastAsia"/>
          <w:color w:val="auto"/>
          <w:highlight w:val="none"/>
        </w:rPr>
        <w:t xml:space="preserve">   </w:t>
      </w:r>
      <w:r>
        <w:rPr>
          <w:rFonts w:hint="eastAsia" w:hAnsi="宋体"/>
          <w:color w:val="auto"/>
          <w:highlight w:val="none"/>
        </w:rPr>
        <w:t>签约日期：   年   月   日</w:t>
      </w:r>
    </w:p>
    <w:p>
      <w:pPr>
        <w:autoSpaceDE/>
        <w:autoSpaceDN/>
        <w:adjustRightInd/>
        <w:spacing w:before="163" w:beforeLines="50" w:after="163" w:afterLines="50" w:line="360" w:lineRule="auto"/>
        <w:ind w:firstLine="420" w:firstLineChars="200"/>
        <w:contextualSpacing/>
        <w:rPr>
          <w:color w:val="auto"/>
          <w:sz w:val="21"/>
          <w:szCs w:val="21"/>
          <w:highlight w:val="none"/>
        </w:rPr>
      </w:pPr>
    </w:p>
    <w:p>
      <w:pPr>
        <w:spacing w:before="163" w:beforeLines="50" w:after="163" w:afterLines="50" w:line="360" w:lineRule="auto"/>
        <w:ind w:firstLine="420" w:firstLineChars="200"/>
        <w:contextualSpacing/>
        <w:rPr>
          <w:rFonts w:hAnsi="宋体"/>
          <w:color w:val="auto"/>
          <w:sz w:val="21"/>
          <w:szCs w:val="21"/>
          <w:highlight w:val="none"/>
        </w:rPr>
      </w:pPr>
    </w:p>
    <w:p>
      <w:pPr>
        <w:pStyle w:val="2"/>
        <w:rPr>
          <w:rFonts w:hAnsi="宋体"/>
          <w:color w:val="auto"/>
          <w:sz w:val="21"/>
          <w:szCs w:val="21"/>
          <w:highlight w:val="none"/>
        </w:rPr>
      </w:pPr>
    </w:p>
    <w:p>
      <w:pPr>
        <w:pStyle w:val="5"/>
        <w:keepNext/>
        <w:keepLines/>
        <w:pageBreakBefore/>
        <w:spacing w:line="360" w:lineRule="auto"/>
        <w:jc w:val="center"/>
        <w:rPr>
          <w:rFonts w:hAnsi="宋体"/>
          <w:b/>
          <w:bCs/>
          <w:color w:val="auto"/>
          <w:kern w:val="44"/>
          <w:sz w:val="28"/>
          <w:szCs w:val="28"/>
          <w:highlight w:val="none"/>
          <w:lang w:val="zh-CN"/>
        </w:rPr>
      </w:pPr>
      <w:bookmarkStart w:id="183" w:name="_Toc9129"/>
      <w:bookmarkStart w:id="184" w:name="_Toc396137242"/>
      <w:bookmarkStart w:id="185" w:name="_Toc8470"/>
      <w:r>
        <w:rPr>
          <w:rFonts w:hint="eastAsia" w:hAnsi="宋体"/>
          <w:b/>
          <w:bCs/>
          <w:color w:val="auto"/>
          <w:kern w:val="44"/>
          <w:sz w:val="28"/>
          <w:szCs w:val="28"/>
          <w:highlight w:val="none"/>
          <w:lang w:val="zh-CN"/>
        </w:rPr>
        <w:t>第六篇磋商响应文件格式</w:t>
      </w:r>
      <w:bookmarkEnd w:id="183"/>
      <w:bookmarkEnd w:id="184"/>
      <w:bookmarkEnd w:id="185"/>
    </w:p>
    <w:p>
      <w:pPr>
        <w:ind w:firstLine="1800" w:firstLineChars="750"/>
        <w:rPr>
          <w:rFonts w:hAnsi="宋体"/>
          <w:color w:val="auto"/>
          <w:highlight w:val="none"/>
        </w:rPr>
      </w:pPr>
    </w:p>
    <w:p>
      <w:pPr>
        <w:pStyle w:val="6"/>
        <w:jc w:val="center"/>
        <w:rPr>
          <w:color w:val="auto"/>
          <w:sz w:val="28"/>
          <w:szCs w:val="28"/>
          <w:highlight w:val="none"/>
        </w:rPr>
      </w:pPr>
      <w:bookmarkStart w:id="186" w:name="_Toc19311"/>
      <w:bookmarkStart w:id="187" w:name="_Toc9566"/>
      <w:r>
        <w:rPr>
          <w:rFonts w:hint="eastAsia"/>
          <w:color w:val="auto"/>
          <w:sz w:val="28"/>
          <w:szCs w:val="28"/>
          <w:highlight w:val="none"/>
        </w:rPr>
        <w:t>第一部分 价格文件（单独编制装订成册）</w:t>
      </w:r>
      <w:bookmarkEnd w:id="186"/>
      <w:bookmarkEnd w:id="187"/>
    </w:p>
    <w:p>
      <w:pPr>
        <w:ind w:firstLine="1800" w:firstLineChars="750"/>
        <w:rPr>
          <w:rFonts w:hAnsi="宋体"/>
          <w:color w:val="auto"/>
          <w:highlight w:val="none"/>
        </w:rPr>
      </w:pPr>
    </w:p>
    <w:p>
      <w:pPr>
        <w:pStyle w:val="6"/>
        <w:numPr>
          <w:ilvl w:val="0"/>
          <w:numId w:val="25"/>
        </w:numPr>
        <w:jc w:val="center"/>
        <w:rPr>
          <w:color w:val="auto"/>
          <w:sz w:val="28"/>
          <w:szCs w:val="28"/>
          <w:highlight w:val="none"/>
        </w:rPr>
      </w:pPr>
      <w:bookmarkStart w:id="188" w:name="_Toc20730"/>
      <w:bookmarkStart w:id="189" w:name="_Toc12373"/>
      <w:bookmarkStart w:id="190" w:name="_Toc7897888"/>
      <w:bookmarkStart w:id="191" w:name="_Toc21786"/>
      <w:bookmarkStart w:id="192" w:name="_Toc486671573"/>
      <w:bookmarkStart w:id="193" w:name="_Toc458262639"/>
      <w:bookmarkStart w:id="194" w:name="_Toc467236769"/>
      <w:bookmarkStart w:id="195" w:name="_Toc476976201"/>
      <w:bookmarkStart w:id="196" w:name="_Toc454701406"/>
      <w:bookmarkStart w:id="197" w:name="_Toc29841"/>
      <w:bookmarkStart w:id="198" w:name="_Toc2544"/>
      <w:bookmarkStart w:id="199" w:name="_Toc32405"/>
      <w:bookmarkStart w:id="200" w:name="_Toc30637"/>
      <w:bookmarkStart w:id="201" w:name="_Toc12383"/>
      <w:bookmarkStart w:id="202" w:name="_Toc18848"/>
      <w:bookmarkStart w:id="203" w:name="_Toc15960"/>
      <w:bookmarkStart w:id="204" w:name="_Toc32273"/>
      <w:bookmarkStart w:id="205" w:name="_Toc9348"/>
      <w:bookmarkStart w:id="206" w:name="_Toc396137244"/>
      <w:bookmarkStart w:id="207" w:name="_Toc19671"/>
      <w:bookmarkStart w:id="208" w:name="_Toc32736"/>
      <w:bookmarkStart w:id="209" w:name="_Toc28095"/>
      <w:r>
        <w:rPr>
          <w:rFonts w:hint="eastAsia"/>
          <w:color w:val="auto"/>
          <w:sz w:val="28"/>
          <w:szCs w:val="28"/>
          <w:highlight w:val="none"/>
        </w:rPr>
        <w:t>报价一览表</w:t>
      </w:r>
      <w:bookmarkEnd w:id="188"/>
      <w:bookmarkEnd w:id="189"/>
      <w:bookmarkEnd w:id="190"/>
      <w:bookmarkEnd w:id="191"/>
    </w:p>
    <w:p>
      <w:pPr>
        <w:pStyle w:val="8"/>
        <w:ind w:firstLine="400"/>
        <w:rPr>
          <w:rFonts w:hAnsi="宋体"/>
          <w:color w:val="auto"/>
          <w:highlight w:val="none"/>
        </w:rPr>
      </w:pPr>
    </w:p>
    <w:p>
      <w:pPr>
        <w:overflowPunct w:val="0"/>
        <w:spacing w:line="460" w:lineRule="exact"/>
        <w:jc w:val="right"/>
        <w:rPr>
          <w:rFonts w:hAnsi="宋体"/>
          <w:color w:val="auto"/>
          <w:highlight w:val="none"/>
        </w:rPr>
      </w:pPr>
      <w:r>
        <w:rPr>
          <w:rFonts w:hint="eastAsia" w:hAnsi="宋体"/>
          <w:color w:val="auto"/>
          <w:highlight w:val="none"/>
        </w:rPr>
        <w:t>单位：元/（人民币）</w:t>
      </w:r>
    </w:p>
    <w:tbl>
      <w:tblPr>
        <w:tblStyle w:val="51"/>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57"/>
        <w:gridCol w:w="3883"/>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jc w:val="center"/>
        </w:trPr>
        <w:tc>
          <w:tcPr>
            <w:tcW w:w="1134"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序号</w:t>
            </w:r>
          </w:p>
        </w:tc>
        <w:tc>
          <w:tcPr>
            <w:tcW w:w="2457"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项目</w:t>
            </w:r>
          </w:p>
        </w:tc>
        <w:tc>
          <w:tcPr>
            <w:tcW w:w="3883" w:type="dxa"/>
            <w:vAlign w:val="center"/>
          </w:tcPr>
          <w:p>
            <w:pPr>
              <w:overflowPunct w:val="0"/>
              <w:spacing w:line="460" w:lineRule="exact"/>
              <w:jc w:val="center"/>
              <w:rPr>
                <w:rFonts w:hAnsi="宋体"/>
                <w:b/>
                <w:color w:val="auto"/>
                <w:sz w:val="21"/>
                <w:szCs w:val="21"/>
                <w:highlight w:val="none"/>
              </w:rPr>
            </w:pPr>
            <w:r>
              <w:rPr>
                <w:rFonts w:hint="eastAsia" w:hAnsi="宋体"/>
                <w:b/>
                <w:color w:val="auto"/>
                <w:sz w:val="21"/>
                <w:szCs w:val="21"/>
                <w:highlight w:val="none"/>
              </w:rPr>
              <w:t>总报价</w:t>
            </w:r>
          </w:p>
        </w:tc>
        <w:tc>
          <w:tcPr>
            <w:tcW w:w="1995" w:type="dxa"/>
            <w:vAlign w:val="center"/>
          </w:tcPr>
          <w:p>
            <w:pPr>
              <w:overflowPunct w:val="0"/>
              <w:jc w:val="center"/>
              <w:rPr>
                <w:rFonts w:hAnsi="宋体"/>
                <w:b/>
                <w:color w:val="auto"/>
                <w:sz w:val="21"/>
                <w:szCs w:val="21"/>
                <w:highlight w:val="none"/>
              </w:rPr>
            </w:pPr>
            <w:r>
              <w:rPr>
                <w:rFonts w:hint="eastAsia" w:hAnsi="宋体"/>
                <w:b/>
                <w:color w:val="auto"/>
                <w:sz w:val="21"/>
                <w:szCs w:val="21"/>
                <w:highlight w:val="none"/>
              </w:rPr>
              <w:t>备注</w:t>
            </w:r>
          </w:p>
          <w:p>
            <w:pPr>
              <w:overflowPunct w:val="0"/>
              <w:jc w:val="center"/>
              <w:rPr>
                <w:rFonts w:hAnsi="宋体"/>
                <w:b/>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1134" w:type="dxa"/>
            <w:vMerge w:val="restart"/>
            <w:vAlign w:val="center"/>
          </w:tcPr>
          <w:p>
            <w:pPr>
              <w:overflowPunct w:val="0"/>
              <w:spacing w:line="460" w:lineRule="exact"/>
              <w:jc w:val="center"/>
              <w:rPr>
                <w:rFonts w:hAnsi="宋体"/>
                <w:color w:val="auto"/>
                <w:sz w:val="21"/>
                <w:szCs w:val="21"/>
                <w:highlight w:val="none"/>
              </w:rPr>
            </w:pPr>
          </w:p>
        </w:tc>
        <w:tc>
          <w:tcPr>
            <w:tcW w:w="2457" w:type="dxa"/>
            <w:vMerge w:val="restart"/>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ind w:firstLine="210" w:firstLineChars="100"/>
              <w:jc w:val="both"/>
              <w:rPr>
                <w:color w:val="auto"/>
                <w:sz w:val="21"/>
                <w:szCs w:val="21"/>
                <w:highlight w:val="none"/>
              </w:rPr>
            </w:pPr>
            <w:r>
              <w:rPr>
                <w:rFonts w:hint="eastAsia"/>
                <w:color w:val="auto"/>
                <w:sz w:val="21"/>
                <w:szCs w:val="21"/>
                <w:highlight w:val="none"/>
              </w:rPr>
              <w:t>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6" w:hRule="atLeast"/>
          <w:jc w:val="center"/>
        </w:trPr>
        <w:tc>
          <w:tcPr>
            <w:tcW w:w="1134" w:type="dxa"/>
            <w:vMerge w:val="continue"/>
            <w:vAlign w:val="center"/>
          </w:tcPr>
          <w:p>
            <w:pPr>
              <w:overflowPunct w:val="0"/>
              <w:spacing w:line="460" w:lineRule="exact"/>
              <w:jc w:val="center"/>
              <w:rPr>
                <w:rFonts w:hAnsi="宋体"/>
                <w:color w:val="auto"/>
                <w:sz w:val="21"/>
                <w:szCs w:val="21"/>
                <w:highlight w:val="none"/>
              </w:rPr>
            </w:pPr>
          </w:p>
        </w:tc>
        <w:tc>
          <w:tcPr>
            <w:tcW w:w="2457" w:type="dxa"/>
            <w:vMerge w:val="continue"/>
            <w:vAlign w:val="center"/>
          </w:tcPr>
          <w:p>
            <w:pPr>
              <w:overflowPunct w:val="0"/>
              <w:spacing w:line="460" w:lineRule="exact"/>
              <w:jc w:val="center"/>
              <w:rPr>
                <w:rFonts w:hAnsi="宋体"/>
                <w:color w:val="auto"/>
                <w:sz w:val="21"/>
                <w:szCs w:val="21"/>
                <w:highlight w:val="none"/>
              </w:rPr>
            </w:pPr>
          </w:p>
        </w:tc>
        <w:tc>
          <w:tcPr>
            <w:tcW w:w="3883" w:type="dxa"/>
            <w:vAlign w:val="center"/>
          </w:tcPr>
          <w:p>
            <w:pPr>
              <w:overflowPunct w:val="0"/>
              <w:spacing w:line="460" w:lineRule="exact"/>
              <w:jc w:val="both"/>
              <w:rPr>
                <w:color w:val="auto"/>
                <w:sz w:val="21"/>
                <w:szCs w:val="21"/>
                <w:highlight w:val="none"/>
              </w:rPr>
            </w:pPr>
            <w:r>
              <w:rPr>
                <w:rFonts w:hint="eastAsia"/>
                <w:color w:val="auto"/>
                <w:sz w:val="21"/>
                <w:szCs w:val="21"/>
                <w:highlight w:val="none"/>
              </w:rPr>
              <w:t>不含税报价：</w:t>
            </w:r>
          </w:p>
          <w:p>
            <w:pPr>
              <w:pStyle w:val="61"/>
              <w:ind w:firstLine="630" w:firstLineChars="300"/>
              <w:rPr>
                <w:color w:val="auto"/>
                <w:sz w:val="21"/>
                <w:szCs w:val="21"/>
                <w:highlight w:val="none"/>
                <w:lang w:val="en-US"/>
              </w:rPr>
            </w:pPr>
            <w:r>
              <w:rPr>
                <w:rFonts w:hint="eastAsia"/>
                <w:color w:val="auto"/>
                <w:sz w:val="21"/>
                <w:szCs w:val="21"/>
                <w:highlight w:val="none"/>
                <w:lang w:val="en-US"/>
              </w:rPr>
              <w:t xml:space="preserve">小写：  </w:t>
            </w:r>
          </w:p>
          <w:p>
            <w:pPr>
              <w:pStyle w:val="61"/>
              <w:ind w:firstLine="630" w:firstLineChars="300"/>
              <w:rPr>
                <w:color w:val="auto"/>
                <w:sz w:val="21"/>
                <w:szCs w:val="21"/>
                <w:highlight w:val="none"/>
              </w:rPr>
            </w:pPr>
            <w:r>
              <w:rPr>
                <w:rFonts w:hint="eastAsia"/>
                <w:color w:val="auto"/>
                <w:sz w:val="21"/>
                <w:szCs w:val="21"/>
                <w:highlight w:val="none"/>
                <w:lang w:val="en-US"/>
              </w:rPr>
              <w:t>大写：</w:t>
            </w:r>
          </w:p>
        </w:tc>
        <w:tc>
          <w:tcPr>
            <w:tcW w:w="1995" w:type="dxa"/>
            <w:vAlign w:val="center"/>
          </w:tcPr>
          <w:p>
            <w:pPr>
              <w:overflowPunct w:val="0"/>
              <w:spacing w:line="460" w:lineRule="exact"/>
              <w:jc w:val="center"/>
              <w:rPr>
                <w:rFonts w:hAnsi="宋体"/>
                <w:color w:val="auto"/>
                <w:sz w:val="21"/>
                <w:szCs w:val="21"/>
                <w:highlight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137"/>
        <w:spacing w:line="460" w:lineRule="exact"/>
        <w:ind w:firstLine="1583" w:firstLineChars="754"/>
        <w:rPr>
          <w:rFonts w:ascii="宋体" w:eastAsia="宋体"/>
          <w:color w:val="auto"/>
          <w:sz w:val="21"/>
          <w:szCs w:val="21"/>
          <w:highlight w:val="none"/>
        </w:rPr>
      </w:pPr>
    </w:p>
    <w:p>
      <w:pPr>
        <w:pStyle w:val="8"/>
        <w:spacing w:line="360" w:lineRule="auto"/>
        <w:rPr>
          <w:color w:val="auto"/>
          <w:sz w:val="22"/>
          <w:szCs w:val="22"/>
          <w:highlight w:val="none"/>
        </w:rPr>
      </w:pPr>
      <w:r>
        <w:rPr>
          <w:rFonts w:hint="eastAsia"/>
          <w:color w:val="auto"/>
          <w:sz w:val="21"/>
          <w:szCs w:val="21"/>
          <w:highlight w:val="none"/>
        </w:rPr>
        <w:t>注：磋商总价栏须用文字和数字两种方式表示的磋商总价。磋商总价大小写不一致，以大写为准。磋商总价必须准确唯一且应包含完成本项目的所有费用</w:t>
      </w:r>
      <w:bookmarkEnd w:id="192"/>
      <w:bookmarkEnd w:id="193"/>
      <w:bookmarkEnd w:id="194"/>
      <w:bookmarkEnd w:id="195"/>
      <w:bookmarkEnd w:id="196"/>
      <w:r>
        <w:rPr>
          <w:rFonts w:hint="eastAsia"/>
          <w:color w:val="auto"/>
          <w:sz w:val="21"/>
          <w:szCs w:val="21"/>
          <w:highlight w:val="none"/>
        </w:rPr>
        <w:t>。</w:t>
      </w:r>
    </w:p>
    <w:p>
      <w:pPr>
        <w:rPr>
          <w:color w:val="auto"/>
          <w:highlight w:val="none"/>
        </w:rPr>
      </w:pPr>
      <w:r>
        <w:rPr>
          <w:color w:val="auto"/>
          <w:highlight w:val="none"/>
        </w:rPr>
        <w:br w:type="page"/>
      </w:r>
    </w:p>
    <w:p>
      <w:pPr>
        <w:pStyle w:val="6"/>
        <w:numPr>
          <w:ilvl w:val="0"/>
          <w:numId w:val="25"/>
        </w:numPr>
        <w:jc w:val="center"/>
        <w:rPr>
          <w:color w:val="auto"/>
          <w:sz w:val="28"/>
          <w:szCs w:val="28"/>
          <w:highlight w:val="none"/>
        </w:rPr>
      </w:pPr>
      <w:bookmarkStart w:id="210" w:name="_Toc2029"/>
      <w:r>
        <w:rPr>
          <w:rFonts w:hint="eastAsia"/>
          <w:color w:val="auto"/>
          <w:sz w:val="28"/>
          <w:szCs w:val="28"/>
          <w:highlight w:val="none"/>
        </w:rPr>
        <w:t>分项报价表</w:t>
      </w:r>
      <w:bookmarkEnd w:id="210"/>
    </w:p>
    <w:tbl>
      <w:tblPr>
        <w:tblStyle w:val="5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687"/>
        <w:gridCol w:w="3466"/>
        <w:gridCol w:w="668"/>
        <w:gridCol w:w="932"/>
        <w:gridCol w:w="1163"/>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85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75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339"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47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1238"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5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75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33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7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5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5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75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339"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47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5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松寓</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单相费控智能表(壁挂)</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1.名称:单相费控智能表(壁挂)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三相费控智能表(壁挂)</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1.名称:三相费控智能表(壁挂)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5"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三相导轨电能表4P</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1.名称:三相导轨电能表4P</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电表集中器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1.名称:电表集中器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能要求:1）有数据采集功能、实时转发到后台系统；2)数据冻结功能；3)大数据量存储；4)数据断点续传；5）设备支持停电上报功能、异常事件主动上报功能；6）具备智能寻表、匹配通讯功能；7）支持蓝牙、USB本地升级、远程自动升级维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PVVSP-2*1.0</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3.规格:RVVP2*1.0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3408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RVV3*1.5</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3.规格:RVV3*1.5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PVC管 DN20</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2.材质:刚性难燃管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3.规格:PVC管 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楼层穿孔</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1.名称:楼层穿孔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406</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采集器箱体</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1.名称:采集器箱体</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三相电能表拆除</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2.三相电能表拆除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单相电能表拆除</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2.单相电能表拆除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抄表采集系统设备</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1.名称:抄表采集系统安装调试 多表采集智能终端调试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2.详见系统功能</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H3-3号公租房</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单相费控智能表(壁挂)</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1.名称:单相费控智能表(壁挂)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三相费控智能表(壁挂)</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1.名称:三相费控智能表(壁挂)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智能有线冷水表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1.名称:智能有线冷水表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智能有线冷水表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1.名称:智能有线冷水表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智能有线冷水表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1.名称:智能有线冷水表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2.型号:LXSY-DN50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智能远传热水表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1.名称:智能远传热水表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无线NB热水表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1.名称:无线NB热水表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4.功能:1）具有物联网无线通讯模块及本地蓝牙通讯模块；2）具有电池欠压，计量异常告警通知；3）可设定阶梯水价</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无线NB冷水表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1.名称:无线NB冷水表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4.功能:1）具有物联网无线通讯模块及本地蓝牙通讯模块；2）具有电池欠压，计量异常告警通知；3）可设定阶梯水价</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水表集中器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1.名称:水表集中器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能要求:1）有数据采集功能、实时转发到后台系统；2)数据冻结功能；3)大数据量存储；4)数据断点续传；5）设备支持停电上报功能、异常事件主动上报功能；6）具备智能寻表、匹配通讯功能；7）支持蓝牙、USB本地升级、远程自动升级维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电表集中器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1.名称:电表集中器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能要求:1）有数据采集功能、实时转发到后台系统；2)数据冻结功能；3)大数据量存储；4)数据断点续传；5）设备支持停电上报功能、异常事件主动上报功能；6）具备智能寻表、匹配通讯功能；7）支持蓝牙、USB本地升级、远程自动升级维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PVVSP-2*1.0</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3.规格:RVVP2*1.0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5822.4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RVV3*1.5</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3.规格:RVV3*1.5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PVC管 DN20</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2.材质:刚性难燃管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3.规格:PVC管 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3360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楼层穿孔</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1.名称:楼层穿孔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采集器箱体</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1.名称:采集器箱体</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三相电能表拆除</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2.三相电能表拆除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单相电能表拆除</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2.单相电能表拆除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水表拆装</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2.DN50~DN150口径类拆除及安装</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水表拆装</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2.DN15~DN40口径类拆除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抄表采集系统设备</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1.名称:抄表采集系统安装调试 多表采集智能终端调试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2.详见系统功能</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H2-2号公租房</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单相费控智能表(壁挂)</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1.名称:单相费控智能表(壁挂)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三相费控智能表(壁挂)</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1.名称:三相费控智能表(壁挂)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2.计量功能:1)具有正、反向有功电能量；2)分时计量功能；3)需量测量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3.准确度等级:单相有功 1级、三相有功0.5S、无功2.0级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4.电表显示屏:液晶屏上必须显示剩余电量、有功总电能、电流、电压、当前总功率。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5.通讯功能:1)电表采用RS485通讯方式或MODBUS通讯协议，接口通信速率可设置；2)电表内置无线通信模块，支持4G无线通信；支持网关采集功能；3)支持蓝牙通讯。</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智能有线冷水表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1.名称:智能有线冷水表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智能有线冷水表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1.名称:智能有线冷水表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2.型号:LXSY-DN32</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智能远传热水表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1.名称:智能远传热水表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2.型号:LXSY-DN15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4.无源直读:平时无需供电，只需要在抄表时候供电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5.故障保护、防护等级:针对通讯总线路开路、短路等设备有故障保护机制、整体防护等级达到IP68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无线NB热水表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1.名称:无线NB热水表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4.功能:1）具有物联网无线通讯模块及本地蓝牙通讯模块；2）具有电池欠压，计量异常告警通知；3）可设定阶梯水价</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无线NB冷水表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1.名称:无线NB冷水表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2.规格:DN20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3.计量精度:1）精度不低于B级</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4.功能:1）具有物联网无线通讯模块及本地蓝牙通讯模块；2）具有电池欠压，计量异常告警通知；3）可设定阶梯水价</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水表集中器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1.名称:水表集中器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能要求:1）有数据采集功能、实时转发到后台系统；2)数据冻结功能；3)大数据量存储；4)数据断点续传；5）设备支持停电上报功能、异常事件主动上报功能；6）具备智能寻表、匹配通讯功能；7）支持蓝牙、USB本地升级、远程自动升级维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电表集中器</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1.名称:电表集中器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功能要求:1）有数据采集功能、实时转发到后台系统；2)数据冻结功能；3)大数据量存储；4)数据断点续传；5）设备支持停电上报功能、异常事件主动上报功能；6）具备智能寻表、匹配通讯功能；7）支持蓝牙、USB本地升级、远程自动升级维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PVVSP-2*1.0</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3.规格:RVVP2*1.0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5044.8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 RVV3*1.5</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2.配线形式:双绞屏蔽线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3.规格:RVV3*1.5</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PVC管 DN20</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1.名称:配管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2.材质:刚性难燃管</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3.规格:PVC管 DN20</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楼层穿孔</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1.名称:楼层穿孔</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2.工程量暂定，需据实结算</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276</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采集器箱体</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1.名称:采集器箱体</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三相电能表拆除</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2.三相电能表拆除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单相电能表拆除</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1.名称:电表拆装费用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2.单相电能表拆除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水表拆装</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1.名称:水表拆装费用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2.DN15~DN40口径类拆除</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917</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抄表采集系统设备</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1.名称:抄表采集系统安装调试 多表采集智能终端调试</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2.详见系统功能</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3"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17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highlight w:val="none"/>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50"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64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bl>
    <w:p>
      <w:pPr>
        <w:overflowPunct w:val="0"/>
        <w:spacing w:line="460" w:lineRule="exact"/>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rPr>
          <w:color w:val="auto"/>
          <w:highlight w:val="none"/>
        </w:rPr>
      </w:pPr>
    </w:p>
    <w:p>
      <w:pPr>
        <w:rPr>
          <w:rFonts w:hAnsi="宋体"/>
          <w:b/>
          <w:color w:val="auto"/>
          <w:sz w:val="28"/>
          <w:szCs w:val="28"/>
          <w:highlight w:val="none"/>
        </w:rPr>
      </w:pPr>
      <w:r>
        <w:rPr>
          <w:rFonts w:hint="eastAsia" w:hAnsi="宋体"/>
          <w:b/>
          <w:color w:val="auto"/>
          <w:sz w:val="28"/>
          <w:szCs w:val="28"/>
          <w:highlight w:val="none"/>
        </w:rPr>
        <w:br w:type="page"/>
      </w:r>
    </w:p>
    <w:bookmarkEnd w:id="197"/>
    <w:bookmarkEnd w:id="198"/>
    <w:bookmarkEnd w:id="199"/>
    <w:bookmarkEnd w:id="200"/>
    <w:bookmarkEnd w:id="201"/>
    <w:bookmarkEnd w:id="202"/>
    <w:bookmarkEnd w:id="203"/>
    <w:bookmarkEnd w:id="204"/>
    <w:bookmarkEnd w:id="205"/>
    <w:bookmarkEnd w:id="206"/>
    <w:bookmarkEnd w:id="207"/>
    <w:bookmarkEnd w:id="208"/>
    <w:bookmarkEnd w:id="209"/>
    <w:p>
      <w:pPr>
        <w:pStyle w:val="6"/>
        <w:pageBreakBefore/>
        <w:spacing w:line="360" w:lineRule="auto"/>
        <w:jc w:val="center"/>
        <w:rPr>
          <w:bCs/>
          <w:color w:val="auto"/>
          <w:sz w:val="28"/>
          <w:szCs w:val="28"/>
          <w:highlight w:val="none"/>
        </w:rPr>
      </w:pPr>
      <w:bookmarkStart w:id="211" w:name="_Toc18450"/>
      <w:bookmarkStart w:id="212" w:name="_Toc12158"/>
      <w:bookmarkStart w:id="213" w:name="_Toc458262638"/>
      <w:bookmarkStart w:id="214" w:name="_Toc7897890"/>
      <w:bookmarkStart w:id="215" w:name="_Toc27849"/>
      <w:bookmarkStart w:id="216" w:name="_Toc486671572"/>
      <w:bookmarkStart w:id="217" w:name="_Toc467236768"/>
      <w:bookmarkStart w:id="218" w:name="_Toc476976200"/>
      <w:bookmarkStart w:id="219" w:name="_Toc454701405"/>
      <w:bookmarkStart w:id="220" w:name="_Toc110953866"/>
      <w:bookmarkStart w:id="221" w:name="_Toc479991616"/>
      <w:bookmarkStart w:id="222" w:name="_Toc467987856"/>
      <w:bookmarkStart w:id="223" w:name="_Toc468606064"/>
      <w:bookmarkStart w:id="224" w:name="_Toc480010742"/>
      <w:bookmarkStart w:id="225" w:name="_Toc480021085"/>
      <w:bookmarkStart w:id="226" w:name="_Toc468157569"/>
      <w:bookmarkStart w:id="227" w:name="_Toc480020289"/>
      <w:r>
        <w:rPr>
          <w:rFonts w:hint="eastAsia"/>
          <w:bCs/>
          <w:color w:val="auto"/>
          <w:sz w:val="28"/>
          <w:szCs w:val="28"/>
          <w:highlight w:val="none"/>
        </w:rPr>
        <w:t>第二部分  商务文件</w:t>
      </w:r>
      <w:bookmarkEnd w:id="211"/>
      <w:bookmarkEnd w:id="212"/>
      <w:bookmarkStart w:id="228" w:name="_Hlt10456397"/>
      <w:bookmarkEnd w:id="228"/>
      <w:bookmarkStart w:id="229" w:name="_Hlt10519799"/>
      <w:bookmarkEnd w:id="229"/>
    </w:p>
    <w:p>
      <w:pPr>
        <w:rPr>
          <w:color w:val="auto"/>
          <w:highlight w:val="none"/>
        </w:rPr>
      </w:pPr>
    </w:p>
    <w:p>
      <w:pPr>
        <w:pStyle w:val="6"/>
        <w:numPr>
          <w:ilvl w:val="0"/>
          <w:numId w:val="26"/>
        </w:numPr>
        <w:jc w:val="center"/>
        <w:rPr>
          <w:b w:val="0"/>
          <w:color w:val="auto"/>
          <w:sz w:val="28"/>
          <w:szCs w:val="28"/>
          <w:highlight w:val="none"/>
        </w:rPr>
      </w:pPr>
      <w:bookmarkStart w:id="230" w:name="_Toc18728"/>
      <w:bookmarkStart w:id="231" w:name="_Toc8815"/>
      <w:r>
        <w:rPr>
          <w:rFonts w:hint="eastAsia"/>
          <w:color w:val="auto"/>
          <w:sz w:val="28"/>
          <w:szCs w:val="28"/>
          <w:highlight w:val="none"/>
        </w:rPr>
        <w:t>响应书</w:t>
      </w:r>
      <w:bookmarkEnd w:id="213"/>
      <w:bookmarkEnd w:id="214"/>
      <w:bookmarkEnd w:id="215"/>
      <w:bookmarkEnd w:id="216"/>
      <w:bookmarkEnd w:id="217"/>
      <w:bookmarkEnd w:id="218"/>
      <w:bookmarkEnd w:id="219"/>
      <w:bookmarkEnd w:id="230"/>
      <w:bookmarkEnd w:id="231"/>
    </w:p>
    <w:p>
      <w:pPr>
        <w:pStyle w:val="31"/>
        <w:autoSpaceDE/>
        <w:autoSpaceDN/>
        <w:adjustRightInd/>
        <w:spacing w:line="480" w:lineRule="exact"/>
        <w:ind w:left="6000"/>
        <w:rPr>
          <w:rFonts w:hAnsi="宋体"/>
          <w:color w:val="auto"/>
          <w:sz w:val="24"/>
          <w:highlight w:val="none"/>
        </w:rPr>
      </w:pPr>
    </w:p>
    <w:p>
      <w:pPr>
        <w:pStyle w:val="31"/>
        <w:autoSpaceDE/>
        <w:autoSpaceDN/>
        <w:adjustRightInd/>
        <w:spacing w:line="480" w:lineRule="exact"/>
        <w:ind w:left="0" w:leftChars="0"/>
        <w:rPr>
          <w:rFonts w:hAnsi="宋体"/>
          <w:color w:val="auto"/>
          <w:highlight w:val="none"/>
        </w:rPr>
      </w:pPr>
      <w:r>
        <w:rPr>
          <w:rFonts w:hint="eastAsia" w:hAnsi="宋体"/>
          <w:color w:val="auto"/>
          <w:highlight w:val="none"/>
        </w:rPr>
        <w:t>致：广东泰通伟业工程咨询有限公司</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根据贵方（采购编号：）的采购邀请和磋商文件，供应商承诺如下：</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1.签字代表</w:t>
      </w:r>
      <w:r>
        <w:rPr>
          <w:rFonts w:hint="eastAsia" w:hAnsi="宋体"/>
          <w:color w:val="auto"/>
          <w:sz w:val="21"/>
          <w:szCs w:val="21"/>
          <w:highlight w:val="none"/>
          <w:u w:val="single"/>
        </w:rPr>
        <w:t>（姓名、职务）</w:t>
      </w:r>
      <w:r>
        <w:rPr>
          <w:rFonts w:hint="eastAsia" w:hAnsi="宋体"/>
          <w:color w:val="auto"/>
          <w:sz w:val="21"/>
          <w:szCs w:val="21"/>
          <w:highlight w:val="none"/>
        </w:rPr>
        <w:t>经正式授权并代表供应商</w:t>
      </w:r>
      <w:r>
        <w:rPr>
          <w:rFonts w:hint="eastAsia" w:hAnsi="宋体"/>
          <w:color w:val="auto"/>
          <w:sz w:val="21"/>
          <w:szCs w:val="21"/>
          <w:highlight w:val="none"/>
          <w:u w:val="single"/>
        </w:rPr>
        <w:t>（供应商名称、地址）</w:t>
      </w:r>
      <w:r>
        <w:rPr>
          <w:rFonts w:hint="eastAsia" w:hAnsi="宋体"/>
          <w:color w:val="auto"/>
          <w:sz w:val="21"/>
          <w:szCs w:val="21"/>
          <w:highlight w:val="none"/>
        </w:rPr>
        <w:t>提交响应文件正本份和副本份。</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2.供应商愿意参加响应并在成交后按磋商文件规定履行义务。</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3.供应商已详细审查全部磋商文件，包括澄清或修改文件（如有的话）等全部资料。供应商完全理解磋商文件的内容，不存在对磋商文件不明白和误解。</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4.响应文件中所提交的所有资料均是准确的和真实的，否则，我单位愿意放弃成交的权利和接受采购监督管理部门的处罚。</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5.参加本项目采购活动前3年内，在经营活动中没有重大违法记录。</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6.响应有效期为90个工作日，自开启响应文件之日起算。</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7.同意在成交后按照磋商文件的规定缴纳成交服务费。</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8.如果开启响应文件后，在响应有效期内撤回文件的，我单位愿意承担贵单位由此而产生的损失。</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9.供应商同意提供按照贵方可能要求的有关的一切资料，理解贵单位不一定要接受最低价的响应或收到的任何响应。</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10.与本响应有关的一切正式往来通讯请寄：</w:t>
      </w:r>
    </w:p>
    <w:p>
      <w:pPr>
        <w:spacing w:line="480" w:lineRule="exact"/>
        <w:ind w:firstLine="420" w:firstLineChars="200"/>
        <w:rPr>
          <w:rFonts w:hAnsi="宋体"/>
          <w:color w:val="auto"/>
          <w:sz w:val="21"/>
          <w:szCs w:val="21"/>
          <w:highlight w:val="none"/>
        </w:rPr>
      </w:pP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供应商名称：</w:t>
      </w:r>
      <w:r>
        <w:rPr>
          <w:rFonts w:hint="eastAsia" w:hAnsi="宋体"/>
          <w:color w:val="auto"/>
          <w:sz w:val="21"/>
          <w:szCs w:val="21"/>
          <w:highlight w:val="none"/>
          <w:u w:val="single"/>
        </w:rPr>
        <w:t xml:space="preserve">            （盖公章）                   </w:t>
      </w:r>
    </w:p>
    <w:p>
      <w:pPr>
        <w:spacing w:line="480" w:lineRule="exact"/>
        <w:ind w:firstLine="420" w:firstLineChars="200"/>
        <w:rPr>
          <w:rFonts w:hAnsi="宋体"/>
          <w:color w:val="auto"/>
          <w:sz w:val="21"/>
          <w:szCs w:val="21"/>
          <w:highlight w:val="none"/>
          <w:u w:val="single"/>
        </w:rPr>
      </w:pPr>
      <w:r>
        <w:rPr>
          <w:rFonts w:hint="eastAsia" w:hAnsi="宋体"/>
          <w:color w:val="auto"/>
          <w:sz w:val="21"/>
          <w:szCs w:val="21"/>
          <w:highlight w:val="none"/>
        </w:rPr>
        <w:t>供应商代表姓名、职务（印刷体）：</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供应商联系电话、传真：</w:t>
      </w:r>
    </w:p>
    <w:p>
      <w:pPr>
        <w:spacing w:line="480" w:lineRule="exact"/>
        <w:ind w:firstLine="420" w:firstLineChars="200"/>
        <w:rPr>
          <w:rFonts w:hAnsi="宋体"/>
          <w:color w:val="auto"/>
          <w:sz w:val="21"/>
          <w:szCs w:val="21"/>
          <w:highlight w:val="none"/>
        </w:rPr>
      </w:pPr>
      <w:r>
        <w:rPr>
          <w:rFonts w:hint="eastAsia" w:hAnsi="宋体"/>
          <w:color w:val="auto"/>
          <w:sz w:val="21"/>
          <w:szCs w:val="21"/>
          <w:highlight w:val="none"/>
        </w:rPr>
        <w:t>日期：年月日</w:t>
      </w:r>
    </w:p>
    <w:p>
      <w:pPr>
        <w:pStyle w:val="6"/>
        <w:numPr>
          <w:ilvl w:val="0"/>
          <w:numId w:val="26"/>
        </w:numPr>
        <w:jc w:val="center"/>
        <w:rPr>
          <w:bCs/>
          <w:color w:val="auto"/>
          <w:sz w:val="28"/>
          <w:szCs w:val="28"/>
          <w:highlight w:val="none"/>
        </w:rPr>
      </w:pPr>
      <w:r>
        <w:rPr>
          <w:color w:val="auto"/>
          <w:sz w:val="22"/>
          <w:szCs w:val="22"/>
          <w:highlight w:val="none"/>
        </w:rPr>
        <w:br w:type="page"/>
      </w:r>
      <w:bookmarkStart w:id="232" w:name="_Toc7897891"/>
      <w:bookmarkStart w:id="233" w:name="_Toc10808"/>
      <w:bookmarkStart w:id="234" w:name="_Toc31943"/>
      <w:bookmarkStart w:id="235" w:name="_Toc24748"/>
      <w:r>
        <w:rPr>
          <w:rFonts w:hint="eastAsia"/>
          <w:bCs/>
          <w:color w:val="auto"/>
          <w:sz w:val="28"/>
          <w:szCs w:val="28"/>
          <w:highlight w:val="none"/>
        </w:rPr>
        <w:t>法定代表人证明书</w:t>
      </w:r>
      <w:bookmarkEnd w:id="232"/>
      <w:bookmarkEnd w:id="233"/>
      <w:bookmarkEnd w:id="234"/>
      <w:bookmarkEnd w:id="235"/>
    </w:p>
    <w:p>
      <w:pPr>
        <w:jc w:val="center"/>
        <w:rPr>
          <w:rFonts w:hAnsi="宋体"/>
          <w:color w:val="auto"/>
          <w:sz w:val="28"/>
          <w:szCs w:val="28"/>
          <w:highlight w:val="none"/>
        </w:rPr>
      </w:pPr>
    </w:p>
    <w:p>
      <w:pPr>
        <w:rPr>
          <w:rFonts w:hAnsi="宋体"/>
          <w:color w:val="auto"/>
          <w:sz w:val="28"/>
          <w:szCs w:val="28"/>
          <w:highlight w:val="none"/>
        </w:rPr>
      </w:pPr>
    </w:p>
    <w:p>
      <w:pPr>
        <w:spacing w:line="420" w:lineRule="atLeas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atLeast"/>
        <w:ind w:firstLine="433"/>
        <w:rPr>
          <w:rFonts w:ascii="宋体" w:eastAsia="宋体"/>
          <w:color w:val="auto"/>
          <w:sz w:val="21"/>
          <w:szCs w:val="21"/>
          <w:highlight w:val="none"/>
        </w:rPr>
      </w:pP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 xml:space="preserve">供应商名称: </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单 位 性质：</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地      址：</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时间：年月日</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姓名：性别：年龄：职务：</w:t>
      </w:r>
    </w:p>
    <w:p>
      <w:pPr>
        <w:pStyle w:val="75"/>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系（供应商名称）的法定代表人。</w:t>
      </w:r>
    </w:p>
    <w:p>
      <w:pPr>
        <w:spacing w:line="420" w:lineRule="atLeast"/>
        <w:ind w:firstLine="420" w:firstLineChars="200"/>
        <w:rPr>
          <w:rFonts w:hAnsi="宋体"/>
          <w:color w:val="auto"/>
          <w:sz w:val="21"/>
          <w:szCs w:val="21"/>
          <w:highlight w:val="none"/>
        </w:rPr>
      </w:pPr>
      <w:r>
        <w:rPr>
          <w:rFonts w:hint="eastAsia" w:hAnsi="宋体"/>
          <w:color w:val="auto"/>
          <w:sz w:val="21"/>
          <w:szCs w:val="21"/>
          <w:highlight w:val="none"/>
        </w:rPr>
        <w:t>特此证明。</w:t>
      </w:r>
    </w:p>
    <w:p>
      <w:pPr>
        <w:pStyle w:val="75"/>
        <w:spacing w:line="500" w:lineRule="atLeast"/>
        <w:ind w:firstLine="3517" w:firstLineChars="1675"/>
        <w:rPr>
          <w:rFonts w:ascii="宋体" w:eastAsia="宋体"/>
          <w:color w:val="auto"/>
          <w:sz w:val="21"/>
          <w:szCs w:val="21"/>
          <w:highlight w:val="none"/>
        </w:rPr>
      </w:pP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75"/>
        <w:spacing w:line="460" w:lineRule="exact"/>
        <w:ind w:firstLine="433"/>
        <w:rPr>
          <w:rFonts w:ascii="宋体" w:eastAsia="宋体"/>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须附：法定代表人身份证复印件</w:t>
      </w:r>
    </w:p>
    <w:p>
      <w:pPr>
        <w:spacing w:line="420" w:lineRule="atLeast"/>
        <w:ind w:firstLine="422" w:firstLineChars="200"/>
        <w:rPr>
          <w:b/>
          <w:color w:val="auto"/>
          <w:sz w:val="21"/>
          <w:szCs w:val="21"/>
          <w:highlight w:val="none"/>
        </w:rPr>
      </w:pPr>
    </w:p>
    <w:tbl>
      <w:tblPr>
        <w:tblStyle w:val="5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18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rPr>
          <w:rFonts w:hAnsi="宋体"/>
          <w:color w:val="auto"/>
          <w:highlight w:val="none"/>
        </w:rPr>
      </w:pPr>
    </w:p>
    <w:p>
      <w:pPr>
        <w:rPr>
          <w:rFonts w:hAnsi="宋体"/>
          <w:color w:val="auto"/>
          <w:sz w:val="28"/>
          <w:szCs w:val="28"/>
          <w:highlight w:val="none"/>
        </w:rPr>
      </w:pPr>
    </w:p>
    <w:p>
      <w:pPr>
        <w:pStyle w:val="6"/>
        <w:numPr>
          <w:ilvl w:val="0"/>
          <w:numId w:val="26"/>
        </w:numPr>
        <w:jc w:val="center"/>
        <w:rPr>
          <w:bCs/>
          <w:color w:val="auto"/>
          <w:sz w:val="28"/>
          <w:szCs w:val="28"/>
          <w:highlight w:val="none"/>
        </w:rPr>
      </w:pPr>
      <w:r>
        <w:rPr>
          <w:rFonts w:hint="eastAsia"/>
          <w:bCs/>
          <w:color w:val="auto"/>
          <w:sz w:val="28"/>
          <w:szCs w:val="28"/>
          <w:highlight w:val="none"/>
        </w:rPr>
        <w:br w:type="page"/>
      </w:r>
      <w:bookmarkStart w:id="236" w:name="_Toc7897892"/>
      <w:bookmarkStart w:id="237" w:name="_Toc18590"/>
      <w:bookmarkStart w:id="238" w:name="_Toc19634"/>
      <w:bookmarkStart w:id="239" w:name="_Toc28882"/>
      <w:r>
        <w:rPr>
          <w:rFonts w:hint="eastAsia"/>
          <w:bCs/>
          <w:color w:val="auto"/>
          <w:sz w:val="28"/>
          <w:szCs w:val="28"/>
          <w:highlight w:val="none"/>
        </w:rPr>
        <w:t>授权委托书（加法人证明书）</w:t>
      </w:r>
      <w:bookmarkEnd w:id="236"/>
      <w:bookmarkEnd w:id="237"/>
      <w:bookmarkEnd w:id="238"/>
      <w:bookmarkEnd w:id="239"/>
    </w:p>
    <w:p>
      <w:pPr>
        <w:pStyle w:val="8"/>
        <w:ind w:firstLine="400"/>
        <w:rPr>
          <w:color w:val="auto"/>
          <w:highlight w:val="none"/>
        </w:rPr>
      </w:pPr>
    </w:p>
    <w:p>
      <w:pPr>
        <w:spacing w:line="420" w:lineRule="exact"/>
        <w:rPr>
          <w:rFonts w:hAnsi="宋体"/>
          <w:color w:val="auto"/>
          <w:sz w:val="22"/>
          <w:szCs w:val="22"/>
          <w:highlight w:val="none"/>
        </w:rPr>
      </w:pPr>
    </w:p>
    <w:p>
      <w:pPr>
        <w:spacing w:line="420" w:lineRule="exact"/>
        <w:rPr>
          <w:rFonts w:hAnsi="宋体"/>
          <w:color w:val="auto"/>
          <w:sz w:val="21"/>
          <w:szCs w:val="21"/>
          <w:highlight w:val="none"/>
        </w:rPr>
      </w:pPr>
      <w:r>
        <w:rPr>
          <w:rFonts w:hint="eastAsia" w:hAnsi="宋体"/>
          <w:color w:val="auto"/>
          <w:sz w:val="21"/>
          <w:szCs w:val="21"/>
          <w:highlight w:val="none"/>
        </w:rPr>
        <w:t>致：广东泰通伟业工程咨询有限公司</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本人</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系</w:t>
      </w:r>
      <w:r>
        <w:rPr>
          <w:rFonts w:hint="eastAsia" w:ascii="宋体" w:eastAsia="宋体"/>
          <w:color w:val="auto"/>
          <w:sz w:val="21"/>
          <w:szCs w:val="21"/>
          <w:highlight w:val="none"/>
          <w:u w:val="single"/>
        </w:rPr>
        <w:t xml:space="preserve">     （供应商名称）        </w:t>
      </w:r>
      <w:r>
        <w:rPr>
          <w:rFonts w:hint="eastAsia" w:ascii="宋体" w:eastAsia="宋体"/>
          <w:color w:val="auto"/>
          <w:sz w:val="21"/>
          <w:szCs w:val="21"/>
          <w:highlight w:val="none"/>
        </w:rPr>
        <w:t>的法定代表人，现委托</w:t>
      </w:r>
      <w:r>
        <w:rPr>
          <w:rFonts w:hint="eastAsia" w:ascii="宋体" w:eastAsia="宋体"/>
          <w:color w:val="auto"/>
          <w:sz w:val="21"/>
          <w:szCs w:val="21"/>
          <w:highlight w:val="none"/>
          <w:u w:val="single"/>
        </w:rPr>
        <w:t xml:space="preserve"> （姓名） </w:t>
      </w:r>
      <w:r>
        <w:rPr>
          <w:rFonts w:hint="eastAsia" w:ascii="宋体" w:eastAsia="宋体"/>
          <w:color w:val="auto"/>
          <w:sz w:val="21"/>
          <w:szCs w:val="21"/>
          <w:highlight w:val="none"/>
        </w:rPr>
        <w:t>为我方合法代理人。代理人根据授权，以我方名义签署、澄清、说明、补正、递交、撤回、修改</w:t>
      </w:r>
      <w:r>
        <w:rPr>
          <w:rFonts w:hint="eastAsia" w:ascii="宋体" w:eastAsia="宋体"/>
          <w:color w:val="auto"/>
          <w:sz w:val="21"/>
          <w:szCs w:val="21"/>
          <w:highlight w:val="none"/>
          <w:u w:val="single"/>
        </w:rPr>
        <w:t xml:space="preserve">        （项目名称）        </w:t>
      </w:r>
      <w:r>
        <w:rPr>
          <w:rFonts w:hint="eastAsia" w:ascii="宋体" w:eastAsia="宋体"/>
          <w:color w:val="auto"/>
          <w:sz w:val="21"/>
          <w:szCs w:val="21"/>
          <w:highlight w:val="none"/>
        </w:rPr>
        <w:t>[采购编号：</w:t>
      </w:r>
      <w:r>
        <w:rPr>
          <w:rFonts w:hint="eastAsia" w:ascii="宋体" w:eastAsia="宋体"/>
          <w:color w:val="auto"/>
          <w:sz w:val="21"/>
          <w:szCs w:val="21"/>
          <w:highlight w:val="none"/>
          <w:u w:val="single"/>
        </w:rPr>
        <w:t>　　　　　　　</w:t>
      </w:r>
      <w:r>
        <w:rPr>
          <w:rFonts w:hint="eastAsia" w:ascii="宋体" w:eastAsia="宋体"/>
          <w:color w:val="auto"/>
          <w:sz w:val="21"/>
          <w:szCs w:val="21"/>
          <w:highlight w:val="none"/>
        </w:rPr>
        <w:t>]磋商响应文件、签订合同和处理有关事宜，其法律后果由我方承担。</w:t>
      </w:r>
    </w:p>
    <w:p>
      <w:pPr>
        <w:pStyle w:val="75"/>
        <w:spacing w:line="420" w:lineRule="exact"/>
        <w:ind w:firstLine="428" w:firstLineChars="204"/>
        <w:rPr>
          <w:rFonts w:ascii="宋体" w:eastAsia="宋体"/>
          <w:color w:val="auto"/>
          <w:sz w:val="21"/>
          <w:szCs w:val="21"/>
          <w:highlight w:val="none"/>
        </w:rPr>
      </w:pPr>
      <w:r>
        <w:rPr>
          <w:rFonts w:hint="eastAsia" w:ascii="宋体" w:eastAsia="宋体"/>
          <w:color w:val="auto"/>
          <w:sz w:val="21"/>
          <w:szCs w:val="21"/>
          <w:highlight w:val="none"/>
        </w:rPr>
        <w:t>本委托书于</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u w:val="single"/>
        </w:rPr>
        <w:t xml:space="preserve">　 </w:t>
      </w:r>
      <w:r>
        <w:rPr>
          <w:rFonts w:hint="eastAsia" w:ascii="宋体" w:eastAsia="宋体"/>
          <w:color w:val="auto"/>
          <w:sz w:val="21"/>
          <w:szCs w:val="21"/>
          <w:highlight w:val="none"/>
        </w:rPr>
        <w:t>日签字生效，特此证明。</w:t>
      </w:r>
    </w:p>
    <w:p>
      <w:pPr>
        <w:pStyle w:val="75"/>
        <w:spacing w:line="420" w:lineRule="exact"/>
        <w:ind w:firstLine="450" w:firstLineChars="0"/>
        <w:rPr>
          <w:rFonts w:ascii="宋体" w:eastAsia="宋体"/>
          <w:color w:val="auto"/>
          <w:sz w:val="21"/>
          <w:szCs w:val="21"/>
          <w:highlight w:val="none"/>
        </w:rPr>
      </w:pPr>
      <w:r>
        <w:rPr>
          <w:rFonts w:hint="eastAsia" w:ascii="宋体" w:eastAsia="宋体"/>
          <w:color w:val="auto"/>
          <w:sz w:val="21"/>
          <w:szCs w:val="21"/>
          <w:highlight w:val="none"/>
        </w:rPr>
        <w:t>代理人无转委托权</w:t>
      </w:r>
    </w:p>
    <w:p>
      <w:pPr>
        <w:pStyle w:val="75"/>
        <w:spacing w:line="420" w:lineRule="exact"/>
        <w:ind w:firstLine="450" w:firstLineChars="0"/>
        <w:rPr>
          <w:rFonts w:ascii="宋体" w:eastAsia="宋体"/>
          <w:color w:val="auto"/>
          <w:sz w:val="21"/>
          <w:szCs w:val="21"/>
          <w:highlight w:val="none"/>
        </w:rPr>
      </w:pPr>
    </w:p>
    <w:p>
      <w:pPr>
        <w:pStyle w:val="75"/>
        <w:spacing w:line="420" w:lineRule="exact"/>
        <w:ind w:firstLine="428" w:firstLineChars="204"/>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供应商名称（加盖公章）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身份证号码：</w:t>
      </w:r>
    </w:p>
    <w:p>
      <w:pPr>
        <w:pStyle w:val="75"/>
        <w:spacing w:line="420" w:lineRule="exact"/>
        <w:ind w:firstLine="3517" w:firstLineChars="1675"/>
        <w:rPr>
          <w:rFonts w:ascii="宋体" w:eastAsia="宋体"/>
          <w:color w:val="auto"/>
          <w:sz w:val="21"/>
          <w:szCs w:val="21"/>
          <w:highlight w:val="none"/>
        </w:rPr>
      </w:pPr>
    </w:p>
    <w:p>
      <w:pPr>
        <w:pStyle w:val="75"/>
        <w:spacing w:line="420" w:lineRule="exac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受托代理人（签名或盖私章）：</w:t>
      </w:r>
    </w:p>
    <w:p>
      <w:pPr>
        <w:pStyle w:val="75"/>
        <w:spacing w:line="420" w:lineRule="exac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75"/>
        <w:spacing w:line="460" w:lineRule="exac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期：年月日</w:t>
      </w: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p>
    <w:p>
      <w:pPr>
        <w:spacing w:line="420" w:lineRule="atLeast"/>
        <w:ind w:firstLine="422" w:firstLineChars="200"/>
        <w:rPr>
          <w:rFonts w:hAnsi="宋体"/>
          <w:b/>
          <w:color w:val="auto"/>
          <w:sz w:val="21"/>
          <w:szCs w:val="21"/>
          <w:highlight w:val="none"/>
        </w:rPr>
      </w:pPr>
      <w:r>
        <w:rPr>
          <w:rFonts w:hint="eastAsia" w:hAnsi="宋体"/>
          <w:b/>
          <w:color w:val="auto"/>
          <w:sz w:val="21"/>
          <w:szCs w:val="21"/>
          <w:highlight w:val="none"/>
        </w:rPr>
        <w:t>须附：授权代理人身份证复印件</w:t>
      </w:r>
    </w:p>
    <w:p>
      <w:pPr>
        <w:spacing w:line="420" w:lineRule="atLeast"/>
        <w:ind w:firstLine="420" w:firstLineChars="200"/>
        <w:rPr>
          <w:color w:val="auto"/>
          <w:sz w:val="21"/>
          <w:szCs w:val="21"/>
          <w:highlight w:val="none"/>
        </w:rPr>
      </w:pPr>
    </w:p>
    <w:tbl>
      <w:tblPr>
        <w:tblStyle w:val="5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正面</w:t>
            </w:r>
          </w:p>
        </w:tc>
        <w:tc>
          <w:tcPr>
            <w:tcW w:w="4232" w:type="dxa"/>
            <w:vAlign w:val="center"/>
          </w:tcPr>
          <w:p>
            <w:pPr>
              <w:pStyle w:val="75"/>
              <w:spacing w:line="460" w:lineRule="exact"/>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背面</w:t>
            </w:r>
          </w:p>
        </w:tc>
      </w:tr>
    </w:tbl>
    <w:p>
      <w:pPr>
        <w:pStyle w:val="8"/>
        <w:ind w:firstLine="482"/>
        <w:rPr>
          <w:b/>
          <w:color w:val="auto"/>
          <w:sz w:val="24"/>
          <w:szCs w:val="24"/>
          <w:highlight w:val="none"/>
        </w:rPr>
      </w:pPr>
    </w:p>
    <w:p>
      <w:pPr>
        <w:tabs>
          <w:tab w:val="left" w:pos="7740"/>
        </w:tabs>
        <w:spacing w:line="360" w:lineRule="auto"/>
        <w:rPr>
          <w:rFonts w:hAnsi="宋体"/>
          <w:color w:val="auto"/>
          <w:sz w:val="21"/>
          <w:szCs w:val="21"/>
          <w:highlight w:val="none"/>
        </w:rPr>
      </w:pPr>
      <w:bookmarkStart w:id="240" w:name="_Toc7897893"/>
      <w:bookmarkStart w:id="241" w:name="_Toc4592"/>
    </w:p>
    <w:p>
      <w:pPr>
        <w:pStyle w:val="8"/>
        <w:ind w:firstLine="0" w:firstLineChars="0"/>
        <w:rPr>
          <w:color w:val="auto"/>
          <w:highlight w:val="none"/>
        </w:rPr>
      </w:pPr>
    </w:p>
    <w:p>
      <w:pPr>
        <w:pStyle w:val="8"/>
        <w:ind w:firstLine="0" w:firstLineChars="0"/>
        <w:rPr>
          <w:color w:val="auto"/>
          <w:highlight w:val="none"/>
        </w:rPr>
      </w:pPr>
    </w:p>
    <w:p>
      <w:pPr>
        <w:pStyle w:val="8"/>
        <w:ind w:firstLine="0" w:firstLineChars="0"/>
        <w:rPr>
          <w:color w:val="auto"/>
          <w:highlight w:val="none"/>
        </w:rPr>
      </w:pPr>
    </w:p>
    <w:p>
      <w:pPr>
        <w:pStyle w:val="6"/>
        <w:numPr>
          <w:ilvl w:val="0"/>
          <w:numId w:val="26"/>
        </w:numPr>
        <w:jc w:val="center"/>
        <w:rPr>
          <w:color w:val="auto"/>
          <w:sz w:val="28"/>
          <w:szCs w:val="28"/>
          <w:highlight w:val="none"/>
        </w:rPr>
      </w:pPr>
      <w:bookmarkStart w:id="242" w:name="_Toc1276"/>
      <w:bookmarkStart w:id="243" w:name="_Toc17363"/>
      <w:r>
        <w:rPr>
          <w:rFonts w:hint="eastAsia"/>
          <w:color w:val="auto"/>
          <w:sz w:val="28"/>
          <w:szCs w:val="28"/>
          <w:highlight w:val="none"/>
        </w:rPr>
        <w:t>供应商基本情况说明</w:t>
      </w:r>
      <w:bookmarkEnd w:id="240"/>
      <w:bookmarkEnd w:id="241"/>
      <w:bookmarkEnd w:id="242"/>
      <w:bookmarkEnd w:id="243"/>
    </w:p>
    <w:p>
      <w:pPr>
        <w:spacing w:line="360" w:lineRule="auto"/>
        <w:rPr>
          <w:rFonts w:hAnsi="宋体"/>
          <w:color w:val="auto"/>
          <w:sz w:val="22"/>
          <w:szCs w:val="22"/>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一、</w:t>
      </w:r>
      <w:r>
        <w:rPr>
          <w:rFonts w:hAnsi="宋体"/>
          <w:color w:val="auto"/>
          <w:sz w:val="21"/>
          <w:szCs w:val="21"/>
          <w:highlight w:val="none"/>
        </w:rPr>
        <w:t>公司基本情况</w:t>
      </w:r>
    </w:p>
    <w:p>
      <w:pPr>
        <w:tabs>
          <w:tab w:val="left" w:pos="4678"/>
        </w:tabs>
        <w:spacing w:line="360" w:lineRule="auto"/>
        <w:rPr>
          <w:rFonts w:hAnsi="宋体"/>
          <w:color w:val="auto"/>
          <w:sz w:val="21"/>
          <w:szCs w:val="21"/>
          <w:highlight w:val="none"/>
        </w:rPr>
      </w:pPr>
      <w:r>
        <w:rPr>
          <w:rFonts w:hAnsi="宋体"/>
          <w:color w:val="auto"/>
          <w:sz w:val="21"/>
          <w:szCs w:val="21"/>
          <w:highlight w:val="none"/>
        </w:rPr>
        <w:t>1、公司名称： 电话号码：</w:t>
      </w:r>
    </w:p>
    <w:p>
      <w:pPr>
        <w:spacing w:line="360" w:lineRule="auto"/>
        <w:rPr>
          <w:rFonts w:hAnsi="宋体"/>
          <w:color w:val="auto"/>
          <w:sz w:val="21"/>
          <w:szCs w:val="21"/>
          <w:highlight w:val="none"/>
        </w:rPr>
      </w:pPr>
      <w:r>
        <w:rPr>
          <w:rFonts w:hAnsi="宋体"/>
          <w:color w:val="auto"/>
          <w:sz w:val="21"/>
          <w:szCs w:val="21"/>
          <w:highlight w:val="none"/>
        </w:rPr>
        <w:t>2、地  址： 传  真：</w:t>
      </w:r>
    </w:p>
    <w:p>
      <w:pPr>
        <w:spacing w:line="360" w:lineRule="auto"/>
        <w:rPr>
          <w:rFonts w:hAnsi="宋体"/>
          <w:color w:val="auto"/>
          <w:sz w:val="21"/>
          <w:szCs w:val="21"/>
          <w:highlight w:val="none"/>
          <w:u w:val="single"/>
        </w:rPr>
      </w:pPr>
      <w:r>
        <w:rPr>
          <w:rFonts w:hAnsi="宋体"/>
          <w:color w:val="auto"/>
          <w:sz w:val="21"/>
          <w:szCs w:val="21"/>
          <w:highlight w:val="none"/>
        </w:rPr>
        <w:t>3、注册资金： 经济性质：</w:t>
      </w:r>
    </w:p>
    <w:p>
      <w:pPr>
        <w:spacing w:line="360" w:lineRule="auto"/>
        <w:rPr>
          <w:rFonts w:hAnsi="宋体"/>
          <w:color w:val="auto"/>
          <w:sz w:val="21"/>
          <w:szCs w:val="21"/>
          <w:highlight w:val="none"/>
        </w:rPr>
      </w:pPr>
      <w:r>
        <w:rPr>
          <w:rFonts w:hAnsi="宋体"/>
          <w:color w:val="auto"/>
          <w:sz w:val="21"/>
          <w:szCs w:val="21"/>
          <w:highlight w:val="none"/>
        </w:rPr>
        <w:t xml:space="preserve">4、公司开户银行名称及账号：      </w:t>
      </w:r>
    </w:p>
    <w:p>
      <w:pPr>
        <w:spacing w:line="360" w:lineRule="auto"/>
        <w:rPr>
          <w:rFonts w:hAnsi="宋体"/>
          <w:color w:val="auto"/>
          <w:sz w:val="21"/>
          <w:szCs w:val="21"/>
          <w:highlight w:val="none"/>
        </w:rPr>
      </w:pPr>
      <w:r>
        <w:rPr>
          <w:rFonts w:hAnsi="宋体"/>
          <w:color w:val="auto"/>
          <w:sz w:val="21"/>
          <w:szCs w:val="21"/>
          <w:highlight w:val="none"/>
        </w:rPr>
        <w:t xml:space="preserve">5、营业注册执照号：  </w:t>
      </w:r>
    </w:p>
    <w:p>
      <w:pPr>
        <w:spacing w:line="360" w:lineRule="auto"/>
        <w:rPr>
          <w:rFonts w:hAnsi="宋体"/>
          <w:color w:val="auto"/>
          <w:sz w:val="21"/>
          <w:szCs w:val="21"/>
          <w:highlight w:val="none"/>
        </w:rPr>
      </w:pPr>
      <w:r>
        <w:rPr>
          <w:rFonts w:hAnsi="宋体"/>
          <w:color w:val="auto"/>
          <w:sz w:val="21"/>
          <w:szCs w:val="21"/>
          <w:highlight w:val="none"/>
        </w:rPr>
        <w:t>6、公司简介:</w:t>
      </w:r>
    </w:p>
    <w:p>
      <w:pPr>
        <w:spacing w:line="360" w:lineRule="auto"/>
        <w:rPr>
          <w:rFonts w:hAnsi="宋体"/>
          <w:color w:val="auto"/>
          <w:sz w:val="21"/>
          <w:szCs w:val="21"/>
          <w:highlight w:val="none"/>
        </w:rPr>
      </w:pPr>
      <w:r>
        <w:rPr>
          <w:rFonts w:hAnsi="宋体"/>
          <w:color w:val="auto"/>
          <w:sz w:val="21"/>
          <w:szCs w:val="21"/>
          <w:highlight w:val="none"/>
        </w:rPr>
        <w:t>7、公司财务情况：</w:t>
      </w:r>
    </w:p>
    <w:p>
      <w:pPr>
        <w:spacing w:line="360" w:lineRule="auto"/>
        <w:jc w:val="right"/>
        <w:rPr>
          <w:rFonts w:hAnsi="宋体"/>
          <w:color w:val="auto"/>
          <w:sz w:val="21"/>
          <w:szCs w:val="21"/>
          <w:highlight w:val="none"/>
        </w:rPr>
      </w:pPr>
      <w:r>
        <w:rPr>
          <w:rFonts w:hint="eastAsia" w:hAnsi="宋体"/>
          <w:color w:val="auto"/>
          <w:sz w:val="21"/>
          <w:szCs w:val="21"/>
          <w:highlight w:val="none"/>
        </w:rPr>
        <w:t>【价格单位：（人民币）元】</w:t>
      </w:r>
    </w:p>
    <w:tbl>
      <w:tblPr>
        <w:tblStyle w:val="51"/>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809"/>
        <w:gridCol w:w="1809"/>
        <w:gridCol w:w="1839"/>
        <w:gridCol w:w="1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9" w:type="dxa"/>
            <w:vAlign w:val="center"/>
          </w:tcPr>
          <w:p>
            <w:pPr>
              <w:jc w:val="center"/>
              <w:rPr>
                <w:rFonts w:hAnsi="宋体"/>
                <w:color w:val="auto"/>
                <w:sz w:val="21"/>
                <w:szCs w:val="21"/>
                <w:highlight w:val="none"/>
              </w:rPr>
            </w:pPr>
            <w:r>
              <w:rPr>
                <w:rFonts w:hint="eastAsia" w:hAnsi="宋体"/>
                <w:color w:val="auto"/>
                <w:sz w:val="21"/>
                <w:szCs w:val="21"/>
                <w:highlight w:val="none"/>
              </w:rPr>
              <w:t>年  度</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总资产（元）</w:t>
            </w:r>
          </w:p>
        </w:tc>
        <w:tc>
          <w:tcPr>
            <w:tcW w:w="1809" w:type="dxa"/>
            <w:vAlign w:val="center"/>
          </w:tcPr>
          <w:p>
            <w:pPr>
              <w:jc w:val="center"/>
              <w:rPr>
                <w:rFonts w:hAnsi="宋体"/>
                <w:color w:val="auto"/>
                <w:sz w:val="21"/>
                <w:szCs w:val="21"/>
                <w:highlight w:val="none"/>
              </w:rPr>
            </w:pPr>
            <w:r>
              <w:rPr>
                <w:rFonts w:hint="eastAsia" w:hAnsi="宋体"/>
                <w:color w:val="auto"/>
                <w:sz w:val="21"/>
                <w:szCs w:val="21"/>
                <w:highlight w:val="none"/>
              </w:rPr>
              <w:t>资产负债率（%）</w:t>
            </w:r>
          </w:p>
        </w:tc>
        <w:tc>
          <w:tcPr>
            <w:tcW w:w="1839" w:type="dxa"/>
            <w:vAlign w:val="center"/>
          </w:tcPr>
          <w:p>
            <w:pPr>
              <w:jc w:val="center"/>
              <w:rPr>
                <w:rFonts w:hAnsi="宋体"/>
                <w:color w:val="auto"/>
                <w:sz w:val="21"/>
                <w:szCs w:val="21"/>
                <w:highlight w:val="none"/>
              </w:rPr>
            </w:pPr>
            <w:r>
              <w:rPr>
                <w:rFonts w:hint="eastAsia" w:hAnsi="宋体"/>
                <w:color w:val="auto"/>
                <w:sz w:val="21"/>
                <w:szCs w:val="21"/>
                <w:highlight w:val="none"/>
              </w:rPr>
              <w:t>年营业额（元）</w:t>
            </w:r>
          </w:p>
        </w:tc>
        <w:tc>
          <w:tcPr>
            <w:tcW w:w="1851" w:type="dxa"/>
            <w:vAlign w:val="center"/>
          </w:tcPr>
          <w:p>
            <w:pPr>
              <w:jc w:val="center"/>
              <w:rPr>
                <w:rFonts w:hAnsi="宋体"/>
                <w:color w:val="auto"/>
                <w:sz w:val="21"/>
                <w:szCs w:val="21"/>
                <w:highlight w:val="none"/>
              </w:rPr>
            </w:pPr>
            <w:r>
              <w:rPr>
                <w:rFonts w:hint="eastAsia" w:hAnsi="宋体"/>
                <w:color w:val="auto"/>
                <w:sz w:val="21"/>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162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09" w:type="dxa"/>
            <w:vAlign w:val="center"/>
          </w:tcPr>
          <w:p>
            <w:pPr>
              <w:spacing w:line="360" w:lineRule="auto"/>
              <w:jc w:val="center"/>
              <w:rPr>
                <w:rFonts w:hAnsi="宋体"/>
                <w:color w:val="auto"/>
                <w:sz w:val="21"/>
                <w:szCs w:val="21"/>
                <w:highlight w:val="none"/>
              </w:rPr>
            </w:pPr>
          </w:p>
        </w:tc>
        <w:tc>
          <w:tcPr>
            <w:tcW w:w="1839" w:type="dxa"/>
            <w:vAlign w:val="center"/>
          </w:tcPr>
          <w:p>
            <w:pPr>
              <w:spacing w:line="360" w:lineRule="auto"/>
              <w:jc w:val="center"/>
              <w:rPr>
                <w:rFonts w:hAnsi="宋体"/>
                <w:color w:val="auto"/>
                <w:sz w:val="21"/>
                <w:szCs w:val="21"/>
                <w:highlight w:val="none"/>
              </w:rPr>
            </w:pPr>
          </w:p>
        </w:tc>
        <w:tc>
          <w:tcPr>
            <w:tcW w:w="1851" w:type="dxa"/>
            <w:vAlign w:val="center"/>
          </w:tcPr>
          <w:p>
            <w:pPr>
              <w:spacing w:line="360" w:lineRule="auto"/>
              <w:jc w:val="center"/>
              <w:rPr>
                <w:rFonts w:hAnsi="宋体"/>
                <w:color w:val="auto"/>
                <w:sz w:val="21"/>
                <w:szCs w:val="21"/>
                <w:highlight w:val="none"/>
              </w:rPr>
            </w:pPr>
          </w:p>
        </w:tc>
      </w:tr>
    </w:tbl>
    <w:p>
      <w:pPr>
        <w:spacing w:line="360" w:lineRule="auto"/>
        <w:rPr>
          <w:rFonts w:hAnsi="宋体"/>
          <w:b/>
          <w:color w:val="auto"/>
          <w:sz w:val="21"/>
          <w:szCs w:val="21"/>
          <w:highlight w:val="none"/>
        </w:rPr>
      </w:pPr>
    </w:p>
    <w:p>
      <w:pPr>
        <w:tabs>
          <w:tab w:val="left" w:pos="420"/>
          <w:tab w:val="left" w:pos="1485"/>
        </w:tabs>
        <w:spacing w:line="360" w:lineRule="auto"/>
        <w:outlineLvl w:val="0"/>
        <w:rPr>
          <w:rFonts w:hAnsi="宋体"/>
          <w:color w:val="auto"/>
          <w:sz w:val="21"/>
          <w:szCs w:val="21"/>
          <w:highlight w:val="none"/>
        </w:rPr>
      </w:pPr>
      <w:bookmarkStart w:id="244" w:name="_Toc7860"/>
      <w:r>
        <w:rPr>
          <w:rFonts w:hint="eastAsia" w:hAnsi="宋体"/>
          <w:color w:val="auto"/>
          <w:sz w:val="21"/>
          <w:szCs w:val="21"/>
          <w:highlight w:val="none"/>
        </w:rPr>
        <w:t>二、</w:t>
      </w:r>
      <w:r>
        <w:rPr>
          <w:rFonts w:hAnsi="宋体"/>
          <w:color w:val="auto"/>
          <w:sz w:val="21"/>
          <w:szCs w:val="21"/>
          <w:highlight w:val="none"/>
        </w:rPr>
        <w:t>供应商获得国家有关部门颁发的资质证明</w:t>
      </w:r>
      <w:r>
        <w:rPr>
          <w:rFonts w:hint="eastAsia" w:hAnsi="宋体"/>
          <w:color w:val="auto"/>
          <w:sz w:val="21"/>
          <w:szCs w:val="21"/>
          <w:highlight w:val="none"/>
        </w:rPr>
        <w:t>或荣誉</w:t>
      </w:r>
      <w:r>
        <w:rPr>
          <w:rFonts w:hAnsi="宋体"/>
          <w:color w:val="auto"/>
          <w:sz w:val="21"/>
          <w:szCs w:val="21"/>
          <w:highlight w:val="none"/>
        </w:rPr>
        <w:t>：</w:t>
      </w:r>
      <w:r>
        <w:rPr>
          <w:rFonts w:hint="eastAsia" w:hAnsi="宋体"/>
          <w:color w:val="auto"/>
          <w:sz w:val="21"/>
          <w:szCs w:val="21"/>
          <w:highlight w:val="none"/>
        </w:rPr>
        <w:t>（如有）</w:t>
      </w:r>
      <w:bookmarkEnd w:id="244"/>
    </w:p>
    <w:tbl>
      <w:tblPr>
        <w:tblStyle w:val="51"/>
        <w:tblW w:w="88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800"/>
        <w:gridCol w:w="1800"/>
        <w:gridCol w:w="1830"/>
        <w:gridCol w:w="18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620" w:type="dxa"/>
            <w:vAlign w:val="center"/>
          </w:tcPr>
          <w:p>
            <w:pPr>
              <w:jc w:val="center"/>
              <w:rPr>
                <w:rFonts w:hAnsi="宋体"/>
                <w:color w:val="auto"/>
                <w:sz w:val="21"/>
                <w:szCs w:val="21"/>
                <w:highlight w:val="none"/>
              </w:rPr>
            </w:pPr>
            <w:r>
              <w:rPr>
                <w:rFonts w:hAnsi="宋体"/>
                <w:color w:val="auto"/>
                <w:sz w:val="21"/>
                <w:szCs w:val="21"/>
                <w:highlight w:val="none"/>
              </w:rPr>
              <w:t>证书名称</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发证单位</w:t>
            </w:r>
          </w:p>
        </w:tc>
        <w:tc>
          <w:tcPr>
            <w:tcW w:w="1800" w:type="dxa"/>
            <w:vAlign w:val="center"/>
          </w:tcPr>
          <w:p>
            <w:pPr>
              <w:jc w:val="center"/>
              <w:rPr>
                <w:rFonts w:hAnsi="宋体"/>
                <w:color w:val="auto"/>
                <w:sz w:val="21"/>
                <w:szCs w:val="21"/>
                <w:highlight w:val="none"/>
              </w:rPr>
            </w:pPr>
            <w:r>
              <w:rPr>
                <w:rFonts w:hAnsi="宋体"/>
                <w:color w:val="auto"/>
                <w:sz w:val="21"/>
                <w:szCs w:val="21"/>
                <w:highlight w:val="none"/>
              </w:rPr>
              <w:t>证书等级</w:t>
            </w:r>
          </w:p>
        </w:tc>
        <w:tc>
          <w:tcPr>
            <w:tcW w:w="1830" w:type="dxa"/>
            <w:vAlign w:val="center"/>
          </w:tcPr>
          <w:p>
            <w:pPr>
              <w:jc w:val="center"/>
              <w:rPr>
                <w:rFonts w:hAnsi="宋体"/>
                <w:color w:val="auto"/>
                <w:sz w:val="21"/>
                <w:szCs w:val="21"/>
                <w:highlight w:val="none"/>
              </w:rPr>
            </w:pPr>
            <w:r>
              <w:rPr>
                <w:rFonts w:hAnsi="宋体"/>
                <w:color w:val="auto"/>
                <w:sz w:val="21"/>
                <w:szCs w:val="21"/>
                <w:highlight w:val="none"/>
              </w:rPr>
              <w:t>证书有效期</w:t>
            </w:r>
          </w:p>
        </w:tc>
        <w:tc>
          <w:tcPr>
            <w:tcW w:w="1842" w:type="dxa"/>
            <w:vAlign w:val="center"/>
          </w:tcPr>
          <w:p>
            <w:pPr>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62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00" w:type="dxa"/>
            <w:vAlign w:val="center"/>
          </w:tcPr>
          <w:p>
            <w:pPr>
              <w:spacing w:line="360" w:lineRule="auto"/>
              <w:jc w:val="center"/>
              <w:rPr>
                <w:rFonts w:hAnsi="宋体"/>
                <w:color w:val="auto"/>
                <w:sz w:val="21"/>
                <w:szCs w:val="21"/>
                <w:highlight w:val="none"/>
              </w:rPr>
            </w:pPr>
          </w:p>
        </w:tc>
        <w:tc>
          <w:tcPr>
            <w:tcW w:w="1830" w:type="dxa"/>
            <w:vAlign w:val="center"/>
          </w:tcPr>
          <w:p>
            <w:pPr>
              <w:spacing w:line="360" w:lineRule="auto"/>
              <w:jc w:val="center"/>
              <w:rPr>
                <w:rFonts w:hAnsi="宋体"/>
                <w:color w:val="auto"/>
                <w:sz w:val="21"/>
                <w:szCs w:val="21"/>
                <w:highlight w:val="none"/>
              </w:rPr>
            </w:pPr>
          </w:p>
        </w:tc>
        <w:tc>
          <w:tcPr>
            <w:tcW w:w="1842" w:type="dxa"/>
            <w:vAlign w:val="center"/>
          </w:tcPr>
          <w:p>
            <w:pPr>
              <w:spacing w:line="360" w:lineRule="auto"/>
              <w:jc w:val="center"/>
              <w:rPr>
                <w:rFonts w:hAnsi="宋体"/>
                <w:color w:val="auto"/>
                <w:sz w:val="21"/>
                <w:szCs w:val="21"/>
                <w:highlight w:val="none"/>
              </w:rPr>
            </w:pPr>
          </w:p>
        </w:tc>
      </w:tr>
    </w:tbl>
    <w:p>
      <w:pPr>
        <w:spacing w:line="420" w:lineRule="atLeast"/>
        <w:rPr>
          <w:rFonts w:hAnsi="宋体"/>
          <w:color w:val="auto"/>
          <w:sz w:val="21"/>
          <w:szCs w:val="21"/>
          <w:highlight w:val="none"/>
        </w:rPr>
      </w:pPr>
      <w:r>
        <w:rPr>
          <w:rFonts w:hint="eastAsia" w:hAnsi="宋体"/>
          <w:color w:val="auto"/>
          <w:sz w:val="21"/>
          <w:szCs w:val="21"/>
          <w:highlight w:val="none"/>
        </w:rPr>
        <w:t>备注：以上资质或荣誉必须提供相关证明材料。</w:t>
      </w:r>
    </w:p>
    <w:p>
      <w:pPr>
        <w:spacing w:line="420" w:lineRule="atLeast"/>
        <w:rPr>
          <w:rFonts w:hAnsi="宋体"/>
          <w:color w:val="auto"/>
          <w:sz w:val="21"/>
          <w:szCs w:val="21"/>
          <w:highlight w:val="none"/>
        </w:rPr>
      </w:pPr>
      <w:r>
        <w:rPr>
          <w:rFonts w:hint="eastAsia" w:hAnsi="宋体"/>
          <w:color w:val="auto"/>
          <w:sz w:val="21"/>
          <w:szCs w:val="21"/>
          <w:highlight w:val="none"/>
        </w:rPr>
        <w:t>兹证明上述声明是真实、正确的，并提供了全部能提供的资料和数据，我方同意遵照贵方要求出示有关证明文件。</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pStyle w:val="6"/>
        <w:numPr>
          <w:ilvl w:val="0"/>
          <w:numId w:val="26"/>
        </w:numPr>
        <w:jc w:val="center"/>
        <w:rPr>
          <w:b w:val="0"/>
          <w:color w:val="auto"/>
          <w:sz w:val="28"/>
          <w:szCs w:val="28"/>
          <w:highlight w:val="none"/>
          <w:u w:val="single"/>
        </w:rPr>
      </w:pPr>
      <w:r>
        <w:rPr>
          <w:color w:val="auto"/>
          <w:sz w:val="22"/>
          <w:szCs w:val="22"/>
          <w:highlight w:val="none"/>
        </w:rPr>
        <w:br w:type="page"/>
      </w:r>
      <w:bookmarkStart w:id="245" w:name="_Toc7897894"/>
      <w:bookmarkStart w:id="246" w:name="_Toc17704"/>
      <w:bookmarkStart w:id="247" w:name="_Toc27094"/>
      <w:bookmarkStart w:id="248" w:name="_Toc8896"/>
      <w:r>
        <w:rPr>
          <w:rFonts w:hint="eastAsia"/>
          <w:bCs/>
          <w:color w:val="auto"/>
          <w:sz w:val="28"/>
          <w:szCs w:val="28"/>
          <w:highlight w:val="none"/>
        </w:rPr>
        <w:t>偏离表</w:t>
      </w:r>
      <w:bookmarkEnd w:id="220"/>
      <w:bookmarkEnd w:id="245"/>
      <w:bookmarkEnd w:id="246"/>
      <w:bookmarkEnd w:id="247"/>
      <w:bookmarkEnd w:id="248"/>
    </w:p>
    <w:p>
      <w:pPr>
        <w:pStyle w:val="8"/>
        <w:ind w:firstLine="480"/>
        <w:rPr>
          <w:color w:val="auto"/>
          <w:sz w:val="24"/>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Cs w:val="21"/>
          <w:highlight w:val="none"/>
        </w:rPr>
      </w:pPr>
    </w:p>
    <w:tbl>
      <w:tblPr>
        <w:tblStyle w:val="51"/>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61"/>
        <w:gridCol w:w="1241"/>
        <w:gridCol w:w="1984"/>
        <w:gridCol w:w="1276"/>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7"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序号</w:t>
            </w:r>
          </w:p>
        </w:tc>
        <w:tc>
          <w:tcPr>
            <w:tcW w:w="216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项 目</w:t>
            </w:r>
          </w:p>
        </w:tc>
        <w:tc>
          <w:tcPr>
            <w:tcW w:w="1241"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磋商文件要求</w:t>
            </w:r>
          </w:p>
        </w:tc>
        <w:tc>
          <w:tcPr>
            <w:tcW w:w="198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响应文件</w:t>
            </w:r>
          </w:p>
          <w:p>
            <w:pPr>
              <w:jc w:val="center"/>
              <w:rPr>
                <w:rFonts w:hAnsi="宋体"/>
                <w:b/>
                <w:bCs/>
                <w:color w:val="auto"/>
                <w:sz w:val="21"/>
                <w:szCs w:val="21"/>
                <w:highlight w:val="none"/>
              </w:rPr>
            </w:pPr>
            <w:r>
              <w:rPr>
                <w:rFonts w:hint="eastAsia" w:hAnsi="宋体"/>
                <w:b/>
                <w:bCs/>
                <w:color w:val="auto"/>
                <w:sz w:val="21"/>
                <w:szCs w:val="21"/>
                <w:highlight w:val="none"/>
              </w:rPr>
              <w:t>响应情况</w:t>
            </w:r>
          </w:p>
        </w:tc>
        <w:tc>
          <w:tcPr>
            <w:tcW w:w="1276"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tc>
        <w:tc>
          <w:tcPr>
            <w:tcW w:w="1594" w:type="dxa"/>
            <w:vAlign w:val="center"/>
          </w:tcPr>
          <w:p>
            <w:pPr>
              <w:jc w:val="center"/>
              <w:rPr>
                <w:rFonts w:hAnsi="宋体"/>
                <w:b/>
                <w:bCs/>
                <w:color w:val="auto"/>
                <w:sz w:val="21"/>
                <w:szCs w:val="21"/>
                <w:highlight w:val="none"/>
              </w:rPr>
            </w:pPr>
            <w:r>
              <w:rPr>
                <w:rFonts w:hint="eastAsia" w:hAnsi="宋体"/>
                <w:b/>
                <w:bCs/>
                <w:color w:val="auto"/>
                <w:sz w:val="21"/>
                <w:szCs w:val="21"/>
                <w:highlight w:val="none"/>
              </w:rPr>
              <w:t>偏离情况</w:t>
            </w:r>
          </w:p>
          <w:p>
            <w:pPr>
              <w:jc w:val="center"/>
              <w:rPr>
                <w:rFonts w:hAnsi="宋体"/>
                <w:b/>
                <w:bCs/>
                <w:color w:val="auto"/>
                <w:sz w:val="21"/>
                <w:szCs w:val="21"/>
                <w:highlight w:val="none"/>
              </w:rPr>
            </w:pPr>
            <w:r>
              <w:rPr>
                <w:rFonts w:hint="eastAsia" w:hAnsi="宋体"/>
                <w:b/>
                <w:bCs/>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1</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ind w:left="-446" w:leftChars="-186" w:firstLine="390" w:firstLineChars="186"/>
              <w:jc w:val="center"/>
              <w:rPr>
                <w:rFonts w:hAnsi="宋体"/>
                <w:color w:val="auto"/>
                <w:sz w:val="21"/>
                <w:szCs w:val="21"/>
                <w:highlight w:val="none"/>
              </w:rPr>
            </w:pPr>
          </w:p>
        </w:tc>
        <w:tc>
          <w:tcPr>
            <w:tcW w:w="1594" w:type="dxa"/>
            <w:vAlign w:val="center"/>
          </w:tcPr>
          <w:p>
            <w:pPr>
              <w:ind w:left="-446" w:leftChars="-186" w:firstLine="390" w:firstLineChars="186"/>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2</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3</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r>
              <w:rPr>
                <w:rFonts w:hint="eastAsia" w:hAnsi="宋体"/>
                <w:b/>
                <w:color w:val="auto"/>
                <w:sz w:val="21"/>
                <w:szCs w:val="21"/>
                <w:highlight w:val="none"/>
              </w:rPr>
              <w:t>···</w:t>
            </w: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rPr>
                <w:rFonts w:hAnsi="宋体"/>
                <w:bCs/>
                <w:color w:val="auto"/>
                <w:sz w:val="21"/>
                <w:szCs w:val="21"/>
                <w:highlight w:val="none"/>
              </w:rPr>
            </w:pP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jc w:val="center"/>
              <w:rPr>
                <w:rFonts w:hAnsi="宋体"/>
                <w:b/>
                <w:color w:val="auto"/>
                <w:sz w:val="21"/>
                <w:szCs w:val="21"/>
                <w:highlight w:val="none"/>
              </w:rPr>
            </w:pPr>
          </w:p>
        </w:tc>
        <w:tc>
          <w:tcPr>
            <w:tcW w:w="2161" w:type="dxa"/>
            <w:vAlign w:val="center"/>
          </w:tcPr>
          <w:p>
            <w:pPr>
              <w:jc w:val="center"/>
              <w:rPr>
                <w:rFonts w:hAnsi="宋体"/>
                <w:bCs/>
                <w:color w:val="auto"/>
                <w:sz w:val="21"/>
                <w:szCs w:val="21"/>
                <w:highlight w:val="none"/>
              </w:rPr>
            </w:pPr>
            <w:r>
              <w:rPr>
                <w:rFonts w:hint="eastAsia" w:hAnsi="宋体"/>
                <w:bCs/>
                <w:color w:val="auto"/>
                <w:sz w:val="21"/>
                <w:szCs w:val="21"/>
                <w:highlight w:val="none"/>
              </w:rPr>
              <w:t>其他</w:t>
            </w:r>
          </w:p>
        </w:tc>
        <w:tc>
          <w:tcPr>
            <w:tcW w:w="1241" w:type="dxa"/>
            <w:vAlign w:val="center"/>
          </w:tcPr>
          <w:p>
            <w:pPr>
              <w:jc w:val="center"/>
              <w:rPr>
                <w:rFonts w:hAnsi="宋体"/>
                <w:color w:val="auto"/>
                <w:sz w:val="21"/>
                <w:szCs w:val="21"/>
                <w:highlight w:val="none"/>
              </w:rPr>
            </w:pPr>
          </w:p>
        </w:tc>
        <w:tc>
          <w:tcPr>
            <w:tcW w:w="1984" w:type="dxa"/>
            <w:vAlign w:val="center"/>
          </w:tcPr>
          <w:p>
            <w:pPr>
              <w:jc w:val="center"/>
              <w:rPr>
                <w:rFonts w:hAnsi="宋体"/>
                <w:color w:val="auto"/>
                <w:sz w:val="21"/>
                <w:szCs w:val="21"/>
                <w:highlight w:val="none"/>
              </w:rPr>
            </w:pPr>
          </w:p>
        </w:tc>
        <w:tc>
          <w:tcPr>
            <w:tcW w:w="1276" w:type="dxa"/>
            <w:vAlign w:val="center"/>
          </w:tcPr>
          <w:p>
            <w:pPr>
              <w:jc w:val="center"/>
              <w:rPr>
                <w:rFonts w:hAnsi="宋体"/>
                <w:color w:val="auto"/>
                <w:sz w:val="21"/>
                <w:szCs w:val="21"/>
                <w:highlight w:val="none"/>
              </w:rPr>
            </w:pPr>
          </w:p>
        </w:tc>
        <w:tc>
          <w:tcPr>
            <w:tcW w:w="1594" w:type="dxa"/>
            <w:vAlign w:val="center"/>
          </w:tcPr>
          <w:p>
            <w:pPr>
              <w:jc w:val="center"/>
              <w:rPr>
                <w:rFonts w:hAnsi="宋体"/>
                <w:color w:val="auto"/>
                <w:sz w:val="21"/>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b/>
          <w:bCs/>
          <w:color w:val="auto"/>
          <w:sz w:val="21"/>
          <w:szCs w:val="21"/>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1.“磋商文件要求”见磋商文件“商务需求书”，“响应文件响应情况”是指供应商的投报情况。</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w:t>
      </w:r>
      <w:r>
        <w:rPr>
          <w:rFonts w:hint="eastAsia" w:hAnsi="宋体"/>
          <w:bCs/>
          <w:color w:val="auto"/>
          <w:sz w:val="21"/>
          <w:szCs w:val="21"/>
          <w:highlight w:val="none"/>
        </w:rPr>
        <w:t>偏离情况</w:t>
      </w:r>
      <w:r>
        <w:rPr>
          <w:rFonts w:hint="eastAsia" w:hAnsi="宋体"/>
          <w:color w:val="auto"/>
          <w:sz w:val="21"/>
          <w:szCs w:val="21"/>
          <w:highlight w:val="none"/>
        </w:rPr>
        <w:t>”包括“完全响应”、“正偏离”、“负偏离”。</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 xml:space="preserve">日期：年月日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6"/>
        <w:numPr>
          <w:ilvl w:val="0"/>
          <w:numId w:val="26"/>
        </w:numPr>
        <w:jc w:val="center"/>
        <w:rPr>
          <w:rFonts w:ascii="Calibri" w:hAnsi="Times New Roman"/>
          <w:color w:val="auto"/>
          <w:sz w:val="28"/>
          <w:szCs w:val="28"/>
          <w:highlight w:val="none"/>
        </w:rPr>
      </w:pPr>
      <w:bookmarkStart w:id="249" w:name="_Toc8299"/>
      <w:bookmarkStart w:id="250" w:name="_Toc10734"/>
      <w:bookmarkStart w:id="251" w:name="_Toc7897895"/>
      <w:bookmarkStart w:id="252" w:name="_Toc31965"/>
      <w:r>
        <w:rPr>
          <w:rFonts w:hint="eastAsia" w:ascii="Calibri"/>
          <w:color w:val="auto"/>
          <w:sz w:val="28"/>
          <w:szCs w:val="28"/>
          <w:highlight w:val="none"/>
        </w:rPr>
        <w:t>磋商</w:t>
      </w:r>
      <w:r>
        <w:rPr>
          <w:rFonts w:hint="eastAsia" w:ascii="Calibri" w:hAnsi="Times New Roman"/>
          <w:color w:val="auto"/>
          <w:sz w:val="28"/>
          <w:szCs w:val="28"/>
          <w:highlight w:val="none"/>
        </w:rPr>
        <w:t>文件“★”号条款响应表</w:t>
      </w:r>
      <w:bookmarkEnd w:id="249"/>
      <w:bookmarkEnd w:id="250"/>
    </w:p>
    <w:p>
      <w:pPr>
        <w:rPr>
          <w:rFonts w:hAnsi="宋体"/>
          <w:b/>
          <w:bCs/>
          <w:color w:val="auto"/>
          <w:highlight w:val="none"/>
        </w:rPr>
      </w:pPr>
    </w:p>
    <w:p>
      <w:pPr>
        <w:rPr>
          <w:rFonts w:hAnsi="宋体"/>
          <w:b/>
          <w:bCs/>
          <w:color w:val="auto"/>
          <w:highlight w:val="none"/>
        </w:rPr>
      </w:pPr>
    </w:p>
    <w:tbl>
      <w:tblPr>
        <w:tblStyle w:val="51"/>
        <w:tblW w:w="96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266"/>
        <w:gridCol w:w="3371"/>
        <w:gridCol w:w="2113"/>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restart"/>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序号</w:t>
            </w:r>
          </w:p>
        </w:tc>
        <w:tc>
          <w:tcPr>
            <w:tcW w:w="4637" w:type="dxa"/>
            <w:gridSpan w:val="2"/>
            <w:vAlign w:val="center"/>
          </w:tcPr>
          <w:p>
            <w:pPr>
              <w:autoSpaceDE/>
              <w:autoSpaceDN/>
              <w:adjustRightInd/>
              <w:spacing w:before="120" w:after="120" w:line="360" w:lineRule="auto"/>
              <w:ind w:left="-122" w:leftChars="-51"/>
              <w:jc w:val="center"/>
              <w:rPr>
                <w:rFonts w:hAnsi="宋体"/>
                <w:color w:val="auto"/>
                <w:sz w:val="21"/>
                <w:szCs w:val="21"/>
                <w:highlight w:val="none"/>
              </w:rPr>
            </w:pPr>
            <w:r>
              <w:rPr>
                <w:rFonts w:hint="eastAsia" w:hAnsi="宋体"/>
                <w:color w:val="auto"/>
                <w:sz w:val="21"/>
                <w:szCs w:val="21"/>
                <w:highlight w:val="none"/>
              </w:rPr>
              <w:t>磋商文件“★”号条款要求</w:t>
            </w:r>
          </w:p>
        </w:tc>
        <w:tc>
          <w:tcPr>
            <w:tcW w:w="4192" w:type="dxa"/>
            <w:gridSpan w:val="2"/>
            <w:vAlign w:val="center"/>
          </w:tcPr>
          <w:p>
            <w:pPr>
              <w:autoSpaceDE/>
              <w:autoSpaceDN/>
              <w:adjustRightInd/>
              <w:spacing w:before="120" w:after="120" w:line="360" w:lineRule="auto"/>
              <w:ind w:left="-88"/>
              <w:jc w:val="center"/>
              <w:rPr>
                <w:rFonts w:hAnsi="宋体"/>
                <w:color w:val="auto"/>
                <w:sz w:val="21"/>
                <w:szCs w:val="21"/>
                <w:highlight w:val="none"/>
              </w:rPr>
            </w:pPr>
            <w:r>
              <w:rPr>
                <w:rFonts w:hint="eastAsia" w:hAnsi="宋体"/>
                <w:color w:val="auto"/>
                <w:sz w:val="21"/>
                <w:szCs w:val="21"/>
                <w:highlight w:val="none"/>
              </w:rPr>
              <w:t>磋商响应文件内容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863" w:type="dxa"/>
            <w:vMerge w:val="continue"/>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1266"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条款号</w:t>
            </w:r>
          </w:p>
        </w:tc>
        <w:tc>
          <w:tcPr>
            <w:tcW w:w="3371"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简要内容</w:t>
            </w:r>
          </w:p>
        </w:tc>
        <w:tc>
          <w:tcPr>
            <w:tcW w:w="2113"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偏离情况</w:t>
            </w:r>
          </w:p>
        </w:tc>
        <w:tc>
          <w:tcPr>
            <w:tcW w:w="2079" w:type="dxa"/>
            <w:vAlign w:val="center"/>
          </w:tcPr>
          <w:p>
            <w:pPr>
              <w:autoSpaceDE/>
              <w:autoSpaceDN/>
              <w:adjustRightInd/>
              <w:spacing w:before="120" w:after="120" w:line="360" w:lineRule="auto"/>
              <w:jc w:val="center"/>
              <w:rPr>
                <w:rFonts w:hAnsi="宋体"/>
                <w:color w:val="auto"/>
                <w:sz w:val="21"/>
                <w:szCs w:val="21"/>
                <w:highlight w:val="none"/>
              </w:rPr>
            </w:pPr>
            <w:r>
              <w:rPr>
                <w:rFonts w:hint="eastAsia" w:hAnsi="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1</w:t>
            </w:r>
          </w:p>
        </w:tc>
        <w:tc>
          <w:tcPr>
            <w:tcW w:w="1266" w:type="dxa"/>
            <w:vAlign w:val="center"/>
          </w:tcPr>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08"/>
              <w:jc w:val="center"/>
              <w:rPr>
                <w:rFonts w:hAnsi="宋体"/>
                <w:color w:val="auto"/>
                <w:sz w:val="21"/>
                <w:szCs w:val="21"/>
                <w:highlight w:val="none"/>
              </w:rPr>
            </w:pPr>
            <w:r>
              <w:rPr>
                <w:rFonts w:hint="eastAsia" w:hAnsi="宋体"/>
                <w:color w:val="auto"/>
                <w:sz w:val="21"/>
                <w:szCs w:val="21"/>
                <w:highlight w:val="none"/>
              </w:rPr>
              <w:t>2</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629"/>
              <w:jc w:val="both"/>
              <w:rPr>
                <w:rFonts w:hAnsi="宋体"/>
                <w:color w:val="auto"/>
                <w:sz w:val="21"/>
                <w:szCs w:val="21"/>
                <w:highlight w:val="none"/>
              </w:rPr>
            </w:pPr>
          </w:p>
        </w:tc>
        <w:tc>
          <w:tcPr>
            <w:tcW w:w="2079" w:type="dxa"/>
            <w:vAlign w:val="center"/>
          </w:tcPr>
          <w:p>
            <w:pPr>
              <w:keepNext/>
              <w:keepLines/>
              <w:autoSpaceDE/>
              <w:autoSpaceDN/>
              <w:adjustRightInd/>
              <w:spacing w:before="120" w:after="120" w:line="360" w:lineRule="auto"/>
              <w:ind w:left="629"/>
              <w:jc w:val="both"/>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3</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r>
              <w:rPr>
                <w:rFonts w:hint="eastAsia" w:hAnsi="宋体"/>
                <w:color w:val="auto"/>
                <w:kern w:val="2"/>
                <w:sz w:val="21"/>
                <w:szCs w:val="21"/>
                <w:highlight w:val="none"/>
              </w:rPr>
              <w:t>……</w:t>
            </w: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vAlign w:val="center"/>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vAlign w:val="center"/>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863" w:type="dxa"/>
          </w:tcPr>
          <w:p>
            <w:pPr>
              <w:autoSpaceDE/>
              <w:autoSpaceDN/>
              <w:adjustRightInd/>
              <w:spacing w:before="120" w:after="120" w:line="360" w:lineRule="auto"/>
              <w:ind w:left="-122" w:leftChars="-51"/>
              <w:jc w:val="center"/>
              <w:rPr>
                <w:rFonts w:hAnsi="宋体"/>
                <w:color w:val="auto"/>
                <w:kern w:val="2"/>
                <w:sz w:val="21"/>
                <w:szCs w:val="21"/>
                <w:highlight w:val="none"/>
              </w:rPr>
            </w:pPr>
          </w:p>
        </w:tc>
        <w:tc>
          <w:tcPr>
            <w:tcW w:w="1266" w:type="dxa"/>
            <w:vAlign w:val="center"/>
          </w:tcPr>
          <w:p>
            <w:pPr>
              <w:spacing w:line="360" w:lineRule="auto"/>
              <w:jc w:val="center"/>
              <w:rPr>
                <w:rFonts w:hAnsi="宋体"/>
                <w:color w:val="auto"/>
                <w:sz w:val="21"/>
                <w:szCs w:val="21"/>
                <w:highlight w:val="none"/>
              </w:rPr>
            </w:pPr>
          </w:p>
        </w:tc>
        <w:tc>
          <w:tcPr>
            <w:tcW w:w="3371" w:type="dxa"/>
            <w:vAlign w:val="center"/>
          </w:tcPr>
          <w:p>
            <w:pPr>
              <w:spacing w:line="360" w:lineRule="auto"/>
              <w:jc w:val="center"/>
              <w:rPr>
                <w:rFonts w:hAnsi="宋体"/>
                <w:color w:val="auto"/>
                <w:sz w:val="21"/>
                <w:szCs w:val="21"/>
                <w:highlight w:val="none"/>
              </w:rPr>
            </w:pPr>
          </w:p>
        </w:tc>
        <w:tc>
          <w:tcPr>
            <w:tcW w:w="2113"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c>
          <w:tcPr>
            <w:tcW w:w="2079" w:type="dxa"/>
          </w:tcPr>
          <w:p>
            <w:pPr>
              <w:keepNext/>
              <w:keepLines/>
              <w:autoSpaceDE/>
              <w:autoSpaceDN/>
              <w:adjustRightInd/>
              <w:spacing w:before="120" w:after="120" w:line="360" w:lineRule="auto"/>
              <w:ind w:left="-122" w:leftChars="-51"/>
              <w:jc w:val="center"/>
              <w:rPr>
                <w:rFonts w:hAnsi="宋体"/>
                <w:color w:val="auto"/>
                <w:kern w:val="2"/>
                <w:sz w:val="21"/>
                <w:szCs w:val="21"/>
                <w:highlight w:val="none"/>
              </w:rPr>
            </w:pPr>
          </w:p>
        </w:tc>
      </w:tr>
    </w:tbl>
    <w:p>
      <w:pPr>
        <w:autoSpaceDE/>
        <w:autoSpaceDN/>
        <w:adjustRightInd/>
        <w:spacing w:line="360" w:lineRule="auto"/>
        <w:ind w:left="565" w:leftChars="-59" w:hanging="707" w:hangingChars="337"/>
        <w:jc w:val="both"/>
        <w:rPr>
          <w:rFonts w:hAnsi="宋体"/>
          <w:b/>
          <w:color w:val="auto"/>
          <w:kern w:val="2"/>
          <w:sz w:val="21"/>
          <w:szCs w:val="21"/>
          <w:highlight w:val="none"/>
        </w:rPr>
      </w:pPr>
      <w:r>
        <w:rPr>
          <w:rFonts w:hint="eastAsia" w:hAnsi="宋体"/>
          <w:color w:val="auto"/>
          <w:kern w:val="2"/>
          <w:sz w:val="21"/>
          <w:szCs w:val="21"/>
          <w:highlight w:val="none"/>
        </w:rPr>
        <w:t>注：1、</w:t>
      </w:r>
      <w:r>
        <w:rPr>
          <w:rFonts w:hint="eastAsia" w:hAnsi="宋体"/>
          <w:b/>
          <w:color w:val="auto"/>
          <w:kern w:val="2"/>
          <w:sz w:val="21"/>
          <w:szCs w:val="21"/>
          <w:highlight w:val="none"/>
        </w:rPr>
        <w:t>供应商应按照磋商文件用户需求要求，逐条、如实地填写“偏离情况”项</w:t>
      </w:r>
      <w:r>
        <w:rPr>
          <w:rFonts w:hint="eastAsia" w:hAnsi="宋体"/>
          <w:color w:val="auto"/>
          <w:kern w:val="2"/>
          <w:sz w:val="21"/>
          <w:szCs w:val="21"/>
          <w:highlight w:val="none"/>
        </w:rPr>
        <w:t>。</w:t>
      </w:r>
      <w:r>
        <w:rPr>
          <w:rFonts w:hint="eastAsia" w:hAnsi="宋体"/>
          <w:b/>
          <w:color w:val="auto"/>
          <w:kern w:val="2"/>
          <w:sz w:val="21"/>
          <w:szCs w:val="21"/>
          <w:highlight w:val="none"/>
        </w:rPr>
        <w:t>“偏离情况”项为正偏离（或负偏离）的，必须在“具体偏离内容”项内详细说明与磋商文件的偏离内容，“偏离情况”项为无偏离的，在“具体偏离内容”项内填“无”。若发现此表未逐条填写或虚假填写本表，按无效磋商响应文件处理。</w:t>
      </w:r>
    </w:p>
    <w:p>
      <w:pPr>
        <w:autoSpaceDE/>
        <w:autoSpaceDN/>
        <w:adjustRightInd/>
        <w:spacing w:line="360" w:lineRule="auto"/>
        <w:ind w:left="561" w:leftChars="115" w:hanging="285" w:hangingChars="135"/>
        <w:jc w:val="both"/>
        <w:rPr>
          <w:rFonts w:hAnsi="宋体"/>
          <w:i/>
          <w:iCs/>
          <w:color w:val="auto"/>
          <w:sz w:val="21"/>
          <w:szCs w:val="21"/>
          <w:highlight w:val="none"/>
        </w:rPr>
      </w:pPr>
      <w:r>
        <w:rPr>
          <w:rFonts w:hint="eastAsia" w:hAnsi="宋体"/>
          <w:b/>
          <w:color w:val="auto"/>
          <w:kern w:val="2"/>
          <w:sz w:val="21"/>
          <w:szCs w:val="21"/>
          <w:highlight w:val="none"/>
        </w:rPr>
        <w:t>2、由供应商自行补充磋商文件所有“★”号条款内容（如有），标注“★”号条款均为必须完全满足指标，供应商须进行实质性响应，供应商若有一项带“★”的条款未响应或不满足，将按无效磋商处理。</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rPr>
          <w:rFonts w:hAnsi="宋体"/>
          <w:color w:val="auto"/>
          <w:sz w:val="22"/>
          <w:szCs w:val="22"/>
          <w:highlight w:val="none"/>
        </w:rPr>
      </w:pPr>
      <w:r>
        <w:rPr>
          <w:rFonts w:hint="eastAsia" w:hAnsi="宋体"/>
          <w:color w:val="auto"/>
          <w:sz w:val="21"/>
          <w:szCs w:val="21"/>
          <w:highlight w:val="none"/>
        </w:rPr>
        <w:t>日期：年月日</w:t>
      </w:r>
    </w:p>
    <w:p>
      <w:pPr>
        <w:pStyle w:val="8"/>
        <w:ind w:firstLine="400"/>
        <w:rPr>
          <w:color w:val="auto"/>
          <w:highlight w:val="none"/>
        </w:rPr>
      </w:pPr>
    </w:p>
    <w:p>
      <w:pPr>
        <w:pStyle w:val="6"/>
        <w:numPr>
          <w:ilvl w:val="0"/>
          <w:numId w:val="26"/>
        </w:numPr>
        <w:jc w:val="center"/>
        <w:rPr>
          <w:color w:val="auto"/>
          <w:sz w:val="28"/>
          <w:szCs w:val="28"/>
          <w:highlight w:val="none"/>
        </w:rPr>
      </w:pPr>
      <w:bookmarkStart w:id="253" w:name="_Toc12735"/>
      <w:bookmarkStart w:id="254" w:name="_Toc1441"/>
      <w:r>
        <w:rPr>
          <w:rFonts w:hint="eastAsia"/>
          <w:bCs/>
          <w:color w:val="auto"/>
          <w:sz w:val="28"/>
          <w:szCs w:val="28"/>
          <w:highlight w:val="none"/>
        </w:rPr>
        <w:t>供应商所获资质或奖项证书一览表</w:t>
      </w:r>
      <w:bookmarkEnd w:id="251"/>
      <w:bookmarkEnd w:id="252"/>
      <w:bookmarkEnd w:id="253"/>
      <w:bookmarkEnd w:id="254"/>
    </w:p>
    <w:p>
      <w:pPr>
        <w:pStyle w:val="8"/>
        <w:tabs>
          <w:tab w:val="left" w:pos="8280"/>
        </w:tabs>
        <w:spacing w:line="480" w:lineRule="exact"/>
        <w:ind w:firstLine="482"/>
        <w:rPr>
          <w:rFonts w:hAnsi="宋体"/>
          <w:b/>
          <w:color w:val="auto"/>
          <w:sz w:val="24"/>
          <w:szCs w:val="21"/>
          <w:highlight w:val="none"/>
        </w:rPr>
      </w:pPr>
    </w:p>
    <w:tbl>
      <w:tblPr>
        <w:tblStyle w:val="51"/>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18"/>
        <w:gridCol w:w="2218"/>
        <w:gridCol w:w="1862"/>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0" w:firstLineChars="0"/>
              <w:jc w:val="both"/>
              <w:rPr>
                <w:rFonts w:ascii="Times New Roman" w:hAnsi="宋体"/>
                <w:b/>
                <w:bCs/>
                <w:color w:val="auto"/>
                <w:sz w:val="21"/>
                <w:szCs w:val="21"/>
                <w:highlight w:val="none"/>
              </w:rPr>
            </w:pPr>
            <w:r>
              <w:rPr>
                <w:rFonts w:hint="eastAsia" w:ascii="Times New Roman" w:hAnsi="宋体"/>
                <w:b/>
                <w:bCs/>
                <w:color w:val="auto"/>
                <w:sz w:val="21"/>
                <w:szCs w:val="21"/>
                <w:highlight w:val="none"/>
              </w:rPr>
              <w:t>序号</w:t>
            </w:r>
          </w:p>
        </w:tc>
        <w:tc>
          <w:tcPr>
            <w:tcW w:w="2218"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证书名称及等级</w:t>
            </w:r>
          </w:p>
        </w:tc>
        <w:tc>
          <w:tcPr>
            <w:tcW w:w="2218"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证书编号</w:t>
            </w:r>
          </w:p>
        </w:tc>
        <w:tc>
          <w:tcPr>
            <w:tcW w:w="1862"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发证单位</w:t>
            </w:r>
          </w:p>
        </w:tc>
        <w:tc>
          <w:tcPr>
            <w:tcW w:w="1529" w:type="dxa"/>
            <w:vAlign w:val="center"/>
          </w:tcPr>
          <w:p>
            <w:pPr>
              <w:pStyle w:val="8"/>
              <w:ind w:firstLine="422"/>
              <w:jc w:val="center"/>
              <w:rPr>
                <w:rFonts w:ascii="Times New Roman" w:hAnsi="宋体"/>
                <w:b/>
                <w:bCs/>
                <w:color w:val="auto"/>
                <w:sz w:val="21"/>
                <w:szCs w:val="21"/>
                <w:highlight w:val="none"/>
              </w:rPr>
            </w:pPr>
            <w:r>
              <w:rPr>
                <w:rFonts w:hint="eastAsia" w:ascii="Times New Roman" w:hAnsi="宋体"/>
                <w:b/>
                <w:bCs/>
                <w:color w:val="auto"/>
                <w:sz w:val="21"/>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2218" w:type="dxa"/>
            <w:vAlign w:val="center"/>
          </w:tcPr>
          <w:p>
            <w:pPr>
              <w:pStyle w:val="8"/>
              <w:ind w:firstLine="422"/>
              <w:jc w:val="center"/>
              <w:rPr>
                <w:rFonts w:ascii="Times New Roman" w:hAnsi="宋体"/>
                <w:b/>
                <w:bCs/>
                <w:color w:val="auto"/>
                <w:sz w:val="21"/>
                <w:szCs w:val="21"/>
                <w:highlight w:val="none"/>
              </w:rPr>
            </w:pPr>
          </w:p>
        </w:tc>
        <w:tc>
          <w:tcPr>
            <w:tcW w:w="1862" w:type="dxa"/>
            <w:vAlign w:val="center"/>
          </w:tcPr>
          <w:p>
            <w:pPr>
              <w:pStyle w:val="8"/>
              <w:ind w:firstLine="422"/>
              <w:jc w:val="center"/>
              <w:rPr>
                <w:rFonts w:ascii="Times New Roman" w:hAnsi="宋体"/>
                <w:b/>
                <w:bCs/>
                <w:color w:val="auto"/>
                <w:sz w:val="21"/>
                <w:szCs w:val="21"/>
                <w:highlight w:val="none"/>
              </w:rPr>
            </w:pPr>
          </w:p>
        </w:tc>
        <w:tc>
          <w:tcPr>
            <w:tcW w:w="1529" w:type="dxa"/>
            <w:vAlign w:val="center"/>
          </w:tcPr>
          <w:p>
            <w:pPr>
              <w:pStyle w:val="8"/>
              <w:ind w:firstLine="422"/>
              <w:jc w:val="center"/>
              <w:rPr>
                <w:rFonts w:ascii="Times New Roman" w:hAnsi="宋体"/>
                <w:b/>
                <w:bCs/>
                <w:color w:val="auto"/>
                <w:sz w:val="21"/>
                <w:szCs w:val="21"/>
                <w:highlight w:val="none"/>
              </w:rPr>
            </w:pPr>
          </w:p>
        </w:tc>
      </w:tr>
    </w:tbl>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p>
      <w:pPr>
        <w:spacing w:line="480" w:lineRule="exact"/>
        <w:rPr>
          <w:rFonts w:hAnsi="宋体"/>
          <w:b/>
          <w:color w:val="auto"/>
          <w:szCs w:val="21"/>
          <w:highlight w:val="none"/>
          <w:u w:val="single"/>
        </w:rPr>
      </w:pPr>
    </w:p>
    <w:p>
      <w:pPr>
        <w:spacing w:line="480" w:lineRule="exact"/>
        <w:rPr>
          <w:rFonts w:hAnsi="宋体"/>
          <w:b/>
          <w:bCs/>
          <w:color w:val="auto"/>
          <w:szCs w:val="21"/>
          <w:highlight w:val="none"/>
        </w:rPr>
      </w:pPr>
    </w:p>
    <w:p>
      <w:pPr>
        <w:spacing w:line="480" w:lineRule="exact"/>
        <w:rPr>
          <w:rFonts w:hAnsi="宋体"/>
          <w:b/>
          <w:bCs/>
          <w:color w:val="auto"/>
          <w:szCs w:val="21"/>
          <w:highlight w:val="none"/>
        </w:rPr>
      </w:pPr>
    </w:p>
    <w:p>
      <w:pPr>
        <w:rPr>
          <w:color w:val="auto"/>
          <w:highlight w:val="none"/>
        </w:rPr>
      </w:pPr>
    </w:p>
    <w:p>
      <w:pPr>
        <w:pStyle w:val="6"/>
        <w:numPr>
          <w:ilvl w:val="0"/>
          <w:numId w:val="26"/>
        </w:numPr>
        <w:jc w:val="center"/>
        <w:rPr>
          <w:color w:val="auto"/>
          <w:sz w:val="28"/>
          <w:szCs w:val="28"/>
          <w:highlight w:val="none"/>
        </w:rPr>
      </w:pPr>
      <w:r>
        <w:rPr>
          <w:color w:val="auto"/>
          <w:highlight w:val="none"/>
        </w:rPr>
        <w:br w:type="page"/>
      </w:r>
      <w:bookmarkStart w:id="255" w:name="_Toc4884"/>
      <w:bookmarkStart w:id="256" w:name="_Toc23874"/>
      <w:bookmarkStart w:id="257" w:name="_Toc7897896"/>
      <w:bookmarkStart w:id="258" w:name="_Toc4539"/>
      <w:r>
        <w:rPr>
          <w:rFonts w:hint="eastAsia"/>
          <w:bCs/>
          <w:color w:val="auto"/>
          <w:sz w:val="28"/>
          <w:szCs w:val="28"/>
          <w:highlight w:val="none"/>
        </w:rPr>
        <w:t>项目业绩一览表</w:t>
      </w:r>
      <w:bookmarkEnd w:id="255"/>
      <w:bookmarkEnd w:id="256"/>
      <w:bookmarkEnd w:id="257"/>
      <w:bookmarkEnd w:id="258"/>
    </w:p>
    <w:p>
      <w:pPr>
        <w:pStyle w:val="29"/>
        <w:spacing w:line="480" w:lineRule="exact"/>
        <w:jc w:val="center"/>
        <w:rPr>
          <w:rFonts w:hAnsi="宋体"/>
          <w:b/>
          <w:color w:val="auto"/>
          <w:sz w:val="22"/>
          <w:szCs w:val="22"/>
          <w:highlight w:val="none"/>
        </w:rPr>
      </w:pPr>
    </w:p>
    <w:tbl>
      <w:tblPr>
        <w:tblStyle w:val="5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25"/>
        <w:gridCol w:w="1365"/>
        <w:gridCol w:w="1721"/>
        <w:gridCol w:w="835"/>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序号</w:t>
            </w:r>
          </w:p>
        </w:tc>
        <w:tc>
          <w:tcPr>
            <w:tcW w:w="32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项目名称</w:t>
            </w:r>
          </w:p>
        </w:tc>
        <w:tc>
          <w:tcPr>
            <w:tcW w:w="13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用户单位</w:t>
            </w:r>
          </w:p>
        </w:tc>
        <w:tc>
          <w:tcPr>
            <w:tcW w:w="172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项目金额</w:t>
            </w:r>
          </w:p>
        </w:tc>
        <w:tc>
          <w:tcPr>
            <w:tcW w:w="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执行时间</w:t>
            </w:r>
          </w:p>
        </w:tc>
        <w:tc>
          <w:tcPr>
            <w:tcW w:w="8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Ansi="宋体"/>
                <w:b/>
                <w:color w:val="auto"/>
                <w:sz w:val="21"/>
                <w:szCs w:val="21"/>
                <w:highlight w:val="none"/>
              </w:rPr>
            </w:pPr>
            <w:r>
              <w:rPr>
                <w:rFonts w:hint="eastAsia" w:hAnsi="宋体"/>
                <w:b/>
                <w:color w:val="auto"/>
                <w:sz w:val="21"/>
                <w:szCs w:val="21"/>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1</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2</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3</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r>
              <w:rPr>
                <w:rFonts w:hint="eastAsia" w:hAnsi="宋体"/>
                <w:color w:val="auto"/>
                <w:szCs w:val="21"/>
                <w:highlight w:val="none"/>
              </w:rPr>
              <w:t>…</w:t>
            </w: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auto" w:sz="4" w:space="0"/>
              <w:left w:val="single" w:color="auto" w:sz="4" w:space="0"/>
              <w:bottom w:val="single" w:color="auto" w:sz="4" w:space="0"/>
              <w:right w:val="single" w:color="auto" w:sz="4" w:space="0"/>
            </w:tcBorders>
            <w:vAlign w:val="center"/>
          </w:tcPr>
          <w:p>
            <w:pPr>
              <w:pStyle w:val="29"/>
              <w:jc w:val="center"/>
              <w:rPr>
                <w:rFonts w:hAnsi="宋体"/>
                <w:color w:val="auto"/>
                <w:szCs w:val="21"/>
                <w:highlight w:val="none"/>
              </w:rPr>
            </w:pPr>
          </w:p>
        </w:tc>
        <w:tc>
          <w:tcPr>
            <w:tcW w:w="322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36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1721"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5"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c>
          <w:tcPr>
            <w:tcW w:w="832" w:type="dxa"/>
            <w:tcBorders>
              <w:top w:val="single" w:color="auto" w:sz="4" w:space="0"/>
              <w:left w:val="single" w:color="auto" w:sz="4" w:space="0"/>
              <w:bottom w:val="single" w:color="auto" w:sz="4" w:space="0"/>
              <w:right w:val="single" w:color="auto" w:sz="4" w:space="0"/>
            </w:tcBorders>
          </w:tcPr>
          <w:p>
            <w:pPr>
              <w:snapToGrid w:val="0"/>
              <w:spacing w:line="360" w:lineRule="auto"/>
              <w:rPr>
                <w:rFonts w:hAnsi="宋体"/>
                <w:color w:val="auto"/>
                <w:sz w:val="21"/>
                <w:szCs w:val="21"/>
                <w:highlight w:val="none"/>
                <w:u w:val="single"/>
              </w:rPr>
            </w:pPr>
          </w:p>
        </w:tc>
      </w:tr>
    </w:tbl>
    <w:p>
      <w:pPr>
        <w:pStyle w:val="29"/>
        <w:spacing w:line="480" w:lineRule="exact"/>
        <w:rPr>
          <w:rFonts w:hAnsi="宋体"/>
          <w:color w:val="auto"/>
          <w:sz w:val="22"/>
          <w:szCs w:val="22"/>
          <w:highlight w:val="none"/>
        </w:rPr>
      </w:pPr>
    </w:p>
    <w:p>
      <w:pPr>
        <w:pStyle w:val="29"/>
        <w:spacing w:line="480" w:lineRule="exact"/>
        <w:rPr>
          <w:rFonts w:hAnsi="宋体"/>
          <w:color w:val="auto"/>
          <w:sz w:val="22"/>
          <w:szCs w:val="22"/>
          <w:highlight w:val="none"/>
        </w:rPr>
      </w:pPr>
      <w:r>
        <w:rPr>
          <w:rFonts w:hint="eastAsia" w:hAnsi="宋体"/>
          <w:color w:val="auto"/>
          <w:sz w:val="22"/>
          <w:szCs w:val="22"/>
          <w:highlight w:val="none"/>
        </w:rPr>
        <w:t>要求：</w:t>
      </w:r>
    </w:p>
    <w:p>
      <w:pPr>
        <w:pStyle w:val="29"/>
        <w:spacing w:line="480" w:lineRule="exact"/>
        <w:ind w:firstLine="440" w:firstLineChars="200"/>
        <w:rPr>
          <w:rFonts w:hAnsi="宋体"/>
          <w:color w:val="auto"/>
          <w:sz w:val="22"/>
          <w:szCs w:val="22"/>
          <w:highlight w:val="none"/>
        </w:rPr>
      </w:pPr>
      <w:r>
        <w:rPr>
          <w:rFonts w:hint="eastAsia" w:hAnsi="宋体"/>
          <w:color w:val="auto"/>
          <w:sz w:val="22"/>
          <w:szCs w:val="22"/>
          <w:highlight w:val="none"/>
        </w:rPr>
        <w:t>供应商应当如实、完整地填写本表格，内容包括所有同类或近似项目业绩。提供合同关键页等复印件（加盖供应商公章）。在填写过程中请按年份顺序填写。</w:t>
      </w:r>
    </w:p>
    <w:p>
      <w:pPr>
        <w:pStyle w:val="29"/>
        <w:spacing w:line="480" w:lineRule="exact"/>
        <w:rPr>
          <w:rFonts w:hAnsi="宋体"/>
          <w:color w:val="auto"/>
          <w:sz w:val="22"/>
          <w:szCs w:val="22"/>
          <w:highlight w:val="none"/>
        </w:rPr>
      </w:pP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供应商名称（加盖公章）：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2"/>
          <w:szCs w:val="22"/>
          <w:highlight w:val="none"/>
        </w:rPr>
        <w:t xml:space="preserve">日期：年月日 </w:t>
      </w:r>
    </w:p>
    <w:p>
      <w:pPr>
        <w:pStyle w:val="6"/>
        <w:numPr>
          <w:ilvl w:val="0"/>
          <w:numId w:val="26"/>
        </w:numPr>
        <w:jc w:val="center"/>
        <w:rPr>
          <w:b w:val="0"/>
          <w:bCs/>
          <w:color w:val="auto"/>
          <w:sz w:val="28"/>
          <w:highlight w:val="none"/>
        </w:rPr>
      </w:pPr>
      <w:r>
        <w:rPr>
          <w:color w:val="auto"/>
          <w:sz w:val="22"/>
          <w:szCs w:val="22"/>
          <w:highlight w:val="none"/>
        </w:rPr>
        <w:br w:type="page"/>
      </w:r>
      <w:bookmarkStart w:id="259" w:name="_Toc6882"/>
      <w:bookmarkStart w:id="260" w:name="_Toc23633"/>
      <w:bookmarkStart w:id="261" w:name="_Toc7897897"/>
      <w:bookmarkStart w:id="262" w:name="_Toc17432"/>
      <w:r>
        <w:rPr>
          <w:rFonts w:hint="eastAsia"/>
          <w:bCs/>
          <w:color w:val="auto"/>
          <w:sz w:val="28"/>
          <w:highlight w:val="none"/>
        </w:rPr>
        <w:t>在经营活动中没有重大违法记录的书面声明</w:t>
      </w:r>
      <w:bookmarkEnd w:id="259"/>
      <w:bookmarkEnd w:id="260"/>
      <w:bookmarkEnd w:id="261"/>
      <w:bookmarkEnd w:id="262"/>
    </w:p>
    <w:p>
      <w:pPr>
        <w:pStyle w:val="75"/>
        <w:ind w:firstLine="0" w:firstLineChars="0"/>
        <w:jc w:val="center"/>
        <w:rPr>
          <w:rFonts w:ascii="宋体" w:eastAsia="宋体"/>
          <w:b/>
          <w:color w:val="auto"/>
          <w:sz w:val="28"/>
          <w:highlight w:val="none"/>
        </w:rPr>
      </w:pPr>
    </w:p>
    <w:p>
      <w:pPr>
        <w:spacing w:line="360" w:lineRule="auto"/>
        <w:rPr>
          <w:rFonts w:hAnsi="宋体"/>
          <w:color w:val="auto"/>
          <w:sz w:val="21"/>
          <w:szCs w:val="21"/>
          <w:highlight w:val="none"/>
          <w:u w:val="single"/>
        </w:rPr>
      </w:pPr>
      <w:r>
        <w:rPr>
          <w:rFonts w:hint="eastAsia" w:hAnsi="宋体"/>
          <w:color w:val="auto"/>
          <w:sz w:val="21"/>
          <w:szCs w:val="21"/>
          <w:highlight w:val="none"/>
        </w:rPr>
        <w:t>致：</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本公司参加采购项目（采购编号）的采购活动，并声明：</w:t>
      </w:r>
    </w:p>
    <w:p>
      <w:pPr>
        <w:spacing w:line="360" w:lineRule="auto"/>
        <w:rPr>
          <w:rFonts w:hAnsi="宋体"/>
          <w:color w:val="auto"/>
          <w:sz w:val="21"/>
          <w:szCs w:val="21"/>
          <w:highlight w:val="none"/>
        </w:rPr>
      </w:pPr>
      <w:r>
        <w:rPr>
          <w:rFonts w:hint="eastAsia" w:hAnsi="宋体"/>
          <w:color w:val="auto"/>
          <w:sz w:val="21"/>
          <w:szCs w:val="21"/>
          <w:highlight w:val="none"/>
        </w:rPr>
        <w:t xml:space="preserve">    本公司参加本采购项目采购前3年内在经营活动中没有因违法经营受到刑事处罚或者责令停产停业、吊销许可证或者执照、较大数额罚款等行政处罚。</w:t>
      </w:r>
    </w:p>
    <w:p>
      <w:pPr>
        <w:spacing w:line="360" w:lineRule="auto"/>
        <w:rPr>
          <w:rFonts w:hAnsi="宋体"/>
          <w:color w:val="auto"/>
          <w:sz w:val="21"/>
          <w:szCs w:val="21"/>
          <w:highlight w:val="none"/>
        </w:rPr>
      </w:pPr>
      <w:r>
        <w:rPr>
          <w:rFonts w:hint="eastAsia" w:hAnsi="宋体"/>
          <w:color w:val="auto"/>
          <w:sz w:val="21"/>
          <w:szCs w:val="21"/>
          <w:highlight w:val="none"/>
        </w:rPr>
        <w:t xml:space="preserve">    特此声明！</w:t>
      </w:r>
    </w:p>
    <w:p>
      <w:pPr>
        <w:rPr>
          <w:rFonts w:hAnsi="宋体"/>
          <w:color w:val="auto"/>
          <w:sz w:val="21"/>
          <w:szCs w:val="21"/>
          <w:highlight w:val="none"/>
        </w:rPr>
      </w:pPr>
    </w:p>
    <w:p>
      <w:pPr>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 xml:space="preserve">日期：年月日 </w:t>
      </w:r>
    </w:p>
    <w:bookmarkEnd w:id="221"/>
    <w:bookmarkEnd w:id="222"/>
    <w:bookmarkEnd w:id="223"/>
    <w:bookmarkEnd w:id="224"/>
    <w:bookmarkEnd w:id="225"/>
    <w:bookmarkEnd w:id="226"/>
    <w:bookmarkEnd w:id="227"/>
    <w:p>
      <w:pPr>
        <w:pStyle w:val="6"/>
        <w:numPr>
          <w:ilvl w:val="0"/>
          <w:numId w:val="26"/>
        </w:numPr>
        <w:jc w:val="center"/>
        <w:rPr>
          <w:b w:val="0"/>
          <w:color w:val="auto"/>
          <w:sz w:val="28"/>
          <w:szCs w:val="28"/>
          <w:highlight w:val="none"/>
        </w:rPr>
      </w:pPr>
      <w:bookmarkStart w:id="263" w:name="_Toc110953865"/>
      <w:bookmarkStart w:id="264" w:name="_Toc35233726"/>
      <w:bookmarkStart w:id="265" w:name="_Toc468157570"/>
      <w:bookmarkStart w:id="266" w:name="_Toc467236774"/>
      <w:bookmarkStart w:id="267" w:name="_Toc479991617"/>
      <w:bookmarkStart w:id="268" w:name="_Toc454701411"/>
      <w:bookmarkStart w:id="269" w:name="_Toc468606065"/>
      <w:bookmarkStart w:id="270" w:name="_Toc458262644"/>
      <w:bookmarkStart w:id="271" w:name="_Toc480010743"/>
      <w:bookmarkStart w:id="272" w:name="_Toc480021086"/>
      <w:bookmarkStart w:id="273" w:name="_Toc467987857"/>
      <w:bookmarkStart w:id="274" w:name="_Toc480020290"/>
      <w:bookmarkStart w:id="275" w:name="_Toc480171915"/>
      <w:r>
        <w:rPr>
          <w:color w:val="auto"/>
          <w:sz w:val="22"/>
          <w:szCs w:val="22"/>
          <w:highlight w:val="none"/>
        </w:rPr>
        <w:br w:type="page"/>
      </w:r>
      <w:bookmarkEnd w:id="263"/>
      <w:bookmarkStart w:id="276" w:name="_Toc7897900"/>
      <w:bookmarkStart w:id="277" w:name="_Toc8181"/>
      <w:bookmarkStart w:id="278" w:name="_Toc18024"/>
      <w:bookmarkStart w:id="279" w:name="_Toc2461"/>
      <w:r>
        <w:rPr>
          <w:rFonts w:hint="eastAsia"/>
          <w:color w:val="auto"/>
          <w:sz w:val="28"/>
          <w:szCs w:val="28"/>
          <w:highlight w:val="none"/>
        </w:rPr>
        <w:t>针对本项目拟派人员及其技术资格一览表</w:t>
      </w:r>
      <w:bookmarkEnd w:id="276"/>
      <w:bookmarkEnd w:id="277"/>
      <w:bookmarkEnd w:id="278"/>
      <w:bookmarkEnd w:id="279"/>
    </w:p>
    <w:p>
      <w:pPr>
        <w:pStyle w:val="29"/>
        <w:spacing w:line="480" w:lineRule="exact"/>
        <w:ind w:left="-202" w:leftChars="-84" w:firstLine="241" w:firstLineChars="100"/>
        <w:rPr>
          <w:rFonts w:hAnsi="宋体"/>
          <w:b/>
          <w:color w:val="auto"/>
          <w:sz w:val="24"/>
          <w:szCs w:val="21"/>
          <w:highlight w:val="none"/>
        </w:rPr>
      </w:pPr>
    </w:p>
    <w:p>
      <w:pPr>
        <w:pStyle w:val="29"/>
        <w:spacing w:line="480" w:lineRule="exact"/>
        <w:ind w:left="-202" w:leftChars="-84" w:firstLine="221" w:firstLineChars="100"/>
        <w:rPr>
          <w:rFonts w:hAnsi="宋体"/>
          <w:b/>
          <w:color w:val="auto"/>
          <w:sz w:val="22"/>
          <w:szCs w:val="22"/>
          <w:highlight w:val="none"/>
          <w:u w:val="single"/>
        </w:rPr>
      </w:pPr>
    </w:p>
    <w:tbl>
      <w:tblPr>
        <w:tblStyle w:val="5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26"/>
        <w:gridCol w:w="877"/>
        <w:gridCol w:w="1533"/>
        <w:gridCol w:w="1357"/>
        <w:gridCol w:w="1200"/>
        <w:gridCol w:w="1403"/>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4"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序号</w:t>
            </w:r>
          </w:p>
        </w:tc>
        <w:tc>
          <w:tcPr>
            <w:tcW w:w="1026"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姓名</w:t>
            </w:r>
          </w:p>
        </w:tc>
        <w:tc>
          <w:tcPr>
            <w:tcW w:w="87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职位</w:t>
            </w:r>
          </w:p>
        </w:tc>
        <w:tc>
          <w:tcPr>
            <w:tcW w:w="1533" w:type="dxa"/>
          </w:tcPr>
          <w:p>
            <w:pPr>
              <w:pStyle w:val="29"/>
              <w:spacing w:line="480" w:lineRule="exact"/>
              <w:jc w:val="center"/>
              <w:rPr>
                <w:rFonts w:hAnsi="宋体"/>
                <w:b/>
                <w:color w:val="auto"/>
                <w:szCs w:val="21"/>
                <w:highlight w:val="none"/>
              </w:rPr>
            </w:pPr>
            <w:r>
              <w:rPr>
                <w:rFonts w:hint="eastAsia" w:hAnsi="宋体"/>
                <w:b/>
                <w:color w:val="auto"/>
                <w:szCs w:val="21"/>
                <w:highlight w:val="none"/>
              </w:rPr>
              <w:t>拟在本项目担任职务</w:t>
            </w:r>
          </w:p>
        </w:tc>
        <w:tc>
          <w:tcPr>
            <w:tcW w:w="1357"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专业、资格证件</w:t>
            </w:r>
          </w:p>
        </w:tc>
        <w:tc>
          <w:tcPr>
            <w:tcW w:w="1200"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发证时间</w:t>
            </w:r>
          </w:p>
        </w:tc>
        <w:tc>
          <w:tcPr>
            <w:tcW w:w="1403" w:type="dxa"/>
            <w:vAlign w:val="center"/>
          </w:tcPr>
          <w:p>
            <w:pPr>
              <w:pStyle w:val="29"/>
              <w:spacing w:line="480" w:lineRule="exact"/>
              <w:jc w:val="center"/>
              <w:rPr>
                <w:rFonts w:hAnsi="宋体"/>
                <w:b/>
                <w:color w:val="auto"/>
                <w:szCs w:val="21"/>
                <w:highlight w:val="none"/>
              </w:rPr>
            </w:pPr>
            <w:r>
              <w:rPr>
                <w:rFonts w:hint="eastAsia" w:hAnsi="宋体"/>
                <w:b/>
                <w:color w:val="auto"/>
                <w:szCs w:val="21"/>
                <w:highlight w:val="none"/>
              </w:rPr>
              <w:t>经验年限</w:t>
            </w:r>
          </w:p>
        </w:tc>
        <w:tc>
          <w:tcPr>
            <w:tcW w:w="1403" w:type="dxa"/>
          </w:tcPr>
          <w:p>
            <w:pPr>
              <w:pStyle w:val="29"/>
              <w:spacing w:line="480" w:lineRule="exact"/>
              <w:jc w:val="center"/>
              <w:rPr>
                <w:rFonts w:hAnsi="宋体"/>
                <w:b/>
                <w:color w:val="auto"/>
                <w:szCs w:val="21"/>
                <w:highlight w:val="none"/>
              </w:rPr>
            </w:pPr>
            <w:r>
              <w:rPr>
                <w:rFonts w:hint="eastAsia" w:hAnsi="宋体"/>
                <w:b/>
                <w:color w:val="auto"/>
                <w:szCs w:val="21"/>
                <w:highlight w:val="none"/>
              </w:rPr>
              <w:t>主要承担过的项目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项目负责人</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vAlign w:val="center"/>
          </w:tcPr>
          <w:p>
            <w:pPr>
              <w:jc w:val="center"/>
              <w:rPr>
                <w:rFonts w:hAnsi="宋体"/>
                <w:color w:val="auto"/>
                <w:sz w:val="21"/>
                <w:szCs w:val="21"/>
                <w:highlight w:val="none"/>
              </w:rPr>
            </w:pPr>
            <w:r>
              <w:rPr>
                <w:rFonts w:hint="eastAsia" w:hAnsi="宋体"/>
                <w:color w:val="auto"/>
                <w:sz w:val="21"/>
                <w:szCs w:val="21"/>
                <w:highlight w:val="none"/>
              </w:rPr>
              <w:t>项目人员</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r>
              <w:rPr>
                <w:rFonts w:hint="eastAsia" w:hAnsi="宋体"/>
                <w:color w:val="auto"/>
                <w:szCs w:val="21"/>
                <w:highlight w:val="none"/>
              </w:rPr>
              <w:t>…</w:t>
            </w: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34" w:type="dxa"/>
            <w:vAlign w:val="center"/>
          </w:tcPr>
          <w:p>
            <w:pPr>
              <w:pStyle w:val="29"/>
              <w:spacing w:line="480" w:lineRule="exact"/>
              <w:jc w:val="center"/>
              <w:rPr>
                <w:rFonts w:hAnsi="宋体"/>
                <w:color w:val="auto"/>
                <w:szCs w:val="21"/>
                <w:highlight w:val="none"/>
              </w:rPr>
            </w:pPr>
          </w:p>
        </w:tc>
        <w:tc>
          <w:tcPr>
            <w:tcW w:w="1026" w:type="dxa"/>
            <w:vAlign w:val="center"/>
          </w:tcPr>
          <w:p>
            <w:pPr>
              <w:pStyle w:val="29"/>
              <w:spacing w:line="480" w:lineRule="exact"/>
              <w:jc w:val="center"/>
              <w:rPr>
                <w:rFonts w:hAnsi="宋体"/>
                <w:color w:val="auto"/>
                <w:szCs w:val="21"/>
                <w:highlight w:val="none"/>
              </w:rPr>
            </w:pPr>
          </w:p>
        </w:tc>
        <w:tc>
          <w:tcPr>
            <w:tcW w:w="877" w:type="dxa"/>
            <w:vAlign w:val="center"/>
          </w:tcPr>
          <w:p>
            <w:pPr>
              <w:pStyle w:val="29"/>
              <w:spacing w:line="480" w:lineRule="exact"/>
              <w:jc w:val="center"/>
              <w:rPr>
                <w:rFonts w:hAnsi="宋体"/>
                <w:color w:val="auto"/>
                <w:szCs w:val="21"/>
                <w:highlight w:val="none"/>
              </w:rPr>
            </w:pPr>
          </w:p>
        </w:tc>
        <w:tc>
          <w:tcPr>
            <w:tcW w:w="1533" w:type="dxa"/>
          </w:tcPr>
          <w:p>
            <w:pPr>
              <w:pStyle w:val="29"/>
              <w:spacing w:line="480" w:lineRule="exact"/>
              <w:jc w:val="center"/>
              <w:rPr>
                <w:rFonts w:hAnsi="宋体"/>
                <w:color w:val="auto"/>
                <w:szCs w:val="21"/>
                <w:highlight w:val="none"/>
              </w:rPr>
            </w:pPr>
          </w:p>
        </w:tc>
        <w:tc>
          <w:tcPr>
            <w:tcW w:w="1357" w:type="dxa"/>
            <w:vAlign w:val="center"/>
          </w:tcPr>
          <w:p>
            <w:pPr>
              <w:pStyle w:val="29"/>
              <w:spacing w:line="480" w:lineRule="exact"/>
              <w:jc w:val="center"/>
              <w:rPr>
                <w:rFonts w:hAnsi="宋体"/>
                <w:color w:val="auto"/>
                <w:szCs w:val="21"/>
                <w:highlight w:val="none"/>
              </w:rPr>
            </w:pPr>
          </w:p>
        </w:tc>
        <w:tc>
          <w:tcPr>
            <w:tcW w:w="1200" w:type="dxa"/>
            <w:vAlign w:val="center"/>
          </w:tcPr>
          <w:p>
            <w:pPr>
              <w:pStyle w:val="29"/>
              <w:spacing w:line="480" w:lineRule="exact"/>
              <w:jc w:val="center"/>
              <w:rPr>
                <w:rFonts w:hAnsi="宋体"/>
                <w:color w:val="auto"/>
                <w:szCs w:val="21"/>
                <w:highlight w:val="none"/>
              </w:rPr>
            </w:pPr>
          </w:p>
        </w:tc>
        <w:tc>
          <w:tcPr>
            <w:tcW w:w="1403" w:type="dxa"/>
            <w:vAlign w:val="center"/>
          </w:tcPr>
          <w:p>
            <w:pPr>
              <w:pStyle w:val="29"/>
              <w:spacing w:line="480" w:lineRule="exact"/>
              <w:jc w:val="center"/>
              <w:rPr>
                <w:rFonts w:hAnsi="宋体"/>
                <w:color w:val="auto"/>
                <w:szCs w:val="21"/>
                <w:highlight w:val="none"/>
              </w:rPr>
            </w:pPr>
          </w:p>
        </w:tc>
        <w:tc>
          <w:tcPr>
            <w:tcW w:w="1403" w:type="dxa"/>
          </w:tcPr>
          <w:p>
            <w:pPr>
              <w:pStyle w:val="29"/>
              <w:spacing w:line="480" w:lineRule="exact"/>
              <w:jc w:val="center"/>
              <w:rPr>
                <w:rFonts w:hAnsi="宋体"/>
                <w:color w:val="auto"/>
                <w:szCs w:val="21"/>
                <w:highlight w:val="none"/>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hAnsi="宋体"/>
          <w:color w:val="auto"/>
          <w:sz w:val="22"/>
          <w:szCs w:val="22"/>
          <w:highlight w:val="none"/>
        </w:rPr>
      </w:pPr>
    </w:p>
    <w:p>
      <w:pPr>
        <w:tabs>
          <w:tab w:val="left" w:pos="654"/>
          <w:tab w:val="left" w:pos="1734"/>
          <w:tab w:val="left" w:pos="2814"/>
          <w:tab w:val="left" w:pos="3894"/>
          <w:tab w:val="left" w:pos="5334"/>
          <w:tab w:val="left" w:pos="6414"/>
          <w:tab w:val="left" w:pos="7254"/>
          <w:tab w:val="left" w:pos="8574"/>
          <w:tab w:val="left" w:pos="9654"/>
        </w:tabs>
        <w:spacing w:line="480" w:lineRule="exact"/>
        <w:rPr>
          <w:rFonts w:hAnsi="宋体"/>
          <w:color w:val="auto"/>
          <w:sz w:val="21"/>
          <w:szCs w:val="21"/>
          <w:highlight w:val="none"/>
        </w:rPr>
      </w:pPr>
      <w:r>
        <w:rPr>
          <w:rFonts w:hint="eastAsia" w:hAnsi="宋体"/>
          <w:color w:val="auto"/>
          <w:sz w:val="21"/>
          <w:szCs w:val="21"/>
          <w:highlight w:val="none"/>
        </w:rPr>
        <w:t>要求：</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hAnsi="宋体"/>
          <w:color w:val="auto"/>
          <w:sz w:val="21"/>
          <w:szCs w:val="21"/>
          <w:highlight w:val="none"/>
        </w:rPr>
      </w:pPr>
      <w:r>
        <w:rPr>
          <w:rFonts w:hint="eastAsia" w:hAnsi="宋体"/>
          <w:color w:val="auto"/>
          <w:sz w:val="21"/>
          <w:szCs w:val="21"/>
          <w:highlight w:val="none"/>
        </w:rPr>
        <w:t>2.供应商应当在响应文件中提供评分标准中要求提供的资料。（上述文件均加盖供应商公章）</w:t>
      </w:r>
    </w:p>
    <w:p>
      <w:pPr>
        <w:pStyle w:val="2"/>
        <w:rPr>
          <w:rFonts w:hAnsi="宋体"/>
          <w:color w:val="auto"/>
          <w:sz w:val="21"/>
          <w:szCs w:val="21"/>
          <w:highlight w:val="none"/>
        </w:rPr>
      </w:pP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供应商名称（加盖公章）：</w:t>
      </w:r>
    </w:p>
    <w:p>
      <w:pPr>
        <w:overflowPunct w:val="0"/>
        <w:spacing w:line="460" w:lineRule="exact"/>
        <w:rPr>
          <w:rFonts w:hAnsi="宋体"/>
          <w:color w:val="auto"/>
          <w:sz w:val="21"/>
          <w:szCs w:val="21"/>
          <w:highlight w:val="none"/>
        </w:rPr>
      </w:pPr>
      <w:r>
        <w:rPr>
          <w:rFonts w:hint="eastAsia" w:hAnsi="宋体"/>
          <w:color w:val="auto"/>
          <w:sz w:val="21"/>
          <w:szCs w:val="21"/>
          <w:highlight w:val="none"/>
        </w:rPr>
        <w:t>供应商法定代表人或受委托人（签名或盖私章）：</w:t>
      </w:r>
    </w:p>
    <w:p>
      <w:pPr>
        <w:overflowPunct w:val="0"/>
        <w:spacing w:line="460" w:lineRule="exact"/>
        <w:rPr>
          <w:rFonts w:hAnsi="宋体"/>
          <w:color w:val="auto"/>
          <w:sz w:val="22"/>
          <w:szCs w:val="22"/>
          <w:highlight w:val="none"/>
        </w:rPr>
      </w:pPr>
      <w:r>
        <w:rPr>
          <w:rFonts w:hint="eastAsia" w:hAnsi="宋体"/>
          <w:color w:val="auto"/>
          <w:sz w:val="21"/>
          <w:szCs w:val="21"/>
          <w:highlight w:val="none"/>
        </w:rPr>
        <w:t>日期：年月日</w:t>
      </w:r>
    </w:p>
    <w:p>
      <w:pPr>
        <w:spacing w:line="480" w:lineRule="exact"/>
        <w:rPr>
          <w:rFonts w:hAnsi="宋体"/>
          <w:b/>
          <w:bCs/>
          <w:color w:val="auto"/>
          <w:szCs w:val="21"/>
          <w:highlight w:val="none"/>
          <w:u w:val="single"/>
        </w:rPr>
      </w:pPr>
    </w:p>
    <w:p>
      <w:pPr>
        <w:pStyle w:val="6"/>
        <w:numPr>
          <w:ilvl w:val="0"/>
          <w:numId w:val="26"/>
        </w:numPr>
        <w:jc w:val="center"/>
        <w:rPr>
          <w:bCs/>
          <w:color w:val="auto"/>
          <w:sz w:val="28"/>
          <w:szCs w:val="28"/>
          <w:highlight w:val="none"/>
        </w:rPr>
      </w:pPr>
      <w:r>
        <w:rPr>
          <w:bCs/>
          <w:color w:val="auto"/>
          <w:szCs w:val="21"/>
          <w:highlight w:val="none"/>
        </w:rPr>
        <w:br w:type="page"/>
      </w:r>
      <w:bookmarkEnd w:id="264"/>
      <w:bookmarkEnd w:id="265"/>
      <w:bookmarkEnd w:id="266"/>
      <w:bookmarkEnd w:id="267"/>
      <w:bookmarkEnd w:id="268"/>
      <w:bookmarkEnd w:id="269"/>
      <w:bookmarkEnd w:id="270"/>
      <w:bookmarkEnd w:id="271"/>
      <w:bookmarkEnd w:id="272"/>
      <w:bookmarkEnd w:id="273"/>
      <w:bookmarkEnd w:id="274"/>
      <w:bookmarkEnd w:id="275"/>
      <w:bookmarkStart w:id="280" w:name="_Toc13441"/>
      <w:bookmarkStart w:id="281" w:name="_Toc16598"/>
      <w:r>
        <w:rPr>
          <w:rFonts w:hint="eastAsia"/>
          <w:bCs/>
          <w:color w:val="auto"/>
          <w:sz w:val="28"/>
          <w:szCs w:val="28"/>
          <w:highlight w:val="none"/>
        </w:rPr>
        <w:t>磋商保证金汇入情况说明（适用于转账、电汇方式）</w:t>
      </w:r>
      <w:bookmarkEnd w:id="280"/>
      <w:bookmarkEnd w:id="281"/>
    </w:p>
    <w:p>
      <w:pPr>
        <w:spacing w:line="460" w:lineRule="exact"/>
        <w:rPr>
          <w:rFonts w:hAnsi="宋体"/>
          <w:b/>
          <w:bCs/>
          <w:color w:val="auto"/>
          <w:sz w:val="22"/>
          <w:szCs w:val="22"/>
          <w:highlight w:val="none"/>
        </w:rPr>
      </w:pPr>
    </w:p>
    <w:p>
      <w:pPr>
        <w:spacing w:line="460" w:lineRule="exact"/>
        <w:rPr>
          <w:rFonts w:hAnsi="宋体"/>
          <w:color w:val="auto"/>
          <w:sz w:val="21"/>
          <w:szCs w:val="21"/>
          <w:highlight w:val="none"/>
        </w:rPr>
      </w:pPr>
      <w:r>
        <w:rPr>
          <w:rFonts w:hint="eastAsia" w:hAnsi="宋体"/>
          <w:color w:val="auto"/>
          <w:sz w:val="21"/>
          <w:szCs w:val="21"/>
          <w:highlight w:val="none"/>
        </w:rPr>
        <w:t xml:space="preserve">广东泰通伟业工程咨询有限公司：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本单位已按</w:t>
      </w:r>
      <w:r>
        <w:rPr>
          <w:rFonts w:hint="eastAsia" w:hAnsi="宋体"/>
          <w:color w:val="auto"/>
          <w:sz w:val="21"/>
          <w:szCs w:val="21"/>
          <w:highlight w:val="none"/>
          <w:u w:val="single"/>
        </w:rPr>
        <w:t xml:space="preserve">  （项目名称）   （</w:t>
      </w:r>
      <w:r>
        <w:rPr>
          <w:rFonts w:hint="eastAsia" w:hAnsi="宋体"/>
          <w:color w:val="auto"/>
          <w:sz w:val="21"/>
          <w:szCs w:val="21"/>
          <w:highlight w:val="none"/>
        </w:rPr>
        <w:t>采购编号：</w:t>
      </w:r>
      <w:r>
        <w:rPr>
          <w:rFonts w:hint="eastAsia" w:hAnsi="宋体"/>
          <w:color w:val="auto"/>
          <w:sz w:val="21"/>
          <w:szCs w:val="21"/>
          <w:highlight w:val="none"/>
          <w:u w:val="single"/>
        </w:rPr>
        <w:t xml:space="preserve">     ）</w:t>
      </w:r>
      <w:r>
        <w:rPr>
          <w:rFonts w:hint="eastAsia" w:hAnsi="宋体"/>
          <w:color w:val="auto"/>
          <w:sz w:val="21"/>
          <w:szCs w:val="21"/>
          <w:highlight w:val="none"/>
        </w:rPr>
        <w:t>的磋商文件要求，于年月日前以（付款形式）方式汇入指定帐户（帐户名称：，帐号：,开户银行：）。</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供应商磋商保证金的汇款情况：（详见附件－磋商保证金进帐单）汇出时间：年月日；</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汇款金额：（大写）人民币</w:t>
      </w:r>
      <w:r>
        <w:rPr>
          <w:rFonts w:hint="eastAsia" w:hAnsi="宋体"/>
          <w:color w:val="auto"/>
          <w:sz w:val="21"/>
          <w:szCs w:val="21"/>
          <w:highlight w:val="none"/>
          <w:u w:val="single"/>
        </w:rPr>
        <w:t xml:space="preserve">               元整</w:t>
      </w:r>
    </w:p>
    <w:p>
      <w:pPr>
        <w:spacing w:line="460" w:lineRule="exact"/>
        <w:ind w:firstLine="1365" w:firstLineChars="650"/>
        <w:rPr>
          <w:rFonts w:hAnsi="宋体"/>
          <w:color w:val="auto"/>
          <w:sz w:val="21"/>
          <w:szCs w:val="21"/>
          <w:highlight w:val="none"/>
          <w:u w:val="single"/>
        </w:rPr>
      </w:pPr>
      <w:r>
        <w:rPr>
          <w:rFonts w:hint="eastAsia" w:hAnsi="宋体"/>
          <w:color w:val="auto"/>
          <w:sz w:val="21"/>
          <w:szCs w:val="21"/>
          <w:highlight w:val="none"/>
        </w:rPr>
        <w:t>（小写）￥元。</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汇款帐户名称：</w:t>
      </w:r>
      <w:r>
        <w:rPr>
          <w:rFonts w:hint="eastAsia" w:hAnsi="宋体"/>
          <w:color w:val="auto"/>
          <w:sz w:val="21"/>
          <w:szCs w:val="21"/>
          <w:highlight w:val="none"/>
          <w:u w:val="single"/>
        </w:rPr>
        <w:t xml:space="preserve">  （必须是磋商时使用的单位名称）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帐    号：</w:t>
      </w:r>
      <w:r>
        <w:rPr>
          <w:rFonts w:hint="eastAsia" w:hAnsi="宋体"/>
          <w:color w:val="auto"/>
          <w:sz w:val="21"/>
          <w:szCs w:val="21"/>
          <w:highlight w:val="none"/>
          <w:u w:val="single"/>
        </w:rPr>
        <w:t xml:space="preserve">  （必须是磋商时使用的帐号）     </w:t>
      </w:r>
    </w:p>
    <w:p>
      <w:pPr>
        <w:spacing w:line="460" w:lineRule="exact"/>
        <w:ind w:firstLine="420" w:firstLineChars="200"/>
        <w:rPr>
          <w:rFonts w:hAnsi="宋体"/>
          <w:color w:val="auto"/>
          <w:sz w:val="21"/>
          <w:szCs w:val="21"/>
          <w:highlight w:val="none"/>
          <w:u w:val="single"/>
        </w:rPr>
      </w:pPr>
      <w:r>
        <w:rPr>
          <w:rFonts w:hint="eastAsia" w:hAnsi="宋体"/>
          <w:color w:val="auto"/>
          <w:sz w:val="21"/>
          <w:szCs w:val="21"/>
          <w:highlight w:val="none"/>
        </w:rPr>
        <w:t>开户银行：</w:t>
      </w:r>
      <w:r>
        <w:rPr>
          <w:rFonts w:hint="eastAsia" w:hAnsi="宋体"/>
          <w:color w:val="auto"/>
          <w:sz w:val="21"/>
          <w:szCs w:val="21"/>
          <w:highlight w:val="none"/>
          <w:u w:val="single"/>
        </w:rPr>
        <w:t xml:space="preserve">    银行   省    市          (分行/支行)    </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本单位谨承诺上述资料是正确、真实的，如因上述证明与事实不符导致的一切损失，本单位保证承担赔偿等一切法律责任。</w:t>
      </w:r>
    </w:p>
    <w:p>
      <w:pPr>
        <w:spacing w:line="460" w:lineRule="exact"/>
        <w:ind w:firstLine="420" w:firstLineChars="200"/>
        <w:rPr>
          <w:rFonts w:hAnsi="宋体"/>
          <w:color w:val="auto"/>
          <w:sz w:val="21"/>
          <w:szCs w:val="21"/>
          <w:highlight w:val="none"/>
        </w:rPr>
      </w:pPr>
      <w:r>
        <w:rPr>
          <w:rFonts w:hint="eastAsia" w:hAnsi="宋体"/>
          <w:color w:val="auto"/>
          <w:sz w:val="21"/>
          <w:szCs w:val="21"/>
          <w:highlight w:val="none"/>
        </w:rPr>
        <w:t>磋商保证金退回时，请按上述资料退回。</w:t>
      </w:r>
    </w:p>
    <w:p>
      <w:pPr>
        <w:spacing w:line="460" w:lineRule="exact"/>
        <w:rPr>
          <w:rFonts w:hAnsi="宋体"/>
          <w:b/>
          <w:bCs/>
          <w:color w:val="auto"/>
          <w:sz w:val="21"/>
          <w:szCs w:val="21"/>
          <w:highlight w:val="none"/>
        </w:rPr>
      </w:pPr>
    </w:p>
    <w:p>
      <w:pPr>
        <w:spacing w:line="460" w:lineRule="exact"/>
        <w:rPr>
          <w:rFonts w:hAnsi="宋体"/>
          <w:b/>
          <w:bCs/>
          <w:color w:val="auto"/>
          <w:sz w:val="21"/>
          <w:szCs w:val="21"/>
          <w:highlight w:val="none"/>
        </w:rPr>
      </w:pPr>
      <w:r>
        <w:rPr>
          <w:rFonts w:hint="eastAsia" w:hAnsi="宋体"/>
          <w:b/>
          <w:bCs/>
          <w:color w:val="auto"/>
          <w:sz w:val="21"/>
          <w:szCs w:val="21"/>
          <w:highlight w:val="none"/>
        </w:rPr>
        <w:t>附件：磋商保证金进帐单复印件（加盖公章）</w:t>
      </w:r>
    </w:p>
    <w:p>
      <w:pPr>
        <w:spacing w:line="460" w:lineRule="exact"/>
        <w:ind w:right="965" w:rightChars="402"/>
        <w:jc w:val="right"/>
        <w:rPr>
          <w:rFonts w:hAnsi="宋体"/>
          <w:color w:val="auto"/>
          <w:sz w:val="21"/>
          <w:szCs w:val="21"/>
          <w:highlight w:val="none"/>
        </w:rPr>
      </w:pPr>
      <w:r>
        <w:rPr>
          <w:rFonts w:hint="eastAsia" w:hAnsi="宋体"/>
          <w:color w:val="auto"/>
          <w:sz w:val="21"/>
          <w:szCs w:val="21"/>
          <w:highlight w:val="none"/>
        </w:rPr>
        <w:t>（公章）</w:t>
      </w:r>
    </w:p>
    <w:p>
      <w:pPr>
        <w:spacing w:line="460" w:lineRule="exact"/>
        <w:ind w:right="718" w:rightChars="299"/>
        <w:jc w:val="right"/>
        <w:rPr>
          <w:rFonts w:hAnsi="宋体"/>
          <w:color w:val="auto"/>
          <w:sz w:val="21"/>
          <w:szCs w:val="21"/>
          <w:highlight w:val="none"/>
        </w:rPr>
      </w:pPr>
      <w:r>
        <w:rPr>
          <w:rFonts w:hint="eastAsia" w:hAnsi="宋体"/>
          <w:color w:val="auto"/>
          <w:sz w:val="21"/>
          <w:szCs w:val="21"/>
          <w:highlight w:val="none"/>
        </w:rPr>
        <w:t>年   月   日</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单位名称：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单位地址：           </w:t>
      </w:r>
    </w:p>
    <w:p>
      <w:pPr>
        <w:spacing w:line="460" w:lineRule="exact"/>
        <w:rPr>
          <w:rFonts w:hAnsi="宋体"/>
          <w:color w:val="auto"/>
          <w:sz w:val="21"/>
          <w:szCs w:val="21"/>
          <w:highlight w:val="none"/>
        </w:rPr>
      </w:pPr>
      <w:r>
        <w:rPr>
          <w:rFonts w:hint="eastAsia" w:hAnsi="宋体"/>
          <w:color w:val="auto"/>
          <w:sz w:val="21"/>
          <w:szCs w:val="21"/>
          <w:highlight w:val="none"/>
        </w:rPr>
        <w:t xml:space="preserve">联系人：                   </w:t>
      </w:r>
    </w:p>
    <w:p>
      <w:pPr>
        <w:spacing w:line="460" w:lineRule="exact"/>
        <w:rPr>
          <w:rFonts w:hAnsi="宋体"/>
          <w:color w:val="auto"/>
          <w:sz w:val="21"/>
          <w:szCs w:val="21"/>
          <w:highlight w:val="none"/>
        </w:rPr>
      </w:pPr>
      <w:r>
        <w:rPr>
          <w:rFonts w:hint="eastAsia" w:hAnsi="宋体"/>
          <w:color w:val="auto"/>
          <w:sz w:val="21"/>
          <w:szCs w:val="21"/>
          <w:highlight w:val="none"/>
        </w:rPr>
        <w:t xml:space="preserve">单位电话：                 联系人手机：              </w:t>
      </w:r>
    </w:p>
    <w:p>
      <w:pPr>
        <w:spacing w:line="360" w:lineRule="auto"/>
        <w:rPr>
          <w:rFonts w:hAnsi="宋体"/>
          <w:b/>
          <w:color w:val="auto"/>
          <w:sz w:val="21"/>
          <w:szCs w:val="21"/>
          <w:highlight w:val="none"/>
        </w:rPr>
      </w:pPr>
    </w:p>
    <w:p>
      <w:pPr>
        <w:rPr>
          <w:color w:val="auto"/>
          <w:sz w:val="21"/>
          <w:szCs w:val="21"/>
          <w:highlight w:val="none"/>
        </w:rPr>
      </w:pPr>
      <w:r>
        <w:rPr>
          <w:rFonts w:hint="eastAsia"/>
          <w:color w:val="auto"/>
          <w:sz w:val="21"/>
          <w:szCs w:val="21"/>
          <w:highlight w:val="none"/>
        </w:rPr>
        <w:t>注：1、本说明的所有内容（包括所填写内容）均需打印；2、本说明及磋商保证金进帐单复印件（加盖公章）在磋商时放入唱标信封内。</w:t>
      </w:r>
    </w:p>
    <w:p>
      <w:pPr>
        <w:rPr>
          <w:color w:val="auto"/>
          <w:highlight w:val="none"/>
        </w:rPr>
      </w:pPr>
    </w:p>
    <w:p>
      <w:pPr>
        <w:overflowPunct w:val="0"/>
        <w:spacing w:line="460" w:lineRule="exact"/>
        <w:rPr>
          <w:rFonts w:hAnsi="宋体"/>
          <w:color w:val="auto"/>
          <w:sz w:val="22"/>
          <w:szCs w:val="22"/>
          <w:highlight w:val="none"/>
        </w:rPr>
      </w:pPr>
      <w:r>
        <w:rPr>
          <w:color w:val="auto"/>
          <w:highlight w:val="none"/>
        </w:rPr>
        <w:br w:type="page"/>
      </w:r>
    </w:p>
    <w:p>
      <w:pPr>
        <w:pStyle w:val="6"/>
        <w:pageBreakBefore/>
        <w:spacing w:line="360" w:lineRule="auto"/>
        <w:jc w:val="center"/>
        <w:rPr>
          <w:bCs/>
          <w:color w:val="auto"/>
          <w:sz w:val="28"/>
          <w:szCs w:val="28"/>
          <w:highlight w:val="none"/>
        </w:rPr>
      </w:pPr>
      <w:bookmarkStart w:id="282" w:name="_Toc20966"/>
      <w:bookmarkStart w:id="283" w:name="_Toc19888"/>
      <w:r>
        <w:rPr>
          <w:rFonts w:hint="eastAsia"/>
          <w:bCs/>
          <w:color w:val="auto"/>
          <w:sz w:val="28"/>
          <w:szCs w:val="28"/>
          <w:highlight w:val="none"/>
        </w:rPr>
        <w:t>第三部分 技术文件</w:t>
      </w:r>
      <w:bookmarkEnd w:id="282"/>
      <w:bookmarkEnd w:id="283"/>
    </w:p>
    <w:p>
      <w:pPr>
        <w:jc w:val="center"/>
        <w:rPr>
          <w:color w:val="auto"/>
          <w:highlight w:val="none"/>
        </w:rPr>
      </w:pPr>
    </w:p>
    <w:p>
      <w:pPr>
        <w:pStyle w:val="6"/>
        <w:numPr>
          <w:ilvl w:val="0"/>
          <w:numId w:val="27"/>
        </w:numPr>
        <w:jc w:val="center"/>
        <w:rPr>
          <w:color w:val="auto"/>
          <w:highlight w:val="none"/>
        </w:rPr>
      </w:pPr>
      <w:bookmarkStart w:id="284" w:name="_Toc28884"/>
      <w:bookmarkStart w:id="285" w:name="_Toc9540"/>
      <w:bookmarkStart w:id="286" w:name="_Toc24064"/>
      <w:bookmarkStart w:id="287" w:name="_Toc1852"/>
      <w:bookmarkStart w:id="288" w:name="_Toc15167"/>
      <w:bookmarkStart w:id="289" w:name="_Toc31683"/>
      <w:bookmarkStart w:id="290" w:name="_Toc25949"/>
      <w:bookmarkStart w:id="291" w:name="_Toc9579"/>
      <w:bookmarkStart w:id="292" w:name="_Toc7161"/>
      <w:r>
        <w:rPr>
          <w:rFonts w:hint="eastAsia"/>
          <w:color w:val="auto"/>
          <w:highlight w:val="none"/>
        </w:rPr>
        <w:t>技术方案</w:t>
      </w:r>
      <w:bookmarkEnd w:id="284"/>
      <w:bookmarkEnd w:id="285"/>
      <w:bookmarkEnd w:id="286"/>
      <w:bookmarkEnd w:id="287"/>
      <w:bookmarkEnd w:id="288"/>
      <w:bookmarkEnd w:id="289"/>
      <w:bookmarkEnd w:id="290"/>
      <w:bookmarkEnd w:id="291"/>
      <w:bookmarkEnd w:id="292"/>
    </w:p>
    <w:p>
      <w:pPr>
        <w:snapToGrid w:val="0"/>
        <w:spacing w:line="360" w:lineRule="auto"/>
        <w:rPr>
          <w:rFonts w:hAnsi="宋体"/>
          <w:color w:val="auto"/>
          <w:sz w:val="21"/>
          <w:szCs w:val="21"/>
          <w:highlight w:val="none"/>
        </w:rPr>
      </w:pPr>
    </w:p>
    <w:p>
      <w:pPr>
        <w:snapToGrid w:val="0"/>
        <w:spacing w:line="360" w:lineRule="auto"/>
        <w:ind w:firstLine="420" w:firstLineChars="200"/>
        <w:rPr>
          <w:rFonts w:hAnsi="宋体"/>
          <w:color w:val="auto"/>
          <w:sz w:val="21"/>
          <w:szCs w:val="21"/>
          <w:highlight w:val="none"/>
        </w:rPr>
      </w:pPr>
      <w:r>
        <w:rPr>
          <w:rFonts w:hint="eastAsia" w:hAnsi="宋体"/>
          <w:color w:val="auto"/>
          <w:sz w:val="21"/>
          <w:szCs w:val="21"/>
          <w:highlight w:val="none"/>
        </w:rPr>
        <w:t>根据用户需求书编写。</w:t>
      </w:r>
    </w:p>
    <w:p>
      <w:pPr>
        <w:snapToGrid w:val="0"/>
        <w:spacing w:line="360" w:lineRule="auto"/>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6"/>
        <w:numPr>
          <w:ilvl w:val="0"/>
          <w:numId w:val="27"/>
        </w:numPr>
        <w:jc w:val="center"/>
        <w:rPr>
          <w:color w:val="auto"/>
          <w:highlight w:val="none"/>
        </w:rPr>
      </w:pPr>
      <w:bookmarkStart w:id="293" w:name="_Toc11036"/>
      <w:bookmarkStart w:id="294" w:name="_Toc30049"/>
      <w:bookmarkStart w:id="295" w:name="_Toc12278"/>
      <w:bookmarkStart w:id="296" w:name="_Toc28953"/>
      <w:bookmarkStart w:id="297" w:name="_Toc24947"/>
      <w:bookmarkStart w:id="298" w:name="_Toc9619"/>
      <w:bookmarkStart w:id="299" w:name="_Toc23849"/>
      <w:bookmarkStart w:id="300" w:name="_Toc15530"/>
      <w:bookmarkStart w:id="301" w:name="_Toc9982"/>
      <w:r>
        <w:rPr>
          <w:rFonts w:hint="eastAsia"/>
          <w:color w:val="auto"/>
          <w:highlight w:val="none"/>
        </w:rPr>
        <w:t>其他资料</w:t>
      </w:r>
      <w:bookmarkEnd w:id="293"/>
      <w:bookmarkEnd w:id="294"/>
      <w:bookmarkEnd w:id="295"/>
      <w:bookmarkEnd w:id="296"/>
      <w:bookmarkEnd w:id="297"/>
      <w:bookmarkEnd w:id="298"/>
      <w:bookmarkEnd w:id="299"/>
      <w:bookmarkEnd w:id="300"/>
      <w:bookmarkEnd w:id="301"/>
    </w:p>
    <w:p>
      <w:pPr>
        <w:pStyle w:val="29"/>
        <w:spacing w:line="360" w:lineRule="auto"/>
        <w:ind w:firstLine="420"/>
        <w:rPr>
          <w:rFonts w:hAnsi="宋体"/>
          <w:color w:val="auto"/>
          <w:highlight w:val="none"/>
        </w:rPr>
      </w:pPr>
    </w:p>
    <w:p>
      <w:pPr>
        <w:spacing w:line="360" w:lineRule="auto"/>
        <w:rPr>
          <w:rFonts w:hAnsi="宋体"/>
          <w:color w:val="auto"/>
          <w:sz w:val="21"/>
          <w:szCs w:val="21"/>
          <w:highlight w:val="none"/>
        </w:rPr>
      </w:pPr>
      <w:r>
        <w:rPr>
          <w:rFonts w:hint="eastAsia" w:hAnsi="宋体"/>
          <w:color w:val="auto"/>
          <w:sz w:val="21"/>
          <w:szCs w:val="21"/>
          <w:highlight w:val="none"/>
        </w:rPr>
        <w:t>1、磋商文件要求提供的其他资料（如有）</w:t>
      </w:r>
    </w:p>
    <w:p>
      <w:pPr>
        <w:spacing w:line="360" w:lineRule="auto"/>
        <w:rPr>
          <w:rFonts w:hAnsi="宋体"/>
          <w:color w:val="auto"/>
          <w:sz w:val="21"/>
          <w:szCs w:val="21"/>
          <w:highlight w:val="none"/>
        </w:rPr>
      </w:pPr>
      <w:r>
        <w:rPr>
          <w:rFonts w:hint="eastAsia" w:hAnsi="宋体"/>
          <w:color w:val="auto"/>
          <w:sz w:val="21"/>
          <w:szCs w:val="21"/>
          <w:highlight w:val="none"/>
        </w:rPr>
        <w:t>2、供应商认为需要提供的其他资料（如有）</w:t>
      </w: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8"/>
        <w:rPr>
          <w:rFonts w:hAnsi="宋体"/>
          <w:color w:val="auto"/>
          <w:sz w:val="21"/>
          <w:szCs w:val="21"/>
          <w:highlight w:val="none"/>
        </w:rPr>
      </w:pPr>
    </w:p>
    <w:p>
      <w:pPr>
        <w:pStyle w:val="6"/>
        <w:jc w:val="center"/>
        <w:rPr>
          <w:color w:val="auto"/>
          <w:sz w:val="28"/>
          <w:szCs w:val="28"/>
          <w:highlight w:val="none"/>
        </w:rPr>
      </w:pPr>
      <w:bookmarkStart w:id="302" w:name="_Toc17492"/>
      <w:r>
        <w:rPr>
          <w:rFonts w:hint="eastAsia"/>
          <w:color w:val="auto"/>
          <w:sz w:val="28"/>
          <w:szCs w:val="28"/>
          <w:highlight w:val="none"/>
        </w:rPr>
        <w:t>第四部分 唱标信封</w:t>
      </w:r>
      <w:r>
        <w:rPr>
          <w:rFonts w:hint="eastAsia"/>
          <w:bCs/>
          <w:color w:val="auto"/>
          <w:sz w:val="28"/>
          <w:szCs w:val="28"/>
          <w:highlight w:val="none"/>
        </w:rPr>
        <w:t>（单独编制装订成册，单独封装）</w:t>
      </w:r>
      <w:bookmarkEnd w:id="302"/>
    </w:p>
    <w:p>
      <w:pPr>
        <w:pStyle w:val="75"/>
        <w:spacing w:line="460" w:lineRule="exact"/>
        <w:ind w:firstLine="0" w:firstLineChars="0"/>
        <w:rPr>
          <w:rFonts w:ascii="宋体" w:eastAsia="宋体"/>
          <w:color w:val="auto"/>
          <w:sz w:val="21"/>
          <w:szCs w:val="21"/>
          <w:highlight w:val="none"/>
        </w:rPr>
      </w:pPr>
      <w:r>
        <w:rPr>
          <w:rFonts w:hint="eastAsia" w:ascii="宋体" w:eastAsia="宋体"/>
          <w:color w:val="auto"/>
          <w:sz w:val="21"/>
          <w:szCs w:val="21"/>
          <w:highlight w:val="none"/>
        </w:rPr>
        <w:t>唱标信封内装：</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（1）磋商保证金汇入情况说明及银行汇款凭证（或担保函）复印件加盖公章；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（2）法定代表人证明书原件或正本复印件加盖公章；</w:t>
      </w:r>
    </w:p>
    <w:p>
      <w:pPr>
        <w:pStyle w:val="75"/>
        <w:spacing w:line="460" w:lineRule="exact"/>
        <w:ind w:firstLine="433"/>
        <w:rPr>
          <w:rFonts w:ascii="宋体" w:eastAsia="宋体"/>
          <w:color w:val="auto"/>
          <w:sz w:val="21"/>
          <w:szCs w:val="21"/>
          <w:highlight w:val="none"/>
        </w:rPr>
      </w:pPr>
      <w:r>
        <w:rPr>
          <w:rFonts w:hint="eastAsia" w:ascii="宋体" w:eastAsia="宋体"/>
          <w:color w:val="auto"/>
          <w:sz w:val="21"/>
          <w:szCs w:val="21"/>
          <w:highlight w:val="none"/>
        </w:rPr>
        <w:t>（3）法定代表人授权委托书原件或正本复印件加盖公章（法定代表人磋商的除外）；</w:t>
      </w:r>
    </w:p>
    <w:p>
      <w:pPr>
        <w:pStyle w:val="75"/>
        <w:spacing w:line="460" w:lineRule="exact"/>
        <w:ind w:firstLine="433"/>
        <w:rPr>
          <w:rFonts w:ascii="宋体" w:eastAsia="宋体"/>
          <w:color w:val="auto"/>
          <w:sz w:val="22"/>
          <w:szCs w:val="22"/>
          <w:highlight w:val="none"/>
        </w:rPr>
      </w:pPr>
      <w:r>
        <w:rPr>
          <w:rFonts w:hint="eastAsia" w:ascii="宋体" w:eastAsia="宋体"/>
          <w:color w:val="auto"/>
          <w:sz w:val="21"/>
          <w:szCs w:val="21"/>
          <w:highlight w:val="none"/>
        </w:rPr>
        <w:t>（4）磋商文件电子文件（签字、盖章后的磋商文件PDF格式扫描版电子文件, 可采用光盘介质或U盘装载）；</w:t>
      </w:r>
    </w:p>
    <w:p>
      <w:pPr>
        <w:pStyle w:val="75"/>
        <w:spacing w:line="460" w:lineRule="exact"/>
        <w:ind w:firstLine="453"/>
        <w:rPr>
          <w:rFonts w:ascii="宋体" w:eastAsia="宋体"/>
          <w:color w:val="auto"/>
          <w:sz w:val="22"/>
          <w:szCs w:val="22"/>
          <w:highlight w:val="none"/>
        </w:rPr>
      </w:pPr>
    </w:p>
    <w:p>
      <w:pPr>
        <w:rPr>
          <w:color w:val="auto"/>
          <w:highlight w:val="none"/>
        </w:rPr>
      </w:pPr>
    </w:p>
    <w:p>
      <w:pPr>
        <w:rPr>
          <w:color w:val="auto"/>
          <w:highlight w:val="none"/>
          <w:lang w:val="zh-CN"/>
        </w:rPr>
      </w:pPr>
      <w:bookmarkStart w:id="303" w:name="_Toc396137262"/>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pStyle w:val="8"/>
        <w:ind w:firstLine="400"/>
        <w:rPr>
          <w:color w:val="auto"/>
          <w:highlight w:val="none"/>
          <w:lang w:val="zh-CN"/>
        </w:rPr>
      </w:pPr>
    </w:p>
    <w:p>
      <w:pPr>
        <w:pStyle w:val="8"/>
        <w:ind w:firstLine="400"/>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p>
      <w:pPr>
        <w:rPr>
          <w:color w:val="auto"/>
          <w:highlight w:val="none"/>
          <w:lang w:val="zh-CN"/>
        </w:rPr>
      </w:pPr>
    </w:p>
    <w:bookmarkEnd w:id="303"/>
    <w:p>
      <w:pPr>
        <w:rPr>
          <w:color w:val="auto"/>
          <w:highlight w:val="none"/>
          <w:lang w:val="zh-CN"/>
        </w:rPr>
      </w:pPr>
    </w:p>
    <w:sectPr>
      <w:headerReference r:id="rId8" w:type="default"/>
      <w:footerReference r:id="rId9" w:type="default"/>
      <w:pgSz w:w="11907" w:h="16840"/>
      <w:pgMar w:top="1440" w:right="1134" w:bottom="1440" w:left="1134" w:header="85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DFKai-SB">
    <w:panose1 w:val="03000509000000000000"/>
    <w:charset w:val="88"/>
    <w:family w:val="script"/>
    <w:pitch w:val="default"/>
    <w:sig w:usb0="00000003" w:usb1="082E0000"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思源黑体 CN Regular">
    <w:altName w:val="黑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时尚中黑简体">
    <w:altName w:val="黑体"/>
    <w:panose1 w:val="00000000000000000000"/>
    <w:charset w:val="86"/>
    <w:family w:val="auto"/>
    <w:pitch w:val="default"/>
    <w:sig w:usb0="00000000" w:usb1="00000000" w:usb2="00000012"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5"/>
      </w:rPr>
    </w:pPr>
    <w:r>
      <w:fldChar w:fldCharType="begin"/>
    </w:r>
    <w:r>
      <w:rPr>
        <w:rStyle w:val="55"/>
      </w:rPr>
      <w:instrText xml:space="preserve">PAGE  </w:instrText>
    </w:r>
    <w:r>
      <w:fldChar w:fldCharType="separate"/>
    </w:r>
    <w:r>
      <w:rPr>
        <w:rStyle w:val="55"/>
      </w:rPr>
      <w:t>5</w:t>
    </w:r>
    <w:r>
      <w:fldChar w:fldCharType="end"/>
    </w:r>
  </w:p>
  <w:p>
    <w:pPr>
      <w:pStyle w:val="3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795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15875">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61312;mso-width-relative:page;mso-height-relative:page;" filled="f" stroked="f" coordsize="21600,21600" o:gfxdata="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TtW31AAAAAIBAAAPAAAAAAAAAAEAIAAAACIA&#10;AABkcnMvZG93bnJldi54bWxQSwECFAAUAAAACACHTuJAElaCJtQBAACiAwAADgAAAAAAAAABACAA&#10;AAAjAQAAZHJzL2Uyb0RvYy54bWxQSwUGAAAAAAYABgBZAQAAaQUAAAAA&#10;">
              <v:fill on="f" focussize="0,0"/>
              <v:stroke on="f" weight="1.2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tabs>
        <w:tab w:val="left" w:pos="5049"/>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3360" behindDoc="1" locked="0" layoutInCell="1" allowOverlap="1">
          <wp:simplePos x="0" y="0"/>
          <wp:positionH relativeFrom="column">
            <wp:posOffset>3431540</wp:posOffset>
          </wp:positionH>
          <wp:positionV relativeFrom="paragraph">
            <wp:posOffset>-259080</wp:posOffset>
          </wp:positionV>
          <wp:extent cx="434340" cy="434340"/>
          <wp:effectExtent l="0" t="0" r="3810" b="3810"/>
          <wp:wrapNone/>
          <wp:docPr id="11" name="图片 1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p>
    <w:pPr>
      <w:pStyle w:val="35"/>
      <w:pBdr>
        <w:bottom w:val="none" w:color="auto" w:sz="0" w:space="1"/>
      </w:pBdr>
      <w:tabs>
        <w:tab w:val="left" w:pos="5049"/>
      </w:tabs>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thickThinLargeGap" w:color="auto" w:sz="4" w:space="1"/>
      </w:pBdr>
      <w:wordWrap w:val="0"/>
      <w:jc w:val="right"/>
      <w:rPr>
        <w:bCs/>
        <w:sz w:val="21"/>
        <w:szCs w:val="21"/>
      </w:rPr>
    </w:pPr>
    <w:r>
      <w:rPr>
        <w:rFonts w:hint="eastAsia" w:ascii="时尚中黑简体" w:hAnsi="时尚中黑简体" w:eastAsia="时尚中黑简体" w:cs="时尚中黑简体"/>
        <w:bCs/>
        <w:sz w:val="21"/>
        <w:szCs w:val="21"/>
      </w:rPr>
      <w:drawing>
        <wp:anchor distT="0" distB="0" distL="114300" distR="114300" simplePos="0" relativeHeight="251660288" behindDoc="1" locked="0" layoutInCell="1" allowOverlap="1">
          <wp:simplePos x="0" y="0"/>
          <wp:positionH relativeFrom="column">
            <wp:posOffset>3376930</wp:posOffset>
          </wp:positionH>
          <wp:positionV relativeFrom="paragraph">
            <wp:posOffset>-236855</wp:posOffset>
          </wp:positionV>
          <wp:extent cx="434340" cy="434340"/>
          <wp:effectExtent l="19050" t="0" r="3810" b="0"/>
          <wp:wrapNone/>
          <wp:docPr id="1" name="图片 1"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
                  <pic:cNvPicPr>
                    <a:picLocks noChangeAspect="1" noChangeArrowheads="1"/>
                  </pic:cNvPicPr>
                </pic:nvPicPr>
                <pic:blipFill>
                  <a:blip r:embed="rId1"/>
                  <a:srcRect/>
                  <a:stretch>
                    <a:fillRect/>
                  </a:stretch>
                </pic:blipFill>
                <pic:spPr>
                  <a:xfrm>
                    <a:off x="0" y="0"/>
                    <a:ext cx="434340" cy="434340"/>
                  </a:xfrm>
                  <a:prstGeom prst="rect">
                    <a:avLst/>
                  </a:prstGeom>
                  <a:noFill/>
                  <a:ln w="9525" cmpd="sng">
                    <a:noFill/>
                    <a:miter lim="800000"/>
                    <a:headEnd/>
                    <a:tailEnd/>
                  </a:ln>
                </pic:spPr>
              </pic:pic>
            </a:graphicData>
          </a:graphic>
        </wp:anchor>
      </w:drawing>
    </w:r>
    <w:r>
      <w:rPr>
        <w:rFonts w:hint="eastAsia" w:ascii="时尚中黑简体" w:hAnsi="时尚中黑简体" w:eastAsia="时尚中黑简体" w:cs="时尚中黑简体"/>
        <w:bCs/>
        <w:sz w:val="21"/>
        <w:szCs w:val="21"/>
      </w:rPr>
      <w:t>广东泰通伟业工程咨询有限公司  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EAC35"/>
    <w:multiLevelType w:val="singleLevel"/>
    <w:tmpl w:val="92EEAC35"/>
    <w:lvl w:ilvl="0" w:tentative="0">
      <w:start w:val="1"/>
      <w:numFmt w:val="chineseCounting"/>
      <w:suff w:val="nothing"/>
      <w:lvlText w:val="%1、"/>
      <w:lvlJc w:val="left"/>
      <w:pPr>
        <w:ind w:left="0" w:firstLine="420"/>
      </w:pPr>
      <w:rPr>
        <w:rFonts w:hint="eastAsia"/>
      </w:rPr>
    </w:lvl>
  </w:abstractNum>
  <w:abstractNum w:abstractNumId="1">
    <w:nsid w:val="B9461DB4"/>
    <w:multiLevelType w:val="singleLevel"/>
    <w:tmpl w:val="B9461DB4"/>
    <w:lvl w:ilvl="0" w:tentative="0">
      <w:start w:val="1"/>
      <w:numFmt w:val="decimal"/>
      <w:suff w:val="nothing"/>
      <w:lvlText w:val="%1）"/>
      <w:lvlJc w:val="left"/>
    </w:lvl>
  </w:abstractNum>
  <w:abstractNum w:abstractNumId="2">
    <w:nsid w:val="C155EEF5"/>
    <w:multiLevelType w:val="multilevel"/>
    <w:tmpl w:val="C155EEF5"/>
    <w:lvl w:ilvl="0" w:tentative="0">
      <w:start w:val="1"/>
      <w:numFmt w:val="lowerLetter"/>
      <w:lvlText w:val="%1）"/>
      <w:lvlJc w:val="left"/>
      <w:pPr>
        <w:tabs>
          <w:tab w:val="left" w:pos="605"/>
        </w:tabs>
        <w:ind w:left="605" w:hanging="405"/>
      </w:pPr>
      <w:rPr>
        <w:rFonts w:hint="default"/>
      </w:r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3">
    <w:nsid w:val="C7F9EF63"/>
    <w:multiLevelType w:val="multilevel"/>
    <w:tmpl w:val="C7F9EF63"/>
    <w:lvl w:ilvl="0" w:tentative="0">
      <w:start w:val="1"/>
      <w:numFmt w:val="lowerLetter"/>
      <w:lvlText w:val="%1）"/>
      <w:lvlJc w:val="left"/>
      <w:pPr>
        <w:tabs>
          <w:tab w:val="left" w:pos="605"/>
        </w:tabs>
        <w:ind w:left="605" w:hanging="405"/>
      </w:pPr>
      <w:rPr>
        <w:rFonts w:hint="default"/>
      </w:r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
    <w:nsid w:val="D81AE317"/>
    <w:multiLevelType w:val="multilevel"/>
    <w:tmpl w:val="D81AE317"/>
    <w:lvl w:ilvl="0" w:tentative="0">
      <w:start w:val="1"/>
      <w:numFmt w:val="lowerLetter"/>
      <w:lvlText w:val="%1）"/>
      <w:lvlJc w:val="left"/>
      <w:pPr>
        <w:tabs>
          <w:tab w:val="left" w:pos="605"/>
        </w:tabs>
        <w:ind w:left="605" w:hanging="405"/>
      </w:pPr>
      <w:rPr>
        <w:rFonts w:hint="default"/>
      </w:r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5">
    <w:nsid w:val="E1B46632"/>
    <w:multiLevelType w:val="singleLevel"/>
    <w:tmpl w:val="E1B46632"/>
    <w:lvl w:ilvl="0" w:tentative="0">
      <w:start w:val="1"/>
      <w:numFmt w:val="chineseCounting"/>
      <w:suff w:val="nothing"/>
      <w:lvlText w:val="（%1）"/>
      <w:lvlJc w:val="left"/>
      <w:pPr>
        <w:ind w:left="0" w:firstLine="420"/>
      </w:pPr>
      <w:rPr>
        <w:rFonts w:hint="eastAsia"/>
      </w:rPr>
    </w:lvl>
  </w:abstractNum>
  <w:abstractNum w:abstractNumId="6">
    <w:nsid w:val="EC01E890"/>
    <w:multiLevelType w:val="singleLevel"/>
    <w:tmpl w:val="EC01E890"/>
    <w:lvl w:ilvl="0" w:tentative="0">
      <w:start w:val="1"/>
      <w:numFmt w:val="chineseCounting"/>
      <w:suff w:val="nothing"/>
      <w:lvlText w:val="%1、"/>
      <w:lvlJc w:val="left"/>
      <w:pPr>
        <w:ind w:left="0" w:firstLine="420"/>
      </w:pPr>
      <w:rPr>
        <w:rFonts w:hint="eastAsia"/>
      </w:rPr>
    </w:lvl>
  </w:abstractNum>
  <w:abstractNum w:abstractNumId="7">
    <w:nsid w:val="F3051630"/>
    <w:multiLevelType w:val="singleLevel"/>
    <w:tmpl w:val="F3051630"/>
    <w:lvl w:ilvl="0" w:tentative="0">
      <w:start w:val="1"/>
      <w:numFmt w:val="chineseCounting"/>
      <w:suff w:val="nothing"/>
      <w:lvlText w:val="（%1）"/>
      <w:lvlJc w:val="left"/>
      <w:pPr>
        <w:ind w:left="6" w:firstLine="420"/>
      </w:pPr>
      <w:rPr>
        <w:rFonts w:hint="eastAsia"/>
      </w:rPr>
    </w:lvl>
  </w:abstractNum>
  <w:abstractNum w:abstractNumId="8">
    <w:nsid w:val="00000010"/>
    <w:multiLevelType w:val="multilevel"/>
    <w:tmpl w:val="00000010"/>
    <w:lvl w:ilvl="0" w:tentative="0">
      <w:start w:val="1"/>
      <w:numFmt w:val="decimal"/>
      <w:lvlText w:val="%1"/>
      <w:lvlJc w:val="left"/>
      <w:pPr>
        <w:tabs>
          <w:tab w:val="left" w:pos="425"/>
        </w:tabs>
        <w:ind w:left="425" w:hanging="425"/>
      </w:pPr>
    </w:lvl>
    <w:lvl w:ilvl="1" w:tentative="0">
      <w:start w:val="1"/>
      <w:numFmt w:val="decimal"/>
      <w:pStyle w:val="102"/>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00000011"/>
    <w:multiLevelType w:val="multilevel"/>
    <w:tmpl w:val="00000011"/>
    <w:lvl w:ilvl="0" w:tentative="0">
      <w:start w:val="4"/>
      <w:numFmt w:val="japaneseCounting"/>
      <w:lvlText w:val="第%1篇"/>
      <w:lvlJc w:val="left"/>
      <w:pPr>
        <w:tabs>
          <w:tab w:val="left" w:pos="1080"/>
        </w:tabs>
        <w:ind w:left="1080" w:hanging="1080"/>
      </w:pPr>
      <w:rPr>
        <w:rFonts w:hint="default"/>
      </w:rPr>
    </w:lvl>
    <w:lvl w:ilvl="1" w:tentative="0">
      <w:start w:val="3"/>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9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multilevel"/>
    <w:tmpl w:val="00000013"/>
    <w:lvl w:ilvl="0" w:tentative="0">
      <w:start w:val="1"/>
      <w:numFmt w:val="decimal"/>
      <w:pStyle w:val="110"/>
      <w:lvlText w:val="%1、"/>
      <w:lvlJc w:val="left"/>
      <w:pPr>
        <w:tabs>
          <w:tab w:val="left" w:pos="786"/>
        </w:tabs>
        <w:ind w:left="786" w:hanging="360"/>
      </w:pPr>
    </w:lvl>
    <w:lvl w:ilvl="1" w:tentative="0">
      <w:start w:val="1"/>
      <w:numFmt w:val="decimal"/>
      <w:lvlText w:val="%2、"/>
      <w:lvlJc w:val="left"/>
      <w:pPr>
        <w:tabs>
          <w:tab w:val="left" w:pos="1206"/>
        </w:tabs>
        <w:ind w:left="1206" w:hanging="360"/>
      </w:pPr>
    </w:lvl>
    <w:lvl w:ilvl="2" w:tentative="0">
      <w:start w:val="1"/>
      <w:numFmt w:val="lowerRoman"/>
      <w:lvlText w:val="%3."/>
      <w:lvlJc w:val="right"/>
      <w:pPr>
        <w:tabs>
          <w:tab w:val="left" w:pos="1686"/>
        </w:tabs>
        <w:ind w:left="1686" w:hanging="420"/>
      </w:pPr>
    </w:lvl>
    <w:lvl w:ilvl="3" w:tentative="0">
      <w:start w:val="2"/>
      <w:numFmt w:val="decimal"/>
      <w:lvlText w:val="%4）"/>
      <w:lvlJc w:val="left"/>
      <w:pPr>
        <w:tabs>
          <w:tab w:val="left" w:pos="2046"/>
        </w:tabs>
        <w:ind w:left="2046"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00000016"/>
    <w:multiLevelType w:val="multilevel"/>
    <w:tmpl w:val="00000016"/>
    <w:lvl w:ilvl="0" w:tentative="0">
      <w:start w:val="1"/>
      <w:numFmt w:val="decimal"/>
      <w:pStyle w:val="1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20"/>
    <w:multiLevelType w:val="multilevel"/>
    <w:tmpl w:val="00000020"/>
    <w:lvl w:ilvl="0" w:tentative="0">
      <w:start w:val="1"/>
      <w:numFmt w:val="bullet"/>
      <w:pStyle w:val="91"/>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00000021"/>
    <w:multiLevelType w:val="multilevel"/>
    <w:tmpl w:val="00000021"/>
    <w:lvl w:ilvl="0" w:tentative="0">
      <w:start w:val="1"/>
      <w:numFmt w:val="chineseCounting"/>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28"/>
    <w:multiLevelType w:val="multilevel"/>
    <w:tmpl w:val="00000028"/>
    <w:lvl w:ilvl="0" w:tentative="0">
      <w:start w:val="1"/>
      <w:numFmt w:val="japaneseCounting"/>
      <w:lvlText w:val="第%1篇"/>
      <w:lvlJc w:val="left"/>
      <w:pPr>
        <w:ind w:left="1080" w:hanging="1080"/>
      </w:pPr>
      <w:rPr>
        <w:rFonts w:hint="default"/>
      </w:rPr>
    </w:lvl>
    <w:lvl w:ilvl="1" w:tentative="0">
      <w:start w:val="1"/>
      <w:numFmt w:val="japaneseCounting"/>
      <w:lvlText w:val="（%2）"/>
      <w:lvlJc w:val="left"/>
      <w:pPr>
        <w:ind w:left="1185" w:hanging="76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29"/>
    <w:multiLevelType w:val="multilevel"/>
    <w:tmpl w:val="00000029"/>
    <w:lvl w:ilvl="0" w:tentative="0">
      <w:start w:val="1"/>
      <w:numFmt w:val="bullet"/>
      <w:pStyle w:val="48"/>
      <w:lvlText w:val=""/>
      <w:lvlJc w:val="left"/>
      <w:pPr>
        <w:tabs>
          <w:tab w:val="left" w:pos="2121"/>
        </w:tabs>
        <w:ind w:left="2121" w:hanging="420"/>
      </w:pPr>
      <w:rPr>
        <w:rFonts w:hint="default" w:ascii="Wingdings" w:hAnsi="Wingdings"/>
      </w:rPr>
    </w:lvl>
    <w:lvl w:ilvl="1" w:tentative="0">
      <w:start w:val="1"/>
      <w:numFmt w:val="bullet"/>
      <w:lvlText w:val=""/>
      <w:lvlJc w:val="left"/>
      <w:pPr>
        <w:tabs>
          <w:tab w:val="left" w:pos="2541"/>
        </w:tabs>
        <w:ind w:left="2541" w:hanging="420"/>
      </w:pPr>
      <w:rPr>
        <w:rFonts w:hint="default" w:ascii="Wingdings" w:hAnsi="Wingdings"/>
      </w:rPr>
    </w:lvl>
    <w:lvl w:ilvl="2" w:tentative="0">
      <w:start w:val="1"/>
      <w:numFmt w:val="bullet"/>
      <w:lvlText w:val=""/>
      <w:lvlJc w:val="left"/>
      <w:pPr>
        <w:tabs>
          <w:tab w:val="left" w:pos="2961"/>
        </w:tabs>
        <w:ind w:left="2961" w:hanging="420"/>
      </w:pPr>
      <w:rPr>
        <w:rFonts w:hint="default" w:ascii="Wingdings" w:hAnsi="Wingdings"/>
      </w:rPr>
    </w:lvl>
    <w:lvl w:ilvl="3" w:tentative="0">
      <w:start w:val="1"/>
      <w:numFmt w:val="bullet"/>
      <w:lvlText w:val=""/>
      <w:lvlJc w:val="left"/>
      <w:pPr>
        <w:tabs>
          <w:tab w:val="left" w:pos="3381"/>
        </w:tabs>
        <w:ind w:left="3381" w:hanging="420"/>
      </w:pPr>
      <w:rPr>
        <w:rFonts w:hint="default" w:ascii="Wingdings" w:hAnsi="Wingdings"/>
      </w:rPr>
    </w:lvl>
    <w:lvl w:ilvl="4" w:tentative="0">
      <w:start w:val="1"/>
      <w:numFmt w:val="bullet"/>
      <w:lvlText w:val=""/>
      <w:lvlJc w:val="left"/>
      <w:pPr>
        <w:tabs>
          <w:tab w:val="left" w:pos="3801"/>
        </w:tabs>
        <w:ind w:left="3801" w:hanging="420"/>
      </w:pPr>
      <w:rPr>
        <w:rFonts w:hint="default" w:ascii="Wingdings" w:hAnsi="Wingdings"/>
      </w:rPr>
    </w:lvl>
    <w:lvl w:ilvl="5" w:tentative="0">
      <w:start w:val="1"/>
      <w:numFmt w:val="bullet"/>
      <w:lvlText w:val=""/>
      <w:lvlJc w:val="left"/>
      <w:pPr>
        <w:tabs>
          <w:tab w:val="left" w:pos="4221"/>
        </w:tabs>
        <w:ind w:left="4221" w:hanging="420"/>
      </w:pPr>
      <w:rPr>
        <w:rFonts w:hint="default" w:ascii="Wingdings" w:hAnsi="Wingdings"/>
      </w:rPr>
    </w:lvl>
    <w:lvl w:ilvl="6" w:tentative="0">
      <w:start w:val="1"/>
      <w:numFmt w:val="bullet"/>
      <w:lvlText w:val=""/>
      <w:lvlJc w:val="left"/>
      <w:pPr>
        <w:tabs>
          <w:tab w:val="left" w:pos="4641"/>
        </w:tabs>
        <w:ind w:left="4641" w:hanging="420"/>
      </w:pPr>
      <w:rPr>
        <w:rFonts w:hint="default" w:ascii="Wingdings" w:hAnsi="Wingdings"/>
      </w:rPr>
    </w:lvl>
    <w:lvl w:ilvl="7" w:tentative="0">
      <w:start w:val="1"/>
      <w:numFmt w:val="bullet"/>
      <w:lvlText w:val=""/>
      <w:lvlJc w:val="left"/>
      <w:pPr>
        <w:tabs>
          <w:tab w:val="left" w:pos="5061"/>
        </w:tabs>
        <w:ind w:left="5061" w:hanging="420"/>
      </w:pPr>
      <w:rPr>
        <w:rFonts w:hint="default" w:ascii="Wingdings" w:hAnsi="Wingdings"/>
      </w:rPr>
    </w:lvl>
    <w:lvl w:ilvl="8" w:tentative="0">
      <w:start w:val="1"/>
      <w:numFmt w:val="bullet"/>
      <w:lvlText w:val=""/>
      <w:lvlJc w:val="left"/>
      <w:pPr>
        <w:tabs>
          <w:tab w:val="left" w:pos="5481"/>
        </w:tabs>
        <w:ind w:left="5481" w:hanging="420"/>
      </w:pPr>
      <w:rPr>
        <w:rFonts w:hint="default" w:ascii="Wingdings" w:hAnsi="Wingdings"/>
      </w:rPr>
    </w:lvl>
  </w:abstractNum>
  <w:abstractNum w:abstractNumId="17">
    <w:nsid w:val="00000031"/>
    <w:multiLevelType w:val="multilevel"/>
    <w:tmpl w:val="0000003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3BB0AEC"/>
    <w:multiLevelType w:val="singleLevel"/>
    <w:tmpl w:val="03BB0AEC"/>
    <w:lvl w:ilvl="0" w:tentative="0">
      <w:start w:val="1"/>
      <w:numFmt w:val="decimalEnclosedCircleChinese"/>
      <w:suff w:val="nothing"/>
      <w:lvlText w:val="%1　"/>
      <w:lvlJc w:val="left"/>
      <w:pPr>
        <w:ind w:left="0" w:firstLine="397"/>
      </w:pPr>
      <w:rPr>
        <w:rFonts w:hint="eastAsia"/>
      </w:rPr>
    </w:lvl>
  </w:abstractNum>
  <w:abstractNum w:abstractNumId="19">
    <w:nsid w:val="1AF827C8"/>
    <w:multiLevelType w:val="multilevel"/>
    <w:tmpl w:val="1AF827C8"/>
    <w:lvl w:ilvl="0" w:tentative="0">
      <w:start w:val="1"/>
      <w:numFmt w:val="lowerLetter"/>
      <w:lvlText w:val="%1）"/>
      <w:lvlJc w:val="left"/>
      <w:pPr>
        <w:tabs>
          <w:tab w:val="left" w:pos="605"/>
        </w:tabs>
        <w:ind w:left="605" w:hanging="405"/>
      </w:pPr>
      <w:rPr>
        <w:rFonts w:hint="default"/>
      </w:r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20">
    <w:nsid w:val="2727DD9B"/>
    <w:multiLevelType w:val="multilevel"/>
    <w:tmpl w:val="2727DD9B"/>
    <w:lvl w:ilvl="0" w:tentative="0">
      <w:start w:val="1"/>
      <w:numFmt w:val="decimal"/>
      <w:pStyle w:val="18"/>
      <w:lvlText w:val="%1、"/>
      <w:lvlJc w:val="left"/>
      <w:pPr>
        <w:tabs>
          <w:tab w:val="left" w:pos="420"/>
        </w:tabs>
        <w:ind w:left="840" w:hanging="420"/>
      </w:pPr>
      <w:rPr>
        <w:rFonts w:ascii="Times New Roman" w:hAnsi="Times New Roman" w:eastAsia="Times New Roman" w:cs="Times New Roman"/>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decimal"/>
      <w:lvlText w:val="%3."/>
      <w:lvlJc w:val="left"/>
      <w:pPr>
        <w:tabs>
          <w:tab w:val="left" w:pos="1745"/>
        </w:tabs>
        <w:ind w:left="1745" w:hanging="705"/>
      </w:pPr>
      <w:rPr>
        <w:rFonts w:hint="default"/>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21">
    <w:nsid w:val="37402185"/>
    <w:multiLevelType w:val="singleLevel"/>
    <w:tmpl w:val="37402185"/>
    <w:lvl w:ilvl="0" w:tentative="0">
      <w:start w:val="1"/>
      <w:numFmt w:val="decimal"/>
      <w:pStyle w:val="24"/>
      <w:lvlText w:val="%1."/>
      <w:lvlJc w:val="left"/>
      <w:pPr>
        <w:tabs>
          <w:tab w:val="left" w:pos="1200"/>
        </w:tabs>
        <w:ind w:left="1200" w:hanging="360"/>
      </w:pPr>
    </w:lvl>
  </w:abstractNum>
  <w:abstractNum w:abstractNumId="22">
    <w:nsid w:val="4A8F229C"/>
    <w:multiLevelType w:val="singleLevel"/>
    <w:tmpl w:val="4A8F229C"/>
    <w:lvl w:ilvl="0" w:tentative="0">
      <w:start w:val="1"/>
      <w:numFmt w:val="decimal"/>
      <w:lvlText w:val="%1."/>
      <w:lvlJc w:val="left"/>
      <w:pPr>
        <w:tabs>
          <w:tab w:val="left" w:pos="312"/>
        </w:tabs>
        <w:ind w:left="145" w:firstLine="0"/>
      </w:pPr>
    </w:lvl>
  </w:abstractNum>
  <w:abstractNum w:abstractNumId="23">
    <w:nsid w:val="52F421C6"/>
    <w:multiLevelType w:val="singleLevel"/>
    <w:tmpl w:val="52F421C6"/>
    <w:lvl w:ilvl="0" w:tentative="0">
      <w:start w:val="1"/>
      <w:numFmt w:val="chineseCounting"/>
      <w:suff w:val="nothing"/>
      <w:lvlText w:val="%1、"/>
      <w:lvlJc w:val="left"/>
      <w:pPr>
        <w:ind w:left="0" w:firstLine="420"/>
      </w:pPr>
      <w:rPr>
        <w:rFonts w:hint="eastAsia"/>
      </w:rPr>
    </w:lvl>
  </w:abstractNum>
  <w:abstractNum w:abstractNumId="24">
    <w:nsid w:val="54A4884D"/>
    <w:multiLevelType w:val="multilevel"/>
    <w:tmpl w:val="54A4884D"/>
    <w:lvl w:ilvl="0" w:tentative="0">
      <w:start w:val="1"/>
      <w:numFmt w:val="lowerLetter"/>
      <w:lvlText w:val="%1）"/>
      <w:lvlJc w:val="left"/>
      <w:pPr>
        <w:tabs>
          <w:tab w:val="left" w:pos="605"/>
        </w:tabs>
        <w:ind w:left="605" w:hanging="405"/>
      </w:pPr>
      <w:rPr>
        <w:rFonts w:hint="default"/>
      </w:r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25">
    <w:nsid w:val="57289543"/>
    <w:multiLevelType w:val="singleLevel"/>
    <w:tmpl w:val="57289543"/>
    <w:lvl w:ilvl="0" w:tentative="0">
      <w:start w:val="7"/>
      <w:numFmt w:val="decimal"/>
      <w:suff w:val="nothing"/>
      <w:lvlText w:val="%1)"/>
      <w:lvlJc w:val="left"/>
    </w:lvl>
  </w:abstractNum>
  <w:abstractNum w:abstractNumId="26">
    <w:nsid w:val="70BFF242"/>
    <w:multiLevelType w:val="singleLevel"/>
    <w:tmpl w:val="70BFF242"/>
    <w:lvl w:ilvl="0" w:tentative="0">
      <w:start w:val="1"/>
      <w:numFmt w:val="decimal"/>
      <w:lvlText w:val="%1."/>
      <w:lvlJc w:val="left"/>
      <w:pPr>
        <w:tabs>
          <w:tab w:val="left" w:pos="312"/>
        </w:tabs>
      </w:pPr>
    </w:lvl>
  </w:abstractNum>
  <w:num w:numId="1">
    <w:abstractNumId w:val="12"/>
  </w:num>
  <w:num w:numId="2">
    <w:abstractNumId w:val="20"/>
  </w:num>
  <w:num w:numId="3">
    <w:abstractNumId w:val="21"/>
  </w:num>
  <w:num w:numId="4">
    <w:abstractNumId w:val="16"/>
  </w:num>
  <w:num w:numId="5">
    <w:abstractNumId w:val="13"/>
  </w:num>
  <w:num w:numId="6">
    <w:abstractNumId w:val="10"/>
  </w:num>
  <w:num w:numId="7">
    <w:abstractNumId w:val="8"/>
  </w:num>
  <w:num w:numId="8">
    <w:abstractNumId w:val="11"/>
  </w:num>
  <w:num w:numId="9">
    <w:abstractNumId w:val="17"/>
  </w:num>
  <w:num w:numId="10">
    <w:abstractNumId w:val="15"/>
  </w:num>
  <w:num w:numId="11">
    <w:abstractNumId w:val="14"/>
  </w:num>
  <w:num w:numId="12">
    <w:abstractNumId w:val="7"/>
  </w:num>
  <w:num w:numId="13">
    <w:abstractNumId w:val="5"/>
  </w:num>
  <w:num w:numId="14">
    <w:abstractNumId w:val="26"/>
  </w:num>
  <w:num w:numId="15">
    <w:abstractNumId w:val="1"/>
  </w:num>
  <w:num w:numId="16">
    <w:abstractNumId w:val="22"/>
  </w:num>
  <w:num w:numId="17">
    <w:abstractNumId w:val="24"/>
  </w:num>
  <w:num w:numId="18">
    <w:abstractNumId w:val="3"/>
  </w:num>
  <w:num w:numId="19">
    <w:abstractNumId w:val="4"/>
  </w:num>
  <w:num w:numId="20">
    <w:abstractNumId w:val="2"/>
  </w:num>
  <w:num w:numId="21">
    <w:abstractNumId w:val="19"/>
  </w:num>
  <w:num w:numId="22">
    <w:abstractNumId w:val="9"/>
  </w:num>
  <w:num w:numId="23">
    <w:abstractNumId w:val="25"/>
  </w:num>
  <w:num w:numId="24">
    <w:abstractNumId w:val="18"/>
  </w:num>
  <w:num w:numId="25">
    <w:abstractNumId w:val="0"/>
  </w:num>
  <w:num w:numId="26">
    <w:abstractNumId w:val="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rawingGridHorizontalSpacing w:val="120"/>
  <w:drawingGridVerticalSpacing w:val="163"/>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MjI4MzJhNDI1YjA4OTM4ODI5NmZjZjgzYzlhZDEifQ=="/>
  </w:docVars>
  <w:rsids>
    <w:rsidRoot w:val="00172A27"/>
    <w:rsid w:val="00003320"/>
    <w:rsid w:val="00010435"/>
    <w:rsid w:val="0002249C"/>
    <w:rsid w:val="00027890"/>
    <w:rsid w:val="000310C4"/>
    <w:rsid w:val="00036141"/>
    <w:rsid w:val="00055CD6"/>
    <w:rsid w:val="00060BFF"/>
    <w:rsid w:val="000656BF"/>
    <w:rsid w:val="000726A3"/>
    <w:rsid w:val="00075200"/>
    <w:rsid w:val="000823D9"/>
    <w:rsid w:val="000E3D5A"/>
    <w:rsid w:val="000F69BF"/>
    <w:rsid w:val="00106809"/>
    <w:rsid w:val="00113D74"/>
    <w:rsid w:val="0011439F"/>
    <w:rsid w:val="00114927"/>
    <w:rsid w:val="00124125"/>
    <w:rsid w:val="00135223"/>
    <w:rsid w:val="00145E79"/>
    <w:rsid w:val="00152EFD"/>
    <w:rsid w:val="001617C8"/>
    <w:rsid w:val="00172A27"/>
    <w:rsid w:val="001749FA"/>
    <w:rsid w:val="001B549E"/>
    <w:rsid w:val="001B72E4"/>
    <w:rsid w:val="001C49E6"/>
    <w:rsid w:val="001D4260"/>
    <w:rsid w:val="001E2687"/>
    <w:rsid w:val="002002A4"/>
    <w:rsid w:val="00201FF9"/>
    <w:rsid w:val="00215865"/>
    <w:rsid w:val="00216ABC"/>
    <w:rsid w:val="002172C9"/>
    <w:rsid w:val="00265319"/>
    <w:rsid w:val="00267764"/>
    <w:rsid w:val="00270A95"/>
    <w:rsid w:val="002877C1"/>
    <w:rsid w:val="002908F6"/>
    <w:rsid w:val="00291FAB"/>
    <w:rsid w:val="002C0888"/>
    <w:rsid w:val="002C53F2"/>
    <w:rsid w:val="002D14E4"/>
    <w:rsid w:val="002D687C"/>
    <w:rsid w:val="002E58AE"/>
    <w:rsid w:val="003537B6"/>
    <w:rsid w:val="00354336"/>
    <w:rsid w:val="003613BD"/>
    <w:rsid w:val="00376337"/>
    <w:rsid w:val="003824C3"/>
    <w:rsid w:val="00386EAC"/>
    <w:rsid w:val="00391ED7"/>
    <w:rsid w:val="00393E42"/>
    <w:rsid w:val="003A2560"/>
    <w:rsid w:val="003C228D"/>
    <w:rsid w:val="003C2F31"/>
    <w:rsid w:val="00414870"/>
    <w:rsid w:val="004207FB"/>
    <w:rsid w:val="0044257A"/>
    <w:rsid w:val="0045071E"/>
    <w:rsid w:val="0046288B"/>
    <w:rsid w:val="00465BC3"/>
    <w:rsid w:val="00473DA1"/>
    <w:rsid w:val="004D1919"/>
    <w:rsid w:val="004D2652"/>
    <w:rsid w:val="005063C4"/>
    <w:rsid w:val="005471BA"/>
    <w:rsid w:val="00553F3A"/>
    <w:rsid w:val="00555F92"/>
    <w:rsid w:val="00563F71"/>
    <w:rsid w:val="00585BAB"/>
    <w:rsid w:val="005A06DF"/>
    <w:rsid w:val="005B5633"/>
    <w:rsid w:val="005B5C14"/>
    <w:rsid w:val="005C7F93"/>
    <w:rsid w:val="005F37C4"/>
    <w:rsid w:val="006023DD"/>
    <w:rsid w:val="006071A1"/>
    <w:rsid w:val="00636A66"/>
    <w:rsid w:val="00637720"/>
    <w:rsid w:val="006421D2"/>
    <w:rsid w:val="00643C95"/>
    <w:rsid w:val="006529BE"/>
    <w:rsid w:val="00661DDF"/>
    <w:rsid w:val="00675141"/>
    <w:rsid w:val="006A72F4"/>
    <w:rsid w:val="006B678C"/>
    <w:rsid w:val="006C4ED2"/>
    <w:rsid w:val="006E2C33"/>
    <w:rsid w:val="006F7565"/>
    <w:rsid w:val="00722579"/>
    <w:rsid w:val="007266BA"/>
    <w:rsid w:val="00737573"/>
    <w:rsid w:val="0075111E"/>
    <w:rsid w:val="00766AFF"/>
    <w:rsid w:val="0079444F"/>
    <w:rsid w:val="007A6701"/>
    <w:rsid w:val="007B21FC"/>
    <w:rsid w:val="007B3581"/>
    <w:rsid w:val="007D280B"/>
    <w:rsid w:val="007F1FF8"/>
    <w:rsid w:val="007F2B89"/>
    <w:rsid w:val="00803F10"/>
    <w:rsid w:val="00813E25"/>
    <w:rsid w:val="00821042"/>
    <w:rsid w:val="00821BD7"/>
    <w:rsid w:val="00823A4E"/>
    <w:rsid w:val="00831E15"/>
    <w:rsid w:val="00835AD1"/>
    <w:rsid w:val="00843927"/>
    <w:rsid w:val="00844B64"/>
    <w:rsid w:val="00847835"/>
    <w:rsid w:val="008700A2"/>
    <w:rsid w:val="008A0878"/>
    <w:rsid w:val="008B5078"/>
    <w:rsid w:val="008B52E4"/>
    <w:rsid w:val="008C4084"/>
    <w:rsid w:val="008C4968"/>
    <w:rsid w:val="008D2C58"/>
    <w:rsid w:val="008E129D"/>
    <w:rsid w:val="008E37B0"/>
    <w:rsid w:val="008E464C"/>
    <w:rsid w:val="008E4970"/>
    <w:rsid w:val="009009BC"/>
    <w:rsid w:val="00904619"/>
    <w:rsid w:val="00915F7F"/>
    <w:rsid w:val="00921891"/>
    <w:rsid w:val="00921F1A"/>
    <w:rsid w:val="009229CB"/>
    <w:rsid w:val="009368EA"/>
    <w:rsid w:val="009422CE"/>
    <w:rsid w:val="00944D1A"/>
    <w:rsid w:val="00951A8F"/>
    <w:rsid w:val="009B27B4"/>
    <w:rsid w:val="009C6B18"/>
    <w:rsid w:val="009E2C75"/>
    <w:rsid w:val="009E6598"/>
    <w:rsid w:val="009F7268"/>
    <w:rsid w:val="00A03228"/>
    <w:rsid w:val="00A1101A"/>
    <w:rsid w:val="00A11A47"/>
    <w:rsid w:val="00A36EC6"/>
    <w:rsid w:val="00A37D41"/>
    <w:rsid w:val="00A52F6D"/>
    <w:rsid w:val="00A613B6"/>
    <w:rsid w:val="00A71C09"/>
    <w:rsid w:val="00A72DA8"/>
    <w:rsid w:val="00A752A6"/>
    <w:rsid w:val="00A82229"/>
    <w:rsid w:val="00A943C3"/>
    <w:rsid w:val="00A95831"/>
    <w:rsid w:val="00A975B4"/>
    <w:rsid w:val="00AA158F"/>
    <w:rsid w:val="00AA7D8C"/>
    <w:rsid w:val="00AB4015"/>
    <w:rsid w:val="00AF6912"/>
    <w:rsid w:val="00B04B0E"/>
    <w:rsid w:val="00B16495"/>
    <w:rsid w:val="00B225FD"/>
    <w:rsid w:val="00B248DA"/>
    <w:rsid w:val="00B50EA0"/>
    <w:rsid w:val="00B71A50"/>
    <w:rsid w:val="00B74DE3"/>
    <w:rsid w:val="00B80D89"/>
    <w:rsid w:val="00B818AE"/>
    <w:rsid w:val="00B93F2F"/>
    <w:rsid w:val="00B96173"/>
    <w:rsid w:val="00BB48AD"/>
    <w:rsid w:val="00BB6F89"/>
    <w:rsid w:val="00BC02E2"/>
    <w:rsid w:val="00BE779E"/>
    <w:rsid w:val="00BF09ED"/>
    <w:rsid w:val="00BF1BFA"/>
    <w:rsid w:val="00BF27E1"/>
    <w:rsid w:val="00C00F5A"/>
    <w:rsid w:val="00C16CB7"/>
    <w:rsid w:val="00C25C61"/>
    <w:rsid w:val="00C40AF8"/>
    <w:rsid w:val="00C41180"/>
    <w:rsid w:val="00C5753E"/>
    <w:rsid w:val="00C61390"/>
    <w:rsid w:val="00C62932"/>
    <w:rsid w:val="00C9047D"/>
    <w:rsid w:val="00C9061D"/>
    <w:rsid w:val="00C97323"/>
    <w:rsid w:val="00CB45F9"/>
    <w:rsid w:val="00CC3CDE"/>
    <w:rsid w:val="00CD0AE3"/>
    <w:rsid w:val="00CD3B80"/>
    <w:rsid w:val="00CE7558"/>
    <w:rsid w:val="00D17FB1"/>
    <w:rsid w:val="00D31F0D"/>
    <w:rsid w:val="00D34EDF"/>
    <w:rsid w:val="00D35C22"/>
    <w:rsid w:val="00D36ECB"/>
    <w:rsid w:val="00D954DE"/>
    <w:rsid w:val="00DB7E8A"/>
    <w:rsid w:val="00DC735D"/>
    <w:rsid w:val="00DE49C8"/>
    <w:rsid w:val="00DF0CE0"/>
    <w:rsid w:val="00E0032D"/>
    <w:rsid w:val="00E023D0"/>
    <w:rsid w:val="00E1594B"/>
    <w:rsid w:val="00E419FA"/>
    <w:rsid w:val="00E438D2"/>
    <w:rsid w:val="00E53F8C"/>
    <w:rsid w:val="00E61200"/>
    <w:rsid w:val="00E63FBE"/>
    <w:rsid w:val="00E678C7"/>
    <w:rsid w:val="00E80F9B"/>
    <w:rsid w:val="00E90F29"/>
    <w:rsid w:val="00EB1ABE"/>
    <w:rsid w:val="00EB4346"/>
    <w:rsid w:val="00ED1779"/>
    <w:rsid w:val="00EE7CA8"/>
    <w:rsid w:val="00EF6736"/>
    <w:rsid w:val="00EF6B76"/>
    <w:rsid w:val="00F014C7"/>
    <w:rsid w:val="00F02C24"/>
    <w:rsid w:val="00F04A9D"/>
    <w:rsid w:val="00F07594"/>
    <w:rsid w:val="00F31719"/>
    <w:rsid w:val="00F32C3A"/>
    <w:rsid w:val="00F50C3F"/>
    <w:rsid w:val="00F53394"/>
    <w:rsid w:val="00F54AFB"/>
    <w:rsid w:val="00F67D80"/>
    <w:rsid w:val="00F718C6"/>
    <w:rsid w:val="00FC4DD8"/>
    <w:rsid w:val="00FD40C9"/>
    <w:rsid w:val="01016788"/>
    <w:rsid w:val="010B18A0"/>
    <w:rsid w:val="01101FD4"/>
    <w:rsid w:val="013511BC"/>
    <w:rsid w:val="01412E8D"/>
    <w:rsid w:val="01630778"/>
    <w:rsid w:val="01857C73"/>
    <w:rsid w:val="01A12C3F"/>
    <w:rsid w:val="01CD1195"/>
    <w:rsid w:val="01D142D7"/>
    <w:rsid w:val="021F4C81"/>
    <w:rsid w:val="02414B92"/>
    <w:rsid w:val="028366E4"/>
    <w:rsid w:val="02A56B80"/>
    <w:rsid w:val="02B5383F"/>
    <w:rsid w:val="02C560C8"/>
    <w:rsid w:val="02F741FF"/>
    <w:rsid w:val="03077BF2"/>
    <w:rsid w:val="03240B2D"/>
    <w:rsid w:val="03404A6C"/>
    <w:rsid w:val="035324D3"/>
    <w:rsid w:val="036719BE"/>
    <w:rsid w:val="038413BE"/>
    <w:rsid w:val="038C71B9"/>
    <w:rsid w:val="0396442E"/>
    <w:rsid w:val="03C53166"/>
    <w:rsid w:val="03E3700D"/>
    <w:rsid w:val="0437435F"/>
    <w:rsid w:val="043948C2"/>
    <w:rsid w:val="0441683D"/>
    <w:rsid w:val="04755FE3"/>
    <w:rsid w:val="04897AAE"/>
    <w:rsid w:val="048D3C72"/>
    <w:rsid w:val="04946A57"/>
    <w:rsid w:val="049E01CA"/>
    <w:rsid w:val="04AA7A54"/>
    <w:rsid w:val="04DC1E95"/>
    <w:rsid w:val="05056F9C"/>
    <w:rsid w:val="053B507A"/>
    <w:rsid w:val="056B6415"/>
    <w:rsid w:val="056F7E9D"/>
    <w:rsid w:val="05A04252"/>
    <w:rsid w:val="05B531D5"/>
    <w:rsid w:val="05D17368"/>
    <w:rsid w:val="05D70893"/>
    <w:rsid w:val="05D879EE"/>
    <w:rsid w:val="05EF3BF5"/>
    <w:rsid w:val="061B4DCC"/>
    <w:rsid w:val="0631131C"/>
    <w:rsid w:val="0684556E"/>
    <w:rsid w:val="06D773BE"/>
    <w:rsid w:val="07005EC6"/>
    <w:rsid w:val="07144968"/>
    <w:rsid w:val="071F2807"/>
    <w:rsid w:val="074D0B91"/>
    <w:rsid w:val="07667537"/>
    <w:rsid w:val="076D6168"/>
    <w:rsid w:val="076F789A"/>
    <w:rsid w:val="07767BC9"/>
    <w:rsid w:val="0784472B"/>
    <w:rsid w:val="079B0031"/>
    <w:rsid w:val="079F5559"/>
    <w:rsid w:val="07B55B45"/>
    <w:rsid w:val="07E16810"/>
    <w:rsid w:val="08091249"/>
    <w:rsid w:val="08213B81"/>
    <w:rsid w:val="084C0B9D"/>
    <w:rsid w:val="0873640D"/>
    <w:rsid w:val="08783888"/>
    <w:rsid w:val="08AE00F7"/>
    <w:rsid w:val="08C30F20"/>
    <w:rsid w:val="08D23011"/>
    <w:rsid w:val="08DD3BDB"/>
    <w:rsid w:val="09583AE9"/>
    <w:rsid w:val="09717CB2"/>
    <w:rsid w:val="09A37C42"/>
    <w:rsid w:val="09B71979"/>
    <w:rsid w:val="09CA4C87"/>
    <w:rsid w:val="0A1846AD"/>
    <w:rsid w:val="0A334DE9"/>
    <w:rsid w:val="0A3673D1"/>
    <w:rsid w:val="0A391C61"/>
    <w:rsid w:val="0A747C95"/>
    <w:rsid w:val="0A99628C"/>
    <w:rsid w:val="0AA12C61"/>
    <w:rsid w:val="0AD50B07"/>
    <w:rsid w:val="0B0D3780"/>
    <w:rsid w:val="0B192E69"/>
    <w:rsid w:val="0B1E5674"/>
    <w:rsid w:val="0B481D54"/>
    <w:rsid w:val="0B567FBC"/>
    <w:rsid w:val="0BA32867"/>
    <w:rsid w:val="0C405D06"/>
    <w:rsid w:val="0C5F45C4"/>
    <w:rsid w:val="0C6352C9"/>
    <w:rsid w:val="0C694A19"/>
    <w:rsid w:val="0C6E22F8"/>
    <w:rsid w:val="0C752414"/>
    <w:rsid w:val="0C781DA4"/>
    <w:rsid w:val="0CA4014A"/>
    <w:rsid w:val="0CD86DE7"/>
    <w:rsid w:val="0CE51F42"/>
    <w:rsid w:val="0CF9441B"/>
    <w:rsid w:val="0CFE63A4"/>
    <w:rsid w:val="0D0807FC"/>
    <w:rsid w:val="0D33119A"/>
    <w:rsid w:val="0D4A2577"/>
    <w:rsid w:val="0D4D7EA2"/>
    <w:rsid w:val="0D596969"/>
    <w:rsid w:val="0D6D348A"/>
    <w:rsid w:val="0D9C0739"/>
    <w:rsid w:val="0DC77E1F"/>
    <w:rsid w:val="0DE500C7"/>
    <w:rsid w:val="0DFF5312"/>
    <w:rsid w:val="0E30061A"/>
    <w:rsid w:val="0E6759EA"/>
    <w:rsid w:val="0E693E94"/>
    <w:rsid w:val="0EAB15DF"/>
    <w:rsid w:val="0EB71B66"/>
    <w:rsid w:val="0EBD4ECC"/>
    <w:rsid w:val="0EC12B61"/>
    <w:rsid w:val="0ECB16D0"/>
    <w:rsid w:val="0F0F3E67"/>
    <w:rsid w:val="0F36681E"/>
    <w:rsid w:val="0F554B61"/>
    <w:rsid w:val="0F684139"/>
    <w:rsid w:val="0FA658B8"/>
    <w:rsid w:val="0FA725F9"/>
    <w:rsid w:val="0FB125A0"/>
    <w:rsid w:val="0FB65B96"/>
    <w:rsid w:val="0FE00F50"/>
    <w:rsid w:val="0FF36F52"/>
    <w:rsid w:val="0FF75B36"/>
    <w:rsid w:val="1007384E"/>
    <w:rsid w:val="107962EB"/>
    <w:rsid w:val="107D7A08"/>
    <w:rsid w:val="10C4053D"/>
    <w:rsid w:val="10D064F7"/>
    <w:rsid w:val="10D24A7B"/>
    <w:rsid w:val="10D763F7"/>
    <w:rsid w:val="10DA580F"/>
    <w:rsid w:val="10DF7BBC"/>
    <w:rsid w:val="111A2A3D"/>
    <w:rsid w:val="11244D2A"/>
    <w:rsid w:val="114253E0"/>
    <w:rsid w:val="11461A94"/>
    <w:rsid w:val="115D274C"/>
    <w:rsid w:val="115E3727"/>
    <w:rsid w:val="11B472DB"/>
    <w:rsid w:val="1207493D"/>
    <w:rsid w:val="120D27E9"/>
    <w:rsid w:val="124364E9"/>
    <w:rsid w:val="129E014D"/>
    <w:rsid w:val="12AC1D0D"/>
    <w:rsid w:val="12BA6A0A"/>
    <w:rsid w:val="12C2266E"/>
    <w:rsid w:val="12CB160F"/>
    <w:rsid w:val="12D77FEC"/>
    <w:rsid w:val="12DB00BA"/>
    <w:rsid w:val="12F90EE0"/>
    <w:rsid w:val="1306089F"/>
    <w:rsid w:val="13276FF6"/>
    <w:rsid w:val="13693296"/>
    <w:rsid w:val="139726F4"/>
    <w:rsid w:val="139B4F53"/>
    <w:rsid w:val="13CE5FC4"/>
    <w:rsid w:val="13F53443"/>
    <w:rsid w:val="144C6770"/>
    <w:rsid w:val="147778EA"/>
    <w:rsid w:val="14943CCC"/>
    <w:rsid w:val="14CD7B2A"/>
    <w:rsid w:val="14F16B6F"/>
    <w:rsid w:val="14F865C3"/>
    <w:rsid w:val="150F189B"/>
    <w:rsid w:val="1517294D"/>
    <w:rsid w:val="153642D6"/>
    <w:rsid w:val="153E5646"/>
    <w:rsid w:val="15457698"/>
    <w:rsid w:val="154A5906"/>
    <w:rsid w:val="155558C2"/>
    <w:rsid w:val="158A75E1"/>
    <w:rsid w:val="1592511B"/>
    <w:rsid w:val="159C567E"/>
    <w:rsid w:val="15A520DA"/>
    <w:rsid w:val="15C0221F"/>
    <w:rsid w:val="15D77617"/>
    <w:rsid w:val="15D85E33"/>
    <w:rsid w:val="15E6513C"/>
    <w:rsid w:val="15E819C1"/>
    <w:rsid w:val="15F81571"/>
    <w:rsid w:val="161124BB"/>
    <w:rsid w:val="16342A03"/>
    <w:rsid w:val="16554F68"/>
    <w:rsid w:val="165B5F0F"/>
    <w:rsid w:val="166320D6"/>
    <w:rsid w:val="166C4896"/>
    <w:rsid w:val="167B7AAC"/>
    <w:rsid w:val="169140C1"/>
    <w:rsid w:val="169B4AF9"/>
    <w:rsid w:val="16C84A74"/>
    <w:rsid w:val="16DB0595"/>
    <w:rsid w:val="16DF2F08"/>
    <w:rsid w:val="16E051E8"/>
    <w:rsid w:val="16ED26EB"/>
    <w:rsid w:val="17066EDE"/>
    <w:rsid w:val="1713214D"/>
    <w:rsid w:val="17945C52"/>
    <w:rsid w:val="17970727"/>
    <w:rsid w:val="17DD1C51"/>
    <w:rsid w:val="18092CD5"/>
    <w:rsid w:val="180D00A7"/>
    <w:rsid w:val="181A6207"/>
    <w:rsid w:val="18214341"/>
    <w:rsid w:val="18336B8F"/>
    <w:rsid w:val="1874792B"/>
    <w:rsid w:val="18C00D35"/>
    <w:rsid w:val="18D13A9A"/>
    <w:rsid w:val="18DE453C"/>
    <w:rsid w:val="18E514CE"/>
    <w:rsid w:val="190848C5"/>
    <w:rsid w:val="190A3B3E"/>
    <w:rsid w:val="191474B7"/>
    <w:rsid w:val="192C0FEE"/>
    <w:rsid w:val="19331160"/>
    <w:rsid w:val="19496281"/>
    <w:rsid w:val="196F6FC1"/>
    <w:rsid w:val="19711A8D"/>
    <w:rsid w:val="19992BD1"/>
    <w:rsid w:val="19AB5ACC"/>
    <w:rsid w:val="19C3351E"/>
    <w:rsid w:val="19CA0483"/>
    <w:rsid w:val="1A6E6871"/>
    <w:rsid w:val="1AB56D4E"/>
    <w:rsid w:val="1ADA1355"/>
    <w:rsid w:val="1B006539"/>
    <w:rsid w:val="1B194961"/>
    <w:rsid w:val="1B195DEC"/>
    <w:rsid w:val="1B285C20"/>
    <w:rsid w:val="1B4A6BAE"/>
    <w:rsid w:val="1B4B370A"/>
    <w:rsid w:val="1B537FF8"/>
    <w:rsid w:val="1B767B01"/>
    <w:rsid w:val="1B860FD9"/>
    <w:rsid w:val="1BB05E26"/>
    <w:rsid w:val="1BC40E99"/>
    <w:rsid w:val="1BC8314E"/>
    <w:rsid w:val="1BCA7890"/>
    <w:rsid w:val="1BCB6A47"/>
    <w:rsid w:val="1BFB1779"/>
    <w:rsid w:val="1BFD00F2"/>
    <w:rsid w:val="1C1327C3"/>
    <w:rsid w:val="1C3670C8"/>
    <w:rsid w:val="1C43363D"/>
    <w:rsid w:val="1C4628F7"/>
    <w:rsid w:val="1C79295A"/>
    <w:rsid w:val="1CA03602"/>
    <w:rsid w:val="1CC16689"/>
    <w:rsid w:val="1CCC24BC"/>
    <w:rsid w:val="1CDF7A06"/>
    <w:rsid w:val="1CE512E6"/>
    <w:rsid w:val="1CEF2480"/>
    <w:rsid w:val="1D061139"/>
    <w:rsid w:val="1D870AB9"/>
    <w:rsid w:val="1D8A0E3C"/>
    <w:rsid w:val="1D9254CD"/>
    <w:rsid w:val="1DA15E50"/>
    <w:rsid w:val="1DB27B15"/>
    <w:rsid w:val="1DB87E85"/>
    <w:rsid w:val="1DC85751"/>
    <w:rsid w:val="1DC934BA"/>
    <w:rsid w:val="1DEB61F5"/>
    <w:rsid w:val="1E0A627C"/>
    <w:rsid w:val="1E16086E"/>
    <w:rsid w:val="1E927FD6"/>
    <w:rsid w:val="1E9860A5"/>
    <w:rsid w:val="1EA838E7"/>
    <w:rsid w:val="1ED20877"/>
    <w:rsid w:val="1ED94E4B"/>
    <w:rsid w:val="1EDE5D5E"/>
    <w:rsid w:val="1EF77DC5"/>
    <w:rsid w:val="1F383ACC"/>
    <w:rsid w:val="1F596305"/>
    <w:rsid w:val="1F8811C7"/>
    <w:rsid w:val="1F9062F5"/>
    <w:rsid w:val="1FEA7809"/>
    <w:rsid w:val="1FEB5C6A"/>
    <w:rsid w:val="202209B9"/>
    <w:rsid w:val="20280066"/>
    <w:rsid w:val="202C0E96"/>
    <w:rsid w:val="20304AD2"/>
    <w:rsid w:val="203B6599"/>
    <w:rsid w:val="204151AF"/>
    <w:rsid w:val="204F6722"/>
    <w:rsid w:val="20902778"/>
    <w:rsid w:val="20AF30C4"/>
    <w:rsid w:val="20C20F88"/>
    <w:rsid w:val="20FD5C7C"/>
    <w:rsid w:val="21096CBA"/>
    <w:rsid w:val="2115662C"/>
    <w:rsid w:val="211E06F8"/>
    <w:rsid w:val="21361A04"/>
    <w:rsid w:val="214418DF"/>
    <w:rsid w:val="21B95143"/>
    <w:rsid w:val="21C04FD1"/>
    <w:rsid w:val="21D51B3D"/>
    <w:rsid w:val="21FE0CB2"/>
    <w:rsid w:val="220D6242"/>
    <w:rsid w:val="22196712"/>
    <w:rsid w:val="2272212A"/>
    <w:rsid w:val="22EC4950"/>
    <w:rsid w:val="22ED5F44"/>
    <w:rsid w:val="23197F12"/>
    <w:rsid w:val="231A56E2"/>
    <w:rsid w:val="231F7C19"/>
    <w:rsid w:val="232B5FAF"/>
    <w:rsid w:val="233F76E0"/>
    <w:rsid w:val="23481CC9"/>
    <w:rsid w:val="235F1272"/>
    <w:rsid w:val="239F39ED"/>
    <w:rsid w:val="23AE10BA"/>
    <w:rsid w:val="23E56B32"/>
    <w:rsid w:val="24142B46"/>
    <w:rsid w:val="24183F62"/>
    <w:rsid w:val="241D037F"/>
    <w:rsid w:val="2433149D"/>
    <w:rsid w:val="246270E4"/>
    <w:rsid w:val="24772C2B"/>
    <w:rsid w:val="248B2E3F"/>
    <w:rsid w:val="24DF22D5"/>
    <w:rsid w:val="25241FCD"/>
    <w:rsid w:val="257008BE"/>
    <w:rsid w:val="258A0443"/>
    <w:rsid w:val="25E86FC2"/>
    <w:rsid w:val="260C3AE7"/>
    <w:rsid w:val="261B35E2"/>
    <w:rsid w:val="261D7A35"/>
    <w:rsid w:val="263A612D"/>
    <w:rsid w:val="26483965"/>
    <w:rsid w:val="26684108"/>
    <w:rsid w:val="268B0B22"/>
    <w:rsid w:val="26906F25"/>
    <w:rsid w:val="26BB607A"/>
    <w:rsid w:val="26BB7E4E"/>
    <w:rsid w:val="26C10F08"/>
    <w:rsid w:val="26D075A8"/>
    <w:rsid w:val="26D17DBC"/>
    <w:rsid w:val="26D24757"/>
    <w:rsid w:val="274D17E4"/>
    <w:rsid w:val="27506176"/>
    <w:rsid w:val="275D4096"/>
    <w:rsid w:val="276C3DD0"/>
    <w:rsid w:val="27A57C3A"/>
    <w:rsid w:val="27D20BC1"/>
    <w:rsid w:val="27EB7AF0"/>
    <w:rsid w:val="280553D3"/>
    <w:rsid w:val="280F6C60"/>
    <w:rsid w:val="281253C2"/>
    <w:rsid w:val="28163476"/>
    <w:rsid w:val="282455AC"/>
    <w:rsid w:val="28261D0F"/>
    <w:rsid w:val="2838738D"/>
    <w:rsid w:val="286F250E"/>
    <w:rsid w:val="287D2504"/>
    <w:rsid w:val="2886147E"/>
    <w:rsid w:val="289D43CF"/>
    <w:rsid w:val="28A87389"/>
    <w:rsid w:val="28AB0694"/>
    <w:rsid w:val="28AE6A69"/>
    <w:rsid w:val="28B81772"/>
    <w:rsid w:val="290A4DA8"/>
    <w:rsid w:val="291176CC"/>
    <w:rsid w:val="291C67BC"/>
    <w:rsid w:val="29503AAE"/>
    <w:rsid w:val="29573123"/>
    <w:rsid w:val="297F7A53"/>
    <w:rsid w:val="2992095F"/>
    <w:rsid w:val="29AC6651"/>
    <w:rsid w:val="29C4608A"/>
    <w:rsid w:val="29E769C8"/>
    <w:rsid w:val="29F21662"/>
    <w:rsid w:val="29F51AC1"/>
    <w:rsid w:val="29F51D07"/>
    <w:rsid w:val="29FC30C2"/>
    <w:rsid w:val="2A003316"/>
    <w:rsid w:val="2A105129"/>
    <w:rsid w:val="2A406B43"/>
    <w:rsid w:val="2A6D3E9B"/>
    <w:rsid w:val="2A706411"/>
    <w:rsid w:val="2A783D0E"/>
    <w:rsid w:val="2A9C0461"/>
    <w:rsid w:val="2AD0515C"/>
    <w:rsid w:val="2AE8528D"/>
    <w:rsid w:val="2AF16E8B"/>
    <w:rsid w:val="2B0B7CEC"/>
    <w:rsid w:val="2B27452A"/>
    <w:rsid w:val="2B2D4BDC"/>
    <w:rsid w:val="2B4503EF"/>
    <w:rsid w:val="2B767712"/>
    <w:rsid w:val="2BBA7AC6"/>
    <w:rsid w:val="2BFC26B9"/>
    <w:rsid w:val="2C3C0A88"/>
    <w:rsid w:val="2C596FFF"/>
    <w:rsid w:val="2C9A17D6"/>
    <w:rsid w:val="2CA6566A"/>
    <w:rsid w:val="2CAE7599"/>
    <w:rsid w:val="2CB749B3"/>
    <w:rsid w:val="2CBB6294"/>
    <w:rsid w:val="2CBF39BD"/>
    <w:rsid w:val="2D016EDC"/>
    <w:rsid w:val="2D2E04D4"/>
    <w:rsid w:val="2D3878C4"/>
    <w:rsid w:val="2D3A4057"/>
    <w:rsid w:val="2D5343E6"/>
    <w:rsid w:val="2D5D7AA7"/>
    <w:rsid w:val="2D994DBE"/>
    <w:rsid w:val="2DD53F02"/>
    <w:rsid w:val="2E0A0263"/>
    <w:rsid w:val="2E73484D"/>
    <w:rsid w:val="2E734C4D"/>
    <w:rsid w:val="2E9A7164"/>
    <w:rsid w:val="2ED21188"/>
    <w:rsid w:val="2EE1137A"/>
    <w:rsid w:val="2EE6759F"/>
    <w:rsid w:val="2EEB0819"/>
    <w:rsid w:val="2F010E90"/>
    <w:rsid w:val="2F0C69E6"/>
    <w:rsid w:val="2F0D5CED"/>
    <w:rsid w:val="2F16689C"/>
    <w:rsid w:val="2F236129"/>
    <w:rsid w:val="2F2C56BA"/>
    <w:rsid w:val="2F2D0218"/>
    <w:rsid w:val="2F356A16"/>
    <w:rsid w:val="2F4614DA"/>
    <w:rsid w:val="2F636A54"/>
    <w:rsid w:val="2FA00DAE"/>
    <w:rsid w:val="30081603"/>
    <w:rsid w:val="30420830"/>
    <w:rsid w:val="30443F09"/>
    <w:rsid w:val="309C224F"/>
    <w:rsid w:val="31190489"/>
    <w:rsid w:val="311C3987"/>
    <w:rsid w:val="31232963"/>
    <w:rsid w:val="315857B1"/>
    <w:rsid w:val="31650177"/>
    <w:rsid w:val="31AB6658"/>
    <w:rsid w:val="31BC3F1B"/>
    <w:rsid w:val="31C37B9C"/>
    <w:rsid w:val="31EA7F55"/>
    <w:rsid w:val="32096C48"/>
    <w:rsid w:val="32137CF0"/>
    <w:rsid w:val="321E50BD"/>
    <w:rsid w:val="32224344"/>
    <w:rsid w:val="32340C69"/>
    <w:rsid w:val="32363F32"/>
    <w:rsid w:val="32471F5A"/>
    <w:rsid w:val="3253078F"/>
    <w:rsid w:val="325E3A96"/>
    <w:rsid w:val="32B7356F"/>
    <w:rsid w:val="330C088A"/>
    <w:rsid w:val="330D0F43"/>
    <w:rsid w:val="332A5E08"/>
    <w:rsid w:val="333E728C"/>
    <w:rsid w:val="334F202E"/>
    <w:rsid w:val="33A04007"/>
    <w:rsid w:val="33A60671"/>
    <w:rsid w:val="33AF4FB4"/>
    <w:rsid w:val="33CF2119"/>
    <w:rsid w:val="33DE4357"/>
    <w:rsid w:val="341D5AAB"/>
    <w:rsid w:val="342732F1"/>
    <w:rsid w:val="342B2E3E"/>
    <w:rsid w:val="3454463B"/>
    <w:rsid w:val="346B507B"/>
    <w:rsid w:val="347A0A28"/>
    <w:rsid w:val="347B293F"/>
    <w:rsid w:val="348C37FE"/>
    <w:rsid w:val="34AA4F73"/>
    <w:rsid w:val="34BD6981"/>
    <w:rsid w:val="34F52FDD"/>
    <w:rsid w:val="352B6C5A"/>
    <w:rsid w:val="35520294"/>
    <w:rsid w:val="357A04F1"/>
    <w:rsid w:val="357C1D84"/>
    <w:rsid w:val="35887A53"/>
    <w:rsid w:val="35AF4576"/>
    <w:rsid w:val="35B4397E"/>
    <w:rsid w:val="35BF575B"/>
    <w:rsid w:val="36034EE1"/>
    <w:rsid w:val="36237D2D"/>
    <w:rsid w:val="363503EB"/>
    <w:rsid w:val="3647637B"/>
    <w:rsid w:val="367F686D"/>
    <w:rsid w:val="36A14C50"/>
    <w:rsid w:val="36B412F5"/>
    <w:rsid w:val="36B66A91"/>
    <w:rsid w:val="36CC7A6D"/>
    <w:rsid w:val="37076693"/>
    <w:rsid w:val="372B30FF"/>
    <w:rsid w:val="372F768E"/>
    <w:rsid w:val="375E41FD"/>
    <w:rsid w:val="3765223E"/>
    <w:rsid w:val="376A4278"/>
    <w:rsid w:val="377870B5"/>
    <w:rsid w:val="377D54A5"/>
    <w:rsid w:val="377D5E16"/>
    <w:rsid w:val="377E65D4"/>
    <w:rsid w:val="37872B44"/>
    <w:rsid w:val="379F77DA"/>
    <w:rsid w:val="37A7041E"/>
    <w:rsid w:val="37A80A27"/>
    <w:rsid w:val="37B87080"/>
    <w:rsid w:val="37C914D9"/>
    <w:rsid w:val="37D63EC9"/>
    <w:rsid w:val="37F02038"/>
    <w:rsid w:val="38280519"/>
    <w:rsid w:val="386D019E"/>
    <w:rsid w:val="38760FB5"/>
    <w:rsid w:val="388436B1"/>
    <w:rsid w:val="38894B13"/>
    <w:rsid w:val="38A42A5B"/>
    <w:rsid w:val="38C10BFB"/>
    <w:rsid w:val="38DD791D"/>
    <w:rsid w:val="3920221B"/>
    <w:rsid w:val="39334BFF"/>
    <w:rsid w:val="393667C3"/>
    <w:rsid w:val="39457CAF"/>
    <w:rsid w:val="3948048E"/>
    <w:rsid w:val="397A3C9F"/>
    <w:rsid w:val="39812B9C"/>
    <w:rsid w:val="39B565E1"/>
    <w:rsid w:val="39D4235F"/>
    <w:rsid w:val="39FD6163"/>
    <w:rsid w:val="3A257802"/>
    <w:rsid w:val="3A606A76"/>
    <w:rsid w:val="3A921749"/>
    <w:rsid w:val="3AA81B41"/>
    <w:rsid w:val="3B143086"/>
    <w:rsid w:val="3B1A2D8C"/>
    <w:rsid w:val="3B4042AB"/>
    <w:rsid w:val="3B66210B"/>
    <w:rsid w:val="3B814E71"/>
    <w:rsid w:val="3B972AF7"/>
    <w:rsid w:val="3BB62FA9"/>
    <w:rsid w:val="3BB70D15"/>
    <w:rsid w:val="3BBB09FC"/>
    <w:rsid w:val="3BC91BB9"/>
    <w:rsid w:val="3C0470A6"/>
    <w:rsid w:val="3C120308"/>
    <w:rsid w:val="3C42650A"/>
    <w:rsid w:val="3C762DF2"/>
    <w:rsid w:val="3C7D1D40"/>
    <w:rsid w:val="3C9B51F8"/>
    <w:rsid w:val="3CDD0DBD"/>
    <w:rsid w:val="3D101034"/>
    <w:rsid w:val="3D544EBB"/>
    <w:rsid w:val="3D882CF1"/>
    <w:rsid w:val="3D9814F2"/>
    <w:rsid w:val="3DE32AFA"/>
    <w:rsid w:val="3DFB2E61"/>
    <w:rsid w:val="3E0456CC"/>
    <w:rsid w:val="3E136ED4"/>
    <w:rsid w:val="3E236193"/>
    <w:rsid w:val="3E2726B6"/>
    <w:rsid w:val="3E8A1A02"/>
    <w:rsid w:val="3E8E765E"/>
    <w:rsid w:val="3EA9393D"/>
    <w:rsid w:val="3EAD0498"/>
    <w:rsid w:val="3EB16DB1"/>
    <w:rsid w:val="3EC56D78"/>
    <w:rsid w:val="3EC7715A"/>
    <w:rsid w:val="3ED16A4F"/>
    <w:rsid w:val="3ED17EBE"/>
    <w:rsid w:val="3EDC543E"/>
    <w:rsid w:val="3EED5016"/>
    <w:rsid w:val="3EF52FF7"/>
    <w:rsid w:val="3EF75B65"/>
    <w:rsid w:val="3EFB570C"/>
    <w:rsid w:val="3F2B7413"/>
    <w:rsid w:val="3F5871FB"/>
    <w:rsid w:val="3F8E35DC"/>
    <w:rsid w:val="3F8F5DC2"/>
    <w:rsid w:val="3FA46F4F"/>
    <w:rsid w:val="3FB00475"/>
    <w:rsid w:val="3FBF5991"/>
    <w:rsid w:val="3FE10717"/>
    <w:rsid w:val="40023F34"/>
    <w:rsid w:val="40090025"/>
    <w:rsid w:val="40181902"/>
    <w:rsid w:val="402F5A4D"/>
    <w:rsid w:val="40411288"/>
    <w:rsid w:val="404742BD"/>
    <w:rsid w:val="40600DD5"/>
    <w:rsid w:val="40660F91"/>
    <w:rsid w:val="407D57C8"/>
    <w:rsid w:val="40B26892"/>
    <w:rsid w:val="40E21CB8"/>
    <w:rsid w:val="40F6636B"/>
    <w:rsid w:val="410F31C3"/>
    <w:rsid w:val="4112553B"/>
    <w:rsid w:val="41344AAB"/>
    <w:rsid w:val="41550C30"/>
    <w:rsid w:val="41875FCE"/>
    <w:rsid w:val="4190424D"/>
    <w:rsid w:val="41BA6E78"/>
    <w:rsid w:val="41F6399A"/>
    <w:rsid w:val="41F94DC7"/>
    <w:rsid w:val="41FA3A29"/>
    <w:rsid w:val="42137C42"/>
    <w:rsid w:val="422E57D7"/>
    <w:rsid w:val="42555DF7"/>
    <w:rsid w:val="42A27001"/>
    <w:rsid w:val="42C507A4"/>
    <w:rsid w:val="42F07508"/>
    <w:rsid w:val="43270B23"/>
    <w:rsid w:val="43366434"/>
    <w:rsid w:val="434A0913"/>
    <w:rsid w:val="436A64E9"/>
    <w:rsid w:val="43711057"/>
    <w:rsid w:val="439C4F5E"/>
    <w:rsid w:val="43E630D7"/>
    <w:rsid w:val="43EF2D9F"/>
    <w:rsid w:val="43F02783"/>
    <w:rsid w:val="44656E26"/>
    <w:rsid w:val="44786783"/>
    <w:rsid w:val="449457D3"/>
    <w:rsid w:val="44A25A9F"/>
    <w:rsid w:val="44A61055"/>
    <w:rsid w:val="44BE5C95"/>
    <w:rsid w:val="44DD6EB7"/>
    <w:rsid w:val="44E01145"/>
    <w:rsid w:val="450018DF"/>
    <w:rsid w:val="450F2BC2"/>
    <w:rsid w:val="451D2C75"/>
    <w:rsid w:val="454746DD"/>
    <w:rsid w:val="455367B2"/>
    <w:rsid w:val="45555732"/>
    <w:rsid w:val="455F10D7"/>
    <w:rsid w:val="456355DA"/>
    <w:rsid w:val="45741675"/>
    <w:rsid w:val="459C4648"/>
    <w:rsid w:val="45A02EDD"/>
    <w:rsid w:val="45E61BCA"/>
    <w:rsid w:val="45EE32D7"/>
    <w:rsid w:val="4638018C"/>
    <w:rsid w:val="46416C3D"/>
    <w:rsid w:val="46433285"/>
    <w:rsid w:val="46526D41"/>
    <w:rsid w:val="46584865"/>
    <w:rsid w:val="46681B67"/>
    <w:rsid w:val="468200E4"/>
    <w:rsid w:val="46903F4D"/>
    <w:rsid w:val="469815BE"/>
    <w:rsid w:val="46A14FC5"/>
    <w:rsid w:val="46B27CB1"/>
    <w:rsid w:val="46D34E98"/>
    <w:rsid w:val="47001117"/>
    <w:rsid w:val="47246805"/>
    <w:rsid w:val="47492E75"/>
    <w:rsid w:val="474F7F9F"/>
    <w:rsid w:val="475F3AC1"/>
    <w:rsid w:val="47844901"/>
    <w:rsid w:val="479A2ED2"/>
    <w:rsid w:val="47B328B4"/>
    <w:rsid w:val="47C13542"/>
    <w:rsid w:val="48113D01"/>
    <w:rsid w:val="484C7B11"/>
    <w:rsid w:val="485E0A04"/>
    <w:rsid w:val="48740F1D"/>
    <w:rsid w:val="48761BE3"/>
    <w:rsid w:val="489E0EB1"/>
    <w:rsid w:val="48A4548A"/>
    <w:rsid w:val="48A57E1F"/>
    <w:rsid w:val="48B50D92"/>
    <w:rsid w:val="48D80297"/>
    <w:rsid w:val="48DE3BBF"/>
    <w:rsid w:val="48E77164"/>
    <w:rsid w:val="491D19DF"/>
    <w:rsid w:val="49304CB2"/>
    <w:rsid w:val="496F6EBE"/>
    <w:rsid w:val="49814F4C"/>
    <w:rsid w:val="49A364F7"/>
    <w:rsid w:val="49B42429"/>
    <w:rsid w:val="49C4569B"/>
    <w:rsid w:val="49CB304D"/>
    <w:rsid w:val="4A074043"/>
    <w:rsid w:val="4A090DC7"/>
    <w:rsid w:val="4A091441"/>
    <w:rsid w:val="4A14567E"/>
    <w:rsid w:val="4A1E6180"/>
    <w:rsid w:val="4A2308FE"/>
    <w:rsid w:val="4A287AB1"/>
    <w:rsid w:val="4A5133EE"/>
    <w:rsid w:val="4A5D4EF8"/>
    <w:rsid w:val="4A915C19"/>
    <w:rsid w:val="4A955A49"/>
    <w:rsid w:val="4A9C5501"/>
    <w:rsid w:val="4AAF7BD4"/>
    <w:rsid w:val="4AD80F53"/>
    <w:rsid w:val="4B1675D3"/>
    <w:rsid w:val="4B2C75A6"/>
    <w:rsid w:val="4B2F25FD"/>
    <w:rsid w:val="4BB15678"/>
    <w:rsid w:val="4BB635D2"/>
    <w:rsid w:val="4BB76960"/>
    <w:rsid w:val="4BD03593"/>
    <w:rsid w:val="4BD63363"/>
    <w:rsid w:val="4BD87666"/>
    <w:rsid w:val="4BE6691C"/>
    <w:rsid w:val="4BF467F9"/>
    <w:rsid w:val="4BF83E44"/>
    <w:rsid w:val="4C276C17"/>
    <w:rsid w:val="4C73767A"/>
    <w:rsid w:val="4C7C0669"/>
    <w:rsid w:val="4C7D0871"/>
    <w:rsid w:val="4C850277"/>
    <w:rsid w:val="4C9904F2"/>
    <w:rsid w:val="4D2572CD"/>
    <w:rsid w:val="4D354FF0"/>
    <w:rsid w:val="4D4C32B8"/>
    <w:rsid w:val="4D7B3BE4"/>
    <w:rsid w:val="4DBB048A"/>
    <w:rsid w:val="4DDF6BB7"/>
    <w:rsid w:val="4DE07DE4"/>
    <w:rsid w:val="4E0D5D14"/>
    <w:rsid w:val="4E2F45C0"/>
    <w:rsid w:val="4E363F2F"/>
    <w:rsid w:val="4E891FEA"/>
    <w:rsid w:val="4EA42281"/>
    <w:rsid w:val="4EA546F0"/>
    <w:rsid w:val="4EAF3AED"/>
    <w:rsid w:val="4EB0019E"/>
    <w:rsid w:val="4ECB1385"/>
    <w:rsid w:val="4ED32851"/>
    <w:rsid w:val="4ED35762"/>
    <w:rsid w:val="4EF5014E"/>
    <w:rsid w:val="4EFA3C4E"/>
    <w:rsid w:val="4F235A8E"/>
    <w:rsid w:val="4F26262A"/>
    <w:rsid w:val="4F33554E"/>
    <w:rsid w:val="4F612BE4"/>
    <w:rsid w:val="4F6461D6"/>
    <w:rsid w:val="4F7B292B"/>
    <w:rsid w:val="4F9E59ED"/>
    <w:rsid w:val="4FDC58FD"/>
    <w:rsid w:val="4FDE1C0C"/>
    <w:rsid w:val="4FE54A2D"/>
    <w:rsid w:val="50202BC7"/>
    <w:rsid w:val="50216FE4"/>
    <w:rsid w:val="502D2C76"/>
    <w:rsid w:val="50351050"/>
    <w:rsid w:val="50614DD7"/>
    <w:rsid w:val="506B628A"/>
    <w:rsid w:val="50787CFE"/>
    <w:rsid w:val="50AE1AE4"/>
    <w:rsid w:val="50C201CE"/>
    <w:rsid w:val="50FE2631"/>
    <w:rsid w:val="51151D83"/>
    <w:rsid w:val="51167E7F"/>
    <w:rsid w:val="51390032"/>
    <w:rsid w:val="515426DE"/>
    <w:rsid w:val="515C74D2"/>
    <w:rsid w:val="51652C0F"/>
    <w:rsid w:val="518D4538"/>
    <w:rsid w:val="51960DFD"/>
    <w:rsid w:val="51BB2BF3"/>
    <w:rsid w:val="51FD0367"/>
    <w:rsid w:val="52377D55"/>
    <w:rsid w:val="525F7483"/>
    <w:rsid w:val="528128B1"/>
    <w:rsid w:val="52862351"/>
    <w:rsid w:val="52984624"/>
    <w:rsid w:val="52E8772C"/>
    <w:rsid w:val="52F10B24"/>
    <w:rsid w:val="534A2585"/>
    <w:rsid w:val="53921453"/>
    <w:rsid w:val="539D3FE2"/>
    <w:rsid w:val="53A03056"/>
    <w:rsid w:val="53A31787"/>
    <w:rsid w:val="53D7503B"/>
    <w:rsid w:val="53E637C7"/>
    <w:rsid w:val="53E8647E"/>
    <w:rsid w:val="53F45929"/>
    <w:rsid w:val="53FC0907"/>
    <w:rsid w:val="5468198B"/>
    <w:rsid w:val="54951AB4"/>
    <w:rsid w:val="549A0B06"/>
    <w:rsid w:val="54A655A6"/>
    <w:rsid w:val="54D53B13"/>
    <w:rsid w:val="54EB74E4"/>
    <w:rsid w:val="54EC3D1D"/>
    <w:rsid w:val="55284AD7"/>
    <w:rsid w:val="5530324E"/>
    <w:rsid w:val="55457E29"/>
    <w:rsid w:val="555B0657"/>
    <w:rsid w:val="556032BE"/>
    <w:rsid w:val="55B86023"/>
    <w:rsid w:val="55C151DC"/>
    <w:rsid w:val="55E556DC"/>
    <w:rsid w:val="55FF3036"/>
    <w:rsid w:val="56213505"/>
    <w:rsid w:val="56292705"/>
    <w:rsid w:val="5632227A"/>
    <w:rsid w:val="56482C0E"/>
    <w:rsid w:val="564E3203"/>
    <w:rsid w:val="568C03E5"/>
    <w:rsid w:val="56E60496"/>
    <w:rsid w:val="57374E0B"/>
    <w:rsid w:val="57444728"/>
    <w:rsid w:val="575B090B"/>
    <w:rsid w:val="577439B5"/>
    <w:rsid w:val="57926FF9"/>
    <w:rsid w:val="57E6509B"/>
    <w:rsid w:val="57E738F8"/>
    <w:rsid w:val="57EB5B27"/>
    <w:rsid w:val="57EC2D60"/>
    <w:rsid w:val="58263426"/>
    <w:rsid w:val="583C0E12"/>
    <w:rsid w:val="58A14304"/>
    <w:rsid w:val="58A3772F"/>
    <w:rsid w:val="58CC5EFE"/>
    <w:rsid w:val="58E3487B"/>
    <w:rsid w:val="58FB3B6A"/>
    <w:rsid w:val="59026288"/>
    <w:rsid w:val="590668BB"/>
    <w:rsid w:val="59205FDE"/>
    <w:rsid w:val="59336ED5"/>
    <w:rsid w:val="59393A95"/>
    <w:rsid w:val="59432CA0"/>
    <w:rsid w:val="594A3241"/>
    <w:rsid w:val="594D3E46"/>
    <w:rsid w:val="595C3DA0"/>
    <w:rsid w:val="595E62F2"/>
    <w:rsid w:val="59693F87"/>
    <w:rsid w:val="59B42F07"/>
    <w:rsid w:val="59BB77BA"/>
    <w:rsid w:val="5A2C4220"/>
    <w:rsid w:val="5A316507"/>
    <w:rsid w:val="5A497C34"/>
    <w:rsid w:val="5A4C0E52"/>
    <w:rsid w:val="5A7B33E5"/>
    <w:rsid w:val="5A8C664D"/>
    <w:rsid w:val="5ABD43B1"/>
    <w:rsid w:val="5AC20EBF"/>
    <w:rsid w:val="5ACD5B73"/>
    <w:rsid w:val="5ADF42CD"/>
    <w:rsid w:val="5B050809"/>
    <w:rsid w:val="5B366061"/>
    <w:rsid w:val="5B3846E5"/>
    <w:rsid w:val="5B440B6E"/>
    <w:rsid w:val="5B553BEC"/>
    <w:rsid w:val="5B5C5E93"/>
    <w:rsid w:val="5B5E3394"/>
    <w:rsid w:val="5B74024A"/>
    <w:rsid w:val="5B792560"/>
    <w:rsid w:val="5B9D0E06"/>
    <w:rsid w:val="5BA172F8"/>
    <w:rsid w:val="5BB151A5"/>
    <w:rsid w:val="5BB6027C"/>
    <w:rsid w:val="5BBB47C2"/>
    <w:rsid w:val="5BF62976"/>
    <w:rsid w:val="5C16597D"/>
    <w:rsid w:val="5C707C6C"/>
    <w:rsid w:val="5C8E0CD7"/>
    <w:rsid w:val="5C9E2C36"/>
    <w:rsid w:val="5CB6579C"/>
    <w:rsid w:val="5CBB2347"/>
    <w:rsid w:val="5CC6320E"/>
    <w:rsid w:val="5CC76C7C"/>
    <w:rsid w:val="5CF36024"/>
    <w:rsid w:val="5CFF01AA"/>
    <w:rsid w:val="5D1344DD"/>
    <w:rsid w:val="5D7B6EDD"/>
    <w:rsid w:val="5D806796"/>
    <w:rsid w:val="5D827D40"/>
    <w:rsid w:val="5DC43C07"/>
    <w:rsid w:val="5DCA3A55"/>
    <w:rsid w:val="5DCD3255"/>
    <w:rsid w:val="5E297761"/>
    <w:rsid w:val="5E33770D"/>
    <w:rsid w:val="5E532ADD"/>
    <w:rsid w:val="5E610B28"/>
    <w:rsid w:val="5E66579C"/>
    <w:rsid w:val="5E91320F"/>
    <w:rsid w:val="5E915A7A"/>
    <w:rsid w:val="5EA33A97"/>
    <w:rsid w:val="5ED134B6"/>
    <w:rsid w:val="5EF55DBA"/>
    <w:rsid w:val="5F6B1358"/>
    <w:rsid w:val="5FC51458"/>
    <w:rsid w:val="5FC866E5"/>
    <w:rsid w:val="5FDC13D8"/>
    <w:rsid w:val="60090629"/>
    <w:rsid w:val="60413F7F"/>
    <w:rsid w:val="60660F52"/>
    <w:rsid w:val="606A3C6B"/>
    <w:rsid w:val="609B5019"/>
    <w:rsid w:val="60B4769E"/>
    <w:rsid w:val="610242F6"/>
    <w:rsid w:val="6119401A"/>
    <w:rsid w:val="611D2CA6"/>
    <w:rsid w:val="61200642"/>
    <w:rsid w:val="61257267"/>
    <w:rsid w:val="61652DB1"/>
    <w:rsid w:val="61970BE7"/>
    <w:rsid w:val="61A20E5D"/>
    <w:rsid w:val="61F17268"/>
    <w:rsid w:val="61FC7432"/>
    <w:rsid w:val="620A3859"/>
    <w:rsid w:val="62204E0F"/>
    <w:rsid w:val="62207D5C"/>
    <w:rsid w:val="624063A3"/>
    <w:rsid w:val="62533606"/>
    <w:rsid w:val="62845968"/>
    <w:rsid w:val="62A86B6F"/>
    <w:rsid w:val="62B35B81"/>
    <w:rsid w:val="62B75EDD"/>
    <w:rsid w:val="62C01D55"/>
    <w:rsid w:val="62C92F2D"/>
    <w:rsid w:val="62D93169"/>
    <w:rsid w:val="62E40282"/>
    <w:rsid w:val="631D5B18"/>
    <w:rsid w:val="631E201F"/>
    <w:rsid w:val="63320961"/>
    <w:rsid w:val="634E6C76"/>
    <w:rsid w:val="63577D60"/>
    <w:rsid w:val="636514C6"/>
    <w:rsid w:val="636F701B"/>
    <w:rsid w:val="6382662F"/>
    <w:rsid w:val="63B23C71"/>
    <w:rsid w:val="63C95202"/>
    <w:rsid w:val="63CB4107"/>
    <w:rsid w:val="63DB551D"/>
    <w:rsid w:val="64090834"/>
    <w:rsid w:val="64116EAE"/>
    <w:rsid w:val="64272A3B"/>
    <w:rsid w:val="6467063D"/>
    <w:rsid w:val="648F4A0E"/>
    <w:rsid w:val="64937E71"/>
    <w:rsid w:val="6495646A"/>
    <w:rsid w:val="64FA320D"/>
    <w:rsid w:val="65797FD4"/>
    <w:rsid w:val="658D5E16"/>
    <w:rsid w:val="65953363"/>
    <w:rsid w:val="65B841DE"/>
    <w:rsid w:val="65CA03C9"/>
    <w:rsid w:val="65E1661E"/>
    <w:rsid w:val="65E36C18"/>
    <w:rsid w:val="660918F9"/>
    <w:rsid w:val="663C1302"/>
    <w:rsid w:val="665F0112"/>
    <w:rsid w:val="667F18FA"/>
    <w:rsid w:val="669A5886"/>
    <w:rsid w:val="66BF54E4"/>
    <w:rsid w:val="67101119"/>
    <w:rsid w:val="67151BB5"/>
    <w:rsid w:val="671C67EA"/>
    <w:rsid w:val="67400D4D"/>
    <w:rsid w:val="677A414A"/>
    <w:rsid w:val="678C39FD"/>
    <w:rsid w:val="67C952B3"/>
    <w:rsid w:val="67DB4341"/>
    <w:rsid w:val="67EC0DA3"/>
    <w:rsid w:val="68720AE2"/>
    <w:rsid w:val="689554F5"/>
    <w:rsid w:val="68AA7215"/>
    <w:rsid w:val="68ED6911"/>
    <w:rsid w:val="6903642B"/>
    <w:rsid w:val="690F1870"/>
    <w:rsid w:val="692F5E27"/>
    <w:rsid w:val="69466675"/>
    <w:rsid w:val="698C2B7F"/>
    <w:rsid w:val="69AB5D7A"/>
    <w:rsid w:val="69F21353"/>
    <w:rsid w:val="69F575F2"/>
    <w:rsid w:val="6A4C7335"/>
    <w:rsid w:val="6A531E39"/>
    <w:rsid w:val="6A545ADB"/>
    <w:rsid w:val="6A5D05BD"/>
    <w:rsid w:val="6A6B273C"/>
    <w:rsid w:val="6A703222"/>
    <w:rsid w:val="6AAA18E6"/>
    <w:rsid w:val="6AC938A9"/>
    <w:rsid w:val="6B2F05BC"/>
    <w:rsid w:val="6B435167"/>
    <w:rsid w:val="6B9C7CD8"/>
    <w:rsid w:val="6BB237C9"/>
    <w:rsid w:val="6BB37104"/>
    <w:rsid w:val="6BDF1336"/>
    <w:rsid w:val="6C3161F1"/>
    <w:rsid w:val="6C3745DF"/>
    <w:rsid w:val="6C3D4127"/>
    <w:rsid w:val="6C6253EB"/>
    <w:rsid w:val="6C666B72"/>
    <w:rsid w:val="6C8F3EF6"/>
    <w:rsid w:val="6CAD55CC"/>
    <w:rsid w:val="6CBE1616"/>
    <w:rsid w:val="6CC15F94"/>
    <w:rsid w:val="6CDA118A"/>
    <w:rsid w:val="6D0C01A9"/>
    <w:rsid w:val="6D2A44DD"/>
    <w:rsid w:val="6D493A0A"/>
    <w:rsid w:val="6D551BE3"/>
    <w:rsid w:val="6D8E2C9C"/>
    <w:rsid w:val="6DAD51A4"/>
    <w:rsid w:val="6E017D0E"/>
    <w:rsid w:val="6E053E0B"/>
    <w:rsid w:val="6E1E1DB6"/>
    <w:rsid w:val="6E3F4BAC"/>
    <w:rsid w:val="6E735A03"/>
    <w:rsid w:val="6E7D3005"/>
    <w:rsid w:val="6EA04E08"/>
    <w:rsid w:val="6EAA18F7"/>
    <w:rsid w:val="6ECF710B"/>
    <w:rsid w:val="6EEE5D94"/>
    <w:rsid w:val="6F050882"/>
    <w:rsid w:val="6F0B5A13"/>
    <w:rsid w:val="6F1579C7"/>
    <w:rsid w:val="6F62521C"/>
    <w:rsid w:val="6F9A4CA5"/>
    <w:rsid w:val="6FBC6483"/>
    <w:rsid w:val="6FC130A1"/>
    <w:rsid w:val="6FC26F58"/>
    <w:rsid w:val="6FD761EC"/>
    <w:rsid w:val="6FE52312"/>
    <w:rsid w:val="6FF1085F"/>
    <w:rsid w:val="700F6510"/>
    <w:rsid w:val="703F410F"/>
    <w:rsid w:val="70750A7A"/>
    <w:rsid w:val="70991D59"/>
    <w:rsid w:val="709A5C21"/>
    <w:rsid w:val="70C51917"/>
    <w:rsid w:val="70D02722"/>
    <w:rsid w:val="70F067F3"/>
    <w:rsid w:val="711A09D1"/>
    <w:rsid w:val="712F60DB"/>
    <w:rsid w:val="714B6CD7"/>
    <w:rsid w:val="71D8215F"/>
    <w:rsid w:val="71DF1D07"/>
    <w:rsid w:val="71FB7CB1"/>
    <w:rsid w:val="720D209A"/>
    <w:rsid w:val="7221044F"/>
    <w:rsid w:val="72252F84"/>
    <w:rsid w:val="722F089D"/>
    <w:rsid w:val="723126FD"/>
    <w:rsid w:val="723E2E01"/>
    <w:rsid w:val="72404D8A"/>
    <w:rsid w:val="724C22E8"/>
    <w:rsid w:val="725F0F01"/>
    <w:rsid w:val="72961FD2"/>
    <w:rsid w:val="729D5E1F"/>
    <w:rsid w:val="72E72EAA"/>
    <w:rsid w:val="72F27051"/>
    <w:rsid w:val="7331658B"/>
    <w:rsid w:val="733C6C97"/>
    <w:rsid w:val="734B4A4B"/>
    <w:rsid w:val="734C70B6"/>
    <w:rsid w:val="73560C2B"/>
    <w:rsid w:val="735E4E1D"/>
    <w:rsid w:val="7388314F"/>
    <w:rsid w:val="73CB394C"/>
    <w:rsid w:val="73D51780"/>
    <w:rsid w:val="73E34188"/>
    <w:rsid w:val="73F006A6"/>
    <w:rsid w:val="73F022C4"/>
    <w:rsid w:val="73F63EFE"/>
    <w:rsid w:val="73FF26B3"/>
    <w:rsid w:val="74071758"/>
    <w:rsid w:val="741425AC"/>
    <w:rsid w:val="744F658E"/>
    <w:rsid w:val="7463178E"/>
    <w:rsid w:val="746371B3"/>
    <w:rsid w:val="747A43C9"/>
    <w:rsid w:val="7508529D"/>
    <w:rsid w:val="752C3218"/>
    <w:rsid w:val="75397634"/>
    <w:rsid w:val="75537CD8"/>
    <w:rsid w:val="75595BE3"/>
    <w:rsid w:val="757606EF"/>
    <w:rsid w:val="75844FC1"/>
    <w:rsid w:val="75EE069B"/>
    <w:rsid w:val="7615419A"/>
    <w:rsid w:val="76172D6A"/>
    <w:rsid w:val="761A409E"/>
    <w:rsid w:val="762F02D7"/>
    <w:rsid w:val="763D7340"/>
    <w:rsid w:val="76512EE8"/>
    <w:rsid w:val="767A6C09"/>
    <w:rsid w:val="76880BA0"/>
    <w:rsid w:val="76885BC7"/>
    <w:rsid w:val="768C19C1"/>
    <w:rsid w:val="768C2564"/>
    <w:rsid w:val="76991D18"/>
    <w:rsid w:val="76BA43D5"/>
    <w:rsid w:val="76BE21DC"/>
    <w:rsid w:val="76CD5B13"/>
    <w:rsid w:val="76DB2C5B"/>
    <w:rsid w:val="76DF3C76"/>
    <w:rsid w:val="76EB41A9"/>
    <w:rsid w:val="76F71295"/>
    <w:rsid w:val="76FC2CE2"/>
    <w:rsid w:val="7706359E"/>
    <w:rsid w:val="771A5653"/>
    <w:rsid w:val="771B5FB2"/>
    <w:rsid w:val="772A75AD"/>
    <w:rsid w:val="7734542F"/>
    <w:rsid w:val="774073C9"/>
    <w:rsid w:val="77460079"/>
    <w:rsid w:val="77567D26"/>
    <w:rsid w:val="77574E5D"/>
    <w:rsid w:val="775D2B17"/>
    <w:rsid w:val="7760235E"/>
    <w:rsid w:val="777D4FBC"/>
    <w:rsid w:val="77C64121"/>
    <w:rsid w:val="77CD3C5D"/>
    <w:rsid w:val="77FD4667"/>
    <w:rsid w:val="781200C6"/>
    <w:rsid w:val="78150104"/>
    <w:rsid w:val="786B1829"/>
    <w:rsid w:val="78C7234E"/>
    <w:rsid w:val="791063B8"/>
    <w:rsid w:val="79235A1B"/>
    <w:rsid w:val="793E7F2E"/>
    <w:rsid w:val="796362D3"/>
    <w:rsid w:val="79827C27"/>
    <w:rsid w:val="798834D2"/>
    <w:rsid w:val="799B7D73"/>
    <w:rsid w:val="79B07BB3"/>
    <w:rsid w:val="79B7369F"/>
    <w:rsid w:val="79D510F0"/>
    <w:rsid w:val="79ED59B1"/>
    <w:rsid w:val="79F56CDC"/>
    <w:rsid w:val="7A032271"/>
    <w:rsid w:val="7A320BDB"/>
    <w:rsid w:val="7A491583"/>
    <w:rsid w:val="7A5B6EDF"/>
    <w:rsid w:val="7A5D2F7E"/>
    <w:rsid w:val="7A676444"/>
    <w:rsid w:val="7A72534A"/>
    <w:rsid w:val="7A832DB1"/>
    <w:rsid w:val="7A8F7D69"/>
    <w:rsid w:val="7A9C5FF5"/>
    <w:rsid w:val="7AA27F96"/>
    <w:rsid w:val="7AB320ED"/>
    <w:rsid w:val="7AC2422A"/>
    <w:rsid w:val="7AD44A1D"/>
    <w:rsid w:val="7B045A0E"/>
    <w:rsid w:val="7B137629"/>
    <w:rsid w:val="7B1B29C2"/>
    <w:rsid w:val="7B832034"/>
    <w:rsid w:val="7BA57F90"/>
    <w:rsid w:val="7BBC18FF"/>
    <w:rsid w:val="7C100290"/>
    <w:rsid w:val="7C151FE3"/>
    <w:rsid w:val="7C1D63E0"/>
    <w:rsid w:val="7C2925EF"/>
    <w:rsid w:val="7C463AF9"/>
    <w:rsid w:val="7C691C0E"/>
    <w:rsid w:val="7C7654E0"/>
    <w:rsid w:val="7C896BD7"/>
    <w:rsid w:val="7C9D56FC"/>
    <w:rsid w:val="7C9E2AE3"/>
    <w:rsid w:val="7CA34E3A"/>
    <w:rsid w:val="7CDE5607"/>
    <w:rsid w:val="7D0D23F8"/>
    <w:rsid w:val="7D1819A4"/>
    <w:rsid w:val="7D57537E"/>
    <w:rsid w:val="7D657DFF"/>
    <w:rsid w:val="7D79413D"/>
    <w:rsid w:val="7D872924"/>
    <w:rsid w:val="7D8F5F9C"/>
    <w:rsid w:val="7D97637C"/>
    <w:rsid w:val="7E180A37"/>
    <w:rsid w:val="7E252BD1"/>
    <w:rsid w:val="7E2D4483"/>
    <w:rsid w:val="7E327A3B"/>
    <w:rsid w:val="7E36681D"/>
    <w:rsid w:val="7E621BA9"/>
    <w:rsid w:val="7E665892"/>
    <w:rsid w:val="7E782BA9"/>
    <w:rsid w:val="7E9213CC"/>
    <w:rsid w:val="7EA926FF"/>
    <w:rsid w:val="7EAA18EA"/>
    <w:rsid w:val="7EC93E9C"/>
    <w:rsid w:val="7EF33F65"/>
    <w:rsid w:val="7EF82FEA"/>
    <w:rsid w:val="7EFA1C61"/>
    <w:rsid w:val="7F0300DD"/>
    <w:rsid w:val="7F4721CC"/>
    <w:rsid w:val="7F6C7183"/>
    <w:rsid w:val="7F826632"/>
    <w:rsid w:val="7FA31856"/>
    <w:rsid w:val="7FB2207D"/>
    <w:rsid w:val="7FFA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styleId="5">
    <w:name w:val="heading 1"/>
    <w:basedOn w:val="1"/>
    <w:next w:val="1"/>
    <w:link w:val="70"/>
    <w:qFormat/>
    <w:uiPriority w:val="0"/>
    <w:pPr>
      <w:outlineLvl w:val="0"/>
    </w:pPr>
  </w:style>
  <w:style w:type="paragraph" w:styleId="6">
    <w:name w:val="heading 2"/>
    <w:basedOn w:val="1"/>
    <w:next w:val="1"/>
    <w:qFormat/>
    <w:uiPriority w:val="0"/>
    <w:pPr>
      <w:outlineLvl w:val="1"/>
    </w:pPr>
    <w:rPr>
      <w:rFonts w:hAnsi="宋体"/>
      <w:b/>
    </w:rPr>
  </w:style>
  <w:style w:type="paragraph" w:styleId="7">
    <w:name w:val="heading 3"/>
    <w:basedOn w:val="1"/>
    <w:next w:val="8"/>
    <w:qFormat/>
    <w:uiPriority w:val="0"/>
    <w:pPr>
      <w:outlineLvl w:val="2"/>
    </w:p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qFormat/>
    <w:uiPriority w:val="0"/>
    <w:pPr>
      <w:keepNext/>
      <w:keepLines/>
      <w:widowControl/>
      <w:tabs>
        <w:tab w:val="left" w:pos="1008"/>
      </w:tabs>
      <w:autoSpaceDE/>
      <w:autoSpaceDN/>
      <w:adjustRightInd/>
      <w:spacing w:before="280" w:after="290" w:line="376" w:lineRule="auto"/>
      <w:ind w:left="1008" w:hanging="1008"/>
      <w:outlineLvl w:val="4"/>
    </w:pPr>
    <w:rPr>
      <w:rFonts w:ascii="Times New Roman"/>
      <w:b/>
      <w:bCs/>
      <w:sz w:val="28"/>
      <w:szCs w:val="28"/>
    </w:rPr>
  </w:style>
  <w:style w:type="paragraph" w:styleId="11">
    <w:name w:val="heading 6"/>
    <w:basedOn w:val="1"/>
    <w:next w:val="1"/>
    <w:qFormat/>
    <w:uiPriority w:val="0"/>
    <w:pPr>
      <w:keepNext/>
      <w:keepLines/>
      <w:widowControl/>
      <w:tabs>
        <w:tab w:val="left" w:pos="1152"/>
      </w:tabs>
      <w:autoSpaceDE/>
      <w:autoSpaceDN/>
      <w:adjustRightInd/>
      <w:spacing w:before="240" w:after="64" w:line="320" w:lineRule="auto"/>
      <w:ind w:left="1152" w:hanging="1152"/>
      <w:outlineLvl w:val="5"/>
    </w:pPr>
    <w:rPr>
      <w:rFonts w:ascii="Arial" w:hAnsi="Arial" w:eastAsia="黑体"/>
      <w:b/>
      <w:bCs/>
    </w:rPr>
  </w:style>
  <w:style w:type="paragraph" w:styleId="12">
    <w:name w:val="heading 7"/>
    <w:basedOn w:val="1"/>
    <w:next w:val="1"/>
    <w:qFormat/>
    <w:uiPriority w:val="0"/>
    <w:pPr>
      <w:keepNext/>
      <w:keepLines/>
      <w:widowControl/>
      <w:tabs>
        <w:tab w:val="left" w:pos="1296"/>
      </w:tabs>
      <w:autoSpaceDE/>
      <w:autoSpaceDN/>
      <w:adjustRightInd/>
      <w:spacing w:before="240" w:after="64" w:line="320" w:lineRule="auto"/>
      <w:ind w:left="1296" w:hanging="1296"/>
      <w:outlineLvl w:val="6"/>
    </w:pPr>
    <w:rPr>
      <w:rFonts w:ascii="Times New Roman"/>
      <w:b/>
      <w:bCs/>
    </w:rPr>
  </w:style>
  <w:style w:type="paragraph" w:styleId="13">
    <w:name w:val="heading 8"/>
    <w:basedOn w:val="1"/>
    <w:next w:val="1"/>
    <w:qFormat/>
    <w:uiPriority w:val="0"/>
    <w:pPr>
      <w:keepNext/>
      <w:keepLines/>
      <w:widowControl/>
      <w:tabs>
        <w:tab w:val="left" w:pos="1440"/>
      </w:tabs>
      <w:autoSpaceDE/>
      <w:autoSpaceDN/>
      <w:adjustRightInd/>
      <w:spacing w:before="240" w:after="64" w:line="320" w:lineRule="auto"/>
      <w:ind w:left="1440" w:hanging="1440"/>
      <w:outlineLvl w:val="7"/>
    </w:pPr>
    <w:rPr>
      <w:rFonts w:ascii="Arial" w:hAnsi="Arial" w:eastAsia="黑体"/>
    </w:rPr>
  </w:style>
  <w:style w:type="paragraph" w:styleId="14">
    <w:name w:val="heading 9"/>
    <w:basedOn w:val="1"/>
    <w:next w:val="1"/>
    <w:qFormat/>
    <w:uiPriority w:val="0"/>
    <w:pPr>
      <w:keepNext/>
      <w:keepLines/>
      <w:widowControl/>
      <w:tabs>
        <w:tab w:val="left" w:pos="1584"/>
      </w:tabs>
      <w:autoSpaceDE/>
      <w:autoSpaceDN/>
      <w:adjustRightInd/>
      <w:spacing w:before="240" w:after="64" w:line="320" w:lineRule="auto"/>
      <w:ind w:left="1584" w:hanging="1584"/>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1"/>
    <w:qFormat/>
    <w:uiPriority w:val="0"/>
    <w:pPr>
      <w:ind w:right="-26"/>
      <w:jc w:val="center"/>
    </w:pPr>
    <w:rPr>
      <w:rFonts w:hAnsi="Times New Roman"/>
      <w:b/>
      <w:bCs/>
      <w:kern w:val="2"/>
      <w:sz w:val="84"/>
      <w:szCs w:val="84"/>
      <w:lang w:val="zh-CN"/>
    </w:rPr>
  </w:style>
  <w:style w:type="paragraph" w:styleId="3">
    <w:name w:val="Body Text First Indent"/>
    <w:basedOn w:val="2"/>
    <w:next w:val="4"/>
    <w:qFormat/>
    <w:uiPriority w:val="0"/>
    <w:pPr>
      <w:widowControl/>
      <w:autoSpaceDE/>
      <w:autoSpaceDN/>
      <w:adjustRightInd/>
      <w:spacing w:after="120"/>
      <w:ind w:right="0" w:firstLine="420" w:firstLineChars="100"/>
      <w:jc w:val="left"/>
    </w:pPr>
    <w:rPr>
      <w:rFonts w:ascii="Times New Roman"/>
      <w:b w:val="0"/>
      <w:bCs w:val="0"/>
      <w:kern w:val="0"/>
      <w:sz w:val="21"/>
      <w:szCs w:val="20"/>
      <w:lang w:val="en-US"/>
    </w:rPr>
  </w:style>
  <w:style w:type="paragraph" w:styleId="4">
    <w:name w:val="toc 6"/>
    <w:basedOn w:val="1"/>
    <w:next w:val="1"/>
    <w:qFormat/>
    <w:uiPriority w:val="0"/>
    <w:pPr>
      <w:ind w:left="1200"/>
    </w:pPr>
    <w:rPr>
      <w:rFonts w:ascii="Calibri" w:cs="Calibri"/>
      <w:sz w:val="18"/>
      <w:szCs w:val="18"/>
    </w:rPr>
  </w:style>
  <w:style w:type="paragraph" w:styleId="8">
    <w:name w:val="Normal Indent"/>
    <w:basedOn w:val="1"/>
    <w:link w:val="76"/>
    <w:qFormat/>
    <w:uiPriority w:val="0"/>
    <w:pPr>
      <w:widowControl/>
      <w:autoSpaceDE/>
      <w:autoSpaceDN/>
      <w:adjustRightInd/>
      <w:ind w:firstLine="420" w:firstLineChars="200"/>
    </w:pPr>
    <w:rPr>
      <w:rFonts w:ascii="Calibri"/>
      <w:sz w:val="20"/>
      <w:szCs w:val="20"/>
    </w:rPr>
  </w:style>
  <w:style w:type="paragraph" w:styleId="15">
    <w:name w:val="toc 7"/>
    <w:basedOn w:val="1"/>
    <w:next w:val="1"/>
    <w:qFormat/>
    <w:uiPriority w:val="0"/>
    <w:pPr>
      <w:ind w:left="1440"/>
    </w:pPr>
    <w:rPr>
      <w:rFonts w:ascii="Calibri" w:cs="Calibri"/>
      <w:sz w:val="18"/>
      <w:szCs w:val="18"/>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List Bullet"/>
    <w:basedOn w:val="18"/>
    <w:qFormat/>
    <w:uiPriority w:val="0"/>
    <w:pPr>
      <w:widowControl/>
      <w:numPr>
        <w:ilvl w:val="0"/>
        <w:numId w:val="1"/>
      </w:numPr>
      <w:tabs>
        <w:tab w:val="left" w:pos="420"/>
      </w:tabs>
      <w:adjustRightInd/>
      <w:snapToGrid/>
      <w:ind w:right="720"/>
    </w:pPr>
    <w:rPr>
      <w:rFonts w:ascii="Garamond" w:hAnsi="Garamond"/>
      <w:kern w:val="0"/>
      <w:sz w:val="24"/>
      <w:szCs w:val="20"/>
    </w:rPr>
  </w:style>
  <w:style w:type="paragraph" w:styleId="18">
    <w:name w:val="List"/>
    <w:basedOn w:val="1"/>
    <w:qFormat/>
    <w:uiPriority w:val="0"/>
    <w:pPr>
      <w:numPr>
        <w:ilvl w:val="0"/>
        <w:numId w:val="2"/>
      </w:numPr>
      <w:autoSpaceDE/>
      <w:autoSpaceDN/>
      <w:snapToGrid w:val="0"/>
      <w:spacing w:line="300" w:lineRule="auto"/>
      <w:jc w:val="both"/>
    </w:pPr>
    <w:rPr>
      <w:rFonts w:ascii="Times New Roman"/>
      <w:kern w:val="2"/>
      <w:sz w:val="21"/>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napToGrid w:val="0"/>
      <w:spacing w:before="120" w:line="360" w:lineRule="auto"/>
      <w:jc w:val="both"/>
    </w:pPr>
    <w:rPr>
      <w:rFonts w:ascii="Arial" w:hAnsi="Arial"/>
      <w:snapToGrid w:val="0"/>
      <w:color w:val="000000"/>
      <w:sz w:val="21"/>
      <w:szCs w:val="20"/>
    </w:rPr>
  </w:style>
  <w:style w:type="paragraph" w:styleId="21">
    <w:name w:val="annotation text"/>
    <w:basedOn w:val="1"/>
    <w:link w:val="183"/>
    <w:qFormat/>
    <w:uiPriority w:val="0"/>
    <w:pPr>
      <w:widowControl/>
      <w:autoSpaceDE/>
      <w:autoSpaceDN/>
      <w:adjustRightInd/>
    </w:pPr>
    <w:rPr>
      <w:rFonts w:ascii="Times New Roman"/>
      <w:sz w:val="21"/>
      <w:szCs w:val="20"/>
    </w:rPr>
  </w:style>
  <w:style w:type="paragraph" w:styleId="22">
    <w:name w:val="Body Text 3"/>
    <w:basedOn w:val="1"/>
    <w:qFormat/>
    <w:uiPriority w:val="0"/>
    <w:pPr>
      <w:ind w:right="-26"/>
      <w:jc w:val="center"/>
    </w:pPr>
    <w:rPr>
      <w:b/>
      <w:bCs/>
      <w:color w:val="3366FF"/>
      <w:kern w:val="2"/>
      <w:sz w:val="52"/>
      <w:szCs w:val="52"/>
      <w:lang w:val="zh-CN"/>
    </w:rPr>
  </w:style>
  <w:style w:type="paragraph" w:styleId="23">
    <w:name w:val="Body Text Indent"/>
    <w:basedOn w:val="1"/>
    <w:qFormat/>
    <w:uiPriority w:val="0"/>
    <w:pPr>
      <w:autoSpaceDE/>
      <w:autoSpaceDN/>
      <w:adjustRightInd/>
      <w:ind w:left="567" w:leftChars="270"/>
      <w:jc w:val="both"/>
    </w:pPr>
    <w:rPr>
      <w:rFonts w:ascii="Times New Roman"/>
      <w:kern w:val="2"/>
      <w:sz w:val="21"/>
      <w:szCs w:val="20"/>
    </w:rPr>
  </w:style>
  <w:style w:type="paragraph" w:styleId="24">
    <w:name w:val="List Number 3"/>
    <w:basedOn w:val="1"/>
    <w:qFormat/>
    <w:uiPriority w:val="0"/>
    <w:pPr>
      <w:numPr>
        <w:ilvl w:val="0"/>
        <w:numId w:val="3"/>
      </w:numPr>
    </w:pPr>
  </w:style>
  <w:style w:type="paragraph" w:styleId="25">
    <w:name w:val="List 2"/>
    <w:basedOn w:val="1"/>
    <w:qFormat/>
    <w:uiPriority w:val="0"/>
    <w:pPr>
      <w:widowControl/>
      <w:autoSpaceDE/>
      <w:autoSpaceDN/>
      <w:adjustRightInd/>
      <w:ind w:left="100" w:leftChars="200" w:hanging="200" w:hangingChars="200"/>
    </w:pPr>
    <w:rPr>
      <w:rFonts w:ascii="Times New Roman"/>
      <w:sz w:val="21"/>
      <w:szCs w:val="20"/>
    </w:rPr>
  </w:style>
  <w:style w:type="paragraph" w:styleId="26">
    <w:name w:val="Block Text"/>
    <w:basedOn w:val="1"/>
    <w:qFormat/>
    <w:uiPriority w:val="0"/>
    <w:pPr>
      <w:spacing w:after="120"/>
      <w:ind w:left="1440" w:leftChars="700" w:right="1440" w:rightChars="700"/>
    </w:pPr>
  </w:style>
  <w:style w:type="paragraph" w:styleId="27">
    <w:name w:val="toc 5"/>
    <w:basedOn w:val="1"/>
    <w:next w:val="1"/>
    <w:qFormat/>
    <w:uiPriority w:val="0"/>
    <w:pPr>
      <w:ind w:left="960"/>
    </w:pPr>
    <w:rPr>
      <w:rFonts w:ascii="Calibri" w:cs="Calibri"/>
      <w:sz w:val="18"/>
      <w:szCs w:val="18"/>
    </w:rPr>
  </w:style>
  <w:style w:type="paragraph" w:styleId="28">
    <w:name w:val="toc 3"/>
    <w:basedOn w:val="1"/>
    <w:next w:val="1"/>
    <w:qFormat/>
    <w:uiPriority w:val="0"/>
    <w:pPr>
      <w:ind w:left="480"/>
    </w:pPr>
    <w:rPr>
      <w:rFonts w:ascii="Calibri" w:cs="Calibri"/>
      <w:i/>
      <w:iCs/>
      <w:sz w:val="20"/>
      <w:szCs w:val="20"/>
    </w:rPr>
  </w:style>
  <w:style w:type="paragraph" w:styleId="29">
    <w:name w:val="Plain Text"/>
    <w:basedOn w:val="1"/>
    <w:next w:val="1"/>
    <w:link w:val="77"/>
    <w:qFormat/>
    <w:uiPriority w:val="0"/>
    <w:pPr>
      <w:autoSpaceDE/>
      <w:autoSpaceDN/>
      <w:adjustRightInd/>
      <w:jc w:val="both"/>
    </w:pPr>
    <w:rPr>
      <w:rFonts w:hAnsi="Courier New"/>
      <w:kern w:val="2"/>
      <w:sz w:val="21"/>
      <w:szCs w:val="20"/>
    </w:rPr>
  </w:style>
  <w:style w:type="paragraph" w:styleId="30">
    <w:name w:val="toc 8"/>
    <w:basedOn w:val="1"/>
    <w:next w:val="1"/>
    <w:qFormat/>
    <w:uiPriority w:val="0"/>
    <w:pPr>
      <w:ind w:left="1680"/>
    </w:pPr>
    <w:rPr>
      <w:rFonts w:ascii="Calibri" w:cs="Calibri"/>
      <w:sz w:val="18"/>
      <w:szCs w:val="18"/>
    </w:rPr>
  </w:style>
  <w:style w:type="paragraph" w:styleId="31">
    <w:name w:val="Date"/>
    <w:basedOn w:val="1"/>
    <w:next w:val="1"/>
    <w:qFormat/>
    <w:uiPriority w:val="0"/>
    <w:pPr>
      <w:ind w:left="100" w:leftChars="2500"/>
    </w:pPr>
    <w:rPr>
      <w:b/>
      <w:bCs/>
      <w:kern w:val="2"/>
      <w:sz w:val="21"/>
      <w:szCs w:val="21"/>
      <w:lang w:val="zh-CN"/>
    </w:rPr>
  </w:style>
  <w:style w:type="paragraph" w:styleId="32">
    <w:name w:val="Body Text Indent 2"/>
    <w:basedOn w:val="1"/>
    <w:qFormat/>
    <w:uiPriority w:val="0"/>
    <w:pPr>
      <w:tabs>
        <w:tab w:val="left" w:pos="8640"/>
      </w:tabs>
      <w:autoSpaceDE/>
      <w:autoSpaceDN/>
      <w:adjustRightInd/>
      <w:ind w:left="1260"/>
      <w:jc w:val="both"/>
    </w:pPr>
    <w:rPr>
      <w:kern w:val="2"/>
      <w:sz w:val="21"/>
      <w:szCs w:val="20"/>
    </w:rPr>
  </w:style>
  <w:style w:type="paragraph" w:styleId="33">
    <w:name w:val="Balloon Text"/>
    <w:basedOn w:val="1"/>
    <w:qFormat/>
    <w:uiPriority w:val="0"/>
    <w:pPr>
      <w:autoSpaceDE/>
      <w:autoSpaceDN/>
      <w:adjustRightInd/>
      <w:jc w:val="both"/>
    </w:pPr>
    <w:rPr>
      <w:rFonts w:ascii="Times New Roman"/>
      <w:kern w:val="2"/>
      <w:sz w:val="18"/>
      <w:szCs w:val="18"/>
    </w:rPr>
  </w:style>
  <w:style w:type="paragraph" w:styleId="34">
    <w:name w:val="footer"/>
    <w:basedOn w:val="1"/>
    <w:link w:val="90"/>
    <w:qFormat/>
    <w:uiPriority w:val="0"/>
    <w:pPr>
      <w:tabs>
        <w:tab w:val="center" w:pos="4153"/>
        <w:tab w:val="right" w:pos="8306"/>
      </w:tabs>
      <w:snapToGrid w:val="0"/>
    </w:pPr>
    <w:rPr>
      <w:rFonts w:hAnsi="Times New Roman"/>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120" w:after="120"/>
    </w:pPr>
    <w:rPr>
      <w:rFonts w:ascii="Calibri" w:cs="Calibri"/>
      <w:b/>
      <w:bCs/>
      <w:caps/>
      <w:sz w:val="20"/>
      <w:szCs w:val="20"/>
    </w:rPr>
  </w:style>
  <w:style w:type="paragraph" w:styleId="37">
    <w:name w:val="toc 4"/>
    <w:basedOn w:val="1"/>
    <w:next w:val="1"/>
    <w:qFormat/>
    <w:uiPriority w:val="0"/>
    <w:pPr>
      <w:ind w:left="720"/>
    </w:pPr>
    <w:rPr>
      <w:rFonts w:ascii="Calibri" w:cs="Calibri"/>
      <w:sz w:val="18"/>
      <w:szCs w:val="18"/>
    </w:rPr>
  </w:style>
  <w:style w:type="paragraph" w:styleId="38">
    <w:name w:val="index heading"/>
    <w:basedOn w:val="1"/>
    <w:next w:val="39"/>
    <w:qFormat/>
    <w:uiPriority w:val="0"/>
    <w:pPr>
      <w:autoSpaceDE/>
      <w:autoSpaceDN/>
      <w:adjustRightInd/>
      <w:jc w:val="both"/>
    </w:pPr>
    <w:rPr>
      <w:rFonts w:ascii="Times New Roman"/>
      <w:kern w:val="2"/>
      <w:sz w:val="21"/>
      <w:szCs w:val="20"/>
    </w:rPr>
  </w:style>
  <w:style w:type="paragraph" w:styleId="39">
    <w:name w:val="index 1"/>
    <w:basedOn w:val="1"/>
    <w:next w:val="1"/>
    <w:qFormat/>
    <w:uiPriority w:val="0"/>
    <w:pPr>
      <w:autoSpaceDE/>
      <w:autoSpaceDN/>
      <w:adjustRightInd/>
      <w:ind w:left="540" w:leftChars="257"/>
      <w:jc w:val="both"/>
    </w:pPr>
    <w:rPr>
      <w:rFonts w:ascii="Arial" w:hAnsi="Arial" w:cs="Arial"/>
      <w:kern w:val="2"/>
      <w:sz w:val="21"/>
    </w:rPr>
  </w:style>
  <w:style w:type="paragraph" w:styleId="40">
    <w:name w:val="Subtitle"/>
    <w:basedOn w:val="1"/>
    <w:link w:val="89"/>
    <w:qFormat/>
    <w:uiPriority w:val="0"/>
    <w:pPr>
      <w:autoSpaceDE/>
      <w:autoSpaceDN/>
      <w:adjustRightInd/>
      <w:spacing w:before="240" w:after="60" w:line="312" w:lineRule="auto"/>
      <w:jc w:val="center"/>
      <w:outlineLvl w:val="1"/>
    </w:pPr>
    <w:rPr>
      <w:rFonts w:ascii="Arial" w:hAnsi="Arial"/>
      <w:b/>
      <w:kern w:val="28"/>
      <w:sz w:val="32"/>
      <w:szCs w:val="20"/>
    </w:rPr>
  </w:style>
  <w:style w:type="paragraph" w:styleId="41">
    <w:name w:val="Body Text Indent 3"/>
    <w:basedOn w:val="1"/>
    <w:qFormat/>
    <w:uiPriority w:val="0"/>
    <w:pPr>
      <w:spacing w:line="360" w:lineRule="auto"/>
      <w:ind w:firstLine="480" w:firstLineChars="200"/>
    </w:pPr>
  </w:style>
  <w:style w:type="paragraph" w:styleId="42">
    <w:name w:val="toc 2"/>
    <w:basedOn w:val="1"/>
    <w:next w:val="1"/>
    <w:qFormat/>
    <w:uiPriority w:val="0"/>
    <w:pPr>
      <w:ind w:left="240"/>
    </w:pPr>
    <w:rPr>
      <w:rFonts w:ascii="Calibri" w:cs="Calibri"/>
      <w:smallCaps/>
      <w:sz w:val="20"/>
      <w:szCs w:val="20"/>
    </w:rPr>
  </w:style>
  <w:style w:type="paragraph" w:styleId="43">
    <w:name w:val="toc 9"/>
    <w:basedOn w:val="1"/>
    <w:next w:val="1"/>
    <w:qFormat/>
    <w:uiPriority w:val="0"/>
    <w:pPr>
      <w:ind w:left="1920"/>
    </w:pPr>
    <w:rPr>
      <w:rFonts w:ascii="Calibri" w:cs="Calibri"/>
      <w:sz w:val="18"/>
      <w:szCs w:val="18"/>
    </w:rPr>
  </w:style>
  <w:style w:type="paragraph" w:styleId="44">
    <w:name w:val="Body Text 2"/>
    <w:basedOn w:val="1"/>
    <w:qFormat/>
    <w:uiPriority w:val="0"/>
    <w:pPr>
      <w:tabs>
        <w:tab w:val="left" w:pos="0"/>
      </w:tabs>
      <w:autoSpaceDE/>
      <w:autoSpaceDN/>
      <w:adjustRightInd/>
      <w:spacing w:line="400" w:lineRule="atLeast"/>
      <w:jc w:val="both"/>
    </w:pPr>
    <w:rPr>
      <w:rFonts w:ascii="Arial" w:hAnsi="Arial"/>
      <w:color w:val="000000"/>
      <w:kern w:val="2"/>
      <w:sz w:val="21"/>
    </w:rPr>
  </w:style>
  <w:style w:type="paragraph" w:styleId="45">
    <w:name w:val="List 4"/>
    <w:basedOn w:val="1"/>
    <w:qFormat/>
    <w:uiPriority w:val="0"/>
    <w:pPr>
      <w:tabs>
        <w:tab w:val="left" w:pos="750"/>
      </w:tabs>
      <w:autoSpaceDE/>
      <w:autoSpaceDN/>
      <w:adjustRightInd/>
      <w:ind w:left="750" w:hanging="750"/>
      <w:jc w:val="both"/>
    </w:pPr>
    <w:rPr>
      <w:rFonts w:ascii="Times New Roman" w:hAnsi="Times New Roman" w:cs="Times New Roman"/>
      <w:b/>
      <w:kern w:val="2"/>
      <w:sz w:val="21"/>
      <w:szCs w:val="20"/>
    </w:rPr>
  </w:style>
  <w:style w:type="paragraph" w:styleId="4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80" w:lineRule="exact"/>
    </w:pPr>
    <w:rPr>
      <w:rFonts w:ascii="Arial" w:hAnsi="Arial" w:cs="Arial"/>
      <w:sz w:val="21"/>
      <w:szCs w:val="21"/>
    </w:rPr>
  </w:style>
  <w:style w:type="paragraph" w:styleId="47">
    <w:name w:val="Normal (Web)"/>
    <w:basedOn w:val="1"/>
    <w:qFormat/>
    <w:uiPriority w:val="0"/>
    <w:pPr>
      <w:widowControl/>
      <w:autoSpaceDE/>
      <w:autoSpaceDN/>
      <w:adjustRightInd/>
      <w:spacing w:before="100" w:beforeAutospacing="1" w:after="100" w:afterAutospacing="1"/>
    </w:pPr>
    <w:rPr>
      <w:rFonts w:hAnsi="宋体"/>
      <w:sz w:val="15"/>
      <w:szCs w:val="15"/>
    </w:rPr>
  </w:style>
  <w:style w:type="paragraph" w:styleId="48">
    <w:name w:val="Title"/>
    <w:basedOn w:val="1"/>
    <w:next w:val="1"/>
    <w:qFormat/>
    <w:uiPriority w:val="0"/>
    <w:pPr>
      <w:numPr>
        <w:ilvl w:val="0"/>
        <w:numId w:val="4"/>
      </w:numPr>
      <w:tabs>
        <w:tab w:val="clear" w:pos="2121"/>
      </w:tabs>
      <w:autoSpaceDE/>
      <w:autoSpaceDN/>
      <w:snapToGrid w:val="0"/>
      <w:spacing w:beforeLines="50" w:afterLines="50"/>
      <w:ind w:left="0" w:firstLine="0"/>
      <w:jc w:val="center"/>
      <w:outlineLvl w:val="0"/>
    </w:pPr>
    <w:rPr>
      <w:rFonts w:ascii="Arial" w:hAnsi="Arial" w:cs="Arial"/>
      <w:b/>
      <w:bCs/>
      <w:kern w:val="2"/>
      <w:sz w:val="52"/>
      <w:szCs w:val="32"/>
    </w:rPr>
  </w:style>
  <w:style w:type="paragraph" w:styleId="49">
    <w:name w:val="annotation subject"/>
    <w:basedOn w:val="21"/>
    <w:next w:val="21"/>
    <w:qFormat/>
    <w:uiPriority w:val="0"/>
    <w:rPr>
      <w:b/>
      <w:bCs/>
    </w:rPr>
  </w:style>
  <w:style w:type="paragraph" w:styleId="50">
    <w:name w:val="Body Text First Indent 2"/>
    <w:basedOn w:val="23"/>
    <w:semiHidden/>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333333"/>
      <w:u w:val="none"/>
    </w:rPr>
  </w:style>
  <w:style w:type="character" w:styleId="57">
    <w:name w:val="Emphasis"/>
    <w:qFormat/>
    <w:uiPriority w:val="0"/>
    <w:rPr>
      <w:i/>
      <w:iCs/>
    </w:rPr>
  </w:style>
  <w:style w:type="character" w:styleId="58">
    <w:name w:val="Hyperlink"/>
    <w:qFormat/>
    <w:uiPriority w:val="0"/>
    <w:rPr>
      <w:color w:val="333333"/>
      <w:u w:val="none"/>
    </w:rPr>
  </w:style>
  <w:style w:type="character" w:styleId="59">
    <w:name w:val="annotation reference"/>
    <w:basedOn w:val="53"/>
    <w:qFormat/>
    <w:uiPriority w:val="0"/>
    <w:rPr>
      <w:sz w:val="21"/>
      <w:szCs w:val="21"/>
    </w:rPr>
  </w:style>
  <w:style w:type="paragraph" w:customStyle="1" w:styleId="6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1">
    <w:name w:val="首行缩进"/>
    <w:basedOn w:val="1"/>
    <w:qFormat/>
    <w:uiPriority w:val="0"/>
    <w:pPr>
      <w:ind w:firstLine="480" w:firstLineChars="200"/>
    </w:pPr>
    <w:rPr>
      <w:lang w:val="zh-CN"/>
    </w:rPr>
  </w:style>
  <w:style w:type="paragraph" w:customStyle="1" w:styleId="62">
    <w:name w:val="表格文字"/>
    <w:basedOn w:val="1"/>
    <w:qFormat/>
    <w:uiPriority w:val="0"/>
    <w:pPr>
      <w:autoSpaceDE/>
      <w:autoSpaceDN/>
      <w:adjustRightInd/>
      <w:spacing w:before="25" w:after="25"/>
    </w:pPr>
    <w:rPr>
      <w:rFonts w:ascii="Times New Roman"/>
      <w:bCs/>
      <w:spacing w:val="10"/>
      <w:szCs w:val="20"/>
    </w:rPr>
  </w:style>
  <w:style w:type="character" w:customStyle="1" w:styleId="63">
    <w:name w:val="s1"/>
    <w:qFormat/>
    <w:uiPriority w:val="0"/>
    <w:rPr>
      <w:rFonts w:ascii="Helvetica" w:hAnsi="Helvetica" w:eastAsia="Helvetica" w:cs="Helvetica"/>
      <w:sz w:val="24"/>
      <w:szCs w:val="24"/>
    </w:rPr>
  </w:style>
  <w:style w:type="character" w:customStyle="1" w:styleId="64">
    <w:name w:val="keyfeatures1"/>
    <w:qFormat/>
    <w:uiPriority w:val="0"/>
    <w:rPr>
      <w:rFonts w:hint="default" w:ascii="Arial" w:hAnsi="Arial" w:cs="Arial"/>
      <w:color w:val="003366"/>
      <w:sz w:val="17"/>
      <w:szCs w:val="17"/>
      <w:u w:val="none"/>
    </w:rPr>
  </w:style>
  <w:style w:type="character" w:customStyle="1" w:styleId="65">
    <w:name w:val="小 Char"/>
    <w:qFormat/>
    <w:uiPriority w:val="0"/>
    <w:rPr>
      <w:rFonts w:ascii="宋体" w:hAnsi="Courier New" w:eastAsia="宋体" w:cs="Times New Roman"/>
      <w:kern w:val="2"/>
      <w:sz w:val="21"/>
      <w:lang w:val="en-US" w:eastAsia="zh-CN" w:bidi="ar-SA"/>
    </w:rPr>
  </w:style>
  <w:style w:type="character" w:customStyle="1" w:styleId="66">
    <w:name w:val="纯文本 Char Char"/>
    <w:qFormat/>
    <w:uiPriority w:val="0"/>
    <w:rPr>
      <w:rFonts w:ascii="宋体" w:hAnsi="Courier New" w:eastAsia="宋体"/>
      <w:kern w:val="2"/>
      <w:sz w:val="21"/>
      <w:lang w:val="en-US" w:eastAsia="zh-CN" w:bidi="ar-SA"/>
    </w:rPr>
  </w:style>
  <w:style w:type="character" w:customStyle="1" w:styleId="67">
    <w:name w:val="meuncn1"/>
    <w:qFormat/>
    <w:uiPriority w:val="0"/>
    <w:rPr>
      <w:rFonts w:hint="eastAsia" w:ascii="宋体" w:hAnsi="宋体" w:eastAsia="宋体"/>
      <w:color w:val="666666"/>
      <w:sz w:val="18"/>
      <w:u w:val="none"/>
    </w:rPr>
  </w:style>
  <w:style w:type="character" w:customStyle="1" w:styleId="68">
    <w:name w:val="标题 3.1 Char Char"/>
    <w:link w:val="69"/>
    <w:qFormat/>
    <w:uiPriority w:val="0"/>
    <w:rPr>
      <w:rFonts w:ascii="宋体" w:hAnsi="宋体"/>
      <w:b/>
      <w:bCs/>
      <w:kern w:val="2"/>
      <w:sz w:val="32"/>
      <w:szCs w:val="32"/>
    </w:rPr>
  </w:style>
  <w:style w:type="paragraph" w:customStyle="1" w:styleId="69">
    <w:name w:val="标题 3.1"/>
    <w:basedOn w:val="7"/>
    <w:link w:val="68"/>
    <w:qFormat/>
    <w:uiPriority w:val="0"/>
    <w:pPr>
      <w:keepNext/>
      <w:keepLines/>
      <w:tabs>
        <w:tab w:val="left" w:pos="1440"/>
        <w:tab w:val="left" w:pos="1620"/>
      </w:tabs>
      <w:autoSpaceDE/>
      <w:autoSpaceDN/>
      <w:adjustRightInd/>
      <w:spacing w:before="260" w:after="260" w:line="600" w:lineRule="exact"/>
      <w:jc w:val="both"/>
    </w:pPr>
    <w:rPr>
      <w:rFonts w:hAnsi="宋体"/>
      <w:b/>
      <w:bCs/>
      <w:kern w:val="2"/>
      <w:sz w:val="32"/>
      <w:szCs w:val="32"/>
    </w:rPr>
  </w:style>
  <w:style w:type="character" w:customStyle="1" w:styleId="70">
    <w:name w:val="标题 1 字符"/>
    <w:link w:val="5"/>
    <w:qFormat/>
    <w:uiPriority w:val="0"/>
  </w:style>
  <w:style w:type="character" w:customStyle="1" w:styleId="71">
    <w:name w:val="HTML Markup"/>
    <w:qFormat/>
    <w:uiPriority w:val="0"/>
    <w:rPr>
      <w:rFonts w:ascii="Times New Roman" w:hAnsi="Times New Roman" w:eastAsia="宋体" w:cs="Times New Roman"/>
      <w:vanish/>
      <w:color w:val="FF0000"/>
    </w:rPr>
  </w:style>
  <w:style w:type="character" w:customStyle="1" w:styleId="72">
    <w:name w:val="页脚 Char Char"/>
    <w:qFormat/>
    <w:uiPriority w:val="0"/>
    <w:rPr>
      <w:rFonts w:ascii="宋体"/>
      <w:sz w:val="18"/>
      <w:szCs w:val="18"/>
    </w:rPr>
  </w:style>
  <w:style w:type="character" w:customStyle="1" w:styleId="73">
    <w:name w:val="p105"/>
    <w:basedOn w:val="53"/>
    <w:qFormat/>
    <w:uiPriority w:val="0"/>
  </w:style>
  <w:style w:type="character" w:customStyle="1" w:styleId="74">
    <w:name w:val="正文缩进2格 Char Char"/>
    <w:link w:val="75"/>
    <w:qFormat/>
    <w:uiPriority w:val="0"/>
    <w:rPr>
      <w:rFonts w:ascii="仿宋_GB2312" w:hAnsi="宋体" w:eastAsia="仿宋_GB2312"/>
      <w:kern w:val="2"/>
      <w:sz w:val="31"/>
      <w:szCs w:val="28"/>
      <w:lang w:val="en-US" w:eastAsia="zh-CN" w:bidi="ar-SA"/>
    </w:rPr>
  </w:style>
  <w:style w:type="paragraph" w:customStyle="1" w:styleId="75">
    <w:name w:val="正文缩进2格"/>
    <w:basedOn w:val="1"/>
    <w:next w:val="1"/>
    <w:link w:val="74"/>
    <w:qFormat/>
    <w:uiPriority w:val="0"/>
    <w:pPr>
      <w:autoSpaceDE/>
      <w:autoSpaceDN/>
      <w:adjustRightInd/>
      <w:spacing w:line="600" w:lineRule="exact"/>
      <w:ind w:firstLine="639" w:firstLineChars="206"/>
      <w:jc w:val="both"/>
    </w:pPr>
    <w:rPr>
      <w:rFonts w:ascii="仿宋_GB2312" w:hAnsi="宋体" w:eastAsia="仿宋_GB2312"/>
      <w:kern w:val="2"/>
      <w:sz w:val="31"/>
      <w:szCs w:val="28"/>
    </w:rPr>
  </w:style>
  <w:style w:type="character" w:customStyle="1" w:styleId="76">
    <w:name w:val="正文缩进 字符"/>
    <w:link w:val="8"/>
    <w:qFormat/>
    <w:uiPriority w:val="0"/>
    <w:rPr>
      <w:rFonts w:eastAsia="宋体"/>
      <w:lang w:val="en-US" w:eastAsia="zh-CN" w:bidi="ar-SA"/>
    </w:rPr>
  </w:style>
  <w:style w:type="character" w:customStyle="1" w:styleId="77">
    <w:name w:val="纯文本 字符"/>
    <w:link w:val="29"/>
    <w:qFormat/>
    <w:uiPriority w:val="0"/>
    <w:rPr>
      <w:rFonts w:ascii="宋体" w:hAnsi="Courier New" w:eastAsia="宋体" w:cs="Times New Roman"/>
      <w:kern w:val="2"/>
      <w:sz w:val="21"/>
      <w:lang w:val="en-US" w:eastAsia="zh-CN" w:bidi="ar-SA"/>
    </w:rPr>
  </w:style>
  <w:style w:type="character" w:customStyle="1" w:styleId="78">
    <w:name w:val="font01"/>
    <w:qFormat/>
    <w:uiPriority w:val="0"/>
    <w:rPr>
      <w:rFonts w:hint="eastAsia" w:ascii="宋体" w:hAnsi="宋体" w:eastAsia="宋体" w:cs="宋体"/>
      <w:color w:val="000000"/>
      <w:sz w:val="24"/>
      <w:szCs w:val="24"/>
      <w:u w:val="none"/>
    </w:rPr>
  </w:style>
  <w:style w:type="character" w:customStyle="1" w:styleId="79">
    <w:name w:val="wctjfont1"/>
    <w:qFormat/>
    <w:uiPriority w:val="0"/>
    <w:rPr>
      <w:sz w:val="18"/>
    </w:rPr>
  </w:style>
  <w:style w:type="character" w:customStyle="1" w:styleId="80">
    <w:name w:val="bold1"/>
    <w:qFormat/>
    <w:uiPriority w:val="0"/>
    <w:rPr>
      <w:sz w:val="32"/>
    </w:rPr>
  </w:style>
  <w:style w:type="character" w:customStyle="1" w:styleId="81">
    <w:name w:val="正文文本 字符"/>
    <w:link w:val="2"/>
    <w:qFormat/>
    <w:uiPriority w:val="0"/>
    <w:rPr>
      <w:rFonts w:ascii="宋体" w:hAnsi="Times New Roman" w:eastAsia="宋体" w:cs="Times New Roman"/>
      <w:b/>
      <w:bCs/>
      <w:kern w:val="2"/>
      <w:sz w:val="84"/>
      <w:szCs w:val="84"/>
      <w:lang w:val="zh-CN" w:eastAsia="zh-CN" w:bidi="ar-SA"/>
    </w:rPr>
  </w:style>
  <w:style w:type="character" w:customStyle="1" w:styleId="82">
    <w:name w:val="DAS正文 Char Char"/>
    <w:qFormat/>
    <w:uiPriority w:val="0"/>
    <w:rPr>
      <w:rFonts w:ascii="Verdana" w:hAnsi="Verdana" w:eastAsia="宋体"/>
      <w:kern w:val="2"/>
      <w:sz w:val="21"/>
      <w:szCs w:val="21"/>
      <w:lang w:val="en-US" w:eastAsia="zh-CN" w:bidi="ar-SA"/>
    </w:rPr>
  </w:style>
  <w:style w:type="character" w:customStyle="1" w:styleId="83">
    <w:name w:val="Highlighted Variable"/>
    <w:qFormat/>
    <w:uiPriority w:val="0"/>
    <w:rPr>
      <w:color w:val="000000"/>
    </w:rPr>
  </w:style>
  <w:style w:type="character" w:customStyle="1" w:styleId="84">
    <w:name w:val="neir1"/>
    <w:qFormat/>
    <w:uiPriority w:val="0"/>
    <w:rPr>
      <w:rFonts w:hint="default" w:ascii="ˎ̥" w:hAnsi="ˎ̥" w:eastAsia="宋体" w:cs="Times New Roman"/>
      <w:color w:val="333333"/>
      <w:sz w:val="21"/>
      <w:szCs w:val="21"/>
      <w:u w:val="none"/>
    </w:rPr>
  </w:style>
  <w:style w:type="character" w:customStyle="1" w:styleId="85">
    <w:name w:val="style61"/>
    <w:qFormat/>
    <w:uiPriority w:val="0"/>
    <w:rPr>
      <w:b/>
      <w:bCs/>
    </w:rPr>
  </w:style>
  <w:style w:type="character" w:customStyle="1" w:styleId="86">
    <w:name w:val="页眉 字符"/>
    <w:link w:val="35"/>
    <w:qFormat/>
    <w:uiPriority w:val="0"/>
    <w:rPr>
      <w:rFonts w:ascii="宋体"/>
      <w:sz w:val="18"/>
      <w:szCs w:val="18"/>
    </w:rPr>
  </w:style>
  <w:style w:type="character" w:customStyle="1" w:styleId="87">
    <w:name w:val="HTML 预设格式 字符"/>
    <w:link w:val="46"/>
    <w:qFormat/>
    <w:uiPriority w:val="0"/>
    <w:rPr>
      <w:rFonts w:ascii="Arial" w:hAnsi="Arial" w:eastAsia="宋体" w:cs="Arial"/>
      <w:sz w:val="21"/>
      <w:szCs w:val="21"/>
      <w:lang w:val="en-US" w:eastAsia="zh-CN" w:bidi="ar-SA"/>
    </w:rPr>
  </w:style>
  <w:style w:type="character" w:customStyle="1" w:styleId="88">
    <w:name w:val="f141"/>
    <w:qFormat/>
    <w:uiPriority w:val="0"/>
    <w:rPr>
      <w:sz w:val="21"/>
      <w:szCs w:val="21"/>
    </w:rPr>
  </w:style>
  <w:style w:type="character" w:customStyle="1" w:styleId="89">
    <w:name w:val="副标题 字符"/>
    <w:link w:val="40"/>
    <w:qFormat/>
    <w:uiPriority w:val="0"/>
    <w:rPr>
      <w:rFonts w:ascii="Arial" w:hAnsi="Arial"/>
      <w:b/>
      <w:kern w:val="28"/>
      <w:sz w:val="32"/>
    </w:rPr>
  </w:style>
  <w:style w:type="character" w:customStyle="1" w:styleId="90">
    <w:name w:val="页脚 字符"/>
    <w:link w:val="34"/>
    <w:qFormat/>
    <w:uiPriority w:val="0"/>
    <w:rPr>
      <w:rFonts w:ascii="宋体" w:hAnsi="Times New Roman" w:eastAsia="宋体" w:cs="Times New Roman"/>
      <w:sz w:val="18"/>
      <w:szCs w:val="18"/>
      <w:lang w:val="en-US" w:eastAsia="zh-CN" w:bidi="ar-SA"/>
    </w:rPr>
  </w:style>
  <w:style w:type="paragraph" w:customStyle="1" w:styleId="91">
    <w:name w:val="技术响应2"/>
    <w:basedOn w:val="1"/>
    <w:qFormat/>
    <w:uiPriority w:val="0"/>
    <w:pPr>
      <w:numPr>
        <w:ilvl w:val="0"/>
        <w:numId w:val="5"/>
      </w:numPr>
      <w:autoSpaceDE/>
      <w:autoSpaceDN/>
      <w:adjustRightInd/>
      <w:jc w:val="both"/>
    </w:pPr>
    <w:rPr>
      <w:rFonts w:hAnsi="宋体"/>
      <w:b/>
      <w:bCs/>
      <w:kern w:val="2"/>
      <w:sz w:val="21"/>
      <w:szCs w:val="20"/>
    </w:rPr>
  </w:style>
  <w:style w:type="paragraph" w:customStyle="1" w:styleId="92">
    <w:name w:val="Bullet"/>
    <w:basedOn w:val="1"/>
    <w:qFormat/>
    <w:uiPriority w:val="0"/>
    <w:pPr>
      <w:numPr>
        <w:ilvl w:val="0"/>
        <w:numId w:val="6"/>
      </w:numPr>
      <w:autoSpaceDE/>
      <w:autoSpaceDN/>
      <w:adjustRightInd/>
      <w:spacing w:line="360" w:lineRule="exact"/>
      <w:jc w:val="both"/>
    </w:pPr>
    <w:rPr>
      <w:rFonts w:ascii="Times New Roman"/>
      <w:kern w:val="2"/>
      <w:szCs w:val="20"/>
    </w:rPr>
  </w:style>
  <w:style w:type="paragraph" w:customStyle="1" w:styleId="93">
    <w:name w:val="普通 (Web)"/>
    <w:basedOn w:val="1"/>
    <w:qFormat/>
    <w:uiPriority w:val="0"/>
    <w:pPr>
      <w:widowControl/>
      <w:autoSpaceDE/>
      <w:autoSpaceDN/>
      <w:adjustRightInd/>
      <w:spacing w:before="100" w:beforeAutospacing="1" w:after="100" w:afterAutospacing="1"/>
    </w:pPr>
    <w:rPr>
      <w:rFonts w:hAnsi="宋体"/>
    </w:rPr>
  </w:style>
  <w:style w:type="paragraph" w:customStyle="1" w:styleId="94">
    <w:name w:val="正文楷 Char"/>
    <w:basedOn w:val="1"/>
    <w:qFormat/>
    <w:uiPriority w:val="0"/>
    <w:pPr>
      <w:autoSpaceDE/>
      <w:autoSpaceDN/>
      <w:adjustRightInd/>
      <w:spacing w:line="500" w:lineRule="exact"/>
      <w:ind w:firstLine="560" w:firstLineChars="200"/>
      <w:jc w:val="both"/>
    </w:pPr>
    <w:rPr>
      <w:rFonts w:ascii="楷体_GB2312" w:hAnsi="楷体_GB2312" w:eastAsia="楷体_GB2312"/>
      <w:kern w:val="2"/>
      <w:sz w:val="28"/>
      <w:szCs w:val="20"/>
    </w:rPr>
  </w:style>
  <w:style w:type="paragraph" w:customStyle="1" w:styleId="95">
    <w:name w:val="Char Char Char Char Char Char1 Char"/>
    <w:basedOn w:val="1"/>
    <w:qFormat/>
    <w:uiPriority w:val="0"/>
    <w:pPr>
      <w:widowControl/>
      <w:autoSpaceDE/>
      <w:autoSpaceDN/>
      <w:adjustRightInd/>
      <w:spacing w:after="160" w:line="240" w:lineRule="exact"/>
    </w:pPr>
    <w:rPr>
      <w:rFonts w:ascii="Arial" w:hAnsi="Arial" w:eastAsia="楷体_GB2312" w:cs="Verdana"/>
      <w:b/>
      <w:lang w:eastAsia="en-US"/>
    </w:rPr>
  </w:style>
  <w:style w:type="paragraph" w:customStyle="1" w:styleId="96">
    <w:name w:val="样式 我的标题 + 两端对齐"/>
    <w:basedOn w:val="5"/>
    <w:qFormat/>
    <w:uiPriority w:val="0"/>
    <w:pPr>
      <w:keepNext/>
      <w:keepLines/>
      <w:autoSpaceDE/>
      <w:autoSpaceDN/>
      <w:adjustRightInd/>
      <w:spacing w:before="340" w:after="330" w:line="578" w:lineRule="auto"/>
      <w:jc w:val="center"/>
    </w:pPr>
    <w:rPr>
      <w:rFonts w:ascii="Times New Roman"/>
      <w:b/>
      <w:bCs/>
      <w:kern w:val="44"/>
      <w:sz w:val="32"/>
      <w:szCs w:val="20"/>
    </w:rPr>
  </w:style>
  <w:style w:type="paragraph" w:customStyle="1" w:styleId="97">
    <w:name w:val="默认段落字体 Para Char"/>
    <w:basedOn w:val="1"/>
    <w:qFormat/>
    <w:uiPriority w:val="0"/>
    <w:pPr>
      <w:autoSpaceDE/>
      <w:autoSpaceDN/>
      <w:spacing w:line="360" w:lineRule="auto"/>
      <w:jc w:val="both"/>
    </w:pPr>
    <w:rPr>
      <w:rFonts w:ascii="Times New Roman"/>
      <w:szCs w:val="20"/>
    </w:rPr>
  </w:style>
  <w:style w:type="paragraph" w:customStyle="1" w:styleId="98">
    <w:name w:val="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99">
    <w:name w:val="TOC 标题1"/>
    <w:basedOn w:val="5"/>
    <w:next w:val="1"/>
    <w:qFormat/>
    <w:uiPriority w:val="0"/>
    <w:pPr>
      <w:keepNext/>
      <w:keepLines/>
      <w:widowControl/>
      <w:autoSpaceDE/>
      <w:autoSpaceDN/>
      <w:adjustRightInd/>
      <w:spacing w:before="480" w:line="276" w:lineRule="auto"/>
      <w:outlineLvl w:val="9"/>
    </w:pPr>
    <w:rPr>
      <w:rFonts w:ascii="Cambria" w:hAnsi="Cambria" w:cs="Times New Roman"/>
      <w:b/>
      <w:bCs/>
      <w:color w:val="365F91"/>
      <w:sz w:val="28"/>
      <w:szCs w:val="28"/>
    </w:rPr>
  </w:style>
  <w:style w:type="paragraph" w:customStyle="1" w:styleId="100">
    <w:name w:val="_Style 3"/>
    <w:basedOn w:val="1"/>
    <w:qFormat/>
    <w:uiPriority w:val="0"/>
    <w:pPr>
      <w:adjustRightInd/>
      <w:ind w:firstLine="420" w:firstLineChars="200"/>
      <w:jc w:val="both"/>
    </w:pPr>
    <w:rPr>
      <w:rFonts w:ascii="Times New Roman" w:hAnsi="Times New Roman" w:cs="Times New Roman"/>
      <w:kern w:val="2"/>
      <w:sz w:val="21"/>
    </w:rPr>
  </w:style>
  <w:style w:type="paragraph" w:customStyle="1" w:styleId="101">
    <w:name w:val="需求书2"/>
    <w:basedOn w:val="1"/>
    <w:qFormat/>
    <w:uiPriority w:val="0"/>
    <w:pPr>
      <w:autoSpaceDE/>
      <w:autoSpaceDN/>
      <w:adjustRightInd/>
      <w:jc w:val="both"/>
    </w:pPr>
    <w:rPr>
      <w:rFonts w:hAnsi="宋体"/>
      <w:spacing w:val="10"/>
      <w:kern w:val="2"/>
      <w:sz w:val="18"/>
      <w:szCs w:val="20"/>
    </w:rPr>
  </w:style>
  <w:style w:type="paragraph" w:customStyle="1" w:styleId="102">
    <w:name w:val="Char Char Char Char1"/>
    <w:basedOn w:val="6"/>
    <w:qFormat/>
    <w:uiPriority w:val="0"/>
    <w:pPr>
      <w:keepNext/>
      <w:keepLines/>
      <w:pageBreakBefore/>
      <w:widowControl/>
      <w:numPr>
        <w:ilvl w:val="1"/>
        <w:numId w:val="7"/>
      </w:numPr>
      <w:autoSpaceDE/>
      <w:autoSpaceDN/>
      <w:adjustRightInd/>
      <w:spacing w:before="180" w:after="160" w:line="240" w:lineRule="exact"/>
    </w:pPr>
    <w:rPr>
      <w:rFonts w:ascii="Verdana" w:hAnsi="Verdana" w:eastAsia="黑体"/>
      <w:bCs/>
      <w:sz w:val="32"/>
      <w:szCs w:val="32"/>
      <w:lang w:eastAsia="en-US"/>
    </w:rPr>
  </w:style>
  <w:style w:type="paragraph" w:customStyle="1" w:styleId="103">
    <w:name w:val="Char1"/>
    <w:basedOn w:val="19"/>
    <w:qFormat/>
    <w:uiPriority w:val="0"/>
    <w:pPr>
      <w:autoSpaceDE/>
      <w:autoSpaceDN/>
      <w:adjustRightInd/>
      <w:jc w:val="both"/>
    </w:pPr>
    <w:rPr>
      <w:rFonts w:ascii="Tahoma" w:hAnsi="Tahoma"/>
      <w:kern w:val="2"/>
    </w:rPr>
  </w:style>
  <w:style w:type="paragraph" w:customStyle="1" w:styleId="104">
    <w:name w:val="xl39"/>
    <w:basedOn w:val="1"/>
    <w:qFormat/>
    <w:uiPriority w:val="0"/>
    <w:pPr>
      <w:widowControl/>
      <w:autoSpaceDE/>
      <w:autoSpaceDN/>
      <w:adjustRightInd/>
      <w:spacing w:before="100" w:beforeAutospacing="1" w:after="100" w:afterAutospacing="1"/>
    </w:pPr>
    <w:rPr>
      <w:rFonts w:ascii="Arial Unicode MS" w:hAnsi="Arial Unicode MS" w:eastAsia="Arial Unicode MS"/>
      <w:sz w:val="20"/>
      <w:szCs w:val="20"/>
    </w:rPr>
  </w:style>
  <w:style w:type="paragraph" w:customStyle="1" w:styleId="105">
    <w:name w:val="Blockquote"/>
    <w:basedOn w:val="1"/>
    <w:qFormat/>
    <w:uiPriority w:val="0"/>
    <w:pPr>
      <w:spacing w:before="100" w:after="100"/>
      <w:ind w:left="360" w:right="360"/>
    </w:pPr>
    <w:rPr>
      <w:rFonts w:ascii="Times New Roman" w:hAnsi="Times New Roman" w:cs="Times New Roman"/>
      <w:szCs w:val="20"/>
    </w:rPr>
  </w:style>
  <w:style w:type="paragraph" w:customStyle="1" w:styleId="106">
    <w:name w:val="样式 标题 2 + Times New Roman 四号 非加粗 段前: 5 磅 段后: 0 磅 行距: 固定值 20..."/>
    <w:basedOn w:val="6"/>
    <w:qFormat/>
    <w:uiPriority w:val="0"/>
    <w:pPr>
      <w:spacing w:before="100" w:line="400" w:lineRule="exact"/>
    </w:pPr>
    <w:rPr>
      <w:rFonts w:ascii="Times New Roman" w:hAnsi="Times New Roman"/>
      <w:b w:val="0"/>
      <w:sz w:val="28"/>
      <w:szCs w:val="20"/>
    </w:rPr>
  </w:style>
  <w:style w:type="paragraph" w:customStyle="1" w:styleId="107">
    <w:name w:val="Char"/>
    <w:basedOn w:val="1"/>
    <w:qFormat/>
    <w:uiPriority w:val="0"/>
    <w:pPr>
      <w:widowControl/>
      <w:autoSpaceDE/>
      <w:autoSpaceDN/>
      <w:adjustRightInd/>
      <w:spacing w:line="400" w:lineRule="exact"/>
      <w:jc w:val="center"/>
    </w:pPr>
    <w:rPr>
      <w:rFonts w:ascii="Times New Roman"/>
      <w:sz w:val="21"/>
      <w:szCs w:val="20"/>
    </w:rPr>
  </w:style>
  <w:style w:type="paragraph" w:customStyle="1" w:styleId="108">
    <w:name w:val="技术响应1"/>
    <w:basedOn w:val="1"/>
    <w:qFormat/>
    <w:uiPriority w:val="0"/>
    <w:pPr>
      <w:widowControl/>
      <w:autoSpaceDE/>
      <w:autoSpaceDN/>
      <w:adjustRightInd/>
      <w:spacing w:line="360" w:lineRule="auto"/>
      <w:ind w:firstLine="588"/>
      <w:jc w:val="center"/>
    </w:pPr>
    <w:rPr>
      <w:b/>
      <w:sz w:val="28"/>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10">
    <w:name w:val="D标3"/>
    <w:basedOn w:val="7"/>
    <w:qFormat/>
    <w:uiPriority w:val="0"/>
    <w:pPr>
      <w:numPr>
        <w:ilvl w:val="0"/>
        <w:numId w:val="8"/>
      </w:numPr>
      <w:spacing w:before="120" w:line="480" w:lineRule="atLeast"/>
      <w:jc w:val="both"/>
    </w:pPr>
    <w:rPr>
      <w:rFonts w:ascii="Times New Roman" w:hAnsi="Times New Roman" w:cs="Times New Roman"/>
      <w:szCs w:val="20"/>
    </w:rPr>
  </w:style>
  <w:style w:type="paragraph" w:customStyle="1" w:styleId="111">
    <w:name w:val="xl3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宋体"/>
    </w:rPr>
  </w:style>
  <w:style w:type="paragraph" w:customStyle="1" w:styleId="112">
    <w:name w:val="_Style 202"/>
    <w:basedOn w:val="1"/>
    <w:qFormat/>
    <w:uiPriority w:val="0"/>
    <w:pPr>
      <w:tabs>
        <w:tab w:val="left" w:pos="360"/>
      </w:tabs>
      <w:autoSpaceDE/>
      <w:autoSpaceDN/>
      <w:adjustRightInd/>
      <w:jc w:val="both"/>
    </w:pPr>
    <w:rPr>
      <w:rFonts w:ascii="Times New Roman"/>
      <w:kern w:val="2"/>
      <w:sz w:val="21"/>
    </w:rPr>
  </w:style>
  <w:style w:type="paragraph" w:customStyle="1" w:styleId="113">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14">
    <w:name w:val="shall-正文"/>
    <w:basedOn w:val="1"/>
    <w:qFormat/>
    <w:uiPriority w:val="0"/>
    <w:pPr>
      <w:snapToGrid w:val="0"/>
      <w:spacing w:beforeLines="30" w:line="288" w:lineRule="auto"/>
      <w:ind w:firstLine="200" w:firstLineChars="200"/>
    </w:pPr>
    <w:rPr>
      <w:rFonts w:eastAsia="华文细黑"/>
    </w:rPr>
  </w:style>
  <w:style w:type="paragraph" w:customStyle="1" w:styleId="115">
    <w:name w:val="xl38"/>
    <w:basedOn w:val="1"/>
    <w:qFormat/>
    <w:uiPriority w:val="0"/>
    <w:pPr>
      <w:widowControl/>
      <w:pBdr>
        <w:bottom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b/>
      <w:sz w:val="36"/>
      <w:szCs w:val="20"/>
    </w:rPr>
  </w:style>
  <w:style w:type="paragraph" w:customStyle="1" w:styleId="116">
    <w:name w:val="p2"/>
    <w:basedOn w:val="1"/>
    <w:qFormat/>
    <w:uiPriority w:val="0"/>
    <w:rPr>
      <w:rFonts w:cs="Times New Roman"/>
    </w:rPr>
  </w:style>
  <w:style w:type="paragraph" w:customStyle="1" w:styleId="117">
    <w:name w:val="Char Char Char Char Char Char"/>
    <w:basedOn w:val="1"/>
    <w:qFormat/>
    <w:uiPriority w:val="0"/>
    <w:pPr>
      <w:widowControl/>
      <w:autoSpaceDE/>
      <w:autoSpaceDN/>
      <w:adjustRightInd/>
      <w:spacing w:after="160" w:line="240" w:lineRule="exact"/>
    </w:pPr>
    <w:rPr>
      <w:rFonts w:ascii="Times New Roman"/>
      <w:kern w:val="2"/>
      <w:lang w:eastAsia="en-US"/>
    </w:rPr>
  </w:style>
  <w:style w:type="paragraph" w:customStyle="1" w:styleId="118">
    <w:name w:val="标题4"/>
    <w:basedOn w:val="75"/>
    <w:qFormat/>
    <w:uiPriority w:val="0"/>
    <w:pPr>
      <w:spacing w:line="540" w:lineRule="exact"/>
      <w:ind w:firstLine="0" w:firstLineChars="0"/>
    </w:pPr>
    <w:rPr>
      <w:rFonts w:hAnsi="Times New Roman"/>
      <w:szCs w:val="24"/>
    </w:rPr>
  </w:style>
  <w:style w:type="paragraph" w:styleId="119">
    <w:name w:val="No Spacing"/>
    <w:qFormat/>
    <w:uiPriority w:val="0"/>
    <w:pPr>
      <w:widowControl w:val="0"/>
      <w:jc w:val="both"/>
    </w:pPr>
    <w:rPr>
      <w:rFonts w:ascii="Calibri" w:hAnsi="Calibri" w:eastAsia="宋体" w:cs="宋体"/>
      <w:kern w:val="2"/>
      <w:sz w:val="21"/>
      <w:szCs w:val="24"/>
      <w:lang w:val="en-US" w:eastAsia="zh-CN" w:bidi="ar-SA"/>
    </w:rPr>
  </w:style>
  <w:style w:type="paragraph" w:customStyle="1" w:styleId="12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21">
    <w:name w:val="列表正文"/>
    <w:basedOn w:val="1"/>
    <w:qFormat/>
    <w:uiPriority w:val="0"/>
    <w:pPr>
      <w:autoSpaceDE/>
      <w:autoSpaceDN/>
      <w:snapToGrid w:val="0"/>
      <w:spacing w:line="300" w:lineRule="auto"/>
      <w:ind w:left="200" w:leftChars="200" w:firstLine="200" w:firstLineChars="200"/>
      <w:jc w:val="both"/>
    </w:pPr>
    <w:rPr>
      <w:rFonts w:ascii="Times New Roman"/>
      <w:kern w:val="2"/>
      <w:sz w:val="21"/>
    </w:rPr>
  </w:style>
  <w:style w:type="paragraph" w:customStyle="1" w:styleId="122">
    <w:name w:val="Char Char2 Char"/>
    <w:basedOn w:val="1"/>
    <w:qFormat/>
    <w:uiPriority w:val="0"/>
    <w:pPr>
      <w:autoSpaceDE/>
      <w:autoSpaceDN/>
      <w:adjustRightInd/>
      <w:jc w:val="both"/>
    </w:pPr>
    <w:rPr>
      <w:rFonts w:hAnsi="宋体"/>
      <w:b/>
      <w:kern w:val="2"/>
      <w:sz w:val="28"/>
      <w:szCs w:val="28"/>
    </w:rPr>
  </w:style>
  <w:style w:type="paragraph" w:customStyle="1" w:styleId="123">
    <w:name w:val="版权"/>
    <w:basedOn w:val="1"/>
    <w:qFormat/>
    <w:uiPriority w:val="0"/>
    <w:pPr>
      <w:autoSpaceDE/>
      <w:autoSpaceDN/>
      <w:adjustRightInd/>
      <w:spacing w:before="312" w:after="312"/>
      <w:ind w:firstLine="480"/>
      <w:jc w:val="center"/>
      <w:outlineLvl w:val="0"/>
    </w:pPr>
    <w:rPr>
      <w:rFonts w:ascii="华文中宋" w:hAnsi="华文中宋"/>
      <w:b/>
      <w:kern w:val="2"/>
      <w:szCs w:val="20"/>
    </w:rPr>
  </w:style>
  <w:style w:type="paragraph" w:customStyle="1" w:styleId="124">
    <w:name w:val="LEGALB Cont 2"/>
    <w:basedOn w:val="1"/>
    <w:qFormat/>
    <w:uiPriority w:val="0"/>
    <w:pPr>
      <w:widowControl/>
      <w:tabs>
        <w:tab w:val="left" w:pos="720"/>
      </w:tabs>
      <w:spacing w:after="240"/>
      <w:ind w:left="720" w:leftChars="300"/>
    </w:pPr>
    <w:rPr>
      <w:rFonts w:ascii="Calibri" w:eastAsia="DFKai-SB" w:cs="Times New Roman"/>
      <w:lang w:eastAsia="en-US"/>
    </w:rPr>
  </w:style>
  <w:style w:type="paragraph" w:customStyle="1" w:styleId="125">
    <w:name w:val="表格栏头"/>
    <w:basedOn w:val="126"/>
    <w:next w:val="126"/>
    <w:qFormat/>
    <w:uiPriority w:val="0"/>
    <w:rPr>
      <w:b/>
    </w:rPr>
  </w:style>
  <w:style w:type="paragraph" w:customStyle="1" w:styleId="126">
    <w:name w:val="表格正文"/>
    <w:basedOn w:val="1"/>
    <w:qFormat/>
    <w:uiPriority w:val="0"/>
    <w:pPr>
      <w:widowControl/>
      <w:overflowPunct w:val="0"/>
      <w:spacing w:before="312" w:after="312" w:line="360" w:lineRule="auto"/>
      <w:textAlignment w:val="baseline"/>
    </w:pPr>
    <w:rPr>
      <w:rFonts w:hAnsi="Tahoma"/>
      <w:szCs w:val="20"/>
    </w:rPr>
  </w:style>
  <w:style w:type="paragraph" w:customStyle="1" w:styleId="127">
    <w:name w:val="正文列表"/>
    <w:basedOn w:val="1"/>
    <w:qFormat/>
    <w:uiPriority w:val="0"/>
    <w:pPr>
      <w:jc w:val="center"/>
      <w:textAlignment w:val="baseline"/>
    </w:pPr>
    <w:rPr>
      <w:rFonts w:hAnsi="宋体"/>
      <w:szCs w:val="20"/>
    </w:rPr>
  </w:style>
  <w:style w:type="paragraph" w:customStyle="1" w:styleId="128">
    <w:name w:val="图"/>
    <w:basedOn w:val="1"/>
    <w:qFormat/>
    <w:uiPriority w:val="0"/>
    <w:pPr>
      <w:keepNext/>
      <w:autoSpaceDE/>
      <w:autoSpaceDN/>
      <w:spacing w:before="60" w:after="60" w:line="300" w:lineRule="auto"/>
      <w:jc w:val="center"/>
      <w:textAlignment w:val="center"/>
    </w:pPr>
    <w:rPr>
      <w:rFonts w:ascii="Times New Roman"/>
      <w:snapToGrid w:val="0"/>
      <w:spacing w:val="20"/>
      <w:szCs w:val="20"/>
    </w:rPr>
  </w:style>
  <w:style w:type="paragraph" w:customStyle="1" w:styleId="129">
    <w:name w:val="题注4"/>
    <w:basedOn w:val="1"/>
    <w:next w:val="16"/>
    <w:qFormat/>
    <w:uiPriority w:val="0"/>
    <w:pPr>
      <w:autoSpaceDE/>
      <w:autoSpaceDN/>
      <w:adjustRightInd/>
      <w:ind w:left="-132" w:leftChars="-64" w:right="-105" w:rightChars="-50" w:hanging="2"/>
      <w:jc w:val="center"/>
    </w:pPr>
    <w:rPr>
      <w:rFonts w:ascii="Times New Roman"/>
      <w:b/>
      <w:color w:val="FF0000"/>
      <w:kern w:val="2"/>
      <w:sz w:val="21"/>
      <w:szCs w:val="21"/>
      <w:lang w:val="en-GB"/>
    </w:rPr>
  </w:style>
  <w:style w:type="paragraph" w:customStyle="1" w:styleId="130">
    <w:name w:val="题目副题"/>
    <w:basedOn w:val="40"/>
    <w:qFormat/>
    <w:uiPriority w:val="0"/>
    <w:pPr>
      <w:spacing w:before="0" w:after="312"/>
      <w:ind w:left="240" w:firstLine="600"/>
      <w:jc w:val="left"/>
      <w:outlineLvl w:val="9"/>
    </w:pPr>
    <w:rPr>
      <w:rFonts w:ascii="宋体" w:hAnsi="宋体"/>
      <w:sz w:val="30"/>
    </w:rPr>
  </w:style>
  <w:style w:type="paragraph" w:customStyle="1" w:styleId="131">
    <w:name w:val="列出段落1"/>
    <w:basedOn w:val="1"/>
    <w:qFormat/>
    <w:uiPriority w:val="34"/>
    <w:pPr>
      <w:ind w:firstLine="420" w:firstLineChars="200"/>
    </w:pPr>
    <w:rPr>
      <w:rFonts w:ascii="Calibri" w:cs="黑体"/>
    </w:rPr>
  </w:style>
  <w:style w:type="paragraph" w:customStyle="1" w:styleId="132">
    <w:name w:val="xl25"/>
    <w:basedOn w:val="1"/>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Ansi="宋体"/>
      <w:sz w:val="21"/>
      <w:szCs w:val="21"/>
    </w:rPr>
  </w:style>
  <w:style w:type="paragraph" w:customStyle="1" w:styleId="133">
    <w:name w:val="3 Char"/>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34">
    <w:name w:val="Char Char1 Char Char Char Char Char Char Char Char Char Char Char Char Char"/>
    <w:basedOn w:val="1"/>
    <w:qFormat/>
    <w:uiPriority w:val="0"/>
    <w:pPr>
      <w:widowControl/>
      <w:autoSpaceDE/>
      <w:autoSpaceDN/>
      <w:adjustRightInd/>
      <w:spacing w:after="160" w:line="360" w:lineRule="auto"/>
    </w:pPr>
    <w:rPr>
      <w:rFonts w:ascii="Verdana" w:hAnsi="Verdana" w:cs="Times New Roman"/>
      <w:sz w:val="21"/>
      <w:szCs w:val="20"/>
      <w:lang w:eastAsia="en-US"/>
    </w:rPr>
  </w:style>
  <w:style w:type="paragraph" w:customStyle="1" w:styleId="135">
    <w:name w:val="进度表"/>
    <w:basedOn w:val="8"/>
    <w:qFormat/>
    <w:uiPriority w:val="0"/>
    <w:pPr>
      <w:widowControl w:val="0"/>
      <w:snapToGrid w:val="0"/>
      <w:spacing w:line="440" w:lineRule="atLeast"/>
      <w:ind w:hanging="130" w:firstLineChars="0"/>
      <w:jc w:val="both"/>
    </w:pPr>
    <w:rPr>
      <w:rFonts w:ascii="宋体"/>
      <w:color w:val="000000"/>
      <w:kern w:val="2"/>
      <w:position w:val="-6"/>
      <w:sz w:val="28"/>
    </w:rPr>
  </w:style>
  <w:style w:type="paragraph" w:customStyle="1" w:styleId="136">
    <w:name w:val="大标题"/>
    <w:basedOn w:val="5"/>
    <w:qFormat/>
    <w:uiPriority w:val="0"/>
    <w:rPr>
      <w:snapToGrid w:val="0"/>
      <w:sz w:val="52"/>
      <w:szCs w:val="72"/>
    </w:rPr>
  </w:style>
  <w:style w:type="paragraph" w:customStyle="1" w:styleId="137">
    <w:name w:val="正文无缩进"/>
    <w:basedOn w:val="75"/>
    <w:qFormat/>
    <w:uiPriority w:val="0"/>
    <w:pPr>
      <w:ind w:firstLine="0" w:firstLineChars="0"/>
    </w:pPr>
  </w:style>
  <w:style w:type="paragraph" w:customStyle="1" w:styleId="138">
    <w:name w:val="标题 3.5"/>
    <w:basedOn w:val="7"/>
    <w:qFormat/>
    <w:uiPriority w:val="0"/>
    <w:pPr>
      <w:autoSpaceDE/>
      <w:autoSpaceDN/>
      <w:adjustRightInd/>
      <w:spacing w:line="600" w:lineRule="exact"/>
      <w:jc w:val="both"/>
      <w:outlineLvl w:val="9"/>
    </w:pPr>
    <w:rPr>
      <w:rFonts w:ascii="Times New Roman" w:eastAsia="仿宋_GB2312"/>
      <w:kern w:val="2"/>
      <w:sz w:val="31"/>
    </w:rPr>
  </w:style>
  <w:style w:type="paragraph" w:customStyle="1" w:styleId="139">
    <w:name w:val="题注5"/>
    <w:basedOn w:val="1"/>
    <w:next w:val="16"/>
    <w:qFormat/>
    <w:uiPriority w:val="0"/>
    <w:pPr>
      <w:autoSpaceDE/>
      <w:autoSpaceDN/>
      <w:adjustRightInd/>
      <w:jc w:val="center"/>
    </w:pPr>
    <w:rPr>
      <w:rFonts w:ascii="Times New Roman"/>
      <w:b/>
      <w:color w:val="000000"/>
      <w:kern w:val="2"/>
      <w:szCs w:val="21"/>
    </w:rPr>
  </w:style>
  <w:style w:type="paragraph" w:customStyle="1" w:styleId="140">
    <w:name w:val="xl44"/>
    <w:basedOn w:val="1"/>
    <w:qFormat/>
    <w:uiPriority w:val="0"/>
    <w:pPr>
      <w:widowControl/>
      <w:pBdr>
        <w:left w:val="single" w:color="auto" w:sz="4" w:space="0"/>
        <w:right w:val="single" w:color="auto" w:sz="4" w:space="0"/>
      </w:pBdr>
      <w:spacing w:before="100" w:beforeAutospacing="1" w:after="100" w:afterAutospacing="1"/>
      <w:jc w:val="center"/>
    </w:pPr>
    <w:rPr>
      <w:rFonts w:hint="eastAsia" w:hAnsi="宋体"/>
    </w:rPr>
  </w:style>
  <w:style w:type="paragraph" w:customStyle="1" w:styleId="141">
    <w:name w:val="Char Char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42">
    <w:name w:val="xl33"/>
    <w:basedOn w:val="1"/>
    <w:qFormat/>
    <w:uiPriority w:val="0"/>
    <w:pPr>
      <w:widowControl/>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43">
    <w:name w:val="Char Char1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styleId="144">
    <w:name w:val="List Paragraph"/>
    <w:basedOn w:val="1"/>
    <w:qFormat/>
    <w:uiPriority w:val="0"/>
    <w:pPr>
      <w:autoSpaceDE/>
      <w:autoSpaceDN/>
      <w:adjustRightInd/>
      <w:ind w:firstLine="420" w:firstLineChars="200"/>
      <w:jc w:val="both"/>
    </w:pPr>
    <w:rPr>
      <w:rFonts w:ascii="Calibri"/>
      <w:kern w:val="2"/>
      <w:sz w:val="21"/>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Times New Roman" w:eastAsia="Arial Unicode MS"/>
      <w:sz w:val="20"/>
      <w:szCs w:val="20"/>
    </w:rPr>
  </w:style>
  <w:style w:type="paragraph" w:customStyle="1" w:styleId="146">
    <w:name w:val="目录"/>
    <w:basedOn w:val="1"/>
    <w:qFormat/>
    <w:uiPriority w:val="0"/>
    <w:pPr>
      <w:widowControl/>
      <w:autoSpaceDE/>
      <w:autoSpaceDN/>
      <w:adjustRightInd/>
      <w:spacing w:line="480" w:lineRule="auto"/>
      <w:jc w:val="center"/>
    </w:pPr>
    <w:rPr>
      <w:b/>
      <w:szCs w:val="20"/>
    </w:rPr>
  </w:style>
  <w:style w:type="paragraph" w:customStyle="1" w:styleId="147">
    <w:name w:val="xl26"/>
    <w:basedOn w:val="1"/>
    <w:qFormat/>
    <w:uiPriority w:val="0"/>
    <w:pPr>
      <w:widowControl/>
      <w:autoSpaceDE/>
      <w:autoSpaceDN/>
      <w:adjustRightInd/>
      <w:spacing w:before="100" w:beforeAutospacing="1" w:after="100" w:afterAutospacing="1"/>
      <w:jc w:val="center"/>
    </w:pPr>
    <w:rPr>
      <w:rFonts w:hint="eastAsia" w:ascii="仿宋_GB2312" w:hAnsi="宋体" w:eastAsia="仿宋_GB2312"/>
    </w:rPr>
  </w:style>
  <w:style w:type="paragraph" w:customStyle="1" w:styleId="148">
    <w:name w:val="Char11"/>
    <w:basedOn w:val="19"/>
    <w:qFormat/>
    <w:uiPriority w:val="0"/>
    <w:pPr>
      <w:autoSpaceDE/>
      <w:autoSpaceDN/>
      <w:adjustRightInd/>
      <w:jc w:val="both"/>
    </w:pPr>
    <w:rPr>
      <w:rFonts w:ascii="Tahoma" w:hAnsi="Tahoma" w:cs="Times New Roman"/>
      <w:kern w:val="2"/>
    </w:rPr>
  </w:style>
  <w:style w:type="paragraph" w:customStyle="1" w:styleId="149">
    <w:name w:val="Char21"/>
    <w:basedOn w:val="1"/>
    <w:qFormat/>
    <w:uiPriority w:val="0"/>
    <w:pPr>
      <w:widowControl/>
      <w:autoSpaceDE/>
      <w:autoSpaceDN/>
      <w:adjustRightInd/>
      <w:spacing w:after="160" w:line="240" w:lineRule="exact"/>
      <w:jc w:val="center"/>
    </w:pPr>
    <w:rPr>
      <w:rFonts w:ascii="黑体" w:hAnsi="Verdana" w:eastAsia="黑体"/>
      <w:sz w:val="32"/>
      <w:szCs w:val="32"/>
      <w:lang w:eastAsia="en-US"/>
    </w:rPr>
  </w:style>
  <w:style w:type="paragraph" w:customStyle="1" w:styleId="150">
    <w:name w:val="普通(Web)"/>
    <w:basedOn w:val="1"/>
    <w:qFormat/>
    <w:uiPriority w:val="0"/>
    <w:pPr>
      <w:widowControl/>
      <w:autoSpaceDE/>
      <w:autoSpaceDN/>
      <w:adjustRightInd/>
      <w:spacing w:before="100" w:beforeAutospacing="1" w:after="100" w:afterAutospacing="1" w:line="240" w:lineRule="atLeast"/>
      <w:ind w:firstLine="360"/>
    </w:pPr>
    <w:rPr>
      <w:rFonts w:hAnsi="宋体"/>
      <w:sz w:val="18"/>
      <w:szCs w:val="20"/>
    </w:rPr>
  </w:style>
  <w:style w:type="paragraph" w:customStyle="1" w:styleId="151">
    <w:name w:val="信息标题2"/>
    <w:basedOn w:val="16"/>
    <w:next w:val="16"/>
    <w:qFormat/>
    <w:uiPriority w:val="0"/>
    <w:pPr>
      <w:autoSpaceDE/>
      <w:autoSpaceDN/>
      <w:adjustRightInd/>
      <w:spacing w:beforeLines="50" w:afterLines="50"/>
      <w:ind w:left="422" w:hanging="422" w:hangingChars="200"/>
    </w:pPr>
    <w:rPr>
      <w:rFonts w:ascii="Arial Black" w:hAnsi="Arial Black" w:eastAsia="宋体" w:cs="Times New Roman"/>
      <w:b/>
      <w:kern w:val="2"/>
      <w:sz w:val="30"/>
    </w:rPr>
  </w:style>
  <w:style w:type="paragraph" w:customStyle="1" w:styleId="152">
    <w:name w:val="表中文字"/>
    <w:basedOn w:val="1"/>
    <w:qFormat/>
    <w:uiPriority w:val="0"/>
    <w:pPr>
      <w:spacing w:line="400" w:lineRule="atLeast"/>
      <w:ind w:left="35" w:leftChars="14" w:hanging="1"/>
      <w:jc w:val="center"/>
      <w:textAlignment w:val="baseline"/>
    </w:pPr>
    <w:rPr>
      <w:rFonts w:ascii="Verdana" w:hAnsi="Verdana"/>
      <w:sz w:val="21"/>
      <w:szCs w:val="28"/>
    </w:rPr>
  </w:style>
  <w:style w:type="paragraph" w:customStyle="1" w:styleId="153">
    <w:name w:val="xl28"/>
    <w:basedOn w:val="1"/>
    <w:qFormat/>
    <w:uiPriority w:val="0"/>
    <w:pPr>
      <w:widowControl/>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55">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CC99FF"/>
      <w:autoSpaceDE/>
      <w:autoSpaceDN/>
      <w:adjustRightInd/>
      <w:spacing w:before="100" w:beforeAutospacing="1" w:after="100" w:afterAutospacing="1"/>
      <w:jc w:val="center"/>
      <w:textAlignment w:val="center"/>
    </w:pPr>
    <w:rPr>
      <w:rFonts w:ascii="Arial Unicode MS" w:hAnsi="Arial Unicode MS" w:eastAsia="Arial Unicode MS"/>
      <w:b/>
      <w:sz w:val="20"/>
      <w:szCs w:val="20"/>
    </w:rPr>
  </w:style>
  <w:style w:type="paragraph" w:customStyle="1" w:styleId="156">
    <w:name w:val="xl37"/>
    <w:basedOn w:val="1"/>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ascii="Arial Unicode MS" w:hAnsi="Arial Unicode MS" w:eastAsia="Arial Unicode MS"/>
      <w:sz w:val="20"/>
      <w:szCs w:val="20"/>
    </w:rPr>
  </w:style>
  <w:style w:type="paragraph" w:customStyle="1" w:styleId="157">
    <w:name w:val="正文（缩进）"/>
    <w:basedOn w:val="1"/>
    <w:qFormat/>
    <w:uiPriority w:val="0"/>
    <w:pPr>
      <w:autoSpaceDE/>
      <w:autoSpaceDN/>
      <w:adjustRightInd/>
      <w:spacing w:beforeLines="50" w:afterLines="50" w:line="360" w:lineRule="auto"/>
      <w:ind w:firstLine="480" w:firstLineChars="200"/>
      <w:jc w:val="both"/>
    </w:pPr>
    <w:rPr>
      <w:rFonts w:ascii="Times New Roman"/>
      <w:kern w:val="2"/>
    </w:rPr>
  </w:style>
  <w:style w:type="paragraph" w:customStyle="1" w:styleId="158">
    <w:name w:val="样式 样式 样式 首行缩进:  2 字符1 + 首行缩进:  2 字符 + 首行缩进:  2 字符"/>
    <w:basedOn w:val="1"/>
    <w:semiHidden/>
    <w:qFormat/>
    <w:uiPriority w:val="0"/>
    <w:pPr>
      <w:kinsoku w:val="0"/>
      <w:overflowPunct w:val="0"/>
      <w:ind w:firstLine="200" w:firstLineChars="200"/>
    </w:pPr>
    <w:rPr>
      <w:rFonts w:ascii="仿宋_GB2312" w:hAnsi="宋体" w:eastAsia="仿宋_GB2312"/>
      <w:sz w:val="32"/>
      <w:szCs w:val="20"/>
    </w:rPr>
  </w:style>
  <w:style w:type="paragraph" w:customStyle="1" w:styleId="159">
    <w:name w:val="样式 标题 3Level 3 HeadH3Heading 3 - oldh3sect1.2.3Head33l3..."/>
    <w:basedOn w:val="7"/>
    <w:qFormat/>
    <w:uiPriority w:val="0"/>
    <w:pPr>
      <w:tabs>
        <w:tab w:val="left" w:pos="720"/>
      </w:tabs>
      <w:autoSpaceDE/>
      <w:autoSpaceDN/>
      <w:adjustRightInd/>
      <w:spacing w:line="360" w:lineRule="auto"/>
      <w:ind w:left="720" w:hanging="720"/>
      <w:jc w:val="both"/>
    </w:pPr>
    <w:rPr>
      <w:rFonts w:ascii="Times New Roman"/>
      <w:kern w:val="2"/>
      <w:sz w:val="21"/>
      <w:szCs w:val="20"/>
    </w:rPr>
  </w:style>
  <w:style w:type="paragraph" w:customStyle="1" w:styleId="160">
    <w:name w:val="p0"/>
    <w:basedOn w:val="1"/>
    <w:qFormat/>
    <w:uiPriority w:val="99"/>
    <w:pPr>
      <w:widowControl/>
    </w:pPr>
    <w:rPr>
      <w:szCs w:val="21"/>
    </w:rPr>
  </w:style>
  <w:style w:type="paragraph" w:customStyle="1" w:styleId="161">
    <w:name w:val="font5"/>
    <w:basedOn w:val="1"/>
    <w:qFormat/>
    <w:uiPriority w:val="0"/>
    <w:pPr>
      <w:widowControl/>
      <w:autoSpaceDE/>
      <w:autoSpaceDN/>
      <w:adjustRightInd/>
      <w:spacing w:before="100" w:beforeAutospacing="1" w:after="100" w:afterAutospacing="1"/>
    </w:pPr>
    <w:rPr>
      <w:rFonts w:hint="eastAsia" w:hAnsi="宋体"/>
      <w:sz w:val="18"/>
      <w:szCs w:val="20"/>
    </w:rPr>
  </w:style>
  <w:style w:type="paragraph" w:customStyle="1" w:styleId="162">
    <w:name w:val="Char1 Char Char Char Char Char Char"/>
    <w:basedOn w:val="1"/>
    <w:qFormat/>
    <w:uiPriority w:val="0"/>
    <w:pPr>
      <w:widowControl/>
      <w:autoSpaceDE/>
      <w:autoSpaceDN/>
      <w:adjustRightInd/>
      <w:spacing w:line="400" w:lineRule="exact"/>
      <w:jc w:val="center"/>
    </w:pPr>
    <w:rPr>
      <w:rFonts w:ascii="Verdana" w:hAnsi="Verdana" w:cs="Times New Roman"/>
      <w:sz w:val="21"/>
      <w:szCs w:val="20"/>
      <w:lang w:eastAsia="en-US"/>
    </w:rPr>
  </w:style>
  <w:style w:type="paragraph" w:customStyle="1" w:styleId="163">
    <w:name w:val="投标文件格式"/>
    <w:basedOn w:val="29"/>
    <w:qFormat/>
    <w:uiPriority w:val="0"/>
    <w:pPr>
      <w:jc w:val="center"/>
    </w:pPr>
    <w:rPr>
      <w:rFonts w:hAnsi="Times New Roman"/>
      <w:b/>
    </w:rPr>
  </w:style>
  <w:style w:type="paragraph" w:customStyle="1" w:styleId="164">
    <w:name w:val="日期右"/>
    <w:basedOn w:val="31"/>
    <w:qFormat/>
    <w:uiPriority w:val="0"/>
    <w:pPr>
      <w:autoSpaceDE/>
      <w:autoSpaceDN/>
      <w:adjustRightInd/>
      <w:spacing w:line="600" w:lineRule="exact"/>
      <w:ind w:left="0" w:leftChars="0"/>
      <w:jc w:val="right"/>
    </w:pPr>
    <w:rPr>
      <w:rFonts w:ascii="Times New Roman" w:eastAsia="仿宋_GB2312"/>
      <w:b w:val="0"/>
      <w:bCs w:val="0"/>
      <w:sz w:val="31"/>
      <w:szCs w:val="24"/>
      <w:lang w:val="en-US"/>
    </w:rPr>
  </w:style>
  <w:style w:type="paragraph" w:customStyle="1" w:styleId="165">
    <w:name w:val="Char1 Char Char Char"/>
    <w:basedOn w:val="1"/>
    <w:qFormat/>
    <w:uiPriority w:val="0"/>
    <w:pPr>
      <w:autoSpaceDE/>
      <w:autoSpaceDN/>
      <w:adjustRightInd/>
      <w:jc w:val="both"/>
    </w:pPr>
    <w:rPr>
      <w:rFonts w:ascii="Tahoma" w:hAnsi="Tahoma"/>
      <w:kern w:val="2"/>
      <w:szCs w:val="20"/>
    </w:rPr>
  </w:style>
  <w:style w:type="paragraph" w:customStyle="1" w:styleId="166">
    <w:name w:val="List Paragraph1"/>
    <w:basedOn w:val="1"/>
    <w:qFormat/>
    <w:uiPriority w:val="0"/>
    <w:pPr>
      <w:autoSpaceDE/>
      <w:autoSpaceDN/>
      <w:adjustRightInd/>
      <w:ind w:firstLine="420" w:firstLineChars="200"/>
      <w:jc w:val="both"/>
    </w:pPr>
    <w:rPr>
      <w:rFonts w:ascii="Calibri" w:cs="Times New Roman"/>
      <w:kern w:val="2"/>
      <w:sz w:val="21"/>
      <w:szCs w:val="22"/>
    </w:rPr>
  </w:style>
  <w:style w:type="paragraph" w:customStyle="1" w:styleId="167">
    <w:name w:val="Char Char Char"/>
    <w:basedOn w:val="1"/>
    <w:qFormat/>
    <w:uiPriority w:val="0"/>
    <w:pPr>
      <w:autoSpaceDE/>
      <w:autoSpaceDN/>
      <w:adjustRightInd/>
      <w:jc w:val="both"/>
    </w:pPr>
    <w:rPr>
      <w:rFonts w:ascii="Tahoma" w:hAnsi="Tahoma"/>
      <w:b/>
      <w:sz w:val="28"/>
      <w:szCs w:val="20"/>
    </w:rPr>
  </w:style>
  <w:style w:type="paragraph" w:customStyle="1" w:styleId="168">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69">
    <w:name w:val="正文缩进6格"/>
    <w:basedOn w:val="170"/>
    <w:qFormat/>
    <w:uiPriority w:val="0"/>
    <w:pPr>
      <w:ind w:left="1758" w:leftChars="854"/>
    </w:pPr>
  </w:style>
  <w:style w:type="paragraph" w:customStyle="1" w:styleId="170">
    <w:name w:val="正文缩进4格"/>
    <w:basedOn w:val="75"/>
    <w:qFormat/>
    <w:uiPriority w:val="0"/>
    <w:pPr>
      <w:ind w:left="651" w:leftChars="310" w:firstLine="608" w:firstLineChars="196"/>
    </w:pPr>
    <w:rPr>
      <w:color w:val="000000"/>
    </w:rPr>
  </w:style>
  <w:style w:type="paragraph" w:customStyle="1" w:styleId="171">
    <w:name w:val="Char1 Char Char Char Char Char Char1"/>
    <w:basedOn w:val="1"/>
    <w:qFormat/>
    <w:uiPriority w:val="0"/>
    <w:pPr>
      <w:widowControl/>
      <w:autoSpaceDE/>
      <w:autoSpaceDN/>
      <w:adjustRightInd/>
      <w:spacing w:line="400" w:lineRule="exact"/>
      <w:jc w:val="center"/>
    </w:pPr>
    <w:rPr>
      <w:rFonts w:ascii="Verdana" w:hAnsi="Verdana"/>
      <w:sz w:val="21"/>
      <w:szCs w:val="20"/>
      <w:lang w:eastAsia="en-US"/>
    </w:rPr>
  </w:style>
  <w:style w:type="paragraph" w:customStyle="1" w:styleId="172">
    <w:name w:val="表头"/>
    <w:basedOn w:val="16"/>
    <w:qFormat/>
    <w:uiPriority w:val="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173">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99"/>
      <w:autoSpaceDE/>
      <w:autoSpaceDN/>
      <w:adjustRightInd/>
      <w:spacing w:before="100" w:beforeAutospacing="1" w:after="100" w:afterAutospacing="1"/>
      <w:jc w:val="center"/>
      <w:textAlignment w:val="center"/>
    </w:pPr>
    <w:rPr>
      <w:rFonts w:ascii="Arial Unicode MS" w:hAnsi="Arial Unicode MS" w:eastAsia="Arial Unicode MS"/>
      <w:sz w:val="20"/>
      <w:szCs w:val="20"/>
    </w:rPr>
  </w:style>
  <w:style w:type="paragraph" w:customStyle="1" w:styleId="174">
    <w:name w:val="1"/>
    <w:basedOn w:val="1"/>
    <w:qFormat/>
    <w:uiPriority w:val="0"/>
    <w:pPr>
      <w:widowControl/>
      <w:autoSpaceDE/>
      <w:autoSpaceDN/>
      <w:adjustRightInd/>
      <w:spacing w:after="160" w:line="240" w:lineRule="exact"/>
    </w:pPr>
    <w:rPr>
      <w:rFonts w:ascii="Verdana" w:hAnsi="Verdana" w:eastAsia="楷体_GB2312"/>
      <w:b/>
      <w:i/>
      <w:iCs/>
      <w:color w:val="000000"/>
      <w:sz w:val="20"/>
      <w:szCs w:val="20"/>
      <w:lang w:eastAsia="en-US"/>
    </w:rPr>
  </w:style>
  <w:style w:type="paragraph" w:customStyle="1" w:styleId="175">
    <w:name w:val="表正文"/>
    <w:basedOn w:val="1"/>
    <w:next w:val="26"/>
    <w:qFormat/>
    <w:uiPriority w:val="0"/>
    <w:pPr>
      <w:autoSpaceDE/>
      <w:autoSpaceDN/>
      <w:adjustRightInd/>
      <w:spacing w:line="360" w:lineRule="auto"/>
      <w:ind w:left="180" w:leftChars="85" w:right="2" w:hanging="2"/>
      <w:jc w:val="both"/>
    </w:pPr>
    <w:rPr>
      <w:rFonts w:ascii="Arial" w:hAnsi="Arial"/>
      <w:kern w:val="2"/>
      <w:sz w:val="21"/>
      <w:szCs w:val="20"/>
    </w:rPr>
  </w:style>
  <w:style w:type="paragraph" w:customStyle="1" w:styleId="176">
    <w:name w:val="Char2"/>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77">
    <w:name w:val="DAS正文"/>
    <w:basedOn w:val="1"/>
    <w:qFormat/>
    <w:uiPriority w:val="0"/>
    <w:pPr>
      <w:autoSpaceDE/>
      <w:autoSpaceDN/>
      <w:adjustRightInd/>
      <w:spacing w:line="360" w:lineRule="exact"/>
      <w:jc w:val="both"/>
    </w:pPr>
    <w:rPr>
      <w:rFonts w:ascii="Verdana" w:hAnsi="Verdana"/>
      <w:kern w:val="2"/>
      <w:sz w:val="21"/>
      <w:szCs w:val="21"/>
    </w:rPr>
  </w:style>
  <w:style w:type="paragraph" w:customStyle="1" w:styleId="178">
    <w:name w:val="Char Char Char Char Char Char Char Char Char Char Char Char Char"/>
    <w:basedOn w:val="1"/>
    <w:qFormat/>
    <w:uiPriority w:val="0"/>
    <w:pPr>
      <w:widowControl/>
      <w:autoSpaceDE/>
      <w:autoSpaceDN/>
      <w:adjustRightInd/>
      <w:spacing w:after="160" w:line="240" w:lineRule="exact"/>
    </w:pPr>
    <w:rPr>
      <w:rFonts w:ascii="Times New Roman"/>
      <w:kern w:val="2"/>
      <w:sz w:val="21"/>
    </w:rPr>
  </w:style>
  <w:style w:type="paragraph" w:customStyle="1" w:styleId="179">
    <w:name w:val="正文居中"/>
    <w:basedOn w:val="1"/>
    <w:next w:val="1"/>
    <w:qFormat/>
    <w:uiPriority w:val="0"/>
    <w:pPr>
      <w:autoSpaceDE/>
      <w:autoSpaceDN/>
      <w:snapToGrid w:val="0"/>
      <w:spacing w:line="300" w:lineRule="auto"/>
      <w:jc w:val="center"/>
    </w:pPr>
    <w:rPr>
      <w:rFonts w:ascii="Times New Roman"/>
      <w:kern w:val="2"/>
      <w:sz w:val="21"/>
    </w:rPr>
  </w:style>
  <w:style w:type="paragraph" w:customStyle="1" w:styleId="180">
    <w:name w:val="样式37"/>
    <w:basedOn w:val="1"/>
    <w:qFormat/>
    <w:uiPriority w:val="0"/>
    <w:pPr>
      <w:widowControl/>
      <w:spacing w:line="360" w:lineRule="auto"/>
    </w:pPr>
    <w:rPr>
      <w:rFonts w:hAnsi="宋体"/>
      <w:spacing w:val="-2"/>
      <w:szCs w:val="21"/>
    </w:rPr>
  </w:style>
  <w:style w:type="paragraph" w:customStyle="1" w:styleId="181">
    <w:name w:val="文档正文"/>
    <w:basedOn w:val="1"/>
    <w:qFormat/>
    <w:uiPriority w:val="0"/>
    <w:pPr>
      <w:spacing w:line="460" w:lineRule="exact"/>
      <w:ind w:firstLine="567"/>
      <w:textAlignment w:val="baseline"/>
    </w:pPr>
    <w:rPr>
      <w:rFonts w:ascii="Arial" w:hAnsi="Arial"/>
    </w:rPr>
  </w:style>
  <w:style w:type="paragraph" w:customStyle="1" w:styleId="182">
    <w:name w:val="正文列序2"/>
    <w:basedOn w:val="1"/>
    <w:qFormat/>
    <w:uiPriority w:val="0"/>
    <w:pPr>
      <w:spacing w:line="360" w:lineRule="auto"/>
      <w:ind w:firstLine="425"/>
    </w:pPr>
    <w:rPr>
      <w:rFonts w:hAnsi="宋体"/>
    </w:rPr>
  </w:style>
  <w:style w:type="character" w:customStyle="1" w:styleId="183">
    <w:name w:val="批注文字 字符"/>
    <w:basedOn w:val="53"/>
    <w:link w:val="21"/>
    <w:qFormat/>
    <w:uiPriority w:val="0"/>
    <w:rPr>
      <w:rFonts w:ascii="Times New Roman" w:hAnsi="Calibri" w:eastAsia="宋体" w:cs="宋体"/>
      <w:sz w:val="21"/>
    </w:rPr>
  </w:style>
  <w:style w:type="paragraph" w:customStyle="1" w:styleId="184">
    <w:name w:val="正文文本缩进 21"/>
    <w:basedOn w:val="1"/>
    <w:qFormat/>
    <w:uiPriority w:val="99"/>
    <w:pPr>
      <w:spacing w:line="480" w:lineRule="auto"/>
      <w:ind w:firstLine="540"/>
    </w:pPr>
    <w:rPr>
      <w:sz w:val="20"/>
      <w:szCs w:val="20"/>
    </w:rPr>
  </w:style>
  <w:style w:type="paragraph" w:customStyle="1" w:styleId="185">
    <w:name w:val="WPSOffice手动目录 1"/>
    <w:qFormat/>
    <w:uiPriority w:val="0"/>
    <w:rPr>
      <w:rFonts w:ascii="Times New Roman" w:hAnsi="Times New Roman" w:eastAsia="宋体" w:cs="Times New Roman"/>
      <w:lang w:val="en-US" w:eastAsia="zh-CN" w:bidi="ar-SA"/>
    </w:rPr>
  </w:style>
  <w:style w:type="character" w:customStyle="1" w:styleId="186">
    <w:name w:val="font121"/>
    <w:basedOn w:val="53"/>
    <w:qFormat/>
    <w:uiPriority w:val="0"/>
    <w:rPr>
      <w:rFonts w:hint="default" w:ascii="思源黑体 CN Regular" w:hAnsi="思源黑体 CN Regular" w:eastAsia="思源黑体 CN Regular" w:cs="思源黑体 CN Regular"/>
      <w:b/>
      <w:bCs/>
      <w:color w:val="545454"/>
      <w:sz w:val="24"/>
      <w:szCs w:val="24"/>
      <w:u w:val="none"/>
    </w:rPr>
  </w:style>
  <w:style w:type="character" w:customStyle="1" w:styleId="187">
    <w:name w:val="font112"/>
    <w:basedOn w:val="53"/>
    <w:qFormat/>
    <w:uiPriority w:val="0"/>
    <w:rPr>
      <w:rFonts w:hint="default" w:ascii="思源黑体 CN Regular" w:hAnsi="思源黑体 CN Regular" w:eastAsia="思源黑体 CN Regular" w:cs="思源黑体 CN Regular"/>
      <w:b/>
      <w:bCs/>
      <w:color w:val="444444"/>
      <w:sz w:val="24"/>
      <w:szCs w:val="24"/>
      <w:u w:val="none"/>
    </w:rPr>
  </w:style>
  <w:style w:type="character" w:customStyle="1" w:styleId="188">
    <w:name w:val="font131"/>
    <w:basedOn w:val="53"/>
    <w:qFormat/>
    <w:uiPriority w:val="0"/>
    <w:rPr>
      <w:rFonts w:hint="default" w:ascii="思源黑体 CN Regular" w:hAnsi="思源黑体 CN Regular" w:eastAsia="思源黑体 CN Regular" w:cs="思源黑体 CN Regular"/>
      <w:b/>
      <w:bCs/>
      <w:color w:val="646464"/>
      <w:sz w:val="24"/>
      <w:szCs w:val="24"/>
      <w:u w:val="none"/>
    </w:rPr>
  </w:style>
  <w:style w:type="character" w:customStyle="1" w:styleId="189">
    <w:name w:val="font291"/>
    <w:basedOn w:val="53"/>
    <w:qFormat/>
    <w:uiPriority w:val="0"/>
    <w:rPr>
      <w:rFonts w:hint="default" w:ascii="思源黑体 CN Regular" w:hAnsi="思源黑体 CN Regular" w:eastAsia="思源黑体 CN Regular" w:cs="思源黑体 CN Regular"/>
      <w:b/>
      <w:bCs/>
      <w:color w:val="212121"/>
      <w:sz w:val="24"/>
      <w:szCs w:val="24"/>
      <w:u w:val="none"/>
    </w:rPr>
  </w:style>
  <w:style w:type="character" w:customStyle="1" w:styleId="190">
    <w:name w:val="font301"/>
    <w:basedOn w:val="53"/>
    <w:qFormat/>
    <w:uiPriority w:val="0"/>
    <w:rPr>
      <w:rFonts w:hint="default" w:ascii="思源黑体 CN Regular" w:hAnsi="思源黑体 CN Regular" w:eastAsia="思源黑体 CN Regular" w:cs="思源黑体 CN Regular"/>
      <w:b/>
      <w:bCs/>
      <w:color w:val="444444"/>
      <w:sz w:val="24"/>
      <w:szCs w:val="24"/>
      <w:u w:val="none"/>
    </w:rPr>
  </w:style>
  <w:style w:type="paragraph" w:customStyle="1" w:styleId="191">
    <w:name w:val="修订1"/>
    <w:hidden/>
    <w:semiHidden/>
    <w:qFormat/>
    <w:uiPriority w:val="99"/>
    <w:rPr>
      <w:rFonts w:ascii="宋体" w:hAnsi="Calibri" w:eastAsia="宋体" w:cs="宋体"/>
      <w:sz w:val="24"/>
      <w:szCs w:val="24"/>
      <w:lang w:val="en-US" w:eastAsia="zh-CN" w:bidi="ar-SA"/>
    </w:rPr>
  </w:style>
  <w:style w:type="character" w:customStyle="1" w:styleId="192">
    <w:name w:val="font51"/>
    <w:basedOn w:val="53"/>
    <w:qFormat/>
    <w:uiPriority w:val="0"/>
    <w:rPr>
      <w:rFonts w:hint="eastAsia" w:ascii="宋体" w:hAnsi="宋体" w:eastAsia="宋体" w:cs="宋体"/>
      <w:color w:val="000000"/>
      <w:sz w:val="20"/>
      <w:szCs w:val="20"/>
      <w:u w:val="none"/>
    </w:rPr>
  </w:style>
  <w:style w:type="paragraph" w:customStyle="1" w:styleId="193">
    <w:name w:val="Body text|1"/>
    <w:basedOn w:val="1"/>
    <w:qFormat/>
    <w:uiPriority w:val="0"/>
    <w:pPr>
      <w:spacing w:line="454" w:lineRule="auto"/>
    </w:pPr>
    <w:rPr>
      <w:rFonts w:hAnsi="宋体"/>
      <w:lang w:val="zh-TW" w:eastAsia="zh-TW" w:bidi="zh-TW"/>
    </w:rPr>
  </w:style>
  <w:style w:type="character" w:customStyle="1" w:styleId="194">
    <w:name w:val="font41"/>
    <w:basedOn w:val="53"/>
    <w:qFormat/>
    <w:uiPriority w:val="0"/>
    <w:rPr>
      <w:rFonts w:hint="eastAsia" w:ascii="微软雅黑" w:hAnsi="微软雅黑" w:eastAsia="微软雅黑" w:cs="微软雅黑"/>
      <w:i/>
      <w:iCs/>
      <w:color w:val="000000"/>
      <w:sz w:val="22"/>
      <w:szCs w:val="22"/>
      <w:u w:val="none"/>
    </w:rPr>
  </w:style>
  <w:style w:type="paragraph" w:customStyle="1" w:styleId="195">
    <w:name w:val="HtmlNormal"/>
    <w:basedOn w:val="1"/>
    <w:qFormat/>
    <w:uiPriority w:val="0"/>
    <w:pPr>
      <w:widowControl/>
      <w:autoSpaceDE/>
      <w:autoSpaceDN/>
      <w:spacing w:before="100" w:beforeAutospacing="1" w:after="100" w:afterAutospacing="1"/>
      <w:textAlignment w:val="baseline"/>
    </w:pPr>
    <w:rPr>
      <w:rFonts w:hAnsi="宋体"/>
      <w:sz w:val="15"/>
      <w:szCs w:val="15"/>
    </w:rPr>
  </w:style>
  <w:style w:type="character" w:customStyle="1" w:styleId="196">
    <w:name w:val="NormalCharacter"/>
    <w:qFormat/>
    <w:uiPriority w:val="0"/>
    <w:rPr>
      <w:rFonts w:ascii="宋体"/>
      <w:sz w:val="24"/>
      <w:szCs w:val="24"/>
      <w:lang w:val="en-US" w:eastAsia="zh-CN" w:bidi="ar-SA"/>
    </w:rPr>
  </w:style>
  <w:style w:type="paragraph" w:customStyle="1" w:styleId="197">
    <w:name w:val="列出段落2"/>
    <w:basedOn w:val="1"/>
    <w:qFormat/>
    <w:uiPriority w:val="0"/>
    <w:pPr>
      <w:autoSpaceDE/>
      <w:autoSpaceDN/>
      <w:adjustRightInd/>
      <w:ind w:firstLine="420" w:firstLineChars="200"/>
      <w:jc w:val="both"/>
    </w:pPr>
    <w:rPr>
      <w:rFonts w:ascii="Calibri"/>
      <w:kern w:val="2"/>
      <w:sz w:val="21"/>
    </w:rPr>
  </w:style>
  <w:style w:type="character" w:customStyle="1" w:styleId="198">
    <w:name w:val="font11"/>
    <w:basedOn w:val="53"/>
    <w:qFormat/>
    <w:uiPriority w:val="0"/>
    <w:rPr>
      <w:rFonts w:hint="eastAsia" w:ascii="宋体" w:hAnsi="宋体" w:eastAsia="宋体" w:cs="宋体"/>
      <w:color w:val="000000"/>
      <w:sz w:val="20"/>
      <w:szCs w:val="20"/>
      <w:u w:val="none"/>
    </w:rPr>
  </w:style>
  <w:style w:type="character" w:customStyle="1" w:styleId="199">
    <w:name w:val="font21"/>
    <w:basedOn w:val="53"/>
    <w:qFormat/>
    <w:uiPriority w:val="0"/>
    <w:rPr>
      <w:rFonts w:hint="eastAsia" w:ascii="宋体" w:hAnsi="宋体" w:eastAsia="宋体" w:cs="宋体"/>
      <w:b/>
      <w:bCs/>
      <w:color w:val="000000"/>
      <w:sz w:val="20"/>
      <w:szCs w:val="20"/>
      <w:u w:val="none"/>
    </w:rPr>
  </w:style>
  <w:style w:type="character" w:customStyle="1" w:styleId="200">
    <w:name w:val="font31"/>
    <w:basedOn w:val="5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ED33D1-28E5-49B2-810A-DFCA16599E46}">
  <ds:schemaRefs/>
</ds:datastoreItem>
</file>

<file path=docProps/app.xml><?xml version="1.0" encoding="utf-8"?>
<Properties xmlns="http://schemas.openxmlformats.org/officeDocument/2006/extended-properties" xmlns:vt="http://schemas.openxmlformats.org/officeDocument/2006/docPropsVTypes">
  <Template>Normal</Template>
  <Company>zgydgb</Company>
  <Pages>96</Pages>
  <Words>53029</Words>
  <Characters>57565</Characters>
  <Lines>415</Lines>
  <Paragraphs>117</Paragraphs>
  <TotalTime>34</TotalTime>
  <ScaleCrop>false</ScaleCrop>
  <LinksUpToDate>false</LinksUpToDate>
  <CharactersWithSpaces>59436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2023-01-03T02:23:00Z</dcterms:created>
  <dc:creator>lyy</dc:creator>
  <cp:lastModifiedBy>Yakult</cp:lastModifiedBy>
  <cp:lastPrinted>2020-07-10T09:47:00Z</cp:lastPrinted>
  <dcterms:modified xsi:type="dcterms:W3CDTF">2023-01-06T07:55:54Z</dcterms:modified>
  <dc:title>货物公开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ABD8B33505F646B3B1BA11F634D83A4B</vt:lpwstr>
  </property>
</Properties>
</file>