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int="eastAsia" w:hAnsi="宋体"/>
          <w:b/>
          <w:color w:val="auto"/>
          <w:sz w:val="72"/>
          <w:highlight w:val="none"/>
        </w:rPr>
      </w:pPr>
    </w:p>
    <w:p>
      <w:pPr>
        <w:widowControl/>
        <w:spacing w:line="360" w:lineRule="auto"/>
        <w:ind w:right="-26"/>
        <w:jc w:val="center"/>
        <w:textAlignment w:val="bottom"/>
        <w:rPr>
          <w:rFonts w:hAnsi="宋体"/>
          <w:b/>
          <w:color w:val="auto"/>
          <w:sz w:val="72"/>
          <w:highlight w:val="none"/>
        </w:rPr>
      </w:pPr>
    </w:p>
    <w:p>
      <w:pPr>
        <w:snapToGrid w:val="0"/>
        <w:jc w:val="center"/>
        <w:rPr>
          <w:rFonts w:ascii="黑体" w:hAnsi="华文中宋" w:eastAsia="黑体" w:cs="华文中宋"/>
          <w:b/>
          <w:bCs/>
          <w:color w:val="auto"/>
          <w:sz w:val="72"/>
          <w:szCs w:val="72"/>
          <w:highlight w:val="none"/>
        </w:rPr>
      </w:pPr>
      <w:r>
        <w:rPr>
          <w:rFonts w:hint="eastAsia" w:ascii="黑体" w:hAnsi="华文中宋" w:eastAsia="黑体" w:cs="华文中宋"/>
          <w:b/>
          <w:bCs/>
          <w:color w:val="auto"/>
          <w:sz w:val="72"/>
          <w:szCs w:val="72"/>
          <w:highlight w:val="none"/>
        </w:rPr>
        <w:t>竞争性磋商文件</w: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r>
        <w:rPr>
          <w:color w:val="auto"/>
          <w:sz w:val="44"/>
          <w:highlight w:val="none"/>
        </w:rPr>
        <mc:AlternateContent>
          <mc:Choice Requires="wps">
            <w:drawing>
              <wp:anchor distT="0" distB="0" distL="114300" distR="114300" simplePos="0" relativeHeight="251663360" behindDoc="1" locked="0" layoutInCell="1" allowOverlap="1">
                <wp:simplePos x="0" y="0"/>
                <wp:positionH relativeFrom="column">
                  <wp:posOffset>181610</wp:posOffset>
                </wp:positionH>
                <wp:positionV relativeFrom="paragraph">
                  <wp:posOffset>213995</wp:posOffset>
                </wp:positionV>
                <wp:extent cx="4991735" cy="1652905"/>
                <wp:effectExtent l="0" t="0" r="18415" b="4445"/>
                <wp:wrapNone/>
                <wp:docPr id="3" name="文本框 6"/>
                <wp:cNvGraphicFramePr/>
                <a:graphic xmlns:a="http://schemas.openxmlformats.org/drawingml/2006/main">
                  <a:graphicData uri="http://schemas.microsoft.com/office/word/2010/wordprocessingShape">
                    <wps:wsp>
                      <wps:cNvSpPr txBox="1"/>
                      <wps:spPr>
                        <a:xfrm>
                          <a:off x="0" y="0"/>
                          <a:ext cx="4991735" cy="1652905"/>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ascii="黑体" w:hAnsi="黑体" w:eastAsia="黑体" w:cs="黑体"/>
                                <w:b/>
                                <w:sz w:val="32"/>
                              </w:rPr>
                            </w:pPr>
                            <w:r>
                              <w:rPr>
                                <w:rFonts w:hint="eastAsia" w:ascii="黑体" w:hAnsi="黑体" w:eastAsia="黑体" w:cs="黑体"/>
                                <w:b/>
                                <w:sz w:val="32"/>
                              </w:rPr>
                              <w:t>项目名称：松山湖国际创新创业社区室外品质提升设计项目</w:t>
                            </w:r>
                          </w:p>
                          <w:p>
                            <w:pPr>
                              <w:widowControl/>
                              <w:spacing w:line="360" w:lineRule="auto"/>
                              <w:ind w:right="-26"/>
                              <w:jc w:val="both"/>
                              <w:textAlignment w:val="bottom"/>
                              <w:rPr>
                                <w:rFonts w:ascii="黑体" w:hAnsi="黑体" w:eastAsia="黑体" w:cs="黑体"/>
                                <w:b/>
                                <w:sz w:val="32"/>
                              </w:rPr>
                            </w:pPr>
                            <w:r>
                              <w:rPr>
                                <w:rFonts w:hint="eastAsia" w:ascii="黑体" w:hAnsi="黑体" w:eastAsia="黑体" w:cs="黑体"/>
                                <w:b/>
                                <w:sz w:val="32"/>
                              </w:rPr>
                              <w:t>项目编号：TTWY-22020</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wps:txbx>
                      <wps:bodyPr upright="1"/>
                    </wps:wsp>
                  </a:graphicData>
                </a:graphic>
              </wp:anchor>
            </w:drawing>
          </mc:Choice>
          <mc:Fallback>
            <w:pict>
              <v:shape id="文本框 6" o:spid="_x0000_s1026" o:spt="202" type="#_x0000_t202" style="position:absolute;left:0pt;margin-left:14.3pt;margin-top:16.85pt;height:130.15pt;width:393.05pt;z-index:-251653120;mso-width-relative:page;mso-height-relative:page;" fillcolor="#FFFFFF" filled="t" stroked="f" coordsize="21600,21600" o:gfxdata="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&#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03So2gAAAAkBAAAPAAAAAAAAAAEAIAAAACIAAABk&#10;cnMvZG93bnJldi54bWxQSwECFAAUAAAACACHTuJAD2XGmwQCAAAXBAAADgAAAAAAAAABACAAAAAp&#10;AQAAZHJzL2Uyb0RvYy54bWxQSwUGAAAAAAYABgBZAQAAnwU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ascii="黑体" w:hAnsi="黑体" w:eastAsia="黑体" w:cs="黑体"/>
                          <w:b/>
                          <w:sz w:val="32"/>
                        </w:rPr>
                      </w:pPr>
                      <w:r>
                        <w:rPr>
                          <w:rFonts w:hint="eastAsia" w:ascii="黑体" w:hAnsi="黑体" w:eastAsia="黑体" w:cs="黑体"/>
                          <w:b/>
                          <w:sz w:val="32"/>
                        </w:rPr>
                        <w:t>项目名称：松山湖国际创新创业社区室外品质提升设计项目</w:t>
                      </w:r>
                    </w:p>
                    <w:p>
                      <w:pPr>
                        <w:widowControl/>
                        <w:spacing w:line="360" w:lineRule="auto"/>
                        <w:ind w:right="-26"/>
                        <w:jc w:val="both"/>
                        <w:textAlignment w:val="bottom"/>
                        <w:rPr>
                          <w:rFonts w:ascii="黑体" w:hAnsi="黑体" w:eastAsia="黑体" w:cs="黑体"/>
                          <w:b/>
                          <w:sz w:val="32"/>
                        </w:rPr>
                      </w:pPr>
                      <w:r>
                        <w:rPr>
                          <w:rFonts w:hint="eastAsia" w:ascii="黑体" w:hAnsi="黑体" w:eastAsia="黑体" w:cs="黑体"/>
                          <w:b/>
                          <w:sz w:val="32"/>
                        </w:rPr>
                        <w:t>项目编号：TTWY-22020</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v:textbox>
              </v:shape>
            </w:pict>
          </mc:Fallback>
        </mc:AlternateConten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textAlignment w:val="bottom"/>
        <w:rPr>
          <w:rFonts w:hAnsi="宋体"/>
          <w:b/>
          <w:color w:val="auto"/>
          <w:sz w:val="32"/>
          <w:highlight w:val="none"/>
        </w:rPr>
      </w:pPr>
      <w:r>
        <w:rPr>
          <w:rFonts w:hint="eastAsia" w:hAnsi="宋体"/>
          <w:bCs/>
          <w:color w:val="auto"/>
          <w:sz w:val="21"/>
          <w:szCs w:val="21"/>
          <w:highlight w:val="none"/>
        </w:rPr>
        <w:drawing>
          <wp:anchor distT="0" distB="0" distL="114300" distR="114300" simplePos="0" relativeHeight="251659264"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8"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pacing w:line="360" w:lineRule="auto"/>
        <w:ind w:right="-26" w:firstLine="2249" w:firstLineChars="700"/>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广东泰通伟业工程咨询有限公司 </w:t>
      </w:r>
    </w:p>
    <w:p>
      <w:pPr>
        <w:widowControl/>
        <w:spacing w:line="360" w:lineRule="auto"/>
        <w:ind w:right="-26" w:hanging="480"/>
        <w:jc w:val="center"/>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    二〇二二年  月</w:t>
      </w: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jc w:val="both"/>
        <w:rPr>
          <w:rFonts w:hAnsi="宋体"/>
          <w:color w:val="auto"/>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NumType w:start="0"/>
          <w:cols w:space="720" w:num="1"/>
          <w:docGrid w:type="lines" w:linePitch="312" w:charSpace="0"/>
        </w:sectPr>
      </w:pPr>
      <w:bookmarkStart w:id="0" w:name="_Toc13507"/>
    </w:p>
    <w:bookmarkEnd w:id="0"/>
    <w:p>
      <w:pPr>
        <w:spacing w:line="360" w:lineRule="auto"/>
        <w:ind w:left="48" w:leftChars="20"/>
        <w:jc w:val="center"/>
        <w:rPr>
          <w:rFonts w:ascii="黑体" w:hAnsi="黑体" w:eastAsia="黑体" w:cs="黑体"/>
          <w:color w:val="auto"/>
          <w:sz w:val="32"/>
          <w:szCs w:val="32"/>
          <w:highlight w:val="none"/>
        </w:rPr>
      </w:pPr>
      <w:bookmarkStart w:id="1" w:name="_Toc27261"/>
      <w:r>
        <w:rPr>
          <w:rFonts w:hint="eastAsia" w:ascii="黑体" w:hAnsi="黑体" w:eastAsia="黑体" w:cs="黑体"/>
          <w:color w:val="auto"/>
          <w:sz w:val="32"/>
          <w:szCs w:val="32"/>
          <w:highlight w:val="none"/>
        </w:rPr>
        <w:t>温馨提示</w:t>
      </w:r>
    </w:p>
    <w:p>
      <w:pPr>
        <w:jc w:val="center"/>
        <w:rPr>
          <w:rFonts w:ascii="黑体" w:hAnsi="黑体" w:eastAsia="黑体" w:cs="黑体"/>
          <w:color w:val="auto"/>
          <w:highlight w:val="none"/>
        </w:rPr>
      </w:pPr>
      <w:r>
        <w:rPr>
          <w:rFonts w:hint="eastAsia" w:ascii="黑体" w:hAnsi="黑体" w:eastAsia="黑体" w:cs="黑体"/>
          <w:color w:val="auto"/>
          <w:highlight w:val="none"/>
        </w:rPr>
        <w:t>（本提示内容非磋商文件的组成部分，仅为善意提醒。如有不一致，以磋商文件为准）</w:t>
      </w:r>
    </w:p>
    <w:p>
      <w:pPr>
        <w:spacing w:line="360" w:lineRule="auto"/>
        <w:ind w:left="48" w:leftChars="20"/>
        <w:jc w:val="center"/>
        <w:rPr>
          <w:rFonts w:ascii="黑体" w:hAnsi="黑体" w:eastAsia="黑体" w:cs="黑体"/>
          <w:color w:val="auto"/>
          <w:sz w:val="32"/>
          <w:szCs w:val="32"/>
          <w:highlight w:val="none"/>
        </w:rPr>
      </w:pP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请正确填写《报价一览表》。多子包项目请仔细检查子包号，子包号与子包名称必须对应。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请仔细检查磋商响应文件是否已按磋商文件要求盖章、签名、签署日期。</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磋商响应文件应按顺序编制页码。</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如需供应商支付的各种费用，如磋商文件售价、工程图纸押金、保证金和采购代理服务费等，磋商文件将书面详细告知，请供应商按磋商文件规定的方式和金额支付。</w:t>
      </w: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pStyle w:val="5"/>
        <w:ind w:firstLine="643"/>
        <w:rPr>
          <w:rFonts w:hAnsi="宋体"/>
          <w:b/>
          <w:bCs/>
          <w:color w:val="auto"/>
          <w:sz w:val="32"/>
          <w:szCs w:val="32"/>
          <w:highlight w:val="none"/>
          <w:lang w:val="zh-CN"/>
        </w:rPr>
      </w:pPr>
    </w:p>
    <w:p>
      <w:pPr>
        <w:pStyle w:val="5"/>
        <w:ind w:firstLine="643"/>
        <w:rPr>
          <w:rFonts w:hAnsi="宋体"/>
          <w:b/>
          <w:bCs/>
          <w:color w:val="auto"/>
          <w:sz w:val="32"/>
          <w:szCs w:val="32"/>
          <w:highlight w:val="none"/>
          <w:lang w:val="zh-CN"/>
        </w:rPr>
      </w:pPr>
    </w:p>
    <w:p>
      <w:pPr>
        <w:jc w:val="center"/>
        <w:rPr>
          <w:color w:val="auto"/>
          <w:highlight w:val="none"/>
        </w:rPr>
      </w:pPr>
      <w:r>
        <w:rPr>
          <w:rFonts w:hAnsi="宋体"/>
          <w:b/>
          <w:bCs/>
          <w:color w:val="auto"/>
          <w:sz w:val="32"/>
          <w:szCs w:val="32"/>
          <w:highlight w:val="none"/>
          <w:lang w:val="zh-CN"/>
        </w:rPr>
        <w:t>目录</w:t>
      </w:r>
      <w:bookmarkStart w:id="2" w:name="_Toc396137229"/>
      <w:r>
        <w:rPr>
          <w:rFonts w:hAnsi="宋体"/>
          <w:b/>
          <w:bCs/>
          <w:caps/>
          <w:color w:val="auto"/>
          <w:sz w:val="21"/>
          <w:szCs w:val="21"/>
          <w:highlight w:val="none"/>
        </w:rPr>
        <w:fldChar w:fldCharType="begin"/>
      </w:r>
      <w:r>
        <w:rPr>
          <w:rStyle w:val="58"/>
          <w:rFonts w:hAnsi="宋体"/>
          <w:b/>
          <w:bCs/>
          <w:caps/>
          <w:color w:val="auto"/>
          <w:sz w:val="21"/>
          <w:szCs w:val="21"/>
          <w:highlight w:val="none"/>
        </w:rPr>
        <w:instrText xml:space="preserve"> TOC \o "1-3" \h \z \u </w:instrText>
      </w:r>
      <w:r>
        <w:rPr>
          <w:rFonts w:hAnsi="宋体"/>
          <w:b/>
          <w:bCs/>
          <w:caps/>
          <w:color w:val="auto"/>
          <w:sz w:val="21"/>
          <w:szCs w:val="21"/>
          <w:highlight w:val="none"/>
        </w:rPr>
        <w:fldChar w:fldCharType="separate"/>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"_Toc27261" </w:instrText>
      </w:r>
      <w:r>
        <w:rPr>
          <w:color w:val="auto"/>
          <w:highlight w:val="none"/>
        </w:rPr>
        <w:fldChar w:fldCharType="separate"/>
      </w:r>
      <w:r>
        <w:rPr>
          <w:rFonts w:hAnsi="宋体"/>
          <w:color w:val="auto"/>
          <w:kern w:val="44"/>
          <w:sz w:val="24"/>
          <w:szCs w:val="24"/>
          <w:highlight w:val="none"/>
          <w:lang w:val="zh-CN"/>
        </w:rPr>
        <w:t xml:space="preserve">第一篇 </w:t>
      </w:r>
      <w:r>
        <w:rPr>
          <w:rFonts w:hint="eastAsia" w:hAnsi="宋体"/>
          <w:color w:val="auto"/>
          <w:kern w:val="44"/>
          <w:sz w:val="24"/>
          <w:szCs w:val="24"/>
          <w:highlight w:val="none"/>
        </w:rPr>
        <w:t>磋商邀请书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_Toc27261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"_Toc16634" </w:instrText>
      </w:r>
      <w:r>
        <w:rPr>
          <w:color w:val="auto"/>
          <w:highlight w:val="none"/>
        </w:rPr>
        <w:fldChar w:fldCharType="separate"/>
      </w:r>
      <w:r>
        <w:rPr>
          <w:rFonts w:hAnsi="宋体"/>
          <w:color w:val="auto"/>
          <w:kern w:val="44"/>
          <w:sz w:val="24"/>
          <w:szCs w:val="24"/>
          <w:highlight w:val="none"/>
          <w:lang w:val="zh-CN"/>
        </w:rPr>
        <w:t xml:space="preserve">第二篇 </w:t>
      </w:r>
      <w:r>
        <w:rPr>
          <w:rFonts w:hint="eastAsia" w:hAnsi="宋体"/>
          <w:color w:val="auto"/>
          <w:kern w:val="44"/>
          <w:sz w:val="24"/>
          <w:szCs w:val="24"/>
          <w:highlight w:val="none"/>
          <w:lang w:val="zh-CN"/>
        </w:rPr>
        <w:t>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_Toc16634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"_Toc22751" </w:instrText>
      </w:r>
      <w:r>
        <w:rPr>
          <w:color w:val="auto"/>
          <w:highlight w:val="none"/>
        </w:rPr>
        <w:fldChar w:fldCharType="separate"/>
      </w:r>
      <w:r>
        <w:rPr>
          <w:rFonts w:hAnsi="宋体"/>
          <w:color w:val="auto"/>
          <w:kern w:val="44"/>
          <w:sz w:val="24"/>
          <w:szCs w:val="24"/>
          <w:highlight w:val="none"/>
          <w:lang w:val="zh-CN"/>
        </w:rPr>
        <w:t xml:space="preserve">第三篇 </w:t>
      </w:r>
      <w:r>
        <w:rPr>
          <w:rFonts w:hint="eastAsia" w:hAnsi="宋体"/>
          <w:color w:val="auto"/>
          <w:kern w:val="44"/>
          <w:sz w:val="24"/>
          <w:szCs w:val="24"/>
          <w:highlight w:val="none"/>
          <w:lang w:val="zh-CN"/>
        </w:rPr>
        <w:t>用户需求书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_Toc22751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"_Toc13957" </w:instrText>
      </w:r>
      <w:r>
        <w:rPr>
          <w:color w:val="auto"/>
          <w:highlight w:val="none"/>
        </w:rPr>
        <w:fldChar w:fldCharType="separate"/>
      </w:r>
      <w:r>
        <w:rPr>
          <w:rFonts w:hAnsi="宋体"/>
          <w:color w:val="auto"/>
          <w:kern w:val="44"/>
          <w:sz w:val="24"/>
          <w:szCs w:val="24"/>
          <w:highlight w:val="none"/>
          <w:lang w:val="zh-CN"/>
        </w:rPr>
        <w:t xml:space="preserve">第四篇 </w:t>
      </w:r>
      <w:r>
        <w:rPr>
          <w:rFonts w:hint="eastAsia" w:hAnsi="宋体"/>
          <w:color w:val="auto"/>
          <w:kern w:val="44"/>
          <w:sz w:val="24"/>
          <w:szCs w:val="24"/>
          <w:highlight w:val="none"/>
          <w:lang w:val="zh-CN"/>
        </w:rPr>
        <w:t>评标工作大纲</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_Toc13957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"_Toc15636" </w:instrText>
      </w:r>
      <w:r>
        <w:rPr>
          <w:color w:val="auto"/>
          <w:highlight w:val="none"/>
        </w:rPr>
        <w:fldChar w:fldCharType="separate"/>
      </w:r>
      <w:r>
        <w:rPr>
          <w:rFonts w:hAnsi="宋体"/>
          <w:color w:val="auto"/>
          <w:sz w:val="24"/>
          <w:szCs w:val="24"/>
          <w:highlight w:val="none"/>
        </w:rPr>
        <w:t xml:space="preserve">第五篇 </w:t>
      </w:r>
      <w:r>
        <w:rPr>
          <w:rFonts w:hint="eastAsia" w:hAnsi="宋体"/>
          <w:color w:val="auto"/>
          <w:kern w:val="44"/>
          <w:sz w:val="24"/>
          <w:szCs w:val="24"/>
          <w:highlight w:val="none"/>
          <w:lang w:val="zh-CN"/>
        </w:rPr>
        <w:t>合同条款格式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_Toc15636 </w:instrText>
      </w:r>
      <w:r>
        <w:rPr>
          <w:color w:val="auto"/>
          <w:sz w:val="24"/>
          <w:szCs w:val="24"/>
          <w:highlight w:val="none"/>
        </w:rPr>
        <w:fldChar w:fldCharType="separate"/>
      </w:r>
      <w:r>
        <w:rPr>
          <w:color w:val="auto"/>
          <w:sz w:val="24"/>
          <w:szCs w:val="24"/>
          <w:highlight w:val="none"/>
        </w:rPr>
        <w:t>36</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"_Toc8470" </w:instrText>
      </w:r>
      <w:r>
        <w:rPr>
          <w:color w:val="auto"/>
          <w:highlight w:val="none"/>
        </w:rPr>
        <w:fldChar w:fldCharType="separate"/>
      </w:r>
      <w:r>
        <w:rPr>
          <w:rFonts w:hint="eastAsia" w:hAnsi="宋体"/>
          <w:color w:val="auto"/>
          <w:kern w:val="44"/>
          <w:sz w:val="24"/>
          <w:szCs w:val="24"/>
          <w:highlight w:val="none"/>
          <w:lang w:val="zh-CN"/>
        </w:rPr>
        <w:t>第六篇磋商响应文件格式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_Toc8470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color w:val="auto"/>
          <w:sz w:val="24"/>
          <w:szCs w:val="24"/>
          <w:highlight w:val="none"/>
        </w:rPr>
        <w:fldChar w:fldCharType="end"/>
      </w:r>
    </w:p>
    <w:p>
      <w:pPr>
        <w:pStyle w:val="3"/>
        <w:keepNext/>
        <w:keepLines/>
        <w:pageBreakBefore/>
        <w:numPr>
          <w:ilvl w:val="0"/>
          <w:numId w:val="10"/>
        </w:numPr>
        <w:tabs>
          <w:tab w:val="left" w:pos="1080"/>
        </w:tabs>
        <w:spacing w:line="360" w:lineRule="auto"/>
        <w:ind w:left="1078" w:hanging="1077" w:hangingChars="449"/>
        <w:jc w:val="center"/>
        <w:rPr>
          <w:rFonts w:hAnsi="宋体"/>
          <w:b/>
          <w:bCs/>
          <w:color w:val="auto"/>
          <w:kern w:val="44"/>
          <w:sz w:val="28"/>
          <w:szCs w:val="28"/>
          <w:highlight w:val="none"/>
          <w:lang w:val="zh-CN"/>
        </w:rPr>
      </w:pPr>
      <w:r>
        <w:rPr>
          <w:color w:val="auto"/>
          <w:highlight w:val="none"/>
        </w:rPr>
        <w:fldChar w:fldCharType="end"/>
      </w:r>
      <w:bookmarkEnd w:id="2"/>
      <w:r>
        <w:rPr>
          <w:rFonts w:hint="eastAsia" w:hAnsi="宋体"/>
          <w:b/>
          <w:bCs/>
          <w:color w:val="auto"/>
          <w:kern w:val="44"/>
          <w:sz w:val="28"/>
          <w:szCs w:val="28"/>
          <w:highlight w:val="none"/>
        </w:rPr>
        <w:t>磋商邀请书</w:t>
      </w:r>
      <w:bookmarkEnd w:id="1"/>
    </w:p>
    <w:p>
      <w:pPr>
        <w:widowControl/>
        <w:tabs>
          <w:tab w:val="left" w:pos="-360"/>
        </w:tabs>
        <w:adjustRightInd/>
        <w:spacing w:line="360" w:lineRule="auto"/>
        <w:ind w:right="-34" w:firstLine="420" w:firstLineChars="200"/>
        <w:jc w:val="both"/>
        <w:textAlignment w:val="bottom"/>
        <w:rPr>
          <w:rFonts w:hAnsi="宋体"/>
          <w:color w:val="auto"/>
          <w:sz w:val="21"/>
          <w:szCs w:val="21"/>
          <w:highlight w:val="none"/>
        </w:rPr>
      </w:pPr>
      <w:r>
        <w:rPr>
          <w:rFonts w:hint="eastAsia" w:hAnsi="宋体"/>
          <w:color w:val="auto"/>
          <w:sz w:val="21"/>
          <w:szCs w:val="21"/>
          <w:highlight w:val="none"/>
        </w:rPr>
        <w:t>广东泰通伟业工程咨询有限公司（以下简称“采购代理机构”）受东莞市大学创新城建设发展有限公司（以下简称“采购人”）的委托，为松山湖国际创新创业社区室外品质提升设计项目 (项目编号：TTWY-22020) 采购所需的服务。本项目采用竞争性磋商采购方式，欢迎合格供应商就本项目提交密封磋商。</w:t>
      </w:r>
    </w:p>
    <w:p>
      <w:pPr>
        <w:widowControl/>
        <w:numPr>
          <w:ilvl w:val="0"/>
          <w:numId w:val="11"/>
        </w:numPr>
        <w:adjustRightInd/>
        <w:spacing w:line="360" w:lineRule="auto"/>
        <w:rPr>
          <w:rFonts w:hAnsi="宋体"/>
          <w:color w:val="auto"/>
          <w:sz w:val="21"/>
          <w:szCs w:val="21"/>
          <w:highlight w:val="none"/>
        </w:rPr>
      </w:pPr>
      <w:r>
        <w:rPr>
          <w:rFonts w:hint="eastAsia" w:hAnsi="宋体"/>
          <w:b/>
          <w:bCs/>
          <w:color w:val="auto"/>
          <w:kern w:val="28"/>
          <w:sz w:val="21"/>
          <w:szCs w:val="21"/>
          <w:highlight w:val="none"/>
        </w:rPr>
        <w:t>邀请合格供应商就下列所有服务提交密封磋商：</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项目名称：松山湖国际创新创业社区室外品质提升设计项目</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项目编号：TTWY-22020</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项目预算金额</w:t>
      </w:r>
      <w:r>
        <w:rPr>
          <w:rFonts w:hint="eastAsia" w:hAnsi="宋体"/>
          <w:b w:val="0"/>
          <w:bCs w:val="0"/>
          <w:color w:val="auto"/>
          <w:sz w:val="21"/>
          <w:szCs w:val="21"/>
          <w:highlight w:val="none"/>
        </w:rPr>
        <w:t>：</w:t>
      </w:r>
      <w:r>
        <w:rPr>
          <w:rFonts w:hint="eastAsia" w:hAnsi="宋体"/>
          <w:b w:val="0"/>
          <w:bCs w:val="0"/>
          <w:color w:val="auto"/>
          <w:sz w:val="21"/>
          <w:szCs w:val="21"/>
          <w:highlight w:val="none"/>
          <w:lang w:val="en-US" w:eastAsia="zh-CN"/>
        </w:rPr>
        <w:t>966,328.00元</w:t>
      </w:r>
      <w:r>
        <w:rPr>
          <w:rFonts w:hint="eastAsia" w:hAnsi="宋体"/>
          <w:color w:val="auto"/>
          <w:sz w:val="21"/>
          <w:szCs w:val="21"/>
          <w:highlight w:val="none"/>
          <w:lang w:val="en-US" w:eastAsia="zh-CN"/>
        </w:rPr>
        <w:t>（大写：人民币玖拾陆万陆仟叁佰贰拾捌元整）</w:t>
      </w:r>
      <w:r>
        <w:rPr>
          <w:rFonts w:hint="eastAsia" w:hAnsi="宋体"/>
          <w:color w:val="auto"/>
          <w:sz w:val="21"/>
          <w:szCs w:val="21"/>
          <w:highlight w:val="none"/>
        </w:rPr>
        <w:t>。</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项目需求：详见磋商文件第三篇用户需求书。</w:t>
      </w:r>
    </w:p>
    <w:p>
      <w:pPr>
        <w:widowControl/>
        <w:adjustRightInd/>
        <w:spacing w:line="360" w:lineRule="auto"/>
        <w:rPr>
          <w:rFonts w:hAnsi="宋体"/>
          <w:b/>
          <w:bCs/>
          <w:color w:val="auto"/>
          <w:kern w:val="28"/>
          <w:sz w:val="21"/>
          <w:szCs w:val="21"/>
          <w:highlight w:val="none"/>
        </w:rPr>
      </w:pPr>
      <w:r>
        <w:rPr>
          <w:rFonts w:hint="eastAsia" w:hAnsi="宋体"/>
          <w:b/>
          <w:bCs/>
          <w:color w:val="auto"/>
          <w:kern w:val="28"/>
          <w:sz w:val="21"/>
          <w:szCs w:val="21"/>
          <w:highlight w:val="none"/>
          <w:lang w:val="zh-CN"/>
        </w:rPr>
        <w:t>二、供应商须满足以下资格条件</w:t>
      </w:r>
      <w:r>
        <w:rPr>
          <w:rFonts w:hint="eastAsia" w:hAnsi="宋体"/>
          <w:b/>
          <w:bCs/>
          <w:color w:val="auto"/>
          <w:kern w:val="28"/>
          <w:sz w:val="21"/>
          <w:szCs w:val="21"/>
          <w:highlight w:val="none"/>
        </w:rPr>
        <w:t>：</w:t>
      </w:r>
    </w:p>
    <w:p>
      <w:pPr>
        <w:widowControl/>
        <w:numPr>
          <w:ilvl w:val="0"/>
          <w:numId w:val="13"/>
        </w:numPr>
        <w:adjustRightInd/>
        <w:spacing w:line="360" w:lineRule="auto"/>
        <w:ind w:right="53"/>
        <w:textAlignment w:val="bottom"/>
        <w:rPr>
          <w:rFonts w:hAnsi="宋体"/>
          <w:color w:val="auto"/>
          <w:kern w:val="2"/>
          <w:sz w:val="21"/>
          <w:szCs w:val="21"/>
          <w:highlight w:val="none"/>
        </w:rPr>
      </w:pPr>
      <w:bookmarkStart w:id="3" w:name="_Toc396137230"/>
      <w:r>
        <w:rPr>
          <w:rFonts w:hint="eastAsia" w:hAnsi="宋体"/>
          <w:color w:val="auto"/>
          <w:kern w:val="2"/>
          <w:sz w:val="21"/>
          <w:szCs w:val="21"/>
          <w:highlight w:val="none"/>
        </w:rPr>
        <w:t>供应商须为在中华人民共和国境内登记注册的具有独立承担民事责任能力的法人或其他组织；</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（二）供应商的单位负责人为同一人或者存在直接控股、管理关系的不同供应商，不得参加同一合同项下的采购活动。</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（三）供应商参加采购活动前三年内，在经营活动中没有重大违法记录。（须提供书面声明）；</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（五）供应商须具备：工程设计综合甲级资质；或建筑行业</w:t>
      </w:r>
      <w:r>
        <w:rPr>
          <w:rFonts w:hint="eastAsia" w:hAnsi="宋体"/>
          <w:color w:val="auto"/>
          <w:kern w:val="2"/>
          <w:sz w:val="21"/>
          <w:szCs w:val="21"/>
          <w:highlight w:val="none"/>
          <w:lang w:eastAsia="zh-CN"/>
        </w:rPr>
        <w:t>乙级</w:t>
      </w:r>
      <w:r>
        <w:rPr>
          <w:rFonts w:hint="eastAsia" w:hAnsi="宋体"/>
          <w:color w:val="auto"/>
          <w:kern w:val="2"/>
          <w:sz w:val="21"/>
          <w:szCs w:val="21"/>
          <w:highlight w:val="none"/>
        </w:rPr>
        <w:t>；或建筑行业建筑工程专业</w:t>
      </w:r>
      <w:r>
        <w:rPr>
          <w:rFonts w:hint="eastAsia" w:hAnsi="宋体"/>
          <w:color w:val="auto"/>
          <w:kern w:val="2"/>
          <w:sz w:val="21"/>
          <w:szCs w:val="21"/>
          <w:highlight w:val="none"/>
          <w:lang w:eastAsia="zh-CN"/>
        </w:rPr>
        <w:t>乙级</w:t>
      </w:r>
      <w:r>
        <w:rPr>
          <w:rFonts w:hint="eastAsia" w:hAnsi="宋体"/>
          <w:color w:val="auto"/>
          <w:kern w:val="2"/>
          <w:sz w:val="21"/>
          <w:szCs w:val="21"/>
          <w:highlight w:val="none"/>
        </w:rPr>
        <w:t>；或风景园林工程设计专项</w:t>
      </w:r>
      <w:r>
        <w:rPr>
          <w:rFonts w:hint="eastAsia" w:hAnsi="宋体"/>
          <w:color w:val="auto"/>
          <w:kern w:val="2"/>
          <w:sz w:val="21"/>
          <w:szCs w:val="21"/>
          <w:highlight w:val="none"/>
          <w:lang w:eastAsia="zh-CN"/>
        </w:rPr>
        <w:t>乙级</w:t>
      </w:r>
      <w:r>
        <w:rPr>
          <w:rFonts w:hint="eastAsia" w:hAnsi="宋体"/>
          <w:color w:val="auto"/>
          <w:kern w:val="2"/>
          <w:sz w:val="21"/>
          <w:szCs w:val="21"/>
          <w:highlight w:val="none"/>
        </w:rPr>
        <w:t>；或（建筑设计事务所与结构设计事务所与机电设计事务所）；或（建筑设计事务所与工程设计综合资质甲级）；或（建筑设计事务所与建筑行业</w:t>
      </w:r>
      <w:r>
        <w:rPr>
          <w:rFonts w:hint="eastAsia" w:hAnsi="宋体"/>
          <w:color w:val="auto"/>
          <w:kern w:val="2"/>
          <w:sz w:val="21"/>
          <w:szCs w:val="21"/>
          <w:highlight w:val="none"/>
          <w:lang w:eastAsia="zh-CN"/>
        </w:rPr>
        <w:t>乙级</w:t>
      </w:r>
      <w:r>
        <w:rPr>
          <w:rFonts w:hint="eastAsia" w:hAnsi="宋体"/>
          <w:color w:val="auto"/>
          <w:kern w:val="2"/>
          <w:sz w:val="21"/>
          <w:szCs w:val="21"/>
          <w:highlight w:val="none"/>
        </w:rPr>
        <w:t>）；或（建筑设计事务所与建筑行业建筑工程专业</w:t>
      </w:r>
      <w:r>
        <w:rPr>
          <w:rFonts w:hint="eastAsia" w:hAnsi="宋体"/>
          <w:color w:val="auto"/>
          <w:kern w:val="2"/>
          <w:sz w:val="21"/>
          <w:szCs w:val="21"/>
          <w:highlight w:val="none"/>
          <w:lang w:eastAsia="zh-CN"/>
        </w:rPr>
        <w:t>乙级</w:t>
      </w:r>
      <w:r>
        <w:rPr>
          <w:rFonts w:hint="eastAsia" w:hAnsi="宋体"/>
          <w:color w:val="auto"/>
          <w:kern w:val="2"/>
          <w:sz w:val="21"/>
          <w:szCs w:val="21"/>
          <w:highlight w:val="none"/>
        </w:rPr>
        <w:t>）；或（建筑设计事务所与风景园林工程设计专项</w:t>
      </w:r>
      <w:r>
        <w:rPr>
          <w:rFonts w:hint="eastAsia" w:hAnsi="宋体"/>
          <w:color w:val="auto"/>
          <w:kern w:val="2"/>
          <w:sz w:val="21"/>
          <w:szCs w:val="21"/>
          <w:highlight w:val="none"/>
          <w:lang w:eastAsia="zh-CN"/>
        </w:rPr>
        <w:t>乙级</w:t>
      </w:r>
      <w:r>
        <w:rPr>
          <w:rFonts w:hint="eastAsia" w:hAnsi="宋体"/>
          <w:color w:val="auto"/>
          <w:kern w:val="2"/>
          <w:sz w:val="21"/>
          <w:szCs w:val="21"/>
          <w:highlight w:val="none"/>
        </w:rPr>
        <w:t>）；或（建筑设计事务所与结构设计事务所与工程设计综合资质甲级）；或（建筑设计事务所与结构设计事务所与建筑行业</w:t>
      </w:r>
      <w:r>
        <w:rPr>
          <w:rFonts w:hint="eastAsia" w:hAnsi="宋体"/>
          <w:color w:val="auto"/>
          <w:kern w:val="2"/>
          <w:sz w:val="21"/>
          <w:szCs w:val="21"/>
          <w:highlight w:val="none"/>
          <w:lang w:eastAsia="zh-CN"/>
        </w:rPr>
        <w:t>乙</w:t>
      </w:r>
      <w:r>
        <w:rPr>
          <w:rFonts w:hint="eastAsia" w:hAnsi="宋体"/>
          <w:color w:val="auto"/>
          <w:kern w:val="2"/>
          <w:sz w:val="21"/>
          <w:szCs w:val="21"/>
          <w:highlight w:val="none"/>
        </w:rPr>
        <w:t>级）；或（建筑设计事务所与结构设计事务所与建筑行业建筑工程专业</w:t>
      </w:r>
      <w:r>
        <w:rPr>
          <w:rFonts w:hint="eastAsia" w:hAnsi="宋体"/>
          <w:color w:val="auto"/>
          <w:kern w:val="2"/>
          <w:sz w:val="21"/>
          <w:szCs w:val="21"/>
          <w:highlight w:val="none"/>
          <w:lang w:eastAsia="zh-CN"/>
        </w:rPr>
        <w:t>乙级</w:t>
      </w:r>
      <w:r>
        <w:rPr>
          <w:rFonts w:hint="eastAsia" w:hAnsi="宋体"/>
          <w:color w:val="auto"/>
          <w:kern w:val="2"/>
          <w:sz w:val="21"/>
          <w:szCs w:val="21"/>
          <w:highlight w:val="none"/>
        </w:rPr>
        <w:t>）；或（建筑设计事务所与结构设计事务所与风景园林工程设计专项</w:t>
      </w:r>
      <w:r>
        <w:rPr>
          <w:rFonts w:hint="eastAsia" w:hAnsi="宋体"/>
          <w:color w:val="auto"/>
          <w:kern w:val="2"/>
          <w:sz w:val="21"/>
          <w:szCs w:val="21"/>
          <w:highlight w:val="none"/>
          <w:lang w:eastAsia="zh-CN"/>
        </w:rPr>
        <w:t>乙级</w:t>
      </w:r>
      <w:r>
        <w:rPr>
          <w:rFonts w:hint="eastAsia" w:hAnsi="宋体"/>
          <w:color w:val="auto"/>
          <w:kern w:val="2"/>
          <w:sz w:val="21"/>
          <w:szCs w:val="21"/>
          <w:highlight w:val="none"/>
        </w:rPr>
        <w:t>）；或（建筑设计事务所与机电设计事务所与工程设计综合资质甲级）；或（建筑设计事务所与机电设计事务所与建筑行业</w:t>
      </w:r>
      <w:r>
        <w:rPr>
          <w:rFonts w:hint="eastAsia" w:hAnsi="宋体"/>
          <w:color w:val="auto"/>
          <w:kern w:val="2"/>
          <w:sz w:val="21"/>
          <w:szCs w:val="21"/>
          <w:highlight w:val="none"/>
          <w:lang w:eastAsia="zh-CN"/>
        </w:rPr>
        <w:t>乙级</w:t>
      </w:r>
      <w:r>
        <w:rPr>
          <w:rFonts w:hint="eastAsia" w:hAnsi="宋体"/>
          <w:color w:val="auto"/>
          <w:kern w:val="2"/>
          <w:sz w:val="21"/>
          <w:szCs w:val="21"/>
          <w:highlight w:val="none"/>
        </w:rPr>
        <w:t>）；或（建筑设计事务所与机电设计事务所与建筑行业建筑工程专业</w:t>
      </w:r>
      <w:r>
        <w:rPr>
          <w:rFonts w:hint="eastAsia" w:hAnsi="宋体"/>
          <w:color w:val="auto"/>
          <w:kern w:val="2"/>
          <w:sz w:val="21"/>
          <w:szCs w:val="21"/>
          <w:highlight w:val="none"/>
          <w:lang w:eastAsia="zh-CN"/>
        </w:rPr>
        <w:t>乙</w:t>
      </w:r>
      <w:r>
        <w:rPr>
          <w:rFonts w:hint="eastAsia" w:hAnsi="宋体"/>
          <w:color w:val="auto"/>
          <w:kern w:val="2"/>
          <w:sz w:val="21"/>
          <w:szCs w:val="21"/>
          <w:highlight w:val="none"/>
        </w:rPr>
        <w:t>级）；或（建筑设计事务所与机电设计事务所与与风景园林工程设计专项</w:t>
      </w:r>
      <w:r>
        <w:rPr>
          <w:rFonts w:hint="eastAsia" w:hAnsi="宋体"/>
          <w:color w:val="auto"/>
          <w:kern w:val="2"/>
          <w:sz w:val="21"/>
          <w:szCs w:val="21"/>
          <w:highlight w:val="none"/>
          <w:lang w:eastAsia="zh-CN"/>
        </w:rPr>
        <w:t>乙级</w:t>
      </w:r>
      <w:r>
        <w:rPr>
          <w:rFonts w:hint="eastAsia" w:hAnsi="宋体"/>
          <w:color w:val="auto"/>
          <w:kern w:val="2"/>
          <w:sz w:val="21"/>
          <w:szCs w:val="21"/>
          <w:highlight w:val="none"/>
        </w:rPr>
        <w:t>）或以上等级资质。</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（六）本项目不接受联合体投标。</w:t>
      </w:r>
    </w:p>
    <w:p>
      <w:pPr>
        <w:spacing w:line="360" w:lineRule="auto"/>
        <w:rPr>
          <w:rFonts w:hAnsi="宋体"/>
          <w:b/>
          <w:bCs/>
          <w:color w:val="auto"/>
          <w:sz w:val="21"/>
          <w:szCs w:val="21"/>
          <w:highlight w:val="none"/>
        </w:rPr>
      </w:pPr>
      <w:r>
        <w:rPr>
          <w:rFonts w:hint="eastAsia" w:hAnsi="宋体"/>
          <w:b/>
          <w:bCs/>
          <w:color w:val="auto"/>
          <w:sz w:val="21"/>
          <w:szCs w:val="21"/>
          <w:highlight w:val="none"/>
        </w:rPr>
        <w:t>三、获取磋商文件：</w:t>
      </w:r>
    </w:p>
    <w:p>
      <w:pPr>
        <w:widowControl/>
        <w:adjustRightInd/>
        <w:spacing w:line="360" w:lineRule="auto"/>
        <w:ind w:left="420" w:right="53" w:firstLine="420" w:firstLineChars="200"/>
        <w:textAlignment w:val="bottom"/>
        <w:rPr>
          <w:rFonts w:hAnsi="宋体"/>
          <w:color w:val="auto"/>
          <w:kern w:val="28"/>
          <w:sz w:val="21"/>
          <w:szCs w:val="21"/>
          <w:highlight w:val="none"/>
        </w:rPr>
      </w:pPr>
      <w:r>
        <w:rPr>
          <w:rFonts w:hint="eastAsia" w:hAnsi="宋体"/>
          <w:color w:val="auto"/>
          <w:kern w:val="28"/>
          <w:sz w:val="21"/>
          <w:szCs w:val="21"/>
          <w:highlight w:val="none"/>
        </w:rPr>
        <w:t>本项目无须报名，磋商文件下载地址：</w:t>
      </w:r>
      <w:r>
        <w:rPr>
          <w:rFonts w:hint="eastAsia" w:hAnsi="宋体"/>
          <w:color w:val="auto"/>
          <w:spacing w:val="-6"/>
          <w:kern w:val="28"/>
          <w:sz w:val="21"/>
          <w:szCs w:val="21"/>
          <w:highlight w:val="none"/>
        </w:rPr>
        <w:t>中国招标投标公共服务平台（http://www.cebpubservice.com/）</w:t>
      </w:r>
      <w:r>
        <w:rPr>
          <w:rFonts w:hint="eastAsia" w:hAnsi="宋体"/>
          <w:color w:val="auto"/>
          <w:kern w:val="28"/>
          <w:sz w:val="21"/>
          <w:szCs w:val="21"/>
          <w:highlight w:val="none"/>
        </w:rPr>
        <w:t>、东莞实业投资控股集团有限公司-招标采购栏目（http://www.dgsy.com.cn/）、广东泰通伟业工程咨询有限公司官网-招标采购栏目（http://www.weiyecoltd.com/）。</w:t>
      </w:r>
    </w:p>
    <w:p>
      <w:pPr>
        <w:pStyle w:val="17"/>
        <w:rPr>
          <w:color w:val="auto"/>
          <w:highlight w:val="none"/>
        </w:rPr>
      </w:pPr>
      <w:r>
        <w:rPr>
          <w:rFonts w:hint="eastAsia" w:hAnsi="宋体"/>
          <w:color w:val="auto"/>
          <w:kern w:val="28"/>
          <w:szCs w:val="21"/>
          <w:highlight w:val="none"/>
        </w:rPr>
        <w:t xml:space="preserve">    磋商文件公告期限：自公告之日起三个工作日。</w:t>
      </w:r>
    </w:p>
    <w:p>
      <w:pPr>
        <w:pStyle w:val="28"/>
        <w:spacing w:line="360" w:lineRule="auto"/>
        <w:rPr>
          <w:rFonts w:hAnsi="宋体"/>
          <w:b/>
          <w:bCs/>
          <w:color w:val="auto"/>
          <w:szCs w:val="21"/>
          <w:highlight w:val="none"/>
        </w:rPr>
      </w:pPr>
      <w:r>
        <w:rPr>
          <w:rFonts w:hint="eastAsia" w:hAnsi="宋体"/>
          <w:b/>
          <w:bCs/>
          <w:color w:val="auto"/>
          <w:szCs w:val="21"/>
          <w:highlight w:val="none"/>
        </w:rPr>
        <w:t>四、接收响应文件的时间、地点、截止时间，开启响应文件时间、地点</w:t>
      </w:r>
      <w:r>
        <w:rPr>
          <w:rFonts w:hint="eastAsia" w:hAnsi="宋体"/>
          <w:b/>
          <w:color w:val="auto"/>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1、接收响应文件的时间：2022年</w:t>
      </w:r>
      <w:r>
        <w:rPr>
          <w:rFonts w:hint="eastAsia" w:hAnsi="宋体"/>
          <w:color w:val="auto"/>
          <w:sz w:val="21"/>
          <w:szCs w:val="21"/>
          <w:highlight w:val="none"/>
          <w:lang w:val="en-US" w:eastAsia="zh-CN"/>
        </w:rPr>
        <w:t>6</w:t>
      </w:r>
      <w:r>
        <w:rPr>
          <w:rFonts w:hint="eastAsia" w:hAnsi="宋体"/>
          <w:color w:val="auto"/>
          <w:sz w:val="21"/>
          <w:szCs w:val="21"/>
          <w:highlight w:val="none"/>
        </w:rPr>
        <w:t>月</w:t>
      </w:r>
      <w:r>
        <w:rPr>
          <w:rFonts w:hint="eastAsia" w:hAnsi="宋体"/>
          <w:color w:val="auto"/>
          <w:sz w:val="21"/>
          <w:szCs w:val="21"/>
          <w:highlight w:val="none"/>
          <w:lang w:val="en-US" w:eastAsia="zh-CN"/>
        </w:rPr>
        <w:t>1</w:t>
      </w:r>
      <w:r>
        <w:rPr>
          <w:rFonts w:hint="eastAsia" w:hAnsi="宋体"/>
          <w:color w:val="auto"/>
          <w:sz w:val="21"/>
          <w:szCs w:val="21"/>
          <w:highlight w:val="none"/>
        </w:rPr>
        <w:t>日上午9:00～9:30。</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2、接收响应文件截止时间及开启响应文件时间：2022年</w:t>
      </w:r>
      <w:r>
        <w:rPr>
          <w:rFonts w:hint="eastAsia" w:hAnsi="宋体"/>
          <w:color w:val="auto"/>
          <w:sz w:val="21"/>
          <w:szCs w:val="21"/>
          <w:highlight w:val="none"/>
          <w:lang w:val="en-US" w:eastAsia="zh-CN"/>
        </w:rPr>
        <w:t>6</w:t>
      </w:r>
      <w:r>
        <w:rPr>
          <w:rFonts w:hint="eastAsia" w:hAnsi="宋体"/>
          <w:color w:val="auto"/>
          <w:sz w:val="21"/>
          <w:szCs w:val="21"/>
          <w:highlight w:val="none"/>
        </w:rPr>
        <w:t>月</w:t>
      </w:r>
      <w:r>
        <w:rPr>
          <w:rFonts w:hint="eastAsia" w:hAnsi="宋体"/>
          <w:color w:val="auto"/>
          <w:sz w:val="21"/>
          <w:szCs w:val="21"/>
          <w:highlight w:val="none"/>
          <w:lang w:val="en-US" w:eastAsia="zh-CN"/>
        </w:rPr>
        <w:t>1</w:t>
      </w:r>
      <w:r>
        <w:rPr>
          <w:rFonts w:hint="eastAsia" w:hAnsi="宋体"/>
          <w:color w:val="auto"/>
          <w:sz w:val="21"/>
          <w:szCs w:val="21"/>
          <w:highlight w:val="none"/>
        </w:rPr>
        <w:t>日上午9:30。</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3、接收响应文件地点：东莞市东城莞龙路下桥银门街一号办公楼六楼618室。</w:t>
      </w:r>
    </w:p>
    <w:p>
      <w:pPr>
        <w:spacing w:line="360" w:lineRule="auto"/>
        <w:rPr>
          <w:rFonts w:hAnsi="宋体"/>
          <w:b/>
          <w:bCs/>
          <w:color w:val="auto"/>
          <w:sz w:val="21"/>
          <w:szCs w:val="21"/>
          <w:highlight w:val="none"/>
        </w:rPr>
      </w:pPr>
      <w:r>
        <w:rPr>
          <w:rFonts w:hint="eastAsia" w:hAnsi="宋体"/>
          <w:b/>
          <w:bCs/>
          <w:color w:val="auto"/>
          <w:sz w:val="21"/>
          <w:szCs w:val="21"/>
          <w:highlight w:val="none"/>
        </w:rPr>
        <w:t>五、</w:t>
      </w:r>
      <w:r>
        <w:rPr>
          <w:rFonts w:hint="eastAsia" w:hAnsi="宋体"/>
          <w:b/>
          <w:color w:val="auto"/>
          <w:sz w:val="21"/>
          <w:szCs w:val="21"/>
          <w:highlight w:val="none"/>
        </w:rPr>
        <w:t>采购代理机构</w:t>
      </w:r>
      <w:r>
        <w:rPr>
          <w:rFonts w:hint="eastAsia" w:hAnsi="宋体"/>
          <w:b/>
          <w:bCs/>
          <w:color w:val="auto"/>
          <w:sz w:val="21"/>
          <w:szCs w:val="21"/>
          <w:highlight w:val="none"/>
        </w:rPr>
        <w:t>及采购人</w:t>
      </w:r>
      <w:r>
        <w:rPr>
          <w:rFonts w:hint="eastAsia" w:hAnsi="宋体"/>
          <w:b/>
          <w:color w:val="auto"/>
          <w:sz w:val="21"/>
          <w:szCs w:val="21"/>
          <w:highlight w:val="none"/>
        </w:rPr>
        <w:t>的地址和联系方式</w:t>
      </w:r>
      <w:r>
        <w:rPr>
          <w:rFonts w:hint="eastAsia" w:hAnsi="宋体"/>
          <w:b/>
          <w:bCs/>
          <w:color w:val="auto"/>
          <w:sz w:val="21"/>
          <w:szCs w:val="21"/>
          <w:highlight w:val="none"/>
        </w:rPr>
        <w:t>：</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采购代理机构：</w:t>
      </w:r>
      <w:r>
        <w:rPr>
          <w:rFonts w:hAnsi="宋体"/>
          <w:color w:val="auto"/>
          <w:sz w:val="21"/>
          <w:szCs w:val="21"/>
          <w:highlight w:val="none"/>
        </w:rPr>
        <w:t>广东泰通伟业工程咨询有限公司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东莞市东城莞龙路下桥银门街一号办公楼六楼606室招标采购部</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项目</w:t>
      </w:r>
      <w:r>
        <w:rPr>
          <w:rFonts w:hAnsi="宋体"/>
          <w:color w:val="auto"/>
          <w:sz w:val="21"/>
          <w:szCs w:val="21"/>
          <w:highlight w:val="none"/>
        </w:rPr>
        <w:t>联系人:</w:t>
      </w:r>
      <w:r>
        <w:rPr>
          <w:rFonts w:hint="eastAsia" w:hAnsi="宋体"/>
          <w:color w:val="auto"/>
          <w:sz w:val="21"/>
          <w:szCs w:val="21"/>
          <w:highlight w:val="none"/>
        </w:rPr>
        <w:t xml:space="preserve"> 冼小姐</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电    话：0769</w:t>
      </w:r>
      <w:r>
        <w:rPr>
          <w:rFonts w:hint="eastAsia" w:hAnsi="宋体"/>
          <w:color w:val="auto"/>
          <w:sz w:val="21"/>
          <w:szCs w:val="21"/>
          <w:highlight w:val="none"/>
        </w:rPr>
        <w:t>-22088829</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邮    箱</w:t>
      </w:r>
      <w:r>
        <w:rPr>
          <w:rFonts w:hAnsi="宋体"/>
          <w:color w:val="auto"/>
          <w:sz w:val="21"/>
          <w:szCs w:val="21"/>
          <w:highlight w:val="none"/>
        </w:rPr>
        <w:t>：</w:t>
      </w:r>
      <w:r>
        <w:rPr>
          <w:rFonts w:hint="eastAsia" w:hAnsi="宋体"/>
          <w:color w:val="auto"/>
          <w:sz w:val="21"/>
          <w:szCs w:val="21"/>
          <w:highlight w:val="none"/>
        </w:rPr>
        <w:t>WYZFCG@126.com</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 购 人：东莞市大学创新城建设发展有限公司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东莞市松山湖大学创新城G4栋20层</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联 系 人:</w:t>
      </w:r>
      <w:r>
        <w:rPr>
          <w:rFonts w:hint="eastAsia" w:hAnsi="宋体"/>
          <w:color w:val="auto"/>
          <w:sz w:val="21"/>
          <w:szCs w:val="21"/>
          <w:highlight w:val="none"/>
        </w:rPr>
        <w:t xml:space="preserve"> 姜工</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0769-38888010</w:t>
      </w:r>
    </w:p>
    <w:p>
      <w:pPr>
        <w:spacing w:line="360" w:lineRule="auto"/>
        <w:ind w:firstLine="422" w:firstLineChars="200"/>
        <w:jc w:val="right"/>
        <w:rPr>
          <w:b/>
          <w:color w:val="auto"/>
          <w:sz w:val="21"/>
          <w:szCs w:val="21"/>
          <w:highlight w:val="none"/>
        </w:rPr>
      </w:pPr>
      <w:r>
        <w:rPr>
          <w:rFonts w:hint="eastAsia"/>
          <w:b/>
          <w:color w:val="auto"/>
          <w:sz w:val="21"/>
          <w:szCs w:val="21"/>
          <w:highlight w:val="none"/>
        </w:rPr>
        <w:t xml:space="preserve">                                         东莞市大学创新城建设发展有限公司</w:t>
      </w:r>
    </w:p>
    <w:p>
      <w:pPr>
        <w:spacing w:line="360" w:lineRule="auto"/>
        <w:ind w:firstLine="422" w:firstLineChars="200"/>
        <w:jc w:val="right"/>
        <w:rPr>
          <w:b/>
          <w:color w:val="auto"/>
          <w:sz w:val="21"/>
          <w:szCs w:val="21"/>
          <w:highlight w:val="none"/>
        </w:rPr>
      </w:pPr>
      <w:r>
        <w:rPr>
          <w:rFonts w:hint="eastAsia"/>
          <w:b/>
          <w:color w:val="auto"/>
          <w:sz w:val="21"/>
          <w:szCs w:val="21"/>
          <w:highlight w:val="none"/>
        </w:rPr>
        <w:t>广东泰通伟业工程咨询有限公司</w:t>
      </w:r>
    </w:p>
    <w:p>
      <w:pPr>
        <w:wordWrap w:val="0"/>
        <w:spacing w:line="360" w:lineRule="auto"/>
        <w:ind w:right="-34" w:firstLine="426" w:firstLineChars="202"/>
        <w:jc w:val="right"/>
        <w:rPr>
          <w:rFonts w:hAnsi="宋体"/>
          <w:color w:val="auto"/>
          <w:sz w:val="21"/>
          <w:szCs w:val="21"/>
          <w:highlight w:val="none"/>
        </w:rPr>
      </w:pPr>
      <w:r>
        <w:rPr>
          <w:rFonts w:hint="eastAsia" w:hAnsi="宋体"/>
          <w:b/>
          <w:color w:val="auto"/>
          <w:sz w:val="21"/>
          <w:szCs w:val="21"/>
          <w:highlight w:val="none"/>
        </w:rPr>
        <w:t>2022年</w:t>
      </w:r>
      <w:r>
        <w:rPr>
          <w:rFonts w:hint="eastAsia" w:hAnsi="宋体"/>
          <w:b/>
          <w:color w:val="auto"/>
          <w:sz w:val="21"/>
          <w:szCs w:val="21"/>
          <w:highlight w:val="none"/>
          <w:lang w:val="en-US" w:eastAsia="zh-CN"/>
        </w:rPr>
        <w:t>5</w:t>
      </w:r>
      <w:r>
        <w:rPr>
          <w:rFonts w:hint="eastAsia" w:hAnsi="宋体"/>
          <w:b/>
          <w:bCs/>
          <w:color w:val="auto"/>
          <w:sz w:val="21"/>
          <w:szCs w:val="21"/>
          <w:highlight w:val="none"/>
        </w:rPr>
        <w:t>月</w:t>
      </w:r>
      <w:r>
        <w:rPr>
          <w:rFonts w:hint="eastAsia" w:hAnsi="宋体"/>
          <w:b/>
          <w:bCs/>
          <w:color w:val="auto"/>
          <w:sz w:val="21"/>
          <w:szCs w:val="21"/>
          <w:highlight w:val="none"/>
          <w:lang w:val="en-US" w:eastAsia="zh-CN"/>
        </w:rPr>
        <w:t>20</w:t>
      </w:r>
      <w:r>
        <w:rPr>
          <w:rFonts w:hint="eastAsia" w:hAnsi="宋体"/>
          <w:b/>
          <w:bCs/>
          <w:color w:val="auto"/>
          <w:sz w:val="21"/>
          <w:szCs w:val="21"/>
          <w:highlight w:val="none"/>
        </w:rPr>
        <w:t>日</w:t>
      </w:r>
    </w:p>
    <w:p>
      <w:pPr>
        <w:pStyle w:val="3"/>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4" w:name="_Toc16634"/>
      <w:r>
        <w:rPr>
          <w:rFonts w:hint="eastAsia" w:hAnsi="宋体"/>
          <w:b/>
          <w:bCs/>
          <w:color w:val="auto"/>
          <w:kern w:val="44"/>
          <w:sz w:val="28"/>
          <w:szCs w:val="28"/>
          <w:highlight w:val="none"/>
          <w:lang w:val="zh-CN"/>
        </w:rPr>
        <w:t>供应商须知</w:t>
      </w:r>
      <w:bookmarkEnd w:id="3"/>
      <w:bookmarkEnd w:id="4"/>
    </w:p>
    <w:p>
      <w:pPr>
        <w:pStyle w:val="2"/>
        <w:adjustRightInd/>
        <w:spacing w:line="360" w:lineRule="auto"/>
        <w:ind w:firstLine="562" w:firstLineChars="200"/>
        <w:jc w:val="center"/>
        <w:rPr>
          <w:color w:val="auto"/>
          <w:sz w:val="28"/>
          <w:szCs w:val="28"/>
          <w:highlight w:val="none"/>
        </w:rPr>
      </w:pPr>
      <w:bookmarkStart w:id="5" w:name="_Toc466786434"/>
      <w:bookmarkStart w:id="6" w:name="_Toc507407359"/>
      <w:bookmarkStart w:id="7" w:name="_Toc6968687"/>
      <w:bookmarkStart w:id="8" w:name="_Toc6882675"/>
      <w:bookmarkStart w:id="9" w:name="_Toc12804"/>
      <w:bookmarkStart w:id="10" w:name="_Toc7897861"/>
      <w:bookmarkStart w:id="11" w:name="_Toc102277756"/>
      <w:r>
        <w:rPr>
          <w:rFonts w:hint="eastAsia"/>
          <w:color w:val="auto"/>
          <w:sz w:val="28"/>
          <w:szCs w:val="28"/>
          <w:highlight w:val="none"/>
        </w:rPr>
        <w:t>一、说  明</w:t>
      </w:r>
      <w:bookmarkEnd w:id="5"/>
      <w:bookmarkEnd w:id="6"/>
      <w:bookmarkEnd w:id="7"/>
      <w:bookmarkEnd w:id="8"/>
      <w:bookmarkEnd w:id="9"/>
      <w:bookmarkEnd w:id="10"/>
      <w:bookmarkEnd w:id="11"/>
    </w:p>
    <w:p>
      <w:pPr>
        <w:pStyle w:val="4"/>
        <w:adjustRightInd/>
        <w:spacing w:line="360" w:lineRule="auto"/>
        <w:ind w:firstLine="420" w:firstLineChars="200"/>
        <w:rPr>
          <w:rFonts w:hAnsi="宋体"/>
          <w:color w:val="auto"/>
          <w:sz w:val="21"/>
          <w:szCs w:val="21"/>
          <w:highlight w:val="none"/>
        </w:rPr>
      </w:pPr>
      <w:bookmarkStart w:id="12" w:name="_Toc24987"/>
      <w:bookmarkStart w:id="13" w:name="_Toc475249114"/>
      <w:bookmarkStart w:id="14" w:name="_Toc3730"/>
      <w:bookmarkStart w:id="15" w:name="_Toc7897862"/>
      <w:r>
        <w:rPr>
          <w:rFonts w:hint="eastAsia" w:hAnsi="宋体"/>
          <w:color w:val="auto"/>
          <w:sz w:val="21"/>
          <w:szCs w:val="21"/>
          <w:highlight w:val="none"/>
        </w:rPr>
        <w:t>1.适用范围</w:t>
      </w:r>
      <w:bookmarkEnd w:id="12"/>
      <w:bookmarkEnd w:id="13"/>
      <w:bookmarkEnd w:id="14"/>
      <w:bookmarkEnd w:id="15"/>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1.1本磋商文件仅适用于本次采购邀请中所叙述的项目。</w:t>
      </w:r>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1.2本磋商文件的解释权在采购代理机构。</w:t>
      </w:r>
    </w:p>
    <w:p>
      <w:pPr>
        <w:pStyle w:val="4"/>
        <w:adjustRightInd/>
        <w:spacing w:line="360" w:lineRule="auto"/>
        <w:ind w:firstLine="420" w:firstLineChars="200"/>
        <w:rPr>
          <w:rFonts w:hAnsi="宋体"/>
          <w:color w:val="auto"/>
          <w:sz w:val="21"/>
          <w:szCs w:val="21"/>
          <w:highlight w:val="none"/>
        </w:rPr>
      </w:pPr>
      <w:bookmarkStart w:id="16" w:name="_Toc598"/>
      <w:bookmarkStart w:id="17" w:name="_Toc475249115"/>
      <w:bookmarkStart w:id="18" w:name="_Toc7897863"/>
      <w:bookmarkStart w:id="19" w:name="_Toc9738"/>
      <w:r>
        <w:rPr>
          <w:rFonts w:hint="eastAsia" w:hAnsi="宋体"/>
          <w:color w:val="auto"/>
          <w:sz w:val="21"/>
          <w:szCs w:val="21"/>
          <w:highlight w:val="none"/>
        </w:rPr>
        <w:t>2.定义</w:t>
      </w:r>
      <w:bookmarkEnd w:id="16"/>
      <w:bookmarkEnd w:id="17"/>
      <w:bookmarkEnd w:id="18"/>
      <w:bookmarkEnd w:id="1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2.1“采购人”是指东莞市大学创新城建设发展有限公司。</w:t>
      </w:r>
    </w:p>
    <w:p>
      <w:pPr>
        <w:spacing w:line="360" w:lineRule="auto"/>
        <w:ind w:firstLine="420" w:firstLineChars="200"/>
        <w:rPr>
          <w:rFonts w:hAnsi="宋体"/>
          <w:b/>
          <w:color w:val="auto"/>
          <w:sz w:val="21"/>
          <w:szCs w:val="21"/>
          <w:highlight w:val="none"/>
        </w:rPr>
      </w:pPr>
      <w:r>
        <w:rPr>
          <w:rFonts w:hint="eastAsia" w:hAnsi="宋体"/>
          <w:color w:val="auto"/>
          <w:sz w:val="21"/>
          <w:szCs w:val="21"/>
          <w:highlight w:val="none"/>
        </w:rPr>
        <w:t>2.2“采购代理机构”是指广东泰通伟业工程咨询有限公司。</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2.3“供应商”指向采购代理机构提交响应文件的法人。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 货物：卖方按磋商文件规定向买方提供的货物。</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2.5 服务：磋商文件规定卖方必须承担的咨询、技术协助、培训及其它相关义务。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 语言：磋商文件的语言为简体中文。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 日期：指公历日。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 时间：指北京时间。</w:t>
      </w:r>
    </w:p>
    <w:p>
      <w:pPr>
        <w:pStyle w:val="4"/>
        <w:adjustRightInd/>
        <w:spacing w:line="360" w:lineRule="auto"/>
        <w:ind w:firstLine="420" w:firstLineChars="200"/>
        <w:rPr>
          <w:rFonts w:hAnsi="宋体"/>
          <w:color w:val="auto"/>
          <w:sz w:val="21"/>
          <w:szCs w:val="21"/>
          <w:highlight w:val="none"/>
        </w:rPr>
      </w:pPr>
      <w:bookmarkStart w:id="20" w:name="_Toc367"/>
      <w:bookmarkStart w:id="21" w:name="_Toc110953831"/>
      <w:bookmarkStart w:id="22" w:name="_Toc7897864"/>
      <w:bookmarkStart w:id="23" w:name="_Toc24709"/>
      <w:bookmarkStart w:id="24" w:name="_Toc6968688"/>
      <w:bookmarkStart w:id="25" w:name="_Toc6882676"/>
      <w:bookmarkStart w:id="26" w:name="_Toc507407360"/>
      <w:bookmarkStart w:id="27" w:name="_Toc466786435"/>
      <w:bookmarkStart w:id="28" w:name="_Toc102277757"/>
      <w:r>
        <w:rPr>
          <w:rFonts w:hint="eastAsia" w:hAnsi="宋体"/>
          <w:color w:val="auto"/>
          <w:sz w:val="21"/>
          <w:szCs w:val="21"/>
          <w:highlight w:val="none"/>
        </w:rPr>
        <w:t>3.适用法律</w:t>
      </w:r>
      <w:bookmarkEnd w:id="20"/>
      <w:bookmarkEnd w:id="21"/>
      <w:bookmarkEnd w:id="22"/>
      <w:bookmarkEnd w:id="2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采购人、供应商和采购代理机构均应当参照东莞市大学创新城建设发展有限公司相关招标采购规定执行。</w:t>
      </w:r>
    </w:p>
    <w:p>
      <w:pPr>
        <w:pStyle w:val="4"/>
        <w:adjustRightInd/>
        <w:spacing w:line="360" w:lineRule="auto"/>
        <w:ind w:firstLine="420" w:firstLineChars="200"/>
        <w:rPr>
          <w:rFonts w:hAnsi="宋体"/>
          <w:color w:val="auto"/>
          <w:sz w:val="21"/>
          <w:szCs w:val="21"/>
          <w:highlight w:val="none"/>
          <w:lang w:val="zh-CN"/>
        </w:rPr>
      </w:pPr>
      <w:bookmarkStart w:id="29" w:name="_Toc20707"/>
      <w:bookmarkStart w:id="30" w:name="_Toc110953833"/>
      <w:bookmarkStart w:id="31" w:name="_Toc7897866"/>
      <w:bookmarkStart w:id="32" w:name="_Toc10397"/>
      <w:r>
        <w:rPr>
          <w:rFonts w:hint="eastAsia" w:hAnsi="宋体"/>
          <w:color w:val="auto"/>
          <w:sz w:val="21"/>
          <w:szCs w:val="21"/>
          <w:highlight w:val="none"/>
          <w:lang w:val="zh-CN"/>
        </w:rPr>
        <w:t>4</w:t>
      </w:r>
      <w:r>
        <w:rPr>
          <w:rFonts w:hint="eastAsia" w:hAnsi="宋体"/>
          <w:color w:val="auto"/>
          <w:sz w:val="21"/>
          <w:szCs w:val="21"/>
          <w:highlight w:val="none"/>
        </w:rPr>
        <w:t>.</w:t>
      </w:r>
      <w:r>
        <w:rPr>
          <w:rFonts w:hint="eastAsia" w:hAnsi="宋体"/>
          <w:color w:val="auto"/>
          <w:sz w:val="21"/>
          <w:szCs w:val="21"/>
          <w:highlight w:val="none"/>
          <w:lang w:val="zh-CN"/>
        </w:rPr>
        <w:t>本项目不接受联合体磋商。</w:t>
      </w:r>
      <w:bookmarkEnd w:id="29"/>
    </w:p>
    <w:p>
      <w:pPr>
        <w:pStyle w:val="4"/>
        <w:adjustRightInd/>
        <w:spacing w:line="360" w:lineRule="auto"/>
        <w:ind w:firstLine="420" w:firstLineChars="200"/>
        <w:rPr>
          <w:rFonts w:hAnsi="宋体"/>
          <w:bCs/>
          <w:color w:val="auto"/>
          <w:sz w:val="21"/>
          <w:szCs w:val="21"/>
          <w:highlight w:val="none"/>
        </w:rPr>
      </w:pPr>
      <w:bookmarkStart w:id="33" w:name="_Toc10368"/>
      <w:r>
        <w:rPr>
          <w:rFonts w:hint="eastAsia" w:hAnsi="宋体"/>
          <w:color w:val="auto"/>
          <w:sz w:val="21"/>
          <w:szCs w:val="21"/>
          <w:highlight w:val="none"/>
        </w:rPr>
        <w:t>5.禁止事项</w:t>
      </w:r>
      <w:bookmarkEnd w:id="30"/>
      <w:bookmarkEnd w:id="31"/>
      <w:bookmarkEnd w:id="32"/>
      <w:bookmarkEnd w:id="33"/>
    </w:p>
    <w:p>
      <w:pPr>
        <w:spacing w:line="360" w:lineRule="auto"/>
        <w:ind w:firstLine="420" w:firstLineChars="200"/>
        <w:rPr>
          <w:rFonts w:hAnsi="宋体"/>
          <w:color w:val="auto"/>
          <w:sz w:val="21"/>
          <w:szCs w:val="21"/>
          <w:highlight w:val="none"/>
        </w:rPr>
      </w:pPr>
      <w:bookmarkStart w:id="34" w:name="_Toc98126218"/>
      <w:bookmarkStart w:id="35" w:name="_Toc98126293"/>
      <w:r>
        <w:rPr>
          <w:rFonts w:hint="eastAsia" w:hAnsi="宋体"/>
          <w:color w:val="auto"/>
          <w:sz w:val="21"/>
          <w:szCs w:val="21"/>
          <w:highlight w:val="none"/>
        </w:rPr>
        <w:t>5.1采购人、供应商和采购代理机构不得相互串通损害国家利益、社会公共利益和其他当事人的合法权益。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5.2供应商不得向采购人、采购代理机构、磋商小组的组成人员行贿或者采取其他不正当手段谋取成交。</w:t>
      </w:r>
      <w:bookmarkEnd w:id="34"/>
      <w:bookmarkEnd w:id="35"/>
    </w:p>
    <w:p>
      <w:pPr>
        <w:spacing w:line="360" w:lineRule="auto"/>
        <w:ind w:firstLine="420" w:firstLineChars="200"/>
        <w:rPr>
          <w:rFonts w:hAnsi="宋体"/>
          <w:color w:val="auto"/>
          <w:sz w:val="21"/>
          <w:szCs w:val="21"/>
          <w:highlight w:val="none"/>
        </w:rPr>
      </w:pPr>
      <w:bookmarkStart w:id="36" w:name="_Toc98126294"/>
      <w:bookmarkStart w:id="37" w:name="_Toc98126219"/>
      <w:r>
        <w:rPr>
          <w:rFonts w:hint="eastAsia" w:hAnsi="宋体"/>
          <w:color w:val="auto"/>
          <w:sz w:val="21"/>
          <w:szCs w:val="21"/>
          <w:highlight w:val="none"/>
        </w:rPr>
        <w:t>5.3采购代理机构不得向采购人行贿或者采取其他不正当手段谋取非法利益。</w:t>
      </w:r>
      <w:bookmarkEnd w:id="36"/>
      <w:bookmarkEnd w:id="37"/>
    </w:p>
    <w:p>
      <w:pPr>
        <w:spacing w:line="360" w:lineRule="auto"/>
        <w:ind w:firstLine="420" w:firstLineChars="200"/>
        <w:rPr>
          <w:rFonts w:hAnsi="宋体"/>
          <w:color w:val="auto"/>
          <w:sz w:val="21"/>
          <w:szCs w:val="21"/>
          <w:highlight w:val="none"/>
        </w:rPr>
      </w:pPr>
      <w:bookmarkStart w:id="38" w:name="_Toc98126220"/>
      <w:bookmarkStart w:id="39" w:name="_Toc98126295"/>
      <w:r>
        <w:rPr>
          <w:rFonts w:hint="eastAsia" w:hAnsi="宋体"/>
          <w:color w:val="auto"/>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38"/>
      <w:bookmarkEnd w:id="39"/>
    </w:p>
    <w:p>
      <w:pPr>
        <w:pStyle w:val="4"/>
        <w:adjustRightInd/>
        <w:spacing w:line="360" w:lineRule="auto"/>
        <w:ind w:firstLine="420" w:firstLineChars="200"/>
        <w:rPr>
          <w:rFonts w:hAnsi="宋体"/>
          <w:bCs/>
          <w:color w:val="auto"/>
          <w:sz w:val="21"/>
          <w:szCs w:val="21"/>
          <w:highlight w:val="none"/>
        </w:rPr>
      </w:pPr>
      <w:bookmarkStart w:id="40" w:name="_Toc110953834"/>
      <w:bookmarkStart w:id="41" w:name="_Toc2863"/>
      <w:bookmarkStart w:id="42" w:name="_Toc7897867"/>
      <w:bookmarkStart w:id="43" w:name="_Toc25870"/>
      <w:r>
        <w:rPr>
          <w:rFonts w:hint="eastAsia" w:hAnsi="宋体"/>
          <w:color w:val="auto"/>
          <w:sz w:val="21"/>
          <w:szCs w:val="21"/>
          <w:highlight w:val="none"/>
        </w:rPr>
        <w:t>6.保密及其它注意事项</w:t>
      </w:r>
      <w:bookmarkEnd w:id="40"/>
      <w:bookmarkEnd w:id="41"/>
      <w:bookmarkEnd w:id="42"/>
      <w:bookmarkEnd w:id="43"/>
    </w:p>
    <w:p>
      <w:pPr>
        <w:spacing w:line="360" w:lineRule="auto"/>
        <w:ind w:firstLine="420" w:firstLineChars="200"/>
        <w:rPr>
          <w:rFonts w:hAnsi="宋体"/>
          <w:color w:val="auto"/>
          <w:sz w:val="21"/>
          <w:szCs w:val="21"/>
          <w:highlight w:val="none"/>
        </w:rPr>
      </w:pPr>
      <w:bookmarkStart w:id="44" w:name="_Toc98126297"/>
      <w:bookmarkStart w:id="45" w:name="_Toc98126222"/>
      <w:r>
        <w:rPr>
          <w:rFonts w:hint="eastAsia" w:hAnsi="宋体"/>
          <w:color w:val="auto"/>
          <w:sz w:val="21"/>
          <w:szCs w:val="21"/>
          <w:highlight w:val="none"/>
        </w:rPr>
        <w:t>6.1凡参与采购工作的有关人员均应自觉接受有关主管部门的监督，不得向他人透露可能影响公平竞争的有关情况。</w:t>
      </w:r>
      <w:bookmarkEnd w:id="44"/>
      <w:bookmarkEnd w:id="4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6.3在评审期间，供应商不得向磋商小组成员询问评审情况，不得进行旨在影响评审结果的活动。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6.4磋商小组不向未成交供应商解释落选原因，不退还响应文件。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6.5所有供应商自行承担与响应有关的全部费用。采购人和采购代理机构在任何情况下均不承担该费用。</w:t>
      </w:r>
    </w:p>
    <w:p>
      <w:pPr>
        <w:pStyle w:val="4"/>
        <w:adjustRightInd/>
        <w:spacing w:line="360" w:lineRule="auto"/>
        <w:ind w:firstLine="420" w:firstLineChars="200"/>
        <w:rPr>
          <w:rFonts w:hAnsi="宋体"/>
          <w:color w:val="auto"/>
          <w:sz w:val="21"/>
          <w:szCs w:val="21"/>
          <w:highlight w:val="none"/>
        </w:rPr>
      </w:pPr>
      <w:bookmarkStart w:id="46" w:name="_Toc13371"/>
      <w:bookmarkStart w:id="47" w:name="_Toc497016085"/>
      <w:bookmarkStart w:id="48" w:name="_Toc27298"/>
      <w:bookmarkStart w:id="49" w:name="_Toc7897868"/>
      <w:r>
        <w:rPr>
          <w:rFonts w:hint="eastAsia" w:hAnsi="宋体"/>
          <w:color w:val="auto"/>
          <w:sz w:val="21"/>
          <w:szCs w:val="21"/>
          <w:highlight w:val="none"/>
        </w:rPr>
        <w:t>7.供应商诚信管理</w:t>
      </w:r>
      <w:bookmarkEnd w:id="46"/>
      <w:bookmarkEnd w:id="47"/>
      <w:bookmarkEnd w:id="48"/>
      <w:bookmarkEnd w:id="4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7.2如果采购人或采购代理机构有证据表明供应商在本磋商项目的竞争中存在腐败、欺诈或其他严重违背诚信原则的行为，则将拒绝其响应。</w:t>
      </w:r>
    </w:p>
    <w:p>
      <w:pPr>
        <w:spacing w:line="360" w:lineRule="auto"/>
        <w:rPr>
          <w:rFonts w:hAnsi="宋体"/>
          <w:color w:val="auto"/>
          <w:sz w:val="21"/>
          <w:szCs w:val="21"/>
          <w:highlight w:val="none"/>
        </w:rPr>
      </w:pPr>
    </w:p>
    <w:p>
      <w:pPr>
        <w:pStyle w:val="2"/>
        <w:adjustRightInd/>
        <w:spacing w:line="360" w:lineRule="auto"/>
        <w:ind w:firstLine="562" w:firstLineChars="200"/>
        <w:jc w:val="center"/>
        <w:rPr>
          <w:color w:val="auto"/>
          <w:sz w:val="28"/>
          <w:szCs w:val="28"/>
          <w:highlight w:val="none"/>
        </w:rPr>
      </w:pPr>
      <w:bookmarkStart w:id="50" w:name="_Toc23741"/>
      <w:bookmarkStart w:id="51" w:name="_Toc7897869"/>
      <w:r>
        <w:rPr>
          <w:rFonts w:hint="eastAsia"/>
          <w:color w:val="auto"/>
          <w:sz w:val="28"/>
          <w:szCs w:val="28"/>
          <w:highlight w:val="none"/>
        </w:rPr>
        <w:t>二、磋商文件说明</w:t>
      </w:r>
      <w:bookmarkEnd w:id="24"/>
      <w:bookmarkEnd w:id="25"/>
      <w:bookmarkEnd w:id="26"/>
      <w:bookmarkEnd w:id="27"/>
      <w:bookmarkEnd w:id="28"/>
      <w:bookmarkEnd w:id="50"/>
      <w:bookmarkEnd w:id="51"/>
    </w:p>
    <w:p>
      <w:pPr>
        <w:pStyle w:val="4"/>
        <w:adjustRightInd/>
        <w:spacing w:line="360" w:lineRule="auto"/>
        <w:ind w:firstLine="420" w:firstLineChars="200"/>
        <w:rPr>
          <w:rFonts w:hAnsi="宋体"/>
          <w:color w:val="auto"/>
          <w:sz w:val="21"/>
          <w:szCs w:val="21"/>
          <w:highlight w:val="none"/>
        </w:rPr>
      </w:pPr>
      <w:bookmarkStart w:id="52" w:name="_Toc23606"/>
      <w:bookmarkStart w:id="53" w:name="_Toc29560"/>
      <w:bookmarkStart w:id="54" w:name="_Toc7897870"/>
      <w:bookmarkStart w:id="55" w:name="_Toc110953836"/>
      <w:bookmarkStart w:id="56" w:name="_Toc507407361"/>
      <w:bookmarkStart w:id="57" w:name="_Toc6968689"/>
      <w:bookmarkStart w:id="58" w:name="_Toc102277758"/>
      <w:bookmarkStart w:id="59" w:name="_Toc6882677"/>
      <w:bookmarkStart w:id="60" w:name="_Toc466786436"/>
      <w:r>
        <w:rPr>
          <w:rFonts w:hint="eastAsia" w:hAnsi="宋体"/>
          <w:color w:val="auto"/>
          <w:sz w:val="21"/>
          <w:szCs w:val="21"/>
          <w:highlight w:val="none"/>
        </w:rPr>
        <w:t>8.磋商文件构成</w:t>
      </w:r>
      <w:bookmarkEnd w:id="52"/>
      <w:bookmarkEnd w:id="53"/>
      <w:bookmarkEnd w:id="54"/>
      <w:bookmarkEnd w:id="5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8.1磋商文件用以阐明项目情况、评审程序、评审办法、定标标准和合同条款参考范本和响应文件的制作等，由采购邀请函、采购需求、供应商须知、响应文件格式和合同范本构成。</w:t>
      </w:r>
    </w:p>
    <w:p>
      <w:pPr>
        <w:pStyle w:val="4"/>
        <w:adjustRightInd/>
        <w:spacing w:line="360" w:lineRule="auto"/>
        <w:ind w:firstLine="420" w:firstLineChars="200"/>
        <w:rPr>
          <w:rFonts w:hAnsi="宋体"/>
          <w:color w:val="auto"/>
          <w:sz w:val="21"/>
          <w:szCs w:val="21"/>
          <w:highlight w:val="none"/>
        </w:rPr>
      </w:pPr>
      <w:bookmarkStart w:id="61" w:name="_Toc110953837"/>
      <w:bookmarkStart w:id="62" w:name="_Toc7897871"/>
      <w:bookmarkStart w:id="63" w:name="_Toc19701"/>
      <w:bookmarkStart w:id="64" w:name="_Toc16827"/>
      <w:r>
        <w:rPr>
          <w:rFonts w:hint="eastAsia" w:hAnsi="宋体"/>
          <w:color w:val="auto"/>
          <w:sz w:val="21"/>
          <w:szCs w:val="21"/>
          <w:highlight w:val="none"/>
        </w:rPr>
        <w:t>9.磋商文件的修改</w:t>
      </w:r>
      <w:bookmarkEnd w:id="61"/>
      <w:bookmarkEnd w:id="62"/>
      <w:bookmarkEnd w:id="63"/>
      <w:bookmarkEnd w:id="6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9.2如果修改的时间距响应文件递交截止时间不足5日的，将相应顺延递交首次响应文件截止时间。</w:t>
      </w:r>
    </w:p>
    <w:p>
      <w:pPr>
        <w:pStyle w:val="5"/>
        <w:ind w:firstLine="400"/>
        <w:rPr>
          <w:color w:val="auto"/>
          <w:highlight w:val="none"/>
        </w:rPr>
      </w:pPr>
    </w:p>
    <w:bookmarkEnd w:id="56"/>
    <w:bookmarkEnd w:id="57"/>
    <w:bookmarkEnd w:id="58"/>
    <w:bookmarkEnd w:id="59"/>
    <w:bookmarkEnd w:id="60"/>
    <w:p>
      <w:pPr>
        <w:pStyle w:val="2"/>
        <w:adjustRightInd/>
        <w:spacing w:line="360" w:lineRule="auto"/>
        <w:ind w:firstLine="562" w:firstLineChars="200"/>
        <w:jc w:val="center"/>
        <w:rPr>
          <w:color w:val="auto"/>
          <w:sz w:val="28"/>
          <w:szCs w:val="28"/>
          <w:highlight w:val="none"/>
        </w:rPr>
      </w:pPr>
      <w:bookmarkStart w:id="65" w:name="_Toc7897872"/>
      <w:bookmarkStart w:id="66" w:name="_Toc15398"/>
      <w:bookmarkStart w:id="67" w:name="_Toc110953838"/>
      <w:bookmarkStart w:id="68" w:name="_Toc6968690"/>
      <w:bookmarkStart w:id="69" w:name="_Toc466786437"/>
      <w:bookmarkStart w:id="70" w:name="_Toc102277759"/>
      <w:bookmarkStart w:id="71" w:name="_Toc6882678"/>
      <w:bookmarkStart w:id="72" w:name="_Toc507407362"/>
      <w:r>
        <w:rPr>
          <w:rFonts w:hint="eastAsia"/>
          <w:color w:val="auto"/>
          <w:sz w:val="28"/>
          <w:szCs w:val="28"/>
          <w:highlight w:val="none"/>
        </w:rPr>
        <w:t>三、响应文件的制作</w:t>
      </w:r>
      <w:bookmarkEnd w:id="65"/>
      <w:bookmarkEnd w:id="66"/>
      <w:bookmarkEnd w:id="67"/>
    </w:p>
    <w:p>
      <w:pPr>
        <w:pStyle w:val="4"/>
        <w:adjustRightInd/>
        <w:spacing w:line="360" w:lineRule="auto"/>
        <w:ind w:firstLine="420" w:firstLineChars="200"/>
        <w:rPr>
          <w:rFonts w:hAnsi="宋体"/>
          <w:color w:val="auto"/>
          <w:sz w:val="21"/>
          <w:szCs w:val="21"/>
          <w:highlight w:val="none"/>
        </w:rPr>
      </w:pPr>
      <w:bookmarkStart w:id="73" w:name="_Toc15756"/>
      <w:bookmarkStart w:id="74" w:name="_Toc23789"/>
      <w:bookmarkStart w:id="75" w:name="_Toc7897873"/>
      <w:bookmarkStart w:id="76" w:name="_Toc110953839"/>
      <w:r>
        <w:rPr>
          <w:rFonts w:hint="eastAsia" w:hAnsi="宋体"/>
          <w:color w:val="auto"/>
          <w:sz w:val="21"/>
          <w:szCs w:val="21"/>
          <w:highlight w:val="none"/>
        </w:rPr>
        <w:t>10.制作要求</w:t>
      </w:r>
      <w:bookmarkEnd w:id="73"/>
      <w:bookmarkEnd w:id="74"/>
      <w:bookmarkEnd w:id="75"/>
      <w:bookmarkEnd w:id="7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w:t>
      </w:r>
      <w:r>
        <w:rPr>
          <w:rFonts w:hint="eastAsia" w:hAnsi="宋体"/>
          <w:b/>
          <w:color w:val="auto"/>
          <w:sz w:val="21"/>
          <w:szCs w:val="21"/>
          <w:highlight w:val="none"/>
        </w:rPr>
        <w:t>3供应商应提供正本一份、副本三份、唱标信封一份。</w:t>
      </w:r>
      <w:r>
        <w:rPr>
          <w:rFonts w:hint="eastAsia" w:hAnsi="宋体"/>
          <w:color w:val="auto"/>
          <w:sz w:val="21"/>
          <w:szCs w:val="21"/>
          <w:highlight w:val="none"/>
        </w:rPr>
        <w:t>在每一份响应文件上要明确注明“正本”、“副本”或“唱标信封”字样，一旦正本和副本有差异，以正本为准。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10.6电报、电话、传真、电子邮件形式的响应概不接受。</w:t>
      </w:r>
    </w:p>
    <w:p>
      <w:pPr>
        <w:pStyle w:val="4"/>
        <w:adjustRightInd/>
        <w:spacing w:line="360" w:lineRule="auto"/>
        <w:ind w:firstLine="420" w:firstLineChars="200"/>
        <w:rPr>
          <w:rFonts w:hAnsi="宋体"/>
          <w:color w:val="auto"/>
          <w:sz w:val="21"/>
          <w:szCs w:val="21"/>
          <w:highlight w:val="none"/>
        </w:rPr>
      </w:pPr>
      <w:bookmarkStart w:id="77" w:name="_Toc110953840"/>
      <w:bookmarkStart w:id="78" w:name="_Toc20552"/>
      <w:bookmarkStart w:id="79" w:name="_Toc18079"/>
      <w:bookmarkStart w:id="80" w:name="_Toc7897874"/>
      <w:r>
        <w:rPr>
          <w:rFonts w:hint="eastAsia" w:hAnsi="宋体"/>
          <w:color w:val="auto"/>
          <w:sz w:val="21"/>
          <w:szCs w:val="21"/>
          <w:highlight w:val="none"/>
        </w:rPr>
        <w:t>11.响应文件的内容</w:t>
      </w:r>
      <w:bookmarkEnd w:id="77"/>
      <w:bookmarkEnd w:id="78"/>
      <w:bookmarkEnd w:id="79"/>
      <w:bookmarkEnd w:id="8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11.1响应文件应包括下列部分：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11.1.1价格文件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11.1.2商务、技术文件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11.1.3唱标信封（须独立密封）</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供应商应如实详细提供第11.1款所要求的全部资料，价格部分文件必须单独装订成册，商务、技术和其他证明资料等磋商响应文件不能出现磋商价格。</w:t>
      </w:r>
    </w:p>
    <w:p>
      <w:pPr>
        <w:spacing w:line="360" w:lineRule="auto"/>
        <w:rPr>
          <w:rFonts w:hAnsi="宋体"/>
          <w:color w:val="auto"/>
          <w:sz w:val="21"/>
          <w:szCs w:val="21"/>
          <w:highlight w:val="none"/>
        </w:rPr>
      </w:pPr>
      <w:r>
        <w:rPr>
          <w:rFonts w:hint="eastAsia" w:hAnsi="宋体"/>
          <w:color w:val="auto"/>
          <w:sz w:val="21"/>
          <w:szCs w:val="21"/>
          <w:highlight w:val="none"/>
        </w:rPr>
        <w:t>11.2响应（磋商）报价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（1）响应（磋商）报价应为人民币含税全包价，报价应包含服务及所需的各种税费、售后服务费及合同实施过程中的应预见和不可预见费用等完成合同规定责任和义务、达到合同目的的一切费用。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（2）磋商报价应包括所有应支付的对专利权和版权、设计或其他知识产权而需要向其他方支付的版税。</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（3）供应商应按响应文件的《报价一览表》格式填写响应内容的单价和总价。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（4）</w:t>
      </w:r>
      <w:r>
        <w:rPr>
          <w:rFonts w:hint="eastAsia" w:hAnsi="宋体"/>
          <w:b/>
          <w:bCs/>
          <w:color w:val="auto"/>
          <w:sz w:val="21"/>
          <w:szCs w:val="21"/>
          <w:highlight w:val="none"/>
        </w:rPr>
        <w:t>供应商每次报价超过最高限价视为非实质性响应磋商而予以拒绝。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（5）经磋商后，供应商所报的最后磋商报价在合同执行过程中是固定不变的，不得以任何理由予以变更。</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（6）供应商只能就单个项目提供唯一的方案和报价，不接受选择性的方案和报价。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11.3证明供应商合格和资格的文件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11.4供应商应当提交具备履行合同的证明文件。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11.5证明文件包括：履行合同所必须具备的财务能力证明、技术能力证明，符合磋商文件资格要求的证明等。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11.6证明服务的合格性和符合磋商文件规定的文件。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11.7供应商应提交其拟供的合同项下的服务的合格性符合磋商文件规定的证明文件，并作为其响应文件的一部分。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4"/>
        <w:adjustRightInd/>
        <w:spacing w:line="360" w:lineRule="auto"/>
        <w:ind w:firstLine="420" w:firstLineChars="200"/>
        <w:rPr>
          <w:rFonts w:hAnsi="宋体"/>
          <w:color w:val="auto"/>
          <w:sz w:val="21"/>
          <w:szCs w:val="21"/>
          <w:highlight w:val="none"/>
        </w:rPr>
      </w:pPr>
      <w:bookmarkStart w:id="81" w:name="_Toc7897875"/>
      <w:bookmarkStart w:id="82" w:name="_Toc21763"/>
      <w:bookmarkStart w:id="83" w:name="_Toc110953841"/>
      <w:bookmarkStart w:id="84" w:name="_Toc9150"/>
      <w:r>
        <w:rPr>
          <w:rFonts w:hint="eastAsia" w:hAnsi="宋体"/>
          <w:color w:val="auto"/>
          <w:sz w:val="21"/>
          <w:szCs w:val="21"/>
          <w:highlight w:val="none"/>
        </w:rPr>
        <w:t>12.响应文件格式</w:t>
      </w:r>
      <w:bookmarkEnd w:id="81"/>
      <w:bookmarkEnd w:id="82"/>
      <w:bookmarkEnd w:id="83"/>
      <w:bookmarkEnd w:id="8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4"/>
        <w:adjustRightInd/>
        <w:spacing w:line="360" w:lineRule="auto"/>
        <w:ind w:firstLine="420" w:firstLineChars="200"/>
        <w:rPr>
          <w:rFonts w:hAnsi="宋体"/>
          <w:color w:val="auto"/>
          <w:sz w:val="21"/>
          <w:szCs w:val="21"/>
          <w:highlight w:val="none"/>
        </w:rPr>
      </w:pPr>
      <w:bookmarkStart w:id="85" w:name="_Toc185150707"/>
      <w:bookmarkStart w:id="86" w:name="_Toc24570"/>
      <w:bookmarkStart w:id="87" w:name="_Toc30889"/>
      <w:bookmarkStart w:id="88" w:name="_Toc7897876"/>
      <w:r>
        <w:rPr>
          <w:rFonts w:hint="eastAsia" w:hAnsi="宋体"/>
          <w:color w:val="auto"/>
          <w:sz w:val="21"/>
          <w:szCs w:val="21"/>
          <w:highlight w:val="none"/>
        </w:rPr>
        <w:t>13.</w:t>
      </w:r>
      <w:bookmarkEnd w:id="85"/>
      <w:r>
        <w:rPr>
          <w:rFonts w:hint="eastAsia" w:hAnsi="宋体"/>
          <w:color w:val="auto"/>
          <w:sz w:val="21"/>
          <w:szCs w:val="21"/>
          <w:highlight w:val="none"/>
        </w:rPr>
        <w:t>磋商保证金</w:t>
      </w:r>
      <w:bookmarkEnd w:id="86"/>
      <w:bookmarkEnd w:id="87"/>
      <w:bookmarkEnd w:id="8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13.1供应商应向采购代理机构提交磋商保证金，并作为其响应文件的一部分。磋商保证金的金额：</w:t>
      </w:r>
    </w:p>
    <w:tbl>
      <w:tblPr>
        <w:tblStyle w:val="51"/>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7"/>
        <w:gridCol w:w="3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5347"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内容</w:t>
            </w:r>
          </w:p>
        </w:tc>
        <w:tc>
          <w:tcPr>
            <w:tcW w:w="3461"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7" w:type="dxa"/>
            <w:vAlign w:val="center"/>
          </w:tcPr>
          <w:p>
            <w:pPr>
              <w:widowControl/>
              <w:jc w:val="center"/>
              <w:rPr>
                <w:rFonts w:hAnsi="宋体"/>
                <w:color w:val="auto"/>
                <w:sz w:val="21"/>
                <w:szCs w:val="21"/>
                <w:highlight w:val="none"/>
              </w:rPr>
            </w:pPr>
            <w:r>
              <w:rPr>
                <w:rFonts w:hint="eastAsia" w:hAnsi="宋体"/>
                <w:color w:val="auto"/>
                <w:sz w:val="21"/>
                <w:szCs w:val="21"/>
                <w:highlight w:val="none"/>
              </w:rPr>
              <w:t>松山湖国际创新创业社区室外品质提升设计项目</w:t>
            </w:r>
          </w:p>
        </w:tc>
        <w:tc>
          <w:tcPr>
            <w:tcW w:w="3461" w:type="dxa"/>
            <w:vAlign w:val="center"/>
          </w:tcPr>
          <w:p>
            <w:pPr>
              <w:widowControl/>
              <w:jc w:val="center"/>
              <w:rPr>
                <w:rFonts w:hAnsi="宋体"/>
                <w:color w:val="auto"/>
                <w:sz w:val="21"/>
                <w:szCs w:val="21"/>
                <w:highlight w:val="none"/>
              </w:rPr>
            </w:pPr>
            <w:r>
              <w:rPr>
                <w:rFonts w:hint="eastAsia" w:hAnsi="宋体"/>
                <w:color w:val="auto"/>
                <w:sz w:val="21"/>
                <w:szCs w:val="21"/>
                <w:highlight w:val="none"/>
              </w:rPr>
              <w:t>壹万</w:t>
            </w:r>
            <w:r>
              <w:rPr>
                <w:rFonts w:hint="eastAsia" w:hAnsi="宋体"/>
                <w:color w:val="auto"/>
                <w:sz w:val="21"/>
                <w:szCs w:val="21"/>
                <w:highlight w:val="none"/>
                <w:lang w:eastAsia="zh-CN"/>
              </w:rPr>
              <w:t>玖</w:t>
            </w:r>
            <w:r>
              <w:rPr>
                <w:rFonts w:hint="eastAsia" w:hAnsi="宋体"/>
                <w:color w:val="auto"/>
                <w:sz w:val="21"/>
                <w:szCs w:val="21"/>
                <w:highlight w:val="none"/>
              </w:rPr>
              <w:t>仟</w:t>
            </w:r>
            <w:r>
              <w:rPr>
                <w:rFonts w:hint="eastAsia" w:hAnsi="宋体"/>
                <w:color w:val="auto"/>
                <w:sz w:val="21"/>
                <w:szCs w:val="21"/>
                <w:highlight w:val="none"/>
                <w:lang w:eastAsia="zh-CN"/>
              </w:rPr>
              <w:t>叁佰贰拾陆</w:t>
            </w:r>
            <w:r>
              <w:rPr>
                <w:rFonts w:hint="eastAsia" w:hAnsi="宋体"/>
                <w:color w:val="auto"/>
                <w:sz w:val="21"/>
                <w:szCs w:val="21"/>
                <w:highlight w:val="none"/>
              </w:rPr>
              <w:t>元整（¥1</w:t>
            </w:r>
            <w:r>
              <w:rPr>
                <w:rFonts w:hint="eastAsia" w:hAnsi="宋体"/>
                <w:color w:val="auto"/>
                <w:sz w:val="21"/>
                <w:szCs w:val="21"/>
                <w:highlight w:val="none"/>
                <w:lang w:val="en-US" w:eastAsia="zh-CN"/>
              </w:rPr>
              <w:t>9326</w:t>
            </w:r>
            <w:r>
              <w:rPr>
                <w:rFonts w:hint="eastAsia" w:hAnsi="宋体"/>
                <w:color w:val="auto"/>
                <w:sz w:val="21"/>
                <w:szCs w:val="21"/>
                <w:highlight w:val="none"/>
              </w:rPr>
              <w:t>.00元）</w:t>
            </w:r>
          </w:p>
        </w:tc>
      </w:tr>
    </w:tbl>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13.2供应商应按要求提交磋商保证金，供应商必须采用银行转账的形式缴交，磋商供应商与交款人名称必须一致，非磋商供应商缴纳的磋商保证金无效。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13.3磋商保证金以银行划账形式提交，应符合下列规定： </w:t>
      </w:r>
    </w:p>
    <w:p>
      <w:pPr>
        <w:tabs>
          <w:tab w:val="left" w:pos="567"/>
        </w:tabs>
        <w:spacing w:line="360" w:lineRule="auto"/>
        <w:ind w:firstLine="420" w:firstLineChars="200"/>
        <w:jc w:val="both"/>
        <w:rPr>
          <w:rFonts w:hAnsi="宋体"/>
          <w:b/>
          <w:bCs/>
          <w:color w:val="auto"/>
          <w:kern w:val="2"/>
          <w:sz w:val="21"/>
          <w:szCs w:val="21"/>
          <w:highlight w:val="none"/>
          <w:lang w:val="zh-CN"/>
        </w:rPr>
      </w:pPr>
      <w:r>
        <w:rPr>
          <w:rFonts w:hint="eastAsia" w:hAnsi="宋体"/>
          <w:color w:val="auto"/>
          <w:kern w:val="2"/>
          <w:sz w:val="21"/>
          <w:szCs w:val="21"/>
          <w:highlight w:val="none"/>
          <w:lang w:val="zh-CN"/>
        </w:rPr>
        <w:t>磋商保证金采用转帐、电汇方式或银行保函方式方式提交，应符合以下要求：</w:t>
      </w:r>
      <w:r>
        <w:rPr>
          <w:rFonts w:hint="eastAsia" w:hAnsi="宋体"/>
          <w:b/>
          <w:bCs/>
          <w:color w:val="auto"/>
          <w:kern w:val="2"/>
          <w:sz w:val="21"/>
          <w:szCs w:val="21"/>
          <w:highlight w:val="none"/>
          <w:lang w:val="zh-CN"/>
        </w:rPr>
        <w:t>采用银行转账、电汇方式提交的，保证金汇入以下磋商保证金专用账户，不接收由以供应商分支机构、私人帐户和其他单位转入的保证金。</w:t>
      </w:r>
      <w:r>
        <w:rPr>
          <w:rFonts w:hint="eastAsia" w:hAnsi="宋体"/>
          <w:color w:val="auto"/>
          <w:kern w:val="2"/>
          <w:sz w:val="21"/>
          <w:szCs w:val="21"/>
          <w:highlight w:val="none"/>
          <w:lang w:val="zh-CN"/>
        </w:rPr>
        <w:t>磋商保证金必须在磋商响应文件递交截止前到账，磋商保证金未按规定时间到达指定账户或提交金额不足的，将被视为无效磋商。且在备注或用途中注明本项目的项目编号。</w:t>
      </w:r>
      <w:r>
        <w:rPr>
          <w:rFonts w:hint="eastAsia" w:hAnsi="宋体"/>
          <w:b/>
          <w:bCs/>
          <w:color w:val="auto"/>
          <w:kern w:val="2"/>
          <w:sz w:val="21"/>
          <w:szCs w:val="21"/>
          <w:highlight w:val="none"/>
          <w:lang w:val="zh-CN"/>
        </w:rPr>
        <w:t>采用银行保函方式递交的，请将保函原件于开标当天磋商截止时间前递交至采购代理机构。</w:t>
      </w:r>
    </w:p>
    <w:p>
      <w:pP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磋商保证金专用账户如下：</w:t>
      </w:r>
    </w:p>
    <w:p>
      <w:pP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账户名称：广东泰通伟业工程咨询有限公司</w:t>
      </w:r>
    </w:p>
    <w:p>
      <w:pP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账  号：6232590699050047107</w:t>
      </w:r>
    </w:p>
    <w:p>
      <w:pP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开户行：广发银行股份有限公司东莞东翔支行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13.5凡没有根据规定递交磋商保证金的，应视为非响应性磋商予以拒绝。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13.7下列任何情况发生时，磋商保证金将被没收：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13.7.1供应商在磋商文件中规定的磋商有效期内撤回其磋商；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13.7.2供应商串通磋商或者以其他弄虚作假方式磋商；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13.7.3成交供应商在规定期限内未能按规定签订合同；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13.7.4法律法规规定和磋商文件中规定的其它情况。</w:t>
      </w:r>
    </w:p>
    <w:p>
      <w:pPr>
        <w:pStyle w:val="4"/>
        <w:adjustRightInd/>
        <w:spacing w:line="360" w:lineRule="auto"/>
        <w:ind w:firstLine="420" w:firstLineChars="200"/>
        <w:rPr>
          <w:rFonts w:hAnsi="宋体"/>
          <w:color w:val="auto"/>
          <w:sz w:val="21"/>
          <w:szCs w:val="21"/>
          <w:highlight w:val="none"/>
        </w:rPr>
      </w:pPr>
      <w:bookmarkStart w:id="89" w:name="_Toc468606030"/>
      <w:bookmarkStart w:id="90" w:name="_Toc454701382"/>
      <w:bookmarkStart w:id="91" w:name="_Toc480020258"/>
      <w:bookmarkStart w:id="92" w:name="_Toc480010709"/>
      <w:bookmarkStart w:id="93" w:name="_Toc503758471"/>
      <w:bookmarkStart w:id="94" w:name="_Toc480021054"/>
      <w:bookmarkStart w:id="95" w:name="_Toc467987824"/>
      <w:bookmarkStart w:id="96" w:name="_Toc458262615"/>
      <w:bookmarkStart w:id="97" w:name="_Toc467236741"/>
      <w:bookmarkStart w:id="98" w:name="_Toc32304"/>
      <w:bookmarkStart w:id="99" w:name="_Toc468157537"/>
      <w:bookmarkStart w:id="100" w:name="_Toc7897877"/>
      <w:bookmarkStart w:id="101" w:name="_Toc2525"/>
      <w:bookmarkStart w:id="102" w:name="_Toc480171880"/>
      <w:bookmarkStart w:id="103" w:name="_Toc479991583"/>
      <w:bookmarkStart w:id="104" w:name="_Toc110953842"/>
      <w:r>
        <w:rPr>
          <w:rFonts w:hint="eastAsia" w:hAnsi="宋体"/>
          <w:color w:val="auto"/>
          <w:sz w:val="21"/>
          <w:szCs w:val="21"/>
          <w:highlight w:val="none"/>
        </w:rPr>
        <w:t>14.响应有效期</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14.1响应文件从开启响应文件之日起，响应有效期为90个工作日。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5"/>
        <w:ind w:firstLine="400"/>
        <w:rPr>
          <w:color w:val="auto"/>
          <w:highlight w:val="none"/>
        </w:rPr>
      </w:pPr>
    </w:p>
    <w:bookmarkEnd w:id="68"/>
    <w:bookmarkEnd w:id="69"/>
    <w:bookmarkEnd w:id="70"/>
    <w:bookmarkEnd w:id="71"/>
    <w:bookmarkEnd w:id="72"/>
    <w:p>
      <w:pPr>
        <w:pStyle w:val="2"/>
        <w:adjustRightInd/>
        <w:spacing w:line="360" w:lineRule="auto"/>
        <w:ind w:firstLine="562" w:firstLineChars="200"/>
        <w:jc w:val="center"/>
        <w:rPr>
          <w:color w:val="auto"/>
          <w:sz w:val="28"/>
          <w:szCs w:val="28"/>
          <w:highlight w:val="none"/>
        </w:rPr>
      </w:pPr>
      <w:bookmarkStart w:id="105" w:name="_Toc110953843"/>
      <w:bookmarkStart w:id="106" w:name="_Toc7897878"/>
      <w:bookmarkStart w:id="107" w:name="_Toc17761"/>
      <w:bookmarkStart w:id="108" w:name="_Toc466786438"/>
      <w:bookmarkStart w:id="109" w:name="_Toc102277760"/>
      <w:bookmarkStart w:id="110" w:name="_Toc6882679"/>
      <w:bookmarkStart w:id="111" w:name="_Toc507407363"/>
      <w:bookmarkStart w:id="112" w:name="_Toc6968691"/>
      <w:r>
        <w:rPr>
          <w:rFonts w:hint="eastAsia"/>
          <w:color w:val="auto"/>
          <w:sz w:val="28"/>
          <w:szCs w:val="28"/>
          <w:highlight w:val="none"/>
        </w:rPr>
        <w:t>四、响应文件的递交</w:t>
      </w:r>
      <w:bookmarkEnd w:id="105"/>
      <w:bookmarkEnd w:id="106"/>
      <w:bookmarkEnd w:id="107"/>
    </w:p>
    <w:p>
      <w:pPr>
        <w:pStyle w:val="4"/>
        <w:adjustRightInd/>
        <w:spacing w:line="360" w:lineRule="auto"/>
        <w:ind w:firstLine="420" w:firstLineChars="200"/>
        <w:rPr>
          <w:rFonts w:hAnsi="宋体"/>
          <w:color w:val="auto"/>
          <w:sz w:val="21"/>
          <w:szCs w:val="21"/>
          <w:highlight w:val="none"/>
        </w:rPr>
      </w:pPr>
      <w:bookmarkStart w:id="113" w:name="_Toc11500"/>
      <w:bookmarkStart w:id="114" w:name="_Toc7897879"/>
      <w:bookmarkStart w:id="115" w:name="_Toc2684"/>
      <w:bookmarkStart w:id="116" w:name="_Toc110953844"/>
      <w:r>
        <w:rPr>
          <w:rFonts w:hint="eastAsia" w:hAnsi="宋体"/>
          <w:color w:val="auto"/>
          <w:sz w:val="21"/>
          <w:szCs w:val="21"/>
          <w:highlight w:val="none"/>
        </w:rPr>
        <w:t>15.响应文件的密封和标记</w:t>
      </w:r>
      <w:bookmarkEnd w:id="113"/>
      <w:bookmarkEnd w:id="114"/>
      <w:bookmarkEnd w:id="115"/>
      <w:bookmarkEnd w:id="11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15.1供应商应将响应文件正本和副本用信封分别密封，并标明供应商的名称、采购编号及“正本”或“副本”字样。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15.2唱标信封应单独密封，与磋商响应文件一同提交。</w:t>
      </w:r>
    </w:p>
    <w:p>
      <w:pPr>
        <w:tabs>
          <w:tab w:val="left" w:pos="567"/>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15.3在磋商响应文件密封袋上均应标明以下内容：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① 收 件 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② 项目名称：；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③ 采购编号：；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④        年   月   日   时   分开标，此时间以前不得开封；</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⑤ 标明供应商名称、地址、联系人和电话以及文件的种类（如价格文件、商务技术文件、唱标信封等）。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15.4供应商应按上述规定进行密封和标记后，将响应文件按照磋商文件中规定的时间和地址送至采购代理机构。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15.5未按上述规定进行密封、标记和递交的，采购代理机构对响应文件的不依时间递交、误投、破损、封装不合格或提前拆封不负责。</w:t>
      </w:r>
    </w:p>
    <w:p>
      <w:pPr>
        <w:pStyle w:val="4"/>
        <w:adjustRightInd/>
        <w:spacing w:line="360" w:lineRule="auto"/>
        <w:ind w:firstLine="420" w:firstLineChars="200"/>
        <w:rPr>
          <w:rFonts w:hAnsi="宋体"/>
          <w:color w:val="auto"/>
          <w:sz w:val="21"/>
          <w:szCs w:val="21"/>
          <w:highlight w:val="none"/>
        </w:rPr>
      </w:pPr>
      <w:bookmarkStart w:id="117" w:name="_Toc110953845"/>
      <w:bookmarkStart w:id="118" w:name="_Toc10017"/>
      <w:bookmarkStart w:id="119" w:name="_Toc7897880"/>
      <w:bookmarkStart w:id="120" w:name="_Toc12710"/>
      <w:r>
        <w:rPr>
          <w:rFonts w:hint="eastAsia" w:hAnsi="宋体"/>
          <w:color w:val="auto"/>
          <w:sz w:val="21"/>
          <w:szCs w:val="21"/>
          <w:highlight w:val="none"/>
        </w:rPr>
        <w:t>16.响应文件的递交</w:t>
      </w:r>
      <w:bookmarkEnd w:id="117"/>
      <w:bookmarkEnd w:id="118"/>
      <w:bookmarkEnd w:id="119"/>
      <w:bookmarkEnd w:id="12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16.1所有响应文件都必须在响应截止时间之前送至采购代理机构。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16.2采购代理机构拒绝接受以下文件：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（1）提前递交的文件，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（2）在响应截止时间后递交的响应文件，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（3）未按规定包装和密封的响应文件。</w:t>
      </w:r>
    </w:p>
    <w:p>
      <w:pPr>
        <w:spacing w:line="360" w:lineRule="auto"/>
        <w:ind w:firstLine="420" w:firstLineChars="200"/>
        <w:rPr>
          <w:rFonts w:hAnsi="宋体"/>
          <w:b/>
          <w:bCs/>
          <w:color w:val="auto"/>
          <w:sz w:val="21"/>
          <w:szCs w:val="21"/>
          <w:highlight w:val="none"/>
          <w:lang w:val="zh-CN"/>
        </w:rPr>
      </w:pPr>
      <w:r>
        <w:rPr>
          <w:rFonts w:hint="eastAsia" w:hAnsi="宋体"/>
          <w:color w:val="auto"/>
          <w:sz w:val="21"/>
          <w:szCs w:val="21"/>
          <w:highlight w:val="none"/>
        </w:rPr>
        <w:t>16.3响应文件的修改与撤回</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color w:val="auto"/>
          <w:sz w:val="21"/>
          <w:szCs w:val="21"/>
          <w:highlight w:val="none"/>
        </w:rPr>
      </w:pPr>
    </w:p>
    <w:p>
      <w:pPr>
        <w:pStyle w:val="2"/>
        <w:adjustRightInd/>
        <w:spacing w:line="360" w:lineRule="auto"/>
        <w:ind w:firstLine="562" w:firstLineChars="200"/>
        <w:jc w:val="center"/>
        <w:rPr>
          <w:color w:val="auto"/>
          <w:sz w:val="28"/>
          <w:szCs w:val="28"/>
          <w:highlight w:val="none"/>
        </w:rPr>
      </w:pPr>
      <w:bookmarkStart w:id="121" w:name="_Toc7897881"/>
      <w:bookmarkStart w:id="122" w:name="_Toc22874"/>
      <w:r>
        <w:rPr>
          <w:rFonts w:hint="eastAsia"/>
          <w:color w:val="auto"/>
          <w:sz w:val="28"/>
          <w:szCs w:val="28"/>
          <w:highlight w:val="none"/>
        </w:rPr>
        <w:t>五、采购仪式和</w:t>
      </w:r>
      <w:bookmarkEnd w:id="108"/>
      <w:bookmarkEnd w:id="109"/>
      <w:bookmarkEnd w:id="110"/>
      <w:bookmarkEnd w:id="111"/>
      <w:bookmarkEnd w:id="112"/>
      <w:r>
        <w:rPr>
          <w:rFonts w:hint="eastAsia"/>
          <w:color w:val="auto"/>
          <w:sz w:val="28"/>
          <w:szCs w:val="28"/>
          <w:highlight w:val="none"/>
        </w:rPr>
        <w:t>评审会议</w:t>
      </w:r>
      <w:bookmarkEnd w:id="121"/>
      <w:bookmarkEnd w:id="122"/>
    </w:p>
    <w:p>
      <w:pPr>
        <w:pStyle w:val="4"/>
        <w:adjustRightInd/>
        <w:spacing w:line="360" w:lineRule="auto"/>
        <w:ind w:firstLine="422" w:firstLineChars="200"/>
        <w:rPr>
          <w:rFonts w:hAnsi="宋体"/>
          <w:b/>
          <w:color w:val="auto"/>
          <w:sz w:val="21"/>
          <w:szCs w:val="21"/>
          <w:highlight w:val="none"/>
        </w:rPr>
      </w:pPr>
      <w:bookmarkStart w:id="123" w:name="_Toc475249134"/>
      <w:r>
        <w:rPr>
          <w:rFonts w:hint="eastAsia" w:hAnsi="宋体"/>
          <w:b/>
          <w:color w:val="auto"/>
          <w:sz w:val="21"/>
          <w:szCs w:val="21"/>
          <w:highlight w:val="none"/>
        </w:rPr>
        <w:t>17.</w:t>
      </w:r>
      <w:bookmarkEnd w:id="123"/>
      <w:r>
        <w:rPr>
          <w:rFonts w:hint="eastAsia" w:hAnsi="宋体"/>
          <w:b/>
          <w:color w:val="auto"/>
          <w:sz w:val="21"/>
          <w:szCs w:val="21"/>
          <w:highlight w:val="none"/>
        </w:rPr>
        <w:t>开启响应文件</w:t>
      </w:r>
    </w:p>
    <w:p>
      <w:pPr>
        <w:spacing w:line="360" w:lineRule="auto"/>
        <w:ind w:firstLine="420" w:firstLineChars="200"/>
        <w:rPr>
          <w:rFonts w:hAnsi="宋体"/>
          <w:color w:val="auto"/>
          <w:sz w:val="21"/>
          <w:szCs w:val="21"/>
          <w:highlight w:val="none"/>
        </w:rPr>
      </w:pPr>
      <w:bookmarkStart w:id="124" w:name="_Toc475249135"/>
      <w:bookmarkStart w:id="125" w:name="_Toc475249138"/>
      <w:r>
        <w:rPr>
          <w:rFonts w:hint="eastAsia" w:hAnsi="宋体"/>
          <w:color w:val="auto"/>
          <w:sz w:val="21"/>
          <w:szCs w:val="21"/>
          <w:highlight w:val="none"/>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17.2开启响应文件前，采购人、采购代理机构和供应商将检查响应文件的密封情况。在确认密封完好后，进行拆封唱标。唱标主要内容为响应文件正本中磋商保证金的内容以及采购代理机构认为合适的其他内容，并做唱标记录。</w:t>
      </w:r>
    </w:p>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18.磋商小组</w:t>
      </w:r>
      <w:bookmarkEnd w:id="12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18.1采购代理机构将根据项目特点组建磋商小组，磋商小组由采购人代表和评审专家共3人以上单数组成，其中评审专家人数不得少于磋商小组成员总数的2/3。</w:t>
      </w:r>
    </w:p>
    <w:p>
      <w:pPr>
        <w:pStyle w:val="4"/>
        <w:adjustRightInd/>
        <w:spacing w:line="360" w:lineRule="auto"/>
        <w:ind w:firstLine="422" w:firstLineChars="200"/>
        <w:rPr>
          <w:rFonts w:hAnsi="宋体"/>
          <w:b/>
          <w:color w:val="auto"/>
          <w:sz w:val="21"/>
          <w:szCs w:val="21"/>
          <w:highlight w:val="none"/>
        </w:rPr>
      </w:pPr>
      <w:bookmarkStart w:id="126" w:name="_Toc535141844"/>
      <w:bookmarkStart w:id="127" w:name="_Toc37121259"/>
      <w:r>
        <w:rPr>
          <w:rFonts w:hint="eastAsia" w:hAnsi="宋体"/>
          <w:b/>
          <w:color w:val="auto"/>
          <w:sz w:val="21"/>
          <w:szCs w:val="21"/>
          <w:highlight w:val="none"/>
        </w:rPr>
        <w:t>19.对响应文件的初审</w:t>
      </w:r>
      <w:bookmarkEnd w:id="126"/>
      <w:bookmarkEnd w:id="127"/>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19.1开启响应文件后，采购代理机构将组织磋商小组对响应文件进行初审，初审包括资格性审查和符合性审查。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19.2资格性审查是指依据法律规定和磋商文件的规定，对响应文件中的资格证明等进行审查，确定供应商是否具备响应资格。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19.5磋商小组确定响应文件的响应性，只根据响应文件本身的内容，而不寻找外部的证据。</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19.6实质上没有响应磋商文件要求的响应文件将被拒绝。供应商不得通过修正或撤销不合要求的偏离或保留从而使其响应成为实质上的响应。</w:t>
      </w:r>
    </w:p>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20.对响应文件的澄清</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20.3供应商的法定代表人或委托代理人应当按照采购代理机构通知的时间和地点接受询问，对响应文件中含义不明确的内容作必要的澄清、说明或者纠正。</w:t>
      </w:r>
    </w:p>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21.开展磋商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21.1主持人宣布评审纪律，磋商小组所有成员及相关工作人员签名确认。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22.最后报价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22.2已提交响应文件的供应商，在提交最后报价之前，可以根据磋商情况退出磋商。采购人、采购代理机构应当退还退出磋商的供应商的磋商保证金。</w:t>
      </w:r>
    </w:p>
    <w:bookmarkEnd w:id="125"/>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23.综合评分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5"/>
        <w:ind w:firstLine="400"/>
        <w:rPr>
          <w:color w:val="auto"/>
          <w:highlight w:val="none"/>
        </w:rPr>
      </w:pPr>
    </w:p>
    <w:p>
      <w:pPr>
        <w:pStyle w:val="2"/>
        <w:adjustRightInd/>
        <w:spacing w:line="360" w:lineRule="auto"/>
        <w:ind w:firstLine="562" w:firstLineChars="200"/>
        <w:jc w:val="center"/>
        <w:rPr>
          <w:color w:val="auto"/>
          <w:sz w:val="28"/>
          <w:szCs w:val="28"/>
          <w:highlight w:val="none"/>
        </w:rPr>
      </w:pPr>
      <w:bookmarkStart w:id="128" w:name="_Toc7897882"/>
      <w:bookmarkStart w:id="129" w:name="_Toc18625"/>
      <w:r>
        <w:rPr>
          <w:rFonts w:hint="eastAsia"/>
          <w:color w:val="auto"/>
          <w:sz w:val="28"/>
          <w:szCs w:val="28"/>
          <w:highlight w:val="none"/>
        </w:rPr>
        <w:t>六、确定成交供应商</w:t>
      </w:r>
      <w:bookmarkEnd w:id="128"/>
      <w:bookmarkEnd w:id="129"/>
    </w:p>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24.确定成交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24.1磋商小组完成评审工作后，出具评审报告，推荐3名以上成交候选供应商。符合法律法规允许的情况的，可以推荐2家成交候选供应商。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24.2采购人从成交候选供应商名单中按照综合得分排序确定1名成交供应商。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4"/>
        <w:adjustRightInd/>
        <w:spacing w:line="360" w:lineRule="auto"/>
        <w:ind w:firstLine="422"/>
        <w:rPr>
          <w:b/>
          <w:color w:val="auto"/>
          <w:sz w:val="21"/>
          <w:szCs w:val="21"/>
          <w:highlight w:val="none"/>
        </w:rPr>
      </w:pPr>
      <w:r>
        <w:rPr>
          <w:rFonts w:hint="eastAsia"/>
          <w:b/>
          <w:color w:val="auto"/>
          <w:sz w:val="21"/>
          <w:szCs w:val="21"/>
          <w:highlight w:val="none"/>
        </w:rPr>
        <w:t>25.资格后审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.1</w:t>
      </w:r>
      <w:r>
        <w:rPr>
          <w:rFonts w:hint="eastAsia"/>
          <w:color w:val="auto"/>
          <w:sz w:val="21"/>
          <w:szCs w:val="21"/>
          <w:highlight w:val="none"/>
        </w:rPr>
        <w:t>采购人</w:t>
      </w:r>
      <w:r>
        <w:rPr>
          <w:color w:val="auto"/>
          <w:sz w:val="21"/>
          <w:szCs w:val="21"/>
          <w:highlight w:val="none"/>
        </w:rPr>
        <w:t>将根据</w:t>
      </w:r>
      <w:r>
        <w:rPr>
          <w:rFonts w:hint="eastAsia"/>
          <w:color w:val="auto"/>
          <w:sz w:val="21"/>
          <w:szCs w:val="21"/>
          <w:highlight w:val="none"/>
        </w:rPr>
        <w:t>磋商文件</w:t>
      </w:r>
      <w:r>
        <w:rPr>
          <w:color w:val="auto"/>
          <w:sz w:val="21"/>
          <w:szCs w:val="21"/>
          <w:highlight w:val="none"/>
        </w:rPr>
        <w:t>中的要求，对评委会推荐的</w:t>
      </w:r>
      <w:r>
        <w:rPr>
          <w:rFonts w:hint="eastAsia"/>
          <w:color w:val="auto"/>
          <w:sz w:val="21"/>
          <w:szCs w:val="21"/>
          <w:highlight w:val="none"/>
        </w:rPr>
        <w:t>成交候选人</w:t>
      </w:r>
      <w:r>
        <w:rPr>
          <w:color w:val="auto"/>
          <w:sz w:val="21"/>
          <w:szCs w:val="21"/>
          <w:highlight w:val="none"/>
        </w:rPr>
        <w:t>进行资格后审。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.2</w:t>
      </w:r>
      <w:r>
        <w:rPr>
          <w:rFonts w:hint="eastAsia"/>
          <w:color w:val="auto"/>
          <w:sz w:val="21"/>
          <w:szCs w:val="21"/>
          <w:highlight w:val="none"/>
        </w:rPr>
        <w:t>成交候选人</w:t>
      </w:r>
      <w:r>
        <w:rPr>
          <w:color w:val="auto"/>
          <w:sz w:val="21"/>
          <w:szCs w:val="21"/>
          <w:highlight w:val="none"/>
        </w:rPr>
        <w:t>须无条件配合资格后审，否则</w:t>
      </w:r>
      <w:r>
        <w:rPr>
          <w:rFonts w:hint="eastAsia"/>
          <w:color w:val="auto"/>
          <w:sz w:val="21"/>
          <w:szCs w:val="21"/>
          <w:highlight w:val="none"/>
        </w:rPr>
        <w:t>采购人</w:t>
      </w:r>
      <w:r>
        <w:rPr>
          <w:color w:val="auto"/>
          <w:sz w:val="21"/>
          <w:szCs w:val="21"/>
          <w:highlight w:val="none"/>
        </w:rPr>
        <w:t>有权取消</w:t>
      </w:r>
      <w:r>
        <w:rPr>
          <w:rFonts w:hint="eastAsia"/>
          <w:color w:val="auto"/>
          <w:sz w:val="21"/>
          <w:szCs w:val="21"/>
          <w:highlight w:val="none"/>
        </w:rPr>
        <w:t>成交</w:t>
      </w:r>
      <w:r>
        <w:rPr>
          <w:color w:val="auto"/>
          <w:sz w:val="21"/>
          <w:szCs w:val="21"/>
          <w:highlight w:val="none"/>
        </w:rPr>
        <w:t>资格。</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.3资格</w:t>
      </w:r>
      <w:r>
        <w:rPr>
          <w:rFonts w:hint="eastAsia"/>
          <w:color w:val="auto"/>
          <w:sz w:val="21"/>
          <w:szCs w:val="21"/>
          <w:highlight w:val="none"/>
        </w:rPr>
        <w:t>后审</w:t>
      </w:r>
      <w:r>
        <w:rPr>
          <w:color w:val="auto"/>
          <w:sz w:val="21"/>
          <w:szCs w:val="21"/>
          <w:highlight w:val="none"/>
        </w:rPr>
        <w:t>须提供包括但不限于营业执照、税务登记证和在</w:t>
      </w:r>
      <w:r>
        <w:rPr>
          <w:rFonts w:hint="eastAsia"/>
          <w:color w:val="auto"/>
          <w:sz w:val="21"/>
          <w:szCs w:val="21"/>
          <w:highlight w:val="none"/>
        </w:rPr>
        <w:t>磋商响应文件</w:t>
      </w:r>
      <w:r>
        <w:rPr>
          <w:color w:val="auto"/>
          <w:sz w:val="21"/>
          <w:szCs w:val="21"/>
          <w:highlight w:val="none"/>
        </w:rPr>
        <w:t>中提供的资质证明文件、合同等重要证明文件的原件进行核对，综合考察</w:t>
      </w:r>
      <w:r>
        <w:rPr>
          <w:rFonts w:hint="eastAsia"/>
          <w:color w:val="auto"/>
          <w:sz w:val="21"/>
          <w:szCs w:val="21"/>
          <w:highlight w:val="none"/>
        </w:rPr>
        <w:t>成交供应商</w:t>
      </w:r>
      <w:r>
        <w:rPr>
          <w:color w:val="auto"/>
          <w:sz w:val="21"/>
          <w:szCs w:val="21"/>
          <w:highlight w:val="none"/>
        </w:rPr>
        <w:t>的履约能力。如</w:t>
      </w:r>
      <w:r>
        <w:rPr>
          <w:rFonts w:hint="eastAsia"/>
          <w:color w:val="auto"/>
          <w:sz w:val="21"/>
          <w:szCs w:val="21"/>
          <w:highlight w:val="none"/>
        </w:rPr>
        <w:t>采购人</w:t>
      </w:r>
      <w:r>
        <w:rPr>
          <w:color w:val="auto"/>
          <w:sz w:val="21"/>
          <w:szCs w:val="21"/>
          <w:highlight w:val="none"/>
        </w:rPr>
        <w:t>要求还须提供业绩证明的其他材料,</w:t>
      </w:r>
      <w:r>
        <w:rPr>
          <w:rFonts w:hint="eastAsia"/>
          <w:color w:val="auto"/>
          <w:sz w:val="21"/>
          <w:szCs w:val="21"/>
          <w:highlight w:val="none"/>
        </w:rPr>
        <w:t>成交候选人</w:t>
      </w:r>
      <w:r>
        <w:rPr>
          <w:color w:val="auto"/>
          <w:sz w:val="21"/>
          <w:szCs w:val="21"/>
          <w:highlight w:val="none"/>
        </w:rPr>
        <w:t>须配合提供。如授权其分支机构进行项目实施或提供售后服务的，亦应提供其与分支机构关系的法律证明材料。</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.4如发现</w:t>
      </w:r>
      <w:r>
        <w:rPr>
          <w:rFonts w:hint="eastAsia"/>
          <w:color w:val="auto"/>
          <w:sz w:val="21"/>
          <w:szCs w:val="21"/>
          <w:highlight w:val="none"/>
        </w:rPr>
        <w:t>供应商</w:t>
      </w:r>
      <w:r>
        <w:rPr>
          <w:color w:val="auto"/>
          <w:sz w:val="21"/>
          <w:szCs w:val="21"/>
          <w:highlight w:val="none"/>
        </w:rPr>
        <w:t>提交虚假资料谋取</w:t>
      </w:r>
      <w:r>
        <w:rPr>
          <w:rFonts w:hint="eastAsia"/>
          <w:color w:val="auto"/>
          <w:sz w:val="21"/>
          <w:szCs w:val="21"/>
          <w:highlight w:val="none"/>
        </w:rPr>
        <w:t>成交</w:t>
      </w:r>
      <w:r>
        <w:rPr>
          <w:color w:val="auto"/>
          <w:sz w:val="21"/>
          <w:szCs w:val="21"/>
          <w:highlight w:val="none"/>
        </w:rPr>
        <w:t>的，</w:t>
      </w:r>
      <w:r>
        <w:rPr>
          <w:rFonts w:hint="eastAsia"/>
          <w:color w:val="auto"/>
          <w:sz w:val="21"/>
          <w:szCs w:val="21"/>
          <w:highlight w:val="none"/>
        </w:rPr>
        <w:t>采购人</w:t>
      </w:r>
      <w:r>
        <w:rPr>
          <w:color w:val="auto"/>
          <w:sz w:val="21"/>
          <w:szCs w:val="21"/>
          <w:highlight w:val="none"/>
        </w:rPr>
        <w:t>有权没收其</w:t>
      </w:r>
      <w:r>
        <w:rPr>
          <w:rFonts w:hint="eastAsia"/>
          <w:color w:val="auto"/>
          <w:sz w:val="21"/>
          <w:szCs w:val="21"/>
          <w:highlight w:val="none"/>
        </w:rPr>
        <w:t>磋商</w:t>
      </w:r>
      <w:r>
        <w:rPr>
          <w:color w:val="auto"/>
          <w:sz w:val="21"/>
          <w:szCs w:val="21"/>
          <w:highlight w:val="none"/>
        </w:rPr>
        <w:t>保证金，并保留追究其赔偿</w:t>
      </w:r>
      <w:r>
        <w:rPr>
          <w:rFonts w:hint="eastAsia"/>
          <w:color w:val="auto"/>
          <w:sz w:val="21"/>
          <w:szCs w:val="21"/>
          <w:highlight w:val="none"/>
        </w:rPr>
        <w:t>采购人</w:t>
      </w:r>
      <w:r>
        <w:rPr>
          <w:color w:val="auto"/>
          <w:sz w:val="21"/>
          <w:szCs w:val="21"/>
          <w:highlight w:val="none"/>
        </w:rPr>
        <w:t>由此而造成一切损失的责任。</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.5</w:t>
      </w:r>
      <w:r>
        <w:rPr>
          <w:rFonts w:hint="eastAsia"/>
          <w:color w:val="auto"/>
          <w:sz w:val="21"/>
          <w:szCs w:val="21"/>
          <w:highlight w:val="none"/>
        </w:rPr>
        <w:t>采购人</w:t>
      </w:r>
      <w:r>
        <w:rPr>
          <w:color w:val="auto"/>
          <w:sz w:val="21"/>
          <w:szCs w:val="21"/>
          <w:highlight w:val="none"/>
        </w:rPr>
        <w:t>保留审查</w:t>
      </w:r>
      <w:r>
        <w:rPr>
          <w:rFonts w:hint="eastAsia"/>
          <w:color w:val="auto"/>
          <w:sz w:val="21"/>
          <w:szCs w:val="21"/>
          <w:highlight w:val="none"/>
        </w:rPr>
        <w:t>成交供应商</w:t>
      </w:r>
      <w:r>
        <w:rPr>
          <w:color w:val="auto"/>
          <w:sz w:val="21"/>
          <w:szCs w:val="21"/>
          <w:highlight w:val="none"/>
        </w:rPr>
        <w:t>是否有能力令</w:t>
      </w:r>
      <w:r>
        <w:rPr>
          <w:rFonts w:hint="eastAsia"/>
          <w:color w:val="auto"/>
          <w:sz w:val="21"/>
          <w:szCs w:val="21"/>
          <w:highlight w:val="none"/>
        </w:rPr>
        <w:t>采购人</w:t>
      </w:r>
      <w:r>
        <w:rPr>
          <w:color w:val="auto"/>
          <w:sz w:val="21"/>
          <w:szCs w:val="21"/>
          <w:highlight w:val="none"/>
        </w:rPr>
        <w:t>满意的履行合同的权利，包括但不限于对</w:t>
      </w:r>
      <w:r>
        <w:rPr>
          <w:rFonts w:hint="eastAsia"/>
          <w:color w:val="auto"/>
          <w:sz w:val="21"/>
          <w:szCs w:val="21"/>
          <w:highlight w:val="none"/>
        </w:rPr>
        <w:t>成交供应商</w:t>
      </w:r>
      <w:r>
        <w:rPr>
          <w:color w:val="auto"/>
          <w:sz w:val="21"/>
          <w:szCs w:val="21"/>
          <w:highlight w:val="none"/>
        </w:rPr>
        <w:t>的规模、人员、场地、生产能力、供货能力等方面的核实或现场考察。如果审查通过，</w:t>
      </w:r>
      <w:r>
        <w:rPr>
          <w:rFonts w:hint="eastAsia"/>
          <w:color w:val="auto"/>
          <w:sz w:val="21"/>
          <w:szCs w:val="21"/>
          <w:highlight w:val="none"/>
        </w:rPr>
        <w:t>采购人</w:t>
      </w:r>
      <w:r>
        <w:rPr>
          <w:color w:val="auto"/>
          <w:sz w:val="21"/>
          <w:szCs w:val="21"/>
          <w:highlight w:val="none"/>
        </w:rPr>
        <w:t>将把合同授予该</w:t>
      </w:r>
      <w:r>
        <w:rPr>
          <w:rFonts w:hint="eastAsia"/>
          <w:color w:val="auto"/>
          <w:sz w:val="21"/>
          <w:szCs w:val="21"/>
          <w:highlight w:val="none"/>
        </w:rPr>
        <w:t>供应商；</w:t>
      </w:r>
      <w:r>
        <w:rPr>
          <w:color w:val="auto"/>
          <w:sz w:val="21"/>
          <w:szCs w:val="21"/>
          <w:highlight w:val="none"/>
        </w:rPr>
        <w:t>如果审查没有通过，</w:t>
      </w:r>
      <w:r>
        <w:rPr>
          <w:rFonts w:hint="eastAsia"/>
          <w:color w:val="auto"/>
          <w:sz w:val="21"/>
          <w:szCs w:val="21"/>
          <w:highlight w:val="none"/>
        </w:rPr>
        <w:t>采购人</w:t>
      </w:r>
      <w:r>
        <w:rPr>
          <w:color w:val="auto"/>
          <w:sz w:val="21"/>
          <w:szCs w:val="21"/>
          <w:highlight w:val="none"/>
        </w:rPr>
        <w:t>将拒绝其</w:t>
      </w:r>
      <w:r>
        <w:rPr>
          <w:rFonts w:hint="eastAsia"/>
          <w:color w:val="auto"/>
          <w:sz w:val="21"/>
          <w:szCs w:val="21"/>
          <w:highlight w:val="none"/>
        </w:rPr>
        <w:t>磋商</w:t>
      </w:r>
      <w:r>
        <w:rPr>
          <w:color w:val="auto"/>
          <w:sz w:val="21"/>
          <w:szCs w:val="21"/>
          <w:highlight w:val="none"/>
        </w:rPr>
        <w:t>，并对下一个候选的</w:t>
      </w:r>
      <w:r>
        <w:rPr>
          <w:rFonts w:hint="eastAsia"/>
          <w:color w:val="auto"/>
          <w:sz w:val="21"/>
          <w:szCs w:val="21"/>
          <w:highlight w:val="none"/>
        </w:rPr>
        <w:t>供应商</w:t>
      </w:r>
      <w:r>
        <w:rPr>
          <w:color w:val="auto"/>
          <w:sz w:val="21"/>
          <w:szCs w:val="21"/>
          <w:highlight w:val="none"/>
        </w:rPr>
        <w:t>能否令人满意地履行合同作类似的审查或重新采购。</w:t>
      </w:r>
    </w:p>
    <w:p>
      <w:pPr>
        <w:pStyle w:val="4"/>
        <w:adjustRightInd/>
        <w:spacing w:line="360" w:lineRule="auto"/>
        <w:ind w:firstLine="422" w:firstLineChars="200"/>
        <w:rPr>
          <w:rFonts w:hAnsi="宋体"/>
          <w:b/>
          <w:color w:val="auto"/>
          <w:sz w:val="21"/>
          <w:szCs w:val="21"/>
          <w:highlight w:val="none"/>
        </w:rPr>
      </w:pPr>
      <w:bookmarkStart w:id="130" w:name="_Toc475249142"/>
      <w:r>
        <w:rPr>
          <w:rFonts w:hint="eastAsia" w:hAnsi="宋体"/>
          <w:b/>
          <w:color w:val="auto"/>
          <w:sz w:val="21"/>
          <w:szCs w:val="21"/>
          <w:highlight w:val="none"/>
        </w:rPr>
        <w:t>26.成交通知</w:t>
      </w:r>
      <w:bookmarkEnd w:id="13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26.1采购代理机构将在采购人确定成交供应商后之日起的2个工作日内发出《成交通知书》，并公告成交结果。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26.2《成交通知书》是签订采购合同的依据和组成部分。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26.3成交结果将在磋商文件指定的采购信息发布媒体上公告，同时向成交供应商发出成交通知书，并将磋商文件随成交结果同时公告。</w:t>
      </w:r>
    </w:p>
    <w:p>
      <w:pPr>
        <w:pStyle w:val="5"/>
        <w:ind w:firstLine="400"/>
        <w:rPr>
          <w:color w:val="auto"/>
          <w:highlight w:val="none"/>
        </w:rPr>
      </w:pPr>
    </w:p>
    <w:p>
      <w:pPr>
        <w:pStyle w:val="2"/>
        <w:adjustRightInd/>
        <w:spacing w:line="360" w:lineRule="auto"/>
        <w:ind w:firstLine="562" w:firstLineChars="200"/>
        <w:jc w:val="center"/>
        <w:rPr>
          <w:color w:val="auto"/>
          <w:sz w:val="28"/>
          <w:szCs w:val="28"/>
          <w:highlight w:val="none"/>
        </w:rPr>
      </w:pPr>
      <w:bookmarkStart w:id="131" w:name="_Toc110953852"/>
      <w:bookmarkStart w:id="132" w:name="_Toc28276"/>
      <w:bookmarkStart w:id="133" w:name="_Toc7897883"/>
      <w:bookmarkStart w:id="134" w:name="_Toc37756778"/>
      <w:bookmarkStart w:id="135" w:name="_Toc475249143"/>
      <w:r>
        <w:rPr>
          <w:rFonts w:hint="eastAsia"/>
          <w:color w:val="auto"/>
          <w:sz w:val="28"/>
          <w:szCs w:val="28"/>
          <w:highlight w:val="none"/>
        </w:rPr>
        <w:t>七、签订采购合同</w:t>
      </w:r>
      <w:bookmarkEnd w:id="131"/>
      <w:bookmarkEnd w:id="132"/>
      <w:bookmarkEnd w:id="133"/>
      <w:bookmarkEnd w:id="13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27.采购人与成交供应商应当在成交通知书发出之日起30日内，按照磋商文件确定的事项签订采购合同。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28.合同内容不得与磋商文件和响应文件内容有实质性偏离。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29.采购合同自签订之日起7个工作日内，采购人应将合同副本报采购代理机构归档。</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w:t>
      </w:r>
      <w:r>
        <w:rPr>
          <w:rFonts w:hint="eastAsia" w:hAnsi="宋体"/>
          <w:color w:val="auto"/>
          <w:sz w:val="21"/>
          <w:szCs w:val="21"/>
          <w:highlight w:val="none"/>
          <w:lang w:val="zh-CN"/>
        </w:rPr>
        <w:tab/>
      </w:r>
      <w:r>
        <w:rPr>
          <w:rFonts w:hint="eastAsia" w:hAnsi="宋体"/>
          <w:color w:val="auto"/>
          <w:sz w:val="21"/>
          <w:szCs w:val="21"/>
          <w:highlight w:val="none"/>
          <w:lang w:val="zh-CN"/>
        </w:rPr>
        <w:t>履约</w:t>
      </w:r>
      <w:r>
        <w:rPr>
          <w:rFonts w:hint="eastAsia" w:hAnsi="宋体"/>
          <w:color w:val="auto"/>
          <w:sz w:val="21"/>
          <w:szCs w:val="21"/>
          <w:highlight w:val="none"/>
        </w:rPr>
        <w:t>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w:t>
      </w:r>
      <w:r>
        <w:rPr>
          <w:rFonts w:hint="eastAsia" w:hAnsi="宋体"/>
          <w:color w:val="auto"/>
          <w:sz w:val="21"/>
          <w:szCs w:val="21"/>
          <w:highlight w:val="none"/>
          <w:lang w:val="zh-CN"/>
        </w:rPr>
        <w:t>.1</w:t>
      </w:r>
      <w:r>
        <w:rPr>
          <w:rFonts w:hint="eastAsia" w:hAnsi="宋体"/>
          <w:color w:val="auto"/>
          <w:sz w:val="21"/>
          <w:szCs w:val="21"/>
          <w:highlight w:val="none"/>
        </w:rPr>
        <w:t>签订合同前，成交供应商应提交履约担保。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30.2成交供应商向采购人提交履约担保，履约担保形式：☑履约保证金；☑ 银行履约保函；□担保公司履约担保书。履约担保金额：合同金额的10%。履约担保账户：采购人指定账户。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30.3</w:t>
      </w:r>
      <w:r>
        <w:rPr>
          <w:rFonts w:hint="eastAsia" w:hAnsi="宋体"/>
          <w:color w:val="auto"/>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招标合同的要求。履约保函应在招标合同有效期满后28天内继续有效。</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30.4</w:t>
      </w:r>
      <w:r>
        <w:rPr>
          <w:rFonts w:hint="eastAsia" w:hAnsi="宋体"/>
          <w:color w:val="auto"/>
          <w:sz w:val="21"/>
          <w:szCs w:val="21"/>
          <w:highlight w:val="none"/>
          <w:lang w:val="zh-CN"/>
        </w:rPr>
        <w:t>若成交供应商不按规定提交履约担保，采购人将有充分的理由解除合同，给采购人造成的损失超过履约保证金数额的，还应当对超过部分予以赔偿。</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31.发票</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31</w:t>
      </w:r>
      <w:r>
        <w:rPr>
          <w:rFonts w:hint="eastAsia" w:hAnsi="宋体"/>
          <w:color w:val="auto"/>
          <w:sz w:val="21"/>
          <w:szCs w:val="21"/>
          <w:highlight w:val="none"/>
          <w:lang w:val="zh-CN"/>
        </w:rPr>
        <w:t>.1该项目获得成交的成交供应商在执行合同过程中，向采购人出具的发票必须是由成交供应商开具，不得以其他单位或个人名义出具。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31.2成交供应商需提交增值税专用发票，并于备注栏写明项目名称及合同名称。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31.3在合同履行期间，如遇国家的税率调整，则以开具发票的时间为准，以原合同约定价格不含税金额不变作为基准，按照新税率重新计算含税价格。</w:t>
      </w:r>
    </w:p>
    <w:p>
      <w:pPr>
        <w:rPr>
          <w:color w:val="auto"/>
          <w:highlight w:val="none"/>
        </w:rPr>
      </w:pPr>
    </w:p>
    <w:bookmarkEnd w:id="135"/>
    <w:p>
      <w:pPr>
        <w:pStyle w:val="2"/>
        <w:adjustRightInd/>
        <w:spacing w:line="360" w:lineRule="auto"/>
        <w:ind w:firstLine="562" w:firstLineChars="200"/>
        <w:jc w:val="center"/>
        <w:rPr>
          <w:color w:val="auto"/>
          <w:sz w:val="21"/>
          <w:szCs w:val="21"/>
          <w:highlight w:val="none"/>
        </w:rPr>
      </w:pPr>
      <w:bookmarkStart w:id="136" w:name="_Toc8766"/>
      <w:bookmarkStart w:id="137" w:name="_Toc7897884"/>
      <w:bookmarkStart w:id="138" w:name="_Toc396137239"/>
      <w:bookmarkStart w:id="139" w:name="_Toc5141"/>
      <w:bookmarkStart w:id="140" w:name="_Toc3498"/>
      <w:bookmarkStart w:id="141" w:name="_Toc396137240"/>
      <w:bookmarkStart w:id="142" w:name="_Toc22751"/>
      <w:r>
        <w:rPr>
          <w:rFonts w:hint="eastAsia"/>
          <w:color w:val="auto"/>
          <w:sz w:val="28"/>
          <w:szCs w:val="28"/>
          <w:highlight w:val="none"/>
        </w:rPr>
        <w:t>八、成交服务费</w:t>
      </w:r>
      <w:bookmarkEnd w:id="136"/>
      <w:bookmarkEnd w:id="137"/>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32.1成交供应商须向采购代理机构按如下标准和规定交纳成交服务费。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32.2成交服务费参照国家计委[计价格[2002]1980号]文和国家发改委[发改价格[2011]534号]文及相关规定收取，按差额定率累进法计算，按</w:t>
      </w:r>
      <w:r>
        <w:rPr>
          <w:rFonts w:hint="eastAsia" w:hAnsi="宋体"/>
          <w:color w:val="auto"/>
          <w:sz w:val="21"/>
          <w:szCs w:val="21"/>
          <w:highlight w:val="none"/>
          <w:lang w:eastAsia="zh-CN"/>
        </w:rPr>
        <w:t>服务</w:t>
      </w:r>
      <w:r>
        <w:rPr>
          <w:rFonts w:hint="eastAsia" w:hAnsi="宋体"/>
          <w:color w:val="auto"/>
          <w:sz w:val="21"/>
          <w:szCs w:val="21"/>
          <w:highlight w:val="none"/>
        </w:rPr>
        <w:t>类的七折收取，以成交通知书中确定的成交总金额作为收费的计算依据。成交服务费最低收费标准为伍仟元整。</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32.3服务费的货币为人民币。</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32.4服务费应由成交供应商在采购结果公示发出之后，采购人确定可签订合同时交纳，不在报价中单列。</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32.5以转账或现金的形式支付。</w:t>
      </w:r>
    </w:p>
    <w:p>
      <w:pPr>
        <w:pStyle w:val="5"/>
        <w:ind w:firstLine="400"/>
        <w:rPr>
          <w:color w:val="auto"/>
          <w:highlight w:val="none"/>
        </w:rPr>
      </w:pPr>
    </w:p>
    <w:p>
      <w:pPr>
        <w:pStyle w:val="2"/>
        <w:adjustRightInd/>
        <w:spacing w:line="360" w:lineRule="auto"/>
        <w:ind w:firstLine="562" w:firstLineChars="200"/>
        <w:jc w:val="center"/>
        <w:rPr>
          <w:color w:val="auto"/>
          <w:sz w:val="28"/>
          <w:szCs w:val="28"/>
          <w:highlight w:val="none"/>
          <w:lang w:val="zh-CN"/>
        </w:rPr>
      </w:pPr>
      <w:r>
        <w:rPr>
          <w:rFonts w:hint="eastAsia"/>
          <w:color w:val="auto"/>
          <w:sz w:val="28"/>
          <w:szCs w:val="28"/>
          <w:highlight w:val="none"/>
          <w:lang w:val="zh-CN"/>
        </w:rPr>
        <w:t>九、质疑与回复</w:t>
      </w:r>
      <w:bookmarkEnd w:id="138"/>
      <w:bookmarkEnd w:id="139"/>
      <w:bookmarkEnd w:id="14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   质疑与回复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33.1 质疑书应当包括下列主要内容：</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（1）供应商的姓名或者名称、地址、邮编、联系人及联系电话；</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（2）质疑项目的名称、编号；</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（3）具体、明确的质疑事项和与质疑事项相关的请求；</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（4）事实依据；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（5）必要的法律依据；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（6）提出质疑的日期。</w:t>
      </w:r>
    </w:p>
    <w:p>
      <w:pPr>
        <w:spacing w:line="360" w:lineRule="auto"/>
        <w:ind w:firstLine="420" w:firstLineChars="200"/>
        <w:rPr>
          <w:rFonts w:hAnsi="宋体"/>
          <w:color w:val="auto"/>
          <w:sz w:val="21"/>
          <w:szCs w:val="21"/>
          <w:highlight w:val="none"/>
        </w:rPr>
      </w:pPr>
      <w:r>
        <w:rPr>
          <w:rFonts w:hint="eastAsia" w:hAnsi="宋体"/>
          <w:color w:val="auto"/>
          <w:kern w:val="2"/>
          <w:sz w:val="21"/>
          <w:szCs w:val="21"/>
          <w:highlight w:val="none"/>
        </w:rPr>
        <w:t>33</w:t>
      </w:r>
      <w:r>
        <w:rPr>
          <w:rFonts w:hint="eastAsia" w:hAnsi="宋体"/>
          <w:color w:val="auto"/>
          <w:sz w:val="21"/>
          <w:szCs w:val="21"/>
          <w:highlight w:val="none"/>
        </w:rPr>
        <w:t>.2. 质疑书应当署名。质疑人为自然人的，应当由本人签名；质疑人为法人或者</w:t>
      </w:r>
      <w:r>
        <w:rPr>
          <w:rFonts w:hint="eastAsia" w:hAnsi="宋体"/>
          <w:color w:val="auto"/>
          <w:kern w:val="2"/>
          <w:sz w:val="21"/>
          <w:szCs w:val="21"/>
          <w:highlight w:val="none"/>
          <w:lang w:val="zh-CN"/>
        </w:rPr>
        <w:t>其他</w:t>
      </w:r>
      <w:r>
        <w:rPr>
          <w:rFonts w:hint="eastAsia" w:hAnsi="宋体"/>
          <w:color w:val="auto"/>
          <w:sz w:val="21"/>
          <w:szCs w:val="21"/>
          <w:highlight w:val="none"/>
        </w:rPr>
        <w:t>组织的，应当由法定代表人或者主要负责人签名并加盖公章。</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33.4. 供应商认为采购过程和成交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罗小姐/0769-22652033；联系地址：东莞市东城莞龙路下桥银门街一号办公楼七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33.5.供应商在法定质疑期内一次性提出针对同一采购程序环节的质疑。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bCs/>
          <w:color w:val="auto"/>
          <w:sz w:val="21"/>
          <w:szCs w:val="21"/>
          <w:highlight w:val="none"/>
        </w:rPr>
      </w:pPr>
      <w:bookmarkStart w:id="143" w:name="_Toc29421"/>
      <w:r>
        <w:rPr>
          <w:rFonts w:hint="eastAsia"/>
          <w:color w:val="auto"/>
          <w:sz w:val="21"/>
          <w:szCs w:val="21"/>
          <w:highlight w:val="none"/>
        </w:rPr>
        <w:t>33.7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43"/>
    </w:p>
    <w:p>
      <w:pPr>
        <w:pStyle w:val="3"/>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r>
        <w:rPr>
          <w:rFonts w:hint="eastAsia" w:hAnsi="宋体"/>
          <w:b/>
          <w:bCs/>
          <w:color w:val="auto"/>
          <w:kern w:val="44"/>
          <w:sz w:val="28"/>
          <w:szCs w:val="28"/>
          <w:highlight w:val="none"/>
          <w:lang w:val="zh-CN"/>
        </w:rPr>
        <w:t>用户需求书</w:t>
      </w:r>
      <w:bookmarkEnd w:id="141"/>
      <w:bookmarkEnd w:id="142"/>
    </w:p>
    <w:p>
      <w:pPr>
        <w:pStyle w:val="3"/>
        <w:spacing w:line="360" w:lineRule="auto"/>
        <w:jc w:val="center"/>
        <w:rPr>
          <w:b/>
          <w:bCs/>
          <w:color w:val="auto"/>
          <w:sz w:val="28"/>
          <w:szCs w:val="28"/>
          <w:highlight w:val="none"/>
        </w:rPr>
      </w:pPr>
      <w:bookmarkStart w:id="144" w:name="_Toc32290"/>
      <w:bookmarkStart w:id="145" w:name="_Toc13957"/>
      <w:r>
        <w:rPr>
          <w:rFonts w:hint="eastAsia"/>
          <w:b/>
          <w:bCs/>
          <w:color w:val="auto"/>
          <w:sz w:val="28"/>
          <w:szCs w:val="28"/>
          <w:highlight w:val="none"/>
        </w:rPr>
        <w:t>第一部分 商务需求书</w:t>
      </w:r>
      <w:bookmarkEnd w:id="144"/>
    </w:p>
    <w:tbl>
      <w:tblPr>
        <w:tblStyle w:val="5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2049"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条款名称</w:t>
            </w:r>
          </w:p>
        </w:tc>
        <w:tc>
          <w:tcPr>
            <w:tcW w:w="6397"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说  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1</w:t>
            </w:r>
          </w:p>
        </w:tc>
        <w:tc>
          <w:tcPr>
            <w:tcW w:w="2049" w:type="dxa"/>
            <w:vAlign w:val="center"/>
          </w:tcPr>
          <w:p>
            <w:pPr>
              <w:spacing w:line="360" w:lineRule="auto"/>
              <w:jc w:val="center"/>
              <w:rPr>
                <w:rFonts w:hAnsi="宋体"/>
                <w:color w:val="auto"/>
                <w:sz w:val="21"/>
                <w:szCs w:val="21"/>
                <w:highlight w:val="none"/>
              </w:rPr>
            </w:pPr>
            <w:r>
              <w:rPr>
                <w:rFonts w:hint="eastAsia" w:hAnsi="宋体"/>
                <w:color w:val="auto"/>
                <w:kern w:val="2"/>
                <w:sz w:val="21"/>
                <w:szCs w:val="21"/>
                <w:highlight w:val="none"/>
              </w:rPr>
              <w:t>工期</w:t>
            </w:r>
          </w:p>
        </w:tc>
        <w:tc>
          <w:tcPr>
            <w:tcW w:w="6397" w:type="dxa"/>
            <w:vAlign w:val="center"/>
          </w:tcPr>
          <w:p>
            <w:pPr>
              <w:pStyle w:val="144"/>
              <w:spacing w:line="360" w:lineRule="auto"/>
              <w:rPr>
                <w:rFonts w:ascii="宋体" w:hAnsi="宋体"/>
                <w:color w:val="auto"/>
                <w:szCs w:val="21"/>
                <w:highlight w:val="none"/>
              </w:rPr>
            </w:pPr>
            <w:r>
              <w:rPr>
                <w:rFonts w:hint="eastAsia" w:ascii="宋体" w:hAnsi="宋体"/>
                <w:color w:val="auto"/>
                <w:szCs w:val="21"/>
                <w:highlight w:val="none"/>
              </w:rPr>
              <w:t>设计周期：总设计工期</w:t>
            </w:r>
            <w:r>
              <w:rPr>
                <w:rFonts w:hint="eastAsia" w:ascii="宋体" w:hAnsi="宋体"/>
                <w:color w:val="auto"/>
                <w:szCs w:val="21"/>
                <w:highlight w:val="none"/>
                <w:lang w:val="en-US" w:eastAsia="zh-CN"/>
              </w:rPr>
              <w:t>为55天</w:t>
            </w:r>
            <w:r>
              <w:rPr>
                <w:rFonts w:hint="eastAsia" w:ascii="宋体" w:hAnsi="宋体"/>
                <w:color w:val="auto"/>
                <w:szCs w:val="21"/>
                <w:highlight w:val="none"/>
                <w:lang w:eastAsia="zh-CN"/>
              </w:rPr>
              <w:t>，其中方案设计阶段为</w:t>
            </w:r>
            <w:r>
              <w:rPr>
                <w:rFonts w:hint="eastAsia" w:ascii="宋体" w:hAnsi="宋体"/>
                <w:color w:val="auto"/>
                <w:szCs w:val="21"/>
                <w:highlight w:val="none"/>
                <w:lang w:val="en-US" w:eastAsia="zh-CN"/>
              </w:rPr>
              <w:t>30天、施工图设计阶段为25天</w:t>
            </w:r>
            <w:r>
              <w:rPr>
                <w:rFonts w:hint="eastAsia" w:ascii="宋体" w:hAnsi="宋体"/>
                <w:color w:val="auto"/>
                <w:szCs w:val="21"/>
                <w:highlight w:val="none"/>
              </w:rPr>
              <w:t>（不包含招标人对图纸审核的时间以及报送相关部门审批时间）；需严格按照工期完成设计任务。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2</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sz w:val="21"/>
                <w:szCs w:val="21"/>
                <w:highlight w:val="none"/>
              </w:rPr>
              <w:t>报价要求</w:t>
            </w:r>
          </w:p>
        </w:tc>
        <w:tc>
          <w:tcPr>
            <w:tcW w:w="6397" w:type="dxa"/>
            <w:vAlign w:val="center"/>
          </w:tcPr>
          <w:p>
            <w:pPr>
              <w:pStyle w:val="144"/>
              <w:spacing w:line="360" w:lineRule="auto"/>
              <w:rPr>
                <w:rFonts w:hint="eastAsia" w:hAnsi="宋体"/>
                <w:color w:val="auto"/>
                <w:szCs w:val="21"/>
                <w:highlight w:val="none"/>
                <w:lang w:eastAsia="zh-CN"/>
              </w:rPr>
            </w:pPr>
            <w:r>
              <w:rPr>
                <w:rFonts w:hint="eastAsia" w:hAnsi="宋体"/>
                <w:color w:val="auto"/>
                <w:szCs w:val="21"/>
                <w:highlight w:val="none"/>
                <w:lang w:eastAsia="zh-CN"/>
              </w:rPr>
              <w:t>①报价采用填报服务收费系数和总报价的的方式，投标下浮率须≧0.00%。</w:t>
            </w:r>
          </w:p>
          <w:p>
            <w:pPr>
              <w:pStyle w:val="144"/>
              <w:spacing w:line="360" w:lineRule="auto"/>
              <w:rPr>
                <w:rFonts w:ascii="宋体" w:hAnsi="宋体"/>
                <w:color w:val="auto"/>
                <w:szCs w:val="21"/>
                <w:highlight w:val="none"/>
              </w:rPr>
            </w:pPr>
            <w:r>
              <w:rPr>
                <w:rFonts w:hint="eastAsia" w:hAnsi="宋体"/>
                <w:color w:val="auto"/>
                <w:szCs w:val="21"/>
                <w:highlight w:val="none"/>
                <w:lang w:eastAsia="zh-CN"/>
              </w:rPr>
              <w:t>②</w:t>
            </w:r>
            <w:r>
              <w:rPr>
                <w:rFonts w:hint="eastAsia" w:hAnsi="宋体"/>
                <w:color w:val="auto"/>
                <w:szCs w:val="21"/>
                <w:highlight w:val="none"/>
              </w:rPr>
              <w:t>报价应包含资料收集、项目调研差旅费、研究管理费，人工费、办公费用、成果验收、税金、保险、全额含税发票、后续技术咨询服务、管理费、合同实施过程中的完成合同规定责任和义务、达到合同目的的一切费用。合同总价为包干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3</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kern w:val="2"/>
                <w:sz w:val="21"/>
                <w:szCs w:val="21"/>
                <w:highlight w:val="none"/>
              </w:rPr>
              <w:t>付款方式</w:t>
            </w:r>
          </w:p>
        </w:tc>
        <w:tc>
          <w:tcPr>
            <w:tcW w:w="6397" w:type="dxa"/>
            <w:vAlign w:val="center"/>
          </w:tcPr>
          <w:p>
            <w:pPr>
              <w:pStyle w:val="100"/>
              <w:spacing w:line="360" w:lineRule="auto"/>
              <w:rPr>
                <w:rFonts w:ascii="宋体" w:hAnsi="宋体" w:cs="宋体"/>
                <w:color w:val="auto"/>
                <w:szCs w:val="21"/>
                <w:highlight w:val="none"/>
              </w:rPr>
            </w:pPr>
            <w:r>
              <w:rPr>
                <w:rFonts w:hint="eastAsia" w:ascii="宋体" w:hAnsi="宋体" w:cs="宋体"/>
                <w:color w:val="auto"/>
                <w:szCs w:val="21"/>
                <w:highlight w:val="none"/>
              </w:rPr>
              <w:t>合同签订后，提交所有</w:t>
            </w:r>
            <w:r>
              <w:rPr>
                <w:rFonts w:hint="eastAsia" w:ascii="宋体" w:hAnsi="宋体" w:cs="宋体"/>
                <w:color w:val="auto"/>
                <w:szCs w:val="21"/>
                <w:highlight w:val="none"/>
                <w:lang w:eastAsia="zh-CN"/>
              </w:rPr>
              <w:t>方案</w:t>
            </w:r>
            <w:r>
              <w:rPr>
                <w:rFonts w:hint="eastAsia" w:ascii="宋体" w:hAnsi="宋体" w:cs="宋体"/>
                <w:color w:val="auto"/>
                <w:szCs w:val="21"/>
                <w:highlight w:val="none"/>
              </w:rPr>
              <w:t>设计文件及通过审核后，提交请款报告后30天内支付至合同价的</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0%</w:t>
            </w:r>
            <w:r>
              <w:rPr>
                <w:rFonts w:hint="eastAsia" w:ascii="宋体" w:hAnsi="宋体" w:cs="宋体"/>
                <w:color w:val="auto"/>
                <w:szCs w:val="21"/>
                <w:highlight w:val="none"/>
                <w:lang w:eastAsia="zh-CN"/>
              </w:rPr>
              <w:t>；</w:t>
            </w:r>
            <w:r>
              <w:rPr>
                <w:rFonts w:hint="eastAsia" w:ascii="宋体" w:hAnsi="宋体" w:cs="宋体"/>
                <w:color w:val="auto"/>
                <w:szCs w:val="21"/>
                <w:highlight w:val="none"/>
              </w:rPr>
              <w:t>提交所有</w:t>
            </w:r>
            <w:r>
              <w:rPr>
                <w:rFonts w:hint="eastAsia" w:ascii="宋体" w:hAnsi="宋体" w:cs="宋体"/>
                <w:color w:val="auto"/>
                <w:szCs w:val="21"/>
                <w:highlight w:val="none"/>
                <w:lang w:eastAsia="zh-CN"/>
              </w:rPr>
              <w:t>施工图</w:t>
            </w:r>
            <w:r>
              <w:rPr>
                <w:rFonts w:hint="eastAsia" w:ascii="宋体" w:hAnsi="宋体" w:cs="宋体"/>
                <w:color w:val="auto"/>
                <w:szCs w:val="21"/>
                <w:highlight w:val="none"/>
              </w:rPr>
              <w:t>设计文件及通过审核后，提交请款报告后30天内支付至合同价的</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0%</w:t>
            </w:r>
            <w:r>
              <w:rPr>
                <w:rFonts w:hint="eastAsia" w:ascii="宋体" w:hAnsi="宋体" w:cs="宋体"/>
                <w:color w:val="auto"/>
                <w:szCs w:val="21"/>
                <w:highlight w:val="none"/>
                <w:lang w:eastAsia="zh-CN"/>
              </w:rPr>
              <w:t>；</w:t>
            </w:r>
            <w:r>
              <w:rPr>
                <w:rFonts w:hint="eastAsia" w:ascii="宋体" w:hAnsi="宋体" w:cs="宋体"/>
                <w:color w:val="auto"/>
                <w:szCs w:val="21"/>
                <w:highlight w:val="none"/>
              </w:rPr>
              <w:t>工程竣工验收合格</w:t>
            </w:r>
            <w:r>
              <w:rPr>
                <w:rFonts w:hint="eastAsia" w:ascii="宋体" w:hAnsi="宋体" w:cs="宋体"/>
                <w:color w:val="auto"/>
                <w:szCs w:val="21"/>
                <w:highlight w:val="none"/>
                <w:lang w:eastAsia="zh-CN"/>
              </w:rPr>
              <w:t>、</w:t>
            </w:r>
            <w:r>
              <w:rPr>
                <w:rFonts w:hint="eastAsia" w:ascii="宋体" w:hAnsi="宋体" w:cs="宋体"/>
                <w:color w:val="auto"/>
                <w:szCs w:val="21"/>
                <w:highlight w:val="none"/>
              </w:rPr>
              <w:t>施工配合阶段</w:t>
            </w:r>
            <w:r>
              <w:rPr>
                <w:rFonts w:hint="eastAsia" w:ascii="宋体" w:hAnsi="宋体" w:cs="宋体"/>
                <w:color w:val="auto"/>
                <w:szCs w:val="21"/>
                <w:highlight w:val="none"/>
                <w:lang w:eastAsia="zh-CN"/>
              </w:rPr>
              <w:t>结束后，</w:t>
            </w:r>
            <w:r>
              <w:rPr>
                <w:rFonts w:hint="eastAsia" w:ascii="宋体" w:hAnsi="宋体" w:cs="宋体"/>
                <w:color w:val="auto"/>
                <w:szCs w:val="21"/>
                <w:highlight w:val="none"/>
              </w:rPr>
              <w:t>提交请款报告后30天内，支付至合同价的100%。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4</w:t>
            </w:r>
          </w:p>
        </w:tc>
        <w:tc>
          <w:tcPr>
            <w:tcW w:w="2049" w:type="dxa"/>
            <w:vAlign w:val="center"/>
          </w:tcPr>
          <w:p>
            <w:pPr>
              <w:spacing w:line="360" w:lineRule="auto"/>
              <w:jc w:val="center"/>
              <w:rPr>
                <w:rFonts w:hint="eastAsia" w:hAnsi="宋体" w:eastAsia="宋体"/>
                <w:color w:val="auto"/>
                <w:kern w:val="2"/>
                <w:sz w:val="21"/>
                <w:szCs w:val="21"/>
                <w:highlight w:val="none"/>
                <w:lang w:eastAsia="zh-CN"/>
              </w:rPr>
            </w:pPr>
            <w:r>
              <w:rPr>
                <w:rFonts w:hint="eastAsia" w:hAnsi="宋体"/>
                <w:color w:val="auto"/>
                <w:kern w:val="2"/>
                <w:sz w:val="21"/>
                <w:szCs w:val="21"/>
                <w:highlight w:val="none"/>
                <w:lang w:eastAsia="zh-CN"/>
              </w:rPr>
              <w:t>计费方式</w:t>
            </w:r>
          </w:p>
        </w:tc>
        <w:tc>
          <w:tcPr>
            <w:tcW w:w="6397" w:type="dxa"/>
            <w:vAlign w:val="center"/>
          </w:tcPr>
          <w:p>
            <w:pPr>
              <w:pStyle w:val="100"/>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工程设计费，按照以下计费方式：</w:t>
            </w:r>
          </w:p>
          <w:p>
            <w:pPr>
              <w:pStyle w:val="100"/>
              <w:numPr>
                <w:ilvl w:val="0"/>
                <w:numId w:val="14"/>
              </w:numPr>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按照《工程勘察设计收费标准》（2002 年修订本）计算的设计收费基准价×</w:t>
            </w:r>
            <w:r>
              <w:rPr>
                <w:rFonts w:hint="eastAsia" w:ascii="宋体" w:hAnsi="宋体" w:eastAsia="宋体" w:cs="宋体"/>
                <w:color w:val="auto"/>
                <w:szCs w:val="21"/>
                <w:highlight w:val="none"/>
                <w:lang w:eastAsia="zh-CN"/>
              </w:rPr>
              <w:t>设计</w:t>
            </w:r>
            <w:r>
              <w:rPr>
                <w:rFonts w:hint="eastAsia" w:ascii="宋体" w:hAnsi="宋体" w:eastAsia="宋体" w:cs="宋体"/>
                <w:color w:val="auto"/>
                <w:szCs w:val="21"/>
                <w:highlight w:val="none"/>
              </w:rPr>
              <w:t>服务收费系数（</w:t>
            </w:r>
            <w:r>
              <w:rPr>
                <w:rFonts w:hint="eastAsia" w:ascii="宋体" w:hAnsi="宋体" w:eastAsia="宋体" w:cs="宋体"/>
                <w:color w:val="auto"/>
                <w:szCs w:val="21"/>
                <w:highlight w:val="none"/>
                <w:lang w:val="en-US" w:eastAsia="zh-CN"/>
              </w:rPr>
              <w:t>0.80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1-成交下浮率</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确定，其中工程设计收费的计费额暂按</w:t>
            </w:r>
            <w:r>
              <w:rPr>
                <w:rFonts w:hint="eastAsia" w:ascii="宋体" w:hAnsi="宋体" w:cs="宋体"/>
                <w:color w:val="auto"/>
                <w:szCs w:val="21"/>
                <w:highlight w:val="none"/>
                <w:lang w:val="en-US" w:eastAsia="zh-CN"/>
              </w:rPr>
              <w:t>3200.00</w:t>
            </w:r>
            <w:r>
              <w:rPr>
                <w:rFonts w:hint="eastAsia" w:ascii="宋体" w:hAnsi="宋体" w:cs="宋体"/>
                <w:color w:val="auto"/>
                <w:szCs w:val="21"/>
                <w:highlight w:val="none"/>
              </w:rPr>
              <w:t>万元计取，最终以经</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审定的</w:t>
            </w:r>
            <w:r>
              <w:rPr>
                <w:rFonts w:hint="eastAsia" w:ascii="宋体" w:hAnsi="宋体" w:cs="宋体"/>
                <w:color w:val="auto"/>
                <w:szCs w:val="21"/>
                <w:highlight w:val="none"/>
                <w:u w:val="single"/>
                <w:lang w:val="en-US" w:eastAsia="zh-CN"/>
              </w:rPr>
              <w:t>招标最高限价</w:t>
            </w:r>
            <w:r>
              <w:rPr>
                <w:rFonts w:hint="eastAsia" w:ascii="宋体" w:hAnsi="宋体" w:cs="宋体"/>
                <w:color w:val="auto"/>
                <w:szCs w:val="21"/>
                <w:highlight w:val="none"/>
              </w:rPr>
              <w:t>作为工程设计收费基价的计费额，最终结算价以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审核的为准。</w:t>
            </w:r>
          </w:p>
          <w:p>
            <w:pPr>
              <w:pStyle w:val="100"/>
              <w:numPr>
                <w:ilvl w:val="0"/>
                <w:numId w:val="15"/>
              </w:numPr>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本项目设计收费</w:t>
            </w:r>
            <w:r>
              <w:rPr>
                <w:rFonts w:hint="eastAsia" w:ascii="宋体" w:hAnsi="宋体" w:cs="宋体"/>
                <w:color w:val="auto"/>
                <w:szCs w:val="21"/>
                <w:highlight w:val="none"/>
                <w:lang w:eastAsia="zh-CN"/>
              </w:rPr>
              <w:t>预算价</w:t>
            </w:r>
            <w:r>
              <w:rPr>
                <w:rFonts w:hint="eastAsia" w:ascii="宋体" w:hAnsi="宋体" w:cs="宋体"/>
                <w:color w:val="auto"/>
                <w:szCs w:val="21"/>
                <w:highlight w:val="none"/>
              </w:rPr>
              <w:t>=</w:t>
            </w:r>
            <w:r>
              <w:rPr>
                <w:rFonts w:hint="eastAsia" w:ascii="宋体" w:hAnsi="宋体" w:eastAsia="宋体" w:cs="宋体"/>
                <w:color w:val="auto"/>
                <w:szCs w:val="21"/>
                <w:highlight w:val="none"/>
              </w:rPr>
              <w:t>按照《工程勘察设计收费标准》（2002 年修订本）的收费基准价×</w:t>
            </w:r>
            <w:r>
              <w:rPr>
                <w:rFonts w:hint="eastAsia" w:ascii="宋体" w:hAnsi="宋体" w:eastAsia="宋体" w:cs="宋体"/>
                <w:color w:val="auto"/>
                <w:szCs w:val="21"/>
                <w:highlight w:val="none"/>
                <w:lang w:eastAsia="zh-CN"/>
              </w:rPr>
              <w:t>设计</w:t>
            </w:r>
            <w:r>
              <w:rPr>
                <w:rFonts w:hint="eastAsia" w:ascii="宋体" w:hAnsi="宋体" w:eastAsia="宋体" w:cs="宋体"/>
                <w:color w:val="auto"/>
                <w:szCs w:val="21"/>
                <w:highlight w:val="none"/>
              </w:rPr>
              <w:t>服务收费系数（</w:t>
            </w:r>
            <w:r>
              <w:rPr>
                <w:rFonts w:hint="eastAsia" w:ascii="宋体" w:hAnsi="宋体" w:eastAsia="宋体" w:cs="宋体"/>
                <w:color w:val="auto"/>
                <w:szCs w:val="21"/>
                <w:highlight w:val="none"/>
                <w:lang w:val="en-US" w:eastAsia="zh-CN"/>
              </w:rPr>
              <w:t>0.80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=966,328.00</w:t>
            </w:r>
            <w:r>
              <w:rPr>
                <w:rFonts w:hint="eastAsia" w:ascii="宋体" w:hAnsi="宋体" w:eastAsia="宋体" w:cs="宋体"/>
                <w:color w:val="auto"/>
                <w:szCs w:val="21"/>
                <w:highlight w:val="none"/>
              </w:rPr>
              <w:t>元</w:t>
            </w:r>
          </w:p>
          <w:p>
            <w:pPr>
              <w:pStyle w:val="100"/>
              <w:numPr>
                <w:ilvl w:val="0"/>
                <w:numId w:val="0"/>
              </w:num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其</w:t>
            </w:r>
            <w:r>
              <w:rPr>
                <w:rFonts w:hint="eastAsia" w:ascii="宋体" w:hAnsi="宋体" w:cs="宋体"/>
                <w:color w:val="auto"/>
                <w:szCs w:val="21"/>
                <w:highlight w:val="none"/>
              </w:rPr>
              <w:t>中相关调整系数：</w:t>
            </w:r>
          </w:p>
          <w:p>
            <w:pPr>
              <w:pStyle w:val="100"/>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①专业调整系数：</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p>
          <w:p>
            <w:pPr>
              <w:pStyle w:val="100"/>
              <w:spacing w:line="360" w:lineRule="auto"/>
              <w:ind w:firstLine="0" w:firstLineChars="0"/>
              <w:rPr>
                <w:rFonts w:hint="eastAsia" w:ascii="宋体" w:hAnsi="宋体" w:cs="宋体"/>
                <w:color w:val="auto"/>
                <w:szCs w:val="21"/>
                <w:highlight w:val="none"/>
                <w:u w:val="single"/>
              </w:rPr>
            </w:pPr>
            <w:r>
              <w:rPr>
                <w:rFonts w:hint="eastAsia" w:ascii="宋体" w:hAnsi="宋体" w:cs="宋体"/>
                <w:color w:val="auto"/>
                <w:szCs w:val="21"/>
                <w:highlight w:val="none"/>
              </w:rPr>
              <w:t>②工程复杂程度调整系数：</w:t>
            </w:r>
            <w:r>
              <w:rPr>
                <w:rFonts w:hint="eastAsia" w:ascii="宋体" w:hAnsi="宋体" w:cs="宋体"/>
                <w:color w:val="auto"/>
                <w:szCs w:val="21"/>
                <w:highlight w:val="none"/>
                <w:u w:val="single"/>
              </w:rPr>
              <w:t xml:space="preserve"> 1.0</w:t>
            </w:r>
          </w:p>
          <w:p>
            <w:pPr>
              <w:pStyle w:val="100"/>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③附加调整系数：</w:t>
            </w:r>
            <w:r>
              <w:rPr>
                <w:rFonts w:hint="eastAsia" w:ascii="宋体" w:hAnsi="宋体" w:cs="宋体"/>
                <w:color w:val="auto"/>
                <w:szCs w:val="21"/>
                <w:highlight w:val="none"/>
                <w:u w:val="single"/>
              </w:rPr>
              <w:t xml:space="preserve"> 1.0</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pStyle w:val="100"/>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lang w:eastAsia="zh-CN"/>
              </w:rPr>
              <w:t>④工程设计服务收费系数：</w:t>
            </w:r>
            <w:r>
              <w:rPr>
                <w:rFonts w:hint="eastAsia" w:ascii="宋体" w:hAnsi="宋体" w:cs="宋体"/>
                <w:color w:val="auto"/>
                <w:szCs w:val="21"/>
                <w:highlight w:val="none"/>
                <w:u w:val="single"/>
                <w:lang w:val="en-US" w:eastAsia="zh-CN"/>
              </w:rPr>
              <w:t>0.8</w:t>
            </w:r>
          </w:p>
          <w:p>
            <w:pPr>
              <w:pStyle w:val="10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费用：本工程设计各阶段中所需的专家评审劳务费、专家食宿及交通补贴费、会务费、电子校核、3D效果演示动画、绿色建筑咨询及评审、装配式工程设计评审（如有）、海绵城市设计评审（如有）、规划报批、办理施工图审查及备案（其中包括按规划部门要求编制电子报批方案、校核、电子图规整、制作网上公示图纸等规划报批相关服务费）所产生的费用，以上费用已包括完成设计范围内全部设计内容的一切费用，发包人不再另行向设计人支付费用，结算时</w:t>
            </w:r>
            <w:r>
              <w:rPr>
                <w:rFonts w:hint="eastAsia" w:ascii="宋体" w:hAnsi="宋体" w:cs="宋体"/>
                <w:color w:val="auto"/>
                <w:szCs w:val="21"/>
                <w:highlight w:val="none"/>
                <w:lang w:val="en-US" w:eastAsia="zh-CN"/>
              </w:rPr>
              <w:t>也</w:t>
            </w:r>
            <w:r>
              <w:rPr>
                <w:rFonts w:hint="eastAsia" w:ascii="宋体" w:hAnsi="宋体" w:cs="宋体"/>
                <w:color w:val="auto"/>
                <w:szCs w:val="21"/>
                <w:highlight w:val="none"/>
              </w:rPr>
              <w:t>不作调整。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5</w:t>
            </w:r>
          </w:p>
        </w:tc>
        <w:tc>
          <w:tcPr>
            <w:tcW w:w="2049" w:type="dxa"/>
            <w:vAlign w:val="center"/>
          </w:tcPr>
          <w:p>
            <w:pPr>
              <w:spacing w:line="360" w:lineRule="auto"/>
              <w:jc w:val="center"/>
              <w:rPr>
                <w:rFonts w:ascii="宋体" w:hAnsi="宋体" w:eastAsia="宋体" w:cs="宋体"/>
                <w:color w:val="auto"/>
                <w:kern w:val="2"/>
                <w:sz w:val="21"/>
                <w:szCs w:val="21"/>
                <w:highlight w:val="none"/>
                <w:lang w:val="en-US" w:eastAsia="zh-CN" w:bidi="ar-SA"/>
              </w:rPr>
            </w:pPr>
            <w:r>
              <w:rPr>
                <w:rFonts w:hint="eastAsia" w:hAnsi="宋体"/>
                <w:color w:val="auto"/>
                <w:kern w:val="2"/>
                <w:sz w:val="21"/>
                <w:szCs w:val="21"/>
                <w:highlight w:val="none"/>
              </w:rPr>
              <w:t>服务地点</w:t>
            </w:r>
          </w:p>
        </w:tc>
        <w:tc>
          <w:tcPr>
            <w:tcW w:w="6397" w:type="dxa"/>
            <w:vAlign w:val="center"/>
          </w:tcPr>
          <w:p>
            <w:pPr>
              <w:pStyle w:val="100"/>
              <w:spacing w:line="36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6</w:t>
            </w:r>
          </w:p>
        </w:tc>
        <w:tc>
          <w:tcPr>
            <w:tcW w:w="2049" w:type="dxa"/>
            <w:vAlign w:val="center"/>
          </w:tcPr>
          <w:p>
            <w:pPr>
              <w:spacing w:line="360" w:lineRule="auto"/>
              <w:jc w:val="center"/>
              <w:rPr>
                <w:rFonts w:ascii="宋体" w:hAnsi="宋体" w:eastAsia="宋体" w:cs="宋体"/>
                <w:color w:val="auto"/>
                <w:kern w:val="2"/>
                <w:sz w:val="21"/>
                <w:szCs w:val="21"/>
                <w:highlight w:val="none"/>
                <w:lang w:val="en-US" w:eastAsia="zh-CN" w:bidi="ar-SA"/>
              </w:rPr>
            </w:pPr>
            <w:r>
              <w:rPr>
                <w:rFonts w:hint="eastAsia" w:hAnsi="宋体"/>
                <w:color w:val="auto"/>
                <w:sz w:val="21"/>
                <w:szCs w:val="21"/>
                <w:highlight w:val="none"/>
              </w:rPr>
              <w:t>合同条款</w:t>
            </w:r>
          </w:p>
        </w:tc>
        <w:tc>
          <w:tcPr>
            <w:tcW w:w="6397" w:type="dxa"/>
            <w:vAlign w:val="center"/>
          </w:tcPr>
          <w:p>
            <w:pPr>
              <w:pStyle w:val="100"/>
              <w:spacing w:line="36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供应商实质响应合同各条款。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7</w:t>
            </w:r>
          </w:p>
        </w:tc>
        <w:tc>
          <w:tcPr>
            <w:tcW w:w="2049" w:type="dxa"/>
            <w:vAlign w:val="center"/>
          </w:tcPr>
          <w:p>
            <w:pPr>
              <w:spacing w:line="360" w:lineRule="auto"/>
              <w:jc w:val="center"/>
              <w:rPr>
                <w:rFonts w:hint="eastAsia" w:ascii="宋体" w:hAnsi="宋体" w:eastAsia="宋体" w:cs="宋体"/>
                <w:bCs/>
                <w:color w:val="auto"/>
                <w:sz w:val="21"/>
                <w:szCs w:val="21"/>
                <w:highlight w:val="none"/>
                <w:lang w:val="en-US" w:eastAsia="zh-CN" w:bidi="ar-SA"/>
              </w:rPr>
            </w:pPr>
            <w:r>
              <w:rPr>
                <w:rFonts w:hint="eastAsia" w:hAnsi="宋体"/>
                <w:bCs/>
                <w:color w:val="auto"/>
                <w:sz w:val="21"/>
                <w:szCs w:val="21"/>
                <w:highlight w:val="none"/>
              </w:rPr>
              <w:t>其他服务要求</w:t>
            </w:r>
          </w:p>
        </w:tc>
        <w:tc>
          <w:tcPr>
            <w:tcW w:w="6397" w:type="dxa"/>
            <w:vAlign w:val="center"/>
          </w:tcPr>
          <w:p>
            <w:pPr>
              <w:pStyle w:val="144"/>
              <w:spacing w:line="360" w:lineRule="auto"/>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详见技术需求书。</w:t>
            </w:r>
          </w:p>
        </w:tc>
      </w:tr>
    </w:tbl>
    <w:p>
      <w:pPr>
        <w:pStyle w:val="5"/>
        <w:ind w:firstLine="400"/>
        <w:rPr>
          <w:color w:val="auto"/>
          <w:highlight w:val="none"/>
        </w:rPr>
      </w:pPr>
    </w:p>
    <w:p>
      <w:pPr>
        <w:pStyle w:val="3"/>
        <w:jc w:val="center"/>
        <w:rPr>
          <w:b/>
          <w:color w:val="auto"/>
          <w:sz w:val="28"/>
          <w:szCs w:val="28"/>
          <w:highlight w:val="none"/>
        </w:rPr>
      </w:pPr>
      <w:bookmarkStart w:id="146" w:name="_Toc25267"/>
      <w:r>
        <w:rPr>
          <w:rFonts w:hint="eastAsia"/>
          <w:b/>
          <w:color w:val="auto"/>
          <w:sz w:val="28"/>
          <w:szCs w:val="28"/>
          <w:highlight w:val="none"/>
        </w:rPr>
        <w:t xml:space="preserve">第二部分 </w:t>
      </w:r>
      <w:bookmarkEnd w:id="146"/>
      <w:r>
        <w:rPr>
          <w:rFonts w:hint="eastAsia"/>
          <w:b/>
          <w:color w:val="auto"/>
          <w:sz w:val="28"/>
          <w:szCs w:val="28"/>
          <w:highlight w:val="none"/>
        </w:rPr>
        <w:t>设计任务书</w:t>
      </w:r>
    </w:p>
    <w:p>
      <w:pPr>
        <w:spacing w:line="360" w:lineRule="auto"/>
        <w:ind w:firstLine="422" w:firstLineChars="200"/>
        <w:rPr>
          <w:rFonts w:hAnsi="宋体"/>
          <w:b/>
          <w:bCs/>
          <w:smallCaps/>
          <w:color w:val="auto"/>
          <w:sz w:val="21"/>
          <w:szCs w:val="21"/>
          <w:highlight w:val="none"/>
        </w:rPr>
      </w:pPr>
      <w:r>
        <w:rPr>
          <w:rFonts w:hint="eastAsia" w:hAnsi="宋体"/>
          <w:b/>
          <w:bCs/>
          <w:smallCaps/>
          <w:color w:val="auto"/>
          <w:sz w:val="21"/>
          <w:szCs w:val="21"/>
          <w:highlight w:val="none"/>
        </w:rPr>
        <w:t>一、项目基本情况</w:t>
      </w:r>
      <w:bookmarkStart w:id="147" w:name="_Toc32837710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项目情况：松山湖国际创新创业社区占地约397亩，总建筑面积约53万平方米，总建筑占地面积约为69570平方米，总投资约27亿元。项目分五期建设，划分为科技研发、产业孵化、商务配套及人才安居等四大功能分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2、项目定位：国际创新资源的集聚区、青年创新创业的训练营、创新创业人才的栖息地。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3、地理位置: 松山湖国际创新创业社区地处松山湖科学城核心区域，广深科技创新走廊重要节点，距东莞市中心仅约20公里，距深圳约40公里，被东莞理工学院、广东医科大学、东莞职业技术学院三所东莞高等院校围绕，紧邻湾区大学（筹）、华为大学、东莞中子科学城、华为终端基地。项目近珠三角环线高速出入口，直抵东莞各地，速联湾区各大城市。</w:t>
      </w:r>
    </w:p>
    <w:p>
      <w:pPr>
        <w:spacing w:line="360" w:lineRule="auto"/>
        <w:ind w:firstLine="422" w:firstLineChars="200"/>
        <w:rPr>
          <w:rFonts w:hAnsi="宋体"/>
          <w:b/>
          <w:bCs/>
          <w:smallCaps/>
          <w:color w:val="auto"/>
          <w:sz w:val="21"/>
          <w:szCs w:val="21"/>
          <w:highlight w:val="none"/>
        </w:rPr>
      </w:pPr>
      <w:r>
        <w:rPr>
          <w:rFonts w:hint="eastAsia" w:hAnsi="宋体"/>
          <w:b/>
          <w:bCs/>
          <w:smallCaps/>
          <w:color w:val="auto"/>
          <w:sz w:val="21"/>
          <w:szCs w:val="21"/>
          <w:highlight w:val="none"/>
        </w:rPr>
        <w:t>二、设计依据及设计标准</w:t>
      </w:r>
      <w:bookmarkEnd w:id="147"/>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1、设计依据</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国家现行有关规范、项目现状和原设计图纸。</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2、设计</w:t>
      </w:r>
      <w:bookmarkStart w:id="148" w:name="_Toc328377101"/>
      <w:r>
        <w:rPr>
          <w:rFonts w:hint="eastAsia" w:hAnsi="宋体"/>
          <w:color w:val="auto"/>
          <w:sz w:val="21"/>
          <w:szCs w:val="21"/>
          <w:highlight w:val="none"/>
        </w:rPr>
        <w:t>标准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国家和地方技术规范、标准、规程、导则及发包人提出的设计要求。</w:t>
      </w:r>
    </w:p>
    <w:p>
      <w:pPr>
        <w:spacing w:line="360" w:lineRule="auto"/>
        <w:ind w:firstLine="422" w:firstLineChars="200"/>
        <w:rPr>
          <w:rFonts w:hint="eastAsia" w:hAnsi="宋体" w:eastAsia="宋体"/>
          <w:b/>
          <w:bCs/>
          <w:smallCaps/>
          <w:color w:val="auto"/>
          <w:sz w:val="21"/>
          <w:szCs w:val="21"/>
          <w:highlight w:val="none"/>
          <w:lang w:eastAsia="zh-CN"/>
        </w:rPr>
      </w:pPr>
      <w:r>
        <w:rPr>
          <w:rFonts w:hint="eastAsia" w:hAnsi="宋体"/>
          <w:b/>
          <w:bCs/>
          <w:smallCaps/>
          <w:color w:val="auto"/>
          <w:sz w:val="21"/>
          <w:szCs w:val="21"/>
          <w:highlight w:val="none"/>
        </w:rPr>
        <w:t>三、</w:t>
      </w:r>
      <w:r>
        <w:rPr>
          <w:rFonts w:hint="eastAsia" w:hAnsi="宋体"/>
          <w:b/>
          <w:bCs/>
          <w:smallCaps/>
          <w:color w:val="auto"/>
          <w:sz w:val="21"/>
          <w:szCs w:val="21"/>
          <w:highlight w:val="none"/>
          <w:lang w:eastAsia="zh-CN"/>
        </w:rPr>
        <w:t>造价控制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项目建安</w:t>
      </w:r>
      <w:r>
        <w:rPr>
          <w:rFonts w:hAnsi="宋体"/>
          <w:color w:val="auto"/>
          <w:sz w:val="21"/>
          <w:szCs w:val="21"/>
          <w:highlight w:val="none"/>
        </w:rPr>
        <w:t>费</w:t>
      </w:r>
      <w:r>
        <w:rPr>
          <w:rFonts w:hint="eastAsia" w:hAnsi="宋体"/>
          <w:color w:val="auto"/>
          <w:sz w:val="21"/>
          <w:szCs w:val="21"/>
          <w:highlight w:val="none"/>
        </w:rPr>
        <w:t>在3</w:t>
      </w:r>
      <w:r>
        <w:rPr>
          <w:rFonts w:hint="eastAsia" w:hAnsi="宋体"/>
          <w:color w:val="auto"/>
          <w:sz w:val="21"/>
          <w:szCs w:val="21"/>
          <w:highlight w:val="none"/>
          <w:lang w:val="en-US" w:eastAsia="zh-CN"/>
        </w:rPr>
        <w:t>2</w:t>
      </w:r>
      <w:r>
        <w:rPr>
          <w:rFonts w:hint="eastAsia" w:hAnsi="宋体"/>
          <w:color w:val="auto"/>
          <w:sz w:val="21"/>
          <w:szCs w:val="21"/>
          <w:highlight w:val="none"/>
        </w:rPr>
        <w:t>00万以内。</w:t>
      </w:r>
    </w:p>
    <w:p>
      <w:pPr>
        <w:spacing w:line="360" w:lineRule="auto"/>
        <w:ind w:firstLine="422" w:firstLineChars="200"/>
        <w:rPr>
          <w:rFonts w:hAnsi="宋体"/>
          <w:b/>
          <w:bCs/>
          <w:smallCaps/>
          <w:color w:val="auto"/>
          <w:sz w:val="21"/>
          <w:szCs w:val="21"/>
          <w:highlight w:val="none"/>
        </w:rPr>
      </w:pPr>
      <w:r>
        <w:rPr>
          <w:rFonts w:hint="eastAsia" w:hAnsi="宋体"/>
          <w:b/>
          <w:bCs/>
          <w:smallCaps/>
          <w:color w:val="auto"/>
          <w:sz w:val="21"/>
          <w:szCs w:val="21"/>
          <w:highlight w:val="none"/>
        </w:rPr>
        <w:t>四、总体要求</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1、基于项目现状进行室外品质提升，重点打造园区入口、核心区和主干道区域。充分利用场地内现有苗木，整体统筹考虑，能利用的尽量利用。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2、考虑到景观中的植物元素在很长一段时间内处于生长状态，所以要求在设计中充分考虑时间的影响，兼顾近期和长期的景观效果。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3、注意植物种类的合理搭配，包括花期、颜色、气味等，使四季都有理想的景观效果。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4、在设计中考虑植物生长的最小土层厚度（以有关部门颁布的标准为参考）。</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5、应注意各个标高层次的景观效果，结合地形形成有各个景观主题的空间序列。</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6、在进行景观设计时，尽量将通风井、检查井、设备房等突出地面的构筑物合理利用、巧妙装饰，以化解对整体环境的影响。</w:t>
      </w:r>
    </w:p>
    <w:bookmarkEnd w:id="148"/>
    <w:p>
      <w:pPr>
        <w:spacing w:line="360" w:lineRule="auto"/>
        <w:ind w:firstLine="422" w:firstLineChars="200"/>
        <w:rPr>
          <w:rFonts w:hAnsi="宋体"/>
          <w:b/>
          <w:bCs/>
          <w:smallCaps/>
          <w:color w:val="auto"/>
          <w:sz w:val="21"/>
          <w:szCs w:val="21"/>
          <w:highlight w:val="none"/>
        </w:rPr>
      </w:pPr>
      <w:bookmarkStart w:id="149" w:name="_Toc329179759"/>
      <w:bookmarkStart w:id="150" w:name="_Toc329097969"/>
      <w:bookmarkStart w:id="151" w:name="_Toc329097921"/>
      <w:r>
        <w:rPr>
          <w:rFonts w:hint="eastAsia" w:hAnsi="宋体"/>
          <w:b/>
          <w:bCs/>
          <w:smallCaps/>
          <w:color w:val="auto"/>
          <w:sz w:val="21"/>
          <w:szCs w:val="21"/>
          <w:highlight w:val="none"/>
        </w:rPr>
        <w:t>五、</w:t>
      </w:r>
      <w:bookmarkEnd w:id="149"/>
      <w:bookmarkEnd w:id="150"/>
      <w:bookmarkEnd w:id="151"/>
      <w:r>
        <w:rPr>
          <w:rFonts w:hint="eastAsia" w:hAnsi="宋体"/>
          <w:b/>
          <w:bCs/>
          <w:smallCaps/>
          <w:color w:val="auto"/>
          <w:sz w:val="21"/>
          <w:szCs w:val="21"/>
          <w:highlight w:val="none"/>
        </w:rPr>
        <w:t>设计服务范围及内容</w:t>
      </w:r>
    </w:p>
    <w:p>
      <w:pPr>
        <w:spacing w:line="360" w:lineRule="auto"/>
        <w:ind w:firstLine="420" w:firstLineChars="200"/>
        <w:rPr>
          <w:rFonts w:hAnsi="宋体"/>
          <w:color w:val="auto"/>
          <w:sz w:val="21"/>
          <w:szCs w:val="21"/>
          <w:highlight w:val="none"/>
        </w:rPr>
      </w:pPr>
      <w:r>
        <w:rPr>
          <w:rFonts w:hint="eastAsia" w:hAnsi="宋体"/>
          <w:bCs/>
          <w:smallCaps/>
          <w:color w:val="auto"/>
          <w:sz w:val="21"/>
          <w:szCs w:val="21"/>
          <w:highlight w:val="none"/>
        </w:rPr>
        <w:t>1、</w:t>
      </w:r>
      <w:r>
        <w:rPr>
          <w:rFonts w:hint="eastAsia" w:hAnsi="宋体"/>
          <w:color w:val="auto"/>
          <w:sz w:val="21"/>
          <w:szCs w:val="21"/>
          <w:highlight w:val="none"/>
        </w:rPr>
        <w:t>园区内除主体建筑之外的所有的景观专业指定范围的景观设计。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园区内的室外景观绿化工程，如景观布置、园林小品、慢行系统完善、交通组织设计、场地铺装（包含室外健身活动场所、室外停车场）、水环境提升、绿化布置、亮化照明、微地形处理以及为景观绿化配套设施</w:t>
      </w:r>
      <w:r>
        <w:rPr>
          <w:rFonts w:hint="eastAsia" w:hAnsi="宋体"/>
          <w:color w:val="auto"/>
          <w:sz w:val="21"/>
          <w:szCs w:val="21"/>
          <w:highlight w:val="none"/>
          <w:lang w:eastAsia="zh-CN"/>
        </w:rPr>
        <w:t>及采购人要求的其他内容</w:t>
      </w:r>
      <w:r>
        <w:rPr>
          <w:rFonts w:hint="eastAsia" w:hAnsi="宋体"/>
          <w:color w:val="auto"/>
          <w:sz w:val="21"/>
          <w:szCs w:val="21"/>
          <w:highlight w:val="none"/>
        </w:rPr>
        <w:t>；</w:t>
      </w:r>
    </w:p>
    <w:p>
      <w:pPr>
        <w:spacing w:line="360" w:lineRule="auto"/>
        <w:ind w:firstLine="420" w:firstLineChars="200"/>
        <w:rPr>
          <w:rFonts w:hAnsi="宋体"/>
          <w:color w:val="auto"/>
          <w:sz w:val="21"/>
          <w:szCs w:val="21"/>
          <w:highlight w:val="none"/>
        </w:rPr>
      </w:pPr>
      <w:r>
        <w:rPr>
          <w:rFonts w:hint="eastAsia" w:hAnsi="宋体"/>
          <w:bCs/>
          <w:smallCaps/>
          <w:color w:val="auto"/>
          <w:sz w:val="21"/>
          <w:szCs w:val="21"/>
          <w:highlight w:val="none"/>
        </w:rPr>
        <w:t>3、</w:t>
      </w:r>
      <w:r>
        <w:rPr>
          <w:rFonts w:hint="eastAsia" w:hAnsi="宋体"/>
          <w:color w:val="auto"/>
          <w:sz w:val="21"/>
          <w:szCs w:val="21"/>
          <w:highlight w:val="none"/>
        </w:rPr>
        <w:t>投标单位需要在投标文件中体现概念设计深化文本，概念设计深化文本在已有的概念方案基础上进行优化及深化。</w:t>
      </w:r>
    </w:p>
    <w:p>
      <w:pPr>
        <w:spacing w:line="360" w:lineRule="auto"/>
        <w:ind w:firstLine="422" w:firstLineChars="200"/>
        <w:rPr>
          <w:rFonts w:hAnsi="宋体"/>
          <w:b/>
          <w:bCs/>
          <w:smallCaps/>
          <w:color w:val="auto"/>
          <w:sz w:val="21"/>
          <w:szCs w:val="21"/>
          <w:highlight w:val="none"/>
        </w:rPr>
      </w:pPr>
      <w:bookmarkStart w:id="152" w:name="_Toc314751265"/>
      <w:bookmarkStart w:id="153" w:name="_Toc314750449"/>
      <w:bookmarkStart w:id="154" w:name="_Toc133034538"/>
      <w:bookmarkStart w:id="155" w:name="_Toc314815451"/>
      <w:bookmarkStart w:id="156" w:name="_Toc329097970"/>
      <w:bookmarkStart w:id="157" w:name="_Toc329097922"/>
      <w:bookmarkStart w:id="158" w:name="_Toc329179760"/>
      <w:r>
        <w:rPr>
          <w:rFonts w:hint="eastAsia" w:hAnsi="宋体"/>
          <w:b/>
          <w:bCs/>
          <w:smallCaps/>
          <w:color w:val="auto"/>
          <w:sz w:val="21"/>
          <w:szCs w:val="21"/>
          <w:highlight w:val="none"/>
        </w:rPr>
        <w:t>六、设计</w:t>
      </w:r>
      <w:bookmarkEnd w:id="152"/>
      <w:bookmarkEnd w:id="153"/>
      <w:bookmarkEnd w:id="154"/>
      <w:bookmarkEnd w:id="155"/>
      <w:r>
        <w:rPr>
          <w:rFonts w:hint="eastAsia" w:hAnsi="宋体"/>
          <w:b/>
          <w:bCs/>
          <w:smallCaps/>
          <w:color w:val="auto"/>
          <w:sz w:val="21"/>
          <w:szCs w:val="21"/>
          <w:highlight w:val="none"/>
        </w:rPr>
        <w:t>深度要求</w:t>
      </w:r>
      <w:bookmarkEnd w:id="156"/>
      <w:bookmarkEnd w:id="157"/>
      <w:bookmarkEnd w:id="158"/>
    </w:p>
    <w:p>
      <w:pPr>
        <w:spacing w:line="360" w:lineRule="auto"/>
        <w:ind w:firstLine="420" w:firstLineChars="200"/>
        <w:rPr>
          <w:rFonts w:hAnsi="宋体"/>
          <w:bCs/>
          <w:smallCaps/>
          <w:color w:val="auto"/>
          <w:sz w:val="21"/>
          <w:szCs w:val="21"/>
          <w:highlight w:val="none"/>
        </w:rPr>
      </w:pPr>
      <w:r>
        <w:rPr>
          <w:rFonts w:hint="eastAsia" w:hAnsi="宋体"/>
          <w:bCs/>
          <w:smallCaps/>
          <w:color w:val="auto"/>
          <w:sz w:val="21"/>
          <w:szCs w:val="21"/>
          <w:highlight w:val="none"/>
        </w:rPr>
        <w:t>1、设计深度应遵照建设部编制的《建筑工程设计文件编制深度规定(2008年版)》（建质[2007]69号)、《建筑场地园林景观设计深度及图样》（建质［2006］82号）及设计合同之要求执行，并满足项目所在地规划管理部门关于报审建筑工程设计内容及深度的规定的要求。</w:t>
      </w:r>
    </w:p>
    <w:p>
      <w:pPr>
        <w:spacing w:line="360" w:lineRule="auto"/>
        <w:ind w:firstLine="420" w:firstLineChars="200"/>
        <w:rPr>
          <w:rFonts w:hAnsi="宋体"/>
          <w:bCs/>
          <w:smallCaps/>
          <w:color w:val="auto"/>
          <w:sz w:val="21"/>
          <w:szCs w:val="21"/>
          <w:highlight w:val="none"/>
        </w:rPr>
      </w:pPr>
      <w:r>
        <w:rPr>
          <w:rFonts w:hint="eastAsia" w:hAnsi="宋体"/>
          <w:bCs/>
          <w:smallCaps/>
          <w:color w:val="auto"/>
          <w:sz w:val="21"/>
          <w:szCs w:val="21"/>
          <w:highlight w:val="none"/>
        </w:rPr>
        <w:t>2、达到《风景园林工程设计文件编制深度规定》的要求。</w:t>
      </w:r>
    </w:p>
    <w:p>
      <w:pPr>
        <w:spacing w:line="360" w:lineRule="auto"/>
        <w:ind w:firstLine="420" w:firstLineChars="200"/>
        <w:rPr>
          <w:rFonts w:hAnsi="宋体"/>
          <w:bCs/>
          <w:smallCaps/>
          <w:color w:val="auto"/>
          <w:sz w:val="21"/>
          <w:szCs w:val="21"/>
          <w:highlight w:val="none"/>
        </w:rPr>
      </w:pPr>
      <w:r>
        <w:rPr>
          <w:rFonts w:hint="eastAsia" w:hAnsi="宋体"/>
          <w:bCs/>
          <w:smallCaps/>
          <w:color w:val="auto"/>
          <w:sz w:val="21"/>
          <w:szCs w:val="21"/>
          <w:highlight w:val="none"/>
        </w:rPr>
        <w:t>3、满足设计合同、设计任务书及过程中发包人的要求。</w:t>
      </w:r>
    </w:p>
    <w:p>
      <w:pPr>
        <w:spacing w:line="360" w:lineRule="auto"/>
        <w:ind w:firstLine="422" w:firstLineChars="200"/>
        <w:rPr>
          <w:rFonts w:hint="eastAsia" w:hAnsi="宋体" w:eastAsia="宋体"/>
          <w:b/>
          <w:bCs/>
          <w:smallCaps/>
          <w:color w:val="auto"/>
          <w:sz w:val="21"/>
          <w:szCs w:val="21"/>
          <w:highlight w:val="none"/>
          <w:lang w:eastAsia="zh-CN"/>
        </w:rPr>
      </w:pPr>
      <w:bookmarkStart w:id="159" w:name="_Toc329097971"/>
      <w:bookmarkStart w:id="160" w:name="_Toc329097923"/>
      <w:bookmarkStart w:id="161" w:name="_Toc329179761"/>
      <w:r>
        <w:rPr>
          <w:rFonts w:hint="eastAsia" w:hAnsi="宋体"/>
          <w:b/>
          <w:bCs/>
          <w:smallCaps/>
          <w:color w:val="auto"/>
          <w:sz w:val="21"/>
          <w:szCs w:val="21"/>
          <w:highlight w:val="none"/>
        </w:rPr>
        <w:t>七 、</w:t>
      </w:r>
      <w:bookmarkEnd w:id="159"/>
      <w:bookmarkEnd w:id="160"/>
      <w:bookmarkEnd w:id="161"/>
      <w:r>
        <w:rPr>
          <w:rFonts w:hint="eastAsia" w:hAnsi="宋体"/>
          <w:b/>
          <w:bCs/>
          <w:smallCaps/>
          <w:color w:val="auto"/>
          <w:sz w:val="21"/>
          <w:szCs w:val="21"/>
          <w:highlight w:val="none"/>
        </w:rPr>
        <w:t>设计服务阶段及成果要求</w:t>
      </w:r>
      <w:r>
        <w:rPr>
          <w:rFonts w:hint="eastAsia" w:hAnsi="宋体"/>
          <w:b/>
          <w:bCs/>
          <w:smallCaps/>
          <w:color w:val="auto"/>
          <w:sz w:val="21"/>
          <w:szCs w:val="21"/>
          <w:highlight w:val="none"/>
          <w:lang w:eastAsia="zh-CN"/>
        </w:rPr>
        <w:t>（可根据实际设计内容调整）</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（一）方案设计：（中标后中标单位设计）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1、设计说明</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2、场地现状图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3、总平面图、鸟瞰图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4、分区索引平面图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5、景观系统分析图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6、竖向设计图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7、主要绿化景观区域放大平面图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8、主要绿化景观区域的立面、剖面</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9、主要绿化景观建筑物、构筑物及小品的设计方案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10、植物配置设计总平面图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11、硬质景观设计平面图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12、重要节点效果图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13、相关的技术指标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14、投资估算</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（二）施工图设计阶段（中标后中标单位设计）：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1、园建专业</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1)图纸目录</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2)园建设计总说明</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3)结构设计总说明</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4)材料样板</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5)总平面图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6)总体竖向设计图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7)总体铺装平面图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8)总体定位平面图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9)分区索引平面图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10)分区定位平面图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11)分区尺寸标注图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12)分区竖向设计平面图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13)分区/局部放大平面图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14)绿化景观场地剖、立面施工详图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15)绿化景观场地/大样详图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16)绿化景观建筑物、构筑物及小品施工详图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17)绿化景观水景施工详图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2、绿化专业</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1)图纸目录</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2)绿化施工图设计总说明</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3)绿化施工图种植总说明</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4)植物配置总索引图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5)地形平面图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6)乔木配置平面图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7)灌木配置平面图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8)地被配置平面图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9)苗木表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3、给排水专业</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1)图纸目录</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2)给排水施工图设计总说明</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3)给排水总平面图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4)分项平面图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5)给排水大样图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6)给排水系统图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4、电气专业</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1)图纸目录</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2)电气施工图设计总说明</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3)电气总平面图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4)配电、照明设计图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5)背景音响设计图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6)其它系统设计图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7)灯具安装大样图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8)主要设备表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（三）施工配合服务阶段</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1、向园林施工单位进行技术交底和参与图纸会审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2、园林材料定板与验线</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3、协助处理施工过程中相关问题及跟进图纸修改事宜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4、参与竣工验收，绘制竣工图</w:t>
      </w:r>
    </w:p>
    <w:p>
      <w:pPr>
        <w:spacing w:line="360" w:lineRule="auto"/>
        <w:ind w:firstLine="420" w:firstLineChars="200"/>
        <w:rPr>
          <w:rFonts w:hAnsi="宋体"/>
          <w:color w:val="auto"/>
          <w:sz w:val="21"/>
          <w:szCs w:val="21"/>
          <w:highlight w:val="none"/>
        </w:rPr>
      </w:pPr>
    </w:p>
    <w:p>
      <w:pPr>
        <w:pStyle w:val="2"/>
        <w:spacing w:line="360" w:lineRule="auto"/>
        <w:ind w:firstLine="422" w:firstLineChars="200"/>
        <w:rPr>
          <w:color w:val="auto"/>
          <w:sz w:val="21"/>
          <w:szCs w:val="21"/>
          <w:highlight w:val="none"/>
        </w:rPr>
        <w:sectPr>
          <w:headerReference r:id="rId8" w:type="first"/>
          <w:footerReference r:id="rId11" w:type="first"/>
          <w:headerReference r:id="rId7" w:type="default"/>
          <w:footerReference r:id="rId9" w:type="default"/>
          <w:footerReference r:id="rId10" w:type="even"/>
          <w:pgSz w:w="11907" w:h="16840"/>
          <w:pgMar w:top="1440" w:right="1134" w:bottom="1440" w:left="1134" w:header="850" w:footer="720" w:gutter="0"/>
          <w:cols w:space="720" w:num="1"/>
          <w:docGrid w:type="lines" w:linePitch="326" w:charSpace="0"/>
        </w:sectPr>
      </w:pPr>
    </w:p>
    <w:p>
      <w:pPr>
        <w:pStyle w:val="3"/>
        <w:keepNext/>
        <w:keepLines/>
        <w:pageBreakBefore/>
        <w:numPr>
          <w:ilvl w:val="0"/>
          <w:numId w:val="16"/>
        </w:numPr>
        <w:spacing w:line="360" w:lineRule="auto"/>
        <w:jc w:val="center"/>
        <w:rPr>
          <w:rFonts w:hAnsi="宋体"/>
          <w:b/>
          <w:bCs/>
          <w:color w:val="auto"/>
          <w:kern w:val="44"/>
          <w:sz w:val="28"/>
          <w:szCs w:val="28"/>
          <w:highlight w:val="none"/>
          <w:lang w:val="zh-CN"/>
        </w:rPr>
      </w:pPr>
      <w:r>
        <w:rPr>
          <w:rFonts w:hint="eastAsia" w:hAnsi="宋体"/>
          <w:b/>
          <w:bCs/>
          <w:color w:val="auto"/>
          <w:kern w:val="44"/>
          <w:sz w:val="28"/>
          <w:szCs w:val="28"/>
          <w:highlight w:val="none"/>
          <w:lang w:val="zh-CN"/>
        </w:rPr>
        <w:t>评审工作大纲</w:t>
      </w:r>
      <w:bookmarkEnd w:id="145"/>
    </w:p>
    <w:p>
      <w:pPr>
        <w:pStyle w:val="20"/>
        <w:spacing w:line="360" w:lineRule="auto"/>
        <w:ind w:firstLine="422" w:firstLineChars="200"/>
        <w:jc w:val="both"/>
        <w:rPr>
          <w:rFonts w:hAnsi="宋体"/>
          <w:color w:val="auto"/>
          <w:sz w:val="21"/>
          <w:szCs w:val="21"/>
          <w:highlight w:val="none"/>
        </w:rPr>
      </w:pPr>
      <w:r>
        <w:rPr>
          <w:rFonts w:hint="eastAsia" w:hAnsi="宋体"/>
          <w:color w:val="auto"/>
          <w:sz w:val="21"/>
          <w:szCs w:val="21"/>
          <w:highlight w:val="none"/>
        </w:rPr>
        <w:t>一、磋商小组对响应文件进行初审，初审包括资格性审查和符合性审查。</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审查项目</w:t>
            </w:r>
          </w:p>
        </w:tc>
        <w:tc>
          <w:tcPr>
            <w:tcW w:w="5801" w:type="dxa"/>
            <w:vAlign w:val="center"/>
          </w:tcPr>
          <w:p>
            <w:pPr>
              <w:pStyle w:val="144"/>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内容</w:t>
            </w:r>
          </w:p>
        </w:tc>
        <w:tc>
          <w:tcPr>
            <w:tcW w:w="1230" w:type="dxa"/>
          </w:tcPr>
          <w:p>
            <w:pPr>
              <w:pStyle w:val="144"/>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资格性审查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资格瑕疵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磋商保证金瑕疵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符合性审查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供应商代表身份审查</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磋商响应文件的有效性、完整性瑕疵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技术响应瑕疵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商务响应瑕疵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报价</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违规行为</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法律法规及磋商文件中规定的其它情形。</w:t>
            </w:r>
          </w:p>
        </w:tc>
        <w:tc>
          <w:tcPr>
            <w:tcW w:w="1230" w:type="dxa"/>
          </w:tcPr>
          <w:p>
            <w:pPr>
              <w:pStyle w:val="144"/>
              <w:spacing w:line="360" w:lineRule="auto"/>
              <w:ind w:firstLine="0" w:firstLineChars="0"/>
              <w:jc w:val="left"/>
              <w:rPr>
                <w:rFonts w:ascii="宋体" w:hAnsi="宋体"/>
                <w:bCs/>
                <w:color w:val="auto"/>
                <w:szCs w:val="21"/>
                <w:highlight w:val="none"/>
              </w:rPr>
            </w:pPr>
          </w:p>
        </w:tc>
      </w:tr>
    </w:tbl>
    <w:p>
      <w:pPr>
        <w:pStyle w:val="20"/>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（一）资格性检查</w:t>
      </w:r>
    </w:p>
    <w:p>
      <w:pPr>
        <w:pStyle w:val="20"/>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1)资格瑕疵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①资格证明文件未提供或不符合磋商文件要求的；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②供应商与采购人、采购代理机构有利害关系的。</w:t>
      </w:r>
    </w:p>
    <w:p>
      <w:pPr>
        <w:pStyle w:val="20"/>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2)磋商保证金瑕疵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①供应商未提交磋商文件保证金或金额不足；</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②提交方式、提交时间不符合采购要求；</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③磋商文件保证金有效期不符合采购要求的。</w:t>
      </w:r>
    </w:p>
    <w:p>
      <w:pPr>
        <w:pStyle w:val="20"/>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（二）符合性检查</w:t>
      </w:r>
    </w:p>
    <w:p>
      <w:pPr>
        <w:pStyle w:val="20"/>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1)供应商代表身份审查</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①供应商代表无有效授权；</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②核对供应商代表身份时，不能提供相应的身份证明或不相符。</w:t>
      </w:r>
    </w:p>
    <w:p>
      <w:pPr>
        <w:pStyle w:val="20"/>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2)响应文件的有效性、完整性瑕疵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①响应文件的数量、制作、密封、标记不符合要求；</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②响应文件无法定代表人或其授权代表签字，或签字人无法定代表人有效授权的；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③签字盖章不符合磋商文件要求的；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④响应文件内容有严重缺漏项的；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⑤报价有严重缺漏项的；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⑥响应文件的关键内容字迹模糊、无法辨认的。</w:t>
      </w:r>
    </w:p>
    <w:p>
      <w:pPr>
        <w:pStyle w:val="20"/>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3)技术响应瑕疵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①响应文件不满足磋商文件中加注星号（★）的主要参数要求或加注星号的主要参数无技术资料支持的；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②一般参数超出允许偏离的最大范围或最高项数的；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③响应文件技术响应与事实不符或虚假磋商的；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④《技术规格偏离表》填写不明或不实的；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⑤将一个包中的内容拆开磋商的；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⑥供应商对同一货物或服务磋商时，同时提供两套或两套以上的磋商方案的；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⑦明显不符合技术规格、技术标准要求的；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⑧其他未实质性响应磋商文件技术要求的。</w:t>
      </w:r>
    </w:p>
    <w:p>
      <w:pPr>
        <w:pStyle w:val="20"/>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4)商务响应瑕疵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①磋商文件加注星号（★）的商务要求负偏离的；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②项目完成期未满足磋商文件要求的；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③报价超出采购预算的。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④《商务条款偏离表》填写不明或不实的；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⑤供应商低于成本报价竞标的；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⑥响应文件附有采购人不能接受的条件的；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⑦其他未实质性响应磋商文件商务要求的。</w:t>
      </w:r>
    </w:p>
    <w:p>
      <w:pPr>
        <w:pStyle w:val="20"/>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5）报价</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包括但不限于：报价不得超过本磋商文件明确的项目预算。</w:t>
      </w:r>
    </w:p>
    <w:p>
      <w:pPr>
        <w:pStyle w:val="20"/>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6）违规行为</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①以他人的名义磋商、串通磋商、以行贿手段谋取成交或者以其他弄虚作假方式参与磋商的；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②拒不按照要求对响应文件进行澄清、说明或者补正的；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③扰乱开标、评标秩序，干扰磋商工作正常进行的。</w:t>
      </w:r>
    </w:p>
    <w:p>
      <w:pPr>
        <w:pStyle w:val="20"/>
        <w:numPr>
          <w:ilvl w:val="0"/>
          <w:numId w:val="17"/>
        </w:numP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法律法规及磋商文件中规定的其它情形。</w:t>
      </w:r>
    </w:p>
    <w:p>
      <w:pPr>
        <w:pStyle w:val="20"/>
        <w:numPr>
          <w:ilvl w:val="0"/>
          <w:numId w:val="11"/>
        </w:numP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经过磋商阶段后，磋商小组按照磋商文件确定的评审标准和方法对提交最后报价的供应商的响应文件进行评审和比较，推荐候选成交供应商，编制评审报告。</w:t>
      </w:r>
    </w:p>
    <w:p>
      <w:pPr>
        <w:pStyle w:val="28"/>
        <w:spacing w:line="360" w:lineRule="auto"/>
        <w:ind w:firstLine="422" w:firstLineChars="200"/>
        <w:rPr>
          <w:rFonts w:hAnsi="宋体"/>
          <w:b/>
          <w:bCs/>
          <w:color w:val="auto"/>
          <w:szCs w:val="21"/>
          <w:highlight w:val="none"/>
        </w:rPr>
      </w:pPr>
      <w:r>
        <w:rPr>
          <w:rFonts w:hint="eastAsia" w:hAnsi="宋体"/>
          <w:b/>
          <w:bCs/>
          <w:color w:val="auto"/>
          <w:szCs w:val="21"/>
          <w:highlight w:val="none"/>
        </w:rPr>
        <w:t>三、评审因素及评分权重</w:t>
      </w:r>
    </w:p>
    <w:p>
      <w:pPr>
        <w:tabs>
          <w:tab w:val="left" w:pos="660"/>
        </w:tabs>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1、评委考核打分的评分因素及分值:总分100分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701"/>
        <w:gridCol w:w="850"/>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bookmarkStart w:id="269" w:name="_GoBack"/>
            <w:r>
              <w:rPr>
                <w:rFonts w:hint="eastAsia"/>
                <w:b/>
                <w:color w:val="auto"/>
                <w:kern w:val="2"/>
                <w:sz w:val="21"/>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评分内容</w:t>
            </w:r>
          </w:p>
        </w:tc>
        <w:tc>
          <w:tcPr>
            <w:tcW w:w="85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分值</w:t>
            </w:r>
          </w:p>
        </w:tc>
        <w:tc>
          <w:tcPr>
            <w:tcW w:w="6237"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62" w:type="dxa"/>
            <w:gridSpan w:val="4"/>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价格评分（</w:t>
            </w:r>
            <w:r>
              <w:rPr>
                <w:rFonts w:hint="eastAsia"/>
                <w:b/>
                <w:color w:val="auto"/>
                <w:kern w:val="2"/>
                <w:sz w:val="21"/>
                <w:szCs w:val="21"/>
                <w:highlight w:val="none"/>
                <w:lang w:val="en-US" w:eastAsia="zh-CN"/>
              </w:rPr>
              <w:t>4</w:t>
            </w:r>
            <w:r>
              <w:rPr>
                <w:rFonts w:hint="eastAsia"/>
                <w:b/>
                <w:color w:val="auto"/>
                <w:kern w:val="2"/>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1</w:t>
            </w:r>
          </w:p>
        </w:tc>
        <w:tc>
          <w:tcPr>
            <w:tcW w:w="1701"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价格</w:t>
            </w:r>
          </w:p>
        </w:tc>
        <w:tc>
          <w:tcPr>
            <w:tcW w:w="85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lang w:val="en-US" w:eastAsia="zh-CN"/>
              </w:rPr>
              <w:t>4</w:t>
            </w:r>
            <w:r>
              <w:rPr>
                <w:rFonts w:hint="eastAsia"/>
                <w:color w:val="auto"/>
                <w:kern w:val="2"/>
                <w:sz w:val="21"/>
                <w:szCs w:val="21"/>
                <w:highlight w:val="none"/>
              </w:rPr>
              <w:t>0分</w:t>
            </w:r>
          </w:p>
        </w:tc>
        <w:tc>
          <w:tcPr>
            <w:tcW w:w="6237" w:type="dxa"/>
            <w:tcBorders>
              <w:top w:val="single" w:color="auto" w:sz="4" w:space="0"/>
              <w:left w:val="single" w:color="auto" w:sz="4" w:space="0"/>
              <w:bottom w:val="single" w:color="auto" w:sz="4" w:space="0"/>
              <w:right w:val="single" w:color="auto" w:sz="4" w:space="0"/>
            </w:tcBorders>
            <w:vAlign w:val="center"/>
          </w:tcPr>
          <w:p>
            <w:pPr>
              <w:pStyle w:val="47"/>
              <w:spacing w:line="360" w:lineRule="auto"/>
              <w:rPr>
                <w:color w:val="auto"/>
                <w:kern w:val="2"/>
                <w:sz w:val="21"/>
                <w:szCs w:val="21"/>
                <w:highlight w:val="none"/>
              </w:rPr>
            </w:pPr>
            <w:r>
              <w:rPr>
                <w:rFonts w:hint="eastAsia"/>
                <w:color w:val="auto"/>
                <w:kern w:val="2"/>
                <w:sz w:val="21"/>
                <w:szCs w:val="21"/>
                <w:highlight w:val="none"/>
              </w:rPr>
              <w:t>价格分计算方法：满足磋商文件要求且磋商价格最低的磋商报价为评标基准价，其价格分为满分。其他供应商的价格分统一按照下列公式计算：磋商报价得分=(评标基准价／磋商报价)×价格权重40%×100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462" w:type="dxa"/>
            <w:gridSpan w:val="4"/>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商务评分（</w:t>
            </w:r>
            <w:r>
              <w:rPr>
                <w:rFonts w:hint="eastAsia"/>
                <w:b/>
                <w:color w:val="auto"/>
                <w:kern w:val="2"/>
                <w:sz w:val="21"/>
                <w:szCs w:val="21"/>
                <w:highlight w:val="none"/>
                <w:lang w:val="en-US" w:eastAsia="zh-CN"/>
              </w:rPr>
              <w:t>3</w:t>
            </w:r>
            <w:r>
              <w:rPr>
                <w:rFonts w:hint="eastAsia"/>
                <w:b/>
                <w:color w:val="auto"/>
                <w:kern w:val="2"/>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rPr>
              <w:t>企业业绩</w:t>
            </w:r>
          </w:p>
        </w:tc>
        <w:tc>
          <w:tcPr>
            <w:tcW w:w="85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color w:val="auto"/>
                <w:kern w:val="2"/>
                <w:sz w:val="21"/>
                <w:szCs w:val="21"/>
              </w:rPr>
              <w:t>5</w:t>
            </w:r>
            <w:r>
              <w:rPr>
                <w:rFonts w:hint="eastAsia"/>
                <w:color w:val="auto"/>
                <w:kern w:val="2"/>
                <w:sz w:val="21"/>
                <w:szCs w:val="21"/>
              </w:rPr>
              <w:t>分</w:t>
            </w:r>
          </w:p>
        </w:tc>
        <w:tc>
          <w:tcPr>
            <w:tcW w:w="6237"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auto"/>
                <w:sz w:val="21"/>
                <w:szCs w:val="21"/>
              </w:rPr>
            </w:pPr>
            <w:r>
              <w:rPr>
                <w:rFonts w:hint="eastAsia" w:hAnsi="宋体"/>
                <w:color w:val="auto"/>
                <w:sz w:val="21"/>
                <w:szCs w:val="21"/>
              </w:rPr>
              <w:t>2019年1月1日至今</w:t>
            </w:r>
            <w:r>
              <w:rPr>
                <w:rFonts w:hAnsi="宋体"/>
                <w:color w:val="auto"/>
                <w:sz w:val="21"/>
                <w:szCs w:val="21"/>
              </w:rPr>
              <w:t>投标人承接过</w:t>
            </w:r>
            <w:r>
              <w:rPr>
                <w:rFonts w:hint="eastAsia" w:hAnsi="宋体"/>
                <w:color w:val="auto"/>
                <w:sz w:val="21"/>
                <w:szCs w:val="21"/>
              </w:rPr>
              <w:t>设计园林景观</w:t>
            </w:r>
            <w:r>
              <w:rPr>
                <w:rFonts w:hAnsi="宋体"/>
                <w:color w:val="auto"/>
                <w:sz w:val="21"/>
                <w:szCs w:val="21"/>
              </w:rPr>
              <w:t>类项目设计业绩的，每项得1</w:t>
            </w:r>
            <w:r>
              <w:rPr>
                <w:rFonts w:hint="eastAsia" w:hAnsi="宋体"/>
                <w:color w:val="auto"/>
                <w:sz w:val="21"/>
                <w:szCs w:val="21"/>
              </w:rPr>
              <w:t>分</w:t>
            </w:r>
            <w:r>
              <w:rPr>
                <w:rFonts w:hAnsi="宋体"/>
                <w:color w:val="auto"/>
                <w:sz w:val="21"/>
                <w:szCs w:val="21"/>
              </w:rPr>
              <w:t>，本项目满分5</w:t>
            </w:r>
            <w:r>
              <w:rPr>
                <w:rFonts w:hint="eastAsia" w:hAnsi="宋体"/>
                <w:color w:val="auto"/>
                <w:sz w:val="21"/>
                <w:szCs w:val="21"/>
              </w:rPr>
              <w:t>分</w:t>
            </w:r>
            <w:r>
              <w:rPr>
                <w:rFonts w:hAnsi="宋体"/>
                <w:color w:val="auto"/>
                <w:sz w:val="21"/>
                <w:szCs w:val="21"/>
              </w:rPr>
              <w:t>。</w:t>
            </w:r>
          </w:p>
          <w:p>
            <w:pPr>
              <w:spacing w:line="360" w:lineRule="auto"/>
              <w:rPr>
                <w:color w:val="auto"/>
                <w:highlight w:val="none"/>
              </w:rPr>
            </w:pPr>
            <w:r>
              <w:rPr>
                <w:rFonts w:hint="eastAsia" w:hAnsi="宋体"/>
                <w:color w:val="auto"/>
                <w:sz w:val="21"/>
                <w:szCs w:val="21"/>
              </w:rPr>
              <w:t>注：须同时提供以下证明材料并加盖公章：①</w:t>
            </w:r>
            <w:r>
              <w:rPr>
                <w:rFonts w:hAnsi="宋体"/>
                <w:color w:val="auto"/>
                <w:sz w:val="21"/>
                <w:szCs w:val="21"/>
              </w:rPr>
              <w:t>合同协议书关键页复印件加盖公章（</w:t>
            </w:r>
            <w:r>
              <w:rPr>
                <w:rFonts w:hint="eastAsia" w:hAnsi="宋体"/>
                <w:color w:val="auto"/>
                <w:sz w:val="21"/>
                <w:szCs w:val="21"/>
              </w:rPr>
              <w:t>时间</w:t>
            </w:r>
            <w:r>
              <w:rPr>
                <w:rFonts w:hAnsi="宋体"/>
                <w:color w:val="auto"/>
                <w:sz w:val="21"/>
                <w:szCs w:val="21"/>
              </w:rPr>
              <w:t>以合同签订时间为准）</w:t>
            </w:r>
            <w:r>
              <w:rPr>
                <w:rFonts w:hint="eastAsia" w:hAnsi="宋体"/>
                <w:color w:val="auto"/>
                <w:sz w:val="21"/>
                <w:szCs w:val="21"/>
              </w:rPr>
              <w:t>②与项目相关的发票或完税证明等材料（张数不限）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rPr>
              <w:t>2</w:t>
            </w:r>
          </w:p>
        </w:tc>
        <w:tc>
          <w:tcPr>
            <w:tcW w:w="1701"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rPr>
              <w:t>企业</w:t>
            </w:r>
            <w:r>
              <w:rPr>
                <w:color w:val="auto"/>
                <w:kern w:val="2"/>
                <w:sz w:val="21"/>
                <w:szCs w:val="21"/>
              </w:rPr>
              <w:t>实力及业绩获奖</w:t>
            </w:r>
          </w:p>
        </w:tc>
        <w:tc>
          <w:tcPr>
            <w:tcW w:w="85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color w:val="auto"/>
                <w:kern w:val="2"/>
                <w:sz w:val="21"/>
                <w:szCs w:val="21"/>
              </w:rPr>
              <w:t>9</w:t>
            </w:r>
            <w:r>
              <w:rPr>
                <w:rFonts w:hint="eastAsia"/>
                <w:color w:val="auto"/>
                <w:kern w:val="2"/>
                <w:sz w:val="21"/>
                <w:szCs w:val="21"/>
              </w:rPr>
              <w:t>分</w:t>
            </w:r>
          </w:p>
        </w:tc>
        <w:tc>
          <w:tcPr>
            <w:tcW w:w="6237"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auto"/>
                <w:sz w:val="21"/>
                <w:szCs w:val="21"/>
              </w:rPr>
            </w:pPr>
            <w:r>
              <w:rPr>
                <w:rFonts w:hint="eastAsia" w:hAnsi="宋体"/>
                <w:color w:val="auto"/>
                <w:sz w:val="21"/>
                <w:szCs w:val="21"/>
              </w:rPr>
              <w:t>投标人承接过</w:t>
            </w:r>
            <w:r>
              <w:rPr>
                <w:rFonts w:hAnsi="宋体"/>
                <w:color w:val="auto"/>
                <w:sz w:val="21"/>
                <w:szCs w:val="21"/>
              </w:rPr>
              <w:t>的园林景观类项目设计业绩中，</w:t>
            </w:r>
            <w:r>
              <w:rPr>
                <w:rFonts w:hint="eastAsia" w:hAnsi="宋体"/>
                <w:color w:val="auto"/>
                <w:sz w:val="21"/>
                <w:szCs w:val="21"/>
              </w:rPr>
              <w:t>2019年1月1日</w:t>
            </w:r>
            <w:r>
              <w:rPr>
                <w:rFonts w:hAnsi="宋体"/>
                <w:color w:val="auto"/>
                <w:sz w:val="21"/>
                <w:szCs w:val="21"/>
              </w:rPr>
              <w:t>至今获得奖项的：</w:t>
            </w:r>
          </w:p>
          <w:p>
            <w:pPr>
              <w:spacing w:line="360" w:lineRule="auto"/>
              <w:rPr>
                <w:rFonts w:hAnsi="宋体"/>
                <w:color w:val="auto"/>
                <w:sz w:val="21"/>
                <w:szCs w:val="21"/>
              </w:rPr>
            </w:pPr>
            <w:r>
              <w:rPr>
                <w:rFonts w:hint="eastAsia" w:hAnsi="宋体"/>
                <w:color w:val="auto"/>
                <w:sz w:val="21"/>
                <w:szCs w:val="21"/>
              </w:rPr>
              <w:t>1、</w:t>
            </w:r>
            <w:r>
              <w:rPr>
                <w:rFonts w:hAnsi="宋体"/>
                <w:color w:val="auto"/>
                <w:sz w:val="21"/>
                <w:szCs w:val="21"/>
              </w:rPr>
              <w:t>获得过国家级</w:t>
            </w:r>
            <w:r>
              <w:rPr>
                <w:rFonts w:hint="eastAsia" w:hAnsi="宋体"/>
                <w:color w:val="auto"/>
                <w:sz w:val="21"/>
                <w:szCs w:val="21"/>
              </w:rPr>
              <w:t>（部</w:t>
            </w:r>
            <w:r>
              <w:rPr>
                <w:rFonts w:hAnsi="宋体"/>
                <w:color w:val="auto"/>
                <w:sz w:val="21"/>
                <w:szCs w:val="21"/>
              </w:rPr>
              <w:t>级</w:t>
            </w:r>
            <w:r>
              <w:rPr>
                <w:rFonts w:hint="eastAsia" w:hAnsi="宋体"/>
                <w:color w:val="auto"/>
                <w:sz w:val="21"/>
                <w:szCs w:val="21"/>
              </w:rPr>
              <w:t>）建设</w:t>
            </w:r>
            <w:r>
              <w:rPr>
                <w:rFonts w:hAnsi="宋体"/>
                <w:color w:val="auto"/>
                <w:sz w:val="21"/>
                <w:szCs w:val="21"/>
              </w:rPr>
              <w:t>行政主管部门或国家级</w:t>
            </w:r>
            <w:r>
              <w:rPr>
                <w:rFonts w:hint="eastAsia" w:hAnsi="宋体"/>
                <w:color w:val="auto"/>
                <w:sz w:val="21"/>
                <w:szCs w:val="21"/>
              </w:rPr>
              <w:t>行业</w:t>
            </w:r>
            <w:r>
              <w:rPr>
                <w:rFonts w:hAnsi="宋体"/>
                <w:color w:val="auto"/>
                <w:sz w:val="21"/>
                <w:szCs w:val="21"/>
              </w:rPr>
              <w:t>协会（</w:t>
            </w:r>
            <w:r>
              <w:rPr>
                <w:rFonts w:hint="eastAsia" w:hAnsi="宋体"/>
                <w:color w:val="auto"/>
                <w:sz w:val="21"/>
                <w:szCs w:val="21"/>
              </w:rPr>
              <w:t>学会</w:t>
            </w:r>
            <w:r>
              <w:rPr>
                <w:rFonts w:hAnsi="宋体"/>
                <w:color w:val="auto"/>
                <w:sz w:val="21"/>
                <w:szCs w:val="21"/>
              </w:rPr>
              <w:t>）</w:t>
            </w:r>
            <w:r>
              <w:rPr>
                <w:rFonts w:hint="eastAsia" w:hAnsi="宋体"/>
                <w:color w:val="auto"/>
                <w:sz w:val="21"/>
                <w:szCs w:val="21"/>
              </w:rPr>
              <w:t>颁发</w:t>
            </w:r>
            <w:r>
              <w:rPr>
                <w:rFonts w:hAnsi="宋体"/>
                <w:color w:val="auto"/>
                <w:sz w:val="21"/>
                <w:szCs w:val="21"/>
              </w:rPr>
              <w:t>奖项的，每项</w:t>
            </w:r>
            <w:r>
              <w:rPr>
                <w:rFonts w:hint="eastAsia" w:hAnsi="宋体"/>
                <w:color w:val="auto"/>
                <w:sz w:val="21"/>
                <w:szCs w:val="21"/>
              </w:rPr>
              <w:t>得</w:t>
            </w:r>
            <w:r>
              <w:rPr>
                <w:rFonts w:hAnsi="宋体"/>
                <w:color w:val="auto"/>
                <w:sz w:val="21"/>
                <w:szCs w:val="21"/>
              </w:rPr>
              <w:t>1.5</w:t>
            </w:r>
            <w:r>
              <w:rPr>
                <w:rFonts w:hint="eastAsia" w:hAnsi="宋体"/>
                <w:color w:val="auto"/>
                <w:sz w:val="21"/>
                <w:szCs w:val="21"/>
              </w:rPr>
              <w:t>分</w:t>
            </w:r>
            <w:r>
              <w:rPr>
                <w:rFonts w:hAnsi="宋体"/>
                <w:color w:val="auto"/>
                <w:sz w:val="21"/>
                <w:szCs w:val="21"/>
              </w:rPr>
              <w:t xml:space="preserve">； </w:t>
            </w:r>
          </w:p>
          <w:p>
            <w:pPr>
              <w:spacing w:line="360" w:lineRule="auto"/>
              <w:rPr>
                <w:rFonts w:hAnsi="宋体"/>
                <w:color w:val="auto"/>
                <w:sz w:val="21"/>
                <w:szCs w:val="21"/>
              </w:rPr>
            </w:pPr>
            <w:r>
              <w:rPr>
                <w:rFonts w:hint="eastAsia" w:hAnsi="宋体"/>
                <w:color w:val="auto"/>
                <w:sz w:val="21"/>
                <w:szCs w:val="21"/>
              </w:rPr>
              <w:t>2、</w:t>
            </w:r>
            <w:r>
              <w:rPr>
                <w:rFonts w:hAnsi="宋体"/>
                <w:color w:val="auto"/>
                <w:sz w:val="21"/>
                <w:szCs w:val="21"/>
              </w:rPr>
              <w:t>获得过省级（</w:t>
            </w:r>
            <w:r>
              <w:rPr>
                <w:rFonts w:hint="eastAsia" w:hAnsi="宋体"/>
                <w:color w:val="auto"/>
                <w:sz w:val="21"/>
                <w:szCs w:val="21"/>
              </w:rPr>
              <w:t>直辖市</w:t>
            </w:r>
            <w:r>
              <w:rPr>
                <w:rFonts w:hAnsi="宋体"/>
                <w:color w:val="auto"/>
                <w:sz w:val="21"/>
                <w:szCs w:val="21"/>
              </w:rPr>
              <w:t>）</w:t>
            </w:r>
            <w:r>
              <w:rPr>
                <w:rFonts w:hint="eastAsia" w:hAnsi="宋体"/>
                <w:color w:val="auto"/>
                <w:sz w:val="21"/>
                <w:szCs w:val="21"/>
              </w:rPr>
              <w:t>建设</w:t>
            </w:r>
            <w:r>
              <w:rPr>
                <w:rFonts w:hAnsi="宋体"/>
                <w:color w:val="auto"/>
                <w:sz w:val="21"/>
                <w:szCs w:val="21"/>
              </w:rPr>
              <w:t>行政</w:t>
            </w:r>
            <w:r>
              <w:rPr>
                <w:rFonts w:hint="eastAsia" w:hAnsi="宋体"/>
                <w:color w:val="auto"/>
                <w:sz w:val="21"/>
                <w:szCs w:val="21"/>
              </w:rPr>
              <w:t>主管</w:t>
            </w:r>
            <w:r>
              <w:rPr>
                <w:rFonts w:hAnsi="宋体"/>
                <w:color w:val="auto"/>
                <w:sz w:val="21"/>
                <w:szCs w:val="21"/>
              </w:rPr>
              <w:t>部门或</w:t>
            </w:r>
            <w:r>
              <w:rPr>
                <w:rFonts w:hint="eastAsia" w:hAnsi="宋体"/>
                <w:color w:val="auto"/>
                <w:sz w:val="21"/>
                <w:szCs w:val="21"/>
              </w:rPr>
              <w:t>省级</w:t>
            </w:r>
            <w:r>
              <w:rPr>
                <w:rFonts w:hAnsi="宋体"/>
                <w:color w:val="auto"/>
                <w:sz w:val="21"/>
                <w:szCs w:val="21"/>
              </w:rPr>
              <w:t>（</w:t>
            </w:r>
            <w:r>
              <w:rPr>
                <w:rFonts w:hint="eastAsia" w:hAnsi="宋体"/>
                <w:color w:val="auto"/>
                <w:sz w:val="21"/>
                <w:szCs w:val="21"/>
              </w:rPr>
              <w:t>直辖市</w:t>
            </w:r>
            <w:r>
              <w:rPr>
                <w:rFonts w:hAnsi="宋体"/>
                <w:color w:val="auto"/>
                <w:sz w:val="21"/>
                <w:szCs w:val="21"/>
              </w:rPr>
              <w:t>）</w:t>
            </w:r>
            <w:r>
              <w:rPr>
                <w:rFonts w:hint="eastAsia" w:hAnsi="宋体"/>
                <w:color w:val="auto"/>
                <w:sz w:val="21"/>
                <w:szCs w:val="21"/>
              </w:rPr>
              <w:t>行业协会</w:t>
            </w:r>
            <w:r>
              <w:rPr>
                <w:rFonts w:hAnsi="宋体"/>
                <w:color w:val="auto"/>
                <w:sz w:val="21"/>
                <w:szCs w:val="21"/>
              </w:rPr>
              <w:t>（</w:t>
            </w:r>
            <w:r>
              <w:rPr>
                <w:rFonts w:hint="eastAsia" w:hAnsi="宋体"/>
                <w:color w:val="auto"/>
                <w:sz w:val="21"/>
                <w:szCs w:val="21"/>
              </w:rPr>
              <w:t>学会</w:t>
            </w:r>
            <w:r>
              <w:rPr>
                <w:rFonts w:hAnsi="宋体"/>
                <w:color w:val="auto"/>
                <w:sz w:val="21"/>
                <w:szCs w:val="21"/>
              </w:rPr>
              <w:t>）</w:t>
            </w:r>
            <w:r>
              <w:rPr>
                <w:rFonts w:hint="eastAsia" w:hAnsi="宋体"/>
                <w:color w:val="auto"/>
                <w:sz w:val="21"/>
                <w:szCs w:val="21"/>
              </w:rPr>
              <w:t>颁发</w:t>
            </w:r>
            <w:r>
              <w:rPr>
                <w:rFonts w:hAnsi="宋体"/>
                <w:color w:val="auto"/>
                <w:sz w:val="21"/>
                <w:szCs w:val="21"/>
              </w:rPr>
              <w:t>奖项的，每项得0.5</w:t>
            </w:r>
            <w:r>
              <w:rPr>
                <w:rFonts w:hint="eastAsia" w:hAnsi="宋体"/>
                <w:color w:val="auto"/>
                <w:sz w:val="21"/>
                <w:szCs w:val="21"/>
              </w:rPr>
              <w:t>分；</w:t>
            </w:r>
          </w:p>
          <w:p>
            <w:pPr>
              <w:spacing w:line="360" w:lineRule="auto"/>
              <w:rPr>
                <w:rFonts w:hAnsi="宋体"/>
                <w:color w:val="auto"/>
                <w:sz w:val="21"/>
                <w:szCs w:val="21"/>
              </w:rPr>
            </w:pPr>
            <w:r>
              <w:rPr>
                <w:rFonts w:hint="eastAsia" w:hAnsi="宋体"/>
                <w:color w:val="auto"/>
                <w:sz w:val="21"/>
                <w:szCs w:val="21"/>
              </w:rPr>
              <w:t>以上</w:t>
            </w:r>
            <w:r>
              <w:rPr>
                <w:rFonts w:hAnsi="宋体"/>
                <w:color w:val="auto"/>
                <w:sz w:val="21"/>
                <w:szCs w:val="21"/>
              </w:rPr>
              <w:t>①+②最多共计6</w:t>
            </w:r>
            <w:r>
              <w:rPr>
                <w:rFonts w:hint="eastAsia" w:hAnsi="宋体"/>
                <w:color w:val="auto"/>
                <w:sz w:val="21"/>
                <w:szCs w:val="21"/>
              </w:rPr>
              <w:t>项，</w:t>
            </w:r>
            <w:r>
              <w:rPr>
                <w:rFonts w:hAnsi="宋体"/>
                <w:color w:val="auto"/>
                <w:sz w:val="21"/>
                <w:szCs w:val="21"/>
              </w:rPr>
              <w:t>最高得9</w:t>
            </w:r>
            <w:r>
              <w:rPr>
                <w:rFonts w:hint="eastAsia" w:hAnsi="宋体"/>
                <w:color w:val="auto"/>
                <w:sz w:val="21"/>
                <w:szCs w:val="21"/>
              </w:rPr>
              <w:t>分</w:t>
            </w:r>
            <w:r>
              <w:rPr>
                <w:rFonts w:hAnsi="宋体"/>
                <w:color w:val="auto"/>
                <w:sz w:val="21"/>
                <w:szCs w:val="21"/>
              </w:rPr>
              <w:t>。</w:t>
            </w:r>
          </w:p>
          <w:p>
            <w:pPr>
              <w:spacing w:line="360" w:lineRule="auto"/>
              <w:rPr>
                <w:rFonts w:hAnsi="宋体"/>
                <w:color w:val="auto"/>
                <w:sz w:val="21"/>
                <w:szCs w:val="21"/>
                <w:highlight w:val="none"/>
              </w:rPr>
            </w:pPr>
            <w:r>
              <w:rPr>
                <w:rFonts w:hint="eastAsia" w:hAnsi="宋体"/>
                <w:color w:val="auto"/>
                <w:sz w:val="21"/>
                <w:szCs w:val="21"/>
              </w:rPr>
              <w:t>注：</w:t>
            </w:r>
            <w:r>
              <w:rPr>
                <w:rFonts w:hAnsi="宋体"/>
                <w:color w:val="auto"/>
                <w:sz w:val="21"/>
                <w:szCs w:val="21"/>
              </w:rPr>
              <w:t>①获奖时间</w:t>
            </w:r>
            <w:r>
              <w:rPr>
                <w:rFonts w:hint="eastAsia" w:hAnsi="宋体"/>
                <w:color w:val="auto"/>
                <w:sz w:val="21"/>
                <w:szCs w:val="21"/>
              </w:rPr>
              <w:t>以</w:t>
            </w:r>
            <w:r>
              <w:rPr>
                <w:rFonts w:hAnsi="宋体"/>
                <w:color w:val="auto"/>
                <w:sz w:val="21"/>
                <w:szCs w:val="21"/>
              </w:rPr>
              <w:t>获奖证书颁发时间或网上公示获奖的公示结束日期为准</w:t>
            </w:r>
            <w:r>
              <w:rPr>
                <w:rFonts w:hint="eastAsia" w:hAnsi="宋体"/>
                <w:color w:val="auto"/>
                <w:sz w:val="21"/>
                <w:szCs w:val="21"/>
              </w:rPr>
              <w:t>；</w:t>
            </w:r>
            <w:r>
              <w:rPr>
                <w:rFonts w:hAnsi="宋体"/>
                <w:color w:val="auto"/>
                <w:sz w:val="21"/>
                <w:szCs w:val="21"/>
              </w:rPr>
              <w:t>②需提供</w:t>
            </w:r>
            <w:r>
              <w:rPr>
                <w:rFonts w:hint="eastAsia" w:hAnsi="宋体"/>
                <w:color w:val="auto"/>
                <w:sz w:val="21"/>
                <w:szCs w:val="21"/>
              </w:rPr>
              <w:t>获奖证书</w:t>
            </w:r>
            <w:r>
              <w:rPr>
                <w:rFonts w:hAnsi="宋体"/>
                <w:color w:val="auto"/>
                <w:sz w:val="21"/>
                <w:szCs w:val="21"/>
              </w:rPr>
              <w:t>复印件</w:t>
            </w:r>
            <w:r>
              <w:rPr>
                <w:rFonts w:hint="eastAsia" w:hAnsi="宋体"/>
                <w:color w:val="auto"/>
                <w:sz w:val="21"/>
                <w:szCs w:val="21"/>
              </w:rPr>
              <w:t>或</w:t>
            </w:r>
            <w:r>
              <w:rPr>
                <w:rFonts w:hAnsi="宋体"/>
                <w:color w:val="auto"/>
                <w:sz w:val="21"/>
                <w:szCs w:val="21"/>
              </w:rPr>
              <w:t>网上公示获奖</w:t>
            </w:r>
            <w:r>
              <w:rPr>
                <w:rFonts w:hint="eastAsia" w:hAnsi="宋体"/>
                <w:color w:val="auto"/>
                <w:sz w:val="21"/>
                <w:szCs w:val="21"/>
              </w:rPr>
              <w:t>页面截图</w:t>
            </w:r>
            <w:r>
              <w:rPr>
                <w:rFonts w:hAnsi="宋体"/>
                <w:color w:val="auto"/>
                <w:sz w:val="21"/>
                <w:szCs w:val="21"/>
              </w:rPr>
              <w:t>凭证</w:t>
            </w:r>
            <w:r>
              <w:rPr>
                <w:rFonts w:hint="eastAsia" w:hAnsi="宋体"/>
                <w:color w:val="auto"/>
                <w:sz w:val="21"/>
                <w:szCs w:val="21"/>
              </w:rPr>
              <w:t>并加盖公章</w:t>
            </w:r>
            <w:r>
              <w:rPr>
                <w:rFonts w:hAnsi="宋体"/>
                <w:color w:val="auto"/>
                <w:sz w:val="21"/>
                <w:szCs w:val="21"/>
              </w:rPr>
              <w:t>③得奖项目不重复记</w:t>
            </w:r>
            <w:r>
              <w:rPr>
                <w:rFonts w:hint="eastAsia" w:hAnsi="宋体"/>
                <w:color w:val="auto"/>
                <w:sz w:val="21"/>
                <w:szCs w:val="21"/>
              </w:rPr>
              <w:t>分、</w:t>
            </w:r>
            <w:r>
              <w:rPr>
                <w:rFonts w:hAnsi="宋体"/>
                <w:color w:val="auto"/>
                <w:sz w:val="21"/>
                <w:szCs w:val="21"/>
              </w:rPr>
              <w:t>同一项目</w:t>
            </w:r>
            <w:r>
              <w:rPr>
                <w:rFonts w:hint="eastAsia" w:hAnsi="宋体"/>
                <w:color w:val="auto"/>
                <w:sz w:val="21"/>
                <w:szCs w:val="21"/>
              </w:rPr>
              <w:t>获奖</w:t>
            </w:r>
            <w:r>
              <w:rPr>
                <w:rFonts w:hAnsi="宋体"/>
                <w:color w:val="auto"/>
                <w:sz w:val="21"/>
                <w:szCs w:val="21"/>
              </w:rPr>
              <w:t>只记</w:t>
            </w:r>
            <w:r>
              <w:rPr>
                <w:rFonts w:hint="eastAsia" w:hAnsi="宋体"/>
                <w:color w:val="auto"/>
                <w:sz w:val="21"/>
                <w:szCs w:val="21"/>
              </w:rPr>
              <w:t>一次</w:t>
            </w:r>
            <w:r>
              <w:rPr>
                <w:rFonts w:hAnsi="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rPr>
              <w:t>3</w:t>
            </w:r>
          </w:p>
        </w:tc>
        <w:tc>
          <w:tcPr>
            <w:tcW w:w="1701"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rPr>
              <w:t>项目负责人</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auto"/>
                <w:sz w:val="21"/>
                <w:szCs w:val="21"/>
                <w:highlight w:val="none"/>
              </w:rPr>
            </w:pPr>
            <w:r>
              <w:rPr>
                <w:rFonts w:hAnsi="宋体"/>
                <w:color w:val="auto"/>
                <w:sz w:val="21"/>
                <w:szCs w:val="21"/>
              </w:rPr>
              <w:t>11</w:t>
            </w:r>
            <w:r>
              <w:rPr>
                <w:rFonts w:hint="eastAsia" w:hAnsi="宋体"/>
                <w:color w:val="auto"/>
                <w:sz w:val="21"/>
                <w:szCs w:val="21"/>
              </w:rPr>
              <w:t>分</w:t>
            </w:r>
          </w:p>
        </w:tc>
        <w:tc>
          <w:tcPr>
            <w:tcW w:w="6237"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auto"/>
                <w:sz w:val="21"/>
                <w:szCs w:val="21"/>
              </w:rPr>
            </w:pPr>
            <w:r>
              <w:rPr>
                <w:rFonts w:hint="eastAsia" w:hAnsi="宋体"/>
                <w:color w:val="auto"/>
                <w:sz w:val="21"/>
                <w:szCs w:val="21"/>
              </w:rPr>
              <w:t>1、具有</w:t>
            </w:r>
            <w:r>
              <w:rPr>
                <w:rFonts w:hAnsi="宋体"/>
                <w:color w:val="auto"/>
                <w:sz w:val="21"/>
                <w:szCs w:val="21"/>
              </w:rPr>
              <w:t>风景园林专业教授级</w:t>
            </w:r>
            <w:r>
              <w:rPr>
                <w:rFonts w:hint="eastAsia" w:hAnsi="宋体"/>
                <w:color w:val="auto"/>
                <w:sz w:val="21"/>
                <w:szCs w:val="21"/>
              </w:rPr>
              <w:t>（或以上）高级</w:t>
            </w:r>
            <w:r>
              <w:rPr>
                <w:rFonts w:hAnsi="宋体"/>
                <w:color w:val="auto"/>
                <w:sz w:val="21"/>
                <w:szCs w:val="21"/>
              </w:rPr>
              <w:t>工程师</w:t>
            </w:r>
            <w:r>
              <w:rPr>
                <w:rFonts w:hint="eastAsia" w:hAnsi="宋体"/>
                <w:color w:val="auto"/>
                <w:sz w:val="21"/>
                <w:szCs w:val="21"/>
              </w:rPr>
              <w:t>职称得</w:t>
            </w:r>
            <w:r>
              <w:rPr>
                <w:rFonts w:hAnsi="宋体"/>
                <w:color w:val="auto"/>
                <w:sz w:val="21"/>
                <w:szCs w:val="21"/>
              </w:rPr>
              <w:t>2</w:t>
            </w:r>
            <w:r>
              <w:rPr>
                <w:rFonts w:hint="eastAsia" w:hAnsi="宋体"/>
                <w:color w:val="auto"/>
                <w:sz w:val="21"/>
                <w:szCs w:val="21"/>
              </w:rPr>
              <w:t>分</w:t>
            </w:r>
            <w:r>
              <w:rPr>
                <w:rFonts w:hAnsi="宋体"/>
                <w:color w:val="auto"/>
                <w:sz w:val="21"/>
                <w:szCs w:val="21"/>
              </w:rPr>
              <w:t>。</w:t>
            </w:r>
          </w:p>
          <w:p>
            <w:pPr>
              <w:spacing w:line="360" w:lineRule="auto"/>
              <w:rPr>
                <w:rFonts w:hAnsi="宋体"/>
                <w:color w:val="auto"/>
                <w:sz w:val="21"/>
                <w:szCs w:val="21"/>
              </w:rPr>
            </w:pPr>
            <w:r>
              <w:rPr>
                <w:rFonts w:hint="eastAsia" w:hAnsi="宋体"/>
                <w:color w:val="auto"/>
                <w:sz w:val="21"/>
                <w:szCs w:val="21"/>
              </w:rPr>
              <w:t>2、项目</w:t>
            </w:r>
            <w:r>
              <w:rPr>
                <w:rFonts w:hAnsi="宋体"/>
                <w:color w:val="auto"/>
                <w:sz w:val="21"/>
                <w:szCs w:val="21"/>
              </w:rPr>
              <w:t>负责人</w:t>
            </w:r>
            <w:r>
              <w:rPr>
                <w:rFonts w:hint="eastAsia" w:hAnsi="宋体"/>
                <w:color w:val="auto"/>
                <w:sz w:val="21"/>
                <w:szCs w:val="21"/>
              </w:rPr>
              <w:t>2019年至今以主要</w:t>
            </w:r>
            <w:r>
              <w:rPr>
                <w:rFonts w:hAnsi="宋体"/>
                <w:color w:val="auto"/>
                <w:sz w:val="21"/>
                <w:szCs w:val="21"/>
              </w:rPr>
              <w:t>完成人</w:t>
            </w:r>
            <w:r>
              <w:rPr>
                <w:rFonts w:hint="eastAsia" w:hAnsi="宋体"/>
                <w:color w:val="auto"/>
                <w:sz w:val="21"/>
                <w:szCs w:val="21"/>
              </w:rPr>
              <w:t>的</w:t>
            </w:r>
            <w:r>
              <w:rPr>
                <w:rFonts w:hAnsi="宋体"/>
                <w:color w:val="auto"/>
                <w:sz w:val="21"/>
                <w:szCs w:val="21"/>
              </w:rPr>
              <w:t>园林景观类设计业绩</w:t>
            </w:r>
            <w:r>
              <w:rPr>
                <w:rFonts w:hint="eastAsia" w:hAnsi="宋体"/>
                <w:color w:val="auto"/>
                <w:sz w:val="21"/>
                <w:szCs w:val="21"/>
              </w:rPr>
              <w:t>获得过</w:t>
            </w:r>
            <w:r>
              <w:rPr>
                <w:rFonts w:hAnsi="宋体"/>
                <w:color w:val="auto"/>
                <w:sz w:val="21"/>
                <w:szCs w:val="21"/>
              </w:rPr>
              <w:t>国家级</w:t>
            </w:r>
            <w:r>
              <w:rPr>
                <w:rFonts w:hint="eastAsia" w:hAnsi="宋体"/>
                <w:color w:val="auto"/>
                <w:sz w:val="21"/>
                <w:szCs w:val="21"/>
              </w:rPr>
              <w:t>（部</w:t>
            </w:r>
            <w:r>
              <w:rPr>
                <w:rFonts w:hAnsi="宋体"/>
                <w:color w:val="auto"/>
                <w:sz w:val="21"/>
                <w:szCs w:val="21"/>
              </w:rPr>
              <w:t>级</w:t>
            </w:r>
            <w:r>
              <w:rPr>
                <w:rFonts w:hint="eastAsia" w:hAnsi="宋体"/>
                <w:color w:val="auto"/>
                <w:sz w:val="21"/>
                <w:szCs w:val="21"/>
              </w:rPr>
              <w:t>）建设</w:t>
            </w:r>
            <w:r>
              <w:rPr>
                <w:rFonts w:hAnsi="宋体"/>
                <w:color w:val="auto"/>
                <w:sz w:val="21"/>
                <w:szCs w:val="21"/>
              </w:rPr>
              <w:t>行政主管部门或国家级</w:t>
            </w:r>
            <w:r>
              <w:rPr>
                <w:rFonts w:hint="eastAsia" w:hAnsi="宋体"/>
                <w:color w:val="auto"/>
                <w:sz w:val="21"/>
                <w:szCs w:val="21"/>
              </w:rPr>
              <w:t>行业</w:t>
            </w:r>
            <w:r>
              <w:rPr>
                <w:rFonts w:hAnsi="宋体"/>
                <w:color w:val="auto"/>
                <w:sz w:val="21"/>
                <w:szCs w:val="21"/>
              </w:rPr>
              <w:t>协会（</w:t>
            </w:r>
            <w:r>
              <w:rPr>
                <w:rFonts w:hint="eastAsia" w:hAnsi="宋体"/>
                <w:color w:val="auto"/>
                <w:sz w:val="21"/>
                <w:szCs w:val="21"/>
              </w:rPr>
              <w:t>学会</w:t>
            </w:r>
            <w:r>
              <w:rPr>
                <w:rFonts w:hAnsi="宋体"/>
                <w:color w:val="auto"/>
                <w:sz w:val="21"/>
                <w:szCs w:val="21"/>
              </w:rPr>
              <w:t>）</w:t>
            </w:r>
            <w:r>
              <w:rPr>
                <w:rFonts w:hint="eastAsia" w:hAnsi="宋体"/>
                <w:color w:val="auto"/>
                <w:sz w:val="21"/>
                <w:szCs w:val="21"/>
              </w:rPr>
              <w:t>颁发</w:t>
            </w:r>
            <w:r>
              <w:rPr>
                <w:rFonts w:hAnsi="宋体"/>
                <w:color w:val="auto"/>
                <w:sz w:val="21"/>
                <w:szCs w:val="21"/>
              </w:rPr>
              <w:t>奖项的，每项</w:t>
            </w:r>
            <w:r>
              <w:rPr>
                <w:rFonts w:hint="eastAsia" w:hAnsi="宋体"/>
                <w:color w:val="auto"/>
                <w:sz w:val="21"/>
                <w:szCs w:val="21"/>
              </w:rPr>
              <w:t>得1分</w:t>
            </w:r>
            <w:r>
              <w:rPr>
                <w:rFonts w:hAnsi="宋体"/>
                <w:color w:val="auto"/>
                <w:sz w:val="21"/>
                <w:szCs w:val="21"/>
              </w:rPr>
              <w:t>；本小项</w:t>
            </w:r>
            <w:r>
              <w:rPr>
                <w:rFonts w:hint="eastAsia" w:hAnsi="宋体"/>
                <w:color w:val="auto"/>
                <w:sz w:val="21"/>
                <w:szCs w:val="21"/>
              </w:rPr>
              <w:t>最高</w:t>
            </w:r>
            <w:r>
              <w:rPr>
                <w:rFonts w:hAnsi="宋体"/>
                <w:color w:val="auto"/>
                <w:sz w:val="21"/>
                <w:szCs w:val="21"/>
              </w:rPr>
              <w:t>得3</w:t>
            </w:r>
            <w:r>
              <w:rPr>
                <w:rFonts w:hint="eastAsia" w:hAnsi="宋体"/>
                <w:color w:val="auto"/>
                <w:sz w:val="21"/>
                <w:szCs w:val="21"/>
              </w:rPr>
              <w:t>分。（</w:t>
            </w:r>
            <w:r>
              <w:rPr>
                <w:rFonts w:hAnsi="宋体"/>
                <w:color w:val="auto"/>
                <w:sz w:val="21"/>
                <w:szCs w:val="21"/>
              </w:rPr>
              <w:t>获奖时间</w:t>
            </w:r>
            <w:r>
              <w:rPr>
                <w:rFonts w:hint="eastAsia" w:hAnsi="宋体"/>
                <w:color w:val="auto"/>
                <w:sz w:val="21"/>
                <w:szCs w:val="21"/>
              </w:rPr>
              <w:t>以</w:t>
            </w:r>
            <w:r>
              <w:rPr>
                <w:rFonts w:hAnsi="宋体"/>
                <w:color w:val="auto"/>
                <w:sz w:val="21"/>
                <w:szCs w:val="21"/>
              </w:rPr>
              <w:t>获奖证书颁发时间或网上公示获奖的公示结束日期为准</w:t>
            </w:r>
            <w:r>
              <w:rPr>
                <w:rFonts w:hint="eastAsia" w:hAnsi="宋体"/>
                <w:color w:val="auto"/>
                <w:sz w:val="21"/>
                <w:szCs w:val="21"/>
              </w:rPr>
              <w:t>）</w:t>
            </w:r>
          </w:p>
          <w:p>
            <w:pPr>
              <w:spacing w:line="360" w:lineRule="auto"/>
              <w:rPr>
                <w:rFonts w:hAnsi="宋体"/>
                <w:color w:val="auto"/>
                <w:sz w:val="21"/>
                <w:szCs w:val="21"/>
              </w:rPr>
            </w:pPr>
            <w:r>
              <w:rPr>
                <w:rFonts w:hint="eastAsia" w:hAnsi="宋体"/>
                <w:color w:val="auto"/>
                <w:sz w:val="21"/>
                <w:szCs w:val="21"/>
              </w:rPr>
              <w:t>3、项目</w:t>
            </w:r>
            <w:r>
              <w:rPr>
                <w:rFonts w:hAnsi="宋体"/>
                <w:color w:val="auto"/>
                <w:sz w:val="21"/>
                <w:szCs w:val="21"/>
              </w:rPr>
              <w:t>总负责人作为项目负责人，自</w:t>
            </w:r>
            <w:r>
              <w:rPr>
                <w:rFonts w:hint="eastAsia" w:hAnsi="宋体"/>
                <w:color w:val="auto"/>
                <w:sz w:val="21"/>
                <w:szCs w:val="21"/>
              </w:rPr>
              <w:t>2019年至今</w:t>
            </w:r>
            <w:r>
              <w:rPr>
                <w:rFonts w:hAnsi="宋体"/>
                <w:color w:val="auto"/>
                <w:sz w:val="21"/>
                <w:szCs w:val="21"/>
              </w:rPr>
              <w:t>承担过的园林景观类设计业绩</w:t>
            </w:r>
            <w:r>
              <w:rPr>
                <w:rFonts w:hint="eastAsia" w:hAnsi="宋体"/>
                <w:color w:val="auto"/>
                <w:sz w:val="21"/>
                <w:szCs w:val="21"/>
              </w:rPr>
              <w:t>，</w:t>
            </w:r>
            <w:r>
              <w:rPr>
                <w:rFonts w:hAnsi="宋体"/>
                <w:color w:val="auto"/>
                <w:sz w:val="21"/>
                <w:szCs w:val="21"/>
              </w:rPr>
              <w:t>每项</w:t>
            </w:r>
            <w:r>
              <w:rPr>
                <w:rFonts w:hint="eastAsia" w:hAnsi="宋体"/>
                <w:color w:val="auto"/>
                <w:sz w:val="21"/>
                <w:szCs w:val="21"/>
              </w:rPr>
              <w:t>得1分</w:t>
            </w:r>
            <w:r>
              <w:rPr>
                <w:rFonts w:hAnsi="宋体"/>
                <w:color w:val="auto"/>
                <w:sz w:val="21"/>
                <w:szCs w:val="21"/>
              </w:rPr>
              <w:t>；本小项</w:t>
            </w:r>
            <w:r>
              <w:rPr>
                <w:rFonts w:hint="eastAsia" w:hAnsi="宋体"/>
                <w:color w:val="auto"/>
                <w:sz w:val="21"/>
                <w:szCs w:val="21"/>
              </w:rPr>
              <w:t>最高</w:t>
            </w:r>
            <w:r>
              <w:rPr>
                <w:rFonts w:hAnsi="宋体"/>
                <w:color w:val="auto"/>
                <w:sz w:val="21"/>
                <w:szCs w:val="21"/>
              </w:rPr>
              <w:t>得5</w:t>
            </w:r>
            <w:r>
              <w:rPr>
                <w:rFonts w:hint="eastAsia" w:hAnsi="宋体"/>
                <w:color w:val="auto"/>
                <w:sz w:val="21"/>
                <w:szCs w:val="21"/>
              </w:rPr>
              <w:t>分。</w:t>
            </w:r>
          </w:p>
          <w:p>
            <w:pPr>
              <w:spacing w:line="360" w:lineRule="auto"/>
              <w:rPr>
                <w:rFonts w:hAnsi="宋体"/>
                <w:color w:val="auto"/>
                <w:sz w:val="21"/>
                <w:szCs w:val="21"/>
              </w:rPr>
            </w:pPr>
            <w:r>
              <w:rPr>
                <w:rFonts w:hint="eastAsia" w:hAnsi="宋体"/>
                <w:color w:val="auto"/>
                <w:sz w:val="21"/>
                <w:szCs w:val="21"/>
              </w:rPr>
              <w:t>4、获得</w:t>
            </w:r>
            <w:r>
              <w:rPr>
                <w:rFonts w:hAnsi="宋体"/>
                <w:color w:val="auto"/>
                <w:sz w:val="21"/>
                <w:szCs w:val="21"/>
              </w:rPr>
              <w:t>省级（</w:t>
            </w:r>
            <w:r>
              <w:rPr>
                <w:rFonts w:hint="eastAsia" w:hAnsi="宋体"/>
                <w:color w:val="auto"/>
                <w:sz w:val="21"/>
                <w:szCs w:val="21"/>
              </w:rPr>
              <w:t>直辖市</w:t>
            </w:r>
            <w:r>
              <w:rPr>
                <w:rFonts w:hAnsi="宋体"/>
                <w:color w:val="auto"/>
                <w:sz w:val="21"/>
                <w:szCs w:val="21"/>
              </w:rPr>
              <w:t>）</w:t>
            </w:r>
            <w:r>
              <w:rPr>
                <w:rFonts w:hint="eastAsia" w:hAnsi="宋体"/>
                <w:color w:val="auto"/>
                <w:sz w:val="21"/>
                <w:szCs w:val="21"/>
              </w:rPr>
              <w:t>（或以上）建设</w:t>
            </w:r>
            <w:r>
              <w:rPr>
                <w:rFonts w:hAnsi="宋体"/>
                <w:color w:val="auto"/>
                <w:sz w:val="21"/>
                <w:szCs w:val="21"/>
              </w:rPr>
              <w:t>行政主管</w:t>
            </w:r>
            <w:r>
              <w:rPr>
                <w:rFonts w:hint="eastAsia" w:hAnsi="宋体"/>
                <w:color w:val="auto"/>
                <w:sz w:val="21"/>
                <w:szCs w:val="21"/>
              </w:rPr>
              <w:t>部门</w:t>
            </w:r>
            <w:r>
              <w:rPr>
                <w:rFonts w:hAnsi="宋体"/>
                <w:color w:val="auto"/>
                <w:sz w:val="21"/>
                <w:szCs w:val="21"/>
              </w:rPr>
              <w:t>或省级（</w:t>
            </w:r>
            <w:r>
              <w:rPr>
                <w:rFonts w:hint="eastAsia" w:hAnsi="宋体"/>
                <w:color w:val="auto"/>
                <w:sz w:val="21"/>
                <w:szCs w:val="21"/>
              </w:rPr>
              <w:t>直辖市</w:t>
            </w:r>
            <w:r>
              <w:rPr>
                <w:rFonts w:hAnsi="宋体"/>
                <w:color w:val="auto"/>
                <w:sz w:val="21"/>
                <w:szCs w:val="21"/>
              </w:rPr>
              <w:t>）</w:t>
            </w:r>
            <w:r>
              <w:rPr>
                <w:rFonts w:hint="eastAsia" w:hAnsi="宋体"/>
                <w:color w:val="auto"/>
                <w:sz w:val="21"/>
                <w:szCs w:val="21"/>
              </w:rPr>
              <w:t>（或以上）行业</w:t>
            </w:r>
            <w:r>
              <w:rPr>
                <w:rFonts w:hAnsi="宋体"/>
                <w:color w:val="auto"/>
                <w:sz w:val="21"/>
                <w:szCs w:val="21"/>
              </w:rPr>
              <w:t>协会（</w:t>
            </w:r>
            <w:r>
              <w:rPr>
                <w:rFonts w:hint="eastAsia" w:hAnsi="宋体"/>
                <w:color w:val="auto"/>
                <w:sz w:val="21"/>
                <w:szCs w:val="21"/>
              </w:rPr>
              <w:t>学会</w:t>
            </w:r>
            <w:r>
              <w:rPr>
                <w:rFonts w:hAnsi="宋体"/>
                <w:color w:val="auto"/>
                <w:sz w:val="21"/>
                <w:szCs w:val="21"/>
              </w:rPr>
              <w:t>）</w:t>
            </w:r>
            <w:r>
              <w:rPr>
                <w:rFonts w:hint="eastAsia" w:hAnsi="宋体"/>
                <w:color w:val="auto"/>
                <w:sz w:val="21"/>
                <w:szCs w:val="21"/>
              </w:rPr>
              <w:t>颁发</w:t>
            </w:r>
            <w:r>
              <w:rPr>
                <w:rFonts w:hAnsi="宋体"/>
                <w:color w:val="auto"/>
                <w:sz w:val="21"/>
                <w:szCs w:val="21"/>
              </w:rPr>
              <w:t>风景园林师</w:t>
            </w:r>
            <w:r>
              <w:rPr>
                <w:rFonts w:hint="eastAsia" w:hAnsi="宋体"/>
                <w:color w:val="auto"/>
                <w:sz w:val="21"/>
                <w:szCs w:val="21"/>
              </w:rPr>
              <w:t>荣誉称号得</w:t>
            </w:r>
            <w:r>
              <w:rPr>
                <w:rFonts w:hAnsi="宋体"/>
                <w:color w:val="auto"/>
                <w:sz w:val="21"/>
                <w:szCs w:val="21"/>
              </w:rPr>
              <w:t>1</w:t>
            </w:r>
            <w:r>
              <w:rPr>
                <w:rFonts w:hint="eastAsia" w:hAnsi="宋体"/>
                <w:color w:val="auto"/>
                <w:sz w:val="21"/>
                <w:szCs w:val="21"/>
              </w:rPr>
              <w:t>分</w:t>
            </w:r>
            <w:r>
              <w:rPr>
                <w:rFonts w:hAnsi="宋体"/>
                <w:color w:val="auto"/>
                <w:sz w:val="21"/>
                <w:szCs w:val="21"/>
              </w:rPr>
              <w:t>。</w:t>
            </w:r>
          </w:p>
          <w:p>
            <w:pPr>
              <w:spacing w:line="360" w:lineRule="auto"/>
              <w:rPr>
                <w:rFonts w:hAnsi="宋体"/>
                <w:color w:val="auto"/>
                <w:sz w:val="21"/>
                <w:szCs w:val="21"/>
                <w:highlight w:val="none"/>
              </w:rPr>
            </w:pPr>
            <w:r>
              <w:rPr>
                <w:rFonts w:hint="eastAsia" w:hAnsi="宋体"/>
                <w:color w:val="auto"/>
                <w:sz w:val="21"/>
                <w:szCs w:val="21"/>
              </w:rPr>
              <w:t>注：①</w:t>
            </w:r>
            <w:r>
              <w:rPr>
                <w:rFonts w:hint="eastAsia" w:hAnsi="宋体"/>
                <w:color w:val="auto"/>
                <w:sz w:val="21"/>
                <w:szCs w:val="21"/>
                <w:lang w:val="zh-CN"/>
              </w:rPr>
              <w:t>须提供以上证书及供应商为其缴纳的近三个月社保证明文件复印件加盖公章。（如供应商当地有关政府部门政策文件可享受阶段性免征或可延期缴纳社会养老保险的，供应商可提供开始享受阶段性免征或可延期缴纳社会养老保险时的上三个月的社会养老保险证明，并同时提供当地有关政府部门政策文件的打印件或复印件。）②须提供中标通知书及相关合同关键页复印件并加盖公章；中标通知书或合同关键页应能体现项目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rPr>
              <w:t>4</w:t>
            </w:r>
          </w:p>
        </w:tc>
        <w:tc>
          <w:tcPr>
            <w:tcW w:w="1701"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rPr>
              <w:t>拟投入本项目人员情况</w:t>
            </w:r>
          </w:p>
        </w:tc>
        <w:tc>
          <w:tcPr>
            <w:tcW w:w="85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sz w:val="21"/>
                <w:szCs w:val="21"/>
                <w:highlight w:val="none"/>
              </w:rPr>
            </w:pPr>
            <w:r>
              <w:rPr>
                <w:color w:val="auto"/>
                <w:sz w:val="21"/>
                <w:szCs w:val="21"/>
              </w:rPr>
              <w:t>5</w:t>
            </w:r>
            <w:r>
              <w:rPr>
                <w:rFonts w:hint="eastAsia"/>
                <w:color w:val="auto"/>
                <w:sz w:val="21"/>
                <w:szCs w:val="21"/>
              </w:rPr>
              <w:t>分</w:t>
            </w:r>
          </w:p>
        </w:tc>
        <w:tc>
          <w:tcPr>
            <w:tcW w:w="6237"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firstLineChars="0"/>
              <w:rPr>
                <w:rFonts w:ascii="宋体" w:hAnsi="宋体"/>
                <w:color w:val="auto"/>
                <w:sz w:val="21"/>
                <w:szCs w:val="21"/>
                <w:lang w:val="zh-CN"/>
              </w:rPr>
            </w:pPr>
            <w:r>
              <w:rPr>
                <w:rFonts w:hint="eastAsia" w:ascii="宋体" w:hAnsi="宋体"/>
                <w:color w:val="auto"/>
                <w:sz w:val="21"/>
                <w:szCs w:val="21"/>
                <w:lang w:val="zh-CN"/>
              </w:rPr>
              <w:t>1、风景园林</w:t>
            </w:r>
            <w:r>
              <w:rPr>
                <w:rFonts w:ascii="宋体" w:hAnsi="宋体"/>
                <w:color w:val="auto"/>
                <w:sz w:val="21"/>
                <w:szCs w:val="21"/>
                <w:lang w:val="zh-CN"/>
              </w:rPr>
              <w:t>专业负责人</w:t>
            </w:r>
            <w:r>
              <w:rPr>
                <w:rFonts w:hint="eastAsia" w:ascii="宋体" w:hAnsi="宋体"/>
                <w:color w:val="auto"/>
                <w:sz w:val="21"/>
                <w:szCs w:val="21"/>
                <w:lang w:val="zh-CN"/>
              </w:rPr>
              <w:t>（</w:t>
            </w:r>
            <w:r>
              <w:rPr>
                <w:rFonts w:hint="eastAsia" w:ascii="宋体" w:hAnsi="宋体"/>
                <w:color w:val="auto"/>
                <w:sz w:val="21"/>
                <w:szCs w:val="21"/>
              </w:rPr>
              <w:t>1人</w:t>
            </w:r>
            <w:r>
              <w:rPr>
                <w:rFonts w:hint="eastAsia" w:ascii="宋体" w:hAnsi="宋体"/>
                <w:color w:val="auto"/>
                <w:sz w:val="21"/>
                <w:szCs w:val="21"/>
                <w:lang w:val="zh-CN"/>
              </w:rPr>
              <w:t>）</w:t>
            </w:r>
            <w:r>
              <w:rPr>
                <w:rFonts w:ascii="宋体" w:hAnsi="宋体"/>
                <w:color w:val="auto"/>
                <w:sz w:val="21"/>
                <w:szCs w:val="21"/>
                <w:lang w:val="zh-CN"/>
              </w:rPr>
              <w:t>：具有风景园林</w:t>
            </w:r>
            <w:r>
              <w:rPr>
                <w:rFonts w:hint="eastAsia" w:ascii="宋体" w:hAnsi="宋体"/>
                <w:color w:val="auto"/>
                <w:sz w:val="21"/>
                <w:szCs w:val="21"/>
                <w:lang w:val="zh-CN"/>
              </w:rPr>
              <w:t>专业</w:t>
            </w:r>
            <w:r>
              <w:rPr>
                <w:rFonts w:ascii="宋体" w:hAnsi="宋体"/>
                <w:color w:val="auto"/>
                <w:sz w:val="21"/>
                <w:szCs w:val="21"/>
                <w:lang w:val="zh-CN"/>
              </w:rPr>
              <w:t>教授级</w:t>
            </w:r>
            <w:r>
              <w:rPr>
                <w:rFonts w:hint="eastAsia" w:ascii="宋体" w:hAnsi="宋体"/>
                <w:color w:val="auto"/>
                <w:sz w:val="21"/>
                <w:szCs w:val="21"/>
                <w:lang w:val="zh-CN"/>
              </w:rPr>
              <w:t>（或以上）高级</w:t>
            </w:r>
            <w:r>
              <w:rPr>
                <w:rFonts w:ascii="宋体" w:hAnsi="宋体"/>
                <w:color w:val="auto"/>
                <w:sz w:val="21"/>
                <w:szCs w:val="21"/>
                <w:lang w:val="zh-CN"/>
              </w:rPr>
              <w:t>工程师</w:t>
            </w:r>
            <w:r>
              <w:rPr>
                <w:rFonts w:hint="eastAsia" w:ascii="宋体" w:hAnsi="宋体"/>
                <w:color w:val="auto"/>
                <w:sz w:val="21"/>
                <w:szCs w:val="21"/>
                <w:lang w:val="zh-CN"/>
              </w:rPr>
              <w:t>职称</w:t>
            </w:r>
            <w:r>
              <w:rPr>
                <w:rFonts w:ascii="宋体" w:hAnsi="宋体"/>
                <w:color w:val="auto"/>
                <w:sz w:val="21"/>
                <w:szCs w:val="21"/>
                <w:lang w:val="zh-CN"/>
              </w:rPr>
              <w:t>得2</w:t>
            </w:r>
            <w:r>
              <w:rPr>
                <w:rFonts w:hint="eastAsia" w:ascii="宋体" w:hAnsi="宋体"/>
                <w:color w:val="auto"/>
                <w:sz w:val="21"/>
                <w:szCs w:val="21"/>
                <w:lang w:val="zh-CN"/>
              </w:rPr>
              <w:t>分</w:t>
            </w:r>
            <w:r>
              <w:rPr>
                <w:rFonts w:ascii="宋体" w:hAnsi="宋体"/>
                <w:color w:val="auto"/>
                <w:sz w:val="21"/>
                <w:szCs w:val="21"/>
                <w:lang w:val="zh-CN"/>
              </w:rPr>
              <w:t>；</w:t>
            </w:r>
          </w:p>
          <w:p>
            <w:pPr>
              <w:pStyle w:val="5"/>
              <w:spacing w:line="360" w:lineRule="auto"/>
              <w:ind w:firstLine="0" w:firstLineChars="0"/>
              <w:rPr>
                <w:rFonts w:ascii="宋体" w:hAnsi="宋体"/>
                <w:color w:val="auto"/>
                <w:sz w:val="21"/>
                <w:szCs w:val="21"/>
                <w:lang w:val="zh-CN"/>
              </w:rPr>
            </w:pPr>
            <w:r>
              <w:rPr>
                <w:rFonts w:hint="eastAsia" w:ascii="宋体" w:hAnsi="宋体"/>
                <w:color w:val="auto"/>
                <w:sz w:val="21"/>
                <w:szCs w:val="21"/>
                <w:lang w:val="zh-CN"/>
              </w:rPr>
              <w:t>2、给排水</w:t>
            </w:r>
            <w:r>
              <w:rPr>
                <w:rFonts w:ascii="宋体" w:hAnsi="宋体"/>
                <w:color w:val="auto"/>
                <w:sz w:val="21"/>
                <w:szCs w:val="21"/>
                <w:lang w:val="zh-CN"/>
              </w:rPr>
              <w:t>专业负责人</w:t>
            </w:r>
            <w:r>
              <w:rPr>
                <w:rFonts w:hint="eastAsia" w:ascii="宋体" w:hAnsi="宋体"/>
                <w:color w:val="auto"/>
                <w:sz w:val="21"/>
                <w:szCs w:val="21"/>
                <w:lang w:val="zh-CN"/>
              </w:rPr>
              <w:t>（</w:t>
            </w:r>
            <w:r>
              <w:rPr>
                <w:rFonts w:hint="eastAsia" w:ascii="宋体" w:hAnsi="宋体"/>
                <w:color w:val="auto"/>
                <w:sz w:val="21"/>
                <w:szCs w:val="21"/>
              </w:rPr>
              <w:t>1人</w:t>
            </w:r>
            <w:r>
              <w:rPr>
                <w:rFonts w:hint="eastAsia" w:ascii="宋体" w:hAnsi="宋体"/>
                <w:color w:val="auto"/>
                <w:sz w:val="21"/>
                <w:szCs w:val="21"/>
                <w:lang w:val="zh-CN"/>
              </w:rPr>
              <w:t>）</w:t>
            </w:r>
            <w:r>
              <w:rPr>
                <w:rFonts w:ascii="宋体" w:hAnsi="宋体"/>
                <w:color w:val="auto"/>
                <w:sz w:val="21"/>
                <w:szCs w:val="21"/>
                <w:lang w:val="zh-CN"/>
              </w:rPr>
              <w:t>：具有给排水</w:t>
            </w:r>
            <w:r>
              <w:rPr>
                <w:rFonts w:hint="eastAsia" w:ascii="宋体" w:hAnsi="宋体"/>
                <w:color w:val="auto"/>
                <w:sz w:val="21"/>
                <w:szCs w:val="21"/>
                <w:lang w:val="zh-CN"/>
              </w:rPr>
              <w:t>高级职称且</w:t>
            </w:r>
            <w:r>
              <w:rPr>
                <w:rFonts w:ascii="宋体" w:hAnsi="宋体"/>
                <w:color w:val="auto"/>
                <w:sz w:val="21"/>
                <w:szCs w:val="21"/>
                <w:lang w:val="zh-CN"/>
              </w:rPr>
              <w:t>获得</w:t>
            </w:r>
            <w:r>
              <w:rPr>
                <w:rFonts w:hint="eastAsia" w:ascii="宋体" w:hAnsi="宋体"/>
                <w:color w:val="auto"/>
                <w:sz w:val="21"/>
                <w:szCs w:val="21"/>
                <w:lang w:val="zh-CN"/>
              </w:rPr>
              <w:t>注册</w:t>
            </w:r>
            <w:r>
              <w:rPr>
                <w:rFonts w:ascii="宋体" w:hAnsi="宋体"/>
                <w:color w:val="auto"/>
                <w:sz w:val="21"/>
                <w:szCs w:val="21"/>
                <w:lang w:val="zh-CN"/>
              </w:rPr>
              <w:t>公</w:t>
            </w:r>
            <w:r>
              <w:rPr>
                <w:rFonts w:hint="eastAsia" w:ascii="宋体" w:hAnsi="宋体"/>
                <w:color w:val="auto"/>
                <w:sz w:val="21"/>
                <w:szCs w:val="21"/>
                <w:lang w:val="zh-CN"/>
              </w:rPr>
              <w:t>用</w:t>
            </w:r>
            <w:r>
              <w:rPr>
                <w:rFonts w:ascii="宋体" w:hAnsi="宋体"/>
                <w:color w:val="auto"/>
                <w:sz w:val="21"/>
                <w:szCs w:val="21"/>
                <w:lang w:val="zh-CN"/>
              </w:rPr>
              <w:t>设备工程师（</w:t>
            </w:r>
            <w:r>
              <w:rPr>
                <w:rFonts w:hint="eastAsia" w:ascii="宋体" w:hAnsi="宋体"/>
                <w:color w:val="auto"/>
                <w:sz w:val="21"/>
                <w:szCs w:val="21"/>
                <w:lang w:val="zh-CN"/>
              </w:rPr>
              <w:t>给排水）</w:t>
            </w:r>
            <w:r>
              <w:rPr>
                <w:rFonts w:ascii="宋体" w:hAnsi="宋体"/>
                <w:color w:val="auto"/>
                <w:sz w:val="21"/>
                <w:szCs w:val="21"/>
                <w:lang w:val="zh-CN"/>
              </w:rPr>
              <w:t>的得0.5</w:t>
            </w:r>
            <w:r>
              <w:rPr>
                <w:rFonts w:hint="eastAsia" w:ascii="宋体" w:hAnsi="宋体"/>
                <w:color w:val="auto"/>
                <w:sz w:val="21"/>
                <w:szCs w:val="21"/>
                <w:lang w:val="zh-CN"/>
              </w:rPr>
              <w:t>分；</w:t>
            </w:r>
          </w:p>
          <w:p>
            <w:pPr>
              <w:pStyle w:val="5"/>
              <w:spacing w:line="360" w:lineRule="auto"/>
              <w:ind w:firstLine="0" w:firstLineChars="0"/>
              <w:rPr>
                <w:rFonts w:ascii="宋体" w:hAnsi="宋体"/>
                <w:color w:val="auto"/>
                <w:sz w:val="21"/>
                <w:szCs w:val="21"/>
                <w:lang w:val="zh-CN"/>
              </w:rPr>
            </w:pPr>
            <w:r>
              <w:rPr>
                <w:rFonts w:hint="eastAsia" w:ascii="宋体" w:hAnsi="宋体"/>
                <w:color w:val="auto"/>
                <w:sz w:val="21"/>
                <w:szCs w:val="21"/>
                <w:lang w:val="zh-CN"/>
              </w:rPr>
              <w:t>3、环境</w:t>
            </w:r>
            <w:r>
              <w:rPr>
                <w:rFonts w:ascii="宋体" w:hAnsi="宋体"/>
                <w:color w:val="auto"/>
                <w:sz w:val="21"/>
                <w:szCs w:val="21"/>
                <w:lang w:val="zh-CN"/>
              </w:rPr>
              <w:t>生态专业</w:t>
            </w:r>
            <w:r>
              <w:rPr>
                <w:rFonts w:hint="eastAsia" w:ascii="宋体" w:hAnsi="宋体"/>
                <w:color w:val="auto"/>
                <w:sz w:val="21"/>
                <w:szCs w:val="21"/>
                <w:lang w:val="zh-CN"/>
              </w:rPr>
              <w:t>负责人（</w:t>
            </w:r>
            <w:r>
              <w:rPr>
                <w:rFonts w:hint="eastAsia" w:ascii="宋体" w:hAnsi="宋体"/>
                <w:color w:val="auto"/>
                <w:sz w:val="21"/>
                <w:szCs w:val="21"/>
              </w:rPr>
              <w:t>1人</w:t>
            </w:r>
            <w:r>
              <w:rPr>
                <w:rFonts w:hint="eastAsia" w:ascii="宋体" w:hAnsi="宋体"/>
                <w:color w:val="auto"/>
                <w:sz w:val="21"/>
                <w:szCs w:val="21"/>
                <w:lang w:val="zh-CN"/>
              </w:rPr>
              <w:t>）</w:t>
            </w:r>
            <w:r>
              <w:rPr>
                <w:rFonts w:ascii="宋体" w:hAnsi="宋体"/>
                <w:color w:val="auto"/>
                <w:sz w:val="21"/>
                <w:szCs w:val="21"/>
                <w:lang w:val="zh-CN"/>
              </w:rPr>
              <w:t>：</w:t>
            </w:r>
            <w:r>
              <w:rPr>
                <w:rFonts w:hint="eastAsia" w:ascii="宋体" w:hAnsi="宋体"/>
                <w:color w:val="auto"/>
                <w:sz w:val="21"/>
                <w:szCs w:val="21"/>
                <w:lang w:val="zh-CN"/>
              </w:rPr>
              <w:t>具有</w:t>
            </w:r>
            <w:r>
              <w:rPr>
                <w:rFonts w:ascii="宋体" w:hAnsi="宋体"/>
                <w:color w:val="auto"/>
                <w:sz w:val="21"/>
                <w:szCs w:val="21"/>
                <w:lang w:val="zh-CN"/>
              </w:rPr>
              <w:t>环境生态高级工程师职称</w:t>
            </w:r>
            <w:r>
              <w:rPr>
                <w:rFonts w:hint="eastAsia" w:ascii="宋体" w:hAnsi="宋体"/>
                <w:color w:val="auto"/>
                <w:sz w:val="21"/>
                <w:szCs w:val="21"/>
                <w:lang w:val="zh-CN"/>
              </w:rPr>
              <w:t>的</w:t>
            </w:r>
            <w:r>
              <w:rPr>
                <w:rFonts w:ascii="宋体" w:hAnsi="宋体"/>
                <w:color w:val="auto"/>
                <w:sz w:val="21"/>
                <w:szCs w:val="21"/>
                <w:lang w:val="zh-CN"/>
              </w:rPr>
              <w:t>得0.5</w:t>
            </w:r>
            <w:r>
              <w:rPr>
                <w:rFonts w:hint="eastAsia" w:ascii="宋体" w:hAnsi="宋体"/>
                <w:color w:val="auto"/>
                <w:sz w:val="21"/>
                <w:szCs w:val="21"/>
                <w:lang w:val="zh-CN"/>
              </w:rPr>
              <w:t>分</w:t>
            </w:r>
            <w:r>
              <w:rPr>
                <w:rFonts w:ascii="宋体" w:hAnsi="宋体"/>
                <w:color w:val="auto"/>
                <w:sz w:val="21"/>
                <w:szCs w:val="21"/>
                <w:lang w:val="zh-CN"/>
              </w:rPr>
              <w:t>；</w:t>
            </w:r>
          </w:p>
          <w:p>
            <w:pPr>
              <w:pStyle w:val="5"/>
              <w:spacing w:line="360" w:lineRule="auto"/>
              <w:ind w:firstLine="0" w:firstLineChars="0"/>
              <w:rPr>
                <w:rFonts w:ascii="宋体" w:hAnsi="宋体"/>
                <w:color w:val="auto"/>
                <w:sz w:val="21"/>
                <w:szCs w:val="21"/>
                <w:lang w:val="zh-CN"/>
              </w:rPr>
            </w:pPr>
            <w:r>
              <w:rPr>
                <w:rFonts w:hint="eastAsia" w:ascii="宋体" w:hAnsi="宋体"/>
                <w:color w:val="auto"/>
                <w:sz w:val="21"/>
                <w:szCs w:val="21"/>
                <w:lang w:val="zh-CN"/>
              </w:rPr>
              <w:t>4、水土</w:t>
            </w:r>
            <w:r>
              <w:rPr>
                <w:rFonts w:ascii="宋体" w:hAnsi="宋体"/>
                <w:color w:val="auto"/>
                <w:sz w:val="21"/>
                <w:szCs w:val="21"/>
                <w:lang w:val="zh-CN"/>
              </w:rPr>
              <w:t>保持专业负责人</w:t>
            </w:r>
            <w:r>
              <w:rPr>
                <w:rFonts w:hint="eastAsia" w:ascii="宋体" w:hAnsi="宋体"/>
                <w:color w:val="auto"/>
                <w:sz w:val="21"/>
                <w:szCs w:val="21"/>
                <w:lang w:val="zh-CN"/>
              </w:rPr>
              <w:t>（</w:t>
            </w:r>
            <w:r>
              <w:rPr>
                <w:rFonts w:hint="eastAsia" w:ascii="宋体" w:hAnsi="宋体"/>
                <w:color w:val="auto"/>
                <w:sz w:val="21"/>
                <w:szCs w:val="21"/>
              </w:rPr>
              <w:t>1人</w:t>
            </w:r>
            <w:r>
              <w:rPr>
                <w:rFonts w:hint="eastAsia" w:ascii="宋体" w:hAnsi="宋体"/>
                <w:color w:val="auto"/>
                <w:sz w:val="21"/>
                <w:szCs w:val="21"/>
                <w:lang w:val="zh-CN"/>
              </w:rPr>
              <w:t>）</w:t>
            </w:r>
            <w:r>
              <w:rPr>
                <w:rFonts w:ascii="宋体" w:hAnsi="宋体"/>
                <w:color w:val="auto"/>
                <w:sz w:val="21"/>
                <w:szCs w:val="21"/>
                <w:lang w:val="zh-CN"/>
              </w:rPr>
              <w:t>：</w:t>
            </w:r>
            <w:r>
              <w:rPr>
                <w:rFonts w:hint="eastAsia" w:ascii="宋体" w:hAnsi="宋体"/>
                <w:color w:val="auto"/>
                <w:sz w:val="21"/>
                <w:szCs w:val="21"/>
                <w:lang w:val="zh-CN"/>
              </w:rPr>
              <w:t>具有水土</w:t>
            </w:r>
            <w:r>
              <w:rPr>
                <w:rFonts w:ascii="宋体" w:hAnsi="宋体"/>
                <w:color w:val="auto"/>
                <w:sz w:val="21"/>
                <w:szCs w:val="21"/>
                <w:lang w:val="zh-CN"/>
              </w:rPr>
              <w:t>保持高级工程师</w:t>
            </w:r>
            <w:r>
              <w:rPr>
                <w:rFonts w:hint="eastAsia" w:ascii="宋体" w:hAnsi="宋体"/>
                <w:color w:val="auto"/>
                <w:sz w:val="21"/>
                <w:szCs w:val="21"/>
                <w:lang w:val="zh-CN"/>
              </w:rPr>
              <w:t>且获得</w:t>
            </w:r>
            <w:r>
              <w:rPr>
                <w:rFonts w:ascii="宋体" w:hAnsi="宋体"/>
                <w:color w:val="auto"/>
                <w:sz w:val="21"/>
                <w:szCs w:val="21"/>
                <w:lang w:val="zh-CN"/>
              </w:rPr>
              <w:t>注册土木工程师</w:t>
            </w:r>
            <w:r>
              <w:rPr>
                <w:rFonts w:hint="eastAsia" w:ascii="宋体" w:hAnsi="宋体"/>
                <w:color w:val="auto"/>
                <w:sz w:val="21"/>
                <w:szCs w:val="21"/>
                <w:lang w:val="zh-CN"/>
              </w:rPr>
              <w:t>（水利水电</w:t>
            </w:r>
            <w:r>
              <w:rPr>
                <w:rFonts w:ascii="宋体" w:hAnsi="宋体"/>
                <w:color w:val="auto"/>
                <w:sz w:val="21"/>
                <w:szCs w:val="21"/>
                <w:lang w:val="zh-CN"/>
              </w:rPr>
              <w:t>工程</w:t>
            </w:r>
            <w:r>
              <w:rPr>
                <w:rFonts w:hint="eastAsia" w:ascii="宋体" w:hAnsi="宋体"/>
                <w:color w:val="auto"/>
                <w:sz w:val="21"/>
                <w:szCs w:val="21"/>
                <w:lang w:val="zh-CN"/>
              </w:rPr>
              <w:t>）资格</w:t>
            </w:r>
            <w:r>
              <w:rPr>
                <w:rFonts w:ascii="宋体" w:hAnsi="宋体"/>
                <w:color w:val="auto"/>
                <w:sz w:val="21"/>
                <w:szCs w:val="21"/>
                <w:lang w:val="zh-CN"/>
              </w:rPr>
              <w:t>得0.5</w:t>
            </w:r>
            <w:r>
              <w:rPr>
                <w:rFonts w:hint="eastAsia" w:ascii="宋体" w:hAnsi="宋体"/>
                <w:color w:val="auto"/>
                <w:sz w:val="21"/>
                <w:szCs w:val="21"/>
                <w:lang w:val="zh-CN"/>
              </w:rPr>
              <w:t>分</w:t>
            </w:r>
            <w:r>
              <w:rPr>
                <w:rFonts w:ascii="宋体" w:hAnsi="宋体"/>
                <w:color w:val="auto"/>
                <w:sz w:val="21"/>
                <w:szCs w:val="21"/>
                <w:lang w:val="zh-CN"/>
              </w:rPr>
              <w:t>；</w:t>
            </w:r>
          </w:p>
          <w:p>
            <w:pPr>
              <w:pStyle w:val="5"/>
              <w:spacing w:line="360" w:lineRule="auto"/>
              <w:ind w:firstLine="0" w:firstLineChars="0"/>
              <w:rPr>
                <w:rFonts w:ascii="宋体" w:hAnsi="宋体"/>
                <w:color w:val="auto"/>
                <w:sz w:val="21"/>
                <w:szCs w:val="21"/>
                <w:lang w:val="zh-CN"/>
              </w:rPr>
            </w:pPr>
            <w:r>
              <w:rPr>
                <w:rFonts w:hint="eastAsia" w:ascii="宋体" w:hAnsi="宋体"/>
                <w:color w:val="auto"/>
                <w:sz w:val="21"/>
                <w:szCs w:val="21"/>
                <w:lang w:val="zh-CN"/>
              </w:rPr>
              <w:t>5、建筑</w:t>
            </w:r>
            <w:r>
              <w:rPr>
                <w:rFonts w:ascii="宋体" w:hAnsi="宋体"/>
                <w:color w:val="auto"/>
                <w:sz w:val="21"/>
                <w:szCs w:val="21"/>
                <w:lang w:val="zh-CN"/>
              </w:rPr>
              <w:t>专业负责人</w:t>
            </w:r>
            <w:r>
              <w:rPr>
                <w:rFonts w:hint="eastAsia" w:ascii="宋体" w:hAnsi="宋体"/>
                <w:color w:val="auto"/>
                <w:sz w:val="21"/>
                <w:szCs w:val="21"/>
                <w:lang w:val="zh-CN"/>
              </w:rPr>
              <w:t>（</w:t>
            </w:r>
            <w:r>
              <w:rPr>
                <w:rFonts w:hint="eastAsia" w:ascii="宋体" w:hAnsi="宋体"/>
                <w:color w:val="auto"/>
                <w:sz w:val="21"/>
                <w:szCs w:val="21"/>
              </w:rPr>
              <w:t>1人</w:t>
            </w:r>
            <w:r>
              <w:rPr>
                <w:rFonts w:hint="eastAsia" w:ascii="宋体" w:hAnsi="宋体"/>
                <w:color w:val="auto"/>
                <w:sz w:val="21"/>
                <w:szCs w:val="21"/>
                <w:lang w:val="zh-CN"/>
              </w:rPr>
              <w:t>）</w:t>
            </w:r>
            <w:r>
              <w:rPr>
                <w:rFonts w:ascii="宋体" w:hAnsi="宋体"/>
                <w:color w:val="auto"/>
                <w:sz w:val="21"/>
                <w:szCs w:val="21"/>
                <w:lang w:val="zh-CN"/>
              </w:rPr>
              <w:t>：</w:t>
            </w:r>
            <w:r>
              <w:rPr>
                <w:rFonts w:hint="eastAsia" w:ascii="宋体" w:hAnsi="宋体"/>
                <w:color w:val="auto"/>
                <w:sz w:val="21"/>
                <w:szCs w:val="21"/>
                <w:lang w:val="zh-CN"/>
              </w:rPr>
              <w:t>具有</w:t>
            </w:r>
            <w:r>
              <w:rPr>
                <w:rFonts w:ascii="宋体" w:hAnsi="宋体"/>
                <w:color w:val="auto"/>
                <w:sz w:val="21"/>
                <w:szCs w:val="21"/>
                <w:lang w:val="zh-CN"/>
              </w:rPr>
              <w:t>建筑高级工程师且</w:t>
            </w:r>
            <w:r>
              <w:rPr>
                <w:rFonts w:hint="eastAsia" w:ascii="宋体" w:hAnsi="宋体"/>
                <w:color w:val="auto"/>
                <w:sz w:val="21"/>
                <w:szCs w:val="21"/>
                <w:lang w:val="zh-CN"/>
              </w:rPr>
              <w:t>获得</w:t>
            </w:r>
            <w:r>
              <w:rPr>
                <w:rFonts w:ascii="宋体" w:hAnsi="宋体"/>
                <w:color w:val="auto"/>
                <w:sz w:val="21"/>
                <w:szCs w:val="21"/>
                <w:lang w:val="zh-CN"/>
              </w:rPr>
              <w:t>一级注册建筑师的得0.5</w:t>
            </w:r>
            <w:r>
              <w:rPr>
                <w:rFonts w:hint="eastAsia" w:ascii="宋体" w:hAnsi="宋体"/>
                <w:color w:val="auto"/>
                <w:sz w:val="21"/>
                <w:szCs w:val="21"/>
                <w:lang w:val="zh-CN"/>
              </w:rPr>
              <w:t>分</w:t>
            </w:r>
            <w:r>
              <w:rPr>
                <w:rFonts w:ascii="宋体" w:hAnsi="宋体"/>
                <w:color w:val="auto"/>
                <w:sz w:val="21"/>
                <w:szCs w:val="21"/>
                <w:lang w:val="zh-CN"/>
              </w:rPr>
              <w:t>；</w:t>
            </w:r>
          </w:p>
          <w:p>
            <w:pPr>
              <w:pStyle w:val="5"/>
              <w:spacing w:line="360" w:lineRule="auto"/>
              <w:ind w:firstLine="0" w:firstLineChars="0"/>
              <w:rPr>
                <w:rFonts w:ascii="宋体" w:hAnsi="宋体"/>
                <w:color w:val="auto"/>
                <w:sz w:val="21"/>
                <w:szCs w:val="21"/>
                <w:lang w:val="zh-CN"/>
              </w:rPr>
            </w:pPr>
            <w:r>
              <w:rPr>
                <w:rFonts w:hint="eastAsia" w:ascii="宋体" w:hAnsi="宋体"/>
                <w:color w:val="auto"/>
                <w:sz w:val="21"/>
                <w:szCs w:val="21"/>
                <w:lang w:val="zh-CN"/>
              </w:rPr>
              <w:t>6、结构</w:t>
            </w:r>
            <w:r>
              <w:rPr>
                <w:rFonts w:ascii="宋体" w:hAnsi="宋体"/>
                <w:color w:val="auto"/>
                <w:sz w:val="21"/>
                <w:szCs w:val="21"/>
                <w:lang w:val="zh-CN"/>
              </w:rPr>
              <w:t>专业负责人</w:t>
            </w:r>
            <w:r>
              <w:rPr>
                <w:rFonts w:hint="eastAsia" w:ascii="宋体" w:hAnsi="宋体"/>
                <w:color w:val="auto"/>
                <w:sz w:val="21"/>
                <w:szCs w:val="21"/>
                <w:lang w:val="zh-CN"/>
              </w:rPr>
              <w:t>（</w:t>
            </w:r>
            <w:r>
              <w:rPr>
                <w:rFonts w:hint="eastAsia" w:ascii="宋体" w:hAnsi="宋体"/>
                <w:color w:val="auto"/>
                <w:sz w:val="21"/>
                <w:szCs w:val="21"/>
              </w:rPr>
              <w:t>1人</w:t>
            </w:r>
            <w:r>
              <w:rPr>
                <w:rFonts w:hint="eastAsia" w:ascii="宋体" w:hAnsi="宋体"/>
                <w:color w:val="auto"/>
                <w:sz w:val="21"/>
                <w:szCs w:val="21"/>
                <w:lang w:val="zh-CN"/>
              </w:rPr>
              <w:t>）</w:t>
            </w:r>
            <w:r>
              <w:rPr>
                <w:rFonts w:ascii="宋体" w:hAnsi="宋体"/>
                <w:color w:val="auto"/>
                <w:sz w:val="21"/>
                <w:szCs w:val="21"/>
                <w:lang w:val="zh-CN"/>
              </w:rPr>
              <w:t>：</w:t>
            </w:r>
            <w:r>
              <w:rPr>
                <w:rFonts w:hint="eastAsia" w:ascii="宋体" w:hAnsi="宋体"/>
                <w:color w:val="auto"/>
                <w:sz w:val="21"/>
                <w:szCs w:val="21"/>
                <w:lang w:val="zh-CN"/>
              </w:rPr>
              <w:t>具有结构</w:t>
            </w:r>
            <w:r>
              <w:rPr>
                <w:rFonts w:ascii="宋体" w:hAnsi="宋体"/>
                <w:color w:val="auto"/>
                <w:sz w:val="21"/>
                <w:szCs w:val="21"/>
                <w:lang w:val="zh-CN"/>
              </w:rPr>
              <w:t>高级工程师</w:t>
            </w:r>
            <w:r>
              <w:rPr>
                <w:rFonts w:hint="eastAsia" w:ascii="宋体" w:hAnsi="宋体"/>
                <w:color w:val="auto"/>
                <w:sz w:val="21"/>
                <w:szCs w:val="21"/>
                <w:lang w:val="zh-CN"/>
              </w:rPr>
              <w:t>且</w:t>
            </w:r>
            <w:r>
              <w:rPr>
                <w:rFonts w:ascii="宋体" w:hAnsi="宋体"/>
                <w:color w:val="auto"/>
                <w:sz w:val="21"/>
                <w:szCs w:val="21"/>
                <w:lang w:val="zh-CN"/>
              </w:rPr>
              <w:t>获得</w:t>
            </w:r>
            <w:r>
              <w:rPr>
                <w:rFonts w:hint="eastAsia" w:ascii="宋体" w:hAnsi="宋体"/>
                <w:color w:val="auto"/>
                <w:sz w:val="21"/>
                <w:szCs w:val="21"/>
                <w:lang w:val="zh-CN"/>
              </w:rPr>
              <w:t>一级</w:t>
            </w:r>
            <w:r>
              <w:rPr>
                <w:rFonts w:ascii="宋体" w:hAnsi="宋体"/>
                <w:color w:val="auto"/>
                <w:sz w:val="21"/>
                <w:szCs w:val="21"/>
                <w:lang w:val="zh-CN"/>
              </w:rPr>
              <w:t>注册结构工程师得0.5</w:t>
            </w:r>
            <w:r>
              <w:rPr>
                <w:rFonts w:hint="eastAsia" w:ascii="宋体" w:hAnsi="宋体"/>
                <w:color w:val="auto"/>
                <w:sz w:val="21"/>
                <w:szCs w:val="21"/>
                <w:lang w:val="zh-CN"/>
              </w:rPr>
              <w:t>分</w:t>
            </w:r>
            <w:r>
              <w:rPr>
                <w:rFonts w:ascii="宋体" w:hAnsi="宋体"/>
                <w:color w:val="auto"/>
                <w:sz w:val="21"/>
                <w:szCs w:val="21"/>
                <w:lang w:val="zh-CN"/>
              </w:rPr>
              <w:t>；</w:t>
            </w:r>
          </w:p>
          <w:p>
            <w:pPr>
              <w:pStyle w:val="5"/>
              <w:spacing w:line="360" w:lineRule="auto"/>
              <w:ind w:firstLine="0" w:firstLineChars="0"/>
              <w:rPr>
                <w:rFonts w:ascii="宋体" w:hAnsi="宋体"/>
                <w:color w:val="auto"/>
                <w:sz w:val="21"/>
                <w:szCs w:val="21"/>
                <w:lang w:val="zh-CN"/>
              </w:rPr>
            </w:pPr>
            <w:r>
              <w:rPr>
                <w:rFonts w:hint="eastAsia" w:ascii="宋体" w:hAnsi="宋体"/>
                <w:color w:val="auto"/>
                <w:sz w:val="21"/>
                <w:szCs w:val="21"/>
                <w:lang w:val="zh-CN"/>
              </w:rPr>
              <w:t>7、电气</w:t>
            </w:r>
            <w:r>
              <w:rPr>
                <w:rFonts w:ascii="宋体" w:hAnsi="宋体"/>
                <w:color w:val="auto"/>
                <w:sz w:val="21"/>
                <w:szCs w:val="21"/>
                <w:lang w:val="zh-CN"/>
              </w:rPr>
              <w:t>专业负责人</w:t>
            </w:r>
            <w:r>
              <w:rPr>
                <w:rFonts w:hint="eastAsia" w:ascii="宋体" w:hAnsi="宋体"/>
                <w:color w:val="auto"/>
                <w:sz w:val="21"/>
                <w:szCs w:val="21"/>
                <w:lang w:val="zh-CN"/>
              </w:rPr>
              <w:t>（</w:t>
            </w:r>
            <w:r>
              <w:rPr>
                <w:rFonts w:hint="eastAsia" w:ascii="宋体" w:hAnsi="宋体"/>
                <w:color w:val="auto"/>
                <w:sz w:val="21"/>
                <w:szCs w:val="21"/>
              </w:rPr>
              <w:t>1人</w:t>
            </w:r>
            <w:r>
              <w:rPr>
                <w:rFonts w:hint="eastAsia" w:ascii="宋体" w:hAnsi="宋体"/>
                <w:color w:val="auto"/>
                <w:sz w:val="21"/>
                <w:szCs w:val="21"/>
                <w:lang w:val="zh-CN"/>
              </w:rPr>
              <w:t>）：具有</w:t>
            </w:r>
            <w:r>
              <w:rPr>
                <w:rFonts w:ascii="宋体" w:hAnsi="宋体"/>
                <w:color w:val="auto"/>
                <w:sz w:val="21"/>
                <w:szCs w:val="21"/>
                <w:lang w:val="zh-CN"/>
              </w:rPr>
              <w:t>高级工程师</w:t>
            </w:r>
            <w:r>
              <w:rPr>
                <w:rFonts w:hint="eastAsia" w:ascii="宋体" w:hAnsi="宋体"/>
                <w:color w:val="auto"/>
                <w:sz w:val="21"/>
                <w:szCs w:val="21"/>
                <w:lang w:val="zh-CN"/>
              </w:rPr>
              <w:t>且</w:t>
            </w:r>
            <w:r>
              <w:rPr>
                <w:rFonts w:ascii="宋体" w:hAnsi="宋体"/>
                <w:color w:val="auto"/>
                <w:sz w:val="21"/>
                <w:szCs w:val="21"/>
                <w:lang w:val="zh-CN"/>
              </w:rPr>
              <w:t>获得电气工程师</w:t>
            </w:r>
            <w:r>
              <w:rPr>
                <w:rFonts w:hint="eastAsia" w:ascii="宋体" w:hAnsi="宋体"/>
                <w:color w:val="auto"/>
                <w:sz w:val="21"/>
                <w:szCs w:val="21"/>
                <w:lang w:val="zh-CN"/>
              </w:rPr>
              <w:t>（供配电）得</w:t>
            </w:r>
            <w:r>
              <w:rPr>
                <w:rFonts w:ascii="宋体" w:hAnsi="宋体"/>
                <w:color w:val="auto"/>
                <w:sz w:val="21"/>
                <w:szCs w:val="21"/>
                <w:lang w:val="zh-CN"/>
              </w:rPr>
              <w:t>0.5</w:t>
            </w:r>
            <w:r>
              <w:rPr>
                <w:rFonts w:hint="eastAsia" w:ascii="宋体" w:hAnsi="宋体"/>
                <w:color w:val="auto"/>
                <w:sz w:val="21"/>
                <w:szCs w:val="21"/>
                <w:lang w:val="zh-CN"/>
              </w:rPr>
              <w:t>分。</w:t>
            </w:r>
          </w:p>
          <w:p>
            <w:pPr>
              <w:pStyle w:val="5"/>
              <w:spacing w:line="360" w:lineRule="auto"/>
              <w:ind w:firstLine="0" w:firstLineChars="0"/>
              <w:rPr>
                <w:rFonts w:ascii="宋体" w:hAnsi="宋体"/>
                <w:color w:val="auto"/>
                <w:sz w:val="21"/>
                <w:szCs w:val="21"/>
                <w:highlight w:val="none"/>
                <w:lang w:val="zh-CN"/>
              </w:rPr>
            </w:pPr>
            <w:r>
              <w:rPr>
                <w:rFonts w:hint="eastAsia" w:ascii="宋体" w:hAnsi="宋体"/>
                <w:color w:val="auto"/>
                <w:sz w:val="21"/>
                <w:szCs w:val="21"/>
                <w:lang w:val="zh-CN"/>
              </w:rPr>
              <w:t>注：须提供以上证书及供应商为其缴纳的近三个月社保证明文件复印件加盖公章。如供应商当地有关政府部门政策文件可享受阶段性免征或可延期缴纳社会养老保险的，供应商可提供开始享受阶段性免征或可延期缴纳社会养老保险时的上三个月的社会养老保险证明，并同时提供当地有关政府部门政策文件的打印件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2" w:type="dxa"/>
            <w:gridSpan w:val="4"/>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技术评分（30分）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color w:val="auto"/>
                <w:sz w:val="22"/>
                <w:szCs w:val="22"/>
                <w:highlight w:val="none"/>
              </w:rPr>
            </w:pPr>
            <w:r>
              <w:rPr>
                <w:rFonts w:hint="eastAsia" w:hAnsi="宋体"/>
                <w:color w:val="auto"/>
                <w:sz w:val="22"/>
                <w:szCs w:val="22"/>
                <w:highlight w:val="none"/>
              </w:rPr>
              <w:t>1</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color w:val="auto"/>
                <w:sz w:val="22"/>
                <w:szCs w:val="22"/>
                <w:highlight w:val="none"/>
              </w:rPr>
            </w:pPr>
            <w:r>
              <w:rPr>
                <w:rFonts w:hint="eastAsia" w:hAnsi="宋体"/>
                <w:color w:val="auto"/>
                <w:sz w:val="22"/>
                <w:szCs w:val="22"/>
                <w:highlight w:val="none"/>
              </w:rPr>
              <w:t>对项目的理解</w:t>
            </w:r>
          </w:p>
        </w:tc>
        <w:tc>
          <w:tcPr>
            <w:tcW w:w="850" w:type="dxa"/>
            <w:tcBorders>
              <w:top w:val="single" w:color="auto" w:sz="4" w:space="0"/>
              <w:left w:val="single" w:color="auto" w:sz="4" w:space="0"/>
              <w:bottom w:val="single" w:color="auto" w:sz="4" w:space="0"/>
              <w:right w:val="single" w:color="auto" w:sz="4" w:space="0"/>
            </w:tcBorders>
            <w:vAlign w:val="center"/>
          </w:tcPr>
          <w:p>
            <w:pPr>
              <w:pStyle w:val="75"/>
              <w:spacing w:line="360" w:lineRule="exact"/>
              <w:ind w:firstLine="0" w:firstLineChars="0"/>
              <w:jc w:val="center"/>
              <w:rPr>
                <w:rFonts w:ascii="宋体" w:eastAsia="宋体"/>
                <w:color w:val="auto"/>
                <w:kern w:val="0"/>
                <w:sz w:val="22"/>
                <w:szCs w:val="22"/>
                <w:highlight w:val="none"/>
              </w:rPr>
            </w:pPr>
            <w:r>
              <w:rPr>
                <w:rFonts w:ascii="宋体" w:eastAsia="宋体"/>
                <w:bCs/>
                <w:color w:val="auto"/>
                <w:sz w:val="22"/>
                <w:szCs w:val="22"/>
                <w:highlight w:val="none"/>
              </w:rPr>
              <w:t>5</w:t>
            </w:r>
            <w:r>
              <w:rPr>
                <w:rFonts w:hint="eastAsia" w:ascii="宋体" w:eastAsia="宋体"/>
                <w:color w:val="auto"/>
                <w:sz w:val="22"/>
                <w:szCs w:val="22"/>
                <w:highlight w:val="none"/>
              </w:rPr>
              <w:t>分</w:t>
            </w:r>
          </w:p>
        </w:tc>
        <w:tc>
          <w:tcPr>
            <w:tcW w:w="6237" w:type="dxa"/>
            <w:tcBorders>
              <w:top w:val="single" w:color="auto" w:sz="4" w:space="0"/>
              <w:left w:val="single" w:color="auto" w:sz="4" w:space="0"/>
              <w:bottom w:val="single" w:color="auto" w:sz="4" w:space="0"/>
              <w:right w:val="single" w:color="auto" w:sz="4" w:space="0"/>
            </w:tcBorders>
            <w:vAlign w:val="center"/>
          </w:tcPr>
          <w:p>
            <w:pPr>
              <w:pStyle w:val="75"/>
              <w:spacing w:line="360" w:lineRule="exact"/>
              <w:ind w:firstLine="0" w:firstLineChars="0"/>
              <w:contextualSpacing/>
              <w:rPr>
                <w:rFonts w:ascii="宋体" w:eastAsia="宋体"/>
                <w:color w:val="auto"/>
                <w:sz w:val="22"/>
                <w:szCs w:val="22"/>
                <w:highlight w:val="none"/>
              </w:rPr>
            </w:pPr>
            <w:r>
              <w:rPr>
                <w:rFonts w:hint="eastAsia" w:ascii="宋体" w:eastAsia="宋体"/>
                <w:color w:val="auto"/>
                <w:sz w:val="22"/>
                <w:szCs w:val="22"/>
                <w:highlight w:val="none"/>
              </w:rPr>
              <w:t>根据投标人对本项目的理解情况进行对比评分：</w:t>
            </w:r>
          </w:p>
          <w:p>
            <w:pPr>
              <w:pStyle w:val="75"/>
              <w:spacing w:line="360" w:lineRule="exact"/>
              <w:ind w:firstLine="0" w:firstLineChars="0"/>
              <w:contextualSpacing/>
              <w:rPr>
                <w:rFonts w:ascii="宋体" w:eastAsia="宋体"/>
                <w:color w:val="auto"/>
                <w:sz w:val="22"/>
                <w:szCs w:val="22"/>
                <w:highlight w:val="none"/>
              </w:rPr>
            </w:pPr>
            <w:r>
              <w:rPr>
                <w:rFonts w:hint="eastAsia" w:ascii="宋体" w:eastAsia="宋体"/>
                <w:color w:val="auto"/>
                <w:sz w:val="22"/>
                <w:szCs w:val="22"/>
                <w:highlight w:val="none"/>
              </w:rPr>
              <w:t>优：对项目总体有深刻认识，表述清晰、完整、严谨、合理，符合规范要求，对现状调查清楚，能充分认识到项目的地理环境，产业布局，交通区位和历史人文等，并附必要的图纸、照片等，得</w:t>
            </w:r>
            <w:r>
              <w:rPr>
                <w:rFonts w:ascii="宋体" w:eastAsia="宋体"/>
                <w:color w:val="auto"/>
                <w:sz w:val="22"/>
                <w:szCs w:val="22"/>
                <w:highlight w:val="none"/>
              </w:rPr>
              <w:t>5</w:t>
            </w:r>
            <w:r>
              <w:rPr>
                <w:rFonts w:hint="eastAsia" w:ascii="宋体" w:eastAsia="宋体"/>
                <w:color w:val="auto"/>
                <w:sz w:val="22"/>
                <w:szCs w:val="22"/>
                <w:highlight w:val="none"/>
              </w:rPr>
              <w:t>分；</w:t>
            </w:r>
          </w:p>
          <w:p>
            <w:pPr>
              <w:pStyle w:val="75"/>
              <w:spacing w:line="360" w:lineRule="exact"/>
              <w:ind w:firstLine="0" w:firstLineChars="0"/>
              <w:contextualSpacing/>
              <w:rPr>
                <w:rFonts w:ascii="宋体" w:eastAsia="宋体"/>
                <w:color w:val="auto"/>
                <w:sz w:val="22"/>
                <w:szCs w:val="22"/>
                <w:highlight w:val="none"/>
              </w:rPr>
            </w:pPr>
            <w:r>
              <w:rPr>
                <w:rFonts w:hint="eastAsia" w:ascii="宋体" w:eastAsia="宋体"/>
                <w:color w:val="auto"/>
                <w:sz w:val="22"/>
                <w:szCs w:val="22"/>
                <w:highlight w:val="none"/>
              </w:rPr>
              <w:t>良：对项目</w:t>
            </w:r>
            <w:r>
              <w:rPr>
                <w:rFonts w:hint="eastAsia" w:ascii="宋体" w:eastAsia="宋体"/>
                <w:color w:val="auto"/>
                <w:sz w:val="22"/>
                <w:szCs w:val="22"/>
                <w:highlight w:val="none"/>
                <w:lang w:eastAsia="zh-CN"/>
              </w:rPr>
              <w:t>整体</w:t>
            </w:r>
            <w:r>
              <w:rPr>
                <w:rFonts w:hint="eastAsia" w:ascii="宋体" w:eastAsia="宋体"/>
                <w:color w:val="auto"/>
                <w:sz w:val="22"/>
                <w:szCs w:val="22"/>
                <w:highlight w:val="none"/>
              </w:rPr>
              <w:t>有较深刻认识，表述完整、合理，符合规范要求，对现状调查比较清楚，较充分认识到项目的地理环境，产业布局，交通区位和历史人文等，并附必要的图纸、照片等，得</w:t>
            </w:r>
            <w:r>
              <w:rPr>
                <w:rFonts w:ascii="宋体" w:eastAsia="宋体"/>
                <w:color w:val="auto"/>
                <w:sz w:val="22"/>
                <w:szCs w:val="22"/>
                <w:highlight w:val="none"/>
              </w:rPr>
              <w:t>4</w:t>
            </w:r>
            <w:r>
              <w:rPr>
                <w:rFonts w:hint="eastAsia" w:ascii="宋体" w:eastAsia="宋体"/>
                <w:color w:val="auto"/>
                <w:sz w:val="22"/>
                <w:szCs w:val="22"/>
                <w:highlight w:val="none"/>
              </w:rPr>
              <w:t>分；</w:t>
            </w:r>
          </w:p>
          <w:p>
            <w:pPr>
              <w:pStyle w:val="75"/>
              <w:spacing w:line="360" w:lineRule="exact"/>
              <w:ind w:firstLine="0" w:firstLineChars="0"/>
              <w:contextualSpacing/>
              <w:rPr>
                <w:rFonts w:ascii="宋体" w:eastAsia="宋体"/>
                <w:color w:val="auto"/>
                <w:sz w:val="22"/>
                <w:szCs w:val="22"/>
                <w:highlight w:val="none"/>
              </w:rPr>
            </w:pPr>
            <w:r>
              <w:rPr>
                <w:rFonts w:hint="eastAsia" w:ascii="宋体" w:eastAsia="宋体"/>
                <w:color w:val="auto"/>
                <w:sz w:val="22"/>
                <w:szCs w:val="22"/>
                <w:highlight w:val="none"/>
              </w:rPr>
              <w:t>中：对项目</w:t>
            </w:r>
            <w:r>
              <w:rPr>
                <w:rFonts w:hint="eastAsia" w:ascii="宋体" w:eastAsia="宋体"/>
                <w:color w:val="auto"/>
                <w:sz w:val="22"/>
                <w:szCs w:val="22"/>
                <w:highlight w:val="none"/>
                <w:lang w:eastAsia="zh-CN"/>
              </w:rPr>
              <w:t>整体</w:t>
            </w:r>
            <w:r>
              <w:rPr>
                <w:rFonts w:hint="eastAsia" w:ascii="宋体" w:eastAsia="宋体"/>
                <w:color w:val="auto"/>
                <w:sz w:val="22"/>
                <w:szCs w:val="22"/>
                <w:highlight w:val="none"/>
              </w:rPr>
              <w:t>有认识，表述清晰、合理，能基本认识到项目的地理环境，产业布局，交通区位和历史人文等，得</w:t>
            </w:r>
            <w:r>
              <w:rPr>
                <w:rFonts w:ascii="宋体" w:eastAsia="宋体"/>
                <w:color w:val="auto"/>
                <w:sz w:val="22"/>
                <w:szCs w:val="22"/>
                <w:highlight w:val="none"/>
              </w:rPr>
              <w:t>2</w:t>
            </w:r>
            <w:r>
              <w:rPr>
                <w:rFonts w:hint="eastAsia" w:ascii="宋体" w:eastAsia="宋体"/>
                <w:color w:val="auto"/>
                <w:sz w:val="22"/>
                <w:szCs w:val="22"/>
                <w:highlight w:val="none"/>
              </w:rPr>
              <w:t>分；</w:t>
            </w:r>
          </w:p>
          <w:p>
            <w:pPr>
              <w:pStyle w:val="75"/>
              <w:spacing w:line="360" w:lineRule="exact"/>
              <w:ind w:firstLine="0" w:firstLineChars="0"/>
              <w:contextualSpacing/>
              <w:rPr>
                <w:rFonts w:ascii="宋体" w:eastAsia="宋体"/>
                <w:color w:val="auto"/>
                <w:sz w:val="22"/>
                <w:szCs w:val="22"/>
                <w:highlight w:val="none"/>
              </w:rPr>
            </w:pPr>
            <w:r>
              <w:rPr>
                <w:rFonts w:hint="eastAsia" w:ascii="宋体" w:eastAsia="宋体"/>
                <w:color w:val="auto"/>
                <w:sz w:val="22"/>
                <w:szCs w:val="22"/>
                <w:highlight w:val="none"/>
              </w:rPr>
              <w:t>差：对项目认识不合理，得</w:t>
            </w:r>
            <w:r>
              <w:rPr>
                <w:rFonts w:ascii="宋体" w:eastAsia="宋体"/>
                <w:color w:val="auto"/>
                <w:sz w:val="22"/>
                <w:szCs w:val="22"/>
                <w:highlight w:val="none"/>
              </w:rPr>
              <w:t>1</w:t>
            </w:r>
            <w:r>
              <w:rPr>
                <w:rFonts w:hint="eastAsia" w:ascii="宋体" w:eastAsia="宋体"/>
                <w:color w:val="auto"/>
                <w:sz w:val="22"/>
                <w:szCs w:val="22"/>
                <w:highlight w:val="none"/>
              </w:rPr>
              <w:t>分。</w:t>
            </w:r>
          </w:p>
          <w:p>
            <w:pPr>
              <w:spacing w:line="360" w:lineRule="exact"/>
              <w:rPr>
                <w:rFonts w:hAnsi="宋体"/>
                <w:color w:val="auto"/>
                <w:sz w:val="22"/>
                <w:szCs w:val="22"/>
                <w:highlight w:val="none"/>
              </w:rPr>
            </w:pPr>
            <w:r>
              <w:rPr>
                <w:rFonts w:hint="eastAsia" w:hAnsi="宋体"/>
                <w:color w:val="auto"/>
                <w:sz w:val="22"/>
                <w:szCs w:val="22"/>
                <w:highlight w:val="none"/>
              </w:rPr>
              <w:t>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color w:val="auto"/>
                <w:sz w:val="22"/>
                <w:szCs w:val="22"/>
                <w:highlight w:val="none"/>
              </w:rPr>
            </w:pPr>
            <w:r>
              <w:rPr>
                <w:rFonts w:hint="eastAsia" w:hAnsi="宋体"/>
                <w:color w:val="auto"/>
                <w:sz w:val="22"/>
                <w:szCs w:val="22"/>
                <w:highlight w:val="none"/>
              </w:rPr>
              <w:t>2</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Ansi="宋体"/>
                <w:color w:val="auto"/>
                <w:sz w:val="22"/>
                <w:szCs w:val="22"/>
                <w:highlight w:val="none"/>
              </w:rPr>
            </w:pPr>
            <w:r>
              <w:rPr>
                <w:rFonts w:hint="eastAsia" w:hAnsi="宋体"/>
                <w:bCs/>
                <w:color w:val="auto"/>
                <w:sz w:val="22"/>
                <w:szCs w:val="22"/>
                <w:highlight w:val="none"/>
              </w:rPr>
              <w:t>方案思路</w:t>
            </w:r>
          </w:p>
        </w:tc>
        <w:tc>
          <w:tcPr>
            <w:tcW w:w="850" w:type="dxa"/>
            <w:tcBorders>
              <w:top w:val="single" w:color="auto" w:sz="4" w:space="0"/>
              <w:left w:val="single" w:color="auto" w:sz="4" w:space="0"/>
              <w:bottom w:val="single" w:color="auto" w:sz="4" w:space="0"/>
              <w:right w:val="single" w:color="auto" w:sz="4" w:space="0"/>
            </w:tcBorders>
            <w:vAlign w:val="center"/>
          </w:tcPr>
          <w:p>
            <w:pPr>
              <w:pStyle w:val="75"/>
              <w:spacing w:line="360" w:lineRule="exact"/>
              <w:ind w:firstLine="0" w:firstLineChars="0"/>
              <w:jc w:val="center"/>
              <w:rPr>
                <w:rFonts w:ascii="宋体" w:eastAsia="宋体"/>
                <w:color w:val="auto"/>
                <w:sz w:val="22"/>
                <w:szCs w:val="22"/>
                <w:highlight w:val="none"/>
              </w:rPr>
            </w:pPr>
            <w:r>
              <w:rPr>
                <w:rFonts w:ascii="宋体" w:eastAsia="宋体"/>
                <w:color w:val="auto"/>
                <w:sz w:val="22"/>
                <w:szCs w:val="22"/>
                <w:highlight w:val="none"/>
              </w:rPr>
              <w:t>5</w:t>
            </w:r>
            <w:r>
              <w:rPr>
                <w:rFonts w:hint="eastAsia" w:ascii="宋体" w:eastAsia="宋体"/>
                <w:color w:val="auto"/>
                <w:sz w:val="22"/>
                <w:szCs w:val="22"/>
                <w:highlight w:val="none"/>
              </w:rPr>
              <w:t>分</w:t>
            </w:r>
          </w:p>
        </w:tc>
        <w:tc>
          <w:tcPr>
            <w:tcW w:w="6237" w:type="dxa"/>
            <w:tcBorders>
              <w:top w:val="single" w:color="auto" w:sz="4" w:space="0"/>
              <w:left w:val="single" w:color="auto" w:sz="4" w:space="0"/>
              <w:bottom w:val="single" w:color="auto" w:sz="4" w:space="0"/>
              <w:right w:val="single" w:color="auto" w:sz="4" w:space="0"/>
            </w:tcBorders>
            <w:vAlign w:val="center"/>
          </w:tcPr>
          <w:p>
            <w:pPr>
              <w:pStyle w:val="75"/>
              <w:spacing w:line="360" w:lineRule="exact"/>
              <w:ind w:firstLine="0" w:firstLineChars="0"/>
              <w:contextualSpacing/>
              <w:rPr>
                <w:rFonts w:ascii="宋体" w:eastAsia="宋体"/>
                <w:color w:val="auto"/>
                <w:sz w:val="22"/>
                <w:szCs w:val="22"/>
                <w:highlight w:val="none"/>
              </w:rPr>
            </w:pPr>
            <w:r>
              <w:rPr>
                <w:rFonts w:hint="eastAsia" w:ascii="宋体" w:eastAsia="宋体"/>
                <w:color w:val="auto"/>
                <w:sz w:val="22"/>
                <w:szCs w:val="22"/>
                <w:highlight w:val="none"/>
              </w:rPr>
              <w:t>根据投标人实施本项目的方案思路进行对比评分：</w:t>
            </w:r>
          </w:p>
          <w:p>
            <w:pPr>
              <w:pStyle w:val="75"/>
              <w:spacing w:line="360" w:lineRule="exact"/>
              <w:ind w:firstLine="0" w:firstLineChars="0"/>
              <w:contextualSpacing/>
              <w:rPr>
                <w:rFonts w:ascii="宋体" w:eastAsia="宋体"/>
                <w:color w:val="auto"/>
                <w:sz w:val="22"/>
                <w:szCs w:val="22"/>
                <w:highlight w:val="none"/>
              </w:rPr>
            </w:pPr>
            <w:r>
              <w:rPr>
                <w:rFonts w:hint="eastAsia" w:ascii="宋体" w:eastAsia="宋体"/>
                <w:color w:val="auto"/>
                <w:sz w:val="22"/>
                <w:szCs w:val="22"/>
                <w:highlight w:val="none"/>
              </w:rPr>
              <w:t>优：方案思路清晰、内容完整、对项目的现状认识明晰、方案与实际情况有很好的结合，得</w:t>
            </w:r>
            <w:r>
              <w:rPr>
                <w:rFonts w:ascii="宋体" w:eastAsia="宋体"/>
                <w:color w:val="auto"/>
                <w:sz w:val="22"/>
                <w:szCs w:val="22"/>
                <w:highlight w:val="none"/>
              </w:rPr>
              <w:t>5</w:t>
            </w:r>
            <w:r>
              <w:rPr>
                <w:rFonts w:hint="eastAsia" w:ascii="宋体" w:eastAsia="宋体"/>
                <w:color w:val="auto"/>
                <w:sz w:val="22"/>
                <w:szCs w:val="22"/>
                <w:highlight w:val="none"/>
              </w:rPr>
              <w:t>分；</w:t>
            </w:r>
          </w:p>
          <w:p>
            <w:pPr>
              <w:pStyle w:val="75"/>
              <w:spacing w:line="360" w:lineRule="exact"/>
              <w:ind w:firstLine="0" w:firstLineChars="0"/>
              <w:contextualSpacing/>
              <w:rPr>
                <w:rFonts w:ascii="宋体" w:eastAsia="宋体"/>
                <w:color w:val="auto"/>
                <w:sz w:val="22"/>
                <w:szCs w:val="22"/>
                <w:highlight w:val="none"/>
              </w:rPr>
            </w:pPr>
            <w:r>
              <w:rPr>
                <w:rFonts w:hint="eastAsia" w:ascii="宋体" w:eastAsia="宋体"/>
                <w:color w:val="auto"/>
                <w:sz w:val="22"/>
                <w:szCs w:val="22"/>
                <w:highlight w:val="none"/>
              </w:rPr>
              <w:t>良：方案思路比较清晰、内容完整、对项目的现状认识明晰、方案与实际情况有较好的结合，得</w:t>
            </w:r>
            <w:r>
              <w:rPr>
                <w:rFonts w:ascii="宋体" w:eastAsia="宋体"/>
                <w:color w:val="auto"/>
                <w:sz w:val="22"/>
                <w:szCs w:val="22"/>
                <w:highlight w:val="none"/>
              </w:rPr>
              <w:t>4</w:t>
            </w:r>
            <w:r>
              <w:rPr>
                <w:rFonts w:hint="eastAsia" w:ascii="宋体" w:eastAsia="宋体"/>
                <w:color w:val="auto"/>
                <w:sz w:val="22"/>
                <w:szCs w:val="22"/>
                <w:highlight w:val="none"/>
              </w:rPr>
              <w:t>分；</w:t>
            </w:r>
          </w:p>
          <w:p>
            <w:pPr>
              <w:pStyle w:val="75"/>
              <w:spacing w:line="360" w:lineRule="exact"/>
              <w:ind w:firstLine="0" w:firstLineChars="0"/>
              <w:contextualSpacing/>
              <w:rPr>
                <w:rFonts w:ascii="宋体" w:eastAsia="宋体"/>
                <w:color w:val="auto"/>
                <w:sz w:val="22"/>
                <w:szCs w:val="22"/>
                <w:highlight w:val="none"/>
              </w:rPr>
            </w:pPr>
            <w:r>
              <w:rPr>
                <w:rFonts w:hint="eastAsia" w:ascii="宋体" w:eastAsia="宋体"/>
                <w:color w:val="auto"/>
                <w:sz w:val="22"/>
                <w:szCs w:val="22"/>
                <w:highlight w:val="none"/>
              </w:rPr>
              <w:t>中：方案思路内容较简单、对项目的现状一定的认识，得</w:t>
            </w:r>
            <w:r>
              <w:rPr>
                <w:rFonts w:ascii="宋体" w:eastAsia="宋体"/>
                <w:color w:val="auto"/>
                <w:sz w:val="22"/>
                <w:szCs w:val="22"/>
                <w:highlight w:val="none"/>
              </w:rPr>
              <w:t>2</w:t>
            </w:r>
            <w:r>
              <w:rPr>
                <w:rFonts w:hint="eastAsia" w:ascii="宋体" w:eastAsia="宋体"/>
                <w:color w:val="auto"/>
                <w:sz w:val="22"/>
                <w:szCs w:val="22"/>
                <w:highlight w:val="none"/>
              </w:rPr>
              <w:t>分；</w:t>
            </w:r>
          </w:p>
          <w:p>
            <w:pPr>
              <w:pStyle w:val="75"/>
              <w:spacing w:line="360" w:lineRule="exact"/>
              <w:ind w:firstLine="0" w:firstLineChars="0"/>
              <w:contextualSpacing/>
              <w:rPr>
                <w:rFonts w:ascii="宋体" w:eastAsia="宋体"/>
                <w:color w:val="auto"/>
                <w:sz w:val="22"/>
                <w:szCs w:val="22"/>
                <w:highlight w:val="none"/>
              </w:rPr>
            </w:pPr>
            <w:r>
              <w:rPr>
                <w:rFonts w:hint="eastAsia" w:ascii="宋体" w:eastAsia="宋体"/>
                <w:color w:val="auto"/>
                <w:sz w:val="22"/>
                <w:szCs w:val="22"/>
                <w:highlight w:val="none"/>
              </w:rPr>
              <w:t>差：方案思路不合理，得</w:t>
            </w:r>
            <w:r>
              <w:rPr>
                <w:rFonts w:ascii="宋体" w:eastAsia="宋体"/>
                <w:color w:val="auto"/>
                <w:sz w:val="22"/>
                <w:szCs w:val="22"/>
                <w:highlight w:val="none"/>
              </w:rPr>
              <w:t>1</w:t>
            </w:r>
            <w:r>
              <w:rPr>
                <w:rFonts w:hint="eastAsia" w:ascii="宋体" w:eastAsia="宋体"/>
                <w:color w:val="auto"/>
                <w:sz w:val="22"/>
                <w:szCs w:val="22"/>
                <w:highlight w:val="none"/>
              </w:rPr>
              <w:t>分。</w:t>
            </w:r>
          </w:p>
          <w:p>
            <w:pPr>
              <w:spacing w:line="360" w:lineRule="exact"/>
              <w:rPr>
                <w:rFonts w:hAnsi="宋体"/>
                <w:color w:val="auto"/>
                <w:sz w:val="22"/>
                <w:szCs w:val="22"/>
                <w:highlight w:val="none"/>
              </w:rPr>
            </w:pPr>
            <w:r>
              <w:rPr>
                <w:rFonts w:hint="eastAsia" w:hAnsi="宋体"/>
                <w:color w:val="auto"/>
                <w:sz w:val="22"/>
                <w:szCs w:val="22"/>
                <w:highlight w:val="none"/>
              </w:rPr>
              <w:t>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color w:val="auto"/>
                <w:sz w:val="22"/>
                <w:szCs w:val="22"/>
                <w:highlight w:val="none"/>
              </w:rPr>
            </w:pPr>
            <w:r>
              <w:rPr>
                <w:rFonts w:hint="eastAsia" w:hAnsi="宋体"/>
                <w:color w:val="auto"/>
                <w:sz w:val="22"/>
                <w:szCs w:val="22"/>
                <w:highlight w:val="none"/>
              </w:rPr>
              <w:t>3</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Ansi="宋体"/>
                <w:color w:val="auto"/>
                <w:sz w:val="22"/>
                <w:szCs w:val="22"/>
                <w:highlight w:val="none"/>
              </w:rPr>
            </w:pPr>
            <w:r>
              <w:rPr>
                <w:rFonts w:hint="eastAsia" w:hAnsi="宋体"/>
                <w:color w:val="auto"/>
                <w:sz w:val="22"/>
                <w:szCs w:val="22"/>
                <w:highlight w:val="none"/>
              </w:rPr>
              <w:t>项目重点、难点分析</w:t>
            </w:r>
          </w:p>
        </w:tc>
        <w:tc>
          <w:tcPr>
            <w:tcW w:w="850" w:type="dxa"/>
            <w:tcBorders>
              <w:top w:val="single" w:color="auto" w:sz="4" w:space="0"/>
              <w:left w:val="single" w:color="auto" w:sz="4" w:space="0"/>
              <w:bottom w:val="single" w:color="auto" w:sz="4" w:space="0"/>
              <w:right w:val="single" w:color="auto" w:sz="4" w:space="0"/>
            </w:tcBorders>
            <w:vAlign w:val="center"/>
          </w:tcPr>
          <w:p>
            <w:pPr>
              <w:pStyle w:val="75"/>
              <w:spacing w:line="360" w:lineRule="exact"/>
              <w:ind w:firstLine="0" w:firstLineChars="0"/>
              <w:jc w:val="center"/>
              <w:rPr>
                <w:rFonts w:ascii="宋体" w:eastAsia="宋体"/>
                <w:color w:val="auto"/>
                <w:sz w:val="22"/>
                <w:szCs w:val="22"/>
                <w:highlight w:val="none"/>
              </w:rPr>
            </w:pPr>
            <w:r>
              <w:rPr>
                <w:rFonts w:ascii="宋体" w:eastAsia="宋体"/>
                <w:color w:val="auto"/>
                <w:sz w:val="22"/>
                <w:szCs w:val="22"/>
                <w:highlight w:val="none"/>
              </w:rPr>
              <w:t>5</w:t>
            </w:r>
            <w:r>
              <w:rPr>
                <w:rFonts w:hint="eastAsia" w:ascii="宋体" w:eastAsia="宋体"/>
                <w:color w:val="auto"/>
                <w:sz w:val="22"/>
                <w:szCs w:val="22"/>
                <w:highlight w:val="none"/>
              </w:rPr>
              <w:t>分</w:t>
            </w:r>
          </w:p>
        </w:tc>
        <w:tc>
          <w:tcPr>
            <w:tcW w:w="623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Ansi="宋体"/>
                <w:color w:val="auto"/>
                <w:sz w:val="22"/>
                <w:szCs w:val="22"/>
                <w:highlight w:val="none"/>
              </w:rPr>
            </w:pPr>
            <w:r>
              <w:rPr>
                <w:rFonts w:hint="eastAsia" w:hAnsi="宋体"/>
                <w:color w:val="auto"/>
                <w:sz w:val="22"/>
                <w:szCs w:val="22"/>
                <w:highlight w:val="none"/>
              </w:rPr>
              <w:t>根据投标人的针对本项目实施的重点、难点分析进行评分：</w:t>
            </w:r>
          </w:p>
          <w:p>
            <w:pPr>
              <w:widowControl/>
              <w:spacing w:line="360" w:lineRule="exact"/>
              <w:rPr>
                <w:rFonts w:hAnsi="宋体"/>
                <w:color w:val="auto"/>
                <w:sz w:val="22"/>
                <w:szCs w:val="22"/>
                <w:highlight w:val="none"/>
              </w:rPr>
            </w:pPr>
            <w:r>
              <w:rPr>
                <w:rFonts w:hint="eastAsia" w:hAnsi="宋体"/>
                <w:color w:val="auto"/>
                <w:sz w:val="22"/>
                <w:szCs w:val="22"/>
                <w:highlight w:val="none"/>
              </w:rPr>
              <w:t>优：对项目关键专业技术有深入的表述，对重点、难点有先进合理的措施并有可行的措施，解决方案完整、经济、安全、切实可行，措施得力，并结合现状提出优化措施及切实合理的投资控制措施，得</w:t>
            </w:r>
            <w:r>
              <w:rPr>
                <w:rFonts w:hAnsi="宋体"/>
                <w:color w:val="auto"/>
                <w:sz w:val="22"/>
                <w:szCs w:val="22"/>
                <w:highlight w:val="none"/>
              </w:rPr>
              <w:t>5</w:t>
            </w:r>
            <w:r>
              <w:rPr>
                <w:rFonts w:hint="eastAsia" w:hAnsi="宋体"/>
                <w:color w:val="auto"/>
                <w:sz w:val="22"/>
                <w:szCs w:val="22"/>
                <w:highlight w:val="none"/>
              </w:rPr>
              <w:t>分；</w:t>
            </w:r>
          </w:p>
          <w:p>
            <w:pPr>
              <w:widowControl/>
              <w:spacing w:line="360" w:lineRule="exact"/>
              <w:rPr>
                <w:rFonts w:hAnsi="宋体"/>
                <w:color w:val="auto"/>
                <w:sz w:val="22"/>
                <w:szCs w:val="22"/>
                <w:highlight w:val="none"/>
              </w:rPr>
            </w:pPr>
            <w:r>
              <w:rPr>
                <w:rFonts w:hint="eastAsia" w:hAnsi="宋体"/>
                <w:color w:val="auto"/>
                <w:sz w:val="22"/>
                <w:szCs w:val="22"/>
                <w:highlight w:val="none"/>
              </w:rPr>
              <w:t>良：对项目关键专业技术有表述，对重点、难点有可行的措施，解决方案完整，得</w:t>
            </w:r>
            <w:r>
              <w:rPr>
                <w:rFonts w:hAnsi="宋体"/>
                <w:color w:val="auto"/>
                <w:sz w:val="22"/>
                <w:szCs w:val="22"/>
                <w:highlight w:val="none"/>
              </w:rPr>
              <w:t>4</w:t>
            </w:r>
            <w:r>
              <w:rPr>
                <w:rFonts w:hint="eastAsia" w:hAnsi="宋体"/>
                <w:color w:val="auto"/>
                <w:sz w:val="22"/>
                <w:szCs w:val="22"/>
                <w:highlight w:val="none"/>
              </w:rPr>
              <w:t>分；</w:t>
            </w:r>
          </w:p>
          <w:p>
            <w:pPr>
              <w:widowControl/>
              <w:spacing w:line="360" w:lineRule="exact"/>
              <w:rPr>
                <w:rFonts w:hAnsi="宋体"/>
                <w:color w:val="auto"/>
                <w:sz w:val="22"/>
                <w:szCs w:val="22"/>
                <w:highlight w:val="none"/>
              </w:rPr>
            </w:pPr>
            <w:r>
              <w:rPr>
                <w:rFonts w:hint="eastAsia" w:hAnsi="宋体"/>
                <w:color w:val="auto"/>
                <w:sz w:val="22"/>
                <w:szCs w:val="22"/>
                <w:highlight w:val="none"/>
              </w:rPr>
              <w:t>中：对项目关键专业技术有基本的表述，对重点、难点有基本可行的措施，解决方案基本完整，得</w:t>
            </w:r>
            <w:r>
              <w:rPr>
                <w:rFonts w:hAnsi="宋体"/>
                <w:color w:val="auto"/>
                <w:sz w:val="22"/>
                <w:szCs w:val="22"/>
                <w:highlight w:val="none"/>
              </w:rPr>
              <w:t>2</w:t>
            </w:r>
            <w:r>
              <w:rPr>
                <w:rFonts w:hint="eastAsia" w:hAnsi="宋体"/>
                <w:color w:val="auto"/>
                <w:sz w:val="22"/>
                <w:szCs w:val="22"/>
                <w:highlight w:val="none"/>
              </w:rPr>
              <w:t>分；</w:t>
            </w:r>
          </w:p>
          <w:p>
            <w:pPr>
              <w:widowControl/>
              <w:spacing w:line="360" w:lineRule="exact"/>
              <w:rPr>
                <w:rFonts w:hAnsi="宋体"/>
                <w:color w:val="auto"/>
                <w:sz w:val="22"/>
                <w:szCs w:val="22"/>
                <w:highlight w:val="none"/>
              </w:rPr>
            </w:pPr>
            <w:r>
              <w:rPr>
                <w:rFonts w:hint="eastAsia" w:hAnsi="宋体"/>
                <w:color w:val="auto"/>
                <w:sz w:val="22"/>
                <w:szCs w:val="22"/>
                <w:highlight w:val="none"/>
              </w:rPr>
              <w:t>差：项目分析不合理，得1分。</w:t>
            </w:r>
          </w:p>
          <w:p>
            <w:pPr>
              <w:spacing w:line="360" w:lineRule="exact"/>
              <w:rPr>
                <w:rFonts w:hAnsi="宋体"/>
                <w:color w:val="auto"/>
                <w:sz w:val="22"/>
                <w:szCs w:val="22"/>
                <w:highlight w:val="none"/>
              </w:rPr>
            </w:pPr>
            <w:r>
              <w:rPr>
                <w:rFonts w:hint="eastAsia" w:hAnsi="宋体"/>
                <w:color w:val="auto"/>
                <w:sz w:val="22"/>
                <w:szCs w:val="22"/>
                <w:highlight w:val="none"/>
              </w:rPr>
              <w:t>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75"/>
              <w:spacing w:line="360" w:lineRule="exact"/>
              <w:ind w:firstLine="0" w:firstLineChars="0"/>
              <w:jc w:val="center"/>
              <w:rPr>
                <w:rFonts w:ascii="宋体" w:eastAsia="宋体"/>
                <w:color w:val="auto"/>
                <w:sz w:val="22"/>
                <w:szCs w:val="22"/>
                <w:highlight w:val="none"/>
              </w:rPr>
            </w:pPr>
            <w:r>
              <w:rPr>
                <w:rFonts w:hint="eastAsia" w:ascii="宋体" w:eastAsia="宋体"/>
                <w:color w:val="auto"/>
                <w:sz w:val="22"/>
                <w:szCs w:val="22"/>
                <w:highlight w:val="none"/>
              </w:rPr>
              <w:t>4</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Ansi="宋体"/>
                <w:color w:val="auto"/>
                <w:sz w:val="22"/>
                <w:szCs w:val="22"/>
                <w:highlight w:val="none"/>
              </w:rPr>
            </w:pPr>
            <w:r>
              <w:rPr>
                <w:rFonts w:hint="eastAsia" w:hAnsi="宋体"/>
                <w:color w:val="auto"/>
                <w:sz w:val="22"/>
                <w:szCs w:val="22"/>
                <w:highlight w:val="none"/>
              </w:rPr>
              <w:t>设计内容创意</w:t>
            </w:r>
          </w:p>
        </w:tc>
        <w:tc>
          <w:tcPr>
            <w:tcW w:w="850" w:type="dxa"/>
            <w:tcBorders>
              <w:top w:val="single" w:color="auto" w:sz="4" w:space="0"/>
              <w:left w:val="single" w:color="auto" w:sz="4" w:space="0"/>
              <w:bottom w:val="single" w:color="auto" w:sz="4" w:space="0"/>
              <w:right w:val="single" w:color="auto" w:sz="4" w:space="0"/>
            </w:tcBorders>
            <w:vAlign w:val="center"/>
          </w:tcPr>
          <w:p>
            <w:pPr>
              <w:pStyle w:val="75"/>
              <w:spacing w:line="360" w:lineRule="exact"/>
              <w:ind w:firstLine="0" w:firstLineChars="0"/>
              <w:jc w:val="center"/>
              <w:rPr>
                <w:rFonts w:ascii="宋体" w:eastAsia="宋体"/>
                <w:color w:val="auto"/>
                <w:sz w:val="22"/>
                <w:szCs w:val="22"/>
                <w:highlight w:val="none"/>
              </w:rPr>
            </w:pPr>
            <w:r>
              <w:rPr>
                <w:rFonts w:ascii="宋体" w:eastAsia="宋体"/>
                <w:color w:val="auto"/>
                <w:sz w:val="22"/>
                <w:szCs w:val="22"/>
                <w:highlight w:val="none"/>
              </w:rPr>
              <w:t>5</w:t>
            </w:r>
            <w:r>
              <w:rPr>
                <w:rFonts w:hint="eastAsia" w:ascii="宋体" w:eastAsia="宋体"/>
                <w:color w:val="auto"/>
                <w:sz w:val="22"/>
                <w:szCs w:val="22"/>
                <w:highlight w:val="none"/>
              </w:rPr>
              <w:t>分</w:t>
            </w:r>
          </w:p>
        </w:tc>
        <w:tc>
          <w:tcPr>
            <w:tcW w:w="623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Ansi="宋体"/>
                <w:color w:val="auto"/>
                <w:sz w:val="22"/>
                <w:szCs w:val="22"/>
                <w:highlight w:val="none"/>
              </w:rPr>
            </w:pPr>
            <w:r>
              <w:rPr>
                <w:rFonts w:hint="eastAsia" w:hAnsi="宋体"/>
                <w:color w:val="auto"/>
                <w:sz w:val="22"/>
                <w:szCs w:val="22"/>
                <w:highlight w:val="none"/>
              </w:rPr>
              <w:t>根据投标文件中提供的设计内容创意进行评分：</w:t>
            </w:r>
          </w:p>
          <w:p>
            <w:pPr>
              <w:widowControl/>
              <w:spacing w:line="360" w:lineRule="exact"/>
              <w:rPr>
                <w:rFonts w:hAnsi="宋体"/>
                <w:color w:val="auto"/>
                <w:sz w:val="22"/>
                <w:szCs w:val="22"/>
                <w:highlight w:val="none"/>
              </w:rPr>
            </w:pPr>
            <w:r>
              <w:rPr>
                <w:rFonts w:hint="eastAsia" w:hAnsi="宋体"/>
                <w:color w:val="auto"/>
                <w:sz w:val="22"/>
                <w:szCs w:val="22"/>
                <w:highlight w:val="none"/>
              </w:rPr>
              <w:t>优：设计内容全面，有新意，符合项目的实际情况，得</w:t>
            </w:r>
            <w:r>
              <w:rPr>
                <w:rFonts w:hAnsi="宋体"/>
                <w:color w:val="auto"/>
                <w:sz w:val="22"/>
                <w:szCs w:val="22"/>
                <w:highlight w:val="none"/>
              </w:rPr>
              <w:t>5</w:t>
            </w:r>
            <w:r>
              <w:rPr>
                <w:rFonts w:hint="eastAsia" w:hAnsi="宋体"/>
                <w:color w:val="auto"/>
                <w:sz w:val="22"/>
                <w:szCs w:val="22"/>
                <w:highlight w:val="none"/>
              </w:rPr>
              <w:t>分；</w:t>
            </w:r>
          </w:p>
          <w:p>
            <w:pPr>
              <w:widowControl/>
              <w:spacing w:line="360" w:lineRule="exact"/>
              <w:rPr>
                <w:rFonts w:hAnsi="宋体"/>
                <w:color w:val="auto"/>
                <w:sz w:val="22"/>
                <w:szCs w:val="22"/>
                <w:highlight w:val="none"/>
              </w:rPr>
            </w:pPr>
            <w:r>
              <w:rPr>
                <w:rFonts w:hint="eastAsia" w:hAnsi="宋体"/>
                <w:color w:val="auto"/>
                <w:sz w:val="22"/>
                <w:szCs w:val="22"/>
                <w:highlight w:val="none"/>
              </w:rPr>
              <w:t>良：设计内容比较全面，有新意，基本符合项目的实际情况，得</w:t>
            </w:r>
            <w:r>
              <w:rPr>
                <w:rFonts w:hAnsi="宋体"/>
                <w:color w:val="auto"/>
                <w:sz w:val="22"/>
                <w:szCs w:val="22"/>
                <w:highlight w:val="none"/>
              </w:rPr>
              <w:t>4</w:t>
            </w:r>
            <w:r>
              <w:rPr>
                <w:rFonts w:hint="eastAsia" w:hAnsi="宋体"/>
                <w:color w:val="auto"/>
                <w:sz w:val="22"/>
                <w:szCs w:val="22"/>
                <w:highlight w:val="none"/>
              </w:rPr>
              <w:t>分；</w:t>
            </w:r>
          </w:p>
          <w:p>
            <w:pPr>
              <w:widowControl/>
              <w:spacing w:line="360" w:lineRule="exact"/>
              <w:rPr>
                <w:rFonts w:hAnsi="宋体"/>
                <w:color w:val="auto"/>
                <w:sz w:val="22"/>
                <w:szCs w:val="22"/>
                <w:highlight w:val="none"/>
              </w:rPr>
            </w:pPr>
            <w:r>
              <w:rPr>
                <w:rFonts w:hint="eastAsia" w:hAnsi="宋体"/>
                <w:color w:val="auto"/>
                <w:sz w:val="22"/>
                <w:szCs w:val="22"/>
                <w:highlight w:val="none"/>
              </w:rPr>
              <w:t>中：设计内容简单，创意一般，部分符合项目的实际情况得</w:t>
            </w:r>
            <w:r>
              <w:rPr>
                <w:rFonts w:hAnsi="宋体"/>
                <w:color w:val="auto"/>
                <w:sz w:val="22"/>
                <w:szCs w:val="22"/>
                <w:highlight w:val="none"/>
              </w:rPr>
              <w:t>2</w:t>
            </w:r>
            <w:r>
              <w:rPr>
                <w:rFonts w:hint="eastAsia" w:hAnsi="宋体"/>
                <w:color w:val="auto"/>
                <w:sz w:val="22"/>
                <w:szCs w:val="22"/>
                <w:highlight w:val="none"/>
              </w:rPr>
              <w:t>分；</w:t>
            </w:r>
          </w:p>
          <w:p>
            <w:pPr>
              <w:widowControl/>
              <w:spacing w:line="360" w:lineRule="exact"/>
              <w:rPr>
                <w:rFonts w:hAnsi="宋体"/>
                <w:color w:val="auto"/>
                <w:sz w:val="22"/>
                <w:szCs w:val="22"/>
                <w:highlight w:val="none"/>
              </w:rPr>
            </w:pPr>
            <w:r>
              <w:rPr>
                <w:rFonts w:hint="eastAsia" w:hAnsi="宋体"/>
                <w:color w:val="auto"/>
                <w:sz w:val="22"/>
                <w:szCs w:val="22"/>
                <w:highlight w:val="none"/>
              </w:rPr>
              <w:t>差：设计无新意，与项目的实际情况有偏差，得1分。</w:t>
            </w:r>
          </w:p>
          <w:p>
            <w:pPr>
              <w:pStyle w:val="75"/>
              <w:spacing w:line="360" w:lineRule="exact"/>
              <w:ind w:firstLine="0" w:firstLineChars="0"/>
              <w:rPr>
                <w:rFonts w:ascii="宋体" w:eastAsia="宋体"/>
                <w:color w:val="auto"/>
                <w:sz w:val="22"/>
                <w:szCs w:val="22"/>
                <w:highlight w:val="none"/>
              </w:rPr>
            </w:pPr>
            <w:r>
              <w:rPr>
                <w:rFonts w:hint="eastAsia" w:ascii="宋体" w:eastAsia="宋体"/>
                <w:color w:val="auto"/>
                <w:sz w:val="22"/>
                <w:szCs w:val="22"/>
                <w:highlight w:val="none"/>
              </w:rPr>
              <w:t>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75"/>
              <w:spacing w:line="360" w:lineRule="exact"/>
              <w:ind w:firstLine="0" w:firstLineChars="0"/>
              <w:jc w:val="center"/>
              <w:rPr>
                <w:rFonts w:ascii="宋体" w:eastAsia="宋体"/>
                <w:color w:val="auto"/>
                <w:sz w:val="22"/>
                <w:szCs w:val="22"/>
                <w:highlight w:val="none"/>
              </w:rPr>
            </w:pPr>
            <w:r>
              <w:rPr>
                <w:rFonts w:hint="eastAsia" w:ascii="宋体" w:eastAsia="宋体"/>
                <w:color w:val="auto"/>
                <w:sz w:val="22"/>
                <w:szCs w:val="22"/>
                <w:highlight w:val="none"/>
              </w:rPr>
              <w:t>5</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Ansi="宋体"/>
                <w:color w:val="auto"/>
                <w:sz w:val="22"/>
                <w:szCs w:val="22"/>
                <w:highlight w:val="none"/>
              </w:rPr>
            </w:pPr>
            <w:r>
              <w:rPr>
                <w:rFonts w:hint="eastAsia" w:hAnsi="宋体"/>
                <w:color w:val="auto"/>
                <w:sz w:val="22"/>
                <w:szCs w:val="22"/>
                <w:highlight w:val="none"/>
              </w:rPr>
              <w:t>设计特质</w:t>
            </w:r>
          </w:p>
        </w:tc>
        <w:tc>
          <w:tcPr>
            <w:tcW w:w="850" w:type="dxa"/>
            <w:tcBorders>
              <w:top w:val="single" w:color="auto" w:sz="4" w:space="0"/>
              <w:left w:val="single" w:color="auto" w:sz="4" w:space="0"/>
              <w:bottom w:val="single" w:color="auto" w:sz="4" w:space="0"/>
              <w:right w:val="single" w:color="auto" w:sz="4" w:space="0"/>
            </w:tcBorders>
            <w:vAlign w:val="center"/>
          </w:tcPr>
          <w:p>
            <w:pPr>
              <w:pStyle w:val="75"/>
              <w:spacing w:line="360" w:lineRule="exact"/>
              <w:ind w:firstLine="0" w:firstLineChars="0"/>
              <w:jc w:val="center"/>
              <w:rPr>
                <w:rFonts w:ascii="宋体" w:eastAsia="宋体"/>
                <w:color w:val="auto"/>
                <w:sz w:val="22"/>
                <w:szCs w:val="22"/>
                <w:highlight w:val="none"/>
              </w:rPr>
            </w:pPr>
            <w:r>
              <w:rPr>
                <w:rFonts w:ascii="宋体" w:eastAsia="宋体"/>
                <w:color w:val="auto"/>
                <w:kern w:val="0"/>
                <w:sz w:val="22"/>
                <w:szCs w:val="22"/>
                <w:highlight w:val="none"/>
              </w:rPr>
              <w:t>5</w:t>
            </w:r>
            <w:r>
              <w:rPr>
                <w:rFonts w:hint="eastAsia" w:ascii="宋体" w:eastAsia="宋体"/>
                <w:color w:val="auto"/>
                <w:kern w:val="0"/>
                <w:sz w:val="22"/>
                <w:szCs w:val="22"/>
                <w:highlight w:val="none"/>
              </w:rPr>
              <w:t>分</w:t>
            </w:r>
          </w:p>
        </w:tc>
        <w:tc>
          <w:tcPr>
            <w:tcW w:w="623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Ansi="宋体"/>
                <w:color w:val="auto"/>
                <w:sz w:val="22"/>
                <w:szCs w:val="22"/>
                <w:highlight w:val="none"/>
              </w:rPr>
            </w:pPr>
            <w:r>
              <w:rPr>
                <w:rFonts w:hint="eastAsia" w:hAnsi="宋体"/>
                <w:color w:val="auto"/>
                <w:sz w:val="22"/>
                <w:szCs w:val="22"/>
                <w:highlight w:val="none"/>
              </w:rPr>
              <w:t>根据投标文件中提供的设计特质进行评分：</w:t>
            </w:r>
          </w:p>
          <w:p>
            <w:pPr>
              <w:widowControl/>
              <w:spacing w:line="360" w:lineRule="exact"/>
              <w:rPr>
                <w:rFonts w:hAnsi="宋体"/>
                <w:color w:val="auto"/>
                <w:sz w:val="22"/>
                <w:szCs w:val="22"/>
                <w:highlight w:val="none"/>
              </w:rPr>
            </w:pPr>
            <w:r>
              <w:rPr>
                <w:rFonts w:hint="eastAsia" w:hAnsi="宋体"/>
                <w:color w:val="auto"/>
                <w:sz w:val="22"/>
                <w:szCs w:val="22"/>
                <w:highlight w:val="none"/>
              </w:rPr>
              <w:t>优：设计特质鲜明，有明确的吸引点，得</w:t>
            </w:r>
            <w:r>
              <w:rPr>
                <w:rFonts w:hAnsi="宋体"/>
                <w:color w:val="auto"/>
                <w:sz w:val="22"/>
                <w:szCs w:val="22"/>
                <w:highlight w:val="none"/>
              </w:rPr>
              <w:t>5</w:t>
            </w:r>
            <w:r>
              <w:rPr>
                <w:rFonts w:hint="eastAsia" w:hAnsi="宋体"/>
                <w:color w:val="auto"/>
                <w:sz w:val="22"/>
                <w:szCs w:val="22"/>
                <w:highlight w:val="none"/>
              </w:rPr>
              <w:t>分；</w:t>
            </w:r>
          </w:p>
          <w:p>
            <w:pPr>
              <w:widowControl/>
              <w:spacing w:line="360" w:lineRule="exact"/>
              <w:rPr>
                <w:rFonts w:hAnsi="宋体"/>
                <w:color w:val="auto"/>
                <w:sz w:val="22"/>
                <w:szCs w:val="22"/>
                <w:highlight w:val="none"/>
              </w:rPr>
            </w:pPr>
            <w:r>
              <w:rPr>
                <w:rFonts w:hint="eastAsia" w:hAnsi="宋体"/>
                <w:color w:val="auto"/>
                <w:sz w:val="22"/>
                <w:szCs w:val="22"/>
                <w:highlight w:val="none"/>
              </w:rPr>
              <w:t>良：设计特质比较鲜明，有比较明确的吸引点，得</w:t>
            </w:r>
            <w:r>
              <w:rPr>
                <w:rFonts w:hAnsi="宋体"/>
                <w:color w:val="auto"/>
                <w:sz w:val="22"/>
                <w:szCs w:val="22"/>
                <w:highlight w:val="none"/>
              </w:rPr>
              <w:t>4</w:t>
            </w:r>
            <w:r>
              <w:rPr>
                <w:rFonts w:hint="eastAsia" w:hAnsi="宋体"/>
                <w:color w:val="auto"/>
                <w:sz w:val="22"/>
                <w:szCs w:val="22"/>
                <w:highlight w:val="none"/>
              </w:rPr>
              <w:t>分；</w:t>
            </w:r>
          </w:p>
          <w:p>
            <w:pPr>
              <w:widowControl/>
              <w:spacing w:line="360" w:lineRule="exact"/>
              <w:rPr>
                <w:rFonts w:hAnsi="宋体"/>
                <w:color w:val="auto"/>
                <w:sz w:val="22"/>
                <w:szCs w:val="22"/>
                <w:highlight w:val="none"/>
              </w:rPr>
            </w:pPr>
            <w:r>
              <w:rPr>
                <w:rFonts w:hint="eastAsia" w:hAnsi="宋体"/>
                <w:color w:val="auto"/>
                <w:sz w:val="22"/>
                <w:szCs w:val="22"/>
                <w:highlight w:val="none"/>
              </w:rPr>
              <w:t>中：设计一般，吸引点较少，得</w:t>
            </w:r>
            <w:r>
              <w:rPr>
                <w:rFonts w:hAnsi="宋体"/>
                <w:color w:val="auto"/>
                <w:sz w:val="22"/>
                <w:szCs w:val="22"/>
                <w:highlight w:val="none"/>
              </w:rPr>
              <w:t>2</w:t>
            </w:r>
            <w:r>
              <w:rPr>
                <w:rFonts w:hint="eastAsia" w:hAnsi="宋体"/>
                <w:color w:val="auto"/>
                <w:sz w:val="22"/>
                <w:szCs w:val="22"/>
                <w:highlight w:val="none"/>
              </w:rPr>
              <w:t>分；</w:t>
            </w:r>
          </w:p>
          <w:p>
            <w:pPr>
              <w:widowControl/>
              <w:spacing w:line="360" w:lineRule="exact"/>
              <w:rPr>
                <w:rFonts w:hAnsi="宋体"/>
                <w:color w:val="auto"/>
                <w:sz w:val="22"/>
                <w:szCs w:val="22"/>
                <w:highlight w:val="none"/>
              </w:rPr>
            </w:pPr>
            <w:r>
              <w:rPr>
                <w:rFonts w:hint="eastAsia" w:hAnsi="宋体"/>
                <w:color w:val="auto"/>
                <w:sz w:val="22"/>
                <w:szCs w:val="22"/>
                <w:highlight w:val="none"/>
              </w:rPr>
              <w:t>差：设计无吸引点，得1分。</w:t>
            </w:r>
          </w:p>
          <w:p>
            <w:pPr>
              <w:pStyle w:val="75"/>
              <w:spacing w:line="360" w:lineRule="exact"/>
              <w:ind w:firstLine="0" w:firstLineChars="0"/>
              <w:rPr>
                <w:rFonts w:ascii="宋体" w:eastAsia="宋体"/>
                <w:color w:val="auto"/>
                <w:sz w:val="22"/>
                <w:szCs w:val="22"/>
                <w:highlight w:val="none"/>
              </w:rPr>
            </w:pPr>
            <w:r>
              <w:rPr>
                <w:rFonts w:hint="eastAsia" w:ascii="宋体" w:eastAsia="宋体"/>
                <w:color w:val="auto"/>
                <w:sz w:val="22"/>
                <w:szCs w:val="22"/>
                <w:highlight w:val="none"/>
              </w:rPr>
              <w:t>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75"/>
              <w:spacing w:line="360" w:lineRule="exact"/>
              <w:ind w:firstLine="0" w:firstLineChars="0"/>
              <w:jc w:val="center"/>
              <w:rPr>
                <w:rFonts w:ascii="宋体" w:eastAsia="宋体"/>
                <w:color w:val="auto"/>
                <w:sz w:val="22"/>
                <w:szCs w:val="22"/>
                <w:highlight w:val="none"/>
              </w:rPr>
            </w:pPr>
            <w:r>
              <w:rPr>
                <w:rFonts w:hint="eastAsia" w:ascii="宋体" w:eastAsia="宋体"/>
                <w:color w:val="auto"/>
                <w:sz w:val="22"/>
                <w:szCs w:val="22"/>
                <w:highlight w:val="none"/>
              </w:rPr>
              <w:t>6</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Ansi="宋体"/>
                <w:color w:val="auto"/>
                <w:sz w:val="22"/>
                <w:szCs w:val="22"/>
                <w:highlight w:val="none"/>
              </w:rPr>
            </w:pPr>
            <w:r>
              <w:rPr>
                <w:rFonts w:hint="eastAsia" w:hAnsi="宋体"/>
                <w:color w:val="auto"/>
                <w:sz w:val="22"/>
                <w:szCs w:val="22"/>
                <w:highlight w:val="none"/>
              </w:rPr>
              <w:t>项目实施节点设计</w:t>
            </w:r>
          </w:p>
        </w:tc>
        <w:tc>
          <w:tcPr>
            <w:tcW w:w="850" w:type="dxa"/>
            <w:tcBorders>
              <w:top w:val="single" w:color="auto" w:sz="4" w:space="0"/>
              <w:left w:val="single" w:color="auto" w:sz="4" w:space="0"/>
              <w:bottom w:val="single" w:color="auto" w:sz="4" w:space="0"/>
              <w:right w:val="single" w:color="auto" w:sz="4" w:space="0"/>
            </w:tcBorders>
            <w:vAlign w:val="center"/>
          </w:tcPr>
          <w:p>
            <w:pPr>
              <w:pStyle w:val="75"/>
              <w:spacing w:line="360" w:lineRule="exact"/>
              <w:ind w:firstLine="0" w:firstLineChars="0"/>
              <w:jc w:val="center"/>
              <w:rPr>
                <w:rFonts w:ascii="宋体" w:eastAsia="宋体"/>
                <w:color w:val="auto"/>
                <w:sz w:val="22"/>
                <w:szCs w:val="22"/>
                <w:highlight w:val="none"/>
              </w:rPr>
            </w:pPr>
            <w:r>
              <w:rPr>
                <w:rFonts w:ascii="宋体" w:eastAsia="宋体"/>
                <w:color w:val="auto"/>
                <w:kern w:val="0"/>
                <w:sz w:val="22"/>
                <w:szCs w:val="22"/>
                <w:highlight w:val="none"/>
              </w:rPr>
              <w:t>5</w:t>
            </w:r>
            <w:r>
              <w:rPr>
                <w:rFonts w:hint="eastAsia" w:ascii="宋体" w:eastAsia="宋体"/>
                <w:color w:val="auto"/>
                <w:kern w:val="0"/>
                <w:sz w:val="22"/>
                <w:szCs w:val="22"/>
                <w:highlight w:val="none"/>
              </w:rPr>
              <w:t>分</w:t>
            </w:r>
          </w:p>
        </w:tc>
        <w:tc>
          <w:tcPr>
            <w:tcW w:w="623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Ansi="宋体"/>
                <w:color w:val="auto"/>
                <w:sz w:val="22"/>
                <w:szCs w:val="22"/>
                <w:highlight w:val="none"/>
              </w:rPr>
            </w:pPr>
            <w:r>
              <w:rPr>
                <w:rFonts w:hint="eastAsia" w:hAnsi="宋体"/>
                <w:color w:val="auto"/>
                <w:sz w:val="22"/>
                <w:szCs w:val="22"/>
                <w:highlight w:val="none"/>
              </w:rPr>
              <w:t>根据投标人提供节点设计进行评分：</w:t>
            </w:r>
          </w:p>
          <w:p>
            <w:pPr>
              <w:widowControl/>
              <w:spacing w:line="360" w:lineRule="exact"/>
              <w:rPr>
                <w:rFonts w:hAnsi="宋体"/>
                <w:color w:val="auto"/>
                <w:sz w:val="22"/>
                <w:szCs w:val="22"/>
                <w:highlight w:val="none"/>
              </w:rPr>
            </w:pPr>
            <w:r>
              <w:rPr>
                <w:rFonts w:hint="eastAsia" w:hAnsi="宋体"/>
                <w:color w:val="auto"/>
                <w:sz w:val="22"/>
                <w:szCs w:val="22"/>
                <w:highlight w:val="none"/>
              </w:rPr>
              <w:t>优：各节点设计合理且针对性强、落地性强，得</w:t>
            </w:r>
            <w:r>
              <w:rPr>
                <w:rFonts w:hAnsi="宋体"/>
                <w:color w:val="auto"/>
                <w:sz w:val="22"/>
                <w:szCs w:val="22"/>
                <w:highlight w:val="none"/>
              </w:rPr>
              <w:t>5</w:t>
            </w:r>
            <w:r>
              <w:rPr>
                <w:rFonts w:hint="eastAsia" w:hAnsi="宋体"/>
                <w:color w:val="auto"/>
                <w:sz w:val="22"/>
                <w:szCs w:val="22"/>
                <w:highlight w:val="none"/>
              </w:rPr>
              <w:t>分；</w:t>
            </w:r>
          </w:p>
          <w:p>
            <w:pPr>
              <w:widowControl/>
              <w:spacing w:line="360" w:lineRule="exact"/>
              <w:rPr>
                <w:rFonts w:hAnsi="宋体"/>
                <w:color w:val="auto"/>
                <w:sz w:val="22"/>
                <w:szCs w:val="22"/>
                <w:highlight w:val="none"/>
              </w:rPr>
            </w:pPr>
            <w:r>
              <w:rPr>
                <w:rFonts w:hint="eastAsia" w:hAnsi="宋体"/>
                <w:color w:val="auto"/>
                <w:sz w:val="22"/>
                <w:szCs w:val="22"/>
                <w:highlight w:val="none"/>
              </w:rPr>
              <w:t>良：各节点设计比较合理且针对性、落地性比较强，得</w:t>
            </w:r>
            <w:r>
              <w:rPr>
                <w:rFonts w:hAnsi="宋体"/>
                <w:color w:val="auto"/>
                <w:sz w:val="22"/>
                <w:szCs w:val="22"/>
                <w:highlight w:val="none"/>
              </w:rPr>
              <w:t>4</w:t>
            </w:r>
            <w:r>
              <w:rPr>
                <w:rFonts w:hint="eastAsia" w:hAnsi="宋体"/>
                <w:color w:val="auto"/>
                <w:sz w:val="22"/>
                <w:szCs w:val="22"/>
                <w:highlight w:val="none"/>
              </w:rPr>
              <w:t>分；</w:t>
            </w:r>
          </w:p>
          <w:p>
            <w:pPr>
              <w:widowControl/>
              <w:spacing w:line="360" w:lineRule="exact"/>
              <w:rPr>
                <w:rFonts w:hAnsi="宋体"/>
                <w:color w:val="auto"/>
                <w:sz w:val="22"/>
                <w:szCs w:val="22"/>
                <w:highlight w:val="none"/>
              </w:rPr>
            </w:pPr>
            <w:r>
              <w:rPr>
                <w:rFonts w:hint="eastAsia" w:hAnsi="宋体"/>
                <w:color w:val="auto"/>
                <w:sz w:val="22"/>
                <w:szCs w:val="22"/>
                <w:highlight w:val="none"/>
              </w:rPr>
              <w:t>中：各节点设计基本合理，落地性部分可行，得</w:t>
            </w:r>
            <w:r>
              <w:rPr>
                <w:rFonts w:hAnsi="宋体"/>
                <w:color w:val="auto"/>
                <w:sz w:val="22"/>
                <w:szCs w:val="22"/>
                <w:highlight w:val="none"/>
              </w:rPr>
              <w:t>2</w:t>
            </w:r>
            <w:r>
              <w:rPr>
                <w:rFonts w:hint="eastAsia" w:hAnsi="宋体"/>
                <w:color w:val="auto"/>
                <w:sz w:val="22"/>
                <w:szCs w:val="22"/>
                <w:highlight w:val="none"/>
              </w:rPr>
              <w:t>分；</w:t>
            </w:r>
          </w:p>
          <w:p>
            <w:pPr>
              <w:widowControl/>
              <w:spacing w:line="360" w:lineRule="exact"/>
              <w:rPr>
                <w:rFonts w:hAnsi="宋体"/>
                <w:color w:val="auto"/>
                <w:sz w:val="22"/>
                <w:szCs w:val="22"/>
                <w:highlight w:val="none"/>
              </w:rPr>
            </w:pPr>
            <w:r>
              <w:rPr>
                <w:rFonts w:hint="eastAsia" w:hAnsi="宋体"/>
                <w:color w:val="auto"/>
                <w:sz w:val="22"/>
                <w:szCs w:val="22"/>
                <w:highlight w:val="none"/>
              </w:rPr>
              <w:t>差：各节点设计不合理，落地性较差，得1分。</w:t>
            </w:r>
          </w:p>
          <w:p>
            <w:pPr>
              <w:pStyle w:val="75"/>
              <w:spacing w:line="360" w:lineRule="exact"/>
              <w:ind w:firstLine="0" w:firstLineChars="0"/>
              <w:rPr>
                <w:rFonts w:ascii="宋体" w:eastAsia="宋体"/>
                <w:color w:val="auto"/>
                <w:sz w:val="22"/>
                <w:szCs w:val="22"/>
                <w:highlight w:val="none"/>
              </w:rPr>
            </w:pPr>
            <w:r>
              <w:rPr>
                <w:rFonts w:hint="eastAsia" w:ascii="宋体" w:eastAsia="宋体"/>
                <w:color w:val="auto"/>
                <w:sz w:val="22"/>
                <w:szCs w:val="22"/>
                <w:highlight w:val="none"/>
              </w:rPr>
              <w:t>未提供对应方案不得分。</w:t>
            </w:r>
          </w:p>
        </w:tc>
      </w:tr>
      <w:bookmarkEnd w:id="269"/>
    </w:tbl>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注：</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（1）上证明文件均提供加盖公章复印件。</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line="360" w:lineRule="auto"/>
        <w:rPr>
          <w:rFonts w:hAnsi="宋体"/>
          <w:bCs/>
          <w:color w:val="auto"/>
          <w:sz w:val="21"/>
          <w:szCs w:val="21"/>
          <w:highlight w:val="none"/>
        </w:rPr>
      </w:pPr>
      <w:r>
        <w:rPr>
          <w:rFonts w:hint="eastAsia" w:hAnsi="宋体"/>
          <w:bCs/>
          <w:color w:val="auto"/>
          <w:sz w:val="21"/>
          <w:szCs w:val="21"/>
          <w:highlight w:val="none"/>
        </w:rPr>
        <w:t>（3）若成交将在发放成交通知书前逐一核对核查原件，请勿提供虚假、过期材料，否则将依据相关规定严肃处理。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四、技术评审</w:t>
      </w:r>
    </w:p>
    <w:p>
      <w:pPr>
        <w:spacing w:line="360" w:lineRule="auto"/>
        <w:ind w:firstLine="420" w:firstLineChars="200"/>
        <w:rPr>
          <w:rFonts w:hAnsi="宋体"/>
          <w:bCs/>
          <w:color w:val="auto"/>
          <w:sz w:val="21"/>
          <w:szCs w:val="21"/>
          <w:highlight w:val="none"/>
        </w:rPr>
      </w:pPr>
      <w:r>
        <w:rPr>
          <w:rFonts w:hint="eastAsia" w:hAnsi="宋体"/>
          <w:color w:val="auto"/>
          <w:sz w:val="21"/>
          <w:szCs w:val="21"/>
          <w:highlight w:val="none"/>
        </w:rPr>
        <w:t>1.由磋商小组对所有响应文件的技术部分响应和指标进行审核和分析；对响应文件中文字、图纸说明和指标响应进行评分，填写《技术评分表》。</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2.将每一个磋商小组成员的评分汇总，取其算术平均值，为该供应商的技术评定得分。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五、商务评审</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1.由磋商小组评价每个供应商的商务条件，填写《商务评分表》。</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2.将每一个磋商小组成员的评分汇总，取其算术平均值，为该供应商的商务得分。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六、报价评审</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1.价格核准：磋商小组对有效详细报价进行复核，审查是否有计算上的错误。对错误修正的原则如下：</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1.1响应文件的大写金额和小写金额不一致的，以大写金额为准；</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1.2当单价和数量的乘积与总价不一致时，以单价为准，并修正总价，但单价金额小数点有明显错误的除外；</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1.3当分项之和与总价不一致时，以单价为准，并修正总价。</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2.价格评分：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8"/>
        <w:tabs>
          <w:tab w:val="left" w:pos="1365"/>
        </w:tabs>
        <w:spacing w:line="360" w:lineRule="auto"/>
        <w:ind w:left="16" w:firstLine="422" w:firstLineChars="200"/>
        <w:rPr>
          <w:rFonts w:hAnsi="宋体"/>
          <w:b/>
          <w:color w:val="auto"/>
          <w:szCs w:val="21"/>
          <w:highlight w:val="none"/>
        </w:rPr>
      </w:pPr>
    </w:p>
    <w:p>
      <w:pPr>
        <w:pStyle w:val="28"/>
        <w:tabs>
          <w:tab w:val="left" w:pos="1365"/>
        </w:tabs>
        <w:spacing w:line="360" w:lineRule="auto"/>
        <w:ind w:left="16" w:firstLine="422" w:firstLineChars="200"/>
        <w:rPr>
          <w:rFonts w:hAnsi="宋体"/>
          <w:b/>
          <w:color w:val="auto"/>
          <w:szCs w:val="21"/>
          <w:highlight w:val="none"/>
        </w:rPr>
      </w:pPr>
      <w:r>
        <w:rPr>
          <w:rFonts w:hint="eastAsia" w:hAnsi="宋体"/>
          <w:b/>
          <w:color w:val="auto"/>
          <w:szCs w:val="21"/>
          <w:highlight w:val="none"/>
        </w:rPr>
        <w:t>七、综合得分的计算</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1.综合得分=技术评审得分+商务评审得分+磋商报价得分。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rPr>
          <w:color w:val="auto"/>
          <w:highlight w:val="none"/>
          <w:lang w:val="zh-CN"/>
        </w:rPr>
      </w:pPr>
    </w:p>
    <w:p>
      <w:pPr>
        <w:pStyle w:val="3"/>
        <w:keepNext/>
        <w:keepLines/>
        <w:pageBreakBefore/>
        <w:numPr>
          <w:ilvl w:val="0"/>
          <w:numId w:val="16"/>
        </w:numPr>
        <w:spacing w:line="360" w:lineRule="auto"/>
        <w:jc w:val="center"/>
        <w:rPr>
          <w:rFonts w:hAnsi="宋体"/>
          <w:b/>
          <w:bCs/>
          <w:color w:val="auto"/>
          <w:highlight w:val="none"/>
        </w:rPr>
      </w:pPr>
      <w:bookmarkStart w:id="162" w:name="_Toc15636"/>
      <w:r>
        <w:rPr>
          <w:rFonts w:hint="eastAsia" w:hAnsi="宋体"/>
          <w:b/>
          <w:bCs/>
          <w:color w:val="auto"/>
          <w:kern w:val="44"/>
          <w:sz w:val="28"/>
          <w:szCs w:val="28"/>
          <w:highlight w:val="none"/>
          <w:lang w:val="zh-CN"/>
        </w:rPr>
        <w:t>合同条款格式</w:t>
      </w:r>
      <w:bookmarkEnd w:id="162"/>
    </w:p>
    <w:p>
      <w:pPr>
        <w:rPr>
          <w:rFonts w:hint="eastAsia" w:hAnsi="宋体"/>
          <w:b/>
          <w:color w:val="auto"/>
          <w:spacing w:val="60"/>
          <w:sz w:val="40"/>
          <w:highlight w:val="none"/>
        </w:rPr>
      </w:pPr>
    </w:p>
    <w:p>
      <w:pPr>
        <w:jc w:val="center"/>
        <w:rPr>
          <w:rFonts w:hint="eastAsia" w:hAnsi="宋体"/>
          <w:b/>
          <w:color w:val="auto"/>
          <w:spacing w:val="60"/>
          <w:sz w:val="52"/>
          <w:szCs w:val="20"/>
          <w:highlight w:val="none"/>
        </w:rPr>
      </w:pPr>
      <w:r>
        <w:rPr>
          <w:rFonts w:hint="eastAsia" w:hAnsi="宋体"/>
          <w:b/>
          <w:color w:val="auto"/>
          <w:spacing w:val="60"/>
          <w:sz w:val="52"/>
          <w:highlight w:val="none"/>
        </w:rPr>
        <w:t>建设工程设计合同（一）</w:t>
      </w:r>
    </w:p>
    <w:p>
      <w:pPr>
        <w:jc w:val="center"/>
        <w:rPr>
          <w:rFonts w:hint="eastAsia" w:hAnsi="宋体"/>
          <w:color w:val="auto"/>
          <w:sz w:val="32"/>
          <w:szCs w:val="20"/>
          <w:highlight w:val="none"/>
        </w:rPr>
      </w:pPr>
    </w:p>
    <w:p>
      <w:pPr>
        <w:rPr>
          <w:rFonts w:hint="eastAsia" w:hAnsi="宋体"/>
          <w:color w:val="auto"/>
          <w:sz w:val="32"/>
          <w:szCs w:val="20"/>
          <w:highlight w:val="none"/>
        </w:rPr>
      </w:pPr>
    </w:p>
    <w:p>
      <w:pPr>
        <w:tabs>
          <w:tab w:val="left" w:pos="7740"/>
        </w:tabs>
        <w:spacing w:line="720" w:lineRule="auto"/>
        <w:ind w:left="1797" w:leftChars="258" w:hanging="1178" w:hangingChars="491"/>
        <w:rPr>
          <w:rFonts w:hint="eastAsia" w:hAnsi="宋体"/>
          <w:color w:val="auto"/>
          <w:sz w:val="30"/>
          <w:szCs w:val="20"/>
          <w:highlight w:val="none"/>
        </w:rPr>
      </w:pPr>
      <w:r>
        <w:rPr>
          <w:rFonts w:hint="eastAsia" w:hAnsi="宋体"/>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1143000</wp:posOffset>
                </wp:positionH>
                <wp:positionV relativeFrom="paragraph">
                  <wp:posOffset>396240</wp:posOffset>
                </wp:positionV>
                <wp:extent cx="4000500" cy="0"/>
                <wp:effectExtent l="13335" t="12700" r="5715" b="6350"/>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0pt;margin-top:31.2pt;height:0pt;width:315pt;z-index:251669504;mso-width-relative:page;mso-height-relative:page;" filled="f" stroked="t" coordsize="21600,21600" o:gfxdata="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eEA5zVAAAACQEA&#10;AA8AAAAAAAAAAQAgAAAAIgAAAGRycy9kb3ducmV2LnhtbFBLAQIUABQAAAAIAIdO4kCQhGbv5AEA&#10;AKwDAAAOAAAAAAAAAAEAIAAAACQBAABkcnMvZTJvRG9jLnhtbFBLBQYAAAAABgAGAFkBAAB6BQAA&#10;AAA=&#10;">
                <v:fill on="f" focussize="0,0"/>
                <v:stroke color="#000000" joinstyle="round"/>
                <v:imagedata o:title=""/>
                <o:lock v:ext="edit" aspectratio="f"/>
              </v:line>
            </w:pict>
          </mc:Fallback>
        </mc:AlternateContent>
      </w:r>
      <w:r>
        <w:rPr>
          <w:rFonts w:hint="eastAsia" w:hAnsi="宋体"/>
          <w:color w:val="auto"/>
          <w:sz w:val="30"/>
          <w:highlight w:val="none"/>
        </w:rPr>
        <w:t xml:space="preserve">工程名称：      </w:t>
      </w:r>
    </w:p>
    <w:p>
      <w:pPr>
        <w:spacing w:line="720" w:lineRule="auto"/>
        <w:ind w:left="1797" w:leftChars="258" w:hanging="1178" w:hangingChars="491"/>
        <w:rPr>
          <w:rFonts w:hint="eastAsia" w:hAnsi="宋体"/>
          <w:color w:val="auto"/>
          <w:sz w:val="30"/>
          <w:szCs w:val="20"/>
          <w:highlight w:val="none"/>
        </w:rPr>
      </w:pPr>
      <w:r>
        <w:rPr>
          <w:rFonts w:hint="eastAsia" w:hAnsi="宋体"/>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1143000</wp:posOffset>
                </wp:positionH>
                <wp:positionV relativeFrom="paragraph">
                  <wp:posOffset>396240</wp:posOffset>
                </wp:positionV>
                <wp:extent cx="4000500" cy="0"/>
                <wp:effectExtent l="13335" t="6985" r="5715" b="12065"/>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0pt;margin-top:31.2pt;height:0pt;width:315pt;z-index:251670528;mso-width-relative:page;mso-height-relative:page;" filled="f" stroked="t" coordsize="21600,21600" o:gfxdata="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eEA5zVAAAACQEA&#10;AA8AAAAAAAAAAQAgAAAAIgAAAGRycy9kb3ducmV2LnhtbFBLAQIUABQAAAAIAIdO4kCi0aC15AEA&#10;AKwDAAAOAAAAAAAAAAEAIAAAACQBAABkcnMvZTJvRG9jLnhtbFBLBQYAAAAABgAGAFkBAAB6BQAA&#10;AAA=&#10;">
                <v:fill on="f" focussize="0,0"/>
                <v:stroke color="#000000" joinstyle="round"/>
                <v:imagedata o:title=""/>
                <o:lock v:ext="edit" aspectratio="f"/>
              </v:line>
            </w:pict>
          </mc:Fallback>
        </mc:AlternateContent>
      </w:r>
      <w:r>
        <w:rPr>
          <w:rFonts w:hint="eastAsia" w:hAnsi="宋体"/>
          <w:color w:val="auto"/>
          <w:sz w:val="30"/>
          <w:highlight w:val="none"/>
        </w:rPr>
        <w:t>工程地点：</w:t>
      </w:r>
    </w:p>
    <w:p>
      <w:pPr>
        <w:spacing w:line="720" w:lineRule="auto"/>
        <w:ind w:left="1797" w:leftChars="258" w:hanging="1178" w:hangingChars="491"/>
        <w:rPr>
          <w:rFonts w:hint="eastAsia" w:hAnsi="宋体"/>
          <w:color w:val="auto"/>
          <w:sz w:val="30"/>
          <w:szCs w:val="20"/>
          <w:highlight w:val="none"/>
          <w:u w:val="single"/>
        </w:rPr>
      </w:pPr>
      <w:r>
        <w:rPr>
          <w:rFonts w:hint="eastAsia" w:hAnsi="宋体"/>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2057400</wp:posOffset>
                </wp:positionH>
                <wp:positionV relativeFrom="paragraph">
                  <wp:posOffset>396240</wp:posOffset>
                </wp:positionV>
                <wp:extent cx="3086100" cy="0"/>
                <wp:effectExtent l="13335" t="10795" r="5715" b="8255"/>
                <wp:wrapNone/>
                <wp:docPr id="17" name="直接连接符 17"/>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2pt;margin-top:31.2pt;height:0pt;width:243pt;z-index:251674624;mso-width-relative:page;mso-height-relative:page;" filled="f" stroked="t" coordsize="21600,21600" o:gfxdata="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t4HGtYAAAAJ&#10;AQAADwAAAAAAAAABACAAAAAiAAAAZHJzL2Rvd25yZXYueG1sUEsBAhQAFAAAAAgAh07iQAs2narl&#10;AQAArAMAAA4AAAAAAAAAAQAgAAAAJQEAAGRycy9lMm9Eb2MueG1sUEsFBgAAAAAGAAYAWQEAAHwF&#10;AAAAAA==&#10;">
                <v:fill on="f" focussize="0,0"/>
                <v:stroke color="#000000" joinstyle="round"/>
                <v:imagedata o:title=""/>
                <o:lock v:ext="edit" aspectratio="f"/>
              </v:line>
            </w:pict>
          </mc:Fallback>
        </mc:AlternateContent>
      </w:r>
      <w:r>
        <w:rPr>
          <w:rFonts w:hint="eastAsia" w:hAnsi="宋体"/>
          <w:color w:val="auto"/>
          <w:sz w:val="30"/>
          <w:highlight w:val="none"/>
        </w:rPr>
        <w:t>合同编号（发包人）：</w:t>
      </w:r>
    </w:p>
    <w:p>
      <w:pPr>
        <w:spacing w:line="720" w:lineRule="auto"/>
        <w:ind w:left="1797" w:leftChars="258" w:hanging="1178" w:hangingChars="491"/>
        <w:rPr>
          <w:rFonts w:hint="eastAsia" w:hAnsi="宋体"/>
          <w:color w:val="auto"/>
          <w:sz w:val="30"/>
          <w:szCs w:val="20"/>
          <w:highlight w:val="none"/>
          <w:u w:val="single"/>
        </w:rPr>
      </w:pPr>
      <w:r>
        <w:rPr>
          <w:rFonts w:hint="eastAsia" w:hAnsi="宋体"/>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2057400</wp:posOffset>
                </wp:positionH>
                <wp:positionV relativeFrom="paragraph">
                  <wp:posOffset>396240</wp:posOffset>
                </wp:positionV>
                <wp:extent cx="3086100" cy="0"/>
                <wp:effectExtent l="13335" t="5080" r="5715" b="13970"/>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2pt;margin-top:31.2pt;height:0pt;width:243pt;z-index:251675648;mso-width-relative:page;mso-height-relative:page;" filled="f" stroked="t" coordsize="21600,21600" o:gfxdata="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t4HGtYAAAAJ&#10;AQAADwAAAAAAAAABACAAAAAiAAAAZHJzL2Rvd25yZXYueG1sUEsBAhQAFAAAAAgAh07iQDljW/Dl&#10;AQAArAMAAA4AAAAAAAAAAQAgAAAAJQEAAGRycy9lMm9Eb2MueG1sUEsFBgAAAAAGAAYAWQEAAHwF&#10;AAAAAA==&#10;">
                <v:fill on="f" focussize="0,0"/>
                <v:stroke color="#000000" joinstyle="round"/>
                <v:imagedata o:title=""/>
                <o:lock v:ext="edit" aspectratio="f"/>
              </v:line>
            </w:pict>
          </mc:Fallback>
        </mc:AlternateContent>
      </w:r>
      <w:r>
        <w:rPr>
          <w:rFonts w:hint="eastAsia" w:hAnsi="宋体"/>
          <w:color w:val="auto"/>
          <w:sz w:val="30"/>
          <w:highlight w:val="none"/>
        </w:rPr>
        <w:t>合同编号（设计人）：</w:t>
      </w:r>
    </w:p>
    <w:p>
      <w:pPr>
        <w:spacing w:line="720" w:lineRule="auto"/>
        <w:ind w:left="1797" w:leftChars="258" w:hanging="1178" w:hangingChars="491"/>
        <w:rPr>
          <w:rFonts w:hint="eastAsia" w:hAnsi="宋体"/>
          <w:color w:val="auto"/>
          <w:sz w:val="30"/>
          <w:szCs w:val="20"/>
          <w:highlight w:val="none"/>
        </w:rPr>
      </w:pPr>
      <w:r>
        <w:rPr>
          <w:rFonts w:hint="eastAsia" w:hAnsi="宋体"/>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1485900</wp:posOffset>
                </wp:positionH>
                <wp:positionV relativeFrom="paragraph">
                  <wp:posOffset>457200</wp:posOffset>
                </wp:positionV>
                <wp:extent cx="3657600" cy="0"/>
                <wp:effectExtent l="13335" t="12700" r="5715" b="635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36pt;height:0pt;width:288pt;z-index:251671552;mso-width-relative:page;mso-height-relative:page;" filled="f" stroked="t" coordsize="21600,21600" o:gfxdata="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dZd3P1QAAAAkB&#10;AAAPAAAAAAAAAAEAIAAAACIAAABkcnMvZG93bnJldi54bWxQSwECFAAUAAAACACHTuJAmdHtb+UB&#10;AACsAwAADgAAAAAAAAABACAAAAAkAQAAZHJzL2Uyb0RvYy54bWxQSwUGAAAAAAYABgBZAQAAewUA&#10;AAAA&#10;">
                <v:fill on="f" focussize="0,0"/>
                <v:stroke color="#000000" joinstyle="round"/>
                <v:imagedata o:title=""/>
                <o:lock v:ext="edit" aspectratio="f"/>
              </v:line>
            </w:pict>
          </mc:Fallback>
        </mc:AlternateContent>
      </w:r>
      <w:r>
        <w:rPr>
          <w:rFonts w:hint="eastAsia" w:hAnsi="宋体"/>
          <w:color w:val="auto"/>
          <w:sz w:val="30"/>
          <w:highlight w:val="none"/>
        </w:rPr>
        <w:t xml:space="preserve">设计证书等级： </w:t>
      </w:r>
    </w:p>
    <w:p>
      <w:pPr>
        <w:spacing w:line="720" w:lineRule="auto"/>
        <w:ind w:left="1797" w:leftChars="258" w:hanging="1178" w:hangingChars="491"/>
        <w:rPr>
          <w:rFonts w:hint="eastAsia" w:hAnsi="宋体"/>
          <w:color w:val="auto"/>
          <w:sz w:val="30"/>
          <w:szCs w:val="20"/>
          <w:highlight w:val="none"/>
        </w:rPr>
      </w:pPr>
      <w:r>
        <w:rPr>
          <w:rFonts w:hint="eastAsia" w:hAnsi="宋体"/>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1685925</wp:posOffset>
                </wp:positionH>
                <wp:positionV relativeFrom="paragraph">
                  <wp:posOffset>396240</wp:posOffset>
                </wp:positionV>
                <wp:extent cx="3457575" cy="0"/>
                <wp:effectExtent l="13335" t="12700" r="5715" b="635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34575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2.75pt;margin-top:31.2pt;height:0pt;width:272.25pt;z-index:251672576;mso-width-relative:page;mso-height-relative:page;" filled="f" stroked="t" coordsize="21600,21600" o:gfxdata="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bEw3dtYAAAAJ&#10;AQAADwAAAAAAAAABACAAAAAiAAAAZHJzL2Rvd25yZXYueG1sUEsBAhQAFAAAAAgAh07iQGb+Xovl&#10;AQAArAMAAA4AAAAAAAAAAQAgAAAAJQEAAGRycy9lMm9Eb2MueG1sUEsFBgAAAAAGAAYAWQEAAHwF&#10;AAAAAA==&#10;">
                <v:fill on="f" focussize="0,0"/>
                <v:stroke color="#000000" joinstyle="round"/>
                <v:imagedata o:title=""/>
                <o:lock v:ext="edit" aspectratio="f"/>
              </v:line>
            </w:pict>
          </mc:Fallback>
        </mc:AlternateContent>
      </w:r>
      <w:r>
        <w:rPr>
          <w:rFonts w:hint="eastAsia" w:hAnsi="宋体"/>
          <w:color w:val="auto"/>
          <w:sz w:val="30"/>
          <w:highlight w:val="none"/>
        </w:rPr>
        <w:t>发包人（发包人</w:t>
      </w:r>
      <w:r>
        <w:rPr>
          <w:rFonts w:hAnsi="宋体"/>
          <w:color w:val="auto"/>
          <w:sz w:val="30"/>
          <w:highlight w:val="none"/>
        </w:rPr>
        <w:t>）</w:t>
      </w:r>
      <w:r>
        <w:rPr>
          <w:rFonts w:hint="eastAsia" w:hAnsi="宋体"/>
          <w:color w:val="auto"/>
          <w:sz w:val="30"/>
          <w:highlight w:val="none"/>
        </w:rPr>
        <w:t xml:space="preserve">： </w:t>
      </w:r>
    </w:p>
    <w:p>
      <w:pPr>
        <w:spacing w:line="720" w:lineRule="auto"/>
        <w:ind w:firstLine="540" w:firstLineChars="270"/>
        <w:rPr>
          <w:rFonts w:hint="eastAsia" w:hAnsi="宋体"/>
          <w:color w:val="auto"/>
          <w:sz w:val="30"/>
          <w:szCs w:val="20"/>
          <w:highlight w:val="none"/>
        </w:rPr>
      </w:pPr>
      <w:r>
        <w:rPr>
          <w:rFonts w:hint="eastAsia" w:hAnsi="宋体"/>
          <w:color w:val="auto"/>
          <w:sz w:val="20"/>
          <w:highlight w:val="none"/>
        </w:rPr>
        <mc:AlternateContent>
          <mc:Choice Requires="wps">
            <w:drawing>
              <wp:anchor distT="0" distB="0" distL="114300" distR="114300" simplePos="0" relativeHeight="251673600" behindDoc="0" locked="0" layoutInCell="1" allowOverlap="1">
                <wp:simplePos x="0" y="0"/>
                <wp:positionH relativeFrom="column">
                  <wp:posOffset>1752600</wp:posOffset>
                </wp:positionH>
                <wp:positionV relativeFrom="paragraph">
                  <wp:posOffset>495300</wp:posOffset>
                </wp:positionV>
                <wp:extent cx="3390900" cy="0"/>
                <wp:effectExtent l="13335" t="10795" r="5715" b="8255"/>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3390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8pt;margin-top:39pt;height:0pt;width:267pt;z-index:251673600;mso-width-relative:page;mso-height-relative:page;" filled="f" stroked="t" coordsize="21600,21600" o:gfxdata="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n71JtYAAAAJ&#10;AQAADwAAAAAAAAABACAAAAAiAAAAZHJzL2Rvd25yZXYueG1sUEsBAhQAFAAAAAgAh07iQIlAg9Pl&#10;AQAArAMAAA4AAAAAAAAAAQAgAAAAJQEAAGRycy9lMm9Eb2MueG1sUEsFBgAAAAAGAAYAWQEAAHwF&#10;AAAAAA==&#10;">
                <v:fill on="f" focussize="0,0"/>
                <v:stroke color="#000000" joinstyle="round"/>
                <v:imagedata o:title=""/>
                <o:lock v:ext="edit" aspectratio="f"/>
              </v:line>
            </w:pict>
          </mc:Fallback>
        </mc:AlternateContent>
      </w:r>
      <w:r>
        <w:rPr>
          <w:rFonts w:hint="eastAsia" w:hAnsi="宋体"/>
          <w:color w:val="auto"/>
          <w:sz w:val="30"/>
          <w:highlight w:val="none"/>
        </w:rPr>
        <w:t>设计人（乙</w:t>
      </w:r>
      <w:r>
        <w:rPr>
          <w:rFonts w:hAnsi="宋体"/>
          <w:color w:val="auto"/>
          <w:sz w:val="30"/>
          <w:highlight w:val="none"/>
        </w:rPr>
        <w:t>方</w:t>
      </w:r>
      <w:r>
        <w:rPr>
          <w:rFonts w:hint="eastAsia" w:hAnsi="宋体"/>
          <w:color w:val="auto"/>
          <w:sz w:val="30"/>
          <w:highlight w:val="none"/>
        </w:rPr>
        <w:t>）：</w:t>
      </w:r>
      <w:r>
        <w:rPr>
          <w:rFonts w:hint="eastAsia" w:hAnsi="宋体"/>
          <w:color w:val="auto"/>
          <w:spacing w:val="-4"/>
          <w:sz w:val="30"/>
          <w:highlight w:val="none"/>
        </w:rPr>
        <w:t xml:space="preserve"> </w:t>
      </w:r>
      <w:r>
        <w:rPr>
          <w:rFonts w:hint="eastAsia" w:hAnsi="宋体"/>
          <w:color w:val="auto"/>
          <w:sz w:val="30"/>
          <w:highlight w:val="none"/>
        </w:rPr>
        <w:t xml:space="preserve"> </w:t>
      </w:r>
    </w:p>
    <w:p>
      <w:pPr>
        <w:spacing w:line="420" w:lineRule="auto"/>
        <w:rPr>
          <w:rFonts w:hint="eastAsia" w:hAnsi="宋体"/>
          <w:color w:val="auto"/>
          <w:spacing w:val="110"/>
          <w:sz w:val="30"/>
          <w:highlight w:val="none"/>
        </w:rPr>
      </w:pPr>
      <w:r>
        <w:rPr>
          <w:rFonts w:hint="eastAsia" w:hAnsi="宋体"/>
          <w:color w:val="auto"/>
          <w:spacing w:val="110"/>
          <w:sz w:val="30"/>
          <w:highlight w:val="none"/>
        </w:rPr>
        <w:t xml:space="preserve">       </w:t>
      </w:r>
    </w:p>
    <w:p>
      <w:pPr>
        <w:spacing w:line="720" w:lineRule="auto"/>
        <w:rPr>
          <w:rFonts w:hint="eastAsia" w:hAnsi="宋体"/>
          <w:color w:val="auto"/>
          <w:spacing w:val="110"/>
          <w:sz w:val="30"/>
          <w:szCs w:val="20"/>
          <w:highlight w:val="none"/>
        </w:rPr>
      </w:pPr>
    </w:p>
    <w:p>
      <w:pPr>
        <w:spacing w:line="320" w:lineRule="exact"/>
        <w:ind w:firstLine="1830"/>
        <w:rPr>
          <w:rFonts w:hint="eastAsia" w:hAnsi="宋体"/>
          <w:b/>
          <w:color w:val="auto"/>
          <w:spacing w:val="40"/>
          <w:sz w:val="30"/>
          <w:highlight w:val="none"/>
        </w:rPr>
      </w:pPr>
      <w:r>
        <w:rPr>
          <w:rFonts w:hint="eastAsia" w:hAnsi="宋体"/>
          <w:b/>
          <w:color w:val="auto"/>
          <w:spacing w:val="40"/>
          <w:sz w:val="30"/>
          <w:highlight w:val="none"/>
        </w:rPr>
        <w:t xml:space="preserve">中华人民共和国建设部  </w:t>
      </w:r>
    </w:p>
    <w:p>
      <w:pPr>
        <w:spacing w:line="320" w:lineRule="exact"/>
        <w:ind w:firstLine="6099" w:firstLineChars="1600"/>
        <w:rPr>
          <w:rFonts w:hint="eastAsia" w:hAnsi="宋体"/>
          <w:b/>
          <w:color w:val="auto"/>
          <w:spacing w:val="40"/>
          <w:sz w:val="30"/>
          <w:highlight w:val="none"/>
        </w:rPr>
      </w:pPr>
      <w:r>
        <w:rPr>
          <w:rFonts w:hint="eastAsia" w:hAnsi="宋体"/>
          <w:b/>
          <w:color w:val="auto"/>
          <w:spacing w:val="40"/>
          <w:sz w:val="30"/>
          <w:highlight w:val="none"/>
        </w:rPr>
        <w:t>监制</w:t>
      </w:r>
    </w:p>
    <w:p>
      <w:pPr>
        <w:spacing w:line="320" w:lineRule="exact"/>
        <w:ind w:firstLine="1830"/>
        <w:rPr>
          <w:rFonts w:hAnsi="宋体"/>
          <w:b/>
          <w:color w:val="auto"/>
          <w:spacing w:val="56"/>
          <w:sz w:val="30"/>
          <w:highlight w:val="none"/>
        </w:rPr>
      </w:pPr>
      <w:r>
        <w:rPr>
          <w:rFonts w:hint="eastAsia" w:hAnsi="宋体"/>
          <w:b/>
          <w:color w:val="auto"/>
          <w:spacing w:val="56"/>
          <w:sz w:val="30"/>
          <w:highlight w:val="none"/>
        </w:rPr>
        <w:t>国家工商行政管理局</w:t>
      </w:r>
    </w:p>
    <w:p>
      <w:pPr>
        <w:keepNext w:val="0"/>
        <w:keepLines w:val="0"/>
        <w:pageBreakBefore w:val="0"/>
        <w:widowControl w:val="0"/>
        <w:kinsoku/>
        <w:wordWrap/>
        <w:overflowPunct/>
        <w:topLinePunct w:val="0"/>
        <w:autoSpaceDE w:val="0"/>
        <w:autoSpaceDN w:val="0"/>
        <w:bidi w:val="0"/>
        <w:adjustRightInd w:val="0"/>
        <w:snapToGrid/>
        <w:textAlignment w:val="auto"/>
        <w:outlineLvl w:val="9"/>
        <w:rPr>
          <w:color w:val="auto"/>
          <w:highlight w:val="none"/>
        </w:rPr>
      </w:pPr>
      <w:r>
        <w:rPr>
          <w:color w:val="auto"/>
          <w:highlight w:val="none"/>
        </w:rPr>
        <w:br w:type="page"/>
      </w:r>
    </w:p>
    <w:p>
      <w:pPr>
        <w:spacing w:line="320" w:lineRule="exact"/>
        <w:ind w:firstLine="1830"/>
        <w:rPr>
          <w:rFonts w:hint="eastAsia" w:hAnsi="宋体"/>
          <w:b/>
          <w:color w:val="auto"/>
          <w:spacing w:val="56"/>
          <w:sz w:val="30"/>
          <w:highlight w:val="none"/>
        </w:rPr>
      </w:pPr>
    </w:p>
    <w:p>
      <w:pPr>
        <w:spacing w:line="460" w:lineRule="exact"/>
        <w:rPr>
          <w:rFonts w:hint="eastAsia" w:hAnsi="宋体"/>
          <w:color w:val="auto"/>
          <w:highlight w:val="none"/>
        </w:rPr>
      </w:pPr>
      <w:r>
        <w:rPr>
          <w:rFonts w:hint="eastAsia" w:hAnsi="宋体"/>
          <w:color w:val="auto"/>
          <w:highlight w:val="none"/>
        </w:rPr>
        <w:t>发包人：</w:t>
      </w:r>
      <w:r>
        <w:rPr>
          <w:rFonts w:hint="eastAsia" w:hAnsi="宋体"/>
          <w:color w:val="auto"/>
          <w:highlight w:val="none"/>
          <w:u w:val="single"/>
        </w:rPr>
        <w:t xml:space="preserve">                      </w:t>
      </w:r>
    </w:p>
    <w:p>
      <w:pPr>
        <w:spacing w:line="460" w:lineRule="exact"/>
        <w:ind w:left="4584" w:hanging="4584" w:hangingChars="1910"/>
        <w:rPr>
          <w:rFonts w:hint="eastAsia"/>
          <w:bCs/>
          <w:color w:val="auto"/>
          <w:highlight w:val="none"/>
        </w:rPr>
      </w:pPr>
      <w:r>
        <w:rPr>
          <w:rFonts w:hint="eastAsia"/>
          <w:bCs/>
          <w:color w:val="auto"/>
          <w:highlight w:val="none"/>
        </w:rPr>
        <w:t>住所：                                           邮政编码：</w:t>
      </w:r>
    </w:p>
    <w:p>
      <w:pPr>
        <w:spacing w:line="460" w:lineRule="exact"/>
        <w:ind w:left="3619" w:hanging="3619" w:hangingChars="1508"/>
        <w:rPr>
          <w:rFonts w:hint="eastAsia"/>
          <w:bCs/>
          <w:color w:val="auto"/>
          <w:highlight w:val="none"/>
        </w:rPr>
      </w:pPr>
      <w:r>
        <w:rPr>
          <w:rFonts w:hint="eastAsia"/>
          <w:bCs/>
          <w:color w:val="auto"/>
          <w:highlight w:val="none"/>
        </w:rPr>
        <w:t xml:space="preserve">联系人：                 电话：                  传真：                       </w:t>
      </w:r>
    </w:p>
    <w:p>
      <w:pPr>
        <w:spacing w:line="460" w:lineRule="exact"/>
        <w:rPr>
          <w:rFonts w:hint="eastAsia" w:ascii="仿宋_GB2312" w:eastAsia="仿宋_GB2312"/>
          <w:color w:val="auto"/>
          <w:highlight w:val="none"/>
        </w:rPr>
      </w:pPr>
    </w:p>
    <w:p>
      <w:pPr>
        <w:spacing w:line="460" w:lineRule="exact"/>
        <w:rPr>
          <w:rFonts w:hint="eastAsia" w:hAnsi="宋体"/>
          <w:color w:val="auto"/>
          <w:szCs w:val="28"/>
          <w:highlight w:val="none"/>
          <w:u w:val="single"/>
        </w:rPr>
      </w:pPr>
      <w:r>
        <w:rPr>
          <w:rFonts w:hint="eastAsia" w:hAnsi="宋体"/>
          <w:color w:val="auto"/>
          <w:highlight w:val="none"/>
        </w:rPr>
        <w:t>设计人：</w:t>
      </w:r>
      <w:r>
        <w:rPr>
          <w:rFonts w:hint="eastAsia" w:hAnsi="宋体"/>
          <w:color w:val="auto"/>
          <w:highlight w:val="none"/>
          <w:u w:val="single"/>
        </w:rPr>
        <w:t xml:space="preserve"> </w:t>
      </w:r>
      <w:r>
        <w:rPr>
          <w:rFonts w:hAnsi="宋体"/>
          <w:color w:val="auto"/>
          <w:highlight w:val="none"/>
          <w:u w:val="single"/>
        </w:rPr>
        <w:t xml:space="preserve">                      </w:t>
      </w:r>
    </w:p>
    <w:p>
      <w:pPr>
        <w:spacing w:line="460" w:lineRule="exact"/>
        <w:rPr>
          <w:rFonts w:hint="eastAsia"/>
          <w:bCs/>
          <w:color w:val="auto"/>
          <w:highlight w:val="none"/>
        </w:rPr>
      </w:pPr>
      <w:r>
        <w:rPr>
          <w:rFonts w:hint="eastAsia"/>
          <w:bCs/>
          <w:color w:val="auto"/>
          <w:highlight w:val="none"/>
        </w:rPr>
        <w:t xml:space="preserve">住所： </w:t>
      </w:r>
    </w:p>
    <w:p>
      <w:pPr>
        <w:spacing w:line="460" w:lineRule="exact"/>
        <w:rPr>
          <w:rFonts w:hint="eastAsia"/>
          <w:color w:val="auto"/>
          <w:highlight w:val="none"/>
        </w:rPr>
      </w:pPr>
      <w:r>
        <w:rPr>
          <w:rFonts w:hint="eastAsia"/>
          <w:bCs/>
          <w:color w:val="auto"/>
          <w:highlight w:val="none"/>
        </w:rPr>
        <w:t>联系人：                    电话 ：</w:t>
      </w:r>
      <w:r>
        <w:rPr>
          <w:bCs/>
          <w:color w:val="auto"/>
          <w:highlight w:val="none"/>
        </w:rPr>
        <w:t xml:space="preserve">            </w:t>
      </w:r>
      <w:r>
        <w:rPr>
          <w:rFonts w:hint="eastAsia"/>
          <w:bCs/>
          <w:color w:val="auto"/>
          <w:highlight w:val="none"/>
        </w:rPr>
        <w:t xml:space="preserve"> </w:t>
      </w:r>
      <w:r>
        <w:rPr>
          <w:rFonts w:hint="eastAsia"/>
          <w:color w:val="auto"/>
          <w:highlight w:val="none"/>
        </w:rPr>
        <w:t xml:space="preserve">  </w:t>
      </w:r>
      <w:r>
        <w:rPr>
          <w:rFonts w:hint="eastAsia"/>
          <w:bCs/>
          <w:color w:val="auto"/>
          <w:highlight w:val="none"/>
        </w:rPr>
        <w:t>传真：</w:t>
      </w:r>
      <w:r>
        <w:rPr>
          <w:bCs/>
          <w:color w:val="auto"/>
          <w:highlight w:val="none"/>
        </w:rPr>
        <w:t xml:space="preserve"> </w:t>
      </w:r>
    </w:p>
    <w:p>
      <w:pPr>
        <w:spacing w:line="460" w:lineRule="exact"/>
        <w:rPr>
          <w:rFonts w:hint="eastAsia"/>
          <w:bCs/>
          <w:color w:val="auto"/>
          <w:highlight w:val="none"/>
        </w:rPr>
      </w:pPr>
      <w:r>
        <w:rPr>
          <w:rFonts w:hint="eastAsia"/>
          <w:bCs/>
          <w:color w:val="auto"/>
          <w:highlight w:val="none"/>
        </w:rPr>
        <w:t xml:space="preserve">开户银行：     </w:t>
      </w:r>
    </w:p>
    <w:p>
      <w:pPr>
        <w:spacing w:line="460" w:lineRule="exact"/>
        <w:rPr>
          <w:rFonts w:hint="eastAsia"/>
          <w:bCs/>
          <w:color w:val="auto"/>
          <w:szCs w:val="28"/>
          <w:highlight w:val="none"/>
        </w:rPr>
      </w:pPr>
      <w:r>
        <w:rPr>
          <w:rFonts w:hint="eastAsia"/>
          <w:bCs/>
          <w:color w:val="auto"/>
          <w:highlight w:val="none"/>
        </w:rPr>
        <w:t>银行帐号：</w:t>
      </w:r>
      <w:r>
        <w:rPr>
          <w:bCs/>
          <w:color w:val="auto"/>
          <w:highlight w:val="none"/>
        </w:rPr>
        <w:t xml:space="preserve"> </w:t>
      </w:r>
    </w:p>
    <w:p>
      <w:pPr>
        <w:spacing w:line="460" w:lineRule="exact"/>
        <w:ind w:firstLine="648" w:firstLineChars="270"/>
        <w:rPr>
          <w:rFonts w:hint="eastAsia" w:hAnsi="宋体"/>
          <w:color w:val="auto"/>
          <w:highlight w:val="none"/>
        </w:rPr>
      </w:pPr>
    </w:p>
    <w:p>
      <w:pPr>
        <w:spacing w:line="460" w:lineRule="exact"/>
        <w:ind w:firstLine="540" w:firstLineChars="225"/>
        <w:rPr>
          <w:rFonts w:hint="eastAsia" w:hAnsi="宋体"/>
          <w:color w:val="auto"/>
          <w:highlight w:val="none"/>
        </w:rPr>
      </w:pPr>
      <w:r>
        <w:rPr>
          <w:rFonts w:hint="eastAsia" w:hAnsi="宋体"/>
          <w:color w:val="auto"/>
          <w:highlight w:val="none"/>
        </w:rPr>
        <w:t>发包人委托设计人承担</w:t>
      </w:r>
      <w:r>
        <w:rPr>
          <w:rFonts w:hint="eastAsia" w:hAnsi="宋体"/>
          <w:color w:val="auto"/>
          <w:highlight w:val="none"/>
          <w:u w:val="single"/>
        </w:rPr>
        <w:t xml:space="preserve">                   </w:t>
      </w:r>
      <w:r>
        <w:rPr>
          <w:rFonts w:hint="eastAsia" w:hAnsi="宋体"/>
          <w:color w:val="auto"/>
          <w:highlight w:val="none"/>
        </w:rPr>
        <w:t>，经双方协商一致，签订本合同。</w:t>
      </w:r>
    </w:p>
    <w:p>
      <w:pPr>
        <w:spacing w:line="460" w:lineRule="exact"/>
        <w:ind w:firstLine="672" w:firstLineChars="280"/>
        <w:rPr>
          <w:rFonts w:hint="eastAsia" w:hAnsi="宋体"/>
          <w:color w:val="auto"/>
          <w:highlight w:val="none"/>
        </w:rPr>
      </w:pPr>
    </w:p>
    <w:p>
      <w:pPr>
        <w:spacing w:line="460" w:lineRule="exact"/>
        <w:ind w:firstLine="675" w:firstLineChars="280"/>
        <w:rPr>
          <w:rFonts w:hint="eastAsia" w:hAnsi="宋体"/>
          <w:color w:val="auto"/>
          <w:highlight w:val="none"/>
        </w:rPr>
      </w:pPr>
      <w:r>
        <w:rPr>
          <w:rFonts w:hint="eastAsia" w:hAnsi="宋体"/>
          <w:b/>
          <w:bCs/>
          <w:color w:val="auto"/>
          <w:highlight w:val="none"/>
        </w:rPr>
        <w:t>第一条</w:t>
      </w:r>
      <w:r>
        <w:rPr>
          <w:rFonts w:hint="eastAsia" w:hAnsi="宋体"/>
          <w:color w:val="auto"/>
          <w:highlight w:val="none"/>
        </w:rPr>
        <w:t xml:space="preserve">  本合同依据下列文件签订：</w:t>
      </w:r>
    </w:p>
    <w:p>
      <w:pPr>
        <w:spacing w:line="460" w:lineRule="exact"/>
        <w:ind w:firstLine="672" w:firstLineChars="280"/>
        <w:rPr>
          <w:rFonts w:hint="eastAsia" w:hAnsi="宋体"/>
          <w:color w:val="auto"/>
          <w:highlight w:val="none"/>
        </w:rPr>
      </w:pPr>
      <w:r>
        <w:rPr>
          <w:rFonts w:hint="eastAsia" w:hAnsi="宋体"/>
          <w:color w:val="auto"/>
          <w:highlight w:val="none"/>
        </w:rPr>
        <w:t>1.1《中华人民共和国民法典》、《中华人民共和国建筑法》。</w:t>
      </w:r>
    </w:p>
    <w:p>
      <w:pPr>
        <w:spacing w:line="460" w:lineRule="exact"/>
        <w:ind w:firstLine="672" w:firstLineChars="280"/>
        <w:rPr>
          <w:rFonts w:hint="eastAsia" w:hAnsi="宋体"/>
          <w:color w:val="auto"/>
          <w:highlight w:val="none"/>
        </w:rPr>
      </w:pPr>
      <w:r>
        <w:rPr>
          <w:rFonts w:hint="eastAsia" w:hAnsi="宋体"/>
          <w:color w:val="auto"/>
          <w:highlight w:val="none"/>
        </w:rPr>
        <w:t>1.2《建设工程质量管理条例》、《建设工程勘察设计管理条例》。</w:t>
      </w:r>
    </w:p>
    <w:p>
      <w:pPr>
        <w:spacing w:line="460" w:lineRule="exact"/>
        <w:ind w:firstLine="672" w:firstLineChars="280"/>
        <w:rPr>
          <w:rFonts w:hint="eastAsia" w:hAnsi="宋体"/>
          <w:color w:val="auto"/>
          <w:highlight w:val="none"/>
        </w:rPr>
      </w:pPr>
      <w:r>
        <w:rPr>
          <w:rFonts w:hint="eastAsia" w:hAnsi="宋体"/>
          <w:color w:val="auto"/>
          <w:highlight w:val="none"/>
        </w:rPr>
        <w:t>1.3《城市规划条例》、《建设用地规划许可证》或《土地使用权出让合同书》。</w:t>
      </w:r>
    </w:p>
    <w:p>
      <w:pPr>
        <w:spacing w:line="460" w:lineRule="exact"/>
        <w:ind w:firstLine="672" w:firstLineChars="280"/>
        <w:rPr>
          <w:rFonts w:hint="eastAsia" w:hAnsi="宋体"/>
          <w:color w:val="auto"/>
          <w:highlight w:val="none"/>
        </w:rPr>
      </w:pPr>
      <w:r>
        <w:rPr>
          <w:rFonts w:hint="eastAsia" w:hAnsi="宋体"/>
          <w:color w:val="auto"/>
          <w:highlight w:val="none"/>
        </w:rPr>
        <w:t>1.4 国家及地方有关建设工程勘察设计管理法规和规章。</w:t>
      </w:r>
    </w:p>
    <w:p>
      <w:pPr>
        <w:spacing w:line="460" w:lineRule="exact"/>
        <w:ind w:firstLine="672" w:firstLineChars="280"/>
        <w:rPr>
          <w:rFonts w:hint="eastAsia" w:hAnsi="宋体"/>
          <w:color w:val="auto"/>
          <w:highlight w:val="none"/>
        </w:rPr>
      </w:pPr>
      <w:r>
        <w:rPr>
          <w:rFonts w:hint="eastAsia" w:hAnsi="宋体"/>
          <w:color w:val="auto"/>
          <w:highlight w:val="none"/>
        </w:rPr>
        <w:t>1.5 建设工程批准文件。</w:t>
      </w:r>
    </w:p>
    <w:p>
      <w:pPr>
        <w:spacing w:line="460" w:lineRule="exact"/>
        <w:ind w:firstLine="672" w:firstLineChars="280"/>
        <w:rPr>
          <w:rFonts w:hint="eastAsia" w:hAnsi="宋体"/>
          <w:color w:val="auto"/>
          <w:highlight w:val="none"/>
        </w:rPr>
      </w:pPr>
    </w:p>
    <w:p>
      <w:pPr>
        <w:spacing w:line="460" w:lineRule="exact"/>
        <w:ind w:firstLine="675" w:firstLineChars="280"/>
        <w:rPr>
          <w:rFonts w:hint="eastAsia" w:hAnsi="宋体"/>
          <w:color w:val="auto"/>
          <w:highlight w:val="none"/>
        </w:rPr>
      </w:pPr>
      <w:r>
        <w:rPr>
          <w:rFonts w:hint="eastAsia" w:hAnsi="宋体"/>
          <w:b/>
          <w:bCs/>
          <w:color w:val="auto"/>
          <w:highlight w:val="none"/>
        </w:rPr>
        <w:t>第二条</w:t>
      </w:r>
      <w:r>
        <w:rPr>
          <w:rFonts w:hint="eastAsia" w:hAnsi="宋体"/>
          <w:color w:val="auto"/>
          <w:highlight w:val="none"/>
        </w:rPr>
        <w:t xml:space="preserve">  本合同设计项目的内容：</w:t>
      </w:r>
    </w:p>
    <w:p>
      <w:pPr>
        <w:spacing w:line="460" w:lineRule="exact"/>
        <w:ind w:firstLine="672" w:firstLineChars="280"/>
        <w:rPr>
          <w:rFonts w:hint="eastAsia" w:hAnsi="宋体"/>
          <w:color w:val="auto"/>
          <w:highlight w:val="none"/>
          <w:u w:val="single"/>
        </w:rPr>
      </w:pPr>
      <w:r>
        <w:rPr>
          <w:rFonts w:hint="eastAsia" w:hAnsi="宋体"/>
          <w:color w:val="auto"/>
          <w:highlight w:val="none"/>
        </w:rPr>
        <w:t>2.1工程名称</w:t>
      </w:r>
      <w:r>
        <w:rPr>
          <w:rFonts w:hint="eastAsia" w:hAnsi="宋体"/>
          <w:color w:val="auto"/>
          <w:highlight w:val="none"/>
          <w:u w:val="single"/>
        </w:rPr>
        <w:t xml:space="preserve">：                </w:t>
      </w:r>
    </w:p>
    <w:p>
      <w:pPr>
        <w:spacing w:line="460" w:lineRule="exact"/>
        <w:ind w:firstLine="672" w:firstLineChars="280"/>
        <w:rPr>
          <w:rFonts w:hint="eastAsia" w:hAnsi="宋体"/>
          <w:color w:val="auto"/>
          <w:highlight w:val="none"/>
        </w:rPr>
      </w:pPr>
      <w:r>
        <w:rPr>
          <w:rFonts w:hint="eastAsia" w:hAnsi="宋体"/>
          <w:color w:val="auto"/>
          <w:highlight w:val="none"/>
        </w:rPr>
        <w:t>2.2设计指标</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pPr>
        <w:spacing w:line="420" w:lineRule="exact"/>
        <w:ind w:firstLine="703"/>
        <w:rPr>
          <w:rFonts w:hint="eastAsia" w:hAnsi="宋体"/>
          <w:b/>
          <w:bCs/>
          <w:color w:val="auto"/>
          <w:highlight w:val="none"/>
        </w:rPr>
      </w:pPr>
    </w:p>
    <w:p>
      <w:pPr>
        <w:spacing w:line="420" w:lineRule="exact"/>
        <w:ind w:firstLine="703"/>
        <w:rPr>
          <w:rFonts w:hint="eastAsia" w:hAnsi="宋体"/>
          <w:color w:val="auto"/>
          <w:highlight w:val="none"/>
        </w:rPr>
      </w:pPr>
      <w:r>
        <w:rPr>
          <w:rFonts w:hint="eastAsia" w:hAnsi="宋体"/>
          <w:b/>
          <w:bCs/>
          <w:color w:val="auto"/>
          <w:highlight w:val="none"/>
        </w:rPr>
        <w:t>第三条</w:t>
      </w:r>
      <w:r>
        <w:rPr>
          <w:rFonts w:hint="eastAsia" w:hAnsi="宋体"/>
          <w:color w:val="auto"/>
          <w:highlight w:val="none"/>
        </w:rPr>
        <w:t xml:space="preserve">  发包人应向设计人提交的有关资料及文件</w:t>
      </w:r>
    </w:p>
    <w:tbl>
      <w:tblPr>
        <w:tblStyle w:val="51"/>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104"/>
        <w:gridCol w:w="1080"/>
        <w:gridCol w:w="162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84" w:type="dxa"/>
            <w:vAlign w:val="center"/>
          </w:tcPr>
          <w:p>
            <w:pPr>
              <w:spacing w:line="420" w:lineRule="exact"/>
              <w:jc w:val="center"/>
              <w:rPr>
                <w:rFonts w:hint="eastAsia" w:hAnsi="宋体"/>
                <w:color w:val="auto"/>
                <w:highlight w:val="none"/>
              </w:rPr>
            </w:pPr>
            <w:r>
              <w:rPr>
                <w:rFonts w:hint="eastAsia" w:hAnsi="宋体"/>
                <w:color w:val="auto"/>
                <w:highlight w:val="none"/>
              </w:rPr>
              <w:t>序号</w:t>
            </w:r>
          </w:p>
        </w:tc>
        <w:tc>
          <w:tcPr>
            <w:tcW w:w="3104" w:type="dxa"/>
            <w:vAlign w:val="center"/>
          </w:tcPr>
          <w:p>
            <w:pPr>
              <w:spacing w:line="420" w:lineRule="exact"/>
              <w:jc w:val="center"/>
              <w:rPr>
                <w:rFonts w:hint="eastAsia" w:hAnsi="宋体"/>
                <w:color w:val="auto"/>
                <w:highlight w:val="none"/>
              </w:rPr>
            </w:pPr>
            <w:r>
              <w:rPr>
                <w:rFonts w:hint="eastAsia" w:hAnsi="宋体"/>
                <w:color w:val="auto"/>
                <w:highlight w:val="none"/>
              </w:rPr>
              <w:t>资料及文件名称</w:t>
            </w:r>
          </w:p>
        </w:tc>
        <w:tc>
          <w:tcPr>
            <w:tcW w:w="1080" w:type="dxa"/>
            <w:vAlign w:val="center"/>
          </w:tcPr>
          <w:p>
            <w:pPr>
              <w:spacing w:line="420" w:lineRule="exact"/>
              <w:jc w:val="center"/>
              <w:rPr>
                <w:rFonts w:hint="eastAsia" w:hAnsi="宋体"/>
                <w:color w:val="auto"/>
                <w:highlight w:val="none"/>
              </w:rPr>
            </w:pPr>
            <w:r>
              <w:rPr>
                <w:rFonts w:hint="eastAsia" w:hAnsi="宋体"/>
                <w:color w:val="auto"/>
                <w:highlight w:val="none"/>
              </w:rPr>
              <w:t>份数</w:t>
            </w:r>
          </w:p>
        </w:tc>
        <w:tc>
          <w:tcPr>
            <w:tcW w:w="1620" w:type="dxa"/>
            <w:vAlign w:val="center"/>
          </w:tcPr>
          <w:p>
            <w:pPr>
              <w:spacing w:line="420" w:lineRule="exact"/>
              <w:jc w:val="center"/>
              <w:rPr>
                <w:rFonts w:hint="eastAsia" w:hAnsi="宋体"/>
                <w:color w:val="auto"/>
                <w:highlight w:val="none"/>
              </w:rPr>
            </w:pPr>
            <w:r>
              <w:rPr>
                <w:rFonts w:hint="eastAsia" w:hAnsi="宋体"/>
                <w:color w:val="auto"/>
                <w:highlight w:val="none"/>
              </w:rPr>
              <w:t>提交日期</w:t>
            </w:r>
          </w:p>
        </w:tc>
        <w:tc>
          <w:tcPr>
            <w:tcW w:w="2160" w:type="dxa"/>
            <w:vAlign w:val="center"/>
          </w:tcPr>
          <w:p>
            <w:pPr>
              <w:spacing w:line="420" w:lineRule="exact"/>
              <w:jc w:val="center"/>
              <w:rPr>
                <w:rFonts w:hint="eastAsia" w:hAnsi="宋体"/>
                <w:color w:val="auto"/>
                <w:highlight w:val="none"/>
              </w:rPr>
            </w:pPr>
            <w:r>
              <w:rPr>
                <w:rFonts w:hint="eastAsia" w:hAnsi="宋体"/>
                <w:color w:val="auto"/>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84" w:type="dxa"/>
            <w:vAlign w:val="center"/>
          </w:tcPr>
          <w:p>
            <w:pPr>
              <w:spacing w:line="420" w:lineRule="exact"/>
              <w:jc w:val="center"/>
              <w:rPr>
                <w:rFonts w:hint="eastAsia" w:hAnsi="宋体"/>
                <w:color w:val="auto"/>
                <w:highlight w:val="none"/>
              </w:rPr>
            </w:pPr>
            <w:r>
              <w:rPr>
                <w:rFonts w:hint="eastAsia" w:hAnsi="宋体"/>
                <w:color w:val="auto"/>
                <w:highlight w:val="none"/>
              </w:rPr>
              <w:t>1</w:t>
            </w:r>
          </w:p>
        </w:tc>
        <w:tc>
          <w:tcPr>
            <w:tcW w:w="3104" w:type="dxa"/>
            <w:vAlign w:val="center"/>
          </w:tcPr>
          <w:p>
            <w:pPr>
              <w:spacing w:line="420" w:lineRule="exact"/>
              <w:rPr>
                <w:rFonts w:hint="eastAsia" w:hAnsi="宋体"/>
                <w:color w:val="auto"/>
                <w:highlight w:val="none"/>
              </w:rPr>
            </w:pPr>
            <w:r>
              <w:rPr>
                <w:rFonts w:hint="eastAsia" w:hAnsi="宋体"/>
                <w:color w:val="auto"/>
                <w:highlight w:val="none"/>
              </w:rPr>
              <w:t>用地红线图</w:t>
            </w:r>
          </w:p>
        </w:tc>
        <w:tc>
          <w:tcPr>
            <w:tcW w:w="1080" w:type="dxa"/>
            <w:vAlign w:val="center"/>
          </w:tcPr>
          <w:p>
            <w:pPr>
              <w:spacing w:line="420" w:lineRule="exact"/>
              <w:jc w:val="center"/>
              <w:rPr>
                <w:rFonts w:hint="eastAsia" w:hAnsi="宋体"/>
                <w:color w:val="auto"/>
                <w:highlight w:val="none"/>
              </w:rPr>
            </w:pPr>
            <w:r>
              <w:rPr>
                <w:rFonts w:hint="eastAsia" w:hAnsi="宋体"/>
                <w:color w:val="auto"/>
                <w:highlight w:val="none"/>
              </w:rPr>
              <w:t>1</w:t>
            </w:r>
          </w:p>
        </w:tc>
        <w:tc>
          <w:tcPr>
            <w:tcW w:w="1620" w:type="dxa"/>
            <w:vMerge w:val="restart"/>
            <w:shd w:val="clear" w:color="auto" w:fill="auto"/>
            <w:vAlign w:val="center"/>
          </w:tcPr>
          <w:p>
            <w:pPr>
              <w:spacing w:line="420" w:lineRule="exact"/>
              <w:jc w:val="center"/>
              <w:rPr>
                <w:rFonts w:hint="eastAsia" w:hAnsi="宋体"/>
                <w:color w:val="auto"/>
                <w:highlight w:val="none"/>
              </w:rPr>
            </w:pPr>
            <w:r>
              <w:rPr>
                <w:rFonts w:hint="eastAsia" w:hAnsi="宋体"/>
                <w:color w:val="auto"/>
                <w:highlight w:val="none"/>
              </w:rPr>
              <w:t>合同签订之日起三日内</w:t>
            </w:r>
          </w:p>
        </w:tc>
        <w:tc>
          <w:tcPr>
            <w:tcW w:w="2160" w:type="dxa"/>
            <w:vAlign w:val="center"/>
          </w:tcPr>
          <w:p>
            <w:pPr>
              <w:spacing w:line="420" w:lineRule="exact"/>
              <w:jc w:val="center"/>
              <w:rPr>
                <w:rFonts w:hint="eastAsia"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spacing w:line="420" w:lineRule="exact"/>
              <w:jc w:val="center"/>
              <w:rPr>
                <w:rFonts w:hint="eastAsia" w:hAnsi="宋体"/>
                <w:color w:val="auto"/>
                <w:highlight w:val="none"/>
              </w:rPr>
            </w:pPr>
            <w:r>
              <w:rPr>
                <w:rFonts w:hint="eastAsia" w:hAnsi="宋体"/>
                <w:color w:val="auto"/>
                <w:highlight w:val="none"/>
              </w:rPr>
              <w:t>2</w:t>
            </w:r>
          </w:p>
        </w:tc>
        <w:tc>
          <w:tcPr>
            <w:tcW w:w="3104" w:type="dxa"/>
            <w:vAlign w:val="center"/>
          </w:tcPr>
          <w:p>
            <w:pPr>
              <w:spacing w:line="420" w:lineRule="exact"/>
              <w:rPr>
                <w:rFonts w:hint="eastAsia" w:hAnsi="宋体"/>
                <w:color w:val="auto"/>
                <w:highlight w:val="none"/>
              </w:rPr>
            </w:pPr>
            <w:r>
              <w:rPr>
                <w:rFonts w:hint="eastAsia" w:hAnsi="宋体"/>
                <w:color w:val="auto"/>
                <w:highlight w:val="none"/>
              </w:rPr>
              <w:t>《建设用地规划许可证》或《土地使用权出让合同书》</w:t>
            </w:r>
          </w:p>
        </w:tc>
        <w:tc>
          <w:tcPr>
            <w:tcW w:w="1080" w:type="dxa"/>
            <w:vAlign w:val="center"/>
          </w:tcPr>
          <w:p>
            <w:pPr>
              <w:spacing w:line="420" w:lineRule="exact"/>
              <w:jc w:val="center"/>
              <w:rPr>
                <w:rFonts w:hint="eastAsia" w:hAnsi="宋体"/>
                <w:color w:val="auto"/>
                <w:highlight w:val="none"/>
              </w:rPr>
            </w:pPr>
            <w:r>
              <w:rPr>
                <w:rFonts w:hint="eastAsia" w:hAnsi="宋体"/>
                <w:color w:val="auto"/>
                <w:highlight w:val="none"/>
              </w:rPr>
              <w:t>1</w:t>
            </w:r>
          </w:p>
        </w:tc>
        <w:tc>
          <w:tcPr>
            <w:tcW w:w="1620" w:type="dxa"/>
            <w:vMerge w:val="continue"/>
            <w:shd w:val="clear" w:color="auto" w:fill="auto"/>
            <w:vAlign w:val="center"/>
          </w:tcPr>
          <w:p>
            <w:pPr>
              <w:spacing w:line="420" w:lineRule="exact"/>
              <w:jc w:val="center"/>
              <w:rPr>
                <w:rFonts w:hint="eastAsia" w:hAnsi="宋体"/>
                <w:color w:val="auto"/>
                <w:highlight w:val="none"/>
              </w:rPr>
            </w:pPr>
          </w:p>
        </w:tc>
        <w:tc>
          <w:tcPr>
            <w:tcW w:w="2160" w:type="dxa"/>
            <w:vAlign w:val="center"/>
          </w:tcPr>
          <w:p>
            <w:pPr>
              <w:spacing w:line="420" w:lineRule="exact"/>
              <w:jc w:val="center"/>
              <w:rPr>
                <w:rFonts w:hint="eastAsia"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84" w:type="dxa"/>
            <w:vAlign w:val="center"/>
          </w:tcPr>
          <w:p>
            <w:pPr>
              <w:spacing w:line="420" w:lineRule="exact"/>
              <w:jc w:val="center"/>
              <w:rPr>
                <w:rFonts w:hint="eastAsia" w:hAnsi="宋体"/>
                <w:color w:val="auto"/>
                <w:highlight w:val="none"/>
              </w:rPr>
            </w:pPr>
            <w:r>
              <w:rPr>
                <w:rFonts w:hint="eastAsia" w:hAnsi="宋体"/>
                <w:color w:val="auto"/>
                <w:highlight w:val="none"/>
              </w:rPr>
              <w:t>3</w:t>
            </w:r>
          </w:p>
        </w:tc>
        <w:tc>
          <w:tcPr>
            <w:tcW w:w="3104" w:type="dxa"/>
            <w:vAlign w:val="center"/>
          </w:tcPr>
          <w:p>
            <w:pPr>
              <w:spacing w:line="420" w:lineRule="exact"/>
              <w:rPr>
                <w:rFonts w:hint="eastAsia" w:hAnsi="宋体"/>
                <w:color w:val="auto"/>
                <w:highlight w:val="none"/>
              </w:rPr>
            </w:pPr>
            <w:r>
              <w:rPr>
                <w:rFonts w:hint="eastAsia" w:hAnsi="宋体"/>
                <w:color w:val="auto"/>
                <w:highlight w:val="none"/>
              </w:rPr>
              <w:t>设计任务书</w:t>
            </w:r>
          </w:p>
        </w:tc>
        <w:tc>
          <w:tcPr>
            <w:tcW w:w="1080" w:type="dxa"/>
            <w:vAlign w:val="center"/>
          </w:tcPr>
          <w:p>
            <w:pPr>
              <w:spacing w:line="420" w:lineRule="exact"/>
              <w:jc w:val="center"/>
              <w:rPr>
                <w:rFonts w:hint="eastAsia" w:hAnsi="宋体"/>
                <w:color w:val="auto"/>
                <w:highlight w:val="none"/>
              </w:rPr>
            </w:pPr>
            <w:r>
              <w:rPr>
                <w:rFonts w:hint="eastAsia" w:hAnsi="宋体"/>
                <w:color w:val="auto"/>
                <w:highlight w:val="none"/>
              </w:rPr>
              <w:t>1</w:t>
            </w:r>
          </w:p>
        </w:tc>
        <w:tc>
          <w:tcPr>
            <w:tcW w:w="1620" w:type="dxa"/>
            <w:vMerge w:val="continue"/>
            <w:shd w:val="clear" w:color="auto" w:fill="auto"/>
            <w:vAlign w:val="center"/>
          </w:tcPr>
          <w:p>
            <w:pPr>
              <w:spacing w:line="420" w:lineRule="exact"/>
              <w:jc w:val="center"/>
              <w:rPr>
                <w:rFonts w:hint="eastAsia" w:hAnsi="宋体"/>
                <w:color w:val="auto"/>
                <w:highlight w:val="none"/>
              </w:rPr>
            </w:pPr>
          </w:p>
        </w:tc>
        <w:tc>
          <w:tcPr>
            <w:tcW w:w="2160" w:type="dxa"/>
            <w:vAlign w:val="center"/>
          </w:tcPr>
          <w:p>
            <w:pPr>
              <w:spacing w:line="420" w:lineRule="exact"/>
              <w:jc w:val="center"/>
              <w:rPr>
                <w:rFonts w:hint="eastAsia" w:hAnsi="宋体"/>
                <w:color w:val="auto"/>
                <w:highlight w:val="none"/>
              </w:rPr>
            </w:pPr>
            <w:r>
              <w:rPr>
                <w:rFonts w:hint="eastAsia" w:hAnsi="宋体"/>
                <w:color w:val="auto"/>
                <w:highlight w:val="none"/>
              </w:rPr>
              <w:t>须加盖发包人公章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84" w:type="dxa"/>
            <w:vAlign w:val="center"/>
          </w:tcPr>
          <w:p>
            <w:pPr>
              <w:spacing w:line="420" w:lineRule="exact"/>
              <w:jc w:val="center"/>
              <w:rPr>
                <w:rFonts w:hint="eastAsia" w:hAnsi="宋体"/>
                <w:color w:val="auto"/>
                <w:highlight w:val="none"/>
              </w:rPr>
            </w:pPr>
            <w:r>
              <w:rPr>
                <w:rFonts w:hint="eastAsia" w:hAnsi="宋体"/>
                <w:color w:val="auto"/>
                <w:highlight w:val="none"/>
              </w:rPr>
              <w:t>4</w:t>
            </w:r>
          </w:p>
        </w:tc>
        <w:tc>
          <w:tcPr>
            <w:tcW w:w="3104" w:type="dxa"/>
            <w:vAlign w:val="center"/>
          </w:tcPr>
          <w:p>
            <w:pPr>
              <w:spacing w:line="420" w:lineRule="exact"/>
              <w:rPr>
                <w:rFonts w:hint="eastAsia" w:hAnsi="宋体" w:eastAsia="宋体"/>
                <w:color w:val="auto"/>
                <w:highlight w:val="none"/>
                <w:lang w:eastAsia="zh-CN"/>
              </w:rPr>
            </w:pPr>
            <w:r>
              <w:rPr>
                <w:rFonts w:hint="eastAsia" w:hAnsi="宋体"/>
                <w:color w:val="auto"/>
                <w:highlight w:val="none"/>
                <w:lang w:eastAsia="zh-CN"/>
              </w:rPr>
              <w:t>其他基础资料</w:t>
            </w:r>
          </w:p>
        </w:tc>
        <w:tc>
          <w:tcPr>
            <w:tcW w:w="1080" w:type="dxa"/>
            <w:vAlign w:val="center"/>
          </w:tcPr>
          <w:p>
            <w:pPr>
              <w:spacing w:line="420" w:lineRule="exact"/>
              <w:jc w:val="center"/>
              <w:rPr>
                <w:rFonts w:hint="eastAsia" w:hAnsi="宋体"/>
                <w:color w:val="auto"/>
                <w:highlight w:val="none"/>
              </w:rPr>
            </w:pPr>
            <w:r>
              <w:rPr>
                <w:rFonts w:hint="eastAsia" w:hAnsi="宋体"/>
                <w:color w:val="auto"/>
                <w:highlight w:val="none"/>
              </w:rPr>
              <w:t>1</w:t>
            </w:r>
          </w:p>
        </w:tc>
        <w:tc>
          <w:tcPr>
            <w:tcW w:w="1620" w:type="dxa"/>
            <w:vMerge w:val="continue"/>
            <w:shd w:val="clear" w:color="auto" w:fill="auto"/>
            <w:vAlign w:val="center"/>
          </w:tcPr>
          <w:p>
            <w:pPr>
              <w:spacing w:line="420" w:lineRule="exact"/>
              <w:jc w:val="center"/>
              <w:rPr>
                <w:rFonts w:hint="eastAsia" w:hAnsi="宋体"/>
                <w:color w:val="auto"/>
                <w:highlight w:val="none"/>
              </w:rPr>
            </w:pPr>
          </w:p>
        </w:tc>
        <w:tc>
          <w:tcPr>
            <w:tcW w:w="2160" w:type="dxa"/>
            <w:vAlign w:val="center"/>
          </w:tcPr>
          <w:p>
            <w:pPr>
              <w:spacing w:line="420" w:lineRule="exact"/>
              <w:jc w:val="center"/>
              <w:rPr>
                <w:rFonts w:hint="eastAsia" w:hAnsi="宋体" w:eastAsia="宋体"/>
                <w:color w:val="auto"/>
                <w:highlight w:val="none"/>
                <w:lang w:eastAsia="zh-CN"/>
              </w:rPr>
            </w:pPr>
            <w:r>
              <w:rPr>
                <w:rFonts w:hint="eastAsia" w:hAnsi="宋体"/>
                <w:color w:val="auto"/>
                <w:highlight w:val="none"/>
                <w:lang w:eastAsia="zh-CN"/>
              </w:rPr>
              <w:t>电子文件</w:t>
            </w:r>
          </w:p>
        </w:tc>
      </w:tr>
    </w:tbl>
    <w:p>
      <w:pPr>
        <w:spacing w:line="420" w:lineRule="exact"/>
        <w:rPr>
          <w:rFonts w:hint="eastAsia" w:hAnsi="宋体"/>
          <w:color w:val="auto"/>
          <w:highlight w:val="none"/>
        </w:rPr>
      </w:pPr>
    </w:p>
    <w:p>
      <w:pPr>
        <w:spacing w:line="420" w:lineRule="exact"/>
        <w:ind w:firstLine="723" w:firstLineChars="300"/>
        <w:rPr>
          <w:rFonts w:hint="eastAsia" w:hAnsi="宋体"/>
          <w:color w:val="auto"/>
          <w:highlight w:val="none"/>
        </w:rPr>
      </w:pPr>
      <w:r>
        <w:rPr>
          <w:rFonts w:hint="eastAsia" w:hAnsi="宋体"/>
          <w:b/>
          <w:bCs/>
          <w:color w:val="auto"/>
          <w:highlight w:val="none"/>
        </w:rPr>
        <w:t>第四条</w:t>
      </w:r>
      <w:r>
        <w:rPr>
          <w:rFonts w:hint="eastAsia" w:hAnsi="宋体"/>
          <w:color w:val="auto"/>
          <w:highlight w:val="none"/>
        </w:rPr>
        <w:t xml:space="preserve">  设计人应向发包人交付的设计资料及文件：</w:t>
      </w:r>
    </w:p>
    <w:tbl>
      <w:tblPr>
        <w:tblStyle w:val="51"/>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154"/>
        <w:gridCol w:w="993"/>
        <w:gridCol w:w="2652"/>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89" w:type="dxa"/>
            <w:vAlign w:val="center"/>
          </w:tcPr>
          <w:p>
            <w:pPr>
              <w:spacing w:line="420" w:lineRule="exact"/>
              <w:jc w:val="center"/>
              <w:rPr>
                <w:rFonts w:hint="eastAsia" w:hAnsi="宋体"/>
                <w:color w:val="auto"/>
                <w:highlight w:val="none"/>
              </w:rPr>
            </w:pPr>
            <w:r>
              <w:rPr>
                <w:rFonts w:hint="eastAsia" w:hAnsi="宋体"/>
                <w:color w:val="auto"/>
                <w:highlight w:val="none"/>
              </w:rPr>
              <w:t>序号</w:t>
            </w:r>
          </w:p>
        </w:tc>
        <w:tc>
          <w:tcPr>
            <w:tcW w:w="2154" w:type="dxa"/>
            <w:vAlign w:val="center"/>
          </w:tcPr>
          <w:p>
            <w:pPr>
              <w:spacing w:line="420" w:lineRule="exact"/>
              <w:jc w:val="center"/>
              <w:rPr>
                <w:rFonts w:hint="eastAsia" w:hAnsi="宋体"/>
                <w:color w:val="auto"/>
                <w:highlight w:val="none"/>
              </w:rPr>
            </w:pPr>
            <w:r>
              <w:rPr>
                <w:rFonts w:hint="eastAsia" w:hAnsi="宋体"/>
                <w:color w:val="auto"/>
                <w:highlight w:val="none"/>
              </w:rPr>
              <w:t>资料及文件名称</w:t>
            </w:r>
          </w:p>
        </w:tc>
        <w:tc>
          <w:tcPr>
            <w:tcW w:w="993" w:type="dxa"/>
            <w:vAlign w:val="center"/>
          </w:tcPr>
          <w:p>
            <w:pPr>
              <w:spacing w:line="420" w:lineRule="exact"/>
              <w:jc w:val="center"/>
              <w:rPr>
                <w:rFonts w:hint="eastAsia" w:hAnsi="宋体"/>
                <w:color w:val="auto"/>
                <w:highlight w:val="none"/>
              </w:rPr>
            </w:pPr>
            <w:r>
              <w:rPr>
                <w:rFonts w:hint="eastAsia" w:hAnsi="宋体"/>
                <w:color w:val="auto"/>
                <w:highlight w:val="none"/>
              </w:rPr>
              <w:t>份数</w:t>
            </w:r>
          </w:p>
        </w:tc>
        <w:tc>
          <w:tcPr>
            <w:tcW w:w="2652" w:type="dxa"/>
            <w:vAlign w:val="center"/>
          </w:tcPr>
          <w:p>
            <w:pPr>
              <w:spacing w:line="420" w:lineRule="exact"/>
              <w:jc w:val="center"/>
              <w:rPr>
                <w:rFonts w:hint="eastAsia" w:hAnsi="宋体"/>
                <w:color w:val="auto"/>
                <w:highlight w:val="none"/>
              </w:rPr>
            </w:pPr>
            <w:r>
              <w:rPr>
                <w:rFonts w:hint="eastAsia" w:hAnsi="宋体"/>
                <w:color w:val="auto"/>
                <w:highlight w:val="none"/>
              </w:rPr>
              <w:t>提交日期</w:t>
            </w:r>
          </w:p>
        </w:tc>
        <w:tc>
          <w:tcPr>
            <w:tcW w:w="2160" w:type="dxa"/>
            <w:vAlign w:val="center"/>
          </w:tcPr>
          <w:p>
            <w:pPr>
              <w:spacing w:line="420" w:lineRule="exact"/>
              <w:jc w:val="center"/>
              <w:rPr>
                <w:rFonts w:hint="eastAsia" w:hAnsi="宋体"/>
                <w:color w:val="auto"/>
                <w:highlight w:val="none"/>
              </w:rPr>
            </w:pPr>
            <w:r>
              <w:rPr>
                <w:rFonts w:hint="eastAsia" w:hAnsi="宋体"/>
                <w:color w:val="auto"/>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89" w:type="dxa"/>
            <w:vAlign w:val="center"/>
          </w:tcPr>
          <w:p>
            <w:pPr>
              <w:spacing w:line="360" w:lineRule="auto"/>
              <w:jc w:val="center"/>
              <w:rPr>
                <w:rFonts w:hint="eastAsia" w:hAnsi="宋体"/>
                <w:color w:val="auto"/>
                <w:highlight w:val="none"/>
              </w:rPr>
            </w:pPr>
            <w:r>
              <w:rPr>
                <w:rFonts w:hint="eastAsia" w:hAnsi="宋体"/>
                <w:color w:val="auto"/>
                <w:highlight w:val="none"/>
              </w:rPr>
              <w:t>1</w:t>
            </w:r>
          </w:p>
        </w:tc>
        <w:tc>
          <w:tcPr>
            <w:tcW w:w="2154" w:type="dxa"/>
            <w:vAlign w:val="center"/>
          </w:tcPr>
          <w:p>
            <w:pPr>
              <w:spacing w:line="360" w:lineRule="auto"/>
              <w:jc w:val="center"/>
              <w:rPr>
                <w:rFonts w:hint="eastAsia" w:hAnsi="宋体" w:eastAsia="宋体"/>
                <w:color w:val="auto"/>
                <w:highlight w:val="none"/>
                <w:lang w:eastAsia="zh-CN"/>
              </w:rPr>
            </w:pPr>
            <w:r>
              <w:rPr>
                <w:rFonts w:hint="eastAsia" w:hAnsi="宋体"/>
                <w:color w:val="auto"/>
                <w:highlight w:val="none"/>
              </w:rPr>
              <w:t>方案</w:t>
            </w:r>
            <w:r>
              <w:rPr>
                <w:rFonts w:hint="eastAsia" w:hAnsi="宋体"/>
                <w:color w:val="auto"/>
                <w:highlight w:val="none"/>
                <w:lang w:eastAsia="zh-CN"/>
              </w:rPr>
              <w:t>设计</w:t>
            </w:r>
          </w:p>
        </w:tc>
        <w:tc>
          <w:tcPr>
            <w:tcW w:w="993" w:type="dxa"/>
            <w:vAlign w:val="center"/>
          </w:tcPr>
          <w:p>
            <w:pPr>
              <w:spacing w:line="360" w:lineRule="auto"/>
              <w:jc w:val="center"/>
              <w:rPr>
                <w:rFonts w:hint="eastAsia" w:hAnsi="宋体"/>
                <w:color w:val="auto"/>
                <w:highlight w:val="none"/>
              </w:rPr>
            </w:pPr>
          </w:p>
        </w:tc>
        <w:tc>
          <w:tcPr>
            <w:tcW w:w="2652" w:type="dxa"/>
            <w:vAlign w:val="center"/>
          </w:tcPr>
          <w:p>
            <w:pPr>
              <w:spacing w:line="360" w:lineRule="auto"/>
              <w:jc w:val="center"/>
              <w:rPr>
                <w:rFonts w:hint="eastAsia" w:hAnsi="宋体"/>
                <w:color w:val="auto"/>
                <w:highlight w:val="none"/>
              </w:rPr>
            </w:pPr>
            <w:r>
              <w:rPr>
                <w:rFonts w:hint="eastAsia" w:hAnsi="宋体"/>
                <w:color w:val="auto"/>
                <w:highlight w:val="none"/>
              </w:rPr>
              <w:t xml:space="preserve">合同签订后    </w:t>
            </w:r>
          </w:p>
          <w:p>
            <w:pPr>
              <w:spacing w:line="360" w:lineRule="auto"/>
              <w:jc w:val="center"/>
              <w:rPr>
                <w:rFonts w:hint="eastAsia" w:hAnsi="宋体"/>
                <w:color w:val="auto"/>
                <w:highlight w:val="none"/>
              </w:rPr>
            </w:pPr>
            <w:r>
              <w:rPr>
                <w:rFonts w:hint="eastAsia" w:hAnsi="宋体"/>
                <w:color w:val="auto"/>
                <w:highlight w:val="none"/>
              </w:rPr>
              <w:t>（</w:t>
            </w:r>
            <w:r>
              <w:rPr>
                <w:rFonts w:hint="eastAsia" w:hAnsi="宋体"/>
                <w:color w:val="auto"/>
                <w:highlight w:val="none"/>
                <w:lang w:val="en-US" w:eastAsia="zh-CN"/>
              </w:rPr>
              <w:t>30</w:t>
            </w:r>
            <w:r>
              <w:rPr>
                <w:rFonts w:hint="eastAsia" w:hAnsi="宋体"/>
                <w:color w:val="auto"/>
                <w:highlight w:val="none"/>
                <w:lang w:eastAsia="zh-CN"/>
              </w:rPr>
              <w:t>天</w:t>
            </w:r>
            <w:r>
              <w:rPr>
                <w:rFonts w:hint="eastAsia" w:hAnsi="宋体"/>
                <w:color w:val="auto"/>
                <w:highlight w:val="none"/>
              </w:rPr>
              <w:t>）</w:t>
            </w:r>
          </w:p>
        </w:tc>
        <w:tc>
          <w:tcPr>
            <w:tcW w:w="2160" w:type="dxa"/>
            <w:vAlign w:val="center"/>
          </w:tcPr>
          <w:p>
            <w:pPr>
              <w:spacing w:line="360" w:lineRule="auto"/>
              <w:jc w:val="center"/>
              <w:rPr>
                <w:rFonts w:hint="eastAsia"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89" w:type="dxa"/>
            <w:vAlign w:val="center"/>
          </w:tcPr>
          <w:p>
            <w:pPr>
              <w:spacing w:line="360" w:lineRule="auto"/>
              <w:jc w:val="center"/>
              <w:rPr>
                <w:rFonts w:hint="eastAsia" w:hAnsi="宋体"/>
                <w:color w:val="auto"/>
                <w:highlight w:val="none"/>
              </w:rPr>
            </w:pPr>
            <w:r>
              <w:rPr>
                <w:rFonts w:hint="eastAsia" w:hAnsi="宋体"/>
                <w:color w:val="auto"/>
                <w:highlight w:val="none"/>
              </w:rPr>
              <w:t>2</w:t>
            </w:r>
          </w:p>
        </w:tc>
        <w:tc>
          <w:tcPr>
            <w:tcW w:w="2154" w:type="dxa"/>
            <w:vAlign w:val="center"/>
          </w:tcPr>
          <w:p>
            <w:pPr>
              <w:spacing w:line="360" w:lineRule="auto"/>
              <w:jc w:val="center"/>
              <w:rPr>
                <w:rFonts w:hint="eastAsia" w:hAnsi="宋体" w:eastAsia="宋体"/>
                <w:color w:val="auto"/>
                <w:highlight w:val="none"/>
                <w:lang w:eastAsia="zh-CN"/>
              </w:rPr>
            </w:pPr>
            <w:r>
              <w:rPr>
                <w:rFonts w:hint="eastAsia" w:hAnsi="宋体"/>
                <w:color w:val="auto"/>
                <w:highlight w:val="none"/>
                <w:lang w:eastAsia="zh-CN"/>
              </w:rPr>
              <w:t>施工图设计</w:t>
            </w:r>
          </w:p>
        </w:tc>
        <w:tc>
          <w:tcPr>
            <w:tcW w:w="993" w:type="dxa"/>
            <w:vAlign w:val="center"/>
          </w:tcPr>
          <w:p>
            <w:pPr>
              <w:spacing w:line="360" w:lineRule="auto"/>
              <w:jc w:val="center"/>
              <w:rPr>
                <w:rFonts w:hint="eastAsia" w:hAnsi="宋体"/>
                <w:color w:val="auto"/>
                <w:highlight w:val="none"/>
              </w:rPr>
            </w:pPr>
          </w:p>
        </w:tc>
        <w:tc>
          <w:tcPr>
            <w:tcW w:w="2652" w:type="dxa"/>
            <w:vAlign w:val="center"/>
          </w:tcPr>
          <w:p>
            <w:pPr>
              <w:spacing w:line="360" w:lineRule="auto"/>
              <w:jc w:val="center"/>
              <w:rPr>
                <w:rFonts w:hint="eastAsia" w:hAnsi="宋体"/>
                <w:color w:val="auto"/>
                <w:highlight w:val="none"/>
              </w:rPr>
            </w:pPr>
            <w:r>
              <w:rPr>
                <w:rFonts w:hint="eastAsia" w:hAnsi="宋体"/>
                <w:color w:val="auto"/>
                <w:highlight w:val="none"/>
              </w:rPr>
              <w:t xml:space="preserve">方案通过且收到发包人阶段确认函后    </w:t>
            </w:r>
          </w:p>
          <w:p>
            <w:pPr>
              <w:spacing w:line="360" w:lineRule="auto"/>
              <w:jc w:val="center"/>
              <w:rPr>
                <w:rFonts w:hint="eastAsia" w:hAnsi="宋体"/>
                <w:color w:val="auto"/>
                <w:highlight w:val="none"/>
              </w:rPr>
            </w:pPr>
            <w:r>
              <w:rPr>
                <w:rFonts w:hint="eastAsia" w:hAnsi="宋体"/>
                <w:color w:val="auto"/>
                <w:highlight w:val="none"/>
              </w:rPr>
              <w:t>（</w:t>
            </w:r>
            <w:r>
              <w:rPr>
                <w:rFonts w:hint="eastAsia" w:hAnsi="宋体"/>
                <w:color w:val="auto"/>
                <w:highlight w:val="none"/>
                <w:lang w:val="en-US" w:eastAsia="zh-CN"/>
              </w:rPr>
              <w:t>25</w:t>
            </w:r>
            <w:r>
              <w:rPr>
                <w:rFonts w:hint="eastAsia" w:hAnsi="宋体"/>
                <w:color w:val="auto"/>
                <w:highlight w:val="none"/>
                <w:lang w:eastAsia="zh-CN"/>
              </w:rPr>
              <w:t>天</w:t>
            </w:r>
            <w:r>
              <w:rPr>
                <w:rFonts w:hint="eastAsia" w:hAnsi="宋体"/>
                <w:color w:val="auto"/>
                <w:highlight w:val="none"/>
              </w:rPr>
              <w:t>）</w:t>
            </w:r>
          </w:p>
        </w:tc>
        <w:tc>
          <w:tcPr>
            <w:tcW w:w="2160" w:type="dxa"/>
            <w:vAlign w:val="center"/>
          </w:tcPr>
          <w:p>
            <w:pPr>
              <w:spacing w:line="360" w:lineRule="auto"/>
              <w:jc w:val="center"/>
              <w:rPr>
                <w:rFonts w:hint="eastAsia" w:hAnsi="宋体"/>
                <w:color w:val="auto"/>
                <w:highlight w:val="none"/>
              </w:rPr>
            </w:pPr>
            <w:r>
              <w:rPr>
                <w:rFonts w:hint="eastAsia" w:hAnsi="宋体"/>
                <w:color w:val="auto"/>
                <w:highlight w:val="none"/>
              </w:rPr>
              <w:t>须获得发包人加盖公章的阶段确认函后才能开展工作</w:t>
            </w:r>
          </w:p>
        </w:tc>
      </w:tr>
    </w:tbl>
    <w:p>
      <w:pPr>
        <w:spacing w:line="360" w:lineRule="auto"/>
        <w:ind w:firstLine="723" w:firstLineChars="300"/>
        <w:rPr>
          <w:rFonts w:hint="eastAsia" w:hAnsi="宋体"/>
          <w:b/>
          <w:bCs/>
          <w:color w:val="auto"/>
          <w:highlight w:val="none"/>
        </w:rPr>
      </w:pPr>
    </w:p>
    <w:p>
      <w:pPr>
        <w:numPr>
          <w:ilvl w:val="0"/>
          <w:numId w:val="18"/>
        </w:numPr>
        <w:spacing w:line="360" w:lineRule="auto"/>
        <w:ind w:firstLine="723" w:firstLineChars="300"/>
        <w:rPr>
          <w:rFonts w:hint="eastAsia" w:hAnsi="宋体"/>
          <w:b/>
          <w:bCs/>
          <w:color w:val="auto"/>
          <w:highlight w:val="none"/>
          <w:shd w:val="clear" w:color="auto" w:fill="auto"/>
          <w:lang w:eastAsia="zh-CN"/>
        </w:rPr>
      </w:pPr>
      <w:r>
        <w:rPr>
          <w:rFonts w:hint="eastAsia" w:hAnsi="宋体"/>
          <w:b/>
          <w:bCs/>
          <w:color w:val="auto"/>
          <w:highlight w:val="none"/>
        </w:rPr>
        <w:t xml:space="preserve"> </w:t>
      </w:r>
      <w:r>
        <w:rPr>
          <w:rFonts w:hint="eastAsia" w:hAnsi="宋体"/>
          <w:b w:val="0"/>
          <w:bCs w:val="0"/>
          <w:color w:val="auto"/>
          <w:highlight w:val="none"/>
          <w:shd w:val="clear" w:color="auto" w:fill="auto"/>
        </w:rPr>
        <w:t>本合同</w:t>
      </w:r>
      <w:r>
        <w:rPr>
          <w:rFonts w:hint="eastAsia" w:hAnsi="宋体"/>
          <w:b w:val="0"/>
          <w:bCs w:val="0"/>
          <w:color w:val="auto"/>
          <w:highlight w:val="none"/>
          <w:shd w:val="clear" w:color="auto" w:fill="auto"/>
          <w:lang w:eastAsia="zh-CN"/>
        </w:rPr>
        <w:t>暂定</w:t>
      </w:r>
      <w:r>
        <w:rPr>
          <w:rFonts w:hint="eastAsia" w:hAnsi="宋体"/>
          <w:b w:val="0"/>
          <w:bCs w:val="0"/>
          <w:color w:val="auto"/>
          <w:highlight w:val="none"/>
          <w:shd w:val="clear" w:color="auto" w:fill="auto"/>
        </w:rPr>
        <w:t>设计费为</w:t>
      </w:r>
      <w:r>
        <w:rPr>
          <w:rFonts w:hint="eastAsia" w:hAnsi="宋体"/>
          <w:b w:val="0"/>
          <w:bCs w:val="0"/>
          <w:color w:val="auto"/>
          <w:highlight w:val="none"/>
          <w:u w:val="single"/>
          <w:shd w:val="clear" w:color="auto" w:fill="auto"/>
        </w:rPr>
        <w:t xml:space="preserve">    </w:t>
      </w:r>
      <w:r>
        <w:rPr>
          <w:rFonts w:hint="eastAsia" w:hAnsi="宋体"/>
          <w:b w:val="0"/>
          <w:bCs w:val="0"/>
          <w:color w:val="auto"/>
          <w:highlight w:val="none"/>
          <w:shd w:val="clear" w:color="auto" w:fill="auto"/>
        </w:rPr>
        <w:t>万元人民币</w:t>
      </w:r>
      <w:r>
        <w:rPr>
          <w:rFonts w:hint="eastAsia" w:hAnsi="宋体"/>
          <w:b w:val="0"/>
          <w:bCs w:val="0"/>
          <w:color w:val="auto"/>
          <w:highlight w:val="none"/>
          <w:shd w:val="clear" w:color="auto" w:fill="auto"/>
          <w:lang w:eastAsia="zh-CN"/>
        </w:rPr>
        <w:t>，</w:t>
      </w:r>
      <w:r>
        <w:rPr>
          <w:rFonts w:hint="eastAsia" w:hAnsi="宋体"/>
          <w:b w:val="0"/>
          <w:bCs w:val="0"/>
          <w:color w:val="auto"/>
          <w:highlight w:val="none"/>
          <w:shd w:val="clear" w:color="auto" w:fill="auto"/>
          <w:lang w:val="en-US" w:eastAsia="zh-CN"/>
        </w:rPr>
        <w:t>最终以甲方审核的招标最高限价为计费基数进行结算。</w:t>
      </w:r>
    </w:p>
    <w:p>
      <w:pPr>
        <w:numPr>
          <w:ilvl w:val="0"/>
          <w:numId w:val="18"/>
        </w:numPr>
        <w:spacing w:line="360" w:lineRule="auto"/>
        <w:ind w:firstLine="720" w:firstLineChars="300"/>
        <w:rPr>
          <w:rFonts w:hint="eastAsia"/>
          <w:color w:val="auto"/>
          <w:highlight w:val="none"/>
          <w:lang w:eastAsia="zh-CN"/>
        </w:rPr>
      </w:pPr>
      <w:r>
        <w:rPr>
          <w:rFonts w:hint="eastAsia" w:hAnsi="宋体"/>
          <w:color w:val="auto"/>
          <w:highlight w:val="none"/>
          <w:lang w:val="en-US" w:eastAsia="zh-CN"/>
        </w:rPr>
        <w:t>结算</w:t>
      </w:r>
      <w:r>
        <w:rPr>
          <w:rFonts w:hint="eastAsia" w:hAnsi="宋体"/>
          <w:color w:val="auto"/>
          <w:highlight w:val="none"/>
          <w:lang w:eastAsia="zh-CN"/>
        </w:rPr>
        <w:t>计费方式</w:t>
      </w:r>
    </w:p>
    <w:tbl>
      <w:tblPr>
        <w:tblStyle w:val="5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049" w:type="dxa"/>
            <w:vAlign w:val="center"/>
          </w:tcPr>
          <w:p>
            <w:pPr>
              <w:spacing w:line="360" w:lineRule="auto"/>
              <w:jc w:val="center"/>
              <w:rPr>
                <w:rFonts w:hint="eastAsia" w:hAnsi="宋体" w:eastAsia="宋体"/>
                <w:color w:val="auto"/>
                <w:kern w:val="2"/>
                <w:sz w:val="21"/>
                <w:szCs w:val="21"/>
                <w:highlight w:val="none"/>
                <w:lang w:eastAsia="zh-CN"/>
              </w:rPr>
            </w:pPr>
            <w:r>
              <w:rPr>
                <w:rFonts w:hint="eastAsia" w:hAnsi="宋体"/>
                <w:color w:val="auto"/>
                <w:kern w:val="2"/>
                <w:sz w:val="21"/>
                <w:szCs w:val="21"/>
                <w:highlight w:val="none"/>
                <w:lang w:eastAsia="zh-CN"/>
              </w:rPr>
              <w:t>计费方式</w:t>
            </w:r>
          </w:p>
        </w:tc>
        <w:tc>
          <w:tcPr>
            <w:tcW w:w="6397" w:type="dxa"/>
            <w:vAlign w:val="center"/>
          </w:tcPr>
          <w:p>
            <w:pPr>
              <w:pStyle w:val="100"/>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工程设计费，按照以下计费方式：</w:t>
            </w:r>
          </w:p>
          <w:p>
            <w:pPr>
              <w:pStyle w:val="100"/>
              <w:numPr>
                <w:ilvl w:val="0"/>
                <w:numId w:val="19"/>
              </w:numPr>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按照《工程勘察设计收费标准》（2002 年修订本）计算的设计收费基准价×</w:t>
            </w:r>
            <w:r>
              <w:rPr>
                <w:rFonts w:hint="eastAsia" w:ascii="宋体" w:hAnsi="宋体" w:eastAsia="宋体" w:cs="宋体"/>
                <w:color w:val="auto"/>
                <w:szCs w:val="21"/>
                <w:highlight w:val="none"/>
                <w:lang w:eastAsia="zh-CN"/>
              </w:rPr>
              <w:t>设计</w:t>
            </w:r>
            <w:r>
              <w:rPr>
                <w:rFonts w:hint="eastAsia" w:ascii="宋体" w:hAnsi="宋体" w:eastAsia="宋体" w:cs="宋体"/>
                <w:color w:val="auto"/>
                <w:szCs w:val="21"/>
                <w:highlight w:val="none"/>
              </w:rPr>
              <w:t>服务收费系数（</w:t>
            </w:r>
            <w:r>
              <w:rPr>
                <w:rFonts w:hint="eastAsia" w:ascii="宋体" w:hAnsi="宋体" w:eastAsia="宋体" w:cs="宋体"/>
                <w:color w:val="auto"/>
                <w:szCs w:val="21"/>
                <w:highlight w:val="none"/>
                <w:lang w:val="en-US" w:eastAsia="zh-CN"/>
              </w:rPr>
              <w:t>0.80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1-成交下浮率</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确定，其中工程设计收费的计费额暂按</w:t>
            </w:r>
            <w:r>
              <w:rPr>
                <w:rFonts w:hint="eastAsia" w:ascii="宋体" w:hAnsi="宋体" w:cs="宋体"/>
                <w:color w:val="auto"/>
                <w:szCs w:val="21"/>
                <w:highlight w:val="none"/>
                <w:lang w:val="en-US" w:eastAsia="zh-CN"/>
              </w:rPr>
              <w:t>3200.00</w:t>
            </w:r>
            <w:r>
              <w:rPr>
                <w:rFonts w:hint="eastAsia" w:ascii="宋体" w:hAnsi="宋体" w:cs="宋体"/>
                <w:color w:val="auto"/>
                <w:szCs w:val="21"/>
                <w:highlight w:val="none"/>
              </w:rPr>
              <w:t>万元计取，最终以经</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审定的</w:t>
            </w:r>
            <w:r>
              <w:rPr>
                <w:rFonts w:hint="eastAsia" w:ascii="宋体" w:hAnsi="宋体" w:cs="宋体"/>
                <w:color w:val="auto"/>
                <w:szCs w:val="21"/>
                <w:highlight w:val="none"/>
                <w:u w:val="single"/>
                <w:lang w:val="en-US" w:eastAsia="zh-CN"/>
              </w:rPr>
              <w:t>招标最高限价</w:t>
            </w:r>
            <w:r>
              <w:rPr>
                <w:rFonts w:hint="eastAsia" w:ascii="宋体" w:hAnsi="宋体" w:cs="宋体"/>
                <w:color w:val="auto"/>
                <w:szCs w:val="21"/>
                <w:highlight w:val="none"/>
              </w:rPr>
              <w:t>作为工程设计收费基价的计费额，最终结算价以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审核的为准。</w:t>
            </w:r>
          </w:p>
          <w:p>
            <w:pPr>
              <w:pStyle w:val="100"/>
              <w:numPr>
                <w:ilvl w:val="0"/>
                <w:numId w:val="15"/>
              </w:numPr>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本项目设计收费</w:t>
            </w:r>
            <w:r>
              <w:rPr>
                <w:rFonts w:hint="eastAsia" w:ascii="宋体" w:hAnsi="宋体" w:cs="宋体"/>
                <w:color w:val="auto"/>
                <w:szCs w:val="21"/>
                <w:highlight w:val="none"/>
                <w:lang w:eastAsia="zh-CN"/>
              </w:rPr>
              <w:t>预算价</w:t>
            </w:r>
            <w:r>
              <w:rPr>
                <w:rFonts w:hint="eastAsia" w:ascii="宋体" w:hAnsi="宋体" w:cs="宋体"/>
                <w:color w:val="auto"/>
                <w:szCs w:val="21"/>
                <w:highlight w:val="none"/>
              </w:rPr>
              <w:t>=</w:t>
            </w:r>
            <w:r>
              <w:rPr>
                <w:rFonts w:hint="eastAsia" w:ascii="宋体" w:hAnsi="宋体" w:eastAsia="宋体" w:cs="宋体"/>
                <w:color w:val="auto"/>
                <w:szCs w:val="21"/>
                <w:highlight w:val="none"/>
              </w:rPr>
              <w:t>按照《工程勘察设计收费标准》（2002 年修订本）的收费基准价×</w:t>
            </w:r>
            <w:r>
              <w:rPr>
                <w:rFonts w:hint="eastAsia" w:ascii="宋体" w:hAnsi="宋体" w:eastAsia="宋体" w:cs="宋体"/>
                <w:color w:val="auto"/>
                <w:szCs w:val="21"/>
                <w:highlight w:val="none"/>
                <w:lang w:eastAsia="zh-CN"/>
              </w:rPr>
              <w:t>设计</w:t>
            </w:r>
            <w:r>
              <w:rPr>
                <w:rFonts w:hint="eastAsia" w:ascii="宋体" w:hAnsi="宋体" w:eastAsia="宋体" w:cs="宋体"/>
                <w:color w:val="auto"/>
                <w:szCs w:val="21"/>
                <w:highlight w:val="none"/>
              </w:rPr>
              <w:t>服务收费系数（</w:t>
            </w:r>
            <w:r>
              <w:rPr>
                <w:rFonts w:hint="eastAsia" w:ascii="宋体" w:hAnsi="宋体" w:eastAsia="宋体" w:cs="宋体"/>
                <w:color w:val="auto"/>
                <w:szCs w:val="21"/>
                <w:highlight w:val="none"/>
                <w:lang w:val="en-US" w:eastAsia="zh-CN"/>
              </w:rPr>
              <w:t>0.80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=966,328.00</w:t>
            </w:r>
            <w:r>
              <w:rPr>
                <w:rFonts w:hint="eastAsia" w:ascii="宋体" w:hAnsi="宋体" w:eastAsia="宋体" w:cs="宋体"/>
                <w:color w:val="auto"/>
                <w:szCs w:val="21"/>
                <w:highlight w:val="none"/>
              </w:rPr>
              <w:t>元</w:t>
            </w:r>
          </w:p>
          <w:p>
            <w:pPr>
              <w:pStyle w:val="100"/>
              <w:numPr>
                <w:ilvl w:val="0"/>
                <w:numId w:val="0"/>
              </w:num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其</w:t>
            </w:r>
            <w:r>
              <w:rPr>
                <w:rFonts w:hint="eastAsia" w:ascii="宋体" w:hAnsi="宋体" w:cs="宋体"/>
                <w:color w:val="auto"/>
                <w:szCs w:val="21"/>
                <w:highlight w:val="none"/>
              </w:rPr>
              <w:t>中相关调整系数：</w:t>
            </w:r>
          </w:p>
          <w:p>
            <w:pPr>
              <w:pStyle w:val="100"/>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①专业调整系数：</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p>
          <w:p>
            <w:pPr>
              <w:pStyle w:val="100"/>
              <w:spacing w:line="360" w:lineRule="auto"/>
              <w:ind w:firstLine="0" w:firstLineChars="0"/>
              <w:rPr>
                <w:rFonts w:hint="eastAsia" w:ascii="宋体" w:hAnsi="宋体" w:cs="宋体"/>
                <w:color w:val="auto"/>
                <w:szCs w:val="21"/>
                <w:highlight w:val="none"/>
                <w:u w:val="single"/>
              </w:rPr>
            </w:pPr>
            <w:r>
              <w:rPr>
                <w:rFonts w:hint="eastAsia" w:ascii="宋体" w:hAnsi="宋体" w:cs="宋体"/>
                <w:color w:val="auto"/>
                <w:szCs w:val="21"/>
                <w:highlight w:val="none"/>
              </w:rPr>
              <w:t>②工程复杂程度调整系数：</w:t>
            </w:r>
            <w:r>
              <w:rPr>
                <w:rFonts w:hint="eastAsia" w:ascii="宋体" w:hAnsi="宋体" w:cs="宋体"/>
                <w:color w:val="auto"/>
                <w:szCs w:val="21"/>
                <w:highlight w:val="none"/>
                <w:u w:val="single"/>
              </w:rPr>
              <w:t xml:space="preserve"> 1.0</w:t>
            </w:r>
          </w:p>
          <w:p>
            <w:pPr>
              <w:pStyle w:val="100"/>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③附加调整系数：</w:t>
            </w:r>
            <w:r>
              <w:rPr>
                <w:rFonts w:hint="eastAsia" w:ascii="宋体" w:hAnsi="宋体" w:cs="宋体"/>
                <w:color w:val="auto"/>
                <w:szCs w:val="21"/>
                <w:highlight w:val="none"/>
                <w:u w:val="single"/>
              </w:rPr>
              <w:t xml:space="preserve"> 1.0</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pStyle w:val="100"/>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lang w:eastAsia="zh-CN"/>
              </w:rPr>
              <w:t>④工程设计服务收费系数：</w:t>
            </w:r>
            <w:r>
              <w:rPr>
                <w:rFonts w:hint="eastAsia" w:ascii="宋体" w:hAnsi="宋体" w:cs="宋体"/>
                <w:color w:val="auto"/>
                <w:szCs w:val="21"/>
                <w:highlight w:val="none"/>
                <w:u w:val="single"/>
                <w:lang w:val="en-US" w:eastAsia="zh-CN"/>
              </w:rPr>
              <w:t>0.8</w:t>
            </w:r>
          </w:p>
          <w:p>
            <w:pPr>
              <w:pStyle w:val="10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费用：本工程设计各阶段中所需的专家评审劳务费、专家食宿及交通补贴费、会务费、电子校核、3D效果演示动画、绿色建筑咨询及评审、装配式工程设计评审（如有）、海绵城市设计评审（如有）、规划报批、办理施工图审查及备案（其中包括按规划部门要求编制电子报批方案、校核、电子图规整、制作网上公示图纸等规划报批相关服务费）所产生的费用，以上费用已包括完成设计范围内全部设计内容的一切费用，发包人不再另行向设计人支付费用，结算时</w:t>
            </w:r>
            <w:r>
              <w:rPr>
                <w:rFonts w:hint="eastAsia" w:ascii="宋体" w:hAnsi="宋体" w:cs="宋体"/>
                <w:color w:val="auto"/>
                <w:szCs w:val="21"/>
                <w:highlight w:val="none"/>
                <w:lang w:val="en-US" w:eastAsia="zh-CN"/>
              </w:rPr>
              <w:t>也</w:t>
            </w:r>
            <w:r>
              <w:rPr>
                <w:rFonts w:hint="eastAsia" w:ascii="宋体" w:hAnsi="宋体" w:cs="宋体"/>
                <w:color w:val="auto"/>
                <w:szCs w:val="21"/>
                <w:highlight w:val="none"/>
              </w:rPr>
              <w:t>不作调整。</w:t>
            </w:r>
          </w:p>
        </w:tc>
      </w:tr>
    </w:tbl>
    <w:p>
      <w:pPr>
        <w:pStyle w:val="2"/>
        <w:rPr>
          <w:rFonts w:hint="eastAsia"/>
          <w:color w:val="auto"/>
          <w:highlight w:val="none"/>
          <w:lang w:eastAsia="zh-CN"/>
        </w:rPr>
      </w:pPr>
    </w:p>
    <w:p>
      <w:pPr>
        <w:numPr>
          <w:ilvl w:val="0"/>
          <w:numId w:val="18"/>
        </w:numPr>
        <w:spacing w:line="360" w:lineRule="auto"/>
        <w:ind w:firstLine="720" w:firstLineChars="300"/>
        <w:rPr>
          <w:rFonts w:hint="eastAsia" w:hAnsi="宋体" w:eastAsia="宋体"/>
          <w:color w:val="auto"/>
          <w:highlight w:val="none"/>
          <w:lang w:eastAsia="zh-CN"/>
        </w:rPr>
      </w:pPr>
      <w:r>
        <w:rPr>
          <w:rFonts w:hint="eastAsia" w:hAnsi="宋体"/>
          <w:color w:val="auto"/>
          <w:highlight w:val="none"/>
        </w:rPr>
        <w:t>设计费支付进度详见下表</w:t>
      </w:r>
      <w:r>
        <w:rPr>
          <w:rFonts w:hint="eastAsia" w:hAnsi="宋体"/>
          <w:color w:val="auto"/>
          <w:highlight w:val="none"/>
          <w:lang w:eastAsia="zh-CN"/>
        </w:rPr>
        <w:t>：</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9"/>
        <w:gridCol w:w="1589"/>
        <w:gridCol w:w="1440"/>
        <w:gridCol w:w="4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79" w:type="dxa"/>
            <w:vAlign w:val="center"/>
          </w:tcPr>
          <w:p>
            <w:pPr>
              <w:jc w:val="center"/>
              <w:rPr>
                <w:rFonts w:hint="eastAsia" w:hAnsi="宋体"/>
                <w:color w:val="auto"/>
                <w:highlight w:val="none"/>
              </w:rPr>
            </w:pPr>
            <w:r>
              <w:rPr>
                <w:rFonts w:hint="eastAsia" w:hAnsi="宋体"/>
                <w:color w:val="auto"/>
                <w:highlight w:val="none"/>
              </w:rPr>
              <w:t>付费次序</w:t>
            </w:r>
          </w:p>
        </w:tc>
        <w:tc>
          <w:tcPr>
            <w:tcW w:w="1589" w:type="dxa"/>
            <w:vAlign w:val="center"/>
          </w:tcPr>
          <w:p>
            <w:pPr>
              <w:jc w:val="center"/>
              <w:rPr>
                <w:rFonts w:hint="eastAsia" w:hAnsi="宋体"/>
                <w:color w:val="auto"/>
                <w:highlight w:val="none"/>
              </w:rPr>
            </w:pPr>
            <w:r>
              <w:rPr>
                <w:rFonts w:hint="eastAsia" w:hAnsi="宋体"/>
                <w:color w:val="auto"/>
                <w:highlight w:val="none"/>
              </w:rPr>
              <w:t>占总设计费%</w:t>
            </w:r>
          </w:p>
        </w:tc>
        <w:tc>
          <w:tcPr>
            <w:tcW w:w="1440" w:type="dxa"/>
            <w:vAlign w:val="center"/>
          </w:tcPr>
          <w:p>
            <w:pPr>
              <w:jc w:val="center"/>
              <w:rPr>
                <w:rFonts w:hint="eastAsia" w:hAnsi="宋体"/>
                <w:color w:val="auto"/>
                <w:highlight w:val="none"/>
              </w:rPr>
            </w:pPr>
            <w:r>
              <w:rPr>
                <w:rFonts w:hint="eastAsia" w:hAnsi="宋体"/>
                <w:color w:val="auto"/>
                <w:highlight w:val="none"/>
              </w:rPr>
              <w:t>付费额</w:t>
            </w:r>
          </w:p>
          <w:p>
            <w:pPr>
              <w:jc w:val="center"/>
              <w:rPr>
                <w:rFonts w:hint="eastAsia" w:hAnsi="宋体"/>
                <w:color w:val="auto"/>
                <w:highlight w:val="none"/>
              </w:rPr>
            </w:pPr>
            <w:r>
              <w:rPr>
                <w:rFonts w:hint="eastAsia" w:hAnsi="宋体"/>
                <w:color w:val="auto"/>
                <w:highlight w:val="none"/>
              </w:rPr>
              <w:t>（万元）</w:t>
            </w:r>
          </w:p>
        </w:tc>
        <w:tc>
          <w:tcPr>
            <w:tcW w:w="4112" w:type="dxa"/>
            <w:vAlign w:val="center"/>
          </w:tcPr>
          <w:p>
            <w:pPr>
              <w:jc w:val="center"/>
              <w:rPr>
                <w:rFonts w:hint="eastAsia" w:hAnsi="宋体"/>
                <w:color w:val="auto"/>
                <w:highlight w:val="none"/>
              </w:rPr>
            </w:pPr>
            <w:r>
              <w:rPr>
                <w:rFonts w:hint="eastAsia" w:hAnsi="宋体"/>
                <w:color w:val="auto"/>
                <w:highlight w:val="none"/>
              </w:rPr>
              <w:t>付费时间（由交付设计文件所决定）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79" w:type="dxa"/>
            <w:vAlign w:val="center"/>
          </w:tcPr>
          <w:p>
            <w:pPr>
              <w:spacing w:line="360" w:lineRule="auto"/>
              <w:jc w:val="center"/>
              <w:rPr>
                <w:rFonts w:hint="eastAsia" w:hAnsi="宋体"/>
                <w:color w:val="auto"/>
                <w:highlight w:val="none"/>
              </w:rPr>
            </w:pPr>
            <w:r>
              <w:rPr>
                <w:rFonts w:hint="eastAsia" w:hAnsi="宋体"/>
                <w:color w:val="auto"/>
                <w:highlight w:val="none"/>
              </w:rPr>
              <w:t>第一次付费</w:t>
            </w:r>
          </w:p>
        </w:tc>
        <w:tc>
          <w:tcPr>
            <w:tcW w:w="1589" w:type="dxa"/>
            <w:vAlign w:val="center"/>
          </w:tcPr>
          <w:p>
            <w:pPr>
              <w:spacing w:line="360" w:lineRule="auto"/>
              <w:jc w:val="center"/>
              <w:rPr>
                <w:rFonts w:hint="default" w:hAnsi="宋体" w:eastAsia="宋体"/>
                <w:color w:val="auto"/>
                <w:highlight w:val="none"/>
                <w:lang w:val="en-US" w:eastAsia="zh-CN"/>
              </w:rPr>
            </w:pPr>
            <w:r>
              <w:rPr>
                <w:rFonts w:hint="eastAsia" w:hAnsi="宋体"/>
                <w:color w:val="auto"/>
                <w:highlight w:val="none"/>
                <w:lang w:val="en-US" w:eastAsia="zh-CN"/>
              </w:rPr>
              <w:t>40%</w:t>
            </w:r>
          </w:p>
        </w:tc>
        <w:tc>
          <w:tcPr>
            <w:tcW w:w="1440" w:type="dxa"/>
            <w:vAlign w:val="center"/>
          </w:tcPr>
          <w:p>
            <w:pPr>
              <w:spacing w:line="360" w:lineRule="auto"/>
              <w:jc w:val="center"/>
              <w:rPr>
                <w:rFonts w:hint="eastAsia" w:hAnsi="宋体"/>
                <w:color w:val="auto"/>
                <w:highlight w:val="none"/>
              </w:rPr>
            </w:pPr>
          </w:p>
        </w:tc>
        <w:tc>
          <w:tcPr>
            <w:tcW w:w="4112" w:type="dxa"/>
            <w:vAlign w:val="center"/>
          </w:tcPr>
          <w:p>
            <w:pPr>
              <w:spacing w:line="360" w:lineRule="auto"/>
              <w:rPr>
                <w:rFonts w:hint="eastAsia" w:hAnsi="宋体"/>
                <w:color w:val="auto"/>
                <w:highlight w:val="none"/>
              </w:rPr>
            </w:pPr>
            <w:r>
              <w:rPr>
                <w:rFonts w:hint="eastAsia" w:ascii="宋体" w:hAnsi="宋体" w:cs="宋体"/>
                <w:color w:val="auto"/>
                <w:szCs w:val="21"/>
                <w:highlight w:val="none"/>
              </w:rPr>
              <w:t>合同签订后，提交所有</w:t>
            </w:r>
            <w:r>
              <w:rPr>
                <w:rFonts w:hint="eastAsia" w:ascii="宋体" w:hAnsi="宋体" w:cs="宋体"/>
                <w:color w:val="auto"/>
                <w:szCs w:val="21"/>
                <w:highlight w:val="none"/>
                <w:lang w:eastAsia="zh-CN"/>
              </w:rPr>
              <w:t>方案</w:t>
            </w:r>
            <w:r>
              <w:rPr>
                <w:rFonts w:hint="eastAsia" w:ascii="宋体" w:hAnsi="宋体" w:cs="宋体"/>
                <w:color w:val="auto"/>
                <w:szCs w:val="21"/>
                <w:highlight w:val="none"/>
              </w:rPr>
              <w:t>设计文件及通过审核后，提交请款报告后30天内支付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79" w:type="dxa"/>
            <w:vAlign w:val="center"/>
          </w:tcPr>
          <w:p>
            <w:pPr>
              <w:spacing w:line="360" w:lineRule="auto"/>
              <w:jc w:val="center"/>
              <w:rPr>
                <w:rFonts w:hint="eastAsia" w:hAnsi="宋体"/>
                <w:color w:val="auto"/>
                <w:highlight w:val="none"/>
              </w:rPr>
            </w:pPr>
            <w:r>
              <w:rPr>
                <w:rFonts w:hint="eastAsia" w:hAnsi="宋体"/>
                <w:color w:val="auto"/>
                <w:highlight w:val="none"/>
              </w:rPr>
              <w:t>第二次付费</w:t>
            </w:r>
          </w:p>
        </w:tc>
        <w:tc>
          <w:tcPr>
            <w:tcW w:w="1589" w:type="dxa"/>
            <w:vAlign w:val="center"/>
          </w:tcPr>
          <w:p>
            <w:pPr>
              <w:spacing w:line="360" w:lineRule="auto"/>
              <w:jc w:val="center"/>
              <w:rPr>
                <w:rFonts w:hint="default" w:hAnsi="宋体" w:eastAsia="宋体"/>
                <w:color w:val="auto"/>
                <w:highlight w:val="none"/>
                <w:lang w:val="en-US" w:eastAsia="zh-CN"/>
              </w:rPr>
            </w:pPr>
            <w:r>
              <w:rPr>
                <w:rFonts w:hint="eastAsia" w:hAnsi="宋体"/>
                <w:color w:val="auto"/>
                <w:highlight w:val="none"/>
                <w:lang w:val="en-US" w:eastAsia="zh-CN"/>
              </w:rPr>
              <w:t>40%</w:t>
            </w:r>
          </w:p>
        </w:tc>
        <w:tc>
          <w:tcPr>
            <w:tcW w:w="1440" w:type="dxa"/>
            <w:vAlign w:val="center"/>
          </w:tcPr>
          <w:p>
            <w:pPr>
              <w:spacing w:line="360" w:lineRule="auto"/>
              <w:jc w:val="center"/>
              <w:rPr>
                <w:rFonts w:hint="eastAsia" w:hAnsi="宋体"/>
                <w:color w:val="auto"/>
                <w:highlight w:val="none"/>
              </w:rPr>
            </w:pPr>
          </w:p>
        </w:tc>
        <w:tc>
          <w:tcPr>
            <w:tcW w:w="4112" w:type="dxa"/>
            <w:vAlign w:val="center"/>
          </w:tcPr>
          <w:p>
            <w:pPr>
              <w:spacing w:line="360" w:lineRule="auto"/>
              <w:rPr>
                <w:rFonts w:hint="eastAsia" w:hAnsi="宋体"/>
                <w:color w:val="auto"/>
                <w:highlight w:val="none"/>
              </w:rPr>
            </w:pPr>
            <w:r>
              <w:rPr>
                <w:rFonts w:hint="eastAsia" w:ascii="宋体" w:hAnsi="宋体" w:cs="宋体"/>
                <w:color w:val="auto"/>
                <w:szCs w:val="21"/>
                <w:highlight w:val="none"/>
              </w:rPr>
              <w:t>提交所有</w:t>
            </w:r>
            <w:r>
              <w:rPr>
                <w:rFonts w:hint="eastAsia" w:ascii="宋体" w:hAnsi="宋体" w:cs="宋体"/>
                <w:color w:val="auto"/>
                <w:szCs w:val="21"/>
                <w:highlight w:val="none"/>
                <w:lang w:eastAsia="zh-CN"/>
              </w:rPr>
              <w:t>施工图</w:t>
            </w:r>
            <w:r>
              <w:rPr>
                <w:rFonts w:hint="eastAsia" w:ascii="宋体" w:hAnsi="宋体" w:cs="宋体"/>
                <w:color w:val="auto"/>
                <w:szCs w:val="21"/>
                <w:highlight w:val="none"/>
              </w:rPr>
              <w:t>设计文件及通过审核后，提交请款报告后30天内支付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79" w:type="dxa"/>
            <w:vAlign w:val="center"/>
          </w:tcPr>
          <w:p>
            <w:pPr>
              <w:spacing w:line="360" w:lineRule="auto"/>
              <w:jc w:val="center"/>
              <w:rPr>
                <w:rFonts w:hint="eastAsia" w:hAnsi="宋体"/>
                <w:color w:val="auto"/>
                <w:highlight w:val="none"/>
              </w:rPr>
            </w:pPr>
            <w:r>
              <w:rPr>
                <w:rFonts w:hint="eastAsia" w:hAnsi="宋体"/>
                <w:color w:val="auto"/>
                <w:highlight w:val="none"/>
              </w:rPr>
              <w:t>第三次付费</w:t>
            </w:r>
          </w:p>
        </w:tc>
        <w:tc>
          <w:tcPr>
            <w:tcW w:w="1589" w:type="dxa"/>
            <w:vAlign w:val="center"/>
          </w:tcPr>
          <w:p>
            <w:pPr>
              <w:spacing w:line="360" w:lineRule="auto"/>
              <w:jc w:val="center"/>
              <w:rPr>
                <w:rFonts w:hint="eastAsia" w:hAnsi="宋体"/>
                <w:color w:val="auto"/>
                <w:highlight w:val="none"/>
              </w:rPr>
            </w:pPr>
            <w:r>
              <w:rPr>
                <w:rFonts w:hint="eastAsia" w:hAnsi="宋体"/>
                <w:color w:val="auto"/>
                <w:highlight w:val="none"/>
                <w:lang w:val="en-US" w:eastAsia="zh-CN"/>
              </w:rPr>
              <w:t>20%</w:t>
            </w:r>
            <w:r>
              <w:rPr>
                <w:rFonts w:hint="eastAsia" w:hAnsi="宋体"/>
                <w:color w:val="auto"/>
                <w:highlight w:val="none"/>
              </w:rPr>
              <w:t xml:space="preserve"> </w:t>
            </w:r>
          </w:p>
        </w:tc>
        <w:tc>
          <w:tcPr>
            <w:tcW w:w="1440" w:type="dxa"/>
            <w:vAlign w:val="center"/>
          </w:tcPr>
          <w:p>
            <w:pPr>
              <w:spacing w:line="360" w:lineRule="auto"/>
              <w:jc w:val="center"/>
              <w:rPr>
                <w:rFonts w:hint="eastAsia" w:hAnsi="宋体"/>
                <w:color w:val="auto"/>
                <w:highlight w:val="none"/>
              </w:rPr>
            </w:pPr>
          </w:p>
        </w:tc>
        <w:tc>
          <w:tcPr>
            <w:tcW w:w="4112" w:type="dxa"/>
            <w:vAlign w:val="center"/>
          </w:tcPr>
          <w:p>
            <w:pPr>
              <w:spacing w:line="360" w:lineRule="auto"/>
              <w:rPr>
                <w:rFonts w:hint="eastAsia" w:hAnsi="宋体"/>
                <w:color w:val="auto"/>
                <w:highlight w:val="none"/>
              </w:rPr>
            </w:pPr>
            <w:r>
              <w:rPr>
                <w:rFonts w:hint="eastAsia" w:ascii="宋体" w:hAnsi="宋体" w:cs="宋体"/>
                <w:color w:val="auto"/>
                <w:szCs w:val="21"/>
                <w:highlight w:val="none"/>
              </w:rPr>
              <w:t>工程竣工验收合格</w:t>
            </w:r>
            <w:r>
              <w:rPr>
                <w:rFonts w:hint="eastAsia" w:hAnsi="宋体" w:cs="宋体"/>
                <w:color w:val="auto"/>
                <w:szCs w:val="21"/>
                <w:highlight w:val="none"/>
                <w:lang w:eastAsia="zh-CN"/>
              </w:rPr>
              <w:t>、</w:t>
            </w:r>
            <w:r>
              <w:rPr>
                <w:rFonts w:hint="eastAsia" w:ascii="宋体" w:hAnsi="宋体" w:cs="宋体"/>
                <w:color w:val="auto"/>
                <w:szCs w:val="21"/>
                <w:highlight w:val="none"/>
              </w:rPr>
              <w:t>施工配合阶段</w:t>
            </w:r>
            <w:r>
              <w:rPr>
                <w:rFonts w:hint="eastAsia" w:ascii="宋体" w:hAnsi="宋体" w:cs="宋体"/>
                <w:color w:val="auto"/>
                <w:szCs w:val="21"/>
                <w:highlight w:val="none"/>
                <w:lang w:eastAsia="zh-CN"/>
              </w:rPr>
              <w:t>结束后，</w:t>
            </w:r>
            <w:r>
              <w:rPr>
                <w:rFonts w:hint="eastAsia" w:ascii="宋体" w:hAnsi="宋体" w:cs="宋体"/>
                <w:color w:val="auto"/>
                <w:szCs w:val="21"/>
                <w:highlight w:val="none"/>
              </w:rPr>
              <w:t>提交请款报告后30天内支付</w:t>
            </w:r>
          </w:p>
        </w:tc>
      </w:tr>
    </w:tbl>
    <w:p>
      <w:pPr>
        <w:spacing w:line="360" w:lineRule="auto"/>
        <w:rPr>
          <w:rFonts w:hint="eastAsia" w:hAnsi="宋体"/>
          <w:color w:val="auto"/>
          <w:highlight w:val="none"/>
        </w:rPr>
      </w:pPr>
    </w:p>
    <w:p>
      <w:pPr>
        <w:spacing w:line="500" w:lineRule="exact"/>
        <w:ind w:firstLine="573"/>
        <w:rPr>
          <w:rFonts w:hint="eastAsia" w:hAnsi="宋体"/>
          <w:b/>
          <w:color w:val="auto"/>
          <w:highlight w:val="none"/>
        </w:rPr>
      </w:pPr>
      <w:r>
        <w:rPr>
          <w:rFonts w:hint="eastAsia" w:hAnsi="宋体"/>
          <w:b/>
          <w:color w:val="auto"/>
          <w:highlight w:val="none"/>
        </w:rPr>
        <w:t>第六条  双方责任</w:t>
      </w:r>
    </w:p>
    <w:p>
      <w:pPr>
        <w:spacing w:line="480" w:lineRule="exact"/>
        <w:ind w:firstLine="570"/>
        <w:rPr>
          <w:rFonts w:hint="eastAsia" w:hAnsi="宋体"/>
          <w:color w:val="auto"/>
          <w:highlight w:val="none"/>
        </w:rPr>
      </w:pPr>
      <w:r>
        <w:rPr>
          <w:rFonts w:hint="eastAsia" w:hAnsi="宋体"/>
          <w:color w:val="auto"/>
          <w:highlight w:val="none"/>
        </w:rPr>
        <w:t>6.1 发包人责任：</w:t>
      </w:r>
    </w:p>
    <w:p>
      <w:pPr>
        <w:spacing w:line="480" w:lineRule="exact"/>
        <w:ind w:firstLine="570"/>
        <w:rPr>
          <w:rFonts w:hint="eastAsia" w:hAnsi="宋体"/>
          <w:color w:val="auto"/>
          <w:highlight w:val="none"/>
        </w:rPr>
      </w:pPr>
      <w:r>
        <w:rPr>
          <w:rFonts w:hint="eastAsia" w:hAnsi="宋体"/>
          <w:color w:val="auto"/>
          <w:highlight w:val="none"/>
        </w:rPr>
        <w:t>6.1.1 发包人按本合同第三条规定的内容，在规定的时间内向设计人提交资料及文件，并对其完整性、正确性及时限负责，发包人不得要求设计人违反《建设用地规划许可证》或《土地使用权出让合同书》等有关文件规定及国家有关标准进行设计。</w:t>
      </w:r>
    </w:p>
    <w:p>
      <w:pPr>
        <w:spacing w:line="480" w:lineRule="exact"/>
        <w:ind w:firstLine="570"/>
        <w:rPr>
          <w:rFonts w:hint="eastAsia" w:hAnsi="宋体"/>
          <w:color w:val="auto"/>
          <w:highlight w:val="none"/>
        </w:rPr>
      </w:pPr>
      <w:r>
        <w:rPr>
          <w:rFonts w:hint="eastAsia" w:hAnsi="宋体"/>
          <w:color w:val="auto"/>
          <w:highlight w:val="none"/>
        </w:rPr>
        <w:t>6.1.2 发包人提交上述资料及文件超过规定期限15天以内，设计人按合同第四条规定交付设计文件时间顺延；超过规定期限15天以上时，设计人员有权重新确定提交设计文件的时间。</w:t>
      </w:r>
    </w:p>
    <w:p>
      <w:pPr>
        <w:spacing w:line="480" w:lineRule="exact"/>
        <w:ind w:firstLine="570"/>
        <w:rPr>
          <w:rFonts w:hint="eastAsia" w:hAnsi="宋体"/>
          <w:color w:val="auto"/>
          <w:highlight w:val="none"/>
        </w:rPr>
      </w:pPr>
      <w:r>
        <w:rPr>
          <w:rFonts w:hint="eastAsia" w:hAnsi="宋体"/>
          <w:color w:val="auto"/>
          <w:highlight w:val="none"/>
        </w:rPr>
        <w:t>6.1.3 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rPr>
          <w:rFonts w:hint="eastAsia" w:hAnsi="宋体"/>
          <w:color w:val="auto"/>
          <w:highlight w:val="none"/>
        </w:rPr>
      </w:pPr>
      <w:r>
        <w:rPr>
          <w:rFonts w:hint="eastAsia" w:hAnsi="宋体"/>
          <w:color w:val="auto"/>
          <w:highlight w:val="none"/>
        </w:rPr>
        <w:t>在双方签署合同前发包人已同意，设计人为发包人所做的各项设计工作，应按收费标准，支付相应设计费。</w:t>
      </w:r>
    </w:p>
    <w:p>
      <w:pPr>
        <w:spacing w:line="480" w:lineRule="exact"/>
        <w:ind w:firstLine="570"/>
        <w:rPr>
          <w:rFonts w:hint="eastAsia" w:hAnsi="宋体"/>
          <w:color w:val="auto"/>
          <w:highlight w:val="none"/>
        </w:rPr>
      </w:pPr>
      <w:r>
        <w:rPr>
          <w:rFonts w:hint="eastAsia" w:hAnsi="宋体"/>
          <w:color w:val="auto"/>
          <w:highlight w:val="none"/>
        </w:rPr>
        <w:t>6.1.4 发包人要求设计人比合同规定时间提前交付设计资料及文件时，如果设计人能够做到，发包人应根据设计人提前投入的工作量，向设计人支付赶工费。</w:t>
      </w:r>
    </w:p>
    <w:p>
      <w:pPr>
        <w:spacing w:line="480" w:lineRule="exact"/>
        <w:ind w:firstLine="570"/>
        <w:rPr>
          <w:rFonts w:hint="eastAsia" w:hAnsi="宋体"/>
          <w:color w:val="auto"/>
          <w:highlight w:val="none"/>
        </w:rPr>
      </w:pPr>
      <w:r>
        <w:rPr>
          <w:rFonts w:hint="eastAsia" w:hAnsi="宋体"/>
          <w:color w:val="auto"/>
          <w:highlight w:val="none"/>
        </w:rPr>
        <w:t>6.1.5 发包人应为派赴现场处理有关设计问题的工作人员，提供必要的工作生活及交通等方便条件。</w:t>
      </w:r>
    </w:p>
    <w:p>
      <w:pPr>
        <w:spacing w:line="480" w:lineRule="exact"/>
        <w:ind w:firstLine="570"/>
        <w:rPr>
          <w:rFonts w:hint="eastAsia" w:hAnsi="宋体"/>
          <w:color w:val="auto"/>
          <w:highlight w:val="none"/>
        </w:rPr>
      </w:pPr>
      <w:r>
        <w:rPr>
          <w:rFonts w:hint="eastAsia" w:hAnsi="宋体"/>
          <w:color w:val="auto"/>
          <w:highlight w:val="none"/>
        </w:rPr>
        <w:t>6.1.6 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spacing w:line="480" w:lineRule="exact"/>
        <w:ind w:firstLine="570"/>
        <w:rPr>
          <w:rFonts w:hint="eastAsia" w:hAnsi="宋体"/>
          <w:color w:val="auto"/>
          <w:highlight w:val="none"/>
        </w:rPr>
      </w:pPr>
      <w:r>
        <w:rPr>
          <w:rFonts w:hint="eastAsia" w:hAnsi="宋体"/>
          <w:color w:val="auto"/>
          <w:highlight w:val="none"/>
        </w:rPr>
        <w:t>6.2 设计人责任：</w:t>
      </w:r>
    </w:p>
    <w:p>
      <w:pPr>
        <w:spacing w:line="480" w:lineRule="exact"/>
        <w:ind w:firstLine="570"/>
        <w:rPr>
          <w:rFonts w:hint="eastAsia" w:hAnsi="宋体"/>
          <w:color w:val="auto"/>
          <w:highlight w:val="none"/>
        </w:rPr>
      </w:pPr>
      <w:r>
        <w:rPr>
          <w:rFonts w:hint="eastAsia" w:hAnsi="宋体"/>
          <w:color w:val="auto"/>
          <w:highlight w:val="none"/>
        </w:rPr>
        <w:t>6.2.1 设计人应严格按照《建设用地规划许可证》或《土地使用权出让合同书》的有关规定，有关工程强制性标准，国家和地方技术规范、标准、规程及发包人提出的设计要求，进行工程设计，技术经济指标符合国家有关规定，按合同规定的进度要求提交质量合格的设计资料，并对其负责。</w:t>
      </w:r>
    </w:p>
    <w:p>
      <w:pPr>
        <w:spacing w:line="480" w:lineRule="exact"/>
        <w:ind w:firstLine="570"/>
        <w:rPr>
          <w:rFonts w:hint="eastAsia" w:hAnsi="宋体"/>
          <w:color w:val="auto"/>
          <w:highlight w:val="none"/>
        </w:rPr>
      </w:pPr>
      <w:r>
        <w:rPr>
          <w:rFonts w:hint="eastAsia" w:hAnsi="宋体"/>
          <w:color w:val="auto"/>
          <w:sz w:val="20"/>
          <w:highlight w:val="none"/>
        </w:rPr>
        <mc:AlternateContent>
          <mc:Choice Requires="wps">
            <w:drawing>
              <wp:anchor distT="0" distB="0" distL="114300" distR="114300" simplePos="0" relativeHeight="251668480" behindDoc="0" locked="0" layoutInCell="1" allowOverlap="1">
                <wp:simplePos x="0" y="0"/>
                <wp:positionH relativeFrom="column">
                  <wp:posOffset>2171700</wp:posOffset>
                </wp:positionH>
                <wp:positionV relativeFrom="paragraph">
                  <wp:posOffset>297180</wp:posOffset>
                </wp:positionV>
                <wp:extent cx="800100" cy="0"/>
                <wp:effectExtent l="13335" t="6985" r="5715" b="12065"/>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1pt;margin-top:23.4pt;height:0pt;width:63pt;z-index:251668480;mso-width-relative:page;mso-height-relative:page;" filled="f" stroked="t" coordsize="21600,21600" o:gfxdata="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e3SiTWAAAACQEA&#10;AA8AAAAAAAAAAQAgAAAAIgAAAGRycy9kb3ducmV2LnhtbFBLAQIUABQAAAAIAIdO4kBpUwJU4wEA&#10;AKsDAAAOAAAAAAAAAAEAIAAAACUBAABkcnMvZTJvRG9jLnhtbFBLBQYAAAAABgAGAFkBAAB6BQAA&#10;AAA=&#10;">
                <v:fill on="f" focussize="0,0"/>
                <v:stroke color="#000000" joinstyle="round"/>
                <v:imagedata o:title=""/>
                <o:lock v:ext="edit" aspectratio="f"/>
              </v:line>
            </w:pict>
          </mc:Fallback>
        </mc:AlternateContent>
      </w:r>
      <w:r>
        <w:rPr>
          <w:rFonts w:hint="eastAsia" w:hAnsi="宋体"/>
          <w:color w:val="auto"/>
          <w:highlight w:val="none"/>
        </w:rPr>
        <w:t>6.2.2 设计合理使用年限为按国家规定年限。</w:t>
      </w:r>
    </w:p>
    <w:p>
      <w:pPr>
        <w:spacing w:line="480" w:lineRule="exact"/>
        <w:ind w:firstLine="570"/>
        <w:rPr>
          <w:rFonts w:hint="eastAsia" w:hAnsi="宋体"/>
          <w:color w:val="auto"/>
          <w:highlight w:val="none"/>
        </w:rPr>
      </w:pPr>
      <w:r>
        <w:rPr>
          <w:rFonts w:hint="eastAsia" w:hAnsi="宋体"/>
          <w:color w:val="auto"/>
          <w:highlight w:val="none"/>
        </w:rPr>
        <w:t>6.2.3设计人按本合同第二条和第四条规定内容、进度及份数向发包人交付资料及文件，提交各阶段文件实际时间以合同生效日为起始日期，顺延计算。</w:t>
      </w:r>
    </w:p>
    <w:p>
      <w:pPr>
        <w:spacing w:line="480" w:lineRule="exact"/>
        <w:ind w:firstLine="570"/>
        <w:rPr>
          <w:rFonts w:hint="eastAsia" w:hAnsi="宋体"/>
          <w:color w:val="auto"/>
          <w:highlight w:val="none"/>
        </w:rPr>
      </w:pPr>
      <w:r>
        <w:rPr>
          <w:rFonts w:hint="eastAsia" w:hAnsi="宋体"/>
          <w:color w:val="auto"/>
          <w:highlight w:val="none"/>
        </w:rPr>
        <w:t>6.2.4 设计人交付设计资料及文件后，按规定参加有关的设计审查，并根据审查结论负责对不超出原定范围的内容做必要调整补充。设计人按合同规定期限交付设计资料及文件，本年内项目开始施工，负责向发包人及施工单位进行设计交底、处理有关设计问题和参加竣工验收。在一年内项目尚未开始施工，设计人仍负责上述工作，但应按所需工作量向发包人收取咨询服务费，收费额由双方商定。</w:t>
      </w:r>
    </w:p>
    <w:p>
      <w:pPr>
        <w:spacing w:line="480" w:lineRule="exact"/>
        <w:ind w:firstLine="570"/>
        <w:rPr>
          <w:rFonts w:hint="eastAsia" w:hAnsi="宋体"/>
          <w:color w:val="auto"/>
          <w:highlight w:val="none"/>
        </w:rPr>
      </w:pPr>
      <w:r>
        <w:rPr>
          <w:rFonts w:hint="eastAsia" w:hAnsi="宋体"/>
          <w:color w:val="auto"/>
          <w:highlight w:val="none"/>
        </w:rPr>
        <w:t>6.2.5 设计人应保护发包人的知识产权，不得向第三人泄露、转让发包人提交的产品图纸等技术经济资料。如发生以上情况并给发包人造成经济损失，发包人有权向设计人索赔。</w:t>
      </w:r>
    </w:p>
    <w:p>
      <w:pPr>
        <w:spacing w:line="480" w:lineRule="exact"/>
        <w:ind w:firstLine="570"/>
        <w:rPr>
          <w:rFonts w:hint="eastAsia" w:hAnsi="宋体"/>
          <w:color w:val="auto"/>
          <w:highlight w:val="none"/>
        </w:rPr>
      </w:pPr>
    </w:p>
    <w:p>
      <w:pPr>
        <w:numPr>
          <w:ilvl w:val="0"/>
          <w:numId w:val="20"/>
        </w:numPr>
        <w:autoSpaceDE/>
        <w:autoSpaceDN/>
        <w:adjustRightInd/>
        <w:spacing w:line="480" w:lineRule="exact"/>
        <w:ind w:left="1696" w:hanging="1123"/>
        <w:jc w:val="both"/>
        <w:rPr>
          <w:rFonts w:hint="eastAsia" w:hAnsi="宋体"/>
          <w:b/>
          <w:color w:val="auto"/>
          <w:highlight w:val="none"/>
        </w:rPr>
      </w:pPr>
      <w:r>
        <w:rPr>
          <w:rFonts w:hint="eastAsia" w:hAnsi="宋体"/>
          <w:b/>
          <w:color w:val="auto"/>
          <w:highlight w:val="none"/>
        </w:rPr>
        <w:t>违约责任</w:t>
      </w:r>
    </w:p>
    <w:p>
      <w:pPr>
        <w:spacing w:line="480" w:lineRule="exact"/>
        <w:ind w:firstLine="570"/>
        <w:rPr>
          <w:rFonts w:hint="eastAsia" w:hAnsi="宋体"/>
          <w:color w:val="auto"/>
          <w:highlight w:val="none"/>
        </w:rPr>
      </w:pPr>
      <w:r>
        <w:rPr>
          <w:rFonts w:hint="eastAsia" w:hAnsi="宋体"/>
          <w:color w:val="auto"/>
          <w:highlight w:val="none"/>
        </w:rPr>
        <w:t>7.1 在合同履行期间，发包人要求终止或解除合同，设计人未开始设计工作的，不退还发包人已付的定金；已开始设计工作的，发包人应根据设计人已进行的实际工作量，</w:t>
      </w:r>
      <w:r>
        <w:rPr>
          <w:rFonts w:hint="eastAsia" w:hAnsi="宋体"/>
          <w:color w:val="auto"/>
          <w:highlight w:val="none"/>
          <w:lang w:eastAsia="zh-CN"/>
        </w:rPr>
        <w:t>按实际设计成果双方协商支付设计费</w:t>
      </w:r>
      <w:r>
        <w:rPr>
          <w:rFonts w:hint="eastAsia" w:hAnsi="宋体"/>
          <w:color w:val="auto"/>
          <w:highlight w:val="none"/>
        </w:rPr>
        <w:t>。</w:t>
      </w:r>
    </w:p>
    <w:p>
      <w:pPr>
        <w:spacing w:line="480" w:lineRule="exact"/>
        <w:ind w:firstLine="570"/>
        <w:rPr>
          <w:rFonts w:hint="eastAsia" w:hAnsi="宋体"/>
          <w:color w:val="auto"/>
          <w:highlight w:val="none"/>
        </w:rPr>
      </w:pPr>
      <w:r>
        <w:rPr>
          <w:rFonts w:hint="eastAsia" w:hAnsi="宋体"/>
          <w:color w:val="auto"/>
          <w:highlight w:val="none"/>
        </w:rPr>
        <w:t>7.</w:t>
      </w:r>
      <w:r>
        <w:rPr>
          <w:rFonts w:hint="eastAsia" w:hAnsi="宋体"/>
          <w:color w:val="auto"/>
          <w:highlight w:val="none"/>
          <w:lang w:val="en-US" w:eastAsia="zh-CN"/>
        </w:rPr>
        <w:t>2</w:t>
      </w:r>
      <w:r>
        <w:rPr>
          <w:rFonts w:hint="eastAsia" w:hAnsi="宋体"/>
          <w:color w:val="auto"/>
          <w:highlight w:val="none"/>
        </w:rPr>
        <w:t xml:space="preserve"> 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最高不超过本项目已收设计费总额。</w:t>
      </w:r>
    </w:p>
    <w:p>
      <w:pPr>
        <w:spacing w:line="480" w:lineRule="exact"/>
        <w:ind w:firstLine="570"/>
        <w:rPr>
          <w:rFonts w:hint="eastAsia"/>
          <w:color w:val="auto"/>
          <w:highlight w:val="none"/>
        </w:rPr>
      </w:pPr>
      <w:r>
        <w:rPr>
          <w:rFonts w:hint="eastAsia" w:hAnsi="宋体"/>
          <w:color w:val="auto"/>
          <w:highlight w:val="none"/>
        </w:rPr>
        <w:t>7.</w:t>
      </w:r>
      <w:r>
        <w:rPr>
          <w:rFonts w:hint="eastAsia" w:hAnsi="宋体"/>
          <w:color w:val="auto"/>
          <w:highlight w:val="none"/>
          <w:lang w:val="en-US" w:eastAsia="zh-CN"/>
        </w:rPr>
        <w:t>3</w:t>
      </w:r>
      <w:r>
        <w:rPr>
          <w:rFonts w:hint="eastAsia" w:hAnsi="宋体"/>
          <w:color w:val="auto"/>
          <w:highlight w:val="none"/>
        </w:rPr>
        <w:t xml:space="preserve"> </w:t>
      </w:r>
      <w:r>
        <w:rPr>
          <w:rFonts w:hint="eastAsia"/>
          <w:color w:val="auto"/>
          <w:highlight w:val="none"/>
        </w:rPr>
        <w:t>如发包人要求</w:t>
      </w:r>
      <w:r>
        <w:rPr>
          <w:rFonts w:hint="eastAsia" w:hAnsi="宋体"/>
          <w:color w:val="auto"/>
          <w:highlight w:val="none"/>
        </w:rPr>
        <w:t>设计人</w:t>
      </w:r>
      <w:r>
        <w:rPr>
          <w:rFonts w:hint="eastAsia"/>
          <w:color w:val="auto"/>
          <w:highlight w:val="none"/>
          <w:lang w:eastAsia="zh-CN"/>
        </w:rPr>
        <w:t>作颠覆性</w:t>
      </w:r>
      <w:r>
        <w:rPr>
          <w:rFonts w:hint="eastAsia"/>
          <w:color w:val="auto"/>
          <w:highlight w:val="none"/>
        </w:rPr>
        <w:t>修改，这应被视为额外的服务项目，收费应由双方协商解决。</w:t>
      </w:r>
    </w:p>
    <w:p>
      <w:pPr>
        <w:spacing w:line="480" w:lineRule="exact"/>
        <w:ind w:firstLine="570"/>
        <w:rPr>
          <w:rFonts w:hint="eastAsia" w:hAnsi="宋体"/>
          <w:color w:val="auto"/>
          <w:highlight w:val="none"/>
        </w:rPr>
      </w:pPr>
      <w:r>
        <w:rPr>
          <w:rFonts w:hint="eastAsia" w:hAnsi="宋体"/>
          <w:color w:val="auto"/>
          <w:highlight w:val="none"/>
        </w:rPr>
        <w:t>7.</w:t>
      </w:r>
      <w:r>
        <w:rPr>
          <w:rFonts w:hint="eastAsia" w:hAnsi="宋体"/>
          <w:color w:val="auto"/>
          <w:highlight w:val="none"/>
          <w:lang w:val="en-US" w:eastAsia="zh-CN"/>
        </w:rPr>
        <w:t>4</w:t>
      </w:r>
      <w:r>
        <w:rPr>
          <w:rFonts w:hint="eastAsia"/>
          <w:color w:val="auto"/>
          <w:highlight w:val="none"/>
        </w:rPr>
        <w:t>由于设计人自身原因，延误了按本合同第四条规定的设计资料及文件的交付时间，每延误一天，应减收该项目应收设计费的千分之二。</w:t>
      </w:r>
    </w:p>
    <w:p>
      <w:pPr>
        <w:spacing w:line="480" w:lineRule="exact"/>
        <w:ind w:firstLine="570"/>
        <w:rPr>
          <w:rFonts w:hint="eastAsia" w:hAnsi="宋体"/>
          <w:color w:val="auto"/>
          <w:highlight w:val="none"/>
        </w:rPr>
      </w:pPr>
      <w:r>
        <w:rPr>
          <w:rFonts w:hint="eastAsia" w:hAnsi="宋体"/>
          <w:color w:val="auto"/>
          <w:highlight w:val="none"/>
        </w:rPr>
        <w:t>7.</w:t>
      </w:r>
      <w:r>
        <w:rPr>
          <w:rFonts w:hint="eastAsia" w:hAnsi="宋体"/>
          <w:color w:val="auto"/>
          <w:highlight w:val="none"/>
          <w:lang w:val="en-US" w:eastAsia="zh-CN"/>
        </w:rPr>
        <w:t>5</w:t>
      </w:r>
      <w:r>
        <w:rPr>
          <w:rFonts w:hint="eastAsia" w:hAnsi="宋体"/>
          <w:color w:val="auto"/>
          <w:highlight w:val="none"/>
        </w:rPr>
        <w:t xml:space="preserve"> 合同生效后，设计人要求终止或解除合同，设计人应双倍返还定金。</w:t>
      </w:r>
    </w:p>
    <w:p>
      <w:pPr>
        <w:spacing w:line="480" w:lineRule="exact"/>
        <w:ind w:firstLine="570"/>
        <w:rPr>
          <w:rFonts w:hint="eastAsia" w:hAnsi="宋体"/>
          <w:color w:val="auto"/>
          <w:highlight w:val="none"/>
        </w:rPr>
      </w:pPr>
    </w:p>
    <w:p>
      <w:pPr>
        <w:numPr>
          <w:ilvl w:val="0"/>
          <w:numId w:val="20"/>
        </w:numPr>
        <w:autoSpaceDE/>
        <w:autoSpaceDN/>
        <w:adjustRightInd/>
        <w:spacing w:line="480" w:lineRule="exact"/>
        <w:jc w:val="both"/>
        <w:rPr>
          <w:rFonts w:hint="eastAsia" w:hAnsi="宋体"/>
          <w:b/>
          <w:color w:val="auto"/>
          <w:highlight w:val="none"/>
        </w:rPr>
      </w:pPr>
      <w:r>
        <w:rPr>
          <w:rFonts w:hint="eastAsia" w:hAnsi="宋体"/>
          <w:b/>
          <w:color w:val="auto"/>
          <w:highlight w:val="none"/>
        </w:rPr>
        <w:t>其他</w:t>
      </w:r>
    </w:p>
    <w:p>
      <w:pPr>
        <w:spacing w:line="480" w:lineRule="exact"/>
        <w:ind w:firstLine="570"/>
        <w:rPr>
          <w:rFonts w:hint="eastAsia" w:hAnsi="宋体"/>
          <w:color w:val="auto"/>
          <w:highlight w:val="none"/>
        </w:rPr>
      </w:pPr>
      <w:r>
        <w:rPr>
          <w:rFonts w:hint="eastAsia" w:hAnsi="宋体"/>
          <w:color w:val="auto"/>
          <w:highlight w:val="none"/>
        </w:rPr>
        <w:t>8.1因本项目的设计汇报与交底、施工配合及其他原因，需要设计人</w:t>
      </w:r>
      <w:r>
        <w:rPr>
          <w:rFonts w:hint="eastAsia" w:hAnsi="宋体"/>
          <w:color w:val="auto"/>
          <w:highlight w:val="none"/>
          <w:lang w:eastAsia="zh-CN"/>
        </w:rPr>
        <w:t>无条件配合现场施工，须按发包人要求安排专人驻场</w:t>
      </w:r>
      <w:r>
        <w:rPr>
          <w:rFonts w:hint="eastAsia" w:hAnsi="宋体"/>
          <w:color w:val="auto"/>
          <w:highlight w:val="none"/>
        </w:rPr>
        <w:t>留驻施工现场进行配合与解决有关问题。</w:t>
      </w:r>
    </w:p>
    <w:p>
      <w:pPr>
        <w:spacing w:line="480" w:lineRule="exact"/>
        <w:ind w:firstLine="570"/>
        <w:rPr>
          <w:rFonts w:hint="eastAsia" w:hAnsi="宋体"/>
          <w:color w:val="auto"/>
          <w:highlight w:val="none"/>
        </w:rPr>
      </w:pPr>
      <w:r>
        <w:rPr>
          <w:rFonts w:hint="eastAsia" w:hAnsi="宋体"/>
          <w:color w:val="auto"/>
          <w:highlight w:val="none"/>
        </w:rPr>
        <w:t>8.2 设计人为本合同项目所采用的国家或地方标准图，由</w:t>
      </w:r>
      <w:r>
        <w:rPr>
          <w:rFonts w:hint="eastAsia" w:hAnsi="宋体"/>
          <w:color w:val="auto"/>
          <w:highlight w:val="none"/>
          <w:lang w:eastAsia="zh-CN"/>
        </w:rPr>
        <w:t>设计人</w:t>
      </w:r>
      <w:r>
        <w:rPr>
          <w:rFonts w:hint="eastAsia" w:hAnsi="宋体"/>
          <w:color w:val="auto"/>
          <w:highlight w:val="none"/>
        </w:rPr>
        <w:t>自费向有关出版部门购买。本合同第四条规定设计人交付的设计资料及文件份数超过《工程设计收费标准》规定的份数，设计人另收工本费。</w:t>
      </w:r>
    </w:p>
    <w:p>
      <w:pPr>
        <w:spacing w:line="480" w:lineRule="exact"/>
        <w:ind w:firstLine="570"/>
        <w:rPr>
          <w:rFonts w:hint="eastAsia" w:hAnsi="宋体"/>
          <w:color w:val="auto"/>
          <w:highlight w:val="none"/>
        </w:rPr>
      </w:pPr>
      <w:r>
        <w:rPr>
          <w:rFonts w:hint="eastAsia" w:hAnsi="宋体"/>
          <w:color w:val="auto"/>
          <w:highlight w:val="none"/>
        </w:rPr>
        <w:t>8.3 本工程设计资料及文件中，建筑材料、建筑构配件和设备，应当注明其规格、型号、性能等技术指标，设计人不得指定生产厂、供应商。发包人需要设计人的设计人员配合加工定货时，所需要费用由发包人承担。</w:t>
      </w:r>
    </w:p>
    <w:p>
      <w:pPr>
        <w:spacing w:line="480" w:lineRule="exact"/>
        <w:ind w:firstLine="570"/>
        <w:rPr>
          <w:rFonts w:hint="eastAsia" w:hAnsi="宋体"/>
          <w:color w:val="auto"/>
          <w:highlight w:val="none"/>
        </w:rPr>
      </w:pPr>
      <w:r>
        <w:rPr>
          <w:rFonts w:hint="eastAsia" w:hAnsi="宋体"/>
          <w:color w:val="auto"/>
          <w:highlight w:val="none"/>
        </w:rPr>
        <w:t>8.4 发包人委托设计人配合引进项目的设计任务，从询价、对外谈判、国内技术考察直至建成投产的各个阶段，应吸收承担有关设计任务的设计人参加。出国费用，除制装费外，其它费用由发包人支付。</w:t>
      </w:r>
    </w:p>
    <w:p>
      <w:pPr>
        <w:spacing w:line="480" w:lineRule="exact"/>
        <w:ind w:firstLine="570"/>
        <w:rPr>
          <w:rFonts w:hint="eastAsia" w:hAnsi="宋体"/>
          <w:color w:val="auto"/>
          <w:highlight w:val="none"/>
        </w:rPr>
      </w:pPr>
      <w:r>
        <w:rPr>
          <w:rFonts w:hint="eastAsia" w:hAnsi="宋体"/>
          <w:color w:val="auto"/>
          <w:highlight w:val="none"/>
        </w:rPr>
        <w:t>8.</w:t>
      </w:r>
      <w:r>
        <w:rPr>
          <w:rFonts w:hint="eastAsia" w:hAnsi="宋体"/>
          <w:color w:val="auto"/>
          <w:highlight w:val="none"/>
          <w:lang w:val="en-US" w:eastAsia="zh-CN"/>
        </w:rPr>
        <w:t>5</w:t>
      </w:r>
      <w:r>
        <w:rPr>
          <w:rFonts w:hint="eastAsia" w:hAnsi="宋体"/>
          <w:color w:val="auto"/>
          <w:highlight w:val="none"/>
        </w:rPr>
        <w:t xml:space="preserve"> 由于不可抗力因素致使合同无法履行时，双方应及时协商解决。</w:t>
      </w:r>
    </w:p>
    <w:p>
      <w:pPr>
        <w:spacing w:line="480" w:lineRule="exact"/>
        <w:ind w:firstLine="570"/>
        <w:rPr>
          <w:rFonts w:hint="eastAsia" w:hAnsi="宋体"/>
          <w:color w:val="auto"/>
          <w:highlight w:val="none"/>
        </w:rPr>
      </w:pPr>
      <w:r>
        <w:rPr>
          <w:rFonts w:hint="eastAsia" w:hAnsi="宋体"/>
          <w:color w:val="auto"/>
          <w:highlight w:val="none"/>
        </w:rPr>
        <w:t>8.</w:t>
      </w:r>
      <w:r>
        <w:rPr>
          <w:rFonts w:hint="eastAsia" w:hAnsi="宋体"/>
          <w:color w:val="auto"/>
          <w:highlight w:val="none"/>
          <w:lang w:val="en-US" w:eastAsia="zh-CN"/>
        </w:rPr>
        <w:t>6</w:t>
      </w:r>
      <w:r>
        <w:rPr>
          <w:rFonts w:hint="eastAsia" w:hAnsi="宋体"/>
          <w:color w:val="auto"/>
          <w:highlight w:val="none"/>
        </w:rPr>
        <w:t xml:space="preserve"> 本合同发生争议，双方当事人应及时协商解决。也可由当地建设行政主管部门调解，调解不成时，向合同履行地人民法院起诉。</w:t>
      </w:r>
    </w:p>
    <w:p>
      <w:pPr>
        <w:spacing w:line="480" w:lineRule="exact"/>
        <w:ind w:firstLine="570"/>
        <w:rPr>
          <w:rFonts w:hint="eastAsia" w:hAnsi="宋体"/>
          <w:color w:val="auto"/>
          <w:highlight w:val="none"/>
        </w:rPr>
      </w:pPr>
      <w:r>
        <w:rPr>
          <w:rFonts w:hint="eastAsia" w:hAnsi="宋体"/>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3876675</wp:posOffset>
                </wp:positionH>
                <wp:positionV relativeFrom="paragraph">
                  <wp:posOffset>297180</wp:posOffset>
                </wp:positionV>
                <wp:extent cx="466725" cy="0"/>
                <wp:effectExtent l="13335" t="6985" r="5715" b="12065"/>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05.25pt;margin-top:23.4pt;height:0pt;width:36.75pt;z-index:251667456;mso-width-relative:page;mso-height-relative:page;" filled="f" stroked="t" coordsize="21600,21600" o:gfxdata="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STpOtYAAAAJAQAA&#10;DwAAAAAAAAABACAAAAAiAAAAZHJzL2Rvd25yZXYueG1sUEsBAhQAFAAAAAgAh07iQP6twa/iAQAA&#10;qwMAAA4AAAAAAAAAAQAgAAAAJQEAAGRycy9lMm9Eb2MueG1sUEsFBgAAAAAGAAYAWQEAAHkFAAAA&#10;AA==&#10;">
                <v:fill on="f" focussize="0,0"/>
                <v:stroke color="#000000" joinstyle="round"/>
                <v:imagedata o:title=""/>
                <o:lock v:ext="edit" aspectratio="f"/>
              </v:line>
            </w:pict>
          </mc:Fallback>
        </mc:AlternateContent>
      </w:r>
      <w:r>
        <w:rPr>
          <w:rFonts w:hint="eastAsia" w:hAnsi="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1397000</wp:posOffset>
                </wp:positionH>
                <wp:positionV relativeFrom="paragraph">
                  <wp:posOffset>284480</wp:posOffset>
                </wp:positionV>
                <wp:extent cx="466725" cy="0"/>
                <wp:effectExtent l="10160" t="13335" r="8890" b="571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0pt;margin-top:22.4pt;height:0pt;width:36.75pt;z-index:251665408;mso-width-relative:page;mso-height-relative:page;" filled="f" stroked="t" coordsize="21600,21600" o:gfxdata="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fysc/VAAAACQEAAA8A&#10;AAAAAAAAAQAgAAAAIgAAAGRycy9kb3ducmV2LnhtbFBLAQIUABQAAAAIAIdO4kAAhEts4QEAAKsD&#10;AAAOAAAAAAAAAAEAIAAAACQBAABkcnMvZTJvRG9jLnhtbFBLBQYAAAAABgAGAFkBAAB3BQAAAAA=&#10;">
                <v:fill on="f" focussize="0,0"/>
                <v:stroke color="#000000" joinstyle="round"/>
                <v:imagedata o:title=""/>
                <o:lock v:ext="edit" aspectratio="f"/>
              </v:line>
            </w:pict>
          </mc:Fallback>
        </mc:AlternateContent>
      </w:r>
      <w:r>
        <w:rPr>
          <w:rFonts w:hint="eastAsia" w:hAnsi="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2628900</wp:posOffset>
                </wp:positionH>
                <wp:positionV relativeFrom="paragraph">
                  <wp:posOffset>297180</wp:posOffset>
                </wp:positionV>
                <wp:extent cx="466725" cy="0"/>
                <wp:effectExtent l="13335" t="6985" r="5715" b="12065"/>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07pt;margin-top:23.4pt;height:0pt;width:36.75pt;z-index:251666432;mso-width-relative:page;mso-height-relative:page;" filled="f" stroked="t" coordsize="21600,21600" o:gfxdata="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fGK/NcAAAAJAQAA&#10;DwAAAAAAAAABACAAAAAiAAAAZHJzL2Rvd25yZXYueG1sUEsBAhQAFAAAAAgAh07iQCx9STLhAQAA&#10;qQMAAA4AAAAAAAAAAQAgAAAAJgEAAGRycy9lMm9Eb2MueG1sUEsFBgAAAAAGAAYAWQEAAHkFAAAA&#10;AA==&#10;">
                <v:fill on="f" focussize="0,0"/>
                <v:stroke color="#000000" joinstyle="round"/>
                <v:imagedata o:title=""/>
                <o:lock v:ext="edit" aspectratio="f"/>
              </v:line>
            </w:pict>
          </mc:Fallback>
        </mc:AlternateContent>
      </w:r>
      <w:r>
        <w:rPr>
          <w:rFonts w:hint="eastAsia" w:hAnsi="宋体"/>
          <w:color w:val="auto"/>
          <w:highlight w:val="none"/>
        </w:rPr>
        <w:t>8.</w:t>
      </w:r>
      <w:r>
        <w:rPr>
          <w:rFonts w:hint="eastAsia" w:hAnsi="宋体"/>
          <w:color w:val="auto"/>
          <w:highlight w:val="none"/>
          <w:lang w:val="en-US" w:eastAsia="zh-CN"/>
        </w:rPr>
        <w:t>7</w:t>
      </w:r>
      <w:r>
        <w:rPr>
          <w:rFonts w:hint="eastAsia" w:hAnsi="宋体"/>
          <w:color w:val="auto"/>
          <w:highlight w:val="none"/>
        </w:rPr>
        <w:t xml:space="preserve"> 本合同一式  陆  份，发包人  叁  份，设计人  叁  份。</w:t>
      </w:r>
    </w:p>
    <w:p>
      <w:pPr>
        <w:spacing w:line="480" w:lineRule="exact"/>
        <w:ind w:firstLine="570"/>
        <w:rPr>
          <w:rFonts w:hint="eastAsia" w:hAnsi="宋体"/>
          <w:color w:val="auto"/>
          <w:highlight w:val="none"/>
        </w:rPr>
      </w:pPr>
      <w:r>
        <w:rPr>
          <w:rFonts w:hint="eastAsia" w:hAnsi="宋体"/>
          <w:color w:val="auto"/>
          <w:highlight w:val="none"/>
        </w:rPr>
        <w:t>8.</w:t>
      </w:r>
      <w:r>
        <w:rPr>
          <w:rFonts w:hint="eastAsia" w:hAnsi="宋体"/>
          <w:color w:val="auto"/>
          <w:highlight w:val="none"/>
          <w:lang w:val="en-US" w:eastAsia="zh-CN"/>
        </w:rPr>
        <w:t>8</w:t>
      </w:r>
      <w:r>
        <w:rPr>
          <w:rFonts w:hint="eastAsia" w:hAnsi="宋体"/>
          <w:color w:val="auto"/>
          <w:highlight w:val="none"/>
        </w:rPr>
        <w:t xml:space="preserve"> 本合同经双方签字盖章后生效。</w:t>
      </w:r>
    </w:p>
    <w:p>
      <w:pPr>
        <w:spacing w:line="480" w:lineRule="exact"/>
        <w:ind w:firstLine="570"/>
        <w:rPr>
          <w:rFonts w:hint="eastAsia" w:hAnsi="宋体"/>
          <w:color w:val="auto"/>
          <w:highlight w:val="none"/>
        </w:rPr>
      </w:pPr>
      <w:r>
        <w:rPr>
          <w:rFonts w:hint="eastAsia" w:hAnsi="宋体"/>
          <w:color w:val="auto"/>
          <w:highlight w:val="none"/>
        </w:rPr>
        <w:t>8.10 本合同生效后，按规定到建设工程方案审批机构备案。双方认为必要时，到项目所在地工商行政管理部门申请鉴证。双方履行完合同规定的义务后，本合同即行终止。</w:t>
      </w:r>
    </w:p>
    <w:p>
      <w:pPr>
        <w:spacing w:line="480" w:lineRule="exact"/>
        <w:ind w:firstLine="570"/>
        <w:rPr>
          <w:rFonts w:hint="eastAsia" w:hAnsi="宋体"/>
          <w:color w:val="auto"/>
          <w:highlight w:val="none"/>
        </w:rPr>
      </w:pPr>
      <w:r>
        <w:rPr>
          <w:rFonts w:hint="eastAsia" w:hAnsi="宋体"/>
          <w:color w:val="auto"/>
          <w:highlight w:val="none"/>
        </w:rPr>
        <w:t>8.11 本合同未尽事宜，双方可签订补充协议，有关协议及双方认可的来往电报、传真、会议纪要等，均为本合同组成部分，与本合同具有同等法律效力。</w:t>
      </w:r>
    </w:p>
    <w:p>
      <w:pPr>
        <w:spacing w:line="480" w:lineRule="exact"/>
        <w:ind w:firstLine="570"/>
        <w:rPr>
          <w:rFonts w:hint="eastAsia" w:hAnsi="宋体"/>
          <w:color w:val="auto"/>
          <w:highlight w:val="none"/>
        </w:rPr>
      </w:pPr>
      <w:r>
        <w:rPr>
          <w:rFonts w:hint="eastAsia" w:hAnsi="宋体"/>
          <w:color w:val="auto"/>
          <w:highlight w:val="none"/>
        </w:rPr>
        <w:t>8.12本合同如需要直接在任一条款上作任何修改，修改处必须经双方加盖公章后方能生效，否则，只能视为无效。</w:t>
      </w:r>
    </w:p>
    <w:p>
      <w:pPr>
        <w:spacing w:line="480" w:lineRule="exact"/>
        <w:ind w:firstLine="570"/>
        <w:rPr>
          <w:rFonts w:hint="eastAsia" w:hAnsi="宋体"/>
          <w:color w:val="auto"/>
          <w:highlight w:val="none"/>
        </w:rPr>
      </w:pPr>
      <w:r>
        <w:rPr>
          <w:rFonts w:hint="eastAsia" w:hAnsi="宋体"/>
          <w:color w:val="auto"/>
          <w:highlight w:val="none"/>
        </w:rPr>
        <w:t>8.13通知与送达：</w:t>
      </w:r>
    </w:p>
    <w:p>
      <w:pPr>
        <w:spacing w:line="480" w:lineRule="exact"/>
        <w:ind w:firstLine="570"/>
        <w:rPr>
          <w:rFonts w:hint="eastAsia" w:hAnsi="宋体"/>
          <w:color w:val="auto"/>
          <w:highlight w:val="none"/>
        </w:rPr>
      </w:pPr>
      <w:r>
        <w:rPr>
          <w:rFonts w:hint="eastAsia" w:hAnsi="宋体"/>
          <w:color w:val="auto"/>
          <w:highlight w:val="none"/>
        </w:rPr>
        <w:t>本合同涉及的书面通知、设计图纸及资料、设计变更等书面文件，按照本合同约定的地址送达或者按照本合同约定的电子邮箱通知后视为送达。其中书面文件通过特快专递寄送，自发出后72小时视为送达。电子邮件自本合同约定的电子邮箱发出后24小时视为送达。</w:t>
      </w:r>
    </w:p>
    <w:p>
      <w:pPr>
        <w:spacing w:line="480" w:lineRule="exact"/>
        <w:ind w:firstLine="570"/>
        <w:rPr>
          <w:rFonts w:hint="eastAsia" w:hAnsi="宋体"/>
          <w:color w:val="auto"/>
          <w:highlight w:val="none"/>
        </w:rPr>
      </w:pPr>
      <w:r>
        <w:rPr>
          <w:rFonts w:hint="eastAsia" w:hAnsi="宋体"/>
          <w:color w:val="auto"/>
          <w:highlight w:val="none"/>
        </w:rPr>
        <w:t>本合同任何一方变更联系方式，须以书面形式通知另一方。未及时书面通知变更联系方式或提供联系方式错误的一方，应承担由此产生的后果。</w:t>
      </w:r>
    </w:p>
    <w:p>
      <w:pPr>
        <w:spacing w:line="480" w:lineRule="exact"/>
        <w:ind w:firstLine="570"/>
        <w:rPr>
          <w:rFonts w:hint="eastAsia" w:hAnsi="宋体"/>
          <w:color w:val="auto"/>
          <w:highlight w:val="none"/>
        </w:rPr>
      </w:pPr>
      <w:r>
        <w:rPr>
          <w:rFonts w:hint="eastAsia" w:hAnsi="宋体"/>
          <w:color w:val="auto"/>
          <w:highlight w:val="none"/>
        </w:rPr>
        <w:t>8.14其它约定事项：</w:t>
      </w:r>
    </w:p>
    <w:p>
      <w:pPr>
        <w:spacing w:line="480" w:lineRule="exact"/>
        <w:ind w:firstLine="570"/>
        <w:rPr>
          <w:rFonts w:hint="default" w:hAnsi="宋体" w:eastAsia="宋体"/>
          <w:color w:val="auto"/>
          <w:highlight w:val="none"/>
          <w:lang w:val="en-US" w:eastAsia="zh-CN"/>
        </w:rPr>
      </w:pPr>
      <w:r>
        <w:rPr>
          <w:rFonts w:hint="eastAsia" w:hAnsi="宋体"/>
          <w:color w:val="auto"/>
          <w:highlight w:val="none"/>
          <w:lang w:val="en-US" w:eastAsia="zh-CN"/>
        </w:rPr>
        <w:t>8.15合同附件：成交通知书、磋商文件、响应文件、阳光合作协议。</w:t>
      </w:r>
    </w:p>
    <w:p>
      <w:pPr>
        <w:spacing w:line="480" w:lineRule="exact"/>
        <w:ind w:firstLine="570"/>
        <w:rPr>
          <w:rFonts w:hint="eastAsia" w:hAnsi="宋体"/>
          <w:color w:val="auto"/>
          <w:highlight w:val="none"/>
        </w:rPr>
      </w:pPr>
      <w:r>
        <w:rPr>
          <w:rFonts w:hint="eastAsia" w:hAnsi="宋体"/>
          <w:color w:val="auto"/>
          <w:highlight w:val="none"/>
        </w:rPr>
        <w:t>以下无正文</w:t>
      </w:r>
    </w:p>
    <w:p>
      <w:pPr>
        <w:spacing w:line="480" w:lineRule="exact"/>
        <w:ind w:firstLine="570"/>
        <w:rPr>
          <w:rFonts w:hint="eastAsia" w:hAnsi="宋体"/>
          <w:color w:val="auto"/>
          <w:highlight w:val="none"/>
        </w:rPr>
      </w:pPr>
    </w:p>
    <w:p>
      <w:pPr>
        <w:spacing w:line="720" w:lineRule="auto"/>
        <w:rPr>
          <w:rFonts w:hint="eastAsia" w:hAnsi="宋体"/>
          <w:color w:val="auto"/>
          <w:highlight w:val="none"/>
        </w:rPr>
      </w:pPr>
      <w:r>
        <w:rPr>
          <w:rFonts w:hint="eastAsia" w:hAnsi="宋体"/>
          <w:color w:val="auto"/>
          <w:highlight w:val="none"/>
        </w:rPr>
        <w:t>发包人名称：                       设计人名称：</w:t>
      </w:r>
    </w:p>
    <w:p>
      <w:pPr>
        <w:spacing w:line="720" w:lineRule="auto"/>
        <w:rPr>
          <w:rFonts w:hint="eastAsia" w:hAnsi="宋体"/>
          <w:color w:val="auto"/>
          <w:highlight w:val="none"/>
        </w:rPr>
      </w:pPr>
      <w:r>
        <w:rPr>
          <w:rFonts w:hint="eastAsia" w:hAnsi="宋体"/>
          <w:color w:val="auto"/>
          <w:highlight w:val="none"/>
        </w:rPr>
        <w:t xml:space="preserve">           （盖章）                                （盖章）</w:t>
      </w:r>
    </w:p>
    <w:p>
      <w:pPr>
        <w:spacing w:line="720" w:lineRule="auto"/>
        <w:rPr>
          <w:rFonts w:hint="eastAsia" w:hAnsi="宋体"/>
          <w:color w:val="auto"/>
          <w:highlight w:val="none"/>
        </w:rPr>
      </w:pPr>
      <w:r>
        <w:rPr>
          <w:rFonts w:hint="eastAsia" w:hAnsi="宋体"/>
          <w:color w:val="auto"/>
          <w:highlight w:val="none"/>
        </w:rPr>
        <w:t>法定代表人：（签字）                法定代表人：（签字）</w:t>
      </w:r>
    </w:p>
    <w:p>
      <w:pPr>
        <w:spacing w:line="720" w:lineRule="auto"/>
        <w:rPr>
          <w:rFonts w:hint="eastAsia" w:hAnsi="宋体"/>
          <w:color w:val="auto"/>
          <w:highlight w:val="none"/>
        </w:rPr>
      </w:pPr>
      <w:r>
        <w:rPr>
          <w:rFonts w:hint="eastAsia" w:hAnsi="宋体"/>
          <w:color w:val="auto"/>
          <w:highlight w:val="none"/>
        </w:rPr>
        <w:t>委托代理人：（签字）                委托代理人：（签字）</w:t>
      </w:r>
    </w:p>
    <w:p>
      <w:pPr>
        <w:spacing w:line="720" w:lineRule="auto"/>
        <w:rPr>
          <w:rFonts w:hint="eastAsia" w:hAnsi="宋体"/>
          <w:color w:val="auto"/>
          <w:highlight w:val="none"/>
        </w:rPr>
      </w:pPr>
      <w:r>
        <w:rPr>
          <w:rFonts w:hint="eastAsia" w:hAnsi="宋体"/>
          <w:color w:val="auto"/>
          <w:highlight w:val="none"/>
        </w:rPr>
        <w:t>签订日期：      年   月   日       签订日期：      年   月   日</w:t>
      </w:r>
    </w:p>
    <w:p>
      <w:pPr>
        <w:rPr>
          <w:color w:val="auto"/>
          <w:highlight w:val="none"/>
        </w:rPr>
      </w:pPr>
    </w:p>
    <w:p>
      <w:pPr>
        <w:spacing w:line="480" w:lineRule="exact"/>
        <w:rPr>
          <w:rFonts w:ascii="方正小标宋简体" w:hAnsi="黑体" w:eastAsia="方正小标宋简体"/>
          <w:b/>
          <w:color w:val="auto"/>
          <w:sz w:val="44"/>
          <w:szCs w:val="44"/>
          <w:highlight w:val="none"/>
        </w:rPr>
      </w:pPr>
    </w:p>
    <w:p>
      <w:pPr>
        <w:spacing w:line="480" w:lineRule="exact"/>
        <w:rPr>
          <w:rFonts w:ascii="方正小标宋简体" w:hAnsi="黑体" w:eastAsia="方正小标宋简体"/>
          <w:b/>
          <w:color w:val="auto"/>
          <w:sz w:val="44"/>
          <w:szCs w:val="44"/>
          <w:highlight w:val="none"/>
        </w:rPr>
      </w:pPr>
    </w:p>
    <w:p>
      <w:pPr>
        <w:jc w:val="center"/>
        <w:rPr>
          <w:rFonts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t>阳光合作协议</w:t>
      </w:r>
    </w:p>
    <w:p>
      <w:pPr>
        <w:spacing w:before="163" w:beforeLines="50" w:after="163"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甲方：</w:t>
      </w:r>
      <w:r>
        <w:rPr>
          <w:rFonts w:hAnsi="宋体"/>
          <w:color w:val="auto"/>
          <w:sz w:val="21"/>
          <w:szCs w:val="21"/>
          <w:highlight w:val="none"/>
        </w:rPr>
        <w:t xml:space="preserve"> </w:t>
      </w:r>
    </w:p>
    <w:p>
      <w:pPr>
        <w:spacing w:before="163" w:beforeLines="50" w:after="163"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乙方：</w:t>
      </w:r>
      <w:r>
        <w:rPr>
          <w:rFonts w:hAnsi="宋体"/>
          <w:color w:val="auto"/>
          <w:sz w:val="21"/>
          <w:szCs w:val="21"/>
          <w:highlight w:val="none"/>
        </w:rPr>
        <w:t xml:space="preserve"> </w:t>
      </w:r>
    </w:p>
    <w:p>
      <w:pPr>
        <w:spacing w:before="163" w:beforeLines="50" w:after="163"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 xml:space="preserve">    甲乙双方于 202 年     月     日签署了《……》（以下简称原合同），为加强双方阳光合作，保证职员职业安全，甲乙双方经协商签订本协议并作为双方共同遵守的阳光合作行为准则。</w:t>
      </w:r>
    </w:p>
    <w:p>
      <w:pPr>
        <w:widowControl/>
        <w:numPr>
          <w:ilvl w:val="0"/>
          <w:numId w:val="21"/>
        </w:numPr>
        <w:autoSpaceDE/>
        <w:autoSpaceDN/>
        <w:adjustRightInd/>
        <w:spacing w:before="163" w:beforeLines="50" w:after="163"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甲方责任</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1.甲方有责任向乙方介绍本单位有关采购管理通用原则和本协议的规定。</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2.甲方有责任对本单位相关人员进行阳光合作教育。</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4.甲方人员如违反阳光合作管理制度及本协议规定，甲方视情节轻重、影响大小给予行政及经济处罚。</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5．对于乙方举报甲方人员违反阳光合作规定的情况，甲方应及时进行调查，根据调查情况进行处理，并将调查结果向乙方反馈。</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6.接受举报的一方应为举报方保密，不得对举报方进行报复，对举报属实和严格遵守《阳光合作协议》的合作方，在同等条件下给予后续合作的优先权。</w:t>
      </w:r>
    </w:p>
    <w:p>
      <w:pPr>
        <w:widowControl/>
        <w:numPr>
          <w:ilvl w:val="0"/>
          <w:numId w:val="21"/>
        </w:numPr>
        <w:autoSpaceDE/>
        <w:autoSpaceDN/>
        <w:adjustRightInd/>
        <w:spacing w:before="163" w:beforeLines="50" w:after="163"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乙方责任</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1.乙方应保证乙方人员了解甲方有关采购管理通用原则和及本协议的规定，并遵照执行。</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2.乙方不得以任何形式给予甲方人员回扣、赠送实物、现金、有价证券、礼券等有价物品或提供旅游等其他可能影响职务行为公正履行的活动（以下统称“财物”）。</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3.乙方有责任接受甲方对乙方在合作期间阳光合作管理执行情况的监督，并对甲方相关调查工作主动配合。</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乙方有义务就甲方人员任何形式的索取或收受财物行为及时向甲方（直接联系人为东莞实业投资控股集团有限公司纪检监察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5．甲方接受乙方实名或匿名举报，保证为举报者的信息保密，常设举报部门及电话： </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举报受理部门：东莞实业投资控股集团有限公司纪检监察部</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东实集团举报邮箱：dgsyjjjc@163.com</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东实集团举报电话：0769-28822331（周一至周五9:00-12:00和14:00-18:00）</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邮寄地址：东莞市东城区八一路1号机关二号大院9号楼204室，东莞实业投资控股集团有限公司纪检监察部收，邮编523000。</w:t>
      </w:r>
    </w:p>
    <w:p>
      <w:pPr>
        <w:widowControl/>
        <w:numPr>
          <w:ilvl w:val="0"/>
          <w:numId w:val="21"/>
        </w:numPr>
        <w:autoSpaceDE/>
        <w:autoSpaceDN/>
        <w:adjustRightInd/>
        <w:spacing w:before="163" w:beforeLines="50" w:after="163"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其他</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1.本协议是原合同的补充协议，与原合同有同等法律效力。</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w:t>
      </w:r>
      <w:r>
        <w:rPr>
          <w:rFonts w:hAnsi="宋体"/>
          <w:color w:val="auto"/>
          <w:sz w:val="21"/>
          <w:szCs w:val="21"/>
          <w:highlight w:val="none"/>
        </w:rPr>
        <w:t>本</w:t>
      </w:r>
      <w:r>
        <w:rPr>
          <w:rFonts w:hint="eastAsia" w:hAnsi="宋体"/>
          <w:color w:val="auto"/>
          <w:sz w:val="21"/>
          <w:szCs w:val="21"/>
          <w:highlight w:val="none"/>
        </w:rPr>
        <w:t>协议</w:t>
      </w:r>
      <w:r>
        <w:rPr>
          <w:rFonts w:hAnsi="宋体"/>
          <w:color w:val="auto"/>
          <w:sz w:val="21"/>
          <w:szCs w:val="21"/>
          <w:highlight w:val="none"/>
        </w:rPr>
        <w:t>一式</w:t>
      </w:r>
      <w:r>
        <w:rPr>
          <w:rFonts w:hint="eastAsia" w:hAnsi="宋体"/>
          <w:color w:val="auto"/>
          <w:sz w:val="21"/>
          <w:szCs w:val="21"/>
          <w:highlight w:val="none"/>
        </w:rPr>
        <w:t>四</w:t>
      </w:r>
      <w:r>
        <w:rPr>
          <w:rFonts w:hAnsi="宋体"/>
          <w:color w:val="auto"/>
          <w:sz w:val="21"/>
          <w:szCs w:val="21"/>
          <w:highlight w:val="none"/>
        </w:rPr>
        <w:t>份，甲方执</w:t>
      </w:r>
      <w:r>
        <w:rPr>
          <w:rFonts w:hint="eastAsia" w:hAnsi="宋体"/>
          <w:color w:val="auto"/>
          <w:sz w:val="21"/>
          <w:szCs w:val="21"/>
          <w:highlight w:val="none"/>
        </w:rPr>
        <w:t>贰</w:t>
      </w:r>
      <w:r>
        <w:rPr>
          <w:rFonts w:hAnsi="宋体"/>
          <w:color w:val="auto"/>
          <w:sz w:val="21"/>
          <w:szCs w:val="21"/>
          <w:highlight w:val="none"/>
        </w:rPr>
        <w:t>份，乙方执</w:t>
      </w:r>
      <w:r>
        <w:rPr>
          <w:rFonts w:hint="eastAsia" w:hAnsi="宋体"/>
          <w:color w:val="auto"/>
          <w:sz w:val="21"/>
          <w:szCs w:val="21"/>
          <w:highlight w:val="none"/>
        </w:rPr>
        <w:t>贰</w:t>
      </w:r>
      <w:r>
        <w:rPr>
          <w:rFonts w:hAnsi="宋体"/>
          <w:color w:val="auto"/>
          <w:sz w:val="21"/>
          <w:szCs w:val="21"/>
          <w:highlight w:val="none"/>
        </w:rPr>
        <w:t>份</w:t>
      </w:r>
      <w:r>
        <w:rPr>
          <w:rFonts w:hint="eastAsia" w:hAnsi="宋体"/>
          <w:color w:val="auto"/>
          <w:sz w:val="21"/>
          <w:szCs w:val="21"/>
          <w:highlight w:val="none"/>
        </w:rPr>
        <w:t>,具有同等法律效力。</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3.本协议经双方签署后生效。</w:t>
      </w:r>
    </w:p>
    <w:p>
      <w:pPr>
        <w:spacing w:before="163" w:beforeLines="50" w:after="163" w:afterLines="50" w:line="360" w:lineRule="auto"/>
        <w:ind w:firstLine="420" w:firstLineChars="200"/>
        <w:contextualSpacing/>
        <w:rPr>
          <w:rFonts w:hAnsi="宋体"/>
          <w:color w:val="auto"/>
          <w:sz w:val="21"/>
          <w:szCs w:val="21"/>
          <w:highlight w:val="none"/>
        </w:rPr>
      </w:pPr>
    </w:p>
    <w:p>
      <w:pPr>
        <w:spacing w:before="163" w:beforeLines="50" w:after="163"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甲方（盖章）：                      乙方（盖章）：</w:t>
      </w:r>
      <w:r>
        <w:rPr>
          <w:color w:val="auto"/>
          <w:sz w:val="21"/>
          <w:szCs w:val="21"/>
          <w:highlight w:val="none"/>
        </w:rPr>
        <w:t xml:space="preserve"> </w:t>
      </w:r>
    </w:p>
    <w:p>
      <w:pPr>
        <w:spacing w:before="163" w:beforeLines="50" w:after="163" w:afterLines="50" w:line="360" w:lineRule="auto"/>
        <w:ind w:firstLine="420" w:firstLineChars="200"/>
        <w:contextualSpacing/>
        <w:rPr>
          <w:rFonts w:hAnsi="宋体"/>
          <w:color w:val="auto"/>
          <w:sz w:val="21"/>
          <w:szCs w:val="21"/>
          <w:highlight w:val="none"/>
        </w:rPr>
      </w:pPr>
    </w:p>
    <w:p>
      <w:pPr>
        <w:spacing w:before="163" w:beforeLines="50" w:after="163"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法定代表人（授权代表）：</w:t>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 xml:space="preserve">   </w:t>
      </w:r>
      <w:r>
        <w:rPr>
          <w:rFonts w:hint="eastAsia" w:hAnsi="宋体"/>
          <w:color w:val="auto"/>
          <w:sz w:val="21"/>
          <w:szCs w:val="21"/>
          <w:highlight w:val="none"/>
        </w:rPr>
        <w:t>法定代表人（授权代表）：</w:t>
      </w:r>
    </w:p>
    <w:p>
      <w:pPr>
        <w:spacing w:before="163" w:beforeLines="50" w:after="163" w:afterLines="50" w:line="360" w:lineRule="auto"/>
        <w:ind w:firstLine="420" w:firstLineChars="200"/>
        <w:contextualSpacing/>
        <w:rPr>
          <w:rFonts w:hAnsi="宋体"/>
          <w:color w:val="auto"/>
          <w:sz w:val="21"/>
          <w:szCs w:val="21"/>
          <w:highlight w:val="none"/>
        </w:rPr>
      </w:pPr>
    </w:p>
    <w:p>
      <w:pPr>
        <w:spacing w:before="163" w:beforeLines="50" w:after="163"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签约日期：   年   月   日</w:t>
      </w:r>
      <w:bookmarkStart w:id="163" w:name="现场签证通知单"/>
      <w:bookmarkEnd w:id="163"/>
      <w:bookmarkStart w:id="164" w:name="设计变更通知单"/>
      <w:bookmarkEnd w:id="164"/>
      <w:r>
        <w:rPr>
          <w:color w:val="auto"/>
          <w:sz w:val="21"/>
          <w:szCs w:val="21"/>
          <w:highlight w:val="none"/>
        </w:rPr>
        <w:tab/>
      </w:r>
      <w:r>
        <w:rPr>
          <w:color w:val="auto"/>
          <w:sz w:val="21"/>
          <w:szCs w:val="21"/>
          <w:highlight w:val="none"/>
        </w:rPr>
        <w:t xml:space="preserve">    </w:t>
      </w:r>
      <w:r>
        <w:rPr>
          <w:rFonts w:hint="eastAsia"/>
          <w:color w:val="auto"/>
          <w:sz w:val="21"/>
          <w:szCs w:val="21"/>
          <w:highlight w:val="none"/>
        </w:rPr>
        <w:t xml:space="preserve">     </w:t>
      </w:r>
      <w:r>
        <w:rPr>
          <w:rFonts w:hint="eastAsia" w:hAnsi="宋体"/>
          <w:color w:val="auto"/>
          <w:sz w:val="21"/>
          <w:szCs w:val="21"/>
          <w:highlight w:val="none"/>
        </w:rPr>
        <w:t>签约日期：   年   月   日</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keepNext/>
        <w:keepLines/>
        <w:pageBreakBefore/>
        <w:spacing w:line="360" w:lineRule="auto"/>
        <w:jc w:val="center"/>
        <w:rPr>
          <w:rFonts w:hAnsi="宋体"/>
          <w:b/>
          <w:bCs/>
          <w:color w:val="auto"/>
          <w:kern w:val="44"/>
          <w:sz w:val="28"/>
          <w:szCs w:val="28"/>
          <w:highlight w:val="none"/>
          <w:lang w:val="zh-CN"/>
        </w:rPr>
      </w:pPr>
      <w:bookmarkStart w:id="165" w:name="_Toc8470"/>
      <w:bookmarkStart w:id="166" w:name="_Toc396137242"/>
      <w:r>
        <w:rPr>
          <w:rFonts w:hint="eastAsia" w:hAnsi="宋体"/>
          <w:b/>
          <w:bCs/>
          <w:color w:val="auto"/>
          <w:kern w:val="44"/>
          <w:sz w:val="28"/>
          <w:szCs w:val="28"/>
          <w:highlight w:val="none"/>
          <w:lang w:val="zh-CN"/>
        </w:rPr>
        <w:t>第六篇磋商响应文件格式</w:t>
      </w:r>
      <w:bookmarkEnd w:id="165"/>
      <w:bookmarkEnd w:id="166"/>
    </w:p>
    <w:p>
      <w:pPr>
        <w:ind w:firstLine="1800" w:firstLineChars="750"/>
        <w:rPr>
          <w:rFonts w:hAnsi="宋体"/>
          <w:color w:val="auto"/>
          <w:highlight w:val="none"/>
        </w:rPr>
      </w:pPr>
    </w:p>
    <w:p>
      <w:pPr>
        <w:pStyle w:val="2"/>
        <w:jc w:val="center"/>
        <w:rPr>
          <w:color w:val="auto"/>
          <w:sz w:val="28"/>
          <w:szCs w:val="28"/>
          <w:highlight w:val="none"/>
        </w:rPr>
      </w:pPr>
      <w:bookmarkStart w:id="167" w:name="_Toc19311"/>
      <w:bookmarkStart w:id="168" w:name="_Toc9566"/>
      <w:r>
        <w:rPr>
          <w:rFonts w:hint="eastAsia"/>
          <w:color w:val="auto"/>
          <w:sz w:val="28"/>
          <w:szCs w:val="28"/>
          <w:highlight w:val="none"/>
        </w:rPr>
        <w:t>第一部分 价格文件（单独编制装订成册）</w:t>
      </w:r>
      <w:bookmarkEnd w:id="167"/>
      <w:bookmarkEnd w:id="168"/>
    </w:p>
    <w:p>
      <w:pPr>
        <w:ind w:firstLine="1800" w:firstLineChars="750"/>
        <w:rPr>
          <w:rFonts w:hAnsi="宋体"/>
          <w:color w:val="auto"/>
          <w:highlight w:val="none"/>
        </w:rPr>
      </w:pPr>
    </w:p>
    <w:p>
      <w:pPr>
        <w:pStyle w:val="2"/>
        <w:numPr>
          <w:ilvl w:val="0"/>
          <w:numId w:val="22"/>
        </w:numPr>
        <w:jc w:val="center"/>
        <w:rPr>
          <w:color w:val="auto"/>
          <w:sz w:val="28"/>
          <w:szCs w:val="28"/>
          <w:highlight w:val="none"/>
        </w:rPr>
      </w:pPr>
      <w:bookmarkStart w:id="169" w:name="_Toc7897888"/>
      <w:bookmarkStart w:id="170" w:name="_Toc12373"/>
      <w:bookmarkStart w:id="171" w:name="_Toc20730"/>
      <w:bookmarkStart w:id="172" w:name="_Toc458262639"/>
      <w:bookmarkStart w:id="173" w:name="_Toc454701406"/>
      <w:bookmarkStart w:id="174" w:name="_Toc476976201"/>
      <w:bookmarkStart w:id="175" w:name="_Toc467236769"/>
      <w:bookmarkStart w:id="176" w:name="_Toc486671573"/>
      <w:bookmarkStart w:id="177" w:name="_Toc15960"/>
      <w:bookmarkStart w:id="178" w:name="_Toc12383"/>
      <w:bookmarkStart w:id="179" w:name="_Toc2544"/>
      <w:bookmarkStart w:id="180" w:name="_Toc32273"/>
      <w:bookmarkStart w:id="181" w:name="_Toc28095"/>
      <w:bookmarkStart w:id="182" w:name="_Toc9348"/>
      <w:bookmarkStart w:id="183" w:name="_Toc396137244"/>
      <w:bookmarkStart w:id="184" w:name="_Toc19671"/>
      <w:bookmarkStart w:id="185" w:name="_Toc32405"/>
      <w:bookmarkStart w:id="186" w:name="_Toc32736"/>
      <w:bookmarkStart w:id="187" w:name="_Toc29841"/>
      <w:bookmarkStart w:id="188" w:name="_Toc18848"/>
      <w:bookmarkStart w:id="189" w:name="_Toc30637"/>
      <w:r>
        <w:rPr>
          <w:rFonts w:hint="eastAsia"/>
          <w:color w:val="auto"/>
          <w:sz w:val="28"/>
          <w:szCs w:val="28"/>
          <w:highlight w:val="none"/>
        </w:rPr>
        <w:t>报价一览表</w:t>
      </w:r>
      <w:bookmarkEnd w:id="169"/>
      <w:bookmarkEnd w:id="170"/>
      <w:bookmarkEnd w:id="171"/>
    </w:p>
    <w:p>
      <w:pPr>
        <w:pStyle w:val="5"/>
        <w:ind w:firstLine="400"/>
        <w:rPr>
          <w:rFonts w:hAnsi="宋体"/>
          <w:color w:val="auto"/>
          <w:highlight w:val="none"/>
        </w:rPr>
      </w:pPr>
    </w:p>
    <w:p>
      <w:pPr>
        <w:overflowPunct w:val="0"/>
        <w:spacing w:line="460" w:lineRule="exact"/>
        <w:jc w:val="right"/>
        <w:rPr>
          <w:rFonts w:hAnsi="宋体"/>
          <w:color w:val="auto"/>
          <w:highlight w:val="none"/>
        </w:rPr>
      </w:pPr>
      <w:r>
        <w:rPr>
          <w:rFonts w:hint="eastAsia" w:hAnsi="宋体"/>
          <w:color w:val="auto"/>
          <w:highlight w:val="none"/>
        </w:rPr>
        <w:t>单位：元/（人民币）</w:t>
      </w:r>
    </w:p>
    <w:tbl>
      <w:tblPr>
        <w:tblStyle w:val="51"/>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66"/>
        <w:gridCol w:w="1705"/>
        <w:gridCol w:w="2757"/>
        <w:gridCol w:w="2759"/>
        <w:gridCol w:w="13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54" w:hRule="atLeast"/>
          <w:jc w:val="center"/>
        </w:trPr>
        <w:tc>
          <w:tcPr>
            <w:tcW w:w="642" w:type="pct"/>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项目编号</w:t>
            </w:r>
          </w:p>
        </w:tc>
        <w:tc>
          <w:tcPr>
            <w:tcW w:w="865" w:type="pct"/>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项目名称</w:t>
            </w:r>
          </w:p>
        </w:tc>
        <w:tc>
          <w:tcPr>
            <w:tcW w:w="1399" w:type="pct"/>
            <w:vAlign w:val="center"/>
          </w:tcPr>
          <w:p>
            <w:pPr>
              <w:overflowPunct w:val="0"/>
              <w:spacing w:line="460" w:lineRule="exact"/>
              <w:jc w:val="center"/>
              <w:rPr>
                <w:rFonts w:hint="eastAsia" w:hAnsi="宋体"/>
                <w:b/>
                <w:color w:val="auto"/>
                <w:sz w:val="21"/>
                <w:szCs w:val="21"/>
                <w:highlight w:val="none"/>
              </w:rPr>
            </w:pPr>
            <w:r>
              <w:rPr>
                <w:rFonts w:hint="eastAsia" w:hAnsi="宋体"/>
                <w:b/>
                <w:bCs w:val="0"/>
                <w:color w:val="auto"/>
                <w:kern w:val="2"/>
                <w:sz w:val="21"/>
                <w:szCs w:val="21"/>
                <w:highlight w:val="none"/>
                <w:lang w:bidi="ar"/>
              </w:rPr>
              <w:t>下浮率（%）</w:t>
            </w:r>
          </w:p>
        </w:tc>
        <w:tc>
          <w:tcPr>
            <w:tcW w:w="1400" w:type="pct"/>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总报价</w:t>
            </w:r>
          </w:p>
        </w:tc>
        <w:tc>
          <w:tcPr>
            <w:tcW w:w="691" w:type="pct"/>
            <w:vAlign w:val="center"/>
          </w:tcPr>
          <w:p>
            <w:pPr>
              <w:overflowPunct w:val="0"/>
              <w:jc w:val="center"/>
              <w:rPr>
                <w:rFonts w:hAnsi="宋体"/>
                <w:b/>
                <w:color w:val="auto"/>
                <w:sz w:val="21"/>
                <w:szCs w:val="21"/>
                <w:highlight w:val="none"/>
              </w:rPr>
            </w:pPr>
            <w:r>
              <w:rPr>
                <w:rFonts w:hint="eastAsia" w:hAnsi="宋体"/>
                <w:b/>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642" w:type="pct"/>
            <w:vMerge w:val="restart"/>
            <w:vAlign w:val="center"/>
          </w:tcPr>
          <w:p>
            <w:pPr>
              <w:overflowPunct w:val="0"/>
              <w:spacing w:line="460" w:lineRule="exact"/>
              <w:jc w:val="center"/>
              <w:rPr>
                <w:rFonts w:hAnsi="宋体"/>
                <w:color w:val="auto"/>
                <w:sz w:val="21"/>
                <w:szCs w:val="21"/>
                <w:highlight w:val="none"/>
              </w:rPr>
            </w:pPr>
            <w:r>
              <w:rPr>
                <w:rFonts w:hint="eastAsia" w:hAnsi="宋体"/>
                <w:color w:val="auto"/>
                <w:sz w:val="21"/>
                <w:szCs w:val="21"/>
                <w:highlight w:val="none"/>
              </w:rPr>
              <w:t>TTWY-22020</w:t>
            </w:r>
          </w:p>
        </w:tc>
        <w:tc>
          <w:tcPr>
            <w:tcW w:w="865" w:type="pct"/>
            <w:vMerge w:val="restart"/>
            <w:vAlign w:val="center"/>
          </w:tcPr>
          <w:p>
            <w:pPr>
              <w:overflowPunct w:val="0"/>
              <w:spacing w:line="460" w:lineRule="exact"/>
              <w:jc w:val="center"/>
              <w:rPr>
                <w:rFonts w:hAnsi="宋体"/>
                <w:color w:val="auto"/>
                <w:sz w:val="21"/>
                <w:szCs w:val="21"/>
                <w:highlight w:val="none"/>
              </w:rPr>
            </w:pPr>
            <w:r>
              <w:rPr>
                <w:rFonts w:hint="eastAsia" w:hAnsi="宋体"/>
                <w:color w:val="auto"/>
                <w:sz w:val="21"/>
                <w:szCs w:val="21"/>
                <w:highlight w:val="none"/>
              </w:rPr>
              <w:t>松山湖国际创新创业社区室外品质提升设计项目</w:t>
            </w:r>
          </w:p>
        </w:tc>
        <w:tc>
          <w:tcPr>
            <w:tcW w:w="1399" w:type="pct"/>
            <w:vMerge w:val="restart"/>
            <w:vAlign w:val="center"/>
          </w:tcPr>
          <w:p>
            <w:pPr>
              <w:pStyle w:val="61"/>
              <w:ind w:firstLine="630" w:firstLineChars="300"/>
              <w:rPr>
                <w:rFonts w:hint="eastAsia"/>
                <w:color w:val="auto"/>
                <w:sz w:val="21"/>
                <w:szCs w:val="21"/>
                <w:highlight w:val="none"/>
                <w:lang w:val="en-US"/>
              </w:rPr>
            </w:pPr>
          </w:p>
        </w:tc>
        <w:tc>
          <w:tcPr>
            <w:tcW w:w="1400" w:type="pct"/>
            <w:vAlign w:val="center"/>
          </w:tcPr>
          <w:p>
            <w:pPr>
              <w:overflowPunct w:val="0"/>
              <w:spacing w:line="460" w:lineRule="exact"/>
              <w:ind w:firstLine="210" w:firstLineChars="100"/>
              <w:jc w:val="both"/>
              <w:rPr>
                <w:color w:val="auto"/>
                <w:sz w:val="21"/>
                <w:szCs w:val="21"/>
                <w:highlight w:val="none"/>
              </w:rPr>
            </w:pPr>
            <w:r>
              <w:rPr>
                <w:rFonts w:hint="eastAsia"/>
                <w:color w:val="auto"/>
                <w:sz w:val="21"/>
                <w:szCs w:val="21"/>
                <w:highlight w:val="none"/>
              </w:rPr>
              <w:t>含税报价：</w:t>
            </w:r>
          </w:p>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691" w:type="pct"/>
            <w:vAlign w:val="center"/>
          </w:tcPr>
          <w:p>
            <w:pPr>
              <w:overflowPunct w:val="0"/>
              <w:spacing w:line="460" w:lineRule="exact"/>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jc w:val="center"/>
        </w:trPr>
        <w:tc>
          <w:tcPr>
            <w:tcW w:w="642" w:type="pct"/>
            <w:vMerge w:val="continue"/>
            <w:vAlign w:val="center"/>
          </w:tcPr>
          <w:p>
            <w:pPr>
              <w:overflowPunct w:val="0"/>
              <w:spacing w:line="460" w:lineRule="exact"/>
              <w:jc w:val="center"/>
              <w:rPr>
                <w:rFonts w:hAnsi="宋体"/>
                <w:color w:val="auto"/>
                <w:sz w:val="21"/>
                <w:szCs w:val="21"/>
                <w:highlight w:val="none"/>
              </w:rPr>
            </w:pPr>
          </w:p>
        </w:tc>
        <w:tc>
          <w:tcPr>
            <w:tcW w:w="865" w:type="pct"/>
            <w:vMerge w:val="continue"/>
            <w:vAlign w:val="center"/>
          </w:tcPr>
          <w:p>
            <w:pPr>
              <w:overflowPunct w:val="0"/>
              <w:spacing w:line="460" w:lineRule="exact"/>
              <w:jc w:val="center"/>
              <w:rPr>
                <w:rFonts w:hAnsi="宋体"/>
                <w:color w:val="auto"/>
                <w:sz w:val="21"/>
                <w:szCs w:val="21"/>
                <w:highlight w:val="none"/>
              </w:rPr>
            </w:pPr>
          </w:p>
        </w:tc>
        <w:tc>
          <w:tcPr>
            <w:tcW w:w="1399" w:type="pct"/>
            <w:vMerge w:val="continue"/>
            <w:vAlign w:val="center"/>
          </w:tcPr>
          <w:p>
            <w:pPr>
              <w:pStyle w:val="61"/>
              <w:ind w:firstLine="630" w:firstLineChars="300"/>
              <w:rPr>
                <w:rFonts w:hint="eastAsia"/>
                <w:color w:val="auto"/>
                <w:sz w:val="21"/>
                <w:szCs w:val="21"/>
                <w:highlight w:val="none"/>
                <w:lang w:val="en-US"/>
              </w:rPr>
            </w:pPr>
          </w:p>
        </w:tc>
        <w:tc>
          <w:tcPr>
            <w:tcW w:w="1400" w:type="pct"/>
            <w:vAlign w:val="center"/>
          </w:tcPr>
          <w:p>
            <w:pPr>
              <w:overflowPunct w:val="0"/>
              <w:spacing w:line="460" w:lineRule="exact"/>
              <w:jc w:val="both"/>
              <w:rPr>
                <w:color w:val="auto"/>
                <w:sz w:val="21"/>
                <w:szCs w:val="21"/>
                <w:highlight w:val="none"/>
              </w:rPr>
            </w:pPr>
            <w:r>
              <w:rPr>
                <w:rFonts w:hint="eastAsia"/>
                <w:color w:val="auto"/>
                <w:sz w:val="21"/>
                <w:szCs w:val="21"/>
                <w:highlight w:val="none"/>
              </w:rPr>
              <w:t>不含税报价：</w:t>
            </w:r>
          </w:p>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691" w:type="pct"/>
            <w:vAlign w:val="center"/>
          </w:tcPr>
          <w:p>
            <w:pPr>
              <w:overflowPunct w:val="0"/>
              <w:spacing w:line="460" w:lineRule="exact"/>
              <w:jc w:val="center"/>
              <w:rPr>
                <w:rFonts w:hAnsi="宋体"/>
                <w:color w:val="auto"/>
                <w:sz w:val="21"/>
                <w:szCs w:val="21"/>
                <w:highlight w:val="none"/>
              </w:rPr>
            </w:pPr>
          </w:p>
        </w:tc>
      </w:tr>
    </w:tbl>
    <w:p>
      <w:pPr>
        <w:overflowPunct w:val="0"/>
        <w:spacing w:line="460" w:lineRule="exact"/>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137"/>
        <w:spacing w:line="460" w:lineRule="exact"/>
        <w:ind w:firstLine="1583" w:firstLineChars="754"/>
        <w:rPr>
          <w:rFonts w:ascii="宋体" w:eastAsia="宋体"/>
          <w:color w:val="auto"/>
          <w:sz w:val="21"/>
          <w:szCs w:val="21"/>
          <w:highlight w:val="none"/>
        </w:rPr>
      </w:pPr>
    </w:p>
    <w:bookmarkEnd w:id="172"/>
    <w:bookmarkEnd w:id="173"/>
    <w:bookmarkEnd w:id="174"/>
    <w:bookmarkEnd w:id="175"/>
    <w:bookmarkEnd w:id="176"/>
    <w:p>
      <w:pPr>
        <w:spacing w:line="360" w:lineRule="auto"/>
        <w:ind w:left="2" w:leftChars="1"/>
        <w:jc w:val="both"/>
        <w:rPr>
          <w:rFonts w:hAnsi="宋体"/>
          <w:color w:val="auto"/>
          <w:kern w:val="2"/>
          <w:sz w:val="21"/>
          <w:highlight w:val="none"/>
          <w:lang w:val="zh-CN"/>
        </w:rPr>
      </w:pPr>
      <w:r>
        <w:rPr>
          <w:rFonts w:hint="eastAsia" w:hAnsi="宋体"/>
          <w:color w:val="auto"/>
          <w:kern w:val="2"/>
          <w:sz w:val="21"/>
          <w:highlight w:val="none"/>
          <w:lang w:val="zh-CN"/>
        </w:rPr>
        <w:t>注：</w:t>
      </w:r>
    </w:p>
    <w:p>
      <w:pPr>
        <w:pStyle w:val="28"/>
        <w:numPr>
          <w:ilvl w:val="0"/>
          <w:numId w:val="23"/>
        </w:numPr>
        <w:spacing w:line="360" w:lineRule="auto"/>
        <w:ind w:firstLine="420" w:firstLineChars="200"/>
        <w:rPr>
          <w:rFonts w:hAnsi="宋体"/>
          <w:color w:val="auto"/>
          <w:highlight w:val="none"/>
        </w:rPr>
      </w:pPr>
      <w:r>
        <w:rPr>
          <w:rFonts w:hint="eastAsia" w:hAnsi="宋体"/>
          <w:color w:val="auto"/>
          <w:highlight w:val="none"/>
        </w:rPr>
        <w:t>总报价栏须用文字和数字两种方式表示的总价，报价保留小数点后两位。总价大小写不一致，以大写为准。</w:t>
      </w:r>
    </w:p>
    <w:p>
      <w:pPr>
        <w:pStyle w:val="28"/>
        <w:numPr>
          <w:ilvl w:val="0"/>
          <w:numId w:val="23"/>
        </w:numPr>
        <w:spacing w:line="360" w:lineRule="auto"/>
        <w:ind w:firstLine="420" w:firstLineChars="200"/>
        <w:rPr>
          <w:rFonts w:hAnsi="宋体"/>
          <w:color w:val="auto"/>
          <w:highlight w:val="none"/>
        </w:rPr>
      </w:pPr>
      <w:r>
        <w:rPr>
          <w:rFonts w:hint="eastAsia" w:hAnsi="宋体"/>
          <w:color w:val="auto"/>
          <w:highlight w:val="none"/>
          <w:lang w:eastAsia="zh-CN"/>
        </w:rPr>
        <w:t>投标下浮率计算出的价格与投标总报价（含税）不一致的，以投标下浮率为准。</w:t>
      </w:r>
    </w:p>
    <w:p>
      <w:pPr>
        <w:pStyle w:val="28"/>
        <w:numPr>
          <w:ilvl w:val="0"/>
          <w:numId w:val="23"/>
        </w:numPr>
        <w:spacing w:line="360" w:lineRule="auto"/>
        <w:ind w:firstLine="420" w:firstLineChars="200"/>
        <w:rPr>
          <w:rFonts w:hAnsi="宋体"/>
          <w:color w:val="auto"/>
          <w:highlight w:val="none"/>
        </w:rPr>
      </w:pPr>
      <w:r>
        <w:rPr>
          <w:rFonts w:hint="eastAsia" w:hAnsi="宋体"/>
          <w:color w:val="auto"/>
          <w:highlight w:val="none"/>
        </w:rPr>
        <w:t>当不含税报价和税金之和与含税报价不一致时，以含税总价为准，并修正不含税报价。</w:t>
      </w:r>
    </w:p>
    <w:p>
      <w:pPr>
        <w:pStyle w:val="28"/>
        <w:numPr>
          <w:ilvl w:val="0"/>
          <w:numId w:val="23"/>
        </w:numPr>
        <w:spacing w:line="360" w:lineRule="auto"/>
        <w:ind w:firstLine="420" w:firstLineChars="200"/>
        <w:rPr>
          <w:rFonts w:hAnsi="宋体"/>
          <w:color w:val="auto"/>
          <w:highlight w:val="none"/>
        </w:rPr>
      </w:pPr>
      <w:r>
        <w:rPr>
          <w:rFonts w:hint="eastAsia" w:hAnsi="宋体"/>
          <w:color w:val="auto"/>
          <w:highlight w:val="none"/>
        </w:rPr>
        <w:t>总价必须准确唯一且应包含完成全部服务内容的所有费用。</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bookmarkEnd w:id="177"/>
    <w:bookmarkEnd w:id="178"/>
    <w:bookmarkEnd w:id="179"/>
    <w:bookmarkEnd w:id="180"/>
    <w:bookmarkEnd w:id="181"/>
    <w:bookmarkEnd w:id="182"/>
    <w:bookmarkEnd w:id="183"/>
    <w:bookmarkEnd w:id="184"/>
    <w:bookmarkEnd w:id="185"/>
    <w:bookmarkEnd w:id="186"/>
    <w:bookmarkEnd w:id="187"/>
    <w:bookmarkEnd w:id="188"/>
    <w:bookmarkEnd w:id="189"/>
    <w:p>
      <w:pPr>
        <w:pStyle w:val="2"/>
        <w:pageBreakBefore/>
        <w:spacing w:line="360" w:lineRule="auto"/>
        <w:jc w:val="center"/>
        <w:rPr>
          <w:bCs/>
          <w:color w:val="auto"/>
          <w:sz w:val="28"/>
          <w:szCs w:val="28"/>
          <w:highlight w:val="none"/>
        </w:rPr>
      </w:pPr>
      <w:bookmarkStart w:id="190" w:name="_Toc18450"/>
      <w:bookmarkStart w:id="191" w:name="_Toc12158"/>
      <w:bookmarkStart w:id="192" w:name="_Toc7897890"/>
      <w:bookmarkStart w:id="193" w:name="_Toc458262638"/>
      <w:bookmarkStart w:id="194" w:name="_Toc454701405"/>
      <w:bookmarkStart w:id="195" w:name="_Toc486671572"/>
      <w:bookmarkStart w:id="196" w:name="_Toc467236768"/>
      <w:bookmarkStart w:id="197" w:name="_Toc476976200"/>
      <w:bookmarkStart w:id="198" w:name="_Toc27849"/>
      <w:bookmarkStart w:id="199" w:name="_Toc110953866"/>
      <w:bookmarkStart w:id="200" w:name="_Toc480020289"/>
      <w:bookmarkStart w:id="201" w:name="_Toc468606064"/>
      <w:bookmarkStart w:id="202" w:name="_Toc467987856"/>
      <w:bookmarkStart w:id="203" w:name="_Toc479991616"/>
      <w:bookmarkStart w:id="204" w:name="_Toc480021085"/>
      <w:bookmarkStart w:id="205" w:name="_Toc480010742"/>
      <w:bookmarkStart w:id="206" w:name="_Toc468157569"/>
      <w:r>
        <w:rPr>
          <w:rFonts w:hint="eastAsia"/>
          <w:bCs/>
          <w:color w:val="auto"/>
          <w:sz w:val="28"/>
          <w:szCs w:val="28"/>
          <w:highlight w:val="none"/>
        </w:rPr>
        <w:t>第二部分  商务文件</w:t>
      </w:r>
      <w:bookmarkEnd w:id="190"/>
      <w:bookmarkEnd w:id="191"/>
      <w:bookmarkStart w:id="207" w:name="_Hlt10456397"/>
      <w:bookmarkEnd w:id="207"/>
      <w:bookmarkStart w:id="208" w:name="_Hlt10519799"/>
      <w:bookmarkEnd w:id="208"/>
    </w:p>
    <w:p>
      <w:pPr>
        <w:rPr>
          <w:color w:val="auto"/>
          <w:highlight w:val="none"/>
        </w:rPr>
      </w:pPr>
    </w:p>
    <w:p>
      <w:pPr>
        <w:pStyle w:val="2"/>
        <w:numPr>
          <w:ilvl w:val="0"/>
          <w:numId w:val="24"/>
        </w:numPr>
        <w:jc w:val="center"/>
        <w:rPr>
          <w:b w:val="0"/>
          <w:color w:val="auto"/>
          <w:sz w:val="28"/>
          <w:szCs w:val="28"/>
          <w:highlight w:val="none"/>
        </w:rPr>
      </w:pPr>
      <w:bookmarkStart w:id="209" w:name="_Toc18728"/>
      <w:r>
        <w:rPr>
          <w:rFonts w:hint="eastAsia"/>
          <w:color w:val="auto"/>
          <w:sz w:val="28"/>
          <w:szCs w:val="28"/>
          <w:highlight w:val="none"/>
        </w:rPr>
        <w:t>响应书</w:t>
      </w:r>
      <w:bookmarkEnd w:id="192"/>
      <w:bookmarkEnd w:id="193"/>
      <w:bookmarkEnd w:id="194"/>
      <w:bookmarkEnd w:id="195"/>
      <w:bookmarkEnd w:id="196"/>
      <w:bookmarkEnd w:id="197"/>
      <w:bookmarkEnd w:id="198"/>
      <w:bookmarkEnd w:id="209"/>
    </w:p>
    <w:p>
      <w:pPr>
        <w:pStyle w:val="30"/>
        <w:autoSpaceDE/>
        <w:autoSpaceDN/>
        <w:adjustRightInd/>
        <w:spacing w:line="480" w:lineRule="exact"/>
        <w:ind w:left="6000"/>
        <w:rPr>
          <w:rFonts w:hAnsi="宋体"/>
          <w:color w:val="auto"/>
          <w:sz w:val="24"/>
          <w:highlight w:val="none"/>
        </w:rPr>
      </w:pPr>
    </w:p>
    <w:p>
      <w:pPr>
        <w:pStyle w:val="30"/>
        <w:autoSpaceDE/>
        <w:autoSpaceDN/>
        <w:adjustRightInd/>
        <w:spacing w:line="480" w:lineRule="exact"/>
        <w:ind w:left="0" w:leftChars="0"/>
        <w:rPr>
          <w:rFonts w:hAnsi="宋体"/>
          <w:color w:val="auto"/>
          <w:highlight w:val="none"/>
        </w:rPr>
      </w:pPr>
      <w:r>
        <w:rPr>
          <w:rFonts w:hint="eastAsia" w:hAnsi="宋体"/>
          <w:color w:val="auto"/>
          <w:highlight w:val="none"/>
        </w:rPr>
        <w:t>致：广东泰通伟业工程咨询有限公司</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根据贵方（采购编号：）的采购邀请和磋商文件，供应商承诺如下：</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1.签字代表</w:t>
      </w:r>
      <w:r>
        <w:rPr>
          <w:rFonts w:hint="eastAsia" w:hAnsi="宋体"/>
          <w:color w:val="auto"/>
          <w:sz w:val="21"/>
          <w:szCs w:val="21"/>
          <w:highlight w:val="none"/>
          <w:u w:val="single"/>
        </w:rPr>
        <w:t>（姓名、职务）</w:t>
      </w:r>
      <w:r>
        <w:rPr>
          <w:rFonts w:hint="eastAsia" w:hAnsi="宋体"/>
          <w:color w:val="auto"/>
          <w:sz w:val="21"/>
          <w:szCs w:val="21"/>
          <w:highlight w:val="none"/>
        </w:rPr>
        <w:t>经正式授权并代表供应商</w:t>
      </w:r>
      <w:r>
        <w:rPr>
          <w:rFonts w:hint="eastAsia" w:hAnsi="宋体"/>
          <w:color w:val="auto"/>
          <w:sz w:val="21"/>
          <w:szCs w:val="21"/>
          <w:highlight w:val="none"/>
          <w:u w:val="single"/>
        </w:rPr>
        <w:t>（供应商名称、地址）</w:t>
      </w:r>
      <w:r>
        <w:rPr>
          <w:rFonts w:hint="eastAsia" w:hAnsi="宋体"/>
          <w:color w:val="auto"/>
          <w:sz w:val="21"/>
          <w:szCs w:val="21"/>
          <w:highlight w:val="none"/>
        </w:rPr>
        <w:t>提交响应文件正本份和副本份。</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2.供应商愿意参加响应并在成交后按磋商文件规定履行义务。</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4.响应文件中所提交的所有资料均是准确的和真实的，否则，我单位愿意放弃成交的权利和接受采购监督管理部门的处罚。</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5.参加本项目采购活动前3年内，在经营活动中没有重大违法记录。</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6.响应有效期为90个工作日，自开启响应文件之日起算。</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7.同意在成交后按照磋商文件的规定缴纳成交服务费。</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8.如果开启响应文件后，在响应有效期内撤回文件的，我单位愿意承担贵单位由此而产生的损失。</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9.供应商同意提供按照贵方可能要求的有关的一切资料，理解贵单位不一定要接受最低价的响应或收到的任何响应。</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10.与本响应有关的一切正式往来通讯请寄：</w:t>
      </w:r>
    </w:p>
    <w:p>
      <w:pPr>
        <w:spacing w:line="480" w:lineRule="exact"/>
        <w:ind w:firstLine="420" w:firstLineChars="200"/>
        <w:rPr>
          <w:rFonts w:hAnsi="宋体"/>
          <w:color w:val="auto"/>
          <w:sz w:val="21"/>
          <w:szCs w:val="21"/>
          <w:highlight w:val="none"/>
        </w:rPr>
      </w:pP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供应商名称：</w:t>
      </w:r>
      <w:r>
        <w:rPr>
          <w:rFonts w:hint="eastAsia" w:hAnsi="宋体"/>
          <w:color w:val="auto"/>
          <w:sz w:val="21"/>
          <w:szCs w:val="21"/>
          <w:highlight w:val="none"/>
          <w:u w:val="single"/>
        </w:rPr>
        <w:t xml:space="preserve">            （盖公章）                   </w:t>
      </w:r>
    </w:p>
    <w:p>
      <w:pPr>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rPr>
        <w:t>供应商代表姓名、职务（印刷体）：</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供应商联系电话、传真：</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日期：年月日</w:t>
      </w:r>
    </w:p>
    <w:p>
      <w:pPr>
        <w:pStyle w:val="2"/>
        <w:numPr>
          <w:ilvl w:val="0"/>
          <w:numId w:val="24"/>
        </w:numPr>
        <w:jc w:val="center"/>
        <w:rPr>
          <w:bCs/>
          <w:color w:val="auto"/>
          <w:sz w:val="28"/>
          <w:szCs w:val="28"/>
          <w:highlight w:val="none"/>
        </w:rPr>
      </w:pPr>
      <w:r>
        <w:rPr>
          <w:color w:val="auto"/>
          <w:sz w:val="22"/>
          <w:szCs w:val="22"/>
          <w:highlight w:val="none"/>
        </w:rPr>
        <w:br w:type="page"/>
      </w:r>
      <w:bookmarkStart w:id="210" w:name="_Toc7897891"/>
      <w:bookmarkStart w:id="211" w:name="_Toc31943"/>
      <w:bookmarkStart w:id="212" w:name="_Toc10808"/>
      <w:r>
        <w:rPr>
          <w:rFonts w:hint="eastAsia"/>
          <w:bCs/>
          <w:color w:val="auto"/>
          <w:sz w:val="28"/>
          <w:szCs w:val="28"/>
          <w:highlight w:val="none"/>
        </w:rPr>
        <w:t>法定代表人证明书</w:t>
      </w:r>
      <w:bookmarkEnd w:id="210"/>
      <w:bookmarkEnd w:id="211"/>
      <w:bookmarkEnd w:id="212"/>
    </w:p>
    <w:p>
      <w:pPr>
        <w:jc w:val="center"/>
        <w:rPr>
          <w:rFonts w:hAnsi="宋体"/>
          <w:color w:val="auto"/>
          <w:sz w:val="28"/>
          <w:szCs w:val="28"/>
          <w:highlight w:val="none"/>
        </w:rPr>
      </w:pPr>
    </w:p>
    <w:p>
      <w:pPr>
        <w:rPr>
          <w:rFonts w:hAnsi="宋体"/>
          <w:color w:val="auto"/>
          <w:sz w:val="28"/>
          <w:szCs w:val="28"/>
          <w:highlight w:val="none"/>
        </w:rPr>
      </w:pPr>
    </w:p>
    <w:p>
      <w:pPr>
        <w:spacing w:line="420" w:lineRule="atLeas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atLeast"/>
        <w:ind w:firstLine="433"/>
        <w:rPr>
          <w:rFonts w:ascii="宋体" w:eastAsia="宋体"/>
          <w:color w:val="auto"/>
          <w:sz w:val="21"/>
          <w:szCs w:val="21"/>
          <w:highlight w:val="none"/>
        </w:rPr>
      </w:pP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 xml:space="preserve">供应商名称: </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单 位 性质：</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地      址：</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系（供应商名称）的法定代表人。</w:t>
      </w:r>
    </w:p>
    <w:p>
      <w:pPr>
        <w:spacing w:line="420" w:lineRule="atLeast"/>
        <w:ind w:firstLine="420" w:firstLineChars="200"/>
        <w:rPr>
          <w:rFonts w:hAnsi="宋体"/>
          <w:color w:val="auto"/>
          <w:sz w:val="21"/>
          <w:szCs w:val="21"/>
          <w:highlight w:val="none"/>
        </w:rPr>
      </w:pPr>
      <w:r>
        <w:rPr>
          <w:rFonts w:hint="eastAsia" w:hAnsi="宋体"/>
          <w:color w:val="auto"/>
          <w:sz w:val="21"/>
          <w:szCs w:val="21"/>
          <w:highlight w:val="none"/>
        </w:rPr>
        <w:t>特此证明。</w:t>
      </w:r>
    </w:p>
    <w:p>
      <w:pPr>
        <w:pStyle w:val="75"/>
        <w:spacing w:line="500" w:lineRule="atLeast"/>
        <w:ind w:firstLine="3517" w:firstLineChars="1675"/>
        <w:rPr>
          <w:rFonts w:ascii="宋体" w:eastAsia="宋体"/>
          <w:color w:val="auto"/>
          <w:sz w:val="21"/>
          <w:szCs w:val="21"/>
          <w:highlight w:val="none"/>
        </w:rPr>
      </w:pP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75"/>
        <w:spacing w:line="460" w:lineRule="exact"/>
        <w:ind w:firstLine="433"/>
        <w:rPr>
          <w:rFonts w:ascii="宋体" w:eastAsia="宋体"/>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须附：法定代表人身份证复印件（加盖公章）</w:t>
      </w:r>
    </w:p>
    <w:p>
      <w:pPr>
        <w:spacing w:line="420" w:lineRule="atLeast"/>
        <w:ind w:firstLine="422" w:firstLineChars="200"/>
        <w:rPr>
          <w:b/>
          <w:color w:val="auto"/>
          <w:sz w:val="21"/>
          <w:szCs w:val="21"/>
          <w:highlight w:val="none"/>
        </w:rPr>
      </w:pPr>
    </w:p>
    <w:tbl>
      <w:tblPr>
        <w:tblStyle w:val="5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rPr>
          <w:rFonts w:hAnsi="宋体"/>
          <w:color w:val="auto"/>
          <w:highlight w:val="none"/>
        </w:rPr>
      </w:pPr>
    </w:p>
    <w:p>
      <w:pPr>
        <w:rPr>
          <w:rFonts w:hAnsi="宋体"/>
          <w:color w:val="auto"/>
          <w:sz w:val="28"/>
          <w:szCs w:val="28"/>
          <w:highlight w:val="none"/>
        </w:rPr>
      </w:pPr>
    </w:p>
    <w:p>
      <w:pPr>
        <w:pStyle w:val="2"/>
        <w:numPr>
          <w:ilvl w:val="0"/>
          <w:numId w:val="24"/>
        </w:numPr>
        <w:jc w:val="center"/>
        <w:rPr>
          <w:bCs/>
          <w:color w:val="auto"/>
          <w:sz w:val="28"/>
          <w:szCs w:val="28"/>
          <w:highlight w:val="none"/>
        </w:rPr>
      </w:pPr>
      <w:r>
        <w:rPr>
          <w:rFonts w:hint="eastAsia"/>
          <w:bCs/>
          <w:color w:val="auto"/>
          <w:sz w:val="28"/>
          <w:szCs w:val="28"/>
          <w:highlight w:val="none"/>
        </w:rPr>
        <w:br w:type="page"/>
      </w:r>
      <w:bookmarkStart w:id="213" w:name="_Toc28882"/>
      <w:bookmarkStart w:id="214" w:name="_Toc7897892"/>
      <w:bookmarkStart w:id="215" w:name="_Toc19634"/>
      <w:r>
        <w:rPr>
          <w:rFonts w:hint="eastAsia"/>
          <w:bCs/>
          <w:color w:val="auto"/>
          <w:sz w:val="28"/>
          <w:szCs w:val="28"/>
          <w:highlight w:val="none"/>
        </w:rPr>
        <w:t>授权委托书（加法人证明书）</w:t>
      </w:r>
      <w:bookmarkEnd w:id="213"/>
      <w:bookmarkEnd w:id="214"/>
      <w:bookmarkEnd w:id="215"/>
    </w:p>
    <w:p>
      <w:pPr>
        <w:pStyle w:val="5"/>
        <w:ind w:firstLine="400"/>
        <w:rPr>
          <w:color w:val="auto"/>
          <w:highlight w:val="none"/>
        </w:rPr>
      </w:pPr>
    </w:p>
    <w:p>
      <w:pPr>
        <w:spacing w:line="420" w:lineRule="exact"/>
        <w:rPr>
          <w:rFonts w:hAnsi="宋体"/>
          <w:color w:val="auto"/>
          <w:sz w:val="22"/>
          <w:szCs w:val="22"/>
          <w:highlight w:val="none"/>
        </w:rPr>
      </w:pPr>
    </w:p>
    <w:p>
      <w:pPr>
        <w:spacing w:line="420" w:lineRule="exac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本人</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（供应商名称）        </w:t>
      </w:r>
      <w:r>
        <w:rPr>
          <w:rFonts w:hint="eastAsia" w:ascii="宋体" w:eastAsia="宋体"/>
          <w:color w:val="auto"/>
          <w:sz w:val="21"/>
          <w:szCs w:val="21"/>
          <w:highlight w:val="none"/>
        </w:rPr>
        <w:t>的法定代表人，现委托</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为我方合法代理人。代理人根据授权，以我方名义签署、澄清、说明、补正、递交、撤回、修改</w:t>
      </w:r>
      <w:r>
        <w:rPr>
          <w:rFonts w:hint="eastAsia" w:ascii="宋体" w:eastAsia="宋体"/>
          <w:color w:val="auto"/>
          <w:sz w:val="21"/>
          <w:szCs w:val="21"/>
          <w:highlight w:val="none"/>
          <w:u w:val="single"/>
        </w:rPr>
        <w:t xml:space="preserve">        （项目名称）        </w:t>
      </w:r>
      <w:r>
        <w:rPr>
          <w:rFonts w:hint="eastAsia" w:ascii="宋体" w:eastAsia="宋体"/>
          <w:color w:val="auto"/>
          <w:sz w:val="21"/>
          <w:szCs w:val="21"/>
          <w:highlight w:val="none"/>
        </w:rPr>
        <w:t>[采购编号：</w:t>
      </w:r>
      <w:r>
        <w:rPr>
          <w:rFonts w:hint="eastAsia" w:ascii="宋体" w:eastAsia="宋体"/>
          <w:color w:val="auto"/>
          <w:sz w:val="21"/>
          <w:szCs w:val="21"/>
          <w:highlight w:val="none"/>
          <w:u w:val="single"/>
        </w:rPr>
        <w:t>　　　　　　　</w:t>
      </w:r>
      <w:r>
        <w:rPr>
          <w:rFonts w:hint="eastAsia" w:ascii="宋体" w:eastAsia="宋体"/>
          <w:color w:val="auto"/>
          <w:sz w:val="21"/>
          <w:szCs w:val="21"/>
          <w:highlight w:val="none"/>
        </w:rPr>
        <w:t>]磋商响应文件、签订合同和处理有关事宜，其法律后果由我方承担。</w:t>
      </w:r>
    </w:p>
    <w:p>
      <w:pPr>
        <w:pStyle w:val="75"/>
        <w:spacing w:line="420" w:lineRule="exact"/>
        <w:ind w:firstLine="428" w:firstLineChars="204"/>
        <w:rPr>
          <w:rFonts w:ascii="宋体" w:eastAsia="宋体"/>
          <w:color w:val="auto"/>
          <w:sz w:val="21"/>
          <w:szCs w:val="21"/>
          <w:highlight w:val="none"/>
        </w:rPr>
      </w:pPr>
      <w:r>
        <w:rPr>
          <w:rFonts w:hint="eastAsia" w:ascii="宋体" w:eastAsia="宋体"/>
          <w:color w:val="auto"/>
          <w:sz w:val="21"/>
          <w:szCs w:val="21"/>
          <w:highlight w:val="none"/>
        </w:rPr>
        <w:t>本委托书于</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日签字生效，特此证明。</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代理人无转委托权</w:t>
      </w:r>
    </w:p>
    <w:p>
      <w:pPr>
        <w:pStyle w:val="75"/>
        <w:spacing w:line="420" w:lineRule="exact"/>
        <w:ind w:firstLine="450" w:firstLineChars="0"/>
        <w:rPr>
          <w:rFonts w:ascii="宋体" w:eastAsia="宋体"/>
          <w:color w:val="auto"/>
          <w:sz w:val="21"/>
          <w:szCs w:val="21"/>
          <w:highlight w:val="none"/>
        </w:rPr>
      </w:pPr>
    </w:p>
    <w:p>
      <w:pPr>
        <w:pStyle w:val="75"/>
        <w:spacing w:line="420" w:lineRule="exact"/>
        <w:ind w:firstLine="428" w:firstLineChars="204"/>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身份证号码：</w:t>
      </w:r>
    </w:p>
    <w:p>
      <w:pPr>
        <w:pStyle w:val="75"/>
        <w:spacing w:line="420" w:lineRule="exact"/>
        <w:ind w:firstLine="3517" w:firstLineChars="1675"/>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受托代理人（签名或盖私章）：</w:t>
      </w:r>
    </w:p>
    <w:p>
      <w:pPr>
        <w:pStyle w:val="75"/>
        <w:spacing w:line="420" w:lineRule="exac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460" w:lineRule="exac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须附：授权代理人身份证复印件（加盖公章）</w:t>
      </w:r>
    </w:p>
    <w:p>
      <w:pPr>
        <w:spacing w:line="420" w:lineRule="atLeast"/>
        <w:ind w:firstLine="420" w:firstLineChars="200"/>
        <w:rPr>
          <w:color w:val="auto"/>
          <w:sz w:val="21"/>
          <w:szCs w:val="21"/>
          <w:highlight w:val="none"/>
        </w:rPr>
      </w:pPr>
    </w:p>
    <w:tbl>
      <w:tblPr>
        <w:tblStyle w:val="5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pStyle w:val="5"/>
        <w:ind w:firstLine="482"/>
        <w:rPr>
          <w:b/>
          <w:color w:val="auto"/>
          <w:sz w:val="24"/>
          <w:szCs w:val="24"/>
          <w:highlight w:val="none"/>
        </w:rPr>
      </w:pPr>
    </w:p>
    <w:p>
      <w:pPr>
        <w:tabs>
          <w:tab w:val="left" w:pos="7740"/>
        </w:tabs>
        <w:spacing w:line="360" w:lineRule="auto"/>
        <w:rPr>
          <w:rFonts w:hAnsi="宋体"/>
          <w:color w:val="auto"/>
          <w:sz w:val="21"/>
          <w:szCs w:val="21"/>
          <w:highlight w:val="none"/>
        </w:rPr>
      </w:pPr>
      <w:bookmarkStart w:id="216" w:name="_Toc7897893"/>
      <w:bookmarkStart w:id="217" w:name="_Toc4592"/>
    </w:p>
    <w:p>
      <w:pPr>
        <w:pStyle w:val="5"/>
        <w:ind w:firstLine="0" w:firstLineChars="0"/>
        <w:rPr>
          <w:color w:val="auto"/>
          <w:highlight w:val="none"/>
        </w:rPr>
      </w:pPr>
    </w:p>
    <w:p>
      <w:pPr>
        <w:pStyle w:val="5"/>
        <w:ind w:firstLine="0" w:firstLineChars="0"/>
        <w:rPr>
          <w:color w:val="auto"/>
          <w:highlight w:val="none"/>
        </w:rPr>
      </w:pPr>
    </w:p>
    <w:p>
      <w:pPr>
        <w:pStyle w:val="5"/>
        <w:ind w:firstLine="0" w:firstLineChars="0"/>
        <w:rPr>
          <w:color w:val="auto"/>
          <w:highlight w:val="none"/>
        </w:rPr>
      </w:pPr>
    </w:p>
    <w:p>
      <w:pPr>
        <w:pStyle w:val="2"/>
        <w:numPr>
          <w:ilvl w:val="0"/>
          <w:numId w:val="24"/>
        </w:numPr>
        <w:jc w:val="center"/>
        <w:rPr>
          <w:color w:val="auto"/>
          <w:sz w:val="28"/>
          <w:szCs w:val="28"/>
          <w:highlight w:val="none"/>
        </w:rPr>
      </w:pPr>
      <w:bookmarkStart w:id="218" w:name="_Toc17363"/>
      <w:r>
        <w:rPr>
          <w:rFonts w:hint="eastAsia"/>
          <w:color w:val="auto"/>
          <w:sz w:val="28"/>
          <w:szCs w:val="28"/>
          <w:highlight w:val="none"/>
        </w:rPr>
        <w:t>供应商基本情况说明</w:t>
      </w:r>
      <w:bookmarkEnd w:id="216"/>
      <w:bookmarkEnd w:id="217"/>
      <w:bookmarkEnd w:id="218"/>
    </w:p>
    <w:p>
      <w:pPr>
        <w:spacing w:line="360" w:lineRule="auto"/>
        <w:rPr>
          <w:rFonts w:hAnsi="宋体"/>
          <w:color w:val="auto"/>
          <w:sz w:val="22"/>
          <w:szCs w:val="22"/>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一、</w:t>
      </w:r>
      <w:r>
        <w:rPr>
          <w:rFonts w:hAnsi="宋体"/>
          <w:color w:val="auto"/>
          <w:sz w:val="21"/>
          <w:szCs w:val="21"/>
          <w:highlight w:val="none"/>
        </w:rPr>
        <w:t>公司基本情况</w:t>
      </w:r>
    </w:p>
    <w:p>
      <w:pPr>
        <w:tabs>
          <w:tab w:val="left" w:pos="4678"/>
        </w:tabs>
        <w:spacing w:line="360" w:lineRule="auto"/>
        <w:rPr>
          <w:rFonts w:hAnsi="宋体"/>
          <w:color w:val="auto"/>
          <w:sz w:val="21"/>
          <w:szCs w:val="21"/>
          <w:highlight w:val="none"/>
        </w:rPr>
      </w:pPr>
      <w:r>
        <w:rPr>
          <w:rFonts w:hAnsi="宋体"/>
          <w:color w:val="auto"/>
          <w:sz w:val="21"/>
          <w:szCs w:val="21"/>
          <w:highlight w:val="none"/>
        </w:rPr>
        <w:t>1、公司名称： 电话号码：</w:t>
      </w:r>
    </w:p>
    <w:p>
      <w:pPr>
        <w:spacing w:line="360" w:lineRule="auto"/>
        <w:rPr>
          <w:rFonts w:hAnsi="宋体"/>
          <w:color w:val="auto"/>
          <w:sz w:val="21"/>
          <w:szCs w:val="21"/>
          <w:highlight w:val="none"/>
        </w:rPr>
      </w:pPr>
      <w:r>
        <w:rPr>
          <w:rFonts w:hAnsi="宋体"/>
          <w:color w:val="auto"/>
          <w:sz w:val="21"/>
          <w:szCs w:val="21"/>
          <w:highlight w:val="none"/>
        </w:rPr>
        <w:t>2、地  址： 传  真：</w:t>
      </w:r>
    </w:p>
    <w:p>
      <w:pPr>
        <w:spacing w:line="360" w:lineRule="auto"/>
        <w:rPr>
          <w:rFonts w:hAnsi="宋体"/>
          <w:color w:val="auto"/>
          <w:sz w:val="21"/>
          <w:szCs w:val="21"/>
          <w:highlight w:val="none"/>
          <w:u w:val="single"/>
        </w:rPr>
      </w:pPr>
      <w:r>
        <w:rPr>
          <w:rFonts w:hAnsi="宋体"/>
          <w:color w:val="auto"/>
          <w:sz w:val="21"/>
          <w:szCs w:val="21"/>
          <w:highlight w:val="none"/>
        </w:rPr>
        <w:t>3、注册资金： 经济性质：</w:t>
      </w:r>
    </w:p>
    <w:p>
      <w:pPr>
        <w:spacing w:line="360" w:lineRule="auto"/>
        <w:rPr>
          <w:rFonts w:hAnsi="宋体"/>
          <w:color w:val="auto"/>
          <w:sz w:val="21"/>
          <w:szCs w:val="21"/>
          <w:highlight w:val="none"/>
        </w:rPr>
      </w:pPr>
      <w:r>
        <w:rPr>
          <w:rFonts w:hAnsi="宋体"/>
          <w:color w:val="auto"/>
          <w:sz w:val="21"/>
          <w:szCs w:val="21"/>
          <w:highlight w:val="none"/>
        </w:rPr>
        <w:t xml:space="preserve">4、公司开户银行名称及账号：      </w:t>
      </w:r>
    </w:p>
    <w:p>
      <w:pPr>
        <w:spacing w:line="360" w:lineRule="auto"/>
        <w:rPr>
          <w:rFonts w:hAnsi="宋体"/>
          <w:color w:val="auto"/>
          <w:sz w:val="21"/>
          <w:szCs w:val="21"/>
          <w:highlight w:val="none"/>
        </w:rPr>
      </w:pPr>
      <w:r>
        <w:rPr>
          <w:rFonts w:hAnsi="宋体"/>
          <w:color w:val="auto"/>
          <w:sz w:val="21"/>
          <w:szCs w:val="21"/>
          <w:highlight w:val="none"/>
        </w:rPr>
        <w:t xml:space="preserve">5、营业注册执照号：  </w:t>
      </w:r>
    </w:p>
    <w:p>
      <w:pPr>
        <w:spacing w:line="360" w:lineRule="auto"/>
        <w:rPr>
          <w:rFonts w:hAnsi="宋体"/>
          <w:color w:val="auto"/>
          <w:sz w:val="21"/>
          <w:szCs w:val="21"/>
          <w:highlight w:val="none"/>
        </w:rPr>
      </w:pPr>
      <w:r>
        <w:rPr>
          <w:rFonts w:hAnsi="宋体"/>
          <w:color w:val="auto"/>
          <w:sz w:val="21"/>
          <w:szCs w:val="21"/>
          <w:highlight w:val="none"/>
        </w:rPr>
        <w:t>6、公司简介:</w:t>
      </w:r>
    </w:p>
    <w:p>
      <w:pPr>
        <w:spacing w:line="360" w:lineRule="auto"/>
        <w:rPr>
          <w:rFonts w:hAnsi="宋体"/>
          <w:color w:val="auto"/>
          <w:sz w:val="21"/>
          <w:szCs w:val="21"/>
          <w:highlight w:val="none"/>
        </w:rPr>
      </w:pPr>
      <w:r>
        <w:rPr>
          <w:rFonts w:hAnsi="宋体"/>
          <w:color w:val="auto"/>
          <w:sz w:val="21"/>
          <w:szCs w:val="21"/>
          <w:highlight w:val="none"/>
        </w:rPr>
        <w:t>7、公司财务情况：</w:t>
      </w:r>
    </w:p>
    <w:p>
      <w:pPr>
        <w:spacing w:line="360" w:lineRule="auto"/>
        <w:jc w:val="right"/>
        <w:rPr>
          <w:rFonts w:hAnsi="宋体"/>
          <w:color w:val="auto"/>
          <w:sz w:val="21"/>
          <w:szCs w:val="21"/>
          <w:highlight w:val="none"/>
        </w:rPr>
      </w:pPr>
      <w:r>
        <w:rPr>
          <w:rFonts w:hint="eastAsia" w:hAnsi="宋体"/>
          <w:color w:val="auto"/>
          <w:sz w:val="21"/>
          <w:szCs w:val="21"/>
          <w:highlight w:val="none"/>
        </w:rPr>
        <w:t>【价格单位：（人民币）元】</w:t>
      </w:r>
    </w:p>
    <w:tbl>
      <w:tblPr>
        <w:tblStyle w:val="51"/>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jc w:val="center"/>
              <w:rPr>
                <w:rFonts w:hAnsi="宋体"/>
                <w:color w:val="auto"/>
                <w:sz w:val="21"/>
                <w:szCs w:val="21"/>
                <w:highlight w:val="none"/>
              </w:rPr>
            </w:pPr>
            <w:r>
              <w:rPr>
                <w:rFonts w:hint="eastAsia" w:hAnsi="宋体"/>
                <w:color w:val="auto"/>
                <w:sz w:val="21"/>
                <w:szCs w:val="21"/>
                <w:highlight w:val="none"/>
              </w:rPr>
              <w:t>年  度</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总资产（元）</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资产负债率（%）</w:t>
            </w:r>
          </w:p>
        </w:tc>
        <w:tc>
          <w:tcPr>
            <w:tcW w:w="1839" w:type="dxa"/>
            <w:vAlign w:val="center"/>
          </w:tcPr>
          <w:p>
            <w:pPr>
              <w:jc w:val="center"/>
              <w:rPr>
                <w:rFonts w:hAnsi="宋体"/>
                <w:color w:val="auto"/>
                <w:sz w:val="21"/>
                <w:szCs w:val="21"/>
                <w:highlight w:val="none"/>
              </w:rPr>
            </w:pPr>
            <w:r>
              <w:rPr>
                <w:rFonts w:hint="eastAsia" w:hAnsi="宋体"/>
                <w:color w:val="auto"/>
                <w:sz w:val="21"/>
                <w:szCs w:val="21"/>
                <w:highlight w:val="none"/>
              </w:rPr>
              <w:t>年营业额（元）</w:t>
            </w:r>
          </w:p>
        </w:tc>
        <w:tc>
          <w:tcPr>
            <w:tcW w:w="1851" w:type="dxa"/>
            <w:vAlign w:val="center"/>
          </w:tcPr>
          <w:p>
            <w:pPr>
              <w:jc w:val="center"/>
              <w:rPr>
                <w:rFonts w:hAnsi="宋体"/>
                <w:color w:val="auto"/>
                <w:sz w:val="21"/>
                <w:szCs w:val="21"/>
                <w:highlight w:val="none"/>
              </w:rPr>
            </w:pPr>
            <w:r>
              <w:rPr>
                <w:rFonts w:hint="eastAsia" w:hAnsi="宋体"/>
                <w:color w:val="auto"/>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bl>
    <w:p>
      <w:pPr>
        <w:spacing w:line="360" w:lineRule="auto"/>
        <w:rPr>
          <w:rFonts w:hAnsi="宋体"/>
          <w:b/>
          <w:color w:val="auto"/>
          <w:sz w:val="21"/>
          <w:szCs w:val="21"/>
          <w:highlight w:val="none"/>
        </w:rPr>
      </w:pPr>
    </w:p>
    <w:p>
      <w:pPr>
        <w:tabs>
          <w:tab w:val="left" w:pos="420"/>
          <w:tab w:val="left" w:pos="1485"/>
        </w:tabs>
        <w:spacing w:line="360" w:lineRule="auto"/>
        <w:rPr>
          <w:rFonts w:hAnsi="宋体"/>
          <w:color w:val="auto"/>
          <w:sz w:val="21"/>
          <w:szCs w:val="21"/>
          <w:highlight w:val="none"/>
        </w:rPr>
      </w:pPr>
      <w:r>
        <w:rPr>
          <w:rFonts w:hint="eastAsia" w:hAnsi="宋体"/>
          <w:color w:val="auto"/>
          <w:sz w:val="21"/>
          <w:szCs w:val="21"/>
          <w:highlight w:val="none"/>
        </w:rPr>
        <w:t>二、</w:t>
      </w:r>
      <w:r>
        <w:rPr>
          <w:rFonts w:hAnsi="宋体"/>
          <w:color w:val="auto"/>
          <w:sz w:val="21"/>
          <w:szCs w:val="21"/>
          <w:highlight w:val="none"/>
        </w:rPr>
        <w:t>供应商获得国家有关部门颁发的资质证明</w:t>
      </w:r>
      <w:r>
        <w:rPr>
          <w:rFonts w:hint="eastAsia" w:hAnsi="宋体"/>
          <w:color w:val="auto"/>
          <w:sz w:val="21"/>
          <w:szCs w:val="21"/>
          <w:highlight w:val="none"/>
        </w:rPr>
        <w:t>或荣誉</w:t>
      </w:r>
      <w:r>
        <w:rPr>
          <w:rFonts w:hAnsi="宋体"/>
          <w:color w:val="auto"/>
          <w:sz w:val="21"/>
          <w:szCs w:val="21"/>
          <w:highlight w:val="none"/>
        </w:rPr>
        <w:t>：</w:t>
      </w:r>
      <w:r>
        <w:rPr>
          <w:rFonts w:hint="eastAsia" w:hAnsi="宋体"/>
          <w:color w:val="auto"/>
          <w:sz w:val="21"/>
          <w:szCs w:val="21"/>
          <w:highlight w:val="none"/>
        </w:rPr>
        <w:t>（如有）</w:t>
      </w:r>
    </w:p>
    <w:tbl>
      <w:tblPr>
        <w:tblStyle w:val="51"/>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color w:val="auto"/>
                <w:sz w:val="21"/>
                <w:szCs w:val="21"/>
                <w:highlight w:val="none"/>
              </w:rPr>
            </w:pPr>
            <w:r>
              <w:rPr>
                <w:rFonts w:hAnsi="宋体"/>
                <w:color w:val="auto"/>
                <w:sz w:val="21"/>
                <w:szCs w:val="21"/>
                <w:highlight w:val="none"/>
              </w:rPr>
              <w:t>证书名称</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发证单位</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证书等级</w:t>
            </w:r>
          </w:p>
        </w:tc>
        <w:tc>
          <w:tcPr>
            <w:tcW w:w="1830" w:type="dxa"/>
            <w:vAlign w:val="center"/>
          </w:tcPr>
          <w:p>
            <w:pPr>
              <w:jc w:val="center"/>
              <w:rPr>
                <w:rFonts w:hAnsi="宋体"/>
                <w:color w:val="auto"/>
                <w:sz w:val="21"/>
                <w:szCs w:val="21"/>
                <w:highlight w:val="none"/>
              </w:rPr>
            </w:pPr>
            <w:r>
              <w:rPr>
                <w:rFonts w:hAnsi="宋体"/>
                <w:color w:val="auto"/>
                <w:sz w:val="21"/>
                <w:szCs w:val="21"/>
                <w:highlight w:val="none"/>
              </w:rPr>
              <w:t>证书有效期</w:t>
            </w:r>
          </w:p>
        </w:tc>
        <w:tc>
          <w:tcPr>
            <w:tcW w:w="1842" w:type="dxa"/>
            <w:vAlign w:val="center"/>
          </w:tcPr>
          <w:p>
            <w:pPr>
              <w:jc w:val="center"/>
              <w:rPr>
                <w:rFonts w:hAnsi="宋体"/>
                <w:color w:val="auto"/>
                <w:sz w:val="21"/>
                <w:szCs w:val="21"/>
                <w:highlight w:val="none"/>
              </w:rPr>
            </w:pPr>
            <w:r>
              <w:rPr>
                <w:rFonts w:hint="eastAsia" w:hAnsi="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bl>
    <w:p>
      <w:pPr>
        <w:spacing w:line="420" w:lineRule="atLeast"/>
        <w:rPr>
          <w:rFonts w:hAnsi="宋体"/>
          <w:color w:val="auto"/>
          <w:sz w:val="21"/>
          <w:szCs w:val="21"/>
          <w:highlight w:val="none"/>
        </w:rPr>
      </w:pPr>
      <w:r>
        <w:rPr>
          <w:rFonts w:hint="eastAsia" w:hAnsi="宋体"/>
          <w:color w:val="auto"/>
          <w:sz w:val="21"/>
          <w:szCs w:val="21"/>
          <w:highlight w:val="none"/>
        </w:rPr>
        <w:t>备注：以上资质或荣誉必须提供相关证明材料。</w:t>
      </w:r>
    </w:p>
    <w:p>
      <w:pPr>
        <w:spacing w:line="420" w:lineRule="atLeast"/>
        <w:rPr>
          <w:rFonts w:hAnsi="宋体"/>
          <w:color w:val="auto"/>
          <w:sz w:val="21"/>
          <w:szCs w:val="21"/>
          <w:highlight w:val="none"/>
        </w:rPr>
      </w:pPr>
      <w:r>
        <w:rPr>
          <w:rFonts w:hint="eastAsia" w:hAnsi="宋体"/>
          <w:color w:val="auto"/>
          <w:sz w:val="21"/>
          <w:szCs w:val="21"/>
          <w:highlight w:val="none"/>
        </w:rPr>
        <w:t>兹证明上述声明是真实、正确的，并提供了全部能提供的资料和数据，我方同意遵照贵方要求出示有关证明文件。</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2"/>
        <w:numPr>
          <w:ilvl w:val="0"/>
          <w:numId w:val="24"/>
        </w:numPr>
        <w:jc w:val="center"/>
        <w:rPr>
          <w:b w:val="0"/>
          <w:color w:val="auto"/>
          <w:sz w:val="28"/>
          <w:szCs w:val="28"/>
          <w:highlight w:val="none"/>
          <w:u w:val="single"/>
        </w:rPr>
      </w:pPr>
      <w:r>
        <w:rPr>
          <w:color w:val="auto"/>
          <w:sz w:val="22"/>
          <w:szCs w:val="22"/>
          <w:highlight w:val="none"/>
        </w:rPr>
        <w:br w:type="page"/>
      </w:r>
      <w:bookmarkStart w:id="219" w:name="_Toc17704"/>
      <w:bookmarkStart w:id="220" w:name="_Toc7897894"/>
      <w:bookmarkStart w:id="221" w:name="_Toc27094"/>
      <w:r>
        <w:rPr>
          <w:rFonts w:hint="eastAsia"/>
          <w:bCs/>
          <w:color w:val="auto"/>
          <w:sz w:val="28"/>
          <w:szCs w:val="28"/>
          <w:highlight w:val="none"/>
        </w:rPr>
        <w:t>偏离表</w:t>
      </w:r>
      <w:bookmarkEnd w:id="199"/>
      <w:bookmarkEnd w:id="219"/>
      <w:bookmarkEnd w:id="220"/>
      <w:bookmarkEnd w:id="221"/>
    </w:p>
    <w:p>
      <w:pPr>
        <w:pStyle w:val="5"/>
        <w:ind w:firstLine="480"/>
        <w:rPr>
          <w:color w:val="auto"/>
          <w:sz w:val="24"/>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Cs w:val="21"/>
          <w:highlight w:val="none"/>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序号</w:t>
            </w:r>
          </w:p>
        </w:tc>
        <w:tc>
          <w:tcPr>
            <w:tcW w:w="216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项 目</w:t>
            </w:r>
          </w:p>
        </w:tc>
        <w:tc>
          <w:tcPr>
            <w:tcW w:w="124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磋商文件要求</w:t>
            </w:r>
          </w:p>
        </w:tc>
        <w:tc>
          <w:tcPr>
            <w:tcW w:w="198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响应文件</w:t>
            </w:r>
          </w:p>
          <w:p>
            <w:pPr>
              <w:jc w:val="center"/>
              <w:rPr>
                <w:rFonts w:hAnsi="宋体"/>
                <w:b/>
                <w:bCs/>
                <w:color w:val="auto"/>
                <w:sz w:val="21"/>
                <w:szCs w:val="21"/>
                <w:highlight w:val="none"/>
              </w:rPr>
            </w:pPr>
            <w:r>
              <w:rPr>
                <w:rFonts w:hint="eastAsia" w:hAnsi="宋体"/>
                <w:b/>
                <w:bCs/>
                <w:color w:val="auto"/>
                <w:sz w:val="21"/>
                <w:szCs w:val="21"/>
                <w:highlight w:val="none"/>
              </w:rPr>
              <w:t>响应情况</w:t>
            </w:r>
          </w:p>
        </w:tc>
        <w:tc>
          <w:tcPr>
            <w:tcW w:w="1276"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tc>
        <w:tc>
          <w:tcPr>
            <w:tcW w:w="159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p>
            <w:pPr>
              <w:jc w:val="center"/>
              <w:rPr>
                <w:rFonts w:hAnsi="宋体"/>
                <w:b/>
                <w:bCs/>
                <w:color w:val="auto"/>
                <w:sz w:val="21"/>
                <w:szCs w:val="21"/>
                <w:highlight w:val="none"/>
              </w:rPr>
            </w:pPr>
            <w:r>
              <w:rPr>
                <w:rFonts w:hint="eastAsia" w:hAnsi="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1</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ind w:left="-446" w:leftChars="-186" w:firstLine="390" w:firstLineChars="186"/>
              <w:jc w:val="center"/>
              <w:rPr>
                <w:rFonts w:hAnsi="宋体"/>
                <w:color w:val="auto"/>
                <w:sz w:val="21"/>
                <w:szCs w:val="21"/>
                <w:highlight w:val="none"/>
              </w:rPr>
            </w:pPr>
          </w:p>
        </w:tc>
        <w:tc>
          <w:tcPr>
            <w:tcW w:w="1594" w:type="dxa"/>
            <w:vAlign w:val="center"/>
          </w:tcPr>
          <w:p>
            <w:pPr>
              <w:ind w:left="-446" w:leftChars="-186" w:firstLine="390" w:firstLineChars="186"/>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2</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3</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jc w:val="center"/>
              <w:rPr>
                <w:rFonts w:hAnsi="宋体"/>
                <w:bCs/>
                <w:color w:val="auto"/>
                <w:sz w:val="21"/>
                <w:szCs w:val="21"/>
                <w:highlight w:val="none"/>
              </w:rPr>
            </w:pPr>
            <w:r>
              <w:rPr>
                <w:rFonts w:hint="eastAsia" w:hAnsi="宋体"/>
                <w:bCs/>
                <w:color w:val="auto"/>
                <w:sz w:val="21"/>
                <w:szCs w:val="21"/>
                <w:highlight w:val="none"/>
              </w:rPr>
              <w:t>其他</w:t>
            </w: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color w:val="auto"/>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1.“磋商文件要求”见磋商文件“商务需求书”，“响应文件响应情况”是指供应商的投报情况。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bCs/>
          <w:color w:val="auto"/>
          <w:sz w:val="21"/>
          <w:szCs w:val="21"/>
          <w:highlight w:val="none"/>
        </w:rPr>
        <w:t>偏离情况</w:t>
      </w:r>
      <w:r>
        <w:rPr>
          <w:rFonts w:hint="eastAsia" w:hAnsi="宋体"/>
          <w:color w:val="auto"/>
          <w:sz w:val="21"/>
          <w:szCs w:val="21"/>
          <w:highlight w:val="none"/>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 xml:space="preserve">日期：年月日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2"/>
        <w:numPr>
          <w:ilvl w:val="0"/>
          <w:numId w:val="24"/>
        </w:numPr>
        <w:jc w:val="center"/>
        <w:rPr>
          <w:rFonts w:ascii="Calibri" w:hAnsi="Times New Roman"/>
          <w:color w:val="auto"/>
          <w:sz w:val="28"/>
          <w:szCs w:val="28"/>
          <w:highlight w:val="none"/>
        </w:rPr>
      </w:pPr>
      <w:bookmarkStart w:id="222" w:name="_Toc8299"/>
      <w:bookmarkStart w:id="223" w:name="_Toc31965"/>
      <w:bookmarkStart w:id="224" w:name="_Toc7897895"/>
      <w:r>
        <w:rPr>
          <w:rFonts w:hint="eastAsia" w:ascii="Calibri"/>
          <w:color w:val="auto"/>
          <w:sz w:val="28"/>
          <w:szCs w:val="28"/>
          <w:highlight w:val="none"/>
        </w:rPr>
        <w:t>磋商</w:t>
      </w:r>
      <w:r>
        <w:rPr>
          <w:rFonts w:hint="eastAsia" w:ascii="Calibri" w:hAnsi="Times New Roman"/>
          <w:color w:val="auto"/>
          <w:sz w:val="28"/>
          <w:szCs w:val="28"/>
          <w:highlight w:val="none"/>
        </w:rPr>
        <w:t>文件“★”号条款响应表</w:t>
      </w:r>
      <w:bookmarkEnd w:id="222"/>
    </w:p>
    <w:p>
      <w:pPr>
        <w:rPr>
          <w:rFonts w:hAnsi="宋体"/>
          <w:b/>
          <w:bCs/>
          <w:color w:val="auto"/>
          <w:highlight w:val="none"/>
        </w:rPr>
      </w:pPr>
    </w:p>
    <w:p>
      <w:pPr>
        <w:rPr>
          <w:rFonts w:hAnsi="宋体"/>
          <w:b/>
          <w:bCs/>
          <w:color w:val="auto"/>
          <w:highlight w:val="none"/>
        </w:rPr>
      </w:pPr>
    </w:p>
    <w:tbl>
      <w:tblPr>
        <w:tblStyle w:val="51"/>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4637" w:type="dxa"/>
            <w:gridSpan w:val="2"/>
            <w:vAlign w:val="center"/>
          </w:tcPr>
          <w:p>
            <w:pPr>
              <w:autoSpaceDE/>
              <w:autoSpaceDN/>
              <w:adjustRightInd/>
              <w:spacing w:before="120" w:after="120" w:line="360" w:lineRule="auto"/>
              <w:ind w:left="-122" w:leftChars="-51"/>
              <w:jc w:val="center"/>
              <w:rPr>
                <w:rFonts w:hAnsi="宋体"/>
                <w:color w:val="auto"/>
                <w:sz w:val="21"/>
                <w:szCs w:val="21"/>
                <w:highlight w:val="none"/>
              </w:rPr>
            </w:pPr>
            <w:r>
              <w:rPr>
                <w:rFonts w:hint="eastAsia" w:hAnsi="宋体"/>
                <w:color w:val="auto"/>
                <w:sz w:val="21"/>
                <w:szCs w:val="21"/>
                <w:highlight w:val="none"/>
              </w:rPr>
              <w:t>磋商文件“★”号条款要求</w:t>
            </w:r>
          </w:p>
        </w:tc>
        <w:tc>
          <w:tcPr>
            <w:tcW w:w="4192" w:type="dxa"/>
            <w:gridSpan w:val="2"/>
            <w:vAlign w:val="center"/>
          </w:tcPr>
          <w:p>
            <w:pPr>
              <w:autoSpaceDE/>
              <w:autoSpaceDN/>
              <w:adjustRightInd/>
              <w:spacing w:before="120" w:after="120" w:line="360" w:lineRule="auto"/>
              <w:ind w:left="-88"/>
              <w:jc w:val="center"/>
              <w:rPr>
                <w:rFonts w:hAnsi="宋体"/>
                <w:color w:val="auto"/>
                <w:sz w:val="21"/>
                <w:szCs w:val="21"/>
                <w:highlight w:val="none"/>
              </w:rPr>
            </w:pPr>
            <w:r>
              <w:rPr>
                <w:rFonts w:hint="eastAsia" w:hAnsi="宋体"/>
                <w:color w:val="auto"/>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outlineLvl w:val="0"/>
              <w:rPr>
                <w:rFonts w:hAnsi="宋体"/>
                <w:color w:val="auto"/>
                <w:sz w:val="21"/>
                <w:szCs w:val="21"/>
                <w:highlight w:val="none"/>
              </w:rPr>
            </w:pPr>
          </w:p>
        </w:tc>
        <w:tc>
          <w:tcPr>
            <w:tcW w:w="1266"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条款号</w:t>
            </w:r>
          </w:p>
        </w:tc>
        <w:tc>
          <w:tcPr>
            <w:tcW w:w="3371"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简要内容</w:t>
            </w:r>
          </w:p>
        </w:tc>
        <w:tc>
          <w:tcPr>
            <w:tcW w:w="2113"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偏离情况</w:t>
            </w:r>
          </w:p>
        </w:tc>
        <w:tc>
          <w:tcPr>
            <w:tcW w:w="2079"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1</w:t>
            </w:r>
          </w:p>
        </w:tc>
        <w:tc>
          <w:tcPr>
            <w:tcW w:w="1266" w:type="dxa"/>
            <w:vAlign w:val="center"/>
          </w:tcPr>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vAlign w:val="center"/>
          </w:tcPr>
          <w:p>
            <w:pPr>
              <w:keepNext/>
              <w:keepLines/>
              <w:autoSpaceDE/>
              <w:autoSpaceDN/>
              <w:adjustRightInd/>
              <w:spacing w:before="120" w:after="120" w:line="360" w:lineRule="auto"/>
              <w:ind w:left="629"/>
              <w:jc w:val="center"/>
              <w:outlineLvl w:val="2"/>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center"/>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2</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629"/>
              <w:jc w:val="both"/>
              <w:outlineLvl w:val="2"/>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both"/>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3</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bl>
    <w:p>
      <w:pPr>
        <w:autoSpaceDE/>
        <w:autoSpaceDN/>
        <w:adjustRightInd/>
        <w:spacing w:line="360" w:lineRule="auto"/>
        <w:ind w:left="565" w:leftChars="-59" w:hanging="707" w:hangingChars="337"/>
        <w:jc w:val="both"/>
        <w:rPr>
          <w:rFonts w:hAnsi="宋体"/>
          <w:b/>
          <w:color w:val="auto"/>
          <w:kern w:val="2"/>
          <w:sz w:val="21"/>
          <w:szCs w:val="21"/>
          <w:highlight w:val="none"/>
        </w:rPr>
      </w:pPr>
      <w:r>
        <w:rPr>
          <w:rFonts w:hint="eastAsia" w:hAnsi="宋体"/>
          <w:color w:val="auto"/>
          <w:kern w:val="2"/>
          <w:sz w:val="21"/>
          <w:szCs w:val="21"/>
          <w:highlight w:val="none"/>
        </w:rPr>
        <w:t>注：1、</w:t>
      </w:r>
      <w:r>
        <w:rPr>
          <w:rFonts w:hint="eastAsia" w:hAnsi="宋体"/>
          <w:b/>
          <w:color w:val="auto"/>
          <w:kern w:val="2"/>
          <w:sz w:val="21"/>
          <w:szCs w:val="21"/>
          <w:highlight w:val="none"/>
        </w:rPr>
        <w:t>供应商应按照磋商文件用户需求要求，逐条、如实地填写“偏离情况”项</w:t>
      </w:r>
      <w:r>
        <w:rPr>
          <w:rFonts w:hint="eastAsia" w:hAnsi="宋体"/>
          <w:color w:val="auto"/>
          <w:kern w:val="2"/>
          <w:sz w:val="21"/>
          <w:szCs w:val="21"/>
          <w:highlight w:val="none"/>
        </w:rPr>
        <w:t>。</w:t>
      </w:r>
      <w:r>
        <w:rPr>
          <w:rFonts w:hint="eastAsia" w:hAnsi="宋体"/>
          <w:b/>
          <w:color w:val="auto"/>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autoSpaceDE/>
        <w:autoSpaceDN/>
        <w:adjustRightInd/>
        <w:spacing w:line="360" w:lineRule="auto"/>
        <w:ind w:left="561" w:leftChars="115" w:hanging="285" w:hangingChars="135"/>
        <w:jc w:val="both"/>
        <w:rPr>
          <w:rFonts w:hAnsi="宋体"/>
          <w:i/>
          <w:iCs/>
          <w:color w:val="auto"/>
          <w:sz w:val="21"/>
          <w:szCs w:val="21"/>
          <w:highlight w:val="none"/>
        </w:rPr>
      </w:pPr>
      <w:r>
        <w:rPr>
          <w:rFonts w:hint="eastAsia" w:hAnsi="宋体"/>
          <w:b/>
          <w:color w:val="auto"/>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rPr>
          <w:rFonts w:hAnsi="宋体"/>
          <w:color w:val="auto"/>
          <w:sz w:val="22"/>
          <w:szCs w:val="22"/>
          <w:highlight w:val="none"/>
        </w:rPr>
      </w:pPr>
      <w:r>
        <w:rPr>
          <w:rFonts w:hint="eastAsia" w:hAnsi="宋体"/>
          <w:color w:val="auto"/>
          <w:sz w:val="21"/>
          <w:szCs w:val="21"/>
          <w:highlight w:val="none"/>
        </w:rPr>
        <w:t>日期：年月日</w:t>
      </w:r>
    </w:p>
    <w:p>
      <w:pPr>
        <w:pStyle w:val="5"/>
        <w:ind w:firstLine="400"/>
        <w:rPr>
          <w:color w:val="auto"/>
          <w:highlight w:val="none"/>
        </w:rPr>
      </w:pPr>
    </w:p>
    <w:p>
      <w:pPr>
        <w:pStyle w:val="2"/>
        <w:numPr>
          <w:ilvl w:val="0"/>
          <w:numId w:val="24"/>
        </w:numPr>
        <w:jc w:val="center"/>
        <w:rPr>
          <w:color w:val="auto"/>
          <w:sz w:val="28"/>
          <w:szCs w:val="28"/>
          <w:highlight w:val="none"/>
        </w:rPr>
      </w:pPr>
      <w:bookmarkStart w:id="225" w:name="_Toc12735"/>
      <w:r>
        <w:rPr>
          <w:rFonts w:hint="eastAsia"/>
          <w:bCs/>
          <w:color w:val="auto"/>
          <w:sz w:val="28"/>
          <w:szCs w:val="28"/>
          <w:highlight w:val="none"/>
        </w:rPr>
        <w:t>供应商所获资质或奖项证书一览表</w:t>
      </w:r>
      <w:bookmarkEnd w:id="223"/>
      <w:bookmarkEnd w:id="224"/>
      <w:bookmarkEnd w:id="225"/>
    </w:p>
    <w:p>
      <w:pPr>
        <w:pStyle w:val="5"/>
        <w:tabs>
          <w:tab w:val="left" w:pos="8280"/>
        </w:tabs>
        <w:spacing w:line="480" w:lineRule="exact"/>
        <w:ind w:firstLine="482"/>
        <w:rPr>
          <w:rFonts w:hAnsi="宋体"/>
          <w:b/>
          <w:color w:val="auto"/>
          <w:sz w:val="24"/>
          <w:szCs w:val="21"/>
          <w:highlight w:val="none"/>
        </w:rPr>
      </w:pPr>
    </w:p>
    <w:tbl>
      <w:tblPr>
        <w:tblStyle w:val="5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5"/>
              <w:ind w:firstLine="0" w:firstLineChars="0"/>
              <w:jc w:val="both"/>
              <w:rPr>
                <w:rFonts w:ascii="Times New Roman" w:hAnsi="宋体"/>
                <w:b/>
                <w:bCs/>
                <w:color w:val="auto"/>
                <w:sz w:val="21"/>
                <w:szCs w:val="21"/>
                <w:highlight w:val="none"/>
              </w:rPr>
            </w:pPr>
            <w:r>
              <w:rPr>
                <w:rFonts w:hint="eastAsia" w:ascii="Times New Roman" w:hAnsi="宋体"/>
                <w:b/>
                <w:bCs/>
                <w:color w:val="auto"/>
                <w:sz w:val="21"/>
                <w:szCs w:val="21"/>
                <w:highlight w:val="none"/>
              </w:rPr>
              <w:t>序号</w:t>
            </w:r>
          </w:p>
        </w:tc>
        <w:tc>
          <w:tcPr>
            <w:tcW w:w="2218" w:type="dxa"/>
            <w:vAlign w:val="center"/>
          </w:tcPr>
          <w:p>
            <w:pPr>
              <w:pStyle w:val="5"/>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证书名称及等级</w:t>
            </w:r>
          </w:p>
        </w:tc>
        <w:tc>
          <w:tcPr>
            <w:tcW w:w="2218" w:type="dxa"/>
            <w:vAlign w:val="center"/>
          </w:tcPr>
          <w:p>
            <w:pPr>
              <w:pStyle w:val="5"/>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证书编号</w:t>
            </w:r>
          </w:p>
        </w:tc>
        <w:tc>
          <w:tcPr>
            <w:tcW w:w="1862" w:type="dxa"/>
            <w:vAlign w:val="center"/>
          </w:tcPr>
          <w:p>
            <w:pPr>
              <w:pStyle w:val="5"/>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发证单位</w:t>
            </w:r>
          </w:p>
        </w:tc>
        <w:tc>
          <w:tcPr>
            <w:tcW w:w="1529" w:type="dxa"/>
            <w:vAlign w:val="center"/>
          </w:tcPr>
          <w:p>
            <w:pPr>
              <w:pStyle w:val="5"/>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5"/>
              <w:ind w:firstLine="422"/>
              <w:jc w:val="center"/>
              <w:rPr>
                <w:rFonts w:ascii="Times New Roman" w:hAnsi="宋体"/>
                <w:b/>
                <w:bCs/>
                <w:color w:val="auto"/>
                <w:sz w:val="21"/>
                <w:szCs w:val="21"/>
                <w:highlight w:val="none"/>
              </w:rPr>
            </w:pPr>
          </w:p>
        </w:tc>
        <w:tc>
          <w:tcPr>
            <w:tcW w:w="2218" w:type="dxa"/>
            <w:vAlign w:val="center"/>
          </w:tcPr>
          <w:p>
            <w:pPr>
              <w:pStyle w:val="5"/>
              <w:ind w:firstLine="422"/>
              <w:jc w:val="center"/>
              <w:rPr>
                <w:rFonts w:ascii="Times New Roman" w:hAnsi="宋体"/>
                <w:b/>
                <w:bCs/>
                <w:color w:val="auto"/>
                <w:sz w:val="21"/>
                <w:szCs w:val="21"/>
                <w:highlight w:val="none"/>
              </w:rPr>
            </w:pPr>
          </w:p>
        </w:tc>
        <w:tc>
          <w:tcPr>
            <w:tcW w:w="2218" w:type="dxa"/>
            <w:vAlign w:val="center"/>
          </w:tcPr>
          <w:p>
            <w:pPr>
              <w:pStyle w:val="5"/>
              <w:ind w:firstLine="422"/>
              <w:jc w:val="center"/>
              <w:rPr>
                <w:rFonts w:ascii="Times New Roman" w:hAnsi="宋体"/>
                <w:b/>
                <w:bCs/>
                <w:color w:val="auto"/>
                <w:sz w:val="21"/>
                <w:szCs w:val="21"/>
                <w:highlight w:val="none"/>
              </w:rPr>
            </w:pPr>
          </w:p>
        </w:tc>
        <w:tc>
          <w:tcPr>
            <w:tcW w:w="1862" w:type="dxa"/>
            <w:vAlign w:val="center"/>
          </w:tcPr>
          <w:p>
            <w:pPr>
              <w:pStyle w:val="5"/>
              <w:ind w:firstLine="422"/>
              <w:jc w:val="center"/>
              <w:rPr>
                <w:rFonts w:ascii="Times New Roman" w:hAnsi="宋体"/>
                <w:b/>
                <w:bCs/>
                <w:color w:val="auto"/>
                <w:sz w:val="21"/>
                <w:szCs w:val="21"/>
                <w:highlight w:val="none"/>
              </w:rPr>
            </w:pPr>
          </w:p>
        </w:tc>
        <w:tc>
          <w:tcPr>
            <w:tcW w:w="1529" w:type="dxa"/>
            <w:vAlign w:val="center"/>
          </w:tcPr>
          <w:p>
            <w:pPr>
              <w:pStyle w:val="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5"/>
              <w:ind w:firstLine="422"/>
              <w:jc w:val="center"/>
              <w:rPr>
                <w:rFonts w:ascii="Times New Roman" w:hAnsi="宋体"/>
                <w:b/>
                <w:bCs/>
                <w:color w:val="auto"/>
                <w:sz w:val="21"/>
                <w:szCs w:val="21"/>
                <w:highlight w:val="none"/>
              </w:rPr>
            </w:pPr>
          </w:p>
        </w:tc>
        <w:tc>
          <w:tcPr>
            <w:tcW w:w="2218" w:type="dxa"/>
            <w:vAlign w:val="center"/>
          </w:tcPr>
          <w:p>
            <w:pPr>
              <w:pStyle w:val="5"/>
              <w:ind w:firstLine="422"/>
              <w:jc w:val="center"/>
              <w:rPr>
                <w:rFonts w:ascii="Times New Roman" w:hAnsi="宋体"/>
                <w:b/>
                <w:bCs/>
                <w:color w:val="auto"/>
                <w:sz w:val="21"/>
                <w:szCs w:val="21"/>
                <w:highlight w:val="none"/>
              </w:rPr>
            </w:pPr>
          </w:p>
        </w:tc>
        <w:tc>
          <w:tcPr>
            <w:tcW w:w="2218" w:type="dxa"/>
            <w:vAlign w:val="center"/>
          </w:tcPr>
          <w:p>
            <w:pPr>
              <w:pStyle w:val="5"/>
              <w:ind w:firstLine="422"/>
              <w:jc w:val="center"/>
              <w:rPr>
                <w:rFonts w:ascii="Times New Roman" w:hAnsi="宋体"/>
                <w:b/>
                <w:bCs/>
                <w:color w:val="auto"/>
                <w:sz w:val="21"/>
                <w:szCs w:val="21"/>
                <w:highlight w:val="none"/>
              </w:rPr>
            </w:pPr>
          </w:p>
        </w:tc>
        <w:tc>
          <w:tcPr>
            <w:tcW w:w="1862" w:type="dxa"/>
            <w:vAlign w:val="center"/>
          </w:tcPr>
          <w:p>
            <w:pPr>
              <w:pStyle w:val="5"/>
              <w:ind w:firstLine="422"/>
              <w:jc w:val="center"/>
              <w:rPr>
                <w:rFonts w:ascii="Times New Roman" w:hAnsi="宋体"/>
                <w:b/>
                <w:bCs/>
                <w:color w:val="auto"/>
                <w:sz w:val="21"/>
                <w:szCs w:val="21"/>
                <w:highlight w:val="none"/>
              </w:rPr>
            </w:pPr>
          </w:p>
        </w:tc>
        <w:tc>
          <w:tcPr>
            <w:tcW w:w="1529" w:type="dxa"/>
            <w:vAlign w:val="center"/>
          </w:tcPr>
          <w:p>
            <w:pPr>
              <w:pStyle w:val="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5"/>
              <w:ind w:firstLine="422"/>
              <w:jc w:val="center"/>
              <w:rPr>
                <w:rFonts w:ascii="Times New Roman" w:hAnsi="宋体"/>
                <w:b/>
                <w:bCs/>
                <w:color w:val="auto"/>
                <w:sz w:val="21"/>
                <w:szCs w:val="21"/>
                <w:highlight w:val="none"/>
              </w:rPr>
            </w:pPr>
          </w:p>
        </w:tc>
        <w:tc>
          <w:tcPr>
            <w:tcW w:w="2218" w:type="dxa"/>
            <w:vAlign w:val="center"/>
          </w:tcPr>
          <w:p>
            <w:pPr>
              <w:pStyle w:val="5"/>
              <w:ind w:firstLine="422"/>
              <w:jc w:val="center"/>
              <w:rPr>
                <w:rFonts w:ascii="Times New Roman" w:hAnsi="宋体"/>
                <w:b/>
                <w:bCs/>
                <w:color w:val="auto"/>
                <w:sz w:val="21"/>
                <w:szCs w:val="21"/>
                <w:highlight w:val="none"/>
              </w:rPr>
            </w:pPr>
          </w:p>
        </w:tc>
        <w:tc>
          <w:tcPr>
            <w:tcW w:w="2218" w:type="dxa"/>
            <w:vAlign w:val="center"/>
          </w:tcPr>
          <w:p>
            <w:pPr>
              <w:pStyle w:val="5"/>
              <w:ind w:firstLine="422"/>
              <w:jc w:val="center"/>
              <w:rPr>
                <w:rFonts w:ascii="Times New Roman" w:hAnsi="宋体"/>
                <w:b/>
                <w:bCs/>
                <w:color w:val="auto"/>
                <w:sz w:val="21"/>
                <w:szCs w:val="21"/>
                <w:highlight w:val="none"/>
              </w:rPr>
            </w:pPr>
          </w:p>
        </w:tc>
        <w:tc>
          <w:tcPr>
            <w:tcW w:w="1862" w:type="dxa"/>
            <w:vAlign w:val="center"/>
          </w:tcPr>
          <w:p>
            <w:pPr>
              <w:pStyle w:val="5"/>
              <w:ind w:firstLine="422"/>
              <w:jc w:val="center"/>
              <w:rPr>
                <w:rFonts w:ascii="Times New Roman" w:hAnsi="宋体"/>
                <w:b/>
                <w:bCs/>
                <w:color w:val="auto"/>
                <w:sz w:val="21"/>
                <w:szCs w:val="21"/>
                <w:highlight w:val="none"/>
              </w:rPr>
            </w:pPr>
          </w:p>
        </w:tc>
        <w:tc>
          <w:tcPr>
            <w:tcW w:w="1529" w:type="dxa"/>
            <w:vAlign w:val="center"/>
          </w:tcPr>
          <w:p>
            <w:pPr>
              <w:pStyle w:val="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5"/>
              <w:ind w:firstLine="422"/>
              <w:jc w:val="center"/>
              <w:rPr>
                <w:rFonts w:ascii="Times New Roman" w:hAnsi="宋体"/>
                <w:b/>
                <w:bCs/>
                <w:color w:val="auto"/>
                <w:sz w:val="21"/>
                <w:szCs w:val="21"/>
                <w:highlight w:val="none"/>
              </w:rPr>
            </w:pPr>
          </w:p>
        </w:tc>
        <w:tc>
          <w:tcPr>
            <w:tcW w:w="2218" w:type="dxa"/>
            <w:vAlign w:val="center"/>
          </w:tcPr>
          <w:p>
            <w:pPr>
              <w:pStyle w:val="5"/>
              <w:ind w:firstLine="422"/>
              <w:jc w:val="center"/>
              <w:rPr>
                <w:rFonts w:ascii="Times New Roman" w:hAnsi="宋体"/>
                <w:b/>
                <w:bCs/>
                <w:color w:val="auto"/>
                <w:sz w:val="21"/>
                <w:szCs w:val="21"/>
                <w:highlight w:val="none"/>
              </w:rPr>
            </w:pPr>
          </w:p>
        </w:tc>
        <w:tc>
          <w:tcPr>
            <w:tcW w:w="2218" w:type="dxa"/>
            <w:vAlign w:val="center"/>
          </w:tcPr>
          <w:p>
            <w:pPr>
              <w:pStyle w:val="5"/>
              <w:ind w:firstLine="422"/>
              <w:jc w:val="center"/>
              <w:rPr>
                <w:rFonts w:ascii="Times New Roman" w:hAnsi="宋体"/>
                <w:b/>
                <w:bCs/>
                <w:color w:val="auto"/>
                <w:sz w:val="21"/>
                <w:szCs w:val="21"/>
                <w:highlight w:val="none"/>
              </w:rPr>
            </w:pPr>
          </w:p>
        </w:tc>
        <w:tc>
          <w:tcPr>
            <w:tcW w:w="1862" w:type="dxa"/>
            <w:vAlign w:val="center"/>
          </w:tcPr>
          <w:p>
            <w:pPr>
              <w:pStyle w:val="5"/>
              <w:ind w:firstLine="422"/>
              <w:jc w:val="center"/>
              <w:rPr>
                <w:rFonts w:ascii="Times New Roman" w:hAnsi="宋体"/>
                <w:b/>
                <w:bCs/>
                <w:color w:val="auto"/>
                <w:sz w:val="21"/>
                <w:szCs w:val="21"/>
                <w:highlight w:val="none"/>
              </w:rPr>
            </w:pPr>
          </w:p>
        </w:tc>
        <w:tc>
          <w:tcPr>
            <w:tcW w:w="1529" w:type="dxa"/>
            <w:vAlign w:val="center"/>
          </w:tcPr>
          <w:p>
            <w:pPr>
              <w:pStyle w:val="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5"/>
              <w:ind w:firstLine="422"/>
              <w:jc w:val="center"/>
              <w:rPr>
                <w:rFonts w:ascii="Times New Roman" w:hAnsi="宋体"/>
                <w:b/>
                <w:bCs/>
                <w:color w:val="auto"/>
                <w:sz w:val="21"/>
                <w:szCs w:val="21"/>
                <w:highlight w:val="none"/>
              </w:rPr>
            </w:pPr>
          </w:p>
        </w:tc>
        <w:tc>
          <w:tcPr>
            <w:tcW w:w="2218" w:type="dxa"/>
            <w:vAlign w:val="center"/>
          </w:tcPr>
          <w:p>
            <w:pPr>
              <w:pStyle w:val="5"/>
              <w:ind w:firstLine="422"/>
              <w:jc w:val="center"/>
              <w:rPr>
                <w:rFonts w:ascii="Times New Roman" w:hAnsi="宋体"/>
                <w:b/>
                <w:bCs/>
                <w:color w:val="auto"/>
                <w:sz w:val="21"/>
                <w:szCs w:val="21"/>
                <w:highlight w:val="none"/>
              </w:rPr>
            </w:pPr>
          </w:p>
        </w:tc>
        <w:tc>
          <w:tcPr>
            <w:tcW w:w="2218" w:type="dxa"/>
            <w:vAlign w:val="center"/>
          </w:tcPr>
          <w:p>
            <w:pPr>
              <w:pStyle w:val="5"/>
              <w:ind w:firstLine="422"/>
              <w:jc w:val="center"/>
              <w:rPr>
                <w:rFonts w:ascii="Times New Roman" w:hAnsi="宋体"/>
                <w:b/>
                <w:bCs/>
                <w:color w:val="auto"/>
                <w:sz w:val="21"/>
                <w:szCs w:val="21"/>
                <w:highlight w:val="none"/>
              </w:rPr>
            </w:pPr>
          </w:p>
        </w:tc>
        <w:tc>
          <w:tcPr>
            <w:tcW w:w="1862" w:type="dxa"/>
            <w:vAlign w:val="center"/>
          </w:tcPr>
          <w:p>
            <w:pPr>
              <w:pStyle w:val="5"/>
              <w:ind w:firstLine="422"/>
              <w:jc w:val="center"/>
              <w:rPr>
                <w:rFonts w:ascii="Times New Roman" w:hAnsi="宋体"/>
                <w:b/>
                <w:bCs/>
                <w:color w:val="auto"/>
                <w:sz w:val="21"/>
                <w:szCs w:val="21"/>
                <w:highlight w:val="none"/>
              </w:rPr>
            </w:pPr>
          </w:p>
        </w:tc>
        <w:tc>
          <w:tcPr>
            <w:tcW w:w="1529" w:type="dxa"/>
            <w:vAlign w:val="center"/>
          </w:tcPr>
          <w:p>
            <w:pPr>
              <w:pStyle w:val="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5"/>
              <w:ind w:firstLine="422"/>
              <w:jc w:val="center"/>
              <w:rPr>
                <w:rFonts w:ascii="Times New Roman" w:hAnsi="宋体"/>
                <w:b/>
                <w:bCs/>
                <w:color w:val="auto"/>
                <w:sz w:val="21"/>
                <w:szCs w:val="21"/>
                <w:highlight w:val="none"/>
              </w:rPr>
            </w:pPr>
          </w:p>
        </w:tc>
        <w:tc>
          <w:tcPr>
            <w:tcW w:w="2218" w:type="dxa"/>
            <w:vAlign w:val="center"/>
          </w:tcPr>
          <w:p>
            <w:pPr>
              <w:pStyle w:val="5"/>
              <w:ind w:firstLine="422"/>
              <w:jc w:val="center"/>
              <w:rPr>
                <w:rFonts w:ascii="Times New Roman" w:hAnsi="宋体"/>
                <w:b/>
                <w:bCs/>
                <w:color w:val="auto"/>
                <w:sz w:val="21"/>
                <w:szCs w:val="21"/>
                <w:highlight w:val="none"/>
              </w:rPr>
            </w:pPr>
          </w:p>
        </w:tc>
        <w:tc>
          <w:tcPr>
            <w:tcW w:w="2218" w:type="dxa"/>
            <w:vAlign w:val="center"/>
          </w:tcPr>
          <w:p>
            <w:pPr>
              <w:pStyle w:val="5"/>
              <w:ind w:firstLine="422"/>
              <w:jc w:val="center"/>
              <w:rPr>
                <w:rFonts w:ascii="Times New Roman" w:hAnsi="宋体"/>
                <w:b/>
                <w:bCs/>
                <w:color w:val="auto"/>
                <w:sz w:val="21"/>
                <w:szCs w:val="21"/>
                <w:highlight w:val="none"/>
              </w:rPr>
            </w:pPr>
          </w:p>
        </w:tc>
        <w:tc>
          <w:tcPr>
            <w:tcW w:w="1862" w:type="dxa"/>
            <w:vAlign w:val="center"/>
          </w:tcPr>
          <w:p>
            <w:pPr>
              <w:pStyle w:val="5"/>
              <w:ind w:firstLine="422"/>
              <w:jc w:val="center"/>
              <w:rPr>
                <w:rFonts w:ascii="Times New Roman" w:hAnsi="宋体"/>
                <w:b/>
                <w:bCs/>
                <w:color w:val="auto"/>
                <w:sz w:val="21"/>
                <w:szCs w:val="21"/>
                <w:highlight w:val="none"/>
              </w:rPr>
            </w:pPr>
          </w:p>
        </w:tc>
        <w:tc>
          <w:tcPr>
            <w:tcW w:w="1529" w:type="dxa"/>
            <w:vAlign w:val="center"/>
          </w:tcPr>
          <w:p>
            <w:pPr>
              <w:pStyle w:val="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5"/>
              <w:ind w:firstLine="422"/>
              <w:jc w:val="center"/>
              <w:rPr>
                <w:rFonts w:ascii="Times New Roman" w:hAnsi="宋体"/>
                <w:b/>
                <w:bCs/>
                <w:color w:val="auto"/>
                <w:sz w:val="21"/>
                <w:szCs w:val="21"/>
                <w:highlight w:val="none"/>
              </w:rPr>
            </w:pPr>
          </w:p>
        </w:tc>
        <w:tc>
          <w:tcPr>
            <w:tcW w:w="2218" w:type="dxa"/>
            <w:vAlign w:val="center"/>
          </w:tcPr>
          <w:p>
            <w:pPr>
              <w:pStyle w:val="5"/>
              <w:ind w:firstLine="422"/>
              <w:jc w:val="center"/>
              <w:rPr>
                <w:rFonts w:ascii="Times New Roman" w:hAnsi="宋体"/>
                <w:b/>
                <w:bCs/>
                <w:color w:val="auto"/>
                <w:sz w:val="21"/>
                <w:szCs w:val="21"/>
                <w:highlight w:val="none"/>
              </w:rPr>
            </w:pPr>
          </w:p>
        </w:tc>
        <w:tc>
          <w:tcPr>
            <w:tcW w:w="2218" w:type="dxa"/>
            <w:vAlign w:val="center"/>
          </w:tcPr>
          <w:p>
            <w:pPr>
              <w:pStyle w:val="5"/>
              <w:ind w:firstLine="422"/>
              <w:jc w:val="center"/>
              <w:rPr>
                <w:rFonts w:ascii="Times New Roman" w:hAnsi="宋体"/>
                <w:b/>
                <w:bCs/>
                <w:color w:val="auto"/>
                <w:sz w:val="21"/>
                <w:szCs w:val="21"/>
                <w:highlight w:val="none"/>
              </w:rPr>
            </w:pPr>
          </w:p>
        </w:tc>
        <w:tc>
          <w:tcPr>
            <w:tcW w:w="1862" w:type="dxa"/>
            <w:vAlign w:val="center"/>
          </w:tcPr>
          <w:p>
            <w:pPr>
              <w:pStyle w:val="5"/>
              <w:ind w:firstLine="422"/>
              <w:jc w:val="center"/>
              <w:rPr>
                <w:rFonts w:ascii="Times New Roman" w:hAnsi="宋体"/>
                <w:b/>
                <w:bCs/>
                <w:color w:val="auto"/>
                <w:sz w:val="21"/>
                <w:szCs w:val="21"/>
                <w:highlight w:val="none"/>
              </w:rPr>
            </w:pPr>
          </w:p>
        </w:tc>
        <w:tc>
          <w:tcPr>
            <w:tcW w:w="1529" w:type="dxa"/>
            <w:vAlign w:val="center"/>
          </w:tcPr>
          <w:p>
            <w:pPr>
              <w:pStyle w:val="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5"/>
              <w:ind w:firstLine="422"/>
              <w:jc w:val="center"/>
              <w:rPr>
                <w:rFonts w:ascii="Times New Roman" w:hAnsi="宋体"/>
                <w:b/>
                <w:bCs/>
                <w:color w:val="auto"/>
                <w:sz w:val="21"/>
                <w:szCs w:val="21"/>
                <w:highlight w:val="none"/>
              </w:rPr>
            </w:pPr>
          </w:p>
        </w:tc>
        <w:tc>
          <w:tcPr>
            <w:tcW w:w="2218" w:type="dxa"/>
            <w:vAlign w:val="center"/>
          </w:tcPr>
          <w:p>
            <w:pPr>
              <w:pStyle w:val="5"/>
              <w:ind w:firstLine="422"/>
              <w:jc w:val="center"/>
              <w:rPr>
                <w:rFonts w:ascii="Times New Roman" w:hAnsi="宋体"/>
                <w:b/>
                <w:bCs/>
                <w:color w:val="auto"/>
                <w:sz w:val="21"/>
                <w:szCs w:val="21"/>
                <w:highlight w:val="none"/>
              </w:rPr>
            </w:pPr>
          </w:p>
        </w:tc>
        <w:tc>
          <w:tcPr>
            <w:tcW w:w="2218" w:type="dxa"/>
            <w:vAlign w:val="center"/>
          </w:tcPr>
          <w:p>
            <w:pPr>
              <w:pStyle w:val="5"/>
              <w:ind w:firstLine="422"/>
              <w:jc w:val="center"/>
              <w:rPr>
                <w:rFonts w:ascii="Times New Roman" w:hAnsi="宋体"/>
                <w:b/>
                <w:bCs/>
                <w:color w:val="auto"/>
                <w:sz w:val="21"/>
                <w:szCs w:val="21"/>
                <w:highlight w:val="none"/>
              </w:rPr>
            </w:pPr>
          </w:p>
        </w:tc>
        <w:tc>
          <w:tcPr>
            <w:tcW w:w="1862" w:type="dxa"/>
            <w:vAlign w:val="center"/>
          </w:tcPr>
          <w:p>
            <w:pPr>
              <w:pStyle w:val="5"/>
              <w:ind w:firstLine="422"/>
              <w:jc w:val="center"/>
              <w:rPr>
                <w:rFonts w:ascii="Times New Roman" w:hAnsi="宋体"/>
                <w:b/>
                <w:bCs/>
                <w:color w:val="auto"/>
                <w:sz w:val="21"/>
                <w:szCs w:val="21"/>
                <w:highlight w:val="none"/>
              </w:rPr>
            </w:pPr>
          </w:p>
        </w:tc>
        <w:tc>
          <w:tcPr>
            <w:tcW w:w="1529" w:type="dxa"/>
            <w:vAlign w:val="center"/>
          </w:tcPr>
          <w:p>
            <w:pPr>
              <w:pStyle w:val="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5"/>
              <w:ind w:firstLine="422"/>
              <w:jc w:val="center"/>
              <w:rPr>
                <w:rFonts w:ascii="Times New Roman" w:hAnsi="宋体"/>
                <w:b/>
                <w:bCs/>
                <w:color w:val="auto"/>
                <w:sz w:val="21"/>
                <w:szCs w:val="21"/>
                <w:highlight w:val="none"/>
              </w:rPr>
            </w:pPr>
          </w:p>
        </w:tc>
        <w:tc>
          <w:tcPr>
            <w:tcW w:w="2218" w:type="dxa"/>
            <w:vAlign w:val="center"/>
          </w:tcPr>
          <w:p>
            <w:pPr>
              <w:pStyle w:val="5"/>
              <w:ind w:firstLine="422"/>
              <w:jc w:val="center"/>
              <w:rPr>
                <w:rFonts w:ascii="Times New Roman" w:hAnsi="宋体"/>
                <w:b/>
                <w:bCs/>
                <w:color w:val="auto"/>
                <w:sz w:val="21"/>
                <w:szCs w:val="21"/>
                <w:highlight w:val="none"/>
              </w:rPr>
            </w:pPr>
          </w:p>
        </w:tc>
        <w:tc>
          <w:tcPr>
            <w:tcW w:w="2218" w:type="dxa"/>
            <w:vAlign w:val="center"/>
          </w:tcPr>
          <w:p>
            <w:pPr>
              <w:pStyle w:val="5"/>
              <w:ind w:firstLine="422"/>
              <w:jc w:val="center"/>
              <w:rPr>
                <w:rFonts w:ascii="Times New Roman" w:hAnsi="宋体"/>
                <w:b/>
                <w:bCs/>
                <w:color w:val="auto"/>
                <w:sz w:val="21"/>
                <w:szCs w:val="21"/>
                <w:highlight w:val="none"/>
              </w:rPr>
            </w:pPr>
          </w:p>
        </w:tc>
        <w:tc>
          <w:tcPr>
            <w:tcW w:w="1862" w:type="dxa"/>
            <w:vAlign w:val="center"/>
          </w:tcPr>
          <w:p>
            <w:pPr>
              <w:pStyle w:val="5"/>
              <w:ind w:firstLine="422"/>
              <w:jc w:val="center"/>
              <w:rPr>
                <w:rFonts w:ascii="Times New Roman" w:hAnsi="宋体"/>
                <w:b/>
                <w:bCs/>
                <w:color w:val="auto"/>
                <w:sz w:val="21"/>
                <w:szCs w:val="21"/>
                <w:highlight w:val="none"/>
              </w:rPr>
            </w:pPr>
          </w:p>
        </w:tc>
        <w:tc>
          <w:tcPr>
            <w:tcW w:w="1529" w:type="dxa"/>
            <w:vAlign w:val="center"/>
          </w:tcPr>
          <w:p>
            <w:pPr>
              <w:pStyle w:val="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5"/>
              <w:ind w:firstLine="422"/>
              <w:jc w:val="center"/>
              <w:rPr>
                <w:rFonts w:ascii="Times New Roman" w:hAnsi="宋体"/>
                <w:b/>
                <w:bCs/>
                <w:color w:val="auto"/>
                <w:sz w:val="21"/>
                <w:szCs w:val="21"/>
                <w:highlight w:val="none"/>
              </w:rPr>
            </w:pPr>
          </w:p>
        </w:tc>
        <w:tc>
          <w:tcPr>
            <w:tcW w:w="2218" w:type="dxa"/>
            <w:vAlign w:val="center"/>
          </w:tcPr>
          <w:p>
            <w:pPr>
              <w:pStyle w:val="5"/>
              <w:ind w:firstLine="422"/>
              <w:jc w:val="center"/>
              <w:rPr>
                <w:rFonts w:ascii="Times New Roman" w:hAnsi="宋体"/>
                <w:b/>
                <w:bCs/>
                <w:color w:val="auto"/>
                <w:sz w:val="21"/>
                <w:szCs w:val="21"/>
                <w:highlight w:val="none"/>
              </w:rPr>
            </w:pPr>
          </w:p>
        </w:tc>
        <w:tc>
          <w:tcPr>
            <w:tcW w:w="2218" w:type="dxa"/>
            <w:vAlign w:val="center"/>
          </w:tcPr>
          <w:p>
            <w:pPr>
              <w:pStyle w:val="5"/>
              <w:ind w:firstLine="422"/>
              <w:jc w:val="center"/>
              <w:rPr>
                <w:rFonts w:ascii="Times New Roman" w:hAnsi="宋体"/>
                <w:b/>
                <w:bCs/>
                <w:color w:val="auto"/>
                <w:sz w:val="21"/>
                <w:szCs w:val="21"/>
                <w:highlight w:val="none"/>
              </w:rPr>
            </w:pPr>
          </w:p>
        </w:tc>
        <w:tc>
          <w:tcPr>
            <w:tcW w:w="1862" w:type="dxa"/>
            <w:vAlign w:val="center"/>
          </w:tcPr>
          <w:p>
            <w:pPr>
              <w:pStyle w:val="5"/>
              <w:ind w:firstLine="422"/>
              <w:jc w:val="center"/>
              <w:rPr>
                <w:rFonts w:ascii="Times New Roman" w:hAnsi="宋体"/>
                <w:b/>
                <w:bCs/>
                <w:color w:val="auto"/>
                <w:sz w:val="21"/>
                <w:szCs w:val="21"/>
                <w:highlight w:val="none"/>
              </w:rPr>
            </w:pPr>
          </w:p>
        </w:tc>
        <w:tc>
          <w:tcPr>
            <w:tcW w:w="1529" w:type="dxa"/>
            <w:vAlign w:val="center"/>
          </w:tcPr>
          <w:p>
            <w:pPr>
              <w:pStyle w:val="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5"/>
              <w:ind w:firstLine="422"/>
              <w:jc w:val="center"/>
              <w:rPr>
                <w:rFonts w:ascii="Times New Roman" w:hAnsi="宋体"/>
                <w:b/>
                <w:bCs/>
                <w:color w:val="auto"/>
                <w:sz w:val="21"/>
                <w:szCs w:val="21"/>
                <w:highlight w:val="none"/>
              </w:rPr>
            </w:pPr>
          </w:p>
        </w:tc>
        <w:tc>
          <w:tcPr>
            <w:tcW w:w="2218" w:type="dxa"/>
            <w:vAlign w:val="center"/>
          </w:tcPr>
          <w:p>
            <w:pPr>
              <w:pStyle w:val="5"/>
              <w:ind w:firstLine="422"/>
              <w:jc w:val="center"/>
              <w:rPr>
                <w:rFonts w:ascii="Times New Roman" w:hAnsi="宋体"/>
                <w:b/>
                <w:bCs/>
                <w:color w:val="auto"/>
                <w:sz w:val="21"/>
                <w:szCs w:val="21"/>
                <w:highlight w:val="none"/>
              </w:rPr>
            </w:pPr>
          </w:p>
        </w:tc>
        <w:tc>
          <w:tcPr>
            <w:tcW w:w="2218" w:type="dxa"/>
            <w:vAlign w:val="center"/>
          </w:tcPr>
          <w:p>
            <w:pPr>
              <w:pStyle w:val="5"/>
              <w:ind w:firstLine="422"/>
              <w:jc w:val="center"/>
              <w:rPr>
                <w:rFonts w:ascii="Times New Roman" w:hAnsi="宋体"/>
                <w:b/>
                <w:bCs/>
                <w:color w:val="auto"/>
                <w:sz w:val="21"/>
                <w:szCs w:val="21"/>
                <w:highlight w:val="none"/>
              </w:rPr>
            </w:pPr>
          </w:p>
        </w:tc>
        <w:tc>
          <w:tcPr>
            <w:tcW w:w="1862" w:type="dxa"/>
            <w:vAlign w:val="center"/>
          </w:tcPr>
          <w:p>
            <w:pPr>
              <w:pStyle w:val="5"/>
              <w:ind w:firstLine="422"/>
              <w:jc w:val="center"/>
              <w:rPr>
                <w:rFonts w:ascii="Times New Roman" w:hAnsi="宋体"/>
                <w:b/>
                <w:bCs/>
                <w:color w:val="auto"/>
                <w:sz w:val="21"/>
                <w:szCs w:val="21"/>
                <w:highlight w:val="none"/>
              </w:rPr>
            </w:pPr>
          </w:p>
        </w:tc>
        <w:tc>
          <w:tcPr>
            <w:tcW w:w="1529" w:type="dxa"/>
            <w:vAlign w:val="center"/>
          </w:tcPr>
          <w:p>
            <w:pPr>
              <w:pStyle w:val="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5"/>
              <w:ind w:firstLine="422"/>
              <w:jc w:val="center"/>
              <w:rPr>
                <w:rFonts w:ascii="Times New Roman" w:hAnsi="宋体"/>
                <w:b/>
                <w:bCs/>
                <w:color w:val="auto"/>
                <w:sz w:val="21"/>
                <w:szCs w:val="21"/>
                <w:highlight w:val="none"/>
              </w:rPr>
            </w:pPr>
          </w:p>
        </w:tc>
        <w:tc>
          <w:tcPr>
            <w:tcW w:w="2218" w:type="dxa"/>
            <w:vAlign w:val="center"/>
          </w:tcPr>
          <w:p>
            <w:pPr>
              <w:pStyle w:val="5"/>
              <w:ind w:firstLine="422"/>
              <w:jc w:val="center"/>
              <w:rPr>
                <w:rFonts w:ascii="Times New Roman" w:hAnsi="宋体"/>
                <w:b/>
                <w:bCs/>
                <w:color w:val="auto"/>
                <w:sz w:val="21"/>
                <w:szCs w:val="21"/>
                <w:highlight w:val="none"/>
              </w:rPr>
            </w:pPr>
          </w:p>
        </w:tc>
        <w:tc>
          <w:tcPr>
            <w:tcW w:w="2218" w:type="dxa"/>
            <w:vAlign w:val="center"/>
          </w:tcPr>
          <w:p>
            <w:pPr>
              <w:pStyle w:val="5"/>
              <w:ind w:firstLine="422"/>
              <w:jc w:val="center"/>
              <w:rPr>
                <w:rFonts w:ascii="Times New Roman" w:hAnsi="宋体"/>
                <w:b/>
                <w:bCs/>
                <w:color w:val="auto"/>
                <w:sz w:val="21"/>
                <w:szCs w:val="21"/>
                <w:highlight w:val="none"/>
              </w:rPr>
            </w:pPr>
          </w:p>
        </w:tc>
        <w:tc>
          <w:tcPr>
            <w:tcW w:w="1862" w:type="dxa"/>
            <w:vAlign w:val="center"/>
          </w:tcPr>
          <w:p>
            <w:pPr>
              <w:pStyle w:val="5"/>
              <w:ind w:firstLine="422"/>
              <w:jc w:val="center"/>
              <w:rPr>
                <w:rFonts w:ascii="Times New Roman" w:hAnsi="宋体"/>
                <w:b/>
                <w:bCs/>
                <w:color w:val="auto"/>
                <w:sz w:val="21"/>
                <w:szCs w:val="21"/>
                <w:highlight w:val="none"/>
              </w:rPr>
            </w:pPr>
          </w:p>
        </w:tc>
        <w:tc>
          <w:tcPr>
            <w:tcW w:w="1529" w:type="dxa"/>
            <w:vAlign w:val="center"/>
          </w:tcPr>
          <w:p>
            <w:pPr>
              <w:pStyle w:val="5"/>
              <w:ind w:firstLine="422"/>
              <w:jc w:val="center"/>
              <w:rPr>
                <w:rFonts w:ascii="Times New Roman" w:hAnsi="宋体"/>
                <w:b/>
                <w:bCs/>
                <w:color w:val="auto"/>
                <w:sz w:val="21"/>
                <w:szCs w:val="21"/>
                <w:highlight w:val="none"/>
              </w:rPr>
            </w:pPr>
          </w:p>
        </w:tc>
      </w:tr>
    </w:tbl>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spacing w:line="480" w:lineRule="exact"/>
        <w:rPr>
          <w:rFonts w:hAnsi="宋体"/>
          <w:b/>
          <w:color w:val="auto"/>
          <w:szCs w:val="21"/>
          <w:highlight w:val="none"/>
          <w:u w:val="single"/>
        </w:rPr>
      </w:pPr>
    </w:p>
    <w:p>
      <w:pPr>
        <w:spacing w:line="480" w:lineRule="exact"/>
        <w:rPr>
          <w:rFonts w:hAnsi="宋体"/>
          <w:b/>
          <w:bCs/>
          <w:color w:val="auto"/>
          <w:szCs w:val="21"/>
          <w:highlight w:val="none"/>
        </w:rPr>
      </w:pPr>
    </w:p>
    <w:p>
      <w:pPr>
        <w:spacing w:line="480" w:lineRule="exact"/>
        <w:rPr>
          <w:rFonts w:hAnsi="宋体"/>
          <w:b/>
          <w:bCs/>
          <w:color w:val="auto"/>
          <w:szCs w:val="21"/>
          <w:highlight w:val="none"/>
        </w:rPr>
      </w:pPr>
    </w:p>
    <w:p>
      <w:pPr>
        <w:rPr>
          <w:color w:val="auto"/>
          <w:highlight w:val="none"/>
        </w:rPr>
      </w:pPr>
    </w:p>
    <w:p>
      <w:pPr>
        <w:pStyle w:val="2"/>
        <w:numPr>
          <w:ilvl w:val="0"/>
          <w:numId w:val="24"/>
        </w:numPr>
        <w:jc w:val="center"/>
        <w:rPr>
          <w:color w:val="auto"/>
          <w:sz w:val="28"/>
          <w:szCs w:val="28"/>
          <w:highlight w:val="none"/>
        </w:rPr>
      </w:pPr>
      <w:r>
        <w:rPr>
          <w:color w:val="auto"/>
          <w:highlight w:val="none"/>
        </w:rPr>
        <w:br w:type="page"/>
      </w:r>
      <w:bookmarkStart w:id="226" w:name="_Toc4539"/>
      <w:bookmarkStart w:id="227" w:name="_Toc4884"/>
      <w:bookmarkStart w:id="228" w:name="_Toc7897896"/>
      <w:r>
        <w:rPr>
          <w:rFonts w:hint="eastAsia"/>
          <w:bCs/>
          <w:color w:val="auto"/>
          <w:sz w:val="28"/>
          <w:szCs w:val="28"/>
          <w:highlight w:val="none"/>
        </w:rPr>
        <w:t>项目业绩一览表</w:t>
      </w:r>
      <w:bookmarkEnd w:id="226"/>
      <w:bookmarkEnd w:id="227"/>
      <w:bookmarkEnd w:id="228"/>
    </w:p>
    <w:p>
      <w:pPr>
        <w:pStyle w:val="28"/>
        <w:spacing w:line="480" w:lineRule="exact"/>
        <w:jc w:val="center"/>
        <w:rPr>
          <w:rFonts w:hAnsi="宋体"/>
          <w:b/>
          <w:color w:val="auto"/>
          <w:sz w:val="22"/>
          <w:szCs w:val="22"/>
          <w:highlight w:val="none"/>
        </w:rPr>
      </w:pPr>
    </w:p>
    <w:tbl>
      <w:tblPr>
        <w:tblStyle w:val="5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bl>
    <w:p>
      <w:pPr>
        <w:pStyle w:val="28"/>
        <w:spacing w:line="480" w:lineRule="exact"/>
        <w:rPr>
          <w:rFonts w:hAnsi="宋体"/>
          <w:color w:val="auto"/>
          <w:sz w:val="22"/>
          <w:szCs w:val="22"/>
          <w:highlight w:val="none"/>
        </w:rPr>
      </w:pPr>
    </w:p>
    <w:p>
      <w:pPr>
        <w:pStyle w:val="28"/>
        <w:spacing w:line="480" w:lineRule="exact"/>
        <w:rPr>
          <w:rFonts w:hAnsi="宋体"/>
          <w:color w:val="auto"/>
          <w:sz w:val="22"/>
          <w:szCs w:val="22"/>
          <w:highlight w:val="none"/>
        </w:rPr>
      </w:pPr>
      <w:r>
        <w:rPr>
          <w:rFonts w:hint="eastAsia" w:hAnsi="宋体"/>
          <w:color w:val="auto"/>
          <w:sz w:val="22"/>
          <w:szCs w:val="22"/>
          <w:highlight w:val="none"/>
        </w:rPr>
        <w:t>要求：</w:t>
      </w:r>
    </w:p>
    <w:p>
      <w:pPr>
        <w:pStyle w:val="28"/>
        <w:spacing w:line="480" w:lineRule="exact"/>
        <w:ind w:firstLine="440" w:firstLineChars="200"/>
        <w:rPr>
          <w:rFonts w:hAnsi="宋体"/>
          <w:color w:val="auto"/>
          <w:sz w:val="22"/>
          <w:szCs w:val="22"/>
          <w:highlight w:val="none"/>
        </w:rPr>
      </w:pPr>
      <w:r>
        <w:rPr>
          <w:rFonts w:hint="eastAsia" w:hAnsi="宋体"/>
          <w:color w:val="auto"/>
          <w:sz w:val="22"/>
          <w:szCs w:val="22"/>
          <w:highlight w:val="none"/>
        </w:rPr>
        <w:t>供应商应当如实、完整地填写本表格，内容包括所有同类或近似项目业绩。提供合同关键页等复印件（加盖供应商公章）。在填写过程中请按年份顺序填写。</w:t>
      </w:r>
    </w:p>
    <w:p>
      <w:pPr>
        <w:pStyle w:val="28"/>
        <w:spacing w:line="480" w:lineRule="exact"/>
        <w:rPr>
          <w:rFonts w:hAnsi="宋体"/>
          <w:color w:val="auto"/>
          <w:sz w:val="22"/>
          <w:szCs w:val="22"/>
          <w:highlight w:val="none"/>
        </w:rPr>
      </w:pP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供应商名称（加盖公章）：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 xml:space="preserve">日期：年月日 </w:t>
      </w:r>
    </w:p>
    <w:p>
      <w:pPr>
        <w:pStyle w:val="2"/>
        <w:numPr>
          <w:ilvl w:val="0"/>
          <w:numId w:val="24"/>
        </w:numPr>
        <w:jc w:val="center"/>
        <w:rPr>
          <w:b w:val="0"/>
          <w:bCs/>
          <w:color w:val="auto"/>
          <w:sz w:val="28"/>
          <w:highlight w:val="none"/>
        </w:rPr>
      </w:pPr>
      <w:r>
        <w:rPr>
          <w:color w:val="auto"/>
          <w:sz w:val="22"/>
          <w:szCs w:val="22"/>
          <w:highlight w:val="none"/>
        </w:rPr>
        <w:br w:type="page"/>
      </w:r>
      <w:bookmarkStart w:id="229" w:name="_Toc17432"/>
      <w:bookmarkStart w:id="230" w:name="_Toc7897897"/>
      <w:bookmarkStart w:id="231" w:name="_Toc23633"/>
      <w:r>
        <w:rPr>
          <w:rFonts w:hint="eastAsia"/>
          <w:bCs/>
          <w:color w:val="auto"/>
          <w:sz w:val="28"/>
          <w:highlight w:val="none"/>
        </w:rPr>
        <w:t>在经营活动中没有重大违法记录的书面声明</w:t>
      </w:r>
      <w:bookmarkEnd w:id="229"/>
      <w:bookmarkEnd w:id="230"/>
      <w:bookmarkEnd w:id="231"/>
    </w:p>
    <w:p>
      <w:pPr>
        <w:pStyle w:val="75"/>
        <w:ind w:firstLine="0" w:firstLineChars="0"/>
        <w:jc w:val="center"/>
        <w:rPr>
          <w:rFonts w:ascii="宋体" w:eastAsia="宋体"/>
          <w:b/>
          <w:color w:val="auto"/>
          <w:sz w:val="28"/>
          <w:highlight w:val="none"/>
        </w:rPr>
      </w:pPr>
    </w:p>
    <w:p>
      <w:pPr>
        <w:spacing w:line="360" w:lineRule="auto"/>
        <w:rPr>
          <w:rFonts w:hAnsi="宋体"/>
          <w:color w:val="auto"/>
          <w:sz w:val="21"/>
          <w:szCs w:val="21"/>
          <w:highlight w:val="none"/>
          <w:u w:val="single"/>
        </w:rPr>
      </w:pPr>
      <w:r>
        <w:rPr>
          <w:rFonts w:hint="eastAsia" w:hAnsi="宋体"/>
          <w:color w:val="auto"/>
          <w:sz w:val="21"/>
          <w:szCs w:val="21"/>
          <w:highlight w:val="none"/>
        </w:rPr>
        <w:t>致：</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本公司参加采购项目（采购编号）的采购活动，并声明：</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本公司参加本采购项目采购前3年内在经营活动中没有因违法经营受到刑事处罚或者责令停产停业、吊销许可证或者执照、较大数额罚款等行政处罚。</w:t>
      </w:r>
    </w:p>
    <w:p>
      <w:pPr>
        <w:spacing w:line="360" w:lineRule="auto"/>
        <w:rPr>
          <w:rFonts w:hAnsi="宋体"/>
          <w:color w:val="auto"/>
          <w:sz w:val="21"/>
          <w:szCs w:val="21"/>
          <w:highlight w:val="none"/>
        </w:rPr>
      </w:pPr>
      <w:r>
        <w:rPr>
          <w:rFonts w:hint="eastAsia" w:hAnsi="宋体"/>
          <w:color w:val="auto"/>
          <w:sz w:val="21"/>
          <w:szCs w:val="21"/>
          <w:highlight w:val="none"/>
        </w:rPr>
        <w:t xml:space="preserve">    特此声明！</w:t>
      </w:r>
    </w:p>
    <w:p>
      <w:pPr>
        <w:rPr>
          <w:rFonts w:hAnsi="宋体"/>
          <w:color w:val="auto"/>
          <w:sz w:val="21"/>
          <w:szCs w:val="21"/>
          <w:highlight w:val="none"/>
        </w:rPr>
      </w:pPr>
    </w:p>
    <w:p>
      <w:pPr>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bookmarkEnd w:id="200"/>
    <w:bookmarkEnd w:id="201"/>
    <w:bookmarkEnd w:id="202"/>
    <w:bookmarkEnd w:id="203"/>
    <w:bookmarkEnd w:id="204"/>
    <w:bookmarkEnd w:id="205"/>
    <w:bookmarkEnd w:id="206"/>
    <w:p>
      <w:pPr>
        <w:pStyle w:val="2"/>
        <w:numPr>
          <w:ilvl w:val="0"/>
          <w:numId w:val="24"/>
        </w:numPr>
        <w:jc w:val="center"/>
        <w:rPr>
          <w:b w:val="0"/>
          <w:color w:val="auto"/>
          <w:sz w:val="28"/>
          <w:szCs w:val="28"/>
          <w:highlight w:val="none"/>
        </w:rPr>
      </w:pPr>
      <w:bookmarkStart w:id="232" w:name="_Toc110953865"/>
      <w:bookmarkStart w:id="233" w:name="_Toc454701411"/>
      <w:bookmarkStart w:id="234" w:name="_Toc480010743"/>
      <w:bookmarkStart w:id="235" w:name="_Toc480021086"/>
      <w:bookmarkStart w:id="236" w:name="_Toc480171915"/>
      <w:bookmarkStart w:id="237" w:name="_Toc467987857"/>
      <w:bookmarkStart w:id="238" w:name="_Toc35233726"/>
      <w:bookmarkStart w:id="239" w:name="_Toc480020290"/>
      <w:bookmarkStart w:id="240" w:name="_Toc479991617"/>
      <w:bookmarkStart w:id="241" w:name="_Toc468606065"/>
      <w:bookmarkStart w:id="242" w:name="_Toc468157570"/>
      <w:bookmarkStart w:id="243" w:name="_Toc467236774"/>
      <w:bookmarkStart w:id="244" w:name="_Toc458262644"/>
      <w:r>
        <w:rPr>
          <w:color w:val="auto"/>
          <w:sz w:val="22"/>
          <w:szCs w:val="22"/>
          <w:highlight w:val="none"/>
        </w:rPr>
        <w:br w:type="page"/>
      </w:r>
      <w:bookmarkEnd w:id="232"/>
      <w:bookmarkStart w:id="245" w:name="_Toc7897900"/>
      <w:bookmarkStart w:id="246" w:name="_Toc2461"/>
      <w:bookmarkStart w:id="247" w:name="_Toc8181"/>
      <w:r>
        <w:rPr>
          <w:rFonts w:hint="eastAsia"/>
          <w:color w:val="auto"/>
          <w:sz w:val="28"/>
          <w:szCs w:val="28"/>
          <w:highlight w:val="none"/>
        </w:rPr>
        <w:t>针对本项目拟派人员及其技术资格一览表</w:t>
      </w:r>
      <w:bookmarkEnd w:id="245"/>
      <w:bookmarkEnd w:id="246"/>
      <w:bookmarkEnd w:id="247"/>
    </w:p>
    <w:p>
      <w:pPr>
        <w:pStyle w:val="28"/>
        <w:spacing w:line="480" w:lineRule="exact"/>
        <w:ind w:left="-202" w:leftChars="-84" w:firstLine="241" w:firstLineChars="100"/>
        <w:rPr>
          <w:rFonts w:hAnsi="宋体"/>
          <w:b/>
          <w:color w:val="auto"/>
          <w:sz w:val="24"/>
          <w:szCs w:val="21"/>
          <w:highlight w:val="none"/>
        </w:rPr>
      </w:pPr>
    </w:p>
    <w:p>
      <w:pPr>
        <w:pStyle w:val="28"/>
        <w:spacing w:line="480" w:lineRule="exact"/>
        <w:ind w:left="-202" w:leftChars="-84" w:firstLine="221" w:firstLineChars="100"/>
        <w:rPr>
          <w:rFonts w:hAnsi="宋体"/>
          <w:b/>
          <w:color w:val="auto"/>
          <w:sz w:val="22"/>
          <w:szCs w:val="22"/>
          <w:highlight w:val="none"/>
          <w:u w:val="single"/>
        </w:rPr>
      </w:pPr>
    </w:p>
    <w:tbl>
      <w:tblPr>
        <w:tblStyle w:val="5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序号</w:t>
            </w:r>
          </w:p>
        </w:tc>
        <w:tc>
          <w:tcPr>
            <w:tcW w:w="1026"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姓名</w:t>
            </w:r>
          </w:p>
        </w:tc>
        <w:tc>
          <w:tcPr>
            <w:tcW w:w="877"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职位</w:t>
            </w:r>
          </w:p>
        </w:tc>
        <w:tc>
          <w:tcPr>
            <w:tcW w:w="1533" w:type="dxa"/>
          </w:tcPr>
          <w:p>
            <w:pPr>
              <w:pStyle w:val="28"/>
              <w:spacing w:line="480" w:lineRule="exact"/>
              <w:jc w:val="center"/>
              <w:rPr>
                <w:rFonts w:hAnsi="宋体"/>
                <w:b/>
                <w:color w:val="auto"/>
                <w:szCs w:val="21"/>
                <w:highlight w:val="none"/>
              </w:rPr>
            </w:pPr>
            <w:r>
              <w:rPr>
                <w:rFonts w:hint="eastAsia" w:hAnsi="宋体"/>
                <w:b/>
                <w:color w:val="auto"/>
                <w:szCs w:val="21"/>
                <w:highlight w:val="none"/>
              </w:rPr>
              <w:t>拟在本项目担任职务</w:t>
            </w:r>
          </w:p>
        </w:tc>
        <w:tc>
          <w:tcPr>
            <w:tcW w:w="1357"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专业、资格证件</w:t>
            </w:r>
          </w:p>
        </w:tc>
        <w:tc>
          <w:tcPr>
            <w:tcW w:w="1200"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发证时间</w:t>
            </w:r>
          </w:p>
        </w:tc>
        <w:tc>
          <w:tcPr>
            <w:tcW w:w="1403"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经验年限</w:t>
            </w:r>
          </w:p>
        </w:tc>
        <w:tc>
          <w:tcPr>
            <w:tcW w:w="1403" w:type="dxa"/>
          </w:tcPr>
          <w:p>
            <w:pPr>
              <w:pStyle w:val="28"/>
              <w:spacing w:line="480" w:lineRule="exact"/>
              <w:jc w:val="center"/>
              <w:rPr>
                <w:rFonts w:hAnsi="宋体"/>
                <w:b/>
                <w:color w:val="auto"/>
                <w:szCs w:val="21"/>
                <w:highlight w:val="none"/>
              </w:rPr>
            </w:pPr>
            <w:r>
              <w:rPr>
                <w:rFonts w:hint="eastAsia" w:hAnsi="宋体"/>
                <w:b/>
                <w:color w:val="auto"/>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r>
              <w:rPr>
                <w:rFonts w:hint="eastAsia" w:hAnsi="宋体"/>
                <w:color w:val="auto"/>
                <w:szCs w:val="21"/>
                <w:highlight w:val="none"/>
              </w:rPr>
              <w:t>项目负责人</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vAlign w:val="center"/>
          </w:tcPr>
          <w:p>
            <w:pPr>
              <w:jc w:val="center"/>
              <w:rPr>
                <w:rFonts w:hAnsi="宋体"/>
                <w:color w:val="auto"/>
                <w:sz w:val="21"/>
                <w:szCs w:val="21"/>
                <w:highlight w:val="none"/>
              </w:rPr>
            </w:pPr>
            <w:r>
              <w:rPr>
                <w:rFonts w:hint="eastAsia" w:hAnsi="宋体"/>
                <w:color w:val="auto"/>
                <w:sz w:val="21"/>
                <w:szCs w:val="21"/>
                <w:highlight w:val="none"/>
              </w:rPr>
              <w:t>项目人员</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r>
              <w:rPr>
                <w:rFonts w:hint="eastAsia" w:hAnsi="宋体"/>
                <w:color w:val="auto"/>
                <w:szCs w:val="21"/>
                <w:highlight w:val="none"/>
              </w:rPr>
              <w:t>…</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2.供应商应当在响应文件中提供评分标准中要求提供的资料。（上述文件均加盖供应商公章）</w:t>
      </w:r>
    </w:p>
    <w:p>
      <w:pPr>
        <w:pStyle w:val="20"/>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日期：年月日</w:t>
      </w:r>
    </w:p>
    <w:p>
      <w:pPr>
        <w:spacing w:line="480" w:lineRule="exact"/>
        <w:rPr>
          <w:rFonts w:hAnsi="宋体"/>
          <w:b/>
          <w:bCs/>
          <w:color w:val="auto"/>
          <w:szCs w:val="21"/>
          <w:highlight w:val="none"/>
          <w:u w:val="single"/>
        </w:rPr>
      </w:pPr>
    </w:p>
    <w:p>
      <w:pPr>
        <w:pStyle w:val="2"/>
        <w:numPr>
          <w:ilvl w:val="0"/>
          <w:numId w:val="24"/>
        </w:numPr>
        <w:jc w:val="center"/>
        <w:rPr>
          <w:bCs/>
          <w:color w:val="auto"/>
          <w:sz w:val="28"/>
          <w:szCs w:val="28"/>
          <w:highlight w:val="none"/>
        </w:rPr>
      </w:pPr>
      <w:r>
        <w:rPr>
          <w:bCs/>
          <w:color w:val="auto"/>
          <w:szCs w:val="21"/>
          <w:highlight w:val="none"/>
        </w:rPr>
        <w:br w:type="page"/>
      </w:r>
      <w:bookmarkEnd w:id="233"/>
      <w:bookmarkEnd w:id="234"/>
      <w:bookmarkEnd w:id="235"/>
      <w:bookmarkEnd w:id="236"/>
      <w:bookmarkEnd w:id="237"/>
      <w:bookmarkEnd w:id="238"/>
      <w:bookmarkEnd w:id="239"/>
      <w:bookmarkEnd w:id="240"/>
      <w:bookmarkEnd w:id="241"/>
      <w:bookmarkEnd w:id="242"/>
      <w:bookmarkEnd w:id="243"/>
      <w:bookmarkEnd w:id="244"/>
      <w:bookmarkStart w:id="248" w:name="_Toc13441"/>
      <w:r>
        <w:rPr>
          <w:rFonts w:hint="eastAsia"/>
          <w:bCs/>
          <w:color w:val="auto"/>
          <w:sz w:val="28"/>
          <w:szCs w:val="28"/>
          <w:highlight w:val="none"/>
        </w:rPr>
        <w:t>磋商保证金汇入情况说明（适用于转账、电汇方式）</w:t>
      </w:r>
      <w:bookmarkEnd w:id="248"/>
    </w:p>
    <w:p>
      <w:pPr>
        <w:spacing w:line="460" w:lineRule="exact"/>
        <w:rPr>
          <w:rFonts w:hAnsi="宋体"/>
          <w:b/>
          <w:bCs/>
          <w:color w:val="auto"/>
          <w:sz w:val="22"/>
          <w:szCs w:val="22"/>
          <w:highlight w:val="none"/>
        </w:rPr>
      </w:pPr>
    </w:p>
    <w:p>
      <w:pPr>
        <w:spacing w:line="460" w:lineRule="exact"/>
        <w:rPr>
          <w:rFonts w:hAnsi="宋体"/>
          <w:color w:val="auto"/>
          <w:sz w:val="21"/>
          <w:szCs w:val="21"/>
          <w:highlight w:val="none"/>
        </w:rPr>
      </w:pPr>
      <w:r>
        <w:rPr>
          <w:rFonts w:hint="eastAsia" w:hAnsi="宋体"/>
          <w:color w:val="auto"/>
          <w:sz w:val="21"/>
          <w:szCs w:val="21"/>
          <w:highlight w:val="none"/>
        </w:rPr>
        <w:t xml:space="preserve">广东泰通伟业工程咨询有限公司：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本单位已按</w:t>
      </w:r>
      <w:r>
        <w:rPr>
          <w:rFonts w:hint="eastAsia" w:hAnsi="宋体"/>
          <w:color w:val="auto"/>
          <w:sz w:val="21"/>
          <w:szCs w:val="21"/>
          <w:highlight w:val="none"/>
          <w:u w:val="single"/>
        </w:rPr>
        <w:t xml:space="preserve">  （项目名称）   （</w:t>
      </w:r>
      <w:r>
        <w:rPr>
          <w:rFonts w:hint="eastAsia" w:hAnsi="宋体"/>
          <w:color w:val="auto"/>
          <w:sz w:val="21"/>
          <w:szCs w:val="21"/>
          <w:highlight w:val="none"/>
        </w:rPr>
        <w:t>采购编号：</w:t>
      </w:r>
      <w:r>
        <w:rPr>
          <w:rFonts w:hint="eastAsia" w:hAnsi="宋体"/>
          <w:color w:val="auto"/>
          <w:sz w:val="21"/>
          <w:szCs w:val="21"/>
          <w:highlight w:val="none"/>
          <w:u w:val="single"/>
        </w:rPr>
        <w:t xml:space="preserve">     ）</w:t>
      </w:r>
      <w:r>
        <w:rPr>
          <w:rFonts w:hint="eastAsia" w:hAnsi="宋体"/>
          <w:color w:val="auto"/>
          <w:sz w:val="21"/>
          <w:szCs w:val="21"/>
          <w:highlight w:val="none"/>
        </w:rPr>
        <w:t>的磋商文件要求，于年月日前以（付款形式）方式汇入指定帐户（帐户名称：，帐号：,开户银行：）。</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供应商磋商保证金的汇款情况：（详见附件－磋商保证金进帐单）汇出时间：年月日；</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汇款金额：（大写）人民币</w:t>
      </w:r>
      <w:r>
        <w:rPr>
          <w:rFonts w:hint="eastAsia" w:hAnsi="宋体"/>
          <w:color w:val="auto"/>
          <w:sz w:val="21"/>
          <w:szCs w:val="21"/>
          <w:highlight w:val="none"/>
          <w:u w:val="single"/>
        </w:rPr>
        <w:t xml:space="preserve">               元整</w:t>
      </w:r>
    </w:p>
    <w:p>
      <w:pPr>
        <w:spacing w:line="460" w:lineRule="exact"/>
        <w:ind w:firstLine="1365" w:firstLineChars="650"/>
        <w:rPr>
          <w:rFonts w:hAnsi="宋体"/>
          <w:color w:val="auto"/>
          <w:sz w:val="21"/>
          <w:szCs w:val="21"/>
          <w:highlight w:val="none"/>
          <w:u w:val="single"/>
        </w:rPr>
      </w:pPr>
      <w:r>
        <w:rPr>
          <w:rFonts w:hint="eastAsia" w:hAnsi="宋体"/>
          <w:color w:val="auto"/>
          <w:sz w:val="21"/>
          <w:szCs w:val="21"/>
          <w:highlight w:val="none"/>
        </w:rPr>
        <w:t>（小写）￥元。</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汇款帐户名称：</w:t>
      </w:r>
      <w:r>
        <w:rPr>
          <w:rFonts w:hint="eastAsia" w:hAnsi="宋体"/>
          <w:color w:val="auto"/>
          <w:sz w:val="21"/>
          <w:szCs w:val="21"/>
          <w:highlight w:val="none"/>
          <w:u w:val="single"/>
        </w:rPr>
        <w:t xml:space="preserve">  （必须是磋商时使用的单位名称）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帐    号：</w:t>
      </w:r>
      <w:r>
        <w:rPr>
          <w:rFonts w:hint="eastAsia" w:hAnsi="宋体"/>
          <w:color w:val="auto"/>
          <w:sz w:val="21"/>
          <w:szCs w:val="21"/>
          <w:highlight w:val="none"/>
          <w:u w:val="single"/>
        </w:rPr>
        <w:t xml:space="preserve">  （必须是磋商时使用的帐号）     </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开户银行：</w:t>
      </w:r>
      <w:r>
        <w:rPr>
          <w:rFonts w:hint="eastAsia" w:hAnsi="宋体"/>
          <w:color w:val="auto"/>
          <w:sz w:val="21"/>
          <w:szCs w:val="21"/>
          <w:highlight w:val="none"/>
          <w:u w:val="single"/>
        </w:rPr>
        <w:t xml:space="preserve">    银行   省    市          (分行/支行)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本单位谨承诺上述资料是正确、真实的，如因上述证明与事实不符导致的一切损失，本单位保证承担赔偿等一切法律责任。</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磋商保证金退回时，请按上述资料退回。</w:t>
      </w:r>
    </w:p>
    <w:p>
      <w:pPr>
        <w:spacing w:line="460" w:lineRule="exact"/>
        <w:rPr>
          <w:rFonts w:hAnsi="宋体"/>
          <w:b/>
          <w:bCs/>
          <w:color w:val="auto"/>
          <w:sz w:val="21"/>
          <w:szCs w:val="21"/>
          <w:highlight w:val="none"/>
        </w:rPr>
      </w:pPr>
    </w:p>
    <w:p>
      <w:pPr>
        <w:spacing w:line="460" w:lineRule="exact"/>
        <w:rPr>
          <w:rFonts w:hAnsi="宋体"/>
          <w:b/>
          <w:bCs/>
          <w:color w:val="auto"/>
          <w:sz w:val="21"/>
          <w:szCs w:val="21"/>
          <w:highlight w:val="none"/>
        </w:rPr>
      </w:pPr>
      <w:r>
        <w:rPr>
          <w:rFonts w:hint="eastAsia" w:hAnsi="宋体"/>
          <w:b/>
          <w:bCs/>
          <w:color w:val="auto"/>
          <w:sz w:val="21"/>
          <w:szCs w:val="21"/>
          <w:highlight w:val="none"/>
        </w:rPr>
        <w:t>附件：磋商保证金进帐单复印件（加盖公章）</w:t>
      </w:r>
    </w:p>
    <w:p>
      <w:pPr>
        <w:spacing w:line="460" w:lineRule="exact"/>
        <w:ind w:right="965" w:rightChars="402"/>
        <w:jc w:val="right"/>
        <w:rPr>
          <w:rFonts w:hAnsi="宋体"/>
          <w:color w:val="auto"/>
          <w:sz w:val="21"/>
          <w:szCs w:val="21"/>
          <w:highlight w:val="none"/>
        </w:rPr>
      </w:pPr>
      <w:r>
        <w:rPr>
          <w:rFonts w:hint="eastAsia" w:hAnsi="宋体"/>
          <w:color w:val="auto"/>
          <w:sz w:val="21"/>
          <w:szCs w:val="21"/>
          <w:highlight w:val="none"/>
        </w:rPr>
        <w:t>（公章）</w:t>
      </w:r>
    </w:p>
    <w:p>
      <w:pPr>
        <w:spacing w:line="460" w:lineRule="exact"/>
        <w:ind w:right="718" w:rightChars="299"/>
        <w:jc w:val="right"/>
        <w:rPr>
          <w:rFonts w:hAnsi="宋体"/>
          <w:color w:val="auto"/>
          <w:sz w:val="21"/>
          <w:szCs w:val="21"/>
          <w:highlight w:val="none"/>
        </w:rPr>
      </w:pPr>
      <w:r>
        <w:rPr>
          <w:rFonts w:hint="eastAsia" w:hAnsi="宋体"/>
          <w:color w:val="auto"/>
          <w:sz w:val="21"/>
          <w:szCs w:val="21"/>
          <w:highlight w:val="none"/>
        </w:rPr>
        <w:t>年   月   日</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单位名称：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单位地址：           </w:t>
      </w:r>
    </w:p>
    <w:p>
      <w:pPr>
        <w:spacing w:line="460" w:lineRule="exact"/>
        <w:rPr>
          <w:rFonts w:hAnsi="宋体"/>
          <w:color w:val="auto"/>
          <w:sz w:val="21"/>
          <w:szCs w:val="21"/>
          <w:highlight w:val="none"/>
        </w:rPr>
      </w:pPr>
      <w:r>
        <w:rPr>
          <w:rFonts w:hint="eastAsia" w:hAnsi="宋体"/>
          <w:color w:val="auto"/>
          <w:sz w:val="21"/>
          <w:szCs w:val="21"/>
          <w:highlight w:val="none"/>
        </w:rPr>
        <w:t xml:space="preserve">联系人：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单位电话：                 联系人手机：              </w:t>
      </w:r>
    </w:p>
    <w:p>
      <w:pPr>
        <w:spacing w:line="360" w:lineRule="auto"/>
        <w:rPr>
          <w:rFonts w:hAnsi="宋体"/>
          <w:b/>
          <w:color w:val="auto"/>
          <w:sz w:val="21"/>
          <w:szCs w:val="21"/>
          <w:highlight w:val="none"/>
        </w:rPr>
      </w:pPr>
    </w:p>
    <w:p>
      <w:pPr>
        <w:rPr>
          <w:color w:val="auto"/>
          <w:sz w:val="21"/>
          <w:szCs w:val="21"/>
          <w:highlight w:val="none"/>
        </w:rPr>
      </w:pPr>
      <w:r>
        <w:rPr>
          <w:rFonts w:hint="eastAsia"/>
          <w:color w:val="auto"/>
          <w:sz w:val="21"/>
          <w:szCs w:val="21"/>
          <w:highlight w:val="none"/>
        </w:rPr>
        <w:t>注：1、本说明的所有内容（包括所填写内容）均需打印；2、本说明及磋商保证金进帐单复印件（加盖公章）在磋商时放入唱标信封内。</w:t>
      </w:r>
    </w:p>
    <w:p>
      <w:pPr>
        <w:rPr>
          <w:color w:val="auto"/>
          <w:highlight w:val="none"/>
        </w:rPr>
      </w:pPr>
    </w:p>
    <w:p>
      <w:pPr>
        <w:overflowPunct w:val="0"/>
        <w:spacing w:line="460" w:lineRule="exact"/>
        <w:rPr>
          <w:rFonts w:hAnsi="宋体"/>
          <w:color w:val="auto"/>
          <w:sz w:val="22"/>
          <w:szCs w:val="22"/>
          <w:highlight w:val="none"/>
        </w:rPr>
      </w:pPr>
      <w:r>
        <w:rPr>
          <w:color w:val="auto"/>
          <w:highlight w:val="none"/>
        </w:rPr>
        <w:br w:type="page"/>
      </w:r>
    </w:p>
    <w:p>
      <w:pPr>
        <w:pStyle w:val="2"/>
        <w:pageBreakBefore/>
        <w:spacing w:line="360" w:lineRule="auto"/>
        <w:jc w:val="center"/>
        <w:rPr>
          <w:bCs/>
          <w:color w:val="auto"/>
          <w:sz w:val="28"/>
          <w:szCs w:val="28"/>
          <w:highlight w:val="none"/>
        </w:rPr>
      </w:pPr>
      <w:bookmarkStart w:id="249" w:name="_Toc20966"/>
      <w:bookmarkStart w:id="250" w:name="_Toc19888"/>
      <w:r>
        <w:rPr>
          <w:rFonts w:hint="eastAsia"/>
          <w:bCs/>
          <w:color w:val="auto"/>
          <w:sz w:val="28"/>
          <w:szCs w:val="28"/>
          <w:highlight w:val="none"/>
        </w:rPr>
        <w:t>第三部分 技术文件</w:t>
      </w:r>
      <w:bookmarkEnd w:id="249"/>
      <w:bookmarkEnd w:id="250"/>
    </w:p>
    <w:p>
      <w:pPr>
        <w:jc w:val="center"/>
        <w:rPr>
          <w:color w:val="auto"/>
          <w:highlight w:val="none"/>
        </w:rPr>
      </w:pPr>
    </w:p>
    <w:p>
      <w:pPr>
        <w:pStyle w:val="2"/>
        <w:numPr>
          <w:ilvl w:val="0"/>
          <w:numId w:val="25"/>
        </w:numPr>
        <w:jc w:val="center"/>
        <w:rPr>
          <w:color w:val="auto"/>
          <w:highlight w:val="none"/>
        </w:rPr>
      </w:pPr>
      <w:bookmarkStart w:id="251" w:name="_Toc9540"/>
      <w:bookmarkStart w:id="252" w:name="_Toc28884"/>
      <w:bookmarkStart w:id="253" w:name="_Toc25949"/>
      <w:bookmarkStart w:id="254" w:name="_Toc31683"/>
      <w:bookmarkStart w:id="255" w:name="_Toc24064"/>
      <w:bookmarkStart w:id="256" w:name="_Toc9579"/>
      <w:bookmarkStart w:id="257" w:name="_Toc15167"/>
      <w:bookmarkStart w:id="258" w:name="_Toc1852"/>
      <w:r>
        <w:rPr>
          <w:rFonts w:hint="eastAsia"/>
          <w:color w:val="auto"/>
          <w:highlight w:val="none"/>
        </w:rPr>
        <w:t>技术方案</w:t>
      </w:r>
      <w:bookmarkEnd w:id="251"/>
      <w:bookmarkEnd w:id="252"/>
      <w:bookmarkEnd w:id="253"/>
      <w:bookmarkEnd w:id="254"/>
      <w:bookmarkEnd w:id="255"/>
      <w:bookmarkEnd w:id="256"/>
      <w:bookmarkEnd w:id="257"/>
      <w:bookmarkEnd w:id="258"/>
    </w:p>
    <w:p>
      <w:pPr>
        <w:snapToGrid w:val="0"/>
        <w:spacing w:line="360" w:lineRule="auto"/>
        <w:rPr>
          <w:rFonts w:hAnsi="宋体"/>
          <w:color w:val="auto"/>
          <w:sz w:val="21"/>
          <w:szCs w:val="21"/>
          <w:highlight w:val="none"/>
        </w:rPr>
      </w:pPr>
    </w:p>
    <w:p>
      <w:pPr>
        <w:snapToGrid w:val="0"/>
        <w:spacing w:line="360" w:lineRule="auto"/>
        <w:ind w:firstLine="420" w:firstLineChars="200"/>
        <w:rPr>
          <w:rFonts w:hAnsi="宋体"/>
          <w:color w:val="auto"/>
          <w:sz w:val="21"/>
          <w:szCs w:val="21"/>
          <w:highlight w:val="none"/>
        </w:rPr>
      </w:pPr>
      <w:r>
        <w:rPr>
          <w:rFonts w:hint="eastAsia" w:hAnsi="宋体"/>
          <w:color w:val="auto"/>
          <w:sz w:val="21"/>
          <w:szCs w:val="21"/>
          <w:highlight w:val="none"/>
        </w:rPr>
        <w:t>根据用户需求书编写。</w:t>
      </w:r>
    </w:p>
    <w:p>
      <w:pPr>
        <w:snapToGrid w:val="0"/>
        <w:spacing w:line="360" w:lineRule="auto"/>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2"/>
        <w:numPr>
          <w:ilvl w:val="0"/>
          <w:numId w:val="25"/>
        </w:numPr>
        <w:jc w:val="center"/>
        <w:rPr>
          <w:color w:val="auto"/>
          <w:highlight w:val="none"/>
        </w:rPr>
      </w:pPr>
      <w:bookmarkStart w:id="259" w:name="_Toc28953"/>
      <w:bookmarkStart w:id="260" w:name="_Toc15530"/>
      <w:bookmarkStart w:id="261" w:name="_Toc24947"/>
      <w:bookmarkStart w:id="262" w:name="_Toc12278"/>
      <w:bookmarkStart w:id="263" w:name="_Toc9619"/>
      <w:bookmarkStart w:id="264" w:name="_Toc23849"/>
      <w:bookmarkStart w:id="265" w:name="_Toc30049"/>
      <w:bookmarkStart w:id="266" w:name="_Toc11036"/>
      <w:r>
        <w:rPr>
          <w:rFonts w:hint="eastAsia"/>
          <w:color w:val="auto"/>
          <w:highlight w:val="none"/>
        </w:rPr>
        <w:t>其他资料</w:t>
      </w:r>
      <w:bookmarkEnd w:id="259"/>
      <w:bookmarkEnd w:id="260"/>
      <w:bookmarkEnd w:id="261"/>
      <w:bookmarkEnd w:id="262"/>
      <w:bookmarkEnd w:id="263"/>
      <w:bookmarkEnd w:id="264"/>
      <w:bookmarkEnd w:id="265"/>
      <w:bookmarkEnd w:id="266"/>
    </w:p>
    <w:p>
      <w:pPr>
        <w:pStyle w:val="28"/>
        <w:spacing w:line="360" w:lineRule="auto"/>
        <w:ind w:firstLine="420"/>
        <w:rPr>
          <w:rFonts w:hAnsi="宋体"/>
          <w:color w:val="auto"/>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1、磋商文件要求提供的其他资料（如有）</w:t>
      </w:r>
    </w:p>
    <w:p>
      <w:pPr>
        <w:spacing w:line="360" w:lineRule="auto"/>
        <w:rPr>
          <w:rFonts w:hAnsi="宋体"/>
          <w:color w:val="auto"/>
          <w:sz w:val="21"/>
          <w:szCs w:val="21"/>
          <w:highlight w:val="none"/>
        </w:rPr>
      </w:pPr>
      <w:r>
        <w:rPr>
          <w:rFonts w:hint="eastAsia" w:hAnsi="宋体"/>
          <w:color w:val="auto"/>
          <w:sz w:val="21"/>
          <w:szCs w:val="21"/>
          <w:highlight w:val="none"/>
        </w:rPr>
        <w:t>2、供应商认为需要提供的其他资料（如有）</w:t>
      </w: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5"/>
        <w:rPr>
          <w:rFonts w:hAnsi="宋体"/>
          <w:color w:val="auto"/>
          <w:sz w:val="21"/>
          <w:szCs w:val="21"/>
          <w:highlight w:val="none"/>
        </w:rPr>
      </w:pPr>
    </w:p>
    <w:p>
      <w:pPr>
        <w:pStyle w:val="2"/>
        <w:jc w:val="center"/>
        <w:rPr>
          <w:color w:val="auto"/>
          <w:sz w:val="28"/>
          <w:szCs w:val="28"/>
          <w:highlight w:val="none"/>
        </w:rPr>
      </w:pPr>
      <w:bookmarkStart w:id="267" w:name="_Toc17492"/>
      <w:r>
        <w:rPr>
          <w:rFonts w:hint="eastAsia"/>
          <w:color w:val="auto"/>
          <w:sz w:val="28"/>
          <w:szCs w:val="28"/>
          <w:highlight w:val="none"/>
        </w:rPr>
        <w:t>第四部分 唱标信封</w:t>
      </w:r>
      <w:r>
        <w:rPr>
          <w:rFonts w:hint="eastAsia"/>
          <w:bCs/>
          <w:color w:val="auto"/>
          <w:sz w:val="28"/>
          <w:szCs w:val="28"/>
          <w:highlight w:val="none"/>
        </w:rPr>
        <w:t>（单独编制装订成册，单独封装）</w:t>
      </w:r>
      <w:bookmarkEnd w:id="267"/>
    </w:p>
    <w:p>
      <w:pPr>
        <w:pStyle w:val="75"/>
        <w:spacing w:line="460" w:lineRule="exact"/>
        <w:ind w:firstLine="0" w:firstLineChars="0"/>
        <w:rPr>
          <w:rFonts w:ascii="宋体" w:eastAsia="宋体"/>
          <w:color w:val="auto"/>
          <w:sz w:val="21"/>
          <w:szCs w:val="21"/>
          <w:highlight w:val="none"/>
        </w:rPr>
      </w:pPr>
      <w:r>
        <w:rPr>
          <w:rFonts w:hint="eastAsia" w:ascii="宋体" w:eastAsia="宋体"/>
          <w:color w:val="auto"/>
          <w:sz w:val="21"/>
          <w:szCs w:val="21"/>
          <w:highlight w:val="none"/>
        </w:rPr>
        <w:t>唱标信封内装：</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（1）磋商保证金汇入情况说明及银行汇款凭证（或担保函）复印件加盖公章；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（2）法定代表人证明书加盖公章；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（3）法定代表人授权委托书加盖公章（法定代表人磋商的除外）；</w:t>
      </w:r>
    </w:p>
    <w:p>
      <w:pPr>
        <w:pStyle w:val="75"/>
        <w:spacing w:line="460" w:lineRule="exact"/>
        <w:ind w:firstLine="433"/>
        <w:rPr>
          <w:rFonts w:ascii="宋体" w:eastAsia="宋体"/>
          <w:color w:val="auto"/>
          <w:sz w:val="22"/>
          <w:szCs w:val="22"/>
          <w:highlight w:val="none"/>
        </w:rPr>
      </w:pPr>
      <w:r>
        <w:rPr>
          <w:rFonts w:hint="eastAsia" w:ascii="宋体" w:eastAsia="宋体"/>
          <w:color w:val="auto"/>
          <w:sz w:val="21"/>
          <w:szCs w:val="21"/>
          <w:highlight w:val="none"/>
        </w:rPr>
        <w:t>（4）磋商文件电子文件（签字、盖章后的磋商文件PDF格式扫描版电子文件, 可采用光盘介质或U盘装载）；</w:t>
      </w:r>
    </w:p>
    <w:p>
      <w:pPr>
        <w:pStyle w:val="75"/>
        <w:spacing w:line="460" w:lineRule="exact"/>
        <w:ind w:firstLine="453"/>
        <w:rPr>
          <w:rFonts w:ascii="宋体" w:eastAsia="宋体"/>
          <w:color w:val="auto"/>
          <w:sz w:val="22"/>
          <w:szCs w:val="22"/>
          <w:highlight w:val="none"/>
        </w:rPr>
      </w:pPr>
    </w:p>
    <w:p>
      <w:pPr>
        <w:rPr>
          <w:color w:val="auto"/>
          <w:highlight w:val="none"/>
        </w:rPr>
      </w:pPr>
    </w:p>
    <w:p>
      <w:pPr>
        <w:rPr>
          <w:color w:val="auto"/>
          <w:highlight w:val="none"/>
          <w:lang w:val="zh-CN"/>
        </w:rPr>
      </w:pPr>
      <w:bookmarkStart w:id="268" w:name="_Toc396137262"/>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pStyle w:val="5"/>
        <w:ind w:firstLine="400"/>
        <w:rPr>
          <w:color w:val="auto"/>
          <w:highlight w:val="none"/>
          <w:lang w:val="zh-CN"/>
        </w:rPr>
      </w:pPr>
    </w:p>
    <w:p>
      <w:pPr>
        <w:pStyle w:val="5"/>
        <w:ind w:firstLine="400"/>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bookmarkEnd w:id="268"/>
    <w:p>
      <w:pPr>
        <w:rPr>
          <w:color w:val="auto"/>
          <w:highlight w:val="none"/>
          <w:lang w:val="zh-CN"/>
        </w:rPr>
      </w:pPr>
    </w:p>
    <w:sectPr>
      <w:headerReference r:id="rId13" w:type="first"/>
      <w:footerReference r:id="rId16" w:type="first"/>
      <w:headerReference r:id="rId12" w:type="default"/>
      <w:footerReference r:id="rId14" w:type="default"/>
      <w:footerReference r:id="rId15" w:type="even"/>
      <w:pgSz w:w="11907" w:h="16840"/>
      <w:pgMar w:top="1440" w:right="1134" w:bottom="1440" w:left="1134" w:header="85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Yu Mincho Light">
    <w:altName w:val="MS Mincho"/>
    <w:panose1 w:val="00000000000000000000"/>
    <w:charset w:val="80"/>
    <w:family w:val="roman"/>
    <w:pitch w:val="default"/>
    <w:sig w:usb0="00000000" w:usb1="00000000" w:usb2="00000012" w:usb3="00000000" w:csb0="0002009F" w:csb1="00000000"/>
  </w:font>
  <w:font w:name="MS Mincho">
    <w:panose1 w:val="02020609040205080304"/>
    <w:charset w:val="80"/>
    <w:family w:val="auto"/>
    <w:pitch w:val="default"/>
    <w:sig w:usb0="E00002FF" w:usb1="6AC7FDFB" w:usb2="00000012" w:usb3="00000000" w:csb0="4002009F" w:csb1="DFD70000"/>
  </w:font>
  <w:font w:name="时尚中黑简体">
    <w:altName w:val="黑体"/>
    <w:panose1 w:val="01010104010101010101"/>
    <w:charset w:val="86"/>
    <w:family w:val="auto"/>
    <w:pitch w:val="default"/>
    <w:sig w:usb0="00000000" w:usb1="00000000" w:usb2="00000012"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separate"/>
    </w:r>
    <w:r>
      <w:rPr>
        <w:rStyle w:val="55"/>
      </w:rPr>
      <w:t>5</w:t>
    </w:r>
    <w:r>
      <w:fldChar w:fldCharType="end"/>
    </w:r>
  </w:p>
  <w:p>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479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5408;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E7Vt9QAAAACAQAADwAAAAAAAAABACAAAAAiAAAA&#10;ZHJzL2Rvd25yZXYueG1sUEsBAhQAFAAAAAgAh07iQE2KlF7SAQAAogMAAA4AAAAAAAAAAQAgAAAA&#10;IwEAAGRycy9lMm9Eb2MueG1sUEsFBgAAAAAGAAYAWQEAAGcFA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end"/>
    </w:r>
  </w:p>
  <w:p>
    <w:pPr>
      <w:pStyle w:val="3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M/8h6fQAQAApQMAAA4AAAAAAAAAAQAgAAAAIgEA&#10;AGRycy9lMm9Eb2MueG1sUEsFBgAAAAAGAAYAWQEAAGQFA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end"/>
    </w:r>
  </w:p>
  <w:p>
    <w:pPr>
      <w:pStyle w:val="3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4384" behindDoc="1" locked="0" layoutInCell="1" allowOverlap="1">
          <wp:simplePos x="0" y="0"/>
          <wp:positionH relativeFrom="column">
            <wp:posOffset>3376930</wp:posOffset>
          </wp:positionH>
          <wp:positionV relativeFrom="paragraph">
            <wp:posOffset>-236855</wp:posOffset>
          </wp:positionV>
          <wp:extent cx="434340" cy="434340"/>
          <wp:effectExtent l="0" t="0" r="3810" b="3810"/>
          <wp:wrapNone/>
          <wp:docPr id="7" name="图片 7"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rPr>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0288"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A69F2F92"/>
    <w:multiLevelType w:val="singleLevel"/>
    <w:tmpl w:val="A69F2F92"/>
    <w:lvl w:ilvl="0" w:tentative="0">
      <w:start w:val="5"/>
      <w:numFmt w:val="chineseCounting"/>
      <w:suff w:val="space"/>
      <w:lvlText w:val="第%1条"/>
      <w:lvlJc w:val="left"/>
      <w:rPr>
        <w:rFonts w:hint="eastAsia"/>
        <w:b/>
        <w:bCs/>
      </w:rPr>
    </w:lvl>
  </w:abstractNum>
  <w:abstractNum w:abstractNumId="2">
    <w:nsid w:val="AC46F308"/>
    <w:multiLevelType w:val="singleLevel"/>
    <w:tmpl w:val="AC46F308"/>
    <w:lvl w:ilvl="0" w:tentative="0">
      <w:start w:val="1"/>
      <w:numFmt w:val="decimal"/>
      <w:suff w:val="nothing"/>
      <w:lvlText w:val="%1）"/>
      <w:lvlJc w:val="left"/>
    </w:lvl>
  </w:abstractNum>
  <w:abstractNum w:abstractNumId="3">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4">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5">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6">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0000016"/>
    <w:multiLevelType w:val="multilevel"/>
    <w:tmpl w:val="00000016"/>
    <w:lvl w:ilvl="0" w:tentative="0">
      <w:start w:val="1"/>
      <w:numFmt w:val="decimal"/>
      <w:pStyle w:val="14"/>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22"/>
    <w:multiLevelType w:val="multilevel"/>
    <w:tmpl w:val="00000022"/>
    <w:lvl w:ilvl="0" w:tentative="0">
      <w:start w:val="1"/>
      <w:numFmt w:val="decimal"/>
      <w:lvlText w:val="%1."/>
      <w:lvlJc w:val="left"/>
      <w:pPr>
        <w:tabs>
          <w:tab w:val="left" w:pos="420"/>
        </w:tabs>
        <w:ind w:left="0" w:firstLine="0"/>
      </w:pPr>
      <w:rPr>
        <w:rFonts w:hint="eastAsia"/>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6">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A57500B"/>
    <w:multiLevelType w:val="multilevel"/>
    <w:tmpl w:val="0A57500B"/>
    <w:lvl w:ilvl="0" w:tentative="0">
      <w:start w:val="1"/>
      <w:numFmt w:val="japaneseCounting"/>
      <w:lvlText w:val="%1、"/>
      <w:lvlJc w:val="left"/>
      <w:pPr>
        <w:ind w:left="1110" w:hanging="51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8">
    <w:nsid w:val="0CB78747"/>
    <w:multiLevelType w:val="singleLevel"/>
    <w:tmpl w:val="0CB78747"/>
    <w:lvl w:ilvl="0" w:tentative="0">
      <w:start w:val="2"/>
      <w:numFmt w:val="decimal"/>
      <w:suff w:val="nothing"/>
      <w:lvlText w:val="%1）"/>
      <w:lvlJc w:val="left"/>
    </w:lvl>
  </w:abstractNum>
  <w:abstractNum w:abstractNumId="19">
    <w:nsid w:val="12377788"/>
    <w:multiLevelType w:val="singleLevel"/>
    <w:tmpl w:val="12377788"/>
    <w:lvl w:ilvl="0" w:tentative="0">
      <w:start w:val="7"/>
      <w:numFmt w:val="japaneseCounting"/>
      <w:lvlText w:val="第%1条"/>
      <w:lvlJc w:val="left"/>
      <w:pPr>
        <w:tabs>
          <w:tab w:val="left" w:pos="1695"/>
        </w:tabs>
        <w:ind w:left="1695" w:hanging="1125"/>
      </w:pPr>
      <w:rPr>
        <w:rFonts w:hint="eastAsia"/>
      </w:rPr>
    </w:lvl>
  </w:abstractNum>
  <w:abstractNum w:abstractNumId="20">
    <w:nsid w:val="2727DD9B"/>
    <w:multiLevelType w:val="multilevel"/>
    <w:tmpl w:val="2727DD9B"/>
    <w:lvl w:ilvl="0" w:tentative="0">
      <w:start w:val="1"/>
      <w:numFmt w:val="decimal"/>
      <w:pStyle w:val="15"/>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21">
    <w:nsid w:val="37402185"/>
    <w:multiLevelType w:val="singleLevel"/>
    <w:tmpl w:val="37402185"/>
    <w:lvl w:ilvl="0" w:tentative="0">
      <w:start w:val="1"/>
      <w:numFmt w:val="decimal"/>
      <w:pStyle w:val="23"/>
      <w:lvlText w:val="%1."/>
      <w:lvlJc w:val="left"/>
      <w:pPr>
        <w:tabs>
          <w:tab w:val="left" w:pos="1200"/>
        </w:tabs>
        <w:ind w:left="1200" w:hanging="360"/>
      </w:pPr>
    </w:lvl>
  </w:abstractNum>
  <w:abstractNum w:abstractNumId="22">
    <w:nsid w:val="48DF57F8"/>
    <w:multiLevelType w:val="singleLevel"/>
    <w:tmpl w:val="48DF57F8"/>
    <w:lvl w:ilvl="0" w:tentative="0">
      <w:start w:val="1"/>
      <w:numFmt w:val="decimal"/>
      <w:suff w:val="nothing"/>
      <w:lvlText w:val="%1）"/>
      <w:lvlJc w:val="left"/>
    </w:lvl>
  </w:abstractNum>
  <w:abstractNum w:abstractNumId="23">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24">
    <w:nsid w:val="57289543"/>
    <w:multiLevelType w:val="singleLevel"/>
    <w:tmpl w:val="57289543"/>
    <w:lvl w:ilvl="0" w:tentative="0">
      <w:start w:val="7"/>
      <w:numFmt w:val="decimal"/>
      <w:suff w:val="nothing"/>
      <w:lvlText w:val="%1)"/>
      <w:lvlJc w:val="left"/>
    </w:lvl>
  </w:abstractNum>
  <w:num w:numId="1">
    <w:abstractNumId w:val="10"/>
  </w:num>
  <w:num w:numId="2">
    <w:abstractNumId w:val="20"/>
  </w:num>
  <w:num w:numId="3">
    <w:abstractNumId w:val="21"/>
  </w:num>
  <w:num w:numId="4">
    <w:abstractNumId w:val="15"/>
  </w:num>
  <w:num w:numId="5">
    <w:abstractNumId w:val="11"/>
  </w:num>
  <w:num w:numId="6">
    <w:abstractNumId w:val="8"/>
  </w:num>
  <w:num w:numId="7">
    <w:abstractNumId w:val="6"/>
  </w:num>
  <w:num w:numId="8">
    <w:abstractNumId w:val="9"/>
  </w:num>
  <w:num w:numId="9">
    <w:abstractNumId w:val="16"/>
  </w:num>
  <w:num w:numId="10">
    <w:abstractNumId w:val="14"/>
  </w:num>
  <w:num w:numId="11">
    <w:abstractNumId w:val="12"/>
  </w:num>
  <w:num w:numId="12">
    <w:abstractNumId w:val="5"/>
  </w:num>
  <w:num w:numId="13">
    <w:abstractNumId w:val="3"/>
  </w:num>
  <w:num w:numId="14">
    <w:abstractNumId w:val="22"/>
  </w:num>
  <w:num w:numId="15">
    <w:abstractNumId w:val="18"/>
  </w:num>
  <w:num w:numId="16">
    <w:abstractNumId w:val="7"/>
  </w:num>
  <w:num w:numId="17">
    <w:abstractNumId w:val="24"/>
  </w:num>
  <w:num w:numId="18">
    <w:abstractNumId w:val="1"/>
  </w:num>
  <w:num w:numId="19">
    <w:abstractNumId w:val="2"/>
  </w:num>
  <w:num w:numId="20">
    <w:abstractNumId w:val="1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3"/>
  </w:num>
  <w:num w:numId="24">
    <w:abstractNumId w:val="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20"/>
  <w:drawingGridVerticalSpacing w:val="163"/>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MjI4MzJhNDI1YjA4OTM4ODI5NmZjZjgzYzlhZDEifQ=="/>
  </w:docVars>
  <w:rsids>
    <w:rsidRoot w:val="00172A27"/>
    <w:rsid w:val="00003320"/>
    <w:rsid w:val="00010435"/>
    <w:rsid w:val="0002249C"/>
    <w:rsid w:val="00026E93"/>
    <w:rsid w:val="00027890"/>
    <w:rsid w:val="000310C4"/>
    <w:rsid w:val="00036141"/>
    <w:rsid w:val="00051BB5"/>
    <w:rsid w:val="00055CD6"/>
    <w:rsid w:val="00060BFF"/>
    <w:rsid w:val="000656BF"/>
    <w:rsid w:val="00075200"/>
    <w:rsid w:val="000823D9"/>
    <w:rsid w:val="000C1913"/>
    <w:rsid w:val="000E3D5A"/>
    <w:rsid w:val="000F69BF"/>
    <w:rsid w:val="00106809"/>
    <w:rsid w:val="00113D74"/>
    <w:rsid w:val="0011439F"/>
    <w:rsid w:val="00114927"/>
    <w:rsid w:val="00124125"/>
    <w:rsid w:val="001268DD"/>
    <w:rsid w:val="00135223"/>
    <w:rsid w:val="00145E79"/>
    <w:rsid w:val="00152EFD"/>
    <w:rsid w:val="001617C8"/>
    <w:rsid w:val="00172A27"/>
    <w:rsid w:val="001749FA"/>
    <w:rsid w:val="00181275"/>
    <w:rsid w:val="00191E1B"/>
    <w:rsid w:val="001B549E"/>
    <w:rsid w:val="001B72E4"/>
    <w:rsid w:val="001C49E6"/>
    <w:rsid w:val="001D4260"/>
    <w:rsid w:val="001E140E"/>
    <w:rsid w:val="001E2687"/>
    <w:rsid w:val="002002A4"/>
    <w:rsid w:val="00201FF9"/>
    <w:rsid w:val="00216ABC"/>
    <w:rsid w:val="002172C9"/>
    <w:rsid w:val="0022176A"/>
    <w:rsid w:val="0026064D"/>
    <w:rsid w:val="00267764"/>
    <w:rsid w:val="00270A95"/>
    <w:rsid w:val="00281143"/>
    <w:rsid w:val="002908F6"/>
    <w:rsid w:val="00291FAB"/>
    <w:rsid w:val="002C0353"/>
    <w:rsid w:val="002C0888"/>
    <w:rsid w:val="002D14E4"/>
    <w:rsid w:val="002D687C"/>
    <w:rsid w:val="002E2B45"/>
    <w:rsid w:val="002E4296"/>
    <w:rsid w:val="002E58AE"/>
    <w:rsid w:val="002F1021"/>
    <w:rsid w:val="00354336"/>
    <w:rsid w:val="003613BD"/>
    <w:rsid w:val="003757E0"/>
    <w:rsid w:val="00376337"/>
    <w:rsid w:val="003824C3"/>
    <w:rsid w:val="003849A9"/>
    <w:rsid w:val="00391ED7"/>
    <w:rsid w:val="00393E42"/>
    <w:rsid w:val="003A2560"/>
    <w:rsid w:val="003C2F31"/>
    <w:rsid w:val="003C3779"/>
    <w:rsid w:val="0040492E"/>
    <w:rsid w:val="004207FB"/>
    <w:rsid w:val="0044257A"/>
    <w:rsid w:val="0045071E"/>
    <w:rsid w:val="004569EB"/>
    <w:rsid w:val="0046288B"/>
    <w:rsid w:val="00465BC3"/>
    <w:rsid w:val="00473DA1"/>
    <w:rsid w:val="004A2998"/>
    <w:rsid w:val="004A751E"/>
    <w:rsid w:val="004D2652"/>
    <w:rsid w:val="005471BA"/>
    <w:rsid w:val="00553F3A"/>
    <w:rsid w:val="00555F92"/>
    <w:rsid w:val="00563F71"/>
    <w:rsid w:val="00585BAB"/>
    <w:rsid w:val="005A06DF"/>
    <w:rsid w:val="005B5C14"/>
    <w:rsid w:val="005F37C4"/>
    <w:rsid w:val="006023DD"/>
    <w:rsid w:val="00604EF1"/>
    <w:rsid w:val="006071A1"/>
    <w:rsid w:val="00636A66"/>
    <w:rsid w:val="00637720"/>
    <w:rsid w:val="006421D2"/>
    <w:rsid w:val="00643C95"/>
    <w:rsid w:val="006529BE"/>
    <w:rsid w:val="00653B3C"/>
    <w:rsid w:val="00661DDF"/>
    <w:rsid w:val="00675141"/>
    <w:rsid w:val="006B68FA"/>
    <w:rsid w:val="006C4ED2"/>
    <w:rsid w:val="006E2C33"/>
    <w:rsid w:val="006F7565"/>
    <w:rsid w:val="00722579"/>
    <w:rsid w:val="007266BA"/>
    <w:rsid w:val="00737573"/>
    <w:rsid w:val="0075111E"/>
    <w:rsid w:val="00766AFF"/>
    <w:rsid w:val="00771A5D"/>
    <w:rsid w:val="007815AA"/>
    <w:rsid w:val="0079444F"/>
    <w:rsid w:val="007A6701"/>
    <w:rsid w:val="007B21FC"/>
    <w:rsid w:val="007B3581"/>
    <w:rsid w:val="007D280B"/>
    <w:rsid w:val="007F1FF8"/>
    <w:rsid w:val="007F2B89"/>
    <w:rsid w:val="00803F10"/>
    <w:rsid w:val="00821042"/>
    <w:rsid w:val="00821BD7"/>
    <w:rsid w:val="00831E15"/>
    <w:rsid w:val="00835AD1"/>
    <w:rsid w:val="00847835"/>
    <w:rsid w:val="008A0878"/>
    <w:rsid w:val="008B5078"/>
    <w:rsid w:val="008B52E4"/>
    <w:rsid w:val="008C4084"/>
    <w:rsid w:val="008C4968"/>
    <w:rsid w:val="008D2C58"/>
    <w:rsid w:val="008E129D"/>
    <w:rsid w:val="008E37B0"/>
    <w:rsid w:val="008E464C"/>
    <w:rsid w:val="008E4970"/>
    <w:rsid w:val="009009BC"/>
    <w:rsid w:val="00904619"/>
    <w:rsid w:val="00915F7F"/>
    <w:rsid w:val="00921F1A"/>
    <w:rsid w:val="009229CB"/>
    <w:rsid w:val="009368EA"/>
    <w:rsid w:val="009422CE"/>
    <w:rsid w:val="00944D1A"/>
    <w:rsid w:val="00951A8F"/>
    <w:rsid w:val="009B27B4"/>
    <w:rsid w:val="009C6B18"/>
    <w:rsid w:val="009E2C75"/>
    <w:rsid w:val="009E6598"/>
    <w:rsid w:val="009F5D19"/>
    <w:rsid w:val="009F7268"/>
    <w:rsid w:val="00A03228"/>
    <w:rsid w:val="00A1101A"/>
    <w:rsid w:val="00A11A47"/>
    <w:rsid w:val="00A36EC6"/>
    <w:rsid w:val="00A37D41"/>
    <w:rsid w:val="00A52F6D"/>
    <w:rsid w:val="00A613B6"/>
    <w:rsid w:val="00A71C09"/>
    <w:rsid w:val="00A72DA8"/>
    <w:rsid w:val="00A752A6"/>
    <w:rsid w:val="00A82229"/>
    <w:rsid w:val="00A943C3"/>
    <w:rsid w:val="00A95831"/>
    <w:rsid w:val="00A975B4"/>
    <w:rsid w:val="00AA7D8C"/>
    <w:rsid w:val="00AB4015"/>
    <w:rsid w:val="00AE78AF"/>
    <w:rsid w:val="00AF6912"/>
    <w:rsid w:val="00B04B0E"/>
    <w:rsid w:val="00B16495"/>
    <w:rsid w:val="00B225FD"/>
    <w:rsid w:val="00B248DA"/>
    <w:rsid w:val="00B43699"/>
    <w:rsid w:val="00B50EA0"/>
    <w:rsid w:val="00B70765"/>
    <w:rsid w:val="00B71A50"/>
    <w:rsid w:val="00B74DE3"/>
    <w:rsid w:val="00B80D89"/>
    <w:rsid w:val="00B818AE"/>
    <w:rsid w:val="00B96173"/>
    <w:rsid w:val="00BB48AD"/>
    <w:rsid w:val="00BB6F89"/>
    <w:rsid w:val="00BC02E2"/>
    <w:rsid w:val="00BD41E8"/>
    <w:rsid w:val="00BE779E"/>
    <w:rsid w:val="00BF09ED"/>
    <w:rsid w:val="00BF27E1"/>
    <w:rsid w:val="00C00F5A"/>
    <w:rsid w:val="00C06F9A"/>
    <w:rsid w:val="00C16CB7"/>
    <w:rsid w:val="00C25C61"/>
    <w:rsid w:val="00C40AF8"/>
    <w:rsid w:val="00C41180"/>
    <w:rsid w:val="00C5753E"/>
    <w:rsid w:val="00C61390"/>
    <w:rsid w:val="00C622DA"/>
    <w:rsid w:val="00C62932"/>
    <w:rsid w:val="00C82CE0"/>
    <w:rsid w:val="00C9047D"/>
    <w:rsid w:val="00C9061D"/>
    <w:rsid w:val="00C97323"/>
    <w:rsid w:val="00CB45F9"/>
    <w:rsid w:val="00CC3CDE"/>
    <w:rsid w:val="00CD0AE3"/>
    <w:rsid w:val="00CD3B80"/>
    <w:rsid w:val="00CE7558"/>
    <w:rsid w:val="00CF2991"/>
    <w:rsid w:val="00CF40EF"/>
    <w:rsid w:val="00D17FB1"/>
    <w:rsid w:val="00D31F0D"/>
    <w:rsid w:val="00D34EDF"/>
    <w:rsid w:val="00D35C22"/>
    <w:rsid w:val="00D954DE"/>
    <w:rsid w:val="00DB7E8A"/>
    <w:rsid w:val="00DC735D"/>
    <w:rsid w:val="00DE49C8"/>
    <w:rsid w:val="00DF0CE0"/>
    <w:rsid w:val="00E023D0"/>
    <w:rsid w:val="00E104B9"/>
    <w:rsid w:val="00E3172A"/>
    <w:rsid w:val="00E34DA5"/>
    <w:rsid w:val="00E42901"/>
    <w:rsid w:val="00E438D2"/>
    <w:rsid w:val="00E53F8C"/>
    <w:rsid w:val="00E61200"/>
    <w:rsid w:val="00E63FBE"/>
    <w:rsid w:val="00E80F9B"/>
    <w:rsid w:val="00E90F29"/>
    <w:rsid w:val="00EB1ABE"/>
    <w:rsid w:val="00EB4346"/>
    <w:rsid w:val="00ED1779"/>
    <w:rsid w:val="00EE7CA8"/>
    <w:rsid w:val="00EF6736"/>
    <w:rsid w:val="00EF6B76"/>
    <w:rsid w:val="00F014C7"/>
    <w:rsid w:val="00F02C24"/>
    <w:rsid w:val="00F04A9D"/>
    <w:rsid w:val="00F07594"/>
    <w:rsid w:val="00F31719"/>
    <w:rsid w:val="00F32C3A"/>
    <w:rsid w:val="00F53394"/>
    <w:rsid w:val="00F54AFB"/>
    <w:rsid w:val="00F67D80"/>
    <w:rsid w:val="00F718C6"/>
    <w:rsid w:val="00FC4DD8"/>
    <w:rsid w:val="00FD40C9"/>
    <w:rsid w:val="01016788"/>
    <w:rsid w:val="010B18A0"/>
    <w:rsid w:val="01101FD4"/>
    <w:rsid w:val="013511BC"/>
    <w:rsid w:val="01630778"/>
    <w:rsid w:val="01857C73"/>
    <w:rsid w:val="01A12C3F"/>
    <w:rsid w:val="01D142D7"/>
    <w:rsid w:val="021F4C81"/>
    <w:rsid w:val="02414B92"/>
    <w:rsid w:val="028366E4"/>
    <w:rsid w:val="02A56B80"/>
    <w:rsid w:val="02B5383F"/>
    <w:rsid w:val="02C560C8"/>
    <w:rsid w:val="02F741FF"/>
    <w:rsid w:val="03077BF2"/>
    <w:rsid w:val="03240B2D"/>
    <w:rsid w:val="03404A6C"/>
    <w:rsid w:val="035324D3"/>
    <w:rsid w:val="036719BE"/>
    <w:rsid w:val="038413BE"/>
    <w:rsid w:val="038C71B9"/>
    <w:rsid w:val="03C53166"/>
    <w:rsid w:val="0437435F"/>
    <w:rsid w:val="043948C2"/>
    <w:rsid w:val="0441683D"/>
    <w:rsid w:val="04897AAE"/>
    <w:rsid w:val="048D3C72"/>
    <w:rsid w:val="04946A57"/>
    <w:rsid w:val="049E01CA"/>
    <w:rsid w:val="04AA7A54"/>
    <w:rsid w:val="04DC1E95"/>
    <w:rsid w:val="05056F9C"/>
    <w:rsid w:val="053B507A"/>
    <w:rsid w:val="056B6415"/>
    <w:rsid w:val="056F7E9D"/>
    <w:rsid w:val="05A04252"/>
    <w:rsid w:val="05B531D5"/>
    <w:rsid w:val="05D70893"/>
    <w:rsid w:val="05D879EE"/>
    <w:rsid w:val="05EF3BF5"/>
    <w:rsid w:val="061B4DCC"/>
    <w:rsid w:val="0631131C"/>
    <w:rsid w:val="0684556E"/>
    <w:rsid w:val="07005EC6"/>
    <w:rsid w:val="07144968"/>
    <w:rsid w:val="071F2807"/>
    <w:rsid w:val="074D0B91"/>
    <w:rsid w:val="07667537"/>
    <w:rsid w:val="076F789A"/>
    <w:rsid w:val="0784472B"/>
    <w:rsid w:val="079B0031"/>
    <w:rsid w:val="079F5559"/>
    <w:rsid w:val="07B55B45"/>
    <w:rsid w:val="07E16810"/>
    <w:rsid w:val="08213B81"/>
    <w:rsid w:val="084C0B9D"/>
    <w:rsid w:val="0873640D"/>
    <w:rsid w:val="08783888"/>
    <w:rsid w:val="08AE00F7"/>
    <w:rsid w:val="08C30F20"/>
    <w:rsid w:val="08DD3BDB"/>
    <w:rsid w:val="08DE1289"/>
    <w:rsid w:val="09583AE9"/>
    <w:rsid w:val="09717CB2"/>
    <w:rsid w:val="09A37C42"/>
    <w:rsid w:val="09B71979"/>
    <w:rsid w:val="09CA4C87"/>
    <w:rsid w:val="0A1846AD"/>
    <w:rsid w:val="0A334DE9"/>
    <w:rsid w:val="0A3673D1"/>
    <w:rsid w:val="0A391C61"/>
    <w:rsid w:val="0A747C95"/>
    <w:rsid w:val="0A99628C"/>
    <w:rsid w:val="0AA12C61"/>
    <w:rsid w:val="0AD50B07"/>
    <w:rsid w:val="0B0D3780"/>
    <w:rsid w:val="0B192E69"/>
    <w:rsid w:val="0B1E5674"/>
    <w:rsid w:val="0B481D54"/>
    <w:rsid w:val="0B567FBC"/>
    <w:rsid w:val="0BA32867"/>
    <w:rsid w:val="0C405D06"/>
    <w:rsid w:val="0C5F45C4"/>
    <w:rsid w:val="0C6352C9"/>
    <w:rsid w:val="0C694A19"/>
    <w:rsid w:val="0C6E22F8"/>
    <w:rsid w:val="0C752414"/>
    <w:rsid w:val="0C781DA4"/>
    <w:rsid w:val="0CA4014A"/>
    <w:rsid w:val="0CD86DE7"/>
    <w:rsid w:val="0CE51F42"/>
    <w:rsid w:val="0CF9441B"/>
    <w:rsid w:val="0CFE63A4"/>
    <w:rsid w:val="0D0807FC"/>
    <w:rsid w:val="0D33119A"/>
    <w:rsid w:val="0D4A2577"/>
    <w:rsid w:val="0D4D7EA2"/>
    <w:rsid w:val="0D596969"/>
    <w:rsid w:val="0D6D348A"/>
    <w:rsid w:val="0D9C0739"/>
    <w:rsid w:val="0DC77E1F"/>
    <w:rsid w:val="0DE500C7"/>
    <w:rsid w:val="0E30061A"/>
    <w:rsid w:val="0E545893"/>
    <w:rsid w:val="0E693E94"/>
    <w:rsid w:val="0EAB15DF"/>
    <w:rsid w:val="0EBD4ECC"/>
    <w:rsid w:val="0EC12B61"/>
    <w:rsid w:val="0ECB16D0"/>
    <w:rsid w:val="0F0F3E67"/>
    <w:rsid w:val="0F2C720D"/>
    <w:rsid w:val="0F36681E"/>
    <w:rsid w:val="0F554B61"/>
    <w:rsid w:val="0FA658B8"/>
    <w:rsid w:val="0FA725F9"/>
    <w:rsid w:val="0FB125A0"/>
    <w:rsid w:val="0FF75B36"/>
    <w:rsid w:val="1007384E"/>
    <w:rsid w:val="107962EB"/>
    <w:rsid w:val="107D7A08"/>
    <w:rsid w:val="10C4053D"/>
    <w:rsid w:val="10D064F7"/>
    <w:rsid w:val="10D24A7B"/>
    <w:rsid w:val="10D763F7"/>
    <w:rsid w:val="10DA580F"/>
    <w:rsid w:val="111A2A3D"/>
    <w:rsid w:val="11244D2A"/>
    <w:rsid w:val="114253E0"/>
    <w:rsid w:val="11461A94"/>
    <w:rsid w:val="115D274C"/>
    <w:rsid w:val="115E3727"/>
    <w:rsid w:val="11B472DB"/>
    <w:rsid w:val="1207493D"/>
    <w:rsid w:val="120D27E9"/>
    <w:rsid w:val="124364E9"/>
    <w:rsid w:val="1282205B"/>
    <w:rsid w:val="129E014D"/>
    <w:rsid w:val="12AC1D0D"/>
    <w:rsid w:val="12BA6A0A"/>
    <w:rsid w:val="12C2266E"/>
    <w:rsid w:val="12CB160F"/>
    <w:rsid w:val="12D77FEC"/>
    <w:rsid w:val="12DB00BA"/>
    <w:rsid w:val="12F90EE0"/>
    <w:rsid w:val="1306089F"/>
    <w:rsid w:val="13276FF6"/>
    <w:rsid w:val="13693296"/>
    <w:rsid w:val="139726F4"/>
    <w:rsid w:val="139B4F53"/>
    <w:rsid w:val="13CE5FC4"/>
    <w:rsid w:val="13F53443"/>
    <w:rsid w:val="144C6770"/>
    <w:rsid w:val="147778EA"/>
    <w:rsid w:val="14943CCC"/>
    <w:rsid w:val="14CD7B2A"/>
    <w:rsid w:val="14EB4AC4"/>
    <w:rsid w:val="14F16B6F"/>
    <w:rsid w:val="14F865C3"/>
    <w:rsid w:val="150F189B"/>
    <w:rsid w:val="1517294D"/>
    <w:rsid w:val="153642D6"/>
    <w:rsid w:val="15457698"/>
    <w:rsid w:val="154A5906"/>
    <w:rsid w:val="155377A2"/>
    <w:rsid w:val="155558C2"/>
    <w:rsid w:val="158A75E1"/>
    <w:rsid w:val="1592511B"/>
    <w:rsid w:val="159C567E"/>
    <w:rsid w:val="15A520DA"/>
    <w:rsid w:val="15C0221F"/>
    <w:rsid w:val="15D77617"/>
    <w:rsid w:val="15D85E33"/>
    <w:rsid w:val="15E6513C"/>
    <w:rsid w:val="15E819C1"/>
    <w:rsid w:val="15F81571"/>
    <w:rsid w:val="16554F68"/>
    <w:rsid w:val="165B5F0F"/>
    <w:rsid w:val="166320D6"/>
    <w:rsid w:val="166C4896"/>
    <w:rsid w:val="167B7AAC"/>
    <w:rsid w:val="169B4AF9"/>
    <w:rsid w:val="16DB0595"/>
    <w:rsid w:val="16DF2F08"/>
    <w:rsid w:val="16E051E8"/>
    <w:rsid w:val="16ED26EB"/>
    <w:rsid w:val="17066EDE"/>
    <w:rsid w:val="1713214D"/>
    <w:rsid w:val="17945C52"/>
    <w:rsid w:val="17970727"/>
    <w:rsid w:val="18092CD5"/>
    <w:rsid w:val="180D00A7"/>
    <w:rsid w:val="181A6207"/>
    <w:rsid w:val="18214341"/>
    <w:rsid w:val="18336B8F"/>
    <w:rsid w:val="1874792B"/>
    <w:rsid w:val="18C00D35"/>
    <w:rsid w:val="18D13A9A"/>
    <w:rsid w:val="18DE453C"/>
    <w:rsid w:val="18E514CE"/>
    <w:rsid w:val="190848C5"/>
    <w:rsid w:val="190A3B3E"/>
    <w:rsid w:val="191474B7"/>
    <w:rsid w:val="192C0FEE"/>
    <w:rsid w:val="19331160"/>
    <w:rsid w:val="19496281"/>
    <w:rsid w:val="196F6FC1"/>
    <w:rsid w:val="19711A8D"/>
    <w:rsid w:val="19992BD1"/>
    <w:rsid w:val="19AB5ACC"/>
    <w:rsid w:val="19C3351E"/>
    <w:rsid w:val="19CA0483"/>
    <w:rsid w:val="1A6E6871"/>
    <w:rsid w:val="1ADA1355"/>
    <w:rsid w:val="1B006539"/>
    <w:rsid w:val="1B194961"/>
    <w:rsid w:val="1B195DEC"/>
    <w:rsid w:val="1B285C20"/>
    <w:rsid w:val="1B4A6BAE"/>
    <w:rsid w:val="1B4B370A"/>
    <w:rsid w:val="1B537FF8"/>
    <w:rsid w:val="1B767B01"/>
    <w:rsid w:val="1B860FD9"/>
    <w:rsid w:val="1BB05E26"/>
    <w:rsid w:val="1BC40E99"/>
    <w:rsid w:val="1BC8314E"/>
    <w:rsid w:val="1BCA7890"/>
    <w:rsid w:val="1BCB6A47"/>
    <w:rsid w:val="1BFB1779"/>
    <w:rsid w:val="1BFD00F2"/>
    <w:rsid w:val="1C121F5C"/>
    <w:rsid w:val="1C1327C3"/>
    <w:rsid w:val="1C3670C8"/>
    <w:rsid w:val="1C43363D"/>
    <w:rsid w:val="1C4628F7"/>
    <w:rsid w:val="1C79295A"/>
    <w:rsid w:val="1CA03602"/>
    <w:rsid w:val="1CC16689"/>
    <w:rsid w:val="1CCC24BC"/>
    <w:rsid w:val="1CE512E6"/>
    <w:rsid w:val="1CEF2480"/>
    <w:rsid w:val="1D061139"/>
    <w:rsid w:val="1D8A0E3C"/>
    <w:rsid w:val="1D9254CD"/>
    <w:rsid w:val="1DA15E50"/>
    <w:rsid w:val="1DB27B15"/>
    <w:rsid w:val="1DB87E85"/>
    <w:rsid w:val="1DC85751"/>
    <w:rsid w:val="1DC934BA"/>
    <w:rsid w:val="1DEB61F5"/>
    <w:rsid w:val="1E0A627C"/>
    <w:rsid w:val="1E121F94"/>
    <w:rsid w:val="1E16086E"/>
    <w:rsid w:val="1E927FD6"/>
    <w:rsid w:val="1E9860A5"/>
    <w:rsid w:val="1EA838E7"/>
    <w:rsid w:val="1ED20877"/>
    <w:rsid w:val="1ED94E4B"/>
    <w:rsid w:val="1EF77DC5"/>
    <w:rsid w:val="1F383ACC"/>
    <w:rsid w:val="1F596305"/>
    <w:rsid w:val="1F8811C7"/>
    <w:rsid w:val="1F9062F5"/>
    <w:rsid w:val="1FEB5C6A"/>
    <w:rsid w:val="202209B9"/>
    <w:rsid w:val="20280066"/>
    <w:rsid w:val="202C0E96"/>
    <w:rsid w:val="20304AD2"/>
    <w:rsid w:val="203B6599"/>
    <w:rsid w:val="204F6722"/>
    <w:rsid w:val="20902778"/>
    <w:rsid w:val="20AF30C4"/>
    <w:rsid w:val="20C20F88"/>
    <w:rsid w:val="20FD5C7C"/>
    <w:rsid w:val="21096CBA"/>
    <w:rsid w:val="2115662C"/>
    <w:rsid w:val="21361A04"/>
    <w:rsid w:val="214418DF"/>
    <w:rsid w:val="21B95143"/>
    <w:rsid w:val="21C04FD1"/>
    <w:rsid w:val="21D51B3D"/>
    <w:rsid w:val="21FE0CB2"/>
    <w:rsid w:val="220D6242"/>
    <w:rsid w:val="22196712"/>
    <w:rsid w:val="2272212A"/>
    <w:rsid w:val="22EC4950"/>
    <w:rsid w:val="22ED5F44"/>
    <w:rsid w:val="23197F12"/>
    <w:rsid w:val="231A56E2"/>
    <w:rsid w:val="231F7C19"/>
    <w:rsid w:val="232B5FAF"/>
    <w:rsid w:val="233F76E0"/>
    <w:rsid w:val="23481CC9"/>
    <w:rsid w:val="235F1272"/>
    <w:rsid w:val="23AE10BA"/>
    <w:rsid w:val="23E56B32"/>
    <w:rsid w:val="24142B46"/>
    <w:rsid w:val="24183F62"/>
    <w:rsid w:val="241D037F"/>
    <w:rsid w:val="2433149D"/>
    <w:rsid w:val="246270E4"/>
    <w:rsid w:val="24772C2B"/>
    <w:rsid w:val="248B2E3F"/>
    <w:rsid w:val="24DF22D5"/>
    <w:rsid w:val="25241FCD"/>
    <w:rsid w:val="257008BE"/>
    <w:rsid w:val="258A0443"/>
    <w:rsid w:val="25E86FC2"/>
    <w:rsid w:val="260C3AE7"/>
    <w:rsid w:val="261B35E2"/>
    <w:rsid w:val="261D7A35"/>
    <w:rsid w:val="263A612D"/>
    <w:rsid w:val="26483965"/>
    <w:rsid w:val="26684108"/>
    <w:rsid w:val="268B0B22"/>
    <w:rsid w:val="26BB7E4E"/>
    <w:rsid w:val="26C10F08"/>
    <w:rsid w:val="26D075A8"/>
    <w:rsid w:val="26D17DBC"/>
    <w:rsid w:val="26D24757"/>
    <w:rsid w:val="274D17E4"/>
    <w:rsid w:val="27506176"/>
    <w:rsid w:val="275D4096"/>
    <w:rsid w:val="276C3DD0"/>
    <w:rsid w:val="27A57C3A"/>
    <w:rsid w:val="27D20BC1"/>
    <w:rsid w:val="27EB7AF0"/>
    <w:rsid w:val="280553D3"/>
    <w:rsid w:val="280F6C60"/>
    <w:rsid w:val="281253C2"/>
    <w:rsid w:val="28163476"/>
    <w:rsid w:val="282455AC"/>
    <w:rsid w:val="2838738D"/>
    <w:rsid w:val="286F250E"/>
    <w:rsid w:val="287D2504"/>
    <w:rsid w:val="2886147E"/>
    <w:rsid w:val="28A87389"/>
    <w:rsid w:val="28AB0694"/>
    <w:rsid w:val="28AE6A69"/>
    <w:rsid w:val="28B81772"/>
    <w:rsid w:val="291176CC"/>
    <w:rsid w:val="291C67BC"/>
    <w:rsid w:val="29503AAE"/>
    <w:rsid w:val="29573123"/>
    <w:rsid w:val="297F7A53"/>
    <w:rsid w:val="2992095F"/>
    <w:rsid w:val="29AC6651"/>
    <w:rsid w:val="29B33362"/>
    <w:rsid w:val="29C4608A"/>
    <w:rsid w:val="29E769C8"/>
    <w:rsid w:val="29F21662"/>
    <w:rsid w:val="29F51AC1"/>
    <w:rsid w:val="29F51D07"/>
    <w:rsid w:val="29FC30C2"/>
    <w:rsid w:val="2A6D3E9B"/>
    <w:rsid w:val="2A783D0E"/>
    <w:rsid w:val="2A9C0461"/>
    <w:rsid w:val="2AD0515C"/>
    <w:rsid w:val="2AE8528D"/>
    <w:rsid w:val="2AF16E8B"/>
    <w:rsid w:val="2B0B7CEC"/>
    <w:rsid w:val="2B27452A"/>
    <w:rsid w:val="2B2D4BDC"/>
    <w:rsid w:val="2B4503EF"/>
    <w:rsid w:val="2B767712"/>
    <w:rsid w:val="2BBA7AC6"/>
    <w:rsid w:val="2BFC26B9"/>
    <w:rsid w:val="2C3C0A88"/>
    <w:rsid w:val="2C596FFF"/>
    <w:rsid w:val="2C9A17D6"/>
    <w:rsid w:val="2CA6566A"/>
    <w:rsid w:val="2CAE7599"/>
    <w:rsid w:val="2CB749B3"/>
    <w:rsid w:val="2CBB6294"/>
    <w:rsid w:val="2CBF39BD"/>
    <w:rsid w:val="2CCE2858"/>
    <w:rsid w:val="2D016EDC"/>
    <w:rsid w:val="2D2E04D4"/>
    <w:rsid w:val="2D3878C4"/>
    <w:rsid w:val="2D3A4057"/>
    <w:rsid w:val="2D5343E6"/>
    <w:rsid w:val="2D994DBE"/>
    <w:rsid w:val="2DD53F02"/>
    <w:rsid w:val="2E0A0263"/>
    <w:rsid w:val="2E73484D"/>
    <w:rsid w:val="2E734C4D"/>
    <w:rsid w:val="2E9A7164"/>
    <w:rsid w:val="2ED21188"/>
    <w:rsid w:val="2EE1137A"/>
    <w:rsid w:val="2EE6759F"/>
    <w:rsid w:val="2EEB0819"/>
    <w:rsid w:val="2F010E90"/>
    <w:rsid w:val="2F0C69E6"/>
    <w:rsid w:val="2F0D5CED"/>
    <w:rsid w:val="2F236129"/>
    <w:rsid w:val="2F2C56BA"/>
    <w:rsid w:val="2F2D0218"/>
    <w:rsid w:val="2F356A16"/>
    <w:rsid w:val="2F4614DA"/>
    <w:rsid w:val="2F636A54"/>
    <w:rsid w:val="2FA00DAE"/>
    <w:rsid w:val="30081603"/>
    <w:rsid w:val="30420830"/>
    <w:rsid w:val="309C224F"/>
    <w:rsid w:val="31190489"/>
    <w:rsid w:val="311C3987"/>
    <w:rsid w:val="31232963"/>
    <w:rsid w:val="315857B1"/>
    <w:rsid w:val="31AB6658"/>
    <w:rsid w:val="31BC3F1B"/>
    <w:rsid w:val="31C37B9C"/>
    <w:rsid w:val="32137CF0"/>
    <w:rsid w:val="321E50BD"/>
    <w:rsid w:val="32224344"/>
    <w:rsid w:val="32340C69"/>
    <w:rsid w:val="32363F32"/>
    <w:rsid w:val="32471F5A"/>
    <w:rsid w:val="3253078F"/>
    <w:rsid w:val="325E3A96"/>
    <w:rsid w:val="32B7356F"/>
    <w:rsid w:val="330C088A"/>
    <w:rsid w:val="330D0F43"/>
    <w:rsid w:val="331C4422"/>
    <w:rsid w:val="332A5E08"/>
    <w:rsid w:val="333E728C"/>
    <w:rsid w:val="334F202E"/>
    <w:rsid w:val="33A04007"/>
    <w:rsid w:val="33A60671"/>
    <w:rsid w:val="33AF4FB4"/>
    <w:rsid w:val="33CF2119"/>
    <w:rsid w:val="33DE4357"/>
    <w:rsid w:val="341D5AAB"/>
    <w:rsid w:val="342732F1"/>
    <w:rsid w:val="342B2E3E"/>
    <w:rsid w:val="3454463B"/>
    <w:rsid w:val="346B507B"/>
    <w:rsid w:val="347B293F"/>
    <w:rsid w:val="348C37FE"/>
    <w:rsid w:val="34AA4F73"/>
    <w:rsid w:val="34F52FDD"/>
    <w:rsid w:val="352B6C5A"/>
    <w:rsid w:val="35520294"/>
    <w:rsid w:val="35637981"/>
    <w:rsid w:val="357A04F1"/>
    <w:rsid w:val="357C1D84"/>
    <w:rsid w:val="35887A53"/>
    <w:rsid w:val="35B4397E"/>
    <w:rsid w:val="36034EE1"/>
    <w:rsid w:val="36237D2D"/>
    <w:rsid w:val="363503EB"/>
    <w:rsid w:val="3647637B"/>
    <w:rsid w:val="367F686D"/>
    <w:rsid w:val="36A14C50"/>
    <w:rsid w:val="36B412F5"/>
    <w:rsid w:val="36CC7A6D"/>
    <w:rsid w:val="37076693"/>
    <w:rsid w:val="372B30FF"/>
    <w:rsid w:val="372F768E"/>
    <w:rsid w:val="375E41FD"/>
    <w:rsid w:val="3765223E"/>
    <w:rsid w:val="376A4278"/>
    <w:rsid w:val="377870B5"/>
    <w:rsid w:val="377D54A5"/>
    <w:rsid w:val="377D5E16"/>
    <w:rsid w:val="377E65D4"/>
    <w:rsid w:val="37872B44"/>
    <w:rsid w:val="379F77DA"/>
    <w:rsid w:val="37A7041E"/>
    <w:rsid w:val="37A80A27"/>
    <w:rsid w:val="37C914D9"/>
    <w:rsid w:val="37D63EC9"/>
    <w:rsid w:val="37F02038"/>
    <w:rsid w:val="3807109F"/>
    <w:rsid w:val="38280519"/>
    <w:rsid w:val="386D019E"/>
    <w:rsid w:val="38894B13"/>
    <w:rsid w:val="38A42A5B"/>
    <w:rsid w:val="38C10BFB"/>
    <w:rsid w:val="38DD791D"/>
    <w:rsid w:val="3920221B"/>
    <w:rsid w:val="39334BFF"/>
    <w:rsid w:val="393667C3"/>
    <w:rsid w:val="39457CAF"/>
    <w:rsid w:val="3948048E"/>
    <w:rsid w:val="39B565E1"/>
    <w:rsid w:val="39D4235F"/>
    <w:rsid w:val="39FD6163"/>
    <w:rsid w:val="3A257802"/>
    <w:rsid w:val="3A606A76"/>
    <w:rsid w:val="3A921749"/>
    <w:rsid w:val="3AA81B41"/>
    <w:rsid w:val="3B143086"/>
    <w:rsid w:val="3B1A2D8C"/>
    <w:rsid w:val="3B4042AB"/>
    <w:rsid w:val="3B66210B"/>
    <w:rsid w:val="3B814E71"/>
    <w:rsid w:val="3B972AF7"/>
    <w:rsid w:val="3BB62FA9"/>
    <w:rsid w:val="3BB70D15"/>
    <w:rsid w:val="3BBB09FC"/>
    <w:rsid w:val="3BC91BB9"/>
    <w:rsid w:val="3C120308"/>
    <w:rsid w:val="3C42650A"/>
    <w:rsid w:val="3C7034D2"/>
    <w:rsid w:val="3C762DF2"/>
    <w:rsid w:val="3C7D1D40"/>
    <w:rsid w:val="3C9B51F8"/>
    <w:rsid w:val="3CDD0DBD"/>
    <w:rsid w:val="3D101034"/>
    <w:rsid w:val="3D544EBB"/>
    <w:rsid w:val="3D9814F2"/>
    <w:rsid w:val="3DE32AFA"/>
    <w:rsid w:val="3E136ED4"/>
    <w:rsid w:val="3E2726B6"/>
    <w:rsid w:val="3E8A1A02"/>
    <w:rsid w:val="3E8E765E"/>
    <w:rsid w:val="3EA36C92"/>
    <w:rsid w:val="3EA9393D"/>
    <w:rsid w:val="3EAD0498"/>
    <w:rsid w:val="3EC42675"/>
    <w:rsid w:val="3EC56D78"/>
    <w:rsid w:val="3EC7715A"/>
    <w:rsid w:val="3ED16A4F"/>
    <w:rsid w:val="3ED17EBE"/>
    <w:rsid w:val="3EDC543E"/>
    <w:rsid w:val="3EED5016"/>
    <w:rsid w:val="3EF52FF7"/>
    <w:rsid w:val="3EF75B65"/>
    <w:rsid w:val="3EFB570C"/>
    <w:rsid w:val="3F2B7413"/>
    <w:rsid w:val="3F5871FB"/>
    <w:rsid w:val="3F8E35DC"/>
    <w:rsid w:val="3F8F5DC2"/>
    <w:rsid w:val="3FA46F4F"/>
    <w:rsid w:val="3FB00475"/>
    <w:rsid w:val="3FBF5991"/>
    <w:rsid w:val="3FE10717"/>
    <w:rsid w:val="40023F34"/>
    <w:rsid w:val="40090025"/>
    <w:rsid w:val="40181902"/>
    <w:rsid w:val="402F5A4D"/>
    <w:rsid w:val="40411288"/>
    <w:rsid w:val="404742BD"/>
    <w:rsid w:val="40600DD5"/>
    <w:rsid w:val="40660F91"/>
    <w:rsid w:val="407D57C8"/>
    <w:rsid w:val="40A51936"/>
    <w:rsid w:val="40B26892"/>
    <w:rsid w:val="40E21CB8"/>
    <w:rsid w:val="410F31C3"/>
    <w:rsid w:val="4112553B"/>
    <w:rsid w:val="41344AAB"/>
    <w:rsid w:val="41550C30"/>
    <w:rsid w:val="41875FCE"/>
    <w:rsid w:val="4190424D"/>
    <w:rsid w:val="41BA6E78"/>
    <w:rsid w:val="41F6399A"/>
    <w:rsid w:val="41F94DC7"/>
    <w:rsid w:val="41FA3A29"/>
    <w:rsid w:val="42137C42"/>
    <w:rsid w:val="422E57D7"/>
    <w:rsid w:val="42555DF7"/>
    <w:rsid w:val="42A27001"/>
    <w:rsid w:val="42C507A4"/>
    <w:rsid w:val="42F07508"/>
    <w:rsid w:val="43270B23"/>
    <w:rsid w:val="43366434"/>
    <w:rsid w:val="434A0913"/>
    <w:rsid w:val="436A64E9"/>
    <w:rsid w:val="43711057"/>
    <w:rsid w:val="439C4F5E"/>
    <w:rsid w:val="43E630D7"/>
    <w:rsid w:val="43EF2D9F"/>
    <w:rsid w:val="43F02783"/>
    <w:rsid w:val="44656E26"/>
    <w:rsid w:val="44786783"/>
    <w:rsid w:val="449457D3"/>
    <w:rsid w:val="44A25A9F"/>
    <w:rsid w:val="44A61055"/>
    <w:rsid w:val="44BE5C95"/>
    <w:rsid w:val="44DD6EB7"/>
    <w:rsid w:val="44E01145"/>
    <w:rsid w:val="450018DF"/>
    <w:rsid w:val="450F2BC2"/>
    <w:rsid w:val="451D2C75"/>
    <w:rsid w:val="454746DD"/>
    <w:rsid w:val="455367B2"/>
    <w:rsid w:val="45555732"/>
    <w:rsid w:val="455F10D7"/>
    <w:rsid w:val="456355DA"/>
    <w:rsid w:val="45741675"/>
    <w:rsid w:val="459C4648"/>
    <w:rsid w:val="45A02EDD"/>
    <w:rsid w:val="45E61BCA"/>
    <w:rsid w:val="463567D7"/>
    <w:rsid w:val="4638018C"/>
    <w:rsid w:val="46416C3D"/>
    <w:rsid w:val="46433285"/>
    <w:rsid w:val="46526D41"/>
    <w:rsid w:val="46584865"/>
    <w:rsid w:val="46681B67"/>
    <w:rsid w:val="468200E4"/>
    <w:rsid w:val="46903F4D"/>
    <w:rsid w:val="469815BE"/>
    <w:rsid w:val="46A14FC5"/>
    <w:rsid w:val="46B27CB1"/>
    <w:rsid w:val="46D34E98"/>
    <w:rsid w:val="47001117"/>
    <w:rsid w:val="47246805"/>
    <w:rsid w:val="47492E75"/>
    <w:rsid w:val="474F7F9F"/>
    <w:rsid w:val="475F3AC1"/>
    <w:rsid w:val="479A2ED2"/>
    <w:rsid w:val="47B328B4"/>
    <w:rsid w:val="47C13542"/>
    <w:rsid w:val="48113D01"/>
    <w:rsid w:val="484C7B11"/>
    <w:rsid w:val="485E0A04"/>
    <w:rsid w:val="48740F1D"/>
    <w:rsid w:val="48761BE3"/>
    <w:rsid w:val="489E0EB1"/>
    <w:rsid w:val="48A4548A"/>
    <w:rsid w:val="48A57E1F"/>
    <w:rsid w:val="48B50D92"/>
    <w:rsid w:val="48DE3BBF"/>
    <w:rsid w:val="48E77164"/>
    <w:rsid w:val="491D19DF"/>
    <w:rsid w:val="49304CB2"/>
    <w:rsid w:val="496F6EBE"/>
    <w:rsid w:val="49814F4C"/>
    <w:rsid w:val="49A364F7"/>
    <w:rsid w:val="49B42429"/>
    <w:rsid w:val="49C4569B"/>
    <w:rsid w:val="4A074043"/>
    <w:rsid w:val="4A090DC7"/>
    <w:rsid w:val="4A091441"/>
    <w:rsid w:val="4A14567E"/>
    <w:rsid w:val="4A1E6180"/>
    <w:rsid w:val="4A2308FE"/>
    <w:rsid w:val="4A287AB1"/>
    <w:rsid w:val="4A5133EE"/>
    <w:rsid w:val="4A915C19"/>
    <w:rsid w:val="4A955A49"/>
    <w:rsid w:val="4A9C5501"/>
    <w:rsid w:val="4AD80F53"/>
    <w:rsid w:val="4B2C75A6"/>
    <w:rsid w:val="4B2F25FD"/>
    <w:rsid w:val="4BB15678"/>
    <w:rsid w:val="4BB76960"/>
    <w:rsid w:val="4BD03593"/>
    <w:rsid w:val="4BD63363"/>
    <w:rsid w:val="4BD87666"/>
    <w:rsid w:val="4BE6691C"/>
    <w:rsid w:val="4BF467F9"/>
    <w:rsid w:val="4BF83E44"/>
    <w:rsid w:val="4C276C17"/>
    <w:rsid w:val="4C7C0669"/>
    <w:rsid w:val="4C850277"/>
    <w:rsid w:val="4C9904F2"/>
    <w:rsid w:val="4D2572CD"/>
    <w:rsid w:val="4D354FF0"/>
    <w:rsid w:val="4D4C32B8"/>
    <w:rsid w:val="4DBB048A"/>
    <w:rsid w:val="4DE07DE4"/>
    <w:rsid w:val="4E0260FB"/>
    <w:rsid w:val="4E0D5D14"/>
    <w:rsid w:val="4E2F45C0"/>
    <w:rsid w:val="4E363F2F"/>
    <w:rsid w:val="4EA42281"/>
    <w:rsid w:val="4EA546F0"/>
    <w:rsid w:val="4EAF3AED"/>
    <w:rsid w:val="4EB0019E"/>
    <w:rsid w:val="4ECB1385"/>
    <w:rsid w:val="4ED32851"/>
    <w:rsid w:val="4ED35762"/>
    <w:rsid w:val="4EF5014E"/>
    <w:rsid w:val="4EFA3C4E"/>
    <w:rsid w:val="4F235A8E"/>
    <w:rsid w:val="4F26262A"/>
    <w:rsid w:val="4F33554E"/>
    <w:rsid w:val="4F612BE4"/>
    <w:rsid w:val="4F6461D6"/>
    <w:rsid w:val="4F7B292B"/>
    <w:rsid w:val="4F9E59ED"/>
    <w:rsid w:val="4FDC58FD"/>
    <w:rsid w:val="4FDE1C0C"/>
    <w:rsid w:val="4FE54A2D"/>
    <w:rsid w:val="50202BC7"/>
    <w:rsid w:val="50216FE4"/>
    <w:rsid w:val="50390407"/>
    <w:rsid w:val="50614DD7"/>
    <w:rsid w:val="506B628A"/>
    <w:rsid w:val="50787CFE"/>
    <w:rsid w:val="50AE1AE4"/>
    <w:rsid w:val="50E0683B"/>
    <w:rsid w:val="50FE2631"/>
    <w:rsid w:val="51151D83"/>
    <w:rsid w:val="51167E7F"/>
    <w:rsid w:val="51390032"/>
    <w:rsid w:val="515426DE"/>
    <w:rsid w:val="515C74D2"/>
    <w:rsid w:val="51652C0F"/>
    <w:rsid w:val="518D4538"/>
    <w:rsid w:val="51960DFD"/>
    <w:rsid w:val="51BB2BF3"/>
    <w:rsid w:val="51FD0367"/>
    <w:rsid w:val="52377D55"/>
    <w:rsid w:val="525F7483"/>
    <w:rsid w:val="52862351"/>
    <w:rsid w:val="52984624"/>
    <w:rsid w:val="52D762D7"/>
    <w:rsid w:val="52F10B24"/>
    <w:rsid w:val="534A2585"/>
    <w:rsid w:val="53921453"/>
    <w:rsid w:val="539D3FE2"/>
    <w:rsid w:val="53A03056"/>
    <w:rsid w:val="53A31787"/>
    <w:rsid w:val="53D7503B"/>
    <w:rsid w:val="53E637C7"/>
    <w:rsid w:val="53E8647E"/>
    <w:rsid w:val="53F45929"/>
    <w:rsid w:val="53FC0907"/>
    <w:rsid w:val="5468198B"/>
    <w:rsid w:val="54951AB4"/>
    <w:rsid w:val="549A0B06"/>
    <w:rsid w:val="54A655A6"/>
    <w:rsid w:val="54D53B13"/>
    <w:rsid w:val="54EB74E4"/>
    <w:rsid w:val="55284AD7"/>
    <w:rsid w:val="5530324E"/>
    <w:rsid w:val="55457E29"/>
    <w:rsid w:val="555B0657"/>
    <w:rsid w:val="556032BE"/>
    <w:rsid w:val="55B86023"/>
    <w:rsid w:val="55C151DC"/>
    <w:rsid w:val="55E556DC"/>
    <w:rsid w:val="55FF3036"/>
    <w:rsid w:val="56213505"/>
    <w:rsid w:val="56292705"/>
    <w:rsid w:val="5632227A"/>
    <w:rsid w:val="564E3203"/>
    <w:rsid w:val="568C03E5"/>
    <w:rsid w:val="56E60496"/>
    <w:rsid w:val="57374E0B"/>
    <w:rsid w:val="57444728"/>
    <w:rsid w:val="575B090B"/>
    <w:rsid w:val="577439B5"/>
    <w:rsid w:val="57926FF9"/>
    <w:rsid w:val="57E6509B"/>
    <w:rsid w:val="57E738F8"/>
    <w:rsid w:val="57EB5B27"/>
    <w:rsid w:val="57EC2D60"/>
    <w:rsid w:val="58263426"/>
    <w:rsid w:val="583C0E12"/>
    <w:rsid w:val="58A14304"/>
    <w:rsid w:val="58A3772F"/>
    <w:rsid w:val="58CC5EFE"/>
    <w:rsid w:val="58E3487B"/>
    <w:rsid w:val="58FB3B6A"/>
    <w:rsid w:val="59026288"/>
    <w:rsid w:val="590668BB"/>
    <w:rsid w:val="59205FDE"/>
    <w:rsid w:val="59336ED5"/>
    <w:rsid w:val="59393A95"/>
    <w:rsid w:val="59432CA0"/>
    <w:rsid w:val="594A3241"/>
    <w:rsid w:val="594D3E46"/>
    <w:rsid w:val="595C3DA0"/>
    <w:rsid w:val="595E62F2"/>
    <w:rsid w:val="59693F87"/>
    <w:rsid w:val="59B42F07"/>
    <w:rsid w:val="59BB77BA"/>
    <w:rsid w:val="5A2C4220"/>
    <w:rsid w:val="5A316507"/>
    <w:rsid w:val="5A497C34"/>
    <w:rsid w:val="5A4C0E52"/>
    <w:rsid w:val="5A7B33E5"/>
    <w:rsid w:val="5A8C664D"/>
    <w:rsid w:val="5ABD43B1"/>
    <w:rsid w:val="5AC20EBF"/>
    <w:rsid w:val="5ACD5B73"/>
    <w:rsid w:val="5ADF42CD"/>
    <w:rsid w:val="5B050809"/>
    <w:rsid w:val="5B366061"/>
    <w:rsid w:val="5B3846E5"/>
    <w:rsid w:val="5B5C5E93"/>
    <w:rsid w:val="5B5E3394"/>
    <w:rsid w:val="5B74024A"/>
    <w:rsid w:val="5B792560"/>
    <w:rsid w:val="5B9D0E06"/>
    <w:rsid w:val="5BA172F8"/>
    <w:rsid w:val="5BB151A5"/>
    <w:rsid w:val="5BB6027C"/>
    <w:rsid w:val="5BBB47C2"/>
    <w:rsid w:val="5BF62976"/>
    <w:rsid w:val="5C16597D"/>
    <w:rsid w:val="5C707C6C"/>
    <w:rsid w:val="5C8E0CD7"/>
    <w:rsid w:val="5C9E2C36"/>
    <w:rsid w:val="5CBB2347"/>
    <w:rsid w:val="5CC6320E"/>
    <w:rsid w:val="5CC76C7C"/>
    <w:rsid w:val="5CF36024"/>
    <w:rsid w:val="5CFF01AA"/>
    <w:rsid w:val="5D1344DD"/>
    <w:rsid w:val="5D7754B7"/>
    <w:rsid w:val="5D7B6EDD"/>
    <w:rsid w:val="5D806796"/>
    <w:rsid w:val="5D827D40"/>
    <w:rsid w:val="5DC43C07"/>
    <w:rsid w:val="5DCA3A55"/>
    <w:rsid w:val="5DCD3255"/>
    <w:rsid w:val="5E1A55FD"/>
    <w:rsid w:val="5E33770D"/>
    <w:rsid w:val="5E532ADD"/>
    <w:rsid w:val="5E610B28"/>
    <w:rsid w:val="5E66579C"/>
    <w:rsid w:val="5E91320F"/>
    <w:rsid w:val="5E915A7A"/>
    <w:rsid w:val="5EA33A97"/>
    <w:rsid w:val="5ED134B6"/>
    <w:rsid w:val="5EF55DBA"/>
    <w:rsid w:val="5F6B1358"/>
    <w:rsid w:val="5FC51458"/>
    <w:rsid w:val="5FC866E5"/>
    <w:rsid w:val="5FDC13D8"/>
    <w:rsid w:val="60090629"/>
    <w:rsid w:val="60413F7F"/>
    <w:rsid w:val="60660F52"/>
    <w:rsid w:val="606A3C6B"/>
    <w:rsid w:val="609B5019"/>
    <w:rsid w:val="60B4769E"/>
    <w:rsid w:val="610242F6"/>
    <w:rsid w:val="6119401A"/>
    <w:rsid w:val="611D2CA6"/>
    <w:rsid w:val="61200642"/>
    <w:rsid w:val="61652DB1"/>
    <w:rsid w:val="61970BE7"/>
    <w:rsid w:val="61A20E5D"/>
    <w:rsid w:val="61F17268"/>
    <w:rsid w:val="620A3859"/>
    <w:rsid w:val="62204E0F"/>
    <w:rsid w:val="62207D5C"/>
    <w:rsid w:val="624063A3"/>
    <w:rsid w:val="62533606"/>
    <w:rsid w:val="62845968"/>
    <w:rsid w:val="62A86B6F"/>
    <w:rsid w:val="62B35B81"/>
    <w:rsid w:val="62B75EDD"/>
    <w:rsid w:val="62C01D55"/>
    <w:rsid w:val="62C92F2D"/>
    <w:rsid w:val="62D93169"/>
    <w:rsid w:val="631D5B18"/>
    <w:rsid w:val="631E201F"/>
    <w:rsid w:val="63320961"/>
    <w:rsid w:val="634E6C76"/>
    <w:rsid w:val="63577D60"/>
    <w:rsid w:val="636514C6"/>
    <w:rsid w:val="636F701B"/>
    <w:rsid w:val="6382662F"/>
    <w:rsid w:val="63C95202"/>
    <w:rsid w:val="63CB4107"/>
    <w:rsid w:val="63DB551D"/>
    <w:rsid w:val="64090834"/>
    <w:rsid w:val="64116EAE"/>
    <w:rsid w:val="64272A3B"/>
    <w:rsid w:val="6467063D"/>
    <w:rsid w:val="648F4A0E"/>
    <w:rsid w:val="64937E71"/>
    <w:rsid w:val="6495646A"/>
    <w:rsid w:val="64FA320D"/>
    <w:rsid w:val="65797FD4"/>
    <w:rsid w:val="65841ECB"/>
    <w:rsid w:val="658D5E16"/>
    <w:rsid w:val="65953363"/>
    <w:rsid w:val="65B841DE"/>
    <w:rsid w:val="65CA03C9"/>
    <w:rsid w:val="65E1661E"/>
    <w:rsid w:val="65E36C18"/>
    <w:rsid w:val="660918F9"/>
    <w:rsid w:val="663C1302"/>
    <w:rsid w:val="665F0112"/>
    <w:rsid w:val="669A5886"/>
    <w:rsid w:val="66BF54E4"/>
    <w:rsid w:val="67101119"/>
    <w:rsid w:val="67151BB5"/>
    <w:rsid w:val="671C67EA"/>
    <w:rsid w:val="67400D4D"/>
    <w:rsid w:val="677A414A"/>
    <w:rsid w:val="67C952B3"/>
    <w:rsid w:val="67DB4341"/>
    <w:rsid w:val="68720AE2"/>
    <w:rsid w:val="689554F5"/>
    <w:rsid w:val="68AA7215"/>
    <w:rsid w:val="68ED6911"/>
    <w:rsid w:val="6903642B"/>
    <w:rsid w:val="690F1870"/>
    <w:rsid w:val="692F5E27"/>
    <w:rsid w:val="69466675"/>
    <w:rsid w:val="698C2B7F"/>
    <w:rsid w:val="69AB5D7A"/>
    <w:rsid w:val="69F575F2"/>
    <w:rsid w:val="6A4C7335"/>
    <w:rsid w:val="6A531E39"/>
    <w:rsid w:val="6A545ADB"/>
    <w:rsid w:val="6A5D05BD"/>
    <w:rsid w:val="6A6B273C"/>
    <w:rsid w:val="6A703222"/>
    <w:rsid w:val="6AAA18E6"/>
    <w:rsid w:val="6AC938A9"/>
    <w:rsid w:val="6B2F05BC"/>
    <w:rsid w:val="6B435167"/>
    <w:rsid w:val="6BB237C9"/>
    <w:rsid w:val="6BDF1336"/>
    <w:rsid w:val="6C043713"/>
    <w:rsid w:val="6C3161F1"/>
    <w:rsid w:val="6C3745DF"/>
    <w:rsid w:val="6C3D4127"/>
    <w:rsid w:val="6C6253EB"/>
    <w:rsid w:val="6C666B72"/>
    <w:rsid w:val="6C8F3EF6"/>
    <w:rsid w:val="6CAD55CC"/>
    <w:rsid w:val="6CBE1616"/>
    <w:rsid w:val="6CC15F94"/>
    <w:rsid w:val="6CDA118A"/>
    <w:rsid w:val="6D0C01A9"/>
    <w:rsid w:val="6D493A0A"/>
    <w:rsid w:val="6D551BE3"/>
    <w:rsid w:val="6D8E2C9C"/>
    <w:rsid w:val="6DAD51A4"/>
    <w:rsid w:val="6E017D0E"/>
    <w:rsid w:val="6E053E0B"/>
    <w:rsid w:val="6E1E1DB6"/>
    <w:rsid w:val="6E3F4BAC"/>
    <w:rsid w:val="6E735A03"/>
    <w:rsid w:val="6E7D3005"/>
    <w:rsid w:val="6EA04E08"/>
    <w:rsid w:val="6EAA18F7"/>
    <w:rsid w:val="6ECF710B"/>
    <w:rsid w:val="6EEE5D94"/>
    <w:rsid w:val="6F050882"/>
    <w:rsid w:val="6F0B5A13"/>
    <w:rsid w:val="6F1579C7"/>
    <w:rsid w:val="6F62521C"/>
    <w:rsid w:val="6FC26F58"/>
    <w:rsid w:val="6FD761EC"/>
    <w:rsid w:val="6FE52312"/>
    <w:rsid w:val="6FF1085F"/>
    <w:rsid w:val="700F6510"/>
    <w:rsid w:val="70750A7A"/>
    <w:rsid w:val="70991D59"/>
    <w:rsid w:val="709A5C21"/>
    <w:rsid w:val="70C51917"/>
    <w:rsid w:val="70D02722"/>
    <w:rsid w:val="70F067F3"/>
    <w:rsid w:val="711A09D1"/>
    <w:rsid w:val="712F60DB"/>
    <w:rsid w:val="714B6CD7"/>
    <w:rsid w:val="71D8215F"/>
    <w:rsid w:val="71DF1D07"/>
    <w:rsid w:val="71FB7CB1"/>
    <w:rsid w:val="720D209A"/>
    <w:rsid w:val="7221044F"/>
    <w:rsid w:val="72252F84"/>
    <w:rsid w:val="723126FD"/>
    <w:rsid w:val="723E2E01"/>
    <w:rsid w:val="72404D8A"/>
    <w:rsid w:val="724C22E8"/>
    <w:rsid w:val="725F0F01"/>
    <w:rsid w:val="729D5E1F"/>
    <w:rsid w:val="72E72EAA"/>
    <w:rsid w:val="7331658B"/>
    <w:rsid w:val="733C6C97"/>
    <w:rsid w:val="734B4A4B"/>
    <w:rsid w:val="734C70B6"/>
    <w:rsid w:val="73560C2B"/>
    <w:rsid w:val="735E4E1D"/>
    <w:rsid w:val="7388314F"/>
    <w:rsid w:val="73CB394C"/>
    <w:rsid w:val="73D51780"/>
    <w:rsid w:val="73E34188"/>
    <w:rsid w:val="73E81CA3"/>
    <w:rsid w:val="73F006A6"/>
    <w:rsid w:val="73F022C4"/>
    <w:rsid w:val="73F63EFE"/>
    <w:rsid w:val="73FF26B3"/>
    <w:rsid w:val="74071758"/>
    <w:rsid w:val="741425AC"/>
    <w:rsid w:val="744D484E"/>
    <w:rsid w:val="7463178E"/>
    <w:rsid w:val="746371B3"/>
    <w:rsid w:val="747A43C9"/>
    <w:rsid w:val="7508529D"/>
    <w:rsid w:val="752C3218"/>
    <w:rsid w:val="75397634"/>
    <w:rsid w:val="75537CD8"/>
    <w:rsid w:val="75595BE3"/>
    <w:rsid w:val="757606EF"/>
    <w:rsid w:val="75844FC1"/>
    <w:rsid w:val="75EE069B"/>
    <w:rsid w:val="7615419A"/>
    <w:rsid w:val="76172D6A"/>
    <w:rsid w:val="761A409E"/>
    <w:rsid w:val="762F02D7"/>
    <w:rsid w:val="763D7340"/>
    <w:rsid w:val="767A6C09"/>
    <w:rsid w:val="76880BA0"/>
    <w:rsid w:val="76885BC7"/>
    <w:rsid w:val="768C19C1"/>
    <w:rsid w:val="768C2564"/>
    <w:rsid w:val="76991D18"/>
    <w:rsid w:val="76BA43D5"/>
    <w:rsid w:val="76BE21DC"/>
    <w:rsid w:val="76C1567F"/>
    <w:rsid w:val="76CD5B13"/>
    <w:rsid w:val="76DF3C76"/>
    <w:rsid w:val="76EB41A9"/>
    <w:rsid w:val="76F71295"/>
    <w:rsid w:val="76FC2CE2"/>
    <w:rsid w:val="7706359E"/>
    <w:rsid w:val="771A5653"/>
    <w:rsid w:val="771B5FB2"/>
    <w:rsid w:val="772A75AD"/>
    <w:rsid w:val="7734542F"/>
    <w:rsid w:val="774073C9"/>
    <w:rsid w:val="77460079"/>
    <w:rsid w:val="77567D26"/>
    <w:rsid w:val="775D2B17"/>
    <w:rsid w:val="7760235E"/>
    <w:rsid w:val="77C64121"/>
    <w:rsid w:val="77CD3C5D"/>
    <w:rsid w:val="77FD4667"/>
    <w:rsid w:val="781200C6"/>
    <w:rsid w:val="78150104"/>
    <w:rsid w:val="786B1829"/>
    <w:rsid w:val="78C7234E"/>
    <w:rsid w:val="791063B8"/>
    <w:rsid w:val="793E7F2E"/>
    <w:rsid w:val="796362D3"/>
    <w:rsid w:val="79827C27"/>
    <w:rsid w:val="798834D2"/>
    <w:rsid w:val="799B7D73"/>
    <w:rsid w:val="79B07BB3"/>
    <w:rsid w:val="79B7369F"/>
    <w:rsid w:val="79D510F0"/>
    <w:rsid w:val="79ED59B1"/>
    <w:rsid w:val="79F56CDC"/>
    <w:rsid w:val="7A032271"/>
    <w:rsid w:val="7A320BDB"/>
    <w:rsid w:val="7A491583"/>
    <w:rsid w:val="7A5B6EDF"/>
    <w:rsid w:val="7A5D2F7E"/>
    <w:rsid w:val="7A676444"/>
    <w:rsid w:val="7A72534A"/>
    <w:rsid w:val="7A832DB1"/>
    <w:rsid w:val="7A8F7D69"/>
    <w:rsid w:val="7A9C5FF5"/>
    <w:rsid w:val="7AA27F96"/>
    <w:rsid w:val="7AC2422A"/>
    <w:rsid w:val="7AD44A1D"/>
    <w:rsid w:val="7B045A0E"/>
    <w:rsid w:val="7B137629"/>
    <w:rsid w:val="7B1B29C2"/>
    <w:rsid w:val="7BA57F90"/>
    <w:rsid w:val="7BBC18FF"/>
    <w:rsid w:val="7C100290"/>
    <w:rsid w:val="7C151FE3"/>
    <w:rsid w:val="7C1D63E0"/>
    <w:rsid w:val="7C2925EF"/>
    <w:rsid w:val="7C463AF9"/>
    <w:rsid w:val="7C691C0E"/>
    <w:rsid w:val="7C7654E0"/>
    <w:rsid w:val="7C9D56FC"/>
    <w:rsid w:val="7C9E2AE3"/>
    <w:rsid w:val="7CA34E3A"/>
    <w:rsid w:val="7CDE5607"/>
    <w:rsid w:val="7D0D23F8"/>
    <w:rsid w:val="7D1819A4"/>
    <w:rsid w:val="7D57537E"/>
    <w:rsid w:val="7D79413D"/>
    <w:rsid w:val="7D872924"/>
    <w:rsid w:val="7D8F5F9C"/>
    <w:rsid w:val="7E180A37"/>
    <w:rsid w:val="7E252BD1"/>
    <w:rsid w:val="7E2D4483"/>
    <w:rsid w:val="7E327A3B"/>
    <w:rsid w:val="7E665892"/>
    <w:rsid w:val="7E782BA9"/>
    <w:rsid w:val="7E9213CC"/>
    <w:rsid w:val="7EA926FF"/>
    <w:rsid w:val="7EAA18EA"/>
    <w:rsid w:val="7EC93E9C"/>
    <w:rsid w:val="7EF33F65"/>
    <w:rsid w:val="7EFA1C61"/>
    <w:rsid w:val="7F0300DD"/>
    <w:rsid w:val="7F6C7183"/>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3">
    <w:name w:val="heading 1"/>
    <w:basedOn w:val="1"/>
    <w:next w:val="1"/>
    <w:link w:val="70"/>
    <w:qFormat/>
    <w:uiPriority w:val="0"/>
    <w:pPr>
      <w:outlineLvl w:val="0"/>
    </w:pPr>
  </w:style>
  <w:style w:type="paragraph" w:styleId="2">
    <w:name w:val="heading 2"/>
    <w:basedOn w:val="1"/>
    <w:next w:val="1"/>
    <w:qFormat/>
    <w:uiPriority w:val="0"/>
    <w:pPr>
      <w:outlineLvl w:val="1"/>
    </w:pPr>
    <w:rPr>
      <w:rFonts w:hAnsi="宋体"/>
      <w:b/>
    </w:rPr>
  </w:style>
  <w:style w:type="paragraph" w:styleId="4">
    <w:name w:val="heading 3"/>
    <w:basedOn w:val="1"/>
    <w:next w:val="5"/>
    <w:qFormat/>
    <w:uiPriority w:val="0"/>
    <w:pPr>
      <w:outlineLvl w:val="2"/>
    </w:p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8">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9">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0">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1">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76"/>
    <w:qFormat/>
    <w:uiPriority w:val="0"/>
    <w:pPr>
      <w:widowControl/>
      <w:autoSpaceDE/>
      <w:autoSpaceDN/>
      <w:adjustRightInd/>
      <w:ind w:firstLine="420" w:firstLineChars="200"/>
    </w:pPr>
    <w:rPr>
      <w:rFonts w:ascii="Calibri"/>
      <w:sz w:val="20"/>
      <w:szCs w:val="20"/>
    </w:rPr>
  </w:style>
  <w:style w:type="paragraph" w:styleId="12">
    <w:name w:val="toc 7"/>
    <w:basedOn w:val="1"/>
    <w:next w:val="1"/>
    <w:qFormat/>
    <w:uiPriority w:val="0"/>
    <w:pPr>
      <w:ind w:left="1440"/>
    </w:pPr>
    <w:rPr>
      <w:rFonts w:ascii="Calibri" w:cs="Calibri"/>
      <w:sz w:val="18"/>
      <w:szCs w:val="18"/>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List Bullet"/>
    <w:basedOn w:val="15"/>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5">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18">
    <w:name w:val="annotation text"/>
    <w:basedOn w:val="1"/>
    <w:link w:val="183"/>
    <w:qFormat/>
    <w:uiPriority w:val="0"/>
    <w:pPr>
      <w:widowControl/>
      <w:autoSpaceDE/>
      <w:autoSpaceDN/>
      <w:adjustRightInd/>
    </w:pPr>
    <w:rPr>
      <w:rFonts w:ascii="Times New Roman"/>
      <w:sz w:val="21"/>
      <w:szCs w:val="20"/>
    </w:rPr>
  </w:style>
  <w:style w:type="paragraph" w:styleId="19">
    <w:name w:val="Body Text 3"/>
    <w:basedOn w:val="1"/>
    <w:qFormat/>
    <w:uiPriority w:val="0"/>
    <w:pPr>
      <w:ind w:right="-26"/>
      <w:jc w:val="center"/>
    </w:pPr>
    <w:rPr>
      <w:b/>
      <w:bCs/>
      <w:color w:val="3366FF"/>
      <w:kern w:val="2"/>
      <w:sz w:val="52"/>
      <w:szCs w:val="52"/>
      <w:lang w:val="zh-CN"/>
    </w:rPr>
  </w:style>
  <w:style w:type="paragraph" w:styleId="20">
    <w:name w:val="Body Text"/>
    <w:basedOn w:val="1"/>
    <w:next w:val="21"/>
    <w:link w:val="81"/>
    <w:qFormat/>
    <w:uiPriority w:val="0"/>
    <w:pPr>
      <w:ind w:right="-26"/>
      <w:jc w:val="center"/>
    </w:pPr>
    <w:rPr>
      <w:rFonts w:hAnsi="Times New Roman"/>
      <w:b/>
      <w:bCs/>
      <w:kern w:val="2"/>
      <w:sz w:val="84"/>
      <w:szCs w:val="84"/>
      <w:lang w:val="zh-CN"/>
    </w:rPr>
  </w:style>
  <w:style w:type="paragraph" w:styleId="21">
    <w:name w:val="Body Text First Indent"/>
    <w:basedOn w:val="20"/>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22">
    <w:name w:val="Body Text Indent"/>
    <w:basedOn w:val="1"/>
    <w:qFormat/>
    <w:uiPriority w:val="0"/>
    <w:pPr>
      <w:autoSpaceDE/>
      <w:autoSpaceDN/>
      <w:adjustRightInd/>
      <w:ind w:left="567" w:leftChars="270"/>
      <w:jc w:val="both"/>
    </w:pPr>
    <w:rPr>
      <w:rFonts w:ascii="Times New Roman"/>
      <w:kern w:val="2"/>
      <w:sz w:val="21"/>
      <w:szCs w:val="20"/>
    </w:rPr>
  </w:style>
  <w:style w:type="paragraph" w:styleId="23">
    <w:name w:val="List Number 3"/>
    <w:basedOn w:val="1"/>
    <w:qFormat/>
    <w:uiPriority w:val="0"/>
    <w:pPr>
      <w:numPr>
        <w:ilvl w:val="0"/>
        <w:numId w:val="3"/>
      </w:numPr>
    </w:pPr>
  </w:style>
  <w:style w:type="paragraph" w:styleId="24">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5">
    <w:name w:val="Block Text"/>
    <w:basedOn w:val="1"/>
    <w:qFormat/>
    <w:uiPriority w:val="0"/>
    <w:pPr>
      <w:spacing w:after="120"/>
      <w:ind w:left="1440" w:leftChars="700" w:right="1440" w:rightChars="700"/>
    </w:pPr>
  </w:style>
  <w:style w:type="paragraph" w:styleId="26">
    <w:name w:val="toc 5"/>
    <w:basedOn w:val="1"/>
    <w:next w:val="1"/>
    <w:qFormat/>
    <w:uiPriority w:val="0"/>
    <w:pPr>
      <w:ind w:left="960"/>
    </w:pPr>
    <w:rPr>
      <w:rFonts w:ascii="Calibri" w:cs="Calibri"/>
      <w:sz w:val="18"/>
      <w:szCs w:val="18"/>
    </w:rPr>
  </w:style>
  <w:style w:type="paragraph" w:styleId="27">
    <w:name w:val="toc 3"/>
    <w:basedOn w:val="1"/>
    <w:next w:val="1"/>
    <w:qFormat/>
    <w:uiPriority w:val="0"/>
    <w:pPr>
      <w:ind w:left="480"/>
    </w:pPr>
    <w:rPr>
      <w:rFonts w:ascii="Calibri" w:cs="Calibri"/>
      <w:i/>
      <w:iCs/>
      <w:sz w:val="20"/>
      <w:szCs w:val="20"/>
    </w:rPr>
  </w:style>
  <w:style w:type="paragraph" w:styleId="28">
    <w:name w:val="Plain Text"/>
    <w:basedOn w:val="1"/>
    <w:next w:val="1"/>
    <w:link w:val="77"/>
    <w:qFormat/>
    <w:uiPriority w:val="0"/>
    <w:pPr>
      <w:autoSpaceDE/>
      <w:autoSpaceDN/>
      <w:adjustRightInd/>
      <w:jc w:val="both"/>
    </w:pPr>
    <w:rPr>
      <w:rFonts w:hAnsi="Courier New"/>
      <w:kern w:val="2"/>
      <w:sz w:val="21"/>
      <w:szCs w:val="20"/>
    </w:rPr>
  </w:style>
  <w:style w:type="paragraph" w:styleId="29">
    <w:name w:val="toc 8"/>
    <w:basedOn w:val="1"/>
    <w:next w:val="1"/>
    <w:qFormat/>
    <w:uiPriority w:val="0"/>
    <w:pPr>
      <w:ind w:left="1680"/>
    </w:pPr>
    <w:rPr>
      <w:rFonts w:ascii="Calibri" w:cs="Calibri"/>
      <w:sz w:val="18"/>
      <w:szCs w:val="18"/>
    </w:rPr>
  </w:style>
  <w:style w:type="paragraph" w:styleId="30">
    <w:name w:val="Date"/>
    <w:basedOn w:val="1"/>
    <w:next w:val="1"/>
    <w:qFormat/>
    <w:uiPriority w:val="0"/>
    <w:pPr>
      <w:ind w:left="100" w:leftChars="2500"/>
    </w:pPr>
    <w:rPr>
      <w:b/>
      <w:bCs/>
      <w:kern w:val="2"/>
      <w:sz w:val="21"/>
      <w:szCs w:val="21"/>
      <w:lang w:val="zh-CN"/>
    </w:rPr>
  </w:style>
  <w:style w:type="paragraph" w:styleId="31">
    <w:name w:val="Body Text Indent 2"/>
    <w:basedOn w:val="1"/>
    <w:qFormat/>
    <w:uiPriority w:val="0"/>
    <w:pPr>
      <w:tabs>
        <w:tab w:val="left" w:pos="8640"/>
      </w:tabs>
      <w:autoSpaceDE/>
      <w:autoSpaceDN/>
      <w:adjustRightInd/>
      <w:ind w:left="1260"/>
      <w:jc w:val="both"/>
    </w:pPr>
    <w:rPr>
      <w:kern w:val="2"/>
      <w:sz w:val="21"/>
      <w:szCs w:val="20"/>
    </w:rPr>
  </w:style>
  <w:style w:type="paragraph" w:styleId="32">
    <w:name w:val="Balloon Text"/>
    <w:basedOn w:val="1"/>
    <w:qFormat/>
    <w:uiPriority w:val="0"/>
    <w:pPr>
      <w:autoSpaceDE/>
      <w:autoSpaceDN/>
      <w:adjustRightInd/>
      <w:jc w:val="both"/>
    </w:pPr>
    <w:rPr>
      <w:rFonts w:ascii="Times New Roman"/>
      <w:kern w:val="2"/>
      <w:sz w:val="18"/>
      <w:szCs w:val="18"/>
    </w:rPr>
  </w:style>
  <w:style w:type="paragraph" w:styleId="33">
    <w:name w:val="footer"/>
    <w:basedOn w:val="1"/>
    <w:link w:val="90"/>
    <w:qFormat/>
    <w:uiPriority w:val="0"/>
    <w:pPr>
      <w:tabs>
        <w:tab w:val="center" w:pos="4153"/>
        <w:tab w:val="right" w:pos="8306"/>
      </w:tabs>
      <w:snapToGrid w:val="0"/>
    </w:pPr>
    <w:rPr>
      <w:rFonts w:hAnsi="Times New Roman"/>
      <w:sz w:val="18"/>
      <w:szCs w:val="18"/>
    </w:rPr>
  </w:style>
  <w:style w:type="paragraph" w:styleId="34">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spacing w:before="120" w:after="120"/>
    </w:pPr>
    <w:rPr>
      <w:rFonts w:ascii="Calibri" w:cs="Calibri"/>
      <w:b/>
      <w:bCs/>
      <w:caps/>
      <w:sz w:val="20"/>
      <w:szCs w:val="20"/>
    </w:rPr>
  </w:style>
  <w:style w:type="paragraph" w:styleId="36">
    <w:name w:val="toc 4"/>
    <w:basedOn w:val="1"/>
    <w:next w:val="1"/>
    <w:qFormat/>
    <w:uiPriority w:val="0"/>
    <w:pPr>
      <w:ind w:left="720"/>
    </w:pPr>
    <w:rPr>
      <w:rFonts w:ascii="Calibri" w:cs="Calibri"/>
      <w:sz w:val="18"/>
      <w:szCs w:val="18"/>
    </w:rPr>
  </w:style>
  <w:style w:type="paragraph" w:styleId="37">
    <w:name w:val="index heading"/>
    <w:basedOn w:val="1"/>
    <w:next w:val="38"/>
    <w:qFormat/>
    <w:uiPriority w:val="0"/>
    <w:pPr>
      <w:autoSpaceDE/>
      <w:autoSpaceDN/>
      <w:adjustRightInd/>
      <w:jc w:val="both"/>
    </w:pPr>
    <w:rPr>
      <w:rFonts w:ascii="Times New Roman"/>
      <w:kern w:val="2"/>
      <w:sz w:val="21"/>
      <w:szCs w:val="20"/>
    </w:rPr>
  </w:style>
  <w:style w:type="paragraph" w:styleId="38">
    <w:name w:val="index 1"/>
    <w:basedOn w:val="1"/>
    <w:next w:val="1"/>
    <w:qFormat/>
    <w:uiPriority w:val="0"/>
    <w:pPr>
      <w:autoSpaceDE/>
      <w:autoSpaceDN/>
      <w:adjustRightInd/>
      <w:ind w:left="540" w:leftChars="257"/>
      <w:jc w:val="both"/>
    </w:pPr>
    <w:rPr>
      <w:rFonts w:ascii="Arial" w:hAnsi="Arial" w:cs="Arial"/>
      <w:kern w:val="2"/>
      <w:sz w:val="21"/>
    </w:rPr>
  </w:style>
  <w:style w:type="paragraph" w:styleId="39">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0">
    <w:name w:val="toc 6"/>
    <w:basedOn w:val="1"/>
    <w:next w:val="1"/>
    <w:qFormat/>
    <w:uiPriority w:val="0"/>
    <w:pPr>
      <w:ind w:left="1200"/>
    </w:pPr>
    <w:rPr>
      <w:rFonts w:ascii="Calibri" w:cs="Calibri"/>
      <w:sz w:val="18"/>
      <w:szCs w:val="18"/>
    </w:rPr>
  </w:style>
  <w:style w:type="paragraph" w:styleId="41">
    <w:name w:val="Body Text Indent 3"/>
    <w:basedOn w:val="1"/>
    <w:qFormat/>
    <w:uiPriority w:val="0"/>
    <w:pPr>
      <w:spacing w:line="360" w:lineRule="auto"/>
      <w:ind w:firstLine="480" w:firstLineChars="200"/>
    </w:pPr>
  </w:style>
  <w:style w:type="paragraph" w:styleId="42">
    <w:name w:val="toc 2"/>
    <w:basedOn w:val="1"/>
    <w:next w:val="1"/>
    <w:qFormat/>
    <w:uiPriority w:val="0"/>
    <w:pPr>
      <w:ind w:left="240"/>
    </w:pPr>
    <w:rPr>
      <w:rFonts w:ascii="Calibri" w:cs="Calibri"/>
      <w:smallCaps/>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18"/>
    <w:next w:val="18"/>
    <w:qFormat/>
    <w:uiPriority w:val="0"/>
    <w:rPr>
      <w:b/>
      <w:bCs/>
    </w:rPr>
  </w:style>
  <w:style w:type="paragraph" w:styleId="50">
    <w:name w:val="Body Text First Indent 2"/>
    <w:basedOn w:val="22"/>
    <w:semiHidden/>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333333"/>
      <w:u w:val="none"/>
    </w:rPr>
  </w:style>
  <w:style w:type="character" w:styleId="57">
    <w:name w:val="Emphasis"/>
    <w:qFormat/>
    <w:uiPriority w:val="0"/>
    <w:rPr>
      <w:i/>
      <w:iCs/>
    </w:rPr>
  </w:style>
  <w:style w:type="character" w:styleId="58">
    <w:name w:val="Hyperlink"/>
    <w:qFormat/>
    <w:uiPriority w:val="0"/>
    <w:rPr>
      <w:color w:val="333333"/>
      <w:u w:val="none"/>
    </w:rPr>
  </w:style>
  <w:style w:type="character" w:styleId="59">
    <w:name w:val="annotation reference"/>
    <w:basedOn w:val="53"/>
    <w:qFormat/>
    <w:uiPriority w:val="0"/>
    <w:rPr>
      <w:sz w:val="21"/>
      <w:szCs w:val="21"/>
    </w:rPr>
  </w:style>
  <w:style w:type="paragraph" w:customStyle="1" w:styleId="6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1">
    <w:name w:val="首行缩进"/>
    <w:basedOn w:val="1"/>
    <w:qFormat/>
    <w:uiPriority w:val="0"/>
    <w:pPr>
      <w:ind w:firstLine="480" w:firstLineChars="200"/>
    </w:pPr>
    <w:rPr>
      <w:lang w:val="zh-CN"/>
    </w:rPr>
  </w:style>
  <w:style w:type="paragraph" w:customStyle="1" w:styleId="62">
    <w:name w:val="表格文字"/>
    <w:basedOn w:val="1"/>
    <w:qFormat/>
    <w:uiPriority w:val="0"/>
    <w:pPr>
      <w:autoSpaceDE/>
      <w:autoSpaceDN/>
      <w:adjustRightInd/>
      <w:spacing w:before="25" w:after="25"/>
    </w:pPr>
    <w:rPr>
      <w:rFonts w:ascii="Times New Roman"/>
      <w:bCs/>
      <w:spacing w:val="10"/>
      <w:szCs w:val="20"/>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4"/>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Char"/>
    <w:link w:val="3"/>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3"/>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Char"/>
    <w:link w:val="5"/>
    <w:qFormat/>
    <w:uiPriority w:val="0"/>
    <w:rPr>
      <w:rFonts w:eastAsia="宋体"/>
      <w:lang w:val="en-US" w:eastAsia="zh-CN" w:bidi="ar-SA"/>
    </w:rPr>
  </w:style>
  <w:style w:type="character" w:customStyle="1" w:styleId="77">
    <w:name w:val="纯文本 Char"/>
    <w:link w:val="28"/>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Char"/>
    <w:link w:val="20"/>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Char"/>
    <w:link w:val="34"/>
    <w:qFormat/>
    <w:uiPriority w:val="0"/>
    <w:rPr>
      <w:rFonts w:ascii="宋体"/>
      <w:sz w:val="18"/>
      <w:szCs w:val="18"/>
    </w:rPr>
  </w:style>
  <w:style w:type="character" w:customStyle="1" w:styleId="87">
    <w:name w:val="HTML 预设格式 Char"/>
    <w:link w:val="46"/>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Char"/>
    <w:link w:val="39"/>
    <w:qFormat/>
    <w:uiPriority w:val="0"/>
    <w:rPr>
      <w:rFonts w:ascii="Arial" w:hAnsi="Arial"/>
      <w:b/>
      <w:kern w:val="28"/>
      <w:sz w:val="32"/>
    </w:rPr>
  </w:style>
  <w:style w:type="character" w:customStyle="1" w:styleId="90">
    <w:name w:val="页脚 Char"/>
    <w:link w:val="33"/>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3"/>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3"/>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2"/>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6"/>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2"/>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4"/>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styleId="119">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3"/>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39"/>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5"/>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3"/>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4"/>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3"/>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144">
    <w:name w:val="List Paragraph"/>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6"/>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3"/>
    <w:next w:val="13"/>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4"/>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8"/>
    <w:qFormat/>
    <w:uiPriority w:val="0"/>
    <w:pPr>
      <w:jc w:val="center"/>
    </w:pPr>
    <w:rPr>
      <w:rFonts w:hAnsi="Times New Roman"/>
      <w:b/>
    </w:rPr>
  </w:style>
  <w:style w:type="paragraph" w:customStyle="1" w:styleId="164">
    <w:name w:val="日期右"/>
    <w:basedOn w:val="30"/>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0"/>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3"/>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5"/>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character" w:customStyle="1" w:styleId="183">
    <w:name w:val="批注文字 Char"/>
    <w:basedOn w:val="53"/>
    <w:link w:val="18"/>
    <w:qFormat/>
    <w:uiPriority w:val="0"/>
    <w:rPr>
      <w:rFonts w:ascii="Times New Roman" w:hAnsi="Calibri" w:eastAsia="宋体" w:cs="宋体"/>
      <w:sz w:val="21"/>
    </w:rPr>
  </w:style>
  <w:style w:type="paragraph" w:customStyle="1" w:styleId="184">
    <w:name w:val="正文文本缩进 21"/>
    <w:basedOn w:val="1"/>
    <w:qFormat/>
    <w:uiPriority w:val="99"/>
    <w:pPr>
      <w:spacing w:line="480" w:lineRule="auto"/>
      <w:ind w:firstLine="540"/>
    </w:pPr>
    <w:rPr>
      <w:sz w:val="20"/>
      <w:szCs w:val="20"/>
    </w:rPr>
  </w:style>
  <w:style w:type="character" w:customStyle="1" w:styleId="185">
    <w:name w:val="正文缩进2格 Char"/>
    <w:qFormat/>
    <w:uiPriority w:val="0"/>
    <w:rPr>
      <w:rFonts w:ascii="Yu Mincho Light" w:hAnsi="Yu Mincho Light" w:eastAsia="Yu Mincho Light"/>
      <w:kern w:val="2"/>
      <w:sz w:val="31"/>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2964D8-9A3A-49AF-B822-63B544C46C04}">
  <ds:schemaRefs/>
</ds:datastoreItem>
</file>

<file path=docProps/app.xml><?xml version="1.0" encoding="utf-8"?>
<Properties xmlns="http://schemas.openxmlformats.org/officeDocument/2006/extended-properties" xmlns:vt="http://schemas.openxmlformats.org/officeDocument/2006/docPropsVTypes">
  <Template>Normal</Template>
  <Company>zgydgb</Company>
  <Pages>55</Pages>
  <Words>25187</Words>
  <Characters>26307</Characters>
  <Lines>205</Lines>
  <Paragraphs>57</Paragraphs>
  <TotalTime>1</TotalTime>
  <ScaleCrop>false</ScaleCrop>
  <LinksUpToDate>false</LinksUpToDate>
  <CharactersWithSpaces>27330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2020-08-24T02:29:00Z</dcterms:created>
  <dc:creator>lyy</dc:creator>
  <cp:lastModifiedBy>Yakult</cp:lastModifiedBy>
  <cp:lastPrinted>2020-07-10T09:47:00Z</cp:lastPrinted>
  <dcterms:modified xsi:type="dcterms:W3CDTF">2022-05-20T08:44:32Z</dcterms:modified>
  <dc:title>货物公开</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CDB358C964C8461D8DA32668E0FE0FAE</vt:lpwstr>
  </property>
</Properties>
</file>