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360" w:lineRule="auto"/>
        <w:ind w:right="-26"/>
        <w:jc w:val="center"/>
        <w:textAlignment w:val="bottom"/>
        <w:rPr>
          <w:rFonts w:hAnsi="宋体"/>
          <w:b/>
          <w:color w:val="auto"/>
          <w:sz w:val="72"/>
          <w:highlight w:val="none"/>
        </w:rPr>
      </w:pPr>
    </w:p>
    <w:p>
      <w:pPr>
        <w:pStyle w:val="21"/>
        <w:shd w:val="clear"/>
        <w:rPr>
          <w:color w:val="auto"/>
          <w:highlight w:val="none"/>
        </w:rPr>
      </w:pPr>
    </w:p>
    <w:p>
      <w:pPr>
        <w:widowControl/>
        <w:shd w:val="clear"/>
        <w:spacing w:line="360" w:lineRule="auto"/>
        <w:ind w:right="-26"/>
        <w:jc w:val="center"/>
        <w:textAlignment w:val="bottom"/>
        <w:rPr>
          <w:rFonts w:hAnsi="宋体"/>
          <w:b/>
          <w:color w:val="auto"/>
          <w:sz w:val="72"/>
          <w:highlight w:val="none"/>
        </w:rPr>
      </w:pPr>
    </w:p>
    <w:p>
      <w:pPr>
        <w:shd w:val="clea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4384"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项目名称：松山湖国际创新创业社区消防维保服务项目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 xml:space="preserve">项目编号：TTWY-23062 </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2096;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项目名称：松山湖国际创新创业社区消防维保服务项目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 xml:space="preserve">项目编号：TTWY-23062 </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63360"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7"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hd w:val="clear"/>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hd w:val="clear"/>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二〇二三年</w:t>
      </w:r>
      <w:r>
        <w:rPr>
          <w:rFonts w:hint="eastAsia" w:ascii="黑体" w:hAnsi="黑体" w:eastAsia="黑体" w:cs="黑体"/>
          <w:b/>
          <w:color w:val="auto"/>
          <w:sz w:val="32"/>
          <w:highlight w:val="none"/>
          <w:lang w:eastAsia="zh-CN"/>
        </w:rPr>
        <w:t>十二</w:t>
      </w:r>
      <w:r>
        <w:rPr>
          <w:rFonts w:hint="eastAsia" w:ascii="黑体" w:hAnsi="黑体" w:eastAsia="黑体" w:cs="黑体"/>
          <w:b/>
          <w:color w:val="auto"/>
          <w:sz w:val="32"/>
          <w:highlight w:val="none"/>
        </w:rPr>
        <w:t>月</w:t>
      </w:r>
    </w:p>
    <w:p>
      <w:pPr>
        <w:widowControl/>
        <w:shd w:val="clear"/>
        <w:spacing w:line="360" w:lineRule="auto"/>
        <w:ind w:right="-26" w:hanging="480"/>
        <w:jc w:val="center"/>
        <w:textAlignment w:val="bottom"/>
        <w:rPr>
          <w:rFonts w:ascii="黑体" w:hAnsi="黑体" w:eastAsia="黑体" w:cs="黑体"/>
          <w:b/>
          <w:color w:val="auto"/>
          <w:sz w:val="32"/>
          <w:highlight w:val="none"/>
        </w:rPr>
      </w:pPr>
    </w:p>
    <w:p>
      <w:pPr>
        <w:widowControl/>
        <w:shd w:val="clear"/>
        <w:spacing w:line="360" w:lineRule="auto"/>
        <w:ind w:right="-26" w:hanging="480"/>
        <w:jc w:val="center"/>
        <w:textAlignment w:val="bottom"/>
        <w:rPr>
          <w:rFonts w:ascii="黑体" w:hAnsi="黑体" w:eastAsia="黑体" w:cs="黑体"/>
          <w:b/>
          <w:color w:val="auto"/>
          <w:sz w:val="32"/>
          <w:highlight w:val="none"/>
        </w:rPr>
      </w:pPr>
    </w:p>
    <w:p>
      <w:pPr>
        <w:widowControl/>
        <w:shd w:val="clear"/>
        <w:spacing w:line="360" w:lineRule="auto"/>
        <w:ind w:right="-26" w:hanging="480"/>
        <w:jc w:val="center"/>
        <w:textAlignment w:val="bottom"/>
        <w:rPr>
          <w:rFonts w:ascii="黑体" w:hAnsi="黑体" w:eastAsia="黑体" w:cs="黑体"/>
          <w:b/>
          <w:color w:val="auto"/>
          <w:sz w:val="32"/>
          <w:highlight w:val="none"/>
        </w:rPr>
      </w:pPr>
    </w:p>
    <w:p>
      <w:pPr>
        <w:shd w:val="clea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Borders>
            <w:top w:val="none" w:sz="0" w:space="0"/>
            <w:left w:val="none" w:sz="0" w:space="0"/>
            <w:bottom w:val="none" w:sz="0" w:space="0"/>
            <w:right w:val="none" w:sz="0" w:space="0"/>
          </w:pgBorders>
          <w:pgNumType w:fmt="decimal" w:start="0"/>
          <w:cols w:space="720" w:num="1"/>
          <w:docGrid w:type="lines" w:linePitch="312" w:charSpace="0"/>
        </w:sectPr>
      </w:pPr>
      <w:bookmarkStart w:id="2" w:name="_Toc13507"/>
    </w:p>
    <w:bookmarkEnd w:id="2"/>
    <w:p>
      <w:pPr>
        <w:shd w:val="clea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shd w:val="clea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hd w:val="clear"/>
        <w:spacing w:line="360" w:lineRule="auto"/>
        <w:ind w:left="48" w:leftChars="20"/>
        <w:jc w:val="center"/>
        <w:rPr>
          <w:rFonts w:ascii="黑体" w:hAnsi="黑体" w:eastAsia="黑体" w:cs="黑体"/>
          <w:color w:val="auto"/>
          <w:sz w:val="32"/>
          <w:szCs w:val="32"/>
          <w:highlight w:val="none"/>
        </w:rPr>
      </w:pP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hd w:val="clea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pStyle w:val="13"/>
        <w:shd w:val="clear"/>
        <w:ind w:firstLine="643"/>
        <w:rPr>
          <w:rFonts w:hAnsi="宋体"/>
          <w:b/>
          <w:bCs/>
          <w:color w:val="auto"/>
          <w:sz w:val="32"/>
          <w:szCs w:val="32"/>
          <w:highlight w:val="none"/>
          <w:lang w:val="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shd w:val="clear"/>
        <w:rPr>
          <w:color w:val="auto"/>
          <w:highlight w:val="none"/>
        </w:rPr>
      </w:pPr>
    </w:p>
    <w:p>
      <w:pPr>
        <w:shd w:val="clea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hd w:val="clear"/>
            <w:spacing w:line="360" w:lineRule="auto"/>
            <w:jc w:val="both"/>
            <w:rPr>
              <w:b/>
              <w:bCs/>
              <w:color w:val="auto"/>
              <w:sz w:val="44"/>
              <w:szCs w:val="44"/>
              <w:highlight w:val="none"/>
            </w:rPr>
          </w:pPr>
        </w:p>
        <w:p>
          <w:pPr>
            <w:pStyle w:val="185"/>
            <w:shd w:val="clear"/>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4</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6</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18</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37</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43</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w:t>
          </w:r>
          <w:r>
            <w:rPr>
              <w:rFonts w:hint="eastAsia" w:hAnsi="宋体"/>
              <w:b/>
              <w:bCs/>
              <w:color w:val="auto"/>
              <w:kern w:val="44"/>
              <w:sz w:val="32"/>
              <w:szCs w:val="48"/>
              <w:highlight w:val="none"/>
            </w:rPr>
            <w:t xml:space="preserve"> </w:t>
          </w:r>
          <w:r>
            <w:rPr>
              <w:rFonts w:hint="eastAsia" w:hAnsi="宋体"/>
              <w:b/>
              <w:bCs/>
              <w:color w:val="auto"/>
              <w:kern w:val="44"/>
              <w:sz w:val="32"/>
              <w:szCs w:val="48"/>
              <w:highlight w:val="none"/>
              <w:lang w:val="zh-CN"/>
            </w:rPr>
            <w:t>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74</w:t>
          </w:r>
          <w:r>
            <w:rPr>
              <w:b/>
              <w:bCs/>
              <w:color w:val="auto"/>
              <w:sz w:val="32"/>
              <w:szCs w:val="32"/>
              <w:highlight w:val="none"/>
            </w:rPr>
            <w:fldChar w:fldCharType="end"/>
          </w:r>
          <w:r>
            <w:rPr>
              <w:b/>
              <w:bCs/>
              <w:color w:val="auto"/>
              <w:sz w:val="32"/>
              <w:szCs w:val="32"/>
              <w:highlight w:val="none"/>
            </w:rPr>
            <w:fldChar w:fldCharType="end"/>
          </w:r>
        </w:p>
        <w:p>
          <w:pPr>
            <w:shd w:val="clear"/>
            <w:spacing w:line="360" w:lineRule="auto"/>
            <w:jc w:val="center"/>
            <w:rPr>
              <w:color w:val="auto"/>
              <w:highlight w:val="none"/>
            </w:rPr>
          </w:pPr>
          <w:r>
            <w:rPr>
              <w:b/>
              <w:bCs/>
              <w:color w:val="auto"/>
              <w:sz w:val="32"/>
              <w:szCs w:val="32"/>
              <w:highlight w:val="none"/>
            </w:rPr>
            <w:fldChar w:fldCharType="end"/>
          </w:r>
        </w:p>
      </w:sdtContent>
    </w:sdt>
    <w:p>
      <w:pPr>
        <w:shd w:val="clear"/>
        <w:jc w:val="center"/>
        <w:rPr>
          <w:color w:val="auto"/>
          <w:highlight w:val="none"/>
        </w:rPr>
      </w:pPr>
      <w:r>
        <w:rPr>
          <w:rFonts w:hAnsi="宋体"/>
          <w:b/>
          <w:bCs/>
          <w:caps/>
          <w:color w:val="auto"/>
          <w:sz w:val="21"/>
          <w:szCs w:val="21"/>
          <w:highlight w:val="none"/>
        </w:rPr>
        <w:fldChar w:fldCharType="begin"/>
      </w:r>
      <w:r>
        <w:rPr>
          <w:rStyle w:val="59"/>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
        <w:keepNext/>
        <w:keepLines/>
        <w:pageBreakBefore/>
        <w:numPr>
          <w:ilvl w:val="0"/>
          <w:numId w:val="10"/>
        </w:numPr>
        <w:shd w:val="clea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keepNext w:val="0"/>
        <w:keepLines w:val="0"/>
        <w:pageBreakBefore w:val="0"/>
        <w:widowControl/>
        <w:shd w:val="clear"/>
        <w:tabs>
          <w:tab w:val="left" w:pos="-360"/>
        </w:tabs>
        <w:kinsoku/>
        <w:overflowPunct/>
        <w:topLinePunct w:val="0"/>
        <w:bidi w:val="0"/>
        <w:adjustRightInd/>
        <w:snapToGrid/>
        <w:spacing w:line="336"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广东泰通伟业工程咨询有限公司（以下简称“采购代理机构”）受东莞市大学创新城建设发展有限公司（以下简称“采购人”）的委托，为松山湖国际创新创业社区消防维保服务项目 (项目编号：TTWY-23062) 采购所需的服务。本项目采用竞争性磋商采购方式，欢迎合格供应商就本项目提交密封磋商。</w:t>
      </w:r>
    </w:p>
    <w:p>
      <w:pPr>
        <w:keepNext w:val="0"/>
        <w:keepLines w:val="0"/>
        <w:pageBreakBefore w:val="0"/>
        <w:shd w:val="clear"/>
        <w:kinsoku/>
        <w:overflowPunct/>
        <w:topLinePunct w:val="0"/>
        <w:bidi w:val="0"/>
        <w:snapToGrid/>
        <w:spacing w:line="336" w:lineRule="auto"/>
        <w:rPr>
          <w:rFonts w:hAnsi="宋体"/>
          <w:b/>
          <w:color w:val="auto"/>
          <w:sz w:val="21"/>
          <w:szCs w:val="21"/>
          <w:highlight w:val="none"/>
        </w:rPr>
      </w:pPr>
      <w:bookmarkStart w:id="7" w:name="_Toc4600"/>
      <w:r>
        <w:rPr>
          <w:rFonts w:hint="eastAsia" w:hAnsi="宋体"/>
          <w:b/>
          <w:color w:val="auto"/>
          <w:sz w:val="21"/>
          <w:szCs w:val="21"/>
          <w:highlight w:val="none"/>
        </w:rPr>
        <w:t>一、采购项目概况</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、采购</w:t>
      </w:r>
      <w:r>
        <w:rPr>
          <w:rFonts w:hAnsi="宋体"/>
          <w:color w:val="auto"/>
          <w:sz w:val="21"/>
          <w:szCs w:val="21"/>
          <w:highlight w:val="none"/>
        </w:rPr>
        <w:t>项目名称</w:t>
      </w:r>
      <w:r>
        <w:rPr>
          <w:rFonts w:hint="eastAsia" w:hAnsi="宋体"/>
          <w:color w:val="auto"/>
          <w:sz w:val="21"/>
          <w:szCs w:val="21"/>
          <w:highlight w:val="none"/>
        </w:rPr>
        <w:t>：</w:t>
      </w:r>
      <w:r>
        <w:rPr>
          <w:rFonts w:hint="eastAsia" w:hAnsi="宋体"/>
          <w:b/>
          <w:color w:val="auto"/>
          <w:sz w:val="21"/>
          <w:szCs w:val="21"/>
          <w:highlight w:val="none"/>
          <w:u w:val="single"/>
        </w:rPr>
        <w:t>松山湖国际创新创业社区消防维保服务项目</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预算金额（</w:t>
      </w:r>
      <w:r>
        <w:rPr>
          <w:rFonts w:hint="eastAsia" w:hAnsi="宋体"/>
          <w:color w:val="auto"/>
          <w:sz w:val="21"/>
          <w:szCs w:val="21"/>
          <w:highlight w:val="none"/>
        </w:rPr>
        <w:t>元</w:t>
      </w:r>
      <w:r>
        <w:rPr>
          <w:rFonts w:hAnsi="宋体"/>
          <w:color w:val="auto"/>
          <w:sz w:val="21"/>
          <w:szCs w:val="21"/>
          <w:highlight w:val="none"/>
        </w:rPr>
        <w:t>）</w:t>
      </w:r>
      <w:r>
        <w:rPr>
          <w:rFonts w:hint="eastAsia" w:hAnsi="宋体"/>
          <w:color w:val="auto"/>
          <w:sz w:val="21"/>
          <w:szCs w:val="21"/>
          <w:highlight w:val="none"/>
        </w:rPr>
        <w:t>：</w:t>
      </w:r>
      <w:r>
        <w:rPr>
          <w:rFonts w:hint="eastAsia" w:hAnsi="宋体"/>
          <w:color w:val="auto"/>
          <w:sz w:val="21"/>
          <w:szCs w:val="21"/>
          <w:highlight w:val="none"/>
          <w:u w:val="single"/>
        </w:rPr>
        <w:t>¥</w:t>
      </w:r>
      <w:r>
        <w:rPr>
          <w:rFonts w:hAnsi="宋体"/>
          <w:color w:val="auto"/>
          <w:sz w:val="21"/>
          <w:szCs w:val="21"/>
          <w:highlight w:val="none"/>
          <w:u w:val="single"/>
        </w:rPr>
        <w:t>2240</w:t>
      </w:r>
      <w:r>
        <w:rPr>
          <w:rFonts w:hint="eastAsia" w:hAnsi="宋体"/>
          <w:color w:val="auto"/>
          <w:sz w:val="21"/>
          <w:szCs w:val="21"/>
          <w:highlight w:val="none"/>
          <w:u w:val="single"/>
          <w:lang w:val="en-US" w:eastAsia="zh-CN"/>
        </w:rPr>
        <w:t>0</w:t>
      </w:r>
      <w:r>
        <w:rPr>
          <w:rFonts w:hAnsi="宋体"/>
          <w:color w:val="auto"/>
          <w:sz w:val="21"/>
          <w:szCs w:val="21"/>
          <w:highlight w:val="none"/>
          <w:u w:val="single"/>
        </w:rPr>
        <w:t>62.65</w:t>
      </w:r>
      <w:r>
        <w:rPr>
          <w:rFonts w:hint="eastAsia" w:hAnsi="宋体"/>
          <w:color w:val="auto"/>
          <w:sz w:val="21"/>
          <w:szCs w:val="21"/>
          <w:highlight w:val="none"/>
        </w:rPr>
        <w:t>元（其中综合维保费：</w:t>
      </w:r>
      <w:r>
        <w:rPr>
          <w:rFonts w:hint="eastAsia" w:hAnsi="宋体"/>
          <w:color w:val="auto"/>
          <w:sz w:val="21"/>
          <w:szCs w:val="21"/>
          <w:highlight w:val="none"/>
          <w:u w:val="single"/>
        </w:rPr>
        <w:t>¥1792050.12元</w:t>
      </w:r>
      <w:r>
        <w:rPr>
          <w:rFonts w:hint="eastAsia"/>
          <w:color w:val="auto"/>
          <w:highlight w:val="none"/>
        </w:rPr>
        <w:t>，</w:t>
      </w:r>
      <w:r>
        <w:rPr>
          <w:rFonts w:hint="eastAsia" w:hAnsi="宋体"/>
          <w:color w:val="auto"/>
          <w:sz w:val="21"/>
          <w:szCs w:val="21"/>
          <w:highlight w:val="none"/>
        </w:rPr>
        <w:t>维修费：</w:t>
      </w:r>
      <w:r>
        <w:rPr>
          <w:rFonts w:hint="eastAsia" w:hAnsi="宋体"/>
          <w:color w:val="auto"/>
          <w:sz w:val="21"/>
          <w:szCs w:val="21"/>
          <w:highlight w:val="none"/>
          <w:u w:val="single"/>
        </w:rPr>
        <w:t>¥</w:t>
      </w:r>
      <w:r>
        <w:rPr>
          <w:rFonts w:hAnsi="宋体"/>
          <w:color w:val="auto"/>
          <w:sz w:val="21"/>
          <w:szCs w:val="21"/>
          <w:highlight w:val="none"/>
          <w:u w:val="single"/>
        </w:rPr>
        <w:t>448012.53</w:t>
      </w:r>
      <w:r>
        <w:rPr>
          <w:rFonts w:hint="eastAsia" w:hAnsi="宋体"/>
          <w:color w:val="auto"/>
          <w:sz w:val="21"/>
          <w:szCs w:val="21"/>
          <w:highlight w:val="none"/>
        </w:rPr>
        <w:t>元）</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3、最高</w:t>
      </w:r>
      <w:r>
        <w:rPr>
          <w:rFonts w:hAnsi="宋体"/>
          <w:color w:val="auto"/>
          <w:sz w:val="21"/>
          <w:szCs w:val="21"/>
          <w:highlight w:val="none"/>
        </w:rPr>
        <w:t>限价</w:t>
      </w:r>
      <w:r>
        <w:rPr>
          <w:rFonts w:hint="eastAsia" w:hAnsi="宋体"/>
          <w:color w:val="auto"/>
          <w:sz w:val="21"/>
          <w:szCs w:val="21"/>
          <w:highlight w:val="none"/>
        </w:rPr>
        <w:t>（元）</w:t>
      </w:r>
      <w:r>
        <w:rPr>
          <w:rFonts w:hAnsi="宋体"/>
          <w:color w:val="auto"/>
          <w:sz w:val="21"/>
          <w:szCs w:val="21"/>
          <w:highlight w:val="none"/>
        </w:rPr>
        <w:t>：</w:t>
      </w:r>
      <w:r>
        <w:rPr>
          <w:rFonts w:hint="eastAsia" w:hAnsi="宋体"/>
          <w:color w:val="auto"/>
          <w:sz w:val="21"/>
          <w:szCs w:val="21"/>
          <w:highlight w:val="none"/>
          <w:u w:val="single"/>
        </w:rPr>
        <w:t>¥224</w:t>
      </w:r>
      <w:r>
        <w:rPr>
          <w:rFonts w:hint="eastAsia" w:hAnsi="宋体"/>
          <w:color w:val="auto"/>
          <w:sz w:val="21"/>
          <w:szCs w:val="21"/>
          <w:highlight w:val="none"/>
          <w:u w:val="single"/>
          <w:lang w:val="en-US" w:eastAsia="zh-CN"/>
        </w:rPr>
        <w:t>0</w:t>
      </w:r>
      <w:r>
        <w:rPr>
          <w:rFonts w:hint="eastAsia" w:hAnsi="宋体"/>
          <w:color w:val="auto"/>
          <w:sz w:val="21"/>
          <w:szCs w:val="21"/>
          <w:highlight w:val="none"/>
          <w:u w:val="single"/>
        </w:rPr>
        <w:t>062.65元</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4、项目内容</w:t>
      </w:r>
    </w:p>
    <w:tbl>
      <w:tblPr>
        <w:tblStyle w:val="52"/>
        <w:tblW w:w="45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3"/>
        <w:gridCol w:w="211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5" w:type="pct"/>
            <w:vAlign w:val="center"/>
          </w:tcPr>
          <w:p>
            <w:pPr>
              <w:keepNext w:val="0"/>
              <w:keepLines w:val="0"/>
              <w:pageBreakBefore w:val="0"/>
              <w:shd w:val="clear"/>
              <w:kinsoku/>
              <w:overflowPunct/>
              <w:topLinePunct w:val="0"/>
              <w:bidi w:val="0"/>
              <w:snapToGrid/>
              <w:spacing w:line="336" w:lineRule="auto"/>
              <w:jc w:val="center"/>
              <w:rPr>
                <w:rFonts w:hAnsi="宋体"/>
                <w:color w:val="auto"/>
                <w:kern w:val="28"/>
                <w:sz w:val="21"/>
                <w:szCs w:val="21"/>
                <w:highlight w:val="none"/>
              </w:rPr>
            </w:pPr>
            <w:r>
              <w:rPr>
                <w:rFonts w:hint="eastAsia" w:hAnsi="宋体"/>
                <w:color w:val="auto"/>
                <w:kern w:val="28"/>
                <w:sz w:val="21"/>
                <w:szCs w:val="21"/>
                <w:highlight w:val="none"/>
              </w:rPr>
              <w:t>项目内容</w:t>
            </w:r>
          </w:p>
        </w:tc>
        <w:tc>
          <w:tcPr>
            <w:tcW w:w="1364" w:type="pct"/>
            <w:vAlign w:val="center"/>
          </w:tcPr>
          <w:p>
            <w:pPr>
              <w:keepNext w:val="0"/>
              <w:keepLines w:val="0"/>
              <w:pageBreakBefore w:val="0"/>
              <w:shd w:val="clear"/>
              <w:kinsoku/>
              <w:overflowPunct/>
              <w:topLinePunct w:val="0"/>
              <w:bidi w:val="0"/>
              <w:snapToGrid/>
              <w:spacing w:line="336" w:lineRule="auto"/>
              <w:jc w:val="center"/>
              <w:rPr>
                <w:rFonts w:hAnsi="宋体"/>
                <w:color w:val="auto"/>
                <w:kern w:val="28"/>
                <w:sz w:val="21"/>
                <w:szCs w:val="21"/>
                <w:highlight w:val="none"/>
              </w:rPr>
            </w:pPr>
            <w:r>
              <w:rPr>
                <w:rFonts w:hint="eastAsia" w:hAnsi="宋体"/>
                <w:color w:val="auto"/>
                <w:kern w:val="28"/>
                <w:sz w:val="21"/>
                <w:szCs w:val="21"/>
                <w:highlight w:val="none"/>
              </w:rPr>
              <w:t>采购服务单位数量</w:t>
            </w:r>
          </w:p>
        </w:tc>
        <w:tc>
          <w:tcPr>
            <w:tcW w:w="840" w:type="pct"/>
            <w:vAlign w:val="center"/>
          </w:tcPr>
          <w:p>
            <w:pPr>
              <w:keepNext w:val="0"/>
              <w:keepLines w:val="0"/>
              <w:pageBreakBefore w:val="0"/>
              <w:shd w:val="clear"/>
              <w:kinsoku/>
              <w:overflowPunct/>
              <w:topLinePunct w:val="0"/>
              <w:bidi w:val="0"/>
              <w:snapToGrid/>
              <w:spacing w:line="336" w:lineRule="auto"/>
              <w:jc w:val="center"/>
              <w:rPr>
                <w:rFonts w:hAnsi="宋体"/>
                <w:color w:val="auto"/>
                <w:kern w:val="28"/>
                <w:sz w:val="21"/>
                <w:szCs w:val="21"/>
                <w:highlight w:val="none"/>
              </w:rPr>
            </w:pPr>
            <w:r>
              <w:rPr>
                <w:rFonts w:hint="eastAsia" w:hAnsi="宋体"/>
                <w:color w:val="auto"/>
                <w:kern w:val="28"/>
                <w:sz w:val="21"/>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5" w:type="pct"/>
            <w:vAlign w:val="center"/>
          </w:tcPr>
          <w:p>
            <w:pPr>
              <w:keepNext w:val="0"/>
              <w:keepLines w:val="0"/>
              <w:pageBreakBefore w:val="0"/>
              <w:shd w:val="clear"/>
              <w:kinsoku/>
              <w:overflowPunct/>
              <w:topLinePunct w:val="0"/>
              <w:bidi w:val="0"/>
              <w:snapToGrid/>
              <w:spacing w:line="336" w:lineRule="auto"/>
              <w:jc w:val="center"/>
              <w:rPr>
                <w:rFonts w:hAnsi="宋体"/>
                <w:color w:val="auto"/>
                <w:sz w:val="21"/>
                <w:szCs w:val="21"/>
                <w:highlight w:val="none"/>
              </w:rPr>
            </w:pPr>
            <w:r>
              <w:rPr>
                <w:rFonts w:hint="eastAsia" w:hAnsi="宋体"/>
                <w:color w:val="auto"/>
                <w:sz w:val="21"/>
                <w:szCs w:val="21"/>
                <w:highlight w:val="none"/>
              </w:rPr>
              <w:t>松山湖国际创新创业社区消防维保服务项目</w:t>
            </w:r>
          </w:p>
        </w:tc>
        <w:tc>
          <w:tcPr>
            <w:tcW w:w="1364" w:type="pct"/>
            <w:vAlign w:val="center"/>
          </w:tcPr>
          <w:p>
            <w:pPr>
              <w:keepNext w:val="0"/>
              <w:keepLines w:val="0"/>
              <w:pageBreakBefore w:val="0"/>
              <w:shd w:val="clear"/>
              <w:kinsoku/>
              <w:overflowPunct/>
              <w:topLinePunct w:val="0"/>
              <w:bidi w:val="0"/>
              <w:snapToGrid/>
              <w:spacing w:line="336" w:lineRule="auto"/>
              <w:jc w:val="center"/>
              <w:rPr>
                <w:rFonts w:hAnsi="宋体"/>
                <w:color w:val="auto"/>
                <w:sz w:val="21"/>
                <w:szCs w:val="21"/>
                <w:highlight w:val="none"/>
              </w:rPr>
            </w:pPr>
            <w:r>
              <w:rPr>
                <w:rFonts w:hint="eastAsia" w:hAnsi="宋体"/>
                <w:color w:val="auto"/>
                <w:sz w:val="21"/>
                <w:szCs w:val="21"/>
                <w:highlight w:val="none"/>
              </w:rPr>
              <w:t>1</w:t>
            </w:r>
          </w:p>
        </w:tc>
        <w:tc>
          <w:tcPr>
            <w:tcW w:w="840" w:type="pct"/>
            <w:vAlign w:val="center"/>
          </w:tcPr>
          <w:p>
            <w:pPr>
              <w:keepNext w:val="0"/>
              <w:keepLines w:val="0"/>
              <w:pageBreakBefore w:val="0"/>
              <w:shd w:val="clear"/>
              <w:kinsoku/>
              <w:overflowPunct/>
              <w:topLinePunct w:val="0"/>
              <w:bidi w:val="0"/>
              <w:snapToGrid/>
              <w:spacing w:line="336" w:lineRule="auto"/>
              <w:jc w:val="center"/>
              <w:rPr>
                <w:rFonts w:hAnsi="宋体"/>
                <w:color w:val="auto"/>
                <w:sz w:val="21"/>
                <w:szCs w:val="21"/>
                <w:highlight w:val="none"/>
              </w:rPr>
            </w:pPr>
            <w:r>
              <w:rPr>
                <w:rFonts w:hint="eastAsia" w:hAnsi="宋体"/>
                <w:color w:val="auto"/>
                <w:sz w:val="21"/>
                <w:szCs w:val="21"/>
                <w:highlight w:val="none"/>
              </w:rPr>
              <w:t>三年</w:t>
            </w:r>
          </w:p>
        </w:tc>
      </w:tr>
    </w:tbl>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5、项目需求</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详细内容请参阅采购文件第三部分《用户需求书》。</w:t>
      </w:r>
    </w:p>
    <w:p>
      <w:pPr>
        <w:keepNext w:val="0"/>
        <w:keepLines w:val="0"/>
        <w:pageBreakBefore w:val="0"/>
        <w:widowControl/>
        <w:shd w:val="clear"/>
        <w:kinsoku/>
        <w:overflowPunct/>
        <w:topLinePunct w:val="0"/>
        <w:bidi w:val="0"/>
        <w:adjustRightInd/>
        <w:snapToGrid/>
        <w:spacing w:line="336" w:lineRule="auto"/>
        <w:outlineLvl w:val="0"/>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7"/>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int="default" w:hAnsi="宋体" w:eastAsia="宋体"/>
          <w:color w:val="auto"/>
          <w:kern w:val="2"/>
          <w:sz w:val="21"/>
          <w:szCs w:val="21"/>
          <w:highlight w:val="none"/>
          <w:lang w:val="en-US" w:eastAsia="zh-CN"/>
        </w:rPr>
      </w:pPr>
      <w:bookmarkStart w:id="8" w:name="_Toc396137230"/>
      <w:r>
        <w:rPr>
          <w:rFonts w:hint="eastAsia" w:hAnsi="宋体"/>
          <w:color w:val="auto"/>
          <w:kern w:val="2"/>
          <w:sz w:val="21"/>
          <w:szCs w:val="21"/>
          <w:highlight w:val="none"/>
        </w:rPr>
        <w:t>1、供应商须为在中华人民共和国境内登记注册的具有独立承担民事责任能力的法人或其他组织【提供《营业执照》复印件（加盖公章）或《事业单位法人证书》复印件（加盖公章）或其他主体证书复印件（加盖公章）】。</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3、供应商的单位负责人为同一人或者存在直接控股、管理关系的不同供应商，不得参加同一合同项下的采购活动。</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4、未被列入“信用中国”网站(www.creditchina.gov.cn )“记录失信被执行人或重大税收违法失信主体或政府采购严重违法失信行为”记录名单。以代理机构于磋商截止日当天在“信用中国”网站查询结果为准，如相关失信记录已失效，供应商需提供相关证明资料。</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5、</w:t>
      </w:r>
      <w:r>
        <w:rPr>
          <w:rFonts w:hint="eastAsia" w:hAnsi="宋体"/>
          <w:color w:val="auto"/>
          <w:kern w:val="2"/>
          <w:sz w:val="21"/>
          <w:szCs w:val="21"/>
          <w:highlight w:val="none"/>
          <w:lang w:eastAsia="zh-CN"/>
        </w:rPr>
        <w:t>业绩要求：供应商自</w:t>
      </w:r>
      <w:r>
        <w:rPr>
          <w:rFonts w:hint="eastAsia" w:hAnsi="宋体"/>
          <w:color w:val="auto"/>
          <w:kern w:val="2"/>
          <w:sz w:val="21"/>
          <w:szCs w:val="21"/>
          <w:highlight w:val="none"/>
          <w:lang w:val="en-US" w:eastAsia="zh-CN"/>
        </w:rPr>
        <w:t>2021年11月至今具有两个消防设施维保类</w:t>
      </w:r>
      <w:r>
        <w:rPr>
          <w:rFonts w:hint="eastAsia" w:hAnsi="宋体"/>
          <w:color w:val="auto"/>
          <w:kern w:val="2"/>
          <w:sz w:val="21"/>
          <w:szCs w:val="21"/>
          <w:highlight w:val="none"/>
          <w:lang w:eastAsia="zh-CN"/>
        </w:rPr>
        <w:t>业绩。（以合同签订时间为准，提供合同复印件加盖公章）</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int="eastAsia" w:hAnsi="宋体"/>
          <w:color w:val="auto"/>
          <w:kern w:val="2"/>
          <w:sz w:val="21"/>
          <w:szCs w:val="21"/>
          <w:highlight w:val="none"/>
        </w:rPr>
      </w:pP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未被列入东实集团及下属企业相关领域黑名单。【以东莞实业投资控股集团有限公司发文（东实通〔2021〕44号）、（东实通〔2021〕98号）、（东实通〔2022〕75号）、（东实通〔2023〕37号）为准，如有最新发文通知，按最新文件执行。】</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int="eastAsia"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7、本次项目不接受联合体磋商。</w:t>
      </w:r>
    </w:p>
    <w:p>
      <w:pPr>
        <w:keepNext w:val="0"/>
        <w:keepLines w:val="0"/>
        <w:pageBreakBefore w:val="0"/>
        <w:shd w:val="clear"/>
        <w:kinsoku/>
        <w:overflowPunct/>
        <w:topLinePunct w:val="0"/>
        <w:bidi w:val="0"/>
        <w:snapToGrid/>
        <w:spacing w:line="336" w:lineRule="auto"/>
        <w:outlineLvl w:val="0"/>
        <w:rPr>
          <w:rFonts w:hAnsi="宋体"/>
          <w:b/>
          <w:bCs/>
          <w:color w:val="auto"/>
          <w:sz w:val="21"/>
          <w:szCs w:val="21"/>
          <w:highlight w:val="none"/>
        </w:rPr>
      </w:pPr>
      <w:bookmarkStart w:id="9" w:name="_Toc8581"/>
      <w:r>
        <w:rPr>
          <w:rFonts w:hint="eastAsia" w:hAnsi="宋体"/>
          <w:b/>
          <w:bCs/>
          <w:color w:val="auto"/>
          <w:sz w:val="21"/>
          <w:szCs w:val="21"/>
          <w:highlight w:val="none"/>
        </w:rPr>
        <w:t>三、获取磋商文件：</w:t>
      </w:r>
      <w:bookmarkEnd w:id="9"/>
    </w:p>
    <w:p>
      <w:pPr>
        <w:keepNext w:val="0"/>
        <w:keepLines w:val="0"/>
        <w:pageBreakBefore w:val="0"/>
        <w:widowControl/>
        <w:shd w:val="clear"/>
        <w:kinsoku/>
        <w:overflowPunct/>
        <w:topLinePunct w:val="0"/>
        <w:bidi w:val="0"/>
        <w:adjustRightInd/>
        <w:snapToGrid/>
        <w:spacing w:line="336" w:lineRule="auto"/>
        <w:ind w:left="0" w:right="0" w:firstLine="420" w:firstLineChars="200"/>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进行实名登记报名，拟参加磋商的供应商于磋商截止时间前自行网上下载采购文件。采购文件下载地址：中国招标投标公共服务平台（http://www.cebpubservice.com/）、东莞实业投资控股集团有限公司-招标采购栏目（http://www.dgsy.com.cn/）、代理公司官网（http://www.weiyecoltd.com/）。</w:t>
      </w:r>
    </w:p>
    <w:p>
      <w:pPr>
        <w:keepNext w:val="0"/>
        <w:keepLines w:val="0"/>
        <w:pageBreakBefore w:val="0"/>
        <w:widowControl/>
        <w:shd w:val="clear"/>
        <w:kinsoku/>
        <w:overflowPunct/>
        <w:topLinePunct w:val="0"/>
        <w:bidi w:val="0"/>
        <w:adjustRightInd/>
        <w:snapToGrid/>
        <w:spacing w:line="336" w:lineRule="auto"/>
        <w:ind w:left="0" w:right="0" w:firstLine="420" w:firstLineChars="200"/>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采购结果公告发布媒介：东莞实业投资控股集团有限公司-招标采购栏目（http://www.dgsy.com.cn/）</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磋商文件公告期限：自公告之日起三个工作日。</w:t>
      </w:r>
    </w:p>
    <w:p>
      <w:pPr>
        <w:pStyle w:val="30"/>
        <w:keepNext w:val="0"/>
        <w:keepLines w:val="0"/>
        <w:pageBreakBefore w:val="0"/>
        <w:shd w:val="clear"/>
        <w:kinsoku/>
        <w:overflowPunct/>
        <w:topLinePunct w:val="0"/>
        <w:bidi w:val="0"/>
        <w:snapToGrid/>
        <w:spacing w:line="336"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1、接收响应文件的时间：2023年</w:t>
      </w:r>
      <w:r>
        <w:rPr>
          <w:rFonts w:hint="eastAsia" w:hAnsi="宋体"/>
          <w:color w:val="auto"/>
          <w:sz w:val="21"/>
          <w:szCs w:val="21"/>
          <w:highlight w:val="none"/>
          <w:lang w:val="en-US" w:eastAsia="zh-CN"/>
        </w:rPr>
        <w:t>12</w:t>
      </w:r>
      <w:r>
        <w:rPr>
          <w:rFonts w:hint="eastAsia" w:hAnsi="宋体"/>
          <w:color w:val="auto"/>
          <w:sz w:val="21"/>
          <w:szCs w:val="21"/>
          <w:highlight w:val="none"/>
        </w:rPr>
        <w:t>月</w:t>
      </w:r>
      <w:r>
        <w:rPr>
          <w:rFonts w:hint="eastAsia" w:hAnsi="宋体"/>
          <w:color w:val="auto"/>
          <w:sz w:val="21"/>
          <w:szCs w:val="21"/>
          <w:highlight w:val="none"/>
          <w:lang w:val="en-US" w:eastAsia="zh-CN"/>
        </w:rPr>
        <w:t>29</w:t>
      </w:r>
      <w:r>
        <w:rPr>
          <w:rFonts w:hint="eastAsia" w:hAnsi="宋体"/>
          <w:color w:val="auto"/>
          <w:sz w:val="21"/>
          <w:szCs w:val="21"/>
          <w:highlight w:val="none"/>
        </w:rPr>
        <w:t>日上午9:00～9:30。</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2、接收响应文件截止时间及开启响应文件时间：2023年</w:t>
      </w:r>
      <w:r>
        <w:rPr>
          <w:rFonts w:hint="eastAsia" w:hAnsi="宋体"/>
          <w:color w:val="auto"/>
          <w:sz w:val="21"/>
          <w:szCs w:val="21"/>
          <w:highlight w:val="none"/>
          <w:lang w:val="en-US" w:eastAsia="zh-CN"/>
        </w:rPr>
        <w:t>12</w:t>
      </w:r>
      <w:r>
        <w:rPr>
          <w:rFonts w:hint="eastAsia" w:hAnsi="宋体"/>
          <w:color w:val="auto"/>
          <w:sz w:val="21"/>
          <w:szCs w:val="21"/>
          <w:highlight w:val="none"/>
        </w:rPr>
        <w:t>月</w:t>
      </w:r>
      <w:r>
        <w:rPr>
          <w:rFonts w:hint="eastAsia" w:hAnsi="宋体"/>
          <w:color w:val="auto"/>
          <w:sz w:val="21"/>
          <w:szCs w:val="21"/>
          <w:highlight w:val="none"/>
          <w:lang w:val="en-US" w:eastAsia="zh-CN"/>
        </w:rPr>
        <w:t>29</w:t>
      </w:r>
      <w:r>
        <w:rPr>
          <w:rFonts w:hint="eastAsia" w:hAnsi="宋体"/>
          <w:color w:val="auto"/>
          <w:sz w:val="21"/>
          <w:szCs w:val="21"/>
          <w:highlight w:val="none"/>
        </w:rPr>
        <w:t>日上午9:30。</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3、接收响应文件地点：广东省东莞市南城街道科创路100号2栋1302室。</w:t>
      </w:r>
    </w:p>
    <w:p>
      <w:pPr>
        <w:keepNext w:val="0"/>
        <w:keepLines w:val="0"/>
        <w:pageBreakBefore w:val="0"/>
        <w:shd w:val="clear"/>
        <w:kinsoku/>
        <w:overflowPunct/>
        <w:topLinePunct w:val="0"/>
        <w:bidi w:val="0"/>
        <w:snapToGrid/>
        <w:spacing w:line="336" w:lineRule="auto"/>
        <w:outlineLvl w:val="0"/>
        <w:rPr>
          <w:rFonts w:hAnsi="宋体"/>
          <w:b/>
          <w:bCs/>
          <w:color w:val="auto"/>
          <w:sz w:val="21"/>
          <w:szCs w:val="21"/>
          <w:highlight w:val="none"/>
        </w:rPr>
      </w:pPr>
      <w:bookmarkStart w:id="10"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0"/>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广东省东莞市南城街道科创路100号2栋1302室</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keepNext w:val="0"/>
        <w:keepLines w:val="0"/>
        <w:pageBreakBefore w:val="0"/>
        <w:shd w:val="clear"/>
        <w:kinsoku/>
        <w:overflowPunct/>
        <w:topLinePunct w:val="0"/>
        <w:bidi w:val="0"/>
        <w:snapToGrid/>
        <w:spacing w:line="336"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0769-22652033</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keepNext w:val="0"/>
        <w:keepLines w:val="0"/>
        <w:pageBreakBefore w:val="0"/>
        <w:shd w:val="clear"/>
        <w:kinsoku/>
        <w:overflowPunct/>
        <w:topLinePunct w:val="0"/>
        <w:bidi w:val="0"/>
        <w:snapToGrid/>
        <w:spacing w:line="336"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keepNext w:val="0"/>
        <w:keepLines w:val="0"/>
        <w:pageBreakBefore w:val="0"/>
        <w:shd w:val="clear"/>
        <w:kinsoku/>
        <w:overflowPunct/>
        <w:topLinePunct w:val="0"/>
        <w:bidi w:val="0"/>
        <w:snapToGrid/>
        <w:spacing w:line="336"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keepNext w:val="0"/>
        <w:keepLines w:val="0"/>
        <w:pageBreakBefore w:val="0"/>
        <w:shd w:val="clear"/>
        <w:kinsoku/>
        <w:wordWrap w:val="0"/>
        <w:overflowPunct/>
        <w:topLinePunct w:val="0"/>
        <w:bidi w:val="0"/>
        <w:snapToGrid/>
        <w:spacing w:line="336"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2023年</w:t>
      </w:r>
      <w:r>
        <w:rPr>
          <w:rFonts w:hint="eastAsia" w:hAnsi="宋体"/>
          <w:b/>
          <w:color w:val="auto"/>
          <w:sz w:val="21"/>
          <w:szCs w:val="21"/>
          <w:highlight w:val="none"/>
          <w:lang w:val="en-US" w:eastAsia="zh-CN"/>
        </w:rPr>
        <w:t>12</w:t>
      </w:r>
      <w:r>
        <w:rPr>
          <w:rFonts w:hint="eastAsia" w:hAnsi="宋体"/>
          <w:b/>
          <w:color w:val="auto"/>
          <w:sz w:val="21"/>
          <w:szCs w:val="21"/>
          <w:highlight w:val="none"/>
        </w:rPr>
        <w:t>月</w:t>
      </w:r>
      <w:r>
        <w:rPr>
          <w:rFonts w:hint="eastAsia" w:hAnsi="宋体"/>
          <w:b/>
          <w:color w:val="auto"/>
          <w:sz w:val="21"/>
          <w:szCs w:val="21"/>
          <w:highlight w:val="none"/>
          <w:lang w:val="en-US" w:eastAsia="zh-CN"/>
        </w:rPr>
        <w:t>18</w:t>
      </w:r>
      <w:r>
        <w:rPr>
          <w:rFonts w:hint="eastAsia" w:hAnsi="宋体"/>
          <w:b/>
          <w:color w:val="auto"/>
          <w:sz w:val="21"/>
          <w:szCs w:val="21"/>
          <w:highlight w:val="none"/>
        </w:rPr>
        <w:t>日</w:t>
      </w:r>
    </w:p>
    <w:p>
      <w:pPr>
        <w:pStyle w:val="3"/>
        <w:keepNext/>
        <w:keepLines/>
        <w:pageBreakBefore/>
        <w:numPr>
          <w:ilvl w:val="0"/>
          <w:numId w:val="10"/>
        </w:numPr>
        <w:shd w:val="clea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1" w:name="_Toc17779"/>
      <w:bookmarkStart w:id="12" w:name="_Toc16634"/>
      <w:r>
        <w:rPr>
          <w:rFonts w:hint="eastAsia" w:hAnsi="宋体"/>
          <w:b/>
          <w:bCs/>
          <w:color w:val="auto"/>
          <w:kern w:val="44"/>
          <w:sz w:val="28"/>
          <w:szCs w:val="28"/>
          <w:highlight w:val="none"/>
          <w:lang w:val="zh-CN"/>
        </w:rPr>
        <w:t>供应商须知</w:t>
      </w:r>
      <w:bookmarkEnd w:id="8"/>
      <w:bookmarkEnd w:id="11"/>
      <w:bookmarkEnd w:id="12"/>
    </w:p>
    <w:p>
      <w:pPr>
        <w:pStyle w:val="4"/>
        <w:shd w:val="clear"/>
        <w:adjustRightInd/>
        <w:spacing w:line="360" w:lineRule="auto"/>
        <w:ind w:firstLine="562" w:firstLineChars="200"/>
        <w:jc w:val="center"/>
        <w:rPr>
          <w:color w:val="auto"/>
          <w:sz w:val="28"/>
          <w:szCs w:val="28"/>
          <w:highlight w:val="none"/>
        </w:rPr>
      </w:pPr>
      <w:bookmarkStart w:id="13" w:name="_Toc7897861"/>
      <w:bookmarkStart w:id="14" w:name="_Toc466786434"/>
      <w:bookmarkStart w:id="15" w:name="_Toc6968687"/>
      <w:bookmarkStart w:id="16" w:name="_Toc507407359"/>
      <w:bookmarkStart w:id="17" w:name="_Toc102277756"/>
      <w:bookmarkStart w:id="18" w:name="_Toc12804"/>
      <w:bookmarkStart w:id="19" w:name="_Toc5203"/>
      <w:bookmarkStart w:id="20" w:name="_Toc6882675"/>
      <w:r>
        <w:rPr>
          <w:rFonts w:hint="eastAsia"/>
          <w:color w:val="auto"/>
          <w:sz w:val="28"/>
          <w:szCs w:val="28"/>
          <w:highlight w:val="none"/>
        </w:rPr>
        <w:t>一、说  明</w:t>
      </w:r>
      <w:bookmarkEnd w:id="13"/>
      <w:bookmarkEnd w:id="14"/>
      <w:bookmarkEnd w:id="15"/>
      <w:bookmarkEnd w:id="16"/>
      <w:bookmarkEnd w:id="17"/>
      <w:bookmarkEnd w:id="18"/>
      <w:bookmarkEnd w:id="19"/>
      <w:bookmarkEnd w:id="20"/>
    </w:p>
    <w:p>
      <w:pPr>
        <w:pStyle w:val="5"/>
        <w:shd w:val="clear"/>
        <w:adjustRightInd/>
        <w:spacing w:line="360" w:lineRule="auto"/>
        <w:ind w:firstLine="420" w:firstLineChars="200"/>
        <w:rPr>
          <w:rFonts w:hAnsi="宋体"/>
          <w:color w:val="auto"/>
          <w:sz w:val="21"/>
          <w:szCs w:val="21"/>
          <w:highlight w:val="none"/>
        </w:rPr>
      </w:pPr>
      <w:bookmarkStart w:id="21" w:name="_Toc24987"/>
      <w:bookmarkStart w:id="22" w:name="_Toc3730"/>
      <w:bookmarkStart w:id="23" w:name="_Toc7897862"/>
      <w:bookmarkStart w:id="24" w:name="_Toc475249114"/>
      <w:r>
        <w:rPr>
          <w:rFonts w:hint="eastAsia" w:hAnsi="宋体"/>
          <w:color w:val="auto"/>
          <w:sz w:val="21"/>
          <w:szCs w:val="21"/>
          <w:highlight w:val="none"/>
        </w:rPr>
        <w:t>1.适用范围</w:t>
      </w:r>
      <w:bookmarkEnd w:id="21"/>
      <w:bookmarkEnd w:id="22"/>
      <w:bookmarkEnd w:id="23"/>
      <w:bookmarkEnd w:id="24"/>
    </w:p>
    <w:p>
      <w:pPr>
        <w:shd w:val="clea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hd w:val="clea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5"/>
        <w:shd w:val="clear"/>
        <w:adjustRightInd/>
        <w:spacing w:line="360" w:lineRule="auto"/>
        <w:ind w:firstLine="420" w:firstLineChars="200"/>
        <w:rPr>
          <w:rFonts w:hAnsi="宋体"/>
          <w:color w:val="auto"/>
          <w:sz w:val="21"/>
          <w:szCs w:val="21"/>
          <w:highlight w:val="none"/>
        </w:rPr>
      </w:pPr>
      <w:bookmarkStart w:id="25" w:name="_Toc7897863"/>
      <w:bookmarkStart w:id="26" w:name="_Toc475249115"/>
      <w:bookmarkStart w:id="27" w:name="_Toc598"/>
      <w:bookmarkStart w:id="28" w:name="_Toc9738"/>
      <w:r>
        <w:rPr>
          <w:rFonts w:hint="eastAsia" w:hAnsi="宋体"/>
          <w:color w:val="auto"/>
          <w:sz w:val="21"/>
          <w:szCs w:val="21"/>
          <w:highlight w:val="none"/>
        </w:rPr>
        <w:t>2.定义</w:t>
      </w:r>
      <w:bookmarkEnd w:id="25"/>
      <w:bookmarkEnd w:id="26"/>
      <w:bookmarkEnd w:id="27"/>
      <w:bookmarkEnd w:id="28"/>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hd w:val="clea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5"/>
        <w:shd w:val="clear"/>
        <w:adjustRightInd/>
        <w:spacing w:line="360" w:lineRule="auto"/>
        <w:ind w:firstLine="420" w:firstLineChars="200"/>
        <w:rPr>
          <w:rFonts w:hAnsi="宋体"/>
          <w:color w:val="auto"/>
          <w:sz w:val="21"/>
          <w:szCs w:val="21"/>
          <w:highlight w:val="none"/>
        </w:rPr>
      </w:pPr>
      <w:bookmarkStart w:id="29" w:name="_Toc24709"/>
      <w:bookmarkStart w:id="30" w:name="_Toc7897864"/>
      <w:bookmarkStart w:id="31" w:name="_Toc110953831"/>
      <w:bookmarkStart w:id="32" w:name="_Toc367"/>
      <w:bookmarkStart w:id="33" w:name="_Toc507407360"/>
      <w:bookmarkStart w:id="34" w:name="_Toc466786435"/>
      <w:bookmarkStart w:id="35" w:name="_Toc6968688"/>
      <w:bookmarkStart w:id="36" w:name="_Toc102277757"/>
      <w:bookmarkStart w:id="37" w:name="_Toc6882676"/>
      <w:r>
        <w:rPr>
          <w:rFonts w:hint="eastAsia" w:hAnsi="宋体"/>
          <w:color w:val="auto"/>
          <w:sz w:val="21"/>
          <w:szCs w:val="21"/>
          <w:highlight w:val="none"/>
        </w:rPr>
        <w:t>3.适用法律</w:t>
      </w:r>
      <w:bookmarkEnd w:id="29"/>
      <w:bookmarkEnd w:id="30"/>
      <w:bookmarkEnd w:id="31"/>
      <w:bookmarkEnd w:id="32"/>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5"/>
        <w:shd w:val="clear"/>
        <w:adjustRightInd/>
        <w:spacing w:line="360" w:lineRule="auto"/>
        <w:ind w:firstLine="420" w:firstLineChars="200"/>
        <w:rPr>
          <w:rFonts w:hAnsi="宋体"/>
          <w:color w:val="auto"/>
          <w:sz w:val="21"/>
          <w:szCs w:val="21"/>
          <w:highlight w:val="none"/>
          <w:lang w:val="zh-CN"/>
        </w:rPr>
      </w:pPr>
      <w:bookmarkStart w:id="38" w:name="_Toc20707"/>
      <w:bookmarkStart w:id="39" w:name="_Toc7897866"/>
      <w:bookmarkStart w:id="40" w:name="_Toc110953833"/>
      <w:bookmarkStart w:id="41"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8"/>
    </w:p>
    <w:p>
      <w:pPr>
        <w:pStyle w:val="5"/>
        <w:shd w:val="clear"/>
        <w:adjustRightInd/>
        <w:spacing w:line="360" w:lineRule="auto"/>
        <w:ind w:firstLine="420" w:firstLineChars="200"/>
        <w:rPr>
          <w:rFonts w:hAnsi="宋体"/>
          <w:bCs/>
          <w:color w:val="auto"/>
          <w:sz w:val="21"/>
          <w:szCs w:val="21"/>
          <w:highlight w:val="none"/>
        </w:rPr>
      </w:pPr>
      <w:bookmarkStart w:id="42" w:name="_Toc10368"/>
      <w:r>
        <w:rPr>
          <w:rFonts w:hint="eastAsia" w:hAnsi="宋体"/>
          <w:color w:val="auto"/>
          <w:sz w:val="21"/>
          <w:szCs w:val="21"/>
          <w:highlight w:val="none"/>
        </w:rPr>
        <w:t>5.禁止事项</w:t>
      </w:r>
      <w:bookmarkEnd w:id="39"/>
      <w:bookmarkEnd w:id="40"/>
      <w:bookmarkEnd w:id="41"/>
      <w:bookmarkEnd w:id="42"/>
    </w:p>
    <w:p>
      <w:pPr>
        <w:shd w:val="clear"/>
        <w:spacing w:line="360" w:lineRule="auto"/>
        <w:ind w:firstLine="420" w:firstLineChars="200"/>
        <w:rPr>
          <w:rFonts w:hAnsi="宋体"/>
          <w:color w:val="auto"/>
          <w:sz w:val="21"/>
          <w:szCs w:val="21"/>
          <w:highlight w:val="none"/>
        </w:rPr>
      </w:pPr>
      <w:bookmarkStart w:id="43" w:name="_Toc98126218"/>
      <w:bookmarkStart w:id="44" w:name="_Toc98126293"/>
      <w:r>
        <w:rPr>
          <w:rFonts w:hint="eastAsia" w:hAnsi="宋体"/>
          <w:color w:val="auto"/>
          <w:sz w:val="21"/>
          <w:szCs w:val="21"/>
          <w:highlight w:val="none"/>
        </w:rPr>
        <w:t>5.1采购人、供应商和采购代理机构不得相互串通损害国家利益、社会公共利益和其他当事人的合法权益。</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3"/>
      <w:bookmarkEnd w:id="44"/>
    </w:p>
    <w:p>
      <w:pPr>
        <w:shd w:val="clear"/>
        <w:spacing w:line="360" w:lineRule="auto"/>
        <w:ind w:firstLine="420" w:firstLineChars="200"/>
        <w:rPr>
          <w:rFonts w:hAnsi="宋体"/>
          <w:color w:val="auto"/>
          <w:sz w:val="21"/>
          <w:szCs w:val="21"/>
          <w:highlight w:val="none"/>
        </w:rPr>
      </w:pPr>
      <w:bookmarkStart w:id="45" w:name="_Toc98126219"/>
      <w:bookmarkStart w:id="46" w:name="_Toc98126294"/>
      <w:r>
        <w:rPr>
          <w:rFonts w:hint="eastAsia" w:hAnsi="宋体"/>
          <w:color w:val="auto"/>
          <w:sz w:val="21"/>
          <w:szCs w:val="21"/>
          <w:highlight w:val="none"/>
        </w:rPr>
        <w:t>5.3采购代理机构不得向采购人行贿或者采取其他不正当手段谋取非法利益。</w:t>
      </w:r>
      <w:bookmarkEnd w:id="45"/>
      <w:bookmarkEnd w:id="46"/>
    </w:p>
    <w:p>
      <w:pPr>
        <w:shd w:val="clear"/>
        <w:spacing w:line="360" w:lineRule="auto"/>
        <w:ind w:firstLine="420" w:firstLineChars="200"/>
        <w:rPr>
          <w:rFonts w:hAnsi="宋体"/>
          <w:color w:val="auto"/>
          <w:sz w:val="21"/>
          <w:szCs w:val="21"/>
          <w:highlight w:val="none"/>
        </w:rPr>
      </w:pPr>
      <w:bookmarkStart w:id="47" w:name="_Toc98126220"/>
      <w:bookmarkStart w:id="48"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7"/>
      <w:bookmarkEnd w:id="48"/>
    </w:p>
    <w:p>
      <w:pPr>
        <w:pStyle w:val="5"/>
        <w:shd w:val="clear"/>
        <w:adjustRightInd/>
        <w:spacing w:line="360" w:lineRule="auto"/>
        <w:ind w:firstLine="420" w:firstLineChars="200"/>
        <w:rPr>
          <w:rFonts w:hAnsi="宋体"/>
          <w:bCs/>
          <w:color w:val="auto"/>
          <w:sz w:val="21"/>
          <w:szCs w:val="21"/>
          <w:highlight w:val="none"/>
        </w:rPr>
      </w:pPr>
      <w:bookmarkStart w:id="49" w:name="_Toc7897867"/>
      <w:bookmarkStart w:id="50" w:name="_Toc110953834"/>
      <w:bookmarkStart w:id="51" w:name="_Toc2863"/>
      <w:bookmarkStart w:id="52" w:name="_Toc25870"/>
      <w:r>
        <w:rPr>
          <w:rFonts w:hint="eastAsia" w:hAnsi="宋体"/>
          <w:color w:val="auto"/>
          <w:sz w:val="21"/>
          <w:szCs w:val="21"/>
          <w:highlight w:val="none"/>
        </w:rPr>
        <w:t>6.保密及其它注意事项</w:t>
      </w:r>
      <w:bookmarkEnd w:id="49"/>
      <w:bookmarkEnd w:id="50"/>
      <w:bookmarkEnd w:id="51"/>
      <w:bookmarkEnd w:id="52"/>
    </w:p>
    <w:p>
      <w:pPr>
        <w:shd w:val="clear"/>
        <w:spacing w:line="360" w:lineRule="auto"/>
        <w:ind w:firstLine="420" w:firstLineChars="200"/>
        <w:rPr>
          <w:rFonts w:hAnsi="宋体"/>
          <w:color w:val="auto"/>
          <w:sz w:val="21"/>
          <w:szCs w:val="21"/>
          <w:highlight w:val="none"/>
        </w:rPr>
      </w:pPr>
      <w:bookmarkStart w:id="53" w:name="_Toc98126297"/>
      <w:bookmarkStart w:id="54"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53"/>
      <w:bookmarkEnd w:id="5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5"/>
        <w:shd w:val="clear"/>
        <w:adjustRightInd/>
        <w:spacing w:line="360" w:lineRule="auto"/>
        <w:ind w:firstLine="420" w:firstLineChars="200"/>
        <w:rPr>
          <w:rFonts w:hAnsi="宋体"/>
          <w:color w:val="auto"/>
          <w:sz w:val="21"/>
          <w:szCs w:val="21"/>
          <w:highlight w:val="none"/>
        </w:rPr>
      </w:pPr>
      <w:bookmarkStart w:id="55" w:name="_Toc27298"/>
      <w:bookmarkStart w:id="56" w:name="_Toc7897868"/>
      <w:bookmarkStart w:id="57" w:name="_Toc13371"/>
      <w:bookmarkStart w:id="58" w:name="_Toc497016085"/>
      <w:r>
        <w:rPr>
          <w:rFonts w:hint="eastAsia" w:hAnsi="宋体"/>
          <w:color w:val="auto"/>
          <w:sz w:val="21"/>
          <w:szCs w:val="21"/>
          <w:highlight w:val="none"/>
        </w:rPr>
        <w:t>7.供应商诚信管理</w:t>
      </w:r>
      <w:bookmarkEnd w:id="55"/>
      <w:bookmarkEnd w:id="56"/>
      <w:bookmarkEnd w:id="57"/>
      <w:bookmarkEnd w:id="58"/>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hd w:val="clear"/>
        <w:spacing w:line="360" w:lineRule="auto"/>
        <w:rPr>
          <w:rFonts w:hAnsi="宋体"/>
          <w:color w:val="auto"/>
          <w:sz w:val="21"/>
          <w:szCs w:val="21"/>
          <w:highlight w:val="none"/>
        </w:rPr>
      </w:pPr>
    </w:p>
    <w:p>
      <w:pPr>
        <w:pStyle w:val="4"/>
        <w:shd w:val="clear"/>
        <w:adjustRightInd/>
        <w:spacing w:line="360" w:lineRule="auto"/>
        <w:ind w:firstLine="562" w:firstLineChars="200"/>
        <w:jc w:val="center"/>
        <w:rPr>
          <w:color w:val="auto"/>
          <w:sz w:val="28"/>
          <w:szCs w:val="28"/>
          <w:highlight w:val="none"/>
        </w:rPr>
      </w:pPr>
      <w:bookmarkStart w:id="59" w:name="_Toc17498"/>
      <w:bookmarkStart w:id="60" w:name="_Toc23741"/>
      <w:bookmarkStart w:id="61" w:name="_Toc7897869"/>
      <w:r>
        <w:rPr>
          <w:rFonts w:hint="eastAsia"/>
          <w:color w:val="auto"/>
          <w:sz w:val="28"/>
          <w:szCs w:val="28"/>
          <w:highlight w:val="none"/>
        </w:rPr>
        <w:t>二、磋商文件说明</w:t>
      </w:r>
      <w:bookmarkEnd w:id="33"/>
      <w:bookmarkEnd w:id="34"/>
      <w:bookmarkEnd w:id="35"/>
      <w:bookmarkEnd w:id="36"/>
      <w:bookmarkEnd w:id="37"/>
      <w:bookmarkEnd w:id="59"/>
      <w:bookmarkEnd w:id="60"/>
      <w:bookmarkEnd w:id="61"/>
    </w:p>
    <w:p>
      <w:pPr>
        <w:pStyle w:val="5"/>
        <w:shd w:val="clear"/>
        <w:adjustRightInd/>
        <w:spacing w:line="360" w:lineRule="auto"/>
        <w:ind w:firstLine="420" w:firstLineChars="200"/>
        <w:rPr>
          <w:rFonts w:hAnsi="宋体"/>
          <w:color w:val="auto"/>
          <w:sz w:val="21"/>
          <w:szCs w:val="21"/>
          <w:highlight w:val="none"/>
        </w:rPr>
      </w:pPr>
      <w:bookmarkStart w:id="62" w:name="_Toc7897870"/>
      <w:bookmarkStart w:id="63" w:name="_Toc110953836"/>
      <w:bookmarkStart w:id="64" w:name="_Toc23606"/>
      <w:bookmarkStart w:id="65" w:name="_Toc29560"/>
      <w:bookmarkStart w:id="66" w:name="_Toc102277758"/>
      <w:bookmarkStart w:id="67" w:name="_Toc6968689"/>
      <w:bookmarkStart w:id="68" w:name="_Toc466786436"/>
      <w:bookmarkStart w:id="69" w:name="_Toc6882677"/>
      <w:bookmarkStart w:id="70" w:name="_Toc507407361"/>
      <w:r>
        <w:rPr>
          <w:rFonts w:hint="eastAsia" w:hAnsi="宋体"/>
          <w:color w:val="auto"/>
          <w:sz w:val="21"/>
          <w:szCs w:val="21"/>
          <w:highlight w:val="none"/>
        </w:rPr>
        <w:t>8.磋商文件构成</w:t>
      </w:r>
      <w:bookmarkEnd w:id="62"/>
      <w:bookmarkEnd w:id="63"/>
      <w:bookmarkEnd w:id="64"/>
      <w:bookmarkEnd w:id="65"/>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8.1磋商文件用以阐明项目情况、评审程序、评审办法、定标标准和合同条款参考范本和响应文件的制作等，由磋商邀请书、供应商须知、用户需求书、合同范本和响应文件格式构成。</w:t>
      </w:r>
    </w:p>
    <w:p>
      <w:pPr>
        <w:pStyle w:val="5"/>
        <w:shd w:val="clear"/>
        <w:adjustRightInd/>
        <w:spacing w:line="360" w:lineRule="auto"/>
        <w:ind w:firstLine="420" w:firstLineChars="200"/>
        <w:rPr>
          <w:rFonts w:hAnsi="宋体"/>
          <w:color w:val="auto"/>
          <w:sz w:val="21"/>
          <w:szCs w:val="21"/>
          <w:highlight w:val="none"/>
        </w:rPr>
      </w:pPr>
      <w:bookmarkStart w:id="71" w:name="_Toc19701"/>
      <w:bookmarkStart w:id="72" w:name="_Toc16827"/>
      <w:bookmarkStart w:id="73" w:name="_Toc7897871"/>
      <w:bookmarkStart w:id="74" w:name="_Toc110953837"/>
      <w:r>
        <w:rPr>
          <w:rFonts w:hint="eastAsia" w:hAnsi="宋体"/>
          <w:color w:val="auto"/>
          <w:sz w:val="21"/>
          <w:szCs w:val="21"/>
          <w:highlight w:val="none"/>
        </w:rPr>
        <w:t>9.磋商文件的修改</w:t>
      </w:r>
      <w:bookmarkEnd w:id="71"/>
      <w:bookmarkEnd w:id="72"/>
      <w:bookmarkEnd w:id="73"/>
      <w:bookmarkEnd w:id="7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3"/>
        <w:shd w:val="clear"/>
        <w:ind w:firstLine="400"/>
        <w:rPr>
          <w:color w:val="auto"/>
          <w:highlight w:val="none"/>
        </w:rPr>
      </w:pPr>
    </w:p>
    <w:bookmarkEnd w:id="66"/>
    <w:bookmarkEnd w:id="67"/>
    <w:bookmarkEnd w:id="68"/>
    <w:bookmarkEnd w:id="69"/>
    <w:bookmarkEnd w:id="70"/>
    <w:p>
      <w:pPr>
        <w:pStyle w:val="4"/>
        <w:shd w:val="clear"/>
        <w:adjustRightInd/>
        <w:spacing w:line="360" w:lineRule="auto"/>
        <w:ind w:firstLine="562" w:firstLineChars="200"/>
        <w:jc w:val="center"/>
        <w:rPr>
          <w:color w:val="auto"/>
          <w:sz w:val="28"/>
          <w:szCs w:val="28"/>
          <w:highlight w:val="none"/>
        </w:rPr>
      </w:pPr>
      <w:bookmarkStart w:id="75" w:name="_Toc110953838"/>
      <w:bookmarkStart w:id="76" w:name="_Toc18245"/>
      <w:bookmarkStart w:id="77" w:name="_Toc15398"/>
      <w:bookmarkStart w:id="78" w:name="_Toc7897872"/>
      <w:bookmarkStart w:id="79" w:name="_Toc507407362"/>
      <w:bookmarkStart w:id="80" w:name="_Toc6968690"/>
      <w:bookmarkStart w:id="81" w:name="_Toc466786437"/>
      <w:bookmarkStart w:id="82" w:name="_Toc6882678"/>
      <w:bookmarkStart w:id="83" w:name="_Toc102277759"/>
      <w:r>
        <w:rPr>
          <w:rFonts w:hint="eastAsia"/>
          <w:color w:val="auto"/>
          <w:sz w:val="28"/>
          <w:szCs w:val="28"/>
          <w:highlight w:val="none"/>
        </w:rPr>
        <w:t>三、响应文件的制作</w:t>
      </w:r>
      <w:bookmarkEnd w:id="75"/>
      <w:bookmarkEnd w:id="76"/>
      <w:bookmarkEnd w:id="77"/>
      <w:bookmarkEnd w:id="78"/>
    </w:p>
    <w:p>
      <w:pPr>
        <w:pStyle w:val="5"/>
        <w:shd w:val="clear"/>
        <w:adjustRightInd/>
        <w:spacing w:line="360" w:lineRule="auto"/>
        <w:ind w:firstLine="420" w:firstLineChars="200"/>
        <w:rPr>
          <w:rFonts w:hAnsi="宋体"/>
          <w:color w:val="auto"/>
          <w:sz w:val="21"/>
          <w:szCs w:val="21"/>
          <w:highlight w:val="none"/>
        </w:rPr>
      </w:pPr>
      <w:bookmarkStart w:id="84" w:name="_Toc7897873"/>
      <w:bookmarkStart w:id="85" w:name="_Toc23789"/>
      <w:bookmarkStart w:id="86" w:name="_Toc110953839"/>
      <w:bookmarkStart w:id="87" w:name="_Toc15756"/>
      <w:r>
        <w:rPr>
          <w:rFonts w:hint="eastAsia" w:hAnsi="宋体"/>
          <w:color w:val="auto"/>
          <w:sz w:val="21"/>
          <w:szCs w:val="21"/>
          <w:highlight w:val="none"/>
        </w:rPr>
        <w:t>10.制作要求</w:t>
      </w:r>
      <w:bookmarkEnd w:id="84"/>
      <w:bookmarkEnd w:id="85"/>
      <w:bookmarkEnd w:id="86"/>
      <w:bookmarkEnd w:id="87"/>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3供应商应提供正本一份、副本四份、唱标信封一份。</w:t>
      </w:r>
      <w:r>
        <w:rPr>
          <w:rFonts w:hint="eastAsia" w:hAnsi="宋体"/>
          <w:color w:val="auto"/>
          <w:sz w:val="21"/>
          <w:szCs w:val="21"/>
          <w:highlight w:val="none"/>
        </w:rPr>
        <w:t>在每一份响应文件上要明确注明“正本”、“副本”或“唱标信封”字样，一旦正本和副本有差异，以正本为准。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5"/>
        <w:shd w:val="clear"/>
        <w:adjustRightInd/>
        <w:spacing w:line="360" w:lineRule="auto"/>
        <w:ind w:firstLine="420" w:firstLineChars="200"/>
        <w:rPr>
          <w:rFonts w:hAnsi="宋体"/>
          <w:color w:val="auto"/>
          <w:sz w:val="21"/>
          <w:szCs w:val="21"/>
          <w:highlight w:val="none"/>
        </w:rPr>
      </w:pPr>
      <w:bookmarkStart w:id="88" w:name="_Toc110953840"/>
      <w:bookmarkStart w:id="89" w:name="_Toc18079"/>
      <w:bookmarkStart w:id="90" w:name="_Toc7897874"/>
      <w:bookmarkStart w:id="91" w:name="_Toc20552"/>
      <w:r>
        <w:rPr>
          <w:rFonts w:hint="eastAsia" w:hAnsi="宋体"/>
          <w:color w:val="auto"/>
          <w:sz w:val="21"/>
          <w:szCs w:val="21"/>
          <w:highlight w:val="none"/>
        </w:rPr>
        <w:t>11.响应文件的内容</w:t>
      </w:r>
      <w:bookmarkEnd w:id="88"/>
      <w:bookmarkEnd w:id="89"/>
      <w:bookmarkEnd w:id="90"/>
      <w:bookmarkEnd w:id="91"/>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hd w:val="clea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供应商每次报价超过预算金额视为非实质性响应磋商而予以拒绝。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5"/>
        <w:shd w:val="clear"/>
        <w:adjustRightInd/>
        <w:spacing w:line="360" w:lineRule="auto"/>
        <w:ind w:firstLine="420" w:firstLineChars="200"/>
        <w:rPr>
          <w:rFonts w:hAnsi="宋体"/>
          <w:color w:val="auto"/>
          <w:sz w:val="21"/>
          <w:szCs w:val="21"/>
          <w:highlight w:val="none"/>
        </w:rPr>
      </w:pPr>
      <w:bookmarkStart w:id="92" w:name="_Toc7897875"/>
      <w:bookmarkStart w:id="93" w:name="_Toc110953841"/>
      <w:bookmarkStart w:id="94" w:name="_Toc21763"/>
      <w:bookmarkStart w:id="95" w:name="_Toc9150"/>
      <w:r>
        <w:rPr>
          <w:rFonts w:hint="eastAsia" w:hAnsi="宋体"/>
          <w:color w:val="auto"/>
          <w:sz w:val="21"/>
          <w:szCs w:val="21"/>
          <w:highlight w:val="none"/>
        </w:rPr>
        <w:t>12.响应文件格式</w:t>
      </w:r>
      <w:bookmarkEnd w:id="92"/>
      <w:bookmarkEnd w:id="93"/>
      <w:bookmarkEnd w:id="94"/>
      <w:bookmarkEnd w:id="95"/>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5"/>
        <w:shd w:val="clear"/>
        <w:adjustRightInd/>
        <w:spacing w:line="360" w:lineRule="auto"/>
        <w:ind w:firstLine="420" w:firstLineChars="200"/>
        <w:rPr>
          <w:rFonts w:hAnsi="宋体"/>
          <w:color w:val="auto"/>
          <w:sz w:val="21"/>
          <w:szCs w:val="21"/>
          <w:highlight w:val="none"/>
        </w:rPr>
      </w:pPr>
      <w:bookmarkStart w:id="96" w:name="_Toc185150707"/>
      <w:bookmarkStart w:id="97" w:name="_Toc30889"/>
      <w:bookmarkStart w:id="98" w:name="_Toc24570"/>
      <w:bookmarkStart w:id="99" w:name="_Toc7897876"/>
      <w:r>
        <w:rPr>
          <w:rFonts w:hint="eastAsia" w:hAnsi="宋体"/>
          <w:color w:val="auto"/>
          <w:sz w:val="21"/>
          <w:szCs w:val="21"/>
          <w:highlight w:val="none"/>
        </w:rPr>
        <w:t>13.</w:t>
      </w:r>
      <w:bookmarkEnd w:id="96"/>
      <w:r>
        <w:rPr>
          <w:rFonts w:hint="eastAsia" w:hAnsi="宋体"/>
          <w:color w:val="auto"/>
          <w:sz w:val="21"/>
          <w:szCs w:val="21"/>
          <w:highlight w:val="none"/>
        </w:rPr>
        <w:t>磋商保证金</w:t>
      </w:r>
      <w:bookmarkEnd w:id="97"/>
      <w:bookmarkEnd w:id="98"/>
      <w:bookmarkEnd w:id="99"/>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shd w:val="clear"/>
              <w:jc w:val="center"/>
              <w:rPr>
                <w:rFonts w:hAnsi="宋体"/>
                <w:color w:val="auto"/>
                <w:sz w:val="21"/>
                <w:szCs w:val="21"/>
                <w:highlight w:val="none"/>
              </w:rPr>
            </w:pPr>
            <w:r>
              <w:rPr>
                <w:rFonts w:hint="eastAsia" w:hAnsi="宋体"/>
                <w:color w:val="auto"/>
                <w:sz w:val="21"/>
                <w:szCs w:val="21"/>
                <w:highlight w:val="none"/>
              </w:rPr>
              <w:t>松山湖国际创新创业社区消防维保服务项目</w:t>
            </w:r>
          </w:p>
        </w:tc>
        <w:tc>
          <w:tcPr>
            <w:tcW w:w="3679" w:type="dxa"/>
            <w:vAlign w:val="center"/>
          </w:tcPr>
          <w:p>
            <w:pPr>
              <w:widowControl/>
              <w:shd w:val="clear"/>
              <w:jc w:val="center"/>
              <w:rPr>
                <w:rFonts w:hAnsi="宋体"/>
                <w:color w:val="auto"/>
                <w:sz w:val="21"/>
                <w:szCs w:val="21"/>
                <w:highlight w:val="none"/>
              </w:rPr>
            </w:pPr>
            <w:r>
              <w:rPr>
                <w:rFonts w:hint="eastAsia" w:hAnsi="宋体"/>
                <w:color w:val="auto"/>
                <w:sz w:val="21"/>
                <w:szCs w:val="21"/>
                <w:highlight w:val="none"/>
              </w:rPr>
              <w:t xml:space="preserve"> 人民币</w:t>
            </w:r>
            <w:r>
              <w:rPr>
                <w:rFonts w:hint="eastAsia" w:hAnsi="宋体"/>
                <w:color w:val="auto"/>
                <w:sz w:val="21"/>
                <w:szCs w:val="21"/>
                <w:highlight w:val="none"/>
                <w:lang w:val="en-US" w:eastAsia="zh-CN"/>
              </w:rPr>
              <w:t>肆</w:t>
            </w:r>
            <w:r>
              <w:rPr>
                <w:rFonts w:hint="eastAsia" w:hAnsi="宋体"/>
                <w:color w:val="auto"/>
                <w:sz w:val="21"/>
                <w:szCs w:val="21"/>
                <w:highlight w:val="none"/>
              </w:rPr>
              <w:t>万</w:t>
            </w:r>
            <w:r>
              <w:rPr>
                <w:rFonts w:hint="eastAsia" w:hAnsi="宋体"/>
                <w:color w:val="auto"/>
                <w:sz w:val="21"/>
                <w:szCs w:val="21"/>
                <w:highlight w:val="none"/>
                <w:lang w:val="en-US" w:eastAsia="zh-CN"/>
              </w:rPr>
              <w:t>肆</w:t>
            </w:r>
            <w:r>
              <w:rPr>
                <w:rFonts w:hint="eastAsia" w:hAnsi="宋体"/>
                <w:color w:val="auto"/>
                <w:sz w:val="21"/>
                <w:szCs w:val="21"/>
                <w:highlight w:val="none"/>
              </w:rPr>
              <w:t>仟</w:t>
            </w:r>
            <w:r>
              <w:rPr>
                <w:rFonts w:hint="eastAsia" w:hAnsi="宋体"/>
                <w:color w:val="auto"/>
                <w:sz w:val="21"/>
                <w:szCs w:val="21"/>
                <w:highlight w:val="none"/>
                <w:lang w:val="en-US" w:eastAsia="zh-CN"/>
              </w:rPr>
              <w:t>捌佰</w:t>
            </w:r>
            <w:r>
              <w:rPr>
                <w:rFonts w:hint="eastAsia" w:hAnsi="宋体"/>
                <w:color w:val="auto"/>
                <w:sz w:val="21"/>
                <w:szCs w:val="21"/>
                <w:highlight w:val="none"/>
              </w:rPr>
              <w:t>元整（¥</w:t>
            </w:r>
            <w:r>
              <w:rPr>
                <w:rFonts w:hint="eastAsia" w:hAnsi="宋体"/>
                <w:color w:val="auto"/>
                <w:sz w:val="21"/>
                <w:szCs w:val="21"/>
                <w:highlight w:val="none"/>
                <w:lang w:val="en-US" w:eastAsia="zh-CN"/>
              </w:rPr>
              <w:t>448</w:t>
            </w:r>
            <w:r>
              <w:rPr>
                <w:rFonts w:hint="eastAsia" w:hAnsi="宋体"/>
                <w:color w:val="auto"/>
                <w:sz w:val="21"/>
                <w:szCs w:val="21"/>
                <w:highlight w:val="none"/>
              </w:rPr>
              <w:t>00.00元）</w:t>
            </w:r>
          </w:p>
        </w:tc>
      </w:tr>
    </w:tbl>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13.2供应商应按要求提交磋商保证金，供应商采用银行转账、</w:t>
      </w:r>
      <w:r>
        <w:rPr>
          <w:rFonts w:hint="eastAsia" w:hAnsi="宋体"/>
          <w:color w:val="auto"/>
          <w:kern w:val="2"/>
          <w:sz w:val="21"/>
          <w:szCs w:val="21"/>
          <w:highlight w:val="none"/>
          <w:lang w:val="zh-CN"/>
        </w:rPr>
        <w:t>电汇</w:t>
      </w:r>
      <w:r>
        <w:rPr>
          <w:rFonts w:hint="eastAsia" w:hAnsi="宋体"/>
          <w:color w:val="auto"/>
          <w:sz w:val="21"/>
          <w:szCs w:val="21"/>
          <w:highlight w:val="none"/>
        </w:rPr>
        <w:t>的形式缴交，磋商供应商与交款人名称必须一致，非磋商供应商缴纳的磋商保证金无效。</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13.3磋商保证金的提交，应符合下列规定： </w:t>
      </w:r>
    </w:p>
    <w:p>
      <w:pPr>
        <w:shd w:val="clea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提交，应符合以下要求：保证金汇入以下磋商保证金专用账户，不接收由以供应商分支机构、私人帐户和其他单位转入的保证金。磋商保证金必须在磋商响应文件递交截止前到账，磋商保证金未按规定时间到达指定账户或提交金额不足的，将被视为无效响应。且在备注或用途中注明本项目的项目编号。</w:t>
      </w:r>
    </w:p>
    <w:p>
      <w:pPr>
        <w:shd w:val="clea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hd w:val="clea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hd w:val="clea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w:t>
      </w:r>
      <w:r>
        <w:rPr>
          <w:rFonts w:hint="eastAsia" w:hAnsi="宋体"/>
          <w:b/>
          <w:bCs/>
          <w:color w:val="auto"/>
          <w:kern w:val="2"/>
          <w:sz w:val="21"/>
          <w:szCs w:val="21"/>
          <w:highlight w:val="none"/>
        </w:rPr>
        <w:t xml:space="preserve"> 6232590699050068475</w:t>
      </w:r>
    </w:p>
    <w:p>
      <w:pPr>
        <w:shd w:val="clea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5"/>
        <w:shd w:val="clear"/>
        <w:adjustRightInd/>
        <w:spacing w:line="360" w:lineRule="auto"/>
        <w:ind w:firstLine="420" w:firstLineChars="200"/>
        <w:rPr>
          <w:rFonts w:hAnsi="宋体"/>
          <w:color w:val="auto"/>
          <w:sz w:val="21"/>
          <w:szCs w:val="21"/>
          <w:highlight w:val="none"/>
        </w:rPr>
      </w:pPr>
      <w:bookmarkStart w:id="100" w:name="_Toc480010709"/>
      <w:bookmarkStart w:id="101" w:name="_Toc2525"/>
      <w:bookmarkStart w:id="102" w:name="_Toc458262615"/>
      <w:bookmarkStart w:id="103" w:name="_Toc480021054"/>
      <w:bookmarkStart w:id="104" w:name="_Toc32304"/>
      <w:bookmarkStart w:id="105" w:name="_Toc480020258"/>
      <w:bookmarkStart w:id="106" w:name="_Toc468606030"/>
      <w:bookmarkStart w:id="107" w:name="_Toc479991583"/>
      <w:bookmarkStart w:id="108" w:name="_Toc110953842"/>
      <w:bookmarkStart w:id="109" w:name="_Toc467236741"/>
      <w:bookmarkStart w:id="110" w:name="_Toc7897877"/>
      <w:bookmarkStart w:id="111" w:name="_Toc454701382"/>
      <w:bookmarkStart w:id="112" w:name="_Toc503758471"/>
      <w:bookmarkStart w:id="113" w:name="_Toc480171880"/>
      <w:bookmarkStart w:id="114" w:name="_Toc468157537"/>
      <w:bookmarkStart w:id="115" w:name="_Toc467987824"/>
      <w:r>
        <w:rPr>
          <w:rFonts w:hint="eastAsia" w:hAnsi="宋体"/>
          <w:color w:val="auto"/>
          <w:sz w:val="21"/>
          <w:szCs w:val="21"/>
          <w:highlight w:val="none"/>
        </w:rPr>
        <w:t>14.响应有效期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3"/>
        <w:shd w:val="clear"/>
        <w:ind w:firstLine="400"/>
        <w:rPr>
          <w:color w:val="auto"/>
          <w:highlight w:val="none"/>
        </w:rPr>
      </w:pPr>
    </w:p>
    <w:bookmarkEnd w:id="79"/>
    <w:bookmarkEnd w:id="80"/>
    <w:bookmarkEnd w:id="81"/>
    <w:bookmarkEnd w:id="82"/>
    <w:bookmarkEnd w:id="83"/>
    <w:p>
      <w:pPr>
        <w:pStyle w:val="4"/>
        <w:shd w:val="clear"/>
        <w:adjustRightInd/>
        <w:spacing w:line="360" w:lineRule="auto"/>
        <w:ind w:firstLine="562" w:firstLineChars="200"/>
        <w:jc w:val="center"/>
        <w:rPr>
          <w:color w:val="auto"/>
          <w:sz w:val="28"/>
          <w:szCs w:val="28"/>
          <w:highlight w:val="none"/>
        </w:rPr>
      </w:pPr>
      <w:bookmarkStart w:id="116" w:name="_Toc110953843"/>
      <w:bookmarkStart w:id="117" w:name="_Toc2740"/>
      <w:bookmarkStart w:id="118" w:name="_Toc17761"/>
      <w:bookmarkStart w:id="119" w:name="_Toc7897878"/>
      <w:bookmarkStart w:id="120" w:name="_Toc102277760"/>
      <w:bookmarkStart w:id="121" w:name="_Toc6882679"/>
      <w:bookmarkStart w:id="122" w:name="_Toc507407363"/>
      <w:bookmarkStart w:id="123" w:name="_Toc6968691"/>
      <w:bookmarkStart w:id="124" w:name="_Toc466786438"/>
      <w:r>
        <w:rPr>
          <w:rFonts w:hint="eastAsia"/>
          <w:color w:val="auto"/>
          <w:sz w:val="28"/>
          <w:szCs w:val="28"/>
          <w:highlight w:val="none"/>
        </w:rPr>
        <w:t>四、响应文件的递交</w:t>
      </w:r>
      <w:bookmarkEnd w:id="116"/>
      <w:bookmarkEnd w:id="117"/>
      <w:bookmarkEnd w:id="118"/>
      <w:bookmarkEnd w:id="119"/>
    </w:p>
    <w:p>
      <w:pPr>
        <w:pStyle w:val="5"/>
        <w:shd w:val="clear"/>
        <w:adjustRightInd/>
        <w:spacing w:line="360" w:lineRule="auto"/>
        <w:ind w:firstLine="420" w:firstLineChars="200"/>
        <w:rPr>
          <w:rFonts w:hAnsi="宋体"/>
          <w:color w:val="auto"/>
          <w:sz w:val="21"/>
          <w:szCs w:val="21"/>
          <w:highlight w:val="none"/>
        </w:rPr>
      </w:pPr>
      <w:bookmarkStart w:id="125" w:name="_Toc7897879"/>
      <w:bookmarkStart w:id="126" w:name="_Toc11500"/>
      <w:bookmarkStart w:id="127" w:name="_Toc110953844"/>
      <w:bookmarkStart w:id="128" w:name="_Toc2684"/>
      <w:r>
        <w:rPr>
          <w:rFonts w:hint="eastAsia" w:hAnsi="宋体"/>
          <w:color w:val="auto"/>
          <w:sz w:val="21"/>
          <w:szCs w:val="21"/>
          <w:highlight w:val="none"/>
        </w:rPr>
        <w:t>15.响应文件的密封和标记</w:t>
      </w:r>
      <w:bookmarkEnd w:id="125"/>
      <w:bookmarkEnd w:id="126"/>
      <w:bookmarkEnd w:id="127"/>
      <w:bookmarkEnd w:id="128"/>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shd w:val="clea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5"/>
        <w:shd w:val="clear"/>
        <w:adjustRightInd/>
        <w:spacing w:line="360" w:lineRule="auto"/>
        <w:ind w:firstLine="420" w:firstLineChars="200"/>
        <w:rPr>
          <w:rFonts w:hAnsi="宋体"/>
          <w:color w:val="auto"/>
          <w:sz w:val="21"/>
          <w:szCs w:val="21"/>
          <w:highlight w:val="none"/>
        </w:rPr>
      </w:pPr>
      <w:bookmarkStart w:id="129" w:name="_Toc7897880"/>
      <w:bookmarkStart w:id="130" w:name="_Toc10017"/>
      <w:bookmarkStart w:id="131" w:name="_Toc12710"/>
      <w:bookmarkStart w:id="132" w:name="_Toc110953845"/>
      <w:r>
        <w:rPr>
          <w:rFonts w:hint="eastAsia" w:hAnsi="宋体"/>
          <w:color w:val="auto"/>
          <w:sz w:val="21"/>
          <w:szCs w:val="21"/>
          <w:highlight w:val="none"/>
        </w:rPr>
        <w:t>16.响应文件的递交</w:t>
      </w:r>
      <w:bookmarkEnd w:id="129"/>
      <w:bookmarkEnd w:id="130"/>
      <w:bookmarkEnd w:id="131"/>
      <w:bookmarkEnd w:id="132"/>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hd w:val="clea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hd w:val="clear"/>
        <w:spacing w:line="360" w:lineRule="auto"/>
        <w:ind w:firstLine="420" w:firstLineChars="200"/>
        <w:rPr>
          <w:rFonts w:hAnsi="宋体"/>
          <w:color w:val="auto"/>
          <w:sz w:val="21"/>
          <w:szCs w:val="21"/>
          <w:highlight w:val="none"/>
        </w:rPr>
      </w:pPr>
    </w:p>
    <w:p>
      <w:pPr>
        <w:pStyle w:val="4"/>
        <w:shd w:val="clear"/>
        <w:adjustRightInd/>
        <w:spacing w:line="360" w:lineRule="auto"/>
        <w:ind w:firstLine="562" w:firstLineChars="200"/>
        <w:jc w:val="center"/>
        <w:rPr>
          <w:color w:val="auto"/>
          <w:sz w:val="28"/>
          <w:szCs w:val="28"/>
          <w:highlight w:val="none"/>
        </w:rPr>
      </w:pPr>
      <w:bookmarkStart w:id="133" w:name="_Toc22874"/>
      <w:bookmarkStart w:id="134" w:name="_Toc3138"/>
      <w:bookmarkStart w:id="135" w:name="_Toc7897881"/>
      <w:r>
        <w:rPr>
          <w:rFonts w:hint="eastAsia"/>
          <w:color w:val="auto"/>
          <w:sz w:val="28"/>
          <w:szCs w:val="28"/>
          <w:highlight w:val="none"/>
        </w:rPr>
        <w:t>五、采购仪式和</w:t>
      </w:r>
      <w:bookmarkEnd w:id="120"/>
      <w:bookmarkEnd w:id="121"/>
      <w:bookmarkEnd w:id="122"/>
      <w:bookmarkEnd w:id="123"/>
      <w:bookmarkEnd w:id="124"/>
      <w:r>
        <w:rPr>
          <w:rFonts w:hint="eastAsia"/>
          <w:color w:val="auto"/>
          <w:sz w:val="28"/>
          <w:szCs w:val="28"/>
          <w:highlight w:val="none"/>
        </w:rPr>
        <w:t>评审会议</w:t>
      </w:r>
      <w:bookmarkEnd w:id="133"/>
      <w:bookmarkEnd w:id="134"/>
      <w:bookmarkEnd w:id="135"/>
    </w:p>
    <w:p>
      <w:pPr>
        <w:pStyle w:val="5"/>
        <w:shd w:val="clear"/>
        <w:adjustRightInd/>
        <w:spacing w:line="360" w:lineRule="auto"/>
        <w:ind w:firstLine="422" w:firstLineChars="200"/>
        <w:rPr>
          <w:rFonts w:hAnsi="宋体"/>
          <w:b/>
          <w:color w:val="auto"/>
          <w:sz w:val="21"/>
          <w:szCs w:val="21"/>
          <w:highlight w:val="none"/>
        </w:rPr>
      </w:pPr>
      <w:bookmarkStart w:id="136" w:name="_Toc475249134"/>
      <w:r>
        <w:rPr>
          <w:rFonts w:hint="eastAsia" w:hAnsi="宋体"/>
          <w:b/>
          <w:color w:val="auto"/>
          <w:sz w:val="21"/>
          <w:szCs w:val="21"/>
          <w:highlight w:val="none"/>
        </w:rPr>
        <w:t>17.</w:t>
      </w:r>
      <w:bookmarkEnd w:id="136"/>
      <w:r>
        <w:rPr>
          <w:rFonts w:hint="eastAsia" w:hAnsi="宋体"/>
          <w:b/>
          <w:color w:val="auto"/>
          <w:sz w:val="21"/>
          <w:szCs w:val="21"/>
          <w:highlight w:val="none"/>
        </w:rPr>
        <w:t>开启响应文件</w:t>
      </w:r>
    </w:p>
    <w:p>
      <w:pPr>
        <w:shd w:val="clear"/>
        <w:spacing w:line="360" w:lineRule="auto"/>
        <w:ind w:firstLine="420" w:firstLineChars="200"/>
        <w:rPr>
          <w:rFonts w:hAnsi="宋体"/>
          <w:color w:val="auto"/>
          <w:sz w:val="21"/>
          <w:szCs w:val="21"/>
          <w:highlight w:val="none"/>
        </w:rPr>
      </w:pPr>
      <w:bookmarkStart w:id="137" w:name="_Toc475249135"/>
      <w:bookmarkStart w:id="138"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记录。</w:t>
      </w:r>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7"/>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18.1采购代理机构将根据项目特点组建磋商小组，磋商小组由采购人代表和评审专家共3人或以上单数组成，其中评审专家人数不得少于磋商小组成员总数的2/3。</w:t>
      </w:r>
    </w:p>
    <w:p>
      <w:pPr>
        <w:pStyle w:val="5"/>
        <w:shd w:val="clear"/>
        <w:adjustRightInd/>
        <w:spacing w:line="360" w:lineRule="auto"/>
        <w:ind w:firstLine="422" w:firstLineChars="200"/>
        <w:rPr>
          <w:rFonts w:hAnsi="宋体"/>
          <w:b/>
          <w:color w:val="auto"/>
          <w:sz w:val="21"/>
          <w:szCs w:val="21"/>
          <w:highlight w:val="none"/>
        </w:rPr>
      </w:pPr>
      <w:bookmarkStart w:id="139" w:name="_Toc37121259"/>
      <w:bookmarkStart w:id="140" w:name="_Toc535141844"/>
      <w:r>
        <w:rPr>
          <w:rFonts w:hint="eastAsia" w:hAnsi="宋体"/>
          <w:b/>
          <w:color w:val="auto"/>
          <w:sz w:val="21"/>
          <w:szCs w:val="21"/>
          <w:highlight w:val="none"/>
        </w:rPr>
        <w:t>19.对响应文件的初审</w:t>
      </w:r>
      <w:bookmarkEnd w:id="139"/>
      <w:bookmarkEnd w:id="140"/>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8"/>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3"/>
        <w:shd w:val="clear"/>
        <w:ind w:firstLine="400"/>
        <w:rPr>
          <w:color w:val="auto"/>
          <w:highlight w:val="none"/>
        </w:rPr>
      </w:pPr>
    </w:p>
    <w:p>
      <w:pPr>
        <w:pStyle w:val="4"/>
        <w:shd w:val="clear"/>
        <w:adjustRightInd/>
        <w:spacing w:line="360" w:lineRule="auto"/>
        <w:ind w:firstLine="562" w:firstLineChars="200"/>
        <w:jc w:val="center"/>
        <w:rPr>
          <w:color w:val="auto"/>
          <w:sz w:val="28"/>
          <w:szCs w:val="28"/>
          <w:highlight w:val="none"/>
        </w:rPr>
      </w:pPr>
      <w:bookmarkStart w:id="141" w:name="_Toc21174"/>
      <w:bookmarkStart w:id="142" w:name="_Toc18625"/>
      <w:bookmarkStart w:id="143" w:name="_Toc7897882"/>
      <w:r>
        <w:rPr>
          <w:rFonts w:hint="eastAsia"/>
          <w:color w:val="auto"/>
          <w:sz w:val="28"/>
          <w:szCs w:val="28"/>
          <w:highlight w:val="none"/>
        </w:rPr>
        <w:t>六、确定成交供应商</w:t>
      </w:r>
      <w:bookmarkEnd w:id="141"/>
      <w:bookmarkEnd w:id="142"/>
      <w:bookmarkEnd w:id="143"/>
    </w:p>
    <w:p>
      <w:pPr>
        <w:pStyle w:val="5"/>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5"/>
        <w:shd w:val="clear"/>
        <w:adjustRightInd/>
        <w:spacing w:line="360" w:lineRule="auto"/>
        <w:ind w:firstLine="422"/>
        <w:rPr>
          <w:b/>
          <w:color w:val="auto"/>
          <w:sz w:val="21"/>
          <w:szCs w:val="21"/>
          <w:highlight w:val="none"/>
        </w:rPr>
      </w:pPr>
      <w:r>
        <w:rPr>
          <w:rFonts w:hint="eastAsia"/>
          <w:b/>
          <w:color w:val="auto"/>
          <w:sz w:val="21"/>
          <w:szCs w:val="21"/>
          <w:highlight w:val="none"/>
        </w:rPr>
        <w:t>25.资格后审</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5"/>
        <w:shd w:val="clear"/>
        <w:adjustRightInd/>
        <w:spacing w:line="360" w:lineRule="auto"/>
        <w:ind w:firstLine="422" w:firstLineChars="200"/>
        <w:rPr>
          <w:rFonts w:hAnsi="宋体"/>
          <w:b/>
          <w:color w:val="auto"/>
          <w:sz w:val="21"/>
          <w:szCs w:val="21"/>
          <w:highlight w:val="none"/>
        </w:rPr>
      </w:pPr>
      <w:bookmarkStart w:id="144" w:name="_Toc475249142"/>
      <w:r>
        <w:rPr>
          <w:rFonts w:hint="eastAsia" w:hAnsi="宋体"/>
          <w:b/>
          <w:color w:val="auto"/>
          <w:sz w:val="21"/>
          <w:szCs w:val="21"/>
          <w:highlight w:val="none"/>
        </w:rPr>
        <w:t>26.成交通知</w:t>
      </w:r>
      <w:bookmarkEnd w:id="14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13"/>
        <w:shd w:val="clear"/>
        <w:ind w:firstLine="400"/>
        <w:rPr>
          <w:color w:val="auto"/>
          <w:highlight w:val="none"/>
        </w:rPr>
      </w:pPr>
    </w:p>
    <w:p>
      <w:pPr>
        <w:pStyle w:val="4"/>
        <w:shd w:val="clear"/>
        <w:adjustRightInd/>
        <w:spacing w:line="360" w:lineRule="auto"/>
        <w:ind w:firstLine="562" w:firstLineChars="200"/>
        <w:jc w:val="center"/>
        <w:rPr>
          <w:color w:val="auto"/>
          <w:sz w:val="28"/>
          <w:szCs w:val="28"/>
          <w:highlight w:val="none"/>
        </w:rPr>
      </w:pPr>
      <w:bookmarkStart w:id="145" w:name="_Toc28276"/>
      <w:bookmarkStart w:id="146" w:name="_Toc20980"/>
      <w:bookmarkStart w:id="147" w:name="_Toc110953852"/>
      <w:bookmarkStart w:id="148" w:name="_Toc37756778"/>
      <w:bookmarkStart w:id="149" w:name="_Toc7897883"/>
      <w:bookmarkStart w:id="150" w:name="_Toc475249143"/>
      <w:r>
        <w:rPr>
          <w:rFonts w:hint="eastAsia"/>
          <w:color w:val="auto"/>
          <w:sz w:val="28"/>
          <w:szCs w:val="28"/>
          <w:highlight w:val="none"/>
        </w:rPr>
        <w:t>七、签订采购合同</w:t>
      </w:r>
      <w:bookmarkEnd w:id="145"/>
      <w:bookmarkEnd w:id="146"/>
      <w:bookmarkEnd w:id="147"/>
      <w:bookmarkEnd w:id="148"/>
      <w:bookmarkEnd w:id="149"/>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银行履约保函；□担保公司履约担保书。履约担保金额：人民币壹拾万元整。履约担保账户：采购人指定账户。</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shd w:val="clear"/>
        <w:rPr>
          <w:color w:val="auto"/>
          <w:highlight w:val="none"/>
        </w:rPr>
      </w:pPr>
    </w:p>
    <w:bookmarkEnd w:id="150"/>
    <w:p>
      <w:pPr>
        <w:pStyle w:val="4"/>
        <w:shd w:val="clear"/>
        <w:adjustRightInd/>
        <w:spacing w:line="360" w:lineRule="auto"/>
        <w:ind w:firstLine="562" w:firstLineChars="200"/>
        <w:jc w:val="center"/>
        <w:rPr>
          <w:color w:val="auto"/>
          <w:sz w:val="21"/>
          <w:szCs w:val="21"/>
          <w:highlight w:val="none"/>
        </w:rPr>
      </w:pPr>
      <w:bookmarkStart w:id="151" w:name="_Toc152"/>
      <w:bookmarkStart w:id="152" w:name="_Toc8766"/>
      <w:bookmarkStart w:id="153" w:name="_Toc7897884"/>
      <w:bookmarkStart w:id="154" w:name="_Toc3498"/>
      <w:bookmarkStart w:id="155" w:name="_Toc396137239"/>
      <w:bookmarkStart w:id="156" w:name="_Toc5141"/>
      <w:bookmarkStart w:id="157" w:name="_Toc396137240"/>
      <w:bookmarkStart w:id="158" w:name="_Toc22751"/>
      <w:r>
        <w:rPr>
          <w:rFonts w:hint="eastAsia"/>
          <w:color w:val="auto"/>
          <w:sz w:val="28"/>
          <w:szCs w:val="28"/>
          <w:highlight w:val="none"/>
        </w:rPr>
        <w:t>八、成交服务费</w:t>
      </w:r>
      <w:bookmarkEnd w:id="151"/>
      <w:bookmarkEnd w:id="152"/>
      <w:bookmarkEnd w:id="153"/>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柒仟元整。</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32.4服务费应由成交供应商在采购结果公示发出之后，成交供应商收到《成交服务费收取通知书》后交纳，不在报价中单列。</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13"/>
        <w:shd w:val="clear"/>
        <w:ind w:firstLine="400"/>
        <w:rPr>
          <w:color w:val="auto"/>
          <w:highlight w:val="none"/>
        </w:rPr>
      </w:pPr>
    </w:p>
    <w:p>
      <w:pPr>
        <w:pStyle w:val="4"/>
        <w:shd w:val="clear"/>
        <w:adjustRightInd/>
        <w:spacing w:line="360" w:lineRule="auto"/>
        <w:ind w:firstLine="562" w:firstLineChars="200"/>
        <w:jc w:val="center"/>
        <w:rPr>
          <w:color w:val="auto"/>
          <w:sz w:val="28"/>
          <w:szCs w:val="28"/>
          <w:highlight w:val="none"/>
          <w:lang w:val="zh-CN"/>
        </w:rPr>
      </w:pPr>
      <w:bookmarkStart w:id="159" w:name="_Toc17153"/>
      <w:r>
        <w:rPr>
          <w:rFonts w:hint="eastAsia"/>
          <w:color w:val="auto"/>
          <w:sz w:val="28"/>
          <w:szCs w:val="28"/>
          <w:highlight w:val="none"/>
          <w:lang w:val="zh-CN"/>
        </w:rPr>
        <w:t>九、质疑与回复</w:t>
      </w:r>
      <w:bookmarkEnd w:id="154"/>
      <w:bookmarkEnd w:id="155"/>
      <w:bookmarkEnd w:id="156"/>
      <w:bookmarkEnd w:id="159"/>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hd w:val="clea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冼小姐/0769-22652033；联系地址：广东省东莞市南城街道科创路100号2栋1302室。</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hd w:val="clear"/>
        <w:spacing w:line="360" w:lineRule="auto"/>
        <w:ind w:firstLine="420" w:firstLineChars="200"/>
        <w:rPr>
          <w:bCs/>
          <w:color w:val="auto"/>
          <w:sz w:val="21"/>
          <w:szCs w:val="21"/>
          <w:highlight w:val="none"/>
        </w:rPr>
      </w:pPr>
      <w:bookmarkStart w:id="160"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采购监督管理部门提出投诉。投诉事项应该是经过质疑的事项。</w:t>
      </w:r>
      <w:bookmarkEnd w:id="160"/>
    </w:p>
    <w:p>
      <w:pPr>
        <w:pStyle w:val="3"/>
        <w:keepNext/>
        <w:keepLines/>
        <w:pageBreakBefore/>
        <w:numPr>
          <w:ilvl w:val="0"/>
          <w:numId w:val="10"/>
        </w:numPr>
        <w:shd w:val="clea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1" w:name="_Toc22134"/>
      <w:r>
        <w:rPr>
          <w:rFonts w:hint="eastAsia" w:hAnsi="宋体"/>
          <w:b/>
          <w:bCs/>
          <w:color w:val="auto"/>
          <w:kern w:val="44"/>
          <w:sz w:val="28"/>
          <w:szCs w:val="28"/>
          <w:highlight w:val="none"/>
          <w:lang w:val="zh-CN"/>
        </w:rPr>
        <w:t>用户需求书</w:t>
      </w:r>
      <w:bookmarkEnd w:id="157"/>
      <w:bookmarkEnd w:id="158"/>
      <w:bookmarkEnd w:id="161"/>
    </w:p>
    <w:p>
      <w:pPr>
        <w:pStyle w:val="5"/>
        <w:shd w:val="clear"/>
        <w:spacing w:line="360" w:lineRule="auto"/>
        <w:jc w:val="center"/>
        <w:rPr>
          <w:rFonts w:hAnsi="宋体"/>
          <w:b/>
          <w:bCs/>
          <w:color w:val="auto"/>
          <w:highlight w:val="none"/>
        </w:rPr>
      </w:pPr>
      <w:bookmarkStart w:id="162" w:name="_Toc15266"/>
      <w:bookmarkStart w:id="163" w:name="_Toc1593"/>
      <w:bookmarkStart w:id="164" w:name="_Toc308786492"/>
      <w:bookmarkStart w:id="165" w:name="_Toc20858"/>
      <w:bookmarkStart w:id="166" w:name="_Toc13957"/>
      <w:r>
        <w:rPr>
          <w:rFonts w:hint="eastAsia" w:hAnsi="宋体"/>
          <w:b/>
          <w:bCs/>
          <w:color w:val="auto"/>
          <w:highlight w:val="none"/>
        </w:rPr>
        <w:t>第一章 商务需求书</w:t>
      </w:r>
      <w:bookmarkEnd w:id="162"/>
      <w:bookmarkEnd w:id="163"/>
    </w:p>
    <w:tbl>
      <w:tblPr>
        <w:tblStyle w:val="52"/>
        <w:tblW w:w="80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57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序号</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条款名称</w:t>
            </w:r>
          </w:p>
        </w:tc>
        <w:tc>
          <w:tcPr>
            <w:tcW w:w="579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1</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合格供应商</w:t>
            </w:r>
          </w:p>
        </w:tc>
        <w:tc>
          <w:tcPr>
            <w:tcW w:w="5799" w:type="dxa"/>
            <w:vAlign w:val="center"/>
          </w:tcPr>
          <w:p>
            <w:pPr>
              <w:pStyle w:val="144"/>
              <w:shd w:val="clear"/>
              <w:rPr>
                <w:rFonts w:ascii="宋体" w:hAnsi="宋体"/>
                <w:bCs/>
                <w:color w:val="auto"/>
                <w:kern w:val="44"/>
                <w:szCs w:val="21"/>
                <w:highlight w:val="none"/>
              </w:rPr>
            </w:pPr>
            <w:r>
              <w:rPr>
                <w:rFonts w:hint="eastAsia" w:ascii="宋体" w:hAnsi="宋体"/>
                <w:color w:val="auto"/>
                <w:szCs w:val="21"/>
                <w:highlight w:val="none"/>
              </w:rPr>
              <w:t>详见“第一篇 磋商邀请书”中“二、供应商资格要求”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2</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服务期</w:t>
            </w:r>
          </w:p>
        </w:tc>
        <w:tc>
          <w:tcPr>
            <w:tcW w:w="5799" w:type="dxa"/>
            <w:vAlign w:val="center"/>
          </w:tcPr>
          <w:p>
            <w:pPr>
              <w:pStyle w:val="62"/>
              <w:shd w:val="clear"/>
              <w:spacing w:line="360" w:lineRule="auto"/>
              <w:ind w:firstLine="420"/>
              <w:rPr>
                <w:rFonts w:hAnsi="宋体"/>
                <w:color w:val="auto"/>
                <w:sz w:val="21"/>
                <w:szCs w:val="21"/>
                <w:highlight w:val="none"/>
              </w:rPr>
            </w:pPr>
            <w:r>
              <w:rPr>
                <w:rFonts w:hint="eastAsia" w:hAnsi="宋体"/>
                <w:color w:val="auto"/>
                <w:sz w:val="21"/>
                <w:szCs w:val="21"/>
                <w:highlight w:val="none"/>
                <w:lang w:val="en-US"/>
              </w:rPr>
              <w:t>自合同签订之日起3年</w:t>
            </w:r>
            <w:r>
              <w:rPr>
                <w:rFonts w:hint="eastAsia" w:hAnsi="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3</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付款方式</w:t>
            </w:r>
          </w:p>
        </w:tc>
        <w:tc>
          <w:tcPr>
            <w:tcW w:w="5799" w:type="dxa"/>
            <w:vAlign w:val="center"/>
          </w:tcPr>
          <w:p>
            <w:pPr>
              <w:shd w:val="clear"/>
              <w:ind w:firstLine="420" w:firstLineChars="200"/>
              <w:rPr>
                <w:rFonts w:hAnsi="宋体"/>
                <w:color w:val="auto"/>
                <w:sz w:val="21"/>
                <w:szCs w:val="21"/>
                <w:highlight w:val="none"/>
              </w:rPr>
            </w:pPr>
            <w:r>
              <w:rPr>
                <w:rFonts w:hint="eastAsia" w:hAnsi="宋体"/>
                <w:color w:val="auto"/>
                <w:sz w:val="21"/>
                <w:szCs w:val="21"/>
                <w:highlight w:val="none"/>
              </w:rPr>
              <w:t>1、每月考核，按季度支付，支付比例为当期维保费用的97%，合同期满且办理结算后，支付除质保金以外的款项。每次付款需开具合同款等额增值税专用发票及附上每次的维保报告，采购人在二十个工作日内支付，付款方式为银行转账。</w:t>
            </w:r>
          </w:p>
          <w:p>
            <w:pPr>
              <w:shd w:val="clear"/>
              <w:ind w:firstLine="420" w:firstLineChars="200"/>
              <w:rPr>
                <w:color w:val="auto"/>
                <w:sz w:val="21"/>
                <w:szCs w:val="21"/>
                <w:highlight w:val="none"/>
              </w:rPr>
            </w:pPr>
            <w:r>
              <w:rPr>
                <w:rFonts w:hint="eastAsia" w:hAnsi="宋体"/>
                <w:color w:val="auto"/>
                <w:sz w:val="21"/>
                <w:szCs w:val="21"/>
                <w:highlight w:val="none"/>
              </w:rPr>
              <w:t>2、每次付款前供应商须提供正规合法的税率为6%增值税专用发票。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4</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项目地点</w:t>
            </w:r>
          </w:p>
        </w:tc>
        <w:tc>
          <w:tcPr>
            <w:tcW w:w="5799" w:type="dxa"/>
            <w:vAlign w:val="center"/>
          </w:tcPr>
          <w:p>
            <w:pPr>
              <w:shd w:val="clear"/>
              <w:ind w:firstLine="420" w:firstLineChars="200"/>
              <w:rPr>
                <w:rFonts w:hAnsi="宋体"/>
                <w:color w:val="auto"/>
                <w:sz w:val="21"/>
                <w:szCs w:val="21"/>
                <w:highlight w:val="none"/>
              </w:rPr>
            </w:pPr>
            <w:r>
              <w:rPr>
                <w:rFonts w:hint="eastAsia" w:hAnsi="宋体"/>
                <w:color w:val="auto"/>
                <w:sz w:val="21"/>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5</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报价要求</w:t>
            </w:r>
          </w:p>
        </w:tc>
        <w:tc>
          <w:tcPr>
            <w:tcW w:w="5799" w:type="dxa"/>
            <w:vAlign w:val="center"/>
          </w:tcPr>
          <w:p>
            <w:pPr>
              <w:pStyle w:val="19"/>
              <w:numPr>
                <w:ilvl w:val="255"/>
                <w:numId w:val="0"/>
              </w:numPr>
              <w:shd w:val="clear"/>
              <w:ind w:firstLine="210" w:firstLineChars="100"/>
              <w:rPr>
                <w:rFonts w:hAnsi="宋体"/>
                <w:color w:val="auto"/>
                <w:szCs w:val="21"/>
                <w:highlight w:val="none"/>
              </w:rPr>
            </w:pPr>
            <w:r>
              <w:rPr>
                <w:rFonts w:hint="eastAsia" w:asciiTheme="minorEastAsia" w:hAnsiTheme="minorEastAsia" w:eastAsiaTheme="minorEastAsia" w:cstheme="minorEastAsia"/>
                <w:color w:val="auto"/>
                <w:szCs w:val="21"/>
                <w:highlight w:val="none"/>
              </w:rPr>
              <w:t>1、本项目综合维保费按</w:t>
            </w:r>
            <w:r>
              <w:rPr>
                <w:rFonts w:hint="eastAsia" w:hAnsi="宋体"/>
                <w:color w:val="auto"/>
                <w:szCs w:val="21"/>
                <w:highlight w:val="none"/>
              </w:rPr>
              <w:t>月度费用包干</w:t>
            </w:r>
            <w:r>
              <w:rPr>
                <w:rFonts w:hint="eastAsia" w:asciiTheme="minorEastAsia" w:hAnsiTheme="minorEastAsia" w:eastAsiaTheme="minorEastAsia" w:cstheme="minorEastAsia"/>
                <w:color w:val="auto"/>
                <w:szCs w:val="21"/>
                <w:highlight w:val="none"/>
              </w:rPr>
              <w:t>进行报价</w:t>
            </w:r>
            <w:r>
              <w:rPr>
                <w:rFonts w:hint="eastAsia" w:hAnsi="宋体"/>
                <w:color w:val="auto"/>
                <w:szCs w:val="21"/>
                <w:highlight w:val="none"/>
              </w:rPr>
              <w:t>：不高于</w:t>
            </w:r>
            <w:r>
              <w:rPr>
                <w:rFonts w:hint="eastAsia" w:hAnsi="宋体"/>
                <w:color w:val="auto"/>
                <w:szCs w:val="21"/>
                <w:highlight w:val="none"/>
                <w:u w:val="single"/>
              </w:rPr>
              <w:t xml:space="preserve"> 49779.17</w:t>
            </w:r>
            <w:r>
              <w:rPr>
                <w:rFonts w:hint="eastAsia" w:hAnsi="宋体"/>
                <w:color w:val="auto"/>
                <w:szCs w:val="21"/>
                <w:highlight w:val="none"/>
              </w:rPr>
              <w:t>元/月，服务期36个月，总价不高于</w:t>
            </w:r>
            <w:r>
              <w:rPr>
                <w:rFonts w:hint="eastAsia" w:hAnsi="宋体"/>
                <w:color w:val="auto"/>
                <w:szCs w:val="21"/>
                <w:highlight w:val="none"/>
                <w:u w:val="single"/>
              </w:rPr>
              <w:t>1792050.12元</w:t>
            </w:r>
            <w:r>
              <w:rPr>
                <w:rFonts w:hint="eastAsia" w:hAnsi="宋体"/>
                <w:color w:val="auto"/>
                <w:szCs w:val="21"/>
                <w:highlight w:val="none"/>
              </w:rPr>
              <w:t>。</w:t>
            </w:r>
          </w:p>
          <w:p>
            <w:pPr>
              <w:pStyle w:val="19"/>
              <w:numPr>
                <w:ilvl w:val="255"/>
                <w:numId w:val="0"/>
              </w:numPr>
              <w:shd w:val="clear"/>
              <w:ind w:firstLine="210" w:firstLineChars="100"/>
              <w:rPr>
                <w:rFonts w:asciiTheme="minorEastAsia" w:hAnsiTheme="minorEastAsia" w:eastAsiaTheme="minorEastAsia" w:cstheme="minorEastAsia"/>
                <w:color w:val="auto"/>
                <w:szCs w:val="21"/>
                <w:highlight w:val="none"/>
              </w:rPr>
            </w:pPr>
            <w:r>
              <w:rPr>
                <w:rFonts w:hint="eastAsia" w:hAnsi="宋体"/>
                <w:color w:val="auto"/>
                <w:szCs w:val="21"/>
                <w:highlight w:val="none"/>
              </w:rPr>
              <w:t>2、维修费（含零配件费用）为暂列金额，按</w:t>
            </w:r>
            <w:r>
              <w:rPr>
                <w:rFonts w:hint="eastAsia" w:asciiTheme="minorEastAsia" w:hAnsiTheme="minorEastAsia" w:eastAsiaTheme="minorEastAsia" w:cstheme="minorEastAsia"/>
                <w:color w:val="auto"/>
                <w:szCs w:val="21"/>
                <w:highlight w:val="none"/>
              </w:rPr>
              <w:t>综合维保费总报价的25%计算，按实际发生进行结算。</w:t>
            </w:r>
          </w:p>
          <w:p>
            <w:pPr>
              <w:pStyle w:val="19"/>
              <w:shd w:val="clear"/>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3、应包括招标文件要求全部货物及服务所需的费用、履行合同所有相关内容所需的费用、国家规定的所有税费及其他一切隐含或不可预见的费用。</w:t>
            </w:r>
          </w:p>
          <w:p>
            <w:pPr>
              <w:pStyle w:val="19"/>
              <w:shd w:val="clear"/>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4、供应商自行对本服务项目范围内的现场及周边环境进行踏勘，收集相关资料，并承担由此所发生的费用以及责任、风险。</w:t>
            </w:r>
          </w:p>
          <w:p>
            <w:pPr>
              <w:pStyle w:val="19"/>
              <w:shd w:val="clear"/>
              <w:ind w:firstLine="210" w:firstLineChars="100"/>
              <w:rPr>
                <w:rFonts w:ascii="宋体" w:hAnsi="宋体"/>
                <w:color w:val="auto"/>
                <w:szCs w:val="21"/>
                <w:highlight w:val="none"/>
              </w:rPr>
            </w:pPr>
            <w:r>
              <w:rPr>
                <w:rFonts w:hint="eastAsia" w:asciiTheme="minorEastAsia" w:hAnsiTheme="minorEastAsia" w:eastAsiaTheme="minorEastAsia" w:cstheme="minorEastAsia"/>
                <w:color w:val="auto"/>
                <w:szCs w:val="21"/>
                <w:highlight w:val="none"/>
              </w:rPr>
              <w:t>5、在合同期间，投标总报价不随国家政策或法规、标准、市场因素及采购数量的变化而进行调整。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6</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磋商响应有效期</w:t>
            </w:r>
          </w:p>
        </w:tc>
        <w:tc>
          <w:tcPr>
            <w:tcW w:w="5799" w:type="dxa"/>
            <w:vAlign w:val="center"/>
          </w:tcPr>
          <w:p>
            <w:pPr>
              <w:shd w:val="clear"/>
              <w:tabs>
                <w:tab w:val="center" w:pos="3125"/>
              </w:tabs>
              <w:ind w:firstLine="420" w:firstLineChars="200"/>
              <w:rPr>
                <w:rFonts w:hAnsi="宋体"/>
                <w:color w:val="auto"/>
                <w:sz w:val="21"/>
                <w:szCs w:val="21"/>
                <w:highlight w:val="none"/>
              </w:rPr>
            </w:pPr>
            <w:r>
              <w:rPr>
                <w:rFonts w:hint="eastAsia" w:hAnsi="宋体"/>
                <w:color w:val="auto"/>
                <w:sz w:val="21"/>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7</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合同条款</w:t>
            </w:r>
          </w:p>
        </w:tc>
        <w:tc>
          <w:tcPr>
            <w:tcW w:w="5799" w:type="dxa"/>
            <w:vAlign w:val="center"/>
          </w:tcPr>
          <w:p>
            <w:pPr>
              <w:shd w:val="clear"/>
              <w:ind w:firstLine="420" w:firstLineChars="200"/>
              <w:rPr>
                <w:rFonts w:hAnsi="宋体"/>
                <w:color w:val="auto"/>
                <w:sz w:val="21"/>
                <w:szCs w:val="21"/>
                <w:highlight w:val="none"/>
              </w:rPr>
            </w:pPr>
            <w:r>
              <w:rPr>
                <w:rFonts w:hint="eastAsia" w:hAnsi="宋体"/>
                <w:color w:val="auto"/>
                <w:sz w:val="21"/>
                <w:szCs w:val="21"/>
                <w:highlight w:val="none"/>
              </w:rPr>
              <w:t>供应商实质响应合同各条款。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8</w:t>
            </w:r>
          </w:p>
        </w:tc>
        <w:tc>
          <w:tcPr>
            <w:tcW w:w="1501" w:type="dxa"/>
            <w:vAlign w:val="center"/>
          </w:tcPr>
          <w:p>
            <w:pPr>
              <w:shd w:val="clear"/>
              <w:jc w:val="center"/>
              <w:rPr>
                <w:rFonts w:hAnsi="宋体"/>
                <w:color w:val="auto"/>
                <w:sz w:val="21"/>
                <w:szCs w:val="21"/>
                <w:highlight w:val="none"/>
              </w:rPr>
            </w:pPr>
            <w:r>
              <w:rPr>
                <w:rFonts w:hint="eastAsia"/>
                <w:color w:val="auto"/>
                <w:sz w:val="21"/>
                <w:szCs w:val="21"/>
                <w:highlight w:val="none"/>
              </w:rPr>
              <w:t>其他服务要求</w:t>
            </w:r>
          </w:p>
        </w:tc>
        <w:tc>
          <w:tcPr>
            <w:tcW w:w="5799" w:type="dxa"/>
            <w:vAlign w:val="center"/>
          </w:tcPr>
          <w:p>
            <w:pPr>
              <w:shd w:val="clear"/>
              <w:ind w:firstLine="420" w:firstLineChars="200"/>
              <w:rPr>
                <w:rFonts w:hAnsi="宋体"/>
                <w:color w:val="auto"/>
                <w:sz w:val="21"/>
                <w:szCs w:val="21"/>
                <w:highlight w:val="none"/>
              </w:rPr>
            </w:pPr>
            <w:r>
              <w:rPr>
                <w:rFonts w:hint="eastAsia"/>
                <w:color w:val="auto"/>
                <w:sz w:val="21"/>
                <w:szCs w:val="21"/>
                <w:highlight w:val="none"/>
              </w:rPr>
              <w:t>详见技术需求书。</w:t>
            </w:r>
          </w:p>
        </w:tc>
      </w:tr>
    </w:tbl>
    <w:p>
      <w:pPr>
        <w:shd w:val="clear"/>
        <w:spacing w:line="360" w:lineRule="auto"/>
        <w:jc w:val="center"/>
        <w:rPr>
          <w:rFonts w:hAnsi="宋体"/>
          <w:b/>
          <w:bCs/>
          <w:color w:val="auto"/>
          <w:highlight w:val="none"/>
        </w:rPr>
      </w:pPr>
      <w:bookmarkStart w:id="167" w:name="_Toc19316"/>
      <w:bookmarkStart w:id="168" w:name="_Toc30066"/>
    </w:p>
    <w:p>
      <w:pPr>
        <w:shd w:val="clear"/>
        <w:rPr>
          <w:rFonts w:hAnsi="宋体"/>
          <w:b/>
          <w:bCs/>
          <w:color w:val="auto"/>
          <w:highlight w:val="none"/>
        </w:rPr>
      </w:pPr>
      <w:r>
        <w:rPr>
          <w:rFonts w:hint="eastAsia" w:hAnsi="宋体"/>
          <w:b/>
          <w:bCs/>
          <w:color w:val="auto"/>
          <w:highlight w:val="none"/>
        </w:rPr>
        <w:br w:type="page"/>
      </w:r>
    </w:p>
    <w:p>
      <w:pPr>
        <w:pStyle w:val="5"/>
        <w:shd w:val="clear"/>
        <w:spacing w:line="360" w:lineRule="auto"/>
        <w:jc w:val="center"/>
        <w:rPr>
          <w:rFonts w:hAnsi="宋体"/>
          <w:b/>
          <w:bCs/>
          <w:color w:val="auto"/>
          <w:highlight w:val="none"/>
        </w:rPr>
      </w:pPr>
      <w:r>
        <w:rPr>
          <w:rFonts w:hint="eastAsia" w:hAnsi="宋体"/>
          <w:b/>
          <w:bCs/>
          <w:color w:val="auto"/>
          <w:highlight w:val="none"/>
        </w:rPr>
        <w:t>第二章 技术需求书</w:t>
      </w:r>
      <w:bookmarkEnd w:id="167"/>
      <w:bookmarkEnd w:id="168"/>
    </w:p>
    <w:bookmarkEnd w:id="164"/>
    <w:p>
      <w:pPr>
        <w:shd w:val="clear"/>
        <w:spacing w:line="360" w:lineRule="auto"/>
        <w:rPr>
          <w:rFonts w:hAnsi="宋体"/>
          <w:b/>
          <w:bCs/>
          <w:color w:val="auto"/>
          <w:sz w:val="21"/>
          <w:szCs w:val="21"/>
          <w:highlight w:val="none"/>
          <w:lang w:val="zh-CN"/>
        </w:rPr>
      </w:pPr>
    </w:p>
    <w:p>
      <w:pPr>
        <w:pStyle w:val="144"/>
        <w:widowControl/>
        <w:shd w:val="clear"/>
        <w:spacing w:after="200" w:line="520" w:lineRule="exact"/>
        <w:ind w:firstLine="0" w:firstLineChars="0"/>
        <w:contextualSpacing/>
        <w:jc w:val="left"/>
        <w:outlineLvl w:val="3"/>
        <w:rPr>
          <w:rFonts w:ascii="宋体" w:hAnsi="宋体"/>
          <w:b/>
          <w:color w:val="auto"/>
          <w:szCs w:val="21"/>
          <w:highlight w:val="none"/>
        </w:rPr>
      </w:pPr>
      <w:r>
        <w:rPr>
          <w:rFonts w:hint="eastAsia" w:ascii="宋体" w:hAnsi="宋体"/>
          <w:b/>
          <w:color w:val="auto"/>
          <w:szCs w:val="21"/>
          <w:highlight w:val="none"/>
        </w:rPr>
        <w:t>一、项目概况</w:t>
      </w:r>
    </w:p>
    <w:p>
      <w:pPr>
        <w:pStyle w:val="144"/>
        <w:shd w:val="clear"/>
        <w:spacing w:line="360" w:lineRule="auto"/>
        <w:ind w:left="90"/>
        <w:rPr>
          <w:rFonts w:ascii="宋体" w:hAnsi="宋体"/>
          <w:color w:val="auto"/>
          <w:szCs w:val="21"/>
          <w:highlight w:val="none"/>
        </w:rPr>
      </w:pPr>
      <w:r>
        <w:rPr>
          <w:rFonts w:hint="eastAsia" w:ascii="宋体" w:hAnsi="宋体"/>
          <w:color w:val="auto"/>
          <w:szCs w:val="21"/>
          <w:highlight w:val="none"/>
        </w:rPr>
        <w:t>1、采购人：东莞市大学创新城建设发展有限公司。</w:t>
      </w:r>
    </w:p>
    <w:p>
      <w:pPr>
        <w:pStyle w:val="144"/>
        <w:shd w:val="clear"/>
        <w:spacing w:line="360" w:lineRule="auto"/>
        <w:ind w:left="90"/>
        <w:rPr>
          <w:rFonts w:ascii="宋体" w:hAnsi="宋体"/>
          <w:color w:val="auto"/>
          <w:szCs w:val="21"/>
          <w:highlight w:val="none"/>
        </w:rPr>
      </w:pPr>
      <w:r>
        <w:rPr>
          <w:rFonts w:hint="eastAsia" w:ascii="宋体" w:hAnsi="宋体"/>
          <w:color w:val="auto"/>
          <w:szCs w:val="21"/>
          <w:highlight w:val="none"/>
        </w:rPr>
        <w:t>2、项目名称：松山湖国际创新创业社区消防维保服务项目。</w:t>
      </w:r>
    </w:p>
    <w:p>
      <w:pPr>
        <w:shd w:val="clear"/>
        <w:spacing w:line="480" w:lineRule="exact"/>
        <w:ind w:firstLine="420" w:firstLineChars="200"/>
        <w:jc w:val="both"/>
        <w:rPr>
          <w:rFonts w:hAnsi="宋体"/>
          <w:bCs/>
          <w:color w:val="auto"/>
          <w:sz w:val="21"/>
          <w:szCs w:val="21"/>
          <w:highlight w:val="none"/>
        </w:rPr>
      </w:pPr>
      <w:r>
        <w:rPr>
          <w:rFonts w:hint="eastAsia" w:hAnsi="宋体"/>
          <w:bCs/>
          <w:color w:val="auto"/>
          <w:sz w:val="21"/>
          <w:szCs w:val="21"/>
          <w:highlight w:val="none"/>
        </w:rPr>
        <w:t>3、服务时间：三年</w:t>
      </w:r>
    </w:p>
    <w:p>
      <w:pPr>
        <w:pStyle w:val="144"/>
        <w:widowControl/>
        <w:shd w:val="clear"/>
        <w:spacing w:after="200" w:line="520" w:lineRule="exact"/>
        <w:ind w:firstLine="0" w:firstLineChars="0"/>
        <w:contextualSpacing/>
        <w:jc w:val="left"/>
        <w:outlineLvl w:val="3"/>
        <w:rPr>
          <w:rFonts w:ascii="宋体" w:hAnsi="宋体"/>
          <w:b/>
          <w:color w:val="auto"/>
          <w:szCs w:val="21"/>
          <w:highlight w:val="none"/>
        </w:rPr>
      </w:pPr>
      <w:r>
        <w:rPr>
          <w:rFonts w:hint="eastAsia" w:ascii="宋体" w:hAnsi="宋体"/>
          <w:b/>
          <w:color w:val="auto"/>
          <w:szCs w:val="21"/>
          <w:highlight w:val="none"/>
        </w:rPr>
        <w:t>二、服务范围：</w:t>
      </w:r>
    </w:p>
    <w:p>
      <w:pPr>
        <w:pStyle w:val="144"/>
        <w:shd w:val="clear"/>
        <w:spacing w:after="200" w:line="520" w:lineRule="exact"/>
        <w:contextualSpacing/>
        <w:rPr>
          <w:rFonts w:ascii="宋体" w:hAnsi="宋体"/>
          <w:bCs/>
          <w:color w:val="auto"/>
          <w:szCs w:val="21"/>
          <w:highlight w:val="none"/>
        </w:rPr>
      </w:pPr>
      <w:r>
        <w:rPr>
          <w:rFonts w:hint="eastAsia" w:ascii="宋体" w:hAnsi="宋体"/>
          <w:bCs/>
          <w:color w:val="auto"/>
          <w:szCs w:val="21"/>
          <w:highlight w:val="none"/>
        </w:rPr>
        <w:t>松山湖国际创新创业社区范围内所有消防设施、设备维护的保养包括（但不限于）：消防管网、火灾自动报警系统、消火栓灭火系统（含室外接合器）、自动喷淋系统、防排烟系统、消防广播及消防电话系统、应急照明及安全疏散指示标志系统、气体灭火系统、</w:t>
      </w:r>
      <w:r>
        <w:rPr>
          <w:rFonts w:hint="eastAsia"/>
          <w:color w:val="auto"/>
          <w:szCs w:val="21"/>
          <w:highlight w:val="none"/>
        </w:rPr>
        <w:t>七氟丙烷气体灭火系统、</w:t>
      </w:r>
      <w:r>
        <w:rPr>
          <w:rFonts w:hint="eastAsia" w:ascii="宋体" w:hAnsi="宋体"/>
          <w:bCs/>
          <w:color w:val="auto"/>
          <w:szCs w:val="21"/>
          <w:highlight w:val="none"/>
        </w:rPr>
        <w:t>大空间智能型主动喷水灭火系统、消防联动系统、移动式干粉灭火器、消防电梯的维护保养、交流电源、直流备用电源、消防供电配电设施的维护保养等。</w:t>
      </w:r>
    </w:p>
    <w:p>
      <w:pPr>
        <w:pStyle w:val="144"/>
        <w:widowControl/>
        <w:shd w:val="clear"/>
        <w:spacing w:after="200" w:line="520" w:lineRule="exact"/>
        <w:contextualSpacing/>
        <w:jc w:val="left"/>
        <w:rPr>
          <w:rFonts w:ascii="宋体" w:hAnsi="宋体"/>
          <w:bCs/>
          <w:color w:val="auto"/>
          <w:szCs w:val="21"/>
          <w:highlight w:val="none"/>
        </w:rPr>
      </w:pPr>
      <w:r>
        <w:rPr>
          <w:rFonts w:hint="eastAsia" w:ascii="宋体" w:hAnsi="宋体"/>
          <w:bCs/>
          <w:color w:val="auto"/>
          <w:szCs w:val="21"/>
          <w:highlight w:val="none"/>
        </w:rPr>
        <w:t>维保方需依据《中华人民共和国民法典》、《中华人民共和国消防法》和《广东省实施《中华人民共和国消防法》办法》等国家及行业法规制定，除合同中有明确的规定之外，其余保养内容及标准不得低于上述法规规定的内容及标准。</w:t>
      </w:r>
    </w:p>
    <w:p>
      <w:pPr>
        <w:pStyle w:val="144"/>
        <w:widowControl/>
        <w:shd w:val="clear"/>
        <w:spacing w:after="200" w:line="520" w:lineRule="exact"/>
        <w:contextualSpacing/>
        <w:jc w:val="left"/>
        <w:rPr>
          <w:rFonts w:ascii="宋体" w:hAnsi="宋体"/>
          <w:bCs/>
          <w:color w:val="auto"/>
          <w:szCs w:val="21"/>
          <w:highlight w:val="none"/>
        </w:rPr>
      </w:pPr>
      <w:r>
        <w:rPr>
          <w:rFonts w:hint="eastAsia" w:ascii="宋体" w:hAnsi="宋体"/>
          <w:bCs/>
          <w:color w:val="auto"/>
          <w:szCs w:val="21"/>
          <w:highlight w:val="none"/>
        </w:rPr>
        <w:t>技术服务包含：消防系统的日常故障维修、应急抢修服务、年检申报服务、定期维护保养和系统技术性能、系统功能检测等服务。</w:t>
      </w:r>
    </w:p>
    <w:p>
      <w:pPr>
        <w:pStyle w:val="144"/>
        <w:widowControl/>
        <w:shd w:val="clear"/>
        <w:spacing w:after="200" w:line="520" w:lineRule="exact"/>
        <w:contextualSpacing/>
        <w:jc w:val="left"/>
        <w:rPr>
          <w:rFonts w:ascii="宋体" w:hAnsi="宋体"/>
          <w:bCs/>
          <w:color w:val="auto"/>
          <w:szCs w:val="21"/>
          <w:highlight w:val="none"/>
        </w:rPr>
      </w:pPr>
      <w:r>
        <w:rPr>
          <w:rFonts w:hint="eastAsia" w:ascii="宋体" w:hAnsi="宋体"/>
          <w:bCs/>
          <w:color w:val="auto"/>
          <w:szCs w:val="21"/>
          <w:highlight w:val="none"/>
        </w:rPr>
        <w:t>主要建筑物：</w:t>
      </w:r>
    </w:p>
    <w:tbl>
      <w:tblPr>
        <w:tblStyle w:val="52"/>
        <w:tblW w:w="8385" w:type="dxa"/>
        <w:tblInd w:w="93" w:type="dxa"/>
        <w:shd w:val="clear" w:color="auto" w:fill="auto"/>
        <w:tblLayout w:type="autofit"/>
        <w:tblCellMar>
          <w:top w:w="0" w:type="dxa"/>
          <w:left w:w="108" w:type="dxa"/>
          <w:bottom w:w="0" w:type="dxa"/>
          <w:right w:w="108" w:type="dxa"/>
        </w:tblCellMar>
      </w:tblPr>
      <w:tblGrid>
        <w:gridCol w:w="1080"/>
        <w:gridCol w:w="2685"/>
        <w:gridCol w:w="2670"/>
        <w:gridCol w:w="1950"/>
      </w:tblGrid>
      <w:tr>
        <w:tblPrEx>
          <w:shd w:val="clear" w:color="auto" w:fill="auto"/>
          <w:tblCellMar>
            <w:top w:w="0" w:type="dxa"/>
            <w:left w:w="108" w:type="dxa"/>
            <w:bottom w:w="0" w:type="dxa"/>
            <w:right w:w="108" w:type="dxa"/>
          </w:tblCellMar>
        </w:tblPrEx>
        <w:trPr>
          <w:trHeight w:val="36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2685" w:type="dxa"/>
            <w:tcBorders>
              <w:top w:val="single" w:color="000000" w:sz="8" w:space="0"/>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楼栋</w:t>
            </w:r>
          </w:p>
        </w:tc>
        <w:tc>
          <w:tcPr>
            <w:tcW w:w="2670" w:type="dxa"/>
            <w:tcBorders>
              <w:top w:val="single" w:color="000000" w:sz="8" w:space="0"/>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建筑面积（m2）</w:t>
            </w:r>
          </w:p>
        </w:tc>
        <w:tc>
          <w:tcPr>
            <w:tcW w:w="1950" w:type="dxa"/>
            <w:tcBorders>
              <w:top w:val="single" w:color="000000" w:sz="8" w:space="0"/>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A-1栋科研办公楼</w:t>
            </w:r>
          </w:p>
        </w:tc>
        <w:tc>
          <w:tcPr>
            <w:tcW w:w="2670" w:type="dxa"/>
            <w:vMerge w:val="restart"/>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35501.90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A-2 栋科研办公楼</w:t>
            </w:r>
          </w:p>
        </w:tc>
        <w:tc>
          <w:tcPr>
            <w:tcW w:w="2670" w:type="dxa"/>
            <w:vMerge w:val="continue"/>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A-3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6514.41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A-4栋科研办公楼</w:t>
            </w:r>
          </w:p>
        </w:tc>
        <w:tc>
          <w:tcPr>
            <w:tcW w:w="2670" w:type="dxa"/>
            <w:vMerge w:val="restart"/>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37617.07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A-A5 栋科研办公楼</w:t>
            </w:r>
          </w:p>
        </w:tc>
        <w:tc>
          <w:tcPr>
            <w:tcW w:w="2670" w:type="dxa"/>
            <w:vMerge w:val="continue"/>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6</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A 区地下室</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19969.43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7</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B-1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17783.54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8</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B-2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17919.88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9</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C-1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28627.02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C 区地下室</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4134.02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11</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Z-1 栋垃圾站</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108.00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12</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D-1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24224.65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13</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D-2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13637.41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14</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D-3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18413.74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15</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D1、2 地下室</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8804.30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16</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G-1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19078.72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17</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G-2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18949.00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18</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G-3 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18361.65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19</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G-4栋科研办公楼</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34137.46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20</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Z-3栋设备房</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315.00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21</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H-1号公租房</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15926.64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22</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H-2号公租房</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21700.95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23</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H-3号公租房</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23482.93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24</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5号地下室</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5525.77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25</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4号垃圾收集站</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108.00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26</w:t>
            </w:r>
          </w:p>
        </w:tc>
        <w:tc>
          <w:tcPr>
            <w:tcW w:w="2685" w:type="dxa"/>
            <w:tcBorders>
              <w:top w:val="single" w:color="000000" w:sz="8" w:space="0"/>
              <w:left w:val="single" w:color="000000" w:sz="4" w:space="0"/>
              <w:bottom w:val="single" w:color="000000" w:sz="8" w:space="0"/>
              <w:right w:val="single" w:color="000000" w:sz="4" w:space="0"/>
            </w:tcBorders>
            <w:shd w:val="clear" w:color="auto" w:fill="auto"/>
            <w:vAlign w:val="center"/>
          </w:tcPr>
          <w:p>
            <w:pPr>
              <w:widowControl/>
              <w:shd w:val="clear"/>
              <w:jc w:val="center"/>
              <w:textAlignment w:val="center"/>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lang w:bidi="ar"/>
              </w:rPr>
              <w:t>C-1</w:t>
            </w:r>
            <w:r>
              <w:rPr>
                <w:rFonts w:hint="eastAsia" w:hAnsi="宋体"/>
                <w:color w:val="auto"/>
                <w:sz w:val="22"/>
                <w:szCs w:val="22"/>
                <w:highlight w:val="none"/>
                <w:lang w:bidi="ar"/>
              </w:rPr>
              <w:t>栋增容变配电房</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240.99 </w:t>
            </w:r>
          </w:p>
        </w:tc>
        <w:tc>
          <w:tcPr>
            <w:tcW w:w="1950" w:type="dxa"/>
            <w:tcBorders>
              <w:top w:val="nil"/>
              <w:left w:val="nil"/>
              <w:bottom w:val="single" w:color="000000" w:sz="8" w:space="0"/>
              <w:right w:val="single" w:color="000000" w:sz="8" w:space="0"/>
            </w:tcBorders>
            <w:shd w:val="clear" w:color="auto" w:fill="auto"/>
            <w:vAlign w:val="center"/>
          </w:tcPr>
          <w:p>
            <w:pPr>
              <w:shd w:val="clear"/>
              <w:jc w:val="center"/>
              <w:rPr>
                <w:rFonts w:hAnsi="宋体"/>
                <w:color w:val="auto"/>
                <w:sz w:val="21"/>
                <w:szCs w:val="21"/>
                <w:highlight w:val="none"/>
              </w:rPr>
            </w:pP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27</w:t>
            </w:r>
          </w:p>
        </w:tc>
        <w:tc>
          <w:tcPr>
            <w:tcW w:w="2685"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E区创投大厦</w:t>
            </w:r>
          </w:p>
        </w:tc>
        <w:tc>
          <w:tcPr>
            <w:tcW w:w="267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 xml:space="preserve">106709.23 </w:t>
            </w:r>
          </w:p>
        </w:tc>
        <w:tc>
          <w:tcPr>
            <w:tcW w:w="1950" w:type="dxa"/>
            <w:tcBorders>
              <w:top w:val="nil"/>
              <w:left w:val="nil"/>
              <w:bottom w:val="single" w:color="000000" w:sz="8" w:space="0"/>
              <w:right w:val="single" w:color="000000" w:sz="8" w:space="0"/>
            </w:tcBorders>
            <w:shd w:val="clear" w:color="auto" w:fill="auto"/>
            <w:vAlign w:val="center"/>
          </w:tcPr>
          <w:p>
            <w:pPr>
              <w:widowControl/>
              <w:shd w:val="clear"/>
              <w:jc w:val="center"/>
              <w:textAlignment w:val="center"/>
              <w:rPr>
                <w:rFonts w:hAnsi="宋体"/>
                <w:color w:val="auto"/>
                <w:sz w:val="21"/>
                <w:szCs w:val="21"/>
                <w:highlight w:val="none"/>
              </w:rPr>
            </w:pPr>
            <w:r>
              <w:rPr>
                <w:rFonts w:hint="eastAsia" w:hAnsi="宋体"/>
                <w:color w:val="auto"/>
                <w:sz w:val="21"/>
                <w:szCs w:val="21"/>
                <w:highlight w:val="none"/>
                <w:lang w:bidi="ar"/>
              </w:rPr>
              <w:t>不含五期一</w:t>
            </w:r>
          </w:p>
        </w:tc>
      </w:tr>
      <w:tr>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Ansi="宋体"/>
                <w:b/>
                <w:bCs/>
                <w:color w:val="auto"/>
                <w:sz w:val="21"/>
                <w:szCs w:val="21"/>
                <w:highlight w:val="none"/>
              </w:rPr>
            </w:pPr>
            <w:r>
              <w:rPr>
                <w:rFonts w:hint="eastAsia" w:hAnsi="宋体"/>
                <w:b/>
                <w:bCs/>
                <w:color w:val="auto"/>
                <w:sz w:val="21"/>
                <w:szCs w:val="21"/>
                <w:highlight w:val="none"/>
                <w:lang w:bidi="ar"/>
              </w:rPr>
              <w:t>28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Ansi="宋体"/>
                <w:b/>
                <w:bCs/>
                <w:color w:val="auto"/>
                <w:sz w:val="21"/>
                <w:szCs w:val="21"/>
                <w:highlight w:val="none"/>
              </w:rPr>
            </w:pPr>
            <w:r>
              <w:rPr>
                <w:rFonts w:hint="eastAsia" w:hAnsi="宋体"/>
                <w:b/>
                <w:bCs/>
                <w:color w:val="auto"/>
                <w:sz w:val="21"/>
                <w:szCs w:val="21"/>
                <w:highlight w:val="none"/>
                <w:lang w:bidi="ar"/>
              </w:rPr>
              <w:t>面积总计（m2）: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Ansi="宋体"/>
                <w:b/>
                <w:bCs/>
                <w:color w:val="auto"/>
                <w:sz w:val="21"/>
                <w:szCs w:val="21"/>
                <w:highlight w:val="none"/>
              </w:rPr>
            </w:pPr>
            <w:r>
              <w:rPr>
                <w:rFonts w:hint="eastAsia" w:hAnsi="宋体"/>
                <w:b/>
                <w:bCs/>
                <w:color w:val="auto"/>
                <w:sz w:val="21"/>
                <w:szCs w:val="21"/>
                <w:highlight w:val="none"/>
                <w:lang w:bidi="ar"/>
              </w:rPr>
              <w:t xml:space="preserve">497791.72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Ansi="宋体"/>
                <w:b/>
                <w:bCs/>
                <w:color w:val="auto"/>
                <w:sz w:val="21"/>
                <w:szCs w:val="21"/>
                <w:highlight w:val="none"/>
              </w:rPr>
            </w:pPr>
          </w:p>
        </w:tc>
      </w:tr>
    </w:tbl>
    <w:p>
      <w:pPr>
        <w:pStyle w:val="144"/>
        <w:widowControl/>
        <w:shd w:val="clear"/>
        <w:spacing w:after="200" w:line="520" w:lineRule="exact"/>
        <w:contextualSpacing/>
        <w:jc w:val="left"/>
        <w:rPr>
          <w:rFonts w:ascii="宋体" w:hAnsi="宋体"/>
          <w:bCs/>
          <w:color w:val="auto"/>
          <w:szCs w:val="21"/>
          <w:highlight w:val="none"/>
        </w:rPr>
      </w:pPr>
    </w:p>
    <w:p>
      <w:pPr>
        <w:shd w:val="clear"/>
        <w:spacing w:line="520" w:lineRule="exact"/>
        <w:outlineLvl w:val="3"/>
        <w:rPr>
          <w:rFonts w:hAnsi="宋体"/>
          <w:b/>
          <w:bCs/>
          <w:color w:val="auto"/>
          <w:sz w:val="21"/>
          <w:szCs w:val="21"/>
          <w:highlight w:val="none"/>
        </w:rPr>
      </w:pPr>
      <w:r>
        <w:rPr>
          <w:rFonts w:hint="eastAsia" w:hAnsi="宋体"/>
          <w:b/>
          <w:color w:val="auto"/>
          <w:sz w:val="21"/>
          <w:szCs w:val="21"/>
          <w:highlight w:val="none"/>
        </w:rPr>
        <w:t>三、服务内容及要求：</w:t>
      </w:r>
    </w:p>
    <w:p>
      <w:pPr>
        <w:shd w:val="clear"/>
        <w:snapToGrid w:val="0"/>
        <w:spacing w:line="520" w:lineRule="exact"/>
        <w:ind w:firstLine="420" w:firstLineChars="200"/>
        <w:rPr>
          <w:rFonts w:hAnsi="宋体"/>
          <w:color w:val="auto"/>
          <w:sz w:val="21"/>
          <w:szCs w:val="21"/>
          <w:highlight w:val="none"/>
        </w:rPr>
      </w:pPr>
      <w:r>
        <w:rPr>
          <w:rFonts w:hint="eastAsia" w:hAnsi="宋体"/>
          <w:color w:val="auto"/>
          <w:sz w:val="21"/>
          <w:szCs w:val="21"/>
          <w:highlight w:val="none"/>
        </w:rPr>
        <w:t>1、保养的内容：</w:t>
      </w:r>
    </w:p>
    <w:p>
      <w:pPr>
        <w:shd w:val="clear"/>
        <w:snapToGrid w:val="0"/>
        <w:spacing w:line="520" w:lineRule="exact"/>
        <w:ind w:firstLine="420" w:firstLineChars="200"/>
        <w:rPr>
          <w:rFonts w:hAnsi="宋体"/>
          <w:b/>
          <w:color w:val="auto"/>
          <w:sz w:val="21"/>
          <w:szCs w:val="21"/>
          <w:highlight w:val="none"/>
        </w:rPr>
      </w:pPr>
      <w:r>
        <w:rPr>
          <w:rFonts w:hint="eastAsia" w:hAnsi="宋体"/>
          <w:color w:val="auto"/>
          <w:sz w:val="21"/>
          <w:szCs w:val="21"/>
          <w:highlight w:val="none"/>
        </w:rPr>
        <w:t>项目范围内所有消防设施设备维护保养及管理，包含：室内外消防管网、室内外消火栓系统；自动喷淋灭火系统；消防水泵房；消防稳压设备；七氟丙烷灭火装置；灭火器装置；消防电话系统；自动报警系统；消防电梯；防火门；防火卷帘；消防广播系统；应急照明；疏散指示标志；火灾自动报警系统；防排烟系统等。根据计划进行警铃测试，发现问题并提出整改方案，经采购方同意后，及时整改，确保现有的消防系统功能正常运作。维保频次为每月一次，全面覆盖，每次出具 1 份维保报告（报告需加盖公章），双方签字备案。</w:t>
      </w:r>
      <w:r>
        <w:rPr>
          <w:rFonts w:hint="eastAsia" w:hAnsi="宋体"/>
          <w:b/>
          <w:bCs/>
          <w:color w:val="auto"/>
          <w:sz w:val="21"/>
          <w:szCs w:val="21"/>
          <w:highlight w:val="none"/>
        </w:rPr>
        <w:t>合同签订后，需在30日内对范围内的消防设施进行一次全面排查检测，并出具设施设备清单及检测报告</w:t>
      </w:r>
      <w:r>
        <w:rPr>
          <w:rFonts w:hint="eastAsia" w:hAnsi="宋体"/>
          <w:color w:val="auto"/>
          <w:sz w:val="21"/>
          <w:szCs w:val="21"/>
          <w:highlight w:val="none"/>
        </w:rPr>
        <w:t>。</w:t>
      </w:r>
      <w:r>
        <w:rPr>
          <w:rFonts w:hint="eastAsia" w:hAnsi="宋体"/>
          <w:b/>
          <w:color w:val="auto"/>
          <w:sz w:val="21"/>
          <w:szCs w:val="21"/>
          <w:highlight w:val="none"/>
        </w:rPr>
        <w:t xml:space="preserve"> </w:t>
      </w:r>
    </w:p>
    <w:p>
      <w:pPr>
        <w:pStyle w:val="2"/>
        <w:numPr>
          <w:ilvl w:val="0"/>
          <w:numId w:val="11"/>
        </w:numPr>
        <w:shd w:val="clear"/>
        <w:rPr>
          <w:color w:val="auto"/>
          <w:sz w:val="21"/>
          <w:szCs w:val="18"/>
          <w:highlight w:val="none"/>
        </w:rPr>
      </w:pPr>
      <w:r>
        <w:rPr>
          <w:rFonts w:hint="eastAsia"/>
          <w:color w:val="auto"/>
          <w:sz w:val="21"/>
          <w:szCs w:val="18"/>
          <w:highlight w:val="none"/>
        </w:rPr>
        <w:t>定期检查所有维护保养范围内的消防系统的设备、设施，确保消防功能正常；</w:t>
      </w:r>
    </w:p>
    <w:p>
      <w:pPr>
        <w:pStyle w:val="2"/>
        <w:numPr>
          <w:ilvl w:val="0"/>
          <w:numId w:val="11"/>
        </w:numPr>
        <w:shd w:val="clear"/>
        <w:rPr>
          <w:color w:val="auto"/>
          <w:sz w:val="21"/>
          <w:szCs w:val="18"/>
          <w:highlight w:val="none"/>
        </w:rPr>
      </w:pPr>
      <w:r>
        <w:rPr>
          <w:rFonts w:hint="eastAsia"/>
          <w:color w:val="auto"/>
          <w:sz w:val="21"/>
          <w:szCs w:val="18"/>
          <w:highlight w:val="none"/>
        </w:rPr>
        <w:t>对设备故障、异常及时有效处理；</w:t>
      </w:r>
    </w:p>
    <w:p>
      <w:pPr>
        <w:pStyle w:val="2"/>
        <w:numPr>
          <w:ilvl w:val="0"/>
          <w:numId w:val="11"/>
        </w:numPr>
        <w:shd w:val="clear"/>
        <w:rPr>
          <w:color w:val="auto"/>
          <w:sz w:val="21"/>
          <w:szCs w:val="18"/>
          <w:highlight w:val="none"/>
        </w:rPr>
      </w:pPr>
      <w:r>
        <w:rPr>
          <w:rFonts w:hint="eastAsia"/>
          <w:color w:val="auto"/>
          <w:sz w:val="21"/>
          <w:szCs w:val="18"/>
          <w:highlight w:val="none"/>
        </w:rPr>
        <w:t>定期检查系统接线及接线标识，按招标方管理要求配合统一制作设备标识，做到设备标识规范；</w:t>
      </w:r>
    </w:p>
    <w:p>
      <w:pPr>
        <w:pStyle w:val="2"/>
        <w:numPr>
          <w:ilvl w:val="0"/>
          <w:numId w:val="11"/>
        </w:numPr>
        <w:shd w:val="clear"/>
        <w:rPr>
          <w:color w:val="auto"/>
          <w:sz w:val="21"/>
          <w:szCs w:val="18"/>
          <w:highlight w:val="none"/>
        </w:rPr>
      </w:pPr>
      <w:r>
        <w:rPr>
          <w:rFonts w:hint="eastAsia"/>
          <w:color w:val="auto"/>
          <w:sz w:val="21"/>
          <w:szCs w:val="18"/>
          <w:highlight w:val="none"/>
        </w:rPr>
        <w:t>定期对所有消防设备内外部及信号接触点进行清洁、使之内外整洁，动作灵敏；</w:t>
      </w:r>
    </w:p>
    <w:p>
      <w:pPr>
        <w:pStyle w:val="2"/>
        <w:numPr>
          <w:ilvl w:val="0"/>
          <w:numId w:val="11"/>
        </w:numPr>
        <w:shd w:val="clear"/>
        <w:rPr>
          <w:color w:val="auto"/>
          <w:sz w:val="21"/>
          <w:szCs w:val="18"/>
          <w:highlight w:val="none"/>
        </w:rPr>
      </w:pPr>
      <w:r>
        <w:rPr>
          <w:rFonts w:hint="eastAsia"/>
          <w:color w:val="auto"/>
          <w:sz w:val="21"/>
          <w:szCs w:val="18"/>
          <w:highlight w:val="none"/>
        </w:rPr>
        <w:t>定期对消防系统进行联动测试，确保系统功能完好；</w:t>
      </w:r>
    </w:p>
    <w:p>
      <w:pPr>
        <w:pStyle w:val="2"/>
        <w:numPr>
          <w:ilvl w:val="0"/>
          <w:numId w:val="11"/>
        </w:numPr>
        <w:shd w:val="clear"/>
        <w:rPr>
          <w:color w:val="auto"/>
          <w:sz w:val="21"/>
          <w:szCs w:val="18"/>
          <w:highlight w:val="none"/>
        </w:rPr>
      </w:pPr>
      <w:r>
        <w:rPr>
          <w:rFonts w:hint="eastAsia"/>
          <w:color w:val="auto"/>
          <w:sz w:val="21"/>
          <w:szCs w:val="18"/>
          <w:highlight w:val="none"/>
        </w:rPr>
        <w:t>定期提供消防系统状态报告；</w:t>
      </w:r>
    </w:p>
    <w:p>
      <w:pPr>
        <w:pStyle w:val="2"/>
        <w:numPr>
          <w:ilvl w:val="0"/>
          <w:numId w:val="11"/>
        </w:numPr>
        <w:shd w:val="clear"/>
        <w:rPr>
          <w:color w:val="auto"/>
          <w:sz w:val="21"/>
          <w:szCs w:val="18"/>
          <w:highlight w:val="none"/>
        </w:rPr>
      </w:pPr>
      <w:r>
        <w:rPr>
          <w:rFonts w:hint="eastAsia"/>
          <w:color w:val="auto"/>
          <w:sz w:val="21"/>
          <w:szCs w:val="18"/>
          <w:highlight w:val="none"/>
        </w:rPr>
        <w:t>配合采购方进行消防安全检查、消防演习等；</w:t>
      </w:r>
    </w:p>
    <w:p>
      <w:pPr>
        <w:shd w:val="clear"/>
        <w:snapToGrid w:val="0"/>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2、人员架构及配置要求：</w:t>
      </w:r>
    </w:p>
    <w:p>
      <w:pPr>
        <w:shd w:val="clear"/>
        <w:snapToGrid w:val="0"/>
        <w:spacing w:line="520" w:lineRule="exact"/>
        <w:ind w:firstLine="420" w:firstLineChars="200"/>
        <w:rPr>
          <w:rFonts w:hAnsi="宋体"/>
          <w:color w:val="auto"/>
          <w:sz w:val="21"/>
          <w:szCs w:val="21"/>
          <w:highlight w:val="none"/>
        </w:rPr>
      </w:pPr>
      <w:r>
        <w:rPr>
          <w:rFonts w:hint="eastAsia" w:hAnsi="宋体"/>
          <w:color w:val="auto"/>
          <w:sz w:val="21"/>
          <w:szCs w:val="21"/>
          <w:highlight w:val="none"/>
        </w:rPr>
        <w:t>（1）项目负责人(1人)：具备消防相关中级职称，熟悉国家消防法规，精通消防设备维护保养业务流程、有五年以上大型公共建筑（10万㎡以上）消防系统维修保养经验、项目管理经验。</w:t>
      </w:r>
    </w:p>
    <w:p>
      <w:pPr>
        <w:shd w:val="clear"/>
        <w:snapToGrid w:val="0"/>
        <w:spacing w:line="520" w:lineRule="exact"/>
        <w:ind w:firstLine="420" w:firstLineChars="200"/>
        <w:rPr>
          <w:rFonts w:hAnsi="宋体"/>
          <w:color w:val="auto"/>
          <w:sz w:val="21"/>
          <w:szCs w:val="21"/>
          <w:highlight w:val="none"/>
        </w:rPr>
      </w:pPr>
      <w:r>
        <w:rPr>
          <w:rFonts w:hint="eastAsia" w:hAnsi="宋体"/>
          <w:color w:val="auto"/>
          <w:sz w:val="21"/>
          <w:szCs w:val="21"/>
          <w:highlight w:val="none"/>
        </w:rPr>
        <w:t>（2）维修、保养岗位要求（不低于2人）：维修、保养技工需持专业消防上岗证，电工需持有效的电工操作证和等级证，有三年以上消防系统维护保养经验；按计划定期进驻现场，高度超过2米以上作业面时不低于2人。</w:t>
      </w:r>
    </w:p>
    <w:p>
      <w:pPr>
        <w:shd w:val="clear"/>
        <w:snapToGrid w:val="0"/>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（3）测试岗位要求（不低于2人）：参与测试人员需持专业消防上岗证，有三年以上消防系统维护保养经验，测试岗可根据测试工作量机动安排，在进行测试时应能满足人员要求。</w:t>
      </w:r>
    </w:p>
    <w:p>
      <w:pPr>
        <w:shd w:val="clear"/>
        <w:snapToGrid w:val="0"/>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（4）应急维修岗位要求（不低于1人）：应急人员需持专业消防上岗证，电工需持有效的电工操作证和等级证，有三年以上消防系统维护保养经验，满足应急响应</w:t>
      </w:r>
      <w:r>
        <w:rPr>
          <w:rFonts w:hint="eastAsia" w:hAnsi="宋体"/>
          <w:bCs/>
          <w:color w:val="auto"/>
          <w:sz w:val="21"/>
          <w:szCs w:val="21"/>
          <w:highlight w:val="none"/>
          <w:lang w:val="en-US" w:eastAsia="zh-CN"/>
        </w:rPr>
        <w:t>时间要求</w:t>
      </w:r>
      <w:r>
        <w:rPr>
          <w:rFonts w:hint="eastAsia" w:hAnsi="宋体"/>
          <w:bCs/>
          <w:color w:val="auto"/>
          <w:sz w:val="21"/>
          <w:szCs w:val="21"/>
          <w:highlight w:val="none"/>
        </w:rPr>
        <w:t>。</w:t>
      </w:r>
    </w:p>
    <w:p>
      <w:pPr>
        <w:shd w:val="clear"/>
        <w:snapToGrid w:val="0"/>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5）技术支持人员要求：技术支持人员系消防专业工程师，熟悉掌握消防自动报警系统原理和编程操作，并经消防系统主控设备生产厂或其授权单位专业培训，具备消防主控设备软、硬件维护和保养能力。技术支持人员应在提前约定时间内，及时到现场处理相关问题。</w:t>
      </w:r>
    </w:p>
    <w:p>
      <w:pPr>
        <w:shd w:val="clear"/>
        <w:snapToGrid w:val="0"/>
        <w:spacing w:line="520" w:lineRule="exact"/>
        <w:ind w:firstLine="422" w:firstLineChars="200"/>
        <w:rPr>
          <w:rFonts w:hAnsi="宋体"/>
          <w:b/>
          <w:color w:val="auto"/>
          <w:sz w:val="21"/>
          <w:szCs w:val="21"/>
          <w:highlight w:val="none"/>
          <w:lang w:bidi="ar"/>
        </w:rPr>
      </w:pPr>
      <w:r>
        <w:rPr>
          <w:rFonts w:hint="eastAsia" w:hAnsi="宋体"/>
          <w:b/>
          <w:color w:val="auto"/>
          <w:sz w:val="21"/>
          <w:szCs w:val="21"/>
          <w:highlight w:val="none"/>
          <w:lang w:bidi="ar"/>
        </w:rPr>
        <w:t>消防维保常驻人员不少于</w:t>
      </w:r>
      <w:r>
        <w:rPr>
          <w:rFonts w:hAnsi="宋体"/>
          <w:b/>
          <w:color w:val="auto"/>
          <w:sz w:val="21"/>
          <w:szCs w:val="21"/>
          <w:highlight w:val="none"/>
          <w:lang w:bidi="ar"/>
        </w:rPr>
        <w:t>2</w:t>
      </w:r>
      <w:r>
        <w:rPr>
          <w:rFonts w:hint="eastAsia" w:hAnsi="宋体"/>
          <w:b/>
          <w:color w:val="auto"/>
          <w:sz w:val="21"/>
          <w:szCs w:val="21"/>
          <w:highlight w:val="none"/>
          <w:lang w:bidi="ar"/>
        </w:rPr>
        <w:t xml:space="preserve"> 人，7天24小时驻场工作及值班，法定节假日需要保证2人值班，常驻人员中必须有1人或以上人员具备中级构（建）筑物消防员或以上资质证书。</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3、保养合同期内，成交人人员须持证上岗，须派持有政府颁发的有效操作证的专业消防技术人员负责进驻现场工作。</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4、成交人需在法定节假日之前必须对所有消防设施进行专项节前安全检查，确保设施正常运行。</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5、成交人每6个月需进行一次消防设施全面测试，合同期内共计6次。每年对消防设施进行年度检测，并出具检测报告一份</w:t>
      </w:r>
      <w:r>
        <w:rPr>
          <w:rFonts w:hint="eastAsia" w:hAnsi="宋体"/>
          <w:color w:val="auto"/>
          <w:sz w:val="21"/>
          <w:szCs w:val="21"/>
          <w:highlight w:val="none"/>
          <w:u w:val="single"/>
        </w:rPr>
        <w:t>（报告需加盖公章）</w:t>
      </w:r>
      <w:r>
        <w:rPr>
          <w:rFonts w:hint="eastAsia" w:hAnsi="宋体"/>
          <w:color w:val="auto"/>
          <w:sz w:val="21"/>
          <w:szCs w:val="21"/>
          <w:highlight w:val="none"/>
        </w:rPr>
        <w:t>。</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6、成交人每年配合采购方进行消防演练、消防安全培训等不少于2次。</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7、成交人故障响应时间要求如下：</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（1）接到感烟（温）探测器、手动报警按钮、声光报警器、模块等终端设备故障报修信息后，应在10分钟内赶到现场处理；1小时内排除故障或问题。</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（2）接到回路或分机故障报修信息后，应在10分钟内赶到现场处理；2小时内排除故障或问题。</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（3）接到消防主机故障或消防给水管网爆裂跑水等事故报修信息后，应在5分钟内赶到现场处理。在具备维修条件前提下，应在12小时内排除故障、处理事故，并在事后24小时内提交故障或事故处理报告。</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（4）若发生火灾等重大紧急事件，应在接到通知信息后，5分钟内到达现场协助处理。需要厂家配合情况的根据厂家情况及时调配处理</w:t>
      </w:r>
    </w:p>
    <w:p>
      <w:pPr>
        <w:shd w:val="clear"/>
        <w:spacing w:line="520" w:lineRule="exact"/>
        <w:ind w:firstLine="420" w:firstLineChars="200"/>
        <w:rPr>
          <w:rFonts w:hAnsi="宋体"/>
          <w:b/>
          <w:color w:val="auto"/>
          <w:sz w:val="21"/>
          <w:szCs w:val="21"/>
          <w:highlight w:val="none"/>
        </w:rPr>
      </w:pPr>
      <w:r>
        <w:rPr>
          <w:rFonts w:hint="eastAsia" w:hAnsi="宋体"/>
          <w:color w:val="auto"/>
          <w:sz w:val="21"/>
          <w:szCs w:val="21"/>
          <w:highlight w:val="none"/>
        </w:rPr>
        <w:t>（5）成交人在项目设置备品库，满足日常维护保养和应急处置的需求。</w:t>
      </w:r>
      <w:r>
        <w:rPr>
          <w:rFonts w:hint="eastAsia" w:hAnsi="宋体"/>
          <w:b/>
          <w:color w:val="auto"/>
          <w:sz w:val="21"/>
          <w:szCs w:val="21"/>
          <w:highlight w:val="none"/>
        </w:rPr>
        <w:t xml:space="preserve"> </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8、成交人每年需对项目所有消防管道进行刷漆保护，日常维护过程中发现有脱漆的管道位置定期进行维护。</w:t>
      </w:r>
    </w:p>
    <w:p>
      <w:pPr>
        <w:shd w:val="clea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合同期内，成交人承担所有维护、保养、检查、维修及单价500元及以下的设备或零配件，需使用500元以上设备或零配件时，成交人应及时进行合理报价，采购人审核确认后另行支付费用；当成交人提供的材料价格高于市场或采购人询价时，采购人有权向其他供应商采购，成交人应按采购人要求免费更换。所有更换的零配件，不再收取维修、设备调试、编程等任何费用。若双方对工程、配件、试验等费用报价存在异议，采购人有权邀请第三方对相关费用进行评估或报价，若费用明显低于成交人报价费用，采购人可直接将相关事宜交由第三方负责，成交人不得有异议。</w:t>
      </w:r>
      <w:r>
        <w:rPr>
          <w:rFonts w:hint="eastAsia" w:hAnsi="宋体"/>
          <w:b/>
          <w:color w:val="auto"/>
          <w:sz w:val="21"/>
          <w:szCs w:val="21"/>
          <w:highlight w:val="none"/>
        </w:rPr>
        <w:t>采购人另行付费的零配件及维修质保期不低于半年，2000元以上的配件或项目质保期不少于一年，5000元以上的配件或项目质保期不少于二年。</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10、成交人保养的内容及要求除满足下述规定外，还应符合国家相关消防法律法规之标准。在履行合同期间，如因保养不良而造成消防设施失效而造成安全事故，成交人须承担全部责任及损失。</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11、从合同签订时间起计前3个月为试用期，成交人试用期内如未按要求驻点人员或服务情况经考核未达到采购方要求，采购方有权解除该项目服务合同。</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在合同期内，成交人连续两个月考核不合格或累计3个月考核不合格，采购方有权解除该项目服务合同。在相关部门的消防检查中，因成交人维保原因导致行政处罚的，由成交人承担全部责任，同时采购方有权解除该项目服务合同。</w:t>
      </w:r>
    </w:p>
    <w:p>
      <w:pPr>
        <w:shd w:val="clear"/>
        <w:spacing w:line="520" w:lineRule="exact"/>
        <w:ind w:firstLine="420" w:firstLineChars="200"/>
        <w:rPr>
          <w:rFonts w:hAnsi="宋体"/>
          <w:b/>
          <w:color w:val="auto"/>
          <w:sz w:val="21"/>
          <w:szCs w:val="21"/>
          <w:highlight w:val="none"/>
        </w:rPr>
      </w:pPr>
      <w:r>
        <w:rPr>
          <w:rFonts w:hint="eastAsia" w:hAnsi="宋体"/>
          <w:color w:val="auto"/>
          <w:sz w:val="21"/>
          <w:szCs w:val="21"/>
          <w:highlight w:val="none"/>
        </w:rPr>
        <w:t>因采购人原因及以上情况而解除合同，采购人不承担任</w:t>
      </w:r>
      <w:r>
        <w:rPr>
          <w:rFonts w:hint="eastAsia" w:hAnsi="宋体"/>
          <w:bCs/>
          <w:color w:val="auto"/>
          <w:sz w:val="21"/>
          <w:szCs w:val="21"/>
          <w:highlight w:val="none"/>
        </w:rPr>
        <w:t>何违约责任。</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12、其它要求：</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成交人需编制符合松山湖国际创新创业社区消防系统特性的维保方案，并不断更新完善，具体要求如下：</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（1）</w:t>
      </w:r>
      <w:r>
        <w:rPr>
          <w:rFonts w:hint="eastAsia" w:hAnsi="宋体"/>
          <w:color w:val="auto"/>
          <w:szCs w:val="21"/>
          <w:highlight w:val="none"/>
        </w:rPr>
        <w:t>维修保养方案编制必须依据国家相关消防法规，消防系统设计、安装规范和消防产品技术标准；</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（2）维修保养方案必须包含子系统工作原理和各级维修保养计划工作内容。</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（3）维修保养方案中必须有专门章节描述消防系统子系统易发故障及处理措施及处理时间。</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（4）维修保养方案里必须有维修保养人员配置计划及人员履历。</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（5）维修保养方案必须包含详细施工安全保障措施。</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（6）维修保养方案中必须要包含详细的质量保证措施，包括电机、水泵、风机、防火卷帘等传动系统的润滑保养，各类阀门的机封检查、维护保养和功能保障措施。</w:t>
      </w:r>
    </w:p>
    <w:p>
      <w:pPr>
        <w:shd w:val="clear"/>
        <w:spacing w:line="600" w:lineRule="exact"/>
        <w:ind w:firstLine="420" w:firstLineChars="200"/>
        <w:rPr>
          <w:rFonts w:hAnsi="宋体"/>
          <w:color w:val="auto"/>
          <w:sz w:val="21"/>
          <w:szCs w:val="21"/>
          <w:highlight w:val="none"/>
        </w:rPr>
      </w:pPr>
      <w:r>
        <w:rPr>
          <w:rFonts w:hint="eastAsia" w:hAnsi="宋体"/>
          <w:bCs/>
          <w:color w:val="auto"/>
          <w:sz w:val="21"/>
          <w:szCs w:val="21"/>
          <w:highlight w:val="none"/>
        </w:rPr>
        <w:t>（7）维修保养方案内应附各子系统维修保养及检查、检测记录表单</w:t>
      </w:r>
      <w:r>
        <w:rPr>
          <w:rFonts w:hint="eastAsia" w:hAnsi="宋体"/>
          <w:color w:val="auto"/>
          <w:sz w:val="21"/>
          <w:szCs w:val="21"/>
          <w:highlight w:val="none"/>
        </w:rPr>
        <w:t>。</w:t>
      </w:r>
    </w:p>
    <w:p>
      <w:pPr>
        <w:pStyle w:val="144"/>
        <w:widowControl/>
        <w:shd w:val="clear"/>
        <w:spacing w:after="200" w:line="520" w:lineRule="exact"/>
        <w:ind w:firstLine="488" w:firstLineChars="0"/>
        <w:contextualSpacing/>
        <w:jc w:val="left"/>
        <w:outlineLvl w:val="3"/>
        <w:rPr>
          <w:rFonts w:ascii="宋体" w:hAnsi="宋体"/>
          <w:b/>
          <w:color w:val="auto"/>
          <w:szCs w:val="21"/>
          <w:highlight w:val="none"/>
        </w:rPr>
      </w:pPr>
      <w:r>
        <w:rPr>
          <w:rFonts w:hint="eastAsia" w:ascii="宋体" w:hAnsi="宋体"/>
          <w:b/>
          <w:color w:val="auto"/>
          <w:szCs w:val="21"/>
          <w:highlight w:val="none"/>
        </w:rPr>
        <w:t>四、维护保养工作要求及评定：</w:t>
      </w:r>
    </w:p>
    <w:p>
      <w:pPr>
        <w:shd w:val="clear"/>
        <w:spacing w:line="360" w:lineRule="auto"/>
        <w:ind w:firstLine="422" w:firstLineChars="200"/>
        <w:jc w:val="both"/>
        <w:rPr>
          <w:rFonts w:hAnsi="宋体"/>
          <w:b/>
          <w:bCs/>
          <w:color w:val="auto"/>
          <w:sz w:val="21"/>
          <w:szCs w:val="21"/>
          <w:highlight w:val="none"/>
        </w:rPr>
      </w:pPr>
      <w:r>
        <w:rPr>
          <w:rFonts w:hint="eastAsia" w:hAnsi="宋体"/>
          <w:b/>
          <w:bCs/>
          <w:color w:val="auto"/>
          <w:sz w:val="21"/>
          <w:szCs w:val="21"/>
          <w:highlight w:val="none"/>
        </w:rPr>
        <w:t>1、维保方的主要职责（ 包括但不限于）：</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（1）维保方须提供详细全面的维保计划，必须符合松山湖国际创新创业消防系统特性及环境特性，有较强的可操作性，并待采购人确认后，方可执行相应的消防系统设备维护保养工作。</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（2）消防系统故障维修应能保持详细规范的维修记录。</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（3）全年按审批通过的维护保养计划开展维修保养，并做好详细规范的记录并经确认。</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（4）全年按维保计划定人、定岗应急维修。</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（5）定期配合采购人进行消防演习。</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（6）定期配合采购人进行消防安全检查。</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（7）按照消防管理规定，定期对消防系统进行检测，并提交检测报告给采购人，并对检测过程中出现的不合格项目进行整改处理及维修。</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（8）配合采购人做好迎接公安消防部门的消防安全检查工作。</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（9）如有异常事故应能配合采购人和消防主管部门进行原因调查。</w:t>
      </w:r>
    </w:p>
    <w:p>
      <w:pPr>
        <w:numPr>
          <w:ilvl w:val="1"/>
          <w:numId w:val="0"/>
        </w:num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（10）月检、季检和年检：</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月检、季检和年检的详细内容见技术要求，月检在每月月底完成；季检在当季度末最后一天前完成；年检须在当年12月31日前完成，并通过消防部门的验收。每次检查完毕，维保方须提供检测报告，采购人须在报告上签字或盖章确认，双方各留一份。</w:t>
      </w:r>
    </w:p>
    <w:p>
      <w:pPr>
        <w:numPr>
          <w:ilvl w:val="1"/>
          <w:numId w:val="0"/>
        </w:num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（11）紧急维修：</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接到采购人紧急维修通知后，按照合同要求的要求赶到现场，对系统进行紧急维护。每次维护完毕，维保方须提供报告，采购人须在报告上签字或盖章确认，双方各留一份。</w:t>
      </w:r>
    </w:p>
    <w:p>
      <w:pPr>
        <w:shd w:val="clear"/>
        <w:spacing w:line="360" w:lineRule="auto"/>
        <w:ind w:firstLine="422" w:firstLineChars="200"/>
        <w:jc w:val="both"/>
        <w:rPr>
          <w:rFonts w:hAnsi="宋体"/>
          <w:b/>
          <w:bCs/>
          <w:color w:val="auto"/>
          <w:sz w:val="21"/>
          <w:szCs w:val="21"/>
          <w:highlight w:val="none"/>
        </w:rPr>
      </w:pPr>
      <w:r>
        <w:rPr>
          <w:rFonts w:hint="eastAsia" w:hAnsi="宋体"/>
          <w:b/>
          <w:bCs/>
          <w:color w:val="auto"/>
          <w:sz w:val="21"/>
          <w:szCs w:val="21"/>
          <w:highlight w:val="none"/>
        </w:rPr>
        <w:t>2、维保工作标准：</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（1）火灾自动报警系统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①各栋消防设备信号线路及线路保护管道维护。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②各栋消防设备控制器的基本功能试验。包括控制器的开机、液晶和数码管的显示。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③主备电的工作、显示和切换、声音、打印、时钟、黑匣子记录等。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④检查控制器的点名、报火警、报故障功能。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⑤探测器的报警试验，包括感烟、感温等所有类型探测器的试验，试验工具符合检测要求。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⑥手动报警按钮的报警试验。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⑦控制器、现场探测器和手动报警按钮的检测。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①对系统进行模拟报警，检查系统是否正常报警。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②报警信号、放气信号是否正常。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③是否反馈至报警系统器，试验中如有问题时，及时向采购人汇报并维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护正常。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④每年第一次和最后一次全部检测，其余每次抽测总数的20％且不能重复。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 xml:space="preserve"> </w:t>
            </w:r>
            <w:r>
              <w:rPr>
                <w:rFonts w:hint="eastAsia" w:ascii="宋体" w:hAnsi="宋体"/>
                <w:b/>
                <w:bCs/>
                <w:color w:val="auto"/>
                <w:szCs w:val="21"/>
                <w:highlight w:val="none"/>
              </w:rPr>
              <w:t>年检查计划：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每年第一次和最后一次全部检测，其余每次抽测总数的20％且不能重复。</w:t>
            </w:r>
          </w:p>
        </w:tc>
      </w:tr>
    </w:tbl>
    <w:p>
      <w:pPr>
        <w:pStyle w:val="144"/>
        <w:shd w:val="clear"/>
        <w:spacing w:line="360" w:lineRule="auto"/>
        <w:contextualSpacing/>
        <w:rPr>
          <w:rFonts w:hint="eastAsia" w:ascii="宋体" w:hAnsi="宋体"/>
          <w:color w:val="auto"/>
          <w:szCs w:val="21"/>
          <w:highlight w:val="none"/>
        </w:rPr>
      </w:pPr>
    </w:p>
    <w:p>
      <w:pPr>
        <w:pStyle w:val="144"/>
        <w:shd w:val="clear"/>
        <w:spacing w:line="360" w:lineRule="auto"/>
        <w:ind w:firstLine="0" w:firstLineChars="0"/>
        <w:contextualSpacing/>
        <w:rPr>
          <w:rFonts w:ascii="宋体" w:hAnsi="宋体"/>
          <w:b/>
          <w:bCs/>
          <w:color w:val="auto"/>
          <w:szCs w:val="21"/>
          <w:highlight w:val="none"/>
        </w:rPr>
      </w:pPr>
      <w:r>
        <w:rPr>
          <w:rFonts w:hint="eastAsia" w:ascii="宋体" w:hAnsi="宋体"/>
          <w:color w:val="auto"/>
          <w:szCs w:val="21"/>
          <w:highlight w:val="none"/>
        </w:rPr>
        <w:t>（2）消火栓灭火系统</w:t>
      </w:r>
      <w:r>
        <w:rPr>
          <w:rFonts w:hint="eastAsia" w:ascii="宋体" w:hAnsi="宋体"/>
          <w:b/>
          <w:bCs/>
          <w:color w:val="auto"/>
          <w:szCs w:val="21"/>
          <w:highlight w:val="none"/>
        </w:rPr>
        <w:t></w:t>
      </w:r>
      <w:r>
        <w:rPr>
          <w:rFonts w:hint="eastAsia" w:ascii="宋体" w:hAnsi="宋体"/>
          <w:b/>
          <w:bCs/>
          <w:color w:val="auto"/>
          <w:szCs w:val="21"/>
          <w:highlight w:val="none"/>
        </w:rPr>
        <w:tab/>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①对消防水池、消防栓、水泵组、压力控制器、水泵接合器、稳压装置、   消火栓水枪及水带、消防按钮、管网阀门等消防设施进行外观检查，以确保符合设计要求，配件是否齐全。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②观察压力表指针读数是否符合设计要求。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③检查设备、部件和明装管道质量是否完好。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④有关配电柜控制功能是否完好。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⑤检查控制阀封是否渗漏。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⑥消防运行工作泵和备用泵（含稳压泵），检查控制功能、电机转动和水泵加压情况及信号是否正常。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⑦配电柜系统线路图是否在柜门内侧完好粘贴。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　对月检所有项目的检查。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　检查水泵接合器接口周边是否有杂物堆积。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③　消防泵启动功能试验。在泵房控制柜、消防中心、现场消防按钮上启动消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防水泵，在天台测试水压3分钟。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　消火栓水泵每月应启动运转一次，当水泵为自动启动时，应模拟自动联动 的条件启动运转一次。检查水枪喷射时，水压、充实水柱情况并查看是否有漏水现象。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　对月检、季检所有项目的检查。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②　进行一系列的调试，包括消防水泵的性能调试；系统联动调试；消火栓按钮启动水泵调试；验证用水量各充实水柱长度是否符合要求（水柱长度10-15m）。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　核实供水源水量、水压是否符合要求。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④　对范围内所有的消防控制器等进行检查、清洁，并紧固所有接点，检查标志是否完好等。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　过滤器进行清洗。</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（3）自动喷淋系统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color w:val="auto"/>
                <w:szCs w:val="21"/>
                <w:highlight w:val="none"/>
              </w:rPr>
            </w:pPr>
            <w:r>
              <w:rPr>
                <w:rFonts w:hint="eastAsia" w:ascii="宋体" w:hAnsi="宋体"/>
                <w:b/>
                <w:bCs/>
                <w:color w:val="auto"/>
                <w:szCs w:val="21"/>
                <w:highlight w:val="none"/>
              </w:rPr>
              <w:tab/>
            </w: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①严格按照规程进行维护管理，维护，以确保系统处于工作状态。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②检查区域内所有供水总控制阀、湿式报警控制阀组、压力控制器、补（恒）压泵、水流指示器、信号阀及其它门管道是否正常，（包括设备外观、功能）以确保系统处于无故障状态，防止跑、冒、滴、漏发生。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③观察压力表等仪表是否正常，确保系统无故障。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④对有关控制系统、配电柜系统功能进行检查、测试。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⑤检查水池水位，同时应采取措施保证消防水池不作他用并应对该措施进行检查，若发现故障应及时汇报处理。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⑥进行放水试验、检查湿式报警阀组、水流指示器是否符合条件，系统压力变化是否符合要求，并记录压力开关、水流指示器反馈至报警控制器的报警信号。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⑦检查喷头及附件的损坏、缺少等情况若发现有漏水、腐蚀、液体变色等情况应更换。对有腐蚀性的场所，对喷头应采用涂蜡等防腐措施。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⑧检查水泵接合器的附件是否齐全，接口是否完好、无渗漏。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⑨　喷淋水泵每月应启动运转一次，当水泵为自动启动时，应模拟自动联动的条件启动运转一次。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⑩检查控制阀门的或锁链是否处于锁定状态，如遭破坏应立刻维护，以免造成误操作。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①对月检项目的检查。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②每两个月利用末端试水装置对水流指示器进行试验。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③进水管上的控制阀们应每季度检查一次，核实其处于全开启状态。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④检查系统报警阀组的报警、联动是否正常。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⑤对报警阀旁的放水试验阀进行一次供水实验；验证制定的供水能力。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①重复月检、季检项目的检查。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②在对系统水压最不利处的试水装置进行试水，检查水压、流量是否符合规定。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③检查水流指示器、压力开关等信号装置是否符号要求。</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（4）防排烟系统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 xml:space="preserve">月度检查计划（每两月一次）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①对排烟阀、送风阀、防火阀电动及手动的启动；维护防排烟设备及防火阀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的功能，启动设备使其运转5分钟，观察有无异常现象。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②检查排烟口的启动状况及操作功能。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③排烟机、送风机的启动和停动检查排烟、加压风机的联动控制信号返回情况。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④防排烟各防火阀的检查，检查阀门，叶片的位置是否正确，有无变形及能否运作。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⑤各新风机、通风机防火阀保护功能与消防联动是否正确。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①重复月检所有项目工作。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②启动防排烟系统使之工作30分钟，观察电机是否正常，测量其送风口排烟口风量，风压是否标准。</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（5）消防广播及消防电话系统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①检查音源、功放、分区选择器。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②抽检分区播音测试，监听现场广播音量是否符合要求。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③用电话手柄现场试打消防电话，各处通话应清楚、无噪音。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④检查电话主机及分机区选择器，选择通话应正常。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⑤维护功放、音源、区选择器的工作温度，散热情况。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⑥检查、紧固广播、电话分机接线端子。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⑦对消防广播、消防电话联动柜、主机进行清洁、除尘。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①重复季检查内容。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②全部开启广播，维护功放负载能力。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③模拟火灾状态下进行紧急广播。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④全检所有消防电话，其通话质量应符合要求。</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（6）应急照明及安全疏散指示标志系统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①严格按照消防规程进行维护管理，维护，以确保系统处于工作状态。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②检查区域内应急照明及安全疏散指示标志设施是否正常（包括设备外观、功能），以确保系统处于无故障状态。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③检查有关控制系统、配电柜系统功能是否正常，确保系统无故障。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①对月检项目的检查。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②模拟火灾状态下进行消防应急照明自动控制切换测试。</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（7）气体灭火系统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 xml:space="preserve"> 月度检查计划（每两月一次）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①外观检查：检查各类喷头、贮存装置、管道及附件等。喷头应无堵塞、错位现象。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②检查设备及管道的支、吊架的固定不应松动。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③测试控制气体释放的电磁阀、瓶头阀的动作电压是否正常。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④对系统各设备组件的外观压力进行检查，系统设备组件不能有碰撞变形等损伤和锈蚀情况。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　检查气体是否有泄漏。检查气体的压力表和称重装置。气瓶内压力应正常；驱动装置的压力不得少于设计储存压力的90%。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①重复月/季检查内容。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②对所有气体灭火系统瓶称量系统进行维护，如发现泄露少气，应协助采购人重新加气充装。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③在控制中心、气瓶驱动盘、现场启动按钮上进行手动启动测试联动动作信号；用烟温探测器联动自动测试联动动作信号。在测试启动后，作停动的测试。</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（8）大空间智能型主动喷水灭火系统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①设备外观检查，控制线路、控制电源检查。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②检查有关控制系统功能是否正常。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③每两月一次模拟火灾信号，测试大空间水炮动作情况。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①重复月/季检查内容。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②模拟火灾发生状态，测试大空间水炮联动情况，确保设备和系统无故障。</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（9）消防联动系统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ab/>
            </w:r>
            <w:r>
              <w:rPr>
                <w:rFonts w:hint="eastAsia" w:ascii="宋体" w:hAnsi="宋体"/>
                <w:b/>
                <w:bCs/>
                <w:color w:val="auto"/>
                <w:szCs w:val="21"/>
                <w:highlight w:val="none"/>
              </w:rPr>
              <w:t xml:space="preserve">  防火卷帘（每两月一次）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①现场试验卷帘门手动启停的功能。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②在控制中心试验卷帘门的启动及反馈功能。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③检查试验卷帘导轨和转动机构的完好情况和状态，对传动机构进行润滑。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④防火卷帘机械部分的维修保养。检查控制功能是否完好。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⑤每年第一次和最后一次全部检测，其余每次抽测总数的20％且不能重复。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⑥定期检查门禁系统的信号线路是否正常，检查门禁联动动作情况是否正常；并对异常、故障进行及时有效处理。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⑦定期检查非消防电源强切系统/会议系统强切系统的控制信号线路是否正常，检查联动动作情况；并对异常、故障进行及时有效处理。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⑧定期检查电动排烟窗/电动窗帘系统的控制信号线路是否正常，检查联动动作情况；并对异常、故障进行及时有效处理。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⑨定期检查燃气消防报警监视信号是否正常，并对异常、故障进行及时有效处理。</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（10）移动式干粉灭火器（月检）</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①定期检查干粉灭火器是否有效，检查搁置位置、放置数量是否符合消防要求，并对存在问题及时进行有效处理。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　移动式干粉灭火器，由采购人统一购置，维保单位配合放置和更换。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③移动式灭火器的维护保养。</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A、维修保养工作内容</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检查移动式灭火器(手提式、推车式)压力指针是否在绿区。</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检查移动式灭火器外观是否完好，有无变形、脱漆或配件缺失。</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检查移动式灭火器药剂贮瓶有无过期失效。</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B、维修保养工作标准</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移动式灭火器压力指针在绿区内。</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移动式灭火器外观完好，无变形、脱漆或配件缺损。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移动式灭火器贮瓶和药剂未过期。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C、维修保养工作计划</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每月检查移动式灭火器(手提式、推车式)压力指针是否在绿区。</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每月检查移动式灭火器外观是否完好，有无变形、脱漆或配件缺失。</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每月检查移动式灭火器药剂贮瓶有无过期失效。</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（11）消防电梯的维护保养</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 维护保养工作内容</w:t>
            </w:r>
          </w:p>
          <w:p>
            <w:pPr>
              <w:pStyle w:val="144"/>
              <w:shd w:val="clear"/>
              <w:spacing w:line="360" w:lineRule="auto"/>
              <w:contextualSpacing/>
              <w:rPr>
                <w:color w:val="auto"/>
                <w:highlight w:val="none"/>
              </w:rPr>
            </w:pPr>
            <w:r>
              <w:rPr>
                <w:rFonts w:hint="eastAsia" w:ascii="宋体" w:hAnsi="宋体"/>
                <w:color w:val="auto"/>
                <w:szCs w:val="21"/>
                <w:highlight w:val="none"/>
              </w:rPr>
              <w:t>A、检查消防电梯迫降功能是否完好。</w:t>
            </w:r>
          </w:p>
          <w:p>
            <w:pPr>
              <w:pStyle w:val="144"/>
              <w:shd w:val="clear"/>
              <w:spacing w:line="360" w:lineRule="auto"/>
              <w:contextualSpacing/>
              <w:rPr>
                <w:color w:val="auto"/>
                <w:highlight w:val="none"/>
              </w:rPr>
            </w:pPr>
            <w:r>
              <w:rPr>
                <w:rFonts w:hint="eastAsia" w:ascii="宋体" w:hAnsi="宋体"/>
                <w:color w:val="auto"/>
                <w:szCs w:val="21"/>
                <w:highlight w:val="none"/>
              </w:rPr>
              <w:t>B、检查消防电梯与火灾自动报警系统的联动是否完好。</w:t>
            </w:r>
          </w:p>
          <w:p>
            <w:pPr>
              <w:pStyle w:val="144"/>
              <w:shd w:val="clear"/>
              <w:spacing w:line="360" w:lineRule="auto"/>
              <w:contextualSpacing/>
              <w:rPr>
                <w:color w:val="auto"/>
                <w:highlight w:val="none"/>
              </w:rPr>
            </w:pPr>
            <w:r>
              <w:rPr>
                <w:rFonts w:hint="eastAsia" w:ascii="宋体" w:hAnsi="宋体"/>
                <w:color w:val="auto"/>
                <w:szCs w:val="21"/>
                <w:highlight w:val="none"/>
              </w:rPr>
              <w:t>C、检查消防电梯紧急迫降按钮及消防控制室迫降按钮时候功能完好。</w:t>
            </w:r>
          </w:p>
          <w:p>
            <w:pPr>
              <w:pStyle w:val="144"/>
              <w:shd w:val="clear"/>
              <w:spacing w:line="360" w:lineRule="auto"/>
              <w:contextualSpacing/>
              <w:rPr>
                <w:color w:val="auto"/>
                <w:highlight w:val="none"/>
              </w:rPr>
            </w:pPr>
            <w:r>
              <w:rPr>
                <w:rFonts w:hint="eastAsia" w:ascii="宋体" w:hAnsi="宋体"/>
                <w:color w:val="auto"/>
                <w:szCs w:val="21"/>
                <w:highlight w:val="none"/>
              </w:rPr>
              <w:t>D、检查消防电梯轿厢内外界专用对讲电话是否完好。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 维修保养工作标准</w:t>
            </w:r>
          </w:p>
          <w:p>
            <w:pPr>
              <w:pStyle w:val="144"/>
              <w:shd w:val="clear"/>
              <w:spacing w:line="360" w:lineRule="auto"/>
              <w:contextualSpacing/>
              <w:rPr>
                <w:color w:val="auto"/>
                <w:highlight w:val="none"/>
              </w:rPr>
            </w:pPr>
            <w:r>
              <w:rPr>
                <w:rFonts w:hint="eastAsia" w:ascii="宋体" w:hAnsi="宋体"/>
                <w:color w:val="auto"/>
                <w:szCs w:val="21"/>
                <w:highlight w:val="none"/>
              </w:rPr>
              <w:t>A、测试消防电梯的迫降功能，对不能迫降的消防电梯及时检查维修。</w:t>
            </w:r>
          </w:p>
          <w:p>
            <w:pPr>
              <w:pStyle w:val="144"/>
              <w:shd w:val="clear"/>
              <w:spacing w:line="360" w:lineRule="auto"/>
              <w:contextualSpacing/>
              <w:rPr>
                <w:color w:val="auto"/>
                <w:highlight w:val="none"/>
              </w:rPr>
            </w:pPr>
            <w:r>
              <w:rPr>
                <w:rFonts w:hint="eastAsia" w:ascii="宋体" w:hAnsi="宋体"/>
                <w:color w:val="auto"/>
                <w:szCs w:val="21"/>
                <w:highlight w:val="none"/>
              </w:rPr>
              <w:t>B、测试消防联动时，观察消防电梯迫降首层至底层的时间和功能性必须完好，消防报警主机各项反馈功能完好。</w:t>
            </w:r>
          </w:p>
          <w:p>
            <w:pPr>
              <w:pStyle w:val="144"/>
              <w:shd w:val="clear"/>
              <w:spacing w:line="360" w:lineRule="auto"/>
              <w:contextualSpacing/>
              <w:rPr>
                <w:color w:val="auto"/>
                <w:highlight w:val="none"/>
              </w:rPr>
            </w:pPr>
            <w:r>
              <w:rPr>
                <w:rFonts w:hint="eastAsia" w:ascii="宋体" w:hAnsi="宋体"/>
                <w:color w:val="auto"/>
                <w:szCs w:val="21"/>
                <w:highlight w:val="none"/>
              </w:rPr>
              <w:t xml:space="preserve">C、检查消防电梯紧急启停按钮和按钮保护罩必须完好，消防控制室单独 控制消防电梯功能完好。 </w:t>
            </w:r>
          </w:p>
          <w:p>
            <w:pPr>
              <w:pStyle w:val="144"/>
              <w:shd w:val="clear"/>
              <w:spacing w:line="360" w:lineRule="auto"/>
              <w:contextualSpacing/>
              <w:rPr>
                <w:color w:val="auto"/>
                <w:highlight w:val="none"/>
              </w:rPr>
            </w:pPr>
            <w:r>
              <w:rPr>
                <w:rFonts w:hint="eastAsia" w:ascii="宋体" w:hAnsi="宋体"/>
                <w:color w:val="auto"/>
                <w:szCs w:val="21"/>
                <w:highlight w:val="none"/>
              </w:rPr>
              <w:t>D、检查消防电梯轿厢内外界电话必须完好并通话声音清晰。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 维修保养工作计划</w:t>
            </w:r>
          </w:p>
          <w:p>
            <w:pPr>
              <w:pStyle w:val="144"/>
              <w:shd w:val="clear"/>
              <w:spacing w:line="360" w:lineRule="auto"/>
              <w:contextualSpacing/>
              <w:rPr>
                <w:color w:val="auto"/>
                <w:highlight w:val="none"/>
              </w:rPr>
            </w:pPr>
            <w:r>
              <w:rPr>
                <w:rFonts w:hint="eastAsia" w:ascii="宋体" w:hAnsi="宋体"/>
                <w:color w:val="auto"/>
                <w:szCs w:val="21"/>
                <w:highlight w:val="none"/>
              </w:rPr>
              <w:t>A、每月测试消防电梯的迫降功能，对不能迫降的消防电梯及时检查修。</w:t>
            </w:r>
          </w:p>
          <w:p>
            <w:pPr>
              <w:pStyle w:val="144"/>
              <w:shd w:val="clear"/>
              <w:spacing w:line="360" w:lineRule="auto"/>
              <w:contextualSpacing/>
              <w:rPr>
                <w:color w:val="auto"/>
                <w:highlight w:val="none"/>
              </w:rPr>
            </w:pPr>
            <w:r>
              <w:rPr>
                <w:rFonts w:hint="eastAsia" w:ascii="宋体" w:hAnsi="宋体"/>
                <w:color w:val="auto"/>
                <w:szCs w:val="21"/>
                <w:highlight w:val="none"/>
              </w:rPr>
              <w:t>B、每季度测试消防联动时，观察消防电梯迫降首层至底层的时间和功能性必须完好，消防报警主机各项反馈功能完好。</w:t>
            </w:r>
          </w:p>
          <w:p>
            <w:pPr>
              <w:pStyle w:val="144"/>
              <w:shd w:val="clear"/>
              <w:spacing w:line="360" w:lineRule="auto"/>
              <w:contextualSpacing/>
              <w:rPr>
                <w:color w:val="auto"/>
                <w:highlight w:val="none"/>
              </w:rPr>
            </w:pPr>
            <w:r>
              <w:rPr>
                <w:rFonts w:hint="eastAsia" w:ascii="宋体" w:hAnsi="宋体"/>
                <w:color w:val="auto"/>
                <w:szCs w:val="21"/>
                <w:highlight w:val="none"/>
              </w:rPr>
              <w:t>C、每月检查消防电梯紧急启停按钮和按钮保护罩必须完好，消防控制室单独控制消防电梯功能完好。</w:t>
            </w:r>
          </w:p>
          <w:p>
            <w:pPr>
              <w:pStyle w:val="144"/>
              <w:shd w:val="clear"/>
              <w:spacing w:line="360" w:lineRule="auto"/>
              <w:contextualSpacing/>
              <w:rPr>
                <w:color w:val="auto"/>
                <w:highlight w:val="none"/>
              </w:rPr>
            </w:pPr>
            <w:r>
              <w:rPr>
                <w:rFonts w:hint="eastAsia" w:ascii="宋体" w:hAnsi="宋体"/>
                <w:color w:val="auto"/>
                <w:szCs w:val="21"/>
                <w:highlight w:val="none"/>
              </w:rPr>
              <w:t>D、每月检查消防电梯轿厢内外界电话必须完好并通话声音清晰。</w:t>
            </w:r>
          </w:p>
        </w:tc>
      </w:tr>
    </w:tbl>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（12）交流电源、直流备用电源、消防供电配电设施的维护保养</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top"/>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①维护保养工作内容</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A、消防控制室消防设备供电的交流电源回路开关标识，有无其他用电线路 </w:t>
            </w:r>
          </w:p>
          <w:p>
            <w:pPr>
              <w:pStyle w:val="144"/>
              <w:shd w:val="clear"/>
              <w:spacing w:line="360" w:lineRule="auto"/>
              <w:ind w:firstLine="0" w:firstLineChars="0"/>
              <w:contextualSpacing/>
              <w:rPr>
                <w:rFonts w:ascii="宋体" w:hAnsi="宋体"/>
                <w:color w:val="auto"/>
                <w:szCs w:val="21"/>
                <w:highlight w:val="none"/>
              </w:rPr>
            </w:pPr>
            <w:r>
              <w:rPr>
                <w:rFonts w:hint="eastAsia" w:ascii="宋体" w:hAnsi="宋体"/>
                <w:color w:val="auto"/>
                <w:szCs w:val="21"/>
                <w:highlight w:val="none"/>
              </w:rPr>
              <w:t>及用电设备接入。</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B、将双回路电源断开主电源，测试备用电源是否自动投入，恢复主电源，备用电源应自动断开主电源自动接入。</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C、观察电源盘的电压。</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D、将火灾报警控制器的主电电源开关断开，备用电源是否自动投入，报警控制器是否显示主电故障并有故障报警声，备用电源运行，观察电源盘的电压。</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E、将火灾报警控制器备电开关断开，查看报警控制器是否显示备电障。</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F、使任一总线回路上不少于10只的火灾探测器同时处于火灾报警状态，检查控制器负载能力，记录电流、电压值。</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G、对备用直流电源进行1次充放电，记录充放电时间。</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H、专业检测仪器对所安装的全部探测气和手动报警装置试验。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I、自动和手动打开全部排烟阀，并关闭电动防火阀和空调系统。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J、对防火卷帘试验。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K、强制切断全部非消防电源功能试验。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L、对其他有关的消防控制装置进行功能试验。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M、消防用电设施最末一级配电箱的标识是否清晰。</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N、仪表、指示灯、开关、控制按钮标记是否清晰。</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O、仪表、指示灯的显示是否正常。</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P、所有最末一级配电箱运行情况，手动切断测试末端自动切换装置是否正常工作。</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Q、测试开关及控制按钮是否灵活可靠。</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R、自动控制方式下，手动切断消防主电源，观察备用消防电源的自动投入指示灯的显示是否正常。</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S、手动控制方式下，在低压配电室应先切断消防主电源，后闭合备用消防电源，观察备用消防电源的投入及指示灯的显示，检查线路和设备。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②维修保养工作标准</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A、消防控制室消防设备供电的交流电源回路开关标识是否完好，有无其他用电线路及用电设备接入。对不清晰标识及时维修、更换，清理其他用电线路。</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B、将双回路电源断开主电源，测试备用电源是否自动投入，恢复主电源， 备用电源应自动断开主电源自动接入。不能满足功能要求时，调试、维修、更换互投装置。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C、观察电源盘的电压，对不满足电压区间范围的进行检查、维修。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D、将火灾报警控制器的主电电源开关断开，备用电源是否自动投入，报警控制器是否显示主电故障并有故障报警声，备用电源运行，观察电源盘的电压，对不能满足的功能进行调试、维修。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E、将火灾报警控制器备电开关断开，查看报警控制器是否显示备电故障，不能显示时对线路和设备进行维修。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F、使任一总线回路上不少于10只的火灾探测器同时处于火灾报警状态，检查控制器负载能力，记录电流、电压值，对电流、电压异常的总线回路进行检查、维修。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G、对备用直流电源进行1次充放电，记录充放电时间。</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H、专业检测仪器对所安装的全部探测气和手动报警装置试验。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I、自动和手动打开全部排烟阀，并关闭电动防火阀和空调系统。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J、对防火卷帘试验。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K、强制切断全部非消防电源功能试验。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L、对其他有关的消防控制装置进行功能试验。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M、查看各消防用电设施最末一级配电箱的标识是否清晰，对缺失、污损的标识进行维修、更换。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N、仪表、指示灯、开关、控制按钮标记是否清晰，对脱落和不清晰的标记进行更换。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O、查看仪表、指示灯的显示是否正常，对显示有故障的仪表、指示灯，查看线路、测试设备等对故障设备维修、更换。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P、查看所有最末一级配电箱运行情况，手动切断测试末端自动切换装置是否正常工作，对自动切换功能故障的装置进行维修、更换。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Q、测试开关及控制按钮是否灵活可靠，对存在故障的开关及按钮及时维修、更换。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R、自动控制方式下，手动切断消防主电源，观察备用消防电源的自动投入指示灯的显示是否正常，电源是否自动切换，不能正常切换时及时进行维修。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S、手动控制方式下，在低压配电室应先切断消防主电源，后闭合备用消防电源，观察备用消防电源的投入及指示灯的显示，检查线路和设备，对不能正常工作的备用电源进行维修、更换。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top"/>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 维修保养工作计划</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A、每月对消防控制室消防设备供电的交流电源回路开关标识是否完好，有无其他用电线路及用电设备接入。对不清晰标识及时维修、更换，清理其他用电线路。</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B、每月将双回路电源断开主电源，测试备用电源是否自动投入，恢复主电源，备用电源应自动断开主电源自动接入。不能满足功能要求时，调试、维修、更换互投装置。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C、每月观察电源盘的电压，对不满足电压区间范围的进行检查、维修。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D、每月将火灾报警控制器的主电电源开关断开，备用电源是否自动投入，报警控制器是否显示主电故障并有故障报警声，备用电源运行，观察电源盘的电压，对不能满足的功能进行调试、维修。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E、每月将火灾报警控制器备电开关断开，查看报警控制器是否显示备电故障，不能显示时对线路和设备进行维修。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F、每月使任一总线回路上不少于10只的火灾探测器同时处于火灾报警状态，检查控制器负载能力，记录电流、电压值，对电流、电压异常的总线回路进行检查、维修。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G、每周对备用直流电源进行1次充放电，记录充放电时间。</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H、每月用专业检测仪器对所安装的全部探测气和手动报警装置试验。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I、每月测试自动和手动打开全部排烟阀，并关闭电动防火阀和空调系统。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J、每季度对防火卷帘试验。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K、每季度强制切断全部非消防电源功能试验。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L、每月对其他有关的消防控制装置进行功能试验。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M、每月查看各消防用电设施最末一级配电箱的标识是否清晰，对缺失、污损的标识进行维修、更换。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N、每月查收看仪表、指示灯、开关、控制按钮标记是否清晰，对脱落和不清晰的标记进行更换。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O、每月查看仪表、指示灯的显示是否正常，对显示有故障的仪表、指示灯，查看线路、测试设备等对故障设备维修、更换。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P、每月查看所有最末一级配电箱运行情况，手动切断测试末端自动切换装置是否正常工作，对自动切换功能故障的装置进行维修、更换。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Q、每季度测试开关及控制按钮是否灵活可靠，对存在故障的开关及按钮及时维修、更换。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R、每季度检查自动控制方式下，手动切断消防主电源，观察备用消防电源的自动投入指示灯的显示是否正常，电源是否自动切换，不能正常切换时及时进行维修。</w:t>
            </w:r>
          </w:p>
        </w:tc>
      </w:tr>
    </w:tbl>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（13）水泵、恒压泵、控制柜、联动柜的维护保养</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①维修保养工作标准</w:t>
      </w:r>
    </w:p>
    <w:p>
      <w:pPr>
        <w:numPr>
          <w:ilvl w:val="0"/>
          <w:numId w:val="12"/>
        </w:numPr>
        <w:shd w:val="clear"/>
        <w:spacing w:line="360" w:lineRule="auto"/>
        <w:jc w:val="both"/>
        <w:rPr>
          <w:rFonts w:hAnsi="宋体"/>
          <w:color w:val="auto"/>
          <w:sz w:val="21"/>
          <w:szCs w:val="21"/>
          <w:highlight w:val="none"/>
        </w:rPr>
      </w:pPr>
      <w:r>
        <w:rPr>
          <w:rFonts w:hint="eastAsia" w:hAnsi="宋体"/>
          <w:color w:val="auto"/>
          <w:sz w:val="21"/>
          <w:szCs w:val="21"/>
          <w:highlight w:val="none"/>
        </w:rPr>
        <w:t>水泵运行平稳，流量、压力达到设计要求；</w:t>
      </w:r>
    </w:p>
    <w:p>
      <w:pPr>
        <w:numPr>
          <w:ilvl w:val="0"/>
          <w:numId w:val="12"/>
        </w:numPr>
        <w:shd w:val="clear"/>
        <w:spacing w:line="360" w:lineRule="auto"/>
        <w:jc w:val="both"/>
        <w:rPr>
          <w:rFonts w:hAnsi="宋体"/>
          <w:color w:val="auto"/>
          <w:sz w:val="21"/>
          <w:szCs w:val="21"/>
          <w:highlight w:val="none"/>
        </w:rPr>
      </w:pPr>
      <w:r>
        <w:rPr>
          <w:rFonts w:hint="eastAsia" w:hAnsi="宋体"/>
          <w:color w:val="auto"/>
          <w:sz w:val="21"/>
          <w:szCs w:val="21"/>
          <w:highlight w:val="none"/>
        </w:rPr>
        <w:t>控制柜与消防中心信号通讯正常、准确，显示正确；</w:t>
      </w:r>
    </w:p>
    <w:p>
      <w:pPr>
        <w:numPr>
          <w:ilvl w:val="0"/>
          <w:numId w:val="12"/>
        </w:numPr>
        <w:shd w:val="clear"/>
        <w:spacing w:line="360" w:lineRule="auto"/>
        <w:jc w:val="both"/>
        <w:rPr>
          <w:rFonts w:hAnsi="宋体"/>
          <w:color w:val="auto"/>
          <w:sz w:val="21"/>
          <w:szCs w:val="21"/>
          <w:highlight w:val="none"/>
        </w:rPr>
      </w:pPr>
      <w:r>
        <w:rPr>
          <w:rFonts w:hint="eastAsia" w:hAnsi="宋体"/>
          <w:color w:val="auto"/>
          <w:sz w:val="21"/>
          <w:szCs w:val="21"/>
          <w:highlight w:val="none"/>
        </w:rPr>
        <w:t>控制柜、联动柜内接线无松脱、无撞火烧花，清洁无尘，功能正常；</w:t>
      </w:r>
    </w:p>
    <w:p>
      <w:pPr>
        <w:numPr>
          <w:ilvl w:val="0"/>
          <w:numId w:val="12"/>
        </w:numPr>
        <w:shd w:val="clear"/>
        <w:spacing w:line="360" w:lineRule="auto"/>
        <w:jc w:val="both"/>
        <w:rPr>
          <w:rFonts w:hAnsi="宋体"/>
          <w:color w:val="auto"/>
          <w:sz w:val="21"/>
          <w:szCs w:val="21"/>
          <w:highlight w:val="none"/>
        </w:rPr>
      </w:pPr>
      <w:r>
        <w:rPr>
          <w:rFonts w:hint="eastAsia" w:hAnsi="宋体"/>
          <w:color w:val="auto"/>
          <w:sz w:val="21"/>
          <w:szCs w:val="21"/>
          <w:highlight w:val="none"/>
        </w:rPr>
        <w:t>消防水泵末端双电源控制箱主备电源自动切换投入功能正常；</w:t>
      </w:r>
    </w:p>
    <w:p>
      <w:pPr>
        <w:numPr>
          <w:ilvl w:val="0"/>
          <w:numId w:val="12"/>
        </w:numPr>
        <w:shd w:val="clear"/>
        <w:spacing w:line="360" w:lineRule="auto"/>
        <w:jc w:val="both"/>
        <w:rPr>
          <w:rFonts w:hAnsi="宋体"/>
          <w:color w:val="auto"/>
          <w:sz w:val="21"/>
          <w:szCs w:val="21"/>
          <w:highlight w:val="none"/>
        </w:rPr>
      </w:pPr>
      <w:r>
        <w:rPr>
          <w:rFonts w:hint="eastAsia" w:hAnsi="宋体"/>
          <w:color w:val="auto"/>
          <w:sz w:val="21"/>
          <w:szCs w:val="21"/>
          <w:highlight w:val="none"/>
        </w:rPr>
        <w:t>水泵的相间及对地绝缘电阻符合要求；</w:t>
      </w:r>
    </w:p>
    <w:p>
      <w:pPr>
        <w:numPr>
          <w:ilvl w:val="0"/>
          <w:numId w:val="12"/>
        </w:numPr>
        <w:shd w:val="clear"/>
        <w:spacing w:line="360" w:lineRule="auto"/>
        <w:jc w:val="both"/>
        <w:rPr>
          <w:rFonts w:hAnsi="宋体"/>
          <w:color w:val="auto"/>
          <w:sz w:val="21"/>
          <w:szCs w:val="21"/>
          <w:highlight w:val="none"/>
        </w:rPr>
      </w:pPr>
      <w:r>
        <w:rPr>
          <w:rFonts w:hint="eastAsia" w:hAnsi="宋体"/>
          <w:color w:val="auto"/>
          <w:sz w:val="21"/>
          <w:szCs w:val="21"/>
          <w:highlight w:val="none"/>
        </w:rPr>
        <w:t>消防水泵控制柜的故障自投功能正常，即一台故障时，另一台能自动投入使用；</w:t>
      </w:r>
    </w:p>
    <w:p>
      <w:pPr>
        <w:numPr>
          <w:ilvl w:val="0"/>
          <w:numId w:val="12"/>
        </w:numPr>
        <w:shd w:val="clear"/>
        <w:spacing w:line="360" w:lineRule="auto"/>
        <w:jc w:val="both"/>
        <w:rPr>
          <w:rFonts w:hAnsi="宋体"/>
          <w:color w:val="auto"/>
          <w:sz w:val="21"/>
          <w:szCs w:val="21"/>
          <w:highlight w:val="none"/>
        </w:rPr>
      </w:pPr>
      <w:r>
        <w:rPr>
          <w:rFonts w:hint="eastAsia" w:hAnsi="宋体"/>
          <w:color w:val="auto"/>
          <w:sz w:val="21"/>
          <w:szCs w:val="21"/>
          <w:highlight w:val="none"/>
        </w:rPr>
        <w:t>水泵轴承润滑充分、可靠，水泵运行平稳，轴承不过热。</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②维修保养工作计划</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A、每月检查试验自动和手动启动消防水泵，观察流量、压力、运行电流是否正常，并做好记录存档；</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B、每月检查各控制柜到消防中心信号是否正常，控制柜各指示灯各功能是否正常；</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C、每月定期检查联动柜内部电路，测试其功能是否正常，并进行吸尘、紧固接线的保养工作；</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D、每月定期检查消防水泵主备电源自动切换装置是否正常。打开水泵出水管上的放水试验阀，用主电源启动消防水泵，消防水泵启动应正常；关掉主电源，主、备电源切换正常，试验 1~3 次；</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E、每季定期测试水泵的相间及对地电阻是否符合要求，并做好记录；</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F、每月定期测试消防水泵的故障自投功能是否正常；</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G、每季定期添加或更换水泵的润滑油。</w:t>
      </w:r>
    </w:p>
    <w:p>
      <w:pPr>
        <w:shd w:val="clear"/>
        <w:spacing w:line="360" w:lineRule="auto"/>
        <w:jc w:val="both"/>
        <w:rPr>
          <w:rFonts w:hAnsi="宋体"/>
          <w:b/>
          <w:bCs/>
          <w:color w:val="auto"/>
          <w:sz w:val="21"/>
          <w:szCs w:val="21"/>
          <w:highlight w:val="none"/>
        </w:rPr>
      </w:pPr>
      <w:r>
        <w:rPr>
          <w:rFonts w:hint="eastAsia" w:hAnsi="宋体"/>
          <w:b/>
          <w:bCs/>
          <w:color w:val="auto"/>
          <w:sz w:val="21"/>
          <w:szCs w:val="21"/>
          <w:highlight w:val="none"/>
        </w:rPr>
        <w:t>3、维保的具体要求：</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维修保养工作应至少由两名工作人员共同执行，以便相互协助和相互监督。</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系统的定期维修包括月检、季检和年检三种规格，每种规格的维护项目内容由成交人设计保养维修记录表（并由成交人盖章），供应商工作人员必须按照规格的要求完成对应的各项工作内容，并在相应的记录表上做出记录。</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（2）在所有的维护、检修、检测、试验工作完成后，应将系统复位到正常警戒状态，做好清洁卫生工作。</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（3）工作中发现产品设备故障、损坏以及系统存在的其他问题应立即进行检查、维修、核实和原因分析，保持设备正常运行，并提出整改意见同时通知采购人。</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（4）遇到节假日或采购人有重要部署，根据采购人要求，应组织维保人员到采购人指定地点进行巡检工作，人数不少于2人。</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（5）在提供维护档案、维护技术资料同时需向采购人提供保养过程中的动态管理情况，包括应急处理、维护记录、故障处理登记及第三方机构出具的年度消防检测报告等。</w:t>
      </w:r>
    </w:p>
    <w:p>
      <w:pPr>
        <w:shd w:val="clear"/>
        <w:spacing w:line="360" w:lineRule="auto"/>
        <w:ind w:firstLine="422" w:firstLineChars="200"/>
        <w:jc w:val="both"/>
        <w:rPr>
          <w:rFonts w:hAnsi="宋体"/>
          <w:b/>
          <w:bCs/>
          <w:color w:val="auto"/>
          <w:sz w:val="21"/>
          <w:szCs w:val="21"/>
          <w:highlight w:val="none"/>
        </w:rPr>
      </w:pPr>
      <w:r>
        <w:rPr>
          <w:rFonts w:hint="eastAsia" w:hAnsi="宋体"/>
          <w:b/>
          <w:bCs/>
          <w:color w:val="auto"/>
          <w:sz w:val="21"/>
          <w:szCs w:val="21"/>
          <w:highlight w:val="none"/>
        </w:rPr>
        <w:t>4、考核标准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监视模块</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控制模块</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手动报警按钮</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警铃</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消防广播控制主机（音源，功放，选层盘等）</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吸顶扬声器</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消防电话主机</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消防电话分机</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消防电话插孔</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消防卷帘</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防火门</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火灾事故照明灯，疏散指示灯</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正压送风机</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正压送风阀</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排烟风机</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排烟阀</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水流指示器，信号阀</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湿式报警阀</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消火栓箱，消火栓按钮</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消火栓泵</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喷淋泵</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喷淋头</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七氟丙烷气体灭火设备</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可移动式灭火器</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气压罐</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地址码手动报警按钮</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楼层显示器</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供电电源</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bl>
    <w:p>
      <w:pPr>
        <w:shd w:val="clear"/>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按照合同附件《维修保养工作考评办法》开展考核。</w:t>
      </w:r>
    </w:p>
    <w:p>
      <w:pPr>
        <w:shd w:val="clear"/>
        <w:rPr>
          <w:rFonts w:ascii="仿宋" w:hAnsi="仿宋" w:eastAsia="仿宋" w:cstheme="minorBidi"/>
          <w:b/>
          <w:color w:val="auto"/>
          <w:kern w:val="2"/>
          <w:highlight w:val="none"/>
        </w:rPr>
      </w:pPr>
      <w:r>
        <w:rPr>
          <w:rFonts w:ascii="仿宋" w:hAnsi="仿宋" w:eastAsia="仿宋" w:cstheme="minorBidi"/>
          <w:b/>
          <w:color w:val="auto"/>
          <w:kern w:val="2"/>
          <w:highlight w:val="none"/>
        </w:rPr>
        <w:br w:type="page"/>
      </w:r>
    </w:p>
    <w:bookmarkEnd w:id="165"/>
    <w:bookmarkEnd w:id="166"/>
    <w:p>
      <w:pPr>
        <w:pStyle w:val="3"/>
        <w:keepNext/>
        <w:keepLines/>
        <w:pageBreakBefore/>
        <w:numPr>
          <w:ilvl w:val="0"/>
          <w:numId w:val="13"/>
        </w:numPr>
        <w:shd w:val="clear"/>
        <w:spacing w:line="360" w:lineRule="auto"/>
        <w:jc w:val="center"/>
        <w:rPr>
          <w:rFonts w:hAnsi="宋体"/>
          <w:b/>
          <w:bCs/>
          <w:color w:val="auto"/>
          <w:kern w:val="44"/>
          <w:sz w:val="28"/>
          <w:szCs w:val="28"/>
          <w:highlight w:val="none"/>
          <w:lang w:val="zh-CN"/>
        </w:rPr>
      </w:pPr>
      <w:bookmarkStart w:id="169" w:name="_Toc28792"/>
      <w:bookmarkStart w:id="170" w:name="_Toc4437"/>
      <w:r>
        <w:rPr>
          <w:rFonts w:hint="eastAsia" w:hAnsi="宋体"/>
          <w:b/>
          <w:bCs/>
          <w:color w:val="auto"/>
          <w:kern w:val="44"/>
          <w:sz w:val="28"/>
          <w:szCs w:val="28"/>
          <w:highlight w:val="none"/>
          <w:lang w:val="zh-CN"/>
        </w:rPr>
        <w:t>评审工作大纲</w:t>
      </w:r>
      <w:bookmarkEnd w:id="169"/>
    </w:p>
    <w:p>
      <w:pPr>
        <w:pStyle w:val="21"/>
        <w:shd w:val="clear"/>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hd w:val="clear"/>
              <w:spacing w:before="156" w:beforeLines="50" w:after="156"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hd w:val="clear"/>
              <w:spacing w:before="156" w:beforeLines="50" w:after="156"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hd w:val="clear"/>
              <w:spacing w:before="156" w:beforeLines="50" w:after="156"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hd w:val="clear"/>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hd w:val="clear"/>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bl>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1"/>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1"/>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1"/>
        <w:numPr>
          <w:ilvl w:val="0"/>
          <w:numId w:val="14"/>
        </w:numPr>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1"/>
        <w:numPr>
          <w:ilvl w:val="0"/>
          <w:numId w:val="15"/>
        </w:numPr>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30"/>
        <w:shd w:val="clear"/>
        <w:spacing w:line="360" w:lineRule="auto"/>
        <w:ind w:firstLine="422" w:firstLineChars="200"/>
        <w:outlineLvl w:val="0"/>
        <w:rPr>
          <w:rFonts w:hAnsi="宋体"/>
          <w:b/>
          <w:bCs/>
          <w:color w:val="auto"/>
          <w:szCs w:val="21"/>
          <w:highlight w:val="none"/>
        </w:rPr>
      </w:pPr>
      <w:r>
        <w:rPr>
          <w:rFonts w:hint="eastAsia" w:hAnsi="宋体"/>
          <w:b/>
          <w:bCs/>
          <w:color w:val="auto"/>
          <w:szCs w:val="21"/>
          <w:highlight w:val="none"/>
        </w:rPr>
        <w:t>三、评审因素及评分权重</w:t>
      </w:r>
      <w:bookmarkEnd w:id="170"/>
    </w:p>
    <w:p>
      <w:pPr>
        <w:shd w:val="clea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2"/>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0"/>
        <w:gridCol w:w="1549"/>
        <w:gridCol w:w="198"/>
        <w:gridCol w:w="536"/>
        <w:gridCol w:w="28"/>
        <w:gridCol w:w="263"/>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bCs/>
                <w:color w:val="auto"/>
                <w:sz w:val="21"/>
                <w:szCs w:val="21"/>
                <w:highlight w:val="none"/>
              </w:rPr>
              <w:t>序号</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bCs/>
                <w:color w:val="auto"/>
                <w:sz w:val="21"/>
                <w:szCs w:val="21"/>
                <w:highlight w:val="none"/>
              </w:rPr>
              <w:t>评审项目</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bCs/>
                <w:color w:val="auto"/>
                <w:sz w:val="21"/>
                <w:szCs w:val="21"/>
                <w:highlight w:val="none"/>
              </w:rPr>
              <w:t>分值</w:t>
            </w:r>
          </w:p>
        </w:tc>
        <w:tc>
          <w:tcPr>
            <w:tcW w:w="6198" w:type="dxa"/>
            <w:gridSpan w:val="2"/>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9" w:type="dxa"/>
            <w:gridSpan w:val="8"/>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color w:val="auto"/>
                <w:sz w:val="21"/>
                <w:szCs w:val="21"/>
                <w:highlight w:val="none"/>
              </w:rPr>
              <w:t>商务评分（20分）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right w:val="single" w:color="auto" w:sz="4" w:space="0"/>
            </w:tcBorders>
            <w:vAlign w:val="center"/>
          </w:tcPr>
          <w:p>
            <w:pPr>
              <w:shd w:val="clear"/>
              <w:spacing w:line="360" w:lineRule="auto"/>
              <w:jc w:val="center"/>
              <w:rPr>
                <w:color w:val="auto"/>
                <w:sz w:val="21"/>
                <w:szCs w:val="21"/>
                <w:highlight w:val="none"/>
              </w:rPr>
            </w:pPr>
            <w:r>
              <w:rPr>
                <w:rFonts w:hint="eastAsia" w:hAnsi="宋体"/>
                <w:color w:val="auto"/>
                <w:sz w:val="21"/>
                <w:szCs w:val="21"/>
                <w:highlight w:val="none"/>
              </w:rPr>
              <w:t>1</w:t>
            </w:r>
          </w:p>
        </w:tc>
        <w:tc>
          <w:tcPr>
            <w:tcW w:w="1747" w:type="dxa"/>
            <w:gridSpan w:val="2"/>
            <w:tcBorders>
              <w:top w:val="single" w:color="auto" w:sz="4" w:space="0"/>
              <w:left w:val="single" w:color="auto" w:sz="4" w:space="0"/>
              <w:right w:val="single" w:color="auto" w:sz="4" w:space="0"/>
            </w:tcBorders>
            <w:vAlign w:val="center"/>
          </w:tcPr>
          <w:p>
            <w:pPr>
              <w:shd w:val="clear"/>
              <w:spacing w:before="31" w:beforeLines="10" w:after="30" w:line="360" w:lineRule="exact"/>
              <w:jc w:val="center"/>
              <w:rPr>
                <w:color w:val="auto"/>
                <w:sz w:val="21"/>
                <w:szCs w:val="21"/>
                <w:highlight w:val="none"/>
              </w:rPr>
            </w:pPr>
            <w:r>
              <w:rPr>
                <w:rFonts w:hint="eastAsia" w:hAnsi="宋体"/>
                <w:bCs/>
                <w:color w:val="auto"/>
                <w:sz w:val="21"/>
                <w:szCs w:val="21"/>
                <w:highlight w:val="none"/>
              </w:rPr>
              <w:t>企业认证</w:t>
            </w:r>
          </w:p>
        </w:tc>
        <w:tc>
          <w:tcPr>
            <w:tcW w:w="827" w:type="dxa"/>
            <w:gridSpan w:val="3"/>
            <w:tcBorders>
              <w:top w:val="single" w:color="auto" w:sz="4" w:space="0"/>
              <w:left w:val="single" w:color="auto" w:sz="4" w:space="0"/>
              <w:bottom w:val="single" w:color="auto" w:sz="4" w:space="0"/>
              <w:right w:val="single" w:color="auto" w:sz="4" w:space="0"/>
            </w:tcBorders>
            <w:vAlign w:val="center"/>
          </w:tcPr>
          <w:p>
            <w:pPr>
              <w:widowControl/>
              <w:shd w:val="clear"/>
              <w:spacing w:before="31" w:beforeLines="10" w:after="30" w:line="360" w:lineRule="exact"/>
              <w:jc w:val="center"/>
              <w:rPr>
                <w:color w:val="auto"/>
                <w:sz w:val="21"/>
                <w:szCs w:val="21"/>
                <w:highlight w:val="none"/>
              </w:rPr>
            </w:pPr>
            <w:r>
              <w:rPr>
                <w:rFonts w:hint="eastAsia" w:hAnsi="宋体"/>
                <w:bCs/>
                <w:color w:val="auto"/>
                <w:sz w:val="21"/>
                <w:szCs w:val="21"/>
                <w:highlight w:val="none"/>
                <w:lang w:val="en-US" w:eastAsia="zh-CN"/>
              </w:rPr>
              <w:t>2</w:t>
            </w:r>
            <w:r>
              <w:rPr>
                <w:rFonts w:hint="eastAsia" w:hAnsi="宋体"/>
                <w:bCs/>
                <w:color w:val="auto"/>
                <w:sz w:val="21"/>
                <w:szCs w:val="21"/>
                <w:highlight w:val="none"/>
              </w:rPr>
              <w:t>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before="31" w:beforeLines="10" w:after="30" w:line="360" w:lineRule="auto"/>
              <w:rPr>
                <w:rFonts w:hAnsi="宋体"/>
                <w:bCs/>
                <w:color w:val="auto"/>
                <w:sz w:val="21"/>
                <w:szCs w:val="21"/>
                <w:highlight w:val="none"/>
              </w:rPr>
            </w:pPr>
            <w:r>
              <w:rPr>
                <w:rFonts w:hint="eastAsia" w:hAnsi="宋体"/>
                <w:bCs/>
                <w:color w:val="auto"/>
                <w:sz w:val="21"/>
                <w:szCs w:val="21"/>
                <w:highlight w:val="none"/>
              </w:rPr>
              <w:t>供应商具有由国家认证认可监督管理部门批准设立的认证机构颁发并在有效期内的证书，每提供一个得</w:t>
            </w:r>
            <w:r>
              <w:rPr>
                <w:rFonts w:hint="eastAsia" w:hAnsi="宋体"/>
                <w:bCs/>
                <w:color w:val="auto"/>
                <w:sz w:val="21"/>
                <w:szCs w:val="21"/>
                <w:highlight w:val="none"/>
                <w:lang w:val="en-US" w:eastAsia="zh-CN"/>
              </w:rPr>
              <w:t>1</w:t>
            </w:r>
            <w:r>
              <w:rPr>
                <w:rFonts w:hint="eastAsia" w:hAnsi="宋体"/>
                <w:bCs/>
                <w:color w:val="auto"/>
                <w:sz w:val="21"/>
                <w:szCs w:val="21"/>
                <w:highlight w:val="none"/>
              </w:rPr>
              <w:t>分，最高得</w:t>
            </w:r>
            <w:r>
              <w:rPr>
                <w:rFonts w:hint="eastAsia" w:hAnsi="宋体"/>
                <w:bCs/>
                <w:color w:val="auto"/>
                <w:sz w:val="21"/>
                <w:szCs w:val="21"/>
                <w:highlight w:val="none"/>
                <w:lang w:val="en-US" w:eastAsia="zh-CN"/>
              </w:rPr>
              <w:t>2</w:t>
            </w:r>
            <w:r>
              <w:rPr>
                <w:rFonts w:hint="eastAsia" w:hAnsi="宋体"/>
                <w:bCs/>
                <w:color w:val="auto"/>
                <w:sz w:val="21"/>
                <w:szCs w:val="21"/>
                <w:highlight w:val="none"/>
              </w:rPr>
              <w:t>分。</w:t>
            </w:r>
          </w:p>
          <w:p>
            <w:pPr>
              <w:pStyle w:val="144"/>
              <w:numPr>
                <w:ilvl w:val="0"/>
                <w:numId w:val="16"/>
              </w:numPr>
              <w:shd w:val="clear"/>
              <w:spacing w:before="31" w:beforeLines="10" w:after="30" w:line="360" w:lineRule="auto"/>
              <w:ind w:left="257" w:hanging="257" w:firstLineChars="0"/>
              <w:rPr>
                <w:rFonts w:ascii="宋体" w:hAnsi="宋体"/>
                <w:bCs/>
                <w:color w:val="auto"/>
                <w:szCs w:val="21"/>
                <w:highlight w:val="none"/>
              </w:rPr>
            </w:pPr>
            <w:r>
              <w:rPr>
                <w:rFonts w:hint="eastAsia" w:ascii="宋体" w:hAnsi="宋体"/>
                <w:bCs/>
                <w:color w:val="auto"/>
                <w:szCs w:val="21"/>
                <w:highlight w:val="none"/>
              </w:rPr>
              <w:t>质量管理体系认证证书</w:t>
            </w:r>
          </w:p>
          <w:p>
            <w:pPr>
              <w:pStyle w:val="144"/>
              <w:numPr>
                <w:ilvl w:val="0"/>
                <w:numId w:val="16"/>
              </w:numPr>
              <w:shd w:val="clear"/>
              <w:spacing w:before="31" w:beforeLines="10" w:after="30" w:line="360" w:lineRule="auto"/>
              <w:ind w:left="257" w:hanging="257" w:firstLineChars="0"/>
              <w:rPr>
                <w:rFonts w:ascii="宋体" w:hAnsi="宋体"/>
                <w:bCs/>
                <w:color w:val="auto"/>
                <w:szCs w:val="21"/>
                <w:highlight w:val="none"/>
              </w:rPr>
            </w:pPr>
            <w:r>
              <w:rPr>
                <w:rFonts w:hint="eastAsia" w:ascii="宋体" w:hAnsi="宋体"/>
                <w:bCs/>
                <w:color w:val="auto"/>
                <w:szCs w:val="21"/>
                <w:highlight w:val="none"/>
              </w:rPr>
              <w:t>职业健康安全管理体系认证证书</w:t>
            </w:r>
          </w:p>
          <w:p>
            <w:pPr>
              <w:shd w:val="clear"/>
              <w:spacing w:line="360" w:lineRule="auto"/>
              <w:rPr>
                <w:rFonts w:hAnsi="宋体"/>
                <w:color w:val="auto"/>
                <w:sz w:val="21"/>
                <w:szCs w:val="21"/>
                <w:highlight w:val="none"/>
              </w:rPr>
            </w:pPr>
            <w:r>
              <w:rPr>
                <w:rFonts w:hint="eastAsia" w:hAnsi="宋体"/>
                <w:b/>
                <w:bCs/>
                <w:color w:val="auto"/>
                <w:sz w:val="21"/>
                <w:szCs w:val="21"/>
                <w:highlight w:val="none"/>
                <w:u w:val="single"/>
              </w:rPr>
              <w:t>注：须提供</w:t>
            </w:r>
            <w:r>
              <w:rPr>
                <w:rFonts w:hint="eastAsia" w:hAnsi="宋体"/>
                <w:b/>
                <w:color w:val="auto"/>
                <w:sz w:val="21"/>
                <w:szCs w:val="21"/>
                <w:highlight w:val="none"/>
                <w:u w:val="single"/>
              </w:rPr>
              <w:t>有效</w:t>
            </w:r>
            <w:r>
              <w:rPr>
                <w:rFonts w:hint="eastAsia" w:hAnsi="宋体"/>
                <w:b/>
                <w:bCs/>
                <w:color w:val="auto"/>
                <w:sz w:val="21"/>
                <w:szCs w:val="21"/>
                <w:highlight w:val="none"/>
                <w:u w:val="single"/>
              </w:rPr>
              <w:t>证书复印件及全国认证认可信息公共服务平台网上查询截图加盖供应商公章。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1747" w:type="dxa"/>
            <w:gridSpan w:val="2"/>
            <w:tcBorders>
              <w:top w:val="single" w:color="auto" w:sz="4" w:space="0"/>
              <w:left w:val="single" w:color="auto" w:sz="4" w:space="0"/>
              <w:right w:val="single" w:color="auto" w:sz="4" w:space="0"/>
            </w:tcBorders>
            <w:vAlign w:val="center"/>
          </w:tcPr>
          <w:p>
            <w:pPr>
              <w:shd w:val="clear"/>
              <w:spacing w:before="31" w:beforeLines="10" w:after="30" w:line="440" w:lineRule="exact"/>
              <w:jc w:val="center"/>
              <w:rPr>
                <w:rFonts w:hAnsi="宋体"/>
                <w:color w:val="auto"/>
                <w:sz w:val="21"/>
                <w:szCs w:val="21"/>
                <w:highlight w:val="none"/>
              </w:rPr>
            </w:pPr>
            <w:r>
              <w:rPr>
                <w:rFonts w:hint="eastAsia" w:hAnsi="宋体"/>
                <w:color w:val="auto"/>
                <w:sz w:val="21"/>
                <w:szCs w:val="21"/>
                <w:highlight w:val="none"/>
              </w:rPr>
              <w:t>业绩情况</w:t>
            </w:r>
          </w:p>
        </w:tc>
        <w:tc>
          <w:tcPr>
            <w:tcW w:w="827" w:type="dxa"/>
            <w:gridSpan w:val="3"/>
            <w:tcBorders>
              <w:top w:val="single" w:color="auto" w:sz="4" w:space="0"/>
              <w:left w:val="single" w:color="auto" w:sz="4" w:space="0"/>
              <w:bottom w:val="single" w:color="auto" w:sz="4" w:space="0"/>
              <w:right w:val="single" w:color="auto" w:sz="4" w:space="0"/>
            </w:tcBorders>
            <w:vAlign w:val="center"/>
          </w:tcPr>
          <w:p>
            <w:pPr>
              <w:widowControl/>
              <w:shd w:val="clear"/>
              <w:spacing w:before="31" w:beforeLines="10" w:after="30" w:line="440" w:lineRule="exact"/>
              <w:jc w:val="center"/>
              <w:rPr>
                <w:rFonts w:hAnsi="宋体"/>
                <w:color w:val="auto"/>
                <w:sz w:val="21"/>
                <w:szCs w:val="21"/>
                <w:highlight w:val="none"/>
              </w:rPr>
            </w:pPr>
            <w:r>
              <w:rPr>
                <w:rFonts w:hint="eastAsia" w:hAnsi="宋体"/>
                <w:bCs/>
                <w:color w:val="auto"/>
                <w:sz w:val="21"/>
                <w:szCs w:val="21"/>
                <w:highlight w:val="none"/>
              </w:rPr>
              <w:t>1</w:t>
            </w:r>
            <w:r>
              <w:rPr>
                <w:rFonts w:hint="eastAsia" w:hAnsi="宋体"/>
                <w:bCs/>
                <w:color w:val="auto"/>
                <w:sz w:val="21"/>
                <w:szCs w:val="21"/>
                <w:highlight w:val="none"/>
                <w:lang w:val="en-US" w:eastAsia="zh-CN"/>
              </w:rPr>
              <w:t>6</w:t>
            </w:r>
            <w:r>
              <w:rPr>
                <w:rFonts w:hint="eastAsia" w:hAnsi="宋体"/>
                <w:bCs/>
                <w:color w:val="auto"/>
                <w:sz w:val="21"/>
                <w:szCs w:val="21"/>
                <w:highlight w:val="none"/>
              </w:rPr>
              <w:t>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before="31" w:beforeLines="10" w:after="30" w:line="440" w:lineRule="exact"/>
              <w:rPr>
                <w:rFonts w:hAnsi="宋体"/>
                <w:color w:val="auto"/>
                <w:sz w:val="21"/>
                <w:szCs w:val="21"/>
                <w:highlight w:val="none"/>
              </w:rPr>
            </w:pPr>
            <w:r>
              <w:rPr>
                <w:rFonts w:hint="eastAsia" w:hAnsi="宋体"/>
                <w:color w:val="auto"/>
                <w:sz w:val="21"/>
                <w:szCs w:val="21"/>
                <w:highlight w:val="none"/>
              </w:rPr>
              <w:t>根据供应商20</w:t>
            </w:r>
            <w:r>
              <w:rPr>
                <w:rFonts w:hint="eastAsia" w:hAnsi="宋体"/>
                <w:color w:val="auto"/>
                <w:sz w:val="21"/>
                <w:szCs w:val="21"/>
                <w:highlight w:val="none"/>
                <w:lang w:val="en-US" w:eastAsia="zh-CN"/>
              </w:rPr>
              <w:t>21</w:t>
            </w:r>
            <w:r>
              <w:rPr>
                <w:rFonts w:hint="eastAsia" w:hAnsi="宋体"/>
                <w:color w:val="auto"/>
                <w:sz w:val="21"/>
                <w:szCs w:val="21"/>
                <w:highlight w:val="none"/>
              </w:rPr>
              <w:t>年1</w:t>
            </w:r>
            <w:r>
              <w:rPr>
                <w:rFonts w:hint="eastAsia" w:hAnsi="宋体"/>
                <w:color w:val="auto"/>
                <w:sz w:val="21"/>
                <w:szCs w:val="21"/>
                <w:highlight w:val="none"/>
                <w:lang w:val="en-US" w:eastAsia="zh-CN"/>
              </w:rPr>
              <w:t>1</w:t>
            </w:r>
            <w:r>
              <w:rPr>
                <w:rFonts w:hint="eastAsia" w:hAnsi="宋体"/>
                <w:color w:val="auto"/>
                <w:sz w:val="21"/>
                <w:szCs w:val="21"/>
                <w:highlight w:val="none"/>
              </w:rPr>
              <w:t>月以来（以合同签订时间为准）承接的消防设施维保类项目业绩情况进行评审，</w:t>
            </w:r>
            <w:r>
              <w:rPr>
                <w:rFonts w:hint="eastAsia" w:hAnsi="宋体"/>
                <w:color w:val="auto"/>
                <w:sz w:val="21"/>
                <w:szCs w:val="21"/>
                <w:highlight w:val="none"/>
                <w:lang w:eastAsia="zh-CN"/>
              </w:rPr>
              <w:t>在满足资格条件的情况下，</w:t>
            </w:r>
            <w:r>
              <w:rPr>
                <w:rFonts w:hint="eastAsia" w:hAnsi="宋体"/>
                <w:color w:val="auto"/>
                <w:sz w:val="21"/>
                <w:szCs w:val="21"/>
                <w:highlight w:val="none"/>
              </w:rPr>
              <w:t>每</w:t>
            </w:r>
            <w:r>
              <w:rPr>
                <w:rFonts w:hint="eastAsia" w:hAnsi="宋体"/>
                <w:color w:val="auto"/>
                <w:sz w:val="21"/>
                <w:szCs w:val="21"/>
                <w:highlight w:val="none"/>
                <w:lang w:eastAsia="zh-CN"/>
              </w:rPr>
              <w:t>多</w:t>
            </w:r>
            <w:r>
              <w:rPr>
                <w:rFonts w:hint="eastAsia" w:hAnsi="宋体"/>
                <w:color w:val="auto"/>
                <w:sz w:val="21"/>
                <w:szCs w:val="21"/>
                <w:highlight w:val="none"/>
              </w:rPr>
              <w:t>提供一个得</w:t>
            </w:r>
            <w:r>
              <w:rPr>
                <w:rFonts w:hint="eastAsia" w:hAnsi="宋体"/>
                <w:color w:val="auto"/>
                <w:sz w:val="21"/>
                <w:szCs w:val="21"/>
                <w:highlight w:val="none"/>
                <w:lang w:val="en-US" w:eastAsia="zh-CN"/>
              </w:rPr>
              <w:t>1</w:t>
            </w:r>
            <w:r>
              <w:rPr>
                <w:rFonts w:hint="eastAsia" w:hAnsi="宋体"/>
                <w:color w:val="auto"/>
                <w:sz w:val="21"/>
                <w:szCs w:val="21"/>
                <w:highlight w:val="none"/>
              </w:rPr>
              <w:t>分，本项最高</w:t>
            </w:r>
            <w:r>
              <w:rPr>
                <w:rFonts w:hint="eastAsia" w:hAnsi="宋体"/>
                <w:color w:val="auto"/>
                <w:sz w:val="21"/>
                <w:szCs w:val="21"/>
                <w:highlight w:val="none"/>
                <w:lang w:val="en-US" w:eastAsia="zh-CN"/>
              </w:rPr>
              <w:t>16</w:t>
            </w:r>
            <w:r>
              <w:rPr>
                <w:rFonts w:hint="eastAsia" w:hAnsi="宋体"/>
                <w:color w:val="auto"/>
                <w:sz w:val="21"/>
                <w:szCs w:val="21"/>
                <w:highlight w:val="none"/>
              </w:rPr>
              <w:t>分。</w:t>
            </w:r>
          </w:p>
          <w:p>
            <w:pPr>
              <w:shd w:val="clear"/>
              <w:spacing w:before="31" w:beforeLines="10" w:after="30" w:line="440" w:lineRule="exact"/>
              <w:rPr>
                <w:rFonts w:hAnsi="宋体"/>
                <w:bCs/>
                <w:color w:val="auto"/>
                <w:sz w:val="21"/>
                <w:szCs w:val="21"/>
                <w:highlight w:val="none"/>
                <w:lang w:val="zh-CN"/>
              </w:rPr>
            </w:pPr>
            <w:r>
              <w:rPr>
                <w:rFonts w:hint="eastAsia" w:hAnsi="宋体"/>
                <w:b/>
                <w:color w:val="auto"/>
                <w:sz w:val="21"/>
                <w:szCs w:val="21"/>
                <w:highlight w:val="none"/>
                <w:u w:val="single"/>
              </w:rPr>
              <w:t>注：须提供合同、中标（成交）通知书及合同履行期内任意发票复印件</w:t>
            </w:r>
            <w:r>
              <w:rPr>
                <w:rFonts w:hint="eastAsia" w:hAnsi="宋体"/>
                <w:b/>
                <w:color w:val="auto"/>
                <w:sz w:val="21"/>
                <w:szCs w:val="21"/>
                <w:highlight w:val="none"/>
                <w:u w:val="single"/>
                <w:lang w:eastAsia="zh-CN"/>
              </w:rPr>
              <w:t>并加</w:t>
            </w:r>
            <w:r>
              <w:rPr>
                <w:rFonts w:hint="eastAsia" w:hAnsi="宋体"/>
                <w:b/>
                <w:color w:val="auto"/>
                <w:sz w:val="21"/>
                <w:szCs w:val="21"/>
                <w:highlight w:val="none"/>
                <w:u w:val="single"/>
              </w:rPr>
              <w:t>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1747" w:type="dxa"/>
            <w:gridSpan w:val="2"/>
            <w:tcBorders>
              <w:top w:val="single" w:color="auto" w:sz="4" w:space="0"/>
              <w:left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bCs/>
                <w:color w:val="auto"/>
                <w:kern w:val="2"/>
                <w:sz w:val="21"/>
                <w:szCs w:val="21"/>
                <w:highlight w:val="none"/>
              </w:rPr>
              <w:t>服务便利性</w:t>
            </w:r>
          </w:p>
        </w:tc>
        <w:tc>
          <w:tcPr>
            <w:tcW w:w="827" w:type="dxa"/>
            <w:gridSpan w:val="3"/>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hAnsi="宋体"/>
                <w:color w:val="auto"/>
                <w:sz w:val="21"/>
                <w:szCs w:val="21"/>
                <w:highlight w:val="none"/>
              </w:rPr>
            </w:pPr>
            <w:r>
              <w:rPr>
                <w:rFonts w:hint="eastAsia" w:hAnsi="宋体"/>
                <w:bCs/>
                <w:color w:val="auto"/>
                <w:kern w:val="2"/>
                <w:sz w:val="21"/>
                <w:szCs w:val="21"/>
                <w:highlight w:val="none"/>
              </w:rPr>
              <w:t>2分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Ansi="宋体"/>
                <w:bCs/>
                <w:color w:val="auto"/>
                <w:kern w:val="2"/>
                <w:sz w:val="21"/>
                <w:szCs w:val="21"/>
                <w:highlight w:val="none"/>
              </w:rPr>
            </w:pPr>
            <w:r>
              <w:rPr>
                <w:rFonts w:hint="eastAsia" w:hAnsi="宋体"/>
                <w:bCs/>
                <w:color w:val="auto"/>
                <w:kern w:val="2"/>
                <w:sz w:val="21"/>
                <w:szCs w:val="21"/>
                <w:highlight w:val="none"/>
              </w:rPr>
              <w:t>1.供应商承诺在接到采购人通知后10分钟内到现场，得2分；</w:t>
            </w:r>
          </w:p>
          <w:p>
            <w:pPr>
              <w:shd w:val="clear"/>
              <w:spacing w:line="360" w:lineRule="auto"/>
              <w:rPr>
                <w:rFonts w:hAnsi="宋体"/>
                <w:bCs/>
                <w:color w:val="auto"/>
                <w:kern w:val="2"/>
                <w:sz w:val="21"/>
                <w:szCs w:val="21"/>
                <w:highlight w:val="none"/>
              </w:rPr>
            </w:pPr>
            <w:r>
              <w:rPr>
                <w:rFonts w:hint="eastAsia" w:hAnsi="宋体"/>
                <w:bCs/>
                <w:color w:val="auto"/>
                <w:kern w:val="2"/>
                <w:sz w:val="21"/>
                <w:szCs w:val="21"/>
                <w:highlight w:val="none"/>
              </w:rPr>
              <w:t>2.供应商承诺在接到采购人通知后20分钟内到现场，得1分；</w:t>
            </w:r>
          </w:p>
          <w:p>
            <w:pPr>
              <w:pStyle w:val="2"/>
              <w:shd w:val="clear"/>
              <w:rPr>
                <w:color w:val="auto"/>
                <w:highlight w:val="none"/>
              </w:rPr>
            </w:pPr>
            <w:r>
              <w:rPr>
                <w:rFonts w:hint="eastAsia" w:hAnsi="宋体"/>
                <w:color w:val="auto"/>
                <w:kern w:val="2"/>
                <w:sz w:val="21"/>
                <w:szCs w:val="21"/>
                <w:highlight w:val="none"/>
              </w:rPr>
              <w:t>3.</w:t>
            </w:r>
            <w:r>
              <w:rPr>
                <w:rFonts w:hint="eastAsia" w:ascii="宋体" w:hAnsi="宋体"/>
                <w:color w:val="auto"/>
                <w:kern w:val="2"/>
                <w:sz w:val="21"/>
                <w:szCs w:val="21"/>
                <w:highlight w:val="none"/>
              </w:rPr>
              <w:t>其他情况或不提供不得分。</w:t>
            </w:r>
          </w:p>
          <w:p>
            <w:pPr>
              <w:pStyle w:val="21"/>
              <w:shd w:val="clear"/>
              <w:spacing w:line="360" w:lineRule="auto"/>
              <w:jc w:val="left"/>
              <w:rPr>
                <w:rFonts w:hAnsi="宋体"/>
                <w:color w:val="auto"/>
                <w:sz w:val="21"/>
                <w:szCs w:val="21"/>
                <w:highlight w:val="none"/>
              </w:rPr>
            </w:pPr>
            <w:r>
              <w:rPr>
                <w:rFonts w:hint="eastAsia" w:hAnsi="宋体"/>
                <w:color w:val="auto"/>
                <w:sz w:val="21"/>
                <w:szCs w:val="21"/>
                <w:highlight w:val="none"/>
                <w:u w:val="single"/>
                <w:lang w:val="en-US"/>
              </w:rPr>
              <w:t>注：须提供服务承诺书，并加盖供应商公章。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59" w:type="dxa"/>
            <w:gridSpan w:val="8"/>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Cs/>
                <w:color w:val="auto"/>
                <w:sz w:val="21"/>
                <w:szCs w:val="21"/>
                <w:highlight w:val="none"/>
                <w:lang w:val="zh-CN"/>
              </w:rPr>
            </w:pPr>
            <w:r>
              <w:rPr>
                <w:rFonts w:hint="eastAsia" w:ascii="宋体" w:eastAsia="宋体"/>
                <w:b/>
                <w:color w:val="auto"/>
                <w:sz w:val="21"/>
                <w:szCs w:val="21"/>
                <w:highlight w:val="none"/>
              </w:rPr>
              <w:t>技术评分（30分）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b/>
                <w:color w:val="auto"/>
                <w:sz w:val="21"/>
                <w:szCs w:val="21"/>
                <w:highlight w:val="none"/>
                <w:lang w:val="zh-CN"/>
              </w:rPr>
            </w:pPr>
            <w:r>
              <w:rPr>
                <w:rFonts w:hint="eastAsia" w:hAnsi="宋体"/>
                <w:color w:val="auto"/>
                <w:sz w:val="21"/>
                <w:szCs w:val="21"/>
                <w:highlight w:val="none"/>
              </w:rPr>
              <w:t>1</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auto"/>
                <w:highlight w:val="none"/>
              </w:rPr>
            </w:pPr>
            <w:r>
              <w:rPr>
                <w:rFonts w:hint="eastAsia" w:hAnsi="宋体"/>
                <w:color w:val="auto"/>
                <w:sz w:val="21"/>
                <w:szCs w:val="21"/>
                <w:highlight w:val="none"/>
              </w:rPr>
              <w:t>设施日常维护方案</w:t>
            </w:r>
          </w:p>
        </w:tc>
        <w:tc>
          <w:tcPr>
            <w:tcW w:w="827" w:type="dxa"/>
            <w:gridSpan w:val="3"/>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auto"/>
                <w:highlight w:val="none"/>
              </w:rPr>
            </w:pPr>
            <w:r>
              <w:rPr>
                <w:rFonts w:hint="eastAsia" w:hAnsi="宋体"/>
                <w:color w:val="auto"/>
                <w:sz w:val="21"/>
                <w:szCs w:val="21"/>
                <w:highlight w:val="none"/>
              </w:rPr>
              <w:t>10分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 xml:space="preserve">根据供应商提供的设施日常维护方案（包括检查周期及内容、消防控制室、消防泵房及所有消防设施、档案记录情况等）进行评审： </w:t>
            </w:r>
          </w:p>
          <w:p>
            <w:pPr>
              <w:shd w:val="clear"/>
              <w:spacing w:line="360" w:lineRule="auto"/>
              <w:rPr>
                <w:rFonts w:hAnsi="宋体"/>
                <w:color w:val="auto"/>
                <w:sz w:val="21"/>
                <w:szCs w:val="21"/>
                <w:highlight w:val="none"/>
              </w:rPr>
            </w:pPr>
            <w:r>
              <w:rPr>
                <w:rFonts w:hint="eastAsia" w:hAnsi="宋体"/>
                <w:color w:val="auto"/>
                <w:sz w:val="21"/>
                <w:szCs w:val="21"/>
                <w:highlight w:val="none"/>
              </w:rPr>
              <w:t>优：方案完善、内容齐全、合理性、可行性非常强的，得10分。</w:t>
            </w:r>
          </w:p>
          <w:p>
            <w:pPr>
              <w:pStyle w:val="75"/>
              <w:shd w:val="clear"/>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良：方案基本完善、合理、具有一定可行性的，得5分；</w:t>
            </w:r>
          </w:p>
          <w:p>
            <w:pPr>
              <w:shd w:val="clear"/>
              <w:spacing w:line="360" w:lineRule="auto"/>
              <w:rPr>
                <w:rFonts w:hAnsi="宋体"/>
                <w:color w:val="auto"/>
                <w:sz w:val="21"/>
                <w:szCs w:val="21"/>
                <w:highlight w:val="none"/>
              </w:rPr>
            </w:pPr>
            <w:r>
              <w:rPr>
                <w:rFonts w:hint="eastAsia" w:hAnsi="宋体"/>
                <w:color w:val="auto"/>
                <w:sz w:val="21"/>
                <w:szCs w:val="21"/>
                <w:highlight w:val="none"/>
              </w:rPr>
              <w:t>中：方案合理性、可行性差，得1分；</w:t>
            </w:r>
          </w:p>
          <w:p>
            <w:pPr>
              <w:shd w:val="clear"/>
              <w:spacing w:line="360" w:lineRule="auto"/>
              <w:rPr>
                <w:color w:val="auto"/>
                <w:highlight w:val="none"/>
              </w:rPr>
            </w:pPr>
            <w:r>
              <w:rPr>
                <w:rFonts w:hint="eastAsia" w:hAnsi="宋体"/>
                <w:color w:val="auto"/>
                <w:sz w:val="21"/>
                <w:szCs w:val="21"/>
                <w:highlight w:val="none"/>
              </w:rPr>
              <w:t>差：未提供相应方案的不得分。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0"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shd w:val="clear"/>
              <w:spacing w:before="31" w:beforeLines="10" w:after="30" w:line="360" w:lineRule="auto"/>
              <w:jc w:val="center"/>
              <w:rPr>
                <w:rFonts w:hAnsi="宋体"/>
                <w:color w:val="auto"/>
                <w:sz w:val="21"/>
                <w:szCs w:val="21"/>
                <w:highlight w:val="none"/>
              </w:rPr>
            </w:pPr>
            <w:r>
              <w:rPr>
                <w:rFonts w:hint="eastAsia" w:hAnsi="宋体"/>
                <w:color w:val="auto"/>
                <w:sz w:val="21"/>
                <w:szCs w:val="21"/>
                <w:highlight w:val="none"/>
              </w:rPr>
              <w:t>设施检查方案</w:t>
            </w:r>
          </w:p>
        </w:tc>
        <w:tc>
          <w:tcPr>
            <w:tcW w:w="827" w:type="dxa"/>
            <w:gridSpan w:val="3"/>
            <w:tcBorders>
              <w:top w:val="single" w:color="auto" w:sz="4" w:space="0"/>
              <w:left w:val="single" w:color="auto" w:sz="4" w:space="0"/>
              <w:bottom w:val="single" w:color="auto" w:sz="4" w:space="0"/>
              <w:right w:val="single" w:color="auto" w:sz="4" w:space="0"/>
            </w:tcBorders>
            <w:vAlign w:val="center"/>
          </w:tcPr>
          <w:p>
            <w:pPr>
              <w:widowControl/>
              <w:shd w:val="clear"/>
              <w:spacing w:before="31" w:beforeLines="10" w:after="30" w:line="360" w:lineRule="auto"/>
              <w:jc w:val="center"/>
              <w:rPr>
                <w:rFonts w:hAnsi="宋体"/>
                <w:color w:val="auto"/>
                <w:sz w:val="21"/>
                <w:szCs w:val="21"/>
                <w:highlight w:val="none"/>
              </w:rPr>
            </w:pPr>
            <w:r>
              <w:rPr>
                <w:rFonts w:hint="eastAsia" w:hAnsi="宋体"/>
                <w:color w:val="auto"/>
                <w:sz w:val="21"/>
                <w:szCs w:val="21"/>
                <w:highlight w:val="none"/>
              </w:rPr>
              <w:t>10分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before="31" w:beforeLines="10" w:after="30" w:line="360" w:lineRule="auto"/>
              <w:rPr>
                <w:rFonts w:hAnsi="宋体"/>
                <w:color w:val="auto"/>
                <w:sz w:val="21"/>
                <w:szCs w:val="21"/>
                <w:highlight w:val="none"/>
              </w:rPr>
            </w:pPr>
            <w:r>
              <w:rPr>
                <w:rFonts w:hint="eastAsia" w:hAnsi="宋体"/>
                <w:color w:val="auto"/>
                <w:sz w:val="21"/>
                <w:szCs w:val="21"/>
                <w:highlight w:val="none"/>
              </w:rPr>
              <w:t>根据供应商提供的设施检查方案（包括检测工具、检测步骤、检查报告）等进行评审：</w:t>
            </w:r>
          </w:p>
          <w:p>
            <w:pPr>
              <w:shd w:val="clear"/>
              <w:spacing w:line="360" w:lineRule="auto"/>
              <w:rPr>
                <w:rFonts w:hAnsi="宋体"/>
                <w:color w:val="auto"/>
                <w:sz w:val="21"/>
                <w:szCs w:val="21"/>
                <w:highlight w:val="none"/>
              </w:rPr>
            </w:pPr>
            <w:r>
              <w:rPr>
                <w:rFonts w:hint="eastAsia" w:hAnsi="宋体"/>
                <w:color w:val="auto"/>
                <w:sz w:val="21"/>
                <w:szCs w:val="21"/>
                <w:highlight w:val="none"/>
              </w:rPr>
              <w:t>优：设施检查方案的检测工具齐全、检测步骤非常详细、检查报告非常全面的得10分；</w:t>
            </w:r>
          </w:p>
          <w:p>
            <w:pPr>
              <w:pStyle w:val="75"/>
              <w:shd w:val="clear"/>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良：设施测检查方案的检测工具基本齐全、检测步骤基本详细、检查报告基本全面的得5分；</w:t>
            </w:r>
          </w:p>
          <w:p>
            <w:pPr>
              <w:pStyle w:val="75"/>
              <w:shd w:val="clear"/>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中：提供的设施检测方案的检测工具缺少、检测步骤不到位、检查报告有所欠缺的得1分；</w:t>
            </w:r>
          </w:p>
          <w:p>
            <w:pPr>
              <w:shd w:val="clear"/>
              <w:spacing w:before="31" w:beforeLines="10" w:after="30" w:line="360" w:lineRule="auto"/>
              <w:rPr>
                <w:rFonts w:hAnsi="宋体"/>
                <w:color w:val="auto"/>
                <w:sz w:val="21"/>
                <w:szCs w:val="21"/>
                <w:highlight w:val="none"/>
              </w:rPr>
            </w:pPr>
            <w:r>
              <w:rPr>
                <w:rFonts w:hint="eastAsia" w:hAnsi="宋体"/>
                <w:color w:val="auto"/>
                <w:sz w:val="21"/>
                <w:szCs w:val="21"/>
                <w:highlight w:val="none"/>
              </w:rPr>
              <w:t>差：未提供相应方案的不得分。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0"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应急预案</w:t>
            </w:r>
          </w:p>
        </w:tc>
        <w:tc>
          <w:tcPr>
            <w:tcW w:w="827" w:type="dxa"/>
            <w:gridSpan w:val="3"/>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hAnsi="宋体"/>
                <w:color w:val="auto"/>
                <w:sz w:val="21"/>
                <w:szCs w:val="21"/>
                <w:highlight w:val="none"/>
              </w:rPr>
            </w:pPr>
            <w:r>
              <w:rPr>
                <w:rFonts w:hint="eastAsia" w:hAnsi="宋体"/>
                <w:color w:val="auto"/>
                <w:sz w:val="21"/>
                <w:szCs w:val="21"/>
                <w:highlight w:val="none"/>
              </w:rPr>
              <w:t>5分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Ansi="宋体"/>
                <w:color w:val="auto"/>
                <w:sz w:val="21"/>
                <w:szCs w:val="21"/>
                <w:highlight w:val="none"/>
                <w:lang w:val="zh-CN"/>
              </w:rPr>
            </w:pPr>
            <w:r>
              <w:rPr>
                <w:rFonts w:hint="eastAsia" w:hAnsi="宋体"/>
                <w:color w:val="auto"/>
                <w:sz w:val="21"/>
                <w:szCs w:val="21"/>
                <w:highlight w:val="none"/>
                <w:lang w:val="zh-CN"/>
              </w:rPr>
              <w:t xml:space="preserve">根据供应商提供的应急预案（如：故障响应方案、火灾突发事件保障措施及方案等）的科学合理性进行综合评审： </w:t>
            </w:r>
          </w:p>
          <w:p>
            <w:pPr>
              <w:shd w:val="clear"/>
              <w:spacing w:line="360" w:lineRule="auto"/>
              <w:rPr>
                <w:rFonts w:hAnsi="宋体"/>
                <w:color w:val="auto"/>
                <w:sz w:val="21"/>
                <w:szCs w:val="21"/>
                <w:highlight w:val="none"/>
                <w:lang w:val="zh-CN"/>
              </w:rPr>
            </w:pPr>
            <w:r>
              <w:rPr>
                <w:rFonts w:hint="eastAsia" w:hAnsi="宋体"/>
                <w:color w:val="auto"/>
                <w:sz w:val="21"/>
                <w:szCs w:val="21"/>
                <w:highlight w:val="none"/>
                <w:lang w:val="zh-CN"/>
              </w:rPr>
              <w:t>优：应急预案内容详细具体，科学合理性高，非常有利于项目的实施，得</w:t>
            </w:r>
            <w:r>
              <w:rPr>
                <w:rFonts w:hint="eastAsia" w:hAnsi="宋体"/>
                <w:color w:val="auto"/>
                <w:sz w:val="21"/>
                <w:szCs w:val="21"/>
                <w:highlight w:val="none"/>
              </w:rPr>
              <w:t>5</w:t>
            </w:r>
            <w:r>
              <w:rPr>
                <w:rFonts w:hint="eastAsia" w:hAnsi="宋体"/>
                <w:color w:val="auto"/>
                <w:sz w:val="21"/>
                <w:szCs w:val="21"/>
                <w:highlight w:val="none"/>
                <w:lang w:val="zh-CN"/>
              </w:rPr>
              <w:t xml:space="preserve">分； </w:t>
            </w:r>
          </w:p>
          <w:p>
            <w:pPr>
              <w:shd w:val="clear"/>
              <w:spacing w:line="360" w:lineRule="auto"/>
              <w:rPr>
                <w:rFonts w:hAnsi="宋体"/>
                <w:color w:val="auto"/>
                <w:sz w:val="21"/>
                <w:szCs w:val="21"/>
                <w:highlight w:val="none"/>
                <w:lang w:val="zh-CN"/>
              </w:rPr>
            </w:pPr>
            <w:r>
              <w:rPr>
                <w:rFonts w:hint="eastAsia" w:hAnsi="宋体"/>
                <w:color w:val="auto"/>
                <w:sz w:val="21"/>
                <w:szCs w:val="21"/>
                <w:highlight w:val="none"/>
                <w:lang w:val="zh-CN"/>
              </w:rPr>
              <w:t>良：应急预案内容</w:t>
            </w:r>
            <w:r>
              <w:rPr>
                <w:rFonts w:hint="eastAsia" w:hAnsi="宋体"/>
                <w:color w:val="auto"/>
                <w:sz w:val="21"/>
                <w:szCs w:val="21"/>
                <w:highlight w:val="none"/>
              </w:rPr>
              <w:t>较为具体</w:t>
            </w:r>
            <w:r>
              <w:rPr>
                <w:rFonts w:hint="eastAsia" w:hAnsi="宋体"/>
                <w:color w:val="auto"/>
                <w:sz w:val="21"/>
                <w:szCs w:val="21"/>
                <w:highlight w:val="none"/>
                <w:lang w:val="zh-CN"/>
              </w:rPr>
              <w:t>，科学合理性</w:t>
            </w:r>
            <w:r>
              <w:rPr>
                <w:rFonts w:hint="eastAsia" w:hAnsi="宋体"/>
                <w:color w:val="auto"/>
                <w:sz w:val="21"/>
                <w:szCs w:val="21"/>
                <w:highlight w:val="none"/>
              </w:rPr>
              <w:t>较高</w:t>
            </w:r>
            <w:r>
              <w:rPr>
                <w:rFonts w:hint="eastAsia" w:hAnsi="宋体"/>
                <w:color w:val="auto"/>
                <w:sz w:val="21"/>
                <w:szCs w:val="21"/>
                <w:highlight w:val="none"/>
                <w:lang w:val="zh-CN"/>
              </w:rPr>
              <w:t>，基本满足项目实施，得</w:t>
            </w:r>
            <w:r>
              <w:rPr>
                <w:rFonts w:hint="eastAsia" w:hAnsi="宋体"/>
                <w:color w:val="auto"/>
                <w:sz w:val="21"/>
                <w:szCs w:val="21"/>
                <w:highlight w:val="none"/>
              </w:rPr>
              <w:t>3</w:t>
            </w:r>
            <w:r>
              <w:rPr>
                <w:rFonts w:hint="eastAsia" w:hAnsi="宋体"/>
                <w:color w:val="auto"/>
                <w:sz w:val="21"/>
                <w:szCs w:val="21"/>
                <w:highlight w:val="none"/>
                <w:lang w:val="zh-CN"/>
              </w:rPr>
              <w:t xml:space="preserve">分； </w:t>
            </w:r>
          </w:p>
          <w:p>
            <w:pPr>
              <w:shd w:val="clear"/>
              <w:spacing w:line="360" w:lineRule="auto"/>
              <w:rPr>
                <w:rFonts w:hAnsi="宋体"/>
                <w:color w:val="auto"/>
                <w:sz w:val="21"/>
                <w:szCs w:val="21"/>
                <w:highlight w:val="none"/>
                <w:lang w:val="zh-CN"/>
              </w:rPr>
            </w:pPr>
            <w:r>
              <w:rPr>
                <w:rFonts w:hint="eastAsia" w:hAnsi="宋体"/>
                <w:color w:val="auto"/>
                <w:sz w:val="21"/>
                <w:szCs w:val="21"/>
                <w:highlight w:val="none"/>
                <w:lang w:val="zh-CN"/>
              </w:rPr>
              <w:t>中：应急预案内容</w:t>
            </w:r>
            <w:r>
              <w:rPr>
                <w:rFonts w:hint="eastAsia" w:hAnsi="宋体"/>
                <w:color w:val="auto"/>
                <w:sz w:val="21"/>
                <w:szCs w:val="21"/>
                <w:highlight w:val="none"/>
              </w:rPr>
              <w:t>一般</w:t>
            </w:r>
            <w:r>
              <w:rPr>
                <w:rFonts w:hint="eastAsia" w:hAnsi="宋体"/>
                <w:color w:val="auto"/>
                <w:sz w:val="21"/>
                <w:szCs w:val="21"/>
                <w:highlight w:val="none"/>
                <w:lang w:val="zh-CN"/>
              </w:rPr>
              <w:t>，科学合理性</w:t>
            </w:r>
            <w:r>
              <w:rPr>
                <w:rFonts w:hint="eastAsia" w:hAnsi="宋体"/>
                <w:color w:val="auto"/>
                <w:sz w:val="21"/>
                <w:szCs w:val="21"/>
                <w:highlight w:val="none"/>
              </w:rPr>
              <w:t>一般</w:t>
            </w:r>
            <w:r>
              <w:rPr>
                <w:rFonts w:hint="eastAsia" w:hAnsi="宋体"/>
                <w:color w:val="auto"/>
                <w:sz w:val="21"/>
                <w:szCs w:val="21"/>
                <w:highlight w:val="none"/>
                <w:lang w:val="zh-CN"/>
              </w:rPr>
              <w:t>，满足项目实施</w:t>
            </w:r>
            <w:r>
              <w:rPr>
                <w:rFonts w:hint="eastAsia" w:hAnsi="宋体"/>
                <w:color w:val="auto"/>
                <w:sz w:val="21"/>
                <w:szCs w:val="21"/>
                <w:highlight w:val="none"/>
              </w:rPr>
              <w:t>程度一般</w:t>
            </w:r>
            <w:r>
              <w:rPr>
                <w:rFonts w:hint="eastAsia" w:hAnsi="宋体"/>
                <w:color w:val="auto"/>
                <w:sz w:val="21"/>
                <w:szCs w:val="21"/>
                <w:highlight w:val="none"/>
                <w:lang w:val="zh-CN"/>
              </w:rPr>
              <w:t>，得</w:t>
            </w:r>
            <w:r>
              <w:rPr>
                <w:rFonts w:hint="eastAsia" w:hAnsi="宋体"/>
                <w:color w:val="auto"/>
                <w:sz w:val="21"/>
                <w:szCs w:val="21"/>
                <w:highlight w:val="none"/>
              </w:rPr>
              <w:t>2</w:t>
            </w:r>
            <w:r>
              <w:rPr>
                <w:rFonts w:hint="eastAsia" w:hAnsi="宋体"/>
                <w:color w:val="auto"/>
                <w:sz w:val="21"/>
                <w:szCs w:val="21"/>
                <w:highlight w:val="none"/>
                <w:lang w:val="zh-CN"/>
              </w:rPr>
              <w:t>分；</w:t>
            </w:r>
          </w:p>
          <w:p>
            <w:pPr>
              <w:shd w:val="clear"/>
              <w:spacing w:line="360" w:lineRule="auto"/>
              <w:rPr>
                <w:rFonts w:hAnsi="宋体"/>
                <w:color w:val="auto"/>
                <w:sz w:val="21"/>
                <w:szCs w:val="21"/>
                <w:highlight w:val="none"/>
                <w:lang w:val="zh-CN"/>
              </w:rPr>
            </w:pPr>
            <w:r>
              <w:rPr>
                <w:rFonts w:hint="eastAsia" w:hAnsi="宋体"/>
                <w:color w:val="auto"/>
                <w:sz w:val="21"/>
                <w:szCs w:val="21"/>
                <w:highlight w:val="none"/>
                <w:lang w:val="zh-CN"/>
              </w:rPr>
              <w:t>差：应急预案内容差，科学合理性低，不满足项目实施，得</w:t>
            </w:r>
            <w:r>
              <w:rPr>
                <w:rFonts w:hint="eastAsia" w:hAnsi="宋体"/>
                <w:color w:val="auto"/>
                <w:sz w:val="21"/>
                <w:szCs w:val="21"/>
                <w:highlight w:val="none"/>
              </w:rPr>
              <w:t>1</w:t>
            </w:r>
            <w:r>
              <w:rPr>
                <w:rFonts w:hint="eastAsia" w:hAnsi="宋体"/>
                <w:color w:val="auto"/>
                <w:sz w:val="21"/>
                <w:szCs w:val="21"/>
                <w:highlight w:val="none"/>
                <w:lang w:val="zh-CN"/>
              </w:rPr>
              <w:t>分</w:t>
            </w:r>
          </w:p>
          <w:p>
            <w:pPr>
              <w:shd w:val="clear"/>
              <w:spacing w:line="360" w:lineRule="auto"/>
              <w:rPr>
                <w:rFonts w:hAnsi="宋体"/>
                <w:color w:val="auto"/>
                <w:sz w:val="21"/>
                <w:szCs w:val="21"/>
                <w:highlight w:val="none"/>
                <w:lang w:val="zh-CN"/>
              </w:rPr>
            </w:pPr>
            <w:r>
              <w:rPr>
                <w:rFonts w:hint="eastAsia" w:hAnsi="宋体"/>
                <w:color w:val="auto"/>
                <w:sz w:val="21"/>
                <w:szCs w:val="21"/>
                <w:highlight w:val="none"/>
                <w:lang w:val="zh-CN"/>
              </w:rPr>
              <w:t>未提供相应方案不得分。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0"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bCs/>
                <w:color w:val="auto"/>
                <w:sz w:val="21"/>
                <w:szCs w:val="21"/>
                <w:highlight w:val="none"/>
              </w:rPr>
              <w:t>4</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设备配置方案</w:t>
            </w:r>
          </w:p>
        </w:tc>
        <w:tc>
          <w:tcPr>
            <w:tcW w:w="827" w:type="dxa"/>
            <w:gridSpan w:val="3"/>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5分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Ansi="宋体"/>
                <w:bCs/>
                <w:color w:val="auto"/>
                <w:sz w:val="21"/>
                <w:szCs w:val="21"/>
                <w:highlight w:val="none"/>
              </w:rPr>
            </w:pPr>
            <w:r>
              <w:rPr>
                <w:rFonts w:hint="eastAsia" w:hAnsi="宋体"/>
                <w:bCs/>
                <w:color w:val="auto"/>
                <w:sz w:val="21"/>
                <w:szCs w:val="21"/>
                <w:highlight w:val="none"/>
              </w:rPr>
              <w:t>根据供应商拟投入本项目适用设备情况，从设备数量、设备先进性、设备新旧程度、设备配置方案等进行综合评比：</w:t>
            </w:r>
          </w:p>
          <w:p>
            <w:pPr>
              <w:shd w:val="clear"/>
              <w:spacing w:line="360" w:lineRule="auto"/>
              <w:rPr>
                <w:rFonts w:hAnsi="宋体"/>
                <w:bCs/>
                <w:color w:val="auto"/>
                <w:sz w:val="21"/>
                <w:szCs w:val="21"/>
                <w:highlight w:val="none"/>
              </w:rPr>
            </w:pPr>
            <w:r>
              <w:rPr>
                <w:rFonts w:hint="eastAsia" w:hAnsi="宋体"/>
                <w:bCs/>
                <w:color w:val="auto"/>
                <w:sz w:val="21"/>
                <w:szCs w:val="21"/>
                <w:highlight w:val="none"/>
              </w:rPr>
              <w:t>优：设备数量齐全、具有先进性且设备崭新的得5分；</w:t>
            </w:r>
          </w:p>
          <w:p>
            <w:pPr>
              <w:shd w:val="clear"/>
              <w:spacing w:line="360" w:lineRule="auto"/>
              <w:rPr>
                <w:rFonts w:hAnsi="宋体"/>
                <w:bCs/>
                <w:color w:val="auto"/>
                <w:sz w:val="21"/>
                <w:szCs w:val="21"/>
                <w:highlight w:val="none"/>
              </w:rPr>
            </w:pPr>
            <w:r>
              <w:rPr>
                <w:rFonts w:hint="eastAsia" w:hAnsi="宋体"/>
                <w:bCs/>
                <w:color w:val="auto"/>
                <w:sz w:val="21"/>
                <w:szCs w:val="21"/>
                <w:highlight w:val="none"/>
              </w:rPr>
              <w:t>良：设备数量基本齐全、先进性且设备新旧程度一般的得3分；</w:t>
            </w:r>
          </w:p>
          <w:p>
            <w:pPr>
              <w:shd w:val="clear"/>
              <w:spacing w:line="360" w:lineRule="auto"/>
              <w:rPr>
                <w:rFonts w:hAnsi="宋体"/>
                <w:bCs/>
                <w:color w:val="auto"/>
                <w:sz w:val="21"/>
                <w:szCs w:val="21"/>
                <w:highlight w:val="none"/>
              </w:rPr>
            </w:pPr>
            <w:r>
              <w:rPr>
                <w:rFonts w:hint="eastAsia" w:hAnsi="宋体"/>
                <w:bCs/>
                <w:color w:val="auto"/>
                <w:sz w:val="21"/>
                <w:szCs w:val="21"/>
                <w:highlight w:val="none"/>
              </w:rPr>
              <w:t>中：设备数量较差、先进性且设备新旧程度较差的得2分；</w:t>
            </w:r>
          </w:p>
          <w:p>
            <w:pPr>
              <w:shd w:val="clear"/>
              <w:spacing w:line="360" w:lineRule="auto"/>
              <w:rPr>
                <w:rFonts w:hAnsi="宋体"/>
                <w:bCs/>
                <w:color w:val="auto"/>
                <w:sz w:val="21"/>
                <w:szCs w:val="21"/>
                <w:highlight w:val="none"/>
              </w:rPr>
            </w:pPr>
            <w:r>
              <w:rPr>
                <w:rFonts w:hint="eastAsia" w:hAnsi="宋体"/>
                <w:bCs/>
                <w:color w:val="auto"/>
                <w:sz w:val="21"/>
                <w:szCs w:val="21"/>
                <w:highlight w:val="none"/>
              </w:rPr>
              <w:t>差：设备数量不齐全、先进性差且设备新旧程度差的得1分。</w:t>
            </w:r>
          </w:p>
          <w:p>
            <w:pPr>
              <w:pStyle w:val="2"/>
              <w:shd w:val="clear"/>
              <w:rPr>
                <w:color w:val="auto"/>
                <w:highlight w:val="none"/>
              </w:rPr>
            </w:pPr>
            <w:r>
              <w:rPr>
                <w:rFonts w:hint="eastAsia" w:ascii="宋体" w:hAnsi="宋体"/>
                <w:color w:val="auto"/>
                <w:sz w:val="21"/>
                <w:szCs w:val="21"/>
                <w:highlight w:val="none"/>
                <w:lang w:val="zh-CN"/>
              </w:rPr>
              <w:t>未提供相应方案不得分。</w:t>
            </w:r>
          </w:p>
          <w:p>
            <w:pPr>
              <w:shd w:val="clear"/>
              <w:spacing w:line="360" w:lineRule="auto"/>
              <w:rPr>
                <w:rFonts w:hAnsi="宋体"/>
                <w:color w:val="auto"/>
                <w:sz w:val="21"/>
                <w:szCs w:val="21"/>
                <w:highlight w:val="none"/>
                <w:lang w:val="zh-CN"/>
              </w:rPr>
            </w:pPr>
            <w:r>
              <w:rPr>
                <w:rFonts w:hint="eastAsia" w:hAnsi="宋体"/>
                <w:b/>
                <w:color w:val="auto"/>
                <w:sz w:val="21"/>
                <w:szCs w:val="21"/>
                <w:highlight w:val="none"/>
              </w:rPr>
              <w:t>注：须提供设备发票复印件，如为租赁设备须提供租赁合同复印件和付款发票复印件。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59" w:type="dxa"/>
            <w:gridSpan w:val="8"/>
            <w:tcBorders>
              <w:top w:val="single" w:color="auto" w:sz="4" w:space="0"/>
              <w:left w:val="single" w:color="auto" w:sz="4" w:space="0"/>
              <w:bottom w:val="single" w:color="auto" w:sz="4" w:space="0"/>
              <w:right w:val="single" w:color="auto" w:sz="4" w:space="0"/>
            </w:tcBorders>
            <w:vAlign w:val="center"/>
          </w:tcPr>
          <w:p>
            <w:pPr>
              <w:shd w:val="clear"/>
              <w:tabs>
                <w:tab w:val="left" w:pos="907"/>
              </w:tabs>
              <w:autoSpaceDE/>
              <w:autoSpaceDN/>
              <w:adjustRightInd/>
              <w:ind w:firstLine="422" w:firstLineChars="200"/>
              <w:jc w:val="both"/>
              <w:rPr>
                <w:rFonts w:hAnsi="宋体"/>
                <w:b/>
                <w:color w:val="auto"/>
                <w:sz w:val="21"/>
                <w:szCs w:val="21"/>
                <w:highlight w:val="none"/>
              </w:rPr>
            </w:pPr>
            <w:r>
              <w:rPr>
                <w:rFonts w:hint="eastAsia" w:hAnsi="宋体"/>
                <w:b/>
                <w:color w:val="auto"/>
                <w:sz w:val="21"/>
                <w:szCs w:val="21"/>
                <w:highlight w:val="none"/>
              </w:rPr>
              <w:t>注：</w:t>
            </w:r>
          </w:p>
          <w:p>
            <w:pPr>
              <w:shd w:val="clear"/>
              <w:tabs>
                <w:tab w:val="left" w:pos="907"/>
              </w:tabs>
              <w:autoSpaceDE/>
              <w:autoSpaceDN/>
              <w:adjustRightInd/>
              <w:ind w:firstLine="422" w:firstLineChars="200"/>
              <w:jc w:val="both"/>
              <w:rPr>
                <w:rFonts w:hAnsi="宋体"/>
                <w:b/>
                <w:color w:val="auto"/>
                <w:sz w:val="21"/>
                <w:szCs w:val="21"/>
                <w:highlight w:val="none"/>
              </w:rPr>
            </w:pPr>
            <w:r>
              <w:rPr>
                <w:rFonts w:hint="eastAsia" w:hAnsi="宋体"/>
                <w:b/>
                <w:color w:val="auto"/>
                <w:sz w:val="21"/>
                <w:szCs w:val="21"/>
                <w:highlight w:val="none"/>
              </w:rPr>
              <w:t>（1）无特殊说明外，以上评审项，同一证明文件不重复计分。</w:t>
            </w:r>
          </w:p>
          <w:p>
            <w:pPr>
              <w:shd w:val="clear"/>
              <w:tabs>
                <w:tab w:val="left" w:pos="907"/>
              </w:tabs>
              <w:autoSpaceDE/>
              <w:autoSpaceDN/>
              <w:adjustRightInd/>
              <w:ind w:firstLine="422" w:firstLineChars="200"/>
              <w:jc w:val="both"/>
              <w:rPr>
                <w:rFonts w:hAnsi="宋体"/>
                <w:b/>
                <w:color w:val="auto"/>
                <w:sz w:val="21"/>
                <w:szCs w:val="21"/>
                <w:highlight w:val="none"/>
              </w:rPr>
            </w:pPr>
            <w:r>
              <w:rPr>
                <w:rFonts w:hint="eastAsia" w:hAnsi="宋体"/>
                <w:b/>
                <w:color w:val="auto"/>
                <w:sz w:val="21"/>
                <w:szCs w:val="21"/>
                <w:highlight w:val="none"/>
              </w:rPr>
              <w:t>（2）供应商根据以上评分要求提供的响应材料因模糊不清导致磋商小组无法清晰辨认进行评审的，视为无效材料。</w:t>
            </w:r>
          </w:p>
          <w:p>
            <w:pPr>
              <w:shd w:val="clear"/>
              <w:tabs>
                <w:tab w:val="left" w:pos="907"/>
              </w:tabs>
              <w:autoSpaceDE/>
              <w:autoSpaceDN/>
              <w:adjustRightInd/>
              <w:ind w:firstLine="422" w:firstLineChars="200"/>
              <w:jc w:val="both"/>
              <w:rPr>
                <w:rFonts w:hAnsi="宋体"/>
                <w:color w:val="auto"/>
                <w:sz w:val="21"/>
                <w:szCs w:val="21"/>
                <w:highlight w:val="none"/>
              </w:rPr>
            </w:pPr>
            <w:r>
              <w:rPr>
                <w:rFonts w:hint="eastAsia" w:hAnsi="宋体"/>
                <w:b/>
                <w:color w:val="auto"/>
                <w:sz w:val="21"/>
                <w:szCs w:val="21"/>
                <w:highlight w:val="none"/>
              </w:rPr>
              <w:t>（3）若因疫情原因暂缓统一托收或阶段性减免社会保险费而导致无法打印社保缴费证明的需提供书面说明并加盖供应商公章。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59" w:type="dxa"/>
            <w:gridSpan w:val="8"/>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color w:val="auto"/>
                <w:sz w:val="21"/>
                <w:szCs w:val="21"/>
                <w:highlight w:val="none"/>
                <w:lang w:val="zh-CN"/>
              </w:rPr>
            </w:pPr>
            <w:r>
              <w:rPr>
                <w:rFonts w:hint="eastAsia" w:ascii="宋体" w:eastAsia="宋体"/>
                <w:b/>
                <w:bCs/>
                <w:color w:val="auto"/>
                <w:sz w:val="21"/>
                <w:szCs w:val="21"/>
                <w:highlight w:val="none"/>
              </w:rPr>
              <w:t>价格评审（50分）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1</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shd w:val="clear"/>
              <w:autoSpaceDE/>
              <w:autoSpaceDN/>
              <w:adjustRightInd/>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价格</w:t>
            </w:r>
          </w:p>
        </w:tc>
        <w:tc>
          <w:tcPr>
            <w:tcW w:w="734" w:type="dxa"/>
            <w:gridSpan w:val="2"/>
            <w:tcBorders>
              <w:top w:val="single" w:color="auto" w:sz="4" w:space="0"/>
              <w:left w:val="single" w:color="auto" w:sz="4" w:space="0"/>
              <w:bottom w:val="single" w:color="auto" w:sz="4" w:space="0"/>
              <w:right w:val="single" w:color="auto" w:sz="4" w:space="0"/>
            </w:tcBorders>
            <w:vAlign w:val="center"/>
          </w:tcPr>
          <w:p>
            <w:pPr>
              <w:shd w:val="clear"/>
              <w:autoSpaceDE/>
              <w:autoSpaceDN/>
              <w:adjustRightInd/>
              <w:spacing w:line="360" w:lineRule="auto"/>
              <w:jc w:val="center"/>
              <w:rPr>
                <w:rFonts w:hAnsi="宋体"/>
                <w:color w:val="auto"/>
                <w:kern w:val="2"/>
                <w:sz w:val="21"/>
                <w:szCs w:val="21"/>
                <w:highlight w:val="none"/>
              </w:rPr>
            </w:pPr>
            <w:r>
              <w:rPr>
                <w:rFonts w:hint="eastAsia" w:hAnsi="宋体"/>
                <w:color w:val="auto"/>
                <w:kern w:val="2"/>
                <w:sz w:val="21"/>
                <w:szCs w:val="21"/>
                <w:highlight w:val="none"/>
              </w:rPr>
              <w:t>50分</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shd w:val="clear"/>
              <w:autoSpaceDE/>
              <w:autoSpaceDN/>
              <w:adjustRightInd/>
              <w:spacing w:line="360" w:lineRule="auto"/>
              <w:ind w:firstLine="420" w:firstLineChars="200"/>
              <w:rPr>
                <w:rFonts w:hAnsi="宋体"/>
                <w:color w:val="auto"/>
                <w:kern w:val="2"/>
                <w:sz w:val="21"/>
                <w:szCs w:val="21"/>
                <w:highlight w:val="none"/>
                <w:lang w:val="zh-CN"/>
              </w:rPr>
            </w:pPr>
            <w:r>
              <w:rPr>
                <w:rFonts w:hint="eastAsia" w:hAnsi="宋体"/>
                <w:color w:val="auto"/>
                <w:kern w:val="2"/>
                <w:sz w:val="21"/>
                <w:szCs w:val="21"/>
                <w:highlight w:val="none"/>
                <w:lang w:val="zh-CN"/>
              </w:rPr>
              <w:t>价格分计算方法：满足采购文件要求且磋商响应价格最低的磋商响应报价为评标基准价，其价格分为满分。其他供应商的价格分统一按照下列公式计算：</w:t>
            </w:r>
          </w:p>
          <w:p>
            <w:pPr>
              <w:shd w:val="clear"/>
              <w:autoSpaceDE/>
              <w:autoSpaceDN/>
              <w:adjustRightInd/>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lang w:val="zh-CN"/>
              </w:rPr>
              <w:t>磋商响应报价得分=(评标基准价／磋商响应报价)×价格权</w:t>
            </w:r>
            <w:r>
              <w:rPr>
                <w:rFonts w:hint="eastAsia" w:hAnsi="宋体"/>
                <w:color w:val="auto"/>
                <w:kern w:val="2"/>
                <w:sz w:val="21"/>
                <w:szCs w:val="21"/>
                <w:highlight w:val="none"/>
              </w:rPr>
              <w:t>重</w:t>
            </w:r>
          </w:p>
        </w:tc>
      </w:tr>
    </w:tbl>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磋商小组需要查看以上证明文件原件，供应商请在接到通知后规定时间内携带原件到达评标会场，接受核查，如因迟到或是其他原因不能携原件到达现场接受检查，其造成的所有后果供应商自行承担。</w:t>
      </w:r>
    </w:p>
    <w:p>
      <w:pPr>
        <w:widowControl/>
        <w:shd w:val="clear"/>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30"/>
        <w:shd w:val="clear"/>
        <w:spacing w:line="360" w:lineRule="auto"/>
        <w:ind w:firstLine="422" w:firstLineChars="200"/>
        <w:rPr>
          <w:rFonts w:hAnsi="宋体"/>
          <w:b/>
          <w:color w:val="auto"/>
          <w:szCs w:val="21"/>
          <w:highlight w:val="none"/>
        </w:rPr>
      </w:pPr>
    </w:p>
    <w:p>
      <w:pPr>
        <w:pStyle w:val="30"/>
        <w:shd w:val="clear"/>
        <w:spacing w:line="360" w:lineRule="auto"/>
        <w:ind w:firstLine="422" w:firstLineChars="200"/>
        <w:outlineLvl w:val="0"/>
        <w:rPr>
          <w:rFonts w:hAnsi="宋体"/>
          <w:b/>
          <w:color w:val="auto"/>
          <w:szCs w:val="21"/>
          <w:highlight w:val="none"/>
        </w:rPr>
      </w:pPr>
      <w:bookmarkStart w:id="171" w:name="_Toc15603"/>
      <w:r>
        <w:rPr>
          <w:rFonts w:hint="eastAsia" w:hAnsi="宋体"/>
          <w:b/>
          <w:color w:val="auto"/>
          <w:szCs w:val="21"/>
          <w:highlight w:val="none"/>
        </w:rPr>
        <w:t>四、技术评审</w:t>
      </w:r>
      <w:bookmarkEnd w:id="171"/>
    </w:p>
    <w:p>
      <w:pPr>
        <w:shd w:val="clea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30"/>
        <w:shd w:val="clear"/>
        <w:spacing w:line="360" w:lineRule="auto"/>
        <w:ind w:firstLine="420" w:firstLineChars="200"/>
        <w:rPr>
          <w:rFonts w:hAnsi="宋体"/>
          <w:color w:val="auto"/>
          <w:szCs w:val="21"/>
          <w:highlight w:val="none"/>
        </w:rPr>
      </w:pPr>
      <w:r>
        <w:rPr>
          <w:rFonts w:hint="eastAsia" w:hAnsi="宋体"/>
          <w:color w:val="auto"/>
          <w:szCs w:val="21"/>
          <w:highlight w:val="none"/>
        </w:rPr>
        <w:t>2.磋商小组按评标标准独立对技术标进行评审，得出技术标评分。当磋商小组为五人时，在所有评委对同一份投标文件技术标评审的总评分中，去掉一个最高分和一个最低分，计算剩余总评分的算术平均值即为该供应商技术标的最终综合得分；当磋商小组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供应商技术部分的最终综合得分。</w:t>
      </w:r>
    </w:p>
    <w:p>
      <w:pPr>
        <w:pStyle w:val="30"/>
        <w:shd w:val="clear"/>
        <w:spacing w:line="360" w:lineRule="auto"/>
        <w:ind w:firstLine="422" w:firstLineChars="200"/>
        <w:rPr>
          <w:rFonts w:hAnsi="宋体"/>
          <w:b/>
          <w:color w:val="auto"/>
          <w:szCs w:val="21"/>
          <w:highlight w:val="none"/>
        </w:rPr>
      </w:pPr>
    </w:p>
    <w:p>
      <w:pPr>
        <w:pStyle w:val="30"/>
        <w:shd w:val="clear"/>
        <w:spacing w:line="360" w:lineRule="auto"/>
        <w:ind w:firstLine="422" w:firstLineChars="200"/>
        <w:outlineLvl w:val="0"/>
        <w:rPr>
          <w:rFonts w:hAnsi="宋体"/>
          <w:b/>
          <w:color w:val="auto"/>
          <w:szCs w:val="21"/>
          <w:highlight w:val="none"/>
        </w:rPr>
      </w:pPr>
      <w:bookmarkStart w:id="172" w:name="_Toc4394"/>
      <w:r>
        <w:rPr>
          <w:rFonts w:hint="eastAsia" w:hAnsi="宋体"/>
          <w:b/>
          <w:color w:val="auto"/>
          <w:szCs w:val="21"/>
          <w:highlight w:val="none"/>
        </w:rPr>
        <w:t>五、商务评审</w:t>
      </w:r>
      <w:bookmarkEnd w:id="172"/>
    </w:p>
    <w:p>
      <w:pPr>
        <w:pStyle w:val="30"/>
        <w:shd w:val="clear"/>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30"/>
        <w:shd w:val="clear"/>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30"/>
        <w:shd w:val="clear"/>
        <w:spacing w:line="360" w:lineRule="auto"/>
        <w:ind w:firstLine="422" w:firstLineChars="200"/>
        <w:rPr>
          <w:rFonts w:hAnsi="宋体"/>
          <w:b/>
          <w:color w:val="auto"/>
          <w:szCs w:val="21"/>
          <w:highlight w:val="none"/>
        </w:rPr>
      </w:pPr>
    </w:p>
    <w:p>
      <w:pPr>
        <w:pStyle w:val="30"/>
        <w:shd w:val="clear"/>
        <w:spacing w:line="360" w:lineRule="auto"/>
        <w:ind w:firstLine="422" w:firstLineChars="200"/>
        <w:outlineLvl w:val="0"/>
        <w:rPr>
          <w:rFonts w:hAnsi="宋体"/>
          <w:b/>
          <w:color w:val="auto"/>
          <w:szCs w:val="21"/>
          <w:highlight w:val="none"/>
        </w:rPr>
      </w:pPr>
      <w:bookmarkStart w:id="173" w:name="_Toc19007"/>
      <w:r>
        <w:rPr>
          <w:rFonts w:hint="eastAsia" w:hAnsi="宋体"/>
          <w:b/>
          <w:color w:val="auto"/>
          <w:szCs w:val="21"/>
          <w:highlight w:val="none"/>
        </w:rPr>
        <w:t>六、报价评审</w:t>
      </w:r>
      <w:bookmarkEnd w:id="173"/>
    </w:p>
    <w:p>
      <w:pPr>
        <w:shd w:val="clea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shd w:val="clea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30"/>
        <w:shd w:val="clear"/>
        <w:tabs>
          <w:tab w:val="left" w:pos="1365"/>
        </w:tabs>
        <w:spacing w:line="360" w:lineRule="auto"/>
        <w:ind w:left="16" w:firstLine="422" w:firstLineChars="200"/>
        <w:rPr>
          <w:rFonts w:hAnsi="宋体"/>
          <w:b/>
          <w:color w:val="auto"/>
          <w:szCs w:val="21"/>
          <w:highlight w:val="none"/>
        </w:rPr>
      </w:pPr>
    </w:p>
    <w:p>
      <w:pPr>
        <w:pStyle w:val="30"/>
        <w:shd w:val="clear"/>
        <w:tabs>
          <w:tab w:val="left" w:pos="1365"/>
        </w:tabs>
        <w:spacing w:line="360" w:lineRule="auto"/>
        <w:ind w:left="16" w:firstLine="422" w:firstLineChars="200"/>
        <w:outlineLvl w:val="0"/>
        <w:rPr>
          <w:rFonts w:hAnsi="宋体"/>
          <w:b/>
          <w:color w:val="auto"/>
          <w:szCs w:val="21"/>
          <w:highlight w:val="none"/>
        </w:rPr>
      </w:pPr>
      <w:bookmarkStart w:id="174" w:name="_Toc3331"/>
      <w:r>
        <w:rPr>
          <w:rFonts w:hint="eastAsia" w:hAnsi="宋体"/>
          <w:b/>
          <w:color w:val="auto"/>
          <w:szCs w:val="21"/>
          <w:highlight w:val="none"/>
        </w:rPr>
        <w:t>七、综合得分的计算</w:t>
      </w:r>
      <w:bookmarkEnd w:id="17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shd w:val="clear"/>
        <w:rPr>
          <w:color w:val="auto"/>
          <w:highlight w:val="none"/>
          <w:lang w:val="zh-CN"/>
        </w:rPr>
      </w:pPr>
    </w:p>
    <w:p>
      <w:pPr>
        <w:pStyle w:val="3"/>
        <w:keepNext/>
        <w:keepLines/>
        <w:pageBreakBefore/>
        <w:numPr>
          <w:ilvl w:val="0"/>
          <w:numId w:val="13"/>
        </w:numPr>
        <w:shd w:val="clear"/>
        <w:spacing w:line="360" w:lineRule="auto"/>
        <w:jc w:val="center"/>
        <w:rPr>
          <w:rFonts w:hAnsi="宋体"/>
          <w:b/>
          <w:bCs/>
          <w:color w:val="auto"/>
          <w:highlight w:val="none"/>
        </w:rPr>
      </w:pPr>
      <w:bookmarkStart w:id="175" w:name="_Toc15636"/>
      <w:bookmarkStart w:id="176" w:name="_Toc3360"/>
      <w:r>
        <w:rPr>
          <w:rFonts w:hint="eastAsia" w:hAnsi="宋体"/>
          <w:b/>
          <w:bCs/>
          <w:color w:val="auto"/>
          <w:kern w:val="44"/>
          <w:sz w:val="28"/>
          <w:szCs w:val="28"/>
          <w:highlight w:val="none"/>
          <w:lang w:val="zh-CN"/>
        </w:rPr>
        <w:t>合同条款格式</w:t>
      </w:r>
      <w:bookmarkEnd w:id="175"/>
      <w:bookmarkEnd w:id="176"/>
    </w:p>
    <w:p>
      <w:pPr>
        <w:shd w:val="clear"/>
        <w:spacing w:line="360" w:lineRule="auto"/>
        <w:jc w:val="center"/>
        <w:rPr>
          <w:rFonts w:ascii="黑体" w:hAnsi="黑体" w:eastAsia="黑体"/>
          <w:b/>
          <w:bCs/>
          <w:color w:val="auto"/>
          <w:spacing w:val="60"/>
          <w:sz w:val="52"/>
          <w:szCs w:val="52"/>
          <w:highlight w:val="none"/>
        </w:rPr>
      </w:pPr>
    </w:p>
    <w:p>
      <w:pPr>
        <w:shd w:val="clear"/>
        <w:spacing w:line="360" w:lineRule="auto"/>
        <w:jc w:val="center"/>
        <w:rPr>
          <w:rFonts w:ascii="黑体" w:hAnsi="黑体" w:eastAsia="黑体"/>
          <w:b/>
          <w:bCs/>
          <w:color w:val="auto"/>
          <w:spacing w:val="60"/>
          <w:sz w:val="32"/>
          <w:szCs w:val="32"/>
          <w:highlight w:val="none"/>
        </w:rPr>
      </w:pPr>
      <w:r>
        <w:rPr>
          <w:rFonts w:hint="eastAsia" w:ascii="黑体" w:hAnsi="黑体" w:eastAsia="黑体"/>
          <w:b/>
          <w:bCs/>
          <w:color w:val="auto"/>
          <w:spacing w:val="60"/>
          <w:sz w:val="32"/>
          <w:szCs w:val="32"/>
          <w:highlight w:val="none"/>
        </w:rPr>
        <w:t>松山湖国际创新创业社区消防维保服务项目合同文件</w:t>
      </w:r>
    </w:p>
    <w:p>
      <w:pPr>
        <w:pStyle w:val="21"/>
        <w:shd w:val="clear"/>
        <w:rPr>
          <w:rFonts w:ascii="黑体" w:hAnsi="黑体" w:eastAsia="黑体"/>
          <w:color w:val="auto"/>
          <w:spacing w:val="60"/>
          <w:sz w:val="52"/>
          <w:szCs w:val="52"/>
          <w:highlight w:val="none"/>
        </w:rPr>
      </w:pPr>
    </w:p>
    <w:p>
      <w:pPr>
        <w:pStyle w:val="22"/>
        <w:shd w:val="clear"/>
        <w:ind w:firstLine="642"/>
        <w:rPr>
          <w:rFonts w:ascii="黑体" w:hAnsi="黑体" w:eastAsia="黑体"/>
          <w:b/>
          <w:bCs/>
          <w:color w:val="auto"/>
          <w:spacing w:val="60"/>
          <w:sz w:val="52"/>
          <w:szCs w:val="52"/>
          <w:highlight w:val="none"/>
        </w:rPr>
      </w:pPr>
    </w:p>
    <w:p>
      <w:pPr>
        <w:pStyle w:val="23"/>
        <w:shd w:val="clear"/>
        <w:rPr>
          <w:rFonts w:ascii="黑体" w:hAnsi="黑体" w:eastAsia="黑体"/>
          <w:b/>
          <w:bCs/>
          <w:color w:val="auto"/>
          <w:spacing w:val="60"/>
          <w:sz w:val="52"/>
          <w:szCs w:val="52"/>
          <w:highlight w:val="none"/>
        </w:rPr>
      </w:pPr>
    </w:p>
    <w:p>
      <w:pPr>
        <w:shd w:val="clear"/>
        <w:rPr>
          <w:rFonts w:ascii="黑体" w:hAnsi="黑体" w:eastAsia="黑体"/>
          <w:b/>
          <w:bCs/>
          <w:color w:val="auto"/>
          <w:spacing w:val="60"/>
          <w:sz w:val="52"/>
          <w:szCs w:val="52"/>
          <w:highlight w:val="none"/>
        </w:rPr>
      </w:pPr>
    </w:p>
    <w:p>
      <w:pPr>
        <w:pStyle w:val="21"/>
        <w:shd w:val="clear"/>
        <w:rPr>
          <w:color w:val="auto"/>
          <w:highlight w:val="none"/>
        </w:rPr>
      </w:pPr>
    </w:p>
    <w:tbl>
      <w:tblPr>
        <w:tblStyle w:val="52"/>
        <w:tblW w:w="5000" w:type="pct"/>
        <w:jc w:val="center"/>
        <w:tblLayout w:type="autofit"/>
        <w:tblCellMar>
          <w:top w:w="0" w:type="dxa"/>
          <w:left w:w="108" w:type="dxa"/>
          <w:bottom w:w="0" w:type="dxa"/>
          <w:right w:w="108" w:type="dxa"/>
        </w:tblCellMar>
      </w:tblPr>
      <w:tblGrid>
        <w:gridCol w:w="2739"/>
        <w:gridCol w:w="5783"/>
      </w:tblGrid>
      <w:tr>
        <w:tblPrEx>
          <w:tblCellMar>
            <w:top w:w="0" w:type="dxa"/>
            <w:left w:w="108" w:type="dxa"/>
            <w:bottom w:w="0" w:type="dxa"/>
            <w:right w:w="108" w:type="dxa"/>
          </w:tblCellMar>
        </w:tblPrEx>
        <w:trPr>
          <w:trHeight w:val="770" w:hRule="atLeast"/>
          <w:jc w:val="center"/>
        </w:trPr>
        <w:tc>
          <w:tcPr>
            <w:tcW w:w="1607" w:type="pct"/>
          </w:tcPr>
          <w:p>
            <w:pPr>
              <w:shd w:val="clear"/>
              <w:spacing w:line="360" w:lineRule="auto"/>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甲方（采购人）：</w:t>
            </w:r>
          </w:p>
        </w:tc>
        <w:tc>
          <w:tcPr>
            <w:tcW w:w="3393" w:type="pct"/>
          </w:tcPr>
          <w:p>
            <w:pPr>
              <w:shd w:val="clear"/>
              <w:spacing w:line="360" w:lineRule="auto"/>
              <w:rPr>
                <w:rFonts w:ascii="黑体" w:hAnsi="黑体" w:eastAsia="黑体"/>
                <w:b/>
                <w:bCs/>
                <w:color w:val="auto"/>
                <w:sz w:val="28"/>
                <w:szCs w:val="21"/>
                <w:highlight w:val="none"/>
                <w:u w:val="single"/>
              </w:rPr>
            </w:pPr>
            <w:r>
              <w:rPr>
                <w:rFonts w:hint="eastAsia" w:ascii="黑体" w:hAnsi="黑体" w:eastAsia="黑体"/>
                <w:b/>
                <w:bCs/>
                <w:color w:val="auto"/>
                <w:sz w:val="28"/>
                <w:szCs w:val="21"/>
                <w:highlight w:val="none"/>
                <w:u w:val="single"/>
              </w:rPr>
              <w:t xml:space="preserve">东莞市大学创新城建设发展有限公司          </w:t>
            </w:r>
          </w:p>
        </w:tc>
      </w:tr>
      <w:tr>
        <w:tblPrEx>
          <w:tblCellMar>
            <w:top w:w="0" w:type="dxa"/>
            <w:left w:w="108" w:type="dxa"/>
            <w:bottom w:w="0" w:type="dxa"/>
            <w:right w:w="108" w:type="dxa"/>
          </w:tblCellMar>
        </w:tblPrEx>
        <w:trPr>
          <w:trHeight w:val="708" w:hRule="atLeast"/>
          <w:jc w:val="center"/>
        </w:trPr>
        <w:tc>
          <w:tcPr>
            <w:tcW w:w="1607" w:type="pct"/>
          </w:tcPr>
          <w:p>
            <w:pPr>
              <w:shd w:val="clear"/>
              <w:spacing w:line="360" w:lineRule="auto"/>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乙方（成交人）：</w:t>
            </w:r>
          </w:p>
        </w:tc>
        <w:tc>
          <w:tcPr>
            <w:tcW w:w="3393" w:type="pct"/>
          </w:tcPr>
          <w:p>
            <w:pPr>
              <w:shd w:val="clear"/>
              <w:spacing w:line="360" w:lineRule="auto"/>
              <w:rPr>
                <w:rFonts w:ascii="黑体" w:hAnsi="黑体" w:eastAsia="黑体"/>
                <w:b/>
                <w:bCs/>
                <w:color w:val="auto"/>
                <w:sz w:val="28"/>
                <w:szCs w:val="21"/>
                <w:highlight w:val="none"/>
                <w:u w:val="single"/>
              </w:rPr>
            </w:pPr>
          </w:p>
        </w:tc>
      </w:tr>
      <w:tr>
        <w:tblPrEx>
          <w:tblCellMar>
            <w:top w:w="0" w:type="dxa"/>
            <w:left w:w="108" w:type="dxa"/>
            <w:bottom w:w="0" w:type="dxa"/>
            <w:right w:w="108" w:type="dxa"/>
          </w:tblCellMar>
        </w:tblPrEx>
        <w:trPr>
          <w:trHeight w:val="706" w:hRule="atLeast"/>
          <w:jc w:val="center"/>
        </w:trPr>
        <w:tc>
          <w:tcPr>
            <w:tcW w:w="1607" w:type="pct"/>
          </w:tcPr>
          <w:p>
            <w:pPr>
              <w:shd w:val="clear"/>
              <w:spacing w:line="360" w:lineRule="auto"/>
              <w:rPr>
                <w:rFonts w:ascii="黑体" w:hAnsi="黑体" w:eastAsia="黑体"/>
                <w:b/>
                <w:bCs/>
                <w:color w:val="auto"/>
                <w:spacing w:val="9"/>
                <w:sz w:val="28"/>
                <w:szCs w:val="21"/>
                <w:highlight w:val="none"/>
              </w:rPr>
            </w:pPr>
            <w:r>
              <w:rPr>
                <w:rFonts w:hint="eastAsia" w:ascii="黑体" w:hAnsi="黑体" w:eastAsia="黑体"/>
                <w:b/>
                <w:bCs/>
                <w:color w:val="auto"/>
                <w:spacing w:val="9"/>
                <w:sz w:val="28"/>
                <w:szCs w:val="21"/>
                <w:highlight w:val="none"/>
              </w:rPr>
              <w:t>协议签订时间：</w:t>
            </w:r>
          </w:p>
        </w:tc>
        <w:tc>
          <w:tcPr>
            <w:tcW w:w="3393" w:type="pct"/>
          </w:tcPr>
          <w:p>
            <w:pPr>
              <w:shd w:val="clear"/>
              <w:spacing w:line="360" w:lineRule="auto"/>
              <w:rPr>
                <w:rFonts w:ascii="黑体" w:hAnsi="黑体" w:eastAsia="黑体"/>
                <w:b/>
                <w:bCs/>
                <w:color w:val="auto"/>
                <w:sz w:val="28"/>
                <w:szCs w:val="21"/>
                <w:highlight w:val="none"/>
                <w:u w:val="single"/>
              </w:rPr>
            </w:pPr>
          </w:p>
        </w:tc>
      </w:tr>
    </w:tbl>
    <w:p>
      <w:pPr>
        <w:pStyle w:val="21"/>
        <w:shd w:val="clear"/>
        <w:rPr>
          <w:color w:val="auto"/>
          <w:highlight w:val="none"/>
        </w:rPr>
      </w:pPr>
    </w:p>
    <w:p>
      <w:pPr>
        <w:shd w:val="clear"/>
        <w:rPr>
          <w:rFonts w:hAnsi="宋体"/>
          <w:color w:val="auto"/>
          <w:sz w:val="21"/>
          <w:szCs w:val="21"/>
          <w:highlight w:val="none"/>
        </w:rPr>
      </w:pPr>
      <w:r>
        <w:rPr>
          <w:rFonts w:hint="eastAsia" w:hAnsi="宋体"/>
          <w:color w:val="auto"/>
          <w:sz w:val="21"/>
          <w:szCs w:val="21"/>
          <w:highlight w:val="none"/>
        </w:rPr>
        <w:br w:type="page"/>
      </w:r>
    </w:p>
    <w:p>
      <w:pPr>
        <w:shd w:val="clear"/>
        <w:spacing w:line="360" w:lineRule="auto"/>
        <w:ind w:firstLine="315" w:firstLineChars="150"/>
        <w:rPr>
          <w:rFonts w:hAnsi="宋体"/>
          <w:color w:val="auto"/>
          <w:sz w:val="21"/>
          <w:szCs w:val="21"/>
          <w:highlight w:val="none"/>
        </w:rPr>
      </w:pPr>
      <w:r>
        <w:rPr>
          <w:rFonts w:hint="eastAsia" w:hAnsi="宋体"/>
          <w:color w:val="auto"/>
          <w:sz w:val="21"/>
          <w:szCs w:val="21"/>
          <w:highlight w:val="none"/>
        </w:rPr>
        <w:t>甲方（采购人）：东莞市大学创新城建设发展有限公司</w:t>
      </w:r>
    </w:p>
    <w:p>
      <w:pPr>
        <w:shd w:val="clear"/>
        <w:spacing w:line="360" w:lineRule="auto"/>
        <w:ind w:firstLine="315" w:firstLineChars="150"/>
        <w:rPr>
          <w:rFonts w:hAnsi="宋体"/>
          <w:color w:val="auto"/>
          <w:sz w:val="21"/>
          <w:szCs w:val="21"/>
          <w:highlight w:val="none"/>
        </w:rPr>
      </w:pPr>
      <w:r>
        <w:rPr>
          <w:rFonts w:hint="eastAsia" w:hAnsi="宋体"/>
          <w:color w:val="auto"/>
          <w:sz w:val="21"/>
          <w:szCs w:val="21"/>
          <w:highlight w:val="none"/>
        </w:rPr>
        <w:t xml:space="preserve">乙方（成交人）：                          </w:t>
      </w:r>
    </w:p>
    <w:p>
      <w:pPr>
        <w:shd w:val="clear"/>
        <w:spacing w:line="360" w:lineRule="auto"/>
        <w:ind w:firstLine="315" w:firstLineChars="150"/>
        <w:rPr>
          <w:rFonts w:hAnsi="宋体"/>
          <w:color w:val="auto"/>
          <w:sz w:val="21"/>
          <w:szCs w:val="21"/>
          <w:highlight w:val="none"/>
        </w:rPr>
      </w:pPr>
      <w:r>
        <w:rPr>
          <w:rFonts w:hint="eastAsia" w:hAnsi="宋体"/>
          <w:color w:val="auto"/>
          <w:sz w:val="21"/>
          <w:szCs w:val="21"/>
          <w:highlight w:val="none"/>
        </w:rPr>
        <w:t>根据《中华人民共和国民法典》及采购代理有限公司的磋商文件、成交通知书等相关资料的要求，经双方协商一致，签订本合同，共同遵守如下条款。</w:t>
      </w:r>
    </w:p>
    <w:p>
      <w:pPr>
        <w:shd w:val="clea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一 项目</w:t>
      </w:r>
      <w:r>
        <w:rPr>
          <w:rFonts w:eastAsia="仿宋_GB2312"/>
          <w:b/>
          <w:bCs/>
          <w:color w:val="auto"/>
          <w:sz w:val="21"/>
          <w:szCs w:val="21"/>
          <w:highlight w:val="none"/>
        </w:rPr>
        <w:t>概况</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1、项目名称：松山湖国际创新创业社区消防维保服务项目</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2、项目地点：东莞市松山湖</w:t>
      </w:r>
    </w:p>
    <w:p>
      <w:pPr>
        <w:pStyle w:val="144"/>
        <w:widowControl/>
        <w:shd w:val="clear"/>
        <w:spacing w:after="200" w:line="520" w:lineRule="exact"/>
        <w:contextualSpacing/>
        <w:jc w:val="left"/>
        <w:rPr>
          <w:rFonts w:ascii="宋体" w:hAnsi="宋体"/>
          <w:bCs/>
          <w:color w:val="auto"/>
          <w:szCs w:val="21"/>
          <w:highlight w:val="none"/>
        </w:rPr>
      </w:pPr>
      <w:r>
        <w:rPr>
          <w:rFonts w:hint="eastAsia" w:hAnsi="宋体"/>
          <w:color w:val="auto"/>
          <w:szCs w:val="21"/>
          <w:highlight w:val="none"/>
        </w:rPr>
        <w:t>3、</w:t>
      </w:r>
      <w:r>
        <w:rPr>
          <w:rFonts w:hint="eastAsia" w:ascii="宋体" w:hAnsi="宋体"/>
          <w:color w:val="auto"/>
          <w:szCs w:val="21"/>
          <w:highlight w:val="none"/>
        </w:rPr>
        <w:t>项目范围：</w:t>
      </w:r>
      <w:r>
        <w:rPr>
          <w:rFonts w:hint="eastAsia" w:ascii="宋体" w:hAnsi="宋体"/>
          <w:bCs/>
          <w:color w:val="auto"/>
          <w:szCs w:val="21"/>
          <w:highlight w:val="none"/>
        </w:rPr>
        <w:t>松山湖国际创新创业社区范围内所有消防设施、设备维护的保养包括（但不限于）：消防管网、火灾自动报警系统、消火栓灭火系统（含室外接合器）、自动喷淋系统、防排烟系统、消防广播及消防电话系统、应急照明及安全疏散指示标志系统、气体灭火系统、</w:t>
      </w:r>
      <w:r>
        <w:rPr>
          <w:rFonts w:hint="eastAsia"/>
          <w:color w:val="auto"/>
          <w:szCs w:val="21"/>
          <w:highlight w:val="none"/>
        </w:rPr>
        <w:t>七氟丙烷气体灭火系统、</w:t>
      </w:r>
      <w:r>
        <w:rPr>
          <w:rFonts w:hint="eastAsia" w:ascii="宋体" w:hAnsi="宋体"/>
          <w:bCs/>
          <w:color w:val="auto"/>
          <w:szCs w:val="21"/>
          <w:highlight w:val="none"/>
        </w:rPr>
        <w:t>大空间智能型主动喷水灭火系统、消防联动系统、移动式干粉灭火器、消防电梯的维护保养、交流电源、直流备用电源、消防供电配电设施的维护保养等。</w:t>
      </w:r>
    </w:p>
    <w:p>
      <w:pPr>
        <w:pStyle w:val="144"/>
        <w:widowControl/>
        <w:shd w:val="clear"/>
        <w:spacing w:after="200" w:line="520" w:lineRule="exact"/>
        <w:contextualSpacing/>
        <w:jc w:val="left"/>
        <w:rPr>
          <w:rFonts w:ascii="宋体" w:hAnsi="宋体"/>
          <w:bCs/>
          <w:color w:val="auto"/>
          <w:szCs w:val="21"/>
          <w:highlight w:val="none"/>
        </w:rPr>
      </w:pPr>
      <w:r>
        <w:rPr>
          <w:rFonts w:hint="eastAsia" w:ascii="宋体" w:hAnsi="宋体"/>
          <w:bCs/>
          <w:color w:val="auto"/>
          <w:szCs w:val="21"/>
          <w:highlight w:val="none"/>
        </w:rPr>
        <w:t>维保方需依据《中华人民共和国民法典》、《中华人民共和国消防法》和《广东省实施《中华人民共和国消防法》办法》等国家及行业法规制定，除合同中有明确的规定之外，其余保养内容及标准不得低于上述法规规定的内容及标准。</w:t>
      </w:r>
    </w:p>
    <w:p>
      <w:pPr>
        <w:pStyle w:val="144"/>
        <w:widowControl/>
        <w:shd w:val="clear"/>
        <w:spacing w:after="200" w:line="520" w:lineRule="exact"/>
        <w:contextualSpacing/>
        <w:jc w:val="left"/>
        <w:rPr>
          <w:rFonts w:ascii="宋体" w:hAnsi="宋体"/>
          <w:bCs/>
          <w:color w:val="auto"/>
          <w:szCs w:val="21"/>
          <w:highlight w:val="none"/>
        </w:rPr>
      </w:pPr>
      <w:r>
        <w:rPr>
          <w:rFonts w:hint="eastAsia" w:ascii="宋体" w:hAnsi="宋体"/>
          <w:bCs/>
          <w:color w:val="auto"/>
          <w:szCs w:val="21"/>
          <w:highlight w:val="none"/>
        </w:rPr>
        <w:t>技术服务包含：消防系统的日常故障维修、应急抢修服务、年检申报服务、定期维护保养和系统技术性能、系统功能检测等服务。</w:t>
      </w:r>
    </w:p>
    <w:p>
      <w:pPr>
        <w:pStyle w:val="144"/>
        <w:widowControl/>
        <w:shd w:val="clear"/>
        <w:spacing w:after="200" w:line="520" w:lineRule="exact"/>
        <w:contextualSpacing/>
        <w:jc w:val="left"/>
        <w:rPr>
          <w:rFonts w:ascii="宋体" w:hAnsi="宋体"/>
          <w:bCs/>
          <w:color w:val="auto"/>
          <w:szCs w:val="21"/>
          <w:highlight w:val="none"/>
        </w:rPr>
      </w:pPr>
      <w:r>
        <w:rPr>
          <w:rFonts w:hint="eastAsia" w:ascii="宋体" w:hAnsi="宋体"/>
          <w:bCs/>
          <w:color w:val="auto"/>
          <w:szCs w:val="21"/>
          <w:highlight w:val="none"/>
        </w:rPr>
        <w:t>主要建筑物：</w:t>
      </w:r>
    </w:p>
    <w:tbl>
      <w:tblPr>
        <w:tblStyle w:val="52"/>
        <w:tblW w:w="5000" w:type="pct"/>
        <w:tblInd w:w="0" w:type="dxa"/>
        <w:tblLayout w:type="autofit"/>
        <w:tblCellMar>
          <w:top w:w="0" w:type="dxa"/>
          <w:left w:w="108" w:type="dxa"/>
          <w:bottom w:w="0" w:type="dxa"/>
          <w:right w:w="108" w:type="dxa"/>
        </w:tblCellMar>
      </w:tblPr>
      <w:tblGrid>
        <w:gridCol w:w="1083"/>
        <w:gridCol w:w="4768"/>
        <w:gridCol w:w="2671"/>
      </w:tblGrid>
      <w:tr>
        <w:tblPrEx>
          <w:tblCellMar>
            <w:top w:w="0" w:type="dxa"/>
            <w:left w:w="108" w:type="dxa"/>
            <w:bottom w:w="0" w:type="dxa"/>
            <w:right w:w="108" w:type="dxa"/>
          </w:tblCellMar>
        </w:tblPrEx>
        <w:trPr>
          <w:trHeight w:val="649"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jc w:val="both"/>
              <w:textAlignment w:val="center"/>
              <w:rPr>
                <w:rFonts w:hAnsi="宋体"/>
                <w:color w:val="auto"/>
                <w:sz w:val="21"/>
                <w:szCs w:val="21"/>
                <w:highlight w:val="none"/>
                <w:lang w:bidi="ar"/>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jc w:val="both"/>
              <w:textAlignment w:val="center"/>
              <w:rPr>
                <w:rFonts w:hAnsi="宋体"/>
                <w:color w:val="auto"/>
                <w:sz w:val="21"/>
                <w:szCs w:val="21"/>
                <w:highlight w:val="none"/>
                <w:lang w:bidi="ar"/>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lang w:bidi="ar"/>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462"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r>
        <w:tblPrEx>
          <w:tblCellMar>
            <w:top w:w="0" w:type="dxa"/>
            <w:left w:w="108" w:type="dxa"/>
            <w:bottom w:w="0" w:type="dxa"/>
            <w:right w:w="108" w:type="dxa"/>
          </w:tblCellMar>
        </w:tblPrEx>
        <w:trPr>
          <w:trHeight w:val="550" w:hRule="atLeast"/>
        </w:trPr>
        <w:tc>
          <w:tcPr>
            <w:tcW w:w="635"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rPr>
            </w:pPr>
          </w:p>
        </w:tc>
        <w:tc>
          <w:tcPr>
            <w:tcW w:w="2797" w:type="pct"/>
            <w:tcBorders>
              <w:top w:val="single" w:color="000000" w:sz="4" w:space="0"/>
              <w:left w:val="single" w:color="000000" w:sz="4" w:space="0"/>
              <w:bottom w:val="single" w:color="000000" w:sz="4" w:space="0"/>
              <w:right w:val="single" w:color="000000" w:sz="4" w:space="0"/>
            </w:tcBorders>
            <w:vAlign w:val="center"/>
          </w:tcPr>
          <w:p>
            <w:pPr>
              <w:shd w:val="clear"/>
              <w:textAlignment w:val="center"/>
              <w:rPr>
                <w:rFonts w:hAnsi="宋体"/>
                <w:color w:val="auto"/>
                <w:sz w:val="21"/>
                <w:szCs w:val="21"/>
                <w:highlight w:val="none"/>
                <w:lang w:bidi="ar"/>
              </w:rPr>
            </w:pPr>
          </w:p>
        </w:tc>
        <w:tc>
          <w:tcPr>
            <w:tcW w:w="1567" w:type="pct"/>
            <w:tcBorders>
              <w:top w:val="single" w:color="000000" w:sz="4" w:space="0"/>
              <w:left w:val="single" w:color="000000" w:sz="4" w:space="0"/>
              <w:bottom w:val="single" w:color="000000" w:sz="4" w:space="0"/>
              <w:right w:val="single" w:color="000000" w:sz="4" w:space="0"/>
            </w:tcBorders>
            <w:vAlign w:val="center"/>
          </w:tcPr>
          <w:p>
            <w:pPr>
              <w:shd w:val="clear"/>
              <w:jc w:val="center"/>
              <w:textAlignment w:val="center"/>
              <w:rPr>
                <w:rFonts w:hAnsi="宋体"/>
                <w:color w:val="auto"/>
                <w:sz w:val="21"/>
                <w:szCs w:val="21"/>
                <w:highlight w:val="none"/>
              </w:rPr>
            </w:pPr>
          </w:p>
        </w:tc>
      </w:tr>
    </w:tbl>
    <w:p>
      <w:pPr>
        <w:shd w:val="clear"/>
        <w:spacing w:line="600" w:lineRule="exact"/>
        <w:ind w:firstLine="420"/>
        <w:rPr>
          <w:rFonts w:hAnsi="宋体"/>
          <w:color w:val="auto"/>
          <w:sz w:val="21"/>
          <w:szCs w:val="21"/>
          <w:highlight w:val="none"/>
          <w:u w:val="single"/>
        </w:rPr>
      </w:pPr>
      <w:r>
        <w:rPr>
          <w:rFonts w:hint="eastAsia" w:hAnsi="宋体"/>
          <w:color w:val="auto"/>
          <w:sz w:val="21"/>
          <w:szCs w:val="21"/>
          <w:highlight w:val="none"/>
        </w:rPr>
        <w:t>4、服务期限：  年  月  日至  年 月  日</w:t>
      </w:r>
      <w:r>
        <w:rPr>
          <w:rFonts w:hint="eastAsia" w:hAnsi="宋体"/>
          <w:color w:val="auto"/>
          <w:sz w:val="21"/>
          <w:szCs w:val="21"/>
          <w:highlight w:val="none"/>
          <w:u w:val="single"/>
        </w:rPr>
        <w:t>。</w:t>
      </w:r>
    </w:p>
    <w:p>
      <w:pPr>
        <w:shd w:val="clear"/>
        <w:tabs>
          <w:tab w:val="left" w:pos="3405"/>
        </w:tabs>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（六）合同价款</w:t>
      </w:r>
    </w:p>
    <w:p>
      <w:pPr>
        <w:shd w:val="clea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1.本合同实行月度综合维保费用包干，为</w:t>
      </w:r>
      <w:r>
        <w:rPr>
          <w:rFonts w:hint="eastAsia" w:hAnsi="宋体"/>
          <w:color w:val="auto"/>
          <w:sz w:val="21"/>
          <w:szCs w:val="21"/>
          <w:highlight w:val="none"/>
          <w:u w:val="single"/>
        </w:rPr>
        <w:t xml:space="preserve">   </w:t>
      </w:r>
      <w:r>
        <w:rPr>
          <w:rFonts w:hint="eastAsia" w:hAnsi="宋体"/>
          <w:color w:val="auto"/>
          <w:sz w:val="21"/>
          <w:szCs w:val="21"/>
          <w:highlight w:val="none"/>
        </w:rPr>
        <w:t>元/月，合同期36个月，含税总价为</w:t>
      </w:r>
      <w:r>
        <w:rPr>
          <w:rFonts w:hint="eastAsia" w:hAnsi="宋体"/>
          <w:color w:val="auto"/>
          <w:sz w:val="21"/>
          <w:szCs w:val="21"/>
          <w:highlight w:val="none"/>
          <w:u w:val="single"/>
        </w:rPr>
        <w:t>¥</w:t>
      </w:r>
      <w:r>
        <w:rPr>
          <w:rFonts w:hAnsi="宋体"/>
          <w:color w:val="auto"/>
          <w:sz w:val="21"/>
          <w:szCs w:val="21"/>
          <w:highlight w:val="none"/>
          <w:u w:val="single"/>
        </w:rPr>
        <w:t xml:space="preserve">        </w:t>
      </w:r>
      <w:r>
        <w:rPr>
          <w:rFonts w:hint="eastAsia" w:hAnsi="宋体"/>
          <w:color w:val="auto"/>
          <w:sz w:val="21"/>
          <w:szCs w:val="21"/>
          <w:highlight w:val="none"/>
          <w:u w:val="single"/>
        </w:rPr>
        <w:t>元（人民币</w:t>
      </w:r>
      <w:r>
        <w:rPr>
          <w:rFonts w:hAnsi="宋体"/>
          <w:color w:val="auto"/>
          <w:sz w:val="21"/>
          <w:szCs w:val="21"/>
          <w:highlight w:val="none"/>
          <w:u w:val="single"/>
        </w:rPr>
        <w:t xml:space="preserve">      </w:t>
      </w:r>
      <w:r>
        <w:rPr>
          <w:rFonts w:hint="eastAsia" w:hAnsi="宋体"/>
          <w:color w:val="auto"/>
          <w:sz w:val="21"/>
          <w:szCs w:val="21"/>
          <w:highlight w:val="none"/>
          <w:u w:val="single"/>
        </w:rPr>
        <w:t>元）</w:t>
      </w:r>
      <w:r>
        <w:rPr>
          <w:rFonts w:hint="eastAsia" w:hAnsi="宋体"/>
          <w:color w:val="auto"/>
          <w:sz w:val="21"/>
          <w:szCs w:val="21"/>
          <w:highlight w:val="none"/>
        </w:rPr>
        <w:t xml:space="preserve">，其中：增值税税率为 </w:t>
      </w:r>
      <w:r>
        <w:rPr>
          <w:rFonts w:hAnsi="宋体"/>
          <w:color w:val="auto"/>
          <w:sz w:val="21"/>
          <w:szCs w:val="21"/>
          <w:highlight w:val="none"/>
          <w:u w:val="single"/>
        </w:rPr>
        <w:t xml:space="preserve">       %</w:t>
      </w:r>
      <w:r>
        <w:rPr>
          <w:rFonts w:hint="eastAsia" w:hAnsi="宋体"/>
          <w:color w:val="auto"/>
          <w:sz w:val="21"/>
          <w:szCs w:val="21"/>
          <w:highlight w:val="none"/>
        </w:rPr>
        <w:t>，税金金额</w:t>
      </w:r>
      <w:r>
        <w:rPr>
          <w:rFonts w:hint="eastAsia" w:hAnsi="宋体"/>
          <w:color w:val="auto"/>
          <w:sz w:val="21"/>
          <w:szCs w:val="21"/>
          <w:highlight w:val="none"/>
          <w:u w:val="single"/>
        </w:rPr>
        <w:t>¥</w:t>
      </w:r>
      <w:r>
        <w:rPr>
          <w:rFonts w:hAnsi="宋体"/>
          <w:color w:val="auto"/>
          <w:sz w:val="21"/>
          <w:szCs w:val="21"/>
          <w:highlight w:val="none"/>
          <w:u w:val="single"/>
        </w:rPr>
        <w:t xml:space="preserve">        </w:t>
      </w:r>
      <w:r>
        <w:rPr>
          <w:rFonts w:hint="eastAsia" w:hAnsi="宋体"/>
          <w:color w:val="auto"/>
          <w:sz w:val="21"/>
          <w:szCs w:val="21"/>
          <w:highlight w:val="none"/>
          <w:u w:val="single"/>
        </w:rPr>
        <w:t>元，</w:t>
      </w:r>
      <w:r>
        <w:rPr>
          <w:rFonts w:hint="eastAsia" w:hAnsi="宋体"/>
          <w:color w:val="auto"/>
          <w:sz w:val="21"/>
          <w:szCs w:val="21"/>
          <w:highlight w:val="none"/>
        </w:rPr>
        <w:t>不含税总价款为</w:t>
      </w:r>
      <w:r>
        <w:rPr>
          <w:rFonts w:hint="eastAsia" w:hAnsi="宋体"/>
          <w:color w:val="auto"/>
          <w:sz w:val="21"/>
          <w:szCs w:val="21"/>
          <w:highlight w:val="none"/>
          <w:u w:val="single"/>
        </w:rPr>
        <w:t>¥</w:t>
      </w:r>
      <w:r>
        <w:rPr>
          <w:rFonts w:hAnsi="宋体"/>
          <w:color w:val="auto"/>
          <w:sz w:val="21"/>
          <w:szCs w:val="21"/>
          <w:highlight w:val="none"/>
          <w:u w:val="single"/>
        </w:rPr>
        <w:t xml:space="preserve">        </w:t>
      </w:r>
      <w:r>
        <w:rPr>
          <w:rFonts w:hint="eastAsia" w:hAnsi="宋体"/>
          <w:color w:val="auto"/>
          <w:sz w:val="21"/>
          <w:szCs w:val="21"/>
          <w:highlight w:val="none"/>
          <w:u w:val="single"/>
        </w:rPr>
        <w:t>元</w:t>
      </w:r>
      <w:r>
        <w:rPr>
          <w:rFonts w:hint="eastAsia" w:hAnsi="宋体"/>
          <w:color w:val="auto"/>
          <w:sz w:val="21"/>
          <w:szCs w:val="21"/>
          <w:highlight w:val="none"/>
          <w:u w:val="none"/>
        </w:rPr>
        <w:t>；</w:t>
      </w:r>
      <w:r>
        <w:rPr>
          <w:rFonts w:hint="eastAsia" w:hAnsi="宋体"/>
          <w:color w:val="auto"/>
          <w:sz w:val="21"/>
          <w:szCs w:val="21"/>
          <w:highlight w:val="none"/>
        </w:rPr>
        <w:t>维修费（含零配件费用）为暂列金额，为</w:t>
      </w:r>
      <w:r>
        <w:rPr>
          <w:rFonts w:hint="eastAsia" w:hAnsi="宋体"/>
          <w:color w:val="auto"/>
          <w:sz w:val="21"/>
          <w:szCs w:val="21"/>
          <w:highlight w:val="none"/>
          <w:u w:val="single"/>
        </w:rPr>
        <w:t>¥        元（人民币      元）</w:t>
      </w:r>
      <w:r>
        <w:rPr>
          <w:rFonts w:hint="eastAsia" w:hAnsi="宋体"/>
          <w:color w:val="auto"/>
          <w:sz w:val="21"/>
          <w:szCs w:val="21"/>
          <w:highlight w:val="none"/>
        </w:rPr>
        <w:t>，按综合维保费总报价的25%计算，按实际发生进行结算。暂定合同总价为</w:t>
      </w:r>
      <w:r>
        <w:rPr>
          <w:rFonts w:hint="eastAsia" w:hAnsi="宋体"/>
          <w:color w:val="auto"/>
          <w:sz w:val="21"/>
          <w:szCs w:val="21"/>
          <w:highlight w:val="none"/>
          <w:u w:val="single"/>
        </w:rPr>
        <w:t>¥        元（人民币      元），其中：</w:t>
      </w:r>
      <w:r>
        <w:rPr>
          <w:rFonts w:hint="eastAsia" w:hAnsi="宋体"/>
          <w:color w:val="auto"/>
          <w:sz w:val="21"/>
          <w:szCs w:val="21"/>
          <w:highlight w:val="none"/>
        </w:rPr>
        <w:t xml:space="preserve">增值税税率为 </w:t>
      </w:r>
      <w:r>
        <w:rPr>
          <w:rFonts w:hint="eastAsia" w:hAnsi="宋体"/>
          <w:color w:val="auto"/>
          <w:sz w:val="21"/>
          <w:szCs w:val="21"/>
          <w:highlight w:val="none"/>
          <w:u w:val="single"/>
        </w:rPr>
        <w:t xml:space="preserve">       %</w:t>
      </w:r>
      <w:r>
        <w:rPr>
          <w:rFonts w:hint="eastAsia" w:hAnsi="宋体"/>
          <w:color w:val="auto"/>
          <w:sz w:val="21"/>
          <w:szCs w:val="21"/>
          <w:highlight w:val="none"/>
        </w:rPr>
        <w:t>，税金金额</w:t>
      </w:r>
      <w:r>
        <w:rPr>
          <w:rFonts w:hint="eastAsia" w:hAnsi="宋体"/>
          <w:color w:val="auto"/>
          <w:sz w:val="21"/>
          <w:szCs w:val="21"/>
          <w:highlight w:val="none"/>
          <w:u w:val="single"/>
        </w:rPr>
        <w:t>¥        元，</w:t>
      </w:r>
      <w:r>
        <w:rPr>
          <w:rFonts w:hint="eastAsia" w:hAnsi="宋体"/>
          <w:color w:val="auto"/>
          <w:sz w:val="21"/>
          <w:szCs w:val="21"/>
          <w:highlight w:val="none"/>
        </w:rPr>
        <w:t>不含税总价款为</w:t>
      </w:r>
      <w:r>
        <w:rPr>
          <w:rFonts w:hint="eastAsia" w:hAnsi="宋体"/>
          <w:color w:val="auto"/>
          <w:sz w:val="21"/>
          <w:szCs w:val="21"/>
          <w:highlight w:val="none"/>
          <w:u w:val="single"/>
        </w:rPr>
        <w:t>¥        元。</w:t>
      </w:r>
    </w:p>
    <w:p>
      <w:pPr>
        <w:shd w:val="clear"/>
        <w:tabs>
          <w:tab w:val="left" w:pos="3405"/>
        </w:tabs>
        <w:spacing w:line="600" w:lineRule="exact"/>
        <w:ind w:firstLine="640"/>
        <w:rPr>
          <w:rFonts w:hAnsi="宋体"/>
          <w:b/>
          <w:color w:val="auto"/>
          <w:sz w:val="21"/>
          <w:szCs w:val="21"/>
          <w:highlight w:val="none"/>
        </w:rPr>
      </w:pPr>
      <w:r>
        <w:rPr>
          <w:rFonts w:hint="eastAsia" w:hAnsi="宋体"/>
          <w:color w:val="auto"/>
          <w:sz w:val="21"/>
          <w:szCs w:val="21"/>
          <w:highlight w:val="none"/>
        </w:rPr>
        <w:t>2.合同价包含完成本次采购所有服务内容的费用，费用包括但不限于：零部件更换费、材料费、设备调试、编程费、各种器件检测费等费用，单价500元及以下的设备或零配件，所有保养及大、中、小修项目维修更换所产生的费用，所有服务人员的薪资待遇(含薪资、安全保险费、加班费等)，各种税务费及合同实施过程中的应预见和不可预见等完成合同规定责任和义务、达到合同目的的一切费用。500元以上设备或零配件，乙方及时进行合理报价，甲方审核确认后另行支付费用；若材料价格高于市场或甲方询价时，甲方有权向其他供应商采购，由乙方免费更换。若双方对工程、配件、试验等费用报价存在异议，甲方有权邀请第三方进行评估或报价，若费用明显低于乙方报价，甲方可直接将相关事宜交由第三方负责，乙方不得有异议，</w:t>
      </w:r>
      <w:r>
        <w:rPr>
          <w:rFonts w:hint="eastAsia" w:hAnsi="宋体"/>
          <w:b/>
          <w:bCs/>
          <w:color w:val="auto"/>
          <w:sz w:val="21"/>
          <w:szCs w:val="21"/>
          <w:highlight w:val="none"/>
        </w:rPr>
        <w:t xml:space="preserve">并在维修后承担相应的维保职责。 </w:t>
      </w:r>
      <w:r>
        <w:rPr>
          <w:rFonts w:hint="eastAsia" w:hAnsi="宋体"/>
          <w:b/>
          <w:color w:val="auto"/>
          <w:sz w:val="21"/>
          <w:szCs w:val="21"/>
          <w:highlight w:val="none"/>
        </w:rPr>
        <w:t>甲方另行付费的零配件质保期不低于半年，2000元以上的配件或项目质保期不少于一年，5000元以上的配件或项目质保期不少于二年。</w:t>
      </w:r>
    </w:p>
    <w:p>
      <w:pPr>
        <w:pStyle w:val="2"/>
        <w:shd w:val="clear"/>
        <w:spacing w:line="600" w:lineRule="exact"/>
        <w:ind w:firstLine="632" w:firstLineChars="300"/>
        <w:rPr>
          <w:rFonts w:hint="eastAsia" w:ascii="宋体" w:hAnsi="宋体"/>
          <w:b/>
          <w:color w:val="auto"/>
          <w:spacing w:val="0"/>
          <w:sz w:val="21"/>
          <w:szCs w:val="21"/>
          <w:highlight w:val="none"/>
        </w:rPr>
      </w:pPr>
      <w:r>
        <w:rPr>
          <w:rFonts w:ascii="宋体" w:hAnsi="宋体"/>
          <w:b/>
          <w:color w:val="auto"/>
          <w:spacing w:val="0"/>
          <w:sz w:val="21"/>
          <w:szCs w:val="21"/>
          <w:highlight w:val="none"/>
        </w:rPr>
        <w:t>3.</w:t>
      </w:r>
      <w:r>
        <w:rPr>
          <w:rFonts w:hint="eastAsia" w:ascii="宋体" w:hAnsi="宋体"/>
          <w:b/>
          <w:bCs/>
          <w:color w:val="auto"/>
          <w:spacing w:val="0"/>
          <w:sz w:val="21"/>
          <w:szCs w:val="21"/>
          <w:highlight w:val="none"/>
        </w:rPr>
        <w:t>本合同内5</w:t>
      </w:r>
      <w:r>
        <w:rPr>
          <w:rFonts w:ascii="宋体" w:hAnsi="宋体"/>
          <w:b/>
          <w:bCs/>
          <w:color w:val="auto"/>
          <w:spacing w:val="0"/>
          <w:sz w:val="21"/>
          <w:szCs w:val="21"/>
          <w:highlight w:val="none"/>
        </w:rPr>
        <w:t>00</w:t>
      </w:r>
      <w:r>
        <w:rPr>
          <w:rFonts w:hint="eastAsia" w:ascii="宋体" w:hAnsi="宋体"/>
          <w:b/>
          <w:bCs/>
          <w:color w:val="auto"/>
          <w:spacing w:val="0"/>
          <w:sz w:val="21"/>
          <w:szCs w:val="21"/>
          <w:highlight w:val="none"/>
        </w:rPr>
        <w:t>元以上的维修事项，需以甲方审核并下发后的</w:t>
      </w:r>
      <w:r>
        <w:rPr>
          <w:rFonts w:hint="eastAsia" w:ascii="宋体" w:hAnsi="宋体"/>
          <w:b/>
          <w:bCs/>
          <w:color w:val="auto"/>
          <w:spacing w:val="0"/>
          <w:sz w:val="21"/>
          <w:szCs w:val="21"/>
          <w:highlight w:val="none"/>
          <w:lang w:val="en-US" w:eastAsia="zh-CN"/>
        </w:rPr>
        <w:t>联系单</w:t>
      </w:r>
      <w:r>
        <w:rPr>
          <w:rFonts w:hint="eastAsia" w:ascii="宋体" w:hAnsi="宋体"/>
          <w:b/>
          <w:bCs/>
          <w:color w:val="auto"/>
          <w:spacing w:val="0"/>
          <w:sz w:val="21"/>
          <w:szCs w:val="21"/>
          <w:highlight w:val="none"/>
        </w:rPr>
        <w:t>为实施依据（特殊紧急事项除外）。</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二 付款方式</w:t>
      </w:r>
    </w:p>
    <w:p>
      <w:pPr>
        <w:pStyle w:val="100"/>
        <w:shd w:val="clear"/>
        <w:spacing w:line="360" w:lineRule="auto"/>
        <w:rPr>
          <w:rFonts w:hAnsi="宋体"/>
          <w:color w:val="auto"/>
          <w:szCs w:val="21"/>
          <w:highlight w:val="none"/>
        </w:rPr>
      </w:pPr>
      <w:bookmarkStart w:id="177" w:name="OLE_LINK1"/>
      <w:r>
        <w:rPr>
          <w:rFonts w:hint="eastAsia" w:ascii="宋体" w:hAnsi="宋体" w:cs="宋体"/>
          <w:color w:val="auto"/>
          <w:szCs w:val="21"/>
          <w:highlight w:val="none"/>
        </w:rPr>
        <w:t>每月考核，每季度支付当期合同维保费用的97%，合同期满且办理结算后，支付除质保金以外的款项。每次付款需开具合同款等额增值税专用发票及附上每次的维保报告，甲方在二十个工作日内支付，付款方式为银行转账。</w:t>
      </w:r>
      <w:r>
        <w:rPr>
          <w:rFonts w:hint="eastAsia" w:hAnsi="宋体"/>
          <w:color w:val="auto"/>
          <w:szCs w:val="21"/>
          <w:highlight w:val="none"/>
        </w:rPr>
        <w:t>。</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三 服务内容及要求</w:t>
      </w:r>
    </w:p>
    <w:p>
      <w:pPr>
        <w:shd w:val="clear"/>
        <w:snapToGrid w:val="0"/>
        <w:spacing w:line="520" w:lineRule="exact"/>
        <w:ind w:firstLine="420" w:firstLineChars="200"/>
        <w:rPr>
          <w:rFonts w:hAnsi="宋体"/>
          <w:color w:val="auto"/>
          <w:sz w:val="21"/>
          <w:szCs w:val="21"/>
          <w:highlight w:val="none"/>
        </w:rPr>
      </w:pPr>
      <w:r>
        <w:rPr>
          <w:rFonts w:hint="eastAsia" w:hAnsi="宋体"/>
          <w:color w:val="auto"/>
          <w:sz w:val="21"/>
          <w:szCs w:val="21"/>
          <w:highlight w:val="none"/>
        </w:rPr>
        <w:t>1、保养的内容：</w:t>
      </w:r>
    </w:p>
    <w:p>
      <w:pPr>
        <w:shd w:val="clear"/>
        <w:snapToGrid w:val="0"/>
        <w:spacing w:line="520" w:lineRule="exact"/>
        <w:ind w:firstLine="420" w:firstLineChars="200"/>
        <w:rPr>
          <w:rFonts w:hAnsi="宋体"/>
          <w:b/>
          <w:color w:val="auto"/>
          <w:sz w:val="21"/>
          <w:szCs w:val="21"/>
          <w:highlight w:val="none"/>
        </w:rPr>
      </w:pPr>
      <w:r>
        <w:rPr>
          <w:rFonts w:hint="eastAsia" w:hAnsi="宋体"/>
          <w:color w:val="auto"/>
          <w:sz w:val="21"/>
          <w:szCs w:val="21"/>
          <w:highlight w:val="none"/>
        </w:rPr>
        <w:t>项目范围内所有消防设施设备维护保养及管理，包含：室内外消火栓系统；自动喷淋灭火系统；消防水泵房；消防稳压设备；七氟丙烷灭火装置；灭火器装置；消防电话系统；自动报警系统；消防电梯；防火门；防火卷帘；消防广播系统；应急照明；疏散指示标志；火灾自动报警系统；防排烟系统等。根据计划进行警铃测试，发现问题并提出整改方案，经采购方同意后，及时整改，确保现有的消防系统功能正常运作。维保频次为每月一次，全面覆盖，每次</w:t>
      </w:r>
      <w:r>
        <w:rPr>
          <w:rFonts w:hint="eastAsia" w:hAnsi="宋体"/>
          <w:color w:val="auto"/>
          <w:sz w:val="21"/>
          <w:szCs w:val="21"/>
          <w:highlight w:val="none"/>
          <w:u w:val="single"/>
        </w:rPr>
        <w:t>出具 1 份维保报告（报告需加盖公章），双方签字备案</w:t>
      </w:r>
      <w:r>
        <w:rPr>
          <w:rFonts w:hint="eastAsia" w:hAnsi="宋体"/>
          <w:color w:val="auto"/>
          <w:sz w:val="21"/>
          <w:szCs w:val="21"/>
          <w:highlight w:val="none"/>
        </w:rPr>
        <w:t>。</w:t>
      </w:r>
      <w:r>
        <w:rPr>
          <w:rFonts w:hint="eastAsia" w:hAnsi="宋体"/>
          <w:b/>
          <w:bCs/>
          <w:color w:val="auto"/>
          <w:sz w:val="21"/>
          <w:szCs w:val="21"/>
          <w:highlight w:val="none"/>
        </w:rPr>
        <w:t>合同签订后，需在30日内对范围内的消防设施进行一次全面排查检测，并出具设施设备清单及检测报告</w:t>
      </w:r>
      <w:r>
        <w:rPr>
          <w:rFonts w:hint="eastAsia" w:hAnsi="宋体"/>
          <w:color w:val="auto"/>
          <w:sz w:val="21"/>
          <w:szCs w:val="21"/>
          <w:highlight w:val="none"/>
        </w:rPr>
        <w:t>。</w:t>
      </w:r>
      <w:r>
        <w:rPr>
          <w:rFonts w:hint="eastAsia" w:hAnsi="宋体"/>
          <w:b/>
          <w:color w:val="auto"/>
          <w:sz w:val="21"/>
          <w:szCs w:val="21"/>
          <w:highlight w:val="none"/>
        </w:rPr>
        <w:t xml:space="preserve"> </w:t>
      </w:r>
    </w:p>
    <w:p>
      <w:pPr>
        <w:pStyle w:val="2"/>
        <w:numPr>
          <w:ilvl w:val="0"/>
          <w:numId w:val="17"/>
        </w:numPr>
        <w:shd w:val="clear"/>
        <w:spacing w:line="360" w:lineRule="auto"/>
        <w:ind w:left="374"/>
        <w:rPr>
          <w:color w:val="auto"/>
          <w:sz w:val="21"/>
          <w:szCs w:val="18"/>
          <w:highlight w:val="none"/>
        </w:rPr>
      </w:pPr>
      <w:r>
        <w:rPr>
          <w:rFonts w:hint="eastAsia"/>
          <w:color w:val="auto"/>
          <w:sz w:val="21"/>
          <w:szCs w:val="18"/>
          <w:highlight w:val="none"/>
        </w:rPr>
        <w:t>定期检查所有维护保养范围内的消防系统的设备、设施，确保消防功能正常；</w:t>
      </w:r>
    </w:p>
    <w:p>
      <w:pPr>
        <w:pStyle w:val="2"/>
        <w:numPr>
          <w:ilvl w:val="0"/>
          <w:numId w:val="17"/>
        </w:numPr>
        <w:shd w:val="clear"/>
        <w:spacing w:line="360" w:lineRule="auto"/>
        <w:ind w:left="374"/>
        <w:rPr>
          <w:color w:val="auto"/>
          <w:sz w:val="21"/>
          <w:szCs w:val="18"/>
          <w:highlight w:val="none"/>
        </w:rPr>
      </w:pPr>
      <w:r>
        <w:rPr>
          <w:rFonts w:hint="eastAsia"/>
          <w:color w:val="auto"/>
          <w:sz w:val="21"/>
          <w:szCs w:val="18"/>
          <w:highlight w:val="none"/>
        </w:rPr>
        <w:t>对设备故障、异常及时有效处理；</w:t>
      </w:r>
    </w:p>
    <w:p>
      <w:pPr>
        <w:pStyle w:val="2"/>
        <w:numPr>
          <w:ilvl w:val="0"/>
          <w:numId w:val="17"/>
        </w:numPr>
        <w:shd w:val="clear"/>
        <w:spacing w:line="360" w:lineRule="auto"/>
        <w:ind w:left="374"/>
        <w:rPr>
          <w:color w:val="auto"/>
          <w:sz w:val="21"/>
          <w:szCs w:val="18"/>
          <w:highlight w:val="none"/>
        </w:rPr>
      </w:pPr>
      <w:r>
        <w:rPr>
          <w:rFonts w:hint="eastAsia"/>
          <w:color w:val="auto"/>
          <w:sz w:val="21"/>
          <w:szCs w:val="18"/>
          <w:highlight w:val="none"/>
        </w:rPr>
        <w:t>定期检查系统接线及接线标识，按招标方管理要求配合统一制作设备标识，做到设备标识规范；</w:t>
      </w:r>
    </w:p>
    <w:p>
      <w:pPr>
        <w:pStyle w:val="2"/>
        <w:numPr>
          <w:ilvl w:val="0"/>
          <w:numId w:val="17"/>
        </w:numPr>
        <w:shd w:val="clear"/>
        <w:spacing w:line="360" w:lineRule="auto"/>
        <w:ind w:left="374"/>
        <w:rPr>
          <w:color w:val="auto"/>
          <w:sz w:val="21"/>
          <w:szCs w:val="18"/>
          <w:highlight w:val="none"/>
        </w:rPr>
      </w:pPr>
      <w:r>
        <w:rPr>
          <w:rFonts w:hint="eastAsia"/>
          <w:color w:val="auto"/>
          <w:sz w:val="21"/>
          <w:szCs w:val="18"/>
          <w:highlight w:val="none"/>
        </w:rPr>
        <w:t>定期对所有消防设备内外部及信号接触点进行清洁、使之内外整洁，动作灵敏；</w:t>
      </w:r>
    </w:p>
    <w:p>
      <w:pPr>
        <w:pStyle w:val="2"/>
        <w:numPr>
          <w:ilvl w:val="0"/>
          <w:numId w:val="17"/>
        </w:numPr>
        <w:shd w:val="clear"/>
        <w:spacing w:line="360" w:lineRule="auto"/>
        <w:ind w:left="374"/>
        <w:rPr>
          <w:color w:val="auto"/>
          <w:sz w:val="21"/>
          <w:szCs w:val="18"/>
          <w:highlight w:val="none"/>
        </w:rPr>
      </w:pPr>
      <w:r>
        <w:rPr>
          <w:rFonts w:hint="eastAsia"/>
          <w:color w:val="auto"/>
          <w:sz w:val="21"/>
          <w:szCs w:val="18"/>
          <w:highlight w:val="none"/>
        </w:rPr>
        <w:t>定期对消防系统进行联动测试，确保系统功能完好；</w:t>
      </w:r>
    </w:p>
    <w:p>
      <w:pPr>
        <w:pStyle w:val="2"/>
        <w:numPr>
          <w:ilvl w:val="0"/>
          <w:numId w:val="17"/>
        </w:numPr>
        <w:shd w:val="clear"/>
        <w:spacing w:line="360" w:lineRule="auto"/>
        <w:ind w:left="374"/>
        <w:rPr>
          <w:color w:val="auto"/>
          <w:sz w:val="21"/>
          <w:szCs w:val="18"/>
          <w:highlight w:val="none"/>
        </w:rPr>
      </w:pPr>
      <w:r>
        <w:rPr>
          <w:rFonts w:hint="eastAsia"/>
          <w:color w:val="auto"/>
          <w:sz w:val="21"/>
          <w:szCs w:val="18"/>
          <w:highlight w:val="none"/>
        </w:rPr>
        <w:t>定期提供消防系统状态报告；</w:t>
      </w:r>
    </w:p>
    <w:p>
      <w:pPr>
        <w:pStyle w:val="2"/>
        <w:numPr>
          <w:ilvl w:val="0"/>
          <w:numId w:val="17"/>
        </w:numPr>
        <w:shd w:val="clear"/>
        <w:spacing w:line="360" w:lineRule="auto"/>
        <w:ind w:left="374"/>
        <w:rPr>
          <w:color w:val="auto"/>
          <w:szCs w:val="21"/>
          <w:highlight w:val="none"/>
        </w:rPr>
      </w:pPr>
      <w:r>
        <w:rPr>
          <w:rFonts w:hint="eastAsia"/>
          <w:color w:val="auto"/>
          <w:sz w:val="21"/>
          <w:szCs w:val="18"/>
          <w:highlight w:val="none"/>
        </w:rPr>
        <w:t>配合采购方进行消防安全检查、消防演习等；</w:t>
      </w:r>
    </w:p>
    <w:p>
      <w:pPr>
        <w:shd w:val="clear"/>
        <w:snapToGrid w:val="0"/>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2、人员架构及配置要求：</w:t>
      </w:r>
    </w:p>
    <w:p>
      <w:pPr>
        <w:shd w:val="clear"/>
        <w:snapToGrid w:val="0"/>
        <w:spacing w:line="520" w:lineRule="exact"/>
        <w:ind w:firstLine="420" w:firstLineChars="200"/>
        <w:rPr>
          <w:rFonts w:hAnsi="宋体"/>
          <w:color w:val="auto"/>
          <w:sz w:val="21"/>
          <w:szCs w:val="21"/>
          <w:highlight w:val="none"/>
        </w:rPr>
      </w:pPr>
      <w:r>
        <w:rPr>
          <w:rFonts w:hint="eastAsia" w:hAnsi="宋体"/>
          <w:color w:val="auto"/>
          <w:sz w:val="21"/>
          <w:szCs w:val="21"/>
          <w:highlight w:val="none"/>
        </w:rPr>
        <w:t>（1）项目负责人(1人)：具备消防相关中级职称，熟悉国家消防法规，精通消防设备维护保养业务流程、有五年以上大型公共建筑（10万㎡以上）消防系统维修保养经验、项目管理经验。</w:t>
      </w:r>
    </w:p>
    <w:p>
      <w:pPr>
        <w:shd w:val="clear"/>
        <w:snapToGrid w:val="0"/>
        <w:spacing w:line="520" w:lineRule="exact"/>
        <w:ind w:firstLine="420" w:firstLineChars="200"/>
        <w:rPr>
          <w:rFonts w:hAnsi="宋体"/>
          <w:color w:val="auto"/>
          <w:sz w:val="21"/>
          <w:szCs w:val="21"/>
          <w:highlight w:val="none"/>
        </w:rPr>
      </w:pPr>
      <w:r>
        <w:rPr>
          <w:rFonts w:hint="eastAsia" w:hAnsi="宋体"/>
          <w:color w:val="auto"/>
          <w:sz w:val="21"/>
          <w:szCs w:val="21"/>
          <w:highlight w:val="none"/>
        </w:rPr>
        <w:t>（2）维修、保养岗位要求（不低于2人）：维修、保养技工需持专业消防上岗证，电工需持有效的电工操作证和等级证，有三年以上消防系统维护保养经验；按计划定期进驻现场，高度超过2米以上作业面时不低于2人。</w:t>
      </w:r>
    </w:p>
    <w:p>
      <w:pPr>
        <w:shd w:val="clear"/>
        <w:snapToGrid w:val="0"/>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（3）测试岗位要求（不低于2人）：参与测试人员需持专业消防上岗证，有三年以上消防系统维护保养经验，测试岗可根据测试工作量机动安排，在进行测试时应能满足人员要求。</w:t>
      </w:r>
    </w:p>
    <w:p>
      <w:pPr>
        <w:shd w:val="clear"/>
        <w:snapToGrid w:val="0"/>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（4）应急维修岗位要求（不低于1人）：应急人员需持专业消防上岗证，电工需持有效的电工操作证和等级证，有三年以上消防系统维护保养经验，满足应急响应</w:t>
      </w:r>
      <w:r>
        <w:rPr>
          <w:rFonts w:hint="eastAsia" w:hAnsi="宋体"/>
          <w:bCs/>
          <w:color w:val="auto"/>
          <w:sz w:val="21"/>
          <w:szCs w:val="21"/>
          <w:highlight w:val="none"/>
          <w:lang w:eastAsia="zh-CN"/>
        </w:rPr>
        <w:t>时间要求</w:t>
      </w:r>
      <w:r>
        <w:rPr>
          <w:rFonts w:hint="eastAsia" w:hAnsi="宋体"/>
          <w:bCs/>
          <w:color w:val="auto"/>
          <w:sz w:val="21"/>
          <w:szCs w:val="21"/>
          <w:highlight w:val="none"/>
        </w:rPr>
        <w:t>。</w:t>
      </w:r>
    </w:p>
    <w:p>
      <w:pPr>
        <w:shd w:val="clear"/>
        <w:snapToGrid w:val="0"/>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5）技术支持人员要求：技术支持人员系消防专业工程师，熟悉掌握消防自动报警系统原理和编程操作，并经消防系统主控设备生产厂或其授权单位专业培训，具备消防主控设备软、硬件维护和保养能力。技术支持人员应在提前约定时间内，及时到现场处理相关问题。</w:t>
      </w:r>
    </w:p>
    <w:p>
      <w:pPr>
        <w:shd w:val="clear"/>
        <w:snapToGrid w:val="0"/>
        <w:spacing w:line="520" w:lineRule="exact"/>
        <w:ind w:firstLine="422" w:firstLineChars="200"/>
        <w:rPr>
          <w:rFonts w:hAnsi="宋体"/>
          <w:b/>
          <w:color w:val="auto"/>
          <w:sz w:val="21"/>
          <w:szCs w:val="21"/>
          <w:highlight w:val="none"/>
          <w:lang w:bidi="ar"/>
        </w:rPr>
      </w:pPr>
      <w:r>
        <w:rPr>
          <w:rFonts w:hint="eastAsia" w:hAnsi="宋体"/>
          <w:b/>
          <w:color w:val="auto"/>
          <w:sz w:val="21"/>
          <w:szCs w:val="21"/>
          <w:highlight w:val="none"/>
          <w:lang w:bidi="ar"/>
        </w:rPr>
        <w:t>消防维保常驻人员不少于2人，7天24小时驻场工作及值班，法定周末和节假日需要保证2人值班，常驻人员中必须有1人或以上人员具备中级构（建）筑物消防员或以上资质证书。</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3、保养合同期内，乙方人员须持证上岗，须派持有政府颁发的有效操作证的专业消防技术人员负责进驻现场工作。</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4、乙方需在法定节假日之前必须对所有消防设施进行专项节前安全检查，确保设施正常运行。</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5、乙方每6个月需进行一次消防设施全面测试，合同期内共计6次。每年对消防设施进行年度检测，并出具检测报告一份</w:t>
      </w:r>
      <w:r>
        <w:rPr>
          <w:rFonts w:hint="eastAsia" w:hAnsi="宋体"/>
          <w:color w:val="auto"/>
          <w:sz w:val="21"/>
          <w:szCs w:val="21"/>
          <w:highlight w:val="none"/>
          <w:u w:val="single"/>
        </w:rPr>
        <w:t>（报告需加盖公章）</w:t>
      </w:r>
      <w:r>
        <w:rPr>
          <w:rFonts w:hint="eastAsia" w:hAnsi="宋体"/>
          <w:color w:val="auto"/>
          <w:sz w:val="21"/>
          <w:szCs w:val="21"/>
          <w:highlight w:val="none"/>
        </w:rPr>
        <w:t>。</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6、乙方每年配合采购方进行消防演练、消防安全培训等不少于2次。</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7、乙方故障响应时间要求如下：</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（1）接到感烟（温）探测器、手动报警按钮、声光报警器、模块等终端设备故障报修信息后，应在10分钟内赶到现场处理；1小时内排除故障或问题。</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（2）接到回路或分机故障报修信息后，应在10分钟内赶到现场处理；2小时内排除故障或问题。</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（3）接到消防主机故障或消防给水管网爆裂跑水等事故报修信息后，应在5分钟内赶到现场处理。在具备维修条件前提下，应在12小时内排除故障、处理事故，并在事后24小时内提交故障或事故处理报告。</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（4）若发生火灾等重大紧急事件，应在接到通知信息后，5分钟内到达现场协助处理。需要厂家配合情况的根据厂家情况及时调配处理</w:t>
      </w:r>
    </w:p>
    <w:p>
      <w:pPr>
        <w:shd w:val="clear"/>
        <w:spacing w:line="520" w:lineRule="exact"/>
        <w:ind w:firstLine="420" w:firstLineChars="200"/>
        <w:rPr>
          <w:rFonts w:hAnsi="宋体"/>
          <w:b/>
          <w:color w:val="auto"/>
          <w:sz w:val="21"/>
          <w:szCs w:val="21"/>
          <w:highlight w:val="none"/>
        </w:rPr>
      </w:pPr>
      <w:r>
        <w:rPr>
          <w:rFonts w:hint="eastAsia" w:hAnsi="宋体"/>
          <w:color w:val="auto"/>
          <w:sz w:val="21"/>
          <w:szCs w:val="21"/>
          <w:highlight w:val="none"/>
        </w:rPr>
        <w:t>（5）乙方在项目设置备品库，满足日常维护保养和应急处置的需求。</w:t>
      </w:r>
      <w:r>
        <w:rPr>
          <w:rFonts w:hint="eastAsia" w:hAnsi="宋体"/>
          <w:b/>
          <w:color w:val="auto"/>
          <w:sz w:val="21"/>
          <w:szCs w:val="21"/>
          <w:highlight w:val="none"/>
        </w:rPr>
        <w:t xml:space="preserve"> </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8、乙方每年需对项目所有消防管道进行刷漆保护，日常维护过程中发现有脱漆的管道位置定期进行维护。</w:t>
      </w:r>
    </w:p>
    <w:p>
      <w:pPr>
        <w:shd w:val="clea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合同期内，乙方承担所有维护、保养、检查、维修及单价500元及以下的设备或零配件，需使用500元以上设备或零配件时，乙方应及时进行合理报价，甲方审核确认后另行支付费用；当乙方提供的材料价格高于市场或甲方询价时，甲方有权向其他供应商采购，乙方应按甲方要求免费更换。所有更换的零配件，不再收取维修、设备调试、编程等任何费用。若双方对工程、配件、试验等费用报价存在异议，甲方有权邀请第三方对相关费用进行评估或报价，若费用明显低于乙方报价费用，甲方可直接将相关事宜交由第三方负责，乙方不得有异议。</w:t>
      </w:r>
      <w:r>
        <w:rPr>
          <w:rFonts w:hint="eastAsia" w:hAnsi="宋体"/>
          <w:b/>
          <w:color w:val="auto"/>
          <w:sz w:val="21"/>
          <w:szCs w:val="21"/>
          <w:highlight w:val="none"/>
        </w:rPr>
        <w:t xml:space="preserve"> </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10、乙方保养的内容及要求除满足下述规定外，还应符合国家相关消防法律法规之标准。在履行合同期间，如因保养不良而造成消防设施失效而造成安全事故，乙方须承担全部责任及损失。</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11、从合同签订时间起计前3个月为试用期，乙方试用期内如未按要求驻点人员或服务情况经考核未达到采购方要求，采购方有权解除该项目服务合同。</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在合同期内，乙方连续两个月考核不合格或累计3个月考核不合格，采购方有权解除该项目服务合同。在相关部门的消防检查中，因乙方维保原因导致行政处罚的，由乙方承担全部责任，同时采购方有权解除该项目服务合同。</w:t>
      </w:r>
    </w:p>
    <w:p>
      <w:pPr>
        <w:shd w:val="clear"/>
        <w:spacing w:line="520" w:lineRule="exact"/>
        <w:ind w:firstLine="420" w:firstLineChars="200"/>
        <w:rPr>
          <w:rFonts w:hAnsi="宋体"/>
          <w:b/>
          <w:color w:val="auto"/>
          <w:sz w:val="21"/>
          <w:szCs w:val="21"/>
          <w:highlight w:val="none"/>
        </w:rPr>
      </w:pPr>
      <w:r>
        <w:rPr>
          <w:rFonts w:hint="eastAsia" w:hAnsi="宋体"/>
          <w:color w:val="auto"/>
          <w:sz w:val="21"/>
          <w:szCs w:val="21"/>
          <w:highlight w:val="none"/>
        </w:rPr>
        <w:t>因甲方原因及以上情况而解除合同，甲方不承担任</w:t>
      </w:r>
      <w:r>
        <w:rPr>
          <w:rFonts w:hint="eastAsia" w:hAnsi="宋体"/>
          <w:b/>
          <w:color w:val="auto"/>
          <w:sz w:val="21"/>
          <w:szCs w:val="21"/>
          <w:highlight w:val="none"/>
        </w:rPr>
        <w:t>何违约责任。</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12、其它要求：</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乙方需编制符合松山湖国际创新创业社区消防系统特性的维保方案，并不断更新完善，具体要求如下：</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（1）维修保养方案编制必须依据国家相关消防法规，消防系统设计、安装规范和消防产品技术标准；</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（2）维修保养方案必须包含子系统工作原理和各级维修保养计划工作内容。</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（3）维修保养方案中必须有专门章节描述消防系统子系统易发故障及处理措施及处理时间。</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（4）维修保养方案里必须有维修保养人员配置计划及人员履历。</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（5）维修保养方案必须包含详细施工安全保障措施。</w:t>
      </w:r>
    </w:p>
    <w:p>
      <w:pPr>
        <w:shd w:val="clear"/>
        <w:spacing w:line="520" w:lineRule="exact"/>
        <w:ind w:firstLine="420" w:firstLineChars="200"/>
        <w:rPr>
          <w:rFonts w:hAnsi="宋体"/>
          <w:bCs/>
          <w:color w:val="auto"/>
          <w:sz w:val="21"/>
          <w:szCs w:val="21"/>
          <w:highlight w:val="none"/>
        </w:rPr>
      </w:pPr>
      <w:r>
        <w:rPr>
          <w:rFonts w:hint="eastAsia" w:hAnsi="宋体"/>
          <w:bCs/>
          <w:color w:val="auto"/>
          <w:sz w:val="21"/>
          <w:szCs w:val="21"/>
          <w:highlight w:val="none"/>
        </w:rPr>
        <w:t>（6）维修保养方案中必须要包含详细的质量保证措施，包括电机、水泵、风机、防火卷帘等传动系统的润滑保养，各类阀门的机封检查、维护保养和功能保障措施。</w:t>
      </w:r>
    </w:p>
    <w:p>
      <w:pPr>
        <w:shd w:val="clear"/>
        <w:spacing w:line="600" w:lineRule="exact"/>
        <w:ind w:firstLine="420" w:firstLineChars="200"/>
        <w:rPr>
          <w:rFonts w:hAnsi="宋体"/>
          <w:color w:val="auto"/>
          <w:sz w:val="21"/>
          <w:szCs w:val="21"/>
          <w:highlight w:val="none"/>
        </w:rPr>
      </w:pPr>
      <w:r>
        <w:rPr>
          <w:rFonts w:hint="eastAsia" w:hAnsi="宋体"/>
          <w:bCs/>
          <w:color w:val="auto"/>
          <w:sz w:val="21"/>
          <w:szCs w:val="21"/>
          <w:highlight w:val="none"/>
        </w:rPr>
        <w:t>（7）维修保养方案内应附各子系统维修保养及检查、检测记录表单</w:t>
      </w:r>
      <w:r>
        <w:rPr>
          <w:rFonts w:hint="eastAsia" w:hAnsi="宋体"/>
          <w:color w:val="auto"/>
          <w:sz w:val="21"/>
          <w:szCs w:val="21"/>
          <w:highlight w:val="none"/>
        </w:rPr>
        <w:t>。</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四 维护保养工作要求及评定</w:t>
      </w:r>
    </w:p>
    <w:p>
      <w:pPr>
        <w:shd w:val="clear"/>
        <w:spacing w:line="360" w:lineRule="auto"/>
        <w:ind w:firstLine="422" w:firstLineChars="200"/>
        <w:jc w:val="both"/>
        <w:rPr>
          <w:rFonts w:hAnsi="宋体"/>
          <w:b/>
          <w:bCs/>
          <w:color w:val="auto"/>
          <w:sz w:val="21"/>
          <w:szCs w:val="21"/>
          <w:highlight w:val="none"/>
        </w:rPr>
      </w:pPr>
      <w:r>
        <w:rPr>
          <w:rFonts w:hint="eastAsia" w:hAnsi="宋体"/>
          <w:b/>
          <w:bCs/>
          <w:color w:val="auto"/>
          <w:sz w:val="21"/>
          <w:szCs w:val="21"/>
          <w:highlight w:val="none"/>
        </w:rPr>
        <w:t>1、维保方的主要职责（ 包括但不限于）：</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（1）维保方须提供详细全面的维保计划，必须符合松山湖国际创新创业消防系统特性及环境特性，有较强的可操作性，并待甲方确认后，方可执行相应的消防系统设备维护保养工作。</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（2）消防系统故障维修应能保持详细规范的维修记录。</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（3）全年按审批通过的维护保养计划开展维修保养，并做好详细规范的记录并经确认。</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（4）全年按维保计划定人、定岗应急维修。</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（5）定期配合甲方进行消防演习。</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（6）定期配合甲方进行消防安全检查。</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（7）按照消防管理规定，定期对消防系统进行检测，并提交检测报告给甲方，并对检测过程中出现的不合格项目进行整改处理及维修。</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（8）配合甲方做好迎接公安消防部门的消防安全检查工作。</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（9）如有异常事故应能配合甲方和消防主管部门进行原因调查。</w:t>
      </w:r>
    </w:p>
    <w:p>
      <w:pPr>
        <w:numPr>
          <w:ilvl w:val="1"/>
          <w:numId w:val="0"/>
        </w:num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（10）月检、季检和年检：</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月检、季检和年检的详细内容见技术要求，月检在每月月底完成；季检在当季度末最后一天前完成；年检须在当年12月31日前完成，并通过消防部门的验收。每次检查完毕，维保方须提供检测报告，甲方须在报告上签字或盖章确认，双方各留一份。</w:t>
      </w:r>
    </w:p>
    <w:p>
      <w:pPr>
        <w:numPr>
          <w:ilvl w:val="1"/>
          <w:numId w:val="0"/>
        </w:num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（11）紧急维修：</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接到甲方紧急维修通知后，按照合同要求的要求赶到现场，对系统进行紧急维护。每次维护完毕，维保方须提供报告，甲方须在报告上签字或盖章确认，双方各留一份。</w:t>
      </w:r>
    </w:p>
    <w:p>
      <w:pPr>
        <w:shd w:val="clear"/>
        <w:spacing w:line="360" w:lineRule="auto"/>
        <w:ind w:firstLine="422" w:firstLineChars="200"/>
        <w:jc w:val="both"/>
        <w:rPr>
          <w:rFonts w:hAnsi="宋体"/>
          <w:b/>
          <w:bCs/>
          <w:color w:val="auto"/>
          <w:sz w:val="21"/>
          <w:szCs w:val="21"/>
          <w:highlight w:val="none"/>
        </w:rPr>
      </w:pPr>
      <w:r>
        <w:rPr>
          <w:rFonts w:hint="eastAsia" w:hAnsi="宋体"/>
          <w:b/>
          <w:bCs/>
          <w:color w:val="auto"/>
          <w:sz w:val="21"/>
          <w:szCs w:val="21"/>
          <w:highlight w:val="none"/>
        </w:rPr>
        <w:t>2、维保工作标准：</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（1）火灾自动报警系统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①各栋消防设备信号线路及线路保护管道维护。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②各栋消防设备控制器的基本功能试验。包括控制器的开机、液晶和数码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管的显示。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③主备电的工作、显示和切换、声音、打印、时钟、黑匣子记录等。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④检查控制器的点名、报火警、报故障功能。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⑤探测器的报警试验，包括感烟、感温等所有类型探测器的试验，试验工具符合检测要求。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⑥手动报警按钮的报警试验。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⑦控制器、现场探测器和手动报警按钮的检测。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①对系统进行模拟报警，检查系统是否正常报警。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②报警信号、放气信号是否正常。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③是否反馈至报警系统器，试验中如有问题时，及时向甲方汇报并维护正常。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④每年第一次和最后一次全部检测，其余每次抽测总数的20％且不能重复。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 xml:space="preserve"> </w:t>
            </w:r>
            <w:r>
              <w:rPr>
                <w:rFonts w:hint="eastAsia" w:ascii="宋体" w:hAnsi="宋体"/>
                <w:b/>
                <w:bCs/>
                <w:color w:val="auto"/>
                <w:szCs w:val="21"/>
                <w:highlight w:val="none"/>
              </w:rPr>
              <w:t>年检查计划：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每年第一次和最后一次全部检测，其余每次抽测总数的20％且不能重复。</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ind w:firstLine="0" w:firstLineChars="0"/>
        <w:contextualSpacing/>
        <w:rPr>
          <w:rFonts w:ascii="宋体" w:hAnsi="宋体"/>
          <w:b/>
          <w:bCs/>
          <w:color w:val="auto"/>
          <w:szCs w:val="21"/>
          <w:highlight w:val="none"/>
        </w:rPr>
      </w:pPr>
      <w:r>
        <w:rPr>
          <w:rFonts w:hint="eastAsia" w:ascii="宋体" w:hAnsi="宋体"/>
          <w:color w:val="auto"/>
          <w:szCs w:val="21"/>
          <w:highlight w:val="none"/>
        </w:rPr>
        <w:t>（2）消火栓灭火系统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①对消防水池、消防栓、水泵组、压力控制器、水泵接合器、稳压装置、消火栓水枪及水带、消防按钮、管网阀门等消防设施进行外观检查，以确保符合设计要求，配件是否齐全。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②观察压力表指针读数是否符合设计要求。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③检查设备、部件和明装管道质量是否完好。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④有关配电柜控制功能是否完好。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⑤检查控制阀封是否渗漏。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⑥消防运行工作泵和备用泵（含稳压泵），检查控制功能、电机转动和水泵加压情况及信号是否正常。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⑦配电柜系统线路图是否在柜门内侧完好粘贴。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color w:val="auto"/>
                <w:szCs w:val="21"/>
                <w:highlight w:val="none"/>
              </w:rPr>
            </w:pPr>
            <w:r>
              <w:rPr>
                <w:rFonts w:hint="eastAsia" w:ascii="宋体" w:hAnsi="宋体"/>
                <w:b/>
                <w:bCs/>
                <w:color w:val="auto"/>
                <w:szCs w:val="21"/>
                <w:highlight w:val="none"/>
              </w:rPr>
              <w:t>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　对月检所有项目的检查。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　检查水泵接合器接口周边是否有杂物堆积。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③　消防泵启动功能试验。在泵房控制柜、消防中心、现场消防按钮上启动消防水泵，在天台测试水压3分钟。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　消火栓水泵每月应启动运转一次，当水泵为自动启动时，应模拟自动联动 的条件启动运转一次，检查水枪喷射时，水压、充实水柱情况并查看是否有漏水现象。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　对月检、季检所有项目的检查。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②　进行一系列的调试，包括消防水泵的性能调试；系统联动调试；消火栓按钮启动水泵调试；验证用水量各充实水柱长度是否符合要求（水柱长度10-15m）。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　核实供水源水量、水压是否符合要求。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④　对范围内所有的消防控制器等进行检查、清洁，并紧固所有接点，检查标志是否完好等。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　过滤器进行清洗。</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（3）自动喷淋系统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color w:val="auto"/>
                <w:szCs w:val="21"/>
                <w:highlight w:val="none"/>
              </w:rPr>
            </w:pPr>
            <w:r>
              <w:rPr>
                <w:rFonts w:hint="eastAsia" w:ascii="宋体" w:hAnsi="宋体"/>
                <w:b/>
                <w:bCs/>
                <w:color w:val="auto"/>
                <w:szCs w:val="21"/>
                <w:highlight w:val="none"/>
              </w:rPr>
              <w:tab/>
            </w: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①严格按照规程进行维护管理，维护，以确保系统处于工作状态。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②检查区域内所有供水总控制阀、湿式报警控制阀组、压力控制器、补（恒）压泵、水流指示器、信号阀及其它门管道是否正常，（包括设备外观、功能）以确保系统处于无故障状态，防止跑、冒、滴、漏发生。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③观察压力表等仪表是否正常，确保系统无故障。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④对有关控制系统、配电柜系统功能进行检查、测试。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⑤检查水池水位，同时应采取措施保证消防水池不作他用并应对该措施进行检查，若发现故障应及时汇报处理。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⑥进行放水试验、检查湿式报警阀组、水流指示器是否符合条件，系统压力变化是否符合要求，并记录压力开关、水流指示器反馈至报警控制器的报警信号。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⑦检查喷头及附件的损坏、缺少等情况若发现有漏水、腐蚀、液体变色等情况应更换。对有腐蚀性的场所，对喷头应采用涂蜡等防腐措施。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⑧检查水泵接合器的附件是否齐全，接口是否完好、无渗漏。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⑨喷淋水泵每月应启动运转一次，当水泵为自动启动时，应模拟自动联动的条件启动运转一次。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⑩检查控制阀门的或锁链是否处于锁定状态，如遭破坏应立刻维护，以免造成误操作。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①对月检项目的检查。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②每两个月利用末端试水装置对水流指示器进行试验。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③进水管上的控制阀们应每季度检查一次，核实其处于全开启状态。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④检查系统报警阀组的报警、联动是否正常。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⑤对报警阀旁的放水试验阀进行一次供水实验；验证制定的供水能力。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①重复月检、季检项目的检查。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②在对系统水压最不利处的试水装置进行试水，检查水压、流量是否符合规定。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③检查水流指示器、压力开关等信号装置是否符号要求。</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（4）防排烟系统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 xml:space="preserve">月度检查计划（每两月一次）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①对排烟阀、送风阀、防火阀电动及手动的启动；维护防排烟设备及防火阀的功能，启动设备使其运转5分钟，观察有无异常现象。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②检查排烟口的启动状况及操作功能。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③排烟机、送风机的启动和停动检查排烟、加压风机的联动控制信号返回情况。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④防排烟各防火阀的检查，检查阀门，叶片的位置是否正确，有无变形及能否运作。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⑤各新风机、通风机防火阀保护功能与消防联动是否正确。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①重复月检所有项目工作。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②启动防排烟系统使之工作30分钟，观察电机是否正常，测量其送风口排烟口风量，风压是否标准。</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（5）消防广播及消防电话系统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①检查音源、功放、分区选择器。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②抽检分区播音测试，监听现场广播音量是否符合要求。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③用电话手柄现场试打消防电话，各处通话应清楚、无噪音。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④检查电话主机及分机区选择器，选择通话应正常。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⑤维护功放、音源、区选择器的工作温度，散热情况。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⑥检查、紧固广播、电话分机接线端子。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⑦对消防广播、消防电话联动柜、主机进行清洁、除尘。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①重复季检查内容。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②全部开启广播，维护功放负载能力。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③模拟火灾状态下进行紧急广播。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④全检所有消防电话，其通话质量应符合要求。</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（6）应急照明及安全疏散指示标志系统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①严格按照消防规程进行维护管理，维护，以确保系统处于工作状态。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②检查区域内应急照明及安全疏散指示标志设施是否正常（包括设备外观、功能），以确保系统处于无故障状态。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③检查有关控制系统、配电柜系统功能是否正常，确保系统无故障。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季度检查计划：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①对月检项目的检查。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②模拟火灾状态下进行消防应急照明自动控制切换测试。</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（7）气体灭火系统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 xml:space="preserve"> 月度检查计划（每两月一次）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①外观检查：检查各类喷头、贮存装置、管道及附件等。喷头应无堵塞、错位现象。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②检查设备及管道的支、吊架的固定不应松动。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③测试控制气体释放的电磁阀、瓶头阀的动作电压是否正常。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④对系统各设备组件的外观压力进行检查，系统设备组件不能有碰撞变形等损伤和锈蚀情况。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　检查气体是否有泄漏。检查气体的压力表和称重装置。气瓶内压力应正常；驱动装置的压力不得少于设计储存压力的90%。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①重复月/季检查内容。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②对所有气体灭火系统瓶称量系统进行维护，如发现泄露少气，应协助甲方重新加气充装。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③在控制中心、气瓶驱动盘、现场启动按钮上进行手动启动测试联动动作信号；用烟温探测器联动自动测试联动动作信号。在测试启动后，作停动的测试。</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（8）大空间智能型主动喷水灭火系统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 xml:space="preserve"> 月度检查计划：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①设备外观检查，控制线路、控制电源检查。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②检查有关控制系统功能是否正常。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③每两月一次模拟火灾信号，测试大空间水炮动作情况。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rPr>
              <w:tab/>
            </w:r>
            <w:r>
              <w:rPr>
                <w:rFonts w:hint="eastAsia" w:ascii="宋体" w:hAnsi="宋体"/>
                <w:b/>
                <w:bCs/>
                <w:color w:val="auto"/>
                <w:szCs w:val="21"/>
                <w:highlight w:val="none"/>
              </w:rPr>
              <w:t xml:space="preserve"> 年度检查计划：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①重复月/季检查内容。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②模拟火灾发生状态，测试大空间水炮联动情况，确保设备和系统无故障。</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（9）消防联动系统</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ind w:firstLine="422"/>
              <w:contextualSpacing/>
              <w:rPr>
                <w:rFonts w:ascii="宋体" w:hAnsi="宋体"/>
                <w:b/>
                <w:bCs/>
                <w:color w:val="auto"/>
                <w:szCs w:val="21"/>
                <w:highlight w:val="none"/>
              </w:rPr>
            </w:pPr>
            <w:r>
              <w:rPr>
                <w:rFonts w:hint="eastAsia" w:ascii="宋体" w:hAnsi="宋体"/>
                <w:b/>
                <w:bCs/>
                <w:color w:val="auto"/>
                <w:szCs w:val="21"/>
                <w:highlight w:val="none"/>
              </w:rPr>
              <w:tab/>
            </w:r>
            <w:r>
              <w:rPr>
                <w:rFonts w:hint="eastAsia" w:ascii="宋体" w:hAnsi="宋体"/>
                <w:b/>
                <w:bCs/>
                <w:color w:val="auto"/>
                <w:szCs w:val="21"/>
                <w:highlight w:val="none"/>
              </w:rPr>
              <w:t xml:space="preserve">  防火卷帘（每两月一次）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①现场试验卷帘门手动启停的功能。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②在控制中心试验卷帘门的启动及反馈功能。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③检查试验卷帘导轨和转动机构的完好情况和状态，对传动机构进行润滑。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④防火卷帘机械部分的维修保养。检查控制功能是否完好。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⑤每年第一次和最后一次全部检测，其余每次抽测总数的20％且不能重复。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⑥定期检查门禁系统的信号线路是否正常，检查门禁联动动作情况是否正常；并对异常、故障进行及时有效处理。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⑦定期检查非消防电源强切系统/会议系统强切系统的控制信号线路是否正常，检查联动动作情况；并对异常、故障进行及时有效处理。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⑧定期检查电动排烟窗/电动窗帘系统的控制信号线路是否正常，检查联动动作情况；并对异常、故障进行及时有效处理。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⑨定期检查燃气消防报警监视信号是否正常，并对异常、故障进行及时有效处理。</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（10）移动式干粉灭火器（月检）</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①定期检查干粉灭火器是否有效，检查搁置位置、放置数量是否符合消防要求，并对存在问题及时进行有效处理。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　移动式干粉灭火器，由甲方统一购置，维保单位配合放置和更换。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③移动式灭火器的维护保养。</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A、维修保养工作内容</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检查移动式灭火器(手提式、推车式)压力指针是否在绿区。</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检查移动式灭火器外观是否完好，有无变形、脱漆或配件缺失。</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检查移动式灭火器药剂贮瓶有无过期失效。</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B、维修保养工作标准</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移动式灭火器压力指针在绿区内。</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移动式灭火器外观完好，无变形、脱漆或配件缺损。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移动式灭火器贮瓶和药剂未过期。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C、维修保养工作计划</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每月检查移动式灭火器(手提式、推车式)压力指针是否在绿区。</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每月检查移动式灭火器外观是否完好，有无变形、脱漆或配件缺失。</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每月检查移动式灭火器药剂贮瓶有无过期失效。</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（11）消防电梯的维护保养</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 维护保养工作内容</w:t>
            </w:r>
          </w:p>
          <w:p>
            <w:pPr>
              <w:pStyle w:val="144"/>
              <w:shd w:val="clear"/>
              <w:spacing w:line="360" w:lineRule="auto"/>
              <w:contextualSpacing/>
              <w:rPr>
                <w:color w:val="auto"/>
                <w:highlight w:val="none"/>
              </w:rPr>
            </w:pPr>
            <w:r>
              <w:rPr>
                <w:rFonts w:hint="eastAsia" w:ascii="宋体" w:hAnsi="宋体"/>
                <w:color w:val="auto"/>
                <w:szCs w:val="21"/>
                <w:highlight w:val="none"/>
              </w:rPr>
              <w:t>A、检查消防电梯迫降功能是否完好。</w:t>
            </w:r>
          </w:p>
          <w:p>
            <w:pPr>
              <w:pStyle w:val="144"/>
              <w:shd w:val="clear"/>
              <w:spacing w:line="360" w:lineRule="auto"/>
              <w:contextualSpacing/>
              <w:rPr>
                <w:color w:val="auto"/>
                <w:highlight w:val="none"/>
              </w:rPr>
            </w:pPr>
            <w:r>
              <w:rPr>
                <w:rFonts w:hint="eastAsia" w:ascii="宋体" w:hAnsi="宋体"/>
                <w:color w:val="auto"/>
                <w:szCs w:val="21"/>
                <w:highlight w:val="none"/>
              </w:rPr>
              <w:t>B、检查消防电梯与火灾自动报警系统的联动是否完好。</w:t>
            </w:r>
          </w:p>
          <w:p>
            <w:pPr>
              <w:pStyle w:val="144"/>
              <w:shd w:val="clear"/>
              <w:spacing w:line="360" w:lineRule="auto"/>
              <w:contextualSpacing/>
              <w:rPr>
                <w:color w:val="auto"/>
                <w:highlight w:val="none"/>
              </w:rPr>
            </w:pPr>
            <w:r>
              <w:rPr>
                <w:rFonts w:hint="eastAsia" w:ascii="宋体" w:hAnsi="宋体"/>
                <w:color w:val="auto"/>
                <w:szCs w:val="21"/>
                <w:highlight w:val="none"/>
              </w:rPr>
              <w:t>C、检查消防电梯紧急迫降按钮及消防控制室迫降按钮时候功能完好。</w:t>
            </w:r>
          </w:p>
          <w:p>
            <w:pPr>
              <w:pStyle w:val="144"/>
              <w:shd w:val="clear"/>
              <w:spacing w:line="360" w:lineRule="auto"/>
              <w:contextualSpacing/>
              <w:rPr>
                <w:color w:val="auto"/>
                <w:highlight w:val="none"/>
              </w:rPr>
            </w:pPr>
            <w:r>
              <w:rPr>
                <w:rFonts w:hint="eastAsia" w:ascii="宋体" w:hAnsi="宋体"/>
                <w:color w:val="auto"/>
                <w:szCs w:val="21"/>
                <w:highlight w:val="none"/>
              </w:rPr>
              <w:t>D、检查消防电梯轿厢内外界专用对讲电话是否完好。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 维修保养工作标准</w:t>
            </w:r>
          </w:p>
          <w:p>
            <w:pPr>
              <w:pStyle w:val="144"/>
              <w:shd w:val="clear"/>
              <w:spacing w:line="360" w:lineRule="auto"/>
              <w:contextualSpacing/>
              <w:rPr>
                <w:color w:val="auto"/>
                <w:highlight w:val="none"/>
              </w:rPr>
            </w:pPr>
            <w:r>
              <w:rPr>
                <w:rFonts w:hint="eastAsia" w:ascii="宋体" w:hAnsi="宋体"/>
                <w:color w:val="auto"/>
                <w:szCs w:val="21"/>
                <w:highlight w:val="none"/>
              </w:rPr>
              <w:t>A、测试消防电梯的迫降功能，对不能迫降的消防电梯及时检查维修。</w:t>
            </w:r>
          </w:p>
          <w:p>
            <w:pPr>
              <w:pStyle w:val="144"/>
              <w:shd w:val="clear"/>
              <w:spacing w:line="360" w:lineRule="auto"/>
              <w:contextualSpacing/>
              <w:rPr>
                <w:color w:val="auto"/>
                <w:highlight w:val="none"/>
              </w:rPr>
            </w:pPr>
            <w:r>
              <w:rPr>
                <w:rFonts w:hint="eastAsia" w:ascii="宋体" w:hAnsi="宋体"/>
                <w:color w:val="auto"/>
                <w:szCs w:val="21"/>
                <w:highlight w:val="none"/>
              </w:rPr>
              <w:t>B、测试消防联动时，观察消防电梯迫降首层至底层的时间和功能性必须完好，消防报警主机各项反馈功能完好。</w:t>
            </w:r>
          </w:p>
          <w:p>
            <w:pPr>
              <w:pStyle w:val="144"/>
              <w:shd w:val="clear"/>
              <w:spacing w:line="360" w:lineRule="auto"/>
              <w:contextualSpacing/>
              <w:rPr>
                <w:color w:val="auto"/>
                <w:highlight w:val="none"/>
              </w:rPr>
            </w:pPr>
            <w:r>
              <w:rPr>
                <w:rFonts w:hint="eastAsia" w:ascii="宋体" w:hAnsi="宋体"/>
                <w:color w:val="auto"/>
                <w:szCs w:val="21"/>
                <w:highlight w:val="none"/>
              </w:rPr>
              <w:t>C、检查消防电梯紧急启停按钮和按钮保护罩必须完好，消防控制室单独控制消防电梯功能完好。</w:t>
            </w:r>
          </w:p>
          <w:p>
            <w:pPr>
              <w:pStyle w:val="144"/>
              <w:shd w:val="clear"/>
              <w:spacing w:line="360" w:lineRule="auto"/>
              <w:contextualSpacing/>
              <w:rPr>
                <w:color w:val="auto"/>
                <w:highlight w:val="none"/>
              </w:rPr>
            </w:pPr>
            <w:r>
              <w:rPr>
                <w:rFonts w:hint="eastAsia" w:ascii="宋体" w:hAnsi="宋体"/>
                <w:color w:val="auto"/>
                <w:szCs w:val="21"/>
                <w:highlight w:val="none"/>
              </w:rPr>
              <w:t>D、检查消防电梯轿厢内外界电话必须完好并通话声音清晰。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 维修保养工作计划</w:t>
            </w:r>
          </w:p>
          <w:p>
            <w:pPr>
              <w:pStyle w:val="144"/>
              <w:shd w:val="clear"/>
              <w:spacing w:line="360" w:lineRule="auto"/>
              <w:contextualSpacing/>
              <w:rPr>
                <w:color w:val="auto"/>
                <w:highlight w:val="none"/>
              </w:rPr>
            </w:pPr>
            <w:r>
              <w:rPr>
                <w:rFonts w:hint="eastAsia" w:ascii="宋体" w:hAnsi="宋体"/>
                <w:color w:val="auto"/>
                <w:szCs w:val="21"/>
                <w:highlight w:val="none"/>
              </w:rPr>
              <w:t>A、每月测试消防电梯的迫降功能，对不能迫降的消防电梯及时检查修。</w:t>
            </w:r>
          </w:p>
          <w:p>
            <w:pPr>
              <w:pStyle w:val="144"/>
              <w:shd w:val="clear"/>
              <w:spacing w:line="360" w:lineRule="auto"/>
              <w:contextualSpacing/>
              <w:rPr>
                <w:color w:val="auto"/>
                <w:highlight w:val="none"/>
              </w:rPr>
            </w:pPr>
            <w:r>
              <w:rPr>
                <w:rFonts w:hint="eastAsia" w:ascii="宋体" w:hAnsi="宋体"/>
                <w:color w:val="auto"/>
                <w:szCs w:val="21"/>
                <w:highlight w:val="none"/>
              </w:rPr>
              <w:t>B、每季度测试消防联动时，观察消防电梯迫降首层至底层的时间和功能性必须完好，消防报警主机各项反馈功能完好。</w:t>
            </w:r>
          </w:p>
          <w:p>
            <w:pPr>
              <w:pStyle w:val="144"/>
              <w:shd w:val="clear"/>
              <w:spacing w:line="360" w:lineRule="auto"/>
              <w:contextualSpacing/>
              <w:rPr>
                <w:color w:val="auto"/>
                <w:highlight w:val="none"/>
              </w:rPr>
            </w:pPr>
            <w:r>
              <w:rPr>
                <w:rFonts w:hint="eastAsia" w:ascii="宋体" w:hAnsi="宋体"/>
                <w:color w:val="auto"/>
                <w:szCs w:val="21"/>
                <w:highlight w:val="none"/>
              </w:rPr>
              <w:t>C、每月检查消防电梯紧急启停按钮和按钮保护罩必须完好，消防控制室单独控制消防电梯功能完好。</w:t>
            </w:r>
          </w:p>
          <w:p>
            <w:pPr>
              <w:pStyle w:val="144"/>
              <w:shd w:val="clear"/>
              <w:spacing w:line="360" w:lineRule="auto"/>
              <w:contextualSpacing/>
              <w:rPr>
                <w:color w:val="auto"/>
                <w:highlight w:val="none"/>
              </w:rPr>
            </w:pPr>
            <w:r>
              <w:rPr>
                <w:rFonts w:hint="eastAsia" w:ascii="宋体" w:hAnsi="宋体"/>
                <w:color w:val="auto"/>
                <w:szCs w:val="21"/>
                <w:highlight w:val="none"/>
              </w:rPr>
              <w:t>D、每月检查消防电梯轿厢内外界电话必须完好并通话声音清晰。</w:t>
            </w:r>
          </w:p>
        </w:tc>
      </w:tr>
    </w:tbl>
    <w:p>
      <w:pPr>
        <w:pStyle w:val="144"/>
        <w:shd w:val="clear"/>
        <w:spacing w:line="360" w:lineRule="auto"/>
        <w:contextualSpacing/>
        <w:rPr>
          <w:rFonts w:ascii="宋体" w:hAnsi="宋体"/>
          <w:color w:val="auto"/>
          <w:szCs w:val="21"/>
          <w:highlight w:val="none"/>
        </w:rPr>
      </w:pP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（12）交流电源、直流备用电源、消防供电配电设施的维护保养</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①维护保养工作内容</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A、消防控制室消防设备供电的交流电源回路开关标识，有无其他用电线路及用电设备接入。</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B、将双回路电源断开主电源，测试备用电源是否自动投入，恢复主电源，备用电源应自动断开主电源自动接入。</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C、观察电源盘的电压。</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D、将火灾报警控制器的主电电源开关断开，备用电源是否自动投入，报警控制器是否显示主电故障并有故障报警声，备用电源运行，观察电源盘的电压。</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E、将火灾报警控制器备电开关断开，查看报警控制器是否显示备电障。</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F、使任一总线回路上不少于10只的火灾探测器同时处于火灾报警状态，检查控制器负载能力，记录电流、电压值。</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G、对备用直流电源进行1次充放电，记录充放电时间。</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H、专业检测仪器对所安装的全部探测气和手动报警装置试验。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I、自动和手动打开全部排烟阀，并关闭电动防火阀和空调系统。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J、对防火卷帘试验。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K、强制切断全部非消防电源功能试验。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L、对其他有关的消防控制装置进行功能试验。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M、消防用电设施最末一级配电箱的标识是否清晰。</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N、仪表、指示灯、开关、控制按钮标记是否清晰。</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O、仪表、指示灯的显示是否正常。</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P、所有最末一级配电箱运行情况，手动切断测试末端自动切换装置是否正常工作。</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Q、测试开关及控制按钮是否灵活可靠。</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R、自动控制方式下，手动切断消防主电源，观察备用消防电源的自动投入指示灯的显示是否正常。</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S、手动控制方式下，在低压配电室应先切断消防主电源，后闭合备用消防电源，观察备用消防电源的投入及指示灯的显示，检查线路和设备。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②维修保养工作标准</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A、消防控制室消防设备供电的交流电源回路开关标识是否完好，有无其他用电线路及用电设备接入。对不清晰标识及时维修、更换，清理其他用电线路。</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B、将双回路电源断开主电源，测试备用电源是否自动投入，恢复主电源， 备用电源应自动断开主电源自动接入。不能满足功能要求时，调试、维修、更换互投装置。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C、观察电源盘的电压，对不满足电压区间范围的进行检查、维修。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D、将火灾报警控制器的主电电源开关断开，备用电源是否自动投入，报警控制器是否显示主电故障并有故障报警声，备用电源运行，观察电源盘的电压，对不能满足的功能进行调试、维修。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E、将火灾报警控制器备电开关断开，查看报警控制器是否显示备电故障，不能显示时对线路和设备进行维修。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F、使任一总线回路上不少于10只的火灾探测器同时处于火灾报警状态，检查控制器负载能力，记录电流、电压值，对电流、电压异常的总线回路进行检查、维修。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G、对备用直流电源进行1次充放电，记录充放电时间。</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H、专业检测仪器对所安装的全部探测气和手动报警装置试验。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I、自动和手动打开全部排烟阀，并关闭电动防火阀和空调系统。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J、对防火卷帘试验。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K、强制切断全部非消防电源功能试验。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L、对其他有关的消防控制装置进行功能试验。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M、查看各消防用电设施最末一级配电箱的标识是否清晰，对缺失、污损的标识进行维修、更换。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N、仪表、指示灯、开关、控制按钮标记是否清晰，对脱落和不清晰的标记进行更换。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O、查看仪表、指示灯的显示是否正常，对显示有故障的仪表、指示灯，查看线路、测试设备等对故障设备维修、更换。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P、查看所有最末一级配电箱运行情况，手动切断测试末端自动切换装置是否正常工作，对自动切换功能故障的装置进行维修、更换。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Q、测试开关及控制按钮是否灵活可靠，对存在故障的开关及按钮及时维修、更换。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R、自动控制方式下，手动切断消防主电源，观察备用消防电源的自动投入指示灯的显示是否正常，电源是否自动切换，不能正常切换时及时进行维修。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S、手动控制方式下，在低压配电室应先切断消防主电源，后闭合备用消防电源，观察备用消防电源的投入及指示灯的显示，检查线路和设备，对不能正常工作的备用电源进行维修、更换。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22" w:type="dxa"/>
          </w:tcPr>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③ 维修保养工作计划</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A、每月对消防控制室消防设备供电的交流电源回路开关标识是否完好，有无其他用电线路及用电设备接入。对不清晰标识及时维修、更换，清理其他用电线路。</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B、每月将双回路电源断开主电源，测试备用电源是否自动投入，恢复主电源，备用电源应自动断开主电源自动接入。不能满足功能要求时，调试、维修、更换互投装置。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C、每月观察电源盘的电压，对不满足电压区间范围的进行检查、维修。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D、每月将火灾报警控制器的主电电源开关断开，备用电源是否自动投入，报警控制器是否显示主电故障并有故障报警声，备用电源运行，观察电源盘的电压，对不能满足的功能进行调试、维修。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E、每月将火灾报警控制器备电开关断开，查看报警控制器是否显示备电故障，不能显示时对线路和设备进行维修。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F、每月使任一总线回路上不少于10只的火灾探测器同时处于火灾报警状态，检查控制器负载能力，记录电流、电压值，对电流、电压异常的总线回路进行检查、维修。</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G、每周对备用直流电源进行1次充放电，记录充放电时间。</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H、每月用专业检测仪器对所安装的全部探测气和手动报警装置试验。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I、每月测试自动和手动打开全部排烟阀，并关闭电动防火阀和空调系统。</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J、每季度对防火卷帘试验。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K、每季度强制切断全部非消防电源功能试验。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L、每月对其他有关的消防控制装置进行功能试验。</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M、每月查看各消防用电设施最末一级配电箱的标识是否清晰，对缺失、污损的标识进行维修、更换。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N、每月查收看仪表、指示灯、开关、控制按钮标记是否清晰，对脱落和不清晰的标记进行更换。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O、每月查看仪表、指示灯的显示是否正常，对显示有故障的仪表、指示灯，查看线路、测试设备等对故障设备维修、更换。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P、每月查看所有最末一级配电箱运行情况，手动切断测试末端自动切换装置是否正常工作，对自动切换功能故障的装置进行维修、更换。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Q、每季度测试开关及控制按钮是否灵活可靠，对存在故障的开关及按钮及时维修、更换。</w:t>
            </w:r>
          </w:p>
          <w:p>
            <w:pPr>
              <w:pStyle w:val="144"/>
              <w:shd w:val="clear"/>
              <w:spacing w:line="360" w:lineRule="auto"/>
              <w:contextualSpacing/>
              <w:rPr>
                <w:rFonts w:ascii="宋体" w:hAnsi="宋体"/>
                <w:color w:val="auto"/>
                <w:szCs w:val="21"/>
                <w:highlight w:val="none"/>
              </w:rPr>
            </w:pPr>
            <w:r>
              <w:rPr>
                <w:rFonts w:hint="eastAsia" w:ascii="宋体" w:hAnsi="宋体"/>
                <w:color w:val="auto"/>
                <w:szCs w:val="21"/>
                <w:highlight w:val="none"/>
              </w:rPr>
              <w:t>R、每季度检查自动控制方式下，手动切断消防主电源，观察备用消防电源的自动投入指示灯的显示是否正常，电源是否自动切换，不能正常切换时及时进行维修。</w:t>
            </w:r>
          </w:p>
        </w:tc>
      </w:tr>
    </w:tbl>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（13）水泵、恒压泵、控制柜、联动柜的维护保养</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①维修保养工作标准</w:t>
      </w:r>
    </w:p>
    <w:p>
      <w:pPr>
        <w:numPr>
          <w:ilvl w:val="0"/>
          <w:numId w:val="18"/>
        </w:numPr>
        <w:shd w:val="clear"/>
        <w:spacing w:line="360" w:lineRule="auto"/>
        <w:jc w:val="both"/>
        <w:rPr>
          <w:rFonts w:hAnsi="宋体"/>
          <w:color w:val="auto"/>
          <w:sz w:val="21"/>
          <w:szCs w:val="21"/>
          <w:highlight w:val="none"/>
        </w:rPr>
      </w:pPr>
      <w:r>
        <w:rPr>
          <w:rFonts w:hint="eastAsia" w:hAnsi="宋体"/>
          <w:color w:val="auto"/>
          <w:sz w:val="21"/>
          <w:szCs w:val="21"/>
          <w:highlight w:val="none"/>
        </w:rPr>
        <w:t>水泵运行平稳，流量、压力达到设计要求；</w:t>
      </w:r>
    </w:p>
    <w:p>
      <w:pPr>
        <w:numPr>
          <w:ilvl w:val="0"/>
          <w:numId w:val="18"/>
        </w:numPr>
        <w:shd w:val="clear"/>
        <w:spacing w:line="360" w:lineRule="auto"/>
        <w:jc w:val="both"/>
        <w:rPr>
          <w:rFonts w:hAnsi="宋体"/>
          <w:color w:val="auto"/>
          <w:sz w:val="21"/>
          <w:szCs w:val="21"/>
          <w:highlight w:val="none"/>
        </w:rPr>
      </w:pPr>
      <w:r>
        <w:rPr>
          <w:rFonts w:hint="eastAsia" w:hAnsi="宋体"/>
          <w:color w:val="auto"/>
          <w:sz w:val="21"/>
          <w:szCs w:val="21"/>
          <w:highlight w:val="none"/>
        </w:rPr>
        <w:t>控制柜与消防中心信号通讯正常、准确，显示正确；</w:t>
      </w:r>
    </w:p>
    <w:p>
      <w:pPr>
        <w:numPr>
          <w:ilvl w:val="0"/>
          <w:numId w:val="18"/>
        </w:numPr>
        <w:shd w:val="clear"/>
        <w:spacing w:line="360" w:lineRule="auto"/>
        <w:jc w:val="both"/>
        <w:rPr>
          <w:rFonts w:hAnsi="宋体"/>
          <w:color w:val="auto"/>
          <w:sz w:val="21"/>
          <w:szCs w:val="21"/>
          <w:highlight w:val="none"/>
        </w:rPr>
      </w:pPr>
      <w:r>
        <w:rPr>
          <w:rFonts w:hint="eastAsia" w:hAnsi="宋体"/>
          <w:color w:val="auto"/>
          <w:sz w:val="21"/>
          <w:szCs w:val="21"/>
          <w:highlight w:val="none"/>
        </w:rPr>
        <w:t>控制柜、联动柜内接线无松脱、无撞火烧花，清洁无尘，功能正常；</w:t>
      </w:r>
    </w:p>
    <w:p>
      <w:pPr>
        <w:numPr>
          <w:ilvl w:val="0"/>
          <w:numId w:val="18"/>
        </w:numPr>
        <w:shd w:val="clear"/>
        <w:spacing w:line="360" w:lineRule="auto"/>
        <w:jc w:val="both"/>
        <w:rPr>
          <w:rFonts w:hAnsi="宋体"/>
          <w:color w:val="auto"/>
          <w:sz w:val="21"/>
          <w:szCs w:val="21"/>
          <w:highlight w:val="none"/>
        </w:rPr>
      </w:pPr>
      <w:r>
        <w:rPr>
          <w:rFonts w:hint="eastAsia" w:hAnsi="宋体"/>
          <w:color w:val="auto"/>
          <w:sz w:val="21"/>
          <w:szCs w:val="21"/>
          <w:highlight w:val="none"/>
        </w:rPr>
        <w:t>消防水泵末端双电源控制箱主备电源自动切换投入功能正常；</w:t>
      </w:r>
    </w:p>
    <w:p>
      <w:pPr>
        <w:numPr>
          <w:ilvl w:val="0"/>
          <w:numId w:val="18"/>
        </w:numPr>
        <w:shd w:val="clear"/>
        <w:spacing w:line="360" w:lineRule="auto"/>
        <w:jc w:val="both"/>
        <w:rPr>
          <w:rFonts w:hAnsi="宋体"/>
          <w:color w:val="auto"/>
          <w:sz w:val="21"/>
          <w:szCs w:val="21"/>
          <w:highlight w:val="none"/>
        </w:rPr>
      </w:pPr>
      <w:r>
        <w:rPr>
          <w:rFonts w:hint="eastAsia" w:hAnsi="宋体"/>
          <w:color w:val="auto"/>
          <w:sz w:val="21"/>
          <w:szCs w:val="21"/>
          <w:highlight w:val="none"/>
        </w:rPr>
        <w:t>水泵的相间及对地绝缘电阻符合要求；</w:t>
      </w:r>
    </w:p>
    <w:p>
      <w:pPr>
        <w:numPr>
          <w:ilvl w:val="0"/>
          <w:numId w:val="18"/>
        </w:numPr>
        <w:shd w:val="clear"/>
        <w:spacing w:line="360" w:lineRule="auto"/>
        <w:jc w:val="both"/>
        <w:rPr>
          <w:rFonts w:hAnsi="宋体"/>
          <w:color w:val="auto"/>
          <w:sz w:val="21"/>
          <w:szCs w:val="21"/>
          <w:highlight w:val="none"/>
        </w:rPr>
      </w:pPr>
      <w:r>
        <w:rPr>
          <w:rFonts w:hint="eastAsia" w:hAnsi="宋体"/>
          <w:color w:val="auto"/>
          <w:sz w:val="21"/>
          <w:szCs w:val="21"/>
          <w:highlight w:val="none"/>
        </w:rPr>
        <w:t>消防水泵控制柜的故障自投功能正常，即一台故障时，另一台能自动投入使用；</w:t>
      </w:r>
    </w:p>
    <w:p>
      <w:pPr>
        <w:numPr>
          <w:ilvl w:val="0"/>
          <w:numId w:val="18"/>
        </w:numPr>
        <w:shd w:val="clear"/>
        <w:spacing w:line="360" w:lineRule="auto"/>
        <w:jc w:val="both"/>
        <w:rPr>
          <w:rFonts w:hAnsi="宋体"/>
          <w:color w:val="auto"/>
          <w:sz w:val="21"/>
          <w:szCs w:val="21"/>
          <w:highlight w:val="none"/>
        </w:rPr>
      </w:pPr>
      <w:r>
        <w:rPr>
          <w:rFonts w:hint="eastAsia" w:hAnsi="宋体"/>
          <w:color w:val="auto"/>
          <w:sz w:val="21"/>
          <w:szCs w:val="21"/>
          <w:highlight w:val="none"/>
        </w:rPr>
        <w:t>水泵轴承润滑充分、可靠，水泵运行平稳，轴承不过热。</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②维修保养工作计划</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A、每月检查试验自动和手动启动消防水泵，观察流量、压力、运行电流是否正常，并做好记录存档；</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B、每月检查各控制柜到消防中心信号是否正常，控制柜各指示灯各功能是否正常；</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C、每月定期检查联动柜内部电路，测试其功能是否正常，并进行吸尘、紧固接线的保养工作；</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D、每月定期检查消防水泵主备电源自动切换装置是否正常。打开水泵出水管上的放水试验阀，用主电源启动消防水泵，消防水泵启动应正常；关掉主电源，主、备电源切换正常，试验 1~3 次；</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E、每季定期测试水泵的相间及对地电阻是否符合要求，并做好记录；</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F、每月定期测试消防水泵的故障自投功能是否正常；</w:t>
      </w:r>
    </w:p>
    <w:p>
      <w:pPr>
        <w:shd w:val="clear"/>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G、每季定期添加或更换水泵的润滑油。</w:t>
      </w:r>
    </w:p>
    <w:p>
      <w:pPr>
        <w:shd w:val="clear"/>
        <w:spacing w:line="360" w:lineRule="auto"/>
        <w:jc w:val="both"/>
        <w:rPr>
          <w:rFonts w:hAnsi="宋体"/>
          <w:b/>
          <w:bCs/>
          <w:color w:val="auto"/>
          <w:sz w:val="21"/>
          <w:szCs w:val="21"/>
          <w:highlight w:val="none"/>
        </w:rPr>
      </w:pPr>
      <w:r>
        <w:rPr>
          <w:rFonts w:hint="eastAsia" w:hAnsi="宋体"/>
          <w:b/>
          <w:bCs/>
          <w:color w:val="auto"/>
          <w:sz w:val="21"/>
          <w:szCs w:val="21"/>
          <w:highlight w:val="none"/>
        </w:rPr>
        <w:t>3、维保的具体要求：</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维修保养工作应至少由两名工作人员共同执行，以便相互协助和相互监督。</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系统的定期维修包括月检、季检和年检三种规格，每种规格的维护项目内容由乙方设计保养维修记录表（并由乙方盖章），供应商工作人员必须按照规格的要求完成对应的各项工作内容，并在相应的记录表上做出记录。</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（2）在所有的维护、检修、检测、试验工作完成后，应将系统复位到正常警戒状态，做好清洁卫生工作。</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（3）工作中发现产品设备故障、损坏以及系统存在的其他问题应立即进行检查、维修、核实和原因分析，保持设备正常运行，并提出整改意见同时通知委托方。</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（4）遇到节假日或委托方有重要部署，根据委托方要求，应组织维保人员到委托方指定地点进行巡检工作，人数不少于2人。</w:t>
      </w:r>
    </w:p>
    <w:p>
      <w:pPr>
        <w:shd w:val="clear"/>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（5）在提供维护档案、维护技术资料同时需向委托方提供保养过程中的动态管理情况，包括应急处理、维护记录、故障处理登记及第三方机构出具的年度消防检测报告等。</w:t>
      </w:r>
    </w:p>
    <w:p>
      <w:pPr>
        <w:shd w:val="clear"/>
        <w:spacing w:line="360" w:lineRule="auto"/>
        <w:ind w:firstLine="422" w:firstLineChars="200"/>
        <w:jc w:val="both"/>
        <w:rPr>
          <w:rFonts w:hAnsi="宋体"/>
          <w:b/>
          <w:bCs/>
          <w:color w:val="auto"/>
          <w:sz w:val="21"/>
          <w:szCs w:val="21"/>
          <w:highlight w:val="none"/>
        </w:rPr>
      </w:pPr>
      <w:r>
        <w:rPr>
          <w:rFonts w:hint="eastAsia" w:hAnsi="宋体"/>
          <w:b/>
          <w:bCs/>
          <w:color w:val="auto"/>
          <w:sz w:val="21"/>
          <w:szCs w:val="21"/>
          <w:highlight w:val="none"/>
        </w:rPr>
        <w:t>4、考核标准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监视模块</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控制模块</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手动报警按钮</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警铃</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消防广播控制主机（音源，功放，选层盘等）</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吸顶扬声器</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消防电话主机</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消防电话分机</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消防电话插孔</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消防卷帘</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防火门</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火灾事故照明灯，疏散指示灯</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正压送风机</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正压送风阀</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排烟风机</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排烟阀</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水流指示器，信号阀</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湿式报警阀</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消火栓箱，消火栓按钮</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消火栓泵</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喷淋泵</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喷淋头</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七氟丙烷气体灭火设备</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可移动式灭火器</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气压罐</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地址码手动报警按钮</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楼层显示器</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40" w:type="dxa"/>
            <w:vAlign w:val="center"/>
          </w:tcPr>
          <w:p>
            <w:pPr>
              <w:shd w:val="clear"/>
              <w:rPr>
                <w:rFonts w:hAnsi="宋体"/>
                <w:color w:val="auto"/>
                <w:sz w:val="21"/>
                <w:szCs w:val="21"/>
                <w:highlight w:val="none"/>
              </w:rPr>
            </w:pPr>
            <w:r>
              <w:rPr>
                <w:rFonts w:hint="eastAsia" w:hAnsi="宋体"/>
                <w:color w:val="auto"/>
                <w:sz w:val="21"/>
                <w:szCs w:val="21"/>
                <w:highlight w:val="none"/>
              </w:rPr>
              <w:t>供电电源</w:t>
            </w:r>
          </w:p>
        </w:tc>
        <w:tc>
          <w:tcPr>
            <w:tcW w:w="2474"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检查合格率100%</w:t>
            </w:r>
          </w:p>
        </w:tc>
      </w:tr>
    </w:tbl>
    <w:p>
      <w:pPr>
        <w:shd w:val="clear"/>
        <w:spacing w:line="600" w:lineRule="exact"/>
        <w:ind w:firstLine="420" w:firstLineChars="200"/>
        <w:rPr>
          <w:rFonts w:hAnsi="宋体"/>
          <w:color w:val="auto"/>
          <w:sz w:val="21"/>
          <w:szCs w:val="21"/>
          <w:highlight w:val="none"/>
        </w:rPr>
      </w:pP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五 履约担保</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乙方在签订本合同前5个工作日内，必须提交履约担保，履约担保可采用履约保函或履约保证金形式：</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（一）若乙方提交履约保函，履约保函的内容及格式应先征求甲方同意，并应满足以下规定：</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1.履约保函必须是无条件不可撤销保函。</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2.履约保函必须由银行支行或以上级别机构出具，由非东莞市行政区域内的银行出具的履约保函需经银行所在地公证机关公证。</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3.履约保函担保金额为合同价的10％。</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4.履约保函的期限应从合同签订到工程竣工验收合格并按有关规定审核结算后28天内保持有效。</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6.履约保函开具或延期所产生的费用由乙方承担</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hd w:val="clear"/>
        <w:spacing w:line="520" w:lineRule="exact"/>
        <w:rPr>
          <w:rFonts w:hAnsi="宋体"/>
          <w:color w:val="auto"/>
          <w:sz w:val="21"/>
          <w:szCs w:val="21"/>
          <w:highlight w:val="none"/>
        </w:rPr>
      </w:pPr>
      <w:r>
        <w:rPr>
          <w:rFonts w:hint="eastAsia" w:hAnsi="宋体"/>
          <w:color w:val="auto"/>
          <w:sz w:val="21"/>
          <w:szCs w:val="21"/>
          <w:highlight w:val="none"/>
        </w:rPr>
        <w:t>履约保证金汇入以下专用账户：</w:t>
      </w:r>
    </w:p>
    <w:p>
      <w:pPr>
        <w:shd w:val="clear"/>
        <w:spacing w:line="520" w:lineRule="exact"/>
        <w:rPr>
          <w:rFonts w:hAnsi="宋体"/>
          <w:color w:val="auto"/>
          <w:sz w:val="21"/>
          <w:szCs w:val="21"/>
          <w:highlight w:val="none"/>
        </w:rPr>
      </w:pPr>
      <w:r>
        <w:rPr>
          <w:rFonts w:hint="eastAsia" w:hAnsi="宋体"/>
          <w:color w:val="auto"/>
          <w:sz w:val="21"/>
          <w:szCs w:val="21"/>
          <w:highlight w:val="none"/>
        </w:rPr>
        <w:t>账户名称：东莞市大学创新城建设发展有限公司</w:t>
      </w:r>
    </w:p>
    <w:p>
      <w:pPr>
        <w:shd w:val="clear"/>
        <w:spacing w:line="520" w:lineRule="exact"/>
        <w:rPr>
          <w:rFonts w:hAnsi="宋体"/>
          <w:color w:val="auto"/>
          <w:sz w:val="21"/>
          <w:szCs w:val="21"/>
          <w:highlight w:val="none"/>
        </w:rPr>
      </w:pPr>
      <w:r>
        <w:rPr>
          <w:rFonts w:hint="eastAsia" w:hAnsi="宋体"/>
          <w:color w:val="auto"/>
          <w:sz w:val="21"/>
          <w:szCs w:val="21"/>
          <w:highlight w:val="none"/>
        </w:rPr>
        <w:t>账    号：1060 1651 6010 0036 35</w:t>
      </w:r>
    </w:p>
    <w:p>
      <w:pPr>
        <w:shd w:val="clear"/>
        <w:spacing w:line="600" w:lineRule="exact"/>
        <w:rPr>
          <w:rFonts w:hAnsi="宋体"/>
          <w:color w:val="auto"/>
          <w:sz w:val="21"/>
          <w:szCs w:val="21"/>
          <w:highlight w:val="none"/>
        </w:rPr>
      </w:pPr>
      <w:r>
        <w:rPr>
          <w:rFonts w:hint="eastAsia" w:hAnsi="宋体"/>
          <w:color w:val="auto"/>
          <w:sz w:val="21"/>
          <w:szCs w:val="21"/>
          <w:highlight w:val="none"/>
        </w:rPr>
        <w:t>开 户 行：广发银行松山湖支行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（三）乙方如逾期未能缴纳履约保证金或提供银行履约保函，甲方有权废除乙方的成交资格，并保留没收磋商保证金的权利。</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（四）履约保证金的退还</w:t>
      </w:r>
    </w:p>
    <w:p>
      <w:pPr>
        <w:shd w:val="clear"/>
        <w:spacing w:line="600" w:lineRule="exact"/>
        <w:ind w:firstLine="420" w:firstLineChars="200"/>
        <w:rPr>
          <w:rFonts w:hAnsi="宋体"/>
          <w:b/>
          <w:bCs/>
          <w:color w:val="auto"/>
          <w:sz w:val="21"/>
          <w:szCs w:val="21"/>
          <w:highlight w:val="none"/>
        </w:rPr>
      </w:pPr>
      <w:r>
        <w:rPr>
          <w:rFonts w:hint="eastAsia" w:hAnsi="宋体"/>
          <w:color w:val="auto"/>
          <w:sz w:val="21"/>
          <w:szCs w:val="21"/>
          <w:highlight w:val="none"/>
        </w:rPr>
        <w:t>乙方向甲方缴纳的上述履约保证金，在工程竣工验收合格并按有关规定审核结算后无息退还。</w:t>
      </w:r>
      <w:bookmarkEnd w:id="177"/>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六 转包和分包</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（一）本合同为总承包合同，不能以任何形式进行分包；</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 乙方不得部分转让或全部转让其应履行的合同义务。若甲方发现乙方存在转包或分包情形的， 甲方有权单方解除合同，乙方已提交的成果无偿归甲方所有。如甲方有已支付的合同款，乙方需全额退还甲方，并向甲方支付合同总金额20%的违约金。违约金不足以弥补甲方损失的，乙方应予以补足。</w:t>
      </w:r>
    </w:p>
    <w:p>
      <w:pPr>
        <w:shd w:val="clear"/>
        <w:spacing w:line="600" w:lineRule="exact"/>
        <w:ind w:firstLine="422" w:firstLineChars="200"/>
        <w:rPr>
          <w:rFonts w:hAnsi="宋体"/>
          <w:color w:val="auto"/>
          <w:sz w:val="21"/>
          <w:szCs w:val="21"/>
          <w:highlight w:val="none"/>
        </w:rPr>
      </w:pPr>
      <w:r>
        <w:rPr>
          <w:rFonts w:hint="eastAsia" w:hAnsi="宋体"/>
          <w:b/>
          <w:bCs/>
          <w:color w:val="auto"/>
          <w:sz w:val="21"/>
          <w:szCs w:val="21"/>
          <w:highlight w:val="none"/>
        </w:rPr>
        <w:t>七 违约责任</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（二）在合同期内，乙方不得转让本项目任何的权利和义务。否则， 由此造成的一切损失均由乙方承担，并赔偿甲方合同总金额10%的违约金， 甲方有权提前终止本合同。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（三）乙方提供假冒、劣质或以次充好的产品，一经质检部门证实， 由此造成的一切损失均由乙方承担，并赔偿甲方合同总金额10%的违约金， 甲方有权提前终止本合同，同时乙方必须承担由于产品质量、安装不当等引发的事故 (财产损失、人身伤亡) 责任和全部费用。</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（四）由于乙方的原因导致上述电梯未能通过东莞市质量技术监督局 (或相关主管部门) 年审的，因此造成的责任和费用由乙方全部承担。</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 xml:space="preserve"> （五）对在履行本合同过程中知悉的对方的客户资料、非专利技术等商业秘密和本合同信息， 甲乙双方均负有保密义务。除为履行本合同需要外，未经对方书面同意不得以任何方式向任何第三方泄漏。任何一方未履行本保密条款约定之义务者，除赔偿对方因此而遭受的损失外，还应向对方支付相当于本合同总价款 20 %的违约金。</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由于乙方的原因，导致项目迟延的，每逾期一日乙方按合同金额的5‰向甲方支付违约金，违约金不足以弥补甲方损失的，乙方应予以补足；因乙方原因导致在规定时间内项目无法开展，或在规定时间未能完成，甲方有权解除合同；若甲方决定解除合同，乙方须退回甲方已支付的服务款并支付合同价款总额的20%作为违约金给甲方。若违约金不足以弥补甲方损失的，乙方应予以补足。</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（七）甲方发现乙方存在转包或分包的， 甲方有权单方面解除合同，乙方已提交的成果无偿归甲方所有。另外，如甲方有已支付款项的，乙方需全额退还 甲方已支付的货款，并向甲方支付合同总金额的20％的违约金。</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八 争议解决</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（一）本合同在履行期间，双方发生争议时，在不影响项目进度的前提下，双方可协商解决，或交由甲方母公司东莞实业投资控股集团有限公司业务办公会决议。</w:t>
      </w:r>
    </w:p>
    <w:p>
      <w:pPr>
        <w:pStyle w:val="48"/>
        <w:shd w:val="clear"/>
        <w:spacing w:line="600" w:lineRule="exact"/>
        <w:ind w:firstLine="420" w:firstLineChars="200"/>
        <w:jc w:val="both"/>
        <w:rPr>
          <w:color w:val="auto"/>
          <w:sz w:val="21"/>
          <w:szCs w:val="21"/>
          <w:highlight w:val="none"/>
        </w:rPr>
      </w:pPr>
      <w:r>
        <w:rPr>
          <w:rFonts w:hint="eastAsia"/>
          <w:color w:val="auto"/>
          <w:sz w:val="21"/>
          <w:szCs w:val="21"/>
          <w:highlight w:val="none"/>
        </w:rPr>
        <w:t>（二）</w:t>
      </w:r>
      <w:r>
        <w:rPr>
          <w:rFonts w:hint="eastAsia"/>
          <w:color w:val="auto"/>
          <w:sz w:val="21"/>
          <w:szCs w:val="21"/>
          <w:highlight w:val="none"/>
          <w:shd w:val="clear" w:color="auto" w:fill="FFFFFF"/>
        </w:rPr>
        <w:t>若双方不能通过协商达成协议，可依据《中华人民共和国民事诉讼法》和《中华人民共和国民法典》的有关规定，</w:t>
      </w:r>
      <w:r>
        <w:rPr>
          <w:rFonts w:hint="eastAsia"/>
          <w:color w:val="auto"/>
          <w:sz w:val="21"/>
          <w:szCs w:val="21"/>
          <w:highlight w:val="none"/>
        </w:rPr>
        <w:t>任何一方应向向不动产所在地即东莞市松山湖有管辖权的人民法院提出诉讼。</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九 合同解除和终止</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（一）有下列情形之一的，可以解除合同：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1.甲、乙双方协商一致；</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2.因不可抗力致使合同无法履行。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3.因一方违约致使合同无法履行。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（二）甲、乙双方履行完本合同全部义务，工程竣工结算价款支付完毕，本合同即告终止。</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十附则</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本合同正本一式柒份，甲方执肆份，乙方执贰份，采购代理执壹份均具同等法律效力，双方签字盖章后生效。</w:t>
      </w:r>
    </w:p>
    <w:p>
      <w:pPr>
        <w:shd w:val="clear" w:color="auto"/>
        <w:spacing w:line="600" w:lineRule="exact"/>
        <w:ind w:firstLine="422" w:firstLineChars="200"/>
        <w:textAlignment w:val="baseline"/>
        <w:rPr>
          <w:rFonts w:hAnsi="宋体"/>
          <w:b/>
          <w:bCs/>
          <w:color w:val="auto"/>
          <w:sz w:val="21"/>
          <w:szCs w:val="21"/>
          <w:highlight w:val="none"/>
          <w:shd w:val="clear" w:color="auto" w:fill="FFFFFF"/>
        </w:rPr>
      </w:pPr>
      <w:bookmarkStart w:id="178" w:name="_Toc15417"/>
      <w:r>
        <w:rPr>
          <w:rFonts w:hint="eastAsia" w:hAnsi="宋体"/>
          <w:b/>
          <w:bCs/>
          <w:color w:val="auto"/>
          <w:sz w:val="21"/>
          <w:szCs w:val="21"/>
          <w:highlight w:val="none"/>
          <w:shd w:val="clear" w:color="auto" w:fill="FFFFFF"/>
        </w:rPr>
        <w:t>十一 其它约定事项</w:t>
      </w:r>
      <w:bookmarkEnd w:id="178"/>
    </w:p>
    <w:p>
      <w:pPr>
        <w:shd w:val="clear" w:color="auto"/>
        <w:spacing w:line="600" w:lineRule="exact"/>
        <w:ind w:firstLine="420" w:firstLineChars="200"/>
        <w:textAlignment w:val="baseline"/>
        <w:rPr>
          <w:color w:val="auto"/>
          <w:sz w:val="21"/>
          <w:szCs w:val="21"/>
          <w:highlight w:val="none"/>
          <w:shd w:val="clear" w:color="auto" w:fill="FFFFFF"/>
        </w:rPr>
      </w:pPr>
      <w:r>
        <w:rPr>
          <w:rFonts w:hint="eastAsia" w:hAnsi="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hd w:val="clear"/>
        <w:spacing w:line="600" w:lineRule="exact"/>
        <w:ind w:firstLine="420" w:firstLineChars="200"/>
        <w:rPr>
          <w:rFonts w:hAnsi="宋体"/>
          <w:color w:val="auto"/>
          <w:sz w:val="21"/>
          <w:szCs w:val="21"/>
          <w:highlight w:val="none"/>
          <w:shd w:val="clear" w:color="auto" w:fill="FFFFFF"/>
        </w:rPr>
      </w:pPr>
    </w:p>
    <w:p>
      <w:pPr>
        <w:shd w:val="clear"/>
        <w:spacing w:line="600" w:lineRule="exact"/>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合同附件</w:t>
      </w:r>
    </w:p>
    <w:p>
      <w:pPr>
        <w:pStyle w:val="13"/>
        <w:shd w:val="clear"/>
        <w:rPr>
          <w:rFonts w:hAnsi="宋体"/>
          <w:color w:val="auto"/>
          <w:sz w:val="21"/>
          <w:szCs w:val="21"/>
          <w:highlight w:val="none"/>
          <w:shd w:val="clear" w:color="auto" w:fill="FFFFFF"/>
        </w:rPr>
      </w:pPr>
    </w:p>
    <w:p>
      <w:pPr>
        <w:pStyle w:val="13"/>
        <w:shd w:val="clear"/>
        <w:rPr>
          <w:rFonts w:hAnsi="宋体"/>
          <w:color w:val="auto"/>
          <w:sz w:val="21"/>
          <w:szCs w:val="21"/>
          <w:highlight w:val="none"/>
          <w:shd w:val="clear" w:color="auto" w:fill="FFFFFF"/>
        </w:rPr>
      </w:pPr>
    </w:p>
    <w:p>
      <w:pPr>
        <w:shd w:val="clear"/>
        <w:spacing w:line="600" w:lineRule="exact"/>
        <w:ind w:firstLine="640" w:firstLineChars="200"/>
        <w:rPr>
          <w:rFonts w:eastAsia="仿宋_GB2312"/>
          <w:color w:val="auto"/>
          <w:sz w:val="32"/>
          <w:szCs w:val="32"/>
          <w:highlight w:val="none"/>
          <w:shd w:val="clear" w:color="auto" w:fill="FFFFFF"/>
        </w:rPr>
      </w:pPr>
    </w:p>
    <w:p>
      <w:pPr>
        <w:shd w:val="clear"/>
        <w:spacing w:line="600" w:lineRule="exact"/>
        <w:ind w:firstLine="422" w:firstLineChars="200"/>
        <w:rPr>
          <w:rFonts w:hAnsi="宋体"/>
          <w:b/>
          <w:bCs/>
          <w:color w:val="auto"/>
          <w:sz w:val="21"/>
          <w:szCs w:val="21"/>
          <w:highlight w:val="none"/>
          <w:u w:val="single"/>
          <w:shd w:val="clear" w:color="auto" w:fill="FFFFFF"/>
        </w:rPr>
      </w:pPr>
      <w:r>
        <w:rPr>
          <w:rFonts w:hint="eastAsia" w:hAnsi="宋体"/>
          <w:b/>
          <w:bCs/>
          <w:color w:val="auto"/>
          <w:sz w:val="21"/>
          <w:szCs w:val="21"/>
          <w:highlight w:val="none"/>
          <w:shd w:val="clear" w:color="auto" w:fill="FFFFFF"/>
        </w:rPr>
        <w:t>甲方（盖章）：　                  乙方（盖章）：</w:t>
      </w:r>
    </w:p>
    <w:p>
      <w:pPr>
        <w:shd w:val="clea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法定代表人或其委托                法定代表人或其委托</w:t>
      </w:r>
    </w:p>
    <w:p>
      <w:pPr>
        <w:shd w:val="clea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代理人（签字）：                  代理人（签字）：</w:t>
      </w:r>
    </w:p>
    <w:p>
      <w:pPr>
        <w:shd w:val="clear"/>
        <w:snapToGrid w:val="0"/>
        <w:spacing w:line="600" w:lineRule="exact"/>
        <w:ind w:left="4767" w:leftChars="760" w:hanging="2943" w:hangingChars="1396"/>
        <w:rPr>
          <w:rFonts w:hAnsi="宋体"/>
          <w:bCs/>
          <w:color w:val="auto"/>
          <w:sz w:val="21"/>
          <w:szCs w:val="21"/>
          <w:highlight w:val="none"/>
        </w:rPr>
      </w:pPr>
      <w:r>
        <w:rPr>
          <w:rFonts w:hint="eastAsia" w:hAnsi="宋体"/>
          <w:b/>
          <w:bCs/>
          <w:color w:val="auto"/>
          <w:sz w:val="21"/>
          <w:szCs w:val="21"/>
          <w:highlight w:val="none"/>
        </w:rPr>
        <w:t xml:space="preserve">                     开户名称：</w:t>
      </w:r>
      <w:r>
        <w:rPr>
          <w:rFonts w:hint="eastAsia" w:hAnsi="宋体"/>
          <w:bCs/>
          <w:color w:val="auto"/>
          <w:sz w:val="21"/>
          <w:szCs w:val="21"/>
          <w:highlight w:val="none"/>
        </w:rPr>
        <w:t xml:space="preserve">      </w:t>
      </w:r>
    </w:p>
    <w:p>
      <w:pPr>
        <w:shd w:val="clear"/>
        <w:snapToGrid w:val="0"/>
        <w:spacing w:line="600" w:lineRule="exact"/>
        <w:ind w:left="4010" w:hanging="4010" w:hangingChars="1902"/>
        <w:rPr>
          <w:rFonts w:hAnsi="宋体"/>
          <w:bCs/>
          <w:color w:val="auto"/>
          <w:sz w:val="21"/>
          <w:szCs w:val="21"/>
          <w:highlight w:val="none"/>
        </w:rPr>
      </w:pPr>
      <w:r>
        <w:rPr>
          <w:rFonts w:hint="eastAsia" w:hAnsi="宋体"/>
          <w:b/>
          <w:bCs/>
          <w:color w:val="auto"/>
          <w:sz w:val="21"/>
          <w:szCs w:val="21"/>
          <w:highlight w:val="none"/>
        </w:rPr>
        <w:t xml:space="preserve">                                      开户银行：</w:t>
      </w:r>
    </w:p>
    <w:p>
      <w:pPr>
        <w:shd w:val="clea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帐号：        </w:t>
      </w:r>
    </w:p>
    <w:p>
      <w:pPr>
        <w:shd w:val="clea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w:t>
      </w:r>
    </w:p>
    <w:p>
      <w:pPr>
        <w:shd w:val="clea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合同订立时间：        年     月     日</w:t>
      </w:r>
    </w:p>
    <w:p>
      <w:pPr>
        <w:shd w:val="clea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合同签订地点：</w:t>
      </w:r>
    </w:p>
    <w:p>
      <w:pPr>
        <w:pStyle w:val="21"/>
        <w:shd w:val="clear"/>
        <w:rPr>
          <w:color w:val="auto"/>
          <w:sz w:val="21"/>
          <w:szCs w:val="21"/>
          <w:highlight w:val="none"/>
          <w:lang w:val="en-US"/>
        </w:rPr>
      </w:pPr>
    </w:p>
    <w:p>
      <w:pPr>
        <w:pStyle w:val="21"/>
        <w:shd w:val="clear"/>
        <w:rPr>
          <w:color w:val="auto"/>
          <w:sz w:val="21"/>
          <w:szCs w:val="21"/>
          <w:highlight w:val="none"/>
          <w:lang w:val="en-US"/>
        </w:rPr>
      </w:pPr>
    </w:p>
    <w:p>
      <w:pPr>
        <w:pStyle w:val="21"/>
        <w:shd w:val="clear"/>
        <w:rPr>
          <w:color w:val="auto"/>
          <w:sz w:val="21"/>
          <w:szCs w:val="21"/>
          <w:highlight w:val="none"/>
          <w:lang w:val="en-US"/>
        </w:rPr>
      </w:pPr>
    </w:p>
    <w:p>
      <w:pPr>
        <w:shd w:val="clear"/>
        <w:rPr>
          <w:bCs/>
          <w:color w:val="auto"/>
          <w:sz w:val="21"/>
          <w:szCs w:val="21"/>
          <w:highlight w:val="none"/>
        </w:rPr>
      </w:pPr>
      <w:r>
        <w:rPr>
          <w:rFonts w:hint="eastAsia"/>
          <w:bCs/>
          <w:color w:val="auto"/>
          <w:sz w:val="21"/>
          <w:szCs w:val="21"/>
          <w:highlight w:val="none"/>
        </w:rPr>
        <w:br w:type="page"/>
      </w:r>
    </w:p>
    <w:p>
      <w:pPr>
        <w:pStyle w:val="21"/>
        <w:shd w:val="clear"/>
        <w:jc w:val="left"/>
        <w:rPr>
          <w:color w:val="auto"/>
          <w:highlight w:val="none"/>
          <w:lang w:val="en-US"/>
        </w:rPr>
      </w:pPr>
      <w:r>
        <w:rPr>
          <w:rFonts w:hint="eastAsia"/>
          <w:color w:val="auto"/>
          <w:sz w:val="21"/>
          <w:szCs w:val="21"/>
          <w:highlight w:val="none"/>
          <w:lang w:val="en-US"/>
        </w:rPr>
        <w:t>附件一：</w:t>
      </w:r>
    </w:p>
    <w:p>
      <w:pPr>
        <w:shd w:val="clear"/>
        <w:jc w:val="center"/>
        <w:rPr>
          <w:rFonts w:ascii="Arial Unicode MS" w:hAnsi="黑体" w:eastAsia="Arial Unicode MS"/>
          <w:b/>
          <w:color w:val="auto"/>
          <w:sz w:val="44"/>
          <w:szCs w:val="44"/>
          <w:highlight w:val="none"/>
        </w:rPr>
      </w:pPr>
      <w:r>
        <w:rPr>
          <w:rFonts w:hint="eastAsia" w:ascii="Arial Unicode MS" w:hAnsi="黑体" w:eastAsia="Arial Unicode MS"/>
          <w:b/>
          <w:color w:val="auto"/>
          <w:sz w:val="44"/>
          <w:szCs w:val="44"/>
          <w:highlight w:val="none"/>
        </w:rPr>
        <w:t>阳光合作协议</w:t>
      </w:r>
    </w:p>
    <w:p>
      <w:pPr>
        <w:shd w:val="clear"/>
        <w:spacing w:before="156" w:beforeLines="50" w:after="156"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p>
    <w:p>
      <w:pPr>
        <w:shd w:val="clear"/>
        <w:spacing w:before="156" w:beforeLines="50" w:after="156"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hd w:val="clear"/>
        <w:spacing w:line="400" w:lineRule="exact"/>
        <w:rPr>
          <w:color w:val="auto"/>
          <w:sz w:val="21"/>
          <w:szCs w:val="21"/>
          <w:highlight w:val="none"/>
        </w:rPr>
      </w:pPr>
      <w:r>
        <w:rPr>
          <w:rFonts w:hint="eastAsia" w:hAnsi="宋体"/>
          <w:color w:val="auto"/>
          <w:sz w:val="21"/>
          <w:szCs w:val="21"/>
          <w:highlight w:val="none"/>
        </w:rPr>
        <w:t xml:space="preserve">   甲乙双方于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日签署了《          合同》（以下简称原合同），为加强双方阳光合作，保证职员职业安全，甲乙双方经协商签订本协议并作为双方共同遵守的阳光合作行为准则。</w:t>
      </w:r>
    </w:p>
    <w:p>
      <w:pPr>
        <w:shd w:val="clea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一、甲方责任</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shd w:val="clea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二、乙方责任</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举报受理部门：东莞实业投资控股集团有限公司法律合规部</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东实集团举报邮箱：dgsyxf@163.com</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东实集团举报电话：0769-28820703（周一至周五9:00-12:00和14:00-18:00）</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邮寄地址：东莞市东城区八一路1号机关二号大院9号楼，东莞实业投资控股集团有限公司法律合规部收，邮编523000。</w:t>
      </w:r>
    </w:p>
    <w:p>
      <w:pPr>
        <w:shd w:val="clea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三、其他</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hd w:val="clear"/>
        <w:adjustRightInd/>
        <w:spacing w:before="156" w:beforeLines="50" w:after="156" w:afterLines="50" w:line="360" w:lineRule="auto"/>
        <w:ind w:firstLine="420" w:firstLineChars="200"/>
        <w:contextualSpacing/>
        <w:rPr>
          <w:rFonts w:hAnsi="宋体"/>
          <w:color w:val="auto"/>
          <w:sz w:val="21"/>
          <w:szCs w:val="21"/>
          <w:highlight w:val="none"/>
        </w:rPr>
      </w:pPr>
    </w:p>
    <w:p>
      <w:pPr>
        <w:shd w:val="clea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hd w:val="clear"/>
        <w:adjustRightInd/>
        <w:spacing w:before="156" w:beforeLines="50" w:after="156" w:afterLines="50" w:line="360" w:lineRule="auto"/>
        <w:ind w:firstLine="420" w:firstLineChars="200"/>
        <w:contextualSpacing/>
        <w:rPr>
          <w:rFonts w:hAnsi="宋体"/>
          <w:color w:val="auto"/>
          <w:sz w:val="21"/>
          <w:szCs w:val="21"/>
          <w:highlight w:val="none"/>
        </w:rPr>
      </w:pPr>
    </w:p>
    <w:p>
      <w:pPr>
        <w:shd w:val="clea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hAnsi="宋体"/>
          <w:color w:val="auto"/>
          <w:sz w:val="21"/>
          <w:szCs w:val="21"/>
          <w:highlight w:val="none"/>
        </w:rPr>
        <w:t>法定代表人（授权代表）：</w:t>
      </w:r>
    </w:p>
    <w:p>
      <w:pPr>
        <w:shd w:val="clear"/>
        <w:adjustRightInd/>
        <w:spacing w:before="156" w:beforeLines="50" w:after="156" w:afterLines="50" w:line="360" w:lineRule="auto"/>
        <w:ind w:firstLine="420" w:firstLineChars="200"/>
        <w:contextualSpacing/>
        <w:rPr>
          <w:rFonts w:hAnsi="宋体"/>
          <w:color w:val="auto"/>
          <w:sz w:val="21"/>
          <w:szCs w:val="21"/>
          <w:highlight w:val="none"/>
        </w:rPr>
      </w:pPr>
    </w:p>
    <w:p>
      <w:pPr>
        <w:shd w:val="clea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79" w:name="现场签证通知单"/>
      <w:bookmarkEnd w:id="179"/>
      <w:bookmarkStart w:id="180" w:name="设计变更通知单"/>
      <w:bookmarkEnd w:id="180"/>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hAnsi="宋体"/>
          <w:color w:val="auto"/>
          <w:sz w:val="21"/>
          <w:szCs w:val="21"/>
          <w:highlight w:val="none"/>
        </w:rPr>
        <w:t>签约日期：   年   月   日</w:t>
      </w:r>
    </w:p>
    <w:p>
      <w:pPr>
        <w:pStyle w:val="21"/>
        <w:shd w:val="clear"/>
        <w:rPr>
          <w:color w:val="auto"/>
          <w:highlight w:val="none"/>
          <w:lang w:val="en-US"/>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hd w:val="clear"/>
        <w:spacing w:line="360" w:lineRule="auto"/>
        <w:jc w:val="center"/>
        <w:rPr>
          <w:rFonts w:asciiTheme="minorEastAsia" w:hAnsiTheme="minorEastAsia" w:eastAsiaTheme="minorEastAsia" w:cstheme="minorEastAsia"/>
          <w:b/>
          <w:color w:val="auto"/>
          <w:kern w:val="2"/>
          <w:sz w:val="21"/>
          <w:szCs w:val="21"/>
          <w:highlight w:val="none"/>
        </w:rPr>
      </w:pPr>
      <w:r>
        <w:rPr>
          <w:rFonts w:hint="eastAsia"/>
          <w:bCs/>
          <w:color w:val="auto"/>
          <w:sz w:val="21"/>
          <w:szCs w:val="21"/>
          <w:highlight w:val="none"/>
        </w:rPr>
        <w:t>附件二：</w:t>
      </w:r>
      <w:r>
        <w:rPr>
          <w:rFonts w:hint="eastAsia" w:asciiTheme="minorEastAsia" w:hAnsiTheme="minorEastAsia" w:eastAsiaTheme="minorEastAsia" w:cstheme="minorEastAsia"/>
          <w:b/>
          <w:color w:val="auto"/>
          <w:kern w:val="2"/>
          <w:sz w:val="21"/>
          <w:szCs w:val="21"/>
          <w:highlight w:val="none"/>
        </w:rPr>
        <w:t>维修保养工作考评办法</w:t>
      </w:r>
    </w:p>
    <w:p>
      <w:pPr>
        <w:numPr>
          <w:ilvl w:val="0"/>
          <w:numId w:val="19"/>
        </w:numPr>
        <w:shd w:val="clear"/>
        <w:spacing w:line="360" w:lineRule="auto"/>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目的</w:t>
      </w:r>
    </w:p>
    <w:p>
      <w:pPr>
        <w:shd w:val="clear"/>
        <w:spacing w:line="360" w:lineRule="auto"/>
        <w:ind w:left="360" w:firstLine="210" w:firstLineChars="100"/>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为落实维修保养合同内容，对维修保养工作按月进行考核，并依据考核扣分</w:t>
      </w:r>
    </w:p>
    <w:p>
      <w:pPr>
        <w:shd w:val="clear"/>
        <w:spacing w:line="360" w:lineRule="auto"/>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情况，按百分制在结算月保养费时作为扣除维保费用的依据。</w:t>
      </w:r>
    </w:p>
    <w:p>
      <w:pPr>
        <w:numPr>
          <w:ilvl w:val="0"/>
          <w:numId w:val="19"/>
        </w:numPr>
        <w:shd w:val="clear"/>
        <w:spacing w:line="360" w:lineRule="auto"/>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使用范围</w:t>
      </w:r>
      <w:r>
        <w:rPr>
          <w:rFonts w:hint="eastAsia" w:asciiTheme="minorEastAsia" w:hAnsiTheme="minorEastAsia" w:eastAsiaTheme="minorEastAsia" w:cstheme="minorEastAsia"/>
          <w:b/>
          <w:color w:val="auto"/>
          <w:kern w:val="2"/>
          <w:sz w:val="21"/>
          <w:szCs w:val="21"/>
          <w:highlight w:val="none"/>
        </w:rPr>
        <w:t xml:space="preserve"> </w:t>
      </w:r>
    </w:p>
    <w:p>
      <w:pPr>
        <w:shd w:val="clear"/>
        <w:ind w:left="480" w:leftChars="200"/>
        <w:jc w:val="both"/>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适用松山湖国际创新创业社区维保方。</w:t>
      </w:r>
    </w:p>
    <w:p>
      <w:pPr>
        <w:numPr>
          <w:ilvl w:val="0"/>
          <w:numId w:val="19"/>
        </w:numPr>
        <w:shd w:val="clear"/>
        <w:spacing w:line="360" w:lineRule="auto"/>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考评规则</w:t>
      </w:r>
    </w:p>
    <w:p>
      <w:pPr>
        <w:numPr>
          <w:ilvl w:val="1"/>
          <w:numId w:val="19"/>
        </w:numPr>
        <w:shd w:val="clear"/>
        <w:spacing w:line="360" w:lineRule="auto"/>
        <w:jc w:val="both"/>
        <w:rPr>
          <w:rFonts w:ascii="等线" w:hAnsi="等线" w:eastAsia="等线" w:cs="等线"/>
          <w:color w:val="auto"/>
          <w:kern w:val="2"/>
          <w:szCs w:val="21"/>
          <w:highlight w:val="none"/>
        </w:rPr>
      </w:pPr>
      <w:r>
        <w:rPr>
          <w:rFonts w:hint="eastAsia" w:ascii="等线" w:hAnsi="等线" w:eastAsia="等线" w:cs="等线"/>
          <w:color w:val="auto"/>
          <w:kern w:val="2"/>
          <w:szCs w:val="21"/>
          <w:highlight w:val="none"/>
        </w:rPr>
        <w:t>考评以100分为完全合格。</w:t>
      </w:r>
    </w:p>
    <w:p>
      <w:pPr>
        <w:numPr>
          <w:ilvl w:val="1"/>
          <w:numId w:val="19"/>
        </w:numPr>
        <w:shd w:val="clear"/>
        <w:spacing w:line="360" w:lineRule="auto"/>
        <w:jc w:val="both"/>
        <w:rPr>
          <w:rFonts w:ascii="等线" w:hAnsi="等线" w:eastAsia="等线" w:cs="等线"/>
          <w:color w:val="auto"/>
          <w:kern w:val="2"/>
          <w:szCs w:val="21"/>
          <w:highlight w:val="none"/>
        </w:rPr>
      </w:pPr>
      <w:r>
        <w:rPr>
          <w:rFonts w:hint="eastAsia" w:ascii="等线" w:hAnsi="等线" w:eastAsia="等线" w:cs="等线"/>
          <w:color w:val="auto"/>
          <w:kern w:val="2"/>
          <w:szCs w:val="21"/>
          <w:highlight w:val="none"/>
        </w:rPr>
        <w:t>每月考评分至95分以上（含95分）为合格。</w:t>
      </w:r>
    </w:p>
    <w:p>
      <w:pPr>
        <w:numPr>
          <w:ilvl w:val="1"/>
          <w:numId w:val="19"/>
        </w:numPr>
        <w:shd w:val="clear"/>
        <w:spacing w:line="360" w:lineRule="auto"/>
        <w:jc w:val="both"/>
        <w:rPr>
          <w:rFonts w:ascii="等线" w:hAnsi="等线" w:eastAsia="等线" w:cs="等线"/>
          <w:color w:val="auto"/>
          <w:kern w:val="2"/>
          <w:szCs w:val="21"/>
          <w:highlight w:val="none"/>
        </w:rPr>
      </w:pPr>
      <w:r>
        <w:rPr>
          <w:rFonts w:hint="eastAsia" w:ascii="等线" w:hAnsi="等线" w:eastAsia="等线" w:cs="等线"/>
          <w:color w:val="auto"/>
          <w:kern w:val="2"/>
          <w:szCs w:val="21"/>
          <w:highlight w:val="none"/>
        </w:rPr>
        <w:t>每月考评分低于95分后，每分扣除当月维修保养费</w:t>
      </w:r>
      <w:r>
        <w:rPr>
          <w:rFonts w:ascii="等线" w:hAnsi="等线" w:eastAsia="等线" w:cs="等线"/>
          <w:color w:val="auto"/>
          <w:kern w:val="2"/>
          <w:szCs w:val="21"/>
          <w:highlight w:val="none"/>
        </w:rPr>
        <w:t>2</w:t>
      </w:r>
      <w:r>
        <w:rPr>
          <w:rFonts w:hint="eastAsia" w:ascii="等线" w:hAnsi="等线" w:eastAsia="等线" w:cs="等线"/>
          <w:color w:val="auto"/>
          <w:kern w:val="2"/>
          <w:szCs w:val="21"/>
          <w:highlight w:val="none"/>
        </w:rPr>
        <w:t>00元。</w:t>
      </w:r>
    </w:p>
    <w:p>
      <w:pPr>
        <w:numPr>
          <w:ilvl w:val="1"/>
          <w:numId w:val="19"/>
        </w:numPr>
        <w:shd w:val="clear"/>
        <w:spacing w:line="360" w:lineRule="auto"/>
        <w:jc w:val="both"/>
        <w:rPr>
          <w:rFonts w:ascii="等线" w:hAnsi="等线" w:eastAsia="等线" w:cs="等线"/>
          <w:color w:val="auto"/>
          <w:kern w:val="2"/>
          <w:szCs w:val="21"/>
          <w:highlight w:val="none"/>
        </w:rPr>
      </w:pPr>
      <w:r>
        <w:rPr>
          <w:rFonts w:hint="eastAsia" w:ascii="等线" w:hAnsi="等线" w:eastAsia="等线" w:cs="等线"/>
          <w:color w:val="auto"/>
          <w:kern w:val="2"/>
          <w:szCs w:val="21"/>
          <w:highlight w:val="none"/>
        </w:rPr>
        <w:t>每月评分低于9</w:t>
      </w:r>
      <w:r>
        <w:rPr>
          <w:rFonts w:ascii="等线" w:hAnsi="等线" w:eastAsia="等线" w:cs="等线"/>
          <w:color w:val="auto"/>
          <w:kern w:val="2"/>
          <w:szCs w:val="21"/>
          <w:highlight w:val="none"/>
        </w:rPr>
        <w:t>0</w:t>
      </w:r>
      <w:r>
        <w:rPr>
          <w:rFonts w:hint="eastAsia" w:ascii="等线" w:hAnsi="等线" w:eastAsia="等线" w:cs="等线"/>
          <w:color w:val="auto"/>
          <w:kern w:val="2"/>
          <w:szCs w:val="21"/>
          <w:highlight w:val="none"/>
        </w:rPr>
        <w:t>分后，每分扣除当月维修保养费</w:t>
      </w:r>
      <w:r>
        <w:rPr>
          <w:rFonts w:ascii="等线" w:hAnsi="等线" w:eastAsia="等线" w:cs="等线"/>
          <w:color w:val="auto"/>
          <w:kern w:val="2"/>
          <w:szCs w:val="21"/>
          <w:highlight w:val="none"/>
        </w:rPr>
        <w:t>5</w:t>
      </w:r>
      <w:r>
        <w:rPr>
          <w:rFonts w:hint="eastAsia" w:ascii="等线" w:hAnsi="等线" w:eastAsia="等线" w:cs="等线"/>
          <w:color w:val="auto"/>
          <w:kern w:val="2"/>
          <w:szCs w:val="21"/>
          <w:highlight w:val="none"/>
        </w:rPr>
        <w:t>00元。</w:t>
      </w:r>
    </w:p>
    <w:p>
      <w:pPr>
        <w:numPr>
          <w:ilvl w:val="1"/>
          <w:numId w:val="19"/>
        </w:numPr>
        <w:shd w:val="clear"/>
        <w:spacing w:line="360" w:lineRule="auto"/>
        <w:jc w:val="both"/>
        <w:rPr>
          <w:rFonts w:ascii="等线" w:hAnsi="等线" w:eastAsia="等线" w:cs="等线"/>
          <w:color w:val="auto"/>
          <w:kern w:val="2"/>
          <w:szCs w:val="21"/>
          <w:highlight w:val="none"/>
        </w:rPr>
      </w:pPr>
      <w:r>
        <w:rPr>
          <w:rFonts w:hint="eastAsia" w:ascii="等线" w:hAnsi="等线" w:eastAsia="等线" w:cs="等线"/>
          <w:color w:val="auto"/>
          <w:kern w:val="2"/>
          <w:szCs w:val="21"/>
          <w:highlight w:val="none"/>
        </w:rPr>
        <w:t>甲方将以双方签字认可的月考评记录，作为是否扣除相应款项的依据。</w:t>
      </w:r>
    </w:p>
    <w:p>
      <w:pPr>
        <w:pStyle w:val="2"/>
        <w:numPr>
          <w:ilvl w:val="1"/>
          <w:numId w:val="19"/>
        </w:numPr>
        <w:shd w:val="clear"/>
        <w:rPr>
          <w:color w:val="auto"/>
          <w:highlight w:val="none"/>
        </w:rPr>
      </w:pPr>
      <w:r>
        <w:rPr>
          <w:rFonts w:ascii="等线" w:hAnsi="等线" w:eastAsia="等线" w:cs="等线"/>
          <w:color w:val="auto"/>
          <w:kern w:val="2"/>
          <w:sz w:val="21"/>
          <w:szCs w:val="21"/>
          <w:highlight w:val="none"/>
        </w:rPr>
        <w:t>考评分低于</w:t>
      </w:r>
      <w:r>
        <w:rPr>
          <w:rFonts w:hint="eastAsia" w:ascii="等线" w:hAnsi="等线" w:eastAsia="等线" w:cs="等线"/>
          <w:color w:val="auto"/>
          <w:kern w:val="2"/>
          <w:sz w:val="21"/>
          <w:szCs w:val="21"/>
          <w:highlight w:val="none"/>
        </w:rPr>
        <w:t>8</w:t>
      </w:r>
      <w:r>
        <w:rPr>
          <w:rFonts w:ascii="等线" w:hAnsi="等线" w:eastAsia="等线" w:cs="等线"/>
          <w:color w:val="auto"/>
          <w:kern w:val="2"/>
          <w:sz w:val="21"/>
          <w:szCs w:val="21"/>
          <w:highlight w:val="none"/>
        </w:rPr>
        <w:t>0分，甲方有权无条件提前终止合同。</w:t>
      </w:r>
    </w:p>
    <w:p>
      <w:pPr>
        <w:shd w:val="clear"/>
        <w:spacing w:line="360" w:lineRule="auto"/>
        <w:ind w:left="360"/>
        <w:jc w:val="center"/>
        <w:rPr>
          <w:rFonts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br w:type="page"/>
      </w:r>
      <w:r>
        <w:rPr>
          <w:rFonts w:hint="eastAsia" w:asciiTheme="minorEastAsia" w:hAnsiTheme="minorEastAsia" w:eastAsiaTheme="minorEastAsia" w:cstheme="minorEastAsia"/>
          <w:b/>
          <w:bCs/>
          <w:color w:val="auto"/>
          <w:kern w:val="2"/>
          <w:sz w:val="21"/>
          <w:szCs w:val="21"/>
          <w:highlight w:val="none"/>
        </w:rPr>
        <w:t>维修保养工作评定内容及细则</w:t>
      </w:r>
    </w:p>
    <w:tbl>
      <w:tblPr>
        <w:tblStyle w:val="52"/>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0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序号</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内容</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奖惩标准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60" w:type="dxa"/>
            <w:gridSpan w:val="3"/>
          </w:tcPr>
          <w:p>
            <w:pPr>
              <w:shd w:val="clear"/>
              <w:spacing w:line="320" w:lineRule="exact"/>
              <w:jc w:val="center"/>
              <w:rPr>
                <w:rFonts w:hAnsi="宋体"/>
                <w:color w:val="auto"/>
                <w:kern w:val="2"/>
                <w:highlight w:val="none"/>
              </w:rPr>
            </w:pPr>
            <w:r>
              <w:rPr>
                <w:rFonts w:hint="eastAsia" w:hAnsi="宋体"/>
                <w:color w:val="auto"/>
                <w:kern w:val="2"/>
                <w:highlight w:val="none"/>
              </w:rPr>
              <w:t>一、日常管理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未能遵守各项规章制度</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维修人员未能具备东莞市及有关行业的上岗证书</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提供给我方的相关联系人电话能保持24小时畅通</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在接到我部紧急维修通知后，维修人员未能在60分钟内赶到现场</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未按合同内容进行维修，又未提前知会原因的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每次的维修保养工作完成后，未能作工作记录，并由我部人员签收</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在维修保养过程中，有违反安全操作及造成隐患的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8</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在维修保养过程中，受到客户投诉的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9</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在维修保养过程中，出现重大事故的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10</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在维修保养过程中，能发现问题及隐患的并及时处理的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每次奖1-5分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在维修保养过程中，受到客户表扬的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每次奖1-5分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每月最后一周未能提交下月工作计划</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维保工作人员每天参与维保工作现场每发现少一名工作人员的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客户审查每发现一处消防系统不符合项的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政府日常检查每发现一处消防系统不符合项的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hd w:val="clear"/>
              <w:spacing w:line="320" w:lineRule="exact"/>
              <w:jc w:val="center"/>
              <w:rPr>
                <w:rFonts w:hAnsi="宋体"/>
                <w:color w:val="auto"/>
                <w:kern w:val="2"/>
                <w:highlight w:val="none"/>
              </w:rPr>
            </w:pPr>
            <w:r>
              <w:rPr>
                <w:rFonts w:hint="eastAsia" w:hAnsi="宋体"/>
                <w:color w:val="auto"/>
                <w:kern w:val="2"/>
                <w:highlight w:val="none"/>
              </w:rPr>
              <w:t>16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保养计划内容不全面完整，维保记录表格不能反映事情的本质和处理结果的</w:t>
            </w:r>
          </w:p>
        </w:tc>
        <w:tc>
          <w:tcPr>
            <w:tcW w:w="2160" w:type="dxa"/>
            <w:vAlign w:val="center"/>
          </w:tcPr>
          <w:p>
            <w:pPr>
              <w:shd w:val="clear"/>
              <w:spacing w:line="320" w:lineRule="exact"/>
              <w:jc w:val="center"/>
              <w:rPr>
                <w:rFonts w:hAnsi="宋体"/>
                <w:color w:val="auto"/>
                <w:kern w:val="2"/>
                <w:highlight w:val="none"/>
              </w:rPr>
            </w:pPr>
            <w:r>
              <w:rPr>
                <w:rFonts w:hint="eastAsia" w:hAnsi="宋体"/>
                <w:color w:val="auto"/>
                <w:kern w:val="2"/>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60" w:type="dxa"/>
            <w:gridSpan w:val="3"/>
          </w:tcPr>
          <w:p>
            <w:pPr>
              <w:shd w:val="clear"/>
              <w:spacing w:line="320" w:lineRule="exact"/>
              <w:jc w:val="center"/>
              <w:rPr>
                <w:rFonts w:hAnsi="宋体"/>
                <w:color w:val="auto"/>
                <w:kern w:val="2"/>
                <w:highlight w:val="none"/>
              </w:rPr>
            </w:pPr>
            <w:r>
              <w:rPr>
                <w:rFonts w:hint="eastAsia" w:hAnsi="宋体"/>
                <w:b/>
                <w:bCs/>
                <w:color w:val="auto"/>
                <w:kern w:val="2"/>
                <w:highlight w:val="none"/>
              </w:rPr>
              <w:t>二、消防系统保养考评内容一（火灾报警系统)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每月未按计划完成中文图文终端系统及电脑、打印机维护保养的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每月未按计划对智能火灾报警控制主机联网系统进行维修保养的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每月未按计划对消防设备监控及控箱及联动面板进行维修保养的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每月未能按计划对UPS不中断电源进行保养的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每月未按计划对烟感、温感、控测器进行维护保养的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每月未按计划对消防电话进行测试、维修保养的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未按计划对破玻璃报警按钮进行试验、维修保养的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8</w:t>
            </w:r>
          </w:p>
        </w:tc>
        <w:tc>
          <w:tcPr>
            <w:tcW w:w="7020" w:type="dxa"/>
          </w:tcPr>
          <w:p>
            <w:pPr>
              <w:shd w:val="clear"/>
              <w:tabs>
                <w:tab w:val="left" w:pos="180"/>
              </w:tabs>
              <w:spacing w:line="320" w:lineRule="exact"/>
              <w:jc w:val="both"/>
              <w:rPr>
                <w:rFonts w:hAnsi="宋体"/>
                <w:color w:val="auto"/>
                <w:kern w:val="2"/>
                <w:highlight w:val="none"/>
              </w:rPr>
            </w:pPr>
            <w:r>
              <w:rPr>
                <w:rFonts w:hint="eastAsia" w:hAnsi="宋体"/>
                <w:color w:val="auto"/>
                <w:kern w:val="2"/>
                <w:highlight w:val="none"/>
              </w:rPr>
              <w:t>未按计划对模块箱、继电器箱进行维修保养的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9</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未按对外设24V电源进行维护保养的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10</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检查湿式报警阀完好状态，水力警铃完好状态，功能测试正常</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未按计划对警钟外表清洁、测试的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12</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火灾自动报警主机声、光显示及外设警示设备有故障，每发现一次</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13</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火灾探测器和手动报警器不能正常巡检，报警有故障，每发现一次</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14</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主备电源不能正常切换，每发现一次</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15</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火警联动设备不能按正确指令打开的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hd w:val="clear"/>
              <w:spacing w:line="320" w:lineRule="exact"/>
              <w:jc w:val="center"/>
              <w:rPr>
                <w:rFonts w:hAnsi="宋体"/>
                <w:color w:val="auto"/>
                <w:kern w:val="2"/>
                <w:highlight w:val="none"/>
              </w:rPr>
            </w:pPr>
            <w:r>
              <w:rPr>
                <w:rFonts w:hint="eastAsia" w:hAnsi="宋体"/>
                <w:color w:val="auto"/>
                <w:kern w:val="2"/>
                <w:highlight w:val="none"/>
              </w:rPr>
              <w:t>16</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喷淋水泵、消火栓水泵、送风机、排风机、防火卷帘与FAS系统不能联动的</w:t>
            </w:r>
          </w:p>
        </w:tc>
        <w:tc>
          <w:tcPr>
            <w:tcW w:w="2160" w:type="dxa"/>
            <w:vAlign w:val="center"/>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17</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气体灭火系统没有反馈的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18</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联动柜故障的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19</w:t>
            </w:r>
          </w:p>
        </w:tc>
        <w:tc>
          <w:tcPr>
            <w:tcW w:w="7020" w:type="dxa"/>
          </w:tcPr>
          <w:p>
            <w:pPr>
              <w:shd w:val="clear"/>
              <w:spacing w:line="320" w:lineRule="exact"/>
              <w:jc w:val="center"/>
              <w:rPr>
                <w:rFonts w:hAnsi="宋体"/>
                <w:color w:val="auto"/>
                <w:kern w:val="2"/>
                <w:highlight w:val="none"/>
              </w:rPr>
            </w:pPr>
            <w:r>
              <w:rPr>
                <w:rFonts w:hint="eastAsia" w:hAnsi="宋体"/>
                <w:color w:val="auto"/>
                <w:kern w:val="2"/>
                <w:highlight w:val="none"/>
              </w:rPr>
              <w:t>联动警铃、广播故障的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gridSpan w:val="3"/>
          </w:tcPr>
          <w:p>
            <w:pPr>
              <w:shd w:val="clear"/>
              <w:spacing w:line="320" w:lineRule="exact"/>
              <w:jc w:val="center"/>
              <w:rPr>
                <w:rFonts w:hAnsi="宋体"/>
                <w:color w:val="auto"/>
                <w:kern w:val="2"/>
                <w:highlight w:val="none"/>
              </w:rPr>
            </w:pPr>
            <w:r>
              <w:rPr>
                <w:rFonts w:hint="eastAsia" w:hAnsi="宋体"/>
                <w:b/>
                <w:bCs/>
                <w:color w:val="auto"/>
                <w:kern w:val="2"/>
                <w:highlight w:val="none"/>
              </w:rPr>
              <w:t>三、喷淋及消火栓系统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未按计划对消火栓箱进行维护保养的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未按计划对消火栓水泵自动、手动启动测试的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未按计划对水泵上油及轴承润滑的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未按计划对对控制柜进行维护保养的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未按计划对进行系统防水试验的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未按计划对消防水池进行清洗、消防泵进行维护保养的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未按计划完成湿示报警阀、信号闸阀、压力开关、压力表进行维护保养的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8</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未按计划对水流指示器、水力警铃、信号反馈进行测试的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9</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未按计划对消防水池球阀控制及状态进行维护测试的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10</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未按对清理排水沟和卫生维护的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室内消火栓、喷淋有故障的，每发现一次</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不能启动运转喷淋泵的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报警阀放水试验供水、压力开关、水力警铃报警存在故障的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末端排水，水流指示器报警故障的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消防水池储水量未到达规定水位，水质浑浊的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各阀门开闭及铅封有异常的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喷淋管道有跑、冒、漏、滴现象的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18</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各供电线路不正常的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19</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不能启动运转消防泵的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20</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主、备泵不能正常切换的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各阀门启闭有故障的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消火栓管道有跑、冒、漏、滴现象的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消防栓内未进行清洁的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消防栓内水带发霉变质未及时更换的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gridSpan w:val="3"/>
          </w:tcPr>
          <w:p>
            <w:pPr>
              <w:shd w:val="clear"/>
              <w:spacing w:line="320" w:lineRule="exact"/>
              <w:jc w:val="center"/>
              <w:rPr>
                <w:rFonts w:hAnsi="宋体"/>
                <w:color w:val="auto"/>
                <w:kern w:val="2"/>
                <w:highlight w:val="none"/>
              </w:rPr>
            </w:pPr>
            <w:r>
              <w:rPr>
                <w:rFonts w:hint="eastAsia" w:hAnsi="宋体"/>
                <w:b/>
                <w:color w:val="auto"/>
                <w:kern w:val="2"/>
                <w:highlight w:val="none"/>
              </w:rPr>
              <w:t>四、防排烟系统及防火卷帘系统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未按计划对防排烟风机手动启动测试的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未按计划对联动状态进行测试检查的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未按计划对各楼层风阀进行清洁维护的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未按计划对各风机控制柜进行维护保养的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未按计划对给风机轴承润滑的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未按计划对对各风房进行维护清洁的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对防火卷帘未按计划进行清洁、维护保养的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8</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未按计划对防火卷帘进行手动测试的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9</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未按计划对防火卷帘进行联动测试的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10</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未按计划进行火灾模拟似测试的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hd w:val="clear"/>
              <w:spacing w:line="320" w:lineRule="exact"/>
              <w:jc w:val="center"/>
              <w:rPr>
                <w:rFonts w:hAnsi="宋体"/>
                <w:color w:val="auto"/>
                <w:kern w:val="2"/>
                <w:highlight w:val="none"/>
              </w:rPr>
            </w:pPr>
            <w:r>
              <w:rPr>
                <w:rFonts w:hint="eastAsia" w:hAnsi="宋体"/>
                <w:color w:val="auto"/>
                <w:kern w:val="2"/>
                <w:highlight w:val="none"/>
              </w:rPr>
              <w:t>11</w:t>
            </w:r>
          </w:p>
        </w:tc>
        <w:tc>
          <w:tcPr>
            <w:tcW w:w="7020" w:type="dxa"/>
          </w:tcPr>
          <w:p>
            <w:pPr>
              <w:shd w:val="clear"/>
              <w:spacing w:line="320" w:lineRule="exact"/>
              <w:rPr>
                <w:rFonts w:hAnsi="宋体"/>
                <w:color w:val="auto"/>
                <w:kern w:val="2"/>
                <w:highlight w:val="none"/>
              </w:rPr>
            </w:pPr>
            <w:r>
              <w:rPr>
                <w:rFonts w:hint="eastAsia" w:hAnsi="宋体"/>
                <w:color w:val="auto"/>
                <w:kern w:val="2"/>
                <w:highlight w:val="none"/>
              </w:rPr>
              <w:t>防火卷帘门、正压送风、机械排烟、声光报警、消防电梯联动功能测试有故障的，每发现一次</w:t>
            </w:r>
          </w:p>
        </w:tc>
        <w:tc>
          <w:tcPr>
            <w:tcW w:w="2160" w:type="dxa"/>
            <w:vAlign w:val="center"/>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风机故障未及时修复的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风机控制箱的灰尘未进行清洁的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未对控制柜接线螺丝松动进行紧固处理的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风机皮带是松动未及时更换的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防火门不能正常开关，闭门器有故障的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防火卷帘门不能远程及就地控制启停的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18</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防火卷帘门门框损坏未及时修复的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19</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未对控制箱灰尘进行清理的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20</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未对齿轮轴承等传动机构进行润滑处理的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gridSpan w:val="3"/>
          </w:tcPr>
          <w:p>
            <w:pPr>
              <w:shd w:val="clear"/>
              <w:spacing w:line="320" w:lineRule="exact"/>
              <w:jc w:val="center"/>
              <w:rPr>
                <w:rFonts w:hAnsi="宋体"/>
                <w:color w:val="auto"/>
                <w:kern w:val="2"/>
                <w:highlight w:val="none"/>
              </w:rPr>
            </w:pPr>
            <w:r>
              <w:rPr>
                <w:rFonts w:hint="eastAsia" w:hAnsi="宋体"/>
                <w:b/>
                <w:bCs/>
                <w:color w:val="auto"/>
                <w:kern w:val="2"/>
                <w:highlight w:val="none"/>
              </w:rPr>
              <w:t>五、消防广播系统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未按计划清理机柜表面及内部的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未按计划检查扩音器、管理器及工作电源的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未按计划检查CD机、收音机、扬声器的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未按计划对消防喇叭进行维护保养的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未按计划对手与自动切换功能进行测试的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主机功能故障未及时发现或修复的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广播喇叭无声响一处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8</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控制设备故障</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gridSpan w:val="3"/>
          </w:tcPr>
          <w:p>
            <w:pPr>
              <w:shd w:val="clear"/>
              <w:spacing w:line="320" w:lineRule="exact"/>
              <w:jc w:val="center"/>
              <w:rPr>
                <w:rFonts w:hAnsi="宋体"/>
                <w:color w:val="auto"/>
                <w:kern w:val="2"/>
                <w:highlight w:val="none"/>
              </w:rPr>
            </w:pPr>
            <w:r>
              <w:rPr>
                <w:rFonts w:hint="eastAsia" w:hAnsi="宋体"/>
                <w:b/>
                <w:color w:val="auto"/>
                <w:kern w:val="2"/>
                <w:highlight w:val="none"/>
              </w:rPr>
              <w:t>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未按计划清理主机表面的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未按计划检查固定式消防电话的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未按计划清洁各分机的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未按计划检查测试各输出线路绝缘电阻和对地电阻的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未按计划检查各楼层分机主叫和被叫通话质量的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主机功能故障未及时发现或修复的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消防电话损坏一处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8</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电话未清洁</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9</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机房、水泵房消防电话不能与中控室进行对讲的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gridSpan w:val="3"/>
          </w:tcPr>
          <w:p>
            <w:pPr>
              <w:shd w:val="clear"/>
              <w:spacing w:line="320" w:lineRule="exact"/>
              <w:jc w:val="center"/>
              <w:rPr>
                <w:rFonts w:hAnsi="宋体"/>
                <w:color w:val="auto"/>
                <w:kern w:val="2"/>
                <w:highlight w:val="none"/>
              </w:rPr>
            </w:pPr>
            <w:r>
              <w:rPr>
                <w:rFonts w:hint="eastAsia" w:hAnsi="宋体"/>
                <w:b/>
                <w:color w:val="auto"/>
                <w:kern w:val="2"/>
                <w:highlight w:val="none"/>
              </w:rPr>
              <w:t>七、七氟丙烷气体灭火系统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未按计划清洁机箱内外、控测器、闪灯、警铃、警笛卫生的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未按计划检查各控制器工作电压和蓄电池电压及接线端子的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未按计划检查CO</w:t>
            </w:r>
            <w:r>
              <w:rPr>
                <w:color w:val="auto"/>
                <w:kern w:val="2"/>
                <w:highlight w:val="none"/>
              </w:rPr>
              <w:t>₂</w:t>
            </w:r>
            <w:r>
              <w:rPr>
                <w:rFonts w:hint="eastAsia" w:hAnsi="宋体"/>
                <w:color w:val="auto"/>
                <w:kern w:val="2"/>
                <w:highlight w:val="none"/>
              </w:rPr>
              <w:t>钢瓶组安装牢靠的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未按计划检查气瓶、阀门、管路表面、封签、保险带、安全阀的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未按计划检查称重装置有无报警的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6</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未按计划检查机械手动装置的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7</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未按计划检查压力装置和主机消音的、复位正常的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8</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未按计划检查试验烟感、温感报警及自动、手动启动电磁阀的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9</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未按计划进行手动释放装置检查的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10</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未按计划进行系统火灾模拟测试的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gridSpan w:val="3"/>
          </w:tcPr>
          <w:p>
            <w:pPr>
              <w:shd w:val="clear"/>
              <w:spacing w:line="320" w:lineRule="exact"/>
              <w:jc w:val="center"/>
              <w:rPr>
                <w:rFonts w:hAnsi="宋体"/>
                <w:color w:val="auto"/>
                <w:kern w:val="2"/>
                <w:highlight w:val="none"/>
              </w:rPr>
            </w:pPr>
            <w:r>
              <w:rPr>
                <w:rFonts w:hint="eastAsia" w:hAnsi="宋体"/>
                <w:b/>
                <w:color w:val="auto"/>
                <w:kern w:val="2"/>
                <w:highlight w:val="none"/>
              </w:rPr>
              <w:t>八、安全出口指示、应急照明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未按计划检查安全出口指示是否正常发光</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未按计划检查安全出口指示是否固定良好</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未按计划测试应急照明灯是否有效</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4</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应急灯不亮的，每次</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5</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指示灯不亮或老化未及时更换的</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gridSpan w:val="3"/>
          </w:tcPr>
          <w:p>
            <w:pPr>
              <w:shd w:val="clear"/>
              <w:spacing w:line="320" w:lineRule="exact"/>
              <w:jc w:val="center"/>
              <w:rPr>
                <w:rFonts w:hAnsi="宋体"/>
                <w:color w:val="auto"/>
                <w:kern w:val="2"/>
                <w:highlight w:val="none"/>
              </w:rPr>
            </w:pPr>
            <w:r>
              <w:rPr>
                <w:rFonts w:hint="eastAsia" w:hAnsi="宋体"/>
                <w:b/>
                <w:color w:val="auto"/>
                <w:kern w:val="2"/>
                <w:highlight w:val="none"/>
              </w:rPr>
              <w:t>八、灭火器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1</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灭火器过期未更换，每发现一次</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2</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灭火器未清洁的，每发现一次</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hd w:val="clear"/>
              <w:spacing w:line="320" w:lineRule="exact"/>
              <w:jc w:val="center"/>
              <w:rPr>
                <w:rFonts w:hAnsi="宋体"/>
                <w:color w:val="auto"/>
                <w:kern w:val="2"/>
                <w:highlight w:val="none"/>
              </w:rPr>
            </w:pPr>
            <w:r>
              <w:rPr>
                <w:rFonts w:hint="eastAsia" w:hAnsi="宋体"/>
                <w:color w:val="auto"/>
                <w:kern w:val="2"/>
                <w:highlight w:val="none"/>
              </w:rPr>
              <w:t>3</w:t>
            </w:r>
          </w:p>
        </w:tc>
        <w:tc>
          <w:tcPr>
            <w:tcW w:w="7020" w:type="dxa"/>
          </w:tcPr>
          <w:p>
            <w:pPr>
              <w:shd w:val="clear"/>
              <w:spacing w:line="320" w:lineRule="exact"/>
              <w:jc w:val="both"/>
              <w:rPr>
                <w:rFonts w:hAnsi="宋体"/>
                <w:color w:val="auto"/>
                <w:kern w:val="2"/>
                <w:highlight w:val="none"/>
              </w:rPr>
            </w:pPr>
            <w:r>
              <w:rPr>
                <w:rFonts w:hint="eastAsia" w:hAnsi="宋体"/>
                <w:color w:val="auto"/>
                <w:kern w:val="2"/>
                <w:highlight w:val="none"/>
              </w:rPr>
              <w:t>灭火器破损未更换，每发现一次</w:t>
            </w:r>
          </w:p>
        </w:tc>
        <w:tc>
          <w:tcPr>
            <w:tcW w:w="2160" w:type="dxa"/>
          </w:tcPr>
          <w:p>
            <w:pPr>
              <w:shd w:val="clear"/>
              <w:spacing w:line="320" w:lineRule="exact"/>
              <w:jc w:val="center"/>
              <w:rPr>
                <w:rFonts w:hAnsi="宋体"/>
                <w:color w:val="auto"/>
                <w:kern w:val="2"/>
                <w:highlight w:val="none"/>
              </w:rPr>
            </w:pPr>
            <w:r>
              <w:rPr>
                <w:rFonts w:hint="eastAsia" w:hAnsi="宋体"/>
                <w:color w:val="auto"/>
                <w:kern w:val="2"/>
                <w:highlight w:val="none"/>
              </w:rPr>
              <w:t>扣1分</w:t>
            </w:r>
          </w:p>
        </w:tc>
      </w:tr>
    </w:tbl>
    <w:p>
      <w:pPr>
        <w:pStyle w:val="21"/>
        <w:shd w:val="clear"/>
        <w:jc w:val="left"/>
        <w:rPr>
          <w:color w:val="auto"/>
          <w:sz w:val="21"/>
          <w:szCs w:val="21"/>
          <w:highlight w:val="none"/>
          <w:lang w:val="en-US"/>
        </w:rPr>
      </w:pPr>
    </w:p>
    <w:p>
      <w:pPr>
        <w:pStyle w:val="3"/>
        <w:keepNext/>
        <w:keepLines/>
        <w:pageBreakBefore/>
        <w:shd w:val="clear"/>
        <w:spacing w:line="360" w:lineRule="auto"/>
        <w:jc w:val="center"/>
        <w:rPr>
          <w:rFonts w:hAnsi="宋体"/>
          <w:b/>
          <w:bCs/>
          <w:color w:val="auto"/>
          <w:kern w:val="44"/>
          <w:sz w:val="28"/>
          <w:szCs w:val="28"/>
          <w:highlight w:val="none"/>
          <w:lang w:val="zh-CN"/>
        </w:rPr>
      </w:pPr>
      <w:bookmarkStart w:id="181" w:name="_Toc396137242"/>
      <w:bookmarkStart w:id="182" w:name="_Toc9129"/>
      <w:bookmarkStart w:id="183" w:name="_Toc8470"/>
      <w:r>
        <w:rPr>
          <w:rFonts w:hint="eastAsia" w:hAnsi="宋体"/>
          <w:b/>
          <w:bCs/>
          <w:color w:val="auto"/>
          <w:kern w:val="44"/>
          <w:sz w:val="28"/>
          <w:szCs w:val="28"/>
          <w:highlight w:val="none"/>
          <w:lang w:val="zh-CN"/>
        </w:rPr>
        <w:t>第六篇磋商响应文件格式</w:t>
      </w:r>
      <w:bookmarkEnd w:id="181"/>
      <w:bookmarkEnd w:id="182"/>
      <w:bookmarkEnd w:id="183"/>
    </w:p>
    <w:p>
      <w:pPr>
        <w:shd w:val="clear"/>
        <w:ind w:firstLine="1800" w:firstLineChars="750"/>
        <w:rPr>
          <w:rFonts w:hAnsi="宋体"/>
          <w:color w:val="auto"/>
          <w:highlight w:val="none"/>
        </w:rPr>
      </w:pPr>
    </w:p>
    <w:p>
      <w:pPr>
        <w:pStyle w:val="4"/>
        <w:jc w:val="center"/>
        <w:rPr>
          <w:rFonts w:hAnsi="宋体"/>
          <w:color w:val="auto"/>
          <w:highlight w:val="none"/>
        </w:rPr>
      </w:pPr>
      <w:bookmarkStart w:id="184" w:name="_Toc19311"/>
      <w:bookmarkStart w:id="185" w:name="_Toc9566"/>
      <w:r>
        <w:rPr>
          <w:rFonts w:hint="eastAsia"/>
          <w:color w:val="auto"/>
          <w:sz w:val="28"/>
          <w:szCs w:val="28"/>
          <w:highlight w:val="none"/>
        </w:rPr>
        <w:t>第一部分 价格文件（单独编制装订成册）</w:t>
      </w:r>
      <w:bookmarkEnd w:id="184"/>
      <w:bookmarkEnd w:id="185"/>
    </w:p>
    <w:p>
      <w:pPr>
        <w:pStyle w:val="4"/>
        <w:numPr>
          <w:ilvl w:val="0"/>
          <w:numId w:val="20"/>
        </w:numPr>
        <w:jc w:val="center"/>
        <w:rPr>
          <w:rFonts w:hAnsi="宋体"/>
          <w:color w:val="auto"/>
          <w:sz w:val="21"/>
          <w:szCs w:val="21"/>
          <w:highlight w:val="none"/>
        </w:rPr>
      </w:pPr>
      <w:bookmarkStart w:id="186" w:name="_Toc20730"/>
      <w:bookmarkStart w:id="187" w:name="_Toc21786"/>
      <w:bookmarkStart w:id="188" w:name="_Toc7897888"/>
      <w:bookmarkStart w:id="189" w:name="_Toc12373"/>
      <w:bookmarkStart w:id="190" w:name="_Toc28095"/>
      <w:bookmarkStart w:id="191" w:name="_Toc19671"/>
      <w:bookmarkStart w:id="192" w:name="_Toc454701406"/>
      <w:bookmarkStart w:id="193" w:name="_Toc32273"/>
      <w:bookmarkStart w:id="194" w:name="_Toc476976201"/>
      <w:bookmarkStart w:id="195" w:name="_Toc458262639"/>
      <w:bookmarkStart w:id="196" w:name="_Toc18848"/>
      <w:bookmarkStart w:id="197" w:name="_Toc30637"/>
      <w:bookmarkStart w:id="198" w:name="_Toc15960"/>
      <w:bookmarkStart w:id="199" w:name="_Toc12383"/>
      <w:bookmarkStart w:id="200" w:name="_Toc29841"/>
      <w:bookmarkStart w:id="201" w:name="_Toc2544"/>
      <w:bookmarkStart w:id="202" w:name="_Toc396137244"/>
      <w:bookmarkStart w:id="203" w:name="_Toc9348"/>
      <w:bookmarkStart w:id="204" w:name="_Toc467236769"/>
      <w:bookmarkStart w:id="205" w:name="_Toc32405"/>
      <w:bookmarkStart w:id="206" w:name="_Toc32736"/>
      <w:bookmarkStart w:id="207" w:name="_Toc486671573"/>
      <w:r>
        <w:rPr>
          <w:rFonts w:hint="eastAsia"/>
          <w:color w:val="auto"/>
          <w:sz w:val="28"/>
          <w:szCs w:val="28"/>
          <w:highlight w:val="none"/>
        </w:rPr>
        <w:t>报价一览表</w:t>
      </w:r>
      <w:bookmarkEnd w:id="186"/>
      <w:bookmarkEnd w:id="187"/>
      <w:bookmarkEnd w:id="188"/>
      <w:bookmarkEnd w:id="189"/>
    </w:p>
    <w:p>
      <w:pPr>
        <w:shd w:val="clear"/>
        <w:rPr>
          <w:rFonts w:hAnsi="宋体"/>
          <w:color w:val="auto"/>
          <w:sz w:val="21"/>
          <w:szCs w:val="21"/>
          <w:highlight w:val="none"/>
        </w:rPr>
      </w:pPr>
      <w:r>
        <w:rPr>
          <w:rFonts w:hint="eastAsia" w:hAnsi="宋体"/>
          <w:color w:val="auto"/>
          <w:sz w:val="21"/>
          <w:szCs w:val="21"/>
          <w:highlight w:val="none"/>
        </w:rPr>
        <w:t>供应商名称：</w:t>
      </w:r>
    </w:p>
    <w:p>
      <w:pPr>
        <w:shd w:val="clear"/>
        <w:rPr>
          <w:color w:val="auto"/>
          <w:sz w:val="21"/>
          <w:szCs w:val="21"/>
          <w:highlight w:val="none"/>
        </w:rPr>
      </w:pPr>
      <w:r>
        <w:rPr>
          <w:rFonts w:hint="eastAsia" w:hAnsi="宋体"/>
          <w:color w:val="auto"/>
          <w:sz w:val="21"/>
          <w:szCs w:val="21"/>
          <w:highlight w:val="none"/>
        </w:rPr>
        <w:t>采购项目编号：</w:t>
      </w:r>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3"/>
        <w:gridCol w:w="2023"/>
        <w:gridCol w:w="1496"/>
        <w:gridCol w:w="1230"/>
        <w:gridCol w:w="2511"/>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shd w:val="clear"/>
              <w:overflowPunct w:val="0"/>
              <w:spacing w:line="240" w:lineRule="auto"/>
              <w:jc w:val="center"/>
              <w:rPr>
                <w:rFonts w:hAnsi="宋体"/>
                <w:b/>
                <w:color w:val="auto"/>
                <w:sz w:val="21"/>
                <w:szCs w:val="21"/>
                <w:highlight w:val="none"/>
              </w:rPr>
            </w:pPr>
            <w:r>
              <w:rPr>
                <w:rFonts w:hint="eastAsia" w:hAnsi="宋体"/>
                <w:b/>
                <w:color w:val="auto"/>
                <w:sz w:val="21"/>
                <w:szCs w:val="21"/>
                <w:highlight w:val="none"/>
              </w:rPr>
              <w:t>序号</w:t>
            </w:r>
          </w:p>
        </w:tc>
        <w:tc>
          <w:tcPr>
            <w:tcW w:w="0" w:type="auto"/>
            <w:vAlign w:val="center"/>
          </w:tcPr>
          <w:p>
            <w:pPr>
              <w:shd w:val="clear"/>
              <w:overflowPunct w:val="0"/>
              <w:spacing w:line="240" w:lineRule="auto"/>
              <w:jc w:val="center"/>
              <w:rPr>
                <w:rFonts w:hAnsi="宋体"/>
                <w:b/>
                <w:color w:val="auto"/>
                <w:sz w:val="21"/>
                <w:szCs w:val="21"/>
                <w:highlight w:val="none"/>
              </w:rPr>
            </w:pPr>
            <w:r>
              <w:rPr>
                <w:rFonts w:hint="eastAsia" w:hAnsi="宋体"/>
                <w:b/>
                <w:color w:val="auto"/>
                <w:sz w:val="21"/>
                <w:szCs w:val="21"/>
                <w:highlight w:val="none"/>
              </w:rPr>
              <w:t>费用名称</w:t>
            </w:r>
          </w:p>
        </w:tc>
        <w:tc>
          <w:tcPr>
            <w:tcW w:w="0" w:type="auto"/>
            <w:vAlign w:val="center"/>
          </w:tcPr>
          <w:p>
            <w:pPr>
              <w:shd w:val="clear"/>
              <w:overflowPunct w:val="0"/>
              <w:spacing w:line="240" w:lineRule="auto"/>
              <w:jc w:val="center"/>
              <w:rPr>
                <w:rFonts w:hAnsi="宋体"/>
                <w:b/>
                <w:color w:val="auto"/>
                <w:sz w:val="21"/>
                <w:szCs w:val="21"/>
                <w:highlight w:val="none"/>
              </w:rPr>
            </w:pPr>
            <w:r>
              <w:rPr>
                <w:rFonts w:hint="eastAsia" w:hAnsi="宋体"/>
                <w:b/>
                <w:color w:val="auto"/>
                <w:sz w:val="21"/>
                <w:szCs w:val="21"/>
                <w:highlight w:val="none"/>
              </w:rPr>
              <w:t>单价</w:t>
            </w:r>
          </w:p>
        </w:tc>
        <w:tc>
          <w:tcPr>
            <w:tcW w:w="1193" w:type="dxa"/>
            <w:vAlign w:val="center"/>
          </w:tcPr>
          <w:p>
            <w:pPr>
              <w:shd w:val="clear"/>
              <w:overflowPunct w:val="0"/>
              <w:spacing w:line="240" w:lineRule="auto"/>
              <w:jc w:val="center"/>
              <w:rPr>
                <w:rFonts w:hAnsi="宋体"/>
                <w:b/>
                <w:color w:val="auto"/>
                <w:sz w:val="21"/>
                <w:szCs w:val="21"/>
                <w:highlight w:val="none"/>
              </w:rPr>
            </w:pPr>
            <w:r>
              <w:rPr>
                <w:rFonts w:hint="eastAsia" w:hAnsi="宋体"/>
                <w:b/>
                <w:color w:val="auto"/>
                <w:sz w:val="21"/>
                <w:szCs w:val="21"/>
                <w:highlight w:val="none"/>
              </w:rPr>
              <w:t>数量</w:t>
            </w:r>
          </w:p>
        </w:tc>
        <w:tc>
          <w:tcPr>
            <w:tcW w:w="2512" w:type="dxa"/>
            <w:vAlign w:val="center"/>
          </w:tcPr>
          <w:p>
            <w:pPr>
              <w:shd w:val="clear"/>
              <w:overflowPunct w:val="0"/>
              <w:spacing w:line="240" w:lineRule="auto"/>
              <w:jc w:val="center"/>
              <w:rPr>
                <w:rFonts w:hAnsi="宋体"/>
                <w:b/>
                <w:color w:val="auto"/>
                <w:sz w:val="21"/>
                <w:szCs w:val="21"/>
                <w:highlight w:val="none"/>
              </w:rPr>
            </w:pPr>
            <w:r>
              <w:rPr>
                <w:rFonts w:hint="eastAsia" w:hAnsi="宋体"/>
                <w:b/>
                <w:color w:val="auto"/>
                <w:sz w:val="21"/>
                <w:szCs w:val="21"/>
                <w:highlight w:val="none"/>
              </w:rPr>
              <w:t>总报价</w:t>
            </w:r>
          </w:p>
        </w:tc>
        <w:tc>
          <w:tcPr>
            <w:tcW w:w="0" w:type="auto"/>
            <w:vAlign w:val="center"/>
          </w:tcPr>
          <w:p>
            <w:pPr>
              <w:shd w:val="clear"/>
              <w:overflowPunct w:val="0"/>
              <w:jc w:val="center"/>
              <w:rPr>
                <w:rFonts w:hAnsi="宋体"/>
                <w:b/>
                <w:color w:val="auto"/>
                <w:sz w:val="21"/>
                <w:szCs w:val="21"/>
                <w:highlight w:val="none"/>
              </w:rPr>
            </w:pPr>
            <w:r>
              <w:rPr>
                <w:rFonts w:hint="eastAsia" w:hAnsi="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2" w:hRule="atLeast"/>
          <w:jc w:val="center"/>
        </w:trPr>
        <w:tc>
          <w:tcPr>
            <w:tcW w:w="0" w:type="auto"/>
            <w:vAlign w:val="center"/>
          </w:tcPr>
          <w:p>
            <w:pPr>
              <w:shd w:val="clear"/>
              <w:overflowPunct w:val="0"/>
              <w:spacing w:line="460" w:lineRule="exact"/>
              <w:jc w:val="center"/>
              <w:rPr>
                <w:rFonts w:hAnsi="宋体"/>
                <w:color w:val="auto"/>
                <w:sz w:val="21"/>
                <w:szCs w:val="21"/>
                <w:highlight w:val="none"/>
              </w:rPr>
            </w:pPr>
            <w:r>
              <w:rPr>
                <w:rFonts w:hint="eastAsia" w:hAnsi="宋体"/>
                <w:color w:val="auto"/>
                <w:sz w:val="21"/>
                <w:szCs w:val="21"/>
                <w:highlight w:val="none"/>
              </w:rPr>
              <w:t>1</w:t>
            </w:r>
          </w:p>
        </w:tc>
        <w:tc>
          <w:tcPr>
            <w:tcW w:w="0" w:type="auto"/>
            <w:vAlign w:val="center"/>
          </w:tcPr>
          <w:p>
            <w:pPr>
              <w:shd w:val="clear"/>
              <w:overflowPunct w:val="0"/>
              <w:spacing w:line="460" w:lineRule="exact"/>
              <w:jc w:val="center"/>
              <w:rPr>
                <w:rFonts w:hAnsi="宋体"/>
                <w:color w:val="auto"/>
                <w:sz w:val="21"/>
                <w:szCs w:val="21"/>
                <w:highlight w:val="none"/>
              </w:rPr>
            </w:pPr>
            <w:r>
              <w:rPr>
                <w:rFonts w:hint="eastAsia" w:hAnsi="宋体"/>
                <w:color w:val="auto"/>
                <w:sz w:val="21"/>
                <w:szCs w:val="21"/>
                <w:highlight w:val="none"/>
              </w:rPr>
              <w:t>综合维保费用</w:t>
            </w:r>
          </w:p>
        </w:tc>
        <w:tc>
          <w:tcPr>
            <w:tcW w:w="0" w:type="auto"/>
            <w:vAlign w:val="center"/>
          </w:tcPr>
          <w:p>
            <w:pPr>
              <w:pStyle w:val="62"/>
              <w:shd w:val="clear"/>
              <w:ind w:firstLine="0" w:firstLineChars="0"/>
              <w:rPr>
                <w:color w:val="auto"/>
                <w:sz w:val="21"/>
                <w:szCs w:val="21"/>
                <w:highlight w:val="none"/>
                <w:u w:val="single"/>
                <w:lang w:val="en-US"/>
              </w:rPr>
            </w:pPr>
            <w:r>
              <w:rPr>
                <w:rFonts w:hint="eastAsia"/>
                <w:color w:val="auto"/>
                <w:sz w:val="21"/>
                <w:szCs w:val="21"/>
                <w:highlight w:val="none"/>
                <w:u w:val="single"/>
                <w:lang w:val="en-US"/>
              </w:rPr>
              <w:t xml:space="preserve">       </w:t>
            </w:r>
            <w:r>
              <w:rPr>
                <w:rFonts w:hint="eastAsia"/>
                <w:color w:val="auto"/>
                <w:sz w:val="21"/>
                <w:szCs w:val="21"/>
                <w:highlight w:val="none"/>
                <w:lang w:val="en-US"/>
              </w:rPr>
              <w:t>元/月</w:t>
            </w:r>
          </w:p>
        </w:tc>
        <w:tc>
          <w:tcPr>
            <w:tcW w:w="1193" w:type="dxa"/>
            <w:vAlign w:val="center"/>
          </w:tcPr>
          <w:p>
            <w:pPr>
              <w:pStyle w:val="62"/>
              <w:shd w:val="clear"/>
              <w:autoSpaceDE/>
              <w:autoSpaceDN/>
              <w:ind w:firstLine="0" w:firstLineChars="0"/>
              <w:jc w:val="center"/>
              <w:rPr>
                <w:color w:val="auto"/>
                <w:sz w:val="21"/>
                <w:szCs w:val="21"/>
                <w:highlight w:val="none"/>
                <w:lang w:val="en-US"/>
              </w:rPr>
            </w:pPr>
            <w:r>
              <w:rPr>
                <w:rFonts w:hint="eastAsia"/>
                <w:color w:val="auto"/>
                <w:sz w:val="21"/>
                <w:szCs w:val="21"/>
                <w:highlight w:val="none"/>
                <w:lang w:val="en-US"/>
              </w:rPr>
              <w:t>36个月</w:t>
            </w:r>
          </w:p>
        </w:tc>
        <w:tc>
          <w:tcPr>
            <w:tcW w:w="2512" w:type="dxa"/>
            <w:vAlign w:val="center"/>
          </w:tcPr>
          <w:p>
            <w:pPr>
              <w:pStyle w:val="62"/>
              <w:shd w:val="clear"/>
              <w:ind w:firstLine="630" w:firstLineChars="300"/>
              <w:rPr>
                <w:color w:val="auto"/>
                <w:sz w:val="21"/>
                <w:szCs w:val="21"/>
                <w:highlight w:val="none"/>
              </w:rPr>
            </w:pPr>
          </w:p>
        </w:tc>
        <w:tc>
          <w:tcPr>
            <w:tcW w:w="629" w:type="dxa"/>
            <w:vAlign w:val="center"/>
          </w:tcPr>
          <w:p>
            <w:pPr>
              <w:shd w:val="clea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0" w:type="auto"/>
            <w:vAlign w:val="center"/>
          </w:tcPr>
          <w:p>
            <w:pPr>
              <w:shd w:val="clear"/>
              <w:overflowPunct w:val="0"/>
              <w:spacing w:line="460" w:lineRule="exact"/>
              <w:jc w:val="center"/>
              <w:rPr>
                <w:rFonts w:hAnsi="宋体"/>
                <w:color w:val="auto"/>
                <w:sz w:val="21"/>
                <w:szCs w:val="21"/>
                <w:highlight w:val="none"/>
              </w:rPr>
            </w:pPr>
            <w:r>
              <w:rPr>
                <w:rFonts w:hint="eastAsia" w:hAnsi="宋体"/>
                <w:color w:val="auto"/>
                <w:sz w:val="21"/>
                <w:szCs w:val="21"/>
                <w:highlight w:val="none"/>
              </w:rPr>
              <w:t>2</w:t>
            </w:r>
          </w:p>
        </w:tc>
        <w:tc>
          <w:tcPr>
            <w:tcW w:w="0" w:type="auto"/>
            <w:vAlign w:val="center"/>
          </w:tcPr>
          <w:p>
            <w:pPr>
              <w:shd w:val="clear"/>
              <w:overflowPunct w:val="0"/>
              <w:spacing w:line="240" w:lineRule="auto"/>
              <w:jc w:val="center"/>
              <w:rPr>
                <w:rFonts w:hAnsi="宋体"/>
                <w:color w:val="auto"/>
                <w:sz w:val="21"/>
                <w:szCs w:val="21"/>
                <w:highlight w:val="none"/>
              </w:rPr>
            </w:pPr>
            <w:r>
              <w:rPr>
                <w:rFonts w:hint="eastAsia" w:hAnsi="宋体"/>
                <w:color w:val="auto"/>
                <w:sz w:val="21"/>
                <w:szCs w:val="21"/>
                <w:highlight w:val="none"/>
              </w:rPr>
              <w:t>维修费</w:t>
            </w:r>
          </w:p>
          <w:p>
            <w:pPr>
              <w:pStyle w:val="2"/>
              <w:shd w:val="clear"/>
              <w:spacing w:before="0" w:after="0"/>
              <w:jc w:val="center"/>
              <w:rPr>
                <w:color w:val="auto"/>
                <w:highlight w:val="none"/>
              </w:rPr>
            </w:pPr>
            <w:r>
              <w:rPr>
                <w:rFonts w:hint="eastAsia"/>
                <w:color w:val="auto"/>
                <w:sz w:val="21"/>
                <w:szCs w:val="21"/>
                <w:highlight w:val="none"/>
              </w:rPr>
              <w:t>（含零配件费用）</w:t>
            </w:r>
          </w:p>
        </w:tc>
        <w:tc>
          <w:tcPr>
            <w:tcW w:w="2752" w:type="dxa"/>
            <w:gridSpan w:val="2"/>
            <w:vAlign w:val="center"/>
          </w:tcPr>
          <w:p>
            <w:pPr>
              <w:pStyle w:val="62"/>
              <w:shd w:val="clear"/>
              <w:autoSpaceDE/>
              <w:autoSpaceDN/>
              <w:ind w:firstLine="0" w:firstLineChars="0"/>
              <w:jc w:val="both"/>
              <w:rPr>
                <w:color w:val="auto"/>
                <w:sz w:val="21"/>
                <w:szCs w:val="21"/>
                <w:highlight w:val="none"/>
                <w:lang w:val="en-US"/>
              </w:rPr>
            </w:pPr>
            <w:r>
              <w:rPr>
                <w:rFonts w:hint="eastAsia"/>
                <w:color w:val="auto"/>
                <w:sz w:val="21"/>
                <w:szCs w:val="21"/>
                <w:highlight w:val="none"/>
                <w:lang w:val="en-US"/>
              </w:rPr>
              <w:t>按综合维保费总报价的25%计算</w:t>
            </w:r>
          </w:p>
        </w:tc>
        <w:tc>
          <w:tcPr>
            <w:tcW w:w="2512" w:type="dxa"/>
            <w:vAlign w:val="center"/>
          </w:tcPr>
          <w:p>
            <w:pPr>
              <w:pStyle w:val="62"/>
              <w:shd w:val="clear"/>
              <w:ind w:firstLine="630" w:firstLineChars="300"/>
              <w:rPr>
                <w:color w:val="auto"/>
                <w:sz w:val="21"/>
                <w:szCs w:val="21"/>
                <w:highlight w:val="none"/>
                <w:lang w:val="en-US"/>
              </w:rPr>
            </w:pPr>
          </w:p>
        </w:tc>
        <w:tc>
          <w:tcPr>
            <w:tcW w:w="0" w:type="auto"/>
            <w:vAlign w:val="center"/>
          </w:tcPr>
          <w:p>
            <w:pPr>
              <w:shd w:val="clea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3" w:hRule="atLeast"/>
          <w:jc w:val="center"/>
        </w:trPr>
        <w:tc>
          <w:tcPr>
            <w:tcW w:w="5381" w:type="dxa"/>
            <w:gridSpan w:val="4"/>
            <w:vAlign w:val="center"/>
          </w:tcPr>
          <w:p>
            <w:pPr>
              <w:pStyle w:val="62"/>
              <w:shd w:val="clear"/>
              <w:autoSpaceDE/>
              <w:autoSpaceDN/>
              <w:ind w:firstLine="0" w:firstLineChars="0"/>
              <w:jc w:val="center"/>
              <w:rPr>
                <w:color w:val="auto"/>
                <w:sz w:val="21"/>
                <w:szCs w:val="21"/>
                <w:highlight w:val="none"/>
                <w:lang w:val="en-US"/>
              </w:rPr>
            </w:pPr>
            <w:r>
              <w:rPr>
                <w:rFonts w:hint="eastAsia"/>
                <w:color w:val="auto"/>
                <w:sz w:val="21"/>
                <w:szCs w:val="21"/>
                <w:highlight w:val="none"/>
                <w:lang w:val="en-US"/>
              </w:rPr>
              <w:t>合计（1+2）</w:t>
            </w:r>
          </w:p>
        </w:tc>
        <w:tc>
          <w:tcPr>
            <w:tcW w:w="2512" w:type="dxa"/>
            <w:vAlign w:val="center"/>
          </w:tcPr>
          <w:p>
            <w:pPr>
              <w:shd w:val="clea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2"/>
              <w:shd w:val="clear"/>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2"/>
              <w:shd w:val="clear"/>
              <w:ind w:firstLine="630" w:firstLineChars="300"/>
              <w:rPr>
                <w:color w:val="auto"/>
                <w:sz w:val="21"/>
                <w:szCs w:val="21"/>
                <w:highlight w:val="none"/>
                <w:lang w:val="en-US"/>
              </w:rPr>
            </w:pPr>
            <w:r>
              <w:rPr>
                <w:rFonts w:hint="eastAsia"/>
                <w:color w:val="auto"/>
                <w:sz w:val="21"/>
                <w:szCs w:val="21"/>
                <w:highlight w:val="none"/>
                <w:lang w:val="en-US"/>
              </w:rPr>
              <w:t>大写：</w:t>
            </w:r>
          </w:p>
          <w:p>
            <w:pPr>
              <w:shd w:val="clea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2"/>
              <w:shd w:val="clear"/>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2"/>
              <w:shd w:val="clear"/>
              <w:ind w:firstLine="630" w:firstLineChars="300"/>
              <w:rPr>
                <w:color w:val="auto"/>
                <w:sz w:val="21"/>
                <w:szCs w:val="21"/>
                <w:highlight w:val="none"/>
                <w:lang w:val="en-US"/>
              </w:rPr>
            </w:pPr>
            <w:r>
              <w:rPr>
                <w:rFonts w:hint="eastAsia"/>
                <w:color w:val="auto"/>
                <w:sz w:val="21"/>
                <w:szCs w:val="21"/>
                <w:highlight w:val="none"/>
                <w:lang w:val="en-US"/>
              </w:rPr>
              <w:t>大写：</w:t>
            </w:r>
          </w:p>
        </w:tc>
        <w:tc>
          <w:tcPr>
            <w:tcW w:w="0" w:type="auto"/>
            <w:vAlign w:val="center"/>
          </w:tcPr>
          <w:p>
            <w:pPr>
              <w:shd w:val="clear"/>
              <w:overflowPunct w:val="0"/>
              <w:spacing w:line="460" w:lineRule="exact"/>
              <w:jc w:val="center"/>
              <w:rPr>
                <w:rFonts w:hAnsi="宋体"/>
                <w:color w:val="auto"/>
                <w:sz w:val="21"/>
                <w:szCs w:val="21"/>
                <w:highlight w:val="none"/>
              </w:rPr>
            </w:pPr>
          </w:p>
        </w:tc>
      </w:tr>
    </w:tbl>
    <w:p>
      <w:pPr>
        <w:shd w:val="clear"/>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hd w:val="clear"/>
        <w:ind w:firstLine="359" w:firstLineChars="171"/>
        <w:rPr>
          <w:rFonts w:hAnsi="宋体"/>
          <w:color w:val="auto"/>
          <w:sz w:val="21"/>
          <w:szCs w:val="21"/>
          <w:highlight w:val="none"/>
        </w:rPr>
      </w:pPr>
    </w:p>
    <w:p>
      <w:pPr>
        <w:shd w:val="clear"/>
        <w:ind w:left="391" w:hanging="390" w:hangingChars="186"/>
        <w:rPr>
          <w:rFonts w:hAnsi="宋体"/>
          <w:color w:val="auto"/>
          <w:sz w:val="21"/>
          <w:szCs w:val="21"/>
          <w:highlight w:val="none"/>
        </w:rPr>
      </w:pPr>
      <w:r>
        <w:rPr>
          <w:rFonts w:hint="eastAsia" w:hAnsi="宋体"/>
          <w:color w:val="auto"/>
          <w:sz w:val="21"/>
          <w:szCs w:val="21"/>
          <w:highlight w:val="none"/>
        </w:rPr>
        <w:t xml:space="preserve">    注：</w:t>
      </w:r>
    </w:p>
    <w:p>
      <w:pPr>
        <w:shd w:val="clear"/>
        <w:ind w:firstLine="420" w:firstLineChars="200"/>
        <w:rPr>
          <w:rFonts w:hAnsi="宋体"/>
          <w:color w:val="auto"/>
          <w:sz w:val="21"/>
          <w:szCs w:val="21"/>
          <w:highlight w:val="none"/>
        </w:rPr>
      </w:pPr>
      <w:r>
        <w:rPr>
          <w:rFonts w:hint="eastAsia" w:hAnsi="宋体"/>
          <w:color w:val="auto"/>
          <w:sz w:val="21"/>
          <w:szCs w:val="21"/>
          <w:highlight w:val="none"/>
        </w:rPr>
        <w:t>1、磋商响应总价栏须</w:t>
      </w:r>
      <w:r>
        <w:rPr>
          <w:rFonts w:hAnsi="宋体"/>
          <w:color w:val="auto"/>
          <w:sz w:val="21"/>
          <w:szCs w:val="21"/>
          <w:highlight w:val="none"/>
        </w:rPr>
        <w:t>用</w:t>
      </w:r>
      <w:r>
        <w:rPr>
          <w:rFonts w:hint="eastAsia" w:hAnsi="宋体"/>
          <w:color w:val="auto"/>
          <w:sz w:val="21"/>
          <w:szCs w:val="21"/>
          <w:highlight w:val="none"/>
        </w:rPr>
        <w:t>大写金额和小写金额两种方式</w:t>
      </w:r>
      <w:r>
        <w:rPr>
          <w:rFonts w:hAnsi="宋体"/>
          <w:color w:val="auto"/>
          <w:sz w:val="21"/>
          <w:szCs w:val="21"/>
          <w:highlight w:val="none"/>
        </w:rPr>
        <w:t>表示的</w:t>
      </w:r>
      <w:r>
        <w:rPr>
          <w:rFonts w:hint="eastAsia" w:hAnsi="宋体"/>
          <w:color w:val="auto"/>
          <w:sz w:val="21"/>
          <w:szCs w:val="21"/>
          <w:highlight w:val="none"/>
        </w:rPr>
        <w:t>磋商</w:t>
      </w:r>
      <w:r>
        <w:rPr>
          <w:rFonts w:hAnsi="宋体"/>
          <w:color w:val="auto"/>
          <w:sz w:val="21"/>
          <w:szCs w:val="21"/>
          <w:highlight w:val="none"/>
        </w:rPr>
        <w:t>总价</w:t>
      </w:r>
      <w:r>
        <w:rPr>
          <w:rFonts w:hint="eastAsia" w:hAnsi="宋体"/>
          <w:color w:val="auto"/>
          <w:sz w:val="21"/>
          <w:szCs w:val="21"/>
          <w:highlight w:val="none"/>
        </w:rPr>
        <w:t>，报价保留小数点后两位。磋商总价大小写不一致，以大写为准。磋商总价必须准确唯一且应包含采购文件要求的所有费用。</w:t>
      </w:r>
    </w:p>
    <w:p>
      <w:pPr>
        <w:shd w:val="clear"/>
        <w:ind w:firstLine="420" w:firstLineChars="200"/>
        <w:rPr>
          <w:rFonts w:hAnsi="宋体"/>
          <w:color w:val="auto"/>
          <w:sz w:val="21"/>
          <w:szCs w:val="21"/>
          <w:highlight w:val="none"/>
        </w:rPr>
      </w:pPr>
      <w:r>
        <w:rPr>
          <w:rFonts w:hint="eastAsia" w:hAnsi="宋体"/>
          <w:color w:val="auto"/>
          <w:sz w:val="21"/>
          <w:szCs w:val="21"/>
          <w:highlight w:val="none"/>
        </w:rPr>
        <w:t>2、温馨提示：未按采购文件要求报价、填写报价一览表是导致供应商废标的常见问题，请供应商仔细填写，认真核对。</w:t>
      </w:r>
    </w:p>
    <w:p>
      <w:pPr>
        <w:widowControl/>
        <w:shd w:val="clear"/>
        <w:autoSpaceDE/>
        <w:autoSpaceDN/>
        <w:snapToGrid w:val="0"/>
        <w:ind w:firstLine="480" w:firstLineChars="200"/>
        <w:rPr>
          <w:color w:val="auto"/>
          <w:highlight w:val="none"/>
        </w:rPr>
        <w:sectPr>
          <w:headerReference r:id="rId11" w:type="first"/>
          <w:footerReference r:id="rId13" w:type="first"/>
          <w:headerReference r:id="rId10" w:type="default"/>
          <w:footerReference r:id="rId12" w:type="default"/>
          <w:pgSz w:w="11906" w:h="16838"/>
          <w:pgMar w:top="1440" w:right="1800" w:bottom="1440" w:left="1800" w:header="708" w:footer="708" w:gutter="0"/>
          <w:pgBorders>
            <w:top w:val="none" w:sz="0" w:space="0"/>
            <w:left w:val="none" w:sz="0" w:space="0"/>
            <w:bottom w:val="none" w:sz="0" w:space="0"/>
            <w:right w:val="none" w:sz="0" w:space="0"/>
          </w:pgBorders>
          <w:pgNumType w:fmt="decimal"/>
          <w:cols w:space="708" w:num="1"/>
          <w:titlePg/>
          <w:docGrid w:type="lines" w:linePitch="360" w:charSpace="0"/>
        </w:sectPr>
      </w:pP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Pr>
        <w:pStyle w:val="4"/>
        <w:shd w:val="clear"/>
        <w:jc w:val="center"/>
        <w:rPr>
          <w:color w:val="auto"/>
          <w:sz w:val="28"/>
          <w:szCs w:val="28"/>
          <w:highlight w:val="none"/>
        </w:rPr>
      </w:pPr>
      <w:bookmarkStart w:id="208" w:name="_Toc12158"/>
      <w:bookmarkStart w:id="209" w:name="_Toc18450"/>
      <w:bookmarkStart w:id="210" w:name="_Toc476976200"/>
      <w:bookmarkStart w:id="211" w:name="_Toc454701405"/>
      <w:bookmarkStart w:id="212" w:name="_Toc27849"/>
      <w:bookmarkStart w:id="213" w:name="_Toc458262638"/>
      <w:bookmarkStart w:id="214" w:name="_Toc467236768"/>
      <w:bookmarkStart w:id="215" w:name="_Toc486671572"/>
      <w:bookmarkStart w:id="216" w:name="_Toc7897890"/>
      <w:bookmarkStart w:id="217" w:name="_Toc110953866"/>
      <w:bookmarkStart w:id="218" w:name="_Toc480020289"/>
      <w:bookmarkStart w:id="219" w:name="_Toc480010742"/>
      <w:bookmarkStart w:id="220" w:name="_Toc468157569"/>
      <w:bookmarkStart w:id="221" w:name="_Toc467987856"/>
      <w:bookmarkStart w:id="222" w:name="_Toc479991616"/>
      <w:bookmarkStart w:id="223" w:name="_Toc468606064"/>
      <w:bookmarkStart w:id="224" w:name="_Toc480021085"/>
      <w:r>
        <w:rPr>
          <w:rFonts w:hint="eastAsia"/>
          <w:color w:val="auto"/>
          <w:sz w:val="28"/>
          <w:szCs w:val="28"/>
          <w:highlight w:val="none"/>
        </w:rPr>
        <w:t>第二部分  商务文件</w:t>
      </w:r>
      <w:bookmarkEnd w:id="208"/>
      <w:bookmarkEnd w:id="209"/>
      <w:bookmarkStart w:id="225" w:name="_Hlt10519799"/>
      <w:bookmarkEnd w:id="225"/>
      <w:bookmarkStart w:id="226" w:name="_Hlt10456397"/>
      <w:bookmarkEnd w:id="226"/>
    </w:p>
    <w:p>
      <w:pPr>
        <w:shd w:val="clear"/>
        <w:rPr>
          <w:color w:val="auto"/>
          <w:highlight w:val="none"/>
        </w:rPr>
      </w:pPr>
    </w:p>
    <w:p>
      <w:pPr>
        <w:pStyle w:val="4"/>
        <w:numPr>
          <w:ilvl w:val="0"/>
          <w:numId w:val="21"/>
        </w:numPr>
        <w:shd w:val="clear"/>
        <w:jc w:val="center"/>
        <w:rPr>
          <w:b w:val="0"/>
          <w:color w:val="auto"/>
          <w:sz w:val="28"/>
          <w:szCs w:val="28"/>
          <w:highlight w:val="none"/>
        </w:rPr>
      </w:pPr>
      <w:bookmarkStart w:id="227" w:name="_Toc8815"/>
      <w:bookmarkStart w:id="228" w:name="_Toc18728"/>
      <w:r>
        <w:rPr>
          <w:rFonts w:hint="eastAsia"/>
          <w:color w:val="auto"/>
          <w:sz w:val="28"/>
          <w:szCs w:val="28"/>
          <w:highlight w:val="none"/>
        </w:rPr>
        <w:t>响应书</w:t>
      </w:r>
      <w:bookmarkEnd w:id="210"/>
      <w:bookmarkEnd w:id="211"/>
      <w:bookmarkEnd w:id="212"/>
      <w:bookmarkEnd w:id="213"/>
      <w:bookmarkEnd w:id="214"/>
      <w:bookmarkEnd w:id="215"/>
      <w:bookmarkEnd w:id="216"/>
      <w:bookmarkEnd w:id="227"/>
      <w:bookmarkEnd w:id="228"/>
    </w:p>
    <w:p>
      <w:pPr>
        <w:pStyle w:val="32"/>
        <w:shd w:val="clear"/>
        <w:autoSpaceDE/>
        <w:autoSpaceDN/>
        <w:adjustRightInd/>
        <w:spacing w:line="480" w:lineRule="exact"/>
        <w:ind w:left="6000"/>
        <w:rPr>
          <w:rFonts w:hAnsi="宋体"/>
          <w:color w:val="auto"/>
          <w:sz w:val="24"/>
          <w:highlight w:val="none"/>
        </w:rPr>
      </w:pPr>
    </w:p>
    <w:p>
      <w:pPr>
        <w:pStyle w:val="32"/>
        <w:shd w:val="clear"/>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hd w:val="clear"/>
        <w:spacing w:line="480" w:lineRule="exact"/>
        <w:ind w:firstLine="420" w:firstLineChars="200"/>
        <w:rPr>
          <w:rFonts w:hAnsi="宋体"/>
          <w:color w:val="auto"/>
          <w:sz w:val="21"/>
          <w:szCs w:val="21"/>
          <w:highlight w:val="none"/>
        </w:rPr>
      </w:pP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hd w:val="clea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4"/>
        <w:numPr>
          <w:ilvl w:val="0"/>
          <w:numId w:val="21"/>
        </w:numPr>
        <w:shd w:val="clear"/>
        <w:jc w:val="center"/>
        <w:rPr>
          <w:bCs/>
          <w:color w:val="auto"/>
          <w:sz w:val="28"/>
          <w:szCs w:val="28"/>
          <w:highlight w:val="none"/>
        </w:rPr>
      </w:pPr>
      <w:r>
        <w:rPr>
          <w:color w:val="auto"/>
          <w:sz w:val="22"/>
          <w:szCs w:val="22"/>
          <w:highlight w:val="none"/>
        </w:rPr>
        <w:br w:type="page"/>
      </w:r>
      <w:bookmarkStart w:id="229" w:name="_Toc10808"/>
      <w:bookmarkStart w:id="230" w:name="_Toc24748"/>
      <w:bookmarkStart w:id="231" w:name="_Toc7897891"/>
      <w:bookmarkStart w:id="232" w:name="_Toc31943"/>
      <w:r>
        <w:rPr>
          <w:rFonts w:hint="eastAsia"/>
          <w:bCs/>
          <w:color w:val="auto"/>
          <w:sz w:val="28"/>
          <w:szCs w:val="28"/>
          <w:highlight w:val="none"/>
        </w:rPr>
        <w:t>法定代表人证明书</w:t>
      </w:r>
      <w:bookmarkEnd w:id="229"/>
      <w:bookmarkEnd w:id="230"/>
      <w:bookmarkEnd w:id="231"/>
      <w:bookmarkEnd w:id="232"/>
    </w:p>
    <w:p>
      <w:pPr>
        <w:shd w:val="clear"/>
        <w:jc w:val="center"/>
        <w:rPr>
          <w:rFonts w:hAnsi="宋体"/>
          <w:color w:val="auto"/>
          <w:sz w:val="28"/>
          <w:szCs w:val="28"/>
          <w:highlight w:val="none"/>
        </w:rPr>
      </w:pPr>
    </w:p>
    <w:p>
      <w:pPr>
        <w:shd w:val="clear"/>
        <w:rPr>
          <w:rFonts w:hAnsi="宋体"/>
          <w:color w:val="auto"/>
          <w:sz w:val="28"/>
          <w:szCs w:val="28"/>
          <w:highlight w:val="none"/>
        </w:rPr>
      </w:pPr>
    </w:p>
    <w:p>
      <w:pPr>
        <w:shd w:val="clea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hd w:val="clear"/>
        <w:spacing w:line="420" w:lineRule="atLeast"/>
        <w:ind w:firstLine="433"/>
        <w:rPr>
          <w:rFonts w:ascii="宋体" w:eastAsia="宋体"/>
          <w:color w:val="auto"/>
          <w:sz w:val="21"/>
          <w:szCs w:val="21"/>
          <w:highlight w:val="none"/>
        </w:rPr>
      </w:pP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hd w:val="clea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hd w:val="clear"/>
        <w:spacing w:line="500" w:lineRule="atLeast"/>
        <w:ind w:firstLine="3517" w:firstLineChars="1675"/>
        <w:rPr>
          <w:rFonts w:ascii="宋体" w:eastAsia="宋体"/>
          <w:color w:val="auto"/>
          <w:sz w:val="21"/>
          <w:szCs w:val="21"/>
          <w:highlight w:val="none"/>
        </w:rPr>
      </w:pPr>
    </w:p>
    <w:p>
      <w:pPr>
        <w:pStyle w:val="75"/>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hd w:val="clear"/>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hd w:val="clear"/>
        <w:spacing w:line="460" w:lineRule="exact"/>
        <w:ind w:firstLine="433"/>
        <w:rPr>
          <w:rFonts w:ascii="宋体" w:eastAsia="宋体"/>
          <w:color w:val="auto"/>
          <w:sz w:val="21"/>
          <w:szCs w:val="21"/>
          <w:highlight w:val="none"/>
        </w:rPr>
      </w:pP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pPr>
        <w:shd w:val="clear"/>
        <w:spacing w:line="420" w:lineRule="atLeast"/>
        <w:ind w:firstLine="422" w:firstLineChars="200"/>
        <w:rPr>
          <w:b/>
          <w:color w:val="auto"/>
          <w:sz w:val="21"/>
          <w:szCs w:val="21"/>
          <w:highlight w:val="none"/>
        </w:rPr>
      </w:pPr>
    </w:p>
    <w:tbl>
      <w:tblPr>
        <w:tblStyle w:val="52"/>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shd w:val="clear"/>
        <w:rPr>
          <w:rFonts w:hAnsi="宋体"/>
          <w:color w:val="auto"/>
          <w:highlight w:val="none"/>
        </w:rPr>
      </w:pPr>
    </w:p>
    <w:p>
      <w:pPr>
        <w:shd w:val="clear"/>
        <w:rPr>
          <w:rFonts w:hAnsi="宋体"/>
          <w:color w:val="auto"/>
          <w:sz w:val="28"/>
          <w:szCs w:val="28"/>
          <w:highlight w:val="none"/>
        </w:rPr>
      </w:pPr>
    </w:p>
    <w:p>
      <w:pPr>
        <w:pStyle w:val="4"/>
        <w:numPr>
          <w:ilvl w:val="0"/>
          <w:numId w:val="21"/>
        </w:numPr>
        <w:shd w:val="clear"/>
        <w:jc w:val="center"/>
        <w:rPr>
          <w:bCs/>
          <w:color w:val="auto"/>
          <w:sz w:val="28"/>
          <w:szCs w:val="28"/>
          <w:highlight w:val="none"/>
        </w:rPr>
      </w:pPr>
      <w:r>
        <w:rPr>
          <w:rFonts w:hint="eastAsia"/>
          <w:bCs/>
          <w:color w:val="auto"/>
          <w:sz w:val="28"/>
          <w:szCs w:val="28"/>
          <w:highlight w:val="none"/>
        </w:rPr>
        <w:br w:type="page"/>
      </w:r>
      <w:bookmarkStart w:id="233" w:name="_Toc28882"/>
      <w:bookmarkStart w:id="234" w:name="_Toc19634"/>
      <w:bookmarkStart w:id="235" w:name="_Toc18590"/>
      <w:bookmarkStart w:id="236" w:name="_Toc7897892"/>
      <w:r>
        <w:rPr>
          <w:rFonts w:hint="eastAsia"/>
          <w:bCs/>
          <w:color w:val="auto"/>
          <w:sz w:val="28"/>
          <w:szCs w:val="28"/>
          <w:highlight w:val="none"/>
        </w:rPr>
        <w:t>授权委托书（加法人证明书）</w:t>
      </w:r>
      <w:bookmarkEnd w:id="233"/>
      <w:bookmarkEnd w:id="234"/>
      <w:bookmarkEnd w:id="235"/>
      <w:bookmarkEnd w:id="236"/>
    </w:p>
    <w:p>
      <w:pPr>
        <w:pStyle w:val="13"/>
        <w:shd w:val="clear"/>
        <w:ind w:firstLine="400"/>
        <w:rPr>
          <w:color w:val="auto"/>
          <w:highlight w:val="none"/>
        </w:rPr>
      </w:pPr>
    </w:p>
    <w:p>
      <w:pPr>
        <w:shd w:val="clear"/>
        <w:spacing w:line="420" w:lineRule="exact"/>
        <w:rPr>
          <w:rFonts w:hAnsi="宋体"/>
          <w:color w:val="auto"/>
          <w:sz w:val="22"/>
          <w:szCs w:val="22"/>
          <w:highlight w:val="none"/>
        </w:rPr>
      </w:pPr>
    </w:p>
    <w:p>
      <w:pPr>
        <w:shd w:val="clea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hd w:val="clear"/>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hd w:val="clear"/>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hd w:val="clear"/>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hd w:val="clear"/>
        <w:spacing w:line="420" w:lineRule="exact"/>
        <w:ind w:firstLine="450" w:firstLineChars="0"/>
        <w:rPr>
          <w:rFonts w:ascii="宋体" w:eastAsia="宋体"/>
          <w:color w:val="auto"/>
          <w:sz w:val="21"/>
          <w:szCs w:val="21"/>
          <w:highlight w:val="none"/>
        </w:rPr>
      </w:pPr>
    </w:p>
    <w:p>
      <w:pPr>
        <w:pStyle w:val="75"/>
        <w:shd w:val="clear"/>
        <w:spacing w:line="420" w:lineRule="exact"/>
        <w:ind w:firstLine="428" w:firstLineChars="204"/>
        <w:rPr>
          <w:rFonts w:ascii="宋体" w:eastAsia="宋体"/>
          <w:color w:val="auto"/>
          <w:sz w:val="21"/>
          <w:szCs w:val="21"/>
          <w:highlight w:val="none"/>
        </w:rPr>
      </w:pP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hd w:val="clear"/>
        <w:spacing w:line="420" w:lineRule="exact"/>
        <w:ind w:firstLine="3517" w:firstLineChars="1675"/>
        <w:rPr>
          <w:rFonts w:ascii="宋体" w:eastAsia="宋体"/>
          <w:color w:val="auto"/>
          <w:sz w:val="21"/>
          <w:szCs w:val="21"/>
          <w:highlight w:val="none"/>
        </w:rPr>
      </w:pP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hd w:val="clear"/>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hd w:val="clear"/>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hd w:val="clear"/>
        <w:spacing w:line="420" w:lineRule="atLeast"/>
        <w:ind w:firstLine="420" w:firstLineChars="200"/>
        <w:rPr>
          <w:color w:val="auto"/>
          <w:sz w:val="21"/>
          <w:szCs w:val="21"/>
          <w:highlight w:val="none"/>
        </w:rPr>
      </w:pPr>
    </w:p>
    <w:tbl>
      <w:tblPr>
        <w:tblStyle w:val="52"/>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3"/>
        <w:shd w:val="clear"/>
        <w:ind w:firstLine="482"/>
        <w:rPr>
          <w:b/>
          <w:color w:val="auto"/>
          <w:sz w:val="24"/>
          <w:szCs w:val="24"/>
          <w:highlight w:val="none"/>
        </w:rPr>
      </w:pPr>
    </w:p>
    <w:p>
      <w:pPr>
        <w:shd w:val="clear"/>
        <w:tabs>
          <w:tab w:val="left" w:pos="7740"/>
        </w:tabs>
        <w:spacing w:line="360" w:lineRule="auto"/>
        <w:rPr>
          <w:rFonts w:hAnsi="宋体"/>
          <w:color w:val="auto"/>
          <w:sz w:val="21"/>
          <w:szCs w:val="21"/>
          <w:highlight w:val="none"/>
        </w:rPr>
      </w:pPr>
      <w:bookmarkStart w:id="237" w:name="_Toc7897893"/>
      <w:bookmarkStart w:id="238" w:name="_Toc4592"/>
    </w:p>
    <w:p>
      <w:pPr>
        <w:pStyle w:val="13"/>
        <w:shd w:val="clear"/>
        <w:ind w:firstLine="0" w:firstLineChars="0"/>
        <w:rPr>
          <w:color w:val="auto"/>
          <w:highlight w:val="none"/>
        </w:rPr>
      </w:pPr>
    </w:p>
    <w:p>
      <w:pPr>
        <w:pStyle w:val="13"/>
        <w:shd w:val="clear"/>
        <w:ind w:firstLine="0" w:firstLineChars="0"/>
        <w:rPr>
          <w:color w:val="auto"/>
          <w:highlight w:val="none"/>
        </w:rPr>
      </w:pPr>
    </w:p>
    <w:p>
      <w:pPr>
        <w:pStyle w:val="13"/>
        <w:shd w:val="clear"/>
        <w:ind w:firstLine="0" w:firstLineChars="0"/>
        <w:rPr>
          <w:color w:val="auto"/>
          <w:highlight w:val="none"/>
        </w:rPr>
      </w:pPr>
    </w:p>
    <w:p>
      <w:pPr>
        <w:pStyle w:val="4"/>
        <w:numPr>
          <w:ilvl w:val="0"/>
          <w:numId w:val="21"/>
        </w:numPr>
        <w:shd w:val="clear"/>
        <w:jc w:val="center"/>
        <w:rPr>
          <w:color w:val="auto"/>
          <w:sz w:val="28"/>
          <w:szCs w:val="28"/>
          <w:highlight w:val="none"/>
        </w:rPr>
      </w:pPr>
      <w:bookmarkStart w:id="239" w:name="_Toc17363"/>
      <w:bookmarkStart w:id="240" w:name="_Toc1276"/>
      <w:r>
        <w:rPr>
          <w:rFonts w:hint="eastAsia"/>
          <w:color w:val="auto"/>
          <w:sz w:val="28"/>
          <w:szCs w:val="28"/>
          <w:highlight w:val="none"/>
        </w:rPr>
        <w:t>供应商基本情况说明</w:t>
      </w:r>
      <w:bookmarkEnd w:id="237"/>
      <w:bookmarkEnd w:id="238"/>
      <w:bookmarkEnd w:id="239"/>
      <w:bookmarkEnd w:id="240"/>
    </w:p>
    <w:p>
      <w:pPr>
        <w:shd w:val="clear"/>
        <w:spacing w:line="360" w:lineRule="auto"/>
        <w:rPr>
          <w:rFonts w:hAnsi="宋体"/>
          <w:color w:val="auto"/>
          <w:sz w:val="22"/>
          <w:szCs w:val="22"/>
          <w:highlight w:val="none"/>
        </w:rPr>
      </w:pPr>
    </w:p>
    <w:p>
      <w:pPr>
        <w:shd w:val="clea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shd w:val="clea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hd w:val="clear"/>
        <w:spacing w:line="360" w:lineRule="auto"/>
        <w:rPr>
          <w:rFonts w:hAnsi="宋体"/>
          <w:color w:val="auto"/>
          <w:sz w:val="21"/>
          <w:szCs w:val="21"/>
          <w:highlight w:val="none"/>
        </w:rPr>
      </w:pPr>
      <w:r>
        <w:rPr>
          <w:rFonts w:hAnsi="宋体"/>
          <w:color w:val="auto"/>
          <w:sz w:val="21"/>
          <w:szCs w:val="21"/>
          <w:highlight w:val="none"/>
        </w:rPr>
        <w:t>2、地  址： 传  真：</w:t>
      </w:r>
    </w:p>
    <w:p>
      <w:pPr>
        <w:shd w:val="clea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hd w:val="clea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hd w:val="clea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hd w:val="clear"/>
        <w:spacing w:line="360" w:lineRule="auto"/>
        <w:rPr>
          <w:rFonts w:hAnsi="宋体"/>
          <w:color w:val="auto"/>
          <w:sz w:val="21"/>
          <w:szCs w:val="21"/>
          <w:highlight w:val="none"/>
        </w:rPr>
      </w:pPr>
      <w:r>
        <w:rPr>
          <w:rFonts w:hAnsi="宋体"/>
          <w:color w:val="auto"/>
          <w:sz w:val="21"/>
          <w:szCs w:val="21"/>
          <w:highlight w:val="none"/>
        </w:rPr>
        <w:t>6、公司简介:</w:t>
      </w:r>
    </w:p>
    <w:p>
      <w:pPr>
        <w:shd w:val="clear"/>
        <w:spacing w:line="360" w:lineRule="auto"/>
        <w:rPr>
          <w:rFonts w:hAnsi="宋体"/>
          <w:color w:val="auto"/>
          <w:sz w:val="21"/>
          <w:szCs w:val="21"/>
          <w:highlight w:val="none"/>
        </w:rPr>
      </w:pPr>
      <w:r>
        <w:rPr>
          <w:rFonts w:hAnsi="宋体"/>
          <w:color w:val="auto"/>
          <w:sz w:val="21"/>
          <w:szCs w:val="21"/>
          <w:highlight w:val="none"/>
        </w:rPr>
        <w:t>7、公司财务情况：</w:t>
      </w:r>
    </w:p>
    <w:p>
      <w:pPr>
        <w:shd w:val="clea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2"/>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bl>
    <w:p>
      <w:pPr>
        <w:shd w:val="clear"/>
        <w:spacing w:line="360" w:lineRule="auto"/>
        <w:rPr>
          <w:rFonts w:hAnsi="宋体"/>
          <w:b/>
          <w:color w:val="auto"/>
          <w:sz w:val="21"/>
          <w:szCs w:val="21"/>
          <w:highlight w:val="none"/>
        </w:rPr>
      </w:pPr>
    </w:p>
    <w:p>
      <w:pPr>
        <w:shd w:val="clear"/>
        <w:tabs>
          <w:tab w:val="left" w:pos="420"/>
          <w:tab w:val="left" w:pos="1485"/>
        </w:tabs>
        <w:spacing w:line="360" w:lineRule="auto"/>
        <w:rPr>
          <w:rFonts w:hAnsi="宋体"/>
          <w:color w:val="auto"/>
          <w:sz w:val="21"/>
          <w:szCs w:val="21"/>
          <w:highlight w:val="none"/>
        </w:rPr>
      </w:pPr>
      <w:bookmarkStart w:id="241"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41"/>
    </w:p>
    <w:tbl>
      <w:tblPr>
        <w:tblStyle w:val="52"/>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shd w:val="clea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shd w:val="clea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shd w:val="clea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shd w:val="clea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30" w:type="dxa"/>
            <w:vAlign w:val="center"/>
          </w:tcPr>
          <w:p>
            <w:pPr>
              <w:shd w:val="clear"/>
              <w:spacing w:line="360" w:lineRule="auto"/>
              <w:jc w:val="center"/>
              <w:rPr>
                <w:rFonts w:hAnsi="宋体"/>
                <w:color w:val="auto"/>
                <w:sz w:val="21"/>
                <w:szCs w:val="21"/>
                <w:highlight w:val="none"/>
              </w:rPr>
            </w:pPr>
          </w:p>
        </w:tc>
        <w:tc>
          <w:tcPr>
            <w:tcW w:w="1842"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30" w:type="dxa"/>
            <w:vAlign w:val="center"/>
          </w:tcPr>
          <w:p>
            <w:pPr>
              <w:shd w:val="clear"/>
              <w:spacing w:line="360" w:lineRule="auto"/>
              <w:jc w:val="center"/>
              <w:rPr>
                <w:rFonts w:hAnsi="宋体"/>
                <w:color w:val="auto"/>
                <w:sz w:val="21"/>
                <w:szCs w:val="21"/>
                <w:highlight w:val="none"/>
              </w:rPr>
            </w:pPr>
          </w:p>
        </w:tc>
        <w:tc>
          <w:tcPr>
            <w:tcW w:w="1842" w:type="dxa"/>
            <w:vAlign w:val="center"/>
          </w:tcPr>
          <w:p>
            <w:pPr>
              <w:shd w:val="clear"/>
              <w:spacing w:line="360" w:lineRule="auto"/>
              <w:jc w:val="center"/>
              <w:rPr>
                <w:rFonts w:hAnsi="宋体"/>
                <w:color w:val="auto"/>
                <w:sz w:val="21"/>
                <w:szCs w:val="21"/>
                <w:highlight w:val="none"/>
              </w:rPr>
            </w:pPr>
          </w:p>
        </w:tc>
      </w:tr>
    </w:tbl>
    <w:p>
      <w:pPr>
        <w:shd w:val="clea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hd w:val="clea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4"/>
        <w:numPr>
          <w:ilvl w:val="0"/>
          <w:numId w:val="21"/>
        </w:numPr>
        <w:shd w:val="clear"/>
        <w:jc w:val="center"/>
        <w:rPr>
          <w:b w:val="0"/>
          <w:color w:val="auto"/>
          <w:sz w:val="28"/>
          <w:szCs w:val="28"/>
          <w:highlight w:val="none"/>
          <w:u w:val="single"/>
        </w:rPr>
      </w:pPr>
      <w:r>
        <w:rPr>
          <w:color w:val="auto"/>
          <w:sz w:val="22"/>
          <w:szCs w:val="22"/>
          <w:highlight w:val="none"/>
        </w:rPr>
        <w:br w:type="page"/>
      </w:r>
      <w:bookmarkStart w:id="242" w:name="_Toc17704"/>
      <w:bookmarkStart w:id="243" w:name="_Toc8896"/>
      <w:bookmarkStart w:id="244" w:name="_Toc27094"/>
      <w:bookmarkStart w:id="245" w:name="_Toc7897894"/>
      <w:r>
        <w:rPr>
          <w:rFonts w:hint="eastAsia"/>
          <w:bCs/>
          <w:color w:val="auto"/>
          <w:sz w:val="28"/>
          <w:szCs w:val="28"/>
          <w:highlight w:val="none"/>
        </w:rPr>
        <w:t>偏离表</w:t>
      </w:r>
      <w:bookmarkEnd w:id="217"/>
      <w:bookmarkEnd w:id="242"/>
      <w:bookmarkEnd w:id="243"/>
      <w:bookmarkEnd w:id="244"/>
      <w:bookmarkEnd w:id="245"/>
    </w:p>
    <w:p>
      <w:pPr>
        <w:pStyle w:val="13"/>
        <w:shd w:val="clear"/>
        <w:ind w:firstLine="480"/>
        <w:rPr>
          <w:color w:val="auto"/>
          <w:sz w:val="24"/>
          <w:szCs w:val="21"/>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响应文件</w:t>
            </w:r>
          </w:p>
          <w:p>
            <w:pPr>
              <w:shd w:val="clea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偏离情况</w:t>
            </w:r>
          </w:p>
          <w:p>
            <w:pPr>
              <w:shd w:val="clea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ind w:left="-446" w:leftChars="-186" w:firstLine="390" w:firstLineChars="186"/>
              <w:jc w:val="center"/>
              <w:rPr>
                <w:rFonts w:hAnsi="宋体"/>
                <w:color w:val="auto"/>
                <w:sz w:val="21"/>
                <w:szCs w:val="21"/>
                <w:highlight w:val="none"/>
              </w:rPr>
            </w:pPr>
          </w:p>
        </w:tc>
        <w:tc>
          <w:tcPr>
            <w:tcW w:w="1594" w:type="dxa"/>
            <w:vAlign w:val="center"/>
          </w:tcPr>
          <w:p>
            <w:pPr>
              <w:shd w:val="clea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bl>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1.“磋商文件要求”见磋商文件“用户需求书”，“响应文件响应情况”是指供应商的投报情况。</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pStyle w:val="4"/>
        <w:numPr>
          <w:ilvl w:val="0"/>
          <w:numId w:val="21"/>
        </w:numPr>
        <w:shd w:val="clear"/>
        <w:jc w:val="center"/>
        <w:rPr>
          <w:rFonts w:ascii="Calibri" w:hAnsi="Times New Roman"/>
          <w:color w:val="auto"/>
          <w:sz w:val="28"/>
          <w:szCs w:val="28"/>
          <w:highlight w:val="none"/>
        </w:rPr>
      </w:pPr>
      <w:bookmarkStart w:id="246" w:name="_Toc8299"/>
      <w:bookmarkStart w:id="247" w:name="_Toc10734"/>
      <w:bookmarkStart w:id="248" w:name="_Toc7897895"/>
      <w:bookmarkStart w:id="249" w:name="_Toc3196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46"/>
      <w:bookmarkEnd w:id="247"/>
    </w:p>
    <w:p>
      <w:pPr>
        <w:shd w:val="clear"/>
        <w:rPr>
          <w:rFonts w:hAnsi="宋体"/>
          <w:b/>
          <w:bCs/>
          <w:color w:val="auto"/>
          <w:highlight w:val="none"/>
        </w:rPr>
      </w:pPr>
    </w:p>
    <w:p>
      <w:pPr>
        <w:shd w:val="clear"/>
        <w:rPr>
          <w:rFonts w:hAnsi="宋体"/>
          <w:b/>
          <w:bCs/>
          <w:color w:val="auto"/>
          <w:highlight w:val="none"/>
        </w:rPr>
      </w:pPr>
    </w:p>
    <w:tbl>
      <w:tblPr>
        <w:tblStyle w:val="52"/>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shd w:val="clea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shd w:val="clea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shd w:val="clear"/>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vAlign w:val="center"/>
          </w:tcPr>
          <w:p>
            <w:pPr>
              <w:keepNext/>
              <w:keepLines/>
              <w:shd w:val="clear"/>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shd w:val="clear"/>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shd w:val="clear"/>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bl>
    <w:p>
      <w:pPr>
        <w:shd w:val="clea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shd w:val="clea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rPr>
          <w:rFonts w:hAnsi="宋体"/>
          <w:color w:val="auto"/>
          <w:sz w:val="22"/>
          <w:szCs w:val="22"/>
          <w:highlight w:val="none"/>
        </w:rPr>
      </w:pPr>
      <w:r>
        <w:rPr>
          <w:rFonts w:hint="eastAsia" w:hAnsi="宋体"/>
          <w:color w:val="auto"/>
          <w:sz w:val="21"/>
          <w:szCs w:val="21"/>
          <w:highlight w:val="none"/>
        </w:rPr>
        <w:t>日期：年月日</w:t>
      </w:r>
    </w:p>
    <w:p>
      <w:pPr>
        <w:pStyle w:val="13"/>
        <w:shd w:val="clear"/>
        <w:ind w:firstLine="400"/>
        <w:rPr>
          <w:color w:val="auto"/>
          <w:highlight w:val="none"/>
        </w:rPr>
      </w:pPr>
    </w:p>
    <w:p>
      <w:pPr>
        <w:pStyle w:val="4"/>
        <w:numPr>
          <w:ilvl w:val="0"/>
          <w:numId w:val="21"/>
        </w:numPr>
        <w:shd w:val="clear"/>
        <w:jc w:val="center"/>
        <w:rPr>
          <w:color w:val="auto"/>
          <w:sz w:val="28"/>
          <w:szCs w:val="28"/>
          <w:highlight w:val="none"/>
        </w:rPr>
      </w:pPr>
      <w:bookmarkStart w:id="250" w:name="_Toc1441"/>
      <w:bookmarkStart w:id="251" w:name="_Toc12735"/>
      <w:r>
        <w:rPr>
          <w:rFonts w:hint="eastAsia"/>
          <w:bCs/>
          <w:color w:val="auto"/>
          <w:sz w:val="28"/>
          <w:szCs w:val="28"/>
          <w:highlight w:val="none"/>
        </w:rPr>
        <w:t>供应商所获资质或奖项证书一览表</w:t>
      </w:r>
      <w:bookmarkEnd w:id="248"/>
      <w:bookmarkEnd w:id="249"/>
      <w:bookmarkEnd w:id="250"/>
      <w:bookmarkEnd w:id="251"/>
    </w:p>
    <w:p>
      <w:pPr>
        <w:pStyle w:val="13"/>
        <w:shd w:val="clear"/>
        <w:tabs>
          <w:tab w:val="left" w:pos="8280"/>
        </w:tabs>
        <w:spacing w:line="480" w:lineRule="exact"/>
        <w:ind w:firstLine="482"/>
        <w:rPr>
          <w:rFonts w:hAnsi="宋体"/>
          <w:b/>
          <w:color w:val="auto"/>
          <w:sz w:val="24"/>
          <w:szCs w:val="21"/>
          <w:highlight w:val="none"/>
        </w:rPr>
      </w:pPr>
    </w:p>
    <w:tbl>
      <w:tblPr>
        <w:tblStyle w:val="52"/>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3"/>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3"/>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3"/>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3"/>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2218" w:type="dxa"/>
            <w:vAlign w:val="center"/>
          </w:tcPr>
          <w:p>
            <w:pPr>
              <w:pStyle w:val="13"/>
              <w:shd w:val="clear"/>
              <w:ind w:firstLine="422"/>
              <w:jc w:val="center"/>
              <w:rPr>
                <w:rFonts w:ascii="Times New Roman" w:hAnsi="宋体"/>
                <w:b/>
                <w:bCs/>
                <w:color w:val="auto"/>
                <w:sz w:val="21"/>
                <w:szCs w:val="21"/>
                <w:highlight w:val="none"/>
              </w:rPr>
            </w:pPr>
          </w:p>
        </w:tc>
        <w:tc>
          <w:tcPr>
            <w:tcW w:w="1862" w:type="dxa"/>
            <w:vAlign w:val="center"/>
          </w:tcPr>
          <w:p>
            <w:pPr>
              <w:pStyle w:val="13"/>
              <w:shd w:val="clear"/>
              <w:ind w:firstLine="422"/>
              <w:jc w:val="center"/>
              <w:rPr>
                <w:rFonts w:ascii="Times New Roman" w:hAnsi="宋体"/>
                <w:b/>
                <w:bCs/>
                <w:color w:val="auto"/>
                <w:sz w:val="21"/>
                <w:szCs w:val="21"/>
                <w:highlight w:val="none"/>
              </w:rPr>
            </w:pPr>
          </w:p>
        </w:tc>
        <w:tc>
          <w:tcPr>
            <w:tcW w:w="1529" w:type="dxa"/>
            <w:vAlign w:val="center"/>
          </w:tcPr>
          <w:p>
            <w:pPr>
              <w:pStyle w:val="13"/>
              <w:shd w:val="clear"/>
              <w:ind w:firstLine="422"/>
              <w:jc w:val="center"/>
              <w:rPr>
                <w:rFonts w:ascii="Times New Roman" w:hAnsi="宋体"/>
                <w:b/>
                <w:bCs/>
                <w:color w:val="auto"/>
                <w:sz w:val="21"/>
                <w:szCs w:val="21"/>
                <w:highlight w:val="none"/>
              </w:rPr>
            </w:pPr>
          </w:p>
        </w:tc>
      </w:tr>
    </w:tbl>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hd w:val="clear"/>
        <w:spacing w:line="480" w:lineRule="exact"/>
        <w:rPr>
          <w:rFonts w:hAnsi="宋体"/>
          <w:b/>
          <w:color w:val="auto"/>
          <w:szCs w:val="21"/>
          <w:highlight w:val="none"/>
          <w:u w:val="single"/>
        </w:rPr>
      </w:pPr>
    </w:p>
    <w:p>
      <w:pPr>
        <w:shd w:val="clear"/>
        <w:spacing w:line="480" w:lineRule="exact"/>
        <w:rPr>
          <w:rFonts w:hAnsi="宋体"/>
          <w:b/>
          <w:bCs/>
          <w:color w:val="auto"/>
          <w:szCs w:val="21"/>
          <w:highlight w:val="none"/>
        </w:rPr>
      </w:pPr>
    </w:p>
    <w:p>
      <w:pPr>
        <w:shd w:val="clear"/>
        <w:spacing w:line="480" w:lineRule="exact"/>
        <w:rPr>
          <w:rFonts w:hAnsi="宋体"/>
          <w:b/>
          <w:bCs/>
          <w:color w:val="auto"/>
          <w:szCs w:val="21"/>
          <w:highlight w:val="none"/>
        </w:rPr>
      </w:pPr>
    </w:p>
    <w:p>
      <w:pPr>
        <w:shd w:val="clear"/>
        <w:rPr>
          <w:color w:val="auto"/>
          <w:highlight w:val="none"/>
        </w:rPr>
      </w:pPr>
    </w:p>
    <w:p>
      <w:pPr>
        <w:pStyle w:val="4"/>
        <w:numPr>
          <w:ilvl w:val="0"/>
          <w:numId w:val="21"/>
        </w:numPr>
        <w:shd w:val="clear"/>
        <w:jc w:val="center"/>
        <w:rPr>
          <w:color w:val="auto"/>
          <w:sz w:val="28"/>
          <w:szCs w:val="28"/>
          <w:highlight w:val="none"/>
        </w:rPr>
      </w:pPr>
      <w:r>
        <w:rPr>
          <w:color w:val="auto"/>
          <w:highlight w:val="none"/>
        </w:rPr>
        <w:br w:type="page"/>
      </w:r>
      <w:bookmarkStart w:id="252" w:name="_Toc4884"/>
      <w:bookmarkStart w:id="253" w:name="_Toc23874"/>
      <w:bookmarkStart w:id="254" w:name="_Toc7897896"/>
      <w:bookmarkStart w:id="255" w:name="_Toc4539"/>
      <w:r>
        <w:rPr>
          <w:rFonts w:hint="eastAsia"/>
          <w:bCs/>
          <w:color w:val="auto"/>
          <w:sz w:val="28"/>
          <w:szCs w:val="28"/>
          <w:highlight w:val="none"/>
        </w:rPr>
        <w:t>项目业绩一览表</w:t>
      </w:r>
      <w:bookmarkEnd w:id="252"/>
      <w:bookmarkEnd w:id="253"/>
      <w:bookmarkEnd w:id="254"/>
      <w:bookmarkEnd w:id="255"/>
    </w:p>
    <w:p>
      <w:pPr>
        <w:pStyle w:val="30"/>
        <w:shd w:val="clear"/>
        <w:spacing w:line="480" w:lineRule="exact"/>
        <w:jc w:val="center"/>
        <w:rPr>
          <w:rFonts w:hAnsi="宋体"/>
          <w:b/>
          <w:color w:val="auto"/>
          <w:sz w:val="22"/>
          <w:szCs w:val="22"/>
          <w:highlight w:val="none"/>
        </w:rPr>
      </w:pPr>
    </w:p>
    <w:tbl>
      <w:tblPr>
        <w:tblStyle w:val="5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30"/>
              <w:shd w:val="clear"/>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30"/>
              <w:shd w:val="clear"/>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30"/>
              <w:shd w:val="clear"/>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30"/>
              <w:shd w:val="clear"/>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30"/>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30"/>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30"/>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30"/>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bl>
    <w:p>
      <w:pPr>
        <w:pStyle w:val="30"/>
        <w:shd w:val="clear"/>
        <w:spacing w:line="480" w:lineRule="exact"/>
        <w:rPr>
          <w:rFonts w:hAnsi="宋体"/>
          <w:color w:val="auto"/>
          <w:sz w:val="22"/>
          <w:szCs w:val="22"/>
          <w:highlight w:val="none"/>
        </w:rPr>
      </w:pPr>
    </w:p>
    <w:p>
      <w:pPr>
        <w:pStyle w:val="30"/>
        <w:shd w:val="clear"/>
        <w:spacing w:line="480" w:lineRule="exact"/>
        <w:rPr>
          <w:rFonts w:hAnsi="宋体"/>
          <w:color w:val="auto"/>
          <w:sz w:val="22"/>
          <w:szCs w:val="22"/>
          <w:highlight w:val="none"/>
        </w:rPr>
      </w:pPr>
      <w:r>
        <w:rPr>
          <w:rFonts w:hint="eastAsia" w:hAnsi="宋体"/>
          <w:color w:val="auto"/>
          <w:sz w:val="22"/>
          <w:szCs w:val="22"/>
          <w:highlight w:val="none"/>
        </w:rPr>
        <w:t>要求：</w:t>
      </w:r>
    </w:p>
    <w:p>
      <w:pPr>
        <w:pStyle w:val="30"/>
        <w:shd w:val="clear"/>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供应商应当如实、完整地填写本表格，内容包括所有同类或近似项目业绩。根据评分标准提供相应的证明材料。在填写过程中请按年份顺序填写。</w:t>
      </w:r>
    </w:p>
    <w:p>
      <w:pPr>
        <w:pStyle w:val="30"/>
        <w:shd w:val="clear"/>
        <w:spacing w:line="480" w:lineRule="exact"/>
        <w:rPr>
          <w:rFonts w:hAnsi="宋体"/>
          <w:color w:val="auto"/>
          <w:sz w:val="22"/>
          <w:szCs w:val="22"/>
          <w:highlight w:val="none"/>
        </w:rPr>
      </w:pP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4"/>
        <w:numPr>
          <w:ilvl w:val="0"/>
          <w:numId w:val="21"/>
        </w:numPr>
        <w:shd w:val="clear"/>
        <w:jc w:val="center"/>
        <w:rPr>
          <w:b w:val="0"/>
          <w:bCs/>
          <w:color w:val="auto"/>
          <w:sz w:val="28"/>
          <w:highlight w:val="none"/>
        </w:rPr>
      </w:pPr>
      <w:r>
        <w:rPr>
          <w:color w:val="auto"/>
          <w:sz w:val="22"/>
          <w:szCs w:val="22"/>
          <w:highlight w:val="none"/>
        </w:rPr>
        <w:br w:type="page"/>
      </w:r>
      <w:bookmarkStart w:id="256" w:name="_Toc17432"/>
      <w:bookmarkStart w:id="257" w:name="_Toc6882"/>
      <w:bookmarkStart w:id="258" w:name="_Toc7897897"/>
      <w:bookmarkStart w:id="259" w:name="_Toc23633"/>
      <w:r>
        <w:rPr>
          <w:rFonts w:hint="eastAsia"/>
          <w:bCs/>
          <w:color w:val="auto"/>
          <w:sz w:val="28"/>
          <w:highlight w:val="none"/>
        </w:rPr>
        <w:t>在经营活动中没有重大违法记录的书面声明</w:t>
      </w:r>
      <w:bookmarkEnd w:id="256"/>
      <w:bookmarkEnd w:id="257"/>
      <w:bookmarkEnd w:id="258"/>
      <w:bookmarkEnd w:id="259"/>
    </w:p>
    <w:p>
      <w:pPr>
        <w:pStyle w:val="75"/>
        <w:shd w:val="clear"/>
        <w:ind w:firstLine="0" w:firstLineChars="0"/>
        <w:jc w:val="center"/>
        <w:rPr>
          <w:rFonts w:ascii="宋体" w:eastAsia="宋体"/>
          <w:b/>
          <w:color w:val="auto"/>
          <w:sz w:val="28"/>
          <w:highlight w:val="none"/>
        </w:rPr>
      </w:pPr>
    </w:p>
    <w:p>
      <w:pPr>
        <w:shd w:val="clear"/>
        <w:spacing w:line="360" w:lineRule="auto"/>
        <w:rPr>
          <w:rFonts w:hAnsi="宋体"/>
          <w:color w:val="auto"/>
          <w:sz w:val="21"/>
          <w:szCs w:val="21"/>
          <w:highlight w:val="none"/>
          <w:u w:val="single"/>
        </w:rPr>
      </w:pPr>
      <w:r>
        <w:rPr>
          <w:rFonts w:hint="eastAsia" w:hAnsi="宋体"/>
          <w:color w:val="auto"/>
          <w:sz w:val="21"/>
          <w:szCs w:val="21"/>
          <w:highlight w:val="none"/>
        </w:rPr>
        <w:t>致：</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shd w:val="clear"/>
        <w:rPr>
          <w:rFonts w:hAnsi="宋体"/>
          <w:color w:val="auto"/>
          <w:sz w:val="21"/>
          <w:szCs w:val="21"/>
          <w:highlight w:val="none"/>
        </w:rPr>
      </w:pPr>
    </w:p>
    <w:p>
      <w:pPr>
        <w:shd w:val="clear"/>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18"/>
    <w:bookmarkEnd w:id="219"/>
    <w:bookmarkEnd w:id="220"/>
    <w:bookmarkEnd w:id="221"/>
    <w:bookmarkEnd w:id="222"/>
    <w:bookmarkEnd w:id="223"/>
    <w:bookmarkEnd w:id="224"/>
    <w:p>
      <w:pPr>
        <w:pStyle w:val="4"/>
        <w:numPr>
          <w:ilvl w:val="0"/>
          <w:numId w:val="21"/>
        </w:numPr>
        <w:shd w:val="clear"/>
        <w:jc w:val="center"/>
        <w:rPr>
          <w:b w:val="0"/>
          <w:color w:val="auto"/>
          <w:sz w:val="28"/>
          <w:szCs w:val="28"/>
          <w:highlight w:val="none"/>
        </w:rPr>
      </w:pPr>
      <w:bookmarkStart w:id="260" w:name="_Toc110953865"/>
      <w:bookmarkStart w:id="261" w:name="_Toc35233726"/>
      <w:bookmarkStart w:id="262" w:name="_Toc480171915"/>
      <w:bookmarkStart w:id="263" w:name="_Toc454701411"/>
      <w:bookmarkStart w:id="264" w:name="_Toc480020290"/>
      <w:bookmarkStart w:id="265" w:name="_Toc458262644"/>
      <w:bookmarkStart w:id="266" w:name="_Toc468157570"/>
      <w:bookmarkStart w:id="267" w:name="_Toc480021086"/>
      <w:bookmarkStart w:id="268" w:name="_Toc479991617"/>
      <w:bookmarkStart w:id="269" w:name="_Toc467987857"/>
      <w:bookmarkStart w:id="270" w:name="_Toc468606065"/>
      <w:bookmarkStart w:id="271" w:name="_Toc480010743"/>
      <w:bookmarkStart w:id="272" w:name="_Toc467236774"/>
      <w:r>
        <w:rPr>
          <w:color w:val="auto"/>
          <w:sz w:val="22"/>
          <w:szCs w:val="22"/>
          <w:highlight w:val="none"/>
        </w:rPr>
        <w:br w:type="page"/>
      </w:r>
      <w:bookmarkEnd w:id="260"/>
      <w:bookmarkStart w:id="273" w:name="_Toc8181"/>
      <w:bookmarkStart w:id="274" w:name="_Toc2461"/>
      <w:bookmarkStart w:id="275" w:name="_Toc7897900"/>
      <w:bookmarkStart w:id="276" w:name="_Toc18024"/>
      <w:r>
        <w:rPr>
          <w:rFonts w:hint="eastAsia"/>
          <w:color w:val="auto"/>
          <w:sz w:val="28"/>
          <w:szCs w:val="28"/>
          <w:highlight w:val="none"/>
        </w:rPr>
        <w:t>针对本项目拟派人员及其技术资格一览表</w:t>
      </w:r>
      <w:bookmarkEnd w:id="273"/>
      <w:bookmarkEnd w:id="274"/>
      <w:bookmarkEnd w:id="275"/>
      <w:bookmarkEnd w:id="276"/>
    </w:p>
    <w:p>
      <w:pPr>
        <w:pStyle w:val="30"/>
        <w:shd w:val="clear"/>
        <w:spacing w:line="480" w:lineRule="exact"/>
        <w:ind w:left="-202" w:leftChars="-84" w:firstLine="241" w:firstLineChars="100"/>
        <w:rPr>
          <w:rFonts w:hAnsi="宋体"/>
          <w:b/>
          <w:color w:val="auto"/>
          <w:sz w:val="24"/>
          <w:szCs w:val="21"/>
          <w:highlight w:val="none"/>
        </w:rPr>
      </w:pPr>
    </w:p>
    <w:p>
      <w:pPr>
        <w:pStyle w:val="30"/>
        <w:shd w:val="clear"/>
        <w:spacing w:line="480" w:lineRule="exact"/>
        <w:ind w:left="-202" w:leftChars="-84" w:firstLine="221" w:firstLineChars="100"/>
        <w:rPr>
          <w:rFonts w:hAnsi="宋体"/>
          <w:b/>
          <w:color w:val="auto"/>
          <w:sz w:val="22"/>
          <w:szCs w:val="22"/>
          <w:highlight w:val="none"/>
          <w:u w:val="single"/>
        </w:rPr>
      </w:pPr>
    </w:p>
    <w:tbl>
      <w:tblPr>
        <w:tblStyle w:val="5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30"/>
              <w:shd w:val="clear"/>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30"/>
              <w:shd w:val="clear"/>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30"/>
              <w:shd w:val="clear"/>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30"/>
              <w:shd w:val="clear"/>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30"/>
              <w:shd w:val="clear"/>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30"/>
              <w:shd w:val="clear"/>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30"/>
              <w:shd w:val="clear"/>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30"/>
              <w:shd w:val="clear"/>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vAlign w:val="center"/>
          </w:tcPr>
          <w:p>
            <w:pPr>
              <w:shd w:val="clea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30"/>
              <w:shd w:val="clear"/>
              <w:spacing w:line="480" w:lineRule="exact"/>
              <w:jc w:val="center"/>
              <w:rPr>
                <w:rFonts w:hAnsi="宋体"/>
                <w:color w:val="auto"/>
                <w:szCs w:val="21"/>
                <w:highlight w:val="none"/>
              </w:rPr>
            </w:pPr>
          </w:p>
        </w:tc>
        <w:tc>
          <w:tcPr>
            <w:tcW w:w="1026" w:type="dxa"/>
            <w:vAlign w:val="center"/>
          </w:tcPr>
          <w:p>
            <w:pPr>
              <w:pStyle w:val="30"/>
              <w:shd w:val="clear"/>
              <w:spacing w:line="480" w:lineRule="exact"/>
              <w:jc w:val="center"/>
              <w:rPr>
                <w:rFonts w:hAnsi="宋体"/>
                <w:color w:val="auto"/>
                <w:szCs w:val="21"/>
                <w:highlight w:val="none"/>
              </w:rPr>
            </w:pPr>
          </w:p>
        </w:tc>
        <w:tc>
          <w:tcPr>
            <w:tcW w:w="877" w:type="dxa"/>
            <w:vAlign w:val="center"/>
          </w:tcPr>
          <w:p>
            <w:pPr>
              <w:pStyle w:val="30"/>
              <w:shd w:val="clear"/>
              <w:spacing w:line="480" w:lineRule="exact"/>
              <w:jc w:val="center"/>
              <w:rPr>
                <w:rFonts w:hAnsi="宋体"/>
                <w:color w:val="auto"/>
                <w:szCs w:val="21"/>
                <w:highlight w:val="none"/>
              </w:rPr>
            </w:pPr>
          </w:p>
        </w:tc>
        <w:tc>
          <w:tcPr>
            <w:tcW w:w="1533" w:type="dxa"/>
          </w:tcPr>
          <w:p>
            <w:pPr>
              <w:pStyle w:val="30"/>
              <w:shd w:val="clear"/>
              <w:spacing w:line="480" w:lineRule="exact"/>
              <w:jc w:val="center"/>
              <w:rPr>
                <w:rFonts w:hAnsi="宋体"/>
                <w:color w:val="auto"/>
                <w:szCs w:val="21"/>
                <w:highlight w:val="none"/>
              </w:rPr>
            </w:pPr>
          </w:p>
        </w:tc>
        <w:tc>
          <w:tcPr>
            <w:tcW w:w="1357" w:type="dxa"/>
            <w:vAlign w:val="center"/>
          </w:tcPr>
          <w:p>
            <w:pPr>
              <w:pStyle w:val="30"/>
              <w:shd w:val="clear"/>
              <w:spacing w:line="480" w:lineRule="exact"/>
              <w:jc w:val="center"/>
              <w:rPr>
                <w:rFonts w:hAnsi="宋体"/>
                <w:color w:val="auto"/>
                <w:szCs w:val="21"/>
                <w:highlight w:val="none"/>
              </w:rPr>
            </w:pPr>
          </w:p>
        </w:tc>
        <w:tc>
          <w:tcPr>
            <w:tcW w:w="1200" w:type="dxa"/>
            <w:vAlign w:val="center"/>
          </w:tcPr>
          <w:p>
            <w:pPr>
              <w:pStyle w:val="30"/>
              <w:shd w:val="clear"/>
              <w:spacing w:line="480" w:lineRule="exact"/>
              <w:jc w:val="center"/>
              <w:rPr>
                <w:rFonts w:hAnsi="宋体"/>
                <w:color w:val="auto"/>
                <w:szCs w:val="21"/>
                <w:highlight w:val="none"/>
              </w:rPr>
            </w:pPr>
          </w:p>
        </w:tc>
        <w:tc>
          <w:tcPr>
            <w:tcW w:w="1403" w:type="dxa"/>
            <w:vAlign w:val="center"/>
          </w:tcPr>
          <w:p>
            <w:pPr>
              <w:pStyle w:val="30"/>
              <w:shd w:val="clear"/>
              <w:spacing w:line="480" w:lineRule="exact"/>
              <w:jc w:val="center"/>
              <w:rPr>
                <w:rFonts w:hAnsi="宋体"/>
                <w:color w:val="auto"/>
                <w:szCs w:val="21"/>
                <w:highlight w:val="none"/>
              </w:rPr>
            </w:pPr>
          </w:p>
        </w:tc>
        <w:tc>
          <w:tcPr>
            <w:tcW w:w="1403" w:type="dxa"/>
          </w:tcPr>
          <w:p>
            <w:pPr>
              <w:pStyle w:val="30"/>
              <w:shd w:val="clear"/>
              <w:spacing w:line="480" w:lineRule="exact"/>
              <w:jc w:val="center"/>
              <w:rPr>
                <w:rFonts w:hAnsi="宋体"/>
                <w:color w:val="auto"/>
                <w:szCs w:val="21"/>
                <w:highlight w:val="none"/>
              </w:rPr>
            </w:pPr>
          </w:p>
        </w:tc>
      </w:tr>
    </w:tbl>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1"/>
        <w:shd w:val="clear"/>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hd w:val="clear"/>
        <w:spacing w:line="480" w:lineRule="exact"/>
        <w:rPr>
          <w:rFonts w:hAnsi="宋体"/>
          <w:b/>
          <w:bCs/>
          <w:color w:val="auto"/>
          <w:szCs w:val="21"/>
          <w:highlight w:val="none"/>
          <w:u w:val="single"/>
        </w:rPr>
      </w:pPr>
    </w:p>
    <w:p>
      <w:pPr>
        <w:pStyle w:val="4"/>
        <w:numPr>
          <w:ilvl w:val="0"/>
          <w:numId w:val="21"/>
        </w:numPr>
        <w:shd w:val="clear"/>
        <w:jc w:val="center"/>
        <w:rPr>
          <w:bCs/>
          <w:color w:val="auto"/>
          <w:sz w:val="28"/>
          <w:szCs w:val="28"/>
          <w:highlight w:val="none"/>
        </w:rPr>
      </w:pPr>
      <w:r>
        <w:rPr>
          <w:bCs/>
          <w:color w:val="auto"/>
          <w:szCs w:val="21"/>
          <w:highlight w:val="none"/>
        </w:rPr>
        <w:br w:type="page"/>
      </w:r>
      <w:bookmarkEnd w:id="261"/>
      <w:bookmarkEnd w:id="262"/>
      <w:bookmarkEnd w:id="263"/>
      <w:bookmarkEnd w:id="264"/>
      <w:bookmarkEnd w:id="265"/>
      <w:bookmarkEnd w:id="266"/>
      <w:bookmarkEnd w:id="267"/>
      <w:bookmarkEnd w:id="268"/>
      <w:bookmarkEnd w:id="269"/>
      <w:bookmarkEnd w:id="270"/>
      <w:bookmarkEnd w:id="271"/>
      <w:bookmarkEnd w:id="272"/>
      <w:bookmarkStart w:id="277" w:name="_Toc13441"/>
      <w:bookmarkStart w:id="278" w:name="_Toc16598"/>
      <w:r>
        <w:rPr>
          <w:rFonts w:hint="eastAsia"/>
          <w:bCs/>
          <w:color w:val="auto"/>
          <w:sz w:val="28"/>
          <w:szCs w:val="28"/>
          <w:highlight w:val="none"/>
        </w:rPr>
        <w:t>磋商保证金汇入情况说明（适用于转账、电汇方式）</w:t>
      </w:r>
      <w:bookmarkEnd w:id="277"/>
      <w:bookmarkEnd w:id="278"/>
    </w:p>
    <w:p>
      <w:pPr>
        <w:shd w:val="clear"/>
        <w:spacing w:line="460" w:lineRule="exact"/>
        <w:rPr>
          <w:rFonts w:hAnsi="宋体"/>
          <w:b/>
          <w:bCs/>
          <w:color w:val="auto"/>
          <w:sz w:val="22"/>
          <w:szCs w:val="22"/>
          <w:highlight w:val="none"/>
        </w:rPr>
      </w:pP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hd w:val="clea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hd w:val="clear"/>
        <w:spacing w:line="460" w:lineRule="exact"/>
        <w:rPr>
          <w:rFonts w:hAnsi="宋体"/>
          <w:b/>
          <w:bCs/>
          <w:color w:val="auto"/>
          <w:sz w:val="21"/>
          <w:szCs w:val="21"/>
          <w:highlight w:val="none"/>
        </w:rPr>
      </w:pPr>
    </w:p>
    <w:p>
      <w:pPr>
        <w:shd w:val="clea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hd w:val="clea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hd w:val="clea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hd w:val="clear"/>
        <w:spacing w:line="360" w:lineRule="auto"/>
        <w:rPr>
          <w:rFonts w:hAnsi="宋体"/>
          <w:b/>
          <w:color w:val="auto"/>
          <w:sz w:val="21"/>
          <w:szCs w:val="21"/>
          <w:highlight w:val="none"/>
        </w:rPr>
      </w:pPr>
    </w:p>
    <w:p>
      <w:pPr>
        <w:shd w:val="clea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shd w:val="clear"/>
        <w:rPr>
          <w:color w:val="auto"/>
          <w:highlight w:val="none"/>
        </w:rPr>
      </w:pPr>
    </w:p>
    <w:p>
      <w:pPr>
        <w:shd w:val="clear"/>
        <w:overflowPunct w:val="0"/>
        <w:spacing w:line="460" w:lineRule="exact"/>
        <w:rPr>
          <w:rFonts w:hAnsi="宋体"/>
          <w:color w:val="auto"/>
          <w:sz w:val="22"/>
          <w:szCs w:val="22"/>
          <w:highlight w:val="none"/>
        </w:rPr>
      </w:pPr>
      <w:r>
        <w:rPr>
          <w:color w:val="auto"/>
          <w:highlight w:val="none"/>
        </w:rPr>
        <w:br w:type="page"/>
      </w:r>
    </w:p>
    <w:p>
      <w:pPr>
        <w:pStyle w:val="4"/>
        <w:pageBreakBefore/>
        <w:shd w:val="clear"/>
        <w:spacing w:line="360" w:lineRule="auto"/>
        <w:jc w:val="center"/>
        <w:rPr>
          <w:bCs/>
          <w:color w:val="auto"/>
          <w:sz w:val="28"/>
          <w:szCs w:val="28"/>
          <w:highlight w:val="none"/>
        </w:rPr>
      </w:pPr>
      <w:bookmarkStart w:id="279" w:name="_Toc19888"/>
      <w:bookmarkStart w:id="280" w:name="_Toc20966"/>
      <w:r>
        <w:rPr>
          <w:rFonts w:hint="eastAsia"/>
          <w:bCs/>
          <w:color w:val="auto"/>
          <w:sz w:val="28"/>
          <w:szCs w:val="28"/>
          <w:highlight w:val="none"/>
        </w:rPr>
        <w:t>第三部分 技术文件</w:t>
      </w:r>
      <w:bookmarkEnd w:id="279"/>
      <w:bookmarkEnd w:id="280"/>
    </w:p>
    <w:p>
      <w:pPr>
        <w:shd w:val="clear"/>
        <w:jc w:val="center"/>
        <w:rPr>
          <w:color w:val="auto"/>
          <w:highlight w:val="none"/>
        </w:rPr>
      </w:pPr>
    </w:p>
    <w:p>
      <w:pPr>
        <w:pStyle w:val="4"/>
        <w:numPr>
          <w:ilvl w:val="0"/>
          <w:numId w:val="22"/>
        </w:numPr>
        <w:shd w:val="clear"/>
        <w:jc w:val="center"/>
        <w:rPr>
          <w:color w:val="auto"/>
          <w:highlight w:val="none"/>
        </w:rPr>
      </w:pPr>
      <w:bookmarkStart w:id="281" w:name="_Toc24064"/>
      <w:bookmarkStart w:id="282" w:name="_Toc1852"/>
      <w:bookmarkStart w:id="283" w:name="_Toc9540"/>
      <w:bookmarkStart w:id="284" w:name="_Toc31683"/>
      <w:bookmarkStart w:id="285" w:name="_Toc15167"/>
      <w:bookmarkStart w:id="286" w:name="_Toc28884"/>
      <w:bookmarkStart w:id="287" w:name="_Toc25949"/>
      <w:bookmarkStart w:id="288" w:name="_Toc7161"/>
      <w:bookmarkStart w:id="289" w:name="_Toc9579"/>
      <w:r>
        <w:rPr>
          <w:rFonts w:hint="eastAsia"/>
          <w:color w:val="auto"/>
          <w:highlight w:val="none"/>
        </w:rPr>
        <w:t>技术方案</w:t>
      </w:r>
      <w:bookmarkEnd w:id="281"/>
      <w:bookmarkEnd w:id="282"/>
      <w:bookmarkEnd w:id="283"/>
      <w:bookmarkEnd w:id="284"/>
      <w:bookmarkEnd w:id="285"/>
      <w:bookmarkEnd w:id="286"/>
      <w:bookmarkEnd w:id="287"/>
      <w:bookmarkEnd w:id="288"/>
      <w:bookmarkEnd w:id="289"/>
    </w:p>
    <w:p>
      <w:pPr>
        <w:shd w:val="clear"/>
        <w:snapToGrid w:val="0"/>
        <w:spacing w:line="360" w:lineRule="auto"/>
        <w:rPr>
          <w:rFonts w:hAnsi="宋体"/>
          <w:color w:val="auto"/>
          <w:sz w:val="21"/>
          <w:szCs w:val="21"/>
          <w:highlight w:val="none"/>
        </w:rPr>
      </w:pPr>
    </w:p>
    <w:p>
      <w:pPr>
        <w:shd w:val="clea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hd w:val="clear"/>
        <w:snapToGrid w:val="0"/>
        <w:spacing w:line="360" w:lineRule="auto"/>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4"/>
        <w:numPr>
          <w:ilvl w:val="0"/>
          <w:numId w:val="22"/>
        </w:numPr>
        <w:shd w:val="clear"/>
        <w:jc w:val="center"/>
        <w:rPr>
          <w:color w:val="auto"/>
          <w:highlight w:val="none"/>
        </w:rPr>
      </w:pPr>
      <w:bookmarkStart w:id="290" w:name="_Toc11036"/>
      <w:bookmarkStart w:id="291" w:name="_Toc30049"/>
      <w:bookmarkStart w:id="292" w:name="_Toc24947"/>
      <w:bookmarkStart w:id="293" w:name="_Toc28953"/>
      <w:bookmarkStart w:id="294" w:name="_Toc9619"/>
      <w:bookmarkStart w:id="295" w:name="_Toc23849"/>
      <w:bookmarkStart w:id="296" w:name="_Toc12278"/>
      <w:bookmarkStart w:id="297" w:name="_Toc15530"/>
      <w:bookmarkStart w:id="298" w:name="_Toc9982"/>
      <w:r>
        <w:rPr>
          <w:rFonts w:hint="eastAsia"/>
          <w:color w:val="auto"/>
          <w:highlight w:val="none"/>
        </w:rPr>
        <w:t>其他资料</w:t>
      </w:r>
      <w:bookmarkEnd w:id="290"/>
      <w:bookmarkEnd w:id="291"/>
      <w:bookmarkEnd w:id="292"/>
      <w:bookmarkEnd w:id="293"/>
      <w:bookmarkEnd w:id="294"/>
      <w:bookmarkEnd w:id="295"/>
      <w:bookmarkEnd w:id="296"/>
      <w:bookmarkEnd w:id="297"/>
      <w:bookmarkEnd w:id="298"/>
    </w:p>
    <w:p>
      <w:pPr>
        <w:pStyle w:val="30"/>
        <w:shd w:val="clear"/>
        <w:spacing w:line="360" w:lineRule="auto"/>
        <w:ind w:firstLine="420"/>
        <w:rPr>
          <w:rFonts w:hAnsi="宋体"/>
          <w:color w:val="auto"/>
          <w:highlight w:val="none"/>
        </w:rPr>
      </w:pPr>
    </w:p>
    <w:p>
      <w:pPr>
        <w:shd w:val="clea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hd w:val="clea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13"/>
        <w:shd w:val="clear"/>
        <w:rPr>
          <w:rFonts w:hAnsi="宋体"/>
          <w:color w:val="auto"/>
          <w:sz w:val="21"/>
          <w:szCs w:val="21"/>
          <w:highlight w:val="none"/>
        </w:rPr>
      </w:pPr>
    </w:p>
    <w:p>
      <w:pPr>
        <w:pStyle w:val="4"/>
        <w:shd w:val="clear"/>
        <w:jc w:val="center"/>
        <w:rPr>
          <w:color w:val="auto"/>
          <w:sz w:val="28"/>
          <w:szCs w:val="28"/>
          <w:highlight w:val="none"/>
        </w:rPr>
      </w:pPr>
      <w:bookmarkStart w:id="299"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99"/>
    </w:p>
    <w:p>
      <w:pPr>
        <w:pStyle w:val="75"/>
        <w:shd w:val="clear"/>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（1）磋商保证金汇入情况说明及银行汇款凭证复印件加盖公章；</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（2）法定代表人证明书原件或正本复印件加盖公章；</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（3）法定代表人授权委托书原件或正本复印件加盖公章（法定代表人磋商的除外）；</w:t>
      </w:r>
    </w:p>
    <w:p>
      <w:pPr>
        <w:pStyle w:val="75"/>
        <w:shd w:val="clear"/>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（4）磋商文件电子文件（须含盖章版PDF磋商响应文件和WORD版磋商响应文件各一版，文字采用WORD文档，计算表格采用 EXCEL文档, 可采用光盘介质或U盘装载）；</w:t>
      </w:r>
    </w:p>
    <w:p>
      <w:pPr>
        <w:pStyle w:val="75"/>
        <w:shd w:val="clear"/>
        <w:spacing w:line="460" w:lineRule="exact"/>
        <w:ind w:firstLine="453"/>
        <w:rPr>
          <w:rFonts w:ascii="宋体" w:eastAsia="宋体"/>
          <w:color w:val="auto"/>
          <w:sz w:val="22"/>
          <w:szCs w:val="22"/>
          <w:highlight w:val="none"/>
        </w:rPr>
      </w:pPr>
    </w:p>
    <w:p>
      <w:pPr>
        <w:shd w:val="clear"/>
        <w:rPr>
          <w:color w:val="auto"/>
          <w:highlight w:val="none"/>
        </w:rPr>
      </w:pPr>
    </w:p>
    <w:p>
      <w:pPr>
        <w:shd w:val="clear"/>
        <w:rPr>
          <w:color w:val="auto"/>
          <w:highlight w:val="none"/>
          <w:lang w:val="zh-CN"/>
        </w:rPr>
      </w:pPr>
      <w:bookmarkStart w:id="300" w:name="_Toc396137262"/>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pStyle w:val="13"/>
        <w:shd w:val="clear"/>
        <w:ind w:firstLine="400"/>
        <w:rPr>
          <w:color w:val="auto"/>
          <w:highlight w:val="none"/>
          <w:lang w:val="zh-CN"/>
        </w:rPr>
      </w:pPr>
    </w:p>
    <w:p>
      <w:pPr>
        <w:pStyle w:val="13"/>
        <w:shd w:val="clear"/>
        <w:ind w:firstLine="400"/>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bookmarkEnd w:id="300"/>
    <w:p>
      <w:pPr>
        <w:shd w:val="clear"/>
        <w:rPr>
          <w:color w:val="auto"/>
          <w:highlight w:val="none"/>
          <w:lang w:val="zh-CN"/>
        </w:rPr>
      </w:pPr>
    </w:p>
    <w:sectPr>
      <w:headerReference r:id="rId14" w:type="default"/>
      <w:footerReference r:id="rId15" w:type="default"/>
      <w:pgSz w:w="11907" w:h="16840"/>
      <w:pgMar w:top="1440" w:right="1134" w:bottom="1440" w:left="1134" w:header="850" w:footer="720"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69DD68-9C25-4224-B9A4-924142E0E9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A826E6B-594C-4AE8-86BC-B049343BB717}"/>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embedRegular r:id="rId3" w:fontKey="{E2C54454-F610-4719-8BB6-76D106C216E4}"/>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4" w:fontKey="{CE14E841-E9CD-49E3-BC28-38904C7A6B3E}"/>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embedRegular r:id="rId5" w:fontKey="{B9E23407-D399-4257-8B8A-6B916F42D72F}"/>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6" w:fontKey="{EF9FD183-DE7C-4B26-8B6A-6A3ABE2F1CE7}"/>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思源黑体 CN Regular">
    <w:altName w:val="黑体"/>
    <w:panose1 w:val="00000000000000000000"/>
    <w:charset w:val="00"/>
    <w:family w:val="auto"/>
    <w:pitch w:val="default"/>
    <w:sig w:usb0="00000000" w:usb1="00000000" w:usb2="00000000" w:usb3="00000000" w:csb0="00040001" w:csb1="00000000"/>
  </w:font>
  <w:font w:name="时尚中黑简体">
    <w:altName w:val="黑体"/>
    <w:panose1 w:val="00000000000000000000"/>
    <w:charset w:val="86"/>
    <w:family w:val="auto"/>
    <w:pitch w:val="default"/>
    <w:sig w:usb0="00000000" w:usb1="00000000" w:usb2="00000012" w:usb3="00000000" w:csb0="00040001" w:csb1="00000000"/>
    <w:embedRegular r:id="rId7" w:fontKey="{84E047C2-5A2C-4530-9D37-283DB6393498}"/>
  </w:font>
  <w:font w:name="等线">
    <w:panose1 w:val="02010600030101010101"/>
    <w:charset w:val="86"/>
    <w:family w:val="auto"/>
    <w:pitch w:val="default"/>
    <w:sig w:usb0="A00002BF" w:usb1="38CF7CFA" w:usb2="00000016" w:usb3="00000000" w:csb0="0004000F" w:csb1="00000000"/>
    <w:embedRegular r:id="rId8" w:fontKey="{25FC3B8D-70F7-4C14-A8AC-C8178603BC23}"/>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56"/>
      </w:rPr>
    </w:pPr>
    <w:r>
      <w:fldChar w:fldCharType="begin"/>
    </w:r>
    <w:r>
      <w:rPr>
        <w:rStyle w:val="56"/>
      </w:rPr>
      <w:instrText xml:space="preserve">PAGE  </w:instrText>
    </w:r>
    <w:r>
      <w:fldChar w:fldCharType="separate"/>
    </w:r>
    <w:r>
      <w:rPr>
        <w:rStyle w:val="56"/>
      </w:rPr>
      <w:t>5</w:t>
    </w:r>
    <w:r>
      <w:fldChar w:fldCharType="end"/>
    </w:r>
  </w:p>
  <w:p>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pPr>
    <w:bookmarkStart w:id="301" w:name="_GoBack"/>
    <w:bookmarkEnd w:id="301"/>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260"/>
      <w:rPr>
        <w:rFonts w:hAnsi="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8839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pPr>
                            <w:pStyle w:val="35"/>
                            <w:jc w:val="center"/>
                          </w:pPr>
                          <w:r>
                            <w:fldChar w:fldCharType="begin"/>
                          </w:r>
                          <w:r>
                            <w:instrText xml:space="preserve"> PAGE  \* MERGEFORMAT </w:instrText>
                          </w:r>
                          <w:r>
                            <w:fldChar w:fldCharType="separate"/>
                          </w:r>
                          <w:r>
                            <w:t>70</w:t>
                          </w:r>
                          <w:r>
                            <w:fldChar w:fldCharType="end"/>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61312;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PJMWdckBAACQAwAADgAAAAAAAAABACAAAAAiAQAAZHJzL2Uy&#10;b0RvYy54bWxQSwUGAAAAAAYABgBZAQAAXQUAAAAA&#10;">
              <v:fill on="f" focussize="0,0"/>
              <v:stroke on="f"/>
              <v:imagedata o:title=""/>
              <o:lock v:ext="edit" aspectratio="f"/>
              <v:textbox inset="0mm,0mm,0mm,0mm" style="mso-fit-shape-to-text:t;">
                <w:txbxContent>
                  <w:p>
                    <w:pPr>
                      <w:pStyle w:val="35"/>
                      <w:jc w:val="center"/>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5062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pPr>
                            <w:pStyle w:val="35"/>
                            <w:jc w:val="center"/>
                          </w:pPr>
                          <w:r>
                            <w:fldChar w:fldCharType="begin"/>
                          </w:r>
                          <w:r>
                            <w:instrText xml:space="preserve"> PAGE  \* MERGEFORMAT </w:instrText>
                          </w:r>
                          <w:r>
                            <w:fldChar w:fldCharType="separate"/>
                          </w:r>
                          <w:r>
                            <w:t>69</w:t>
                          </w:r>
                          <w:r>
                            <w:fldChar w:fldCharType="end"/>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2336;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AfViJ1yQEAAJADAAAOAAAAAAAAAAEAIAAAACEBAABkcnMvZTJv&#10;RG9jLnhtbFBLBQYAAAAABgAGAFkBAABcBQAAAAA=&#10;">
              <v:fill on="f" focussize="0,0"/>
              <v:stroke on="f"/>
              <v:imagedata o:title=""/>
              <o:lock v:ext="edit" aspectratio="f"/>
              <v:textbox inset="0mm,0mm,0mm,0mm" style="mso-fit-shape-to-text:t;">
                <w:txbxContent>
                  <w:p>
                    <w:pPr>
                      <w:pStyle w:val="35"/>
                      <w:jc w:val="center"/>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5"/>
                          </w:pPr>
                          <w:r>
                            <w:fldChar w:fldCharType="begin"/>
                          </w:r>
                          <w:r>
                            <w:instrText xml:space="preserve"> PAGE  \* MERGEFORMAT </w:instrText>
                          </w:r>
                          <w:r>
                            <w:fldChar w:fldCharType="separate"/>
                          </w:r>
                          <w:r>
                            <w:t>75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1312" behindDoc="1" locked="0" layoutInCell="1" allowOverlap="1">
          <wp:simplePos x="0" y="0"/>
          <wp:positionH relativeFrom="column">
            <wp:posOffset>2621915</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6"/>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59264"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DA553BAC"/>
    <w:multiLevelType w:val="singleLevel"/>
    <w:tmpl w:val="DA553BAC"/>
    <w:lvl w:ilvl="0" w:tentative="0">
      <w:start w:val="1"/>
      <w:numFmt w:val="decimal"/>
      <w:suff w:val="nothing"/>
      <w:lvlText w:val="（%1）"/>
      <w:lvlJc w:val="left"/>
      <w:pPr>
        <w:ind w:left="375" w:firstLine="0"/>
      </w:p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9"/>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24A101C"/>
    <w:multiLevelType w:val="singleLevel"/>
    <w:tmpl w:val="224A101C"/>
    <w:lvl w:ilvl="0" w:tentative="0">
      <w:start w:val="1"/>
      <w:numFmt w:val="decimal"/>
      <w:suff w:val="nothing"/>
      <w:lvlText w:val="（%1）"/>
      <w:lvlJc w:val="left"/>
      <w:pPr>
        <w:ind w:left="375" w:firstLine="0"/>
      </w:pPr>
    </w:lvl>
  </w:abstractNum>
  <w:abstractNum w:abstractNumId="15">
    <w:nsid w:val="2727DD9B"/>
    <w:multiLevelType w:val="multilevel"/>
    <w:tmpl w:val="2727DD9B"/>
    <w:lvl w:ilvl="0" w:tentative="0">
      <w:start w:val="1"/>
      <w:numFmt w:val="decimal"/>
      <w:pStyle w:val="16"/>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5"/>
      <w:lvlText w:val="%1."/>
      <w:lvlJc w:val="left"/>
      <w:pPr>
        <w:tabs>
          <w:tab w:val="left" w:pos="1200"/>
        </w:tabs>
        <w:ind w:left="1200" w:hanging="360"/>
      </w:pPr>
    </w:lvl>
  </w:abstractNum>
  <w:abstractNum w:abstractNumId="17">
    <w:nsid w:val="52043810"/>
    <w:multiLevelType w:val="multilevel"/>
    <w:tmpl w:val="52043810"/>
    <w:lvl w:ilvl="0" w:tentative="0">
      <w:start w:val="1"/>
      <w:numFmt w:val="decimalEnclosedCircle"/>
      <w:lvlText w:val="%1"/>
      <w:lvlJc w:val="left"/>
      <w:pPr>
        <w:ind w:left="420" w:hanging="420"/>
      </w:pPr>
      <w:rPr>
        <w:rFonts w:hint="eastAsia"/>
        <w:sz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9">
    <w:nsid w:val="57289543"/>
    <w:multiLevelType w:val="singleLevel"/>
    <w:tmpl w:val="57289543"/>
    <w:lvl w:ilvl="0" w:tentative="0">
      <w:start w:val="7"/>
      <w:numFmt w:val="decimal"/>
      <w:suff w:val="nothing"/>
      <w:lvlText w:val="%1)"/>
      <w:lvlJc w:val="left"/>
    </w:lvl>
  </w:abstractNum>
  <w:abstractNum w:abstractNumId="20">
    <w:nsid w:val="634A3A2D"/>
    <w:multiLevelType w:val="singleLevel"/>
    <w:tmpl w:val="634A3A2D"/>
    <w:lvl w:ilvl="0" w:tentative="0">
      <w:start w:val="1"/>
      <w:numFmt w:val="upperLetter"/>
      <w:suff w:val="nothing"/>
      <w:lvlText w:val="%1、"/>
      <w:lvlJc w:val="left"/>
      <w:pPr>
        <w:ind w:left="0" w:firstLine="420"/>
      </w:pPr>
      <w:rPr>
        <w:rFonts w:hint="default"/>
      </w:rPr>
    </w:lvl>
  </w:abstractNum>
  <w:abstractNum w:abstractNumId="21">
    <w:nsid w:val="7618FC49"/>
    <w:multiLevelType w:val="singleLevel"/>
    <w:tmpl w:val="7618FC49"/>
    <w:lvl w:ilvl="0" w:tentative="0">
      <w:start w:val="1"/>
      <w:numFmt w:val="upperLetter"/>
      <w:suff w:val="nothing"/>
      <w:lvlText w:val="%1、"/>
      <w:lvlJc w:val="left"/>
      <w:pPr>
        <w:ind w:left="0" w:firstLine="420"/>
      </w:pPr>
      <w:rPr>
        <w:rFonts w:hint="default"/>
      </w:rPr>
    </w:lvl>
  </w:abstractNum>
  <w:num w:numId="1">
    <w:abstractNumId w:val="8"/>
  </w:num>
  <w:num w:numId="2">
    <w:abstractNumId w:val="15"/>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
  </w:num>
  <w:num w:numId="12">
    <w:abstractNumId w:val="20"/>
  </w:num>
  <w:num w:numId="13">
    <w:abstractNumId w:val="5"/>
  </w:num>
  <w:num w:numId="14">
    <w:abstractNumId w:val="19"/>
  </w:num>
  <w:num w:numId="15">
    <w:abstractNumId w:val="10"/>
  </w:num>
  <w:num w:numId="16">
    <w:abstractNumId w:val="17"/>
  </w:num>
  <w:num w:numId="17">
    <w:abstractNumId w:val="14"/>
  </w:num>
  <w:num w:numId="18">
    <w:abstractNumId w:val="21"/>
  </w:num>
  <w:num w:numId="19">
    <w:abstractNumId w:val="3"/>
  </w:num>
  <w:num w:numId="20">
    <w:abstractNumId w:val="0"/>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009"/>
    <w:rsid w:val="0011439F"/>
    <w:rsid w:val="00114927"/>
    <w:rsid w:val="00124125"/>
    <w:rsid w:val="00135223"/>
    <w:rsid w:val="00145E79"/>
    <w:rsid w:val="00152EFD"/>
    <w:rsid w:val="001617C8"/>
    <w:rsid w:val="00172A27"/>
    <w:rsid w:val="001749FA"/>
    <w:rsid w:val="001B549E"/>
    <w:rsid w:val="001B72E4"/>
    <w:rsid w:val="001C49E6"/>
    <w:rsid w:val="001C51E0"/>
    <w:rsid w:val="001D4260"/>
    <w:rsid w:val="001E2687"/>
    <w:rsid w:val="001E68CA"/>
    <w:rsid w:val="002002A4"/>
    <w:rsid w:val="00201FF9"/>
    <w:rsid w:val="00216ABC"/>
    <w:rsid w:val="002172C9"/>
    <w:rsid w:val="00217AB8"/>
    <w:rsid w:val="002326CA"/>
    <w:rsid w:val="0025621E"/>
    <w:rsid w:val="00265319"/>
    <w:rsid w:val="00265A37"/>
    <w:rsid w:val="00267764"/>
    <w:rsid w:val="00270A95"/>
    <w:rsid w:val="002877C1"/>
    <w:rsid w:val="002908F6"/>
    <w:rsid w:val="00291FAB"/>
    <w:rsid w:val="002C0888"/>
    <w:rsid w:val="002C53F2"/>
    <w:rsid w:val="002D14E4"/>
    <w:rsid w:val="002D4AB1"/>
    <w:rsid w:val="002D687C"/>
    <w:rsid w:val="002E58AE"/>
    <w:rsid w:val="003537B6"/>
    <w:rsid w:val="00354336"/>
    <w:rsid w:val="003613BD"/>
    <w:rsid w:val="00376337"/>
    <w:rsid w:val="003824C3"/>
    <w:rsid w:val="00391ED7"/>
    <w:rsid w:val="00393E42"/>
    <w:rsid w:val="003A2560"/>
    <w:rsid w:val="003C228D"/>
    <w:rsid w:val="003C2F31"/>
    <w:rsid w:val="00414870"/>
    <w:rsid w:val="004167E4"/>
    <w:rsid w:val="004207FB"/>
    <w:rsid w:val="0044257A"/>
    <w:rsid w:val="0045071E"/>
    <w:rsid w:val="0046288B"/>
    <w:rsid w:val="00465BC3"/>
    <w:rsid w:val="00473DA1"/>
    <w:rsid w:val="004D1919"/>
    <w:rsid w:val="004D2652"/>
    <w:rsid w:val="005471BA"/>
    <w:rsid w:val="00553F3A"/>
    <w:rsid w:val="00555F92"/>
    <w:rsid w:val="00563F71"/>
    <w:rsid w:val="005663EA"/>
    <w:rsid w:val="00585BAB"/>
    <w:rsid w:val="005A06DF"/>
    <w:rsid w:val="005A5A0D"/>
    <w:rsid w:val="005B5C14"/>
    <w:rsid w:val="005C3A06"/>
    <w:rsid w:val="005C7F93"/>
    <w:rsid w:val="005E0DBE"/>
    <w:rsid w:val="005F37C4"/>
    <w:rsid w:val="006023DD"/>
    <w:rsid w:val="006071A1"/>
    <w:rsid w:val="00636A66"/>
    <w:rsid w:val="00637720"/>
    <w:rsid w:val="006421D2"/>
    <w:rsid w:val="00643C95"/>
    <w:rsid w:val="006529BE"/>
    <w:rsid w:val="00661DDF"/>
    <w:rsid w:val="00662A8A"/>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A3562"/>
    <w:rsid w:val="008B5078"/>
    <w:rsid w:val="008B52E4"/>
    <w:rsid w:val="008C4084"/>
    <w:rsid w:val="008C4968"/>
    <w:rsid w:val="008D2C58"/>
    <w:rsid w:val="008E129D"/>
    <w:rsid w:val="008E37B0"/>
    <w:rsid w:val="008E464C"/>
    <w:rsid w:val="008E4970"/>
    <w:rsid w:val="009009BC"/>
    <w:rsid w:val="00904619"/>
    <w:rsid w:val="00915614"/>
    <w:rsid w:val="00915F7F"/>
    <w:rsid w:val="00921F1A"/>
    <w:rsid w:val="009229CB"/>
    <w:rsid w:val="00926978"/>
    <w:rsid w:val="009368EA"/>
    <w:rsid w:val="009422CE"/>
    <w:rsid w:val="00944D1A"/>
    <w:rsid w:val="00951A8F"/>
    <w:rsid w:val="009628FD"/>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C148A"/>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183C"/>
    <w:rsid w:val="00BE779E"/>
    <w:rsid w:val="00BF09ED"/>
    <w:rsid w:val="00BF27E1"/>
    <w:rsid w:val="00C00F5A"/>
    <w:rsid w:val="00C03F08"/>
    <w:rsid w:val="00C12379"/>
    <w:rsid w:val="00C16CB7"/>
    <w:rsid w:val="00C25C61"/>
    <w:rsid w:val="00C40AF8"/>
    <w:rsid w:val="00C41180"/>
    <w:rsid w:val="00C5753E"/>
    <w:rsid w:val="00C61390"/>
    <w:rsid w:val="00C62932"/>
    <w:rsid w:val="00C760CD"/>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82600"/>
    <w:rsid w:val="00E90F29"/>
    <w:rsid w:val="00EB1ABE"/>
    <w:rsid w:val="00EB4346"/>
    <w:rsid w:val="00ED1779"/>
    <w:rsid w:val="00EE7CA8"/>
    <w:rsid w:val="00EF189B"/>
    <w:rsid w:val="00EF6736"/>
    <w:rsid w:val="00EF6B76"/>
    <w:rsid w:val="00F014C7"/>
    <w:rsid w:val="00F02C24"/>
    <w:rsid w:val="00F04A9D"/>
    <w:rsid w:val="00F07594"/>
    <w:rsid w:val="00F31719"/>
    <w:rsid w:val="00F32C3A"/>
    <w:rsid w:val="00F53394"/>
    <w:rsid w:val="00F54AFB"/>
    <w:rsid w:val="00F67D80"/>
    <w:rsid w:val="00F718C6"/>
    <w:rsid w:val="00FC4DD8"/>
    <w:rsid w:val="00FC6B2E"/>
    <w:rsid w:val="00FD40C9"/>
    <w:rsid w:val="01016788"/>
    <w:rsid w:val="010B18A0"/>
    <w:rsid w:val="01101FD4"/>
    <w:rsid w:val="013511BC"/>
    <w:rsid w:val="01547328"/>
    <w:rsid w:val="01630778"/>
    <w:rsid w:val="01857C73"/>
    <w:rsid w:val="01A12C3F"/>
    <w:rsid w:val="01CD1195"/>
    <w:rsid w:val="01D142D7"/>
    <w:rsid w:val="021F4C81"/>
    <w:rsid w:val="02414B92"/>
    <w:rsid w:val="028339A0"/>
    <w:rsid w:val="028366E4"/>
    <w:rsid w:val="02A56B80"/>
    <w:rsid w:val="02B5383F"/>
    <w:rsid w:val="02C560C8"/>
    <w:rsid w:val="02F741FF"/>
    <w:rsid w:val="03077BF2"/>
    <w:rsid w:val="03240B2D"/>
    <w:rsid w:val="03404A6C"/>
    <w:rsid w:val="035324D3"/>
    <w:rsid w:val="036719BE"/>
    <w:rsid w:val="03772BBD"/>
    <w:rsid w:val="038413BE"/>
    <w:rsid w:val="038C71B9"/>
    <w:rsid w:val="0396442E"/>
    <w:rsid w:val="03C53166"/>
    <w:rsid w:val="03E3700D"/>
    <w:rsid w:val="04082941"/>
    <w:rsid w:val="0437435F"/>
    <w:rsid w:val="043948C2"/>
    <w:rsid w:val="0441683D"/>
    <w:rsid w:val="04755FE3"/>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00267"/>
    <w:rsid w:val="07B55B45"/>
    <w:rsid w:val="07E16810"/>
    <w:rsid w:val="08091249"/>
    <w:rsid w:val="08213B81"/>
    <w:rsid w:val="084C0B9D"/>
    <w:rsid w:val="0873640D"/>
    <w:rsid w:val="08783888"/>
    <w:rsid w:val="087D7A26"/>
    <w:rsid w:val="08AE00F7"/>
    <w:rsid w:val="08C30F20"/>
    <w:rsid w:val="08D23011"/>
    <w:rsid w:val="08DD3BDB"/>
    <w:rsid w:val="09583AE9"/>
    <w:rsid w:val="09717CB2"/>
    <w:rsid w:val="09A37C42"/>
    <w:rsid w:val="09B71979"/>
    <w:rsid w:val="09CA4C87"/>
    <w:rsid w:val="09EC0032"/>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417DC3"/>
    <w:rsid w:val="0C5F45C4"/>
    <w:rsid w:val="0C6352C9"/>
    <w:rsid w:val="0C694A19"/>
    <w:rsid w:val="0C6E22F8"/>
    <w:rsid w:val="0C752414"/>
    <w:rsid w:val="0C781DA4"/>
    <w:rsid w:val="0CA4014A"/>
    <w:rsid w:val="0CC23CB2"/>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565A26"/>
    <w:rsid w:val="0E6759EA"/>
    <w:rsid w:val="0E693E94"/>
    <w:rsid w:val="0EAB15DF"/>
    <w:rsid w:val="0EB71B66"/>
    <w:rsid w:val="0EBD4ECC"/>
    <w:rsid w:val="0EC12B61"/>
    <w:rsid w:val="0ECB16D0"/>
    <w:rsid w:val="0F0F3E67"/>
    <w:rsid w:val="0F36681E"/>
    <w:rsid w:val="0F4B3B77"/>
    <w:rsid w:val="0F554B61"/>
    <w:rsid w:val="0F684139"/>
    <w:rsid w:val="0FA658B8"/>
    <w:rsid w:val="0FA725F9"/>
    <w:rsid w:val="0FB125A0"/>
    <w:rsid w:val="0FD32B55"/>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1EC1420"/>
    <w:rsid w:val="11FA2120"/>
    <w:rsid w:val="1207493D"/>
    <w:rsid w:val="120D27E9"/>
    <w:rsid w:val="124364E9"/>
    <w:rsid w:val="129E014D"/>
    <w:rsid w:val="12AC1D0D"/>
    <w:rsid w:val="12BA6A0A"/>
    <w:rsid w:val="12C2266E"/>
    <w:rsid w:val="12CB160F"/>
    <w:rsid w:val="12D77FEC"/>
    <w:rsid w:val="12DB00BA"/>
    <w:rsid w:val="12F90EE0"/>
    <w:rsid w:val="1306089F"/>
    <w:rsid w:val="13276FF6"/>
    <w:rsid w:val="134F0DA1"/>
    <w:rsid w:val="13693296"/>
    <w:rsid w:val="139726F4"/>
    <w:rsid w:val="139B4F53"/>
    <w:rsid w:val="13CE5FC4"/>
    <w:rsid w:val="13F53443"/>
    <w:rsid w:val="144C6770"/>
    <w:rsid w:val="147778EA"/>
    <w:rsid w:val="14943CCC"/>
    <w:rsid w:val="14BA4603"/>
    <w:rsid w:val="14CD7B2A"/>
    <w:rsid w:val="14F16B6F"/>
    <w:rsid w:val="14F865C3"/>
    <w:rsid w:val="14FD2DF1"/>
    <w:rsid w:val="150F189B"/>
    <w:rsid w:val="1517294D"/>
    <w:rsid w:val="153642D6"/>
    <w:rsid w:val="15457698"/>
    <w:rsid w:val="154A5906"/>
    <w:rsid w:val="155558C2"/>
    <w:rsid w:val="15753037"/>
    <w:rsid w:val="158A75E1"/>
    <w:rsid w:val="1592511B"/>
    <w:rsid w:val="159C567E"/>
    <w:rsid w:val="15A520DA"/>
    <w:rsid w:val="15BA178C"/>
    <w:rsid w:val="15C0221F"/>
    <w:rsid w:val="15D77617"/>
    <w:rsid w:val="15D85E33"/>
    <w:rsid w:val="15E6513C"/>
    <w:rsid w:val="15E819C1"/>
    <w:rsid w:val="15F81571"/>
    <w:rsid w:val="161124BB"/>
    <w:rsid w:val="16554F68"/>
    <w:rsid w:val="165B5F0F"/>
    <w:rsid w:val="166320D6"/>
    <w:rsid w:val="166C4896"/>
    <w:rsid w:val="167B7AAC"/>
    <w:rsid w:val="169140C1"/>
    <w:rsid w:val="169B4AF9"/>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1D464D"/>
    <w:rsid w:val="1A6E6871"/>
    <w:rsid w:val="1A8635C8"/>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5E28E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80319B"/>
    <w:rsid w:val="1E927FD6"/>
    <w:rsid w:val="1E9860A5"/>
    <w:rsid w:val="1EA838E7"/>
    <w:rsid w:val="1ED20877"/>
    <w:rsid w:val="1ED94E4B"/>
    <w:rsid w:val="1EDE5D5E"/>
    <w:rsid w:val="1EF77DC5"/>
    <w:rsid w:val="1F383ACC"/>
    <w:rsid w:val="1F596305"/>
    <w:rsid w:val="1F8811C7"/>
    <w:rsid w:val="1F9062F5"/>
    <w:rsid w:val="1FEB5C6A"/>
    <w:rsid w:val="1FFF5A5F"/>
    <w:rsid w:val="202209B9"/>
    <w:rsid w:val="20280066"/>
    <w:rsid w:val="202C0E96"/>
    <w:rsid w:val="20304AD2"/>
    <w:rsid w:val="203B6599"/>
    <w:rsid w:val="204F6722"/>
    <w:rsid w:val="20782C9F"/>
    <w:rsid w:val="20902778"/>
    <w:rsid w:val="20AF30C4"/>
    <w:rsid w:val="20C20F88"/>
    <w:rsid w:val="20FD5C7C"/>
    <w:rsid w:val="21096CBA"/>
    <w:rsid w:val="2115662C"/>
    <w:rsid w:val="211E06F8"/>
    <w:rsid w:val="21361A04"/>
    <w:rsid w:val="214418DF"/>
    <w:rsid w:val="21B95143"/>
    <w:rsid w:val="21C04FD1"/>
    <w:rsid w:val="21D51B3D"/>
    <w:rsid w:val="21FE0CB2"/>
    <w:rsid w:val="2201295E"/>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03D25"/>
    <w:rsid w:val="24772C2B"/>
    <w:rsid w:val="248B2E3F"/>
    <w:rsid w:val="24DF22D5"/>
    <w:rsid w:val="25241FCD"/>
    <w:rsid w:val="25314C51"/>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7B4947"/>
    <w:rsid w:val="27A57C3A"/>
    <w:rsid w:val="27D20BC1"/>
    <w:rsid w:val="27EB7AF0"/>
    <w:rsid w:val="280553D3"/>
    <w:rsid w:val="280F6C60"/>
    <w:rsid w:val="281253C2"/>
    <w:rsid w:val="28163476"/>
    <w:rsid w:val="282455AC"/>
    <w:rsid w:val="28261D0F"/>
    <w:rsid w:val="2838738D"/>
    <w:rsid w:val="286F250E"/>
    <w:rsid w:val="287D2504"/>
    <w:rsid w:val="2886147E"/>
    <w:rsid w:val="28A87389"/>
    <w:rsid w:val="28AB0694"/>
    <w:rsid w:val="28AE6A69"/>
    <w:rsid w:val="28B81772"/>
    <w:rsid w:val="290A4DA8"/>
    <w:rsid w:val="291176CC"/>
    <w:rsid w:val="291C67BC"/>
    <w:rsid w:val="2944347B"/>
    <w:rsid w:val="29503AAE"/>
    <w:rsid w:val="29573123"/>
    <w:rsid w:val="297F7A53"/>
    <w:rsid w:val="2992095F"/>
    <w:rsid w:val="29AC6651"/>
    <w:rsid w:val="29C4608A"/>
    <w:rsid w:val="29E769C8"/>
    <w:rsid w:val="29F21662"/>
    <w:rsid w:val="29F51AC1"/>
    <w:rsid w:val="29F51D07"/>
    <w:rsid w:val="29FC30C2"/>
    <w:rsid w:val="2A406B43"/>
    <w:rsid w:val="2A6D3E9B"/>
    <w:rsid w:val="2A706411"/>
    <w:rsid w:val="2A783D0E"/>
    <w:rsid w:val="2A9C0461"/>
    <w:rsid w:val="2AD0515C"/>
    <w:rsid w:val="2AE8528D"/>
    <w:rsid w:val="2AF16E8B"/>
    <w:rsid w:val="2B0B7CEC"/>
    <w:rsid w:val="2B27452A"/>
    <w:rsid w:val="2B2D4BDC"/>
    <w:rsid w:val="2B4503EF"/>
    <w:rsid w:val="2B767712"/>
    <w:rsid w:val="2BBA7AC6"/>
    <w:rsid w:val="2BFC26B9"/>
    <w:rsid w:val="2BFF2965"/>
    <w:rsid w:val="2C3C0A88"/>
    <w:rsid w:val="2C51001B"/>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EF44200"/>
    <w:rsid w:val="2F010E90"/>
    <w:rsid w:val="2F0C69E6"/>
    <w:rsid w:val="2F0D5CED"/>
    <w:rsid w:val="2F110235"/>
    <w:rsid w:val="2F16689C"/>
    <w:rsid w:val="2F236129"/>
    <w:rsid w:val="2F2C56BA"/>
    <w:rsid w:val="2F2D0218"/>
    <w:rsid w:val="2F356A16"/>
    <w:rsid w:val="2F4614DA"/>
    <w:rsid w:val="2F636A54"/>
    <w:rsid w:val="2FA00DAE"/>
    <w:rsid w:val="30081603"/>
    <w:rsid w:val="30420830"/>
    <w:rsid w:val="309C224F"/>
    <w:rsid w:val="31190489"/>
    <w:rsid w:val="311C3987"/>
    <w:rsid w:val="31232963"/>
    <w:rsid w:val="312C101E"/>
    <w:rsid w:val="313071E7"/>
    <w:rsid w:val="314C7D21"/>
    <w:rsid w:val="31540C79"/>
    <w:rsid w:val="315857B1"/>
    <w:rsid w:val="31650177"/>
    <w:rsid w:val="31A43DC9"/>
    <w:rsid w:val="31AB6658"/>
    <w:rsid w:val="31BC3F1B"/>
    <w:rsid w:val="31C37B9C"/>
    <w:rsid w:val="31EA7F55"/>
    <w:rsid w:val="32137CF0"/>
    <w:rsid w:val="321E50BD"/>
    <w:rsid w:val="32224344"/>
    <w:rsid w:val="32340C69"/>
    <w:rsid w:val="32363F32"/>
    <w:rsid w:val="32471F5A"/>
    <w:rsid w:val="3253078F"/>
    <w:rsid w:val="325E3A96"/>
    <w:rsid w:val="32B7356F"/>
    <w:rsid w:val="330C088A"/>
    <w:rsid w:val="330D0F43"/>
    <w:rsid w:val="332A5E08"/>
    <w:rsid w:val="33310C6F"/>
    <w:rsid w:val="333E728C"/>
    <w:rsid w:val="334F202E"/>
    <w:rsid w:val="33A03A4B"/>
    <w:rsid w:val="33A04007"/>
    <w:rsid w:val="33A60671"/>
    <w:rsid w:val="33AF4FB4"/>
    <w:rsid w:val="33CF2119"/>
    <w:rsid w:val="33DE4357"/>
    <w:rsid w:val="341D5AAB"/>
    <w:rsid w:val="342732F1"/>
    <w:rsid w:val="342B2E3E"/>
    <w:rsid w:val="3454463B"/>
    <w:rsid w:val="346B507B"/>
    <w:rsid w:val="347A0A28"/>
    <w:rsid w:val="347B293F"/>
    <w:rsid w:val="348C37FE"/>
    <w:rsid w:val="34AA4F73"/>
    <w:rsid w:val="34F52FDD"/>
    <w:rsid w:val="352B6C5A"/>
    <w:rsid w:val="35520294"/>
    <w:rsid w:val="357A04F1"/>
    <w:rsid w:val="357C1D84"/>
    <w:rsid w:val="35887A53"/>
    <w:rsid w:val="35AF4576"/>
    <w:rsid w:val="35B4397E"/>
    <w:rsid w:val="360300F8"/>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9208A7"/>
    <w:rsid w:val="39B565E1"/>
    <w:rsid w:val="39D4235F"/>
    <w:rsid w:val="39FD6163"/>
    <w:rsid w:val="3A257802"/>
    <w:rsid w:val="3A606A76"/>
    <w:rsid w:val="3A921749"/>
    <w:rsid w:val="3AA81B41"/>
    <w:rsid w:val="3ADD242D"/>
    <w:rsid w:val="3B143086"/>
    <w:rsid w:val="3B147A5B"/>
    <w:rsid w:val="3B1A2D8C"/>
    <w:rsid w:val="3B4042AB"/>
    <w:rsid w:val="3B66210B"/>
    <w:rsid w:val="3B814E71"/>
    <w:rsid w:val="3B964D74"/>
    <w:rsid w:val="3B972AF7"/>
    <w:rsid w:val="3BB62FA9"/>
    <w:rsid w:val="3BB70D15"/>
    <w:rsid w:val="3BBB09FC"/>
    <w:rsid w:val="3BC91BB9"/>
    <w:rsid w:val="3C120308"/>
    <w:rsid w:val="3C42650A"/>
    <w:rsid w:val="3C762DF2"/>
    <w:rsid w:val="3C7D1D40"/>
    <w:rsid w:val="3C9B51F8"/>
    <w:rsid w:val="3CDD0DBD"/>
    <w:rsid w:val="3D101034"/>
    <w:rsid w:val="3D544EBB"/>
    <w:rsid w:val="3D882CF1"/>
    <w:rsid w:val="3D9814F2"/>
    <w:rsid w:val="3DE32AFA"/>
    <w:rsid w:val="3E0456CC"/>
    <w:rsid w:val="3E115C36"/>
    <w:rsid w:val="3E136ED4"/>
    <w:rsid w:val="3E2418CD"/>
    <w:rsid w:val="3E2726B6"/>
    <w:rsid w:val="3E8A1A02"/>
    <w:rsid w:val="3E8E765E"/>
    <w:rsid w:val="3EA9393D"/>
    <w:rsid w:val="3EAD0498"/>
    <w:rsid w:val="3EC56D78"/>
    <w:rsid w:val="3EC7715A"/>
    <w:rsid w:val="3ED16A4F"/>
    <w:rsid w:val="3ED17EBE"/>
    <w:rsid w:val="3EDC543E"/>
    <w:rsid w:val="3EED5016"/>
    <w:rsid w:val="3EF52FF7"/>
    <w:rsid w:val="3EF62F89"/>
    <w:rsid w:val="3EF75B65"/>
    <w:rsid w:val="3EFB570C"/>
    <w:rsid w:val="3F204493"/>
    <w:rsid w:val="3F2B7413"/>
    <w:rsid w:val="3F5871FB"/>
    <w:rsid w:val="3F8E35DC"/>
    <w:rsid w:val="3F8F5DC2"/>
    <w:rsid w:val="3FA46F4F"/>
    <w:rsid w:val="3FA624AC"/>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E43D07"/>
    <w:rsid w:val="41F6399A"/>
    <w:rsid w:val="41F94DC7"/>
    <w:rsid w:val="41FA3A29"/>
    <w:rsid w:val="42137C42"/>
    <w:rsid w:val="422E57D7"/>
    <w:rsid w:val="42555DF7"/>
    <w:rsid w:val="42A27001"/>
    <w:rsid w:val="42C507A4"/>
    <w:rsid w:val="42F07508"/>
    <w:rsid w:val="43270B23"/>
    <w:rsid w:val="43366434"/>
    <w:rsid w:val="434A0913"/>
    <w:rsid w:val="436A64E9"/>
    <w:rsid w:val="4370434B"/>
    <w:rsid w:val="43711057"/>
    <w:rsid w:val="43891ADB"/>
    <w:rsid w:val="439C4F5E"/>
    <w:rsid w:val="43E630D7"/>
    <w:rsid w:val="43EF2D9F"/>
    <w:rsid w:val="43F02783"/>
    <w:rsid w:val="44656E26"/>
    <w:rsid w:val="4468183E"/>
    <w:rsid w:val="44786783"/>
    <w:rsid w:val="449457D3"/>
    <w:rsid w:val="44A25A9F"/>
    <w:rsid w:val="44A61055"/>
    <w:rsid w:val="44BE5C95"/>
    <w:rsid w:val="44DD6EB7"/>
    <w:rsid w:val="44E01145"/>
    <w:rsid w:val="450018DF"/>
    <w:rsid w:val="450F2BC2"/>
    <w:rsid w:val="451D2C75"/>
    <w:rsid w:val="45203860"/>
    <w:rsid w:val="454746DD"/>
    <w:rsid w:val="455367B2"/>
    <w:rsid w:val="45555732"/>
    <w:rsid w:val="455F10D7"/>
    <w:rsid w:val="456355DA"/>
    <w:rsid w:val="45741675"/>
    <w:rsid w:val="459C4648"/>
    <w:rsid w:val="45A02EDD"/>
    <w:rsid w:val="45E61BCA"/>
    <w:rsid w:val="45EE32D7"/>
    <w:rsid w:val="460A6FE4"/>
    <w:rsid w:val="461A323C"/>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20FF1"/>
    <w:rsid w:val="496F6EBE"/>
    <w:rsid w:val="49814F4C"/>
    <w:rsid w:val="49836E4C"/>
    <w:rsid w:val="49A364F7"/>
    <w:rsid w:val="49B42429"/>
    <w:rsid w:val="49C4569B"/>
    <w:rsid w:val="4A074043"/>
    <w:rsid w:val="4A090DC7"/>
    <w:rsid w:val="4A091441"/>
    <w:rsid w:val="4A14567E"/>
    <w:rsid w:val="4A1C1271"/>
    <w:rsid w:val="4A1E6180"/>
    <w:rsid w:val="4A2308FE"/>
    <w:rsid w:val="4A287AB1"/>
    <w:rsid w:val="4A5133EE"/>
    <w:rsid w:val="4A5D4EF8"/>
    <w:rsid w:val="4A915C19"/>
    <w:rsid w:val="4A955A49"/>
    <w:rsid w:val="4A9C5501"/>
    <w:rsid w:val="4AAF7BD4"/>
    <w:rsid w:val="4AD80F53"/>
    <w:rsid w:val="4B2C75A6"/>
    <w:rsid w:val="4B2F25FD"/>
    <w:rsid w:val="4BB15678"/>
    <w:rsid w:val="4BB635D2"/>
    <w:rsid w:val="4BB76960"/>
    <w:rsid w:val="4BC655C8"/>
    <w:rsid w:val="4BD03593"/>
    <w:rsid w:val="4BD63363"/>
    <w:rsid w:val="4BD87666"/>
    <w:rsid w:val="4BE63621"/>
    <w:rsid w:val="4BE6691C"/>
    <w:rsid w:val="4BF467F9"/>
    <w:rsid w:val="4BF83E44"/>
    <w:rsid w:val="4C276C17"/>
    <w:rsid w:val="4C73767A"/>
    <w:rsid w:val="4C7C0669"/>
    <w:rsid w:val="4C7D0871"/>
    <w:rsid w:val="4C850277"/>
    <w:rsid w:val="4C9904F2"/>
    <w:rsid w:val="4D2572CD"/>
    <w:rsid w:val="4D354FF0"/>
    <w:rsid w:val="4D4C32B8"/>
    <w:rsid w:val="4DBB048A"/>
    <w:rsid w:val="4DCE336E"/>
    <w:rsid w:val="4DE07DE4"/>
    <w:rsid w:val="4E0D5D14"/>
    <w:rsid w:val="4E2809CC"/>
    <w:rsid w:val="4E2F45C0"/>
    <w:rsid w:val="4E363F2F"/>
    <w:rsid w:val="4EA42281"/>
    <w:rsid w:val="4EA546F0"/>
    <w:rsid w:val="4EAF3AED"/>
    <w:rsid w:val="4EB0019E"/>
    <w:rsid w:val="4ECB1385"/>
    <w:rsid w:val="4ED32851"/>
    <w:rsid w:val="4ED35762"/>
    <w:rsid w:val="4EDF1745"/>
    <w:rsid w:val="4EF5014E"/>
    <w:rsid w:val="4EFA3C4E"/>
    <w:rsid w:val="4F235A8E"/>
    <w:rsid w:val="4F26262A"/>
    <w:rsid w:val="4F33554E"/>
    <w:rsid w:val="4F612BE4"/>
    <w:rsid w:val="4F6461D6"/>
    <w:rsid w:val="4F7B292B"/>
    <w:rsid w:val="4F9E59ED"/>
    <w:rsid w:val="4FDC58FD"/>
    <w:rsid w:val="4FDE1C0C"/>
    <w:rsid w:val="4FE54A2D"/>
    <w:rsid w:val="50202BC7"/>
    <w:rsid w:val="50216FE4"/>
    <w:rsid w:val="502D2C76"/>
    <w:rsid w:val="50614DD7"/>
    <w:rsid w:val="506B628A"/>
    <w:rsid w:val="50787CFE"/>
    <w:rsid w:val="50AE1AE4"/>
    <w:rsid w:val="50FE2631"/>
    <w:rsid w:val="51151D83"/>
    <w:rsid w:val="51167E7F"/>
    <w:rsid w:val="51390032"/>
    <w:rsid w:val="515426DE"/>
    <w:rsid w:val="515C74D2"/>
    <w:rsid w:val="51652C0F"/>
    <w:rsid w:val="518D4538"/>
    <w:rsid w:val="51960DFD"/>
    <w:rsid w:val="51BB2BF3"/>
    <w:rsid w:val="51C87FCE"/>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658B9"/>
    <w:rsid w:val="59693F87"/>
    <w:rsid w:val="59851D75"/>
    <w:rsid w:val="59B42F07"/>
    <w:rsid w:val="59BB77BA"/>
    <w:rsid w:val="5A2C4220"/>
    <w:rsid w:val="5A316507"/>
    <w:rsid w:val="5A497C34"/>
    <w:rsid w:val="5A4C0E52"/>
    <w:rsid w:val="5A7B33E5"/>
    <w:rsid w:val="5A8C664D"/>
    <w:rsid w:val="5ABD43B1"/>
    <w:rsid w:val="5AC20EBF"/>
    <w:rsid w:val="5ACD5B73"/>
    <w:rsid w:val="5ADF42CD"/>
    <w:rsid w:val="5B050809"/>
    <w:rsid w:val="5B1038C0"/>
    <w:rsid w:val="5B366061"/>
    <w:rsid w:val="5B3846E5"/>
    <w:rsid w:val="5B440B6E"/>
    <w:rsid w:val="5B553BEC"/>
    <w:rsid w:val="5B5B4ABD"/>
    <w:rsid w:val="5B5C5E93"/>
    <w:rsid w:val="5B5E3394"/>
    <w:rsid w:val="5B74024A"/>
    <w:rsid w:val="5B792560"/>
    <w:rsid w:val="5B8A7735"/>
    <w:rsid w:val="5B9D0E06"/>
    <w:rsid w:val="5BA172F8"/>
    <w:rsid w:val="5BB151A5"/>
    <w:rsid w:val="5BB6027C"/>
    <w:rsid w:val="5BBB47C2"/>
    <w:rsid w:val="5BF62976"/>
    <w:rsid w:val="5C16597D"/>
    <w:rsid w:val="5C576F8B"/>
    <w:rsid w:val="5C707C6C"/>
    <w:rsid w:val="5C8E0CD7"/>
    <w:rsid w:val="5C9E2C36"/>
    <w:rsid w:val="5CB6579C"/>
    <w:rsid w:val="5CBB2347"/>
    <w:rsid w:val="5CC6320E"/>
    <w:rsid w:val="5CC76C7C"/>
    <w:rsid w:val="5CF36024"/>
    <w:rsid w:val="5CFF01AA"/>
    <w:rsid w:val="5D1344DD"/>
    <w:rsid w:val="5D7726AE"/>
    <w:rsid w:val="5D7B6EDD"/>
    <w:rsid w:val="5D806796"/>
    <w:rsid w:val="5D827D40"/>
    <w:rsid w:val="5DC43C07"/>
    <w:rsid w:val="5DCA3A55"/>
    <w:rsid w:val="5DCD3255"/>
    <w:rsid w:val="5DE640E1"/>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0B55083"/>
    <w:rsid w:val="610242F6"/>
    <w:rsid w:val="6119401A"/>
    <w:rsid w:val="611D2CA6"/>
    <w:rsid w:val="61200642"/>
    <w:rsid w:val="61652DB1"/>
    <w:rsid w:val="61970BE7"/>
    <w:rsid w:val="61A20E5D"/>
    <w:rsid w:val="61B8332B"/>
    <w:rsid w:val="61F17268"/>
    <w:rsid w:val="61FC7432"/>
    <w:rsid w:val="620A3859"/>
    <w:rsid w:val="62204E0F"/>
    <w:rsid w:val="62207D5C"/>
    <w:rsid w:val="624063A3"/>
    <w:rsid w:val="62533606"/>
    <w:rsid w:val="62845968"/>
    <w:rsid w:val="628E2B97"/>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3ED3A09"/>
    <w:rsid w:val="64090834"/>
    <w:rsid w:val="64116EAE"/>
    <w:rsid w:val="64272A3B"/>
    <w:rsid w:val="6467063D"/>
    <w:rsid w:val="648F4A0E"/>
    <w:rsid w:val="64937E71"/>
    <w:rsid w:val="6495646A"/>
    <w:rsid w:val="64C02EBC"/>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C952B3"/>
    <w:rsid w:val="67CB697C"/>
    <w:rsid w:val="67DB4341"/>
    <w:rsid w:val="68720AE2"/>
    <w:rsid w:val="689554F5"/>
    <w:rsid w:val="68AA7215"/>
    <w:rsid w:val="68ED6911"/>
    <w:rsid w:val="6903642B"/>
    <w:rsid w:val="690F1870"/>
    <w:rsid w:val="692F5E27"/>
    <w:rsid w:val="69466675"/>
    <w:rsid w:val="698C2B7F"/>
    <w:rsid w:val="69AB5D7A"/>
    <w:rsid w:val="69DF7BDF"/>
    <w:rsid w:val="69F21353"/>
    <w:rsid w:val="69F575F2"/>
    <w:rsid w:val="6A1E730C"/>
    <w:rsid w:val="6A4C7335"/>
    <w:rsid w:val="6A531E39"/>
    <w:rsid w:val="6A545ADB"/>
    <w:rsid w:val="6A5D05BD"/>
    <w:rsid w:val="6A6B273C"/>
    <w:rsid w:val="6A703222"/>
    <w:rsid w:val="6AAA18E6"/>
    <w:rsid w:val="6AB66294"/>
    <w:rsid w:val="6AC60849"/>
    <w:rsid w:val="6AC938A9"/>
    <w:rsid w:val="6B2F05BC"/>
    <w:rsid w:val="6B435167"/>
    <w:rsid w:val="6BB237C9"/>
    <w:rsid w:val="6BB37104"/>
    <w:rsid w:val="6BDF1336"/>
    <w:rsid w:val="6C3161F1"/>
    <w:rsid w:val="6C3745DF"/>
    <w:rsid w:val="6C3D4127"/>
    <w:rsid w:val="6C6253EB"/>
    <w:rsid w:val="6C666B72"/>
    <w:rsid w:val="6C6D2D24"/>
    <w:rsid w:val="6C8F3EF6"/>
    <w:rsid w:val="6CAD55CC"/>
    <w:rsid w:val="6CBE1616"/>
    <w:rsid w:val="6CC15D2B"/>
    <w:rsid w:val="6CC15F94"/>
    <w:rsid w:val="6CDA118A"/>
    <w:rsid w:val="6D0C01A9"/>
    <w:rsid w:val="6D2A44DD"/>
    <w:rsid w:val="6D493A0A"/>
    <w:rsid w:val="6D551BE3"/>
    <w:rsid w:val="6D5C2995"/>
    <w:rsid w:val="6D8E2C9C"/>
    <w:rsid w:val="6DAD51A4"/>
    <w:rsid w:val="6E017D0E"/>
    <w:rsid w:val="6E053E0B"/>
    <w:rsid w:val="6E1E1DB6"/>
    <w:rsid w:val="6E3F4BAC"/>
    <w:rsid w:val="6E524DE3"/>
    <w:rsid w:val="6E735A03"/>
    <w:rsid w:val="6E7D3005"/>
    <w:rsid w:val="6EA04E08"/>
    <w:rsid w:val="6EAA18F7"/>
    <w:rsid w:val="6EBB6601"/>
    <w:rsid w:val="6ECF710B"/>
    <w:rsid w:val="6EEE5D94"/>
    <w:rsid w:val="6F050882"/>
    <w:rsid w:val="6F0B5A13"/>
    <w:rsid w:val="6F1579C7"/>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75E70"/>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280680"/>
    <w:rsid w:val="744F658E"/>
    <w:rsid w:val="7463178E"/>
    <w:rsid w:val="746371B3"/>
    <w:rsid w:val="746E5228"/>
    <w:rsid w:val="747A43C9"/>
    <w:rsid w:val="74922B66"/>
    <w:rsid w:val="7508529D"/>
    <w:rsid w:val="752C3218"/>
    <w:rsid w:val="75397634"/>
    <w:rsid w:val="75537CD8"/>
    <w:rsid w:val="75595BE3"/>
    <w:rsid w:val="755E58D5"/>
    <w:rsid w:val="757606EF"/>
    <w:rsid w:val="75844FC1"/>
    <w:rsid w:val="75EE069B"/>
    <w:rsid w:val="75FC15CE"/>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842B6"/>
    <w:rsid w:val="793E7F2E"/>
    <w:rsid w:val="796362D3"/>
    <w:rsid w:val="79827C27"/>
    <w:rsid w:val="798834D2"/>
    <w:rsid w:val="799B7D73"/>
    <w:rsid w:val="79B07BB3"/>
    <w:rsid w:val="79B7369F"/>
    <w:rsid w:val="79C03278"/>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5D2C25"/>
    <w:rsid w:val="7B832034"/>
    <w:rsid w:val="7BA57F90"/>
    <w:rsid w:val="7BBC18FF"/>
    <w:rsid w:val="7C100290"/>
    <w:rsid w:val="7C151FE3"/>
    <w:rsid w:val="7C1D63E0"/>
    <w:rsid w:val="7C2925EF"/>
    <w:rsid w:val="7C463AF9"/>
    <w:rsid w:val="7C4673AC"/>
    <w:rsid w:val="7C691C0E"/>
    <w:rsid w:val="7C7654E0"/>
    <w:rsid w:val="7C9D56FC"/>
    <w:rsid w:val="7C9E2AE3"/>
    <w:rsid w:val="7CA34E3A"/>
    <w:rsid w:val="7CDE5607"/>
    <w:rsid w:val="7D0D23F8"/>
    <w:rsid w:val="7D1819A4"/>
    <w:rsid w:val="7D57537E"/>
    <w:rsid w:val="7D657DFF"/>
    <w:rsid w:val="7D79413D"/>
    <w:rsid w:val="7D7F5BFA"/>
    <w:rsid w:val="7D872924"/>
    <w:rsid w:val="7D8F5F9C"/>
    <w:rsid w:val="7D97637C"/>
    <w:rsid w:val="7DE5359B"/>
    <w:rsid w:val="7E180A37"/>
    <w:rsid w:val="7E252BD1"/>
    <w:rsid w:val="7E2D4483"/>
    <w:rsid w:val="7E324C0E"/>
    <w:rsid w:val="7E327A3B"/>
    <w:rsid w:val="7E621BA9"/>
    <w:rsid w:val="7E665892"/>
    <w:rsid w:val="7E782BA9"/>
    <w:rsid w:val="7E9213CC"/>
    <w:rsid w:val="7EA926FF"/>
    <w:rsid w:val="7EAA18EA"/>
    <w:rsid w:val="7EC93E9C"/>
    <w:rsid w:val="7ED12906"/>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4">
    <w:name w:val="heading 2"/>
    <w:basedOn w:val="1"/>
    <w:next w:val="1"/>
    <w:qFormat/>
    <w:uiPriority w:val="0"/>
    <w:pPr>
      <w:outlineLvl w:val="1"/>
    </w:pPr>
    <w:rPr>
      <w:rFonts w:hAnsi="宋体"/>
      <w:b/>
    </w:rPr>
  </w:style>
  <w:style w:type="paragraph" w:styleId="5">
    <w:name w:val="heading 3"/>
    <w:basedOn w:val="1"/>
    <w:next w:val="1"/>
    <w:qFormat/>
    <w:uiPriority w:val="0"/>
    <w:pPr>
      <w:outlineLvl w:val="2"/>
    </w:p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8">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9">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0">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1">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12">
    <w:name w:val="toc 7"/>
    <w:basedOn w:val="1"/>
    <w:next w:val="1"/>
    <w:qFormat/>
    <w:uiPriority w:val="0"/>
    <w:pPr>
      <w:ind w:left="1440"/>
    </w:pPr>
    <w:rPr>
      <w:rFonts w:ascii="Calibri" w:cs="Calibri"/>
      <w:sz w:val="18"/>
      <w:szCs w:val="18"/>
    </w:rPr>
  </w:style>
  <w:style w:type="paragraph" w:styleId="13">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6"/>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6">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9">
    <w:name w:val="annotation text"/>
    <w:basedOn w:val="1"/>
    <w:link w:val="183"/>
    <w:qFormat/>
    <w:uiPriority w:val="0"/>
    <w:pPr>
      <w:widowControl/>
      <w:autoSpaceDE/>
      <w:autoSpaceDN/>
      <w:adjustRightInd/>
    </w:pPr>
    <w:rPr>
      <w:rFonts w:ascii="Times New Roman"/>
      <w:sz w:val="21"/>
      <w:szCs w:val="20"/>
    </w:rPr>
  </w:style>
  <w:style w:type="paragraph" w:styleId="20">
    <w:name w:val="Body Text 3"/>
    <w:basedOn w:val="1"/>
    <w:qFormat/>
    <w:uiPriority w:val="0"/>
    <w:pPr>
      <w:ind w:right="-26"/>
      <w:jc w:val="center"/>
    </w:pPr>
    <w:rPr>
      <w:b/>
      <w:bCs/>
      <w:color w:val="3366FF"/>
      <w:kern w:val="2"/>
      <w:sz w:val="52"/>
      <w:szCs w:val="52"/>
      <w:lang w:val="zh-CN"/>
    </w:rPr>
  </w:style>
  <w:style w:type="paragraph" w:styleId="21">
    <w:name w:val="Body Text"/>
    <w:basedOn w:val="1"/>
    <w:next w:val="22"/>
    <w:link w:val="81"/>
    <w:qFormat/>
    <w:uiPriority w:val="0"/>
    <w:pPr>
      <w:ind w:right="-26"/>
      <w:jc w:val="center"/>
    </w:pPr>
    <w:rPr>
      <w:rFonts w:hAnsi="Times New Roman"/>
      <w:b/>
      <w:bCs/>
      <w:kern w:val="2"/>
      <w:sz w:val="84"/>
      <w:szCs w:val="84"/>
      <w:lang w:val="zh-CN"/>
    </w:rPr>
  </w:style>
  <w:style w:type="paragraph" w:styleId="22">
    <w:name w:val="Body Text First Indent"/>
    <w:basedOn w:val="21"/>
    <w:next w:val="23"/>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3">
    <w:name w:val="toc 6"/>
    <w:basedOn w:val="1"/>
    <w:next w:val="1"/>
    <w:qFormat/>
    <w:uiPriority w:val="0"/>
    <w:pPr>
      <w:ind w:left="1200"/>
    </w:pPr>
    <w:rPr>
      <w:rFonts w:ascii="Calibri" w:cs="Calibri"/>
      <w:sz w:val="18"/>
      <w:szCs w:val="18"/>
    </w:rPr>
  </w:style>
  <w:style w:type="paragraph" w:styleId="24">
    <w:name w:val="Body Text Indent"/>
    <w:basedOn w:val="1"/>
    <w:qFormat/>
    <w:uiPriority w:val="0"/>
    <w:pPr>
      <w:autoSpaceDE/>
      <w:autoSpaceDN/>
      <w:adjustRightInd/>
      <w:ind w:left="567" w:leftChars="270"/>
      <w:jc w:val="both"/>
    </w:pPr>
    <w:rPr>
      <w:rFonts w:ascii="Times New Roman"/>
      <w:kern w:val="2"/>
      <w:sz w:val="21"/>
      <w:szCs w:val="20"/>
    </w:rPr>
  </w:style>
  <w:style w:type="paragraph" w:styleId="25">
    <w:name w:val="List Number 3"/>
    <w:basedOn w:val="1"/>
    <w:qFormat/>
    <w:uiPriority w:val="0"/>
    <w:pPr>
      <w:numPr>
        <w:ilvl w:val="0"/>
        <w:numId w:val="3"/>
      </w:numPr>
    </w:pPr>
  </w:style>
  <w:style w:type="paragraph" w:styleId="26">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7">
    <w:name w:val="Block Text"/>
    <w:basedOn w:val="1"/>
    <w:qFormat/>
    <w:uiPriority w:val="0"/>
    <w:pPr>
      <w:spacing w:after="120"/>
      <w:ind w:left="1440" w:leftChars="700" w:right="1440" w:rightChars="700"/>
    </w:pPr>
  </w:style>
  <w:style w:type="paragraph" w:styleId="28">
    <w:name w:val="toc 5"/>
    <w:basedOn w:val="1"/>
    <w:next w:val="1"/>
    <w:qFormat/>
    <w:uiPriority w:val="0"/>
    <w:pPr>
      <w:ind w:left="960"/>
    </w:pPr>
    <w:rPr>
      <w:rFonts w:ascii="Calibri" w:cs="Calibri"/>
      <w:sz w:val="18"/>
      <w:szCs w:val="18"/>
    </w:rPr>
  </w:style>
  <w:style w:type="paragraph" w:styleId="29">
    <w:name w:val="toc 3"/>
    <w:basedOn w:val="1"/>
    <w:next w:val="1"/>
    <w:qFormat/>
    <w:uiPriority w:val="0"/>
    <w:pPr>
      <w:ind w:left="480"/>
    </w:pPr>
    <w:rPr>
      <w:rFonts w:ascii="Calibri" w:cs="Calibri"/>
      <w:i/>
      <w:iCs/>
      <w:sz w:val="20"/>
      <w:szCs w:val="20"/>
    </w:rPr>
  </w:style>
  <w:style w:type="paragraph" w:styleId="30">
    <w:name w:val="Plain Text"/>
    <w:basedOn w:val="1"/>
    <w:next w:val="1"/>
    <w:link w:val="77"/>
    <w:qFormat/>
    <w:uiPriority w:val="0"/>
    <w:pPr>
      <w:autoSpaceDE/>
      <w:autoSpaceDN/>
      <w:adjustRightInd/>
      <w:jc w:val="both"/>
    </w:pPr>
    <w:rPr>
      <w:rFonts w:hAnsi="Courier New"/>
      <w:kern w:val="2"/>
      <w:sz w:val="21"/>
      <w:szCs w:val="20"/>
    </w:rPr>
  </w:style>
  <w:style w:type="paragraph" w:styleId="31">
    <w:name w:val="toc 8"/>
    <w:basedOn w:val="1"/>
    <w:next w:val="1"/>
    <w:qFormat/>
    <w:uiPriority w:val="0"/>
    <w:pPr>
      <w:ind w:left="1680"/>
    </w:pPr>
    <w:rPr>
      <w:rFonts w:ascii="Calibri" w:cs="Calibri"/>
      <w:sz w:val="18"/>
      <w:szCs w:val="18"/>
    </w:rPr>
  </w:style>
  <w:style w:type="paragraph" w:styleId="32">
    <w:name w:val="Date"/>
    <w:basedOn w:val="1"/>
    <w:next w:val="1"/>
    <w:qFormat/>
    <w:uiPriority w:val="0"/>
    <w:pPr>
      <w:ind w:left="100" w:leftChars="2500"/>
    </w:pPr>
    <w:rPr>
      <w:b/>
      <w:bCs/>
      <w:kern w:val="2"/>
      <w:sz w:val="21"/>
      <w:szCs w:val="21"/>
      <w:lang w:val="zh-CN"/>
    </w:rPr>
  </w:style>
  <w:style w:type="paragraph" w:styleId="33">
    <w:name w:val="Body Text Indent 2"/>
    <w:basedOn w:val="1"/>
    <w:qFormat/>
    <w:uiPriority w:val="0"/>
    <w:pPr>
      <w:tabs>
        <w:tab w:val="left" w:pos="8640"/>
      </w:tabs>
      <w:autoSpaceDE/>
      <w:autoSpaceDN/>
      <w:adjustRightInd/>
      <w:ind w:left="1260"/>
      <w:jc w:val="both"/>
    </w:pPr>
    <w:rPr>
      <w:kern w:val="2"/>
      <w:sz w:val="21"/>
      <w:szCs w:val="20"/>
    </w:rPr>
  </w:style>
  <w:style w:type="paragraph" w:styleId="34">
    <w:name w:val="Balloon Text"/>
    <w:basedOn w:val="1"/>
    <w:qFormat/>
    <w:uiPriority w:val="0"/>
    <w:pPr>
      <w:autoSpaceDE/>
      <w:autoSpaceDN/>
      <w:adjustRightInd/>
      <w:jc w:val="both"/>
    </w:pPr>
    <w:rPr>
      <w:rFonts w:ascii="Times New Roman"/>
      <w:kern w:val="2"/>
      <w:sz w:val="18"/>
      <w:szCs w:val="18"/>
    </w:rPr>
  </w:style>
  <w:style w:type="paragraph" w:styleId="35">
    <w:name w:val="footer"/>
    <w:basedOn w:val="1"/>
    <w:link w:val="90"/>
    <w:qFormat/>
    <w:uiPriority w:val="0"/>
    <w:pPr>
      <w:tabs>
        <w:tab w:val="center" w:pos="4153"/>
        <w:tab w:val="right" w:pos="8306"/>
      </w:tabs>
      <w:snapToGrid w:val="0"/>
    </w:pPr>
    <w:rPr>
      <w:rFonts w:hAnsi="Times New Roman"/>
      <w:sz w:val="18"/>
      <w:szCs w:val="18"/>
    </w:rPr>
  </w:style>
  <w:style w:type="paragraph" w:styleId="36">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spacing w:before="120" w:after="120"/>
    </w:pPr>
    <w:rPr>
      <w:rFonts w:ascii="Calibri" w:cs="Calibri"/>
      <w:b/>
      <w:bCs/>
      <w:caps/>
      <w:sz w:val="20"/>
      <w:szCs w:val="20"/>
    </w:rPr>
  </w:style>
  <w:style w:type="paragraph" w:styleId="38">
    <w:name w:val="toc 4"/>
    <w:basedOn w:val="1"/>
    <w:next w:val="1"/>
    <w:qFormat/>
    <w:uiPriority w:val="0"/>
    <w:pPr>
      <w:ind w:left="720"/>
    </w:pPr>
    <w:rPr>
      <w:rFonts w:ascii="Calibri" w:cs="Calibri"/>
      <w:sz w:val="18"/>
      <w:szCs w:val="18"/>
    </w:rPr>
  </w:style>
  <w:style w:type="paragraph" w:styleId="39">
    <w:name w:val="index heading"/>
    <w:basedOn w:val="1"/>
    <w:next w:val="40"/>
    <w:qFormat/>
    <w:uiPriority w:val="0"/>
    <w:pPr>
      <w:autoSpaceDE/>
      <w:autoSpaceDN/>
      <w:adjustRightInd/>
      <w:jc w:val="both"/>
    </w:pPr>
    <w:rPr>
      <w:rFonts w:ascii="Times New Roman"/>
      <w:kern w:val="2"/>
      <w:sz w:val="21"/>
      <w:szCs w:val="20"/>
    </w:rPr>
  </w:style>
  <w:style w:type="paragraph" w:styleId="40">
    <w:name w:val="index 1"/>
    <w:basedOn w:val="1"/>
    <w:next w:val="1"/>
    <w:qFormat/>
    <w:uiPriority w:val="0"/>
    <w:pPr>
      <w:autoSpaceDE/>
      <w:autoSpaceDN/>
      <w:adjustRightInd/>
      <w:ind w:left="540" w:leftChars="257"/>
      <w:jc w:val="both"/>
    </w:pPr>
    <w:rPr>
      <w:rFonts w:ascii="Arial" w:hAnsi="Arial" w:cs="Arial"/>
      <w:kern w:val="2"/>
      <w:sz w:val="21"/>
    </w:rPr>
  </w:style>
  <w:style w:type="paragraph" w:styleId="41">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2">
    <w:name w:val="Body Text Indent 3"/>
    <w:basedOn w:val="1"/>
    <w:qFormat/>
    <w:uiPriority w:val="0"/>
    <w:pPr>
      <w:spacing w:line="360" w:lineRule="auto"/>
      <w:ind w:firstLine="480" w:firstLineChars="200"/>
    </w:pPr>
  </w:style>
  <w:style w:type="paragraph" w:styleId="43">
    <w:name w:val="toc 2"/>
    <w:basedOn w:val="1"/>
    <w:next w:val="1"/>
    <w:qFormat/>
    <w:uiPriority w:val="0"/>
    <w:pPr>
      <w:ind w:left="240"/>
    </w:pPr>
    <w:rPr>
      <w:rFonts w:ascii="Calibri" w:cs="Calibri"/>
      <w:smallCaps/>
      <w:sz w:val="20"/>
      <w:szCs w:val="20"/>
    </w:rPr>
  </w:style>
  <w:style w:type="paragraph" w:styleId="44">
    <w:name w:val="toc 9"/>
    <w:basedOn w:val="1"/>
    <w:next w:val="1"/>
    <w:qFormat/>
    <w:uiPriority w:val="0"/>
    <w:pPr>
      <w:ind w:left="1920"/>
    </w:pPr>
    <w:rPr>
      <w:rFonts w:ascii="Calibri" w:cs="Calibri"/>
      <w:sz w:val="18"/>
      <w:szCs w:val="18"/>
    </w:rPr>
  </w:style>
  <w:style w:type="paragraph" w:styleId="45">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6">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8">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9">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50">
    <w:name w:val="annotation subject"/>
    <w:basedOn w:val="19"/>
    <w:next w:val="19"/>
    <w:qFormat/>
    <w:uiPriority w:val="0"/>
    <w:rPr>
      <w:b/>
      <w:bCs/>
    </w:rPr>
  </w:style>
  <w:style w:type="paragraph" w:styleId="51">
    <w:name w:val="Body Text First Indent 2"/>
    <w:basedOn w:val="24"/>
    <w:semiHidden/>
    <w:unhideWhenUsed/>
    <w:qFormat/>
    <w:uiPriority w:val="99"/>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333333"/>
      <w:u w:val="none"/>
    </w:rPr>
  </w:style>
  <w:style w:type="character" w:styleId="58">
    <w:name w:val="Emphasis"/>
    <w:qFormat/>
    <w:uiPriority w:val="0"/>
    <w:rPr>
      <w:i/>
      <w:iCs/>
    </w:rPr>
  </w:style>
  <w:style w:type="character" w:styleId="59">
    <w:name w:val="Hyperlink"/>
    <w:qFormat/>
    <w:uiPriority w:val="0"/>
    <w:rPr>
      <w:color w:val="333333"/>
      <w:u w:val="none"/>
    </w:rPr>
  </w:style>
  <w:style w:type="character" w:styleId="60">
    <w:name w:val="annotation reference"/>
    <w:basedOn w:val="54"/>
    <w:qFormat/>
    <w:uiPriority w:val="0"/>
    <w:rPr>
      <w:sz w:val="21"/>
      <w:szCs w:val="21"/>
    </w:rPr>
  </w:style>
  <w:style w:type="paragraph" w:customStyle="1" w:styleId="6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首行缩进"/>
    <w:basedOn w:val="1"/>
    <w:qFormat/>
    <w:uiPriority w:val="0"/>
    <w:pPr>
      <w:ind w:firstLine="480" w:firstLineChars="200"/>
    </w:pPr>
    <w:rPr>
      <w:lang w:val="zh-CN"/>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5"/>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4"/>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13"/>
    <w:qFormat/>
    <w:uiPriority w:val="0"/>
    <w:rPr>
      <w:rFonts w:eastAsia="宋体"/>
      <w:lang w:val="en-US" w:eastAsia="zh-CN" w:bidi="ar-SA"/>
    </w:rPr>
  </w:style>
  <w:style w:type="character" w:customStyle="1" w:styleId="77">
    <w:name w:val="纯文本 字符"/>
    <w:link w:val="30"/>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1"/>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6"/>
    <w:qFormat/>
    <w:uiPriority w:val="0"/>
    <w:rPr>
      <w:rFonts w:ascii="宋体"/>
      <w:sz w:val="18"/>
      <w:szCs w:val="18"/>
    </w:rPr>
  </w:style>
  <w:style w:type="character" w:customStyle="1" w:styleId="87">
    <w:name w:val="HTML 预设格式 字符"/>
    <w:link w:val="47"/>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1"/>
    <w:qFormat/>
    <w:uiPriority w:val="0"/>
    <w:rPr>
      <w:rFonts w:ascii="Arial" w:hAnsi="Arial"/>
      <w:b/>
      <w:kern w:val="28"/>
      <w:sz w:val="32"/>
    </w:rPr>
  </w:style>
  <w:style w:type="character" w:customStyle="1" w:styleId="90">
    <w:name w:val="页脚 字符"/>
    <w:link w:val="35"/>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4"/>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7"/>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4"/>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5"/>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4"/>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1"/>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3"/>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4"/>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7"/>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4"/>
    <w:next w:val="14"/>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5"/>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30"/>
    <w:qFormat/>
    <w:uiPriority w:val="0"/>
    <w:pPr>
      <w:jc w:val="center"/>
    </w:pPr>
    <w:rPr>
      <w:rFonts w:hAnsi="Times New Roman"/>
      <w:b/>
    </w:rPr>
  </w:style>
  <w:style w:type="paragraph" w:customStyle="1" w:styleId="164">
    <w:name w:val="日期右"/>
    <w:basedOn w:val="32"/>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1"/>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7"/>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4"/>
    <w:link w:val="19"/>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4"/>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4"/>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4"/>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4"/>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4"/>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修订1"/>
    <w:hidden/>
    <w:semiHidden/>
    <w:qFormat/>
    <w:uiPriority w:val="99"/>
    <w:rPr>
      <w:rFonts w:ascii="宋体" w:hAnsi="Calibri" w:eastAsia="宋体" w:cs="宋体"/>
      <w:sz w:val="24"/>
      <w:szCs w:val="24"/>
      <w:lang w:val="en-US" w:eastAsia="zh-CN" w:bidi="ar-SA"/>
    </w:rPr>
  </w:style>
  <w:style w:type="character" w:customStyle="1" w:styleId="192">
    <w:name w:val="font51"/>
    <w:basedOn w:val="54"/>
    <w:qFormat/>
    <w:uiPriority w:val="0"/>
    <w:rPr>
      <w:rFonts w:hint="eastAsia" w:ascii="宋体" w:hAnsi="宋体" w:eastAsia="宋体" w:cs="宋体"/>
      <w:color w:val="000000"/>
      <w:sz w:val="20"/>
      <w:szCs w:val="20"/>
      <w:u w:val="none"/>
    </w:rPr>
  </w:style>
  <w:style w:type="paragraph" w:customStyle="1" w:styleId="193">
    <w:name w:val="列出段落11"/>
    <w:basedOn w:val="1"/>
    <w:qFormat/>
    <w:uiPriority w:val="99"/>
    <w:pPr>
      <w:adjustRightInd/>
      <w:spacing w:line="360" w:lineRule="auto"/>
      <w:ind w:firstLine="420" w:firstLineChars="200"/>
      <w:jc w:val="both"/>
    </w:pPr>
    <w:rPr>
      <w:rFonts w:ascii="Times New Roman" w:hAnsi="Times New Roman" w:cs="Times New Roman"/>
      <w:kern w:val="2"/>
    </w:rPr>
  </w:style>
  <w:style w:type="character" w:customStyle="1" w:styleId="194">
    <w:name w:val="font31"/>
    <w:basedOn w:val="54"/>
    <w:qFormat/>
    <w:uiPriority w:val="0"/>
    <w:rPr>
      <w:rFonts w:hint="default" w:ascii="Times New Roman" w:hAnsi="Times New Roman" w:cs="Times New Roman"/>
      <w:color w:val="FF0000"/>
      <w:sz w:val="22"/>
      <w:szCs w:val="22"/>
      <w:u w:val="none"/>
    </w:rPr>
  </w:style>
  <w:style w:type="character" w:customStyle="1" w:styleId="195">
    <w:name w:val="font41"/>
    <w:basedOn w:val="54"/>
    <w:qFormat/>
    <w:uiPriority w:val="0"/>
    <w:rPr>
      <w:rFonts w:hint="eastAsia" w:ascii="宋体" w:hAnsi="宋体" w:eastAsia="宋体" w:cs="宋体"/>
      <w:color w:val="FF0000"/>
      <w:sz w:val="22"/>
      <w:szCs w:val="22"/>
      <w:u w:val="none"/>
    </w:rPr>
  </w:style>
  <w:style w:type="character" w:customStyle="1" w:styleId="196">
    <w:name w:val="font11"/>
    <w:basedOn w:val="54"/>
    <w:qFormat/>
    <w:uiPriority w:val="0"/>
    <w:rPr>
      <w:rFonts w:hint="default" w:ascii="Times New Roman" w:hAnsi="Times New Roman" w:cs="Times New Roman"/>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92</Pages>
  <Words>7906</Words>
  <Characters>45067</Characters>
  <Lines>375</Lines>
  <Paragraphs>105</Paragraphs>
  <TotalTime>2</TotalTime>
  <ScaleCrop>false</ScaleCrop>
  <LinksUpToDate>false</LinksUpToDate>
  <CharactersWithSpaces>52868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2023-11-23T12:45:00Z</dcterms:created>
  <dc:creator>lyy</dc:creator>
  <cp:lastModifiedBy>xxy</cp:lastModifiedBy>
  <cp:lastPrinted>2020-07-10T09:47:00Z</cp:lastPrinted>
  <dcterms:modified xsi:type="dcterms:W3CDTF">2023-12-18T08:19:32Z</dcterms:modified>
  <dc:title>货物公开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D06132F61590418C891ECDF9ECA3E894_13</vt:lpwstr>
  </property>
</Properties>
</file>