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pStyle w:val="20"/>
        <w:rPr>
          <w:color w:val="auto"/>
          <w:highlight w:val="none"/>
        </w:rPr>
      </w:pPr>
    </w:p>
    <w:p>
      <w:pPr>
        <w:widowControl/>
        <w:spacing w:line="360" w:lineRule="auto"/>
        <w:ind w:right="-26"/>
        <w:jc w:val="center"/>
        <w:textAlignment w:val="bottom"/>
        <w:rPr>
          <w:rFonts w:hAnsi="宋体"/>
          <w:b/>
          <w:color w:val="auto"/>
          <w:sz w:val="72"/>
          <w:highlight w:val="none"/>
        </w:rPr>
      </w:pPr>
    </w:p>
    <w:p>
      <w:pPr>
        <w:snapToGrid w:val="0"/>
        <w:jc w:val="center"/>
        <w:outlineLvl w:val="0"/>
        <w:rPr>
          <w:rFonts w:ascii="黑体" w:hAnsi="华文中宋" w:eastAsia="黑体" w:cs="华文中宋"/>
          <w:b/>
          <w:bCs/>
          <w:color w:val="auto"/>
          <w:sz w:val="72"/>
          <w:szCs w:val="72"/>
          <w:highlight w:val="none"/>
        </w:rPr>
      </w:pPr>
      <w:bookmarkStart w:id="0" w:name="_Toc5586"/>
      <w:r>
        <w:rPr>
          <w:rFonts w:hint="eastAsia" w:ascii="黑体" w:hAnsi="华文中宋" w:eastAsia="黑体" w:cs="华文中宋"/>
          <w:b/>
          <w:bCs/>
          <w:color w:val="auto"/>
          <w:sz w:val="72"/>
          <w:szCs w:val="72"/>
          <w:highlight w:val="none"/>
        </w:rPr>
        <w:t>竞争性磋商文件</w:t>
      </w:r>
      <w:bookmarkEnd w:id="0"/>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3360"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松山湖国际创新创业社区零星工程（</w:t>
                            </w:r>
                            <w:r>
                              <w:rPr>
                                <w:rFonts w:hint="eastAsia" w:ascii="黑体" w:hAnsi="黑体" w:eastAsia="黑体" w:cs="黑体"/>
                                <w:b/>
                                <w:sz w:val="32"/>
                                <w:lang w:val="en-US" w:eastAsia="zh-CN"/>
                              </w:rPr>
                              <w:t>含维修）</w:t>
                            </w:r>
                            <w:r>
                              <w:rPr>
                                <w:rFonts w:hint="eastAsia" w:ascii="黑体" w:hAnsi="黑体" w:eastAsia="黑体" w:cs="黑体"/>
                                <w:b/>
                                <w:sz w:val="32"/>
                                <w:lang w:eastAsia="zh-CN"/>
                              </w:rPr>
                              <w:t>协议采购项目</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TTWY-23020</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3120;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hint="eastAsia" w:ascii="黑体" w:hAnsi="黑体" w:eastAsia="黑体" w:cs="黑体"/>
                          <w:b/>
                          <w:sz w:val="32"/>
                          <w:lang w:eastAsia="zh-CN"/>
                        </w:rPr>
                      </w:pPr>
                      <w:r>
                        <w:rPr>
                          <w:rFonts w:hint="eastAsia" w:ascii="黑体" w:hAnsi="黑体" w:eastAsia="黑体" w:cs="黑体"/>
                          <w:b/>
                          <w:sz w:val="32"/>
                        </w:rPr>
                        <w:t>项目名称：</w:t>
                      </w:r>
                      <w:r>
                        <w:rPr>
                          <w:rFonts w:hint="eastAsia" w:ascii="黑体" w:hAnsi="黑体" w:eastAsia="黑体" w:cs="黑体"/>
                          <w:b/>
                          <w:sz w:val="32"/>
                          <w:lang w:eastAsia="zh-CN"/>
                        </w:rPr>
                        <w:t>松山湖国际创新创业社区零星工程（</w:t>
                      </w:r>
                      <w:r>
                        <w:rPr>
                          <w:rFonts w:hint="eastAsia" w:ascii="黑体" w:hAnsi="黑体" w:eastAsia="黑体" w:cs="黑体"/>
                          <w:b/>
                          <w:sz w:val="32"/>
                          <w:lang w:val="en-US" w:eastAsia="zh-CN"/>
                        </w:rPr>
                        <w:t>含维修）</w:t>
                      </w:r>
                      <w:r>
                        <w:rPr>
                          <w:rFonts w:hint="eastAsia" w:ascii="黑体" w:hAnsi="黑体" w:eastAsia="黑体" w:cs="黑体"/>
                          <w:b/>
                          <w:sz w:val="32"/>
                          <w:lang w:eastAsia="zh-CN"/>
                        </w:rPr>
                        <w:t>协议采购项目</w:t>
                      </w:r>
                    </w:p>
                    <w:p>
                      <w:pPr>
                        <w:widowControl/>
                        <w:spacing w:line="360" w:lineRule="auto"/>
                        <w:ind w:right="-26"/>
                        <w:jc w:val="both"/>
                        <w:textAlignment w:val="bottom"/>
                        <w:rPr>
                          <w:rFonts w:hint="eastAsia" w:ascii="黑体" w:hAnsi="黑体" w:eastAsia="黑体" w:cs="黑体"/>
                          <w:b/>
                          <w:sz w:val="32"/>
                          <w:lang w:eastAsia="zh-CN"/>
                        </w:rPr>
                      </w:pPr>
                      <w:r>
                        <w:rPr>
                          <w:rFonts w:hint="eastAsia" w:ascii="黑体" w:hAnsi="黑体" w:eastAsia="黑体" w:cs="黑体"/>
                          <w:b/>
                          <w:sz w:val="32"/>
                        </w:rPr>
                        <w:t>项目编号：</w:t>
                      </w:r>
                      <w:r>
                        <w:rPr>
                          <w:rFonts w:hint="eastAsia" w:ascii="黑体" w:hAnsi="黑体" w:eastAsia="黑体" w:cs="黑体"/>
                          <w:b/>
                          <w:sz w:val="32"/>
                          <w:lang w:eastAsia="zh-CN"/>
                        </w:rPr>
                        <w:t>TTWY-23020</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4"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outlineLvl w:val="0"/>
        <w:rPr>
          <w:rFonts w:ascii="黑体" w:hAnsi="黑体" w:eastAsia="黑体" w:cs="黑体"/>
          <w:b/>
          <w:color w:val="auto"/>
          <w:sz w:val="32"/>
          <w:highlight w:val="none"/>
        </w:rPr>
      </w:pPr>
      <w:bookmarkStart w:id="1" w:name="_Toc21437"/>
      <w:r>
        <w:rPr>
          <w:rFonts w:hint="eastAsia" w:ascii="黑体" w:hAnsi="黑体" w:eastAsia="黑体" w:cs="黑体"/>
          <w:b/>
          <w:color w:val="auto"/>
          <w:sz w:val="32"/>
          <w:highlight w:val="none"/>
        </w:rPr>
        <w:t>广东泰通伟业工程咨询有限公司</w:t>
      </w:r>
      <w:bookmarkEnd w:id="1"/>
      <w:r>
        <w:rPr>
          <w:rFonts w:hint="eastAsia" w:ascii="黑体" w:hAnsi="黑体" w:eastAsia="黑体" w:cs="黑体"/>
          <w:b/>
          <w:color w:val="auto"/>
          <w:sz w:val="32"/>
          <w:highlight w:val="none"/>
        </w:rPr>
        <w:t xml:space="preserve">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w:t>
      </w:r>
      <w:r>
        <w:rPr>
          <w:rFonts w:hint="eastAsia" w:ascii="黑体" w:hAnsi="黑体" w:eastAsia="黑体" w:cs="黑体"/>
          <w:b/>
          <w:color w:val="auto"/>
          <w:sz w:val="32"/>
          <w:highlight w:val="none"/>
          <w:lang w:val="en-US" w:eastAsia="zh-CN"/>
        </w:rPr>
        <w:t>三</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四</w:t>
      </w:r>
      <w:r>
        <w:rPr>
          <w:rFonts w:hint="eastAsia" w:ascii="黑体" w:hAnsi="黑体" w:eastAsia="黑体" w:cs="黑体"/>
          <w:b/>
          <w:color w:val="auto"/>
          <w:sz w:val="32"/>
          <w:highlight w:val="none"/>
        </w:rPr>
        <w:t>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2" w:name="_Toc13507"/>
    </w:p>
    <w:bookmarkEnd w:id="2"/>
    <w:p>
      <w:pPr>
        <w:spacing w:line="360" w:lineRule="auto"/>
        <w:ind w:left="48" w:leftChars="20"/>
        <w:jc w:val="center"/>
        <w:rPr>
          <w:rFonts w:ascii="黑体" w:hAnsi="黑体" w:eastAsia="黑体" w:cs="黑体"/>
          <w:color w:val="auto"/>
          <w:sz w:val="32"/>
          <w:szCs w:val="32"/>
          <w:highlight w:val="none"/>
        </w:rPr>
      </w:pPr>
      <w:bookmarkStart w:id="3"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outlineLvl w:val="0"/>
        <w:rPr>
          <w:rFonts w:ascii="黑体" w:hAnsi="黑体" w:eastAsia="黑体" w:cs="黑体"/>
          <w:color w:val="auto"/>
          <w:highlight w:val="none"/>
        </w:rPr>
      </w:pPr>
      <w:bookmarkStart w:id="4" w:name="_Toc17927"/>
      <w:r>
        <w:rPr>
          <w:rFonts w:hint="eastAsia" w:ascii="黑体" w:hAnsi="黑体" w:eastAsia="黑体" w:cs="黑体"/>
          <w:color w:val="auto"/>
          <w:highlight w:val="none"/>
        </w:rPr>
        <w:t>磋商响应文件应按顺序编制页码。</w:t>
      </w:r>
      <w:bookmarkEnd w:id="4"/>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12"/>
        <w:ind w:firstLine="643"/>
        <w:rPr>
          <w:rFonts w:hAnsi="宋体"/>
          <w:b/>
          <w:bCs/>
          <w:color w:val="auto"/>
          <w:sz w:val="32"/>
          <w:szCs w:val="32"/>
          <w:highlight w:val="none"/>
          <w:lang w:val="zh-CN"/>
        </w:rPr>
        <w:sectPr>
          <w:headerReference r:id="rId7" w:type="default"/>
          <w:pgSz w:w="11906" w:h="16838"/>
          <w:pgMar w:top="1440" w:right="1800" w:bottom="1440" w:left="1800" w:header="851" w:footer="992" w:gutter="0"/>
          <w:cols w:space="425" w:num="1"/>
          <w:docGrid w:type="lines" w:linePitch="312" w:charSpace="0"/>
        </w:sectPr>
      </w:pPr>
    </w:p>
    <w:p>
      <w:pPr>
        <w:rPr>
          <w:color w:val="auto"/>
          <w:highlight w:val="none"/>
        </w:rPr>
      </w:pPr>
    </w:p>
    <w:p>
      <w:pPr>
        <w:jc w:val="center"/>
        <w:rPr>
          <w:rFonts w:hAnsi="宋体"/>
          <w:b/>
          <w:bCs/>
          <w:color w:val="auto"/>
          <w:sz w:val="32"/>
          <w:szCs w:val="32"/>
          <w:highlight w:val="none"/>
          <w:lang w:val="zh-CN"/>
        </w:rPr>
      </w:pPr>
      <w:r>
        <w:rPr>
          <w:rFonts w:hAnsi="宋体"/>
          <w:b/>
          <w:bCs/>
          <w:color w:val="auto"/>
          <w:sz w:val="32"/>
          <w:szCs w:val="32"/>
          <w:highlight w:val="none"/>
          <w:lang w:val="zh-CN"/>
        </w:rPr>
        <w:t>目录</w:t>
      </w:r>
      <w:bookmarkStart w:id="5" w:name="_Toc396137229"/>
    </w:p>
    <w:sdt>
      <w:sdtPr>
        <w:rPr>
          <w:rFonts w:hAnsi="宋体"/>
          <w:b/>
          <w:bCs/>
          <w:color w:val="auto"/>
          <w:sz w:val="36"/>
          <w:szCs w:val="44"/>
          <w:highlight w:val="none"/>
        </w:rPr>
        <w:id w:val="147463129"/>
        <w15:color w:val="DBDBDB"/>
        <w:docPartObj>
          <w:docPartGallery w:val="Table of Contents"/>
          <w:docPartUnique/>
        </w:docPartObj>
      </w:sdtPr>
      <w:sdtEndPr>
        <w:rPr>
          <w:rFonts w:hAnsi="宋体"/>
          <w:b/>
          <w:bCs/>
          <w:color w:val="auto"/>
          <w:sz w:val="36"/>
          <w:szCs w:val="44"/>
          <w:highlight w:val="none"/>
        </w:rPr>
      </w:sdtEndPr>
      <w:sdtContent>
        <w:p>
          <w:pPr>
            <w:spacing w:line="360" w:lineRule="auto"/>
            <w:jc w:val="both"/>
            <w:rPr>
              <w:b/>
              <w:bCs/>
              <w:color w:val="auto"/>
              <w:sz w:val="44"/>
              <w:szCs w:val="44"/>
              <w:highlight w:val="none"/>
            </w:rPr>
          </w:pPr>
        </w:p>
        <w:p>
          <w:pPr>
            <w:pStyle w:val="185"/>
            <w:tabs>
              <w:tab w:val="right" w:leader="dot" w:pos="8306"/>
            </w:tabs>
            <w:spacing w:line="360" w:lineRule="auto"/>
            <w:jc w:val="center"/>
            <w:rPr>
              <w:b/>
              <w:bCs/>
              <w:color w:val="auto"/>
              <w:sz w:val="32"/>
              <w:szCs w:val="32"/>
              <w:highlight w:val="none"/>
            </w:rPr>
          </w:pPr>
          <w:r>
            <w:rPr>
              <w:b/>
              <w:bCs/>
              <w:color w:val="auto"/>
              <w:sz w:val="32"/>
              <w:szCs w:val="32"/>
              <w:highlight w:val="none"/>
            </w:rPr>
            <w:fldChar w:fldCharType="begin"/>
          </w:r>
          <w:r>
            <w:rPr>
              <w:b/>
              <w:bCs/>
              <w:color w:val="auto"/>
              <w:sz w:val="32"/>
              <w:szCs w:val="32"/>
              <w:highlight w:val="none"/>
            </w:rPr>
            <w:instrText xml:space="preserve">TOC \o "1-1" \h \u </w:instrText>
          </w:r>
          <w:r>
            <w:rPr>
              <w:b/>
              <w:bCs/>
              <w:color w:val="auto"/>
              <w:sz w:val="32"/>
              <w:szCs w:val="32"/>
              <w:highlight w:val="none"/>
            </w:rPr>
            <w:fldChar w:fldCharType="separate"/>
          </w:r>
          <w:r>
            <w:rPr>
              <w:color w:val="auto"/>
              <w:highlight w:val="none"/>
            </w:rPr>
            <w:fldChar w:fldCharType="begin"/>
          </w:r>
          <w:r>
            <w:rPr>
              <w:color w:val="auto"/>
              <w:highlight w:val="none"/>
            </w:rPr>
            <w:instrText xml:space="preserve"> HYPERLINK \l "_Toc3573" </w:instrText>
          </w:r>
          <w:r>
            <w:rPr>
              <w:color w:val="auto"/>
              <w:highlight w:val="none"/>
            </w:rPr>
            <w:fldChar w:fldCharType="separate"/>
          </w:r>
          <w:r>
            <w:rPr>
              <w:rFonts w:hAnsi="宋体"/>
              <w:b/>
              <w:bCs/>
              <w:color w:val="auto"/>
              <w:kern w:val="44"/>
              <w:sz w:val="32"/>
              <w:szCs w:val="48"/>
              <w:highlight w:val="none"/>
              <w:lang w:val="zh-CN"/>
            </w:rPr>
            <w:t xml:space="preserve">第一篇 </w:t>
          </w:r>
          <w:r>
            <w:rPr>
              <w:rFonts w:hint="eastAsia" w:hAnsi="宋体"/>
              <w:b/>
              <w:bCs/>
              <w:color w:val="auto"/>
              <w:kern w:val="44"/>
              <w:sz w:val="32"/>
              <w:szCs w:val="48"/>
              <w:highlight w:val="none"/>
            </w:rPr>
            <w:t>磋商邀请书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_Toc3573 \h </w:instrText>
          </w:r>
          <w:r>
            <w:rPr>
              <w:b/>
              <w:bCs/>
              <w:color w:val="auto"/>
              <w:sz w:val="32"/>
              <w:szCs w:val="32"/>
              <w:highlight w:val="none"/>
            </w:rPr>
            <w:fldChar w:fldCharType="separate"/>
          </w:r>
          <w:r>
            <w:rPr>
              <w:b/>
              <w:bCs/>
              <w:color w:val="auto"/>
              <w:sz w:val="32"/>
              <w:szCs w:val="32"/>
              <w:highlight w:val="none"/>
            </w:rPr>
            <w:t>3</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"_Toc17779" </w:instrText>
          </w:r>
          <w:r>
            <w:rPr>
              <w:color w:val="auto"/>
              <w:highlight w:val="none"/>
            </w:rPr>
            <w:fldChar w:fldCharType="separate"/>
          </w:r>
          <w:r>
            <w:rPr>
              <w:rFonts w:hAnsi="宋体"/>
              <w:b/>
              <w:bCs/>
              <w:color w:val="auto"/>
              <w:kern w:val="44"/>
              <w:sz w:val="32"/>
              <w:szCs w:val="48"/>
              <w:highlight w:val="none"/>
              <w:lang w:val="zh-CN"/>
            </w:rPr>
            <w:t xml:space="preserve">第二篇 </w:t>
          </w:r>
          <w:r>
            <w:rPr>
              <w:rFonts w:hint="eastAsia" w:hAnsi="宋体"/>
              <w:b/>
              <w:bCs/>
              <w:color w:val="auto"/>
              <w:kern w:val="44"/>
              <w:sz w:val="32"/>
              <w:szCs w:val="48"/>
              <w:highlight w:val="none"/>
              <w:lang w:val="zh-CN"/>
            </w:rPr>
            <w:t>供应商须知</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_Toc17779 \h </w:instrText>
          </w:r>
          <w:r>
            <w:rPr>
              <w:b/>
              <w:bCs/>
              <w:color w:val="auto"/>
              <w:sz w:val="32"/>
              <w:szCs w:val="32"/>
              <w:highlight w:val="none"/>
            </w:rPr>
            <w:fldChar w:fldCharType="separate"/>
          </w:r>
          <w:r>
            <w:rPr>
              <w:b/>
              <w:bCs/>
              <w:color w:val="auto"/>
              <w:sz w:val="32"/>
              <w:szCs w:val="32"/>
              <w:highlight w:val="none"/>
            </w:rPr>
            <w:t>5</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rFonts w:hint="eastAsia" w:eastAsia="宋体"/>
              <w:b/>
              <w:bCs/>
              <w:color w:val="auto"/>
              <w:sz w:val="32"/>
              <w:szCs w:val="32"/>
              <w:highlight w:val="none"/>
              <w:lang w:val="en-US" w:eastAsia="zh-CN"/>
            </w:rPr>
          </w:pPr>
          <w:r>
            <w:rPr>
              <w:color w:val="auto"/>
              <w:highlight w:val="none"/>
            </w:rPr>
            <w:fldChar w:fldCharType="begin"/>
          </w:r>
          <w:r>
            <w:rPr>
              <w:color w:val="auto"/>
              <w:highlight w:val="none"/>
            </w:rPr>
            <w:instrText xml:space="preserve"> HYPERLINK \l "_Toc22134" </w:instrText>
          </w:r>
          <w:r>
            <w:rPr>
              <w:color w:val="auto"/>
              <w:highlight w:val="none"/>
            </w:rPr>
            <w:fldChar w:fldCharType="separate"/>
          </w:r>
          <w:r>
            <w:rPr>
              <w:rFonts w:hAnsi="宋体"/>
              <w:b/>
              <w:bCs/>
              <w:color w:val="auto"/>
              <w:kern w:val="44"/>
              <w:sz w:val="32"/>
              <w:szCs w:val="48"/>
              <w:highlight w:val="none"/>
              <w:lang w:val="zh-CN"/>
            </w:rPr>
            <w:t xml:space="preserve">第三篇 </w:t>
          </w:r>
          <w:r>
            <w:rPr>
              <w:rFonts w:hint="eastAsia" w:hAnsi="宋体"/>
              <w:b/>
              <w:bCs/>
              <w:color w:val="auto"/>
              <w:kern w:val="44"/>
              <w:sz w:val="32"/>
              <w:szCs w:val="48"/>
              <w:highlight w:val="none"/>
              <w:lang w:val="zh-CN"/>
            </w:rPr>
            <w:t>用户需求书</w:t>
          </w:r>
          <w:r>
            <w:rPr>
              <w:b/>
              <w:bCs/>
              <w:color w:val="auto"/>
              <w:sz w:val="32"/>
              <w:szCs w:val="32"/>
              <w:highlight w:val="none"/>
            </w:rPr>
            <w:tab/>
          </w:r>
          <w:r>
            <w:rPr>
              <w:rFonts w:hint="eastAsia"/>
              <w:b/>
              <w:bCs/>
              <w:color w:val="auto"/>
              <w:sz w:val="32"/>
              <w:szCs w:val="32"/>
              <w:highlight w:val="none"/>
              <w:lang w:val="en-US" w:eastAsia="zh-CN"/>
            </w:rPr>
            <w:t>1</w:t>
          </w:r>
          <w:r>
            <w:rPr>
              <w:b/>
              <w:bCs/>
              <w:color w:val="auto"/>
              <w:sz w:val="32"/>
              <w:szCs w:val="32"/>
              <w:highlight w:val="none"/>
            </w:rPr>
            <w:fldChar w:fldCharType="end"/>
          </w:r>
          <w:r>
            <w:rPr>
              <w:rFonts w:hint="eastAsia"/>
              <w:b/>
              <w:bCs/>
              <w:color w:val="auto"/>
              <w:sz w:val="32"/>
              <w:szCs w:val="32"/>
              <w:highlight w:val="none"/>
              <w:lang w:val="en-US" w:eastAsia="zh-CN"/>
            </w:rPr>
            <w:t>7</w:t>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"_Toc28792" </w:instrText>
          </w:r>
          <w:r>
            <w:rPr>
              <w:color w:val="auto"/>
              <w:highlight w:val="none"/>
            </w:rPr>
            <w:fldChar w:fldCharType="separate"/>
          </w:r>
          <w:r>
            <w:rPr>
              <w:rFonts w:hAnsi="宋体"/>
              <w:b/>
              <w:bCs/>
              <w:color w:val="auto"/>
              <w:kern w:val="44"/>
              <w:sz w:val="32"/>
              <w:szCs w:val="48"/>
              <w:highlight w:val="none"/>
              <w:lang w:val="zh-CN"/>
            </w:rPr>
            <w:t xml:space="preserve">第四篇 </w:t>
          </w:r>
          <w:r>
            <w:rPr>
              <w:rFonts w:hint="eastAsia" w:hAnsi="宋体"/>
              <w:b/>
              <w:bCs/>
              <w:color w:val="auto"/>
              <w:kern w:val="44"/>
              <w:sz w:val="32"/>
              <w:szCs w:val="48"/>
              <w:highlight w:val="none"/>
              <w:lang w:val="zh-CN"/>
            </w:rPr>
            <w:t>评审工作大纲</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_Toc28792 \h </w:instrText>
          </w:r>
          <w:r>
            <w:rPr>
              <w:b/>
              <w:bCs/>
              <w:color w:val="auto"/>
              <w:sz w:val="32"/>
              <w:szCs w:val="32"/>
              <w:highlight w:val="none"/>
            </w:rPr>
            <w:fldChar w:fldCharType="separate"/>
          </w:r>
          <w:r>
            <w:rPr>
              <w:b/>
              <w:bCs/>
              <w:color w:val="auto"/>
              <w:sz w:val="32"/>
              <w:szCs w:val="32"/>
              <w:highlight w:val="none"/>
            </w:rPr>
            <w:t>22</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"_Toc3360" </w:instrText>
          </w:r>
          <w:r>
            <w:rPr>
              <w:color w:val="auto"/>
              <w:highlight w:val="none"/>
            </w:rPr>
            <w:fldChar w:fldCharType="separate"/>
          </w:r>
          <w:r>
            <w:rPr>
              <w:rFonts w:hAnsi="宋体"/>
              <w:b/>
              <w:bCs/>
              <w:color w:val="auto"/>
              <w:sz w:val="32"/>
              <w:szCs w:val="32"/>
              <w:highlight w:val="none"/>
            </w:rPr>
            <w:t xml:space="preserve">第五篇 </w:t>
          </w:r>
          <w:r>
            <w:rPr>
              <w:rFonts w:hint="eastAsia" w:hAnsi="宋体"/>
              <w:b/>
              <w:bCs/>
              <w:color w:val="auto"/>
              <w:kern w:val="44"/>
              <w:sz w:val="32"/>
              <w:szCs w:val="48"/>
              <w:highlight w:val="none"/>
              <w:lang w:val="zh-CN"/>
            </w:rPr>
            <w:t>合同条款格式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_Toc3360 \h </w:instrText>
          </w:r>
          <w:r>
            <w:rPr>
              <w:b/>
              <w:bCs/>
              <w:color w:val="auto"/>
              <w:sz w:val="32"/>
              <w:szCs w:val="32"/>
              <w:highlight w:val="none"/>
            </w:rPr>
            <w:fldChar w:fldCharType="separate"/>
          </w:r>
          <w:r>
            <w:rPr>
              <w:b/>
              <w:bCs/>
              <w:color w:val="auto"/>
              <w:sz w:val="32"/>
              <w:szCs w:val="32"/>
              <w:highlight w:val="none"/>
            </w:rPr>
            <w:t>28</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"_Toc9129" </w:instrText>
          </w:r>
          <w:r>
            <w:rPr>
              <w:color w:val="auto"/>
              <w:highlight w:val="none"/>
            </w:rPr>
            <w:fldChar w:fldCharType="separate"/>
          </w:r>
          <w:r>
            <w:rPr>
              <w:rFonts w:hint="eastAsia" w:hAnsi="宋体"/>
              <w:b/>
              <w:bCs/>
              <w:color w:val="auto"/>
              <w:kern w:val="44"/>
              <w:sz w:val="32"/>
              <w:szCs w:val="48"/>
              <w:highlight w:val="none"/>
              <w:lang w:val="zh-CN"/>
            </w:rPr>
            <w:t>第六篇磋商响应文件格式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_Toc9129 \h </w:instrText>
          </w:r>
          <w:r>
            <w:rPr>
              <w:b/>
              <w:bCs/>
              <w:color w:val="auto"/>
              <w:sz w:val="32"/>
              <w:szCs w:val="32"/>
              <w:highlight w:val="none"/>
            </w:rPr>
            <w:fldChar w:fldCharType="separate"/>
          </w:r>
          <w:r>
            <w:rPr>
              <w:b/>
              <w:bCs/>
              <w:color w:val="auto"/>
              <w:sz w:val="32"/>
              <w:szCs w:val="32"/>
              <w:highlight w:val="none"/>
            </w:rPr>
            <w:t>40</w:t>
          </w:r>
          <w:r>
            <w:rPr>
              <w:b/>
              <w:bCs/>
              <w:color w:val="auto"/>
              <w:sz w:val="32"/>
              <w:szCs w:val="32"/>
              <w:highlight w:val="none"/>
            </w:rPr>
            <w:fldChar w:fldCharType="end"/>
          </w:r>
          <w:r>
            <w:rPr>
              <w:b/>
              <w:bCs/>
              <w:color w:val="auto"/>
              <w:sz w:val="32"/>
              <w:szCs w:val="32"/>
              <w:highlight w:val="none"/>
            </w:rPr>
            <w:fldChar w:fldCharType="end"/>
          </w:r>
        </w:p>
        <w:p>
          <w:pPr>
            <w:spacing w:line="360" w:lineRule="auto"/>
            <w:jc w:val="center"/>
            <w:rPr>
              <w:color w:val="auto"/>
              <w:highlight w:val="none"/>
            </w:rPr>
          </w:pPr>
          <w:r>
            <w:rPr>
              <w:b/>
              <w:bCs/>
              <w:color w:val="auto"/>
              <w:sz w:val="32"/>
              <w:szCs w:val="32"/>
              <w:highlight w:val="none"/>
            </w:rPr>
            <w:fldChar w:fldCharType="end"/>
          </w:r>
        </w:p>
      </w:sdtContent>
    </w:sdt>
    <w:p>
      <w:pPr>
        <w:jc w:val="center"/>
        <w:rPr>
          <w:color w:val="auto"/>
          <w:highlight w:val="none"/>
        </w:rPr>
      </w:pPr>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3"/>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bookmarkStart w:id="6" w:name="_Toc3573"/>
      <w:r>
        <w:rPr>
          <w:color w:val="auto"/>
          <w:highlight w:val="none"/>
        </w:rPr>
        <w:fldChar w:fldCharType="end"/>
      </w:r>
      <w:bookmarkEnd w:id="5"/>
      <w:r>
        <w:rPr>
          <w:rFonts w:hint="eastAsia" w:hAnsi="宋体"/>
          <w:b/>
          <w:bCs/>
          <w:color w:val="auto"/>
          <w:kern w:val="44"/>
          <w:sz w:val="28"/>
          <w:szCs w:val="28"/>
          <w:highlight w:val="none"/>
        </w:rPr>
        <w:t>磋商邀请书</w:t>
      </w:r>
      <w:bookmarkEnd w:id="3"/>
      <w:bookmarkEnd w:id="6"/>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广东泰通伟业工程咨询有限公司（以下简称“采购代理机构”）受东莞市大学创新城建设发展有限公司（以下简称“采购人”）的委托，为</w:t>
      </w:r>
      <w:r>
        <w:rPr>
          <w:rFonts w:hint="eastAsia" w:hAnsi="宋体"/>
          <w:color w:val="auto"/>
          <w:sz w:val="21"/>
          <w:szCs w:val="21"/>
          <w:highlight w:val="none"/>
          <w:lang w:eastAsia="zh-CN"/>
        </w:rPr>
        <w:t>松山湖国际创新创业社区零星工程（含维修）协议采购项目</w:t>
      </w:r>
      <w:r>
        <w:rPr>
          <w:rFonts w:hint="eastAsia" w:hAnsi="宋体"/>
          <w:color w:val="auto"/>
          <w:sz w:val="21"/>
          <w:szCs w:val="21"/>
          <w:highlight w:val="none"/>
        </w:rPr>
        <w:t xml:space="preserve"> (项目编号：</w:t>
      </w:r>
      <w:r>
        <w:rPr>
          <w:rFonts w:hint="eastAsia" w:hAnsi="宋体"/>
          <w:color w:val="auto"/>
          <w:sz w:val="21"/>
          <w:szCs w:val="21"/>
          <w:highlight w:val="none"/>
          <w:lang w:eastAsia="zh-CN"/>
        </w:rPr>
        <w:t>TTWY-23020</w:t>
      </w:r>
      <w:r>
        <w:rPr>
          <w:rFonts w:hint="eastAsia" w:hAnsi="宋体"/>
          <w:color w:val="auto"/>
          <w:sz w:val="21"/>
          <w:szCs w:val="21"/>
          <w:highlight w:val="none"/>
        </w:rPr>
        <w:t>) 采购所需的服务。本项目采用竞争性磋商采购方式，欢迎合格供应商就本项目提交密封磋商。</w:t>
      </w:r>
    </w:p>
    <w:p>
      <w:pPr>
        <w:widowControl/>
        <w:numPr>
          <w:ilvl w:val="0"/>
          <w:numId w:val="11"/>
        </w:numPr>
        <w:adjustRightInd/>
        <w:spacing w:line="360" w:lineRule="auto"/>
        <w:outlineLvl w:val="0"/>
        <w:rPr>
          <w:rFonts w:hAnsi="宋体"/>
          <w:color w:val="auto"/>
          <w:sz w:val="21"/>
          <w:szCs w:val="21"/>
          <w:highlight w:val="none"/>
        </w:rPr>
      </w:pPr>
      <w:bookmarkStart w:id="7" w:name="_Toc12537"/>
      <w:r>
        <w:rPr>
          <w:rFonts w:hint="eastAsia" w:hAnsi="宋体"/>
          <w:b/>
          <w:bCs/>
          <w:color w:val="auto"/>
          <w:kern w:val="28"/>
          <w:sz w:val="21"/>
          <w:szCs w:val="21"/>
          <w:highlight w:val="none"/>
        </w:rPr>
        <w:t>邀请合格供应商就下列所有服务提交密封磋商：</w:t>
      </w:r>
      <w:bookmarkEnd w:id="7"/>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w:t>
      </w:r>
      <w:r>
        <w:rPr>
          <w:rFonts w:hint="eastAsia" w:hAnsi="宋体"/>
          <w:color w:val="auto"/>
          <w:sz w:val="21"/>
          <w:szCs w:val="21"/>
          <w:highlight w:val="none"/>
          <w:lang w:eastAsia="zh-CN"/>
        </w:rPr>
        <w:t>松山湖国际创新创业社区零星工程（含维修）协议采购项目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w:t>
      </w:r>
      <w:r>
        <w:rPr>
          <w:rFonts w:hint="eastAsia" w:hAnsi="宋体"/>
          <w:color w:val="auto"/>
          <w:sz w:val="21"/>
          <w:szCs w:val="21"/>
          <w:highlight w:val="none"/>
          <w:lang w:eastAsia="zh-CN"/>
        </w:rPr>
        <w:t>TTWY-23020</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w:t>
      </w:r>
      <w:r>
        <w:rPr>
          <w:rFonts w:hint="eastAsia" w:hAnsi="宋体"/>
          <w:color w:val="auto"/>
          <w:sz w:val="21"/>
          <w:szCs w:val="21"/>
          <w:highlight w:val="none"/>
          <w:lang w:val="en-US" w:eastAsia="zh-CN"/>
        </w:rPr>
        <w:t>2,600,000.00</w:t>
      </w:r>
      <w:r>
        <w:rPr>
          <w:rFonts w:hint="eastAsia" w:hAnsi="宋体"/>
          <w:color w:val="auto"/>
          <w:sz w:val="21"/>
          <w:szCs w:val="21"/>
          <w:highlight w:val="none"/>
        </w:rPr>
        <w:t>元（大写：人民币</w:t>
      </w:r>
      <w:r>
        <w:rPr>
          <w:rFonts w:hint="eastAsia" w:hAnsi="宋体"/>
          <w:color w:val="auto"/>
          <w:sz w:val="21"/>
          <w:szCs w:val="21"/>
          <w:highlight w:val="none"/>
          <w:lang w:eastAsia="zh-CN"/>
        </w:rPr>
        <w:t>贰佰陆拾万元整</w:t>
      </w:r>
      <w:r>
        <w:rPr>
          <w:rFonts w:hint="eastAsia" w:hAnsi="宋体"/>
          <w:color w:val="auto"/>
          <w:sz w:val="21"/>
          <w:szCs w:val="21"/>
          <w:highlight w:val="none"/>
        </w:rPr>
        <w:t>）。</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outlineLvl w:val="0"/>
        <w:rPr>
          <w:rFonts w:hAnsi="宋体"/>
          <w:b/>
          <w:bCs/>
          <w:color w:val="auto"/>
          <w:kern w:val="28"/>
          <w:sz w:val="21"/>
          <w:szCs w:val="21"/>
          <w:highlight w:val="none"/>
        </w:rPr>
      </w:pPr>
      <w:bookmarkStart w:id="8" w:name="_Toc4600"/>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bookmarkEnd w:id="8"/>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9"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（五）本项目不接受联合体投标。</w:t>
      </w:r>
    </w:p>
    <w:p>
      <w:pPr>
        <w:spacing w:line="360" w:lineRule="auto"/>
        <w:outlineLvl w:val="0"/>
        <w:rPr>
          <w:rFonts w:hAnsi="宋体"/>
          <w:b/>
          <w:bCs/>
          <w:color w:val="auto"/>
          <w:sz w:val="21"/>
          <w:szCs w:val="21"/>
          <w:highlight w:val="none"/>
        </w:rPr>
      </w:pPr>
      <w:bookmarkStart w:id="10" w:name="_Toc8581"/>
      <w:r>
        <w:rPr>
          <w:rFonts w:hint="eastAsia" w:hAnsi="宋体"/>
          <w:b/>
          <w:bCs/>
          <w:color w:val="auto"/>
          <w:sz w:val="21"/>
          <w:szCs w:val="21"/>
          <w:highlight w:val="none"/>
        </w:rPr>
        <w:t>三、获取磋商文件：</w:t>
      </w:r>
      <w:bookmarkEnd w:id="10"/>
    </w:p>
    <w:p>
      <w:pPr>
        <w:widowControl/>
        <w:adjustRightInd/>
        <w:spacing w:line="360" w:lineRule="auto"/>
        <w:ind w:left="420" w:right="53" w:firstLine="420" w:firstLineChars="200"/>
        <w:textAlignment w:val="bottom"/>
        <w:rPr>
          <w:rFonts w:hint="eastAsia" w:hAnsi="宋体"/>
          <w:color w:val="auto"/>
          <w:kern w:val="28"/>
          <w:sz w:val="21"/>
          <w:szCs w:val="21"/>
          <w:highlight w:val="none"/>
        </w:rPr>
      </w:pPr>
      <w:r>
        <w:rPr>
          <w:rFonts w:hint="eastAsia" w:hAnsi="宋体"/>
          <w:color w:val="auto"/>
          <w:kern w:val="28"/>
          <w:sz w:val="21"/>
          <w:szCs w:val="21"/>
          <w:highlight w:val="none"/>
        </w:rPr>
        <w:t>本项目无须报名，磋商文件下载地址：</w:t>
      </w:r>
      <w:r>
        <w:rPr>
          <w:rFonts w:hint="eastAsia" w:hAnsi="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widowControl/>
        <w:adjustRightInd/>
        <w:spacing w:line="360" w:lineRule="auto"/>
        <w:ind w:left="420" w:right="53" w:firstLine="420" w:firstLineChars="200"/>
        <w:textAlignment w:val="bottom"/>
        <w:rPr>
          <w:rFonts w:hAnsi="宋体"/>
          <w:color w:val="auto"/>
          <w:kern w:val="28"/>
          <w:sz w:val="21"/>
          <w:szCs w:val="21"/>
          <w:highlight w:val="none"/>
        </w:rPr>
      </w:pPr>
      <w:r>
        <w:rPr>
          <w:rFonts w:hint="eastAsia" w:hAnsi="宋体"/>
          <w:color w:val="auto"/>
          <w:kern w:val="28"/>
          <w:sz w:val="21"/>
          <w:szCs w:val="21"/>
          <w:highlight w:val="none"/>
        </w:rPr>
        <w:t>采购结果公告发布媒介：东莞实业投资控股集团有限公司-招标采购栏目（http://www.dgsy.com.cn/）</w:t>
      </w:r>
    </w:p>
    <w:p>
      <w:pPr>
        <w:pStyle w:val="17"/>
        <w:rPr>
          <w:color w:val="auto"/>
          <w:highlight w:val="none"/>
        </w:rPr>
      </w:pPr>
      <w:r>
        <w:rPr>
          <w:rFonts w:hint="eastAsia" w:hAnsi="宋体"/>
          <w:color w:val="auto"/>
          <w:kern w:val="28"/>
          <w:szCs w:val="21"/>
          <w:highlight w:val="none"/>
        </w:rPr>
        <w:t xml:space="preserve">    磋商文件公告期限：自公告之日起三个工作日。</w:t>
      </w:r>
    </w:p>
    <w:p>
      <w:pPr>
        <w:pStyle w:val="29"/>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1、接收响应文件的时间：202</w:t>
      </w:r>
      <w:r>
        <w:rPr>
          <w:rFonts w:hint="eastAsia" w:hAnsi="宋体"/>
          <w:color w:val="auto"/>
          <w:sz w:val="21"/>
          <w:szCs w:val="21"/>
          <w:highlight w:val="none"/>
          <w:lang w:val="en-US" w:eastAsia="zh-CN"/>
        </w:rPr>
        <w:t>3</w:t>
      </w:r>
      <w:r>
        <w:rPr>
          <w:rFonts w:hint="eastAsia" w:hAnsi="宋体"/>
          <w:color w:val="auto"/>
          <w:sz w:val="21"/>
          <w:szCs w:val="21"/>
          <w:highlight w:val="none"/>
        </w:rPr>
        <w:t>年</w:t>
      </w:r>
      <w:r>
        <w:rPr>
          <w:rFonts w:hint="eastAsia" w:hAnsi="宋体"/>
          <w:color w:val="auto"/>
          <w:sz w:val="21"/>
          <w:szCs w:val="21"/>
          <w:highlight w:val="none"/>
          <w:lang w:val="en-US" w:eastAsia="zh-CN"/>
        </w:rPr>
        <w:t>4</w:t>
      </w:r>
      <w:r>
        <w:rPr>
          <w:rFonts w:hint="eastAsia" w:hAnsi="宋体"/>
          <w:color w:val="auto"/>
          <w:sz w:val="21"/>
          <w:szCs w:val="21"/>
          <w:highlight w:val="none"/>
        </w:rPr>
        <w:t>月</w:t>
      </w:r>
      <w:r>
        <w:rPr>
          <w:rFonts w:hint="eastAsia" w:hAnsi="宋体"/>
          <w:color w:val="auto"/>
          <w:sz w:val="21"/>
          <w:szCs w:val="21"/>
          <w:highlight w:val="none"/>
          <w:lang w:val="en-US" w:eastAsia="zh-CN"/>
        </w:rPr>
        <w:t>18</w:t>
      </w:r>
      <w:r>
        <w:rPr>
          <w:rFonts w:hint="eastAsia" w:hAnsi="宋体"/>
          <w:color w:val="auto"/>
          <w:sz w:val="21"/>
          <w:szCs w:val="21"/>
          <w:highlight w:val="none"/>
          <w:lang w:eastAsia="zh-CN"/>
        </w:rPr>
        <w:t>上</w:t>
      </w:r>
      <w:r>
        <w:rPr>
          <w:rFonts w:hint="eastAsia" w:hAnsi="宋体"/>
          <w:color w:val="auto"/>
          <w:sz w:val="21"/>
          <w:szCs w:val="21"/>
          <w:highlight w:val="none"/>
        </w:rPr>
        <w:t>午</w:t>
      </w:r>
      <w:r>
        <w:rPr>
          <w:rFonts w:hint="eastAsia" w:hAnsi="宋体"/>
          <w:color w:val="auto"/>
          <w:sz w:val="21"/>
          <w:szCs w:val="21"/>
          <w:highlight w:val="none"/>
          <w:lang w:val="en-US" w:eastAsia="zh-CN"/>
        </w:rPr>
        <w:t>9</w:t>
      </w:r>
      <w:r>
        <w:rPr>
          <w:rFonts w:hint="eastAsia" w:hAnsi="宋体"/>
          <w:color w:val="auto"/>
          <w:sz w:val="21"/>
          <w:szCs w:val="21"/>
          <w:highlight w:val="none"/>
        </w:rPr>
        <w:t>:00～</w:t>
      </w:r>
      <w:r>
        <w:rPr>
          <w:rFonts w:hint="eastAsia" w:hAnsi="宋体"/>
          <w:color w:val="auto"/>
          <w:sz w:val="21"/>
          <w:szCs w:val="21"/>
          <w:highlight w:val="none"/>
          <w:lang w:val="en-US" w:eastAsia="zh-CN"/>
        </w:rPr>
        <w:t>9</w:t>
      </w:r>
      <w:r>
        <w:rPr>
          <w:rFonts w:hint="eastAsia" w:hAnsi="宋体"/>
          <w:color w:val="auto"/>
          <w:sz w:val="21"/>
          <w:szCs w:val="21"/>
          <w:highlight w:val="none"/>
        </w:rPr>
        <w:t>:30。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2、接收响应文件截止时间及开启响应文件时间：202</w:t>
      </w:r>
      <w:r>
        <w:rPr>
          <w:rFonts w:hint="eastAsia" w:hAnsi="宋体"/>
          <w:color w:val="auto"/>
          <w:sz w:val="21"/>
          <w:szCs w:val="21"/>
          <w:highlight w:val="none"/>
          <w:lang w:val="en-US" w:eastAsia="zh-CN"/>
        </w:rPr>
        <w:t>3</w:t>
      </w:r>
      <w:r>
        <w:rPr>
          <w:rFonts w:hint="eastAsia" w:hAnsi="宋体"/>
          <w:color w:val="auto"/>
          <w:sz w:val="21"/>
          <w:szCs w:val="21"/>
          <w:highlight w:val="none"/>
        </w:rPr>
        <w:t>年</w:t>
      </w:r>
      <w:r>
        <w:rPr>
          <w:rFonts w:hint="eastAsia" w:hAnsi="宋体"/>
          <w:color w:val="auto"/>
          <w:sz w:val="21"/>
          <w:szCs w:val="21"/>
          <w:highlight w:val="none"/>
          <w:lang w:val="en-US" w:eastAsia="zh-CN"/>
        </w:rPr>
        <w:t>4</w:t>
      </w:r>
      <w:r>
        <w:rPr>
          <w:rFonts w:hint="eastAsia" w:hAnsi="宋体"/>
          <w:color w:val="auto"/>
          <w:sz w:val="21"/>
          <w:szCs w:val="21"/>
          <w:highlight w:val="none"/>
        </w:rPr>
        <w:t>月</w:t>
      </w:r>
      <w:r>
        <w:rPr>
          <w:rFonts w:hint="eastAsia" w:hAnsi="宋体"/>
          <w:color w:val="auto"/>
          <w:sz w:val="21"/>
          <w:szCs w:val="21"/>
          <w:highlight w:val="none"/>
          <w:lang w:val="en-US" w:eastAsia="zh-CN"/>
        </w:rPr>
        <w:t>18</w:t>
      </w:r>
      <w:r>
        <w:rPr>
          <w:rFonts w:hint="eastAsia" w:hAnsi="宋体"/>
          <w:color w:val="auto"/>
          <w:sz w:val="21"/>
          <w:szCs w:val="21"/>
          <w:highlight w:val="none"/>
        </w:rPr>
        <w:t>日</w:t>
      </w:r>
      <w:r>
        <w:rPr>
          <w:rFonts w:hint="eastAsia" w:hAnsi="宋体"/>
          <w:color w:val="auto"/>
          <w:sz w:val="21"/>
          <w:szCs w:val="21"/>
          <w:highlight w:val="none"/>
          <w:lang w:eastAsia="zh-CN"/>
        </w:rPr>
        <w:t>上</w:t>
      </w:r>
      <w:r>
        <w:rPr>
          <w:rFonts w:hint="eastAsia" w:hAnsi="宋体"/>
          <w:color w:val="auto"/>
          <w:sz w:val="21"/>
          <w:szCs w:val="21"/>
          <w:highlight w:val="none"/>
        </w:rPr>
        <w:t>午</w:t>
      </w:r>
      <w:r>
        <w:rPr>
          <w:rFonts w:hint="eastAsia" w:hAnsi="宋体"/>
          <w:color w:val="auto"/>
          <w:sz w:val="21"/>
          <w:szCs w:val="21"/>
          <w:highlight w:val="none"/>
          <w:lang w:val="en-US" w:eastAsia="zh-CN"/>
        </w:rPr>
        <w:t>9</w:t>
      </w:r>
      <w:r>
        <w:rPr>
          <w:rFonts w:hint="eastAsia" w:hAnsi="宋体"/>
          <w:color w:val="auto"/>
          <w:sz w:val="21"/>
          <w:szCs w:val="21"/>
          <w:highlight w:val="none"/>
        </w:rPr>
        <w:t>:30。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3、接收响应文件地点：广东省东莞市南城街道科创路100号2栋1302室。</w:t>
      </w:r>
    </w:p>
    <w:p>
      <w:pPr>
        <w:spacing w:line="360" w:lineRule="auto"/>
        <w:outlineLvl w:val="0"/>
        <w:rPr>
          <w:rFonts w:hAnsi="宋体"/>
          <w:b/>
          <w:bCs/>
          <w:color w:val="auto"/>
          <w:sz w:val="21"/>
          <w:szCs w:val="21"/>
          <w:highlight w:val="none"/>
        </w:rPr>
      </w:pPr>
      <w:bookmarkStart w:id="11" w:name="_Toc26926"/>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bookmarkEnd w:id="11"/>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广东省东莞市南城街道科创路100号2栋1302室</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冼小姐</w:t>
      </w:r>
    </w:p>
    <w:p>
      <w:pPr>
        <w:spacing w:line="360" w:lineRule="auto"/>
        <w:ind w:right="-34" w:firstLine="424" w:firstLineChars="202"/>
        <w:jc w:val="both"/>
        <w:rPr>
          <w:rFonts w:hint="default" w:hAnsi="宋体" w:eastAsia="宋体"/>
          <w:color w:val="auto"/>
          <w:sz w:val="21"/>
          <w:szCs w:val="21"/>
          <w:highlight w:val="none"/>
          <w:lang w:val="en-US" w:eastAsia="zh-CN"/>
        </w:rPr>
      </w:pPr>
      <w:r>
        <w:rPr>
          <w:rFonts w:hAnsi="宋体"/>
          <w:color w:val="auto"/>
          <w:sz w:val="21"/>
          <w:szCs w:val="21"/>
          <w:highlight w:val="none"/>
        </w:rPr>
        <w:t>电    话：0769</w:t>
      </w:r>
      <w:r>
        <w:rPr>
          <w:rFonts w:hint="eastAsia" w:hAnsi="宋体"/>
          <w:color w:val="auto"/>
          <w:sz w:val="21"/>
          <w:szCs w:val="21"/>
          <w:highlight w:val="none"/>
        </w:rPr>
        <w:t>-</w:t>
      </w:r>
      <w:r>
        <w:rPr>
          <w:rFonts w:hint="eastAsia" w:hAnsi="宋体"/>
          <w:color w:val="auto"/>
          <w:sz w:val="21"/>
          <w:szCs w:val="21"/>
          <w:highlight w:val="none"/>
          <w:lang w:val="en-US" w:eastAsia="zh-CN"/>
        </w:rPr>
        <w:t>22652033</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 购 人：东莞市大学创新城建设发展有限公司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谢工</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b/>
          <w:color w:val="auto"/>
          <w:sz w:val="21"/>
          <w:szCs w:val="21"/>
          <w:highlight w:val="none"/>
        </w:rPr>
      </w:pPr>
      <w:r>
        <w:rPr>
          <w:rFonts w:hint="eastAsia"/>
          <w:b/>
          <w:color w:val="auto"/>
          <w:sz w:val="21"/>
          <w:szCs w:val="21"/>
          <w:highlight w:val="none"/>
        </w:rPr>
        <w:t xml:space="preserve">                                         东莞市大学创新城建设发展有限公司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Ansi="宋体"/>
          <w:color w:val="auto"/>
          <w:sz w:val="21"/>
          <w:szCs w:val="21"/>
          <w:highlight w:val="none"/>
        </w:rPr>
      </w:pPr>
      <w:r>
        <w:rPr>
          <w:rFonts w:hint="eastAsia" w:hAnsi="宋体"/>
          <w:b/>
          <w:color w:val="auto"/>
          <w:sz w:val="21"/>
          <w:szCs w:val="21"/>
          <w:highlight w:val="none"/>
        </w:rPr>
        <w:t>202</w:t>
      </w:r>
      <w:r>
        <w:rPr>
          <w:rFonts w:hint="eastAsia" w:hAnsi="宋体"/>
          <w:b/>
          <w:color w:val="auto"/>
          <w:sz w:val="21"/>
          <w:szCs w:val="21"/>
          <w:highlight w:val="none"/>
          <w:lang w:val="en-US" w:eastAsia="zh-CN"/>
        </w:rPr>
        <w:t>3</w:t>
      </w:r>
      <w:r>
        <w:rPr>
          <w:rFonts w:hint="eastAsia" w:hAnsi="宋体"/>
          <w:b/>
          <w:color w:val="auto"/>
          <w:sz w:val="21"/>
          <w:szCs w:val="21"/>
          <w:highlight w:val="none"/>
        </w:rPr>
        <w:t>年</w:t>
      </w:r>
      <w:r>
        <w:rPr>
          <w:rFonts w:hint="eastAsia" w:hAnsi="宋体"/>
          <w:b/>
          <w:color w:val="auto"/>
          <w:sz w:val="21"/>
          <w:szCs w:val="21"/>
          <w:highlight w:val="none"/>
          <w:lang w:val="en-US" w:eastAsia="zh-CN"/>
        </w:rPr>
        <w:t>4</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7</w:t>
      </w:r>
      <w:r>
        <w:rPr>
          <w:rFonts w:hint="eastAsia" w:hAnsi="宋体"/>
          <w:b/>
          <w:bCs/>
          <w:color w:val="auto"/>
          <w:sz w:val="21"/>
          <w:szCs w:val="21"/>
          <w:highlight w:val="none"/>
        </w:rPr>
        <w:t>日</w:t>
      </w:r>
    </w:p>
    <w:p>
      <w:pPr>
        <w:pStyle w:val="3"/>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2" w:name="_Toc16634"/>
      <w:bookmarkStart w:id="13" w:name="_Toc17779"/>
      <w:r>
        <w:rPr>
          <w:rFonts w:hint="eastAsia" w:hAnsi="宋体"/>
          <w:b/>
          <w:bCs/>
          <w:color w:val="auto"/>
          <w:kern w:val="44"/>
          <w:sz w:val="28"/>
          <w:szCs w:val="28"/>
          <w:highlight w:val="none"/>
          <w:lang w:val="zh-CN"/>
        </w:rPr>
        <w:t>供应商须知</w:t>
      </w:r>
      <w:bookmarkEnd w:id="9"/>
      <w:bookmarkEnd w:id="12"/>
      <w:bookmarkEnd w:id="13"/>
    </w:p>
    <w:p>
      <w:pPr>
        <w:pStyle w:val="2"/>
        <w:adjustRightInd/>
        <w:spacing w:line="360" w:lineRule="auto"/>
        <w:ind w:firstLine="562" w:firstLineChars="200"/>
        <w:jc w:val="center"/>
        <w:rPr>
          <w:color w:val="auto"/>
          <w:sz w:val="28"/>
          <w:szCs w:val="28"/>
          <w:highlight w:val="none"/>
        </w:rPr>
      </w:pPr>
      <w:bookmarkStart w:id="14" w:name="_Toc12804"/>
      <w:bookmarkStart w:id="15" w:name="_Toc7897861"/>
      <w:bookmarkStart w:id="16" w:name="_Toc6968687"/>
      <w:bookmarkStart w:id="17" w:name="_Toc5203"/>
      <w:bookmarkStart w:id="18" w:name="_Toc507407359"/>
      <w:bookmarkStart w:id="19" w:name="_Toc466786434"/>
      <w:bookmarkStart w:id="20" w:name="_Toc6882675"/>
      <w:bookmarkStart w:id="21" w:name="_Toc102277756"/>
      <w:r>
        <w:rPr>
          <w:rFonts w:hint="eastAsia"/>
          <w:color w:val="auto"/>
          <w:sz w:val="28"/>
          <w:szCs w:val="28"/>
          <w:highlight w:val="none"/>
        </w:rPr>
        <w:t>一、说  明</w:t>
      </w:r>
      <w:bookmarkEnd w:id="14"/>
      <w:bookmarkEnd w:id="15"/>
      <w:bookmarkEnd w:id="16"/>
      <w:bookmarkEnd w:id="17"/>
      <w:bookmarkEnd w:id="18"/>
      <w:bookmarkEnd w:id="19"/>
      <w:bookmarkEnd w:id="20"/>
      <w:bookmarkEnd w:id="21"/>
    </w:p>
    <w:p>
      <w:pPr>
        <w:pStyle w:val="4"/>
        <w:adjustRightInd/>
        <w:spacing w:line="360" w:lineRule="auto"/>
        <w:ind w:firstLine="420" w:firstLineChars="200"/>
        <w:rPr>
          <w:rFonts w:hAnsi="宋体"/>
          <w:color w:val="auto"/>
          <w:sz w:val="21"/>
          <w:szCs w:val="21"/>
          <w:highlight w:val="none"/>
        </w:rPr>
      </w:pPr>
      <w:bookmarkStart w:id="22" w:name="_Toc475249114"/>
      <w:bookmarkStart w:id="23" w:name="_Toc3730"/>
      <w:bookmarkStart w:id="24" w:name="_Toc7897862"/>
      <w:bookmarkStart w:id="25" w:name="_Toc24987"/>
      <w:r>
        <w:rPr>
          <w:rFonts w:hint="eastAsia" w:hAnsi="宋体"/>
          <w:color w:val="auto"/>
          <w:sz w:val="21"/>
          <w:szCs w:val="21"/>
          <w:highlight w:val="none"/>
        </w:rPr>
        <w:t>1.适用范围</w:t>
      </w:r>
      <w:bookmarkEnd w:id="22"/>
      <w:bookmarkEnd w:id="23"/>
      <w:bookmarkEnd w:id="24"/>
      <w:bookmarkEnd w:id="2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4"/>
        <w:adjustRightInd/>
        <w:spacing w:line="360" w:lineRule="auto"/>
        <w:ind w:firstLine="420" w:firstLineChars="200"/>
        <w:rPr>
          <w:rFonts w:hAnsi="宋体"/>
          <w:color w:val="auto"/>
          <w:sz w:val="21"/>
          <w:szCs w:val="21"/>
          <w:highlight w:val="none"/>
        </w:rPr>
      </w:pPr>
      <w:bookmarkStart w:id="26" w:name="_Toc475249115"/>
      <w:bookmarkStart w:id="27" w:name="_Toc7897863"/>
      <w:bookmarkStart w:id="28" w:name="_Toc598"/>
      <w:bookmarkStart w:id="29" w:name="_Toc9738"/>
      <w:r>
        <w:rPr>
          <w:rFonts w:hint="eastAsia" w:hAnsi="宋体"/>
          <w:color w:val="auto"/>
          <w:sz w:val="21"/>
          <w:szCs w:val="21"/>
          <w:highlight w:val="none"/>
        </w:rPr>
        <w:t>2.定义</w:t>
      </w:r>
      <w:bookmarkEnd w:id="26"/>
      <w:bookmarkEnd w:id="27"/>
      <w:bookmarkEnd w:id="28"/>
      <w:bookmarkEnd w:id="2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2.1“采购人”是指东莞市大学创新城建设发展有限公司。</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语言：磋商文件的语言为简体中文。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4"/>
        <w:adjustRightInd/>
        <w:spacing w:line="360" w:lineRule="auto"/>
        <w:ind w:firstLine="420" w:firstLineChars="200"/>
        <w:rPr>
          <w:rFonts w:hAnsi="宋体"/>
          <w:color w:val="auto"/>
          <w:sz w:val="21"/>
          <w:szCs w:val="21"/>
          <w:highlight w:val="none"/>
        </w:rPr>
      </w:pPr>
      <w:bookmarkStart w:id="30" w:name="_Toc110953831"/>
      <w:bookmarkStart w:id="31" w:name="_Toc7897864"/>
      <w:bookmarkStart w:id="32" w:name="_Toc367"/>
      <w:bookmarkStart w:id="33" w:name="_Toc24709"/>
      <w:bookmarkStart w:id="34" w:name="_Toc466786435"/>
      <w:bookmarkStart w:id="35" w:name="_Toc6882676"/>
      <w:bookmarkStart w:id="36" w:name="_Toc507407360"/>
      <w:bookmarkStart w:id="37" w:name="_Toc6968688"/>
      <w:bookmarkStart w:id="38" w:name="_Toc102277757"/>
      <w:r>
        <w:rPr>
          <w:rFonts w:hint="eastAsia" w:hAnsi="宋体"/>
          <w:color w:val="auto"/>
          <w:sz w:val="21"/>
          <w:szCs w:val="21"/>
          <w:highlight w:val="none"/>
        </w:rPr>
        <w:t>3.适用法律</w:t>
      </w:r>
      <w:bookmarkEnd w:id="30"/>
      <w:bookmarkEnd w:id="31"/>
      <w:bookmarkEnd w:id="32"/>
      <w:bookmarkEnd w:id="3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采购人、供应商和采购代理机构均应当参照东莞市大学创新城建设发展有限公司相关招标采购规定执行。</w:t>
      </w:r>
    </w:p>
    <w:p>
      <w:pPr>
        <w:pStyle w:val="4"/>
        <w:adjustRightInd/>
        <w:spacing w:line="360" w:lineRule="auto"/>
        <w:ind w:firstLine="420" w:firstLineChars="200"/>
        <w:rPr>
          <w:rFonts w:hAnsi="宋体"/>
          <w:color w:val="auto"/>
          <w:sz w:val="21"/>
          <w:szCs w:val="21"/>
          <w:highlight w:val="none"/>
          <w:lang w:val="zh-CN"/>
        </w:rPr>
      </w:pPr>
      <w:bookmarkStart w:id="39" w:name="_Toc20707"/>
      <w:bookmarkStart w:id="40" w:name="_Toc10397"/>
      <w:bookmarkStart w:id="41" w:name="_Toc7897866"/>
      <w:bookmarkStart w:id="42" w:name="_Toc110953833"/>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39"/>
    </w:p>
    <w:p>
      <w:pPr>
        <w:pStyle w:val="4"/>
        <w:adjustRightInd/>
        <w:spacing w:line="360" w:lineRule="auto"/>
        <w:ind w:firstLine="420" w:firstLineChars="200"/>
        <w:rPr>
          <w:rFonts w:hAnsi="宋体"/>
          <w:bCs/>
          <w:color w:val="auto"/>
          <w:sz w:val="21"/>
          <w:szCs w:val="21"/>
          <w:highlight w:val="none"/>
        </w:rPr>
      </w:pPr>
      <w:bookmarkStart w:id="43" w:name="_Toc10368"/>
      <w:r>
        <w:rPr>
          <w:rFonts w:hint="eastAsia" w:hAnsi="宋体"/>
          <w:color w:val="auto"/>
          <w:sz w:val="21"/>
          <w:szCs w:val="21"/>
          <w:highlight w:val="none"/>
        </w:rPr>
        <w:t>5.禁止事项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18"/>
      <w:bookmarkStart w:id="45" w:name="_Toc98126293"/>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44"/>
      <w:bookmarkEnd w:id="45"/>
    </w:p>
    <w:p>
      <w:pPr>
        <w:spacing w:line="360" w:lineRule="auto"/>
        <w:ind w:firstLine="420" w:firstLineChars="200"/>
        <w:rPr>
          <w:rFonts w:hAnsi="宋体"/>
          <w:color w:val="auto"/>
          <w:sz w:val="21"/>
          <w:szCs w:val="21"/>
          <w:highlight w:val="none"/>
        </w:rPr>
      </w:pPr>
      <w:bookmarkStart w:id="46" w:name="_Toc98126294"/>
      <w:bookmarkStart w:id="47" w:name="_Toc98126219"/>
      <w:r>
        <w:rPr>
          <w:rFonts w:hint="eastAsia" w:hAnsi="宋体"/>
          <w:color w:val="auto"/>
          <w:sz w:val="21"/>
          <w:szCs w:val="21"/>
          <w:highlight w:val="none"/>
        </w:rPr>
        <w:t>5.3采购代理机构不得向采购人行贿或者采取其他不正当手段谋取非法利益。</w:t>
      </w:r>
      <w:bookmarkEnd w:id="46"/>
      <w:bookmarkEnd w:id="47"/>
    </w:p>
    <w:p>
      <w:pPr>
        <w:spacing w:line="360" w:lineRule="auto"/>
        <w:ind w:firstLine="420" w:firstLineChars="200"/>
        <w:rPr>
          <w:rFonts w:hAnsi="宋体"/>
          <w:color w:val="auto"/>
          <w:sz w:val="21"/>
          <w:szCs w:val="21"/>
          <w:highlight w:val="none"/>
        </w:rPr>
      </w:pPr>
      <w:bookmarkStart w:id="48" w:name="_Toc98126295"/>
      <w:bookmarkStart w:id="49" w:name="_Toc98126220"/>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8"/>
      <w:bookmarkEnd w:id="49"/>
    </w:p>
    <w:p>
      <w:pPr>
        <w:pStyle w:val="4"/>
        <w:adjustRightInd/>
        <w:spacing w:line="360" w:lineRule="auto"/>
        <w:ind w:firstLine="420" w:firstLineChars="200"/>
        <w:rPr>
          <w:rFonts w:hAnsi="宋体"/>
          <w:bCs/>
          <w:color w:val="auto"/>
          <w:sz w:val="21"/>
          <w:szCs w:val="21"/>
          <w:highlight w:val="none"/>
        </w:rPr>
      </w:pPr>
      <w:bookmarkStart w:id="50" w:name="_Toc7897867"/>
      <w:bookmarkStart w:id="51" w:name="_Toc25870"/>
      <w:bookmarkStart w:id="52" w:name="_Toc110953834"/>
      <w:bookmarkStart w:id="53" w:name="_Toc2863"/>
      <w:r>
        <w:rPr>
          <w:rFonts w:hint="eastAsia" w:hAnsi="宋体"/>
          <w:color w:val="auto"/>
          <w:sz w:val="21"/>
          <w:szCs w:val="21"/>
          <w:highlight w:val="none"/>
        </w:rPr>
        <w:t>6.保密及其它注意事项</w:t>
      </w:r>
      <w:bookmarkEnd w:id="50"/>
      <w:bookmarkEnd w:id="51"/>
      <w:bookmarkEnd w:id="52"/>
      <w:bookmarkEnd w:id="53"/>
    </w:p>
    <w:p>
      <w:pPr>
        <w:spacing w:line="360" w:lineRule="auto"/>
        <w:ind w:firstLine="420" w:firstLineChars="200"/>
        <w:rPr>
          <w:rFonts w:hAnsi="宋体"/>
          <w:color w:val="auto"/>
          <w:sz w:val="21"/>
          <w:szCs w:val="21"/>
          <w:highlight w:val="none"/>
        </w:rPr>
      </w:pPr>
      <w:bookmarkStart w:id="54" w:name="_Toc98126222"/>
      <w:bookmarkStart w:id="55" w:name="_Toc98126297"/>
      <w:r>
        <w:rPr>
          <w:rFonts w:hint="eastAsia" w:hAnsi="宋体"/>
          <w:color w:val="auto"/>
          <w:sz w:val="21"/>
          <w:szCs w:val="21"/>
          <w:highlight w:val="none"/>
        </w:rPr>
        <w:t>6.1凡参与采购工作的有关人员均应自觉接受有关主管部门的监督，不得向他人透露可能影响公平竞争的有关情况。</w:t>
      </w:r>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4"/>
        <w:adjustRightInd/>
        <w:spacing w:line="360" w:lineRule="auto"/>
        <w:ind w:firstLine="420" w:firstLineChars="200"/>
        <w:rPr>
          <w:rFonts w:hAnsi="宋体"/>
          <w:color w:val="auto"/>
          <w:sz w:val="21"/>
          <w:szCs w:val="21"/>
          <w:highlight w:val="none"/>
        </w:rPr>
      </w:pPr>
      <w:bookmarkStart w:id="56" w:name="_Toc497016085"/>
      <w:bookmarkStart w:id="57" w:name="_Toc13371"/>
      <w:bookmarkStart w:id="58" w:name="_Toc27298"/>
      <w:bookmarkStart w:id="59" w:name="_Toc7897868"/>
      <w:r>
        <w:rPr>
          <w:rFonts w:hint="eastAsia" w:hAnsi="宋体"/>
          <w:color w:val="auto"/>
          <w:sz w:val="21"/>
          <w:szCs w:val="21"/>
          <w:highlight w:val="none"/>
        </w:rPr>
        <w:t>7.供应商诚信管理</w:t>
      </w:r>
      <w:bookmarkEnd w:id="56"/>
      <w:bookmarkEnd w:id="57"/>
      <w:bookmarkEnd w:id="58"/>
      <w:bookmarkEnd w:id="5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2"/>
        <w:adjustRightInd/>
        <w:spacing w:line="360" w:lineRule="auto"/>
        <w:ind w:firstLine="562" w:firstLineChars="200"/>
        <w:jc w:val="center"/>
        <w:rPr>
          <w:color w:val="auto"/>
          <w:sz w:val="28"/>
          <w:szCs w:val="28"/>
          <w:highlight w:val="none"/>
        </w:rPr>
      </w:pPr>
      <w:bookmarkStart w:id="60" w:name="_Toc23741"/>
      <w:bookmarkStart w:id="61" w:name="_Toc17498"/>
      <w:bookmarkStart w:id="62" w:name="_Toc7897869"/>
      <w:r>
        <w:rPr>
          <w:rFonts w:hint="eastAsia"/>
          <w:color w:val="auto"/>
          <w:sz w:val="28"/>
          <w:szCs w:val="28"/>
          <w:highlight w:val="none"/>
        </w:rPr>
        <w:t>二、磋商文件说明</w:t>
      </w:r>
      <w:bookmarkEnd w:id="34"/>
      <w:bookmarkEnd w:id="35"/>
      <w:bookmarkEnd w:id="36"/>
      <w:bookmarkEnd w:id="37"/>
      <w:bookmarkEnd w:id="38"/>
      <w:bookmarkEnd w:id="60"/>
      <w:bookmarkEnd w:id="61"/>
      <w:bookmarkEnd w:id="62"/>
    </w:p>
    <w:p>
      <w:pPr>
        <w:pStyle w:val="4"/>
        <w:adjustRightInd/>
        <w:spacing w:line="360" w:lineRule="auto"/>
        <w:ind w:firstLine="420" w:firstLineChars="200"/>
        <w:rPr>
          <w:rFonts w:hAnsi="宋体"/>
          <w:color w:val="auto"/>
          <w:sz w:val="21"/>
          <w:szCs w:val="21"/>
          <w:highlight w:val="none"/>
        </w:rPr>
      </w:pPr>
      <w:bookmarkStart w:id="63" w:name="_Toc23606"/>
      <w:bookmarkStart w:id="64" w:name="_Toc29560"/>
      <w:bookmarkStart w:id="65" w:name="_Toc110953836"/>
      <w:bookmarkStart w:id="66" w:name="_Toc7897870"/>
      <w:bookmarkStart w:id="67" w:name="_Toc6882677"/>
      <w:bookmarkStart w:id="68" w:name="_Toc507407361"/>
      <w:bookmarkStart w:id="69" w:name="_Toc466786436"/>
      <w:bookmarkStart w:id="70" w:name="_Toc6968689"/>
      <w:bookmarkStart w:id="71" w:name="_Toc102277758"/>
      <w:r>
        <w:rPr>
          <w:rFonts w:hint="eastAsia" w:hAnsi="宋体"/>
          <w:color w:val="auto"/>
          <w:sz w:val="21"/>
          <w:szCs w:val="21"/>
          <w:highlight w:val="none"/>
        </w:rPr>
        <w:t>8.磋商文件构成</w:t>
      </w:r>
      <w:bookmarkEnd w:id="63"/>
      <w:bookmarkEnd w:id="64"/>
      <w:bookmarkEnd w:id="65"/>
      <w:bookmarkEnd w:id="6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4"/>
        <w:adjustRightInd/>
        <w:spacing w:line="360" w:lineRule="auto"/>
        <w:ind w:firstLine="420" w:firstLineChars="200"/>
        <w:rPr>
          <w:rFonts w:hAnsi="宋体"/>
          <w:color w:val="auto"/>
          <w:sz w:val="21"/>
          <w:szCs w:val="21"/>
          <w:highlight w:val="none"/>
        </w:rPr>
      </w:pPr>
      <w:bookmarkStart w:id="72" w:name="_Toc7897871"/>
      <w:bookmarkStart w:id="73" w:name="_Toc19701"/>
      <w:bookmarkStart w:id="74" w:name="_Toc16827"/>
      <w:bookmarkStart w:id="75" w:name="_Toc110953837"/>
      <w:r>
        <w:rPr>
          <w:rFonts w:hint="eastAsia" w:hAnsi="宋体"/>
          <w:color w:val="auto"/>
          <w:sz w:val="21"/>
          <w:szCs w:val="21"/>
          <w:highlight w:val="none"/>
        </w:rPr>
        <w:t>9.磋商文件的修改</w:t>
      </w:r>
      <w:bookmarkEnd w:id="72"/>
      <w:bookmarkEnd w:id="73"/>
      <w:bookmarkEnd w:id="74"/>
      <w:bookmarkEnd w:id="7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12"/>
        <w:ind w:firstLine="400"/>
        <w:rPr>
          <w:color w:val="auto"/>
          <w:highlight w:val="none"/>
        </w:rPr>
      </w:pPr>
    </w:p>
    <w:bookmarkEnd w:id="67"/>
    <w:bookmarkEnd w:id="68"/>
    <w:bookmarkEnd w:id="69"/>
    <w:bookmarkEnd w:id="70"/>
    <w:bookmarkEnd w:id="71"/>
    <w:p>
      <w:pPr>
        <w:pStyle w:val="2"/>
        <w:adjustRightInd/>
        <w:spacing w:line="360" w:lineRule="auto"/>
        <w:ind w:firstLine="562" w:firstLineChars="200"/>
        <w:jc w:val="center"/>
        <w:rPr>
          <w:color w:val="auto"/>
          <w:sz w:val="28"/>
          <w:szCs w:val="28"/>
          <w:highlight w:val="none"/>
        </w:rPr>
      </w:pPr>
      <w:bookmarkStart w:id="76" w:name="_Toc7897872"/>
      <w:bookmarkStart w:id="77" w:name="_Toc110953838"/>
      <w:bookmarkStart w:id="78" w:name="_Toc18245"/>
      <w:bookmarkStart w:id="79" w:name="_Toc15398"/>
      <w:bookmarkStart w:id="80" w:name="_Toc6882678"/>
      <w:bookmarkStart w:id="81" w:name="_Toc466786437"/>
      <w:bookmarkStart w:id="82" w:name="_Toc102277759"/>
      <w:bookmarkStart w:id="83" w:name="_Toc507407362"/>
      <w:bookmarkStart w:id="84" w:name="_Toc6968690"/>
      <w:r>
        <w:rPr>
          <w:rFonts w:hint="eastAsia"/>
          <w:color w:val="auto"/>
          <w:sz w:val="28"/>
          <w:szCs w:val="28"/>
          <w:highlight w:val="none"/>
        </w:rPr>
        <w:t>三、响应文件的制作</w:t>
      </w:r>
      <w:bookmarkEnd w:id="76"/>
      <w:bookmarkEnd w:id="77"/>
      <w:bookmarkEnd w:id="78"/>
      <w:bookmarkEnd w:id="79"/>
    </w:p>
    <w:p>
      <w:pPr>
        <w:pStyle w:val="4"/>
        <w:adjustRightInd/>
        <w:spacing w:line="360" w:lineRule="auto"/>
        <w:ind w:firstLine="420" w:firstLineChars="200"/>
        <w:rPr>
          <w:rFonts w:hAnsi="宋体"/>
          <w:color w:val="auto"/>
          <w:sz w:val="21"/>
          <w:szCs w:val="21"/>
          <w:highlight w:val="none"/>
        </w:rPr>
      </w:pPr>
      <w:bookmarkStart w:id="85" w:name="_Toc15756"/>
      <w:bookmarkStart w:id="86" w:name="_Toc23789"/>
      <w:bookmarkStart w:id="87" w:name="_Toc110953839"/>
      <w:bookmarkStart w:id="88" w:name="_Toc7897873"/>
      <w:r>
        <w:rPr>
          <w:rFonts w:hint="eastAsia" w:hAnsi="宋体"/>
          <w:color w:val="auto"/>
          <w:sz w:val="21"/>
          <w:szCs w:val="21"/>
          <w:highlight w:val="none"/>
        </w:rPr>
        <w:t>10.制作要求</w:t>
      </w:r>
      <w:bookmarkEnd w:id="85"/>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4"/>
        <w:adjustRightInd/>
        <w:spacing w:line="360" w:lineRule="auto"/>
        <w:ind w:firstLine="420" w:firstLineChars="200"/>
        <w:rPr>
          <w:rFonts w:hAnsi="宋体"/>
          <w:color w:val="auto"/>
          <w:sz w:val="21"/>
          <w:szCs w:val="21"/>
          <w:highlight w:val="none"/>
        </w:rPr>
      </w:pPr>
      <w:bookmarkStart w:id="89" w:name="_Toc18079"/>
      <w:bookmarkStart w:id="90" w:name="_Toc20552"/>
      <w:bookmarkStart w:id="91" w:name="_Toc110953840"/>
      <w:bookmarkStart w:id="92" w:name="_Toc7897874"/>
      <w:r>
        <w:rPr>
          <w:rFonts w:hint="eastAsia" w:hAnsi="宋体"/>
          <w:color w:val="auto"/>
          <w:sz w:val="21"/>
          <w:szCs w:val="21"/>
          <w:highlight w:val="none"/>
        </w:rPr>
        <w:t>11.响应文件的内容</w:t>
      </w:r>
      <w:bookmarkEnd w:id="89"/>
      <w:bookmarkEnd w:id="90"/>
      <w:bookmarkEnd w:id="91"/>
      <w:bookmarkEnd w:id="9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4"/>
        <w:adjustRightInd/>
        <w:spacing w:line="360" w:lineRule="auto"/>
        <w:ind w:firstLine="420" w:firstLineChars="200"/>
        <w:rPr>
          <w:rFonts w:hAnsi="宋体"/>
          <w:color w:val="auto"/>
          <w:sz w:val="21"/>
          <w:szCs w:val="21"/>
          <w:highlight w:val="none"/>
        </w:rPr>
      </w:pPr>
      <w:bookmarkStart w:id="93" w:name="_Toc7897875"/>
      <w:bookmarkStart w:id="94" w:name="_Toc110953841"/>
      <w:bookmarkStart w:id="95" w:name="_Toc9150"/>
      <w:bookmarkStart w:id="96" w:name="_Toc21763"/>
      <w:r>
        <w:rPr>
          <w:rFonts w:hint="eastAsia" w:hAnsi="宋体"/>
          <w:color w:val="auto"/>
          <w:sz w:val="21"/>
          <w:szCs w:val="21"/>
          <w:highlight w:val="none"/>
        </w:rPr>
        <w:t>12.响应文件格式</w:t>
      </w:r>
      <w:bookmarkEnd w:id="93"/>
      <w:bookmarkEnd w:id="94"/>
      <w:bookmarkEnd w:id="95"/>
      <w:bookmarkEnd w:id="9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4"/>
        <w:adjustRightInd/>
        <w:spacing w:line="360" w:lineRule="auto"/>
        <w:ind w:firstLine="420" w:firstLineChars="200"/>
        <w:rPr>
          <w:rFonts w:hAnsi="宋体"/>
          <w:color w:val="auto"/>
          <w:sz w:val="21"/>
          <w:szCs w:val="21"/>
          <w:highlight w:val="none"/>
        </w:rPr>
      </w:pPr>
      <w:bookmarkStart w:id="97" w:name="_Toc185150707"/>
      <w:bookmarkStart w:id="98" w:name="_Toc7897876"/>
      <w:bookmarkStart w:id="99" w:name="_Toc30889"/>
      <w:bookmarkStart w:id="100" w:name="_Toc24570"/>
      <w:r>
        <w:rPr>
          <w:rFonts w:hint="eastAsia" w:hAnsi="宋体"/>
          <w:color w:val="auto"/>
          <w:sz w:val="21"/>
          <w:szCs w:val="21"/>
          <w:highlight w:val="none"/>
        </w:rPr>
        <w:t>13.</w:t>
      </w:r>
      <w:bookmarkEnd w:id="97"/>
      <w:r>
        <w:rPr>
          <w:rFonts w:hint="eastAsia" w:hAnsi="宋体"/>
          <w:color w:val="auto"/>
          <w:sz w:val="21"/>
          <w:szCs w:val="21"/>
          <w:highlight w:val="none"/>
        </w:rPr>
        <w:t>磋商保证金</w:t>
      </w:r>
      <w:bookmarkEnd w:id="98"/>
      <w:bookmarkEnd w:id="99"/>
      <w:bookmarkEnd w:id="10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12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67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pPr>
              <w:widowControl/>
              <w:jc w:val="center"/>
              <w:rPr>
                <w:rFonts w:hint="eastAsia" w:hAnsi="宋体" w:eastAsia="宋体"/>
                <w:color w:val="auto"/>
                <w:sz w:val="21"/>
                <w:szCs w:val="21"/>
                <w:highlight w:val="none"/>
                <w:lang w:eastAsia="zh-CN"/>
              </w:rPr>
            </w:pPr>
            <w:r>
              <w:rPr>
                <w:rFonts w:hint="eastAsia" w:hAnsi="宋体"/>
                <w:color w:val="auto"/>
                <w:sz w:val="21"/>
                <w:szCs w:val="21"/>
                <w:highlight w:val="none"/>
                <w:lang w:eastAsia="zh-CN"/>
              </w:rPr>
              <w:t>松山湖国际创新创业社区零星工程（</w:t>
            </w:r>
            <w:r>
              <w:rPr>
                <w:rFonts w:hint="eastAsia" w:hAnsi="宋体"/>
                <w:color w:val="auto"/>
                <w:sz w:val="21"/>
                <w:szCs w:val="21"/>
                <w:highlight w:val="none"/>
                <w:lang w:val="en-US" w:eastAsia="zh-CN"/>
              </w:rPr>
              <w:t>含维修）</w:t>
            </w:r>
            <w:r>
              <w:rPr>
                <w:rFonts w:hint="eastAsia" w:hAnsi="宋体"/>
                <w:color w:val="auto"/>
                <w:sz w:val="21"/>
                <w:szCs w:val="21"/>
                <w:highlight w:val="none"/>
                <w:lang w:eastAsia="zh-CN"/>
              </w:rPr>
              <w:t>协议采购项目</w:t>
            </w:r>
          </w:p>
        </w:tc>
        <w:tc>
          <w:tcPr>
            <w:tcW w:w="3679" w:type="dxa"/>
            <w:vAlign w:val="center"/>
          </w:tcPr>
          <w:p>
            <w:pPr>
              <w:widowControl/>
              <w:jc w:val="center"/>
              <w:rPr>
                <w:rFonts w:hAnsi="宋体"/>
                <w:color w:val="auto"/>
                <w:sz w:val="21"/>
                <w:szCs w:val="21"/>
                <w:highlight w:val="none"/>
              </w:rPr>
            </w:pPr>
            <w:r>
              <w:rPr>
                <w:rFonts w:hint="eastAsia" w:hAnsi="宋体"/>
                <w:color w:val="auto"/>
                <w:sz w:val="21"/>
                <w:szCs w:val="21"/>
                <w:highlight w:val="none"/>
              </w:rPr>
              <w:t xml:space="preserve"> 人民币</w:t>
            </w:r>
            <w:r>
              <w:rPr>
                <w:rFonts w:hint="eastAsia" w:hAnsi="宋体"/>
                <w:color w:val="auto"/>
                <w:sz w:val="21"/>
                <w:szCs w:val="21"/>
                <w:highlight w:val="none"/>
                <w:lang w:eastAsia="zh-CN"/>
              </w:rPr>
              <w:t>伍万贰仟元</w:t>
            </w:r>
            <w:r>
              <w:rPr>
                <w:rFonts w:hAnsi="宋体"/>
                <w:color w:val="auto"/>
                <w:sz w:val="21"/>
                <w:szCs w:val="21"/>
                <w:highlight w:val="none"/>
              </w:rPr>
              <w:t>整</w:t>
            </w:r>
            <w:r>
              <w:rPr>
                <w:rFonts w:hint="eastAsia" w:hAnsi="宋体"/>
                <w:color w:val="auto"/>
                <w:sz w:val="21"/>
                <w:szCs w:val="21"/>
                <w:highlight w:val="none"/>
              </w:rPr>
              <w:t>（¥</w:t>
            </w:r>
            <w:r>
              <w:rPr>
                <w:rFonts w:hint="eastAsia" w:hAnsi="宋体"/>
                <w:color w:val="auto"/>
                <w:sz w:val="21"/>
                <w:szCs w:val="21"/>
                <w:highlight w:val="none"/>
                <w:lang w:val="en-US" w:eastAsia="zh-CN"/>
              </w:rPr>
              <w:t>52</w:t>
            </w:r>
            <w:r>
              <w:rPr>
                <w:rFonts w:hAnsi="宋体"/>
                <w:color w:val="auto"/>
                <w:sz w:val="21"/>
                <w:szCs w:val="21"/>
                <w:highlight w:val="none"/>
              </w:rPr>
              <w:t>000</w:t>
            </w:r>
            <w:r>
              <w:rPr>
                <w:rFonts w:hint="eastAsia" w:hAnsi="宋体"/>
                <w:color w:val="auto"/>
                <w:sz w:val="21"/>
                <w:szCs w:val="21"/>
                <w:highlight w:val="none"/>
              </w:rPr>
              <w:t>.00元）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highlight w:val="none"/>
          <w:lang w:val="zh-CN"/>
        </w:rPr>
        <w:t>项目编号、包号</w:t>
      </w:r>
      <w:r>
        <w:rPr>
          <w:rFonts w:hint="eastAsia" w:hAnsi="宋体"/>
          <w:color w:val="auto"/>
          <w:kern w:val="2"/>
          <w:sz w:val="21"/>
          <w:szCs w:val="21"/>
          <w:highlight w:val="none"/>
          <w:lang w:val="zh-CN"/>
        </w:rPr>
        <w:t>。</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账户名称：广东泰通伟业工程咨询有限公司</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  号：6232590699050057841</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4"/>
        <w:adjustRightInd/>
        <w:spacing w:line="360" w:lineRule="auto"/>
        <w:ind w:firstLine="420" w:firstLineChars="200"/>
        <w:rPr>
          <w:rFonts w:hAnsi="宋体"/>
          <w:color w:val="auto"/>
          <w:sz w:val="21"/>
          <w:szCs w:val="21"/>
          <w:highlight w:val="none"/>
        </w:rPr>
      </w:pPr>
      <w:bookmarkStart w:id="101" w:name="_Toc480171880"/>
      <w:bookmarkStart w:id="102" w:name="_Toc2525"/>
      <w:bookmarkStart w:id="103" w:name="_Toc110953842"/>
      <w:bookmarkStart w:id="104" w:name="_Toc480010709"/>
      <w:bookmarkStart w:id="105" w:name="_Toc454701382"/>
      <w:bookmarkStart w:id="106" w:name="_Toc503758471"/>
      <w:bookmarkStart w:id="107" w:name="_Toc468157537"/>
      <w:bookmarkStart w:id="108" w:name="_Toc480021054"/>
      <w:bookmarkStart w:id="109" w:name="_Toc458262615"/>
      <w:bookmarkStart w:id="110" w:name="_Toc7897877"/>
      <w:bookmarkStart w:id="111" w:name="_Toc480020258"/>
      <w:bookmarkStart w:id="112" w:name="_Toc32304"/>
      <w:bookmarkStart w:id="113" w:name="_Toc467987824"/>
      <w:bookmarkStart w:id="114" w:name="_Toc467236741"/>
      <w:bookmarkStart w:id="115" w:name="_Toc468606030"/>
      <w:bookmarkStart w:id="116" w:name="_Toc479991583"/>
      <w:r>
        <w:rPr>
          <w:rFonts w:hint="eastAsia" w:hAnsi="宋体"/>
          <w:color w:val="auto"/>
          <w:sz w:val="21"/>
          <w:szCs w:val="21"/>
          <w:highlight w:val="none"/>
        </w:rPr>
        <w:t>14.响应有效期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12"/>
        <w:ind w:firstLine="400"/>
        <w:rPr>
          <w:color w:val="auto"/>
          <w:highlight w:val="none"/>
        </w:rPr>
      </w:pPr>
    </w:p>
    <w:bookmarkEnd w:id="80"/>
    <w:bookmarkEnd w:id="81"/>
    <w:bookmarkEnd w:id="82"/>
    <w:bookmarkEnd w:id="83"/>
    <w:bookmarkEnd w:id="84"/>
    <w:p>
      <w:pPr>
        <w:pStyle w:val="2"/>
        <w:adjustRightInd/>
        <w:spacing w:line="360" w:lineRule="auto"/>
        <w:ind w:firstLine="562" w:firstLineChars="200"/>
        <w:jc w:val="center"/>
        <w:rPr>
          <w:color w:val="auto"/>
          <w:sz w:val="28"/>
          <w:szCs w:val="28"/>
          <w:highlight w:val="none"/>
        </w:rPr>
      </w:pPr>
      <w:bookmarkStart w:id="117" w:name="_Toc17761"/>
      <w:bookmarkStart w:id="118" w:name="_Toc110953843"/>
      <w:bookmarkStart w:id="119" w:name="_Toc2740"/>
      <w:bookmarkStart w:id="120" w:name="_Toc7897878"/>
      <w:bookmarkStart w:id="121" w:name="_Toc6882679"/>
      <w:bookmarkStart w:id="122" w:name="_Toc102277760"/>
      <w:bookmarkStart w:id="123" w:name="_Toc507407363"/>
      <w:bookmarkStart w:id="124" w:name="_Toc6968691"/>
      <w:bookmarkStart w:id="125" w:name="_Toc466786438"/>
      <w:r>
        <w:rPr>
          <w:rFonts w:hint="eastAsia"/>
          <w:color w:val="auto"/>
          <w:sz w:val="28"/>
          <w:szCs w:val="28"/>
          <w:highlight w:val="none"/>
        </w:rPr>
        <w:t>四、响应文件的递交</w:t>
      </w:r>
      <w:bookmarkEnd w:id="117"/>
      <w:bookmarkEnd w:id="118"/>
      <w:bookmarkEnd w:id="119"/>
      <w:bookmarkEnd w:id="120"/>
    </w:p>
    <w:p>
      <w:pPr>
        <w:pStyle w:val="4"/>
        <w:adjustRightInd/>
        <w:spacing w:line="360" w:lineRule="auto"/>
        <w:ind w:firstLine="420" w:firstLineChars="200"/>
        <w:rPr>
          <w:rFonts w:hAnsi="宋体"/>
          <w:color w:val="auto"/>
          <w:sz w:val="21"/>
          <w:szCs w:val="21"/>
          <w:highlight w:val="none"/>
        </w:rPr>
      </w:pPr>
      <w:bookmarkStart w:id="126" w:name="_Toc7897879"/>
      <w:bookmarkStart w:id="127" w:name="_Toc11500"/>
      <w:bookmarkStart w:id="128" w:name="_Toc110953844"/>
      <w:bookmarkStart w:id="129" w:name="_Toc2684"/>
      <w:r>
        <w:rPr>
          <w:rFonts w:hint="eastAsia" w:hAnsi="宋体"/>
          <w:color w:val="auto"/>
          <w:sz w:val="21"/>
          <w:szCs w:val="21"/>
          <w:highlight w:val="none"/>
        </w:rPr>
        <w:t>15.响应文件的密封和标记</w:t>
      </w:r>
      <w:bookmarkEnd w:id="126"/>
      <w:bookmarkEnd w:id="127"/>
      <w:bookmarkEnd w:id="128"/>
      <w:bookmarkEnd w:id="12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4"/>
        <w:adjustRightInd/>
        <w:spacing w:line="360" w:lineRule="auto"/>
        <w:ind w:firstLine="420" w:firstLineChars="200"/>
        <w:rPr>
          <w:rFonts w:hAnsi="宋体"/>
          <w:color w:val="auto"/>
          <w:sz w:val="21"/>
          <w:szCs w:val="21"/>
          <w:highlight w:val="none"/>
        </w:rPr>
      </w:pPr>
      <w:bookmarkStart w:id="130" w:name="_Toc110953845"/>
      <w:bookmarkStart w:id="131" w:name="_Toc12710"/>
      <w:bookmarkStart w:id="132" w:name="_Toc10017"/>
      <w:bookmarkStart w:id="133" w:name="_Toc7897880"/>
      <w:r>
        <w:rPr>
          <w:rFonts w:hint="eastAsia" w:hAnsi="宋体"/>
          <w:color w:val="auto"/>
          <w:sz w:val="21"/>
          <w:szCs w:val="21"/>
          <w:highlight w:val="none"/>
        </w:rPr>
        <w:t>16.响应文件的递交</w:t>
      </w:r>
      <w:bookmarkEnd w:id="130"/>
      <w:bookmarkEnd w:id="131"/>
      <w:bookmarkEnd w:id="132"/>
      <w:bookmarkEnd w:id="13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2"/>
        <w:adjustRightInd/>
        <w:spacing w:line="360" w:lineRule="auto"/>
        <w:ind w:firstLine="562" w:firstLineChars="200"/>
        <w:jc w:val="center"/>
        <w:rPr>
          <w:color w:val="auto"/>
          <w:sz w:val="28"/>
          <w:szCs w:val="28"/>
          <w:highlight w:val="none"/>
        </w:rPr>
      </w:pPr>
      <w:bookmarkStart w:id="134" w:name="_Toc7897881"/>
      <w:bookmarkStart w:id="135" w:name="_Toc22874"/>
      <w:bookmarkStart w:id="136" w:name="_Toc3138"/>
      <w:r>
        <w:rPr>
          <w:rFonts w:hint="eastAsia"/>
          <w:color w:val="auto"/>
          <w:sz w:val="28"/>
          <w:szCs w:val="28"/>
          <w:highlight w:val="none"/>
        </w:rPr>
        <w:t>五、采购仪式和</w:t>
      </w:r>
      <w:bookmarkEnd w:id="121"/>
      <w:bookmarkEnd w:id="122"/>
      <w:bookmarkEnd w:id="123"/>
      <w:bookmarkEnd w:id="124"/>
      <w:bookmarkEnd w:id="125"/>
      <w:r>
        <w:rPr>
          <w:rFonts w:hint="eastAsia"/>
          <w:color w:val="auto"/>
          <w:sz w:val="28"/>
          <w:szCs w:val="28"/>
          <w:highlight w:val="none"/>
        </w:rPr>
        <w:t>评审会议</w:t>
      </w:r>
      <w:bookmarkEnd w:id="134"/>
      <w:bookmarkEnd w:id="135"/>
      <w:bookmarkEnd w:id="136"/>
    </w:p>
    <w:p>
      <w:pPr>
        <w:pStyle w:val="4"/>
        <w:adjustRightInd/>
        <w:spacing w:line="360" w:lineRule="auto"/>
        <w:ind w:firstLine="422" w:firstLineChars="200"/>
        <w:rPr>
          <w:rFonts w:hAnsi="宋体"/>
          <w:b/>
          <w:color w:val="auto"/>
          <w:sz w:val="21"/>
          <w:szCs w:val="21"/>
          <w:highlight w:val="none"/>
        </w:rPr>
      </w:pPr>
      <w:bookmarkStart w:id="137" w:name="_Toc475249134"/>
      <w:r>
        <w:rPr>
          <w:rFonts w:hint="eastAsia" w:hAnsi="宋体"/>
          <w:b/>
          <w:color w:val="auto"/>
          <w:sz w:val="21"/>
          <w:szCs w:val="21"/>
          <w:highlight w:val="none"/>
        </w:rPr>
        <w:t>17.</w:t>
      </w:r>
      <w:bookmarkEnd w:id="137"/>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38" w:name="_Toc475249135"/>
      <w:bookmarkStart w:id="139"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唱标记录。</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3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4"/>
        <w:adjustRightInd/>
        <w:spacing w:line="360" w:lineRule="auto"/>
        <w:ind w:firstLine="422" w:firstLineChars="200"/>
        <w:rPr>
          <w:rFonts w:hAnsi="宋体"/>
          <w:b/>
          <w:color w:val="auto"/>
          <w:sz w:val="21"/>
          <w:szCs w:val="21"/>
          <w:highlight w:val="none"/>
        </w:rPr>
      </w:pPr>
      <w:bookmarkStart w:id="140" w:name="_Toc37121259"/>
      <w:bookmarkStart w:id="141" w:name="_Toc535141844"/>
      <w:r>
        <w:rPr>
          <w:rFonts w:hint="eastAsia" w:hAnsi="宋体"/>
          <w:b/>
          <w:color w:val="auto"/>
          <w:sz w:val="21"/>
          <w:szCs w:val="21"/>
          <w:highlight w:val="none"/>
        </w:rPr>
        <w:t>19.对响应文件的初审</w:t>
      </w:r>
      <w:bookmarkEnd w:id="140"/>
      <w:bookmarkEnd w:id="141"/>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39"/>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12"/>
        <w:ind w:firstLine="400"/>
        <w:rPr>
          <w:color w:val="auto"/>
          <w:highlight w:val="none"/>
        </w:rPr>
      </w:pPr>
    </w:p>
    <w:p>
      <w:pPr>
        <w:pStyle w:val="2"/>
        <w:adjustRightInd/>
        <w:spacing w:line="360" w:lineRule="auto"/>
        <w:ind w:firstLine="562" w:firstLineChars="200"/>
        <w:jc w:val="center"/>
        <w:rPr>
          <w:color w:val="auto"/>
          <w:sz w:val="28"/>
          <w:szCs w:val="28"/>
          <w:highlight w:val="none"/>
        </w:rPr>
      </w:pPr>
      <w:bookmarkStart w:id="142" w:name="_Toc18625"/>
      <w:bookmarkStart w:id="143" w:name="_Toc21174"/>
      <w:bookmarkStart w:id="144" w:name="_Toc7897882"/>
      <w:r>
        <w:rPr>
          <w:rFonts w:hint="eastAsia"/>
          <w:color w:val="auto"/>
          <w:sz w:val="28"/>
          <w:szCs w:val="28"/>
          <w:highlight w:val="none"/>
        </w:rPr>
        <w:t>六、确定成交供应商</w:t>
      </w:r>
      <w:bookmarkEnd w:id="142"/>
      <w:bookmarkEnd w:id="143"/>
      <w:bookmarkEnd w:id="144"/>
    </w:p>
    <w:p>
      <w:pPr>
        <w:pStyle w:val="4"/>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4"/>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4"/>
        <w:adjustRightInd/>
        <w:spacing w:line="360" w:lineRule="auto"/>
        <w:ind w:firstLine="422" w:firstLineChars="200"/>
        <w:rPr>
          <w:rFonts w:hAnsi="宋体"/>
          <w:b/>
          <w:color w:val="auto"/>
          <w:sz w:val="21"/>
          <w:szCs w:val="21"/>
          <w:highlight w:val="none"/>
        </w:rPr>
      </w:pPr>
      <w:bookmarkStart w:id="145" w:name="_Toc475249142"/>
      <w:r>
        <w:rPr>
          <w:rFonts w:hint="eastAsia" w:hAnsi="宋体"/>
          <w:b/>
          <w:color w:val="auto"/>
          <w:sz w:val="21"/>
          <w:szCs w:val="21"/>
          <w:highlight w:val="none"/>
        </w:rPr>
        <w:t>26.成交通知</w:t>
      </w:r>
      <w:bookmarkEnd w:id="1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rPr>
        <w:t>东莞实业投资控股集团有限公司-招标采购栏目（http://www.dgsy.com.cn/）</w:t>
      </w:r>
      <w:r>
        <w:rPr>
          <w:rFonts w:hint="eastAsia" w:hAnsi="宋体"/>
          <w:color w:val="auto"/>
          <w:sz w:val="21"/>
          <w:szCs w:val="21"/>
          <w:highlight w:val="none"/>
        </w:rPr>
        <w:t>上公告，同时向成交供应商发出成交通知书。</w:t>
      </w:r>
    </w:p>
    <w:p>
      <w:pPr>
        <w:pStyle w:val="12"/>
        <w:ind w:firstLine="400"/>
        <w:rPr>
          <w:color w:val="auto"/>
          <w:highlight w:val="none"/>
        </w:rPr>
      </w:pPr>
    </w:p>
    <w:p>
      <w:pPr>
        <w:pStyle w:val="2"/>
        <w:adjustRightInd/>
        <w:spacing w:line="360" w:lineRule="auto"/>
        <w:ind w:firstLine="562" w:firstLineChars="200"/>
        <w:jc w:val="center"/>
        <w:rPr>
          <w:color w:val="auto"/>
          <w:sz w:val="28"/>
          <w:szCs w:val="28"/>
          <w:highlight w:val="none"/>
        </w:rPr>
      </w:pPr>
      <w:bookmarkStart w:id="146" w:name="_Toc7897883"/>
      <w:bookmarkStart w:id="147" w:name="_Toc37756778"/>
      <w:bookmarkStart w:id="148" w:name="_Toc20980"/>
      <w:bookmarkStart w:id="149" w:name="_Toc28276"/>
      <w:bookmarkStart w:id="150" w:name="_Toc110953852"/>
      <w:bookmarkStart w:id="151" w:name="_Toc475249143"/>
      <w:r>
        <w:rPr>
          <w:rFonts w:hint="eastAsia"/>
          <w:color w:val="auto"/>
          <w:sz w:val="28"/>
          <w:szCs w:val="28"/>
          <w:highlight w:val="none"/>
        </w:rPr>
        <w:t>七、签订采购合同</w:t>
      </w:r>
      <w:bookmarkEnd w:id="146"/>
      <w:bookmarkEnd w:id="147"/>
      <w:bookmarkEnd w:id="148"/>
      <w:bookmarkEnd w:id="149"/>
      <w:bookmarkEnd w:id="15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w:t>
      </w:r>
      <w:r>
        <w:rPr>
          <w:rFonts w:hint="eastAsia" w:hAnsi="宋体"/>
          <w:color w:val="auto"/>
          <w:sz w:val="21"/>
          <w:szCs w:val="21"/>
          <w:highlight w:val="none"/>
          <w:lang w:val="en-US" w:eastAsia="zh-CN"/>
        </w:rPr>
        <w:t>人民币拾万元</w:t>
      </w:r>
      <w:r>
        <w:rPr>
          <w:rFonts w:hint="eastAsia" w:hAnsi="宋体"/>
          <w:color w:val="auto"/>
          <w:sz w:val="21"/>
          <w:szCs w:val="21"/>
          <w:highlight w:val="none"/>
        </w:rPr>
        <w:t>。履约担保账户：采购人指定账户。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采购合同的要求。履约保函应在采购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51"/>
    <w:p>
      <w:pPr>
        <w:pStyle w:val="2"/>
        <w:adjustRightInd/>
        <w:spacing w:line="360" w:lineRule="auto"/>
        <w:ind w:firstLine="562" w:firstLineChars="200"/>
        <w:jc w:val="center"/>
        <w:rPr>
          <w:color w:val="auto"/>
          <w:sz w:val="21"/>
          <w:szCs w:val="21"/>
          <w:highlight w:val="none"/>
        </w:rPr>
      </w:pPr>
      <w:bookmarkStart w:id="152" w:name="_Toc7897884"/>
      <w:bookmarkStart w:id="153" w:name="_Toc8766"/>
      <w:bookmarkStart w:id="154" w:name="_Toc152"/>
      <w:bookmarkStart w:id="155" w:name="_Toc396137239"/>
      <w:bookmarkStart w:id="156" w:name="_Toc5141"/>
      <w:bookmarkStart w:id="157" w:name="_Toc3498"/>
      <w:bookmarkStart w:id="158" w:name="_Toc396137240"/>
      <w:bookmarkStart w:id="159" w:name="_Toc22751"/>
      <w:r>
        <w:rPr>
          <w:rFonts w:hint="eastAsia"/>
          <w:color w:val="auto"/>
          <w:sz w:val="28"/>
          <w:szCs w:val="28"/>
          <w:highlight w:val="none"/>
        </w:rPr>
        <w:t>八、成交服务费</w:t>
      </w:r>
      <w:bookmarkEnd w:id="152"/>
      <w:bookmarkEnd w:id="153"/>
      <w:bookmarkEnd w:id="154"/>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32.1成交供应商须向采购代理机构按如下标准和规定交纳成交服务费。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32.2成交服务费参照国家计委[计价格[2002]1980号]文和国家发改委[发改价格[2011]534号]文及相关规定收取，按差额定率累进法计算，按服务类的七折收取，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32.4服务费应由成交供应商在采购结果公示发出之后，采购人确定可签订合同时交纳，不在报价中单列。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32.5以转账或现金的形式支付。</w:t>
      </w:r>
    </w:p>
    <w:p>
      <w:pPr>
        <w:pStyle w:val="12"/>
        <w:ind w:firstLine="400"/>
        <w:rPr>
          <w:color w:val="auto"/>
          <w:highlight w:val="none"/>
        </w:rPr>
      </w:pPr>
    </w:p>
    <w:p>
      <w:pPr>
        <w:pStyle w:val="2"/>
        <w:adjustRightInd/>
        <w:spacing w:line="360" w:lineRule="auto"/>
        <w:ind w:firstLine="562" w:firstLineChars="200"/>
        <w:jc w:val="center"/>
        <w:rPr>
          <w:color w:val="auto"/>
          <w:sz w:val="28"/>
          <w:szCs w:val="28"/>
          <w:highlight w:val="none"/>
          <w:lang w:val="zh-CN"/>
        </w:rPr>
      </w:pPr>
      <w:bookmarkStart w:id="160" w:name="_Toc17153"/>
      <w:r>
        <w:rPr>
          <w:rFonts w:hint="eastAsia"/>
          <w:color w:val="auto"/>
          <w:sz w:val="28"/>
          <w:szCs w:val="28"/>
          <w:highlight w:val="none"/>
          <w:lang w:val="zh-CN"/>
        </w:rPr>
        <w:t>九、质疑与回复</w:t>
      </w:r>
      <w:bookmarkEnd w:id="155"/>
      <w:bookmarkEnd w:id="156"/>
      <w:bookmarkEnd w:id="157"/>
      <w:bookmarkEnd w:id="16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rFonts w:hint="eastAsia"/>
          <w:color w:val="auto"/>
          <w:sz w:val="21"/>
          <w:szCs w:val="21"/>
          <w:highlight w:val="none"/>
        </w:rPr>
      </w:pPr>
      <w:bookmarkStart w:id="161" w:name="_Toc29421"/>
      <w:r>
        <w:rPr>
          <w:rFonts w:hint="eastAsia"/>
          <w:color w:val="auto"/>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61"/>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p>
      <w:pPr>
        <w:pStyle w:val="60"/>
        <w:rPr>
          <w:rFonts w:hint="eastAsia"/>
          <w:color w:val="auto"/>
          <w:sz w:val="21"/>
          <w:szCs w:val="21"/>
          <w:highlight w:val="none"/>
        </w:rPr>
      </w:pPr>
    </w:p>
    <w:bookmarkEnd w:id="158"/>
    <w:bookmarkEnd w:id="159"/>
    <w:p>
      <w:pPr>
        <w:pStyle w:val="3"/>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62" w:name="_Toc32290"/>
      <w:bookmarkStart w:id="163" w:name="_Toc31481"/>
      <w:bookmarkStart w:id="164" w:name="_Toc13957"/>
      <w:r>
        <w:rPr>
          <w:rFonts w:hint="eastAsia" w:hAnsi="宋体"/>
          <w:b/>
          <w:bCs/>
          <w:color w:val="auto"/>
          <w:kern w:val="44"/>
          <w:sz w:val="28"/>
          <w:szCs w:val="28"/>
          <w:highlight w:val="none"/>
          <w:lang w:val="zh-CN"/>
        </w:rPr>
        <w:t>用户需求书</w:t>
      </w:r>
    </w:p>
    <w:p>
      <w:pPr>
        <w:pStyle w:val="3"/>
        <w:spacing w:line="360" w:lineRule="auto"/>
        <w:jc w:val="center"/>
        <w:rPr>
          <w:b/>
          <w:bCs/>
          <w:color w:val="auto"/>
          <w:sz w:val="28"/>
          <w:szCs w:val="28"/>
          <w:highlight w:val="none"/>
        </w:rPr>
      </w:pPr>
      <w:bookmarkStart w:id="316" w:name="_GoBack"/>
      <w:bookmarkEnd w:id="316"/>
      <w:r>
        <w:rPr>
          <w:rFonts w:hint="eastAsia"/>
          <w:b/>
          <w:bCs/>
          <w:color w:val="auto"/>
          <w:sz w:val="28"/>
          <w:szCs w:val="28"/>
          <w:highlight w:val="none"/>
        </w:rPr>
        <w:t>第一部分 商务需求书</w:t>
      </w:r>
      <w:bookmarkEnd w:id="162"/>
      <w:bookmarkEnd w:id="163"/>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条款名称</w:t>
            </w:r>
          </w:p>
        </w:tc>
        <w:tc>
          <w:tcPr>
            <w:tcW w:w="6397"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1</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kern w:val="2"/>
                <w:sz w:val="21"/>
                <w:szCs w:val="21"/>
                <w:highlight w:val="none"/>
              </w:rPr>
              <w:t>服务期限</w:t>
            </w:r>
          </w:p>
        </w:tc>
        <w:tc>
          <w:tcPr>
            <w:tcW w:w="6397" w:type="dxa"/>
            <w:vAlign w:val="center"/>
          </w:tcPr>
          <w:p>
            <w:pPr>
              <w:pStyle w:val="144"/>
              <w:spacing w:line="360" w:lineRule="auto"/>
              <w:ind w:left="0" w:leftChars="0" w:firstLine="0" w:firstLineChars="0"/>
              <w:rPr>
                <w:rFonts w:ascii="宋体" w:hAnsi="宋体"/>
                <w:color w:val="auto"/>
                <w:szCs w:val="21"/>
                <w:highlight w:val="none"/>
              </w:rPr>
            </w:pPr>
            <w:r>
              <w:rPr>
                <w:color w:val="auto"/>
                <w:highlight w:val="none"/>
              </w:rPr>
              <w:t>自签订合同之日起</w:t>
            </w:r>
            <w:r>
              <w:rPr>
                <w:rFonts w:hint="eastAsia"/>
                <w:color w:val="auto"/>
                <w:highlight w:val="none"/>
                <w:lang w:eastAsia="zh-CN"/>
              </w:rPr>
              <w:t>两</w:t>
            </w:r>
            <w:r>
              <w:rPr>
                <w:color w:val="auto"/>
                <w:highlight w:val="none"/>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2</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报价要求</w:t>
            </w:r>
          </w:p>
        </w:tc>
        <w:tc>
          <w:tcPr>
            <w:tcW w:w="6397" w:type="dxa"/>
            <w:vAlign w:val="center"/>
          </w:tcPr>
          <w:p>
            <w:pPr>
              <w:pStyle w:val="144"/>
              <w:spacing w:line="360" w:lineRule="auto"/>
              <w:rPr>
                <w:rFonts w:hint="eastAsia" w:hAnsi="宋体" w:eastAsia="宋体"/>
                <w:color w:val="auto"/>
                <w:szCs w:val="21"/>
                <w:highlight w:val="none"/>
                <w:lang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rPr>
              <w:t>、本项目采用</w:t>
            </w:r>
            <w:r>
              <w:rPr>
                <w:rFonts w:hint="eastAsia" w:ascii="宋体" w:hAnsi="宋体" w:cs="宋体"/>
                <w:color w:val="auto"/>
                <w:kern w:val="0"/>
                <w:sz w:val="21"/>
                <w:szCs w:val="21"/>
                <w:highlight w:val="none"/>
                <w:lang w:val="en-US" w:eastAsia="zh-CN"/>
              </w:rPr>
              <w:t>综合</w:t>
            </w:r>
            <w:r>
              <w:rPr>
                <w:rFonts w:hint="eastAsia" w:ascii="宋体" w:hAnsi="宋体" w:eastAsia="宋体" w:cs="宋体"/>
                <w:color w:val="auto"/>
                <w:kern w:val="0"/>
                <w:sz w:val="21"/>
                <w:szCs w:val="21"/>
                <w:highlight w:val="none"/>
                <w:lang w:val="en-US"/>
              </w:rPr>
              <w:t>单价下浮率方式报价，</w:t>
            </w:r>
            <w:r>
              <w:rPr>
                <w:rFonts w:hint="eastAsia" w:ascii="宋体" w:hAnsi="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rPr>
              <w:t>的投标单价以</w:t>
            </w:r>
            <w:r>
              <w:rPr>
                <w:rFonts w:hint="eastAsia" w:ascii="宋体" w:hAnsi="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lang w:val="en-US"/>
              </w:rPr>
              <w:t>文件中</w:t>
            </w:r>
            <w:r>
              <w:rPr>
                <w:rFonts w:hint="eastAsia" w:ascii="宋体" w:hAnsi="宋体" w:cs="宋体"/>
                <w:color w:val="auto"/>
                <w:kern w:val="0"/>
                <w:sz w:val="21"/>
                <w:szCs w:val="21"/>
                <w:highlight w:val="none"/>
                <w:lang w:val="en-US" w:eastAsia="zh-CN"/>
              </w:rPr>
              <w:t>工程清单</w:t>
            </w:r>
            <w:r>
              <w:rPr>
                <w:rFonts w:hint="eastAsia" w:ascii="宋体" w:hAnsi="宋体" w:eastAsia="宋体" w:cs="宋体"/>
                <w:color w:val="auto"/>
                <w:kern w:val="0"/>
                <w:sz w:val="21"/>
                <w:szCs w:val="21"/>
                <w:highlight w:val="none"/>
                <w:lang w:val="en-US"/>
              </w:rPr>
              <w:t>的</w:t>
            </w:r>
            <w:r>
              <w:rPr>
                <w:rFonts w:hint="eastAsia" w:ascii="宋体" w:hAnsi="宋体" w:cs="宋体"/>
                <w:color w:val="auto"/>
                <w:kern w:val="0"/>
                <w:sz w:val="21"/>
                <w:szCs w:val="21"/>
                <w:highlight w:val="none"/>
                <w:lang w:val="en-US" w:eastAsia="zh-CN"/>
              </w:rPr>
              <w:t>预算</w:t>
            </w:r>
            <w:r>
              <w:rPr>
                <w:rFonts w:hint="eastAsia" w:ascii="宋体" w:hAnsi="宋体" w:eastAsia="宋体" w:cs="宋体"/>
                <w:color w:val="auto"/>
                <w:kern w:val="0"/>
                <w:sz w:val="21"/>
                <w:szCs w:val="21"/>
                <w:highlight w:val="none"/>
                <w:lang w:val="en-US"/>
              </w:rPr>
              <w:t>价为标准进行下浮，</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rPr>
              <w:t>对所有</w:t>
            </w:r>
            <w:r>
              <w:rPr>
                <w:rFonts w:hint="eastAsia" w:ascii="宋体" w:hAnsi="宋体" w:cs="宋体"/>
                <w:color w:val="auto"/>
                <w:kern w:val="0"/>
                <w:sz w:val="21"/>
                <w:szCs w:val="21"/>
                <w:highlight w:val="none"/>
                <w:lang w:val="en-US" w:eastAsia="zh-CN"/>
              </w:rPr>
              <w:t>清单项</w:t>
            </w:r>
            <w:r>
              <w:rPr>
                <w:rFonts w:hint="eastAsia" w:ascii="宋体" w:hAnsi="宋体" w:eastAsia="宋体" w:cs="宋体"/>
                <w:color w:val="auto"/>
                <w:kern w:val="0"/>
                <w:sz w:val="21"/>
                <w:szCs w:val="21"/>
                <w:highlight w:val="none"/>
                <w:lang w:val="en-US"/>
              </w:rPr>
              <w:t>统一报</w:t>
            </w:r>
            <w:r>
              <w:rPr>
                <w:rFonts w:hint="eastAsia" w:ascii="宋体" w:hAnsi="宋体" w:cs="宋体"/>
                <w:color w:val="auto"/>
                <w:kern w:val="0"/>
                <w:sz w:val="21"/>
                <w:szCs w:val="21"/>
                <w:highlight w:val="none"/>
                <w:lang w:val="en-US" w:eastAsia="zh-CN"/>
              </w:rPr>
              <w:t>一个</w:t>
            </w:r>
            <w:r>
              <w:rPr>
                <w:rFonts w:hint="eastAsia" w:ascii="宋体" w:hAnsi="宋体" w:eastAsia="宋体" w:cs="宋体"/>
                <w:color w:val="auto"/>
                <w:kern w:val="0"/>
                <w:sz w:val="21"/>
                <w:szCs w:val="21"/>
                <w:highlight w:val="none"/>
                <w:lang w:val="en-US"/>
              </w:rPr>
              <w:t>下浮率即可，采用其他方式报价视为非实质性响应投标而予以拒绝</w:t>
            </w:r>
            <w:r>
              <w:rPr>
                <w:rFonts w:hint="eastAsia" w:ascii="宋体" w:hAnsi="宋体" w:cs="宋体"/>
                <w:color w:val="auto"/>
                <w:kern w:val="0"/>
                <w:sz w:val="21"/>
                <w:szCs w:val="21"/>
                <w:highlight w:val="none"/>
                <w:lang w:val="en-US" w:eastAsia="zh-CN"/>
              </w:rPr>
              <w:t>，</w:t>
            </w:r>
            <w:r>
              <w:rPr>
                <w:rFonts w:hint="eastAsia" w:ascii="宋体" w:hAnsi="宋体" w:eastAsia="宋体" w:cs="仿宋"/>
                <w:color w:val="auto"/>
                <w:sz w:val="21"/>
                <w:szCs w:val="21"/>
                <w:highlight w:val="none"/>
              </w:rPr>
              <w:t>超出预算金额予以否决</w:t>
            </w:r>
            <w:r>
              <w:rPr>
                <w:rFonts w:hint="eastAsia" w:ascii="宋体" w:hAnsi="宋体" w:eastAsia="宋体"/>
                <w:bCs w:val="0"/>
                <w:color w:val="auto"/>
                <w:sz w:val="21"/>
                <w:szCs w:val="21"/>
                <w:highlight w:val="none"/>
              </w:rPr>
              <w:t>。</w:t>
            </w:r>
          </w:p>
          <w:p>
            <w:pPr>
              <w:pStyle w:val="144"/>
              <w:spacing w:line="360" w:lineRule="auto"/>
              <w:rPr>
                <w:rFonts w:hint="eastAsia" w:hAnsi="宋体" w:eastAsia="宋体"/>
                <w:color w:val="auto"/>
                <w:szCs w:val="21"/>
                <w:highlight w:val="none"/>
                <w:lang w:val="en-US" w:eastAsia="zh-CN"/>
              </w:rPr>
            </w:pPr>
            <w:r>
              <w:rPr>
                <w:rFonts w:hint="eastAsia" w:hAnsi="宋体"/>
                <w:color w:val="auto"/>
                <w:szCs w:val="21"/>
                <w:highlight w:val="none"/>
                <w:lang w:val="en-US" w:eastAsia="zh-CN"/>
              </w:rPr>
              <w:t>2、成交</w:t>
            </w:r>
            <w:r>
              <w:rPr>
                <w:rFonts w:hint="eastAsia" w:hAnsi="宋体"/>
                <w:color w:val="auto"/>
                <w:szCs w:val="21"/>
                <w:highlight w:val="none"/>
              </w:rPr>
              <w:t>供应商的投标</w:t>
            </w:r>
            <w:r>
              <w:rPr>
                <w:rFonts w:hint="eastAsia" w:hAnsi="宋体"/>
                <w:color w:val="auto"/>
                <w:szCs w:val="21"/>
                <w:highlight w:val="none"/>
                <w:lang w:val="en-US" w:eastAsia="zh-CN"/>
              </w:rPr>
              <w:t>报</w:t>
            </w:r>
            <w:r>
              <w:rPr>
                <w:rFonts w:hint="eastAsia" w:hAnsi="宋体"/>
                <w:color w:val="auto"/>
                <w:szCs w:val="21"/>
                <w:highlight w:val="none"/>
              </w:rPr>
              <w:t>价需包含但不限于</w:t>
            </w:r>
            <w:r>
              <w:rPr>
                <w:rFonts w:hint="eastAsia" w:hAnsi="宋体"/>
                <w:color w:val="auto"/>
                <w:szCs w:val="21"/>
                <w:highlight w:val="none"/>
                <w:lang w:val="en-US" w:eastAsia="zh-CN"/>
              </w:rPr>
              <w:t>完成</w:t>
            </w:r>
            <w:r>
              <w:rPr>
                <w:rFonts w:hint="eastAsia" w:hAnsi="宋体"/>
                <w:color w:val="auto"/>
                <w:sz w:val="21"/>
                <w:szCs w:val="21"/>
                <w:highlight w:val="none"/>
                <w:lang w:val="en-US" w:eastAsia="zh-CN"/>
              </w:rPr>
              <w:t>工程全部内容</w:t>
            </w:r>
            <w:r>
              <w:rPr>
                <w:rFonts w:hint="eastAsia" w:hAnsi="宋体"/>
                <w:color w:val="auto"/>
                <w:sz w:val="21"/>
                <w:szCs w:val="21"/>
                <w:highlight w:val="none"/>
              </w:rPr>
              <w:t>所需的</w:t>
            </w:r>
            <w:r>
              <w:rPr>
                <w:rFonts w:hint="eastAsia" w:hAnsi="宋体"/>
                <w:color w:val="auto"/>
                <w:sz w:val="21"/>
                <w:szCs w:val="21"/>
                <w:highlight w:val="none"/>
                <w:lang w:val="en-US" w:eastAsia="zh-CN"/>
              </w:rPr>
              <w:t>全部费用，包括：人工费、材料费</w:t>
            </w:r>
            <w:r>
              <w:rPr>
                <w:rFonts w:hint="eastAsia" w:hAnsi="宋体"/>
                <w:color w:val="auto"/>
                <w:sz w:val="21"/>
                <w:szCs w:val="21"/>
                <w:highlight w:val="none"/>
              </w:rPr>
              <w:t>、</w:t>
            </w:r>
            <w:r>
              <w:rPr>
                <w:rFonts w:hint="eastAsia" w:hAnsi="宋体"/>
                <w:color w:val="auto"/>
                <w:sz w:val="21"/>
                <w:szCs w:val="21"/>
                <w:highlight w:val="none"/>
                <w:lang w:val="en-US" w:eastAsia="zh-CN"/>
              </w:rPr>
              <w:t>机械费</w:t>
            </w:r>
            <w:r>
              <w:rPr>
                <w:rFonts w:hint="eastAsia" w:hAnsi="宋体"/>
                <w:color w:val="auto"/>
                <w:sz w:val="21"/>
                <w:szCs w:val="21"/>
                <w:highlight w:val="none"/>
              </w:rPr>
              <w:t>、</w:t>
            </w:r>
            <w:r>
              <w:rPr>
                <w:rFonts w:hint="eastAsia" w:hAnsi="宋体"/>
                <w:color w:val="auto"/>
                <w:sz w:val="21"/>
                <w:szCs w:val="21"/>
                <w:highlight w:val="none"/>
                <w:lang w:val="en-US" w:eastAsia="zh-CN"/>
              </w:rPr>
              <w:t>运输费、</w:t>
            </w:r>
            <w:r>
              <w:rPr>
                <w:rFonts w:hint="eastAsia" w:hAnsi="宋体"/>
                <w:color w:val="auto"/>
                <w:sz w:val="21"/>
                <w:szCs w:val="21"/>
                <w:highlight w:val="none"/>
              </w:rPr>
              <w:t>安装费、检</w:t>
            </w:r>
            <w:r>
              <w:rPr>
                <w:rFonts w:hint="eastAsia" w:hAnsi="宋体"/>
                <w:color w:val="auto"/>
                <w:sz w:val="21"/>
                <w:szCs w:val="21"/>
                <w:highlight w:val="none"/>
                <w:lang w:val="en-US" w:eastAsia="zh-CN"/>
              </w:rPr>
              <w:t>验</w:t>
            </w:r>
            <w:r>
              <w:rPr>
                <w:rFonts w:hint="eastAsia" w:hAnsi="宋体"/>
                <w:color w:val="auto"/>
                <w:sz w:val="21"/>
                <w:szCs w:val="21"/>
                <w:highlight w:val="none"/>
              </w:rPr>
              <w:t>试验费、</w:t>
            </w:r>
            <w:r>
              <w:rPr>
                <w:rFonts w:hint="eastAsia" w:hAnsi="宋体"/>
                <w:color w:val="auto"/>
                <w:sz w:val="21"/>
                <w:szCs w:val="21"/>
                <w:highlight w:val="none"/>
                <w:lang w:val="en-US" w:eastAsia="zh-CN"/>
              </w:rPr>
              <w:t>验收、管理费</w:t>
            </w:r>
            <w:r>
              <w:rPr>
                <w:rFonts w:hint="eastAsia" w:hAnsi="宋体"/>
                <w:color w:val="auto"/>
                <w:sz w:val="21"/>
                <w:szCs w:val="21"/>
                <w:highlight w:val="none"/>
              </w:rPr>
              <w:t>、</w:t>
            </w:r>
            <w:r>
              <w:rPr>
                <w:rFonts w:hint="eastAsia" w:hAnsi="宋体"/>
                <w:color w:val="auto"/>
                <w:sz w:val="21"/>
                <w:szCs w:val="21"/>
                <w:highlight w:val="none"/>
                <w:lang w:val="en-US" w:eastAsia="zh-CN"/>
              </w:rPr>
              <w:t>利润、税金，安全文明措施费及其他</w:t>
            </w:r>
            <w:r>
              <w:rPr>
                <w:rFonts w:hint="eastAsia" w:hAnsi="宋体"/>
                <w:color w:val="auto"/>
                <w:sz w:val="21"/>
                <w:szCs w:val="21"/>
                <w:highlight w:val="none"/>
              </w:rPr>
              <w:t>不可预见等</w:t>
            </w:r>
            <w:r>
              <w:rPr>
                <w:rFonts w:hint="eastAsia" w:hAnsi="宋体"/>
                <w:color w:val="auto"/>
                <w:sz w:val="21"/>
                <w:szCs w:val="21"/>
                <w:highlight w:val="none"/>
                <w:lang w:val="en-US" w:eastAsia="zh-CN"/>
              </w:rPr>
              <w:t>一切费用</w:t>
            </w:r>
            <w:r>
              <w:rPr>
                <w:rFonts w:hint="eastAsia" w:hAnsi="宋体"/>
                <w:color w:val="auto"/>
                <w:sz w:val="21"/>
                <w:szCs w:val="21"/>
                <w:highlight w:val="none"/>
                <w:lang w:eastAsia="zh-CN"/>
              </w:rPr>
              <w:t>。</w:t>
            </w:r>
            <w:r>
              <w:rPr>
                <w:rFonts w:hint="eastAsia" w:hAnsi="宋体"/>
                <w:color w:val="auto"/>
                <w:szCs w:val="21"/>
                <w:highlight w:val="none"/>
              </w:rPr>
              <w:t>采购人不再支付其他任何额外费用。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3</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付款方式</w:t>
            </w:r>
          </w:p>
        </w:tc>
        <w:tc>
          <w:tcPr>
            <w:tcW w:w="6397" w:type="dxa"/>
            <w:vAlign w:val="center"/>
          </w:tcPr>
          <w:p>
            <w:pPr>
              <w:spacing w:line="360" w:lineRule="auto"/>
              <w:ind w:firstLine="420" w:firstLineChars="200"/>
              <w:jc w:val="both"/>
              <w:rPr>
                <w:rFonts w:hint="eastAsia"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1、采购人以《工作联系单》形式下发施工指令。按一单一算的原则核算工程造价。</w:t>
            </w:r>
            <w:r>
              <w:rPr>
                <w:rFonts w:hint="eastAsia" w:ascii="宋体" w:hAnsi="宋体" w:cs="宋体"/>
                <w:color w:val="auto"/>
                <w:sz w:val="21"/>
                <w:szCs w:val="21"/>
                <w:highlight w:val="none"/>
                <w:lang w:val="en-US" w:eastAsia="zh-CN"/>
              </w:rPr>
              <w:t>每完成一次零星工程</w:t>
            </w:r>
            <w:r>
              <w:rPr>
                <w:rFonts w:hint="eastAsia" w:hAnsi="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，通知采购人验收确认</w:t>
            </w: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每月汇总</w:t>
            </w:r>
            <w:r>
              <w:rPr>
                <w:rFonts w:hint="eastAsia" w:hAnsi="宋体" w:cs="宋体"/>
                <w:color w:val="auto"/>
                <w:sz w:val="21"/>
                <w:szCs w:val="21"/>
                <w:highlight w:val="none"/>
                <w:lang w:val="en-US" w:eastAsia="zh-CN"/>
              </w:rPr>
              <w:t>已完成项目，支付当月完成</w:t>
            </w:r>
            <w:r>
              <w:rPr>
                <w:rFonts w:hint="eastAsia" w:ascii="宋体" w:hAnsi="宋体" w:cs="宋体"/>
                <w:color w:val="auto"/>
                <w:sz w:val="21"/>
                <w:szCs w:val="21"/>
                <w:highlight w:val="none"/>
                <w:lang w:val="en-US" w:eastAsia="zh-CN"/>
              </w:rPr>
              <w:t>工程费用</w:t>
            </w:r>
            <w:r>
              <w:rPr>
                <w:rFonts w:hint="eastAsia" w:hAnsi="宋体" w:cs="宋体"/>
                <w:color w:val="auto"/>
                <w:sz w:val="21"/>
                <w:szCs w:val="21"/>
                <w:highlight w:val="none"/>
                <w:lang w:val="en-US" w:eastAsia="zh-CN"/>
              </w:rPr>
              <w:t>的80%；从合同签订之日起，每6个月做一次阶段性结算</w:t>
            </w:r>
            <w:r>
              <w:rPr>
                <w:rFonts w:hint="eastAsia" w:ascii="宋体" w:hAnsi="宋体"/>
                <w:bCs/>
                <w:color w:val="auto"/>
                <w:sz w:val="21"/>
                <w:szCs w:val="21"/>
                <w:highlight w:val="none"/>
              </w:rPr>
              <w:t>，</w:t>
            </w:r>
            <w:r>
              <w:rPr>
                <w:rFonts w:hint="eastAsia" w:hAnsi="宋体"/>
                <w:bCs/>
                <w:color w:val="auto"/>
                <w:sz w:val="21"/>
                <w:szCs w:val="21"/>
                <w:highlight w:val="none"/>
                <w:lang w:eastAsia="zh-CN"/>
              </w:rPr>
              <w:t>成交供应商</w:t>
            </w:r>
            <w:r>
              <w:rPr>
                <w:rFonts w:hint="eastAsia" w:ascii="宋体" w:hAnsi="宋体"/>
                <w:bCs/>
                <w:color w:val="auto"/>
                <w:sz w:val="21"/>
                <w:szCs w:val="21"/>
                <w:highlight w:val="none"/>
              </w:rPr>
              <w:t>提供</w:t>
            </w:r>
            <w:r>
              <w:rPr>
                <w:rFonts w:hint="eastAsia" w:hAnsi="宋体"/>
                <w:bCs/>
                <w:color w:val="auto"/>
                <w:sz w:val="21"/>
                <w:szCs w:val="21"/>
                <w:highlight w:val="none"/>
                <w:lang w:val="en-US" w:eastAsia="zh-CN"/>
              </w:rPr>
              <w:t>已完成项目的</w:t>
            </w:r>
            <w:r>
              <w:rPr>
                <w:rFonts w:hint="eastAsia" w:ascii="宋体" w:hAnsi="宋体"/>
                <w:bCs/>
                <w:color w:val="auto"/>
                <w:sz w:val="21"/>
                <w:szCs w:val="21"/>
                <w:highlight w:val="none"/>
              </w:rPr>
              <w:t>结算资料供</w:t>
            </w:r>
            <w:r>
              <w:rPr>
                <w:rFonts w:hint="eastAsia" w:hAnsi="宋体"/>
                <w:bCs/>
                <w:color w:val="auto"/>
                <w:sz w:val="21"/>
                <w:szCs w:val="21"/>
                <w:highlight w:val="none"/>
                <w:lang w:eastAsia="zh-CN"/>
              </w:rPr>
              <w:t>采购人</w:t>
            </w:r>
            <w:r>
              <w:rPr>
                <w:rFonts w:hint="eastAsia" w:ascii="宋体" w:hAnsi="宋体"/>
                <w:bCs/>
                <w:color w:val="auto"/>
                <w:sz w:val="21"/>
                <w:szCs w:val="21"/>
                <w:highlight w:val="none"/>
              </w:rPr>
              <w:t>审核，甲乙双方确认结算金额后，</w:t>
            </w:r>
            <w:r>
              <w:rPr>
                <w:rFonts w:hint="eastAsia" w:hAnsi="宋体"/>
                <w:bCs/>
                <w:color w:val="auto"/>
                <w:sz w:val="21"/>
                <w:szCs w:val="21"/>
                <w:highlight w:val="none"/>
                <w:lang w:eastAsia="zh-CN"/>
              </w:rPr>
              <w:t>采购人</w:t>
            </w:r>
            <w:r>
              <w:rPr>
                <w:rFonts w:hint="eastAsia" w:ascii="宋体" w:hAnsi="宋体"/>
                <w:bCs/>
                <w:color w:val="auto"/>
                <w:sz w:val="21"/>
                <w:szCs w:val="21"/>
                <w:highlight w:val="none"/>
              </w:rPr>
              <w:t>支付至结算价的97%</w:t>
            </w:r>
            <w:r>
              <w:rPr>
                <w:rFonts w:hint="eastAsia"/>
                <w:color w:val="auto"/>
                <w:sz w:val="21"/>
                <w:szCs w:val="21"/>
                <w:highlight w:val="none"/>
                <w:lang w:val="en-US" w:eastAsia="zh-CN"/>
              </w:rPr>
              <w:t>。</w:t>
            </w:r>
          </w:p>
          <w:p>
            <w:pPr>
              <w:spacing w:line="360" w:lineRule="auto"/>
              <w:ind w:firstLine="420" w:firstLineChars="200"/>
              <w:jc w:val="both"/>
              <w:rPr>
                <w:rFonts w:hint="eastAsia"/>
                <w:color w:val="auto"/>
                <w:sz w:val="21"/>
                <w:szCs w:val="21"/>
                <w:highlight w:val="none"/>
                <w:lang w:val="en-US" w:eastAsia="zh-CN"/>
              </w:rPr>
            </w:pPr>
            <w:r>
              <w:rPr>
                <w:rFonts w:hint="eastAsia"/>
                <w:color w:val="auto"/>
                <w:sz w:val="21"/>
                <w:szCs w:val="21"/>
                <w:highlight w:val="none"/>
                <w:lang w:val="en-US" w:eastAsia="zh-CN"/>
              </w:rPr>
              <w:t>2、合同到期后，采购人组织对项目进行验收并在验收合格后进行结算，成交供应商提供结算资料供采购人审核，双方确认结算金额后，采购人支付至结算总价的97%，剩余3%作为质保金。</w:t>
            </w:r>
          </w:p>
          <w:p>
            <w:pPr>
              <w:spacing w:line="360" w:lineRule="auto"/>
              <w:ind w:firstLine="420" w:firstLineChars="200"/>
              <w:jc w:val="both"/>
              <w:rPr>
                <w:rFonts w:hint="eastAsia"/>
                <w:color w:val="auto"/>
                <w:sz w:val="21"/>
                <w:szCs w:val="21"/>
                <w:highlight w:val="none"/>
                <w:lang w:val="en-US" w:eastAsia="zh-CN"/>
              </w:rPr>
            </w:pPr>
            <w:r>
              <w:rPr>
                <w:rFonts w:hint="eastAsia"/>
                <w:color w:val="auto"/>
                <w:sz w:val="21"/>
                <w:szCs w:val="21"/>
                <w:highlight w:val="none"/>
                <w:lang w:val="en-US" w:eastAsia="zh-CN"/>
              </w:rPr>
              <w:t>3、合同最后一项工作内容的质量保修期满2年后，采购人在收到成交供应商的请款资料15个工作日内无息付清所有质保金。</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合同实施内容可能不限于已有清单。清单中没有的项目，有相似项目可参考相似项目执行或调整；若无相似项目，则按广东省2018清单及定额规定并结合市场信息价确定综合单价后按中标下浮率下浮。</w:t>
            </w:r>
            <w:r>
              <w:rPr>
                <w:color w:val="auto"/>
                <w:sz w:val="21"/>
                <w:szCs w:val="21"/>
                <w:highlight w:val="none"/>
              </w:rPr>
              <w:t>如定额中没有相应子目的，其计价方式由双方协商约定。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4</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服务地点</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5</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合同条款</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6</w:t>
            </w:r>
          </w:p>
        </w:tc>
        <w:tc>
          <w:tcPr>
            <w:tcW w:w="2049" w:type="dxa"/>
            <w:vAlign w:val="center"/>
          </w:tcPr>
          <w:p>
            <w:pPr>
              <w:spacing w:line="360" w:lineRule="auto"/>
              <w:jc w:val="center"/>
              <w:rPr>
                <w:rFonts w:hAnsi="宋体"/>
                <w:bCs/>
                <w:color w:val="auto"/>
                <w:sz w:val="21"/>
                <w:szCs w:val="21"/>
                <w:highlight w:val="none"/>
              </w:rPr>
            </w:pPr>
            <w:r>
              <w:rPr>
                <w:rFonts w:hint="eastAsia" w:hAnsi="宋体"/>
                <w:bCs/>
                <w:color w:val="auto"/>
                <w:sz w:val="21"/>
                <w:szCs w:val="21"/>
                <w:highlight w:val="none"/>
              </w:rPr>
              <w:t>其他服务要求</w:t>
            </w:r>
          </w:p>
        </w:tc>
        <w:tc>
          <w:tcPr>
            <w:tcW w:w="6397" w:type="dxa"/>
            <w:vAlign w:val="center"/>
          </w:tcPr>
          <w:p>
            <w:pPr>
              <w:pStyle w:val="144"/>
              <w:spacing w:line="360" w:lineRule="auto"/>
              <w:ind w:firstLine="0" w:firstLineChars="0"/>
              <w:rPr>
                <w:rFonts w:ascii="宋体" w:hAnsi="宋体"/>
                <w:color w:val="auto"/>
                <w:szCs w:val="21"/>
                <w:highlight w:val="none"/>
              </w:rPr>
            </w:pPr>
            <w:r>
              <w:rPr>
                <w:rFonts w:hint="eastAsia" w:ascii="宋体" w:hAnsi="宋体"/>
                <w:color w:val="auto"/>
                <w:szCs w:val="21"/>
                <w:highlight w:val="none"/>
              </w:rPr>
              <w:t>详见技术需求书。</w:t>
            </w:r>
          </w:p>
        </w:tc>
      </w:tr>
    </w:tbl>
    <w:p>
      <w:pPr>
        <w:pStyle w:val="12"/>
        <w:ind w:firstLine="400"/>
        <w:rPr>
          <w:color w:val="auto"/>
          <w:highlight w:val="none"/>
        </w:rPr>
      </w:pPr>
    </w:p>
    <w:p>
      <w:pPr>
        <w:pStyle w:val="3"/>
        <w:jc w:val="center"/>
        <w:rPr>
          <w:b/>
          <w:color w:val="auto"/>
          <w:sz w:val="28"/>
          <w:szCs w:val="28"/>
          <w:highlight w:val="none"/>
        </w:rPr>
      </w:pPr>
      <w:bookmarkStart w:id="165" w:name="_Toc25591"/>
      <w:bookmarkStart w:id="166" w:name="_Toc25267"/>
      <w:r>
        <w:rPr>
          <w:rFonts w:hint="eastAsia"/>
          <w:b/>
          <w:color w:val="auto"/>
          <w:sz w:val="28"/>
          <w:szCs w:val="28"/>
          <w:highlight w:val="none"/>
        </w:rPr>
        <w:t>第二部分 技术需求书</w:t>
      </w:r>
      <w:bookmarkEnd w:id="165"/>
      <w:bookmarkEnd w:id="166"/>
    </w:p>
    <w:p>
      <w:pPr>
        <w:pStyle w:val="2"/>
        <w:spacing w:line="360" w:lineRule="auto"/>
        <w:rPr>
          <w:rFonts w:hint="default" w:eastAsia="宋体"/>
          <w:color w:val="auto"/>
          <w:highlight w:val="none"/>
          <w:lang w:val="en-US" w:eastAsia="zh-CN"/>
        </w:rPr>
      </w:pPr>
      <w:bookmarkStart w:id="167" w:name="_Toc30247"/>
      <w:bookmarkStart w:id="168" w:name="_Toc3032"/>
      <w:r>
        <w:rPr>
          <w:rFonts w:hint="eastAsia"/>
          <w:color w:val="auto"/>
          <w:highlight w:val="none"/>
        </w:rPr>
        <w:t>一、项目概况</w:t>
      </w:r>
      <w:bookmarkEnd w:id="167"/>
      <w:bookmarkEnd w:id="168"/>
    </w:p>
    <w:p>
      <w:pPr>
        <w:pStyle w:val="12"/>
        <w:spacing w:line="360" w:lineRule="auto"/>
        <w:rPr>
          <w:rFonts w:ascii="宋体" w:hAnsi="宋体"/>
          <w:color w:val="auto"/>
          <w:sz w:val="21"/>
          <w:szCs w:val="21"/>
          <w:highlight w:val="none"/>
        </w:rPr>
      </w:pPr>
      <w:r>
        <w:rPr>
          <w:rFonts w:hint="eastAsia" w:ascii="宋体" w:hAnsi="宋体"/>
          <w:color w:val="auto"/>
          <w:sz w:val="21"/>
          <w:szCs w:val="21"/>
          <w:highlight w:val="none"/>
        </w:rPr>
        <w:t>松山湖国际创新创业社区占地约397亩，总建筑面积约53万平方米，总建筑占地面积约为7万平方米，总投资约27亿元。</w:t>
      </w:r>
      <w:r>
        <w:rPr>
          <w:rFonts w:hint="eastAsia" w:ascii="宋体" w:hAnsi="宋体"/>
          <w:color w:val="auto"/>
          <w:sz w:val="21"/>
          <w:szCs w:val="21"/>
          <w:highlight w:val="none"/>
          <w:lang w:val="en-US" w:eastAsia="zh-CN"/>
        </w:rPr>
        <w:t>项目为分五期建设，共有21个建筑单体。</w:t>
      </w:r>
      <w:r>
        <w:rPr>
          <w:rFonts w:hint="eastAsia" w:ascii="宋体" w:hAnsi="宋体"/>
          <w:color w:val="auto"/>
          <w:sz w:val="21"/>
          <w:szCs w:val="21"/>
          <w:highlight w:val="none"/>
        </w:rPr>
        <w:t>项目定位为国际创新资源的集聚区、青年创新创业的训练营、创新创业人才的栖息地，划分为科技研发、产业孵化、商务配套及人才安居等四大功能分区。</w:t>
      </w:r>
    </w:p>
    <w:p>
      <w:pPr>
        <w:pStyle w:val="2"/>
        <w:numPr>
          <w:ilvl w:val="0"/>
          <w:numId w:val="11"/>
        </w:numPr>
        <w:spacing w:line="360" w:lineRule="auto"/>
        <w:rPr>
          <w:rFonts w:hint="eastAsia"/>
          <w:color w:val="auto"/>
          <w:highlight w:val="none"/>
          <w:lang w:val="en-US" w:eastAsia="zh-CN"/>
        </w:rPr>
      </w:pPr>
      <w:r>
        <w:rPr>
          <w:rFonts w:hint="eastAsia"/>
          <w:color w:val="auto"/>
          <w:highlight w:val="none"/>
          <w:lang w:val="en-US" w:eastAsia="zh-CN"/>
        </w:rPr>
        <w:t>采购范围</w:t>
      </w:r>
    </w:p>
    <w:p>
      <w:pPr>
        <w:pStyle w:val="12"/>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本次采购为</w:t>
      </w:r>
      <w:r>
        <w:rPr>
          <w:rFonts w:hint="eastAsia" w:ascii="宋体" w:hAnsi="宋体"/>
          <w:color w:val="auto"/>
          <w:sz w:val="21"/>
          <w:szCs w:val="21"/>
          <w:highlight w:val="none"/>
          <w:lang w:eastAsia="zh-CN"/>
        </w:rPr>
        <w:t>松山湖国际创新创业社区零星工程（含维修）协议采购项目</w:t>
      </w:r>
      <w:r>
        <w:rPr>
          <w:rFonts w:hint="eastAsia" w:ascii="宋体" w:hAnsi="宋体"/>
          <w:color w:val="auto"/>
          <w:sz w:val="21"/>
          <w:szCs w:val="21"/>
          <w:highlight w:val="none"/>
        </w:rPr>
        <w:t>，包括</w:t>
      </w:r>
      <w:r>
        <w:rPr>
          <w:rFonts w:hint="eastAsia" w:ascii="宋体" w:hAnsi="宋体"/>
          <w:color w:val="auto"/>
          <w:sz w:val="21"/>
          <w:szCs w:val="21"/>
          <w:highlight w:val="none"/>
          <w:lang w:eastAsia="zh-CN"/>
        </w:rPr>
        <w:t>但不限于</w:t>
      </w:r>
      <w:r>
        <w:rPr>
          <w:rFonts w:hint="eastAsia" w:ascii="宋体" w:hAnsi="宋体"/>
          <w:color w:val="auto"/>
          <w:sz w:val="21"/>
          <w:szCs w:val="21"/>
          <w:highlight w:val="none"/>
        </w:rPr>
        <w:t>社区</w:t>
      </w:r>
      <w:r>
        <w:rPr>
          <w:rFonts w:hint="eastAsia" w:ascii="宋体" w:hAnsi="宋体"/>
          <w:color w:val="auto"/>
          <w:sz w:val="21"/>
          <w:szCs w:val="21"/>
          <w:highlight w:val="none"/>
          <w:lang w:eastAsia="zh-CN"/>
        </w:rPr>
        <w:t>内零星</w:t>
      </w:r>
      <w:r>
        <w:rPr>
          <w:rFonts w:hint="eastAsia" w:ascii="宋体" w:hAnsi="宋体"/>
          <w:color w:val="auto"/>
          <w:sz w:val="21"/>
          <w:szCs w:val="21"/>
          <w:highlight w:val="none"/>
        </w:rPr>
        <w:t>拆除工程</w:t>
      </w:r>
      <w:r>
        <w:rPr>
          <w:rFonts w:hint="eastAsia" w:ascii="宋体" w:hAnsi="宋体"/>
          <w:color w:val="auto"/>
          <w:sz w:val="21"/>
          <w:szCs w:val="21"/>
          <w:highlight w:val="none"/>
          <w:lang w:eastAsia="zh-CN"/>
        </w:rPr>
        <w:t>、</w:t>
      </w:r>
      <w:r>
        <w:rPr>
          <w:rFonts w:hint="eastAsia" w:ascii="宋体" w:hAnsi="宋体"/>
          <w:color w:val="auto"/>
          <w:sz w:val="21"/>
          <w:szCs w:val="21"/>
          <w:highlight w:val="none"/>
        </w:rPr>
        <w:t>墙地砖、石材工程</w:t>
      </w:r>
      <w:r>
        <w:rPr>
          <w:rFonts w:hint="eastAsia" w:ascii="宋体" w:hAnsi="宋体"/>
          <w:color w:val="auto"/>
          <w:sz w:val="21"/>
          <w:szCs w:val="21"/>
          <w:highlight w:val="none"/>
          <w:lang w:eastAsia="zh-CN"/>
        </w:rPr>
        <w:t>、</w:t>
      </w:r>
      <w:r>
        <w:rPr>
          <w:rFonts w:hint="eastAsia" w:ascii="宋体" w:hAnsi="宋体"/>
          <w:color w:val="auto"/>
          <w:sz w:val="21"/>
          <w:szCs w:val="21"/>
          <w:highlight w:val="none"/>
        </w:rPr>
        <w:t>油漆涂料工程</w:t>
      </w:r>
      <w:r>
        <w:rPr>
          <w:rFonts w:hint="eastAsia" w:ascii="宋体" w:hAnsi="宋体"/>
          <w:color w:val="auto"/>
          <w:sz w:val="21"/>
          <w:szCs w:val="21"/>
          <w:highlight w:val="none"/>
          <w:lang w:eastAsia="zh-CN"/>
        </w:rPr>
        <w:t>、</w:t>
      </w:r>
      <w:r>
        <w:rPr>
          <w:rFonts w:hint="eastAsia" w:ascii="宋体" w:hAnsi="宋体"/>
          <w:color w:val="auto"/>
          <w:sz w:val="21"/>
          <w:szCs w:val="21"/>
          <w:highlight w:val="none"/>
        </w:rPr>
        <w:t>部品安装工程</w:t>
      </w:r>
      <w:r>
        <w:rPr>
          <w:rFonts w:hint="eastAsia" w:ascii="宋体" w:hAnsi="宋体"/>
          <w:color w:val="auto"/>
          <w:sz w:val="21"/>
          <w:szCs w:val="21"/>
          <w:highlight w:val="none"/>
          <w:lang w:eastAsia="zh-CN"/>
        </w:rPr>
        <w:t>、</w:t>
      </w:r>
      <w:r>
        <w:rPr>
          <w:rFonts w:hint="eastAsia" w:ascii="宋体" w:hAnsi="宋体"/>
          <w:color w:val="auto"/>
          <w:sz w:val="21"/>
          <w:szCs w:val="21"/>
          <w:highlight w:val="none"/>
        </w:rPr>
        <w:t>门窗工程</w:t>
      </w:r>
      <w:r>
        <w:rPr>
          <w:rFonts w:hint="eastAsia" w:ascii="宋体" w:hAnsi="宋体"/>
          <w:color w:val="auto"/>
          <w:sz w:val="21"/>
          <w:szCs w:val="21"/>
          <w:highlight w:val="none"/>
          <w:lang w:eastAsia="zh-CN"/>
        </w:rPr>
        <w:t>、</w:t>
      </w:r>
      <w:r>
        <w:rPr>
          <w:rFonts w:hint="eastAsia" w:ascii="宋体" w:hAnsi="宋体"/>
          <w:color w:val="auto"/>
          <w:sz w:val="21"/>
          <w:szCs w:val="21"/>
          <w:highlight w:val="none"/>
        </w:rPr>
        <w:t>钢筋、砼工程</w:t>
      </w:r>
      <w:r>
        <w:rPr>
          <w:rFonts w:hint="eastAsia" w:ascii="宋体" w:hAnsi="宋体"/>
          <w:color w:val="auto"/>
          <w:sz w:val="21"/>
          <w:szCs w:val="21"/>
          <w:highlight w:val="none"/>
          <w:lang w:eastAsia="zh-CN"/>
        </w:rPr>
        <w:t>、</w:t>
      </w:r>
      <w:r>
        <w:rPr>
          <w:rFonts w:hint="eastAsia" w:ascii="宋体" w:hAnsi="宋体"/>
          <w:color w:val="auto"/>
          <w:sz w:val="21"/>
          <w:szCs w:val="21"/>
          <w:highlight w:val="none"/>
        </w:rPr>
        <w:t>砌体抹灰工程</w:t>
      </w:r>
      <w:r>
        <w:rPr>
          <w:rFonts w:hint="eastAsia" w:ascii="宋体" w:hAnsi="宋体"/>
          <w:color w:val="auto"/>
          <w:sz w:val="21"/>
          <w:szCs w:val="21"/>
          <w:highlight w:val="none"/>
          <w:lang w:eastAsia="zh-CN"/>
        </w:rPr>
        <w:t>、</w:t>
      </w:r>
      <w:r>
        <w:rPr>
          <w:rFonts w:hint="eastAsia" w:ascii="宋体" w:hAnsi="宋体"/>
          <w:color w:val="auto"/>
          <w:sz w:val="21"/>
          <w:szCs w:val="21"/>
          <w:highlight w:val="none"/>
        </w:rPr>
        <w:t>防水工程</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措施项目</w:t>
      </w:r>
      <w:r>
        <w:rPr>
          <w:rFonts w:hint="eastAsia" w:ascii="宋体" w:hAnsi="宋体"/>
          <w:color w:val="auto"/>
          <w:sz w:val="21"/>
          <w:szCs w:val="21"/>
          <w:highlight w:val="none"/>
          <w:lang w:eastAsia="zh-CN"/>
        </w:rPr>
        <w:t>、</w:t>
      </w:r>
      <w:r>
        <w:rPr>
          <w:rFonts w:hint="eastAsia" w:ascii="宋体" w:hAnsi="宋体"/>
          <w:color w:val="auto"/>
          <w:sz w:val="21"/>
          <w:szCs w:val="21"/>
          <w:highlight w:val="none"/>
        </w:rPr>
        <w:t>室外工程</w:t>
      </w:r>
      <w:r>
        <w:rPr>
          <w:rFonts w:hint="eastAsia" w:ascii="宋体" w:hAnsi="宋体"/>
          <w:color w:val="auto"/>
          <w:sz w:val="21"/>
          <w:szCs w:val="21"/>
          <w:highlight w:val="none"/>
          <w:lang w:eastAsia="zh-CN"/>
        </w:rPr>
        <w:t>、水电、五金工程、</w:t>
      </w:r>
      <w:r>
        <w:rPr>
          <w:rFonts w:hint="eastAsia" w:ascii="宋体" w:hAnsi="宋体"/>
          <w:color w:val="auto"/>
          <w:sz w:val="21"/>
          <w:szCs w:val="21"/>
          <w:highlight w:val="none"/>
        </w:rPr>
        <w:t>其他工程等。服务期限</w:t>
      </w:r>
      <w:r>
        <w:rPr>
          <w:rFonts w:hint="eastAsia" w:ascii="宋体" w:hAnsi="宋体"/>
          <w:color w:val="auto"/>
          <w:sz w:val="21"/>
          <w:szCs w:val="21"/>
          <w:highlight w:val="none"/>
          <w:lang w:val="en-US" w:eastAsia="zh-CN"/>
        </w:rPr>
        <w:t>自合同签订日起两年。</w:t>
      </w:r>
      <w:r>
        <w:rPr>
          <w:rFonts w:hint="eastAsia" w:ascii="宋体" w:hAnsi="宋体"/>
          <w:color w:val="auto"/>
          <w:sz w:val="21"/>
          <w:szCs w:val="21"/>
          <w:highlight w:val="none"/>
        </w:rPr>
        <w:t>服务期限内，如预算金额提前使用完毕，即合同终止；服务期限结束，即合同终止；以先到为准。</w:t>
      </w:r>
    </w:p>
    <w:p>
      <w:pPr>
        <w:pStyle w:val="12"/>
        <w:spacing w:line="360" w:lineRule="auto"/>
        <w:rPr>
          <w:rFonts w:hint="default" w:ascii="宋体" w:hAnsi="宋体"/>
          <w:color w:val="auto"/>
          <w:sz w:val="21"/>
          <w:szCs w:val="21"/>
          <w:highlight w:val="none"/>
          <w:lang w:val="en-US" w:eastAsia="zh-CN"/>
        </w:rPr>
      </w:pPr>
      <w:r>
        <w:rPr>
          <w:rFonts w:hint="eastAsia" w:ascii="宋体" w:hAnsi="宋体"/>
          <w:b/>
          <w:bCs/>
          <w:color w:val="auto"/>
          <w:sz w:val="21"/>
          <w:szCs w:val="21"/>
          <w:highlight w:val="none"/>
          <w:lang w:val="en-US" w:eastAsia="zh-CN"/>
        </w:rPr>
        <w:t>采购项目清单及预算价详见公告附件</w:t>
      </w:r>
      <w:r>
        <w:rPr>
          <w:rFonts w:hint="eastAsia" w:ascii="宋体" w:hAnsi="宋体"/>
          <w:color w:val="auto"/>
          <w:sz w:val="21"/>
          <w:szCs w:val="21"/>
          <w:highlight w:val="none"/>
          <w:lang w:val="en-US" w:eastAsia="zh-CN"/>
        </w:rPr>
        <w:t>。实际实施内容可能不限于已有清单。清单中没有的项目，有相似项目可参考相似项目执行或调整；若无相似项目，则按广东省2018清单及定额规定并结合市场信息价确定综合单价后按中标下浮率下浮。</w:t>
      </w:r>
      <w:r>
        <w:rPr>
          <w:rFonts w:hint="eastAsia" w:hAnsi="宋体"/>
          <w:color w:val="auto"/>
          <w:sz w:val="21"/>
          <w:szCs w:val="21"/>
          <w:highlight w:val="none"/>
          <w:lang w:val="en-US" w:eastAsia="zh-CN"/>
        </w:rPr>
        <w:t>暂定主材价的清单综合单价调整方式：综合单价= 预算综合单价*中标下浮率+（确认主材价-预算暂定主材价*中标下浮率）*（1+税率）。</w:t>
      </w:r>
    </w:p>
    <w:p>
      <w:pPr>
        <w:pStyle w:val="60"/>
        <w:ind w:firstLine="0" w:firstLineChars="0"/>
        <w:rPr>
          <w:rFonts w:hint="default"/>
          <w:color w:val="auto"/>
          <w:highlight w:val="none"/>
          <w:lang w:val="en-US" w:eastAsia="zh-CN"/>
        </w:rPr>
      </w:pPr>
    </w:p>
    <w:p>
      <w:pPr>
        <w:pStyle w:val="2"/>
        <w:spacing w:line="360" w:lineRule="auto"/>
        <w:rPr>
          <w:rFonts w:hint="eastAsia"/>
          <w:color w:val="auto"/>
          <w:highlight w:val="none"/>
          <w:lang w:eastAsia="zh-CN"/>
        </w:rPr>
      </w:pPr>
      <w:r>
        <w:rPr>
          <w:rFonts w:hint="eastAsia"/>
          <w:color w:val="auto"/>
          <w:highlight w:val="none"/>
          <w:lang w:eastAsia="zh-CN"/>
        </w:rPr>
        <w:t>三</w:t>
      </w:r>
      <w:r>
        <w:rPr>
          <w:rFonts w:hint="eastAsia"/>
          <w:color w:val="auto"/>
          <w:highlight w:val="none"/>
        </w:rPr>
        <w:t>、</w:t>
      </w:r>
      <w:r>
        <w:rPr>
          <w:rFonts w:hint="eastAsia"/>
          <w:color w:val="auto"/>
          <w:highlight w:val="none"/>
          <w:lang w:eastAsia="zh-CN"/>
        </w:rPr>
        <w:t>项目要求</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（一）响应</w:t>
      </w:r>
      <w:r>
        <w:rPr>
          <w:rFonts w:hint="eastAsia" w:hAnsi="宋体" w:cs="宋体"/>
          <w:color w:val="auto"/>
          <w:sz w:val="21"/>
          <w:szCs w:val="21"/>
          <w:highlight w:val="none"/>
        </w:rPr>
        <w:t>要求：</w:t>
      </w:r>
    </w:p>
    <w:p>
      <w:pPr>
        <w:tabs>
          <w:tab w:val="left" w:pos="-28"/>
        </w:tabs>
        <w:spacing w:line="360" w:lineRule="auto"/>
        <w:ind w:firstLine="420" w:firstLineChars="200"/>
        <w:rPr>
          <w:rFonts w:hint="eastAsia" w:hAnsi="宋体" w:cs="宋体"/>
          <w:color w:val="auto"/>
          <w:sz w:val="21"/>
          <w:szCs w:val="21"/>
          <w:highlight w:val="none"/>
          <w:u w:val="single"/>
          <w:lang w:eastAsia="zh-CN"/>
        </w:rPr>
      </w:pPr>
      <w:r>
        <w:rPr>
          <w:rFonts w:hint="eastAsia" w:hAnsi="宋体" w:cs="宋体"/>
          <w:color w:val="auto"/>
          <w:sz w:val="21"/>
          <w:szCs w:val="21"/>
          <w:highlight w:val="none"/>
          <w:u w:val="none"/>
          <w:lang w:val="en-US" w:eastAsia="zh-CN"/>
        </w:rPr>
        <w:t>1、</w:t>
      </w:r>
      <w:r>
        <w:rPr>
          <w:rFonts w:hint="eastAsia" w:hAnsi="宋体" w:cs="宋体"/>
          <w:color w:val="auto"/>
          <w:sz w:val="21"/>
          <w:szCs w:val="21"/>
          <w:highlight w:val="none"/>
          <w:u w:val="none"/>
          <w:lang w:eastAsia="zh-CN"/>
        </w:rPr>
        <w:t>成交供应商需接到</w:t>
      </w:r>
      <w:r>
        <w:rPr>
          <w:rFonts w:hint="eastAsia" w:hAnsi="宋体" w:cs="宋体"/>
          <w:color w:val="auto"/>
          <w:sz w:val="21"/>
          <w:szCs w:val="21"/>
          <w:highlight w:val="none"/>
          <w:u w:val="none"/>
          <w:lang w:val="en-US" w:eastAsia="zh-CN"/>
        </w:rPr>
        <w:t>采购人指令</w:t>
      </w:r>
      <w:r>
        <w:rPr>
          <w:rFonts w:hint="eastAsia" w:hAnsi="宋体" w:cs="宋体"/>
          <w:color w:val="auto"/>
          <w:sz w:val="21"/>
          <w:szCs w:val="21"/>
          <w:highlight w:val="none"/>
          <w:u w:val="none"/>
          <w:lang w:eastAsia="zh-CN"/>
        </w:rPr>
        <w:t>后</w:t>
      </w:r>
      <w:r>
        <w:rPr>
          <w:rFonts w:hint="eastAsia" w:hAnsi="宋体" w:cs="宋体"/>
          <w:color w:val="auto"/>
          <w:sz w:val="21"/>
          <w:szCs w:val="21"/>
          <w:highlight w:val="none"/>
          <w:u w:val="none"/>
          <w:lang w:val="en-US" w:eastAsia="zh-CN"/>
        </w:rPr>
        <w:t>24小时内响应</w:t>
      </w:r>
      <w:r>
        <w:rPr>
          <w:rFonts w:hint="eastAsia" w:hAnsi="宋体" w:cs="宋体"/>
          <w:color w:val="auto"/>
          <w:sz w:val="21"/>
          <w:szCs w:val="21"/>
          <w:highlight w:val="none"/>
          <w:u w:val="none"/>
          <w:lang w:eastAsia="zh-CN"/>
        </w:rPr>
        <w:t>，并在采购人规定的时间内提交</w:t>
      </w:r>
      <w:r>
        <w:rPr>
          <w:rFonts w:hint="eastAsia" w:hAnsi="宋体" w:cs="宋体"/>
          <w:color w:val="auto"/>
          <w:sz w:val="21"/>
          <w:szCs w:val="21"/>
          <w:highlight w:val="none"/>
          <w:u w:val="none"/>
          <w:lang w:val="en-US" w:eastAsia="zh-CN"/>
        </w:rPr>
        <w:t>施工图纸或</w:t>
      </w:r>
      <w:r>
        <w:rPr>
          <w:rFonts w:hint="eastAsia" w:hAnsi="宋体" w:cs="宋体"/>
          <w:color w:val="auto"/>
          <w:sz w:val="21"/>
          <w:szCs w:val="21"/>
          <w:highlight w:val="none"/>
          <w:u w:val="none"/>
          <w:lang w:eastAsia="zh-CN"/>
        </w:rPr>
        <w:t>施工方案。</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2、须根据工程的工期目标及项目特点，制定详细的施工进度计划和科学的保证措施。根据每项工</w:t>
      </w:r>
      <w:r>
        <w:rPr>
          <w:rFonts w:hint="eastAsia" w:hAnsi="宋体" w:cs="宋体"/>
          <w:color w:val="auto"/>
          <w:sz w:val="21"/>
          <w:szCs w:val="21"/>
          <w:highlight w:val="none"/>
          <w:lang w:val="en-US" w:eastAsia="zh-CN"/>
        </w:rPr>
        <w:t>程内容及</w:t>
      </w:r>
      <w:r>
        <w:rPr>
          <w:rFonts w:hint="eastAsia" w:hAnsi="宋体" w:cs="宋体"/>
          <w:color w:val="auto"/>
          <w:sz w:val="21"/>
          <w:szCs w:val="21"/>
          <w:highlight w:val="none"/>
        </w:rPr>
        <w:t>进度要求，在人员、材料、机械及资金等方面的投入</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均需</w:t>
      </w:r>
      <w:r>
        <w:rPr>
          <w:rFonts w:hint="eastAsia" w:hAnsi="宋体" w:cs="宋体"/>
          <w:color w:val="auto"/>
          <w:sz w:val="21"/>
          <w:szCs w:val="21"/>
          <w:highlight w:val="none"/>
        </w:rPr>
        <w:t>满足开工、竣工以及制定科学可靠、</w:t>
      </w:r>
      <w:r>
        <w:rPr>
          <w:rFonts w:hint="eastAsia" w:hAnsi="宋体" w:cs="宋体"/>
          <w:color w:val="auto"/>
          <w:sz w:val="21"/>
          <w:szCs w:val="21"/>
          <w:highlight w:val="none"/>
          <w:lang w:val="en-US" w:eastAsia="zh-CN"/>
        </w:rPr>
        <w:t>安全</w:t>
      </w:r>
      <w:r>
        <w:rPr>
          <w:rFonts w:hint="eastAsia" w:hAnsi="宋体" w:cs="宋体"/>
          <w:color w:val="auto"/>
          <w:sz w:val="21"/>
          <w:szCs w:val="21"/>
          <w:highlight w:val="none"/>
        </w:rPr>
        <w:t>可行的施工进度计划及保障措施</w:t>
      </w:r>
      <w:r>
        <w:rPr>
          <w:rFonts w:hint="eastAsia" w:hAnsi="宋体" w:cs="宋体"/>
          <w:color w:val="auto"/>
          <w:sz w:val="21"/>
          <w:szCs w:val="21"/>
          <w:highlight w:val="none"/>
          <w:lang w:val="en-US" w:eastAsia="zh-CN"/>
        </w:rPr>
        <w:t>的需求</w:t>
      </w:r>
      <w:r>
        <w:rPr>
          <w:rFonts w:hint="eastAsia" w:hAnsi="宋体" w:cs="宋体"/>
          <w:color w:val="auto"/>
          <w:sz w:val="21"/>
          <w:szCs w:val="21"/>
          <w:highlight w:val="none"/>
        </w:rPr>
        <w:t>。</w:t>
      </w:r>
    </w:p>
    <w:p>
      <w:pPr>
        <w:tabs>
          <w:tab w:val="left" w:pos="-28"/>
        </w:tabs>
        <w:spacing w:line="360" w:lineRule="auto"/>
        <w:ind w:firstLine="420" w:firstLineChars="200"/>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（二）人员要求：</w:t>
      </w:r>
    </w:p>
    <w:p>
      <w:pPr>
        <w:tabs>
          <w:tab w:val="left" w:pos="-28"/>
        </w:tabs>
        <w:spacing w:line="360" w:lineRule="auto"/>
        <w:ind w:firstLine="420" w:firstLineChars="200"/>
        <w:rPr>
          <w:rFonts w:hint="eastAsia" w:hAnsi="宋体" w:cs="宋体"/>
          <w:color w:val="auto"/>
          <w:sz w:val="21"/>
          <w:szCs w:val="21"/>
          <w:highlight w:val="none"/>
          <w:lang w:eastAsia="zh-CN"/>
        </w:rPr>
      </w:pPr>
      <w:r>
        <w:rPr>
          <w:rFonts w:hint="eastAsia" w:hAnsi="宋体" w:cs="宋体"/>
          <w:color w:val="auto"/>
          <w:sz w:val="21"/>
          <w:szCs w:val="21"/>
          <w:highlight w:val="none"/>
          <w:lang w:val="en-US" w:eastAsia="zh-CN"/>
        </w:rPr>
        <w:t>1、成交供应商</w:t>
      </w:r>
      <w:r>
        <w:rPr>
          <w:rFonts w:hint="eastAsia" w:hAnsi="宋体" w:cs="宋体"/>
          <w:color w:val="auto"/>
          <w:sz w:val="21"/>
          <w:szCs w:val="21"/>
          <w:highlight w:val="none"/>
        </w:rPr>
        <w:t>需确定一名项目负责人。须承诺如若中标，签订合同后六个月内</w:t>
      </w:r>
      <w:r>
        <w:rPr>
          <w:rFonts w:hint="eastAsia" w:hAnsi="宋体" w:cs="宋体"/>
          <w:color w:val="auto"/>
          <w:sz w:val="21"/>
          <w:szCs w:val="21"/>
          <w:highlight w:val="none"/>
          <w:lang w:eastAsia="zh-CN"/>
        </w:rPr>
        <w:t>未经采购人同意</w:t>
      </w:r>
      <w:r>
        <w:rPr>
          <w:rFonts w:hint="eastAsia" w:hAnsi="宋体" w:cs="宋体"/>
          <w:color w:val="auto"/>
          <w:sz w:val="21"/>
          <w:szCs w:val="21"/>
          <w:highlight w:val="none"/>
        </w:rPr>
        <w:t>不得更换项目负责人，否则</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有权终止与</w:t>
      </w:r>
      <w:r>
        <w:rPr>
          <w:rFonts w:hint="eastAsia" w:hAnsi="宋体" w:cs="宋体"/>
          <w:color w:val="auto"/>
          <w:sz w:val="21"/>
          <w:szCs w:val="21"/>
          <w:highlight w:val="none"/>
          <w:lang w:eastAsia="zh-CN"/>
        </w:rPr>
        <w:t>成交人</w:t>
      </w:r>
      <w:r>
        <w:rPr>
          <w:rFonts w:hint="eastAsia" w:hAnsi="宋体" w:cs="宋体"/>
          <w:color w:val="auto"/>
          <w:sz w:val="21"/>
          <w:szCs w:val="21"/>
          <w:highlight w:val="none"/>
        </w:rPr>
        <w:t>签订的服务合同并没收其履约担保</w:t>
      </w:r>
      <w:r>
        <w:rPr>
          <w:rFonts w:hint="eastAsia" w:hAnsi="宋体" w:cs="宋体"/>
          <w:color w:val="auto"/>
          <w:sz w:val="21"/>
          <w:szCs w:val="21"/>
          <w:highlight w:val="none"/>
          <w:lang w:eastAsia="zh-CN"/>
        </w:rPr>
        <w:t>。</w:t>
      </w:r>
    </w:p>
    <w:p>
      <w:pPr>
        <w:tabs>
          <w:tab w:val="left" w:pos="-28"/>
        </w:tabs>
        <w:spacing w:line="360" w:lineRule="auto"/>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投入本项目人员情况（项目负责人、专职安全员除外）:技术负责人1人；施工主管1人、施工员2人、质检（量）员1人、材料员1人、资料员1人。接到施工指令后，配备专职安全人员负责现场安全；配备满足工作需求的木工、电工、泥水工、机电安装、电子智能化安装等工种人员。</w:t>
      </w:r>
    </w:p>
    <w:p>
      <w:pPr>
        <w:tabs>
          <w:tab w:val="left" w:pos="-28"/>
        </w:tabs>
        <w:spacing w:line="360" w:lineRule="auto"/>
        <w:ind w:firstLine="420" w:firstLineChars="200"/>
        <w:rPr>
          <w:rFonts w:hint="eastAsia" w:hAnsi="宋体" w:cs="宋体"/>
          <w:color w:val="auto"/>
          <w:sz w:val="21"/>
          <w:szCs w:val="21"/>
          <w:highlight w:val="none"/>
        </w:rPr>
      </w:pPr>
      <w:r>
        <w:rPr>
          <w:rFonts w:hint="eastAsia"/>
          <w:color w:val="auto"/>
          <w:sz w:val="21"/>
          <w:szCs w:val="21"/>
          <w:highlight w:val="none"/>
          <w:lang w:val="en-US" w:eastAsia="zh-CN"/>
        </w:rPr>
        <w:t>3、</w:t>
      </w:r>
      <w:r>
        <w:rPr>
          <w:rFonts w:hint="eastAsia" w:hAnsi="宋体" w:cs="宋体"/>
          <w:color w:val="auto"/>
          <w:sz w:val="21"/>
          <w:szCs w:val="21"/>
          <w:highlight w:val="none"/>
        </w:rPr>
        <w:t>合同签订日起计前3个月为试用期，至试用期满止，</w:t>
      </w:r>
      <w:r>
        <w:rPr>
          <w:rFonts w:hint="eastAsia" w:hAnsi="宋体" w:cs="宋体"/>
          <w:color w:val="auto"/>
          <w:sz w:val="21"/>
          <w:szCs w:val="21"/>
          <w:highlight w:val="none"/>
          <w:lang w:val="en-US" w:eastAsia="zh-CN"/>
        </w:rPr>
        <w:t>成交供应商</w:t>
      </w:r>
      <w:r>
        <w:rPr>
          <w:rFonts w:hint="eastAsia" w:hAnsi="宋体" w:cs="宋体"/>
          <w:color w:val="auto"/>
          <w:sz w:val="21"/>
          <w:szCs w:val="21"/>
          <w:highlight w:val="none"/>
        </w:rPr>
        <w:t>未能按以上要求配置人员或维修服务时效和维修质量，经考核未达到</w:t>
      </w:r>
      <w:r>
        <w:rPr>
          <w:rFonts w:hint="eastAsia" w:hAnsi="宋体" w:cs="宋体"/>
          <w:color w:val="auto"/>
          <w:sz w:val="21"/>
          <w:szCs w:val="21"/>
          <w:highlight w:val="none"/>
          <w:lang w:val="en-US" w:eastAsia="zh-CN"/>
        </w:rPr>
        <w:t>采购人</w:t>
      </w:r>
      <w:r>
        <w:rPr>
          <w:rFonts w:hint="eastAsia" w:hAnsi="宋体" w:cs="宋体"/>
          <w:color w:val="auto"/>
          <w:sz w:val="21"/>
          <w:szCs w:val="21"/>
          <w:highlight w:val="none"/>
        </w:rPr>
        <w:t>要求；或者在合同期内，成交供应商连续两个月考核不合格，或累计4个月考核不合格，采购人有权解除该项目的服务合同更换其他的供应商提供服务，不负违约责任。</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（三）服务标准：质量要求和质量保修规定</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1、质量：符合国家有关施工质量验收标准的合格工程或合同约定。工程规范以现行的或承担具体施工任务期间国家和行业新颁布施行的规范、规程为准。</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2、材料、设备、施工须达到现行中华人民共和国以及省、自治区、直辖市或行业的工程建设标准、规范的要求及验收标准及有关规范为质量评定验收标准。</w:t>
      </w:r>
    </w:p>
    <w:p>
      <w:pPr>
        <w:tabs>
          <w:tab w:val="left" w:pos="-28"/>
        </w:tabs>
        <w:spacing w:line="360" w:lineRule="auto"/>
        <w:ind w:firstLine="420" w:firstLineChars="200"/>
        <w:rPr>
          <w:rFonts w:hint="eastAsia" w:hAnsi="宋体" w:eastAsia="宋体" w:cs="宋体"/>
          <w:color w:val="auto"/>
          <w:sz w:val="21"/>
          <w:szCs w:val="21"/>
          <w:highlight w:val="none"/>
          <w:lang w:eastAsia="zh-CN"/>
        </w:rPr>
      </w:pPr>
      <w:r>
        <w:rPr>
          <w:rFonts w:hint="eastAsia" w:hAnsi="宋体" w:cs="宋体"/>
          <w:color w:val="auto"/>
          <w:sz w:val="21"/>
          <w:szCs w:val="21"/>
          <w:highlight w:val="none"/>
        </w:rPr>
        <w:t>3、质量保修期：</w:t>
      </w:r>
      <w:r>
        <w:rPr>
          <w:rFonts w:hint="eastAsia" w:hAnsi="宋体" w:cs="宋体"/>
          <w:color w:val="auto"/>
          <w:sz w:val="21"/>
          <w:szCs w:val="21"/>
          <w:highlight w:val="none"/>
          <w:lang w:val="en-US" w:eastAsia="zh-CN"/>
        </w:rPr>
        <w:t>具体由采购人下达的联系单实施内容完成后，以验收表确认的完工时间作为该事项质量保修期的开始时间，各事项的质量保修期限</w:t>
      </w:r>
      <w:r>
        <w:rPr>
          <w:rFonts w:hint="eastAsia" w:hAnsi="宋体" w:cs="宋体"/>
          <w:color w:val="auto"/>
          <w:sz w:val="21"/>
          <w:szCs w:val="21"/>
          <w:highlight w:val="none"/>
        </w:rPr>
        <w:t>按国家有关规定执行</w:t>
      </w:r>
      <w:r>
        <w:rPr>
          <w:rFonts w:hint="eastAsia" w:hAnsi="宋体" w:cs="宋体"/>
          <w:color w:val="auto"/>
          <w:sz w:val="21"/>
          <w:szCs w:val="21"/>
          <w:highlight w:val="none"/>
          <w:lang w:eastAsia="zh-CN"/>
        </w:rPr>
        <w:t>。</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4、工期要求：</w:t>
      </w:r>
      <w:r>
        <w:rPr>
          <w:rFonts w:hint="eastAsia" w:hAnsi="宋体" w:cs="宋体"/>
          <w:color w:val="auto"/>
          <w:sz w:val="21"/>
          <w:szCs w:val="21"/>
          <w:highlight w:val="none"/>
          <w:lang w:val="en-US" w:eastAsia="zh-CN"/>
        </w:rPr>
        <w:t>按各项施工指定单或工程联系单确定</w:t>
      </w:r>
      <w:r>
        <w:rPr>
          <w:rFonts w:hint="eastAsia" w:hAnsi="宋体" w:cs="宋体"/>
          <w:color w:val="auto"/>
          <w:sz w:val="21"/>
          <w:szCs w:val="21"/>
          <w:highlight w:val="none"/>
        </w:rPr>
        <w:t>确定。</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工程实施过程中，出现下列情形，经采购确认，工期予以顺延：</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（1）不可抗力因素；</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（2）由于设计变更，致使工程量重大增加者（超过总量的10%）；</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（3）工程款不能按时或逾期支付者。</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5、安全文明施工要求：</w:t>
      </w:r>
      <w:r>
        <w:rPr>
          <w:rFonts w:hint="eastAsia" w:hAnsi="宋体" w:cs="宋体"/>
          <w:color w:val="auto"/>
          <w:sz w:val="21"/>
          <w:szCs w:val="21"/>
          <w:highlight w:val="none"/>
          <w:lang w:val="en-US" w:eastAsia="zh-CN"/>
        </w:rPr>
        <w:t>成交</w:t>
      </w:r>
      <w:r>
        <w:rPr>
          <w:rFonts w:hint="eastAsia" w:hAnsi="宋体" w:cs="宋体"/>
          <w:color w:val="auto"/>
          <w:sz w:val="21"/>
          <w:szCs w:val="21"/>
          <w:highlight w:val="none"/>
        </w:rPr>
        <w:t>供应商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w:t>
      </w:r>
      <w:r>
        <w:rPr>
          <w:rFonts w:hint="eastAsia" w:hAnsi="宋体" w:cs="宋体"/>
          <w:color w:val="auto"/>
          <w:sz w:val="21"/>
          <w:szCs w:val="21"/>
          <w:highlight w:val="none"/>
          <w:lang w:val="en-US" w:eastAsia="zh-CN"/>
        </w:rPr>
        <w:t>成交</w:t>
      </w:r>
      <w:r>
        <w:rPr>
          <w:rFonts w:hint="eastAsia" w:hAnsi="宋体" w:cs="宋体"/>
          <w:color w:val="auto"/>
          <w:sz w:val="21"/>
          <w:szCs w:val="21"/>
          <w:highlight w:val="none"/>
        </w:rPr>
        <w:t>供应商自行承担。</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（四）验收要求</w:t>
      </w:r>
    </w:p>
    <w:p>
      <w:pPr>
        <w:tabs>
          <w:tab w:val="left" w:pos="-28"/>
        </w:tabs>
        <w:spacing w:line="360" w:lineRule="auto"/>
        <w:ind w:firstLine="420" w:firstLineChars="200"/>
        <w:rPr>
          <w:rFonts w:hint="default" w:hAnsi="宋体" w:eastAsia="宋体" w:cs="宋体"/>
          <w:color w:val="auto"/>
          <w:sz w:val="21"/>
          <w:szCs w:val="21"/>
          <w:highlight w:val="none"/>
          <w:lang w:val="en-US" w:eastAsia="zh-CN"/>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按各联系单实施内容验收。</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en-US" w:eastAsia="zh-CN"/>
        </w:rPr>
        <w:t>2、成交</w:t>
      </w:r>
      <w:r>
        <w:rPr>
          <w:rFonts w:hint="eastAsia" w:hAnsi="宋体" w:cs="宋体"/>
          <w:color w:val="auto"/>
          <w:sz w:val="21"/>
          <w:szCs w:val="21"/>
          <w:highlight w:val="none"/>
        </w:rPr>
        <w:t>供应商应按照要求施工，随时接受采购人的检查，为检查提供便利条件。如有施工与要求不相符处，需按采购人要求返工修改，并承担因自身原因导致返工、修改的费用。</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、工程具备验收条件，</w:t>
      </w:r>
      <w:r>
        <w:rPr>
          <w:rFonts w:hint="eastAsia" w:hAnsi="宋体" w:cs="宋体"/>
          <w:color w:val="auto"/>
          <w:sz w:val="21"/>
          <w:szCs w:val="21"/>
          <w:highlight w:val="none"/>
          <w:lang w:val="en-US" w:eastAsia="zh-CN"/>
        </w:rPr>
        <w:t>成交</w:t>
      </w:r>
      <w:r>
        <w:rPr>
          <w:rFonts w:hint="eastAsia" w:hAnsi="宋体" w:cs="宋体"/>
          <w:color w:val="auto"/>
          <w:sz w:val="21"/>
          <w:szCs w:val="21"/>
          <w:highlight w:val="none"/>
        </w:rPr>
        <w:t>供应商按国家工程有关规定，向采购人提供完整资料和验收报告。</w:t>
      </w:r>
      <w:r>
        <w:rPr>
          <w:rFonts w:hint="eastAsia" w:hAnsi="宋体" w:cs="宋体"/>
          <w:color w:val="auto"/>
          <w:sz w:val="21"/>
          <w:szCs w:val="21"/>
          <w:highlight w:val="none"/>
          <w:lang w:val="en-US" w:eastAsia="zh-CN"/>
        </w:rPr>
        <w:t>成交</w:t>
      </w:r>
      <w:r>
        <w:rPr>
          <w:rFonts w:hint="eastAsia" w:hAnsi="宋体" w:cs="宋体"/>
          <w:color w:val="auto"/>
          <w:sz w:val="21"/>
          <w:szCs w:val="21"/>
          <w:highlight w:val="none"/>
        </w:rPr>
        <w:t>供应商应按采购人或采购人认可的有关部门提出的修改意见进行修改，并承担因自身原因造成修改的费用。</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w:t>
      </w:r>
      <w:r>
        <w:rPr>
          <w:rFonts w:hint="eastAsia" w:hAnsi="宋体" w:cs="宋体"/>
          <w:color w:val="auto"/>
          <w:sz w:val="21"/>
          <w:szCs w:val="21"/>
          <w:highlight w:val="none"/>
          <w:lang w:val="en-US" w:eastAsia="zh-CN"/>
        </w:rPr>
        <w:t>成交供应商</w:t>
      </w:r>
      <w:r>
        <w:rPr>
          <w:rFonts w:hint="eastAsia" w:hAnsi="宋体" w:cs="宋体"/>
          <w:color w:val="auto"/>
          <w:sz w:val="21"/>
          <w:szCs w:val="21"/>
          <w:highlight w:val="none"/>
        </w:rPr>
        <w:t>应当履行下列义务</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1、遵守国家法律、法规和政策，遵守社会公德，自觉维护建筑市场秩序。</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2、遵守诚实信用原则，积极与采购人建立良好合作关系，认真履行服务合同。</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3、严格落实工程管理规定，确保工程项目的质量、安全和进度。</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4、严格服从管理要求，自觉接受履约评价。</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en-US" w:eastAsia="zh-CN"/>
        </w:rPr>
        <w:t>5</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成交供应商</w:t>
      </w:r>
      <w:r>
        <w:rPr>
          <w:rFonts w:hint="eastAsia" w:hAnsi="宋体" w:cs="宋体"/>
          <w:color w:val="auto"/>
          <w:sz w:val="21"/>
          <w:szCs w:val="21"/>
          <w:highlight w:val="none"/>
        </w:rPr>
        <w:t>应承担由自身过错导致的任何责任。</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en-US" w:eastAsia="zh-CN"/>
        </w:rPr>
        <w:t>6</w:t>
      </w:r>
      <w:r>
        <w:rPr>
          <w:rFonts w:hint="eastAsia" w:hAnsi="宋体" w:cs="宋体"/>
          <w:color w:val="auto"/>
          <w:sz w:val="21"/>
          <w:szCs w:val="21"/>
          <w:highlight w:val="none"/>
        </w:rPr>
        <w:t>、保修期间，属于保修范围和内容的项目，</w:t>
      </w:r>
      <w:r>
        <w:rPr>
          <w:rFonts w:hint="eastAsia" w:hAnsi="宋体" w:cs="宋体"/>
          <w:color w:val="auto"/>
          <w:sz w:val="21"/>
          <w:szCs w:val="21"/>
          <w:highlight w:val="none"/>
          <w:lang w:val="en-US" w:eastAsia="zh-CN"/>
        </w:rPr>
        <w:t>成交供应商</w:t>
      </w:r>
      <w:r>
        <w:rPr>
          <w:rFonts w:hint="eastAsia" w:hAnsi="宋体" w:cs="宋体"/>
          <w:color w:val="auto"/>
          <w:sz w:val="21"/>
          <w:szCs w:val="21"/>
          <w:highlight w:val="none"/>
        </w:rPr>
        <w:t>应在接到</w:t>
      </w:r>
      <w:r>
        <w:rPr>
          <w:rFonts w:hint="eastAsia" w:hAnsi="宋体" w:cs="宋体"/>
          <w:color w:val="auto"/>
          <w:sz w:val="21"/>
          <w:szCs w:val="21"/>
          <w:highlight w:val="none"/>
          <w:lang w:val="en-US" w:eastAsia="zh-CN"/>
        </w:rPr>
        <w:t>采购人</w:t>
      </w:r>
      <w:r>
        <w:rPr>
          <w:rFonts w:hint="eastAsia" w:hAnsi="宋体" w:cs="宋体"/>
          <w:color w:val="auto"/>
          <w:sz w:val="21"/>
          <w:szCs w:val="21"/>
          <w:highlight w:val="none"/>
        </w:rPr>
        <w:t>修理通知之日后1天内派人修理，修复要求按以上第2条工期要求标准。</w:t>
      </w:r>
      <w:r>
        <w:rPr>
          <w:rFonts w:hint="eastAsia" w:hAnsi="宋体" w:cs="宋体"/>
          <w:color w:val="auto"/>
          <w:sz w:val="21"/>
          <w:szCs w:val="21"/>
          <w:highlight w:val="none"/>
          <w:lang w:val="en-US" w:eastAsia="zh-CN"/>
        </w:rPr>
        <w:t>成交供应商</w:t>
      </w:r>
      <w:r>
        <w:rPr>
          <w:rFonts w:hint="eastAsia" w:hAnsi="宋体" w:cs="宋体"/>
          <w:color w:val="auto"/>
          <w:sz w:val="21"/>
          <w:szCs w:val="21"/>
          <w:highlight w:val="none"/>
        </w:rPr>
        <w:t>不在约定期限内派人修理，</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可委托其它人员修理，保修费用在质量保修费内扣除，不足部分仍由</w:t>
      </w:r>
      <w:r>
        <w:rPr>
          <w:rFonts w:hint="eastAsia" w:hAnsi="宋体" w:cs="宋体"/>
          <w:color w:val="auto"/>
          <w:sz w:val="21"/>
          <w:szCs w:val="21"/>
          <w:highlight w:val="none"/>
          <w:lang w:val="en-US" w:eastAsia="zh-CN"/>
        </w:rPr>
        <w:t>成交供应商</w:t>
      </w:r>
      <w:r>
        <w:rPr>
          <w:rFonts w:hint="eastAsia" w:hAnsi="宋体" w:cs="宋体"/>
          <w:color w:val="auto"/>
          <w:sz w:val="21"/>
          <w:szCs w:val="21"/>
          <w:highlight w:val="none"/>
        </w:rPr>
        <w:t>支付。</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（六）</w:t>
      </w:r>
      <w:r>
        <w:rPr>
          <w:rFonts w:hint="eastAsia" w:hAnsi="宋体" w:cs="宋体"/>
          <w:color w:val="auto"/>
          <w:sz w:val="21"/>
          <w:szCs w:val="21"/>
          <w:highlight w:val="none"/>
        </w:rPr>
        <w:t>其他</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如获</w:t>
      </w:r>
      <w:r>
        <w:rPr>
          <w:rFonts w:hint="eastAsia" w:hAnsi="宋体" w:cs="宋体"/>
          <w:color w:val="auto"/>
          <w:sz w:val="21"/>
          <w:szCs w:val="21"/>
          <w:highlight w:val="none"/>
          <w:lang w:eastAsia="zh-CN"/>
        </w:rPr>
        <w:t>成交</w:t>
      </w:r>
      <w:r>
        <w:rPr>
          <w:rFonts w:hint="eastAsia" w:hAnsi="宋体" w:cs="宋体"/>
          <w:color w:val="auto"/>
          <w:sz w:val="21"/>
          <w:szCs w:val="21"/>
          <w:highlight w:val="none"/>
        </w:rPr>
        <w:t>资格，不得将本项目以任何形式分包或转包给第三方，</w:t>
      </w:r>
      <w:r>
        <w:rPr>
          <w:rFonts w:hint="eastAsia" w:hAnsi="宋体" w:cs="宋体"/>
          <w:color w:val="auto"/>
          <w:sz w:val="21"/>
          <w:szCs w:val="21"/>
          <w:highlight w:val="none"/>
          <w:lang w:eastAsia="zh-CN"/>
        </w:rPr>
        <w:t>成交</w:t>
      </w:r>
      <w:r>
        <w:rPr>
          <w:rFonts w:hint="eastAsia" w:hAnsi="宋体" w:cs="宋体"/>
          <w:color w:val="auto"/>
          <w:sz w:val="21"/>
          <w:szCs w:val="21"/>
          <w:highlight w:val="none"/>
          <w:lang w:val="en-US" w:eastAsia="zh-CN"/>
        </w:rPr>
        <w:t>供应商</w:t>
      </w:r>
      <w:r>
        <w:rPr>
          <w:rFonts w:hint="eastAsia" w:hAnsi="宋体" w:cs="宋体"/>
          <w:color w:val="auto"/>
          <w:sz w:val="21"/>
          <w:szCs w:val="21"/>
          <w:highlight w:val="none"/>
        </w:rPr>
        <w:t>如有违反或损害 釆购人利益的，釆购人有权终止与</w:t>
      </w:r>
      <w:r>
        <w:rPr>
          <w:rFonts w:hint="eastAsia" w:hAnsi="宋体" w:cs="宋体"/>
          <w:color w:val="auto"/>
          <w:sz w:val="21"/>
          <w:szCs w:val="21"/>
          <w:highlight w:val="none"/>
          <w:lang w:eastAsia="zh-CN"/>
        </w:rPr>
        <w:t>成交</w:t>
      </w:r>
      <w:r>
        <w:rPr>
          <w:rFonts w:hint="eastAsia" w:hAnsi="宋体" w:cs="宋体"/>
          <w:color w:val="auto"/>
          <w:sz w:val="21"/>
          <w:szCs w:val="21"/>
          <w:highlight w:val="none"/>
          <w:lang w:val="en-US" w:eastAsia="zh-CN"/>
        </w:rPr>
        <w:t>供应商</w:t>
      </w:r>
      <w:r>
        <w:rPr>
          <w:rFonts w:hint="eastAsia" w:hAnsi="宋体" w:cs="宋体"/>
          <w:color w:val="auto"/>
          <w:sz w:val="21"/>
          <w:szCs w:val="21"/>
          <w:highlight w:val="none"/>
        </w:rPr>
        <w:t>签订的服务合同。</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eastAsia="zh-CN"/>
        </w:rPr>
        <w:t>成交</w:t>
      </w:r>
      <w:r>
        <w:rPr>
          <w:rFonts w:hint="eastAsia" w:hAnsi="宋体" w:cs="宋体"/>
          <w:color w:val="auto"/>
          <w:sz w:val="21"/>
          <w:szCs w:val="21"/>
          <w:highlight w:val="none"/>
          <w:lang w:val="en-US" w:eastAsia="zh-CN"/>
        </w:rPr>
        <w:t>供应商</w:t>
      </w:r>
      <w:r>
        <w:rPr>
          <w:rFonts w:hint="eastAsia" w:hAnsi="宋体" w:cs="宋体"/>
          <w:color w:val="auto"/>
          <w:sz w:val="21"/>
          <w:szCs w:val="21"/>
          <w:highlight w:val="none"/>
        </w:rPr>
        <w:t>在协议服务资格年限内，履行本</w:t>
      </w:r>
      <w:r>
        <w:rPr>
          <w:rFonts w:hint="eastAsia" w:hAnsi="宋体" w:cs="宋体"/>
          <w:color w:val="auto"/>
          <w:sz w:val="21"/>
          <w:szCs w:val="21"/>
          <w:highlight w:val="none"/>
          <w:lang w:val="en-US" w:eastAsia="zh-CN"/>
        </w:rPr>
        <w:t>采购</w:t>
      </w:r>
      <w:r>
        <w:rPr>
          <w:rFonts w:hint="eastAsia" w:hAnsi="宋体" w:cs="宋体"/>
          <w:color w:val="auto"/>
          <w:sz w:val="21"/>
          <w:szCs w:val="21"/>
          <w:highlight w:val="none"/>
        </w:rPr>
        <w:t>文件约定的义务过程中出现违反国家法律法规、相关主管部门规章制度、擅自提高价格或服务质量低劣造成</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损失等情况的，</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有权视情节分别给 予警告、没收履约金或取消协议服务资格等处罚。</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（3）如因涉及到清单以外的维修项，单价由双方另行协商定价，双方签字确认后再维修。</w:t>
      </w:r>
    </w:p>
    <w:p>
      <w:pPr>
        <w:tabs>
          <w:tab w:val="left" w:pos="-28"/>
        </w:tabs>
        <w:spacing w:line="360" w:lineRule="auto"/>
        <w:ind w:firstLine="420" w:firstLineChars="200"/>
        <w:rPr>
          <w:rFonts w:hint="eastAsia" w:hAnsi="宋体" w:eastAsia="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eastAsia="zh-CN"/>
        </w:rPr>
        <w:t>成交</w:t>
      </w:r>
      <w:r>
        <w:rPr>
          <w:rFonts w:hint="eastAsia" w:hAnsi="宋体" w:cs="宋体"/>
          <w:color w:val="auto"/>
          <w:sz w:val="21"/>
          <w:szCs w:val="21"/>
          <w:highlight w:val="none"/>
          <w:lang w:val="en-US" w:eastAsia="zh-CN"/>
        </w:rPr>
        <w:t>供应商</w:t>
      </w:r>
      <w:r>
        <w:rPr>
          <w:rFonts w:hint="eastAsia" w:hAnsi="宋体" w:cs="宋体"/>
          <w:color w:val="auto"/>
          <w:sz w:val="21"/>
          <w:szCs w:val="21"/>
          <w:highlight w:val="none"/>
        </w:rPr>
        <w:t>必须清楚理解：</w:t>
      </w:r>
      <w:r>
        <w:rPr>
          <w:rFonts w:hint="eastAsia" w:hAnsi="宋体" w:cs="宋体"/>
          <w:color w:val="auto"/>
          <w:sz w:val="21"/>
          <w:szCs w:val="21"/>
          <w:highlight w:val="none"/>
          <w:u w:val="single"/>
        </w:rPr>
        <w:t xml:space="preserve">本协议采购项目的取得并不意味着必然获得单项采购项目的服务机会， </w:t>
      </w:r>
      <w:r>
        <w:rPr>
          <w:rFonts w:hint="eastAsia" w:hAnsi="宋体" w:cs="宋体"/>
          <w:color w:val="auto"/>
          <w:sz w:val="21"/>
          <w:szCs w:val="21"/>
          <w:highlight w:val="none"/>
          <w:u w:val="single"/>
          <w:lang w:eastAsia="zh-CN"/>
        </w:rPr>
        <w:t>采购人</w:t>
      </w:r>
      <w:r>
        <w:rPr>
          <w:rFonts w:hint="eastAsia" w:hAnsi="宋体" w:cs="宋体"/>
          <w:color w:val="auto"/>
          <w:sz w:val="21"/>
          <w:szCs w:val="21"/>
          <w:highlight w:val="none"/>
          <w:u w:val="single"/>
        </w:rPr>
        <w:t>无法预计也无法保证</w:t>
      </w:r>
      <w:r>
        <w:rPr>
          <w:rFonts w:hint="eastAsia" w:hAnsi="宋体" w:cs="宋体"/>
          <w:color w:val="auto"/>
          <w:sz w:val="21"/>
          <w:szCs w:val="21"/>
          <w:highlight w:val="none"/>
          <w:u w:val="single"/>
          <w:lang w:eastAsia="zh-CN"/>
        </w:rPr>
        <w:t>成交人</w:t>
      </w:r>
      <w:r>
        <w:rPr>
          <w:rFonts w:hint="eastAsia" w:hAnsi="宋体" w:cs="宋体"/>
          <w:color w:val="auto"/>
          <w:sz w:val="21"/>
          <w:szCs w:val="21"/>
          <w:highlight w:val="none"/>
          <w:u w:val="single"/>
        </w:rPr>
        <w:t>所能获得的服务项目数量</w:t>
      </w:r>
      <w:r>
        <w:rPr>
          <w:rFonts w:hint="eastAsia" w:hAnsi="宋体" w:eastAsia="宋体" w:cs="宋体"/>
          <w:color w:val="auto"/>
          <w:sz w:val="21"/>
          <w:szCs w:val="21"/>
          <w:highlight w:val="none"/>
        </w:rPr>
        <w:t>。</w:t>
      </w:r>
    </w:p>
    <w:p>
      <w:pPr>
        <w:tabs>
          <w:tab w:val="left" w:pos="-28"/>
        </w:tabs>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5</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如</w:t>
      </w:r>
      <w:r>
        <w:rPr>
          <w:rFonts w:hint="eastAsia" w:hAnsi="宋体" w:eastAsia="宋体" w:cs="宋体"/>
          <w:color w:val="auto"/>
          <w:sz w:val="21"/>
          <w:szCs w:val="21"/>
          <w:highlight w:val="none"/>
          <w:lang w:eastAsia="zh-CN"/>
        </w:rPr>
        <w:t>成交供应商</w:t>
      </w:r>
      <w:r>
        <w:rPr>
          <w:rFonts w:hint="eastAsia" w:hAnsi="宋体" w:eastAsia="宋体" w:cs="宋体"/>
          <w:color w:val="auto"/>
          <w:sz w:val="21"/>
          <w:szCs w:val="21"/>
          <w:highlight w:val="none"/>
        </w:rPr>
        <w:t>因考核不合格或其他原因而中止服务，则从参与本次</w:t>
      </w:r>
      <w:r>
        <w:rPr>
          <w:rFonts w:hint="eastAsia" w:hAnsi="宋体" w:eastAsia="宋体" w:cs="宋体"/>
          <w:color w:val="auto"/>
          <w:sz w:val="21"/>
          <w:szCs w:val="21"/>
          <w:highlight w:val="none"/>
          <w:lang w:eastAsia="zh-CN"/>
        </w:rPr>
        <w:t>竞争性磋商</w:t>
      </w:r>
      <w:r>
        <w:rPr>
          <w:rFonts w:hint="eastAsia" w:hAnsi="宋体" w:eastAsia="宋体" w:cs="宋体"/>
          <w:color w:val="auto"/>
          <w:sz w:val="21"/>
          <w:szCs w:val="21"/>
          <w:highlight w:val="none"/>
        </w:rPr>
        <w:t>的供应商中，按照投标得分排名先后，通过合同谈判选取有意向服务的供应商。</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成交供应商</w:t>
      </w:r>
      <w:r>
        <w:rPr>
          <w:rFonts w:hint="eastAsia" w:hAnsi="宋体" w:cs="宋体"/>
          <w:color w:val="auto"/>
          <w:sz w:val="21"/>
          <w:szCs w:val="21"/>
          <w:highlight w:val="none"/>
        </w:rPr>
        <w:t>应充分考虑以下内容，由此所发生的各类纠纷由协议供应商自行承担，并负相应的经济和法律责任：</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①工作期间，员工须遵守国家法律法规和工程的规章制度，切实履行相关的工作制度和职责。</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②须按照劳动合同法要求负责为其员工缴纳各类社会保险费用，同时保证用工的合法性。</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③对员工进行上岗培训、安全生产教育，提供的人员须经过培训合格后才可安排进行工程实施工作，对于国家规定一些特殊的服务，提供的人员需具有相应资格和资质，持证作业，人证相符。</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④承担独立法人单位应该承担的全部责任，包括综合治理、刑事、民事、工伤、社保、员工劳保福利等一切责任。</w:t>
      </w:r>
    </w:p>
    <w:p>
      <w:pPr>
        <w:tabs>
          <w:tab w:val="left" w:pos="-28"/>
        </w:tabs>
        <w:spacing w:line="360" w:lineRule="auto"/>
        <w:ind w:firstLine="420" w:firstLineChars="200"/>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rPr>
        <w:t>⑤须按照规定与</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签订施工合同，严格按照投标文件中承诺的收费标准进行计费，严格执行系统的服务调配。</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七</w:t>
      </w:r>
      <w:r>
        <w:rPr>
          <w:rFonts w:hint="eastAsia" w:hAnsi="宋体" w:cs="宋体"/>
          <w:color w:val="auto"/>
          <w:sz w:val="21"/>
          <w:szCs w:val="21"/>
          <w:highlight w:val="none"/>
        </w:rPr>
        <w:t>）取消服务资格</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成交</w:t>
      </w:r>
      <w:r>
        <w:rPr>
          <w:rFonts w:hint="eastAsia" w:hAnsi="宋体" w:cs="宋体"/>
          <w:color w:val="auto"/>
          <w:sz w:val="21"/>
          <w:szCs w:val="21"/>
          <w:highlight w:val="none"/>
        </w:rPr>
        <w:t>供应商无正当理由累计放弃任务达3次的。</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2、2次任务履约评价均为不合格的。</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3、无正当理由不履行或拒绝履行合同的。</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4、因受到市住房和城乡建设局或其他工程建设行政主管部门暂停其投标资格的。</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val="en-US" w:eastAsia="zh-CN"/>
        </w:rPr>
        <w:t>成交</w:t>
      </w:r>
      <w:r>
        <w:rPr>
          <w:rFonts w:hint="eastAsia" w:hAnsi="宋体" w:cs="宋体"/>
          <w:color w:val="auto"/>
          <w:sz w:val="21"/>
          <w:szCs w:val="21"/>
          <w:highlight w:val="none"/>
        </w:rPr>
        <w:t>供应商因违反法律、法规受到处罚的其他行为。</w:t>
      </w:r>
    </w:p>
    <w:bookmarkEnd w:id="164"/>
    <w:p>
      <w:pPr>
        <w:pStyle w:val="3"/>
        <w:keepNext/>
        <w:keepLines/>
        <w:pageBreakBefore/>
        <w:numPr>
          <w:ilvl w:val="0"/>
          <w:numId w:val="14"/>
        </w:numPr>
        <w:spacing w:line="360" w:lineRule="auto"/>
        <w:jc w:val="center"/>
        <w:rPr>
          <w:rFonts w:hAnsi="宋体"/>
          <w:b/>
          <w:bCs/>
          <w:color w:val="auto"/>
          <w:kern w:val="44"/>
          <w:sz w:val="28"/>
          <w:szCs w:val="28"/>
          <w:highlight w:val="none"/>
          <w:lang w:val="zh-CN"/>
        </w:rPr>
      </w:pPr>
      <w:bookmarkStart w:id="169" w:name="_Toc28792"/>
      <w:bookmarkStart w:id="170" w:name="_Toc4437"/>
      <w:r>
        <w:rPr>
          <w:rFonts w:hint="eastAsia" w:hAnsi="宋体"/>
          <w:b/>
          <w:bCs/>
          <w:color w:val="auto"/>
          <w:kern w:val="44"/>
          <w:sz w:val="28"/>
          <w:szCs w:val="28"/>
          <w:highlight w:val="none"/>
          <w:lang w:val="zh-CN"/>
        </w:rPr>
        <w:t>评审工作大纲</w:t>
      </w:r>
      <w:bookmarkEnd w:id="169"/>
    </w:p>
    <w:p>
      <w:pPr>
        <w:pStyle w:val="20"/>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（一）资格性检查</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1)资格瑕疵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2)磋商保证金瑕疵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（二）符合性检查</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1)供应商代表身份审查</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2)响应文件的有效性、完整性瑕疵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3)技术响应瑕疵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4)商务响应瑕疵</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5）报价</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0"/>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6）违规行为</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0"/>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0"/>
        <w:numPr>
          <w:ilvl w:val="0"/>
          <w:numId w:val="15"/>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法律法规及磋商文件中规定的其它情形。</w:t>
      </w:r>
    </w:p>
    <w:p>
      <w:pPr>
        <w:pStyle w:val="20"/>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经过磋商阶段后，磋商小组按照磋商文件确定的评审标准和方法对提交最后报价的供应商的响应文件进行评审和比较，推荐候选成交供应商，编制评审报告。</w:t>
      </w:r>
    </w:p>
    <w:p>
      <w:pPr>
        <w:pStyle w:val="29"/>
        <w:spacing w:line="360" w:lineRule="auto"/>
        <w:ind w:firstLine="422" w:firstLineChars="200"/>
        <w:outlineLvl w:val="0"/>
        <w:rPr>
          <w:rFonts w:hAnsi="宋体"/>
          <w:b/>
          <w:bCs/>
          <w:color w:val="auto"/>
          <w:szCs w:val="21"/>
          <w:highlight w:val="none"/>
        </w:rPr>
      </w:pPr>
      <w:r>
        <w:rPr>
          <w:rFonts w:hint="eastAsia" w:hAnsi="宋体"/>
          <w:b/>
          <w:bCs/>
          <w:color w:val="auto"/>
          <w:szCs w:val="21"/>
          <w:highlight w:val="none"/>
        </w:rPr>
        <w:t>三、评审因素及评分权重</w:t>
      </w:r>
      <w:bookmarkEnd w:id="170"/>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价格评分（</w:t>
            </w:r>
            <w:r>
              <w:rPr>
                <w:rFonts w:hint="eastAsia"/>
                <w:b/>
                <w:color w:val="auto"/>
                <w:kern w:val="2"/>
                <w:sz w:val="21"/>
                <w:szCs w:val="21"/>
                <w:highlight w:val="none"/>
                <w:lang w:val="en-US" w:eastAsia="zh-CN"/>
              </w:rPr>
              <w:t>5</w:t>
            </w:r>
            <w:r>
              <w:rPr>
                <w:rFonts w:hint="eastAsia"/>
                <w:b/>
                <w:color w:val="auto"/>
                <w:kern w:val="2"/>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eastAsia="宋体"/>
                <w:color w:val="auto"/>
                <w:kern w:val="2"/>
                <w:sz w:val="21"/>
                <w:szCs w:val="21"/>
                <w:highlight w:val="none"/>
                <w:lang w:eastAsia="zh-CN"/>
              </w:rPr>
            </w:pPr>
            <w:r>
              <w:rPr>
                <w:rFonts w:hint="eastAsia"/>
                <w:color w:val="auto"/>
                <w:kern w:val="2"/>
                <w:sz w:val="21"/>
                <w:szCs w:val="21"/>
                <w:highlight w:val="none"/>
                <w:lang w:eastAsia="zh-CN"/>
              </w:rPr>
              <w:t>价格</w:t>
            </w:r>
          </w:p>
        </w:tc>
        <w:tc>
          <w:tcPr>
            <w:tcW w:w="678"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lang w:val="en-US" w:eastAsia="zh-CN"/>
              </w:rPr>
              <w:t>50</w:t>
            </w:r>
            <w:r>
              <w:rPr>
                <w:rFonts w:hint="eastAsia"/>
                <w:color w:val="auto"/>
                <w:kern w:val="2"/>
                <w:sz w:val="21"/>
                <w:szCs w:val="21"/>
                <w:highlight w:val="none"/>
              </w:rPr>
              <w:t>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rPr>
                <w:color w:val="auto"/>
                <w:kern w:val="2"/>
                <w:sz w:val="21"/>
                <w:szCs w:val="21"/>
                <w:highlight w:val="none"/>
              </w:rPr>
            </w:pPr>
            <w:r>
              <w:rPr>
                <w:rFonts w:hint="eastAsia"/>
                <w:color w:val="auto"/>
                <w:kern w:val="2"/>
                <w:sz w:val="21"/>
                <w:szCs w:val="21"/>
                <w:highlight w:val="none"/>
              </w:rPr>
              <w:t>满足招标文件要求且磋商响应报价下浮率最多的报价为基准价，其价格分为满分，各供应商的价格评分统一按照下列公式计算：价格得分＝（1-评标基准下浮率）/（1-评标下浮率）×价格分值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商务评分（</w:t>
            </w:r>
            <w:r>
              <w:rPr>
                <w:rFonts w:hint="eastAsia"/>
                <w:b/>
                <w:color w:val="auto"/>
                <w:kern w:val="2"/>
                <w:sz w:val="21"/>
                <w:szCs w:val="21"/>
                <w:highlight w:val="none"/>
                <w:lang w:val="en-US" w:eastAsia="zh-CN"/>
              </w:rPr>
              <w:t>20</w:t>
            </w:r>
            <w:r>
              <w:rPr>
                <w:rFonts w:hint="eastAsia"/>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企业业绩</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12分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供应商</w:t>
            </w:r>
            <w:r>
              <w:rPr>
                <w:rFonts w:hint="eastAsia" w:hAnsi="宋体"/>
                <w:color w:val="auto"/>
                <w:sz w:val="21"/>
                <w:szCs w:val="21"/>
                <w:highlight w:val="none"/>
              </w:rPr>
              <w:t>201</w:t>
            </w:r>
            <w:r>
              <w:rPr>
                <w:rFonts w:hint="eastAsia" w:hAnsi="宋体"/>
                <w:color w:val="auto"/>
                <w:sz w:val="21"/>
                <w:szCs w:val="21"/>
                <w:highlight w:val="none"/>
                <w:lang w:val="en-US" w:eastAsia="zh-CN"/>
              </w:rPr>
              <w:t>9</w:t>
            </w:r>
            <w:r>
              <w:rPr>
                <w:rFonts w:hint="eastAsia" w:hAnsi="宋体"/>
                <w:color w:val="auto"/>
                <w:sz w:val="21"/>
                <w:szCs w:val="21"/>
                <w:highlight w:val="none"/>
              </w:rPr>
              <w:t>年至今承接</w:t>
            </w:r>
            <w:r>
              <w:rPr>
                <w:rFonts w:hint="eastAsia" w:hAnsi="宋体"/>
                <w:color w:val="auto"/>
                <w:sz w:val="21"/>
                <w:szCs w:val="21"/>
                <w:highlight w:val="none"/>
                <w:lang w:eastAsia="zh-CN"/>
              </w:rPr>
              <w:t>过的</w:t>
            </w:r>
            <w:r>
              <w:rPr>
                <w:rFonts w:hint="eastAsia" w:hAnsi="宋体"/>
                <w:color w:val="auto"/>
                <w:sz w:val="21"/>
                <w:szCs w:val="21"/>
                <w:highlight w:val="none"/>
                <w:lang w:val="en-US" w:eastAsia="zh-CN"/>
              </w:rPr>
              <w:t>建筑施工</w:t>
            </w:r>
            <w:r>
              <w:rPr>
                <w:rFonts w:hint="eastAsia" w:hAnsi="宋体"/>
                <w:color w:val="auto"/>
                <w:sz w:val="21"/>
                <w:szCs w:val="21"/>
                <w:highlight w:val="none"/>
                <w:lang w:eastAsia="zh-CN"/>
              </w:rPr>
              <w:t>或维修工程类</w:t>
            </w:r>
            <w:r>
              <w:rPr>
                <w:rFonts w:hint="eastAsia" w:hAnsi="宋体"/>
                <w:color w:val="auto"/>
                <w:sz w:val="21"/>
                <w:szCs w:val="21"/>
                <w:highlight w:val="none"/>
              </w:rPr>
              <w:t>业绩经验的，每个得3分，本项最高得</w:t>
            </w:r>
            <w:r>
              <w:rPr>
                <w:rFonts w:hint="eastAsia" w:hAnsi="宋体"/>
                <w:color w:val="auto"/>
                <w:sz w:val="21"/>
                <w:szCs w:val="21"/>
                <w:highlight w:val="none"/>
                <w:lang w:val="en-US" w:eastAsia="zh-CN"/>
              </w:rPr>
              <w:t>12</w:t>
            </w:r>
            <w:r>
              <w:rPr>
                <w:rFonts w:hint="eastAsia" w:hAnsi="宋体"/>
                <w:color w:val="auto"/>
                <w:sz w:val="21"/>
                <w:szCs w:val="21"/>
                <w:highlight w:val="none"/>
              </w:rPr>
              <w:t>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注：须同时提供以下证明材料加盖公章：①合同主要页复印件；②客户联系人及电话以查证；③与项目相关的发票或完税证明等材料（张数不限）。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拟投入项目人员情况</w:t>
            </w:r>
          </w:p>
          <w:p>
            <w:pPr>
              <w:pStyle w:val="75"/>
              <w:keepNext w:val="0"/>
              <w:keepLines w:val="0"/>
              <w:pageBreakBefore w:val="0"/>
              <w:kinsoku/>
              <w:wordWrap/>
              <w:overflowPunct/>
              <w:topLinePunct w:val="0"/>
              <w:bidi w:val="0"/>
              <w:snapToGrid/>
              <w:spacing w:line="360" w:lineRule="auto"/>
              <w:ind w:firstLine="0" w:firstLineChars="0"/>
              <w:jc w:val="center"/>
              <w:textAlignment w:val="auto"/>
              <w:rPr>
                <w:color w:val="auto"/>
                <w:kern w:val="2"/>
                <w:sz w:val="21"/>
                <w:szCs w:val="21"/>
                <w:highlight w:val="none"/>
              </w:rPr>
            </w:pPr>
          </w:p>
        </w:tc>
        <w:tc>
          <w:tcPr>
            <w:tcW w:w="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auto"/>
              <w:jc w:val="center"/>
              <w:textAlignment w:val="auto"/>
              <w:rPr>
                <w:color w:val="auto"/>
                <w:kern w:val="2"/>
                <w:sz w:val="21"/>
                <w:szCs w:val="21"/>
                <w:highlight w:val="none"/>
              </w:rPr>
            </w:pPr>
            <w:r>
              <w:rPr>
                <w:rFonts w:hint="eastAsia" w:hAnsi="宋体" w:cs="宋体"/>
                <w:color w:val="auto"/>
                <w:sz w:val="21"/>
                <w:szCs w:val="21"/>
                <w:highlight w:val="none"/>
                <w:lang w:val="en-US" w:eastAsia="zh-CN"/>
              </w:rPr>
              <w:t>4</w:t>
            </w:r>
            <w:r>
              <w:rPr>
                <w:rFonts w:hint="eastAsia" w:hAnsi="宋体" w:eastAsia="宋体" w:cs="宋体"/>
                <w:color w:val="auto"/>
                <w:sz w:val="21"/>
                <w:szCs w:val="21"/>
                <w:highlight w:val="none"/>
                <w:lang w:val="en-US" w:eastAsia="zh-CN"/>
              </w:rPr>
              <w:t>分</w:t>
            </w:r>
          </w:p>
        </w:tc>
        <w:tc>
          <w:tcPr>
            <w:tcW w:w="5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1"/>
                <w:numId w:val="0"/>
              </w:numPr>
              <w:kinsoku/>
              <w:wordWrap/>
              <w:overflowPunct/>
              <w:topLinePunct w:val="0"/>
              <w:bidi w:val="0"/>
              <w:snapToGrid/>
              <w:spacing w:line="360" w:lineRule="auto"/>
              <w:jc w:val="left"/>
              <w:textAlignment w:val="auto"/>
              <w:rPr>
                <w:rFonts w:hint="default" w:hAnsi="宋体" w:cs="宋体"/>
                <w:color w:val="auto"/>
                <w:kern w:val="0"/>
                <w:sz w:val="21"/>
                <w:szCs w:val="21"/>
                <w:highlight w:val="none"/>
                <w:lang w:val="en-US" w:eastAsia="zh-CN"/>
              </w:rPr>
            </w:pPr>
            <w:r>
              <w:rPr>
                <w:rFonts w:hint="eastAsia" w:hAnsi="宋体" w:cs="宋体"/>
                <w:color w:val="auto"/>
                <w:kern w:val="0"/>
                <w:sz w:val="21"/>
                <w:szCs w:val="21"/>
                <w:highlight w:val="none"/>
                <w:lang w:val="en-US" w:eastAsia="zh-CN"/>
              </w:rPr>
              <w:t>1.项目负责人：具有注册二级或以上注册建造师证书的得1分；具有建筑施工企业项目负责人安全生产考核合格证书（即建安B证）的得1分，本项最高得2分。</w:t>
            </w:r>
          </w:p>
          <w:p>
            <w:pPr>
              <w:keepNext w:val="0"/>
              <w:keepLines w:val="0"/>
              <w:pageBreakBefore w:val="0"/>
              <w:widowControl/>
              <w:numPr>
                <w:ilvl w:val="-1"/>
                <w:numId w:val="0"/>
              </w:numPr>
              <w:kinsoku/>
              <w:wordWrap/>
              <w:overflowPunct/>
              <w:topLinePunct w:val="0"/>
              <w:bidi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施工员</w:t>
            </w:r>
            <w:r>
              <w:rPr>
                <w:rFonts w:hint="eastAsia"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人：具有施工员岗位证或培训证，每提供1人得</w:t>
            </w:r>
            <w:r>
              <w:rPr>
                <w:rFonts w:hint="eastAsia"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分，共</w:t>
            </w:r>
            <w:r>
              <w:rPr>
                <w:rFonts w:hint="eastAsia"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 xml:space="preserve">分； </w:t>
            </w:r>
          </w:p>
          <w:p>
            <w:pPr>
              <w:keepNext w:val="0"/>
              <w:keepLines w:val="0"/>
              <w:pageBreakBefore w:val="0"/>
              <w:widowControl/>
              <w:numPr>
                <w:ilvl w:val="-1"/>
                <w:numId w:val="0"/>
              </w:numPr>
              <w:kinsoku/>
              <w:wordWrap/>
              <w:overflowPunct/>
              <w:topLinePunct w:val="0"/>
              <w:bidi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.质检（量）员1人：具有质量员（质检员）的岗位证或培训证，得</w:t>
            </w:r>
            <w:r>
              <w:rPr>
                <w:rFonts w:hint="eastAsia"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分；</w:t>
            </w:r>
          </w:p>
          <w:p>
            <w:pPr>
              <w:keepNext w:val="0"/>
              <w:keepLines w:val="0"/>
              <w:pageBreakBefore w:val="0"/>
              <w:widowControl/>
              <w:numPr>
                <w:ilvl w:val="-1"/>
                <w:numId w:val="0"/>
              </w:numPr>
              <w:kinsoku/>
              <w:wordWrap/>
              <w:overflowPunct/>
              <w:topLinePunct w:val="0"/>
              <w:bidi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.材料员1人：具有材料员岗位证或培训证，得</w:t>
            </w:r>
            <w:r>
              <w:rPr>
                <w:rFonts w:hint="eastAsia"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 xml:space="preserve">分； </w:t>
            </w:r>
          </w:p>
          <w:p>
            <w:pPr>
              <w:keepNext w:val="0"/>
              <w:keepLines w:val="0"/>
              <w:pageBreakBefore w:val="0"/>
              <w:widowControl/>
              <w:numPr>
                <w:ilvl w:val="-1"/>
                <w:numId w:val="0"/>
              </w:numPr>
              <w:kinsoku/>
              <w:wordWrap/>
              <w:overflowPunct/>
              <w:topLinePunct w:val="0"/>
              <w:bidi w:val="0"/>
              <w:snapToGrid/>
              <w:spacing w:line="360" w:lineRule="auto"/>
              <w:jc w:val="left"/>
              <w:textAlignment w:val="auto"/>
              <w:rPr>
                <w:rFonts w:hAnsi="宋体"/>
                <w:color w:val="auto"/>
                <w:sz w:val="21"/>
                <w:szCs w:val="21"/>
                <w:highlight w:val="none"/>
              </w:rPr>
            </w:pPr>
            <w:r>
              <w:rPr>
                <w:rFonts w:hint="eastAsia"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.资料员1人：具有资料员岗位证或培训证，得</w:t>
            </w:r>
            <w:r>
              <w:rPr>
                <w:rFonts w:hint="eastAsia"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分</w:t>
            </w:r>
            <w:r>
              <w:rPr>
                <w:rFonts w:hint="eastAsia"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hAnsi="宋体" w:cs="宋体"/>
                <w:bCs/>
                <w:color w:val="auto"/>
                <w:sz w:val="21"/>
                <w:szCs w:val="21"/>
                <w:highlight w:val="none"/>
              </w:rPr>
              <w:t>须同时提供相关证书复印件、拟投入人员开标前</w:t>
            </w:r>
            <w:r>
              <w:rPr>
                <w:rFonts w:hint="eastAsia" w:hAnsi="宋体" w:cs="宋体"/>
                <w:bCs/>
                <w:color w:val="auto"/>
                <w:sz w:val="21"/>
                <w:szCs w:val="21"/>
                <w:highlight w:val="none"/>
                <w:lang w:eastAsia="zh-CN"/>
              </w:rPr>
              <w:t>最近</w:t>
            </w:r>
            <w:r>
              <w:rPr>
                <w:rFonts w:hint="eastAsia" w:hAnsi="宋体" w:cs="宋体"/>
                <w:bCs/>
                <w:color w:val="auto"/>
                <w:sz w:val="21"/>
                <w:szCs w:val="21"/>
                <w:highlight w:val="none"/>
                <w:lang w:val="en-US" w:eastAsia="zh-CN"/>
              </w:rPr>
              <w:t>3</w:t>
            </w:r>
            <w:r>
              <w:rPr>
                <w:rFonts w:hint="eastAsia" w:hAnsi="宋体" w:cs="宋体"/>
                <w:bCs/>
                <w:color w:val="auto"/>
                <w:sz w:val="21"/>
                <w:szCs w:val="21"/>
                <w:highlight w:val="none"/>
              </w:rPr>
              <w:t>个月或以上</w:t>
            </w:r>
            <w:r>
              <w:rPr>
                <w:rFonts w:hint="eastAsia" w:hAnsi="宋体" w:cs="宋体"/>
                <w:bCs/>
                <w:color w:val="auto"/>
                <w:sz w:val="21"/>
                <w:szCs w:val="21"/>
                <w:highlight w:val="none"/>
                <w:lang w:eastAsia="zh-CN"/>
              </w:rPr>
              <w:t>供应商</w:t>
            </w:r>
            <w:r>
              <w:rPr>
                <w:rFonts w:hint="eastAsia" w:hAnsi="宋体" w:cs="宋体"/>
                <w:bCs/>
                <w:color w:val="auto"/>
                <w:sz w:val="21"/>
                <w:szCs w:val="21"/>
                <w:highlight w:val="none"/>
              </w:rPr>
              <w:t>为其购买的社保凭证（不含投标当月）加盖</w:t>
            </w:r>
            <w:r>
              <w:rPr>
                <w:rFonts w:hint="eastAsia" w:hAnsi="宋体" w:cs="宋体"/>
                <w:bCs/>
                <w:color w:val="auto"/>
                <w:sz w:val="21"/>
                <w:szCs w:val="21"/>
                <w:highlight w:val="none"/>
                <w:lang w:eastAsia="zh-CN"/>
              </w:rPr>
              <w:t>供应商</w:t>
            </w:r>
            <w:r>
              <w:rPr>
                <w:rFonts w:hint="eastAsia" w:hAnsi="宋体" w:cs="宋体"/>
                <w:bCs/>
                <w:color w:val="auto"/>
                <w:sz w:val="21"/>
                <w:szCs w:val="21"/>
                <w:highlight w:val="none"/>
              </w:rPr>
              <w:t>公章。</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color w:val="auto"/>
                <w:kern w:val="2"/>
                <w:sz w:val="21"/>
                <w:szCs w:val="21"/>
                <w:highlight w:val="none"/>
              </w:rPr>
            </w:pPr>
            <w:r>
              <w:rPr>
                <w:rFonts w:hint="eastAsia"/>
                <w:color w:val="auto"/>
                <w:kern w:val="2"/>
                <w:sz w:val="21"/>
                <w:szCs w:val="21"/>
                <w:highlight w:val="none"/>
              </w:rPr>
              <w:t>3</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color w:val="auto"/>
                <w:kern w:val="2"/>
                <w:sz w:val="21"/>
                <w:szCs w:val="21"/>
                <w:highlight w:val="none"/>
              </w:rPr>
            </w:pPr>
            <w:r>
              <w:rPr>
                <w:rFonts w:hint="eastAsia"/>
                <w:color w:val="auto"/>
                <w:kern w:val="2"/>
                <w:sz w:val="21"/>
                <w:szCs w:val="21"/>
                <w:highlight w:val="none"/>
              </w:rPr>
              <w:t>售后服务体系及承诺</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rFonts w:hint="eastAsia"/>
                <w:color w:val="auto"/>
                <w:kern w:val="2"/>
                <w:sz w:val="21"/>
                <w:szCs w:val="21"/>
                <w:highlight w:val="none"/>
                <w:lang w:val="en-US" w:eastAsia="zh-CN"/>
              </w:rPr>
            </w:pPr>
            <w:r>
              <w:rPr>
                <w:rFonts w:hint="eastAsia"/>
                <w:color w:val="auto"/>
                <w:kern w:val="2"/>
                <w:sz w:val="21"/>
                <w:szCs w:val="21"/>
                <w:highlight w:val="none"/>
                <w:lang w:val="en-US" w:eastAsia="zh-CN"/>
              </w:rPr>
              <w:t>4</w:t>
            </w:r>
            <w:r>
              <w:rPr>
                <w:rFonts w:hint="eastAsia"/>
                <w:color w:val="auto"/>
                <w:kern w:val="2"/>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spacing w:before="0" w:beforeAutospacing="0" w:after="0" w:afterAutospacing="0" w:line="360" w:lineRule="auto"/>
              <w:ind w:firstLine="420" w:firstLineChars="200"/>
              <w:jc w:val="both"/>
              <w:rPr>
                <w:rFonts w:hint="eastAsia"/>
                <w:color w:val="auto"/>
                <w:kern w:val="2"/>
                <w:sz w:val="21"/>
                <w:szCs w:val="21"/>
                <w:highlight w:val="none"/>
              </w:rPr>
            </w:pPr>
            <w:r>
              <w:rPr>
                <w:rFonts w:hint="eastAsia" w:ascii="宋体" w:hAnsi="宋体" w:eastAsia="宋体" w:cs="宋体"/>
                <w:color w:val="auto"/>
                <w:sz w:val="21"/>
                <w:szCs w:val="21"/>
                <w:highlight w:val="none"/>
                <w:lang w:val="en-US" w:eastAsia="zh-CN"/>
              </w:rPr>
              <w:t>根据供应商提供的服务响应速度承诺进行评分：</w:t>
            </w:r>
          </w:p>
          <w:p>
            <w:pPr>
              <w:pStyle w:val="47"/>
              <w:spacing w:before="0" w:beforeAutospacing="0" w:after="0" w:afterAutospacing="0" w:line="360" w:lineRule="auto"/>
              <w:ind w:firstLine="420" w:firstLineChars="200"/>
              <w:jc w:val="both"/>
              <w:rPr>
                <w:rFonts w:hint="eastAsia"/>
                <w:color w:val="auto"/>
                <w:kern w:val="2"/>
                <w:sz w:val="21"/>
                <w:szCs w:val="21"/>
                <w:highlight w:val="none"/>
              </w:rPr>
            </w:pPr>
            <w:r>
              <w:rPr>
                <w:rFonts w:hint="eastAsia"/>
                <w:color w:val="auto"/>
                <w:kern w:val="2"/>
                <w:sz w:val="21"/>
                <w:szCs w:val="21"/>
                <w:highlight w:val="none"/>
              </w:rPr>
              <w:t>1.</w:t>
            </w:r>
            <w:r>
              <w:rPr>
                <w:rFonts w:hint="eastAsia"/>
                <w:color w:val="auto"/>
                <w:kern w:val="2"/>
                <w:sz w:val="21"/>
                <w:szCs w:val="21"/>
                <w:highlight w:val="none"/>
                <w:lang w:eastAsia="zh-CN"/>
              </w:rPr>
              <w:t>供应商</w:t>
            </w:r>
            <w:r>
              <w:rPr>
                <w:rFonts w:hint="eastAsia"/>
                <w:color w:val="auto"/>
                <w:kern w:val="2"/>
                <w:sz w:val="21"/>
                <w:szCs w:val="21"/>
                <w:highlight w:val="none"/>
              </w:rPr>
              <w:t>接到采购人应急需求，2小时内响应得4分。</w:t>
            </w:r>
          </w:p>
          <w:p>
            <w:pPr>
              <w:pStyle w:val="47"/>
              <w:spacing w:before="0" w:beforeAutospacing="0" w:after="0" w:afterAutospacing="0" w:line="360" w:lineRule="auto"/>
              <w:ind w:firstLine="420" w:firstLineChars="200"/>
              <w:jc w:val="both"/>
              <w:rPr>
                <w:rFonts w:hint="eastAsia"/>
                <w:color w:val="auto"/>
                <w:kern w:val="2"/>
                <w:sz w:val="21"/>
                <w:szCs w:val="21"/>
                <w:highlight w:val="none"/>
              </w:rPr>
            </w:pPr>
            <w:r>
              <w:rPr>
                <w:rFonts w:hint="eastAsia"/>
                <w:color w:val="auto"/>
                <w:kern w:val="2"/>
                <w:sz w:val="21"/>
                <w:szCs w:val="21"/>
                <w:highlight w:val="none"/>
              </w:rPr>
              <w:t xml:space="preserve">2. </w:t>
            </w:r>
            <w:r>
              <w:rPr>
                <w:rFonts w:hint="eastAsia"/>
                <w:color w:val="auto"/>
                <w:kern w:val="2"/>
                <w:sz w:val="21"/>
                <w:szCs w:val="21"/>
                <w:highlight w:val="none"/>
                <w:lang w:eastAsia="zh-CN"/>
              </w:rPr>
              <w:t>供应商</w:t>
            </w:r>
            <w:r>
              <w:rPr>
                <w:rFonts w:hint="eastAsia"/>
                <w:color w:val="auto"/>
                <w:kern w:val="2"/>
                <w:sz w:val="21"/>
                <w:szCs w:val="21"/>
                <w:highlight w:val="none"/>
              </w:rPr>
              <w:t>接到采购人应急需求，3小时内响应且得2分。</w:t>
            </w:r>
          </w:p>
          <w:p>
            <w:pPr>
              <w:pStyle w:val="47"/>
              <w:spacing w:before="0" w:beforeAutospacing="0" w:after="0" w:afterAutospacing="0" w:line="360" w:lineRule="auto"/>
              <w:ind w:firstLine="420" w:firstLineChars="200"/>
              <w:jc w:val="both"/>
              <w:rPr>
                <w:rFonts w:hint="eastAsia"/>
                <w:color w:val="auto"/>
                <w:kern w:val="2"/>
                <w:sz w:val="21"/>
                <w:szCs w:val="21"/>
                <w:highlight w:val="none"/>
              </w:rPr>
            </w:pPr>
            <w:r>
              <w:rPr>
                <w:rFonts w:hint="eastAsia"/>
                <w:color w:val="auto"/>
                <w:kern w:val="2"/>
                <w:sz w:val="21"/>
                <w:szCs w:val="21"/>
                <w:highlight w:val="none"/>
              </w:rPr>
              <w:t xml:space="preserve">3. </w:t>
            </w:r>
            <w:r>
              <w:rPr>
                <w:rFonts w:hint="eastAsia"/>
                <w:color w:val="auto"/>
                <w:kern w:val="2"/>
                <w:sz w:val="21"/>
                <w:szCs w:val="21"/>
                <w:highlight w:val="none"/>
                <w:lang w:eastAsia="zh-CN"/>
              </w:rPr>
              <w:t>供应商</w:t>
            </w:r>
            <w:r>
              <w:rPr>
                <w:rFonts w:hint="eastAsia"/>
                <w:color w:val="auto"/>
                <w:kern w:val="2"/>
                <w:sz w:val="21"/>
                <w:szCs w:val="21"/>
                <w:highlight w:val="none"/>
              </w:rPr>
              <w:t>接到采购人应急需求，4小时内响应得1分。</w:t>
            </w:r>
          </w:p>
          <w:p>
            <w:pPr>
              <w:pStyle w:val="47"/>
              <w:spacing w:before="0" w:beforeAutospacing="0" w:after="0" w:afterAutospacing="0" w:line="360" w:lineRule="auto"/>
              <w:ind w:firstLine="420" w:firstLineChars="200"/>
              <w:jc w:val="both"/>
              <w:rPr>
                <w:rFonts w:hint="eastAsia"/>
                <w:color w:val="auto"/>
                <w:kern w:val="2"/>
                <w:sz w:val="21"/>
                <w:szCs w:val="21"/>
                <w:highlight w:val="none"/>
              </w:rPr>
            </w:pPr>
            <w:r>
              <w:rPr>
                <w:rFonts w:hint="eastAsia"/>
                <w:color w:val="auto"/>
                <w:kern w:val="2"/>
                <w:sz w:val="21"/>
                <w:szCs w:val="21"/>
                <w:highlight w:val="none"/>
              </w:rPr>
              <w:t>注：须提供服务承诺书加盖供应商公章。本项目不接受第三方服务外包。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技术评分（</w:t>
            </w:r>
            <w:r>
              <w:rPr>
                <w:rFonts w:hint="eastAsia"/>
                <w:b/>
                <w:color w:val="auto"/>
                <w:kern w:val="2"/>
                <w:sz w:val="21"/>
                <w:szCs w:val="21"/>
                <w:highlight w:val="none"/>
                <w:lang w:val="en-US" w:eastAsia="zh-CN"/>
              </w:rPr>
              <w:t>30</w:t>
            </w:r>
            <w:r>
              <w:rPr>
                <w:rFonts w:hint="eastAsia"/>
                <w:b/>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0" w:line="400" w:lineRule="exact"/>
              <w:jc w:val="center"/>
              <w:rPr>
                <w:rFonts w:ascii="宋体" w:hAnsi="宋体" w:eastAsia="宋体" w:cs="宋体"/>
                <w:color w:val="auto"/>
                <w:sz w:val="21"/>
                <w:szCs w:val="21"/>
                <w:highlight w:val="none"/>
                <w:lang w:val="zh-CN" w:eastAsia="zh-CN" w:bidi="ar-SA"/>
              </w:rPr>
            </w:pPr>
            <w:r>
              <w:rPr>
                <w:rFonts w:hint="eastAsia" w:hAnsi="宋体" w:cs="宋体"/>
                <w:color w:val="auto"/>
                <w:sz w:val="21"/>
                <w:szCs w:val="21"/>
                <w:highlight w:val="none"/>
                <w:lang w:val="en-US" w:eastAsia="zh-CN"/>
              </w:rPr>
              <w:t>施工组织</w:t>
            </w:r>
            <w:r>
              <w:rPr>
                <w:rFonts w:hint="eastAsia" w:ascii="宋体" w:hAnsi="宋体" w:eastAsia="宋体" w:cs="宋体"/>
                <w:color w:val="auto"/>
                <w:sz w:val="21"/>
                <w:szCs w:val="21"/>
                <w:highlight w:val="none"/>
              </w:rPr>
              <w:t>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在施工方案能满足本项目</w:t>
            </w:r>
            <w:r>
              <w:rPr>
                <w:rFonts w:hint="eastAsia" w:hAnsi="宋体" w:cs="宋体"/>
                <w:color w:val="auto"/>
                <w:sz w:val="21"/>
                <w:szCs w:val="21"/>
                <w:highlight w:val="none"/>
                <w:lang w:eastAsia="zh-CN"/>
              </w:rPr>
              <w:t>零星项目</w:t>
            </w:r>
            <w:r>
              <w:rPr>
                <w:rFonts w:hint="eastAsia" w:ascii="宋体" w:hAnsi="宋体" w:eastAsia="宋体" w:cs="宋体"/>
                <w:color w:val="auto"/>
                <w:sz w:val="21"/>
                <w:szCs w:val="21"/>
                <w:highlight w:val="none"/>
              </w:rPr>
              <w:t>施工需要的基础上，对施工技术及程序、工作重点、难点及其解决措施、安全防护、文明施工方案以及与</w:t>
            </w:r>
            <w:r>
              <w:rPr>
                <w:rFonts w:hint="eastAsia"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的协调、时间响应等内容的科学性、安全性、可行性、完整性进行评审：</w:t>
            </w:r>
          </w:p>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施工方案优于招标要求，方案全面完善，科学性、安全性、可行性、完整性强的，得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施工方案满足招标要求，方案合理，科学性、安全性、可行性、完整性较强的，得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施工方案满足招标要求，方案一般，科学性、安全性、可行性、完整性一般的，得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adjustRightInd w:val="0"/>
              <w:snapToGrid w:val="0"/>
              <w:spacing w:after="60" w:line="400" w:lineRule="exact"/>
              <w:jc w:val="left"/>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0" w:line="400" w:lineRule="exact"/>
              <w:jc w:val="center"/>
              <w:rPr>
                <w:rFonts w:ascii="宋体" w:hAnsi="Calibri"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质量管理措施</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根据管理制度、质量控制措施，对质量实施方案的落实负责等情况进行评价：</w:t>
            </w:r>
          </w:p>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有完善的管理质量控制措施，能够保证质量实施方案的落实负责，得</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具有基本管理制度，但提供的管理质量控制措施存在不清晰情况，得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提供的管理制度与管理质量控制措施不能清晰的体现</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是否能按质按量完成任务，得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adjustRightInd w:val="0"/>
              <w:snapToGrid w:val="0"/>
              <w:spacing w:after="60" w:line="400" w:lineRule="exact"/>
              <w:jc w:val="left"/>
              <w:rPr>
                <w:rFonts w:hint="eastAsia" w:ascii="宋体" w:hAnsi="Calibri"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无提供管理制度与管理质量控制措施，得0分。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3</w:t>
            </w:r>
          </w:p>
        </w:tc>
        <w:tc>
          <w:tcPr>
            <w:tcW w:w="15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0" w:line="400" w:lineRule="exact"/>
              <w:jc w:val="center"/>
              <w:rPr>
                <w:rFonts w:ascii="宋体" w:hAnsi="Calibri"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安全作业管理</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针对本项目提供具体的安全作业方案及安全配套措施，且符合</w:t>
            </w:r>
            <w:r>
              <w:rPr>
                <w:rFonts w:hint="eastAsia"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安全作业的要求进行综合评审：</w:t>
            </w:r>
          </w:p>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针对本项目提供具体的安全作业方案及安全配套措施，且符合并优于</w:t>
            </w:r>
            <w:r>
              <w:rPr>
                <w:rFonts w:hint="eastAsia"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安全作业的要求，得</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针对本项目提供具体的安全作业方案及安全配套措施，基本符合</w:t>
            </w:r>
            <w:r>
              <w:rPr>
                <w:rFonts w:hint="eastAsia"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安全作业的要求，得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针对本项目提供的安全作业方案及安全配套措施简陋，不能体现是否符合</w:t>
            </w:r>
            <w:r>
              <w:rPr>
                <w:rFonts w:hint="eastAsia"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安全作业的要求，得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adjustRightInd w:val="0"/>
              <w:snapToGrid w:val="0"/>
              <w:spacing w:after="60" w:line="400" w:lineRule="exact"/>
              <w:jc w:val="left"/>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无提供安全作业方案及安全配套措施，得0分。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0" w:type="auto"/>
            <w:vAlign w:val="center"/>
          </w:tcPr>
          <w:p>
            <w:pPr>
              <w:pStyle w:val="47"/>
              <w:spacing w:line="360" w:lineRule="auto"/>
              <w:jc w:val="center"/>
              <w:rPr>
                <w:rFonts w:hint="eastAsia" w:eastAsia="宋体"/>
                <w:color w:val="auto"/>
                <w:kern w:val="2"/>
                <w:sz w:val="21"/>
                <w:szCs w:val="21"/>
                <w:highlight w:val="none"/>
                <w:lang w:val="en-US" w:eastAsia="zh-CN"/>
              </w:rPr>
            </w:pPr>
            <w:r>
              <w:rPr>
                <w:rFonts w:hint="eastAsia"/>
                <w:color w:val="auto"/>
                <w:kern w:val="2"/>
                <w:sz w:val="21"/>
                <w:szCs w:val="21"/>
                <w:highlight w:val="none"/>
                <w:lang w:val="en-US" w:eastAsia="zh-CN"/>
              </w:rPr>
              <w:t>4</w:t>
            </w:r>
          </w:p>
        </w:tc>
        <w:tc>
          <w:tcPr>
            <w:tcW w:w="1599" w:type="dxa"/>
            <w:vAlign w:val="center"/>
          </w:tcPr>
          <w:p>
            <w:pPr>
              <w:adjustRightInd w:val="0"/>
              <w:snapToGrid w:val="0"/>
              <w:spacing w:after="60" w:line="400" w:lineRule="exact"/>
              <w:jc w:val="center"/>
              <w:rPr>
                <w:rFonts w:hint="eastAsia" w:ascii="宋体" w:hAnsi="Calibri"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文明施工</w:t>
            </w:r>
          </w:p>
        </w:tc>
        <w:tc>
          <w:tcPr>
            <w:tcW w:w="715" w:type="dxa"/>
            <w:gridSpan w:val="2"/>
            <w:vAlign w:val="center"/>
          </w:tcPr>
          <w:p>
            <w:pPr>
              <w:spacing w:line="400" w:lineRule="exact"/>
              <w:jc w:val="center"/>
              <w:rPr>
                <w:rFonts w:hint="default" w:ascii="宋体" w:hAnsi="宋体" w:eastAsia="宋体" w:cs="宋体"/>
                <w:color w:val="auto"/>
                <w:sz w:val="21"/>
                <w:szCs w:val="21"/>
                <w:highlight w:val="none"/>
                <w:lang w:val="en-US" w:eastAsia="zh-CN" w:bidi="ar-SA"/>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5800" w:type="dxa"/>
            <w:vAlign w:val="center"/>
          </w:tcPr>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提供的文明施工工作安排方案进行评价：</w:t>
            </w:r>
          </w:p>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文明施工方案具体、合理、可操作性强得</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文明施工方案比较合理、可操作性一般得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adjustRightInd w:val="0"/>
              <w:snapToGrid w:val="0"/>
              <w:spacing w:after="60"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文明施工方案基本合理、但不具体，可操作性不强得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adjustRightInd w:val="0"/>
              <w:snapToGrid w:val="0"/>
              <w:spacing w:after="60" w:line="400" w:lineRule="exact"/>
              <w:jc w:val="left"/>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rPr>
              <w:t>差：未提供方案得0分。</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（3）若成交将在发放成交通知书前逐一核对核查原件，请勿提供虚假、过期材料，否则将依据相关规定严肃处理。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outlineLvl w:val="0"/>
        <w:rPr>
          <w:rFonts w:hAnsi="宋体"/>
          <w:b/>
          <w:color w:val="auto"/>
          <w:szCs w:val="21"/>
          <w:highlight w:val="none"/>
        </w:rPr>
      </w:pPr>
      <w:bookmarkStart w:id="171" w:name="_Toc15603"/>
      <w:r>
        <w:rPr>
          <w:rFonts w:hint="eastAsia" w:hAnsi="宋体"/>
          <w:b/>
          <w:color w:val="auto"/>
          <w:szCs w:val="21"/>
          <w:highlight w:val="none"/>
        </w:rPr>
        <w:t>四、技术评审</w:t>
      </w:r>
      <w:bookmarkEnd w:id="171"/>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outlineLvl w:val="0"/>
        <w:rPr>
          <w:rFonts w:hAnsi="宋体"/>
          <w:b/>
          <w:color w:val="auto"/>
          <w:szCs w:val="21"/>
          <w:highlight w:val="none"/>
        </w:rPr>
      </w:pPr>
      <w:bookmarkStart w:id="172" w:name="_Toc4394"/>
      <w:r>
        <w:rPr>
          <w:rFonts w:hint="eastAsia" w:hAnsi="宋体"/>
          <w:b/>
          <w:color w:val="auto"/>
          <w:szCs w:val="21"/>
          <w:highlight w:val="none"/>
        </w:rPr>
        <w:t>五、商务评审</w:t>
      </w:r>
      <w:bookmarkEnd w:id="172"/>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outlineLvl w:val="0"/>
        <w:rPr>
          <w:rFonts w:hAnsi="宋体"/>
          <w:b/>
          <w:color w:val="auto"/>
          <w:szCs w:val="21"/>
          <w:highlight w:val="none"/>
        </w:rPr>
      </w:pPr>
      <w:bookmarkStart w:id="173" w:name="_Toc19007"/>
      <w:r>
        <w:rPr>
          <w:rFonts w:hint="eastAsia" w:hAnsi="宋体"/>
          <w:b/>
          <w:color w:val="auto"/>
          <w:szCs w:val="21"/>
          <w:highlight w:val="none"/>
        </w:rPr>
        <w:t>六、报价评审</w:t>
      </w:r>
      <w:bookmarkEnd w:id="173"/>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9"/>
        <w:tabs>
          <w:tab w:val="left" w:pos="1365"/>
        </w:tabs>
        <w:spacing w:line="360" w:lineRule="auto"/>
        <w:ind w:left="16" w:firstLine="422" w:firstLineChars="200"/>
        <w:rPr>
          <w:rFonts w:hAnsi="宋体"/>
          <w:b/>
          <w:color w:val="auto"/>
          <w:szCs w:val="21"/>
          <w:highlight w:val="none"/>
        </w:rPr>
      </w:pPr>
    </w:p>
    <w:p>
      <w:pPr>
        <w:pStyle w:val="29"/>
        <w:tabs>
          <w:tab w:val="left" w:pos="1365"/>
        </w:tabs>
        <w:spacing w:line="360" w:lineRule="auto"/>
        <w:ind w:left="16" w:firstLine="422" w:firstLineChars="200"/>
        <w:outlineLvl w:val="0"/>
        <w:rPr>
          <w:rFonts w:hAnsi="宋体"/>
          <w:b/>
          <w:color w:val="auto"/>
          <w:szCs w:val="21"/>
          <w:highlight w:val="none"/>
        </w:rPr>
      </w:pPr>
      <w:bookmarkStart w:id="174" w:name="_Toc3331"/>
      <w:r>
        <w:rPr>
          <w:rFonts w:hint="eastAsia" w:hAnsi="宋体"/>
          <w:b/>
          <w:color w:val="auto"/>
          <w:szCs w:val="21"/>
          <w:highlight w:val="none"/>
        </w:rPr>
        <w:t>七、综合得分的计算</w:t>
      </w:r>
      <w:bookmarkEnd w:id="174"/>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3"/>
        <w:keepNext/>
        <w:keepLines/>
        <w:pageBreakBefore/>
        <w:numPr>
          <w:ilvl w:val="0"/>
          <w:numId w:val="14"/>
        </w:numPr>
        <w:spacing w:line="360" w:lineRule="auto"/>
        <w:jc w:val="center"/>
        <w:rPr>
          <w:rFonts w:hAnsi="宋体"/>
          <w:b/>
          <w:bCs/>
          <w:color w:val="auto"/>
          <w:highlight w:val="none"/>
        </w:rPr>
      </w:pPr>
      <w:bookmarkStart w:id="175" w:name="_Toc3360"/>
      <w:bookmarkStart w:id="176" w:name="_Toc15636"/>
      <w:r>
        <w:rPr>
          <w:rFonts w:hint="eastAsia" w:hAnsi="宋体"/>
          <w:b/>
          <w:bCs/>
          <w:color w:val="auto"/>
          <w:kern w:val="44"/>
          <w:sz w:val="28"/>
          <w:szCs w:val="28"/>
          <w:highlight w:val="none"/>
          <w:lang w:val="zh-CN"/>
        </w:rPr>
        <w:t>合同条款格式</w:t>
      </w:r>
      <w:bookmarkEnd w:id="175"/>
      <w:bookmarkEnd w:id="176"/>
    </w:p>
    <w:p>
      <w:pPr>
        <w:rPr>
          <w:color w:val="auto"/>
          <w:highlight w:val="none"/>
        </w:rPr>
      </w:pPr>
    </w:p>
    <w:p>
      <w:pPr>
        <w:spacing w:line="400" w:lineRule="exact"/>
        <w:jc w:val="center"/>
        <w:rPr>
          <w:rFonts w:hint="eastAsia" w:eastAsia="方正小标宋简体"/>
          <w:b/>
          <w:bCs/>
          <w:color w:val="auto"/>
          <w:sz w:val="36"/>
          <w:szCs w:val="36"/>
          <w:highlight w:val="none"/>
          <w:lang w:eastAsia="zh-CN"/>
        </w:rPr>
      </w:pPr>
      <w:r>
        <w:rPr>
          <w:rFonts w:hint="eastAsia" w:eastAsia="方正小标宋简体"/>
          <w:b/>
          <w:bCs/>
          <w:color w:val="auto"/>
          <w:sz w:val="30"/>
          <w:szCs w:val="30"/>
          <w:highlight w:val="none"/>
          <w:lang w:eastAsia="zh-CN"/>
        </w:rPr>
        <w:t>松山湖国际创新创业社区零星工程（含维修）协议采购项目合同</w:t>
      </w:r>
    </w:p>
    <w:p>
      <w:pPr>
        <w:widowControl/>
        <w:ind w:firstLine="5400" w:firstLineChars="1800"/>
        <w:rPr>
          <w:rFonts w:eastAsia="方正小标宋简体"/>
          <w:color w:val="auto"/>
          <w:sz w:val="30"/>
          <w:szCs w:val="30"/>
          <w:highlight w:val="none"/>
        </w:rPr>
      </w:pPr>
    </w:p>
    <w:p>
      <w:pPr>
        <w:spacing w:line="600" w:lineRule="exact"/>
        <w:rPr>
          <w:rFonts w:hAnsi="宋体"/>
          <w:color w:val="auto"/>
          <w:sz w:val="21"/>
          <w:szCs w:val="21"/>
          <w:highlight w:val="none"/>
        </w:rPr>
      </w:pPr>
      <w:r>
        <w:rPr>
          <w:rFonts w:hint="eastAsia" w:hAnsi="宋体"/>
          <w:b/>
          <w:color w:val="auto"/>
          <w:sz w:val="21"/>
          <w:szCs w:val="21"/>
          <w:highlight w:val="none"/>
        </w:rPr>
        <w:t>甲方：</w:t>
      </w:r>
      <w:r>
        <w:rPr>
          <w:rFonts w:hint="eastAsia" w:hAnsi="宋体"/>
          <w:b/>
          <w:color w:val="auto"/>
          <w:sz w:val="21"/>
          <w:szCs w:val="21"/>
          <w:highlight w:val="none"/>
          <w:u w:val="single"/>
        </w:rPr>
        <w:t>东莞市大学创新城建设发展有限公司</w:t>
      </w:r>
      <w:r>
        <w:rPr>
          <w:rFonts w:hint="eastAsia" w:hAnsi="宋体"/>
          <w:color w:val="auto"/>
          <w:sz w:val="21"/>
          <w:szCs w:val="21"/>
          <w:highlight w:val="none"/>
        </w:rPr>
        <w:t>（以下简称甲方）</w:t>
      </w:r>
    </w:p>
    <w:p>
      <w:pPr>
        <w:spacing w:line="600" w:lineRule="exact"/>
        <w:rPr>
          <w:rFonts w:eastAsia="仿宋_GB2312"/>
          <w:color w:val="auto"/>
          <w:sz w:val="21"/>
          <w:szCs w:val="21"/>
          <w:highlight w:val="none"/>
        </w:rPr>
      </w:pPr>
      <w:r>
        <w:rPr>
          <w:rFonts w:hint="eastAsia" w:hAnsi="宋体"/>
          <w:b/>
          <w:color w:val="auto"/>
          <w:sz w:val="21"/>
          <w:szCs w:val="21"/>
          <w:highlight w:val="none"/>
          <w:lang w:eastAsia="zh-CN"/>
        </w:rPr>
        <w:t>乙</w:t>
      </w:r>
      <w:r>
        <w:rPr>
          <w:rFonts w:hint="eastAsia" w:hAnsi="宋体"/>
          <w:b/>
          <w:color w:val="auto"/>
          <w:sz w:val="21"/>
          <w:szCs w:val="21"/>
          <w:highlight w:val="none"/>
        </w:rPr>
        <w:t>方：</w:t>
      </w:r>
      <w:r>
        <w:rPr>
          <w:rFonts w:hint="eastAsia" w:hAnsi="宋体"/>
          <w:b/>
          <w:color w:val="auto"/>
          <w:sz w:val="21"/>
          <w:szCs w:val="21"/>
          <w:highlight w:val="none"/>
          <w:u w:val="single"/>
        </w:rPr>
        <w:t xml:space="preserve">                                 </w:t>
      </w:r>
      <w:r>
        <w:rPr>
          <w:rFonts w:hint="eastAsia" w:hAnsi="宋体"/>
          <w:color w:val="auto"/>
          <w:sz w:val="21"/>
          <w:szCs w:val="21"/>
          <w:highlight w:val="none"/>
        </w:rPr>
        <w:t>（以下简称乙方）</w:t>
      </w:r>
    </w:p>
    <w:p>
      <w:pPr>
        <w:spacing w:line="600" w:lineRule="exact"/>
        <w:rPr>
          <w:rFonts w:eastAsia="仿宋_GB2312"/>
          <w:color w:val="auto"/>
          <w:sz w:val="21"/>
          <w:szCs w:val="21"/>
          <w:highlight w:val="none"/>
        </w:rPr>
      </w:pP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按照《中华人民共和国民法典》等有关法律法规的规定，结合本项目实际情况，遵守平等、自愿、公平和诚实信用原则，经双方协商达成如下协议：</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22" w:firstLineChars="200"/>
        <w:textAlignment w:val="auto"/>
        <w:outlineLvl w:val="1"/>
        <w:rPr>
          <w:rFonts w:eastAsia="仿宋_GB2312"/>
          <w:b/>
          <w:bCs/>
          <w:color w:val="auto"/>
          <w:sz w:val="21"/>
          <w:szCs w:val="21"/>
          <w:highlight w:val="none"/>
        </w:rPr>
      </w:pPr>
      <w:r>
        <w:rPr>
          <w:rFonts w:hint="eastAsia" w:eastAsia="仿宋_GB2312"/>
          <w:b/>
          <w:bCs/>
          <w:color w:val="auto"/>
          <w:sz w:val="21"/>
          <w:szCs w:val="21"/>
          <w:highlight w:val="none"/>
        </w:rPr>
        <w:t>一 项目</w:t>
      </w:r>
      <w:r>
        <w:rPr>
          <w:rFonts w:eastAsia="仿宋_GB2312"/>
          <w:b/>
          <w:bCs/>
          <w:color w:val="auto"/>
          <w:sz w:val="21"/>
          <w:szCs w:val="21"/>
          <w:highlight w:val="none"/>
        </w:rPr>
        <w:t>概况</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松山湖国际创新创业社区占地约397亩，总建筑面积约53万平方米，总建筑占地面积约为7万平方米，总投资约27亿元。项目分五期建设，划分为科技研发、产业孵化、商务配套及人才安居等四大功能分区。</w:t>
      </w:r>
      <w:r>
        <w:rPr>
          <w:rFonts w:hint="eastAsia" w:ascii="宋体" w:hAnsi="宋体" w:eastAsia="宋体" w:cs="宋体"/>
          <w:color w:val="auto"/>
          <w:sz w:val="21"/>
          <w:szCs w:val="21"/>
          <w:highlight w:val="none"/>
          <w:lang w:val="en-US" w:eastAsia="zh-CN"/>
        </w:rPr>
        <w:t>共有21个建筑单体。</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outlineLvl w:val="9"/>
        <w:rPr>
          <w:rFonts w:hint="default" w:ascii="宋体" w:eastAsia="仿宋_GB2312" w:cs="宋体"/>
          <w:b/>
          <w:bCs/>
          <w:color w:val="auto"/>
          <w:sz w:val="21"/>
          <w:szCs w:val="21"/>
          <w:highlight w:val="none"/>
          <w:lang w:val="en-US" w:eastAsia="zh-CN"/>
        </w:rPr>
      </w:pPr>
      <w:r>
        <w:rPr>
          <w:rFonts w:hint="eastAsia" w:ascii="宋体" w:eastAsia="仿宋_GB2312" w:cs="宋体"/>
          <w:b/>
          <w:bCs/>
          <w:color w:val="auto"/>
          <w:sz w:val="21"/>
          <w:szCs w:val="21"/>
          <w:highlight w:val="none"/>
          <w:lang w:eastAsia="zh-CN"/>
        </w:rPr>
        <w:t>二</w:t>
      </w:r>
      <w:r>
        <w:rPr>
          <w:rFonts w:hint="eastAsia" w:ascii="宋体" w:eastAsia="仿宋_GB2312" w:cs="宋体"/>
          <w:b/>
          <w:bCs/>
          <w:color w:val="auto"/>
          <w:sz w:val="21"/>
          <w:szCs w:val="21"/>
          <w:highlight w:val="none"/>
          <w:lang w:val="en-US" w:eastAsia="zh-CN"/>
        </w:rPr>
        <w:t xml:space="preserve"> </w:t>
      </w:r>
      <w:r>
        <w:rPr>
          <w:rFonts w:hint="eastAsia" w:ascii="宋体" w:eastAsia="仿宋_GB2312" w:cs="宋体"/>
          <w:b/>
          <w:bCs/>
          <w:color w:val="auto"/>
          <w:sz w:val="21"/>
          <w:szCs w:val="21"/>
          <w:highlight w:val="none"/>
        </w:rPr>
        <w:t>合同</w:t>
      </w:r>
      <w:r>
        <w:rPr>
          <w:rFonts w:hint="eastAsia" w:ascii="宋体" w:eastAsia="仿宋_GB2312" w:cs="宋体"/>
          <w:b/>
          <w:bCs/>
          <w:color w:val="auto"/>
          <w:sz w:val="21"/>
          <w:szCs w:val="21"/>
          <w:highlight w:val="none"/>
          <w:lang w:val="en-US" w:eastAsia="zh-CN"/>
        </w:rPr>
        <w:t xml:space="preserve">范围 </w:t>
      </w:r>
    </w:p>
    <w:p>
      <w:pPr>
        <w:spacing w:line="360" w:lineRule="auto"/>
        <w:ind w:firstLine="420" w:firstLineChars="200"/>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本合同承包内容为松山湖国际创新创业社区零星工程（含维修）项目，包括但不限于社区内零星拆除工程、墙地砖、石材工程、油漆涂料工程、部品安装工程、门窗工程、钢筋、砼工程、砌体抹灰工程、防水工程、排栅工程、室外工程、水电、五金工程、其他工程等。</w:t>
      </w:r>
    </w:p>
    <w:p>
      <w:pPr>
        <w:spacing w:line="360" w:lineRule="auto"/>
        <w:rPr>
          <w:rFonts w:hAnsi="宋体"/>
          <w:color w:val="auto"/>
          <w:sz w:val="21"/>
          <w:szCs w:val="21"/>
          <w:highlight w:val="none"/>
          <w:u w:val="single"/>
        </w:rPr>
      </w:pPr>
      <w:r>
        <w:rPr>
          <w:rFonts w:hint="eastAsia" w:hAnsi="宋体"/>
          <w:color w:val="auto"/>
          <w:sz w:val="21"/>
          <w:szCs w:val="21"/>
          <w:highlight w:val="none"/>
        </w:rPr>
        <w:t xml:space="preserve">  服务期限：</w:t>
      </w:r>
      <w:r>
        <w:rPr>
          <w:color w:val="auto"/>
          <w:sz w:val="21"/>
          <w:highlight w:val="none"/>
        </w:rPr>
        <w:t>自签订合同之日起</w:t>
      </w:r>
      <w:r>
        <w:rPr>
          <w:rFonts w:hint="eastAsia"/>
          <w:color w:val="auto"/>
          <w:sz w:val="21"/>
          <w:highlight w:val="none"/>
          <w:lang w:val="en-US" w:eastAsia="zh-CN"/>
        </w:rPr>
        <w:t>两</w:t>
      </w:r>
      <w:r>
        <w:rPr>
          <w:color w:val="auto"/>
          <w:sz w:val="21"/>
          <w:highlight w:val="none"/>
        </w:rPr>
        <w:t>年</w:t>
      </w:r>
      <w:r>
        <w:rPr>
          <w:rFonts w:hint="eastAsia" w:hAnsi="宋体"/>
          <w:color w:val="auto"/>
          <w:sz w:val="21"/>
          <w:szCs w:val="21"/>
          <w:highlight w:val="none"/>
        </w:rPr>
        <w:t>；自</w:t>
      </w:r>
      <w:r>
        <w:rPr>
          <w:rFonts w:hint="eastAsia" w:hAnsi="宋体"/>
          <w:color w:val="auto"/>
          <w:sz w:val="21"/>
          <w:szCs w:val="21"/>
          <w:highlight w:val="none"/>
          <w:u w:val="single"/>
        </w:rPr>
        <w:t xml:space="preserve">          年   月    日至          年   月    日。</w:t>
      </w:r>
      <w:r>
        <w:rPr>
          <w:rFonts w:hint="eastAsia" w:hAnsi="宋体"/>
          <w:color w:val="auto"/>
          <w:sz w:val="21"/>
          <w:szCs w:val="21"/>
          <w:highlight w:val="none"/>
        </w:rPr>
        <w:t>服务期限内，如</w:t>
      </w:r>
      <w:r>
        <w:rPr>
          <w:rFonts w:hint="eastAsia" w:hAnsi="宋体"/>
          <w:color w:val="auto"/>
          <w:sz w:val="21"/>
          <w:szCs w:val="21"/>
          <w:highlight w:val="none"/>
          <w:lang w:val="en-US" w:eastAsia="zh-CN"/>
        </w:rPr>
        <w:t>合同暂定总价</w:t>
      </w:r>
      <w:r>
        <w:rPr>
          <w:rFonts w:hint="eastAsia" w:hAnsi="宋体"/>
          <w:color w:val="auto"/>
          <w:sz w:val="21"/>
          <w:szCs w:val="21"/>
          <w:highlight w:val="none"/>
        </w:rPr>
        <w:t>提前使用完毕，即合同终止；服务期限结束，即合同终止；以先到为准。</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22" w:firstLineChars="200"/>
        <w:textAlignment w:val="auto"/>
        <w:outlineLvl w:val="1"/>
        <w:rPr>
          <w:rFonts w:hint="eastAsia" w:ascii="宋体" w:eastAsia="仿宋_GB2312" w:cs="宋体"/>
          <w:b/>
          <w:bCs/>
          <w:color w:val="auto"/>
          <w:sz w:val="21"/>
          <w:szCs w:val="21"/>
          <w:highlight w:val="none"/>
        </w:rPr>
      </w:pPr>
      <w:r>
        <w:rPr>
          <w:rFonts w:hint="eastAsia" w:ascii="宋体" w:eastAsia="仿宋_GB2312" w:cs="宋体"/>
          <w:b/>
          <w:bCs/>
          <w:color w:val="auto"/>
          <w:sz w:val="21"/>
          <w:szCs w:val="21"/>
          <w:highlight w:val="none"/>
          <w:lang w:eastAsia="zh-CN"/>
        </w:rPr>
        <w:t>二</w:t>
      </w:r>
      <w:r>
        <w:rPr>
          <w:rFonts w:hint="eastAsia" w:ascii="宋体" w:eastAsia="仿宋_GB2312" w:cs="宋体"/>
          <w:b/>
          <w:bCs/>
          <w:color w:val="auto"/>
          <w:sz w:val="21"/>
          <w:szCs w:val="21"/>
          <w:highlight w:val="none"/>
          <w:lang w:val="en-US" w:eastAsia="zh-CN"/>
        </w:rPr>
        <w:t xml:space="preserve"> </w:t>
      </w:r>
      <w:r>
        <w:rPr>
          <w:rFonts w:hint="eastAsia" w:ascii="宋体" w:eastAsia="仿宋_GB2312" w:cs="宋体"/>
          <w:b/>
          <w:bCs/>
          <w:color w:val="auto"/>
          <w:sz w:val="21"/>
          <w:szCs w:val="21"/>
          <w:highlight w:val="none"/>
        </w:rPr>
        <w:t>合同价款</w:t>
      </w:r>
    </w:p>
    <w:p>
      <w:pPr>
        <w:pStyle w:val="2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eastAsia="宋体"/>
          <w:b/>
          <w:color w:val="auto"/>
          <w:kern w:val="2"/>
          <w:sz w:val="21"/>
          <w:szCs w:val="21"/>
          <w:highlight w:val="none"/>
          <w:lang w:val="en-US" w:eastAsia="zh-CN"/>
        </w:rPr>
      </w:pPr>
      <w:r>
        <w:rPr>
          <w:rFonts w:hint="eastAsia" w:hAnsi="宋体"/>
          <w:color w:val="auto"/>
          <w:sz w:val="21"/>
          <w:szCs w:val="21"/>
          <w:highlight w:val="none"/>
        </w:rPr>
        <w:t>1</w:t>
      </w:r>
      <w:r>
        <w:rPr>
          <w:rFonts w:hint="eastAsia" w:hAnsi="宋体"/>
          <w:color w:val="auto"/>
          <w:sz w:val="21"/>
          <w:szCs w:val="21"/>
          <w:highlight w:val="none"/>
          <w:lang w:eastAsia="zh-CN"/>
        </w:rPr>
        <w:t>、</w:t>
      </w:r>
      <w:r>
        <w:rPr>
          <w:rFonts w:hint="eastAsia"/>
          <w:color w:val="auto"/>
          <w:szCs w:val="21"/>
          <w:highlight w:val="none"/>
        </w:rPr>
        <w:t>本合同采</w:t>
      </w:r>
      <w:r>
        <w:rPr>
          <w:rFonts w:hint="eastAsia"/>
          <w:color w:val="auto"/>
          <w:szCs w:val="21"/>
          <w:highlight w:val="none"/>
          <w:lang w:val="en-US" w:eastAsia="zh-CN"/>
        </w:rPr>
        <w:t>用固定综合单价，</w:t>
      </w:r>
      <w:r>
        <w:rPr>
          <w:rFonts w:hint="eastAsia"/>
          <w:color w:val="auto"/>
          <w:szCs w:val="21"/>
          <w:highlight w:val="none"/>
        </w:rPr>
        <w:t>暂定总价</w:t>
      </w:r>
      <w:r>
        <w:rPr>
          <w:rFonts w:hint="eastAsia"/>
          <w:color w:val="auto"/>
          <w:szCs w:val="21"/>
          <w:highlight w:val="none"/>
          <w:lang w:val="en-US" w:eastAsia="zh-CN"/>
        </w:rPr>
        <w:t>方式结算。暂定总价</w:t>
      </w:r>
      <w:r>
        <w:rPr>
          <w:rFonts w:hint="eastAsia"/>
          <w:color w:val="auto"/>
          <w:szCs w:val="21"/>
          <w:highlight w:val="none"/>
        </w:rPr>
        <w:t>为¥</w:t>
      </w:r>
      <w:r>
        <w:rPr>
          <w:rFonts w:hint="eastAsia"/>
          <w:color w:val="auto"/>
          <w:szCs w:val="21"/>
          <w:highlight w:val="none"/>
          <w:u w:val="single"/>
        </w:rPr>
        <w:t xml:space="preserve">        </w:t>
      </w:r>
      <w:r>
        <w:rPr>
          <w:rFonts w:hint="eastAsia"/>
          <w:color w:val="auto"/>
          <w:szCs w:val="21"/>
          <w:highlight w:val="none"/>
        </w:rPr>
        <w:t>元（人民币</w:t>
      </w:r>
      <w:r>
        <w:rPr>
          <w:rFonts w:hint="eastAsia"/>
          <w:color w:val="auto"/>
          <w:szCs w:val="21"/>
          <w:highlight w:val="none"/>
          <w:u w:val="single"/>
        </w:rPr>
        <w:t xml:space="preserve">      </w:t>
      </w:r>
      <w:r>
        <w:rPr>
          <w:rFonts w:hint="eastAsia"/>
          <w:color w:val="auto"/>
          <w:szCs w:val="21"/>
          <w:highlight w:val="none"/>
        </w:rPr>
        <w:t>元），其中：增值税税率为</w:t>
      </w:r>
      <w:r>
        <w:rPr>
          <w:rFonts w:hint="eastAsia"/>
          <w:color w:val="auto"/>
          <w:szCs w:val="21"/>
          <w:highlight w:val="none"/>
          <w:u w:val="single"/>
        </w:rPr>
        <w:t xml:space="preserve"> </w:t>
      </w:r>
      <w:r>
        <w:rPr>
          <w:rFonts w:hint="eastAsia"/>
          <w:color w:val="auto"/>
          <w:szCs w:val="21"/>
          <w:highlight w:val="none"/>
          <w:u w:val="single"/>
          <w:lang w:val="en-US" w:eastAsia="zh-CN"/>
        </w:rPr>
        <w:t>9</w:t>
      </w:r>
      <w:r>
        <w:rPr>
          <w:rFonts w:hint="eastAsia"/>
          <w:color w:val="auto"/>
          <w:szCs w:val="21"/>
          <w:highlight w:val="none"/>
          <w:u w:val="single"/>
        </w:rPr>
        <w:t xml:space="preserve"> </w:t>
      </w:r>
      <w:r>
        <w:rPr>
          <w:rFonts w:hint="eastAsia"/>
          <w:color w:val="auto"/>
          <w:szCs w:val="21"/>
          <w:highlight w:val="none"/>
        </w:rPr>
        <w:t>%，税金金额¥</w:t>
      </w:r>
      <w:r>
        <w:rPr>
          <w:rFonts w:hint="eastAsia"/>
          <w:color w:val="auto"/>
          <w:szCs w:val="21"/>
          <w:highlight w:val="none"/>
          <w:u w:val="single"/>
        </w:rPr>
        <w:t xml:space="preserve">        </w:t>
      </w:r>
      <w:r>
        <w:rPr>
          <w:rFonts w:hint="eastAsia"/>
          <w:color w:val="auto"/>
          <w:szCs w:val="21"/>
          <w:highlight w:val="none"/>
        </w:rPr>
        <w:t>元，不含税合同总价款为¥</w:t>
      </w:r>
      <w:r>
        <w:rPr>
          <w:rFonts w:hint="eastAsia"/>
          <w:color w:val="auto"/>
          <w:szCs w:val="21"/>
          <w:highlight w:val="none"/>
          <w:u w:val="single"/>
        </w:rPr>
        <w:t xml:space="preserve">        </w:t>
      </w:r>
      <w:r>
        <w:rPr>
          <w:rFonts w:hint="eastAsia"/>
          <w:color w:val="auto"/>
          <w:szCs w:val="21"/>
          <w:highlight w:val="none"/>
        </w:rPr>
        <w:t>元。</w:t>
      </w:r>
      <w:r>
        <w:rPr>
          <w:rFonts w:hint="eastAsia"/>
          <w:b/>
          <w:color w:val="auto"/>
          <w:kern w:val="2"/>
          <w:szCs w:val="21"/>
          <w:highlight w:val="none"/>
        </w:rPr>
        <w:t>根据实际</w:t>
      </w:r>
      <w:r>
        <w:rPr>
          <w:rFonts w:hint="eastAsia"/>
          <w:b/>
          <w:color w:val="auto"/>
          <w:kern w:val="2"/>
          <w:szCs w:val="21"/>
          <w:highlight w:val="none"/>
          <w:lang w:val="en-US" w:eastAsia="zh-CN"/>
        </w:rPr>
        <w:t>发生</w:t>
      </w:r>
      <w:r>
        <w:rPr>
          <w:rFonts w:hint="eastAsia"/>
          <w:b/>
          <w:color w:val="auto"/>
          <w:kern w:val="2"/>
          <w:szCs w:val="21"/>
          <w:highlight w:val="none"/>
        </w:rPr>
        <w:t>工程量和</w:t>
      </w:r>
      <w:r>
        <w:rPr>
          <w:rFonts w:hint="eastAsia"/>
          <w:b/>
          <w:color w:val="auto"/>
          <w:kern w:val="2"/>
          <w:szCs w:val="21"/>
          <w:highlight w:val="none"/>
          <w:lang w:eastAsia="zh-CN"/>
        </w:rPr>
        <w:t>成交下浮率</w:t>
      </w:r>
      <w:r>
        <w:rPr>
          <w:rFonts w:hint="eastAsia"/>
          <w:b/>
          <w:color w:val="auto"/>
          <w:kern w:val="2"/>
          <w:szCs w:val="21"/>
          <w:highlight w:val="none"/>
          <w:lang w:val="en-US" w:eastAsia="zh-CN"/>
        </w:rPr>
        <w:t>及预算价格</w:t>
      </w:r>
      <w:r>
        <w:rPr>
          <w:rFonts w:hint="eastAsia"/>
          <w:b/>
          <w:color w:val="auto"/>
          <w:kern w:val="2"/>
          <w:szCs w:val="21"/>
          <w:highlight w:val="none"/>
        </w:rPr>
        <w:t>进行结算。</w:t>
      </w:r>
      <w:r>
        <w:rPr>
          <w:rFonts w:hint="eastAsia" w:ascii="宋体" w:hAnsi="宋体"/>
          <w:b/>
          <w:bCs/>
          <w:color w:val="auto"/>
          <w:sz w:val="21"/>
          <w:szCs w:val="21"/>
          <w:highlight w:val="none"/>
          <w:lang w:eastAsia="zh-CN"/>
        </w:rPr>
        <w:t>成交</w:t>
      </w:r>
      <w:r>
        <w:rPr>
          <w:rFonts w:hint="eastAsia" w:ascii="宋体" w:hAnsi="宋体"/>
          <w:b/>
          <w:bCs/>
          <w:color w:val="auto"/>
          <w:sz w:val="21"/>
          <w:szCs w:val="21"/>
          <w:highlight w:val="none"/>
        </w:rPr>
        <w:t>下浮率：</w:t>
      </w:r>
      <w:r>
        <w:rPr>
          <w:rFonts w:hint="eastAsia" w:ascii="宋体" w:hAnsi="宋体"/>
          <w:b/>
          <w:bCs/>
          <w:color w:val="auto"/>
          <w:sz w:val="21"/>
          <w:szCs w:val="21"/>
          <w:highlight w:val="none"/>
          <w:u w:val="single"/>
        </w:rPr>
        <w:t xml:space="preserve"> </w:t>
      </w:r>
      <w:r>
        <w:rPr>
          <w:rFonts w:ascii="宋体" w:hAnsi="宋体"/>
          <w:b/>
          <w:bCs/>
          <w:color w:val="auto"/>
          <w:sz w:val="21"/>
          <w:szCs w:val="21"/>
          <w:highlight w:val="none"/>
          <w:u w:val="single"/>
        </w:rPr>
        <w:t xml:space="preserve">     </w:t>
      </w:r>
      <w:r>
        <w:rPr>
          <w:rFonts w:hint="eastAsia" w:ascii="宋体" w:hAnsi="宋体"/>
          <w:b/>
          <w:bCs/>
          <w:color w:val="auto"/>
          <w:sz w:val="21"/>
          <w:szCs w:val="21"/>
          <w:highlight w:val="none"/>
        </w:rPr>
        <w:t>%</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合同结算总价不超过暂定合同总价。</w:t>
      </w:r>
    </w:p>
    <w:p>
      <w:pPr>
        <w:tabs>
          <w:tab w:val="left" w:pos="3405"/>
        </w:tabs>
        <w:spacing w:line="600" w:lineRule="exact"/>
        <w:ind w:left="0" w:leftChars="0" w:firstLine="480" w:firstLineChars="0"/>
        <w:rPr>
          <w:rFonts w:hint="eastAsia" w:hAnsi="宋体"/>
          <w:color w:val="auto"/>
          <w:sz w:val="21"/>
          <w:szCs w:val="21"/>
          <w:highlight w:val="none"/>
          <w:lang w:val="en-US" w:eastAsia="zh-CN"/>
        </w:rPr>
      </w:pPr>
      <w:r>
        <w:rPr>
          <w:rFonts w:hint="eastAsia" w:hAnsi="宋体"/>
          <w:color w:val="auto"/>
          <w:sz w:val="21"/>
          <w:szCs w:val="21"/>
          <w:highlight w:val="none"/>
          <w:lang w:val="en-US" w:eastAsia="zh-CN"/>
        </w:rPr>
        <w:t>2、合同项目价格清单详见附件。综合单价包含但不限于完成工程全部内容所需的全部费用，包括：人工费、材料费、机械费、运输费、安装费、检验试验费、验收、管理费、利润、税金、安全文明措施费及其他不可预见等一切费用。采购人不再支付其他任何额外费用。</w:t>
      </w:r>
    </w:p>
    <w:p>
      <w:pPr>
        <w:tabs>
          <w:tab w:val="left" w:pos="3405"/>
        </w:tabs>
        <w:spacing w:line="600" w:lineRule="exact"/>
        <w:ind w:left="0" w:leftChars="0" w:firstLine="480" w:firstLineChars="0"/>
        <w:rPr>
          <w:rFonts w:hint="eastAsia" w:hAnsi="宋体"/>
          <w:color w:val="auto"/>
          <w:sz w:val="21"/>
          <w:szCs w:val="21"/>
          <w:highlight w:val="none"/>
          <w:lang w:val="en-US" w:eastAsia="zh-CN"/>
        </w:rPr>
      </w:pPr>
      <w:r>
        <w:rPr>
          <w:rFonts w:hint="eastAsia" w:hAnsi="宋体"/>
          <w:color w:val="auto"/>
          <w:sz w:val="21"/>
          <w:szCs w:val="21"/>
          <w:highlight w:val="none"/>
          <w:lang w:val="en-US" w:eastAsia="zh-CN"/>
        </w:rPr>
        <w:t>3、合同实施内容可能不限于已有清单。清单中没有的项目，有相似项目可参考相似项目执行或调整；若无相似项目，则按广东省2018清单及定额规定并结合市场信息价确定综合单价后按中标下浮率下浮。</w:t>
      </w:r>
    </w:p>
    <w:p>
      <w:pPr>
        <w:tabs>
          <w:tab w:val="left" w:pos="3405"/>
        </w:tabs>
        <w:spacing w:line="600" w:lineRule="exact"/>
        <w:ind w:left="0" w:leftChars="0" w:firstLine="480" w:firstLineChars="0"/>
        <w:rPr>
          <w:rFonts w:hint="eastAsia" w:hAnsi="宋体"/>
          <w:color w:val="auto"/>
          <w:sz w:val="21"/>
          <w:szCs w:val="21"/>
          <w:highlight w:val="none"/>
          <w:lang w:val="en-US" w:eastAsia="zh-CN"/>
        </w:rPr>
      </w:pPr>
      <w:r>
        <w:rPr>
          <w:rFonts w:hint="eastAsia" w:hAnsi="宋体"/>
          <w:color w:val="auto"/>
          <w:sz w:val="21"/>
          <w:szCs w:val="21"/>
          <w:highlight w:val="none"/>
          <w:lang w:val="en-US" w:eastAsia="zh-CN"/>
        </w:rPr>
        <w:t>4、含暂定主材价的清单综合单价调整方式：综合单价= 预算综合单价*中标下浮率+（确认主材价-预算暂定主材价*中标下浮率）*（1+税率）。</w:t>
      </w:r>
    </w:p>
    <w:p>
      <w:pPr>
        <w:keepNext w:val="0"/>
        <w:keepLines w:val="0"/>
        <w:pageBreakBefore w:val="0"/>
        <w:widowControl w:val="0"/>
        <w:kinsoku/>
        <w:wordWrap/>
        <w:overflowPunct/>
        <w:topLinePunct w:val="0"/>
        <w:autoSpaceDE w:val="0"/>
        <w:autoSpaceDN w:val="0"/>
        <w:bidi w:val="0"/>
        <w:adjustRightInd w:val="0"/>
        <w:snapToGrid/>
        <w:spacing w:line="600" w:lineRule="exact"/>
        <w:ind w:firstLine="420" w:firstLineChars="200"/>
        <w:textAlignment w:val="auto"/>
        <w:outlineLvl w:val="1"/>
        <w:rPr>
          <w:rFonts w:hint="eastAsia" w:ascii="宋体" w:hAnsi="宋体" w:eastAsia="宋体" w:cs="宋体"/>
          <w:b w:val="0"/>
          <w:bCs w:val="0"/>
          <w:color w:val="auto"/>
          <w:sz w:val="21"/>
          <w:szCs w:val="21"/>
          <w:highlight w:val="none"/>
          <w:lang w:val="en-US" w:eastAsia="zh-CN"/>
        </w:rPr>
      </w:pPr>
      <w:bookmarkStart w:id="177" w:name="OLE_LINK1"/>
      <w:r>
        <w:rPr>
          <w:rFonts w:hint="eastAsia" w:ascii="宋体" w:hAnsi="宋体" w:eastAsia="宋体" w:cs="宋体"/>
          <w:b w:val="0"/>
          <w:bCs w:val="0"/>
          <w:color w:val="auto"/>
          <w:sz w:val="21"/>
          <w:szCs w:val="21"/>
          <w:highlight w:val="none"/>
          <w:lang w:val="en-US" w:eastAsia="zh-CN"/>
        </w:rPr>
        <w:t>三 项目要求</w:t>
      </w:r>
    </w:p>
    <w:bookmarkEnd w:id="177"/>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（一）响应</w:t>
      </w:r>
      <w:r>
        <w:rPr>
          <w:rFonts w:hint="eastAsia" w:hAnsi="宋体" w:cs="宋体"/>
          <w:color w:val="auto"/>
          <w:sz w:val="21"/>
          <w:szCs w:val="21"/>
          <w:highlight w:val="none"/>
        </w:rPr>
        <w:t>要求：</w:t>
      </w:r>
    </w:p>
    <w:p>
      <w:pPr>
        <w:tabs>
          <w:tab w:val="left" w:pos="-28"/>
        </w:tabs>
        <w:spacing w:line="360" w:lineRule="auto"/>
        <w:ind w:firstLine="420" w:firstLineChars="200"/>
        <w:rPr>
          <w:rFonts w:hint="eastAsia" w:hAnsi="宋体" w:cs="宋体"/>
          <w:color w:val="auto"/>
          <w:sz w:val="21"/>
          <w:szCs w:val="21"/>
          <w:highlight w:val="none"/>
          <w:u w:val="none"/>
          <w:lang w:eastAsia="zh-CN"/>
        </w:rPr>
      </w:pPr>
      <w:r>
        <w:rPr>
          <w:rFonts w:hint="eastAsia" w:hAnsi="宋体" w:cs="宋体"/>
          <w:color w:val="auto"/>
          <w:sz w:val="21"/>
          <w:szCs w:val="21"/>
          <w:highlight w:val="none"/>
          <w:u w:val="none"/>
          <w:lang w:val="en-US" w:eastAsia="zh-CN"/>
        </w:rPr>
        <w:t>1、乙方</w:t>
      </w:r>
      <w:r>
        <w:rPr>
          <w:rFonts w:hint="eastAsia" w:hAnsi="宋体" w:cs="宋体"/>
          <w:color w:val="auto"/>
          <w:sz w:val="21"/>
          <w:szCs w:val="21"/>
          <w:highlight w:val="none"/>
          <w:u w:val="none"/>
          <w:lang w:eastAsia="zh-CN"/>
        </w:rPr>
        <w:t>需接到派单后</w:t>
      </w:r>
      <w:r>
        <w:rPr>
          <w:rFonts w:hint="eastAsia" w:hAnsi="宋体" w:cs="宋体"/>
          <w:color w:val="auto"/>
          <w:sz w:val="21"/>
          <w:szCs w:val="21"/>
          <w:highlight w:val="none"/>
          <w:u w:val="none"/>
          <w:lang w:val="en-US" w:eastAsia="zh-CN"/>
        </w:rPr>
        <w:t>24小时内响应</w:t>
      </w:r>
      <w:r>
        <w:rPr>
          <w:rFonts w:hint="eastAsia" w:hAnsi="宋体" w:cs="宋体"/>
          <w:color w:val="auto"/>
          <w:sz w:val="21"/>
          <w:szCs w:val="21"/>
          <w:highlight w:val="none"/>
          <w:u w:val="none"/>
          <w:lang w:eastAsia="zh-CN"/>
        </w:rPr>
        <w:t>，并在</w:t>
      </w:r>
      <w:r>
        <w:rPr>
          <w:rFonts w:hint="eastAsia" w:hAnsi="宋体" w:cs="宋体"/>
          <w:color w:val="auto"/>
          <w:sz w:val="21"/>
          <w:szCs w:val="21"/>
          <w:highlight w:val="none"/>
          <w:u w:val="none"/>
          <w:lang w:val="en-US" w:eastAsia="zh-CN"/>
        </w:rPr>
        <w:t>甲方</w:t>
      </w:r>
      <w:r>
        <w:rPr>
          <w:rFonts w:hint="eastAsia" w:hAnsi="宋体" w:cs="宋体"/>
          <w:color w:val="auto"/>
          <w:sz w:val="21"/>
          <w:szCs w:val="21"/>
          <w:highlight w:val="none"/>
          <w:u w:val="none"/>
          <w:lang w:eastAsia="zh-CN"/>
        </w:rPr>
        <w:t>规定的时间内提交</w:t>
      </w:r>
      <w:r>
        <w:rPr>
          <w:rFonts w:hint="eastAsia" w:hAnsi="宋体" w:cs="宋体"/>
          <w:color w:val="auto"/>
          <w:sz w:val="21"/>
          <w:szCs w:val="21"/>
          <w:highlight w:val="none"/>
          <w:u w:val="none"/>
          <w:lang w:val="en-US" w:eastAsia="zh-CN"/>
        </w:rPr>
        <w:t>施工图纸或施工方案（含工程量的统计），并经甲方签字确认</w:t>
      </w:r>
      <w:r>
        <w:rPr>
          <w:rFonts w:hint="eastAsia" w:hAnsi="宋体" w:cs="宋体"/>
          <w:color w:val="auto"/>
          <w:sz w:val="21"/>
          <w:szCs w:val="21"/>
          <w:highlight w:val="none"/>
          <w:u w:val="none"/>
          <w:lang w:eastAsia="zh-CN"/>
        </w:rPr>
        <w:t>。</w:t>
      </w:r>
      <w:r>
        <w:rPr>
          <w:rFonts w:hint="eastAsia" w:hAnsi="宋体"/>
          <w:color w:val="auto"/>
          <w:sz w:val="21"/>
          <w:szCs w:val="21"/>
          <w:highlight w:val="none"/>
          <w:u w:val="none"/>
        </w:rPr>
        <w:t>遇紧急情况需1小时内立即派人赶到现场进行紧急处理，并按</w:t>
      </w:r>
      <w:r>
        <w:rPr>
          <w:rFonts w:hint="eastAsia" w:hAnsi="宋体"/>
          <w:color w:val="auto"/>
          <w:sz w:val="21"/>
          <w:szCs w:val="21"/>
          <w:highlight w:val="none"/>
          <w:u w:val="none"/>
          <w:lang w:val="en-US" w:eastAsia="zh-CN"/>
        </w:rPr>
        <w:t>甲方</w:t>
      </w:r>
      <w:r>
        <w:rPr>
          <w:rFonts w:hint="eastAsia" w:hAnsi="宋体"/>
          <w:color w:val="auto"/>
          <w:sz w:val="21"/>
          <w:szCs w:val="21"/>
          <w:highlight w:val="none"/>
          <w:u w:val="none"/>
        </w:rPr>
        <w:t>要求的时间内</w:t>
      </w:r>
      <w:r>
        <w:rPr>
          <w:rFonts w:hint="eastAsia" w:hAnsi="宋体"/>
          <w:color w:val="auto"/>
          <w:sz w:val="21"/>
          <w:szCs w:val="21"/>
          <w:highlight w:val="none"/>
          <w:u w:val="none"/>
          <w:lang w:eastAsia="zh-CN"/>
        </w:rPr>
        <w:t>施工</w:t>
      </w:r>
      <w:r>
        <w:rPr>
          <w:rFonts w:hint="eastAsia" w:hAnsi="宋体"/>
          <w:color w:val="auto"/>
          <w:sz w:val="21"/>
          <w:szCs w:val="21"/>
          <w:highlight w:val="none"/>
          <w:u w:val="none"/>
        </w:rPr>
        <w:t>。</w:t>
      </w:r>
    </w:p>
    <w:p>
      <w:pPr>
        <w:tabs>
          <w:tab w:val="left" w:pos="-28"/>
        </w:tabs>
        <w:spacing w:line="360" w:lineRule="auto"/>
        <w:ind w:firstLine="420" w:firstLineChars="200"/>
        <w:rPr>
          <w:rFonts w:hint="eastAsia" w:hAnsi="宋体" w:cs="宋体"/>
          <w:color w:val="auto"/>
          <w:sz w:val="21"/>
          <w:szCs w:val="21"/>
          <w:highlight w:val="none"/>
          <w:u w:val="none"/>
        </w:rPr>
      </w:pPr>
      <w:r>
        <w:rPr>
          <w:rFonts w:hint="eastAsia" w:hAnsi="宋体" w:cs="宋体"/>
          <w:color w:val="auto"/>
          <w:sz w:val="21"/>
          <w:szCs w:val="21"/>
          <w:highlight w:val="none"/>
          <w:u w:val="none"/>
          <w:lang w:val="en-US" w:eastAsia="zh-CN"/>
        </w:rPr>
        <w:t>2、</w:t>
      </w:r>
      <w:r>
        <w:rPr>
          <w:rFonts w:hint="eastAsia" w:hAnsi="宋体" w:cs="宋体"/>
          <w:color w:val="auto"/>
          <w:sz w:val="21"/>
          <w:szCs w:val="21"/>
          <w:highlight w:val="none"/>
          <w:u w:val="none"/>
        </w:rPr>
        <w:t>须根据工程的工期目标及项目的特点，制定详细的施工进度计划和科学的保证措施。根据每个项目的工期要求及施工进度要求，在人员、材料、机械及资金等方面的投入满足开工、竣工以及磋商文件规定的基础上制定科学可靠、完善，完全可行的施工进度计划及保障措施。</w:t>
      </w:r>
    </w:p>
    <w:p>
      <w:pPr>
        <w:tabs>
          <w:tab w:val="left" w:pos="-28"/>
        </w:tabs>
        <w:spacing w:line="360" w:lineRule="auto"/>
        <w:ind w:firstLine="420" w:firstLineChars="200"/>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（二）人员要求：</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en-US" w:eastAsia="zh-CN"/>
        </w:rPr>
        <w:t>1、乙方</w:t>
      </w:r>
      <w:r>
        <w:rPr>
          <w:rFonts w:hint="eastAsia" w:hAnsi="宋体" w:cs="宋体"/>
          <w:color w:val="auto"/>
          <w:sz w:val="21"/>
          <w:szCs w:val="21"/>
          <w:highlight w:val="none"/>
        </w:rPr>
        <w:t>需确定一名项目负责人。须承诺如若中标，签订合同后六个月内</w:t>
      </w:r>
      <w:r>
        <w:rPr>
          <w:rFonts w:hint="eastAsia" w:hAnsi="宋体" w:cs="宋体"/>
          <w:color w:val="auto"/>
          <w:sz w:val="21"/>
          <w:szCs w:val="21"/>
          <w:highlight w:val="none"/>
          <w:lang w:eastAsia="zh-CN"/>
        </w:rPr>
        <w:t>未经</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lang w:eastAsia="zh-CN"/>
        </w:rPr>
        <w:t>同意</w:t>
      </w:r>
      <w:r>
        <w:rPr>
          <w:rFonts w:hint="eastAsia" w:hAnsi="宋体" w:cs="宋体"/>
          <w:color w:val="auto"/>
          <w:sz w:val="21"/>
          <w:szCs w:val="21"/>
          <w:highlight w:val="none"/>
        </w:rPr>
        <w:t>不得更换项目负责人，否则</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有权终止与</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签订的服务合同并没收其履约担保。</w:t>
      </w:r>
    </w:p>
    <w:p>
      <w:pPr>
        <w:tabs>
          <w:tab w:val="left" w:pos="-28"/>
        </w:tabs>
        <w:spacing w:line="360" w:lineRule="auto"/>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投入本项目人员情况（项目负责人、专职安全员除外）:技术负责人1人；施工主管1人、施工员2人、质检（量）员1人、材料员1人、资料员1人。接到派单后配备专职安全人员负责服务时的现场安全；配备满足工作需求的木工、电工、泥水工、机电安装、电子智能化安装等工种人员。</w:t>
      </w:r>
    </w:p>
    <w:p>
      <w:pPr>
        <w:tabs>
          <w:tab w:val="left" w:pos="-28"/>
        </w:tabs>
        <w:spacing w:line="360" w:lineRule="auto"/>
        <w:ind w:firstLine="420" w:firstLineChars="200"/>
        <w:rPr>
          <w:rFonts w:hint="eastAsia" w:hAnsi="宋体" w:cs="宋体"/>
          <w:color w:val="auto"/>
          <w:sz w:val="21"/>
          <w:szCs w:val="21"/>
          <w:highlight w:val="none"/>
        </w:rPr>
      </w:pPr>
      <w:r>
        <w:rPr>
          <w:rFonts w:hint="eastAsia"/>
          <w:color w:val="auto"/>
          <w:sz w:val="21"/>
          <w:szCs w:val="21"/>
          <w:highlight w:val="none"/>
          <w:lang w:val="en-US" w:eastAsia="zh-CN"/>
        </w:rPr>
        <w:t>3、</w:t>
      </w:r>
      <w:r>
        <w:rPr>
          <w:rFonts w:hint="eastAsia" w:hAnsi="宋体" w:cs="宋体"/>
          <w:color w:val="auto"/>
          <w:sz w:val="21"/>
          <w:szCs w:val="21"/>
          <w:highlight w:val="none"/>
        </w:rPr>
        <w:t>合同签订日起计前3个月为试用期，至试用期满止，</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未能按以上要求配置人员或维修服务时效和维修质量，经考核未达到甲方要求；或者在合同期内，乙方连续两个月考核不合格，或累计4个月考核不合格，甲方有权解除该项目的服务合同更换其他的供应商提供服务，不负违约责任。</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（三）服务标准：质量要求和质量保修规定</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1、质量：符合国家有关施工质量验收标准的合格工程或合同约定。工程规范以现行的或承担具体施工任务期间国家和行业新颁布施行的规范、规程为准。</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2、材料、设备、施工须达到现行中华人民共和国以及省、自治区、直辖市或行业的工程建设标准、规范的要求及验收标准及有关规范为质量评定验收标准。</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3、质量保修期：</w:t>
      </w:r>
      <w:r>
        <w:rPr>
          <w:rFonts w:hint="eastAsia" w:hAnsi="宋体" w:cs="宋体"/>
          <w:color w:val="auto"/>
          <w:sz w:val="21"/>
          <w:szCs w:val="21"/>
          <w:highlight w:val="none"/>
          <w:lang w:val="en-US" w:eastAsia="zh-CN"/>
        </w:rPr>
        <w:t>具体由甲方下达的联系单实施内容完成后，以验收表确认的完工时间作为该事项质量保修期的开始时间，各事项的质量保修期限</w:t>
      </w:r>
      <w:r>
        <w:rPr>
          <w:rFonts w:hint="eastAsia" w:hAnsi="宋体" w:cs="宋体"/>
          <w:color w:val="auto"/>
          <w:sz w:val="21"/>
          <w:szCs w:val="21"/>
          <w:highlight w:val="none"/>
        </w:rPr>
        <w:t>按国家有关规定执行。</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4、工期要求：按各项施工指定单或工程联系单确定。</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工程实施过程中，出现下列情形，经</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确认，工期予以顺延：</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（1）不可抗力因素；</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（2）由于设计变更，致使工程量重大增加者（超过总量的10%）；</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（3）工程款不能按时或逾期支付者。</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5、安全文明施工要求：</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自行承担。</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（四）验收要求</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按各联系单实施内容验收。</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en-US" w:eastAsia="zh-CN"/>
        </w:rPr>
        <w:t>2、乙方</w:t>
      </w:r>
      <w:r>
        <w:rPr>
          <w:rFonts w:hint="eastAsia" w:hAnsi="宋体" w:cs="宋体"/>
          <w:color w:val="auto"/>
          <w:sz w:val="21"/>
          <w:szCs w:val="21"/>
          <w:highlight w:val="none"/>
        </w:rPr>
        <w:t>应按照要求施工，随时接受</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的检查，为检查提供便利条件。如有施工与要求不相符处，需按</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要求返工修改，并承担因自身原因导致返工、修改的费用。</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、工程具备验收条件，</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按国家工程有关规定，向</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提供完整资料和验收报告。</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应按</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或</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认可的有关部门提出的修改意见进行修改，并承担因自身原因造成修改的费用。</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（五）服务企业应当履行下列义务</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1、遵守国家法律、法规和政策，遵守社会公德，自觉维护建筑市场秩序。</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2、遵守诚实信用原则，积极与</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建立良好合作关系，认真履行服务合同。</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3、严格落实工程管理规定，确保工程项目的质量、安全和进度。</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4、严格服从管理要求，自觉接受履约评价。</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en-US" w:eastAsia="zh-CN"/>
        </w:rPr>
        <w:t>5</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应承担由自身过错导致的任何责任。</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en-US" w:eastAsia="zh-CN"/>
        </w:rPr>
        <w:t>6</w:t>
      </w:r>
      <w:r>
        <w:rPr>
          <w:rFonts w:hint="eastAsia" w:hAnsi="宋体" w:cs="宋体"/>
          <w:color w:val="auto"/>
          <w:sz w:val="21"/>
          <w:szCs w:val="21"/>
          <w:highlight w:val="none"/>
        </w:rPr>
        <w:t>、保修期间，属于保修范围和内容的项目，</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应在接到甲方修理通知之日后1天内派人修理，修复要求按以上第2条工期要求标准。</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不在约定期限内派人修理，</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可委托其它人员修理，保修费用在质量保修费内扣除，不足部分仍由</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支付。</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（六）</w:t>
      </w:r>
      <w:r>
        <w:rPr>
          <w:rFonts w:hint="eastAsia" w:hAnsi="宋体" w:cs="宋体"/>
          <w:color w:val="auto"/>
          <w:sz w:val="21"/>
          <w:szCs w:val="21"/>
          <w:highlight w:val="none"/>
        </w:rPr>
        <w:t>其他</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如获</w:t>
      </w:r>
      <w:r>
        <w:rPr>
          <w:rFonts w:hint="eastAsia" w:hAnsi="宋体" w:cs="宋体"/>
          <w:color w:val="auto"/>
          <w:sz w:val="21"/>
          <w:szCs w:val="21"/>
          <w:highlight w:val="none"/>
          <w:lang w:eastAsia="zh-CN"/>
        </w:rPr>
        <w:t>成交</w:t>
      </w:r>
      <w:r>
        <w:rPr>
          <w:rFonts w:hint="eastAsia" w:hAnsi="宋体" w:cs="宋体"/>
          <w:color w:val="auto"/>
          <w:sz w:val="21"/>
          <w:szCs w:val="21"/>
          <w:highlight w:val="none"/>
        </w:rPr>
        <w:t>资格，不得将本项目以任何形式分包或转包给第三方，</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如有违反或损害</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利益的，</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有权终止与</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签订的服务合同。</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在协议服务资格年限内，履行本采购文件约定的义务过程中出现违反国家法律法规、相关主管部门规章制度、擅自提高价格或服务质量低劣造成</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损失等情况的，</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有权视情节分别给 予警告、没收履约金或取消协议服务资格等处罚。</w:t>
      </w:r>
    </w:p>
    <w:p>
      <w:pPr>
        <w:tabs>
          <w:tab w:val="left" w:pos="-28"/>
        </w:tabs>
        <w:spacing w:line="360" w:lineRule="auto"/>
        <w:ind w:firstLine="420" w:firstLineChars="200"/>
        <w:rPr>
          <w:rFonts w:hint="eastAsia" w:hAnsi="宋体" w:eastAsia="宋体" w:cs="宋体"/>
          <w:color w:val="auto"/>
          <w:sz w:val="21"/>
          <w:szCs w:val="21"/>
          <w:highlight w:val="none"/>
          <w:lang w:eastAsia="zh-CN"/>
        </w:rPr>
      </w:pPr>
      <w:r>
        <w:rPr>
          <w:rFonts w:hint="eastAsia" w:hAnsi="宋体" w:cs="宋体"/>
          <w:color w:val="auto"/>
          <w:sz w:val="21"/>
          <w:szCs w:val="21"/>
          <w:highlight w:val="none"/>
        </w:rPr>
        <w:t>（3）</w:t>
      </w:r>
      <w:r>
        <w:rPr>
          <w:rFonts w:hint="eastAsia" w:ascii="宋体" w:hAnsi="宋体" w:eastAsia="宋体" w:cs="宋体"/>
          <w:b w:val="0"/>
          <w:bCs w:val="0"/>
          <w:color w:val="auto"/>
          <w:sz w:val="21"/>
          <w:szCs w:val="21"/>
          <w:highlight w:val="none"/>
          <w:lang w:val="en-US" w:eastAsia="zh-CN"/>
        </w:rPr>
        <w:t>清单中没有的项目，有相似项目可参考相似项目执行或调整；若无相似项目，则按广东省2018清单及定额规定并结合市场信息价确定综合单价后按中标下浮率下浮。</w:t>
      </w:r>
      <w:r>
        <w:rPr>
          <w:color w:val="auto"/>
          <w:sz w:val="21"/>
          <w:szCs w:val="21"/>
          <w:highlight w:val="none"/>
        </w:rPr>
        <w:t>相关定额中没有相应子目的，其计价方式由双方协商约定</w:t>
      </w:r>
      <w:r>
        <w:rPr>
          <w:rFonts w:hint="eastAsia"/>
          <w:color w:val="auto"/>
          <w:sz w:val="21"/>
          <w:szCs w:val="21"/>
          <w:highlight w:val="none"/>
          <w:lang w:eastAsia="zh-CN"/>
        </w:rPr>
        <w:t>。</w:t>
      </w:r>
    </w:p>
    <w:p>
      <w:pPr>
        <w:tabs>
          <w:tab w:val="left" w:pos="-28"/>
        </w:tabs>
        <w:spacing w:line="360" w:lineRule="auto"/>
        <w:ind w:firstLine="420" w:firstLineChars="200"/>
        <w:rPr>
          <w:rFonts w:hint="eastAsia" w:hAnsi="宋体" w:eastAsia="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必须清楚理解：</w:t>
      </w:r>
      <w:r>
        <w:rPr>
          <w:rFonts w:hint="eastAsia" w:hAnsi="宋体" w:cs="宋体"/>
          <w:color w:val="auto"/>
          <w:sz w:val="21"/>
          <w:szCs w:val="21"/>
          <w:highlight w:val="none"/>
          <w:u w:val="single"/>
        </w:rPr>
        <w:t>本协议采购项目的取得并不意味着必然获得单项采购项目的服务机会，</w:t>
      </w:r>
      <w:r>
        <w:rPr>
          <w:rFonts w:hint="eastAsia" w:hAnsi="宋体" w:cs="宋体"/>
          <w:color w:val="auto"/>
          <w:sz w:val="21"/>
          <w:szCs w:val="21"/>
          <w:highlight w:val="none"/>
          <w:u w:val="single"/>
          <w:lang w:val="en-US" w:eastAsia="zh-CN"/>
        </w:rPr>
        <w:t>甲方</w:t>
      </w:r>
      <w:r>
        <w:rPr>
          <w:rFonts w:hint="eastAsia" w:hAnsi="宋体" w:cs="宋体"/>
          <w:color w:val="auto"/>
          <w:sz w:val="21"/>
          <w:szCs w:val="21"/>
          <w:highlight w:val="none"/>
          <w:u w:val="single"/>
        </w:rPr>
        <w:t>无法预计也无法保证</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u w:val="single"/>
        </w:rPr>
        <w:t>所能获得的服务项目数量</w:t>
      </w:r>
      <w:r>
        <w:rPr>
          <w:rFonts w:hint="eastAsia" w:hAnsi="宋体" w:eastAsia="宋体" w:cs="宋体"/>
          <w:color w:val="auto"/>
          <w:sz w:val="21"/>
          <w:szCs w:val="21"/>
          <w:highlight w:val="none"/>
        </w:rPr>
        <w:t>。</w:t>
      </w:r>
    </w:p>
    <w:p>
      <w:pPr>
        <w:tabs>
          <w:tab w:val="left" w:pos="-28"/>
        </w:tabs>
        <w:spacing w:line="360" w:lineRule="auto"/>
        <w:ind w:firstLine="420" w:firstLineChars="200"/>
        <w:rPr>
          <w:rFonts w:hint="eastAsia" w:hAnsi="宋体" w:eastAsia="宋体" w:cs="宋体"/>
          <w:color w:val="auto"/>
          <w:sz w:val="21"/>
          <w:szCs w:val="21"/>
          <w:highlight w:val="none"/>
        </w:rPr>
      </w:pP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lang w:val="en-US" w:eastAsia="zh-CN"/>
        </w:rPr>
        <w:t>5</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如</w:t>
      </w:r>
      <w:r>
        <w:rPr>
          <w:rFonts w:hint="eastAsia" w:hAnsi="宋体" w:cs="宋体"/>
          <w:color w:val="auto"/>
          <w:sz w:val="21"/>
          <w:szCs w:val="21"/>
          <w:highlight w:val="none"/>
          <w:lang w:val="en-US" w:eastAsia="zh-CN"/>
        </w:rPr>
        <w:t>乙方</w:t>
      </w:r>
      <w:r>
        <w:rPr>
          <w:rFonts w:hint="eastAsia" w:hAnsi="宋体" w:eastAsia="宋体" w:cs="宋体"/>
          <w:color w:val="auto"/>
          <w:sz w:val="21"/>
          <w:szCs w:val="21"/>
          <w:highlight w:val="none"/>
        </w:rPr>
        <w:t>因考核不合格或其他原因而中止服务，则从参与本次</w:t>
      </w:r>
      <w:r>
        <w:rPr>
          <w:rFonts w:hint="eastAsia" w:hAnsi="宋体" w:eastAsia="宋体" w:cs="宋体"/>
          <w:color w:val="auto"/>
          <w:sz w:val="21"/>
          <w:szCs w:val="21"/>
          <w:highlight w:val="none"/>
          <w:lang w:eastAsia="zh-CN"/>
        </w:rPr>
        <w:t>竞争性磋商</w:t>
      </w:r>
      <w:r>
        <w:rPr>
          <w:rFonts w:hint="eastAsia" w:hAnsi="宋体" w:eastAsia="宋体" w:cs="宋体"/>
          <w:color w:val="auto"/>
          <w:sz w:val="21"/>
          <w:szCs w:val="21"/>
          <w:highlight w:val="none"/>
        </w:rPr>
        <w:t>的供应商中，按照投标得分排名先后，通过合同谈判选取有意向服务的供应商。</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应充分考虑以下内容，由此所发生的各类纠纷由</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自行承担，并负相应的经济和法律责任：</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①工作期间，员工须遵守国家法律法规和工程的规章制度，切实履行相关的工作制度和职责。</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②须按照劳动合同法要求负责为其员工缴纳各类社会保险费用，同时保证用工的合法性。</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③对员工进行上岗培训、安全生产教育，提供的人员须经过培训合格后才可安排进行工程实施工作，对于国家规定一些特殊的服务，提供的人员需具有相应资格和资质，持证作业，人证相符。</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④承担独立法人单位应该承担的全部责任，包括综合治理、刑事、民事、工伤、社保、员工劳保福利等一切责任。</w:t>
      </w:r>
    </w:p>
    <w:p>
      <w:pPr>
        <w:tabs>
          <w:tab w:val="left" w:pos="-28"/>
        </w:tabs>
        <w:spacing w:line="360" w:lineRule="auto"/>
        <w:ind w:firstLine="420" w:firstLineChars="200"/>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rPr>
        <w:t>⑤须按照规定与</w:t>
      </w:r>
      <w:r>
        <w:rPr>
          <w:rFonts w:hint="eastAsia" w:hAnsi="宋体" w:cs="宋体"/>
          <w:color w:val="auto"/>
          <w:sz w:val="21"/>
          <w:szCs w:val="21"/>
          <w:highlight w:val="none"/>
          <w:lang w:val="en-US" w:eastAsia="zh-CN"/>
        </w:rPr>
        <w:t>甲方</w:t>
      </w:r>
      <w:r>
        <w:rPr>
          <w:rFonts w:hint="eastAsia" w:hAnsi="宋体" w:cs="宋体"/>
          <w:color w:val="auto"/>
          <w:sz w:val="21"/>
          <w:szCs w:val="21"/>
          <w:highlight w:val="none"/>
        </w:rPr>
        <w:t>签订施工合同，严格按照投标文件中承诺的收费标准进行计费，严格执行系统的服务调配。</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七</w:t>
      </w:r>
      <w:r>
        <w:rPr>
          <w:rFonts w:hint="eastAsia" w:hAnsi="宋体" w:cs="宋体"/>
          <w:color w:val="auto"/>
          <w:sz w:val="21"/>
          <w:szCs w:val="21"/>
          <w:highlight w:val="none"/>
        </w:rPr>
        <w:t>）取消服务资格</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无正当理由累计放弃任务达3次的。</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2、2次任务履约评价均为不合格的。</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3、无正当理由不履行或拒绝履行合同的。</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4、因受到市住房和城乡建设局或其他工程建设行政主管部门暂停其投标资格的。</w:t>
      </w:r>
    </w:p>
    <w:p>
      <w:pPr>
        <w:tabs>
          <w:tab w:val="left" w:pos="-28"/>
        </w:tabs>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因违反法律、法规受到处罚的其他行为。</w:t>
      </w:r>
    </w:p>
    <w:p>
      <w:pPr>
        <w:pStyle w:val="199"/>
        <w:tabs>
          <w:tab w:val="left" w:pos="1030"/>
        </w:tabs>
        <w:spacing w:line="360" w:lineRule="auto"/>
        <w:rPr>
          <w:rFonts w:hint="eastAsia" w:ascii="宋体" w:hAnsi="宋体" w:eastAsia="宋体" w:cs="宋体"/>
          <w:color w:val="auto"/>
          <w:sz w:val="24"/>
          <w:szCs w:val="24"/>
          <w:highlight w:val="none"/>
          <w:lang w:eastAsia="zh-CN"/>
        </w:rPr>
      </w:pPr>
      <w:r>
        <w:rPr>
          <w:rFonts w:hint="eastAsia" w:ascii="宋体" w:hAnsi="Calibri" w:eastAsia="仿宋_GB2312" w:cs="宋体"/>
          <w:b/>
          <w:bCs/>
          <w:color w:val="auto"/>
          <w:sz w:val="21"/>
          <w:szCs w:val="21"/>
          <w:highlight w:val="none"/>
          <w:lang w:val="en-US" w:eastAsia="zh-CN" w:bidi="ar-SA"/>
        </w:rPr>
        <w:t xml:space="preserve">四 施工、材料要求 </w:t>
      </w:r>
      <w:r>
        <w:rPr>
          <w:rFonts w:hint="eastAsia" w:ascii="宋体" w:hAnsi="宋体" w:eastAsia="宋体" w:cs="宋体"/>
          <w:color w:val="auto"/>
          <w:sz w:val="24"/>
          <w:szCs w:val="24"/>
          <w:highlight w:val="none"/>
          <w:lang w:eastAsia="zh-CN"/>
        </w:rPr>
        <w:t xml:space="preserve">   </w:t>
      </w:r>
    </w:p>
    <w:p>
      <w:pPr>
        <w:pStyle w:val="199"/>
        <w:tabs>
          <w:tab w:val="left" w:pos="1030"/>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1、施工责任</w:t>
      </w:r>
    </w:p>
    <w:p>
      <w:pPr>
        <w:pStyle w:val="199"/>
        <w:tabs>
          <w:tab w:val="left" w:pos="1030"/>
        </w:tabs>
        <w:spacing w:line="360" w:lineRule="auto"/>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 乙方应严格按照甲方要求、施工图纸（如有）要求进行施工，保质、保量、按期、安全地完成各维修项目。乙方施工人员必须严格遵守甲方各项规章制度。</w:t>
      </w:r>
    </w:p>
    <w:p>
      <w:pPr>
        <w:pStyle w:val="199"/>
        <w:tabs>
          <w:tab w:val="left" w:pos="1030"/>
        </w:tabs>
        <w:spacing w:line="360" w:lineRule="auto"/>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1.2乙方负责项目改造过程中原有材料以及新进材料的整理、堆放、保管、搬运，并承担因施工不当或材料保管不当造成的经济损失。</w:t>
      </w:r>
    </w:p>
    <w:p>
      <w:pPr>
        <w:pStyle w:val="199"/>
        <w:tabs>
          <w:tab w:val="left" w:pos="1030"/>
        </w:tabs>
        <w:spacing w:line="360" w:lineRule="auto"/>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1.3乙方应坚持文明施工，物料、工具放置整齐有序，安装施工的各种工具自备。</w:t>
      </w:r>
    </w:p>
    <w:p>
      <w:pPr>
        <w:pStyle w:val="199"/>
        <w:tabs>
          <w:tab w:val="left" w:pos="1030"/>
        </w:tabs>
        <w:spacing w:line="360" w:lineRule="auto"/>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1.4乙方施工过程中应保护好甲方设备、公共设施及其它设施，包括但不限于现场的地上、地下的电线、电缆、管线、通信等设施，如有损坏，由乙方负责赔偿一切损失。</w:t>
      </w:r>
    </w:p>
    <w:p>
      <w:pPr>
        <w:pStyle w:val="199"/>
        <w:tabs>
          <w:tab w:val="left" w:pos="1030"/>
        </w:tabs>
        <w:spacing w:line="360" w:lineRule="auto"/>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1.5乙方施工人员应搞好安全生产，项目范围内非因甲方引起的火灾、人身、设备等事故由乙方负责，且乙方应赔偿由此给甲方造成的损失。</w:t>
      </w:r>
    </w:p>
    <w:p>
      <w:pPr>
        <w:pStyle w:val="199"/>
        <w:tabs>
          <w:tab w:val="left" w:pos="1030"/>
        </w:tabs>
        <w:spacing w:line="360" w:lineRule="auto"/>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1.6乙方负责到甲方指定位置接驳临时水电，并负责从接驳点引出的电缆、电线、水管、临时电箱、电表、水表等设备、材料及其费用。</w:t>
      </w:r>
    </w:p>
    <w:p>
      <w:pPr>
        <w:pStyle w:val="199"/>
        <w:tabs>
          <w:tab w:val="left" w:pos="1030"/>
        </w:tabs>
        <w:spacing w:line="360" w:lineRule="auto"/>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1.7乙方应遵守本合同项目所在地有关部门对施工现场交通（运输及道路清洁）和环境保护及施工噪音等管理规定，</w:t>
      </w:r>
      <w:r>
        <w:rPr>
          <w:rFonts w:hint="eastAsia" w:cs="宋体"/>
          <w:color w:val="auto"/>
          <w:sz w:val="21"/>
          <w:szCs w:val="21"/>
          <w:highlight w:val="none"/>
          <w:lang w:val="en-US" w:eastAsia="zh-CN"/>
        </w:rPr>
        <w:t>若涉及到向相关行政主管部门施工报建等手续，由乙方</w:t>
      </w:r>
      <w:r>
        <w:rPr>
          <w:rFonts w:hint="eastAsia" w:ascii="宋体" w:hAnsi="宋体" w:eastAsia="宋体" w:cs="宋体"/>
          <w:color w:val="auto"/>
          <w:sz w:val="21"/>
          <w:szCs w:val="21"/>
          <w:highlight w:val="none"/>
          <w:lang w:eastAsia="zh-CN"/>
        </w:rPr>
        <w:t>自行办理有关手续，产生的费用按城市建设管理部门的规定，乙方承担相关费用。</w:t>
      </w:r>
    </w:p>
    <w:p>
      <w:pPr>
        <w:pStyle w:val="199"/>
        <w:tabs>
          <w:tab w:val="left" w:pos="1030"/>
        </w:tabs>
        <w:spacing w:line="360" w:lineRule="auto"/>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1.8施工场地已竣工项目在未交付给甲方之前，由乙方负责保护。保护期间发生损坏的，乙方应自费予以修复，并应承担因自身施工不当和材料保管不当造成的经济损失。</w:t>
      </w:r>
    </w:p>
    <w:p>
      <w:pPr>
        <w:pStyle w:val="199"/>
        <w:tabs>
          <w:tab w:val="left" w:pos="1030"/>
        </w:tabs>
        <w:spacing w:line="360" w:lineRule="auto"/>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乙方应严格按安全标准组织施工，并随时接受行业安全检查人员依法实施的监督检查，采取必要的安全防护措施，消除事故隐患。项目施工期间，在施工范围内引起的一切事故的责任和因此发生的费用，由乙方承担。</w:t>
      </w:r>
    </w:p>
    <w:p>
      <w:pPr>
        <w:pStyle w:val="199"/>
        <w:tabs>
          <w:tab w:val="left" w:pos="1030"/>
        </w:tabs>
        <w:spacing w:line="360" w:lineRule="auto"/>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1.10重大伤亡及其他安全事故，乙方应按有关规定立即上报有关部门并通知和甲方，同时按政府有关部门要求处理。如甲方因此代为垫付赔偿，有权向乙方追偿。</w:t>
      </w:r>
    </w:p>
    <w:p>
      <w:pPr>
        <w:pStyle w:val="199"/>
        <w:tabs>
          <w:tab w:val="left" w:pos="1030"/>
        </w:tabs>
        <w:spacing w:line="360" w:lineRule="auto"/>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1.11必须做到文明施工，严禁施工现场聚众赌博、打架斗殴、嫖娼、吸毒、贩毒、偷盗财物。</w:t>
      </w:r>
    </w:p>
    <w:p>
      <w:pPr>
        <w:pStyle w:val="199"/>
        <w:tabs>
          <w:tab w:val="left" w:pos="1030"/>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2、材料要求</w:t>
      </w:r>
    </w:p>
    <w:p>
      <w:pPr>
        <w:pStyle w:val="199"/>
        <w:tabs>
          <w:tab w:val="left" w:pos="1030"/>
        </w:tabs>
        <w:spacing w:line="360" w:lineRule="auto"/>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乙方应使用甲方指定的品牌、型号的材料；甲方未指定的，乙方应提供符合项目要求、质量合格的同等价位的知名品牌产品。</w:t>
      </w:r>
    </w:p>
    <w:p>
      <w:pPr>
        <w:pStyle w:val="199"/>
        <w:tabs>
          <w:tab w:val="left" w:pos="1030"/>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乙方应在进场前进行现场勘查，确认施工场地使用状态；进场前就施工场地状态3天内未提出书面异议的，视为施工场地状态正常，能够正常使用。施工后发现施工场地异常或损坏的，乙方应负责免费维修至正常使用状态，否则甲方不予验收，导致逾期交付的，乙方应承担逾期交付违约金；给甲方造成损失的，乙方应赔偿损失。</w:t>
      </w:r>
    </w:p>
    <w:p>
      <w:pPr>
        <w:pStyle w:val="199"/>
        <w:tabs>
          <w:tab w:val="left" w:pos="1030"/>
        </w:tabs>
        <w:spacing w:line="360" w:lineRule="auto"/>
        <w:rPr>
          <w:rFonts w:hint="eastAsia" w:ascii="宋体" w:hAnsi="Calibri" w:eastAsia="仿宋_GB2312" w:cs="宋体"/>
          <w:b/>
          <w:bCs/>
          <w:color w:val="auto"/>
          <w:sz w:val="21"/>
          <w:szCs w:val="21"/>
          <w:highlight w:val="none"/>
          <w:lang w:val="en-US" w:eastAsia="zh-CN" w:bidi="ar-SA"/>
        </w:rPr>
      </w:pPr>
      <w:r>
        <w:rPr>
          <w:rFonts w:hint="eastAsia" w:ascii="宋体" w:hAnsi="Calibri" w:eastAsia="仿宋_GB2312" w:cs="宋体"/>
          <w:b/>
          <w:bCs/>
          <w:color w:val="auto"/>
          <w:sz w:val="21"/>
          <w:szCs w:val="21"/>
          <w:highlight w:val="none"/>
          <w:lang w:val="en-US" w:eastAsia="zh-CN" w:bidi="ar-SA"/>
        </w:rPr>
        <w:t>五 计费及支付方式</w:t>
      </w:r>
    </w:p>
    <w:p>
      <w:pPr>
        <w:pStyle w:val="199"/>
        <w:spacing w:line="360" w:lineRule="auto"/>
        <w:ind w:firstLine="420"/>
        <w:rPr>
          <w:rFonts w:hint="eastAsia" w:cs="宋体"/>
          <w:color w:val="auto"/>
          <w:sz w:val="21"/>
          <w:szCs w:val="21"/>
          <w:highlight w:val="none"/>
          <w:lang w:val="en-US" w:eastAsia="zh-CN"/>
        </w:rPr>
      </w:pPr>
      <w:r>
        <w:rPr>
          <w:rFonts w:hint="eastAsia" w:hAnsi="宋体" w:cs="宋体"/>
          <w:color w:val="auto"/>
          <w:sz w:val="21"/>
          <w:szCs w:val="21"/>
          <w:highlight w:val="none"/>
          <w:lang w:val="en-US" w:eastAsia="zh-CN"/>
        </w:rPr>
        <w:t>甲方以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工作联系单</w:t>
      </w:r>
      <w:r>
        <w:rPr>
          <w:rFonts w:hint="eastAsia" w:ascii="宋体" w:hAnsi="宋体" w:eastAsia="宋体" w:cs="宋体"/>
          <w:color w:val="auto"/>
          <w:sz w:val="21"/>
          <w:szCs w:val="21"/>
          <w:highlight w:val="none"/>
          <w:lang w:val="en-US" w:eastAsia="zh-CN"/>
        </w:rPr>
        <w:t>》形式下发施工指令。</w:t>
      </w:r>
      <w:r>
        <w:rPr>
          <w:rFonts w:hint="eastAsia" w:hAnsi="宋体" w:cs="宋体"/>
          <w:color w:val="auto"/>
          <w:sz w:val="21"/>
          <w:szCs w:val="21"/>
          <w:highlight w:val="none"/>
          <w:lang w:val="en-US" w:eastAsia="zh-CN"/>
        </w:rPr>
        <w:t>按一单一算的原则核算工程造价。</w:t>
      </w:r>
      <w:r>
        <w:rPr>
          <w:rFonts w:hint="eastAsia" w:ascii="宋体" w:hAnsi="宋体" w:eastAsia="宋体" w:cs="宋体"/>
          <w:color w:val="auto"/>
          <w:sz w:val="21"/>
          <w:szCs w:val="21"/>
          <w:highlight w:val="none"/>
          <w:lang w:val="en-US" w:eastAsia="zh-CN"/>
        </w:rPr>
        <w:t>乙方每月汇总《</w:t>
      </w:r>
      <w:r>
        <w:rPr>
          <w:rFonts w:hint="eastAsia" w:cs="宋体"/>
          <w:color w:val="auto"/>
          <w:sz w:val="21"/>
          <w:szCs w:val="21"/>
          <w:highlight w:val="none"/>
          <w:lang w:val="en-US" w:eastAsia="zh-CN"/>
        </w:rPr>
        <w:t>工作联系单</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，根据实际完成工程</w:t>
      </w:r>
      <w:r>
        <w:rPr>
          <w:rFonts w:hint="eastAsia" w:hAnsi="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，支付当月完成</w:t>
      </w:r>
      <w:r>
        <w:rPr>
          <w:rFonts w:hint="eastAsia" w:hAnsi="宋体" w:cs="宋体"/>
          <w:color w:val="auto"/>
          <w:sz w:val="21"/>
          <w:szCs w:val="21"/>
          <w:highlight w:val="none"/>
          <w:lang w:val="en-US" w:eastAsia="zh-CN"/>
        </w:rPr>
        <w:t>项目造价</w:t>
      </w:r>
      <w:r>
        <w:rPr>
          <w:rFonts w:hint="eastAsia" w:ascii="宋体" w:hAnsi="宋体" w:cs="宋体"/>
          <w:color w:val="auto"/>
          <w:sz w:val="21"/>
          <w:szCs w:val="21"/>
          <w:highlight w:val="none"/>
          <w:lang w:val="en-US" w:eastAsia="zh-CN"/>
        </w:rPr>
        <w:t>的80%；从合同签订之日起，每6个月做一次阶段性结算</w:t>
      </w:r>
      <w:r>
        <w:rPr>
          <w:rFonts w:hint="eastAsia" w:ascii="宋体" w:hAnsi="宋体"/>
          <w:bCs w:val="0"/>
          <w:color w:val="auto"/>
          <w:sz w:val="21"/>
          <w:szCs w:val="21"/>
          <w:highlight w:val="none"/>
        </w:rPr>
        <w:t>，乙方提供</w:t>
      </w:r>
      <w:r>
        <w:rPr>
          <w:rFonts w:hint="eastAsia" w:hAnsi="宋体"/>
          <w:bCs/>
          <w:color w:val="auto"/>
          <w:sz w:val="21"/>
          <w:szCs w:val="21"/>
          <w:highlight w:val="none"/>
          <w:lang w:val="en-US" w:eastAsia="zh-CN"/>
        </w:rPr>
        <w:t>已完成项目的</w:t>
      </w:r>
      <w:r>
        <w:rPr>
          <w:rFonts w:hint="eastAsia" w:ascii="宋体" w:hAnsi="宋体"/>
          <w:bCs/>
          <w:color w:val="auto"/>
          <w:sz w:val="21"/>
          <w:szCs w:val="21"/>
          <w:highlight w:val="none"/>
        </w:rPr>
        <w:t>结算资料供甲方审核，甲乙双方确认结算金额后，甲方支付乙方至结</w:t>
      </w:r>
      <w:r>
        <w:rPr>
          <w:rFonts w:hint="eastAsia" w:cs="宋体"/>
          <w:color w:val="auto"/>
          <w:sz w:val="21"/>
          <w:szCs w:val="21"/>
          <w:highlight w:val="none"/>
          <w:lang w:val="en-US" w:eastAsia="zh-CN"/>
        </w:rPr>
        <w:t>算价的97%，剩余3%为质保金。</w:t>
      </w:r>
    </w:p>
    <w:p>
      <w:pPr>
        <w:pStyle w:val="199"/>
        <w:numPr>
          <w:ilvl w:val="0"/>
          <w:numId w:val="16"/>
        </w:numPr>
        <w:spacing w:line="360" w:lineRule="auto"/>
        <w:ind w:firstLine="420"/>
        <w:rPr>
          <w:rFonts w:hint="eastAsia"/>
          <w:color w:val="auto"/>
          <w:sz w:val="21"/>
          <w:szCs w:val="21"/>
          <w:highlight w:val="none"/>
          <w:lang w:val="en-US" w:eastAsia="zh-CN"/>
        </w:rPr>
      </w:pPr>
      <w:r>
        <w:rPr>
          <w:rFonts w:hint="eastAsia" w:ascii="宋体" w:hAnsi="宋体" w:cs="宋体"/>
          <w:color w:val="auto"/>
          <w:sz w:val="21"/>
          <w:szCs w:val="21"/>
          <w:highlight w:val="none"/>
          <w:lang w:val="en-US" w:eastAsia="zh-CN"/>
        </w:rPr>
        <w:t>合同到期后，甲方组织对所有项目进行验收并在验收合格后进行合同总结算，乙方提供结算资料供甲方审核，甲乙双方确认结算总金额后，支付至结算总价的97%</w:t>
      </w:r>
      <w:r>
        <w:rPr>
          <w:rFonts w:hint="eastAsia" w:cs="宋体"/>
          <w:color w:val="auto"/>
          <w:sz w:val="21"/>
          <w:szCs w:val="21"/>
          <w:highlight w:val="none"/>
          <w:lang w:val="en-US" w:eastAsia="zh-CN"/>
        </w:rPr>
        <w:t>，</w:t>
      </w:r>
      <w:r>
        <w:rPr>
          <w:rFonts w:hint="eastAsia" w:ascii="宋体" w:hAnsi="宋体" w:cs="宋体"/>
          <w:color w:val="auto"/>
          <w:sz w:val="21"/>
          <w:szCs w:val="21"/>
          <w:highlight w:val="none"/>
          <w:lang w:val="en-US" w:eastAsia="zh-CN"/>
        </w:rPr>
        <w:t>余下结算总价的3%作为质保金。</w:t>
      </w:r>
      <w:r>
        <w:rPr>
          <w:rFonts w:hint="eastAsia"/>
          <w:color w:val="auto"/>
          <w:sz w:val="21"/>
          <w:szCs w:val="21"/>
          <w:highlight w:val="none"/>
          <w:lang w:val="en-US" w:eastAsia="zh-CN"/>
        </w:rPr>
        <w:t>合同最后一项工作内容的质量保修期满2年后，</w:t>
      </w:r>
      <w:r>
        <w:rPr>
          <w:rFonts w:hint="eastAsia" w:ascii="宋体" w:hAnsi="宋体" w:cs="宋体"/>
          <w:color w:val="auto"/>
          <w:sz w:val="21"/>
          <w:szCs w:val="21"/>
          <w:highlight w:val="none"/>
          <w:lang w:val="en-US" w:eastAsia="zh-CN"/>
        </w:rPr>
        <w:t>甲方在收到乙方的请款资料15个工作日内无息付清</w:t>
      </w:r>
      <w:r>
        <w:rPr>
          <w:rFonts w:hint="eastAsia"/>
          <w:color w:val="auto"/>
          <w:sz w:val="21"/>
          <w:szCs w:val="21"/>
          <w:highlight w:val="none"/>
          <w:lang w:val="en-US" w:eastAsia="zh-CN"/>
        </w:rPr>
        <w:t>所有质保金。</w:t>
      </w:r>
    </w:p>
    <w:p>
      <w:pPr>
        <w:pStyle w:val="199"/>
        <w:spacing w:line="360" w:lineRule="auto"/>
        <w:ind w:firstLine="42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3、合同实施内容可能不限于已有清单。清单中没有的项目，有相似项目可参考相似项目执行或调整；若无相似项目，则按广东省2018清单及定额规定并结合市场信息价确定综合单价后按中标下浮率下浮。</w:t>
      </w:r>
    </w:p>
    <w:p>
      <w:pPr>
        <w:pStyle w:val="199"/>
        <w:spacing w:line="360" w:lineRule="auto"/>
        <w:ind w:firstLine="42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4、如相关定额中没有相应子目的，其计价方式由双方协商约定。</w:t>
      </w:r>
    </w:p>
    <w:p>
      <w:pPr>
        <w:pStyle w:val="199"/>
        <w:spacing w:line="360" w:lineRule="auto"/>
        <w:ind w:firstLine="420"/>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按照现行税收政策规定，每次付款前，乙方必须提供合法有效、与本合同总价款条款中增值税税率一致的增值税发票给甲方，否则甲方有权拒绝付款且不构成违约；在甲方除支付质保金外的最后一期款项前，乙方须连同当期支付款项发票和质保金发票一并提交给甲方；若后续出现质保问题，按照质保责任和条款，部分或全部扣除质保金的，不退还相应金额的发票。若合同执行期间，遇国家税务政策调整所引起的合同价格变化，按照不含税价格调整结算价格。</w:t>
      </w:r>
    </w:p>
    <w:p>
      <w:pPr>
        <w:pStyle w:val="199"/>
        <w:tabs>
          <w:tab w:val="left" w:pos="1030"/>
        </w:tabs>
        <w:spacing w:line="360" w:lineRule="auto"/>
        <w:rPr>
          <w:rFonts w:hint="eastAsia" w:ascii="宋体" w:hAnsi="Calibri" w:eastAsia="仿宋_GB2312" w:cs="宋体"/>
          <w:b/>
          <w:bCs/>
          <w:color w:val="auto"/>
          <w:sz w:val="21"/>
          <w:szCs w:val="21"/>
          <w:highlight w:val="none"/>
          <w:lang w:val="en-US" w:eastAsia="zh-CN" w:bidi="ar-SA"/>
        </w:rPr>
      </w:pPr>
      <w:r>
        <w:rPr>
          <w:rFonts w:hint="eastAsia" w:ascii="宋体" w:hAnsi="Calibri" w:eastAsia="仿宋_GB2312" w:cs="宋体"/>
          <w:b/>
          <w:bCs/>
          <w:color w:val="auto"/>
          <w:sz w:val="21"/>
          <w:szCs w:val="21"/>
          <w:highlight w:val="none"/>
          <w:lang w:val="en-US" w:eastAsia="zh-CN" w:bidi="ar-SA"/>
        </w:rPr>
        <w:t>六 甲方的权利和义务</w:t>
      </w:r>
    </w:p>
    <w:p>
      <w:pPr>
        <w:pStyle w:val="199"/>
        <w:tabs>
          <w:tab w:val="left" w:pos="832"/>
        </w:tabs>
        <w:spacing w:line="360" w:lineRule="auto"/>
        <w:ind w:firstLine="440"/>
        <w:jc w:val="left"/>
        <w:rPr>
          <w:rFonts w:hint="eastAsia" w:ascii="宋体" w:hAnsi="宋体" w:eastAsia="宋体" w:cs="宋体"/>
          <w:color w:val="auto"/>
          <w:sz w:val="21"/>
          <w:szCs w:val="21"/>
          <w:highlight w:val="none"/>
        </w:rPr>
      </w:pPr>
      <w:bookmarkStart w:id="178" w:name="bookmark356"/>
      <w:r>
        <w:rPr>
          <w:rFonts w:hint="eastAsia" w:ascii="宋体" w:hAnsi="宋体" w:eastAsia="宋体" w:cs="宋体"/>
          <w:color w:val="auto"/>
          <w:sz w:val="21"/>
          <w:szCs w:val="21"/>
          <w:highlight w:val="none"/>
        </w:rPr>
        <w:t>1</w:t>
      </w:r>
      <w:bookmarkEnd w:id="178"/>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在合同履行期间，有权对乙方进行监督和检査，并要求其提供相关信息和资料。对乙方违反本合同约定、釆购文件、投标文件规定的行为有权要求改正。</w:t>
      </w:r>
    </w:p>
    <w:p>
      <w:pPr>
        <w:pStyle w:val="199"/>
        <w:tabs>
          <w:tab w:val="left" w:pos="832"/>
        </w:tabs>
        <w:spacing w:line="360" w:lineRule="auto"/>
        <w:ind w:firstLine="440"/>
        <w:jc w:val="left"/>
        <w:rPr>
          <w:rFonts w:hint="eastAsia" w:ascii="宋体" w:hAnsi="宋体" w:eastAsia="宋体" w:cs="宋体"/>
          <w:color w:val="auto"/>
          <w:sz w:val="21"/>
          <w:szCs w:val="21"/>
          <w:highlight w:val="none"/>
        </w:rPr>
      </w:pPr>
      <w:bookmarkStart w:id="179" w:name="bookmark357"/>
      <w:r>
        <w:rPr>
          <w:rFonts w:hint="eastAsia" w:ascii="宋体" w:hAnsi="宋体" w:eastAsia="宋体" w:cs="宋体"/>
          <w:color w:val="auto"/>
          <w:sz w:val="21"/>
          <w:szCs w:val="21"/>
          <w:highlight w:val="none"/>
        </w:rPr>
        <w:t>2</w:t>
      </w:r>
      <w:bookmarkEnd w:id="179"/>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在具体项目委派乙方前，有权要求乙方根据具体单项项目实际情况提交《单项项目服务方案》， 并对方案进行审查批准。</w:t>
      </w:r>
    </w:p>
    <w:p>
      <w:pPr>
        <w:pStyle w:val="199"/>
        <w:tabs>
          <w:tab w:val="left" w:pos="832"/>
        </w:tabs>
        <w:spacing w:after="60" w:line="360" w:lineRule="auto"/>
        <w:ind w:firstLine="440"/>
        <w:jc w:val="left"/>
        <w:rPr>
          <w:rFonts w:hint="eastAsia" w:ascii="宋体" w:hAnsi="宋体" w:eastAsia="宋体" w:cs="宋体"/>
          <w:color w:val="auto"/>
          <w:sz w:val="21"/>
          <w:szCs w:val="21"/>
          <w:highlight w:val="none"/>
        </w:rPr>
      </w:pPr>
      <w:bookmarkStart w:id="180" w:name="bookmark358"/>
      <w:r>
        <w:rPr>
          <w:rFonts w:hint="eastAsia" w:ascii="宋体" w:hAnsi="宋体" w:eastAsia="宋体" w:cs="宋体"/>
          <w:color w:val="auto"/>
          <w:sz w:val="21"/>
          <w:szCs w:val="21"/>
          <w:highlight w:val="none"/>
        </w:rPr>
        <w:t>3</w:t>
      </w:r>
      <w:bookmarkEnd w:id="180"/>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甲方有权对乙方服务人员、设备投入等进行监督、检查。如发现不符合釆购文件文件、投标文件、合同约定的，有权要求补充、更换及追究乙方其他违约责任。</w:t>
      </w:r>
    </w:p>
    <w:p>
      <w:pPr>
        <w:pStyle w:val="199"/>
        <w:spacing w:line="360" w:lineRule="auto"/>
        <w:ind w:firstLine="440"/>
        <w:rPr>
          <w:rFonts w:hint="eastAsia" w:ascii="宋体" w:hAnsi="宋体" w:eastAsia="宋体" w:cs="宋体"/>
          <w:color w:val="auto"/>
          <w:sz w:val="21"/>
          <w:szCs w:val="21"/>
          <w:highlight w:val="none"/>
          <w:lang w:eastAsia="zh-CN"/>
        </w:rPr>
      </w:pPr>
      <w:bookmarkStart w:id="181" w:name="bookmark359"/>
      <w:r>
        <w:rPr>
          <w:rFonts w:hint="eastAsia" w:ascii="宋体" w:hAnsi="宋体" w:eastAsia="宋体" w:cs="宋体"/>
          <w:color w:val="auto"/>
          <w:sz w:val="21"/>
          <w:szCs w:val="21"/>
          <w:highlight w:val="none"/>
        </w:rPr>
        <w:t>4</w:t>
      </w:r>
      <w:bookmarkEnd w:id="181"/>
      <w:r>
        <w:rPr>
          <w:rFonts w:hint="eastAsia" w:ascii="宋体" w:hAnsi="宋体" w:eastAsia="宋体" w:cs="宋体"/>
          <w:color w:val="auto"/>
          <w:sz w:val="21"/>
          <w:szCs w:val="21"/>
          <w:highlight w:val="none"/>
        </w:rPr>
        <w:t>、对发现乙方违反本合同、釆购文件文件、投标文件或服务合同的有关规定或承诺，甲方有权追究乙方的违约责任。</w:t>
      </w:r>
    </w:p>
    <w:p>
      <w:pPr>
        <w:pStyle w:val="199"/>
        <w:spacing w:line="360" w:lineRule="auto"/>
        <w:ind w:firstLine="4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5、当委托以上维修服务物业项目的物业管理工作不再由甲方负责，则合同自动取消并甲方无需负任何责任，乙方不得向甲方索赔；</w:t>
      </w:r>
    </w:p>
    <w:p>
      <w:pPr>
        <w:pStyle w:val="199"/>
        <w:spacing w:line="360" w:lineRule="auto"/>
        <w:ind w:firstLine="4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每个月对乙方维修工作和服务质量检验标准进行评估考核，附件考核表格评分和罚款。</w:t>
      </w:r>
      <w:r>
        <w:rPr>
          <w:rFonts w:hint="eastAsia" w:ascii="宋体" w:hAnsi="宋体" w:eastAsia="宋体" w:cs="宋体"/>
          <w:color w:val="auto"/>
          <w:sz w:val="21"/>
          <w:szCs w:val="21"/>
          <w:highlight w:val="none"/>
          <w:u w:val="single"/>
          <w:lang w:eastAsia="zh-CN"/>
        </w:rPr>
        <w:t>在合同期内，乙方连续两个月考核不合格，或累计4个月考核不合格，甲方有权解除项目的服务合同更换其他的供应商提供服务，不负违约责任。</w:t>
      </w:r>
    </w:p>
    <w:p>
      <w:pPr>
        <w:pStyle w:val="199"/>
        <w:tabs>
          <w:tab w:val="left" w:pos="1030"/>
        </w:tabs>
        <w:spacing w:line="360" w:lineRule="auto"/>
        <w:rPr>
          <w:rFonts w:hint="eastAsia" w:ascii="宋体" w:hAnsi="Calibri" w:eastAsia="仿宋_GB2312" w:cs="宋体"/>
          <w:b/>
          <w:bCs/>
          <w:color w:val="auto"/>
          <w:sz w:val="21"/>
          <w:szCs w:val="21"/>
          <w:highlight w:val="none"/>
          <w:lang w:val="en-US" w:eastAsia="zh-CN" w:bidi="ar-SA"/>
        </w:rPr>
      </w:pPr>
      <w:r>
        <w:rPr>
          <w:rFonts w:hint="eastAsia" w:ascii="宋体" w:hAnsi="Calibri" w:eastAsia="仿宋_GB2312" w:cs="宋体"/>
          <w:b/>
          <w:bCs/>
          <w:color w:val="auto"/>
          <w:sz w:val="21"/>
          <w:szCs w:val="21"/>
          <w:highlight w:val="none"/>
          <w:lang w:val="en-US" w:eastAsia="zh-CN" w:bidi="ar-SA"/>
        </w:rPr>
        <w:t>七 乙方权利义务</w:t>
      </w:r>
    </w:p>
    <w:p>
      <w:pPr>
        <w:pStyle w:val="199"/>
        <w:tabs>
          <w:tab w:val="left" w:pos="791"/>
        </w:tabs>
        <w:spacing w:line="360" w:lineRule="auto"/>
        <w:ind w:firstLine="440"/>
        <w:rPr>
          <w:rFonts w:hint="eastAsia" w:ascii="宋体" w:hAnsi="宋体" w:eastAsia="宋体" w:cs="宋体"/>
          <w:color w:val="auto"/>
          <w:sz w:val="21"/>
          <w:szCs w:val="21"/>
          <w:highlight w:val="none"/>
        </w:rPr>
      </w:pPr>
      <w:bookmarkStart w:id="182" w:name="bookmark361"/>
      <w:r>
        <w:rPr>
          <w:rFonts w:hint="eastAsia" w:ascii="宋体" w:hAnsi="宋体" w:eastAsia="宋体" w:cs="宋体"/>
          <w:color w:val="auto"/>
          <w:sz w:val="21"/>
          <w:szCs w:val="21"/>
          <w:highlight w:val="none"/>
        </w:rPr>
        <w:t>1</w:t>
      </w:r>
      <w:bookmarkEnd w:id="182"/>
      <w:r>
        <w:rPr>
          <w:rFonts w:hint="eastAsia" w:ascii="宋体" w:hAnsi="宋体" w:eastAsia="宋体" w:cs="宋体"/>
          <w:color w:val="auto"/>
          <w:sz w:val="21"/>
          <w:szCs w:val="21"/>
          <w:highlight w:val="none"/>
        </w:rPr>
        <w:t>、遵守国家法律、法规和政策，遵守社会公德，自觉维护建筑市场秩序；</w:t>
      </w:r>
    </w:p>
    <w:p>
      <w:pPr>
        <w:pStyle w:val="199"/>
        <w:tabs>
          <w:tab w:val="left" w:pos="813"/>
        </w:tabs>
        <w:spacing w:line="360" w:lineRule="auto"/>
        <w:ind w:firstLine="440"/>
        <w:rPr>
          <w:rFonts w:hint="eastAsia" w:ascii="宋体" w:hAnsi="宋体" w:eastAsia="宋体" w:cs="宋体"/>
          <w:color w:val="auto"/>
          <w:sz w:val="21"/>
          <w:szCs w:val="21"/>
          <w:highlight w:val="none"/>
        </w:rPr>
      </w:pPr>
      <w:bookmarkStart w:id="183" w:name="bookmark362"/>
      <w:r>
        <w:rPr>
          <w:rFonts w:hint="eastAsia" w:ascii="宋体" w:hAnsi="宋体" w:eastAsia="宋体" w:cs="宋体"/>
          <w:color w:val="auto"/>
          <w:sz w:val="21"/>
          <w:szCs w:val="21"/>
          <w:highlight w:val="none"/>
        </w:rPr>
        <w:t>2</w:t>
      </w:r>
      <w:bookmarkEnd w:id="183"/>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遵守诚实信用原则，认真履行合同；</w:t>
      </w:r>
    </w:p>
    <w:p>
      <w:pPr>
        <w:pStyle w:val="199"/>
        <w:tabs>
          <w:tab w:val="left" w:pos="813"/>
        </w:tabs>
        <w:spacing w:line="360" w:lineRule="auto"/>
        <w:ind w:firstLine="440"/>
        <w:rPr>
          <w:rFonts w:hint="eastAsia" w:ascii="宋体" w:hAnsi="宋体" w:eastAsia="宋体" w:cs="宋体"/>
          <w:color w:val="auto"/>
          <w:sz w:val="21"/>
          <w:szCs w:val="21"/>
          <w:highlight w:val="none"/>
        </w:rPr>
      </w:pPr>
      <w:bookmarkStart w:id="184" w:name="bookmark363"/>
      <w:r>
        <w:rPr>
          <w:rFonts w:hint="eastAsia" w:ascii="宋体" w:hAnsi="宋体" w:eastAsia="宋体" w:cs="宋体"/>
          <w:color w:val="auto"/>
          <w:sz w:val="21"/>
          <w:szCs w:val="21"/>
          <w:highlight w:val="none"/>
        </w:rPr>
        <w:t>3</w:t>
      </w:r>
      <w:bookmarkEnd w:id="184"/>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不参与串通投标、转包、挂靠等违法行为，不以行贿、受贿等非法手段谋取利益；</w:t>
      </w:r>
    </w:p>
    <w:p>
      <w:pPr>
        <w:pStyle w:val="199"/>
        <w:tabs>
          <w:tab w:val="left" w:pos="813"/>
        </w:tabs>
        <w:spacing w:line="360" w:lineRule="auto"/>
        <w:ind w:firstLine="440"/>
        <w:rPr>
          <w:rFonts w:hint="eastAsia" w:ascii="宋体" w:hAnsi="宋体" w:eastAsia="宋体" w:cs="宋体"/>
          <w:color w:val="auto"/>
          <w:sz w:val="21"/>
          <w:szCs w:val="21"/>
          <w:highlight w:val="none"/>
        </w:rPr>
      </w:pPr>
      <w:bookmarkStart w:id="185" w:name="bookmark364"/>
      <w:r>
        <w:rPr>
          <w:rFonts w:hint="eastAsia" w:ascii="宋体" w:hAnsi="宋体" w:eastAsia="宋体" w:cs="宋体"/>
          <w:color w:val="auto"/>
          <w:sz w:val="21"/>
          <w:szCs w:val="21"/>
          <w:highlight w:val="none"/>
        </w:rPr>
        <w:t>4</w:t>
      </w:r>
      <w:bookmarkEnd w:id="185"/>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提供优质、高效服务，并提供服务内容与乙方投标文件一致。</w:t>
      </w:r>
    </w:p>
    <w:p>
      <w:pPr>
        <w:pStyle w:val="199"/>
        <w:tabs>
          <w:tab w:val="left" w:pos="798"/>
        </w:tabs>
        <w:spacing w:line="360" w:lineRule="auto"/>
        <w:ind w:firstLine="440"/>
        <w:rPr>
          <w:rFonts w:hint="eastAsia" w:ascii="宋体" w:hAnsi="宋体" w:eastAsia="宋体" w:cs="宋体"/>
          <w:color w:val="auto"/>
          <w:sz w:val="21"/>
          <w:szCs w:val="21"/>
          <w:highlight w:val="none"/>
        </w:rPr>
      </w:pPr>
      <w:bookmarkStart w:id="186" w:name="bookmark365"/>
      <w:r>
        <w:rPr>
          <w:rFonts w:hint="eastAsia" w:ascii="宋体" w:hAnsi="宋体" w:eastAsia="宋体" w:cs="宋体"/>
          <w:color w:val="auto"/>
          <w:sz w:val="21"/>
          <w:szCs w:val="21"/>
          <w:highlight w:val="none"/>
        </w:rPr>
        <w:t>5</w:t>
      </w:r>
      <w:bookmarkEnd w:id="186"/>
      <w:r>
        <w:rPr>
          <w:rFonts w:hint="eastAsia" w:ascii="宋体" w:hAnsi="宋体" w:eastAsia="宋体" w:cs="宋体"/>
          <w:color w:val="auto"/>
          <w:sz w:val="21"/>
          <w:szCs w:val="21"/>
          <w:highlight w:val="none"/>
        </w:rPr>
        <w:t>、乙方保证所提供的釆购服务均为釆用优质的服务资源及工作流程，并完全符合甲方釆购文件要求及乙方投标文件承诺的商务和技术规格标准。</w:t>
      </w:r>
    </w:p>
    <w:p>
      <w:pPr>
        <w:pStyle w:val="199"/>
        <w:tabs>
          <w:tab w:val="left" w:pos="1030"/>
        </w:tabs>
        <w:spacing w:line="360" w:lineRule="auto"/>
        <w:rPr>
          <w:rFonts w:hint="eastAsia" w:ascii="宋体" w:hAnsi="Calibri" w:eastAsia="仿宋_GB2312" w:cs="宋体"/>
          <w:b/>
          <w:bCs/>
          <w:color w:val="auto"/>
          <w:sz w:val="21"/>
          <w:szCs w:val="21"/>
          <w:highlight w:val="none"/>
          <w:lang w:val="en-US" w:eastAsia="zh-CN" w:bidi="ar-SA"/>
        </w:rPr>
      </w:pPr>
      <w:r>
        <w:rPr>
          <w:rFonts w:hint="eastAsia" w:ascii="宋体" w:hAnsi="Calibri" w:eastAsia="仿宋_GB2312" w:cs="宋体"/>
          <w:b/>
          <w:bCs/>
          <w:color w:val="auto"/>
          <w:sz w:val="21"/>
          <w:szCs w:val="21"/>
          <w:highlight w:val="none"/>
          <w:lang w:val="en-US" w:eastAsia="zh-CN" w:bidi="ar-SA"/>
        </w:rPr>
        <w:t>八 技术资料</w:t>
      </w:r>
    </w:p>
    <w:p>
      <w:pPr>
        <w:pStyle w:val="199"/>
        <w:spacing w:line="360" w:lineRule="auto"/>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提供釆购服务过程中，涉及所承接项目的相关技术资料、图表、服务成果所有权及版权均属于甲方。乙方需将上述资料以及其他甲方在使用乙方提供的釆购服务过程中所需的技术资料交给甲方，有关资料的收集和整理由乙方负责，甲方予以配合。</w:t>
      </w:r>
    </w:p>
    <w:p>
      <w:pPr>
        <w:pStyle w:val="199"/>
        <w:tabs>
          <w:tab w:val="left" w:pos="1030"/>
        </w:tabs>
        <w:spacing w:line="360" w:lineRule="auto"/>
        <w:rPr>
          <w:rFonts w:hint="eastAsia" w:ascii="宋体" w:hAnsi="Calibri" w:eastAsia="仿宋_GB2312" w:cs="宋体"/>
          <w:b/>
          <w:bCs/>
          <w:color w:val="auto"/>
          <w:sz w:val="21"/>
          <w:szCs w:val="21"/>
          <w:highlight w:val="none"/>
          <w:lang w:val="en-US" w:eastAsia="zh-CN" w:bidi="ar-SA"/>
        </w:rPr>
      </w:pPr>
      <w:r>
        <w:rPr>
          <w:rFonts w:hint="eastAsia" w:ascii="宋体" w:hAnsi="Calibri" w:eastAsia="仿宋_GB2312" w:cs="宋体"/>
          <w:b/>
          <w:bCs/>
          <w:color w:val="auto"/>
          <w:sz w:val="21"/>
          <w:szCs w:val="21"/>
          <w:highlight w:val="none"/>
          <w:lang w:val="en-US" w:eastAsia="zh-CN" w:bidi="ar-SA"/>
        </w:rPr>
        <w:t>九 违约责任</w:t>
      </w:r>
    </w:p>
    <w:p>
      <w:pPr>
        <w:pStyle w:val="199"/>
        <w:tabs>
          <w:tab w:val="left" w:pos="790"/>
        </w:tabs>
        <w:spacing w:line="360" w:lineRule="auto"/>
        <w:ind w:firstLine="440"/>
        <w:rPr>
          <w:rFonts w:hint="eastAsia" w:ascii="宋体" w:hAnsi="宋体" w:eastAsia="宋体" w:cs="宋体"/>
          <w:color w:val="auto"/>
          <w:sz w:val="21"/>
          <w:szCs w:val="21"/>
          <w:highlight w:val="none"/>
        </w:rPr>
      </w:pPr>
      <w:bookmarkStart w:id="187" w:name="bookmark368"/>
      <w:r>
        <w:rPr>
          <w:rFonts w:hint="eastAsia" w:ascii="宋体" w:hAnsi="宋体" w:eastAsia="宋体" w:cs="宋体"/>
          <w:color w:val="auto"/>
          <w:sz w:val="21"/>
          <w:szCs w:val="21"/>
          <w:highlight w:val="none"/>
        </w:rPr>
        <w:t>1</w:t>
      </w:r>
      <w:bookmarkEnd w:id="187"/>
      <w:r>
        <w:rPr>
          <w:rFonts w:hint="eastAsia" w:ascii="宋体" w:hAnsi="宋体" w:eastAsia="宋体" w:cs="宋体"/>
          <w:color w:val="auto"/>
          <w:sz w:val="21"/>
          <w:szCs w:val="21"/>
          <w:highlight w:val="none"/>
        </w:rPr>
        <w:t>、乙方在协议服务年限内，在履行本协议的义务过程中出现违犯国家法律法规、主管部门规章制度、 拒不履行合同规定义务或无理拒绝协议拟派项目、擅自提高价格或提供伪劣服务内容、服务质量低劣造成釆购人损失等情况的，甲方有权视不同情况分别给予警告、抵扣履约保证金或取消协议资格等处罚。</w:t>
      </w:r>
    </w:p>
    <w:p>
      <w:pPr>
        <w:pStyle w:val="199"/>
        <w:tabs>
          <w:tab w:val="left" w:pos="769"/>
        </w:tabs>
        <w:spacing w:line="360" w:lineRule="auto"/>
        <w:ind w:firstLine="440"/>
        <w:rPr>
          <w:rFonts w:hint="eastAsia" w:ascii="宋体" w:hAnsi="宋体" w:eastAsia="宋体" w:cs="宋体"/>
          <w:color w:val="auto"/>
          <w:sz w:val="21"/>
          <w:szCs w:val="21"/>
          <w:highlight w:val="none"/>
        </w:rPr>
      </w:pPr>
      <w:bookmarkStart w:id="188" w:name="bookmark369"/>
      <w:r>
        <w:rPr>
          <w:rFonts w:hint="eastAsia" w:ascii="宋体" w:hAnsi="宋体" w:eastAsia="宋体" w:cs="宋体"/>
          <w:color w:val="auto"/>
          <w:sz w:val="21"/>
          <w:szCs w:val="21"/>
          <w:highlight w:val="none"/>
        </w:rPr>
        <w:t>2</w:t>
      </w:r>
      <w:bookmarkEnd w:id="188"/>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合同生效后，乙方不能依约提供服务或单方中止合同，则乙方按伍</w:t>
      </w:r>
      <w:r>
        <w:rPr>
          <w:rFonts w:hint="eastAsia" w:ascii="宋体" w:hAnsi="宋体" w:eastAsia="宋体" w:cs="宋体"/>
          <w:color w:val="auto"/>
          <w:sz w:val="21"/>
          <w:szCs w:val="21"/>
          <w:highlight w:val="none"/>
          <w:lang w:eastAsia="zh-CN"/>
        </w:rPr>
        <w:t>万</w:t>
      </w:r>
      <w:r>
        <w:rPr>
          <w:rFonts w:hint="eastAsia" w:ascii="宋体" w:hAnsi="宋体" w:eastAsia="宋体" w:cs="宋体"/>
          <w:color w:val="auto"/>
          <w:sz w:val="21"/>
          <w:szCs w:val="21"/>
          <w:highlight w:val="none"/>
        </w:rPr>
        <w:t>元支付违约金给甲方；</w:t>
      </w:r>
    </w:p>
    <w:p>
      <w:pPr>
        <w:pStyle w:val="199"/>
        <w:tabs>
          <w:tab w:val="left" w:pos="790"/>
        </w:tabs>
        <w:spacing w:line="360" w:lineRule="auto"/>
        <w:ind w:firstLine="440"/>
        <w:rPr>
          <w:rFonts w:hint="eastAsia" w:ascii="宋体" w:hAnsi="宋体" w:eastAsia="宋体" w:cs="宋体"/>
          <w:color w:val="auto"/>
          <w:sz w:val="21"/>
          <w:szCs w:val="21"/>
          <w:highlight w:val="none"/>
          <w:lang w:eastAsia="zh-CN"/>
        </w:rPr>
      </w:pPr>
      <w:bookmarkStart w:id="189" w:name="bookmark370"/>
      <w:r>
        <w:rPr>
          <w:rFonts w:hint="eastAsia" w:ascii="宋体" w:hAnsi="宋体" w:eastAsia="宋体" w:cs="宋体"/>
          <w:color w:val="auto"/>
          <w:sz w:val="21"/>
          <w:szCs w:val="21"/>
          <w:highlight w:val="none"/>
        </w:rPr>
        <w:t>3</w:t>
      </w:r>
      <w:bookmarkEnd w:id="189"/>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对乙方拒绝接受</w:t>
      </w:r>
      <w:r>
        <w:rPr>
          <w:rFonts w:hint="eastAsia" w:ascii="宋体" w:hAnsi="宋体" w:eastAsia="宋体" w:cs="宋体"/>
          <w:color w:val="auto"/>
          <w:sz w:val="21"/>
          <w:szCs w:val="21"/>
          <w:highlight w:val="none"/>
          <w:lang w:eastAsia="zh-CN"/>
        </w:rPr>
        <w:t>合同范围内</w:t>
      </w:r>
      <w:r>
        <w:rPr>
          <w:rFonts w:hint="eastAsia" w:ascii="宋体" w:hAnsi="宋体" w:eastAsia="宋体" w:cs="宋体"/>
          <w:color w:val="auto"/>
          <w:sz w:val="21"/>
          <w:szCs w:val="21"/>
          <w:highlight w:val="none"/>
        </w:rPr>
        <w:t>任务的，甲方予以解除服务合同， 并没收履约保证金。</w:t>
      </w:r>
    </w:p>
    <w:p>
      <w:pPr>
        <w:pStyle w:val="199"/>
        <w:tabs>
          <w:tab w:val="left" w:pos="790"/>
        </w:tabs>
        <w:spacing w:line="360" w:lineRule="auto"/>
        <w:ind w:firstLine="4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4、乙方在项目所使用的零部件、配件等不符合合同约定的技术标准，乙方应进行更换，且应向甲方支付不符部分价值总额的10%的违约金。</w:t>
      </w:r>
    </w:p>
    <w:p>
      <w:pPr>
        <w:pStyle w:val="199"/>
        <w:tabs>
          <w:tab w:val="left" w:pos="769"/>
        </w:tabs>
        <w:spacing w:line="360" w:lineRule="auto"/>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由于不可抗力因素（指火灾、地震、洪水、战争等）使乙方不能在合同规定的期限内提供服务时， 乙方必须立即以书面形式通知甲方，并以书面形式向甲方提供有关政府机关所出具的不可抗力因素证明。</w:t>
      </w:r>
    </w:p>
    <w:p>
      <w:pPr>
        <w:pStyle w:val="199"/>
        <w:tabs>
          <w:tab w:val="left" w:pos="790"/>
        </w:tabs>
        <w:spacing w:line="360" w:lineRule="auto"/>
        <w:ind w:firstLine="4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pPr>
        <w:pStyle w:val="199"/>
        <w:tabs>
          <w:tab w:val="left" w:pos="790"/>
        </w:tabs>
        <w:spacing w:line="360" w:lineRule="auto"/>
        <w:ind w:firstLine="4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如对施工责任原因无法达成一致意见的，双方同意委托由双方同意确认的质量检测机构鉴定进行鉴定，该鉴定机构的鉴定结果甲乙双方均应接受。责任确由甲方人为破坏因素造成的，则鉴定费用应由甲方承担，否则应由乙方承担。</w:t>
      </w:r>
    </w:p>
    <w:p>
      <w:pPr>
        <w:pStyle w:val="199"/>
        <w:tabs>
          <w:tab w:val="left" w:pos="790"/>
        </w:tabs>
        <w:spacing w:line="360" w:lineRule="auto"/>
        <w:ind w:firstLine="4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8、乙方有合同约定的违约情形的，其承担违约金不足以弥补甲方损失的，乙方应就不足部分承担赔偿责任直至弥补甲方的全部损失。</w:t>
      </w:r>
    </w:p>
    <w:p>
      <w:pPr>
        <w:pStyle w:val="199"/>
        <w:tabs>
          <w:tab w:val="left" w:pos="790"/>
        </w:tabs>
        <w:spacing w:line="360" w:lineRule="auto"/>
        <w:ind w:firstLine="4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乙方人员发生安全事故乙方应及时及妥善解决，不得因此影响甲方商誉，否则由乙方按合同总金额的15%支付违约金，导致甲方垫付赔偿款项的，甲方有权从应付合同款中扣除或要求乙方返还，且乙方须按合同金额的30%支付违约金。</w:t>
      </w:r>
    </w:p>
    <w:p>
      <w:pPr>
        <w:pStyle w:val="199"/>
        <w:tabs>
          <w:tab w:val="left" w:pos="790"/>
        </w:tabs>
        <w:spacing w:line="360" w:lineRule="auto"/>
        <w:ind w:firstLine="4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合同履行中发生的任何争议，双方应通过协商方式解决，若通过协商方式无法解决的，应通过法律途径解决；乙方不得采用组织员工上访、围攻甲方等非法方式，否则视为乙方严重违约，甲方有权单方解除合同，乙方按合同总金额的30%向甲方承担违约责任。</w:t>
      </w:r>
    </w:p>
    <w:p>
      <w:pPr>
        <w:pStyle w:val="199"/>
        <w:tabs>
          <w:tab w:val="left" w:pos="790"/>
        </w:tabs>
        <w:spacing w:line="360" w:lineRule="auto"/>
        <w:ind w:firstLine="4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11、因乙方违约而应向甲方支付的违约金或其他损失赔偿的款项，甲方有权从应付项目款项或质量保证金中直接扣除，不够抵扣的，乙方应及时向甲方偿付。</w:t>
      </w:r>
    </w:p>
    <w:p>
      <w:pPr>
        <w:pStyle w:val="199"/>
        <w:tabs>
          <w:tab w:val="left" w:pos="1030"/>
        </w:tabs>
        <w:spacing w:line="360" w:lineRule="auto"/>
        <w:rPr>
          <w:rFonts w:hint="eastAsia" w:ascii="宋体" w:hAnsi="Calibri" w:eastAsia="仿宋_GB2312" w:cs="宋体"/>
          <w:b/>
          <w:bCs/>
          <w:color w:val="auto"/>
          <w:sz w:val="21"/>
          <w:szCs w:val="21"/>
          <w:highlight w:val="none"/>
          <w:lang w:val="en-US" w:eastAsia="zh-CN" w:bidi="ar-SA"/>
        </w:rPr>
      </w:pPr>
      <w:r>
        <w:rPr>
          <w:rFonts w:hint="eastAsia" w:ascii="宋体" w:hAnsi="Calibri" w:eastAsia="仿宋_GB2312" w:cs="宋体"/>
          <w:b/>
          <w:bCs/>
          <w:color w:val="auto"/>
          <w:sz w:val="21"/>
          <w:szCs w:val="21"/>
          <w:highlight w:val="none"/>
          <w:lang w:val="en-US" w:eastAsia="zh-CN" w:bidi="ar-SA"/>
        </w:rPr>
        <w:t>十 争议解决</w:t>
      </w:r>
    </w:p>
    <w:p>
      <w:pPr>
        <w:pStyle w:val="199"/>
        <w:spacing w:line="360" w:lineRule="auto"/>
        <w:ind w:firstLine="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凡有关本合同或执行本合同而发生的一切争执应通过双方友好协商解决，如不能解决，双方均可将争议提交东莞市人民法院裁决。合同其它部分仍继续履行。</w:t>
      </w:r>
    </w:p>
    <w:p>
      <w:pPr>
        <w:pStyle w:val="199"/>
        <w:tabs>
          <w:tab w:val="left" w:pos="1030"/>
        </w:tabs>
        <w:spacing w:line="360" w:lineRule="auto"/>
        <w:rPr>
          <w:rFonts w:hint="eastAsia" w:ascii="宋体" w:hAnsi="Calibri" w:eastAsia="仿宋_GB2312" w:cs="宋体"/>
          <w:b/>
          <w:bCs/>
          <w:color w:val="auto"/>
          <w:sz w:val="21"/>
          <w:szCs w:val="21"/>
          <w:highlight w:val="none"/>
          <w:lang w:val="en-US" w:eastAsia="zh-CN" w:bidi="ar-SA"/>
        </w:rPr>
      </w:pPr>
      <w:r>
        <w:rPr>
          <w:rFonts w:hint="eastAsia" w:ascii="宋体" w:hAnsi="Calibri" w:eastAsia="仿宋_GB2312" w:cs="宋体"/>
          <w:b/>
          <w:bCs/>
          <w:color w:val="auto"/>
          <w:sz w:val="21"/>
          <w:szCs w:val="21"/>
          <w:highlight w:val="none"/>
          <w:lang w:val="en-US" w:eastAsia="zh-CN" w:bidi="ar-SA"/>
        </w:rPr>
        <w:t>十一 合同构成</w:t>
      </w:r>
    </w:p>
    <w:p>
      <w:pPr>
        <w:pStyle w:val="199"/>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1、下述文件是构成合同不可分割的部分，应一并阅读和理解。</w:t>
      </w:r>
    </w:p>
    <w:p>
      <w:pPr>
        <w:pStyle w:val="199"/>
        <w:spacing w:line="360" w:lineRule="auto"/>
        <w:ind w:firstLine="580"/>
        <w:rPr>
          <w:rFonts w:hint="eastAsia" w:ascii="宋体" w:hAnsi="宋体" w:eastAsia="宋体" w:cs="宋体"/>
          <w:color w:val="auto"/>
          <w:sz w:val="21"/>
          <w:szCs w:val="21"/>
          <w:highlight w:val="none"/>
        </w:rPr>
      </w:pPr>
      <w:bookmarkStart w:id="190" w:name="bookmark375"/>
      <w:r>
        <w:rPr>
          <w:rFonts w:hint="eastAsia" w:ascii="宋体" w:hAnsi="宋体" w:eastAsia="宋体" w:cs="宋体"/>
          <w:color w:val="auto"/>
          <w:sz w:val="21"/>
          <w:szCs w:val="21"/>
          <w:highlight w:val="none"/>
        </w:rPr>
        <w:t>（</w:t>
      </w:r>
      <w:bookmarkEnd w:id="190"/>
      <w:r>
        <w:rPr>
          <w:rFonts w:hint="eastAsia" w:ascii="宋体" w:hAnsi="宋体" w:eastAsia="宋体" w:cs="宋体"/>
          <w:color w:val="auto"/>
          <w:sz w:val="21"/>
          <w:szCs w:val="21"/>
          <w:highlight w:val="none"/>
        </w:rPr>
        <w:t>1）本项目中标通知书；</w:t>
      </w:r>
      <w:bookmarkStart w:id="191" w:name="bookmark376"/>
    </w:p>
    <w:p>
      <w:pPr>
        <w:pStyle w:val="199"/>
        <w:spacing w:line="360" w:lineRule="auto"/>
        <w:ind w:firstLine="5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bookmarkEnd w:id="191"/>
      <w:r>
        <w:rPr>
          <w:rFonts w:hint="eastAsia" w:ascii="宋体" w:hAnsi="宋体" w:eastAsia="宋体" w:cs="宋体"/>
          <w:color w:val="auto"/>
          <w:sz w:val="21"/>
          <w:szCs w:val="21"/>
          <w:highlight w:val="none"/>
        </w:rPr>
        <w:t>2）本项目采购文件及附件；</w:t>
      </w:r>
    </w:p>
    <w:p>
      <w:pPr>
        <w:pStyle w:val="199"/>
        <w:tabs>
          <w:tab w:val="left" w:pos="1028"/>
        </w:tabs>
        <w:spacing w:line="360" w:lineRule="auto"/>
        <w:ind w:firstLine="540"/>
        <w:rPr>
          <w:rFonts w:hint="eastAsia" w:ascii="宋体" w:hAnsi="宋体" w:eastAsia="宋体" w:cs="宋体"/>
          <w:color w:val="auto"/>
          <w:sz w:val="21"/>
          <w:szCs w:val="21"/>
          <w:highlight w:val="none"/>
        </w:rPr>
      </w:pPr>
      <w:bookmarkStart w:id="192" w:name="bookmark377"/>
      <w:r>
        <w:rPr>
          <w:rFonts w:hint="eastAsia" w:ascii="宋体" w:hAnsi="宋体" w:eastAsia="宋体" w:cs="宋体"/>
          <w:color w:val="auto"/>
          <w:sz w:val="21"/>
          <w:szCs w:val="21"/>
          <w:highlight w:val="none"/>
        </w:rPr>
        <w:t>（</w:t>
      </w:r>
      <w:bookmarkEnd w:id="192"/>
      <w:r>
        <w:rPr>
          <w:rFonts w:hint="eastAsia" w:ascii="宋体" w:hAnsi="宋体" w:eastAsia="宋体" w:cs="宋体"/>
          <w:color w:val="auto"/>
          <w:sz w:val="21"/>
          <w:szCs w:val="21"/>
          <w:highlight w:val="none"/>
        </w:rPr>
        <w:t>3）乙方的投标文件及附件；</w:t>
      </w:r>
    </w:p>
    <w:p>
      <w:pPr>
        <w:pStyle w:val="199"/>
        <w:tabs>
          <w:tab w:val="left" w:pos="1028"/>
        </w:tabs>
        <w:spacing w:line="360" w:lineRule="auto"/>
        <w:ind w:firstLine="540"/>
        <w:rPr>
          <w:rFonts w:hint="eastAsia" w:ascii="宋体" w:hAnsi="宋体" w:eastAsia="宋体" w:cs="宋体"/>
          <w:color w:val="auto"/>
          <w:sz w:val="21"/>
          <w:szCs w:val="21"/>
          <w:highlight w:val="none"/>
        </w:rPr>
      </w:pPr>
      <w:bookmarkStart w:id="193" w:name="bookmark378"/>
      <w:r>
        <w:rPr>
          <w:rFonts w:hint="eastAsia" w:ascii="宋体" w:hAnsi="宋体" w:eastAsia="宋体" w:cs="宋体"/>
          <w:color w:val="auto"/>
          <w:sz w:val="21"/>
          <w:szCs w:val="21"/>
          <w:highlight w:val="none"/>
        </w:rPr>
        <w:t>（</w:t>
      </w:r>
      <w:bookmarkEnd w:id="193"/>
      <w:r>
        <w:rPr>
          <w:rFonts w:hint="eastAsia" w:ascii="宋体" w:hAnsi="宋体" w:eastAsia="宋体" w:cs="宋体"/>
          <w:color w:val="auto"/>
          <w:sz w:val="21"/>
          <w:szCs w:val="21"/>
          <w:highlight w:val="none"/>
        </w:rPr>
        <w:t>4）经双方协商一致达成的补充协议；</w:t>
      </w:r>
    </w:p>
    <w:p>
      <w:pPr>
        <w:pStyle w:val="199"/>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上述文件应认为是互为补充和解释的，若有不明确及不一致之处，以上面所列顺序在前者为准，如顺序相同的以时间在后者为准。</w:t>
      </w:r>
    </w:p>
    <w:p>
      <w:pPr>
        <w:pStyle w:val="199"/>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2、本合同作为乙方向甲方在协议服务资格年限内提供釆购服务的法律约定。</w:t>
      </w:r>
    </w:p>
    <w:p>
      <w:pPr>
        <w:pStyle w:val="199"/>
        <w:tabs>
          <w:tab w:val="left" w:pos="1894"/>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eastAsia="宋体" w:cs="宋体"/>
          <w:color w:val="auto"/>
          <w:sz w:val="21"/>
          <w:szCs w:val="21"/>
          <w:highlight w:val="none"/>
          <w:lang w:eastAsia="zh-CN"/>
        </w:rPr>
        <w:t>二</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本合同一式</w:t>
      </w:r>
      <w:r>
        <w:rPr>
          <w:rFonts w:hint="eastAsia" w:eastAsia="宋体" w:cs="宋体"/>
          <w:color w:val="auto"/>
          <w:sz w:val="21"/>
          <w:szCs w:val="21"/>
          <w:highlight w:val="none"/>
          <w:u w:val="single"/>
          <w:lang w:eastAsia="zh-CN"/>
        </w:rPr>
        <w:t>伍</w:t>
      </w:r>
      <w:r>
        <w:rPr>
          <w:rFonts w:hint="eastAsia" w:ascii="宋体" w:hAnsi="宋体" w:eastAsia="宋体" w:cs="宋体"/>
          <w:color w:val="auto"/>
          <w:sz w:val="21"/>
          <w:szCs w:val="21"/>
          <w:highlight w:val="none"/>
        </w:rPr>
        <w:t>份，具有同等法律效力。甲</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lang w:val="zh-CN" w:eastAsia="zh-CN" w:bidi="zh-CN"/>
        </w:rPr>
        <w:t>贰</w:t>
      </w:r>
      <w:r>
        <w:rPr>
          <w:rFonts w:hint="eastAsia" w:ascii="宋体" w:hAnsi="宋体" w:eastAsia="宋体" w:cs="宋体"/>
          <w:color w:val="auto"/>
          <w:sz w:val="21"/>
          <w:szCs w:val="21"/>
          <w:highlight w:val="none"/>
        </w:rPr>
        <w:t>份、乙方执</w:t>
      </w:r>
      <w:r>
        <w:rPr>
          <w:rFonts w:hint="eastAsia" w:eastAsia="宋体" w:cs="宋体"/>
          <w:color w:val="auto"/>
          <w:sz w:val="21"/>
          <w:szCs w:val="21"/>
          <w:highlight w:val="none"/>
          <w:lang w:val="zh-CN" w:eastAsia="zh-CN" w:bidi="zh-CN"/>
        </w:rPr>
        <w:t>贰</w:t>
      </w:r>
      <w:r>
        <w:rPr>
          <w:rFonts w:hint="eastAsia" w:ascii="宋体" w:hAnsi="宋体" w:eastAsia="宋体" w:cs="宋体"/>
          <w:color w:val="auto"/>
          <w:sz w:val="21"/>
          <w:szCs w:val="21"/>
          <w:highlight w:val="none"/>
        </w:rPr>
        <w:t>份、采购代理机构执一份，其中釆购代理机构一份须在合同签订之日起7个工作日内递交。</w:t>
      </w:r>
    </w:p>
    <w:p>
      <w:pPr>
        <w:spacing w:line="600" w:lineRule="exact"/>
        <w:ind w:firstLine="420" w:firstLineChars="200"/>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合同附件</w:t>
      </w:r>
    </w:p>
    <w:p>
      <w:pPr>
        <w:spacing w:line="600" w:lineRule="exact"/>
        <w:ind w:firstLine="422" w:firstLineChars="200"/>
        <w:rPr>
          <w:rFonts w:hAnsi="宋体"/>
          <w:b/>
          <w:bCs/>
          <w:color w:val="auto"/>
          <w:sz w:val="21"/>
          <w:szCs w:val="21"/>
          <w:highlight w:val="none"/>
          <w:u w:val="single"/>
          <w:shd w:val="clear" w:color="auto" w:fill="FFFFFF"/>
        </w:rPr>
      </w:pPr>
      <w:r>
        <w:rPr>
          <w:rFonts w:hint="eastAsia" w:hAnsi="宋体"/>
          <w:b/>
          <w:bCs/>
          <w:color w:val="auto"/>
          <w:sz w:val="21"/>
          <w:szCs w:val="21"/>
          <w:highlight w:val="none"/>
          <w:shd w:val="clear" w:color="auto" w:fill="FFFFFF"/>
        </w:rPr>
        <w:t>甲方（盖章）：　                  乙方（盖章）：</w:t>
      </w:r>
    </w:p>
    <w:p>
      <w:pP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法定代表人或其委托                法定代表人或其委托</w:t>
      </w:r>
    </w:p>
    <w:p>
      <w:pP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代理人（签字）：                  代理人（签字）：</w:t>
      </w:r>
    </w:p>
    <w:p>
      <w:pPr>
        <w:snapToGrid w:val="0"/>
        <w:spacing w:line="600" w:lineRule="exact"/>
        <w:ind w:left="4767" w:leftChars="760" w:hanging="2943" w:hangingChars="1396"/>
        <w:rPr>
          <w:rFonts w:hAnsi="宋体"/>
          <w:bCs/>
          <w:color w:val="auto"/>
          <w:sz w:val="21"/>
          <w:szCs w:val="21"/>
          <w:highlight w:val="none"/>
        </w:rPr>
      </w:pPr>
      <w:r>
        <w:rPr>
          <w:rFonts w:hint="eastAsia" w:hAnsi="宋体"/>
          <w:b/>
          <w:bCs/>
          <w:color w:val="auto"/>
          <w:sz w:val="21"/>
          <w:szCs w:val="21"/>
          <w:highlight w:val="none"/>
        </w:rPr>
        <w:t xml:space="preserve">                     开户名称：</w:t>
      </w:r>
      <w:r>
        <w:rPr>
          <w:rFonts w:hint="eastAsia" w:hAnsi="宋体"/>
          <w:bCs/>
          <w:color w:val="auto"/>
          <w:sz w:val="21"/>
          <w:szCs w:val="21"/>
          <w:highlight w:val="none"/>
        </w:rPr>
        <w:t xml:space="preserve">      </w:t>
      </w:r>
    </w:p>
    <w:p>
      <w:pPr>
        <w:snapToGrid w:val="0"/>
        <w:spacing w:line="600" w:lineRule="exact"/>
        <w:ind w:left="4010" w:hanging="4010" w:hangingChars="1902"/>
        <w:rPr>
          <w:rFonts w:hAnsi="宋体"/>
          <w:bCs/>
          <w:color w:val="auto"/>
          <w:sz w:val="21"/>
          <w:szCs w:val="21"/>
          <w:highlight w:val="none"/>
        </w:rPr>
      </w:pPr>
      <w:r>
        <w:rPr>
          <w:rFonts w:hint="eastAsia" w:hAnsi="宋体"/>
          <w:b/>
          <w:bCs/>
          <w:color w:val="auto"/>
          <w:sz w:val="21"/>
          <w:szCs w:val="21"/>
          <w:highlight w:val="none"/>
        </w:rPr>
        <w:t xml:space="preserve">                                      开户银行：</w:t>
      </w:r>
    </w:p>
    <w:p>
      <w:pPr>
        <w:snapToGrid w:val="0"/>
        <w:spacing w:line="600" w:lineRule="exact"/>
        <w:rPr>
          <w:rFonts w:hAnsi="宋体"/>
          <w:b/>
          <w:bCs/>
          <w:color w:val="auto"/>
          <w:sz w:val="21"/>
          <w:szCs w:val="21"/>
          <w:highlight w:val="none"/>
        </w:rPr>
      </w:pPr>
      <w:r>
        <w:rPr>
          <w:rFonts w:hint="eastAsia" w:hAnsi="宋体"/>
          <w:b/>
          <w:bCs/>
          <w:color w:val="auto"/>
          <w:sz w:val="21"/>
          <w:szCs w:val="21"/>
          <w:highlight w:val="none"/>
        </w:rPr>
        <w:t xml:space="preserve">                                      帐号：        </w:t>
      </w:r>
    </w:p>
    <w:p>
      <w:pP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合同订立时间：        年     月     日</w:t>
      </w:r>
    </w:p>
    <w:p>
      <w:pPr>
        <w:snapToGrid w:val="0"/>
        <w:spacing w:line="600" w:lineRule="exact"/>
        <w:ind w:firstLine="422" w:firstLineChars="200"/>
        <w:rPr>
          <w:rFonts w:hAnsi="宋体"/>
          <w:b/>
          <w:bCs/>
          <w:color w:val="auto"/>
          <w:sz w:val="21"/>
          <w:szCs w:val="21"/>
          <w:highlight w:val="none"/>
        </w:rPr>
      </w:pPr>
      <w:r>
        <w:rPr>
          <w:rFonts w:hint="eastAsia" w:hAnsi="宋体"/>
          <w:b/>
          <w:bCs/>
          <w:color w:val="auto"/>
          <w:sz w:val="21"/>
          <w:szCs w:val="21"/>
          <w:highlight w:val="none"/>
        </w:rPr>
        <w:t>合同签订地点：</w:t>
      </w:r>
    </w:p>
    <w:p>
      <w:pPr>
        <w:pStyle w:val="75"/>
        <w:ind w:firstLine="620"/>
        <w:rPr>
          <w:rFonts w:hint="eastAsia" w:ascii="宋体" w:eastAsia="宋体" w:cs="宋体"/>
          <w:b/>
          <w:color w:val="auto"/>
          <w:sz w:val="30"/>
          <w:szCs w:val="30"/>
          <w:highlight w:val="none"/>
        </w:rPr>
      </w:pPr>
    </w:p>
    <w:p>
      <w:pPr>
        <w:pStyle w:val="75"/>
        <w:ind w:firstLine="620"/>
        <w:rPr>
          <w:rFonts w:hint="eastAsia" w:ascii="宋体" w:eastAsia="宋体" w:cs="宋体"/>
          <w:b/>
          <w:color w:val="auto"/>
          <w:sz w:val="30"/>
          <w:szCs w:val="30"/>
          <w:highlight w:val="none"/>
        </w:rPr>
      </w:pPr>
    </w:p>
    <w:p>
      <w:pPr>
        <w:pStyle w:val="75"/>
        <w:ind w:firstLine="620"/>
        <w:rPr>
          <w:rFonts w:hint="eastAsia" w:ascii="宋体" w:eastAsia="宋体" w:cs="宋体"/>
          <w:b/>
          <w:color w:val="auto"/>
          <w:sz w:val="30"/>
          <w:szCs w:val="30"/>
          <w:highlight w:val="none"/>
        </w:rPr>
      </w:pPr>
    </w:p>
    <w:p>
      <w:pPr>
        <w:pStyle w:val="75"/>
        <w:ind w:firstLine="0" w:firstLineChars="0"/>
        <w:rPr>
          <w:rFonts w:hint="eastAsia" w:ascii="宋体" w:eastAsia="宋体" w:cs="宋体"/>
          <w:b/>
          <w:color w:val="auto"/>
          <w:sz w:val="30"/>
          <w:szCs w:val="30"/>
          <w:highlight w:val="none"/>
        </w:rPr>
      </w:pPr>
      <w:r>
        <w:rPr>
          <w:rFonts w:hint="eastAsia" w:ascii="宋体" w:eastAsia="宋体" w:cs="宋体"/>
          <w:b/>
          <w:color w:val="auto"/>
          <w:sz w:val="30"/>
          <w:szCs w:val="30"/>
          <w:highlight w:val="none"/>
        </w:rPr>
        <w:t>附件1</w:t>
      </w:r>
      <w:r>
        <w:rPr>
          <w:rFonts w:hint="eastAsia" w:ascii="宋体" w:eastAsia="宋体" w:cs="宋体"/>
          <w:color w:val="auto"/>
          <w:sz w:val="30"/>
          <w:szCs w:val="30"/>
          <w:highlight w:val="none"/>
        </w:rPr>
        <w:t>：</w:t>
      </w:r>
      <w:r>
        <w:rPr>
          <w:rFonts w:hint="eastAsia" w:ascii="宋体" w:eastAsia="宋体" w:cs="宋体"/>
          <w:b/>
          <w:color w:val="auto"/>
          <w:sz w:val="30"/>
          <w:szCs w:val="30"/>
          <w:highlight w:val="none"/>
        </w:rPr>
        <w:t>施工安全承诺书</w:t>
      </w:r>
    </w:p>
    <w:p>
      <w:pPr>
        <w:pStyle w:val="75"/>
        <w:spacing w:line="360" w:lineRule="auto"/>
        <w:ind w:firstLine="494"/>
        <w:rPr>
          <w:rFonts w:hint="eastAsia" w:ascii="宋体" w:eastAsia="宋体" w:cs="宋体"/>
          <w:color w:val="auto"/>
          <w:sz w:val="24"/>
          <w:szCs w:val="24"/>
          <w:highlight w:val="none"/>
        </w:rPr>
      </w:pPr>
      <w:r>
        <w:rPr>
          <w:rFonts w:hint="eastAsia" w:ascii="宋体" w:eastAsia="宋体" w:cs="宋体"/>
          <w:color w:val="auto"/>
          <w:sz w:val="24"/>
          <w:szCs w:val="24"/>
          <w:highlight w:val="none"/>
        </w:rPr>
        <w:t>为保障施工安全，我司承诺本次合同施工范围内的安全管理承诺责任如下：</w:t>
      </w:r>
    </w:p>
    <w:p>
      <w:pPr>
        <w:pStyle w:val="75"/>
        <w:spacing w:line="360" w:lineRule="auto"/>
        <w:ind w:firstLine="494"/>
        <w:rPr>
          <w:rFonts w:hint="eastAsia" w:ascii="宋体" w:eastAsia="宋体" w:cs="宋体"/>
          <w:color w:val="auto"/>
          <w:sz w:val="24"/>
          <w:szCs w:val="24"/>
          <w:highlight w:val="none"/>
        </w:rPr>
      </w:pPr>
      <w:r>
        <w:rPr>
          <w:rFonts w:hint="eastAsia" w:ascii="宋体" w:eastAsia="宋体" w:cs="宋体"/>
          <w:color w:val="auto"/>
          <w:sz w:val="24"/>
          <w:szCs w:val="24"/>
          <w:highlight w:val="none"/>
        </w:rPr>
        <w:t>一、承诺建立健全安全管理机构，加强施工安全技术管理，按国家有关规定配备与本次合同施工相符合的专业技术人员、安全管理人员和特种作业人员，人员持证作业，人证相符,不使用未经培训或培训不合格的人员上岗施工。</w:t>
      </w:r>
    </w:p>
    <w:p>
      <w:pPr>
        <w:pStyle w:val="75"/>
        <w:spacing w:line="360" w:lineRule="auto"/>
        <w:ind w:firstLine="494"/>
        <w:rPr>
          <w:rFonts w:hint="eastAsia" w:ascii="宋体" w:eastAsia="宋体" w:cs="宋体"/>
          <w:color w:val="auto"/>
          <w:sz w:val="24"/>
          <w:szCs w:val="24"/>
          <w:highlight w:val="none"/>
        </w:rPr>
      </w:pPr>
      <w:r>
        <w:rPr>
          <w:rFonts w:hint="eastAsia" w:ascii="宋体" w:eastAsia="宋体" w:cs="宋体"/>
          <w:color w:val="auto"/>
          <w:sz w:val="24"/>
          <w:szCs w:val="24"/>
          <w:highlight w:val="none"/>
        </w:rPr>
        <w:t>二、承诺在施工期间，严格按安全生产要求，依照《安全生产法规》内容，明确安全责任，做好安全施工组织和预防措施，服从采购方和相关部门的日常管理和检查。日常监管人员发现有重大不安全因素时，随时有权要求施工方停工整改，施工方不得继续违章操作强行施工。</w:t>
      </w:r>
    </w:p>
    <w:p>
      <w:pPr>
        <w:pStyle w:val="75"/>
        <w:spacing w:line="360" w:lineRule="auto"/>
        <w:ind w:firstLine="494"/>
        <w:rPr>
          <w:rFonts w:hint="eastAsia" w:ascii="宋体" w:eastAsia="宋体" w:cs="宋体"/>
          <w:color w:val="auto"/>
          <w:sz w:val="24"/>
          <w:szCs w:val="24"/>
          <w:highlight w:val="none"/>
        </w:rPr>
      </w:pPr>
      <w:r>
        <w:rPr>
          <w:rFonts w:hint="eastAsia" w:ascii="宋体" w:eastAsia="宋体" w:cs="宋体"/>
          <w:color w:val="auto"/>
          <w:sz w:val="24"/>
          <w:szCs w:val="24"/>
          <w:highlight w:val="none"/>
        </w:rPr>
        <w:t>三、承诺对本单位施工人员进行安全教育并对施工人员承担全部安全责任。有健全的安全管理制度和培训教育记录，保证施工人员应严格按安全标准组织施工，并随时接受行业安全检查人员依法实施的监督检查，采取必要的安全防护措施，消除事故隐患。合同施工期间，在施工范围内引起的一切事故的责任和因此发生的费用，均由施工方自行承担。</w:t>
      </w:r>
    </w:p>
    <w:p>
      <w:pPr>
        <w:pStyle w:val="75"/>
        <w:spacing w:line="360" w:lineRule="auto"/>
        <w:ind w:firstLine="494"/>
        <w:rPr>
          <w:rFonts w:hint="eastAsia" w:ascii="宋体" w:eastAsia="宋体" w:cs="宋体"/>
          <w:color w:val="auto"/>
          <w:sz w:val="24"/>
          <w:szCs w:val="24"/>
          <w:highlight w:val="none"/>
        </w:rPr>
      </w:pPr>
      <w:r>
        <w:rPr>
          <w:rFonts w:hint="eastAsia" w:ascii="宋体" w:eastAsia="宋体" w:cs="宋体"/>
          <w:color w:val="auto"/>
          <w:sz w:val="24"/>
          <w:szCs w:val="24"/>
          <w:highlight w:val="none"/>
        </w:rPr>
        <w:t>四、承诺施工期间不影响周边人员、交通安全、环境安全。对本单位施工人员造成的一切不良影响负全部责任。</w:t>
      </w:r>
    </w:p>
    <w:p>
      <w:pPr>
        <w:pStyle w:val="75"/>
        <w:spacing w:line="360" w:lineRule="auto"/>
        <w:ind w:firstLine="494"/>
        <w:rPr>
          <w:rFonts w:hint="eastAsia" w:ascii="宋体" w:eastAsia="宋体" w:cs="宋体"/>
          <w:color w:val="auto"/>
          <w:sz w:val="24"/>
          <w:szCs w:val="24"/>
          <w:highlight w:val="none"/>
        </w:rPr>
      </w:pPr>
      <w:r>
        <w:rPr>
          <w:rFonts w:hint="eastAsia" w:ascii="宋体" w:eastAsia="宋体" w:cs="宋体"/>
          <w:color w:val="auto"/>
          <w:sz w:val="24"/>
          <w:szCs w:val="24"/>
          <w:highlight w:val="none"/>
        </w:rPr>
        <w:t>五、承诺在合同施工范围内及施工期间，未经采购方书面同意，不得擅自进行合同内容范围外的施工，如因此造成施工方人员发生伤亡等安全事故，应由施工方承担全部责任，采购方不承担任何责任。如果因此造成采购方或任何第三方人身伤害、财产损失的，施工方应承担赔偿责任。如采购方因此代为垫付赔偿，有权向施工方追偿，包括但不限于赔偿款、诉讼费、律师费、鉴定费、保管费、差旅费等。</w:t>
      </w:r>
    </w:p>
    <w:p>
      <w:pPr>
        <w:pStyle w:val="75"/>
        <w:spacing w:line="360" w:lineRule="auto"/>
        <w:ind w:firstLine="494"/>
        <w:rPr>
          <w:rFonts w:hint="eastAsia" w:ascii="宋体" w:eastAsia="宋体" w:cs="宋体"/>
          <w:color w:val="auto"/>
          <w:sz w:val="24"/>
          <w:szCs w:val="24"/>
          <w:highlight w:val="none"/>
        </w:rPr>
      </w:pPr>
      <w:r>
        <w:rPr>
          <w:rFonts w:hint="eastAsia" w:ascii="宋体" w:eastAsia="宋体" w:cs="宋体"/>
          <w:color w:val="auto"/>
          <w:sz w:val="24"/>
          <w:szCs w:val="24"/>
          <w:highlight w:val="none"/>
        </w:rPr>
        <w:t>六、安全问题包括但不仅限于上述情况，如有未尽详细事宜，参照国家相关法律法规、合同条款和本承诺书的条款执行。</w:t>
      </w:r>
    </w:p>
    <w:p>
      <w:pPr>
        <w:pStyle w:val="75"/>
        <w:spacing w:line="360" w:lineRule="auto"/>
        <w:ind w:firstLine="494"/>
        <w:rPr>
          <w:rFonts w:hint="eastAsia" w:ascii="宋体" w:eastAsia="宋体" w:cs="宋体"/>
          <w:color w:val="auto"/>
          <w:sz w:val="24"/>
          <w:szCs w:val="24"/>
          <w:highlight w:val="none"/>
        </w:rPr>
      </w:pPr>
    </w:p>
    <w:p>
      <w:pPr>
        <w:pStyle w:val="75"/>
        <w:spacing w:line="360" w:lineRule="auto"/>
        <w:ind w:firstLine="0" w:firstLineChars="0"/>
        <w:rPr>
          <w:rFonts w:hint="eastAsia" w:ascii="宋体" w:eastAsia="宋体" w:cs="宋体"/>
          <w:color w:val="auto"/>
          <w:sz w:val="24"/>
          <w:szCs w:val="24"/>
          <w:highlight w:val="none"/>
        </w:rPr>
      </w:pPr>
      <w:r>
        <w:rPr>
          <w:rFonts w:hint="eastAsia" w:ascii="宋体" w:eastAsia="宋体" w:cs="宋体"/>
          <w:color w:val="auto"/>
          <w:sz w:val="24"/>
          <w:szCs w:val="24"/>
          <w:highlight w:val="none"/>
        </w:rPr>
        <w:t>施工方名称(加盖公章)：                  法定代表人（授权代表）：</w:t>
      </w:r>
    </w:p>
    <w:p>
      <w:pPr>
        <w:pStyle w:val="75"/>
        <w:spacing w:line="360" w:lineRule="auto"/>
        <w:ind w:firstLine="0" w:firstLineChars="0"/>
        <w:rPr>
          <w:rFonts w:hint="eastAsia" w:ascii="宋体" w:eastAsia="宋体" w:cs="宋体"/>
          <w:color w:val="auto"/>
          <w:sz w:val="24"/>
          <w:szCs w:val="24"/>
          <w:highlight w:val="none"/>
        </w:rPr>
      </w:pPr>
    </w:p>
    <w:p>
      <w:pPr>
        <w:pStyle w:val="75"/>
        <w:spacing w:line="360" w:lineRule="auto"/>
        <w:ind w:firstLine="5640" w:firstLineChars="2350"/>
        <w:rPr>
          <w:rFonts w:hint="eastAsia" w:ascii="宋体" w:eastAsia="宋体" w:cs="宋体"/>
          <w:color w:val="auto"/>
          <w:sz w:val="24"/>
          <w:szCs w:val="24"/>
          <w:highlight w:val="none"/>
        </w:rPr>
      </w:pPr>
      <w:r>
        <w:rPr>
          <w:rFonts w:hint="eastAsia" w:ascii="宋体" w:eastAsia="宋体" w:cs="宋体"/>
          <w:color w:val="auto"/>
          <w:sz w:val="24"/>
          <w:szCs w:val="24"/>
          <w:highlight w:val="none"/>
        </w:rPr>
        <w:t>日期：     年    月    日</w:t>
      </w:r>
    </w:p>
    <w:p>
      <w:pPr>
        <w:pStyle w:val="75"/>
        <w:spacing w:line="360" w:lineRule="auto"/>
        <w:ind w:firstLine="5640" w:firstLineChars="2350"/>
        <w:rPr>
          <w:rFonts w:hint="eastAsia" w:ascii="宋体" w:eastAsia="宋体" w:cs="宋体"/>
          <w:color w:val="auto"/>
          <w:sz w:val="24"/>
          <w:szCs w:val="24"/>
          <w:highlight w:val="none"/>
        </w:rPr>
      </w:pPr>
    </w:p>
    <w:p>
      <w:pPr>
        <w:pStyle w:val="75"/>
        <w:spacing w:line="360" w:lineRule="auto"/>
        <w:ind w:firstLine="5640" w:firstLineChars="2350"/>
        <w:rPr>
          <w:rFonts w:hint="eastAsia" w:ascii="宋体" w:eastAsia="宋体" w:cs="宋体"/>
          <w:color w:val="auto"/>
          <w:sz w:val="24"/>
          <w:szCs w:val="24"/>
          <w:highlight w:val="none"/>
        </w:rPr>
      </w:pPr>
    </w:p>
    <w:p>
      <w:pPr>
        <w:jc w:val="center"/>
        <w:rPr>
          <w:rFonts w:ascii="方正小标宋简体" w:hAnsi="黑体" w:eastAsia="方正小标宋简体"/>
          <w:b/>
          <w:color w:val="auto"/>
          <w:sz w:val="44"/>
          <w:szCs w:val="44"/>
          <w:highlight w:val="none"/>
        </w:rPr>
      </w:pPr>
      <w:r>
        <w:rPr>
          <w:rFonts w:hint="eastAsia" w:ascii="宋体" w:eastAsia="宋体" w:cs="宋体"/>
          <w:b/>
          <w:color w:val="auto"/>
          <w:sz w:val="30"/>
          <w:szCs w:val="30"/>
          <w:highlight w:val="none"/>
        </w:rPr>
        <w:br w:type="page"/>
      </w:r>
      <w:r>
        <w:rPr>
          <w:rFonts w:hint="eastAsia" w:ascii="方正小标宋简体" w:hAnsi="黑体" w:eastAsia="方正小标宋简体"/>
          <w:b/>
          <w:color w:val="auto"/>
          <w:sz w:val="44"/>
          <w:szCs w:val="44"/>
          <w:highlight w:val="none"/>
        </w:rPr>
        <w:t>阳光合作协议</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甲方：</w:t>
      </w:r>
      <w:r>
        <w:rPr>
          <w:rFonts w:hAnsi="宋体"/>
          <w:color w:val="auto"/>
          <w:sz w:val="21"/>
          <w:szCs w:val="21"/>
          <w:highlight w:val="none"/>
        </w:rPr>
        <w:t xml:space="preserve"> </w:t>
      </w:r>
    </w:p>
    <w:p>
      <w:pPr>
        <w:spacing w:before="163" w:beforeLines="50" w:after="163" w:afterLines="50" w:line="360" w:lineRule="auto"/>
        <w:ind w:firstLine="420" w:firstLineChars="200"/>
        <w:contextualSpacing/>
        <w:rPr>
          <w:rFonts w:hAnsi="宋体"/>
          <w:color w:val="auto"/>
          <w:sz w:val="21"/>
          <w:szCs w:val="21"/>
          <w:highlight w:val="none"/>
        </w:rPr>
      </w:pPr>
      <w:r>
        <w:rPr>
          <w:rFonts w:hint="eastAsia" w:hAnsi="宋体"/>
          <w:color w:val="auto"/>
          <w:sz w:val="21"/>
          <w:szCs w:val="21"/>
          <w:highlight w:val="none"/>
        </w:rPr>
        <w:t>乙方：</w:t>
      </w:r>
      <w:r>
        <w:rPr>
          <w:rFonts w:hAnsi="宋体"/>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sz w:val="21"/>
          <w:szCs w:val="21"/>
          <w:highlight w:val="none"/>
        </w:rPr>
      </w:pPr>
      <w:r>
        <w:rPr>
          <w:rFonts w:hint="eastAsia" w:hAnsi="宋体"/>
          <w:color w:val="auto"/>
          <w:sz w:val="21"/>
          <w:szCs w:val="21"/>
          <w:highlight w:val="none"/>
        </w:rPr>
        <w:t xml:space="preserve">   </w:t>
      </w:r>
      <w:r>
        <w:rPr>
          <w:rFonts w:hint="eastAsia" w:ascii="宋体" w:hAnsi="宋体"/>
          <w:color w:val="auto"/>
          <w:sz w:val="21"/>
          <w:szCs w:val="21"/>
          <w:highlight w:val="none"/>
        </w:rPr>
        <w:t>甲乙双方于</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日签署了《……</w:t>
      </w:r>
      <w:r>
        <w:rPr>
          <w:rFonts w:hint="eastAsia" w:ascii="宋体" w:hAnsi="宋体"/>
          <w:color w:val="auto"/>
          <w:sz w:val="21"/>
          <w:szCs w:val="21"/>
          <w:highlight w:val="none"/>
          <w:lang w:val="en-US" w:eastAsia="zh-CN"/>
        </w:rPr>
        <w:t>合同</w:t>
      </w:r>
      <w:r>
        <w:rPr>
          <w:rFonts w:hint="eastAsia" w:ascii="宋体" w:hAnsi="宋体"/>
          <w:color w:val="auto"/>
          <w:sz w:val="21"/>
          <w:szCs w:val="21"/>
          <w:highlight w:val="none"/>
        </w:rPr>
        <w:t>》（以下简称原合同），为加强双方阳光合作，保证职员职业安全，甲乙双方经协商签订本协议并作为双方共同遵守的阳光合作行为准则。</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一、</w:t>
      </w:r>
      <w:r>
        <w:rPr>
          <w:rFonts w:hint="eastAsia" w:ascii="宋体" w:hAnsi="宋体"/>
          <w:b/>
          <w:color w:val="auto"/>
          <w:sz w:val="21"/>
          <w:szCs w:val="21"/>
          <w:highlight w:val="none"/>
        </w:rPr>
        <w:t>甲方责任</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1.甲方有责任向乙方介绍本单位有关采购管理通用原则和本协议的规定。</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2.甲方有责任对本单位相关人员进行阳光合作教育。</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4.甲方人员如违反阳光合作管理制度及本协议规定，甲方视情节轻重、影响大小给予行政及经济处罚。</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5．对于乙方举报甲方人员违反阳光合作规定的情况，甲方应及时进行调查，根据调查情况进行处理，并将调查结果向乙方反馈。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6.接受举报的一方应为举报方保密，不得对举报方进行报复，对举报属实和严格遵守《阳光合作协议》的合作方，在同等条件下给予后续合作的优先权。</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二、</w:t>
      </w:r>
      <w:r>
        <w:rPr>
          <w:rFonts w:hint="eastAsia" w:ascii="宋体" w:hAnsi="宋体"/>
          <w:b/>
          <w:color w:val="auto"/>
          <w:sz w:val="21"/>
          <w:szCs w:val="21"/>
          <w:highlight w:val="none"/>
        </w:rPr>
        <w:t>乙方责任</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1.乙方应保证乙方人员了解甲方有关采购管理通用原则和及本协议的规定，并遵照执行。</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2.乙方不得以任何形式给予甲方人员回扣、赠送实物、现金、有价证券、礼券等有价物品或提供旅游等其他可能影响职务行为公正履行的活动（以下统称“财物”）。</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3.乙方有责任接受甲方对乙方在合作期间阳光合作管理执行情况的监督，并对甲方相关调查工作主动配合。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4.乙方有义务就甲方人员任何形式的索取或收受财物行为及时向甲方（直接联系人为东莞实业投资控股集团有限公司</w:t>
      </w:r>
      <w:r>
        <w:rPr>
          <w:rFonts w:hint="eastAsia" w:ascii="宋体" w:hAnsi="宋体"/>
          <w:color w:val="auto"/>
          <w:sz w:val="21"/>
          <w:szCs w:val="21"/>
          <w:highlight w:val="none"/>
          <w:lang w:val="en-US" w:eastAsia="zh-CN"/>
        </w:rPr>
        <w:t>法律合规</w:t>
      </w:r>
      <w:r>
        <w:rPr>
          <w:rFonts w:hint="eastAsia" w:ascii="宋体" w:hAnsi="宋体"/>
          <w:color w:val="auto"/>
          <w:sz w:val="21"/>
          <w:szCs w:val="21"/>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5．甲方接受乙方实名或匿名举报，保证为举报者的信息保密，常设举报部门及电</w:t>
      </w:r>
      <w:r>
        <w:rPr>
          <w:rFonts w:hint="eastAsia" w:ascii="宋体" w:hAnsi="宋体" w:eastAsia="宋体"/>
          <w:color w:val="auto"/>
          <w:sz w:val="21"/>
          <w:szCs w:val="21"/>
          <w:highlight w:val="none"/>
          <w:lang w:val="en-US" w:eastAsia="zh-CN"/>
        </w:rPr>
        <w:t>话</w:t>
      </w:r>
      <w:r>
        <w:rPr>
          <w:rFonts w:hint="eastAsia" w:ascii="宋体" w:hAnsi="宋体"/>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举报受理部门：东莞实业投资控股集团有限公司</w:t>
      </w:r>
      <w:r>
        <w:rPr>
          <w:rFonts w:hint="eastAsia" w:ascii="宋体" w:hAnsi="宋体"/>
          <w:color w:val="auto"/>
          <w:sz w:val="21"/>
          <w:szCs w:val="21"/>
          <w:highlight w:val="none"/>
          <w:lang w:val="en-US" w:eastAsia="zh-CN"/>
        </w:rPr>
        <w:t>法律合规</w:t>
      </w:r>
      <w:r>
        <w:rPr>
          <w:rFonts w:hint="eastAsia" w:ascii="宋体" w:hAnsi="宋体"/>
          <w:color w:val="auto"/>
          <w:sz w:val="21"/>
          <w:szCs w:val="21"/>
          <w:highlight w:val="none"/>
        </w:rPr>
        <w:t>部</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东实集团举报邮箱：dgsyxf@163.com</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东实集团举报电话：0769-28820703（周一至周五9:00-12:00和14:00-18:00）</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邮寄地址：东莞市东城区八一路1号机关二号大院9号楼，东莞实业投资控股集团有限公司</w:t>
      </w:r>
      <w:r>
        <w:rPr>
          <w:rFonts w:hint="eastAsia" w:ascii="宋体" w:hAnsi="宋体"/>
          <w:color w:val="auto"/>
          <w:sz w:val="21"/>
          <w:szCs w:val="21"/>
          <w:highlight w:val="none"/>
          <w:lang w:val="en-US" w:eastAsia="zh-CN"/>
        </w:rPr>
        <w:t>法律合规</w:t>
      </w:r>
      <w:r>
        <w:rPr>
          <w:rFonts w:hint="eastAsia" w:ascii="宋体" w:hAnsi="宋体"/>
          <w:color w:val="auto"/>
          <w:sz w:val="21"/>
          <w:szCs w:val="21"/>
          <w:highlight w:val="none"/>
        </w:rPr>
        <w:t>部收，邮编523000。</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sz w:val="21"/>
          <w:szCs w:val="21"/>
          <w:highlight w:val="none"/>
        </w:rPr>
      </w:pPr>
      <w:r>
        <w:rPr>
          <w:rFonts w:hint="eastAsia" w:ascii="宋体" w:hAnsi="宋体"/>
          <w:b/>
          <w:color w:val="auto"/>
          <w:sz w:val="21"/>
          <w:szCs w:val="21"/>
          <w:highlight w:val="none"/>
          <w:lang w:val="en-US" w:eastAsia="zh-CN"/>
        </w:rPr>
        <w:t>三、</w:t>
      </w:r>
      <w:r>
        <w:rPr>
          <w:rFonts w:hint="eastAsia" w:ascii="宋体" w:hAnsi="宋体"/>
          <w:b/>
          <w:color w:val="auto"/>
          <w:sz w:val="21"/>
          <w:szCs w:val="21"/>
          <w:highlight w:val="none"/>
        </w:rPr>
        <w:t>其他</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1.本协议是原合同的补充协议，与原合同有同等法律效力。</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本</w:t>
      </w:r>
      <w:r>
        <w:rPr>
          <w:rFonts w:hint="eastAsia" w:ascii="宋体" w:hAnsi="宋体"/>
          <w:color w:val="auto"/>
          <w:sz w:val="21"/>
          <w:szCs w:val="21"/>
          <w:highlight w:val="none"/>
        </w:rPr>
        <w:t>协议</w:t>
      </w:r>
      <w:r>
        <w:rPr>
          <w:rFonts w:ascii="宋体" w:hAnsi="宋体"/>
          <w:color w:val="auto"/>
          <w:sz w:val="21"/>
          <w:szCs w:val="21"/>
          <w:highlight w:val="none"/>
        </w:rPr>
        <w:t>一式</w:t>
      </w:r>
      <w:r>
        <w:rPr>
          <w:rFonts w:hint="eastAsia" w:ascii="宋体" w:hAnsi="宋体"/>
          <w:color w:val="auto"/>
          <w:sz w:val="21"/>
          <w:szCs w:val="21"/>
          <w:highlight w:val="none"/>
        </w:rPr>
        <w:t>四</w:t>
      </w:r>
      <w:r>
        <w:rPr>
          <w:rFonts w:ascii="宋体" w:hAnsi="宋体"/>
          <w:color w:val="auto"/>
          <w:sz w:val="21"/>
          <w:szCs w:val="21"/>
          <w:highlight w:val="none"/>
        </w:rPr>
        <w:t>份，甲方执</w:t>
      </w:r>
      <w:r>
        <w:rPr>
          <w:rFonts w:hint="eastAsia" w:ascii="宋体" w:hAnsi="宋体"/>
          <w:color w:val="auto"/>
          <w:sz w:val="21"/>
          <w:szCs w:val="21"/>
          <w:highlight w:val="none"/>
        </w:rPr>
        <w:t>贰</w:t>
      </w:r>
      <w:r>
        <w:rPr>
          <w:rFonts w:ascii="宋体" w:hAnsi="宋体"/>
          <w:color w:val="auto"/>
          <w:sz w:val="21"/>
          <w:szCs w:val="21"/>
          <w:highlight w:val="none"/>
        </w:rPr>
        <w:t>份，乙方执</w:t>
      </w:r>
      <w:r>
        <w:rPr>
          <w:rFonts w:hint="eastAsia" w:ascii="宋体" w:hAnsi="宋体"/>
          <w:color w:val="auto"/>
          <w:sz w:val="21"/>
          <w:szCs w:val="21"/>
          <w:highlight w:val="none"/>
        </w:rPr>
        <w:t>贰</w:t>
      </w:r>
      <w:r>
        <w:rPr>
          <w:rFonts w:ascii="宋体" w:hAnsi="宋体"/>
          <w:color w:val="auto"/>
          <w:sz w:val="21"/>
          <w:szCs w:val="21"/>
          <w:highlight w:val="none"/>
        </w:rPr>
        <w:t>份</w:t>
      </w:r>
      <w:r>
        <w:rPr>
          <w:rFonts w:hint="eastAsia" w:ascii="宋体" w:hAnsi="宋体"/>
          <w:color w:val="auto"/>
          <w:sz w:val="21"/>
          <w:szCs w:val="21"/>
          <w:highlight w:val="none"/>
        </w:rPr>
        <w:t>,具有同等法律效力。</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20" w:firstLineChars="200"/>
        <w:contextualSpacing/>
        <w:textAlignment w:val="auto"/>
        <w:rPr>
          <w:rFonts w:ascii="宋体" w:hAnsi="宋体"/>
          <w:color w:val="auto"/>
          <w:sz w:val="21"/>
          <w:szCs w:val="21"/>
          <w:highlight w:val="none"/>
        </w:rPr>
      </w:pPr>
      <w:r>
        <w:rPr>
          <w:rFonts w:hint="eastAsia" w:ascii="宋体" w:hAnsi="宋体"/>
          <w:color w:val="auto"/>
          <w:sz w:val="21"/>
          <w:szCs w:val="21"/>
          <w:highlight w:val="none"/>
        </w:rPr>
        <w:t>3.本协议经双方签署后生效。</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 w:val="21"/>
          <w:szCs w:val="21"/>
          <w:highlight w:val="none"/>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sz w:val="21"/>
          <w:szCs w:val="21"/>
          <w:highlight w:val="none"/>
        </w:rPr>
      </w:pPr>
      <w:r>
        <w:rPr>
          <w:rFonts w:hint="eastAsia" w:ascii="宋体" w:hAnsi="宋体"/>
          <w:color w:val="auto"/>
          <w:sz w:val="21"/>
          <w:szCs w:val="21"/>
          <w:highlight w:val="none"/>
        </w:rPr>
        <w:t>甲方（盖章）：                      乙方（盖章）：</w:t>
      </w:r>
      <w:r>
        <w:rPr>
          <w:rFonts w:ascii="宋体"/>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 w:val="21"/>
          <w:szCs w:val="21"/>
          <w:highlight w:val="none"/>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sz w:val="21"/>
          <w:szCs w:val="21"/>
          <w:highlight w:val="none"/>
        </w:rPr>
      </w:pPr>
      <w:r>
        <w:rPr>
          <w:rFonts w:hint="eastAsia" w:ascii="宋体" w:hAnsi="宋体"/>
          <w:color w:val="auto"/>
          <w:sz w:val="21"/>
          <w:szCs w:val="21"/>
          <w:highlight w:val="none"/>
        </w:rPr>
        <w:t>法定代表人（授权代表）：</w:t>
      </w:r>
      <w:r>
        <w:rPr>
          <w:rFonts w:hint="eastAsia" w:ascii="宋体"/>
          <w:color w:val="auto"/>
          <w:sz w:val="21"/>
          <w:szCs w:val="21"/>
          <w:highlight w:val="none"/>
        </w:rPr>
        <w:tab/>
      </w:r>
      <w:r>
        <w:rPr>
          <w:rFonts w:hint="eastAsia" w:ascii="宋体"/>
          <w:color w:val="auto"/>
          <w:sz w:val="21"/>
          <w:szCs w:val="21"/>
          <w:highlight w:val="none"/>
        </w:rPr>
        <w:tab/>
      </w:r>
      <w:r>
        <w:rPr>
          <w:rFonts w:hint="eastAsia" w:ascii="宋体"/>
          <w:color w:val="auto"/>
          <w:sz w:val="21"/>
          <w:szCs w:val="21"/>
          <w:highlight w:val="none"/>
        </w:rPr>
        <w:t xml:space="preserve">  </w:t>
      </w:r>
      <w:r>
        <w:rPr>
          <w:rFonts w:hint="eastAsia" w:ascii="宋体"/>
          <w:color w:val="auto"/>
          <w:sz w:val="21"/>
          <w:szCs w:val="21"/>
          <w:highlight w:val="none"/>
        </w:rPr>
        <w:tab/>
      </w:r>
      <w:r>
        <w:rPr>
          <w:rFonts w:hint="eastAsia" w:ascii="宋体"/>
          <w:color w:val="auto"/>
          <w:sz w:val="21"/>
          <w:szCs w:val="21"/>
          <w:highlight w:val="none"/>
        </w:rPr>
        <w:t xml:space="preserve">   </w:t>
      </w:r>
      <w:r>
        <w:rPr>
          <w:rFonts w:hint="eastAsia" w:ascii="宋体" w:hAnsi="宋体"/>
          <w:color w:val="auto"/>
          <w:sz w:val="21"/>
          <w:szCs w:val="21"/>
          <w:highlight w:val="none"/>
        </w:rPr>
        <w:t>法定代表人（授权代表）：</w:t>
      </w: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 w:val="21"/>
          <w:szCs w:val="21"/>
          <w:highlight w:val="none"/>
        </w:rPr>
      </w:pPr>
    </w:p>
    <w:p>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color w:val="auto"/>
          <w:sz w:val="21"/>
          <w:szCs w:val="21"/>
          <w:highlight w:val="none"/>
        </w:rPr>
      </w:pPr>
      <w:r>
        <w:rPr>
          <w:rFonts w:hint="eastAsia" w:ascii="宋体" w:hAnsi="宋体"/>
          <w:color w:val="auto"/>
          <w:sz w:val="21"/>
          <w:szCs w:val="21"/>
          <w:highlight w:val="none"/>
        </w:rPr>
        <w:t>签约日期：   年   月   日</w:t>
      </w:r>
      <w:bookmarkStart w:id="194" w:name="现场签证通知单"/>
      <w:bookmarkEnd w:id="194"/>
      <w:bookmarkStart w:id="195" w:name="设计变更通知单"/>
      <w:bookmarkEnd w:id="195"/>
      <w:r>
        <w:rPr>
          <w:color w:val="auto"/>
          <w:sz w:val="21"/>
          <w:szCs w:val="21"/>
          <w:highlight w:val="none"/>
        </w:rPr>
        <w:tab/>
      </w:r>
      <w:r>
        <w:rPr>
          <w:color w:val="auto"/>
          <w:sz w:val="21"/>
          <w:szCs w:val="21"/>
          <w:highlight w:val="none"/>
        </w:rPr>
        <w:t xml:space="preserve">    </w:t>
      </w:r>
      <w:r>
        <w:rPr>
          <w:rFonts w:hint="eastAsia"/>
          <w:color w:val="auto"/>
          <w:sz w:val="21"/>
          <w:szCs w:val="21"/>
          <w:highlight w:val="none"/>
        </w:rPr>
        <w:t xml:space="preserve">   </w:t>
      </w:r>
      <w:r>
        <w:rPr>
          <w:rFonts w:hint="eastAsia" w:ascii="宋体" w:hAnsi="宋体"/>
          <w:color w:val="auto"/>
          <w:sz w:val="21"/>
          <w:szCs w:val="21"/>
          <w:highlight w:val="none"/>
        </w:rPr>
        <w:t>签约日期：   年   月   日</w:t>
      </w:r>
    </w:p>
    <w:p>
      <w:pPr>
        <w:spacing w:before="163" w:beforeLines="50" w:after="163" w:afterLines="50" w:line="360" w:lineRule="auto"/>
        <w:ind w:firstLine="420" w:firstLineChars="200"/>
        <w:contextualSpacing/>
        <w:rPr>
          <w:rFonts w:hAnsi="宋体"/>
          <w:color w:val="auto"/>
          <w:sz w:val="21"/>
          <w:szCs w:val="21"/>
          <w:highlight w:val="none"/>
        </w:rPr>
      </w:pPr>
    </w:p>
    <w:p>
      <w:pPr>
        <w:pStyle w:val="20"/>
        <w:rPr>
          <w:rFonts w:hAnsi="宋体"/>
          <w:color w:val="auto"/>
          <w:sz w:val="21"/>
          <w:szCs w:val="21"/>
          <w:highlight w:val="none"/>
        </w:rPr>
      </w:pPr>
    </w:p>
    <w:p>
      <w:pPr>
        <w:pStyle w:val="21"/>
        <w:ind w:firstLine="210"/>
        <w:rPr>
          <w:color w:val="auto"/>
          <w:highlight w:val="none"/>
        </w:rPr>
      </w:pPr>
    </w:p>
    <w:p>
      <w:pPr>
        <w:rPr>
          <w:color w:val="auto"/>
          <w:highlight w:val="none"/>
        </w:rPr>
        <w:sectPr>
          <w:headerReference r:id="rId9" w:type="first"/>
          <w:footerReference r:id="rId12" w:type="first"/>
          <w:headerReference r:id="rId8" w:type="default"/>
          <w:footerReference r:id="rId10" w:type="default"/>
          <w:footerReference r:id="rId11" w:type="even"/>
          <w:pgSz w:w="11907" w:h="16840"/>
          <w:pgMar w:top="1440" w:right="1134" w:bottom="1440" w:left="1134" w:header="850" w:footer="720" w:gutter="0"/>
          <w:cols w:space="720" w:num="1"/>
          <w:docGrid w:type="lines" w:linePitch="326" w:charSpace="0"/>
        </w:sectPr>
      </w:pPr>
    </w:p>
    <w:p>
      <w:pPr>
        <w:pStyle w:val="3"/>
        <w:keepNext/>
        <w:keepLines/>
        <w:pageBreakBefore/>
        <w:spacing w:line="360" w:lineRule="auto"/>
        <w:jc w:val="center"/>
        <w:rPr>
          <w:rFonts w:hAnsi="宋体"/>
          <w:b/>
          <w:bCs/>
          <w:color w:val="auto"/>
          <w:kern w:val="44"/>
          <w:sz w:val="28"/>
          <w:szCs w:val="28"/>
          <w:highlight w:val="none"/>
          <w:lang w:val="zh-CN"/>
        </w:rPr>
      </w:pPr>
      <w:bookmarkStart w:id="196" w:name="_Toc9129"/>
      <w:bookmarkStart w:id="197" w:name="_Toc396137242"/>
      <w:bookmarkStart w:id="198" w:name="_Toc8470"/>
      <w:r>
        <w:rPr>
          <w:rFonts w:hint="eastAsia" w:hAnsi="宋体"/>
          <w:b/>
          <w:bCs/>
          <w:color w:val="auto"/>
          <w:kern w:val="44"/>
          <w:sz w:val="28"/>
          <w:szCs w:val="28"/>
          <w:highlight w:val="none"/>
          <w:lang w:val="zh-CN"/>
        </w:rPr>
        <w:t>第六篇磋商响应文件格式</w:t>
      </w:r>
      <w:bookmarkEnd w:id="196"/>
      <w:bookmarkEnd w:id="197"/>
      <w:bookmarkEnd w:id="198"/>
    </w:p>
    <w:p>
      <w:pPr>
        <w:ind w:firstLine="1800" w:firstLineChars="750"/>
        <w:rPr>
          <w:rFonts w:hAnsi="宋体"/>
          <w:color w:val="auto"/>
          <w:highlight w:val="none"/>
        </w:rPr>
      </w:pPr>
    </w:p>
    <w:p>
      <w:pPr>
        <w:pStyle w:val="2"/>
        <w:jc w:val="center"/>
        <w:rPr>
          <w:color w:val="auto"/>
          <w:sz w:val="28"/>
          <w:szCs w:val="28"/>
          <w:highlight w:val="none"/>
        </w:rPr>
      </w:pPr>
      <w:bookmarkStart w:id="199" w:name="_Toc19311"/>
      <w:bookmarkStart w:id="200" w:name="_Toc9566"/>
      <w:r>
        <w:rPr>
          <w:rFonts w:hint="eastAsia"/>
          <w:color w:val="auto"/>
          <w:sz w:val="28"/>
          <w:szCs w:val="28"/>
          <w:highlight w:val="none"/>
        </w:rPr>
        <w:t>第一部分 价格文件（单独编制装订成册）</w:t>
      </w:r>
      <w:bookmarkEnd w:id="199"/>
      <w:bookmarkEnd w:id="200"/>
    </w:p>
    <w:p>
      <w:pPr>
        <w:ind w:firstLine="1800" w:firstLineChars="750"/>
        <w:rPr>
          <w:rFonts w:hAnsi="宋体"/>
          <w:color w:val="auto"/>
          <w:highlight w:val="none"/>
        </w:rPr>
      </w:pPr>
    </w:p>
    <w:p>
      <w:pPr>
        <w:pStyle w:val="2"/>
        <w:numPr>
          <w:ilvl w:val="0"/>
          <w:numId w:val="17"/>
        </w:numPr>
        <w:jc w:val="center"/>
        <w:rPr>
          <w:color w:val="auto"/>
          <w:sz w:val="28"/>
          <w:szCs w:val="28"/>
          <w:highlight w:val="none"/>
        </w:rPr>
      </w:pPr>
      <w:bookmarkStart w:id="201" w:name="_Toc12373"/>
      <w:bookmarkStart w:id="202" w:name="_Toc21786"/>
      <w:bookmarkStart w:id="203" w:name="_Toc7897888"/>
      <w:bookmarkStart w:id="204" w:name="_Toc20730"/>
      <w:bookmarkStart w:id="205" w:name="_Toc458262639"/>
      <w:bookmarkStart w:id="206" w:name="_Toc454701406"/>
      <w:bookmarkStart w:id="207" w:name="_Toc486671573"/>
      <w:bookmarkStart w:id="208" w:name="_Toc467236769"/>
      <w:bookmarkStart w:id="209" w:name="_Toc476976201"/>
      <w:bookmarkStart w:id="210" w:name="_Toc32736"/>
      <w:bookmarkStart w:id="211" w:name="_Toc29841"/>
      <w:bookmarkStart w:id="212" w:name="_Toc32273"/>
      <w:bookmarkStart w:id="213" w:name="_Toc9348"/>
      <w:bookmarkStart w:id="214" w:name="_Toc396137244"/>
      <w:bookmarkStart w:id="215" w:name="_Toc19671"/>
      <w:bookmarkStart w:id="216" w:name="_Toc12383"/>
      <w:bookmarkStart w:id="217" w:name="_Toc18848"/>
      <w:bookmarkStart w:id="218" w:name="_Toc30637"/>
      <w:bookmarkStart w:id="219" w:name="_Toc28095"/>
      <w:bookmarkStart w:id="220" w:name="_Toc15960"/>
      <w:bookmarkStart w:id="221" w:name="_Toc2544"/>
      <w:bookmarkStart w:id="222" w:name="_Toc32405"/>
      <w:r>
        <w:rPr>
          <w:rFonts w:hint="eastAsia"/>
          <w:color w:val="auto"/>
          <w:sz w:val="28"/>
          <w:szCs w:val="28"/>
          <w:highlight w:val="none"/>
        </w:rPr>
        <w:t>报价一览表</w:t>
      </w:r>
      <w:bookmarkEnd w:id="201"/>
      <w:bookmarkEnd w:id="202"/>
      <w:bookmarkEnd w:id="203"/>
      <w:bookmarkEnd w:id="204"/>
    </w:p>
    <w:p>
      <w:pPr>
        <w:pStyle w:val="12"/>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77"/>
        <w:gridCol w:w="2556"/>
        <w:gridCol w:w="4044"/>
        <w:gridCol w:w="20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597" w:type="pct"/>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序号</w:t>
            </w:r>
          </w:p>
        </w:tc>
        <w:tc>
          <w:tcPr>
            <w:tcW w:w="1297" w:type="pct"/>
            <w:vAlign w:val="center"/>
          </w:tcPr>
          <w:p>
            <w:pPr>
              <w:overflowPunct w:val="0"/>
              <w:spacing w:line="460" w:lineRule="exact"/>
              <w:jc w:val="center"/>
              <w:rPr>
                <w:rFonts w:hint="eastAsia" w:hAnsi="宋体" w:eastAsia="宋体"/>
                <w:b/>
                <w:color w:val="auto"/>
                <w:sz w:val="21"/>
                <w:szCs w:val="21"/>
                <w:highlight w:val="none"/>
                <w:lang w:val="en-US" w:eastAsia="zh-CN"/>
              </w:rPr>
            </w:pPr>
            <w:r>
              <w:rPr>
                <w:rFonts w:hint="eastAsia" w:hAnsi="宋体"/>
                <w:b/>
                <w:color w:val="auto"/>
                <w:sz w:val="21"/>
                <w:szCs w:val="21"/>
                <w:highlight w:val="none"/>
              </w:rPr>
              <w:t>项目</w:t>
            </w:r>
            <w:r>
              <w:rPr>
                <w:rFonts w:hint="eastAsia" w:hAnsi="宋体"/>
                <w:b/>
                <w:color w:val="auto"/>
                <w:sz w:val="21"/>
                <w:szCs w:val="21"/>
                <w:highlight w:val="none"/>
                <w:lang w:eastAsia="zh-CN"/>
              </w:rPr>
              <w:t>名称</w:t>
            </w:r>
          </w:p>
        </w:tc>
        <w:tc>
          <w:tcPr>
            <w:tcW w:w="2052" w:type="pct"/>
            <w:vAlign w:val="center"/>
          </w:tcPr>
          <w:p>
            <w:pPr>
              <w:overflowPunct w:val="0"/>
              <w:spacing w:line="460" w:lineRule="exact"/>
              <w:jc w:val="center"/>
              <w:rPr>
                <w:rFonts w:hint="eastAsia" w:ascii="宋体" w:hAnsi="宋体" w:eastAsia="宋体" w:cs="宋体"/>
                <w:b/>
                <w:color w:val="auto"/>
                <w:sz w:val="21"/>
                <w:szCs w:val="21"/>
                <w:highlight w:val="none"/>
                <w:lang w:val="en-US" w:eastAsia="zh-CN" w:bidi="ar-SA"/>
              </w:rPr>
            </w:pPr>
            <w:r>
              <w:rPr>
                <w:rFonts w:hint="eastAsia" w:hAnsi="宋体"/>
                <w:b/>
                <w:color w:val="auto"/>
                <w:sz w:val="21"/>
                <w:szCs w:val="21"/>
                <w:highlight w:val="none"/>
                <w:lang w:eastAsia="zh-CN"/>
              </w:rPr>
              <w:t>下浮率</w:t>
            </w:r>
          </w:p>
        </w:tc>
        <w:tc>
          <w:tcPr>
            <w:tcW w:w="1052" w:type="pct"/>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597" w:type="pct"/>
            <w:vAlign w:val="center"/>
          </w:tcPr>
          <w:p>
            <w:pPr>
              <w:overflowPunct w:val="0"/>
              <w:spacing w:line="460" w:lineRule="exact"/>
              <w:jc w:val="center"/>
              <w:rPr>
                <w:rFonts w:hAnsi="宋体"/>
                <w:color w:val="auto"/>
                <w:sz w:val="21"/>
                <w:szCs w:val="21"/>
                <w:highlight w:val="none"/>
              </w:rPr>
            </w:pPr>
            <w:r>
              <w:rPr>
                <w:rFonts w:hint="eastAsia" w:hAnsi="宋体"/>
                <w:color w:val="auto"/>
                <w:sz w:val="21"/>
                <w:szCs w:val="21"/>
                <w:highlight w:val="none"/>
              </w:rPr>
              <w:t>1</w:t>
            </w:r>
          </w:p>
        </w:tc>
        <w:tc>
          <w:tcPr>
            <w:tcW w:w="1297" w:type="pct"/>
            <w:vAlign w:val="center"/>
          </w:tcPr>
          <w:p>
            <w:pPr>
              <w:overflowPunct w:val="0"/>
              <w:spacing w:line="460" w:lineRule="exact"/>
              <w:jc w:val="center"/>
              <w:rPr>
                <w:rFonts w:hAnsi="宋体"/>
                <w:color w:val="auto"/>
                <w:sz w:val="21"/>
                <w:szCs w:val="21"/>
                <w:highlight w:val="none"/>
              </w:rPr>
            </w:pPr>
          </w:p>
        </w:tc>
        <w:tc>
          <w:tcPr>
            <w:tcW w:w="2052" w:type="pct"/>
            <w:vAlign w:val="center"/>
          </w:tcPr>
          <w:p>
            <w:pPr>
              <w:pStyle w:val="60"/>
              <w:ind w:firstLine="630" w:firstLineChars="300"/>
              <w:rPr>
                <w:rFonts w:hint="eastAsia"/>
                <w:color w:val="auto"/>
                <w:sz w:val="21"/>
                <w:szCs w:val="21"/>
                <w:highlight w:val="none"/>
                <w:lang w:eastAsia="zh-CN"/>
              </w:rPr>
            </w:pPr>
            <w:r>
              <w:rPr>
                <w:rFonts w:hint="eastAsia"/>
                <w:color w:val="auto"/>
                <w:sz w:val="21"/>
                <w:szCs w:val="21"/>
                <w:highlight w:val="none"/>
                <w:lang w:eastAsia="zh-CN"/>
              </w:rPr>
              <w:t>大写：</w:t>
            </w:r>
          </w:p>
          <w:p>
            <w:pPr>
              <w:pStyle w:val="60"/>
              <w:ind w:firstLine="630" w:firstLineChars="300"/>
              <w:rPr>
                <w:rFonts w:ascii="宋体" w:hAnsi="Calibri" w:eastAsia="宋体" w:cs="宋体"/>
                <w:color w:val="auto"/>
                <w:sz w:val="21"/>
                <w:szCs w:val="21"/>
                <w:highlight w:val="none"/>
                <w:lang w:val="zh-CN" w:eastAsia="zh-CN" w:bidi="ar-SA"/>
              </w:rPr>
            </w:pPr>
            <w:r>
              <w:rPr>
                <w:rFonts w:hint="eastAsia"/>
                <w:color w:val="auto"/>
                <w:sz w:val="21"/>
                <w:szCs w:val="21"/>
                <w:highlight w:val="none"/>
                <w:lang w:eastAsia="zh-CN"/>
              </w:rPr>
              <w:t>小写：</w:t>
            </w:r>
          </w:p>
        </w:tc>
        <w:tc>
          <w:tcPr>
            <w:tcW w:w="1052" w:type="pct"/>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12"/>
        <w:spacing w:line="360" w:lineRule="auto"/>
        <w:rPr>
          <w:color w:val="auto"/>
          <w:sz w:val="22"/>
          <w:szCs w:val="22"/>
          <w:highlight w:val="none"/>
        </w:rPr>
      </w:pPr>
      <w:r>
        <w:rPr>
          <w:rFonts w:hint="eastAsia"/>
          <w:color w:val="auto"/>
          <w:sz w:val="21"/>
          <w:szCs w:val="21"/>
          <w:highlight w:val="none"/>
        </w:rPr>
        <w:t>注：磋商</w:t>
      </w:r>
      <w:r>
        <w:rPr>
          <w:rFonts w:hint="eastAsia"/>
          <w:color w:val="auto"/>
          <w:sz w:val="21"/>
          <w:szCs w:val="21"/>
          <w:highlight w:val="none"/>
          <w:lang w:eastAsia="zh-CN"/>
        </w:rPr>
        <w:t>下浮率</w:t>
      </w:r>
      <w:r>
        <w:rPr>
          <w:rFonts w:hint="eastAsia"/>
          <w:color w:val="auto"/>
          <w:sz w:val="21"/>
          <w:szCs w:val="21"/>
          <w:highlight w:val="none"/>
        </w:rPr>
        <w:t>栏须用文字和数字两种方式表示的磋商</w:t>
      </w:r>
      <w:r>
        <w:rPr>
          <w:rFonts w:hint="eastAsia"/>
          <w:color w:val="auto"/>
          <w:sz w:val="21"/>
          <w:szCs w:val="21"/>
          <w:highlight w:val="none"/>
          <w:lang w:eastAsia="zh-CN"/>
        </w:rPr>
        <w:t>下浮率</w:t>
      </w:r>
      <w:r>
        <w:rPr>
          <w:rFonts w:hint="eastAsia"/>
          <w:color w:val="auto"/>
          <w:sz w:val="21"/>
          <w:szCs w:val="21"/>
          <w:highlight w:val="none"/>
        </w:rPr>
        <w:t>。磋商</w:t>
      </w:r>
      <w:r>
        <w:rPr>
          <w:rFonts w:hint="eastAsia"/>
          <w:color w:val="auto"/>
          <w:sz w:val="21"/>
          <w:szCs w:val="21"/>
          <w:highlight w:val="none"/>
          <w:lang w:eastAsia="zh-CN"/>
        </w:rPr>
        <w:t>下浮率</w:t>
      </w:r>
      <w:r>
        <w:rPr>
          <w:rFonts w:hint="eastAsia"/>
          <w:color w:val="auto"/>
          <w:sz w:val="21"/>
          <w:szCs w:val="21"/>
          <w:highlight w:val="none"/>
        </w:rPr>
        <w:t>大小写不一致，以大写为准。磋商</w:t>
      </w:r>
      <w:r>
        <w:rPr>
          <w:rFonts w:hint="eastAsia"/>
          <w:color w:val="auto"/>
          <w:sz w:val="21"/>
          <w:szCs w:val="21"/>
          <w:highlight w:val="none"/>
          <w:lang w:eastAsia="zh-CN"/>
        </w:rPr>
        <w:t>下浮率</w:t>
      </w:r>
      <w:r>
        <w:rPr>
          <w:rFonts w:hint="eastAsia"/>
          <w:color w:val="auto"/>
          <w:sz w:val="21"/>
          <w:szCs w:val="21"/>
          <w:highlight w:val="none"/>
        </w:rPr>
        <w:t>必须准确唯一且应包含完成本项目的所有费用</w:t>
      </w:r>
      <w:bookmarkEnd w:id="205"/>
      <w:bookmarkEnd w:id="206"/>
      <w:bookmarkEnd w:id="207"/>
      <w:bookmarkEnd w:id="208"/>
      <w:bookmarkEnd w:id="209"/>
      <w:r>
        <w:rPr>
          <w:rFonts w:hint="eastAsia"/>
          <w:color w:val="auto"/>
          <w:sz w:val="21"/>
          <w:szCs w:val="21"/>
          <w:highlight w:val="none"/>
        </w:rPr>
        <w:t>。</w:t>
      </w:r>
    </w:p>
    <w:p>
      <w:pPr>
        <w:rPr>
          <w:color w:val="auto"/>
          <w:highlight w:val="none"/>
        </w:rPr>
      </w:pPr>
      <w:r>
        <w:rPr>
          <w:color w:val="auto"/>
          <w:highlight w:val="none"/>
        </w:rPr>
        <w:br w:type="page"/>
      </w:r>
    </w:p>
    <w:bookmarkEnd w:id="210"/>
    <w:bookmarkEnd w:id="211"/>
    <w:bookmarkEnd w:id="212"/>
    <w:bookmarkEnd w:id="213"/>
    <w:bookmarkEnd w:id="214"/>
    <w:bookmarkEnd w:id="215"/>
    <w:bookmarkEnd w:id="216"/>
    <w:bookmarkEnd w:id="217"/>
    <w:bookmarkEnd w:id="218"/>
    <w:bookmarkEnd w:id="219"/>
    <w:bookmarkEnd w:id="220"/>
    <w:bookmarkEnd w:id="221"/>
    <w:bookmarkEnd w:id="222"/>
    <w:p>
      <w:pPr>
        <w:pStyle w:val="2"/>
        <w:pageBreakBefore/>
        <w:spacing w:line="360" w:lineRule="auto"/>
        <w:jc w:val="center"/>
        <w:rPr>
          <w:bCs/>
          <w:color w:val="auto"/>
          <w:sz w:val="28"/>
          <w:szCs w:val="28"/>
          <w:highlight w:val="none"/>
        </w:rPr>
      </w:pPr>
      <w:bookmarkStart w:id="223" w:name="_Toc12158"/>
      <w:bookmarkStart w:id="224" w:name="_Toc18450"/>
      <w:bookmarkStart w:id="225" w:name="_Toc486671572"/>
      <w:bookmarkStart w:id="226" w:name="_Toc27849"/>
      <w:bookmarkStart w:id="227" w:name="_Toc7897890"/>
      <w:bookmarkStart w:id="228" w:name="_Toc454701405"/>
      <w:bookmarkStart w:id="229" w:name="_Toc467236768"/>
      <w:bookmarkStart w:id="230" w:name="_Toc476976200"/>
      <w:bookmarkStart w:id="231" w:name="_Toc458262638"/>
      <w:bookmarkStart w:id="232" w:name="_Toc110953866"/>
      <w:bookmarkStart w:id="233" w:name="_Toc480020289"/>
      <w:bookmarkStart w:id="234" w:name="_Toc468157569"/>
      <w:bookmarkStart w:id="235" w:name="_Toc480021085"/>
      <w:bookmarkStart w:id="236" w:name="_Toc479991616"/>
      <w:bookmarkStart w:id="237" w:name="_Toc468606064"/>
      <w:bookmarkStart w:id="238" w:name="_Toc480010742"/>
      <w:bookmarkStart w:id="239" w:name="_Toc467987856"/>
      <w:r>
        <w:rPr>
          <w:rFonts w:hint="eastAsia"/>
          <w:bCs/>
          <w:color w:val="auto"/>
          <w:sz w:val="28"/>
          <w:szCs w:val="28"/>
          <w:highlight w:val="none"/>
        </w:rPr>
        <w:t>第二部分  商务文件</w:t>
      </w:r>
      <w:bookmarkEnd w:id="223"/>
      <w:bookmarkEnd w:id="224"/>
      <w:bookmarkStart w:id="240" w:name="_Hlt10519799"/>
      <w:bookmarkEnd w:id="240"/>
      <w:bookmarkStart w:id="241" w:name="_Hlt10456397"/>
      <w:bookmarkEnd w:id="241"/>
    </w:p>
    <w:p>
      <w:pPr>
        <w:rPr>
          <w:color w:val="auto"/>
          <w:highlight w:val="none"/>
        </w:rPr>
      </w:pPr>
    </w:p>
    <w:p>
      <w:pPr>
        <w:pStyle w:val="2"/>
        <w:numPr>
          <w:ilvl w:val="0"/>
          <w:numId w:val="18"/>
        </w:numPr>
        <w:jc w:val="center"/>
        <w:rPr>
          <w:b w:val="0"/>
          <w:color w:val="auto"/>
          <w:sz w:val="28"/>
          <w:szCs w:val="28"/>
          <w:highlight w:val="none"/>
        </w:rPr>
      </w:pPr>
      <w:bookmarkStart w:id="242" w:name="_Toc18728"/>
      <w:bookmarkStart w:id="243" w:name="_Toc8815"/>
      <w:r>
        <w:rPr>
          <w:rFonts w:hint="eastAsia"/>
          <w:color w:val="auto"/>
          <w:sz w:val="28"/>
          <w:szCs w:val="28"/>
          <w:highlight w:val="none"/>
        </w:rPr>
        <w:t>响应书</w:t>
      </w:r>
      <w:bookmarkEnd w:id="225"/>
      <w:bookmarkEnd w:id="226"/>
      <w:bookmarkEnd w:id="227"/>
      <w:bookmarkEnd w:id="228"/>
      <w:bookmarkEnd w:id="229"/>
      <w:bookmarkEnd w:id="230"/>
      <w:bookmarkEnd w:id="231"/>
      <w:bookmarkEnd w:id="242"/>
      <w:bookmarkEnd w:id="243"/>
    </w:p>
    <w:p>
      <w:pPr>
        <w:pStyle w:val="31"/>
        <w:autoSpaceDE/>
        <w:autoSpaceDN/>
        <w:adjustRightInd/>
        <w:spacing w:line="480" w:lineRule="exact"/>
        <w:ind w:left="6000"/>
        <w:rPr>
          <w:rFonts w:hAnsi="宋体"/>
          <w:color w:val="auto"/>
          <w:sz w:val="24"/>
          <w:highlight w:val="none"/>
        </w:rPr>
      </w:pPr>
    </w:p>
    <w:p>
      <w:pPr>
        <w:pStyle w:val="31"/>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2"/>
        <w:numPr>
          <w:ilvl w:val="0"/>
          <w:numId w:val="18"/>
        </w:numPr>
        <w:jc w:val="center"/>
        <w:rPr>
          <w:bCs/>
          <w:color w:val="auto"/>
          <w:sz w:val="28"/>
          <w:szCs w:val="28"/>
          <w:highlight w:val="none"/>
        </w:rPr>
      </w:pPr>
      <w:r>
        <w:rPr>
          <w:color w:val="auto"/>
          <w:sz w:val="22"/>
          <w:szCs w:val="22"/>
          <w:highlight w:val="none"/>
        </w:rPr>
        <w:br w:type="page"/>
      </w:r>
      <w:bookmarkStart w:id="244" w:name="_Toc7897891"/>
      <w:bookmarkStart w:id="245" w:name="_Toc31943"/>
      <w:bookmarkStart w:id="246" w:name="_Toc24748"/>
      <w:bookmarkStart w:id="247" w:name="_Toc10808"/>
      <w:r>
        <w:rPr>
          <w:rFonts w:hint="eastAsia"/>
          <w:bCs/>
          <w:color w:val="auto"/>
          <w:sz w:val="28"/>
          <w:szCs w:val="28"/>
          <w:highlight w:val="none"/>
        </w:rPr>
        <w:t>法定代表人证明书</w:t>
      </w:r>
      <w:bookmarkEnd w:id="244"/>
      <w:bookmarkEnd w:id="245"/>
      <w:bookmarkEnd w:id="246"/>
      <w:bookmarkEnd w:id="247"/>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2"/>
        <w:numPr>
          <w:ilvl w:val="0"/>
          <w:numId w:val="18"/>
        </w:numPr>
        <w:jc w:val="center"/>
        <w:rPr>
          <w:bCs/>
          <w:color w:val="auto"/>
          <w:sz w:val="28"/>
          <w:szCs w:val="28"/>
          <w:highlight w:val="none"/>
        </w:rPr>
      </w:pPr>
      <w:r>
        <w:rPr>
          <w:rFonts w:hint="eastAsia"/>
          <w:bCs/>
          <w:color w:val="auto"/>
          <w:sz w:val="28"/>
          <w:szCs w:val="28"/>
          <w:highlight w:val="none"/>
        </w:rPr>
        <w:br w:type="page"/>
      </w:r>
      <w:bookmarkStart w:id="248" w:name="_Toc18590"/>
      <w:bookmarkStart w:id="249" w:name="_Toc7897892"/>
      <w:bookmarkStart w:id="250" w:name="_Toc19634"/>
      <w:bookmarkStart w:id="251" w:name="_Toc28882"/>
      <w:r>
        <w:rPr>
          <w:rFonts w:hint="eastAsia"/>
          <w:bCs/>
          <w:color w:val="auto"/>
          <w:sz w:val="28"/>
          <w:szCs w:val="28"/>
          <w:highlight w:val="none"/>
        </w:rPr>
        <w:t>授权委托书（加法人证明书）</w:t>
      </w:r>
      <w:bookmarkEnd w:id="248"/>
      <w:bookmarkEnd w:id="249"/>
      <w:bookmarkEnd w:id="250"/>
      <w:bookmarkEnd w:id="251"/>
    </w:p>
    <w:p>
      <w:pPr>
        <w:pStyle w:val="12"/>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12"/>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52" w:name="_Toc7897893"/>
      <w:bookmarkStart w:id="253" w:name="_Toc4592"/>
    </w:p>
    <w:p>
      <w:pPr>
        <w:pStyle w:val="12"/>
        <w:ind w:firstLine="0" w:firstLineChars="0"/>
        <w:rPr>
          <w:color w:val="auto"/>
          <w:highlight w:val="none"/>
        </w:rPr>
      </w:pPr>
    </w:p>
    <w:p>
      <w:pPr>
        <w:pStyle w:val="12"/>
        <w:ind w:firstLine="0" w:firstLineChars="0"/>
        <w:rPr>
          <w:color w:val="auto"/>
          <w:highlight w:val="none"/>
        </w:rPr>
      </w:pPr>
    </w:p>
    <w:p>
      <w:pPr>
        <w:pStyle w:val="12"/>
        <w:ind w:firstLine="0" w:firstLineChars="0"/>
        <w:rPr>
          <w:color w:val="auto"/>
          <w:highlight w:val="none"/>
        </w:rPr>
      </w:pPr>
    </w:p>
    <w:p>
      <w:pPr>
        <w:pStyle w:val="2"/>
        <w:numPr>
          <w:ilvl w:val="0"/>
          <w:numId w:val="18"/>
        </w:numPr>
        <w:jc w:val="center"/>
        <w:rPr>
          <w:color w:val="auto"/>
          <w:sz w:val="28"/>
          <w:szCs w:val="28"/>
          <w:highlight w:val="none"/>
        </w:rPr>
      </w:pPr>
      <w:bookmarkStart w:id="254" w:name="_Toc1276"/>
      <w:bookmarkStart w:id="255" w:name="_Toc17363"/>
      <w:r>
        <w:rPr>
          <w:rFonts w:hint="eastAsia"/>
          <w:color w:val="auto"/>
          <w:sz w:val="28"/>
          <w:szCs w:val="28"/>
          <w:highlight w:val="none"/>
        </w:rPr>
        <w:t>供应商基本情况说明</w:t>
      </w:r>
      <w:bookmarkEnd w:id="252"/>
      <w:bookmarkEnd w:id="253"/>
      <w:bookmarkEnd w:id="254"/>
      <w:bookmarkEnd w:id="255"/>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keepNext w:val="0"/>
        <w:keepLines w:val="0"/>
        <w:pageBreakBefore w:val="0"/>
        <w:widowControl w:val="0"/>
        <w:tabs>
          <w:tab w:val="left" w:pos="420"/>
          <w:tab w:val="left" w:pos="1485"/>
        </w:tabs>
        <w:kinsoku/>
        <w:wordWrap/>
        <w:overflowPunct/>
        <w:topLinePunct w:val="0"/>
        <w:autoSpaceDE w:val="0"/>
        <w:autoSpaceDN w:val="0"/>
        <w:bidi w:val="0"/>
        <w:adjustRightInd w:val="0"/>
        <w:snapToGrid/>
        <w:spacing w:line="360" w:lineRule="auto"/>
        <w:textAlignment w:val="auto"/>
        <w:outlineLvl w:val="9"/>
        <w:rPr>
          <w:rFonts w:hAnsi="宋体"/>
          <w:color w:val="auto"/>
          <w:sz w:val="21"/>
          <w:szCs w:val="21"/>
          <w:highlight w:val="none"/>
        </w:rPr>
      </w:pPr>
      <w:bookmarkStart w:id="256" w:name="_Toc7860"/>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bookmarkEnd w:id="256"/>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2"/>
        <w:numPr>
          <w:ilvl w:val="0"/>
          <w:numId w:val="18"/>
        </w:numPr>
        <w:jc w:val="center"/>
        <w:rPr>
          <w:b w:val="0"/>
          <w:color w:val="auto"/>
          <w:sz w:val="28"/>
          <w:szCs w:val="28"/>
          <w:highlight w:val="none"/>
          <w:u w:val="single"/>
        </w:rPr>
      </w:pPr>
      <w:r>
        <w:rPr>
          <w:color w:val="auto"/>
          <w:sz w:val="22"/>
          <w:szCs w:val="22"/>
          <w:highlight w:val="none"/>
        </w:rPr>
        <w:br w:type="page"/>
      </w:r>
      <w:bookmarkStart w:id="257" w:name="_Toc27094"/>
      <w:bookmarkStart w:id="258" w:name="_Toc17704"/>
      <w:bookmarkStart w:id="259" w:name="_Toc8896"/>
      <w:bookmarkStart w:id="260" w:name="_Toc7897894"/>
      <w:r>
        <w:rPr>
          <w:rFonts w:hint="eastAsia"/>
          <w:bCs/>
          <w:color w:val="auto"/>
          <w:sz w:val="28"/>
          <w:szCs w:val="28"/>
          <w:highlight w:val="none"/>
        </w:rPr>
        <w:t>偏离表</w:t>
      </w:r>
      <w:bookmarkEnd w:id="232"/>
      <w:bookmarkEnd w:id="257"/>
      <w:bookmarkEnd w:id="258"/>
      <w:bookmarkEnd w:id="259"/>
      <w:bookmarkEnd w:id="260"/>
    </w:p>
    <w:p>
      <w:pPr>
        <w:pStyle w:val="12"/>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numPr>
          <w:ilvl w:val="0"/>
          <w:numId w:val="18"/>
        </w:numPr>
        <w:jc w:val="center"/>
        <w:rPr>
          <w:rFonts w:ascii="Calibri" w:hAnsi="Times New Roman"/>
          <w:color w:val="auto"/>
          <w:sz w:val="28"/>
          <w:szCs w:val="28"/>
          <w:highlight w:val="none"/>
        </w:rPr>
      </w:pPr>
      <w:bookmarkStart w:id="261" w:name="_Toc8299"/>
      <w:bookmarkStart w:id="262" w:name="_Toc10734"/>
      <w:bookmarkStart w:id="263" w:name="_Toc31965"/>
      <w:bookmarkStart w:id="264" w:name="_Toc789789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61"/>
      <w:bookmarkEnd w:id="262"/>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12"/>
        <w:ind w:firstLine="400"/>
        <w:rPr>
          <w:color w:val="auto"/>
          <w:highlight w:val="none"/>
        </w:rPr>
      </w:pPr>
    </w:p>
    <w:p>
      <w:pPr>
        <w:pStyle w:val="2"/>
        <w:numPr>
          <w:ilvl w:val="0"/>
          <w:numId w:val="18"/>
        </w:numPr>
        <w:jc w:val="center"/>
        <w:rPr>
          <w:color w:val="auto"/>
          <w:sz w:val="28"/>
          <w:szCs w:val="28"/>
          <w:highlight w:val="none"/>
        </w:rPr>
      </w:pPr>
      <w:bookmarkStart w:id="265" w:name="_Toc12735"/>
      <w:bookmarkStart w:id="266" w:name="_Toc1441"/>
      <w:r>
        <w:rPr>
          <w:rFonts w:hint="eastAsia"/>
          <w:bCs/>
          <w:color w:val="auto"/>
          <w:sz w:val="28"/>
          <w:szCs w:val="28"/>
          <w:highlight w:val="none"/>
        </w:rPr>
        <w:t>供应商所获资质或奖项证书一览表</w:t>
      </w:r>
      <w:bookmarkEnd w:id="263"/>
      <w:bookmarkEnd w:id="264"/>
      <w:bookmarkEnd w:id="265"/>
      <w:bookmarkEnd w:id="266"/>
    </w:p>
    <w:p>
      <w:pPr>
        <w:pStyle w:val="12"/>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12"/>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2218" w:type="dxa"/>
            <w:vAlign w:val="center"/>
          </w:tcPr>
          <w:p>
            <w:pPr>
              <w:pStyle w:val="12"/>
              <w:ind w:firstLine="422"/>
              <w:jc w:val="center"/>
              <w:rPr>
                <w:rFonts w:ascii="Times New Roman" w:hAnsi="宋体"/>
                <w:b/>
                <w:bCs/>
                <w:color w:val="auto"/>
                <w:sz w:val="21"/>
                <w:szCs w:val="21"/>
                <w:highlight w:val="none"/>
              </w:rPr>
            </w:pPr>
          </w:p>
        </w:tc>
        <w:tc>
          <w:tcPr>
            <w:tcW w:w="1862" w:type="dxa"/>
            <w:vAlign w:val="center"/>
          </w:tcPr>
          <w:p>
            <w:pPr>
              <w:pStyle w:val="12"/>
              <w:ind w:firstLine="422"/>
              <w:jc w:val="center"/>
              <w:rPr>
                <w:rFonts w:ascii="Times New Roman" w:hAnsi="宋体"/>
                <w:b/>
                <w:bCs/>
                <w:color w:val="auto"/>
                <w:sz w:val="21"/>
                <w:szCs w:val="21"/>
                <w:highlight w:val="none"/>
              </w:rPr>
            </w:pPr>
          </w:p>
        </w:tc>
        <w:tc>
          <w:tcPr>
            <w:tcW w:w="1529" w:type="dxa"/>
            <w:vAlign w:val="center"/>
          </w:tcPr>
          <w:p>
            <w:pPr>
              <w:pStyle w:val="12"/>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2"/>
        <w:numPr>
          <w:ilvl w:val="0"/>
          <w:numId w:val="18"/>
        </w:numPr>
        <w:jc w:val="center"/>
        <w:rPr>
          <w:color w:val="auto"/>
          <w:sz w:val="28"/>
          <w:szCs w:val="28"/>
          <w:highlight w:val="none"/>
        </w:rPr>
      </w:pPr>
      <w:r>
        <w:rPr>
          <w:color w:val="auto"/>
          <w:highlight w:val="none"/>
        </w:rPr>
        <w:br w:type="page"/>
      </w:r>
      <w:bookmarkStart w:id="267" w:name="_Toc7897896"/>
      <w:bookmarkStart w:id="268" w:name="_Toc4539"/>
      <w:bookmarkStart w:id="269" w:name="_Toc4884"/>
      <w:bookmarkStart w:id="270" w:name="_Toc23874"/>
      <w:r>
        <w:rPr>
          <w:rFonts w:hint="eastAsia"/>
          <w:bCs/>
          <w:color w:val="auto"/>
          <w:sz w:val="28"/>
          <w:szCs w:val="28"/>
          <w:highlight w:val="none"/>
        </w:rPr>
        <w:t>项目业绩一览表</w:t>
      </w:r>
      <w:bookmarkEnd w:id="267"/>
      <w:bookmarkEnd w:id="268"/>
      <w:bookmarkEnd w:id="269"/>
      <w:bookmarkEnd w:id="270"/>
    </w:p>
    <w:p>
      <w:pPr>
        <w:pStyle w:val="29"/>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9"/>
        <w:spacing w:line="480" w:lineRule="exact"/>
        <w:rPr>
          <w:rFonts w:hAnsi="宋体"/>
          <w:color w:val="auto"/>
          <w:sz w:val="22"/>
          <w:szCs w:val="22"/>
          <w:highlight w:val="none"/>
        </w:rPr>
      </w:pPr>
    </w:p>
    <w:p>
      <w:pPr>
        <w:pStyle w:val="29"/>
        <w:spacing w:line="480" w:lineRule="exact"/>
        <w:rPr>
          <w:rFonts w:hAnsi="宋体"/>
          <w:color w:val="auto"/>
          <w:sz w:val="22"/>
          <w:szCs w:val="22"/>
          <w:highlight w:val="none"/>
        </w:rPr>
      </w:pPr>
      <w:r>
        <w:rPr>
          <w:rFonts w:hint="eastAsia" w:hAnsi="宋体"/>
          <w:color w:val="auto"/>
          <w:sz w:val="22"/>
          <w:szCs w:val="22"/>
          <w:highlight w:val="none"/>
        </w:rPr>
        <w:t>要求：</w:t>
      </w:r>
    </w:p>
    <w:p>
      <w:pPr>
        <w:pStyle w:val="29"/>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9"/>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2"/>
        <w:numPr>
          <w:ilvl w:val="0"/>
          <w:numId w:val="18"/>
        </w:numPr>
        <w:jc w:val="center"/>
        <w:rPr>
          <w:b w:val="0"/>
          <w:bCs/>
          <w:color w:val="auto"/>
          <w:sz w:val="28"/>
          <w:highlight w:val="none"/>
        </w:rPr>
      </w:pPr>
      <w:r>
        <w:rPr>
          <w:color w:val="auto"/>
          <w:sz w:val="22"/>
          <w:szCs w:val="22"/>
          <w:highlight w:val="none"/>
        </w:rPr>
        <w:br w:type="page"/>
      </w:r>
      <w:bookmarkStart w:id="271" w:name="_Toc17432"/>
      <w:bookmarkStart w:id="272" w:name="_Toc7897897"/>
      <w:bookmarkStart w:id="273" w:name="_Toc23633"/>
      <w:bookmarkStart w:id="274" w:name="_Toc6882"/>
      <w:r>
        <w:rPr>
          <w:rFonts w:hint="eastAsia"/>
          <w:bCs/>
          <w:color w:val="auto"/>
          <w:sz w:val="28"/>
          <w:highlight w:val="none"/>
        </w:rPr>
        <w:t>在经营活动中没有重大违法记录的书面声明</w:t>
      </w:r>
      <w:bookmarkEnd w:id="271"/>
      <w:bookmarkEnd w:id="272"/>
      <w:bookmarkEnd w:id="273"/>
      <w:bookmarkEnd w:id="274"/>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33"/>
    <w:bookmarkEnd w:id="234"/>
    <w:bookmarkEnd w:id="235"/>
    <w:bookmarkEnd w:id="236"/>
    <w:bookmarkEnd w:id="237"/>
    <w:bookmarkEnd w:id="238"/>
    <w:bookmarkEnd w:id="239"/>
    <w:p>
      <w:pPr>
        <w:pStyle w:val="2"/>
        <w:numPr>
          <w:ilvl w:val="0"/>
          <w:numId w:val="18"/>
        </w:numPr>
        <w:jc w:val="center"/>
        <w:rPr>
          <w:b w:val="0"/>
          <w:color w:val="auto"/>
          <w:sz w:val="28"/>
          <w:szCs w:val="28"/>
          <w:highlight w:val="none"/>
        </w:rPr>
      </w:pPr>
      <w:bookmarkStart w:id="275" w:name="_Toc110953865"/>
      <w:bookmarkStart w:id="276" w:name="_Toc454701411"/>
      <w:bookmarkStart w:id="277" w:name="_Toc480171915"/>
      <w:bookmarkStart w:id="278" w:name="_Toc35233726"/>
      <w:bookmarkStart w:id="279" w:name="_Toc458262644"/>
      <w:bookmarkStart w:id="280" w:name="_Toc468606065"/>
      <w:bookmarkStart w:id="281" w:name="_Toc480021086"/>
      <w:bookmarkStart w:id="282" w:name="_Toc468157570"/>
      <w:bookmarkStart w:id="283" w:name="_Toc479991617"/>
      <w:bookmarkStart w:id="284" w:name="_Toc467987857"/>
      <w:bookmarkStart w:id="285" w:name="_Toc467236774"/>
      <w:bookmarkStart w:id="286" w:name="_Toc480010743"/>
      <w:bookmarkStart w:id="287" w:name="_Toc480020290"/>
      <w:r>
        <w:rPr>
          <w:color w:val="auto"/>
          <w:sz w:val="22"/>
          <w:szCs w:val="22"/>
          <w:highlight w:val="none"/>
        </w:rPr>
        <w:br w:type="page"/>
      </w:r>
      <w:bookmarkEnd w:id="275"/>
      <w:bookmarkStart w:id="288" w:name="_Toc18024"/>
      <w:bookmarkStart w:id="289" w:name="_Toc2461"/>
      <w:bookmarkStart w:id="290" w:name="_Toc7897900"/>
      <w:bookmarkStart w:id="291" w:name="_Toc8181"/>
      <w:r>
        <w:rPr>
          <w:rFonts w:hint="eastAsia"/>
          <w:color w:val="auto"/>
          <w:sz w:val="28"/>
          <w:szCs w:val="28"/>
          <w:highlight w:val="none"/>
        </w:rPr>
        <w:t>针对本项目拟派人员及其技术资格一览表</w:t>
      </w:r>
      <w:bookmarkEnd w:id="288"/>
      <w:bookmarkEnd w:id="289"/>
      <w:bookmarkEnd w:id="290"/>
      <w:bookmarkEnd w:id="291"/>
    </w:p>
    <w:p>
      <w:pPr>
        <w:pStyle w:val="29"/>
        <w:spacing w:line="480" w:lineRule="exact"/>
        <w:ind w:left="-202" w:leftChars="-84" w:firstLine="241" w:firstLineChars="100"/>
        <w:rPr>
          <w:rFonts w:hAnsi="宋体"/>
          <w:b/>
          <w:color w:val="auto"/>
          <w:sz w:val="24"/>
          <w:szCs w:val="21"/>
          <w:highlight w:val="none"/>
        </w:rPr>
      </w:pPr>
    </w:p>
    <w:p>
      <w:pPr>
        <w:pStyle w:val="29"/>
        <w:spacing w:line="480" w:lineRule="exact"/>
        <w:ind w:left="-202" w:leftChars="-84" w:firstLine="221" w:firstLineChars="100"/>
        <w:rPr>
          <w:rFonts w:hAnsi="宋体"/>
          <w:b/>
          <w:color w:val="auto"/>
          <w:sz w:val="22"/>
          <w:szCs w:val="22"/>
          <w:highlight w:val="none"/>
          <w:u w:val="single"/>
        </w:rPr>
      </w:pP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941"/>
        <w:gridCol w:w="804"/>
        <w:gridCol w:w="1408"/>
        <w:gridCol w:w="1244"/>
        <w:gridCol w:w="1100"/>
        <w:gridCol w:w="1288"/>
        <w:gridCol w:w="1288"/>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 w:type="pct"/>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序号</w:t>
            </w:r>
          </w:p>
        </w:tc>
        <w:tc>
          <w:tcPr>
            <w:tcW w:w="477" w:type="pct"/>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姓名</w:t>
            </w:r>
          </w:p>
        </w:tc>
        <w:tc>
          <w:tcPr>
            <w:tcW w:w="408" w:type="pct"/>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职位</w:t>
            </w:r>
          </w:p>
        </w:tc>
        <w:tc>
          <w:tcPr>
            <w:tcW w:w="714" w:type="pct"/>
          </w:tcPr>
          <w:p>
            <w:pPr>
              <w:pStyle w:val="29"/>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631" w:type="pct"/>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558" w:type="pct"/>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653" w:type="pct"/>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653" w:type="pct"/>
          </w:tcPr>
          <w:p>
            <w:pPr>
              <w:pStyle w:val="29"/>
              <w:spacing w:line="480" w:lineRule="exact"/>
              <w:jc w:val="center"/>
              <w:rPr>
                <w:rFonts w:hAnsi="宋体"/>
                <w:b/>
                <w:color w:val="auto"/>
                <w:szCs w:val="21"/>
                <w:highlight w:val="none"/>
              </w:rPr>
            </w:pPr>
            <w:r>
              <w:rPr>
                <w:rFonts w:hint="eastAsia" w:hAnsi="宋体"/>
                <w:b/>
                <w:color w:val="auto"/>
                <w:szCs w:val="21"/>
                <w:highlight w:val="none"/>
              </w:rPr>
              <w:t>主要承担过的项目</w:t>
            </w:r>
          </w:p>
        </w:tc>
        <w:tc>
          <w:tcPr>
            <w:tcW w:w="653" w:type="pct"/>
          </w:tcPr>
          <w:p>
            <w:pPr>
              <w:pStyle w:val="29"/>
              <w:spacing w:line="480" w:lineRule="exact"/>
              <w:jc w:val="center"/>
              <w:rPr>
                <w:rFonts w:hint="eastAsia" w:hAnsi="宋体" w:eastAsia="宋体"/>
                <w:b/>
                <w:color w:val="auto"/>
                <w:szCs w:val="21"/>
                <w:highlight w:val="none"/>
                <w:lang w:eastAsia="zh-CN"/>
              </w:rPr>
            </w:pPr>
            <w:r>
              <w:rPr>
                <w:rFonts w:hint="eastAsia" w:hAnsi="宋体"/>
                <w:b/>
                <w:color w:val="auto"/>
                <w:szCs w:val="21"/>
                <w:highlight w:val="none"/>
                <w:lang w:eastAsia="zh-CN"/>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 w:type="pct"/>
            <w:vAlign w:val="center"/>
          </w:tcPr>
          <w:p>
            <w:pPr>
              <w:pStyle w:val="29"/>
              <w:spacing w:line="480" w:lineRule="exact"/>
              <w:jc w:val="center"/>
              <w:rPr>
                <w:rFonts w:hAnsi="宋体"/>
                <w:color w:val="auto"/>
                <w:szCs w:val="21"/>
                <w:highlight w:val="none"/>
              </w:rPr>
            </w:pPr>
          </w:p>
        </w:tc>
        <w:tc>
          <w:tcPr>
            <w:tcW w:w="477" w:type="pct"/>
            <w:vAlign w:val="center"/>
          </w:tcPr>
          <w:p>
            <w:pPr>
              <w:pStyle w:val="29"/>
              <w:spacing w:line="480" w:lineRule="exact"/>
              <w:jc w:val="center"/>
              <w:rPr>
                <w:rFonts w:hAnsi="宋体"/>
                <w:color w:val="auto"/>
                <w:szCs w:val="21"/>
                <w:highlight w:val="none"/>
              </w:rPr>
            </w:pPr>
          </w:p>
        </w:tc>
        <w:tc>
          <w:tcPr>
            <w:tcW w:w="408" w:type="pct"/>
            <w:vAlign w:val="center"/>
          </w:tcPr>
          <w:p>
            <w:pPr>
              <w:pStyle w:val="29"/>
              <w:spacing w:line="480" w:lineRule="exact"/>
              <w:jc w:val="center"/>
              <w:rPr>
                <w:rFonts w:hAnsi="宋体"/>
                <w:color w:val="auto"/>
                <w:szCs w:val="21"/>
                <w:highlight w:val="none"/>
              </w:rPr>
            </w:pPr>
          </w:p>
        </w:tc>
        <w:tc>
          <w:tcPr>
            <w:tcW w:w="714" w:type="pct"/>
          </w:tcPr>
          <w:p>
            <w:pPr>
              <w:pStyle w:val="29"/>
              <w:spacing w:line="480" w:lineRule="exact"/>
              <w:jc w:val="center"/>
              <w:rPr>
                <w:rFonts w:hAnsi="宋体"/>
                <w:color w:val="auto"/>
                <w:szCs w:val="21"/>
                <w:highlight w:val="none"/>
              </w:rPr>
            </w:pPr>
            <w:r>
              <w:rPr>
                <w:rFonts w:hint="eastAsia" w:hAnsi="宋体"/>
                <w:color w:val="auto"/>
                <w:szCs w:val="21"/>
                <w:highlight w:val="none"/>
              </w:rPr>
              <w:t>项目负责人</w:t>
            </w:r>
          </w:p>
        </w:tc>
        <w:tc>
          <w:tcPr>
            <w:tcW w:w="631" w:type="pct"/>
            <w:vAlign w:val="center"/>
          </w:tcPr>
          <w:p>
            <w:pPr>
              <w:pStyle w:val="29"/>
              <w:spacing w:line="480" w:lineRule="exact"/>
              <w:jc w:val="center"/>
              <w:rPr>
                <w:rFonts w:hAnsi="宋体"/>
                <w:color w:val="auto"/>
                <w:szCs w:val="21"/>
                <w:highlight w:val="none"/>
              </w:rPr>
            </w:pPr>
          </w:p>
        </w:tc>
        <w:tc>
          <w:tcPr>
            <w:tcW w:w="558" w:type="pct"/>
            <w:vAlign w:val="center"/>
          </w:tcPr>
          <w:p>
            <w:pPr>
              <w:pStyle w:val="29"/>
              <w:spacing w:line="480" w:lineRule="exact"/>
              <w:jc w:val="center"/>
              <w:rPr>
                <w:rFonts w:hAnsi="宋体"/>
                <w:color w:val="auto"/>
                <w:szCs w:val="21"/>
                <w:highlight w:val="none"/>
              </w:rPr>
            </w:pPr>
          </w:p>
        </w:tc>
        <w:tc>
          <w:tcPr>
            <w:tcW w:w="653" w:type="pct"/>
            <w:vAlign w:val="center"/>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 w:type="pct"/>
            <w:vAlign w:val="center"/>
          </w:tcPr>
          <w:p>
            <w:pPr>
              <w:pStyle w:val="29"/>
              <w:spacing w:line="480" w:lineRule="exact"/>
              <w:jc w:val="center"/>
              <w:rPr>
                <w:rFonts w:hAnsi="宋体"/>
                <w:color w:val="auto"/>
                <w:szCs w:val="21"/>
                <w:highlight w:val="none"/>
              </w:rPr>
            </w:pPr>
          </w:p>
        </w:tc>
        <w:tc>
          <w:tcPr>
            <w:tcW w:w="477" w:type="pct"/>
            <w:vAlign w:val="center"/>
          </w:tcPr>
          <w:p>
            <w:pPr>
              <w:pStyle w:val="29"/>
              <w:spacing w:line="480" w:lineRule="exact"/>
              <w:jc w:val="center"/>
              <w:rPr>
                <w:rFonts w:hAnsi="宋体"/>
                <w:color w:val="auto"/>
                <w:szCs w:val="21"/>
                <w:highlight w:val="none"/>
              </w:rPr>
            </w:pPr>
          </w:p>
        </w:tc>
        <w:tc>
          <w:tcPr>
            <w:tcW w:w="408" w:type="pct"/>
            <w:vAlign w:val="center"/>
          </w:tcPr>
          <w:p>
            <w:pPr>
              <w:pStyle w:val="29"/>
              <w:spacing w:line="480" w:lineRule="exact"/>
              <w:jc w:val="center"/>
              <w:rPr>
                <w:rFonts w:hAnsi="宋体"/>
                <w:color w:val="auto"/>
                <w:szCs w:val="21"/>
                <w:highlight w:val="none"/>
              </w:rPr>
            </w:pPr>
          </w:p>
        </w:tc>
        <w:tc>
          <w:tcPr>
            <w:tcW w:w="714" w:type="pct"/>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631" w:type="pct"/>
            <w:vAlign w:val="center"/>
          </w:tcPr>
          <w:p>
            <w:pPr>
              <w:pStyle w:val="29"/>
              <w:spacing w:line="480" w:lineRule="exact"/>
              <w:jc w:val="center"/>
              <w:rPr>
                <w:rFonts w:hAnsi="宋体"/>
                <w:color w:val="auto"/>
                <w:szCs w:val="21"/>
                <w:highlight w:val="none"/>
              </w:rPr>
            </w:pPr>
          </w:p>
        </w:tc>
        <w:tc>
          <w:tcPr>
            <w:tcW w:w="558" w:type="pct"/>
            <w:vAlign w:val="center"/>
          </w:tcPr>
          <w:p>
            <w:pPr>
              <w:pStyle w:val="29"/>
              <w:spacing w:line="480" w:lineRule="exact"/>
              <w:jc w:val="center"/>
              <w:rPr>
                <w:rFonts w:hAnsi="宋体"/>
                <w:color w:val="auto"/>
                <w:szCs w:val="21"/>
                <w:highlight w:val="none"/>
              </w:rPr>
            </w:pPr>
          </w:p>
        </w:tc>
        <w:tc>
          <w:tcPr>
            <w:tcW w:w="653" w:type="pct"/>
            <w:vAlign w:val="center"/>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 w:type="pct"/>
            <w:vAlign w:val="center"/>
          </w:tcPr>
          <w:p>
            <w:pPr>
              <w:pStyle w:val="29"/>
              <w:spacing w:line="480" w:lineRule="exact"/>
              <w:jc w:val="center"/>
              <w:rPr>
                <w:rFonts w:hAnsi="宋体"/>
                <w:color w:val="auto"/>
                <w:szCs w:val="21"/>
                <w:highlight w:val="none"/>
              </w:rPr>
            </w:pPr>
          </w:p>
        </w:tc>
        <w:tc>
          <w:tcPr>
            <w:tcW w:w="477" w:type="pct"/>
            <w:vAlign w:val="center"/>
          </w:tcPr>
          <w:p>
            <w:pPr>
              <w:pStyle w:val="29"/>
              <w:spacing w:line="480" w:lineRule="exact"/>
              <w:jc w:val="center"/>
              <w:rPr>
                <w:rFonts w:hAnsi="宋体"/>
                <w:color w:val="auto"/>
                <w:szCs w:val="21"/>
                <w:highlight w:val="none"/>
              </w:rPr>
            </w:pPr>
          </w:p>
        </w:tc>
        <w:tc>
          <w:tcPr>
            <w:tcW w:w="408" w:type="pct"/>
            <w:vAlign w:val="center"/>
          </w:tcPr>
          <w:p>
            <w:pPr>
              <w:pStyle w:val="29"/>
              <w:spacing w:line="480" w:lineRule="exact"/>
              <w:jc w:val="center"/>
              <w:rPr>
                <w:rFonts w:hAnsi="宋体"/>
                <w:color w:val="auto"/>
                <w:szCs w:val="21"/>
                <w:highlight w:val="none"/>
              </w:rPr>
            </w:pPr>
          </w:p>
        </w:tc>
        <w:tc>
          <w:tcPr>
            <w:tcW w:w="714" w:type="pct"/>
          </w:tcPr>
          <w:p>
            <w:pPr>
              <w:pStyle w:val="29"/>
              <w:spacing w:line="480" w:lineRule="exact"/>
              <w:jc w:val="center"/>
              <w:rPr>
                <w:rFonts w:hAnsi="宋体"/>
                <w:color w:val="auto"/>
                <w:szCs w:val="21"/>
                <w:highlight w:val="none"/>
              </w:rPr>
            </w:pPr>
            <w:r>
              <w:rPr>
                <w:rFonts w:hint="eastAsia" w:hAnsi="宋体"/>
                <w:color w:val="auto"/>
                <w:szCs w:val="21"/>
                <w:highlight w:val="none"/>
              </w:rPr>
              <w:t>…</w:t>
            </w:r>
          </w:p>
        </w:tc>
        <w:tc>
          <w:tcPr>
            <w:tcW w:w="631" w:type="pct"/>
            <w:vAlign w:val="center"/>
          </w:tcPr>
          <w:p>
            <w:pPr>
              <w:pStyle w:val="29"/>
              <w:spacing w:line="480" w:lineRule="exact"/>
              <w:jc w:val="center"/>
              <w:rPr>
                <w:rFonts w:hAnsi="宋体"/>
                <w:color w:val="auto"/>
                <w:szCs w:val="21"/>
                <w:highlight w:val="none"/>
              </w:rPr>
            </w:pPr>
          </w:p>
        </w:tc>
        <w:tc>
          <w:tcPr>
            <w:tcW w:w="558" w:type="pct"/>
            <w:vAlign w:val="center"/>
          </w:tcPr>
          <w:p>
            <w:pPr>
              <w:pStyle w:val="29"/>
              <w:spacing w:line="480" w:lineRule="exact"/>
              <w:jc w:val="center"/>
              <w:rPr>
                <w:rFonts w:hAnsi="宋体"/>
                <w:color w:val="auto"/>
                <w:szCs w:val="21"/>
                <w:highlight w:val="none"/>
              </w:rPr>
            </w:pPr>
          </w:p>
        </w:tc>
        <w:tc>
          <w:tcPr>
            <w:tcW w:w="653" w:type="pct"/>
            <w:vAlign w:val="center"/>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 w:type="pct"/>
            <w:vAlign w:val="center"/>
          </w:tcPr>
          <w:p>
            <w:pPr>
              <w:pStyle w:val="29"/>
              <w:spacing w:line="480" w:lineRule="exact"/>
              <w:jc w:val="center"/>
              <w:rPr>
                <w:rFonts w:hAnsi="宋体"/>
                <w:color w:val="auto"/>
                <w:szCs w:val="21"/>
                <w:highlight w:val="none"/>
              </w:rPr>
            </w:pPr>
          </w:p>
        </w:tc>
        <w:tc>
          <w:tcPr>
            <w:tcW w:w="477" w:type="pct"/>
            <w:vAlign w:val="center"/>
          </w:tcPr>
          <w:p>
            <w:pPr>
              <w:pStyle w:val="29"/>
              <w:spacing w:line="480" w:lineRule="exact"/>
              <w:jc w:val="center"/>
              <w:rPr>
                <w:rFonts w:hAnsi="宋体"/>
                <w:color w:val="auto"/>
                <w:szCs w:val="21"/>
                <w:highlight w:val="none"/>
              </w:rPr>
            </w:pPr>
          </w:p>
        </w:tc>
        <w:tc>
          <w:tcPr>
            <w:tcW w:w="408" w:type="pct"/>
            <w:vAlign w:val="center"/>
          </w:tcPr>
          <w:p>
            <w:pPr>
              <w:pStyle w:val="29"/>
              <w:spacing w:line="480" w:lineRule="exact"/>
              <w:jc w:val="center"/>
              <w:rPr>
                <w:rFonts w:hAnsi="宋体"/>
                <w:color w:val="auto"/>
                <w:szCs w:val="21"/>
                <w:highlight w:val="none"/>
              </w:rPr>
            </w:pPr>
          </w:p>
        </w:tc>
        <w:tc>
          <w:tcPr>
            <w:tcW w:w="714" w:type="pct"/>
          </w:tcPr>
          <w:p>
            <w:pPr>
              <w:pStyle w:val="29"/>
              <w:spacing w:line="480" w:lineRule="exact"/>
              <w:jc w:val="center"/>
              <w:rPr>
                <w:rFonts w:hAnsi="宋体"/>
                <w:color w:val="auto"/>
                <w:szCs w:val="21"/>
                <w:highlight w:val="none"/>
              </w:rPr>
            </w:pPr>
          </w:p>
        </w:tc>
        <w:tc>
          <w:tcPr>
            <w:tcW w:w="631" w:type="pct"/>
            <w:vAlign w:val="center"/>
          </w:tcPr>
          <w:p>
            <w:pPr>
              <w:pStyle w:val="29"/>
              <w:spacing w:line="480" w:lineRule="exact"/>
              <w:jc w:val="center"/>
              <w:rPr>
                <w:rFonts w:hAnsi="宋体"/>
                <w:color w:val="auto"/>
                <w:szCs w:val="21"/>
                <w:highlight w:val="none"/>
              </w:rPr>
            </w:pPr>
          </w:p>
        </w:tc>
        <w:tc>
          <w:tcPr>
            <w:tcW w:w="558" w:type="pct"/>
            <w:vAlign w:val="center"/>
          </w:tcPr>
          <w:p>
            <w:pPr>
              <w:pStyle w:val="29"/>
              <w:spacing w:line="480" w:lineRule="exact"/>
              <w:jc w:val="center"/>
              <w:rPr>
                <w:rFonts w:hAnsi="宋体"/>
                <w:color w:val="auto"/>
                <w:szCs w:val="21"/>
                <w:highlight w:val="none"/>
              </w:rPr>
            </w:pPr>
          </w:p>
        </w:tc>
        <w:tc>
          <w:tcPr>
            <w:tcW w:w="653" w:type="pct"/>
            <w:vAlign w:val="center"/>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 w:type="pct"/>
            <w:vAlign w:val="center"/>
          </w:tcPr>
          <w:p>
            <w:pPr>
              <w:pStyle w:val="29"/>
              <w:spacing w:line="480" w:lineRule="exact"/>
              <w:jc w:val="center"/>
              <w:rPr>
                <w:rFonts w:hAnsi="宋体"/>
                <w:color w:val="auto"/>
                <w:szCs w:val="21"/>
                <w:highlight w:val="none"/>
              </w:rPr>
            </w:pPr>
          </w:p>
        </w:tc>
        <w:tc>
          <w:tcPr>
            <w:tcW w:w="477" w:type="pct"/>
            <w:vAlign w:val="center"/>
          </w:tcPr>
          <w:p>
            <w:pPr>
              <w:pStyle w:val="29"/>
              <w:spacing w:line="480" w:lineRule="exact"/>
              <w:jc w:val="center"/>
              <w:rPr>
                <w:rFonts w:hAnsi="宋体"/>
                <w:color w:val="auto"/>
                <w:szCs w:val="21"/>
                <w:highlight w:val="none"/>
              </w:rPr>
            </w:pPr>
          </w:p>
        </w:tc>
        <w:tc>
          <w:tcPr>
            <w:tcW w:w="408" w:type="pct"/>
            <w:vAlign w:val="center"/>
          </w:tcPr>
          <w:p>
            <w:pPr>
              <w:pStyle w:val="29"/>
              <w:spacing w:line="480" w:lineRule="exact"/>
              <w:jc w:val="center"/>
              <w:rPr>
                <w:rFonts w:hAnsi="宋体"/>
                <w:color w:val="auto"/>
                <w:szCs w:val="21"/>
                <w:highlight w:val="none"/>
              </w:rPr>
            </w:pPr>
          </w:p>
        </w:tc>
        <w:tc>
          <w:tcPr>
            <w:tcW w:w="714" w:type="pct"/>
          </w:tcPr>
          <w:p>
            <w:pPr>
              <w:pStyle w:val="29"/>
              <w:spacing w:line="480" w:lineRule="exact"/>
              <w:jc w:val="center"/>
              <w:rPr>
                <w:rFonts w:hAnsi="宋体"/>
                <w:color w:val="auto"/>
                <w:szCs w:val="21"/>
                <w:highlight w:val="none"/>
              </w:rPr>
            </w:pPr>
          </w:p>
        </w:tc>
        <w:tc>
          <w:tcPr>
            <w:tcW w:w="631" w:type="pct"/>
            <w:vAlign w:val="center"/>
          </w:tcPr>
          <w:p>
            <w:pPr>
              <w:pStyle w:val="29"/>
              <w:spacing w:line="480" w:lineRule="exact"/>
              <w:jc w:val="center"/>
              <w:rPr>
                <w:rFonts w:hAnsi="宋体"/>
                <w:color w:val="auto"/>
                <w:szCs w:val="21"/>
                <w:highlight w:val="none"/>
              </w:rPr>
            </w:pPr>
          </w:p>
        </w:tc>
        <w:tc>
          <w:tcPr>
            <w:tcW w:w="558" w:type="pct"/>
            <w:vAlign w:val="center"/>
          </w:tcPr>
          <w:p>
            <w:pPr>
              <w:pStyle w:val="29"/>
              <w:spacing w:line="480" w:lineRule="exact"/>
              <w:jc w:val="center"/>
              <w:rPr>
                <w:rFonts w:hAnsi="宋体"/>
                <w:color w:val="auto"/>
                <w:szCs w:val="21"/>
                <w:highlight w:val="none"/>
              </w:rPr>
            </w:pPr>
          </w:p>
        </w:tc>
        <w:tc>
          <w:tcPr>
            <w:tcW w:w="653" w:type="pct"/>
            <w:vAlign w:val="center"/>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 w:type="pct"/>
            <w:vAlign w:val="center"/>
          </w:tcPr>
          <w:p>
            <w:pPr>
              <w:pStyle w:val="29"/>
              <w:spacing w:line="480" w:lineRule="exact"/>
              <w:jc w:val="center"/>
              <w:rPr>
                <w:rFonts w:hAnsi="宋体"/>
                <w:color w:val="auto"/>
                <w:szCs w:val="21"/>
                <w:highlight w:val="none"/>
              </w:rPr>
            </w:pPr>
          </w:p>
        </w:tc>
        <w:tc>
          <w:tcPr>
            <w:tcW w:w="477" w:type="pct"/>
            <w:vAlign w:val="center"/>
          </w:tcPr>
          <w:p>
            <w:pPr>
              <w:pStyle w:val="29"/>
              <w:spacing w:line="480" w:lineRule="exact"/>
              <w:jc w:val="center"/>
              <w:rPr>
                <w:rFonts w:hAnsi="宋体"/>
                <w:color w:val="auto"/>
                <w:szCs w:val="21"/>
                <w:highlight w:val="none"/>
              </w:rPr>
            </w:pPr>
          </w:p>
        </w:tc>
        <w:tc>
          <w:tcPr>
            <w:tcW w:w="408" w:type="pct"/>
            <w:vAlign w:val="center"/>
          </w:tcPr>
          <w:p>
            <w:pPr>
              <w:pStyle w:val="29"/>
              <w:spacing w:line="480" w:lineRule="exact"/>
              <w:jc w:val="center"/>
              <w:rPr>
                <w:rFonts w:hAnsi="宋体"/>
                <w:color w:val="auto"/>
                <w:szCs w:val="21"/>
                <w:highlight w:val="none"/>
              </w:rPr>
            </w:pPr>
          </w:p>
        </w:tc>
        <w:tc>
          <w:tcPr>
            <w:tcW w:w="714" w:type="pct"/>
          </w:tcPr>
          <w:p>
            <w:pPr>
              <w:pStyle w:val="29"/>
              <w:spacing w:line="480" w:lineRule="exact"/>
              <w:jc w:val="center"/>
              <w:rPr>
                <w:rFonts w:hAnsi="宋体"/>
                <w:color w:val="auto"/>
                <w:szCs w:val="21"/>
                <w:highlight w:val="none"/>
              </w:rPr>
            </w:pPr>
          </w:p>
        </w:tc>
        <w:tc>
          <w:tcPr>
            <w:tcW w:w="631" w:type="pct"/>
            <w:vAlign w:val="center"/>
          </w:tcPr>
          <w:p>
            <w:pPr>
              <w:pStyle w:val="29"/>
              <w:spacing w:line="480" w:lineRule="exact"/>
              <w:jc w:val="center"/>
              <w:rPr>
                <w:rFonts w:hAnsi="宋体"/>
                <w:color w:val="auto"/>
                <w:szCs w:val="21"/>
                <w:highlight w:val="none"/>
              </w:rPr>
            </w:pPr>
          </w:p>
        </w:tc>
        <w:tc>
          <w:tcPr>
            <w:tcW w:w="558" w:type="pct"/>
            <w:vAlign w:val="center"/>
          </w:tcPr>
          <w:p>
            <w:pPr>
              <w:pStyle w:val="29"/>
              <w:spacing w:line="480" w:lineRule="exact"/>
              <w:jc w:val="center"/>
              <w:rPr>
                <w:rFonts w:hAnsi="宋体"/>
                <w:color w:val="auto"/>
                <w:szCs w:val="21"/>
                <w:highlight w:val="none"/>
              </w:rPr>
            </w:pPr>
          </w:p>
        </w:tc>
        <w:tc>
          <w:tcPr>
            <w:tcW w:w="653" w:type="pct"/>
            <w:vAlign w:val="center"/>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248" w:type="pct"/>
            <w:vAlign w:val="center"/>
          </w:tcPr>
          <w:p>
            <w:pPr>
              <w:pStyle w:val="29"/>
              <w:spacing w:line="480" w:lineRule="exact"/>
              <w:jc w:val="center"/>
              <w:rPr>
                <w:rFonts w:hAnsi="宋体"/>
                <w:color w:val="auto"/>
                <w:szCs w:val="21"/>
                <w:highlight w:val="none"/>
              </w:rPr>
            </w:pPr>
          </w:p>
        </w:tc>
        <w:tc>
          <w:tcPr>
            <w:tcW w:w="477" w:type="pct"/>
            <w:vAlign w:val="center"/>
          </w:tcPr>
          <w:p>
            <w:pPr>
              <w:pStyle w:val="29"/>
              <w:spacing w:line="480" w:lineRule="exact"/>
              <w:jc w:val="center"/>
              <w:rPr>
                <w:rFonts w:hAnsi="宋体"/>
                <w:color w:val="auto"/>
                <w:szCs w:val="21"/>
                <w:highlight w:val="none"/>
              </w:rPr>
            </w:pPr>
          </w:p>
        </w:tc>
        <w:tc>
          <w:tcPr>
            <w:tcW w:w="408" w:type="pct"/>
            <w:vAlign w:val="center"/>
          </w:tcPr>
          <w:p>
            <w:pPr>
              <w:pStyle w:val="29"/>
              <w:spacing w:line="480" w:lineRule="exact"/>
              <w:jc w:val="center"/>
              <w:rPr>
                <w:rFonts w:hAnsi="宋体"/>
                <w:color w:val="auto"/>
                <w:szCs w:val="21"/>
                <w:highlight w:val="none"/>
              </w:rPr>
            </w:pPr>
          </w:p>
        </w:tc>
        <w:tc>
          <w:tcPr>
            <w:tcW w:w="714" w:type="pct"/>
          </w:tcPr>
          <w:p>
            <w:pPr>
              <w:pStyle w:val="29"/>
              <w:spacing w:line="480" w:lineRule="exact"/>
              <w:jc w:val="center"/>
              <w:rPr>
                <w:rFonts w:hAnsi="宋体"/>
                <w:color w:val="auto"/>
                <w:szCs w:val="21"/>
                <w:highlight w:val="none"/>
              </w:rPr>
            </w:pPr>
          </w:p>
        </w:tc>
        <w:tc>
          <w:tcPr>
            <w:tcW w:w="631" w:type="pct"/>
            <w:vAlign w:val="center"/>
          </w:tcPr>
          <w:p>
            <w:pPr>
              <w:pStyle w:val="29"/>
              <w:spacing w:line="480" w:lineRule="exact"/>
              <w:jc w:val="center"/>
              <w:rPr>
                <w:rFonts w:hAnsi="宋体"/>
                <w:color w:val="auto"/>
                <w:szCs w:val="21"/>
                <w:highlight w:val="none"/>
              </w:rPr>
            </w:pPr>
          </w:p>
        </w:tc>
        <w:tc>
          <w:tcPr>
            <w:tcW w:w="558" w:type="pct"/>
            <w:vAlign w:val="center"/>
          </w:tcPr>
          <w:p>
            <w:pPr>
              <w:pStyle w:val="29"/>
              <w:spacing w:line="480" w:lineRule="exact"/>
              <w:jc w:val="center"/>
              <w:rPr>
                <w:rFonts w:hAnsi="宋体"/>
                <w:color w:val="auto"/>
                <w:szCs w:val="21"/>
                <w:highlight w:val="none"/>
              </w:rPr>
            </w:pPr>
          </w:p>
        </w:tc>
        <w:tc>
          <w:tcPr>
            <w:tcW w:w="653" w:type="pct"/>
            <w:vAlign w:val="center"/>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 w:type="pct"/>
            <w:vAlign w:val="center"/>
          </w:tcPr>
          <w:p>
            <w:pPr>
              <w:pStyle w:val="29"/>
              <w:spacing w:line="480" w:lineRule="exact"/>
              <w:jc w:val="center"/>
              <w:rPr>
                <w:rFonts w:hAnsi="宋体"/>
                <w:color w:val="auto"/>
                <w:szCs w:val="21"/>
                <w:highlight w:val="none"/>
              </w:rPr>
            </w:pPr>
          </w:p>
        </w:tc>
        <w:tc>
          <w:tcPr>
            <w:tcW w:w="477" w:type="pct"/>
            <w:vAlign w:val="center"/>
          </w:tcPr>
          <w:p>
            <w:pPr>
              <w:pStyle w:val="29"/>
              <w:spacing w:line="480" w:lineRule="exact"/>
              <w:jc w:val="center"/>
              <w:rPr>
                <w:rFonts w:hAnsi="宋体"/>
                <w:color w:val="auto"/>
                <w:szCs w:val="21"/>
                <w:highlight w:val="none"/>
              </w:rPr>
            </w:pPr>
          </w:p>
        </w:tc>
        <w:tc>
          <w:tcPr>
            <w:tcW w:w="408" w:type="pct"/>
            <w:vAlign w:val="center"/>
          </w:tcPr>
          <w:p>
            <w:pPr>
              <w:pStyle w:val="29"/>
              <w:spacing w:line="480" w:lineRule="exact"/>
              <w:jc w:val="center"/>
              <w:rPr>
                <w:rFonts w:hAnsi="宋体"/>
                <w:color w:val="auto"/>
                <w:szCs w:val="21"/>
                <w:highlight w:val="none"/>
              </w:rPr>
            </w:pPr>
          </w:p>
        </w:tc>
        <w:tc>
          <w:tcPr>
            <w:tcW w:w="714" w:type="pct"/>
          </w:tcPr>
          <w:p>
            <w:pPr>
              <w:pStyle w:val="29"/>
              <w:spacing w:line="480" w:lineRule="exact"/>
              <w:jc w:val="center"/>
              <w:rPr>
                <w:rFonts w:hAnsi="宋体"/>
                <w:color w:val="auto"/>
                <w:szCs w:val="21"/>
                <w:highlight w:val="none"/>
              </w:rPr>
            </w:pPr>
          </w:p>
        </w:tc>
        <w:tc>
          <w:tcPr>
            <w:tcW w:w="631" w:type="pct"/>
            <w:vAlign w:val="center"/>
          </w:tcPr>
          <w:p>
            <w:pPr>
              <w:pStyle w:val="29"/>
              <w:spacing w:line="480" w:lineRule="exact"/>
              <w:jc w:val="center"/>
              <w:rPr>
                <w:rFonts w:hAnsi="宋体"/>
                <w:color w:val="auto"/>
                <w:szCs w:val="21"/>
                <w:highlight w:val="none"/>
              </w:rPr>
            </w:pPr>
          </w:p>
        </w:tc>
        <w:tc>
          <w:tcPr>
            <w:tcW w:w="558" w:type="pct"/>
            <w:vAlign w:val="center"/>
          </w:tcPr>
          <w:p>
            <w:pPr>
              <w:pStyle w:val="29"/>
              <w:spacing w:line="480" w:lineRule="exact"/>
              <w:jc w:val="center"/>
              <w:rPr>
                <w:rFonts w:hAnsi="宋体"/>
                <w:color w:val="auto"/>
                <w:szCs w:val="21"/>
                <w:highlight w:val="none"/>
              </w:rPr>
            </w:pPr>
          </w:p>
        </w:tc>
        <w:tc>
          <w:tcPr>
            <w:tcW w:w="653" w:type="pct"/>
            <w:vAlign w:val="center"/>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 w:type="pct"/>
            <w:vAlign w:val="center"/>
          </w:tcPr>
          <w:p>
            <w:pPr>
              <w:pStyle w:val="29"/>
              <w:spacing w:line="480" w:lineRule="exact"/>
              <w:jc w:val="center"/>
              <w:rPr>
                <w:rFonts w:hAnsi="宋体"/>
                <w:color w:val="auto"/>
                <w:szCs w:val="21"/>
                <w:highlight w:val="none"/>
              </w:rPr>
            </w:pPr>
          </w:p>
        </w:tc>
        <w:tc>
          <w:tcPr>
            <w:tcW w:w="477" w:type="pct"/>
            <w:vAlign w:val="center"/>
          </w:tcPr>
          <w:p>
            <w:pPr>
              <w:pStyle w:val="29"/>
              <w:spacing w:line="480" w:lineRule="exact"/>
              <w:jc w:val="center"/>
              <w:rPr>
                <w:rFonts w:hAnsi="宋体"/>
                <w:color w:val="auto"/>
                <w:szCs w:val="21"/>
                <w:highlight w:val="none"/>
              </w:rPr>
            </w:pPr>
          </w:p>
        </w:tc>
        <w:tc>
          <w:tcPr>
            <w:tcW w:w="408" w:type="pct"/>
            <w:vAlign w:val="center"/>
          </w:tcPr>
          <w:p>
            <w:pPr>
              <w:pStyle w:val="29"/>
              <w:spacing w:line="480" w:lineRule="exact"/>
              <w:jc w:val="center"/>
              <w:rPr>
                <w:rFonts w:hAnsi="宋体"/>
                <w:color w:val="auto"/>
                <w:szCs w:val="21"/>
                <w:highlight w:val="none"/>
              </w:rPr>
            </w:pPr>
          </w:p>
        </w:tc>
        <w:tc>
          <w:tcPr>
            <w:tcW w:w="714" w:type="pct"/>
          </w:tcPr>
          <w:p>
            <w:pPr>
              <w:pStyle w:val="29"/>
              <w:spacing w:line="480" w:lineRule="exact"/>
              <w:jc w:val="center"/>
              <w:rPr>
                <w:rFonts w:hAnsi="宋体"/>
                <w:color w:val="auto"/>
                <w:szCs w:val="21"/>
                <w:highlight w:val="none"/>
              </w:rPr>
            </w:pPr>
          </w:p>
        </w:tc>
        <w:tc>
          <w:tcPr>
            <w:tcW w:w="631" w:type="pct"/>
            <w:vAlign w:val="center"/>
          </w:tcPr>
          <w:p>
            <w:pPr>
              <w:pStyle w:val="29"/>
              <w:spacing w:line="480" w:lineRule="exact"/>
              <w:jc w:val="center"/>
              <w:rPr>
                <w:rFonts w:hAnsi="宋体"/>
                <w:color w:val="auto"/>
                <w:szCs w:val="21"/>
                <w:highlight w:val="none"/>
              </w:rPr>
            </w:pPr>
          </w:p>
        </w:tc>
        <w:tc>
          <w:tcPr>
            <w:tcW w:w="558" w:type="pct"/>
            <w:vAlign w:val="center"/>
          </w:tcPr>
          <w:p>
            <w:pPr>
              <w:pStyle w:val="29"/>
              <w:spacing w:line="480" w:lineRule="exact"/>
              <w:jc w:val="center"/>
              <w:rPr>
                <w:rFonts w:hAnsi="宋体"/>
                <w:color w:val="auto"/>
                <w:szCs w:val="21"/>
                <w:highlight w:val="none"/>
              </w:rPr>
            </w:pPr>
          </w:p>
        </w:tc>
        <w:tc>
          <w:tcPr>
            <w:tcW w:w="653" w:type="pct"/>
            <w:vAlign w:val="center"/>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8" w:type="pct"/>
            <w:vAlign w:val="center"/>
          </w:tcPr>
          <w:p>
            <w:pPr>
              <w:pStyle w:val="29"/>
              <w:spacing w:line="480" w:lineRule="exact"/>
              <w:jc w:val="center"/>
              <w:rPr>
                <w:rFonts w:hAnsi="宋体"/>
                <w:color w:val="auto"/>
                <w:szCs w:val="21"/>
                <w:highlight w:val="none"/>
              </w:rPr>
            </w:pPr>
          </w:p>
        </w:tc>
        <w:tc>
          <w:tcPr>
            <w:tcW w:w="477" w:type="pct"/>
            <w:vAlign w:val="center"/>
          </w:tcPr>
          <w:p>
            <w:pPr>
              <w:pStyle w:val="29"/>
              <w:spacing w:line="480" w:lineRule="exact"/>
              <w:jc w:val="center"/>
              <w:rPr>
                <w:rFonts w:hAnsi="宋体"/>
                <w:color w:val="auto"/>
                <w:szCs w:val="21"/>
                <w:highlight w:val="none"/>
              </w:rPr>
            </w:pPr>
          </w:p>
        </w:tc>
        <w:tc>
          <w:tcPr>
            <w:tcW w:w="408" w:type="pct"/>
            <w:vAlign w:val="center"/>
          </w:tcPr>
          <w:p>
            <w:pPr>
              <w:pStyle w:val="29"/>
              <w:spacing w:line="480" w:lineRule="exact"/>
              <w:jc w:val="center"/>
              <w:rPr>
                <w:rFonts w:hAnsi="宋体"/>
                <w:color w:val="auto"/>
                <w:szCs w:val="21"/>
                <w:highlight w:val="none"/>
              </w:rPr>
            </w:pPr>
          </w:p>
        </w:tc>
        <w:tc>
          <w:tcPr>
            <w:tcW w:w="714" w:type="pct"/>
          </w:tcPr>
          <w:p>
            <w:pPr>
              <w:pStyle w:val="29"/>
              <w:spacing w:line="480" w:lineRule="exact"/>
              <w:jc w:val="center"/>
              <w:rPr>
                <w:rFonts w:hAnsi="宋体"/>
                <w:color w:val="auto"/>
                <w:szCs w:val="21"/>
                <w:highlight w:val="none"/>
              </w:rPr>
            </w:pPr>
          </w:p>
        </w:tc>
        <w:tc>
          <w:tcPr>
            <w:tcW w:w="631" w:type="pct"/>
            <w:vAlign w:val="center"/>
          </w:tcPr>
          <w:p>
            <w:pPr>
              <w:pStyle w:val="29"/>
              <w:spacing w:line="480" w:lineRule="exact"/>
              <w:jc w:val="center"/>
              <w:rPr>
                <w:rFonts w:hAnsi="宋体"/>
                <w:color w:val="auto"/>
                <w:szCs w:val="21"/>
                <w:highlight w:val="none"/>
              </w:rPr>
            </w:pPr>
          </w:p>
        </w:tc>
        <w:tc>
          <w:tcPr>
            <w:tcW w:w="558" w:type="pct"/>
            <w:vAlign w:val="center"/>
          </w:tcPr>
          <w:p>
            <w:pPr>
              <w:pStyle w:val="29"/>
              <w:spacing w:line="480" w:lineRule="exact"/>
              <w:jc w:val="center"/>
              <w:rPr>
                <w:rFonts w:hAnsi="宋体"/>
                <w:color w:val="auto"/>
                <w:szCs w:val="21"/>
                <w:highlight w:val="none"/>
              </w:rPr>
            </w:pPr>
          </w:p>
        </w:tc>
        <w:tc>
          <w:tcPr>
            <w:tcW w:w="653" w:type="pct"/>
            <w:vAlign w:val="center"/>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c>
          <w:tcPr>
            <w:tcW w:w="653" w:type="pct"/>
          </w:tcPr>
          <w:p>
            <w:pPr>
              <w:pStyle w:val="29"/>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2"/>
        <w:numPr>
          <w:ilvl w:val="0"/>
          <w:numId w:val="18"/>
        </w:numPr>
        <w:jc w:val="center"/>
        <w:rPr>
          <w:bCs/>
          <w:color w:val="auto"/>
          <w:sz w:val="28"/>
          <w:szCs w:val="28"/>
          <w:highlight w:val="none"/>
        </w:rPr>
      </w:pPr>
      <w:r>
        <w:rPr>
          <w:bCs/>
          <w:color w:val="auto"/>
          <w:szCs w:val="21"/>
          <w:highlight w:val="none"/>
        </w:rPr>
        <w:br w:type="page"/>
      </w:r>
      <w:bookmarkEnd w:id="276"/>
      <w:bookmarkEnd w:id="277"/>
      <w:bookmarkEnd w:id="278"/>
      <w:bookmarkEnd w:id="279"/>
      <w:bookmarkEnd w:id="280"/>
      <w:bookmarkEnd w:id="281"/>
      <w:bookmarkEnd w:id="282"/>
      <w:bookmarkEnd w:id="283"/>
      <w:bookmarkEnd w:id="284"/>
      <w:bookmarkEnd w:id="285"/>
      <w:bookmarkEnd w:id="286"/>
      <w:bookmarkEnd w:id="287"/>
      <w:bookmarkStart w:id="292" w:name="_Toc16598"/>
      <w:bookmarkStart w:id="293" w:name="_Toc13441"/>
      <w:r>
        <w:rPr>
          <w:rFonts w:hint="eastAsia"/>
          <w:bCs/>
          <w:color w:val="auto"/>
          <w:sz w:val="28"/>
          <w:szCs w:val="28"/>
          <w:highlight w:val="none"/>
        </w:rPr>
        <w:t>磋商保证金汇入情况说明（适用于转账、电汇方式）</w:t>
      </w:r>
      <w:bookmarkEnd w:id="292"/>
      <w:bookmarkEnd w:id="293"/>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2"/>
        <w:pageBreakBefore/>
        <w:spacing w:line="360" w:lineRule="auto"/>
        <w:jc w:val="center"/>
        <w:rPr>
          <w:bCs/>
          <w:color w:val="auto"/>
          <w:sz w:val="28"/>
          <w:szCs w:val="28"/>
          <w:highlight w:val="none"/>
        </w:rPr>
      </w:pPr>
      <w:bookmarkStart w:id="294" w:name="_Toc20966"/>
      <w:bookmarkStart w:id="295" w:name="_Toc19888"/>
      <w:r>
        <w:rPr>
          <w:rFonts w:hint="eastAsia"/>
          <w:bCs/>
          <w:color w:val="auto"/>
          <w:sz w:val="28"/>
          <w:szCs w:val="28"/>
          <w:highlight w:val="none"/>
        </w:rPr>
        <w:t>第三部分 技术文件</w:t>
      </w:r>
      <w:bookmarkEnd w:id="294"/>
      <w:bookmarkEnd w:id="295"/>
    </w:p>
    <w:p>
      <w:pPr>
        <w:jc w:val="center"/>
        <w:rPr>
          <w:color w:val="auto"/>
          <w:highlight w:val="none"/>
        </w:rPr>
      </w:pPr>
    </w:p>
    <w:p>
      <w:pPr>
        <w:pStyle w:val="2"/>
        <w:numPr>
          <w:ilvl w:val="0"/>
          <w:numId w:val="19"/>
        </w:numPr>
        <w:jc w:val="center"/>
        <w:rPr>
          <w:color w:val="auto"/>
          <w:highlight w:val="none"/>
        </w:rPr>
      </w:pPr>
      <w:bookmarkStart w:id="296" w:name="_Toc7161"/>
      <w:bookmarkStart w:id="297" w:name="_Toc1852"/>
      <w:bookmarkStart w:id="298" w:name="_Toc9540"/>
      <w:bookmarkStart w:id="299" w:name="_Toc15167"/>
      <w:bookmarkStart w:id="300" w:name="_Toc24064"/>
      <w:bookmarkStart w:id="301" w:name="_Toc25949"/>
      <w:bookmarkStart w:id="302" w:name="_Toc28884"/>
      <w:bookmarkStart w:id="303" w:name="_Toc31683"/>
      <w:bookmarkStart w:id="304" w:name="_Toc9579"/>
      <w:r>
        <w:rPr>
          <w:rFonts w:hint="eastAsia"/>
          <w:color w:val="auto"/>
          <w:highlight w:val="none"/>
        </w:rPr>
        <w:t>技术方案</w:t>
      </w:r>
      <w:bookmarkEnd w:id="296"/>
      <w:bookmarkEnd w:id="297"/>
      <w:bookmarkEnd w:id="298"/>
      <w:bookmarkEnd w:id="299"/>
      <w:bookmarkEnd w:id="300"/>
      <w:bookmarkEnd w:id="301"/>
      <w:bookmarkEnd w:id="302"/>
      <w:bookmarkEnd w:id="303"/>
      <w:bookmarkEnd w:id="304"/>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2"/>
        <w:numPr>
          <w:ilvl w:val="0"/>
          <w:numId w:val="19"/>
        </w:numPr>
        <w:jc w:val="center"/>
        <w:rPr>
          <w:color w:val="auto"/>
          <w:highlight w:val="none"/>
        </w:rPr>
      </w:pPr>
      <w:bookmarkStart w:id="305" w:name="_Toc15530"/>
      <w:bookmarkStart w:id="306" w:name="_Toc30049"/>
      <w:bookmarkStart w:id="307" w:name="_Toc9619"/>
      <w:bookmarkStart w:id="308" w:name="_Toc24947"/>
      <w:bookmarkStart w:id="309" w:name="_Toc9982"/>
      <w:bookmarkStart w:id="310" w:name="_Toc28953"/>
      <w:bookmarkStart w:id="311" w:name="_Toc23849"/>
      <w:bookmarkStart w:id="312" w:name="_Toc12278"/>
      <w:bookmarkStart w:id="313" w:name="_Toc11036"/>
      <w:r>
        <w:rPr>
          <w:rFonts w:hint="eastAsia"/>
          <w:color w:val="auto"/>
          <w:highlight w:val="none"/>
        </w:rPr>
        <w:t>其他资料</w:t>
      </w:r>
      <w:bookmarkEnd w:id="305"/>
      <w:bookmarkEnd w:id="306"/>
      <w:bookmarkEnd w:id="307"/>
      <w:bookmarkEnd w:id="308"/>
      <w:bookmarkEnd w:id="309"/>
      <w:bookmarkEnd w:id="310"/>
      <w:bookmarkEnd w:id="311"/>
      <w:bookmarkEnd w:id="312"/>
      <w:bookmarkEnd w:id="313"/>
    </w:p>
    <w:p>
      <w:pPr>
        <w:pStyle w:val="29"/>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12"/>
        <w:rPr>
          <w:rFonts w:hAnsi="宋体"/>
          <w:color w:val="auto"/>
          <w:sz w:val="21"/>
          <w:szCs w:val="21"/>
          <w:highlight w:val="none"/>
        </w:rPr>
      </w:pPr>
    </w:p>
    <w:p>
      <w:pPr>
        <w:pStyle w:val="2"/>
        <w:jc w:val="center"/>
        <w:rPr>
          <w:color w:val="auto"/>
          <w:sz w:val="28"/>
          <w:szCs w:val="28"/>
          <w:highlight w:val="none"/>
        </w:rPr>
      </w:pPr>
      <w:bookmarkStart w:id="314"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314"/>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（2）法定代表人证明书</w:t>
      </w:r>
      <w:r>
        <w:rPr>
          <w:rFonts w:hint="eastAsia" w:ascii="宋体" w:eastAsia="宋体"/>
          <w:color w:val="auto"/>
          <w:sz w:val="21"/>
          <w:szCs w:val="21"/>
          <w:highlight w:val="none"/>
          <w:lang w:eastAsia="zh-CN"/>
        </w:rPr>
        <w:t>原件或正本复印件</w:t>
      </w:r>
      <w:r>
        <w:rPr>
          <w:rFonts w:hint="eastAsia" w:ascii="宋体" w:eastAsia="宋体"/>
          <w:color w:val="auto"/>
          <w:sz w:val="21"/>
          <w:szCs w:val="21"/>
          <w:highlight w:val="none"/>
        </w:rPr>
        <w:t>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（3）法定代表人授权委托书</w:t>
      </w:r>
      <w:r>
        <w:rPr>
          <w:rFonts w:hint="eastAsia" w:ascii="宋体" w:eastAsia="宋体"/>
          <w:color w:val="auto"/>
          <w:sz w:val="21"/>
          <w:szCs w:val="21"/>
          <w:highlight w:val="none"/>
          <w:lang w:eastAsia="zh-CN"/>
        </w:rPr>
        <w:t>原件或正本复印件</w:t>
      </w:r>
      <w:r>
        <w:rPr>
          <w:rFonts w:hint="eastAsia" w:ascii="宋体" w:eastAsia="宋体"/>
          <w:color w:val="auto"/>
          <w:sz w:val="21"/>
          <w:szCs w:val="21"/>
          <w:highlight w:val="none"/>
        </w:rPr>
        <w:t>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（4）磋商文件电子文件（签字、盖章后的磋商文件PDF格式扫描版电子文件,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315"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12"/>
        <w:ind w:firstLine="400"/>
        <w:rPr>
          <w:color w:val="auto"/>
          <w:highlight w:val="none"/>
          <w:lang w:val="zh-CN"/>
        </w:rPr>
      </w:pPr>
    </w:p>
    <w:p>
      <w:pPr>
        <w:pStyle w:val="12"/>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315"/>
    <w:p>
      <w:pPr>
        <w:rPr>
          <w:color w:val="auto"/>
          <w:highlight w:val="none"/>
          <w:lang w:val="zh-CN"/>
        </w:rPr>
      </w:pPr>
    </w:p>
    <w:sectPr>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DFKai-SB">
    <w:altName w:val="Microsoft JhengHei Light"/>
    <w:panose1 w:val="03000509000000000000"/>
    <w:charset w:val="88"/>
    <w:family w:val="script"/>
    <w:pitch w:val="default"/>
    <w:sig w:usb0="00000000" w:usb1="00000000" w:usb2="00000016" w:usb3="00000000" w:csb0="00100001" w:csb1="00000000"/>
  </w:font>
  <w:font w:name="Arial Black">
    <w:panose1 w:val="020B0A04020102020204"/>
    <w:charset w:val="00"/>
    <w:family w:val="swiss"/>
    <w:pitch w:val="default"/>
    <w:sig w:usb0="A00002AF" w:usb1="400078FB" w:usb2="00000000" w:usb3="00000000" w:csb0="6000009F" w:csb1="DFD70000"/>
  </w:font>
  <w:font w:name="思源黑体 CN Regular">
    <w:altName w:val="黑体"/>
    <w:panose1 w:val="00000000000000000000"/>
    <w:charset w:val="00"/>
    <w:family w:val="auto"/>
    <w:pitch w:val="default"/>
    <w:sig w:usb0="00000000" w:usb1="00000000" w:usb2="00000000" w:usb3="00000000" w:csb0="00040001" w:csb1="0000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end"/>
    </w:r>
  </w:p>
  <w:p>
    <w:pPr>
      <w:pStyle w:val="3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&#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NJrTRPQAQAApQMAAA4AAAAAAAAAAQAgAAAAIgEA&#10;AGRycy9lMm9Eb2MueG1sUEsFBgAAAAAGAAYAWQEAAGQFA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5408" behindDoc="1" locked="0" layoutInCell="1" allowOverlap="1">
          <wp:simplePos x="0" y="0"/>
          <wp:positionH relativeFrom="column">
            <wp:posOffset>3431540</wp:posOffset>
          </wp:positionH>
          <wp:positionV relativeFrom="paragraph">
            <wp:posOffset>-259080</wp:posOffset>
          </wp:positionV>
          <wp:extent cx="434340" cy="434340"/>
          <wp:effectExtent l="0" t="0" r="3810" b="3810"/>
          <wp:wrapNone/>
          <wp:docPr id="11"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35"/>
      <w:pBdr>
        <w:bottom w:val="none" w:color="auto" w:sz="0" w:space="1"/>
      </w:pBdr>
      <w:tabs>
        <w:tab w:val="left" w:pos="504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4384" behindDoc="1" locked="0" layoutInCell="1" allowOverlap="1">
          <wp:simplePos x="0" y="0"/>
          <wp:positionH relativeFrom="column">
            <wp:posOffset>3376930</wp:posOffset>
          </wp:positionH>
          <wp:positionV relativeFrom="paragraph">
            <wp:posOffset>-236855</wp:posOffset>
          </wp:positionV>
          <wp:extent cx="434340" cy="434340"/>
          <wp:effectExtent l="0" t="0" r="3810" b="3810"/>
          <wp:wrapNone/>
          <wp:docPr id="9" name="图片 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19"/>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D0B7B994"/>
    <w:multiLevelType w:val="singleLevel"/>
    <w:tmpl w:val="D0B7B994"/>
    <w:lvl w:ilvl="0" w:tentative="0">
      <w:start w:val="2"/>
      <w:numFmt w:val="decimal"/>
      <w:suff w:val="nothing"/>
      <w:lvlText w:val="%1、"/>
      <w:lvlJc w:val="left"/>
    </w:lvl>
  </w:abstractNum>
  <w:abstractNum w:abstractNumId="2">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3">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4">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5">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16"/>
    <w:multiLevelType w:val="multilevel"/>
    <w:tmpl w:val="00000016"/>
    <w:lvl w:ilvl="0" w:tentative="0">
      <w:start w:val="1"/>
      <w:numFmt w:val="decimal"/>
      <w:pStyle w:val="14"/>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4">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727DD9B"/>
    <w:multiLevelType w:val="multilevel"/>
    <w:tmpl w:val="2727DD9B"/>
    <w:lvl w:ilvl="0" w:tentative="0">
      <w:start w:val="1"/>
      <w:numFmt w:val="decimal"/>
      <w:pStyle w:val="15"/>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6">
    <w:nsid w:val="37402185"/>
    <w:multiLevelType w:val="singleLevel"/>
    <w:tmpl w:val="37402185"/>
    <w:lvl w:ilvl="0" w:tentative="0">
      <w:start w:val="1"/>
      <w:numFmt w:val="decimal"/>
      <w:pStyle w:val="24"/>
      <w:lvlText w:val="%1."/>
      <w:lvlJc w:val="left"/>
      <w:pPr>
        <w:tabs>
          <w:tab w:val="left" w:pos="1200"/>
        </w:tabs>
        <w:ind w:left="1200" w:hanging="360"/>
      </w:pPr>
    </w:lvl>
  </w:abstractNum>
  <w:abstractNum w:abstractNumId="17">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18">
    <w:nsid w:val="57289543"/>
    <w:multiLevelType w:val="singleLevel"/>
    <w:tmpl w:val="57289543"/>
    <w:lvl w:ilvl="0" w:tentative="0">
      <w:start w:val="7"/>
      <w:numFmt w:val="decimal"/>
      <w:suff w:val="nothing"/>
      <w:lvlText w:val="%1)"/>
      <w:lvlJc w:val="left"/>
    </w:lvl>
  </w:abstractNum>
  <w:num w:numId="1">
    <w:abstractNumId w:val="9"/>
  </w:num>
  <w:num w:numId="2">
    <w:abstractNumId w:val="15"/>
  </w:num>
  <w:num w:numId="3">
    <w:abstractNumId w:val="16"/>
  </w:num>
  <w:num w:numId="4">
    <w:abstractNumId w:val="13"/>
  </w:num>
  <w:num w:numId="5">
    <w:abstractNumId w:val="10"/>
  </w:num>
  <w:num w:numId="6">
    <w:abstractNumId w:val="7"/>
  </w:num>
  <w:num w:numId="7">
    <w:abstractNumId w:val="5"/>
  </w:num>
  <w:num w:numId="8">
    <w:abstractNumId w:val="8"/>
  </w:num>
  <w:num w:numId="9">
    <w:abstractNumId w:val="14"/>
  </w:num>
  <w:num w:numId="10">
    <w:abstractNumId w:val="12"/>
  </w:num>
  <w:num w:numId="11">
    <w:abstractNumId w:val="11"/>
  </w:num>
  <w:num w:numId="12">
    <w:abstractNumId w:val="4"/>
  </w:num>
  <w:num w:numId="13">
    <w:abstractNumId w:val="2"/>
  </w:num>
  <w:num w:numId="14">
    <w:abstractNumId w:val="6"/>
  </w:num>
  <w:num w:numId="15">
    <w:abstractNumId w:val="18"/>
  </w:num>
  <w:num w:numId="16">
    <w:abstractNumId w:val="1"/>
  </w:num>
  <w:num w:numId="17">
    <w:abstractNumId w:val="0"/>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1ZTUwZjA3NGE1NjFjNGQ2Njc2ZDg3MjRkNDM1NmEifQ=="/>
  </w:docVars>
  <w:rsids>
    <w:rsidRoot w:val="00172A27"/>
    <w:rsid w:val="00003320"/>
    <w:rsid w:val="00010435"/>
    <w:rsid w:val="0002249C"/>
    <w:rsid w:val="00027890"/>
    <w:rsid w:val="000310C4"/>
    <w:rsid w:val="00036141"/>
    <w:rsid w:val="00055CD6"/>
    <w:rsid w:val="00060BFF"/>
    <w:rsid w:val="000656BF"/>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6ABC"/>
    <w:rsid w:val="002172C9"/>
    <w:rsid w:val="00265319"/>
    <w:rsid w:val="00267764"/>
    <w:rsid w:val="00270A95"/>
    <w:rsid w:val="002877C1"/>
    <w:rsid w:val="002908F6"/>
    <w:rsid w:val="00291FAB"/>
    <w:rsid w:val="002C0888"/>
    <w:rsid w:val="002C53F2"/>
    <w:rsid w:val="002D14E4"/>
    <w:rsid w:val="002D687C"/>
    <w:rsid w:val="002E58AE"/>
    <w:rsid w:val="003537B6"/>
    <w:rsid w:val="00354336"/>
    <w:rsid w:val="003613BD"/>
    <w:rsid w:val="00376337"/>
    <w:rsid w:val="003824C3"/>
    <w:rsid w:val="00391ED7"/>
    <w:rsid w:val="00393E42"/>
    <w:rsid w:val="003A2560"/>
    <w:rsid w:val="003C228D"/>
    <w:rsid w:val="003C2F31"/>
    <w:rsid w:val="00414870"/>
    <w:rsid w:val="004207FB"/>
    <w:rsid w:val="0044257A"/>
    <w:rsid w:val="0045071E"/>
    <w:rsid w:val="0046288B"/>
    <w:rsid w:val="00465BC3"/>
    <w:rsid w:val="00473DA1"/>
    <w:rsid w:val="004D1919"/>
    <w:rsid w:val="004D2652"/>
    <w:rsid w:val="005471BA"/>
    <w:rsid w:val="00553F3A"/>
    <w:rsid w:val="00555F92"/>
    <w:rsid w:val="00563F71"/>
    <w:rsid w:val="00585BAB"/>
    <w:rsid w:val="005A06DF"/>
    <w:rsid w:val="005B5C14"/>
    <w:rsid w:val="005C7F93"/>
    <w:rsid w:val="005F37C4"/>
    <w:rsid w:val="006023DD"/>
    <w:rsid w:val="006071A1"/>
    <w:rsid w:val="00636A66"/>
    <w:rsid w:val="00637720"/>
    <w:rsid w:val="006421D2"/>
    <w:rsid w:val="00643C95"/>
    <w:rsid w:val="006529BE"/>
    <w:rsid w:val="00661DDF"/>
    <w:rsid w:val="00675141"/>
    <w:rsid w:val="006B678C"/>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13E25"/>
    <w:rsid w:val="00821042"/>
    <w:rsid w:val="00821BD7"/>
    <w:rsid w:val="00823A4E"/>
    <w:rsid w:val="00831E15"/>
    <w:rsid w:val="00835AD1"/>
    <w:rsid w:val="00847835"/>
    <w:rsid w:val="008A0878"/>
    <w:rsid w:val="008B5078"/>
    <w:rsid w:val="008B52E4"/>
    <w:rsid w:val="008C4084"/>
    <w:rsid w:val="008C4968"/>
    <w:rsid w:val="008D2C58"/>
    <w:rsid w:val="008E129D"/>
    <w:rsid w:val="008E37B0"/>
    <w:rsid w:val="008E464C"/>
    <w:rsid w:val="008E4970"/>
    <w:rsid w:val="009009BC"/>
    <w:rsid w:val="00904619"/>
    <w:rsid w:val="00915F7F"/>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7D8C"/>
    <w:rsid w:val="00AB4015"/>
    <w:rsid w:val="00AF6912"/>
    <w:rsid w:val="00B04B0E"/>
    <w:rsid w:val="00B16495"/>
    <w:rsid w:val="00B225FD"/>
    <w:rsid w:val="00B248DA"/>
    <w:rsid w:val="00B50EA0"/>
    <w:rsid w:val="00B71A50"/>
    <w:rsid w:val="00B74DE3"/>
    <w:rsid w:val="00B80D89"/>
    <w:rsid w:val="00B818AE"/>
    <w:rsid w:val="00B96173"/>
    <w:rsid w:val="00BB48AD"/>
    <w:rsid w:val="00BB6F89"/>
    <w:rsid w:val="00BC02E2"/>
    <w:rsid w:val="00BE779E"/>
    <w:rsid w:val="00BF09ED"/>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954DE"/>
    <w:rsid w:val="00DB7E8A"/>
    <w:rsid w:val="00DC735D"/>
    <w:rsid w:val="00DE49C8"/>
    <w:rsid w:val="00DF0CE0"/>
    <w:rsid w:val="00E023D0"/>
    <w:rsid w:val="00E419FA"/>
    <w:rsid w:val="00E438D2"/>
    <w:rsid w:val="00E53F8C"/>
    <w:rsid w:val="00E61200"/>
    <w:rsid w:val="00E63FBE"/>
    <w:rsid w:val="00E678C7"/>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3394"/>
    <w:rsid w:val="00F54AFB"/>
    <w:rsid w:val="00F67D80"/>
    <w:rsid w:val="00F718C6"/>
    <w:rsid w:val="00FC4DD8"/>
    <w:rsid w:val="00FD40C9"/>
    <w:rsid w:val="01016788"/>
    <w:rsid w:val="010B18A0"/>
    <w:rsid w:val="01101FD4"/>
    <w:rsid w:val="013511BC"/>
    <w:rsid w:val="01630778"/>
    <w:rsid w:val="01857C73"/>
    <w:rsid w:val="01A12C3F"/>
    <w:rsid w:val="01CD1195"/>
    <w:rsid w:val="01D142D7"/>
    <w:rsid w:val="021F4C81"/>
    <w:rsid w:val="02414B92"/>
    <w:rsid w:val="028366E4"/>
    <w:rsid w:val="02A56B80"/>
    <w:rsid w:val="02B5383F"/>
    <w:rsid w:val="02C560C8"/>
    <w:rsid w:val="02F741FF"/>
    <w:rsid w:val="03077BF2"/>
    <w:rsid w:val="03240B2D"/>
    <w:rsid w:val="03404A6C"/>
    <w:rsid w:val="035324D3"/>
    <w:rsid w:val="036719BE"/>
    <w:rsid w:val="038413BE"/>
    <w:rsid w:val="038C71B9"/>
    <w:rsid w:val="0396442E"/>
    <w:rsid w:val="03C53166"/>
    <w:rsid w:val="03E3700D"/>
    <w:rsid w:val="04082941"/>
    <w:rsid w:val="0437435F"/>
    <w:rsid w:val="043948C2"/>
    <w:rsid w:val="0441683D"/>
    <w:rsid w:val="04755FE3"/>
    <w:rsid w:val="04897AAE"/>
    <w:rsid w:val="048D3C72"/>
    <w:rsid w:val="04946A57"/>
    <w:rsid w:val="049E01CA"/>
    <w:rsid w:val="04AA7A54"/>
    <w:rsid w:val="04DC1E95"/>
    <w:rsid w:val="04E9501D"/>
    <w:rsid w:val="05056F9C"/>
    <w:rsid w:val="053B507A"/>
    <w:rsid w:val="056B6415"/>
    <w:rsid w:val="056F7E9D"/>
    <w:rsid w:val="05A04252"/>
    <w:rsid w:val="05B531D5"/>
    <w:rsid w:val="05D17368"/>
    <w:rsid w:val="05D70893"/>
    <w:rsid w:val="05D879EE"/>
    <w:rsid w:val="05EF3BF5"/>
    <w:rsid w:val="061B4DCC"/>
    <w:rsid w:val="0631131C"/>
    <w:rsid w:val="063503BD"/>
    <w:rsid w:val="0684556E"/>
    <w:rsid w:val="069A1FAF"/>
    <w:rsid w:val="06D773BE"/>
    <w:rsid w:val="07005EC6"/>
    <w:rsid w:val="07144968"/>
    <w:rsid w:val="071F2807"/>
    <w:rsid w:val="074D0B91"/>
    <w:rsid w:val="07667537"/>
    <w:rsid w:val="076F789A"/>
    <w:rsid w:val="0784472B"/>
    <w:rsid w:val="079B0031"/>
    <w:rsid w:val="079F5559"/>
    <w:rsid w:val="07B55B45"/>
    <w:rsid w:val="07E16810"/>
    <w:rsid w:val="08091249"/>
    <w:rsid w:val="08213B81"/>
    <w:rsid w:val="084C0B9D"/>
    <w:rsid w:val="0873640D"/>
    <w:rsid w:val="08783888"/>
    <w:rsid w:val="08AE00F7"/>
    <w:rsid w:val="08C30F20"/>
    <w:rsid w:val="08D23011"/>
    <w:rsid w:val="08DD3BDB"/>
    <w:rsid w:val="09583AE9"/>
    <w:rsid w:val="09717CB2"/>
    <w:rsid w:val="097628AE"/>
    <w:rsid w:val="09A37C42"/>
    <w:rsid w:val="09B71979"/>
    <w:rsid w:val="09CA4C87"/>
    <w:rsid w:val="0A1846AD"/>
    <w:rsid w:val="0A334DE9"/>
    <w:rsid w:val="0A3673D1"/>
    <w:rsid w:val="0A391C61"/>
    <w:rsid w:val="0A747C95"/>
    <w:rsid w:val="0A99628C"/>
    <w:rsid w:val="0AA12C61"/>
    <w:rsid w:val="0AD50B07"/>
    <w:rsid w:val="0AFC4076"/>
    <w:rsid w:val="0B0D3780"/>
    <w:rsid w:val="0B192E69"/>
    <w:rsid w:val="0B1E5674"/>
    <w:rsid w:val="0B481D54"/>
    <w:rsid w:val="0B567FBC"/>
    <w:rsid w:val="0B853512"/>
    <w:rsid w:val="0BA32867"/>
    <w:rsid w:val="0C405D06"/>
    <w:rsid w:val="0C5F45C4"/>
    <w:rsid w:val="0C6352C9"/>
    <w:rsid w:val="0C694A19"/>
    <w:rsid w:val="0C6E22F8"/>
    <w:rsid w:val="0C752414"/>
    <w:rsid w:val="0C781DA4"/>
    <w:rsid w:val="0CA4014A"/>
    <w:rsid w:val="0CD86DE7"/>
    <w:rsid w:val="0CE51F42"/>
    <w:rsid w:val="0CF9441B"/>
    <w:rsid w:val="0CFE63A4"/>
    <w:rsid w:val="0D0807FC"/>
    <w:rsid w:val="0D33119A"/>
    <w:rsid w:val="0D4A2577"/>
    <w:rsid w:val="0D4D7EA2"/>
    <w:rsid w:val="0D596969"/>
    <w:rsid w:val="0D6D348A"/>
    <w:rsid w:val="0D9C0739"/>
    <w:rsid w:val="0DC77E1F"/>
    <w:rsid w:val="0DE500C7"/>
    <w:rsid w:val="0DFF5312"/>
    <w:rsid w:val="0E30061A"/>
    <w:rsid w:val="0E6759EA"/>
    <w:rsid w:val="0E693E94"/>
    <w:rsid w:val="0EAB15DF"/>
    <w:rsid w:val="0EB71B66"/>
    <w:rsid w:val="0EBD4ECC"/>
    <w:rsid w:val="0EC12B61"/>
    <w:rsid w:val="0ECB16D0"/>
    <w:rsid w:val="0F0F3E67"/>
    <w:rsid w:val="0F156DA8"/>
    <w:rsid w:val="0F36681E"/>
    <w:rsid w:val="0F554B61"/>
    <w:rsid w:val="0F684139"/>
    <w:rsid w:val="0FA658B8"/>
    <w:rsid w:val="0FA725F9"/>
    <w:rsid w:val="0FB125A0"/>
    <w:rsid w:val="0FF75B36"/>
    <w:rsid w:val="1007384E"/>
    <w:rsid w:val="107962EB"/>
    <w:rsid w:val="107D7A08"/>
    <w:rsid w:val="10C4053D"/>
    <w:rsid w:val="10D064F7"/>
    <w:rsid w:val="10D24A7B"/>
    <w:rsid w:val="10D763F7"/>
    <w:rsid w:val="10DA580F"/>
    <w:rsid w:val="10DF7BBC"/>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AA0571"/>
    <w:rsid w:val="13CE5FC4"/>
    <w:rsid w:val="13F53443"/>
    <w:rsid w:val="144C6770"/>
    <w:rsid w:val="147778EA"/>
    <w:rsid w:val="14943CCC"/>
    <w:rsid w:val="14CD7B2A"/>
    <w:rsid w:val="14F16B6F"/>
    <w:rsid w:val="14F865C3"/>
    <w:rsid w:val="150F189B"/>
    <w:rsid w:val="1517294D"/>
    <w:rsid w:val="153642D6"/>
    <w:rsid w:val="15457698"/>
    <w:rsid w:val="154A5906"/>
    <w:rsid w:val="155558C2"/>
    <w:rsid w:val="158A75E1"/>
    <w:rsid w:val="1592511B"/>
    <w:rsid w:val="159C567E"/>
    <w:rsid w:val="15A520DA"/>
    <w:rsid w:val="15C0221F"/>
    <w:rsid w:val="15D77617"/>
    <w:rsid w:val="15D85E33"/>
    <w:rsid w:val="15E6513C"/>
    <w:rsid w:val="15E819C1"/>
    <w:rsid w:val="15F81571"/>
    <w:rsid w:val="161124BB"/>
    <w:rsid w:val="16554F68"/>
    <w:rsid w:val="165B5F0F"/>
    <w:rsid w:val="166320D6"/>
    <w:rsid w:val="166C4896"/>
    <w:rsid w:val="167B7AAC"/>
    <w:rsid w:val="169140C1"/>
    <w:rsid w:val="169B4AF9"/>
    <w:rsid w:val="16DB0595"/>
    <w:rsid w:val="16DF2F08"/>
    <w:rsid w:val="16E051E8"/>
    <w:rsid w:val="16ED26EB"/>
    <w:rsid w:val="17066EDE"/>
    <w:rsid w:val="1713214D"/>
    <w:rsid w:val="17456764"/>
    <w:rsid w:val="17845DA0"/>
    <w:rsid w:val="17945C52"/>
    <w:rsid w:val="17970727"/>
    <w:rsid w:val="17DD1C51"/>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B56D4E"/>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3363D"/>
    <w:rsid w:val="1C4628F7"/>
    <w:rsid w:val="1C79295A"/>
    <w:rsid w:val="1CA03602"/>
    <w:rsid w:val="1CC16689"/>
    <w:rsid w:val="1CCC24BC"/>
    <w:rsid w:val="1CE512E6"/>
    <w:rsid w:val="1CEF2480"/>
    <w:rsid w:val="1D061139"/>
    <w:rsid w:val="1D870AB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DE5D5E"/>
    <w:rsid w:val="1EF77DC5"/>
    <w:rsid w:val="1F383ACC"/>
    <w:rsid w:val="1F596305"/>
    <w:rsid w:val="1F8811C7"/>
    <w:rsid w:val="1F9062F5"/>
    <w:rsid w:val="1FEB5C6A"/>
    <w:rsid w:val="202209B9"/>
    <w:rsid w:val="20280066"/>
    <w:rsid w:val="202C0E96"/>
    <w:rsid w:val="20304AD2"/>
    <w:rsid w:val="203B6599"/>
    <w:rsid w:val="204F6722"/>
    <w:rsid w:val="20902778"/>
    <w:rsid w:val="20AF30C4"/>
    <w:rsid w:val="20C20F88"/>
    <w:rsid w:val="20FD5C7C"/>
    <w:rsid w:val="21096CBA"/>
    <w:rsid w:val="2115662C"/>
    <w:rsid w:val="211E06F8"/>
    <w:rsid w:val="21361A04"/>
    <w:rsid w:val="214418DF"/>
    <w:rsid w:val="218F4A95"/>
    <w:rsid w:val="21B95143"/>
    <w:rsid w:val="21C04FD1"/>
    <w:rsid w:val="21D51B3D"/>
    <w:rsid w:val="21FE0CB2"/>
    <w:rsid w:val="220629F1"/>
    <w:rsid w:val="220D6242"/>
    <w:rsid w:val="22196712"/>
    <w:rsid w:val="2272212A"/>
    <w:rsid w:val="22EC4950"/>
    <w:rsid w:val="22ED5F44"/>
    <w:rsid w:val="23197F12"/>
    <w:rsid w:val="231A56E2"/>
    <w:rsid w:val="231F7C19"/>
    <w:rsid w:val="232B5FAF"/>
    <w:rsid w:val="233F76E0"/>
    <w:rsid w:val="23481CC9"/>
    <w:rsid w:val="235F1272"/>
    <w:rsid w:val="23AE10BA"/>
    <w:rsid w:val="23E56B32"/>
    <w:rsid w:val="24142B46"/>
    <w:rsid w:val="24183F62"/>
    <w:rsid w:val="241D037F"/>
    <w:rsid w:val="2433149D"/>
    <w:rsid w:val="246270E4"/>
    <w:rsid w:val="24772C2B"/>
    <w:rsid w:val="248B2E3F"/>
    <w:rsid w:val="24DF22D5"/>
    <w:rsid w:val="25241FCD"/>
    <w:rsid w:val="257008BE"/>
    <w:rsid w:val="258A0443"/>
    <w:rsid w:val="25E86FC2"/>
    <w:rsid w:val="260C3AE7"/>
    <w:rsid w:val="261B35E2"/>
    <w:rsid w:val="261D7A35"/>
    <w:rsid w:val="263A612D"/>
    <w:rsid w:val="26483965"/>
    <w:rsid w:val="26684108"/>
    <w:rsid w:val="268B0B22"/>
    <w:rsid w:val="26BB607A"/>
    <w:rsid w:val="26BB7E4E"/>
    <w:rsid w:val="26C10F08"/>
    <w:rsid w:val="26D075A8"/>
    <w:rsid w:val="26D17DBC"/>
    <w:rsid w:val="26D24757"/>
    <w:rsid w:val="274D17E4"/>
    <w:rsid w:val="27506176"/>
    <w:rsid w:val="275D4096"/>
    <w:rsid w:val="276C3DD0"/>
    <w:rsid w:val="27A57C3A"/>
    <w:rsid w:val="27D20BC1"/>
    <w:rsid w:val="27EB7AF0"/>
    <w:rsid w:val="27F82CDF"/>
    <w:rsid w:val="280553D3"/>
    <w:rsid w:val="280F6C60"/>
    <w:rsid w:val="281253C2"/>
    <w:rsid w:val="28163476"/>
    <w:rsid w:val="282455AC"/>
    <w:rsid w:val="28261D0F"/>
    <w:rsid w:val="2838738D"/>
    <w:rsid w:val="286F250E"/>
    <w:rsid w:val="287D2504"/>
    <w:rsid w:val="2886147E"/>
    <w:rsid w:val="28A87389"/>
    <w:rsid w:val="28AB0694"/>
    <w:rsid w:val="28AE6A69"/>
    <w:rsid w:val="28B81772"/>
    <w:rsid w:val="290A4DA8"/>
    <w:rsid w:val="291176CC"/>
    <w:rsid w:val="291C67BC"/>
    <w:rsid w:val="29503AAE"/>
    <w:rsid w:val="29573123"/>
    <w:rsid w:val="297F7A53"/>
    <w:rsid w:val="2992095F"/>
    <w:rsid w:val="29AC6651"/>
    <w:rsid w:val="29C4608A"/>
    <w:rsid w:val="29E769C8"/>
    <w:rsid w:val="29F21662"/>
    <w:rsid w:val="29F51AC1"/>
    <w:rsid w:val="29F51D07"/>
    <w:rsid w:val="29FC30C2"/>
    <w:rsid w:val="2A3534FF"/>
    <w:rsid w:val="2A406B43"/>
    <w:rsid w:val="2A6D3E9B"/>
    <w:rsid w:val="2A706411"/>
    <w:rsid w:val="2A783D0E"/>
    <w:rsid w:val="2A9C0461"/>
    <w:rsid w:val="2AD0515C"/>
    <w:rsid w:val="2AE8528D"/>
    <w:rsid w:val="2AF16E8B"/>
    <w:rsid w:val="2B0B7CEC"/>
    <w:rsid w:val="2B27452A"/>
    <w:rsid w:val="2B2D4BDC"/>
    <w:rsid w:val="2B4503EF"/>
    <w:rsid w:val="2B767712"/>
    <w:rsid w:val="2B9203C8"/>
    <w:rsid w:val="2BBA7AC6"/>
    <w:rsid w:val="2BBC0C33"/>
    <w:rsid w:val="2BFC26B9"/>
    <w:rsid w:val="2BFF2965"/>
    <w:rsid w:val="2C3C0A88"/>
    <w:rsid w:val="2C596FFF"/>
    <w:rsid w:val="2C9A17D6"/>
    <w:rsid w:val="2CA6566A"/>
    <w:rsid w:val="2CAE7599"/>
    <w:rsid w:val="2CB749B3"/>
    <w:rsid w:val="2CBB6294"/>
    <w:rsid w:val="2CBF39BD"/>
    <w:rsid w:val="2D016EDC"/>
    <w:rsid w:val="2D2E04D4"/>
    <w:rsid w:val="2D3878C4"/>
    <w:rsid w:val="2D3A4057"/>
    <w:rsid w:val="2D5343E6"/>
    <w:rsid w:val="2D994DBE"/>
    <w:rsid w:val="2DD53F02"/>
    <w:rsid w:val="2E0A0263"/>
    <w:rsid w:val="2E73484D"/>
    <w:rsid w:val="2E734C4D"/>
    <w:rsid w:val="2E9A7164"/>
    <w:rsid w:val="2ED21188"/>
    <w:rsid w:val="2EE1137A"/>
    <w:rsid w:val="2EE6759F"/>
    <w:rsid w:val="2EEB0819"/>
    <w:rsid w:val="2F010E90"/>
    <w:rsid w:val="2F0C69E6"/>
    <w:rsid w:val="2F0D5CED"/>
    <w:rsid w:val="2F16689C"/>
    <w:rsid w:val="2F236129"/>
    <w:rsid w:val="2F2C56BA"/>
    <w:rsid w:val="2F2D0218"/>
    <w:rsid w:val="2F356A16"/>
    <w:rsid w:val="2F4614DA"/>
    <w:rsid w:val="2F636A54"/>
    <w:rsid w:val="2FA00DAE"/>
    <w:rsid w:val="30081603"/>
    <w:rsid w:val="30420830"/>
    <w:rsid w:val="309C224F"/>
    <w:rsid w:val="31190489"/>
    <w:rsid w:val="311C3987"/>
    <w:rsid w:val="31232963"/>
    <w:rsid w:val="315857B1"/>
    <w:rsid w:val="31650177"/>
    <w:rsid w:val="31AB6658"/>
    <w:rsid w:val="31BC3F1B"/>
    <w:rsid w:val="31C37B9C"/>
    <w:rsid w:val="31EA7F55"/>
    <w:rsid w:val="32137CF0"/>
    <w:rsid w:val="321E50BD"/>
    <w:rsid w:val="32224344"/>
    <w:rsid w:val="32340C69"/>
    <w:rsid w:val="32363F32"/>
    <w:rsid w:val="32471F5A"/>
    <w:rsid w:val="3253078F"/>
    <w:rsid w:val="325E3A96"/>
    <w:rsid w:val="32B7356F"/>
    <w:rsid w:val="330C088A"/>
    <w:rsid w:val="330D0F43"/>
    <w:rsid w:val="332A5E08"/>
    <w:rsid w:val="332D55A9"/>
    <w:rsid w:val="333E728C"/>
    <w:rsid w:val="334F202E"/>
    <w:rsid w:val="33A04007"/>
    <w:rsid w:val="33A60671"/>
    <w:rsid w:val="33AF4FB4"/>
    <w:rsid w:val="33CF2119"/>
    <w:rsid w:val="33DE4357"/>
    <w:rsid w:val="341D5AAB"/>
    <w:rsid w:val="342732F1"/>
    <w:rsid w:val="342B2E3E"/>
    <w:rsid w:val="3454463B"/>
    <w:rsid w:val="346B507B"/>
    <w:rsid w:val="347A0A28"/>
    <w:rsid w:val="347B293F"/>
    <w:rsid w:val="348C37FE"/>
    <w:rsid w:val="34AA4F73"/>
    <w:rsid w:val="34F52FDD"/>
    <w:rsid w:val="352B6C5A"/>
    <w:rsid w:val="35520294"/>
    <w:rsid w:val="357614DC"/>
    <w:rsid w:val="357A04F1"/>
    <w:rsid w:val="357C1D84"/>
    <w:rsid w:val="35887A53"/>
    <w:rsid w:val="35AF4576"/>
    <w:rsid w:val="35B4397E"/>
    <w:rsid w:val="360300F8"/>
    <w:rsid w:val="36034EE1"/>
    <w:rsid w:val="36237D2D"/>
    <w:rsid w:val="363503EB"/>
    <w:rsid w:val="3647637B"/>
    <w:rsid w:val="367F686D"/>
    <w:rsid w:val="36A14C50"/>
    <w:rsid w:val="36B412F5"/>
    <w:rsid w:val="36B66A91"/>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C914D9"/>
    <w:rsid w:val="37D63EC9"/>
    <w:rsid w:val="37F02038"/>
    <w:rsid w:val="38280519"/>
    <w:rsid w:val="386D019E"/>
    <w:rsid w:val="38894B13"/>
    <w:rsid w:val="38A42A5B"/>
    <w:rsid w:val="38C10BFB"/>
    <w:rsid w:val="38DD791D"/>
    <w:rsid w:val="3920221B"/>
    <w:rsid w:val="39334BFF"/>
    <w:rsid w:val="393667C3"/>
    <w:rsid w:val="39457CAF"/>
    <w:rsid w:val="3948048E"/>
    <w:rsid w:val="39812B9C"/>
    <w:rsid w:val="39B565E1"/>
    <w:rsid w:val="39D4235F"/>
    <w:rsid w:val="39FD6163"/>
    <w:rsid w:val="3A257802"/>
    <w:rsid w:val="3A606A76"/>
    <w:rsid w:val="3A921749"/>
    <w:rsid w:val="3AA81B41"/>
    <w:rsid w:val="3AF024C8"/>
    <w:rsid w:val="3B143086"/>
    <w:rsid w:val="3B1A2D8C"/>
    <w:rsid w:val="3B4042AB"/>
    <w:rsid w:val="3B66210B"/>
    <w:rsid w:val="3B814E71"/>
    <w:rsid w:val="3B972AF7"/>
    <w:rsid w:val="3BB62FA9"/>
    <w:rsid w:val="3BB70D15"/>
    <w:rsid w:val="3BBB09FC"/>
    <w:rsid w:val="3BC91BB9"/>
    <w:rsid w:val="3C120308"/>
    <w:rsid w:val="3C42650A"/>
    <w:rsid w:val="3C762DF2"/>
    <w:rsid w:val="3C7D1D40"/>
    <w:rsid w:val="3C9B51F8"/>
    <w:rsid w:val="3CDD0DBD"/>
    <w:rsid w:val="3D101034"/>
    <w:rsid w:val="3D544EBB"/>
    <w:rsid w:val="3D882CF1"/>
    <w:rsid w:val="3D9814F2"/>
    <w:rsid w:val="3DB213FF"/>
    <w:rsid w:val="3DE32AFA"/>
    <w:rsid w:val="3E0456CC"/>
    <w:rsid w:val="3E136ED4"/>
    <w:rsid w:val="3E2726B6"/>
    <w:rsid w:val="3E8A1A02"/>
    <w:rsid w:val="3E8E765E"/>
    <w:rsid w:val="3EA9393D"/>
    <w:rsid w:val="3EAD0498"/>
    <w:rsid w:val="3EC56D78"/>
    <w:rsid w:val="3EC7715A"/>
    <w:rsid w:val="3ED16A4F"/>
    <w:rsid w:val="3ED17EBE"/>
    <w:rsid w:val="3EDC543E"/>
    <w:rsid w:val="3EED5016"/>
    <w:rsid w:val="3EF52FF7"/>
    <w:rsid w:val="3EF75B65"/>
    <w:rsid w:val="3EFB570C"/>
    <w:rsid w:val="3F2B7413"/>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B26892"/>
    <w:rsid w:val="40E21CB8"/>
    <w:rsid w:val="410F31C3"/>
    <w:rsid w:val="4112553B"/>
    <w:rsid w:val="41344AAB"/>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EF2D9F"/>
    <w:rsid w:val="43F02783"/>
    <w:rsid w:val="443568D7"/>
    <w:rsid w:val="445307F6"/>
    <w:rsid w:val="44656E26"/>
    <w:rsid w:val="446A28D3"/>
    <w:rsid w:val="44786783"/>
    <w:rsid w:val="449457D3"/>
    <w:rsid w:val="44A25A9F"/>
    <w:rsid w:val="44A61055"/>
    <w:rsid w:val="44BE5C95"/>
    <w:rsid w:val="44DD6EB7"/>
    <w:rsid w:val="44E01145"/>
    <w:rsid w:val="450018DF"/>
    <w:rsid w:val="450F2BC2"/>
    <w:rsid w:val="451D2C75"/>
    <w:rsid w:val="454746DD"/>
    <w:rsid w:val="455367B2"/>
    <w:rsid w:val="45555732"/>
    <w:rsid w:val="455F10D7"/>
    <w:rsid w:val="456355DA"/>
    <w:rsid w:val="45741675"/>
    <w:rsid w:val="459C4648"/>
    <w:rsid w:val="45A02EDD"/>
    <w:rsid w:val="45E61BCA"/>
    <w:rsid w:val="45EE32D7"/>
    <w:rsid w:val="4638018C"/>
    <w:rsid w:val="46416C3D"/>
    <w:rsid w:val="46433285"/>
    <w:rsid w:val="46526D41"/>
    <w:rsid w:val="46584865"/>
    <w:rsid w:val="46681B67"/>
    <w:rsid w:val="468200E4"/>
    <w:rsid w:val="46903F4D"/>
    <w:rsid w:val="469815BE"/>
    <w:rsid w:val="46A14FC5"/>
    <w:rsid w:val="46B27CB1"/>
    <w:rsid w:val="46C61B28"/>
    <w:rsid w:val="46D34E98"/>
    <w:rsid w:val="47001117"/>
    <w:rsid w:val="47246805"/>
    <w:rsid w:val="47492E75"/>
    <w:rsid w:val="474F7F9F"/>
    <w:rsid w:val="475F3AC1"/>
    <w:rsid w:val="47844901"/>
    <w:rsid w:val="479A2ED2"/>
    <w:rsid w:val="47B328B4"/>
    <w:rsid w:val="47C13542"/>
    <w:rsid w:val="48113D01"/>
    <w:rsid w:val="484C7B11"/>
    <w:rsid w:val="485E0A04"/>
    <w:rsid w:val="48740F1D"/>
    <w:rsid w:val="48761BE3"/>
    <w:rsid w:val="489C0237"/>
    <w:rsid w:val="489E0EB1"/>
    <w:rsid w:val="48A4548A"/>
    <w:rsid w:val="48A57E1F"/>
    <w:rsid w:val="48B50D92"/>
    <w:rsid w:val="48D80297"/>
    <w:rsid w:val="48DE3BBF"/>
    <w:rsid w:val="48E77164"/>
    <w:rsid w:val="491D19DF"/>
    <w:rsid w:val="49304CB2"/>
    <w:rsid w:val="496F6EBE"/>
    <w:rsid w:val="49814F4C"/>
    <w:rsid w:val="49A364F7"/>
    <w:rsid w:val="49B42429"/>
    <w:rsid w:val="49C4569B"/>
    <w:rsid w:val="4A074043"/>
    <w:rsid w:val="4A090DC7"/>
    <w:rsid w:val="4A091441"/>
    <w:rsid w:val="4A14567E"/>
    <w:rsid w:val="4A1E6180"/>
    <w:rsid w:val="4A2308FE"/>
    <w:rsid w:val="4A287AB1"/>
    <w:rsid w:val="4A5133EE"/>
    <w:rsid w:val="4A5D4EF8"/>
    <w:rsid w:val="4A915C19"/>
    <w:rsid w:val="4A955A49"/>
    <w:rsid w:val="4A9C5501"/>
    <w:rsid w:val="4AAF7BD4"/>
    <w:rsid w:val="4AD80F53"/>
    <w:rsid w:val="4B220653"/>
    <w:rsid w:val="4B2C75A6"/>
    <w:rsid w:val="4B2F25FD"/>
    <w:rsid w:val="4BB15678"/>
    <w:rsid w:val="4BB635D2"/>
    <w:rsid w:val="4BB76960"/>
    <w:rsid w:val="4BD03593"/>
    <w:rsid w:val="4BD63363"/>
    <w:rsid w:val="4BD87666"/>
    <w:rsid w:val="4BE6691C"/>
    <w:rsid w:val="4BF467F9"/>
    <w:rsid w:val="4BF83E44"/>
    <w:rsid w:val="4C276C17"/>
    <w:rsid w:val="4C73767A"/>
    <w:rsid w:val="4C7C0669"/>
    <w:rsid w:val="4C7D0871"/>
    <w:rsid w:val="4C850277"/>
    <w:rsid w:val="4C9904F2"/>
    <w:rsid w:val="4CC70A5A"/>
    <w:rsid w:val="4CC76DFA"/>
    <w:rsid w:val="4D2572CD"/>
    <w:rsid w:val="4D354FF0"/>
    <w:rsid w:val="4D4C32B8"/>
    <w:rsid w:val="4DBB048A"/>
    <w:rsid w:val="4DE07DE4"/>
    <w:rsid w:val="4E0D5D14"/>
    <w:rsid w:val="4E2F45C0"/>
    <w:rsid w:val="4E363F2F"/>
    <w:rsid w:val="4E5E4E8F"/>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2D2C76"/>
    <w:rsid w:val="50614DD7"/>
    <w:rsid w:val="506B628A"/>
    <w:rsid w:val="50787CFE"/>
    <w:rsid w:val="50AE1AE4"/>
    <w:rsid w:val="50FE2631"/>
    <w:rsid w:val="51151D83"/>
    <w:rsid w:val="51167E7F"/>
    <w:rsid w:val="51390032"/>
    <w:rsid w:val="515426DE"/>
    <w:rsid w:val="515C74D2"/>
    <w:rsid w:val="51652C0F"/>
    <w:rsid w:val="518D4538"/>
    <w:rsid w:val="51960DFD"/>
    <w:rsid w:val="51BB2BF3"/>
    <w:rsid w:val="51FD0367"/>
    <w:rsid w:val="52377D55"/>
    <w:rsid w:val="525F7483"/>
    <w:rsid w:val="52862351"/>
    <w:rsid w:val="52984624"/>
    <w:rsid w:val="52F10B24"/>
    <w:rsid w:val="534863AE"/>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5284AD7"/>
    <w:rsid w:val="5530324E"/>
    <w:rsid w:val="55457E29"/>
    <w:rsid w:val="555B0657"/>
    <w:rsid w:val="556032BE"/>
    <w:rsid w:val="55B86023"/>
    <w:rsid w:val="55C151DC"/>
    <w:rsid w:val="55E556DC"/>
    <w:rsid w:val="55FF3036"/>
    <w:rsid w:val="56213505"/>
    <w:rsid w:val="56292705"/>
    <w:rsid w:val="5632227A"/>
    <w:rsid w:val="56482C0E"/>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851D75"/>
    <w:rsid w:val="59B42F07"/>
    <w:rsid w:val="59BB77BA"/>
    <w:rsid w:val="5A2C4220"/>
    <w:rsid w:val="5A316507"/>
    <w:rsid w:val="5A497C34"/>
    <w:rsid w:val="5A4C0E52"/>
    <w:rsid w:val="5A7B33E5"/>
    <w:rsid w:val="5A8C664D"/>
    <w:rsid w:val="5ABD43B1"/>
    <w:rsid w:val="5AC20EBF"/>
    <w:rsid w:val="5ACD5B73"/>
    <w:rsid w:val="5ADF42CD"/>
    <w:rsid w:val="5B050809"/>
    <w:rsid w:val="5B366061"/>
    <w:rsid w:val="5B3846E5"/>
    <w:rsid w:val="5B440B6E"/>
    <w:rsid w:val="5B553BEC"/>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6579C"/>
    <w:rsid w:val="5CBB2347"/>
    <w:rsid w:val="5CC6320E"/>
    <w:rsid w:val="5CC76C7C"/>
    <w:rsid w:val="5CF36024"/>
    <w:rsid w:val="5CFF01AA"/>
    <w:rsid w:val="5D1344DD"/>
    <w:rsid w:val="5D7B6EDD"/>
    <w:rsid w:val="5D806796"/>
    <w:rsid w:val="5D827D40"/>
    <w:rsid w:val="5DC43C07"/>
    <w:rsid w:val="5DCA3A55"/>
    <w:rsid w:val="5DCD3255"/>
    <w:rsid w:val="5E297761"/>
    <w:rsid w:val="5E33770D"/>
    <w:rsid w:val="5E532ADD"/>
    <w:rsid w:val="5E5C4CEE"/>
    <w:rsid w:val="5E610B28"/>
    <w:rsid w:val="5E66579C"/>
    <w:rsid w:val="5E91320F"/>
    <w:rsid w:val="5E915A7A"/>
    <w:rsid w:val="5EA33A97"/>
    <w:rsid w:val="5ED134B6"/>
    <w:rsid w:val="5EF55DBA"/>
    <w:rsid w:val="5F5A7D5B"/>
    <w:rsid w:val="5F6B1358"/>
    <w:rsid w:val="5FC51458"/>
    <w:rsid w:val="5FC866E5"/>
    <w:rsid w:val="5FDC13D8"/>
    <w:rsid w:val="60090629"/>
    <w:rsid w:val="60294439"/>
    <w:rsid w:val="60413F7F"/>
    <w:rsid w:val="60660F52"/>
    <w:rsid w:val="606A3C6B"/>
    <w:rsid w:val="609B5019"/>
    <w:rsid w:val="60B4769E"/>
    <w:rsid w:val="610242F6"/>
    <w:rsid w:val="6119401A"/>
    <w:rsid w:val="611D2CA6"/>
    <w:rsid w:val="61200642"/>
    <w:rsid w:val="61652DB1"/>
    <w:rsid w:val="61970BE7"/>
    <w:rsid w:val="61A20E5D"/>
    <w:rsid w:val="61F17268"/>
    <w:rsid w:val="61FC7432"/>
    <w:rsid w:val="620A3859"/>
    <w:rsid w:val="62204E0F"/>
    <w:rsid w:val="62207D5C"/>
    <w:rsid w:val="624063A3"/>
    <w:rsid w:val="62533606"/>
    <w:rsid w:val="62845968"/>
    <w:rsid w:val="62A86B6F"/>
    <w:rsid w:val="62B35B81"/>
    <w:rsid w:val="62B75EDD"/>
    <w:rsid w:val="62C01D55"/>
    <w:rsid w:val="62C92F2D"/>
    <w:rsid w:val="62D93169"/>
    <w:rsid w:val="62E40282"/>
    <w:rsid w:val="63082048"/>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8F4A0E"/>
    <w:rsid w:val="64937E71"/>
    <w:rsid w:val="6495646A"/>
    <w:rsid w:val="64FA320D"/>
    <w:rsid w:val="65797FD4"/>
    <w:rsid w:val="658D5E16"/>
    <w:rsid w:val="65953363"/>
    <w:rsid w:val="65B841DE"/>
    <w:rsid w:val="65CA03C9"/>
    <w:rsid w:val="65E1661E"/>
    <w:rsid w:val="65E36C18"/>
    <w:rsid w:val="660918F9"/>
    <w:rsid w:val="663B4F53"/>
    <w:rsid w:val="663C1302"/>
    <w:rsid w:val="665F0112"/>
    <w:rsid w:val="667F18FA"/>
    <w:rsid w:val="669A5886"/>
    <w:rsid w:val="66BF54E4"/>
    <w:rsid w:val="67101119"/>
    <w:rsid w:val="67151BB5"/>
    <w:rsid w:val="671C67EA"/>
    <w:rsid w:val="67400D4D"/>
    <w:rsid w:val="677A414A"/>
    <w:rsid w:val="67C952B3"/>
    <w:rsid w:val="67DB4341"/>
    <w:rsid w:val="68720AE2"/>
    <w:rsid w:val="689554F5"/>
    <w:rsid w:val="68AA7215"/>
    <w:rsid w:val="68ED6911"/>
    <w:rsid w:val="6903642B"/>
    <w:rsid w:val="690F1870"/>
    <w:rsid w:val="692F5E27"/>
    <w:rsid w:val="69466675"/>
    <w:rsid w:val="698C2B7F"/>
    <w:rsid w:val="69AB5D7A"/>
    <w:rsid w:val="69F21353"/>
    <w:rsid w:val="69F575F2"/>
    <w:rsid w:val="6A4C7335"/>
    <w:rsid w:val="6A531E39"/>
    <w:rsid w:val="6A545ADB"/>
    <w:rsid w:val="6A5D05BD"/>
    <w:rsid w:val="6A6B273C"/>
    <w:rsid w:val="6A703222"/>
    <w:rsid w:val="6AAA18E6"/>
    <w:rsid w:val="6AC938A9"/>
    <w:rsid w:val="6B2F05BC"/>
    <w:rsid w:val="6B435167"/>
    <w:rsid w:val="6BB237C9"/>
    <w:rsid w:val="6BB37104"/>
    <w:rsid w:val="6BDF1336"/>
    <w:rsid w:val="6C3161F1"/>
    <w:rsid w:val="6C3745DF"/>
    <w:rsid w:val="6C3D4127"/>
    <w:rsid w:val="6C6253EB"/>
    <w:rsid w:val="6C666B72"/>
    <w:rsid w:val="6C8F3EF6"/>
    <w:rsid w:val="6CAD55CC"/>
    <w:rsid w:val="6CBE1616"/>
    <w:rsid w:val="6CC15F94"/>
    <w:rsid w:val="6CD741BA"/>
    <w:rsid w:val="6CDA118A"/>
    <w:rsid w:val="6D0C01A9"/>
    <w:rsid w:val="6D2A44DD"/>
    <w:rsid w:val="6D493A0A"/>
    <w:rsid w:val="6D551BE3"/>
    <w:rsid w:val="6D8E2C9C"/>
    <w:rsid w:val="6DAD51A4"/>
    <w:rsid w:val="6E017D0E"/>
    <w:rsid w:val="6E053E0B"/>
    <w:rsid w:val="6E1E1DB6"/>
    <w:rsid w:val="6E3F4BAC"/>
    <w:rsid w:val="6E735A03"/>
    <w:rsid w:val="6E7D3005"/>
    <w:rsid w:val="6EA04E08"/>
    <w:rsid w:val="6EAA18F7"/>
    <w:rsid w:val="6ECF710B"/>
    <w:rsid w:val="6EEE5D94"/>
    <w:rsid w:val="6F050882"/>
    <w:rsid w:val="6F0B5A13"/>
    <w:rsid w:val="6F1579C7"/>
    <w:rsid w:val="6F62521C"/>
    <w:rsid w:val="6FBC6483"/>
    <w:rsid w:val="6FC130A1"/>
    <w:rsid w:val="6FC26F58"/>
    <w:rsid w:val="6FD761EC"/>
    <w:rsid w:val="6FE52312"/>
    <w:rsid w:val="6FF1085F"/>
    <w:rsid w:val="700F6510"/>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D5E1F"/>
    <w:rsid w:val="72E72EAA"/>
    <w:rsid w:val="72F27051"/>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4F658E"/>
    <w:rsid w:val="7463178E"/>
    <w:rsid w:val="746371B3"/>
    <w:rsid w:val="747A43C9"/>
    <w:rsid w:val="74D13624"/>
    <w:rsid w:val="7508529D"/>
    <w:rsid w:val="752C3218"/>
    <w:rsid w:val="75397634"/>
    <w:rsid w:val="75537CD8"/>
    <w:rsid w:val="75595BE3"/>
    <w:rsid w:val="757606EF"/>
    <w:rsid w:val="75844FC1"/>
    <w:rsid w:val="75920919"/>
    <w:rsid w:val="75EE069B"/>
    <w:rsid w:val="7615419A"/>
    <w:rsid w:val="76172D6A"/>
    <w:rsid w:val="761A409E"/>
    <w:rsid w:val="762F02D7"/>
    <w:rsid w:val="763D7340"/>
    <w:rsid w:val="76512EE8"/>
    <w:rsid w:val="767A6C09"/>
    <w:rsid w:val="76880BA0"/>
    <w:rsid w:val="76885BC7"/>
    <w:rsid w:val="768C19C1"/>
    <w:rsid w:val="768C2564"/>
    <w:rsid w:val="76991D18"/>
    <w:rsid w:val="76BA43D5"/>
    <w:rsid w:val="76BE21DC"/>
    <w:rsid w:val="76CD5B13"/>
    <w:rsid w:val="76DF3C76"/>
    <w:rsid w:val="76EB41A9"/>
    <w:rsid w:val="76F71295"/>
    <w:rsid w:val="76FC2CE2"/>
    <w:rsid w:val="7706359E"/>
    <w:rsid w:val="771A5653"/>
    <w:rsid w:val="771B5FB2"/>
    <w:rsid w:val="772A75AD"/>
    <w:rsid w:val="7734542F"/>
    <w:rsid w:val="774073C9"/>
    <w:rsid w:val="77460079"/>
    <w:rsid w:val="77567D26"/>
    <w:rsid w:val="77574E5D"/>
    <w:rsid w:val="775D2B17"/>
    <w:rsid w:val="7760235E"/>
    <w:rsid w:val="777D4FBC"/>
    <w:rsid w:val="77C64121"/>
    <w:rsid w:val="77CD3C5D"/>
    <w:rsid w:val="77FD4667"/>
    <w:rsid w:val="781200C6"/>
    <w:rsid w:val="78150104"/>
    <w:rsid w:val="786B1829"/>
    <w:rsid w:val="78C7234E"/>
    <w:rsid w:val="791063B8"/>
    <w:rsid w:val="79235A1B"/>
    <w:rsid w:val="793E7F2E"/>
    <w:rsid w:val="796362D3"/>
    <w:rsid w:val="79827C27"/>
    <w:rsid w:val="798834D2"/>
    <w:rsid w:val="799B7D73"/>
    <w:rsid w:val="79B07BB3"/>
    <w:rsid w:val="79B7369F"/>
    <w:rsid w:val="79D510F0"/>
    <w:rsid w:val="79ED59B1"/>
    <w:rsid w:val="79F56CDC"/>
    <w:rsid w:val="79FE2BE1"/>
    <w:rsid w:val="7A032271"/>
    <w:rsid w:val="7A320BDB"/>
    <w:rsid w:val="7A491583"/>
    <w:rsid w:val="7A5B6EDF"/>
    <w:rsid w:val="7A5D2F7E"/>
    <w:rsid w:val="7A676444"/>
    <w:rsid w:val="7A72534A"/>
    <w:rsid w:val="7A832DB1"/>
    <w:rsid w:val="7A8F7D69"/>
    <w:rsid w:val="7A9C5FF5"/>
    <w:rsid w:val="7AA27F96"/>
    <w:rsid w:val="7AB320ED"/>
    <w:rsid w:val="7AC2422A"/>
    <w:rsid w:val="7AD44A1D"/>
    <w:rsid w:val="7B045A0E"/>
    <w:rsid w:val="7B137629"/>
    <w:rsid w:val="7B1B29C2"/>
    <w:rsid w:val="7B394186"/>
    <w:rsid w:val="7B832034"/>
    <w:rsid w:val="7BA57F90"/>
    <w:rsid w:val="7BBC18FF"/>
    <w:rsid w:val="7C100290"/>
    <w:rsid w:val="7C151FE3"/>
    <w:rsid w:val="7C1C168E"/>
    <w:rsid w:val="7C1D63E0"/>
    <w:rsid w:val="7C2925EF"/>
    <w:rsid w:val="7C463AF9"/>
    <w:rsid w:val="7C691C0E"/>
    <w:rsid w:val="7C7654E0"/>
    <w:rsid w:val="7C9D56FC"/>
    <w:rsid w:val="7C9E2AE3"/>
    <w:rsid w:val="7CA34E3A"/>
    <w:rsid w:val="7CAC238D"/>
    <w:rsid w:val="7CDE5607"/>
    <w:rsid w:val="7D0D23F8"/>
    <w:rsid w:val="7D1819A4"/>
    <w:rsid w:val="7D57537E"/>
    <w:rsid w:val="7D657DFF"/>
    <w:rsid w:val="7D79413D"/>
    <w:rsid w:val="7D872924"/>
    <w:rsid w:val="7D8F5F9C"/>
    <w:rsid w:val="7D97637C"/>
    <w:rsid w:val="7E180A37"/>
    <w:rsid w:val="7E252BD1"/>
    <w:rsid w:val="7E2D4483"/>
    <w:rsid w:val="7E327A3B"/>
    <w:rsid w:val="7E361C85"/>
    <w:rsid w:val="7E621BA9"/>
    <w:rsid w:val="7E665892"/>
    <w:rsid w:val="7E782BA9"/>
    <w:rsid w:val="7E9213CC"/>
    <w:rsid w:val="7EA926FF"/>
    <w:rsid w:val="7EAA18EA"/>
    <w:rsid w:val="7EC93E9C"/>
    <w:rsid w:val="7EF33F65"/>
    <w:rsid w:val="7EFA1C61"/>
    <w:rsid w:val="7F0300DD"/>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3">
    <w:name w:val="heading 1"/>
    <w:basedOn w:val="1"/>
    <w:next w:val="1"/>
    <w:link w:val="70"/>
    <w:qFormat/>
    <w:uiPriority w:val="0"/>
    <w:pPr>
      <w:outlineLvl w:val="0"/>
    </w:pPr>
  </w:style>
  <w:style w:type="paragraph" w:styleId="2">
    <w:name w:val="heading 2"/>
    <w:basedOn w:val="1"/>
    <w:next w:val="1"/>
    <w:qFormat/>
    <w:uiPriority w:val="0"/>
    <w:pPr>
      <w:outlineLvl w:val="1"/>
    </w:pPr>
    <w:rPr>
      <w:rFonts w:hAnsi="宋体"/>
      <w:b/>
    </w:rPr>
  </w:style>
  <w:style w:type="paragraph" w:styleId="4">
    <w:name w:val="heading 3"/>
    <w:basedOn w:val="1"/>
    <w:next w:val="1"/>
    <w:qFormat/>
    <w:uiPriority w:val="0"/>
    <w:pPr>
      <w:outlineLvl w:val="2"/>
    </w:p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7">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8">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9">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0">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440"/>
    </w:pPr>
    <w:rPr>
      <w:rFonts w:ascii="Calibri" w:cs="Calibri"/>
      <w:sz w:val="18"/>
      <w:szCs w:val="18"/>
    </w:rPr>
  </w:style>
  <w:style w:type="paragraph" w:styleId="12">
    <w:name w:val="Normal Indent"/>
    <w:basedOn w:val="1"/>
    <w:link w:val="76"/>
    <w:qFormat/>
    <w:uiPriority w:val="0"/>
    <w:pPr>
      <w:widowControl/>
      <w:autoSpaceDE/>
      <w:autoSpaceDN/>
      <w:adjustRightInd/>
      <w:ind w:firstLine="420" w:firstLineChars="200"/>
    </w:pPr>
    <w:rPr>
      <w:rFonts w:ascii="Calibri"/>
      <w:sz w:val="20"/>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List Bullet"/>
    <w:basedOn w:val="15"/>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5">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8">
    <w:name w:val="annotation text"/>
    <w:basedOn w:val="1"/>
    <w:link w:val="183"/>
    <w:qFormat/>
    <w:uiPriority w:val="0"/>
    <w:pPr>
      <w:widowControl/>
      <w:autoSpaceDE/>
      <w:autoSpaceDN/>
      <w:adjustRightInd/>
    </w:pPr>
    <w:rPr>
      <w:rFonts w:ascii="Times New Roman"/>
      <w:sz w:val="21"/>
      <w:szCs w:val="20"/>
    </w:rPr>
  </w:style>
  <w:style w:type="paragraph" w:styleId="19">
    <w:name w:val="Body Text 3"/>
    <w:basedOn w:val="1"/>
    <w:qFormat/>
    <w:uiPriority w:val="0"/>
    <w:pPr>
      <w:ind w:right="-26"/>
      <w:jc w:val="center"/>
    </w:pPr>
    <w:rPr>
      <w:b/>
      <w:bCs/>
      <w:color w:val="3366FF"/>
      <w:kern w:val="2"/>
      <w:sz w:val="52"/>
      <w:szCs w:val="52"/>
      <w:lang w:val="zh-CN"/>
    </w:rPr>
  </w:style>
  <w:style w:type="paragraph" w:styleId="20">
    <w:name w:val="Body Text"/>
    <w:basedOn w:val="1"/>
    <w:next w:val="21"/>
    <w:link w:val="81"/>
    <w:qFormat/>
    <w:uiPriority w:val="0"/>
    <w:pPr>
      <w:ind w:right="-26"/>
      <w:jc w:val="center"/>
    </w:pPr>
    <w:rPr>
      <w:rFonts w:hAnsi="Times New Roman"/>
      <w:b/>
      <w:bCs/>
      <w:kern w:val="2"/>
      <w:sz w:val="84"/>
      <w:szCs w:val="84"/>
      <w:lang w:val="zh-CN"/>
    </w:rPr>
  </w:style>
  <w:style w:type="paragraph" w:styleId="21">
    <w:name w:val="Body Text First Indent"/>
    <w:basedOn w:val="20"/>
    <w:next w:val="22"/>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22">
    <w:name w:val="toc 6"/>
    <w:basedOn w:val="1"/>
    <w:next w:val="1"/>
    <w:qFormat/>
    <w:uiPriority w:val="0"/>
    <w:pPr>
      <w:ind w:left="1200"/>
    </w:pPr>
    <w:rPr>
      <w:rFonts w:ascii="Calibri" w:cs="Calibri"/>
      <w:sz w:val="18"/>
      <w:szCs w:val="18"/>
    </w:rPr>
  </w:style>
  <w:style w:type="paragraph" w:styleId="23">
    <w:name w:val="Body Text Indent"/>
    <w:basedOn w:val="1"/>
    <w:qFormat/>
    <w:uiPriority w:val="0"/>
    <w:pPr>
      <w:autoSpaceDE/>
      <w:autoSpaceDN/>
      <w:adjustRightInd/>
      <w:ind w:left="567" w:leftChars="270"/>
      <w:jc w:val="both"/>
    </w:pPr>
    <w:rPr>
      <w:rFonts w:ascii="Times New Roman"/>
      <w:kern w:val="2"/>
      <w:sz w:val="21"/>
      <w:szCs w:val="20"/>
    </w:rPr>
  </w:style>
  <w:style w:type="paragraph" w:styleId="24">
    <w:name w:val="List Number 3"/>
    <w:basedOn w:val="1"/>
    <w:qFormat/>
    <w:uiPriority w:val="0"/>
    <w:pPr>
      <w:numPr>
        <w:ilvl w:val="0"/>
        <w:numId w:val="3"/>
      </w:numPr>
    </w:pPr>
  </w:style>
  <w:style w:type="paragraph" w:styleId="25">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6">
    <w:name w:val="Block Text"/>
    <w:basedOn w:val="1"/>
    <w:qFormat/>
    <w:uiPriority w:val="0"/>
    <w:pPr>
      <w:spacing w:after="120"/>
      <w:ind w:left="1440" w:leftChars="700" w:right="1440" w:rightChars="700"/>
    </w:pPr>
  </w:style>
  <w:style w:type="paragraph" w:styleId="27">
    <w:name w:val="toc 5"/>
    <w:basedOn w:val="1"/>
    <w:next w:val="1"/>
    <w:qFormat/>
    <w:uiPriority w:val="0"/>
    <w:pPr>
      <w:ind w:left="960"/>
    </w:pPr>
    <w:rPr>
      <w:rFonts w:ascii="Calibri" w:cs="Calibri"/>
      <w:sz w:val="18"/>
      <w:szCs w:val="18"/>
    </w:rPr>
  </w:style>
  <w:style w:type="paragraph" w:styleId="28">
    <w:name w:val="toc 3"/>
    <w:basedOn w:val="1"/>
    <w:next w:val="1"/>
    <w:qFormat/>
    <w:uiPriority w:val="0"/>
    <w:pPr>
      <w:ind w:left="480"/>
    </w:pPr>
    <w:rPr>
      <w:rFonts w:ascii="Calibri" w:cs="Calibri"/>
      <w:i/>
      <w:iCs/>
      <w:sz w:val="20"/>
      <w:szCs w:val="20"/>
    </w:rPr>
  </w:style>
  <w:style w:type="paragraph" w:styleId="29">
    <w:name w:val="Plain Text"/>
    <w:basedOn w:val="1"/>
    <w:next w:val="1"/>
    <w:link w:val="77"/>
    <w:qFormat/>
    <w:uiPriority w:val="0"/>
    <w:pPr>
      <w:autoSpaceDE/>
      <w:autoSpaceDN/>
      <w:adjustRightInd/>
      <w:jc w:val="both"/>
    </w:pPr>
    <w:rPr>
      <w:rFonts w:hAnsi="Courier New"/>
      <w:kern w:val="2"/>
      <w:sz w:val="21"/>
      <w:szCs w:val="20"/>
    </w:rPr>
  </w:style>
  <w:style w:type="paragraph" w:styleId="30">
    <w:name w:val="toc 8"/>
    <w:basedOn w:val="1"/>
    <w:next w:val="1"/>
    <w:qFormat/>
    <w:uiPriority w:val="0"/>
    <w:pPr>
      <w:ind w:left="1680"/>
    </w:pPr>
    <w:rPr>
      <w:rFonts w:asci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ody Text Indent 2"/>
    <w:basedOn w:val="1"/>
    <w:qFormat/>
    <w:uiPriority w:val="0"/>
    <w:pPr>
      <w:tabs>
        <w:tab w:val="left" w:pos="8640"/>
      </w:tabs>
      <w:autoSpaceDE/>
      <w:autoSpaceDN/>
      <w:adjustRightInd/>
      <w:ind w:left="1260"/>
      <w:jc w:val="both"/>
    </w:pPr>
    <w:rPr>
      <w:kern w:val="2"/>
      <w:sz w:val="21"/>
      <w:szCs w:val="20"/>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90"/>
    <w:qFormat/>
    <w:uiPriority w:val="0"/>
    <w:pPr>
      <w:tabs>
        <w:tab w:val="center" w:pos="4153"/>
        <w:tab w:val="right" w:pos="8306"/>
      </w:tabs>
      <w:snapToGrid w:val="0"/>
    </w:pPr>
    <w:rPr>
      <w:rFonts w:hAnsi="Times New Roman"/>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after="120"/>
    </w:pPr>
    <w:rPr>
      <w:rFonts w:ascii="Calibri" w:cs="Calibri"/>
      <w:b/>
      <w:bCs/>
      <w:caps/>
      <w:sz w:val="20"/>
      <w:szCs w:val="20"/>
    </w:rPr>
  </w:style>
  <w:style w:type="paragraph" w:styleId="37">
    <w:name w:val="toc 4"/>
    <w:basedOn w:val="1"/>
    <w:next w:val="1"/>
    <w:qFormat/>
    <w:uiPriority w:val="0"/>
    <w:pPr>
      <w:ind w:left="720"/>
    </w:pPr>
    <w:rPr>
      <w:rFonts w:asci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18"/>
    <w:next w:val="18"/>
    <w:qFormat/>
    <w:uiPriority w:val="0"/>
    <w:rPr>
      <w:b/>
      <w:bCs/>
    </w:rPr>
  </w:style>
  <w:style w:type="paragraph" w:styleId="50">
    <w:name w:val="Body Text First Indent 2"/>
    <w:basedOn w:val="23"/>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首行缩进"/>
    <w:basedOn w:val="1"/>
    <w:qFormat/>
    <w:uiPriority w:val="0"/>
    <w:pPr>
      <w:ind w:firstLine="480" w:firstLineChars="200"/>
    </w:pPr>
    <w:rPr>
      <w:lang w:val="zh-CN"/>
    </w:rPr>
  </w:style>
  <w:style w:type="paragraph" w:customStyle="1" w:styleId="61">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4"/>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字符"/>
    <w:link w:val="3"/>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字符"/>
    <w:link w:val="12"/>
    <w:qFormat/>
    <w:uiPriority w:val="0"/>
    <w:rPr>
      <w:rFonts w:eastAsia="宋体"/>
      <w:lang w:val="en-US" w:eastAsia="zh-CN" w:bidi="ar-SA"/>
    </w:rPr>
  </w:style>
  <w:style w:type="character" w:customStyle="1" w:styleId="77">
    <w:name w:val="纯文本 字符"/>
    <w:link w:val="29"/>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字符"/>
    <w:link w:val="20"/>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字符"/>
    <w:link w:val="35"/>
    <w:qFormat/>
    <w:uiPriority w:val="0"/>
    <w:rPr>
      <w:rFonts w:ascii="宋体"/>
      <w:sz w:val="18"/>
      <w:szCs w:val="18"/>
    </w:rPr>
  </w:style>
  <w:style w:type="character" w:customStyle="1" w:styleId="87">
    <w:name w:val="HTML 预设格式 字符"/>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字符"/>
    <w:link w:val="40"/>
    <w:qFormat/>
    <w:uiPriority w:val="0"/>
    <w:rPr>
      <w:rFonts w:ascii="Arial" w:hAnsi="Arial"/>
      <w:b/>
      <w:kern w:val="28"/>
      <w:sz w:val="32"/>
    </w:rPr>
  </w:style>
  <w:style w:type="character" w:customStyle="1" w:styleId="90">
    <w:name w:val="页脚 字符"/>
    <w:link w:val="34"/>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3"/>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3"/>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2"/>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6"/>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2"/>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4"/>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3"/>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40"/>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12"/>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3"/>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4"/>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3"/>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6"/>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3"/>
    <w:next w:val="13"/>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4"/>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9"/>
    <w:qFormat/>
    <w:uiPriority w:val="0"/>
    <w:pPr>
      <w:jc w:val="center"/>
    </w:pPr>
    <w:rPr>
      <w:rFonts w:hAnsi="Times New Roman"/>
      <w:b/>
    </w:rPr>
  </w:style>
  <w:style w:type="paragraph" w:customStyle="1" w:styleId="164">
    <w:name w:val="日期右"/>
    <w:basedOn w:val="31"/>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0"/>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3"/>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6"/>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字符"/>
    <w:basedOn w:val="53"/>
    <w:link w:val="18"/>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paragraph" w:customStyle="1" w:styleId="185">
    <w:name w:val="WPSOffice手动目录 1"/>
    <w:qFormat/>
    <w:uiPriority w:val="0"/>
    <w:rPr>
      <w:rFonts w:ascii="Times New Roman" w:hAnsi="Times New Roman" w:eastAsia="宋体" w:cs="Times New Roman"/>
      <w:lang w:val="en-US" w:eastAsia="zh-CN" w:bidi="ar-SA"/>
    </w:rPr>
  </w:style>
  <w:style w:type="character" w:customStyle="1" w:styleId="186">
    <w:name w:val="font121"/>
    <w:basedOn w:val="53"/>
    <w:qFormat/>
    <w:uiPriority w:val="0"/>
    <w:rPr>
      <w:rFonts w:hint="default" w:ascii="思源黑体 CN Regular" w:hAnsi="思源黑体 CN Regular" w:eastAsia="思源黑体 CN Regular" w:cs="思源黑体 CN Regular"/>
      <w:b/>
      <w:bCs/>
      <w:color w:val="545454"/>
      <w:sz w:val="24"/>
      <w:szCs w:val="24"/>
      <w:u w:val="none"/>
    </w:rPr>
  </w:style>
  <w:style w:type="character" w:customStyle="1" w:styleId="187">
    <w:name w:val="font112"/>
    <w:basedOn w:val="53"/>
    <w:qFormat/>
    <w:uiPriority w:val="0"/>
    <w:rPr>
      <w:rFonts w:hint="default" w:ascii="思源黑体 CN Regular" w:hAnsi="思源黑体 CN Regular" w:eastAsia="思源黑体 CN Regular" w:cs="思源黑体 CN Regular"/>
      <w:b/>
      <w:bCs/>
      <w:color w:val="444444"/>
      <w:sz w:val="24"/>
      <w:szCs w:val="24"/>
      <w:u w:val="none"/>
    </w:rPr>
  </w:style>
  <w:style w:type="character" w:customStyle="1" w:styleId="188">
    <w:name w:val="font131"/>
    <w:basedOn w:val="53"/>
    <w:qFormat/>
    <w:uiPriority w:val="0"/>
    <w:rPr>
      <w:rFonts w:hint="default" w:ascii="思源黑体 CN Regular" w:hAnsi="思源黑体 CN Regular" w:eastAsia="思源黑体 CN Regular" w:cs="思源黑体 CN Regular"/>
      <w:b/>
      <w:bCs/>
      <w:color w:val="646464"/>
      <w:sz w:val="24"/>
      <w:szCs w:val="24"/>
      <w:u w:val="none"/>
    </w:rPr>
  </w:style>
  <w:style w:type="character" w:customStyle="1" w:styleId="189">
    <w:name w:val="font291"/>
    <w:basedOn w:val="53"/>
    <w:qFormat/>
    <w:uiPriority w:val="0"/>
    <w:rPr>
      <w:rFonts w:hint="default" w:ascii="思源黑体 CN Regular" w:hAnsi="思源黑体 CN Regular" w:eastAsia="思源黑体 CN Regular" w:cs="思源黑体 CN Regular"/>
      <w:b/>
      <w:bCs/>
      <w:color w:val="212121"/>
      <w:sz w:val="24"/>
      <w:szCs w:val="24"/>
      <w:u w:val="none"/>
    </w:rPr>
  </w:style>
  <w:style w:type="character" w:customStyle="1" w:styleId="190">
    <w:name w:val="font301"/>
    <w:basedOn w:val="53"/>
    <w:qFormat/>
    <w:uiPriority w:val="0"/>
    <w:rPr>
      <w:rFonts w:hint="default" w:ascii="思源黑体 CN Regular" w:hAnsi="思源黑体 CN Regular" w:eastAsia="思源黑体 CN Regular" w:cs="思源黑体 CN Regular"/>
      <w:b/>
      <w:bCs/>
      <w:color w:val="444444"/>
      <w:sz w:val="24"/>
      <w:szCs w:val="24"/>
      <w:u w:val="none"/>
    </w:rPr>
  </w:style>
  <w:style w:type="paragraph" w:customStyle="1" w:styleId="191">
    <w:name w:val="Revision"/>
    <w:hidden/>
    <w:semiHidden/>
    <w:qFormat/>
    <w:uiPriority w:val="99"/>
    <w:rPr>
      <w:rFonts w:ascii="宋体" w:hAnsi="Calibri" w:eastAsia="宋体" w:cs="宋体"/>
      <w:sz w:val="24"/>
      <w:szCs w:val="24"/>
      <w:lang w:val="en-US" w:eastAsia="zh-CN" w:bidi="ar-SA"/>
    </w:rPr>
  </w:style>
  <w:style w:type="character" w:customStyle="1" w:styleId="192">
    <w:name w:val="font51"/>
    <w:basedOn w:val="53"/>
    <w:qFormat/>
    <w:uiPriority w:val="0"/>
    <w:rPr>
      <w:rFonts w:hint="eastAsia" w:ascii="宋体" w:hAnsi="宋体" w:eastAsia="宋体" w:cs="宋体"/>
      <w:color w:val="000000"/>
      <w:sz w:val="20"/>
      <w:szCs w:val="20"/>
      <w:u w:val="none"/>
    </w:rPr>
  </w:style>
  <w:style w:type="paragraph" w:customStyle="1" w:styleId="193">
    <w:name w:val="列出段落11"/>
    <w:basedOn w:val="1"/>
    <w:qFormat/>
    <w:uiPriority w:val="99"/>
    <w:pPr>
      <w:widowControl w:val="0"/>
      <w:adjustRightInd/>
      <w:snapToGrid/>
      <w:spacing w:after="0" w:line="360" w:lineRule="auto"/>
      <w:ind w:firstLine="420" w:firstLineChars="200"/>
      <w:jc w:val="both"/>
    </w:pPr>
    <w:rPr>
      <w:rFonts w:ascii="Times New Roman" w:hAnsi="Times New Roman" w:eastAsia="宋体" w:cs="Times New Roman"/>
      <w:kern w:val="2"/>
      <w:sz w:val="24"/>
      <w:szCs w:val="24"/>
    </w:rPr>
  </w:style>
  <w:style w:type="character" w:customStyle="1" w:styleId="194">
    <w:name w:val="font31"/>
    <w:basedOn w:val="53"/>
    <w:qFormat/>
    <w:uiPriority w:val="0"/>
    <w:rPr>
      <w:rFonts w:hint="eastAsia" w:ascii="宋体" w:hAnsi="宋体" w:eastAsia="宋体" w:cs="宋体"/>
      <w:color w:val="000000"/>
      <w:sz w:val="24"/>
      <w:szCs w:val="24"/>
      <w:u w:val="none"/>
    </w:rPr>
  </w:style>
  <w:style w:type="character" w:customStyle="1" w:styleId="195">
    <w:name w:val="font122"/>
    <w:basedOn w:val="53"/>
    <w:qFormat/>
    <w:uiPriority w:val="0"/>
    <w:rPr>
      <w:rFonts w:hint="eastAsia" w:ascii="宋体" w:hAnsi="宋体" w:eastAsia="宋体" w:cs="宋体"/>
      <w:b/>
      <w:bCs/>
      <w:color w:val="000000"/>
      <w:sz w:val="20"/>
      <w:szCs w:val="20"/>
      <w:u w:val="none"/>
    </w:rPr>
  </w:style>
  <w:style w:type="character" w:customStyle="1" w:styleId="196">
    <w:name w:val="font71"/>
    <w:basedOn w:val="53"/>
    <w:qFormat/>
    <w:uiPriority w:val="0"/>
    <w:rPr>
      <w:rFonts w:hint="eastAsia" w:ascii="宋体" w:hAnsi="宋体" w:eastAsia="宋体" w:cs="宋体"/>
      <w:color w:val="000000"/>
      <w:sz w:val="20"/>
      <w:szCs w:val="20"/>
      <w:u w:val="none"/>
    </w:rPr>
  </w:style>
  <w:style w:type="character" w:customStyle="1" w:styleId="197">
    <w:name w:val="font221"/>
    <w:basedOn w:val="53"/>
    <w:qFormat/>
    <w:uiPriority w:val="0"/>
    <w:rPr>
      <w:rFonts w:hint="default" w:ascii="Times New Roman" w:hAnsi="Times New Roman" w:cs="Times New Roman"/>
      <w:color w:val="000000"/>
      <w:sz w:val="20"/>
      <w:szCs w:val="20"/>
      <w:u w:val="none"/>
    </w:rPr>
  </w:style>
  <w:style w:type="character" w:customStyle="1" w:styleId="198">
    <w:name w:val="font231"/>
    <w:basedOn w:val="53"/>
    <w:qFormat/>
    <w:uiPriority w:val="0"/>
    <w:rPr>
      <w:rFonts w:hint="eastAsia" w:ascii="宋体" w:hAnsi="宋体" w:eastAsia="宋体" w:cs="宋体"/>
      <w:color w:val="000000"/>
      <w:sz w:val="20"/>
      <w:szCs w:val="20"/>
      <w:u w:val="none"/>
    </w:rPr>
  </w:style>
  <w:style w:type="paragraph" w:customStyle="1" w:styleId="199">
    <w:name w:val="Body text|1"/>
    <w:basedOn w:val="1"/>
    <w:qFormat/>
    <w:uiPriority w:val="0"/>
    <w:pPr>
      <w:spacing w:line="437"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55</Pages>
  <Words>28452</Words>
  <Characters>29393</Characters>
  <Lines>424</Lines>
  <Paragraphs>119</Paragraphs>
  <TotalTime>83</TotalTime>
  <ScaleCrop>false</ScaleCrop>
  <LinksUpToDate>false</LinksUpToDate>
  <CharactersWithSpaces>30288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2022-11-03T07:39:00Z</dcterms:created>
  <dc:creator>lyy</dc:creator>
  <cp:lastModifiedBy>WY</cp:lastModifiedBy>
  <cp:lastPrinted>2023-03-16T00:52:00Z</cp:lastPrinted>
  <dcterms:modified xsi:type="dcterms:W3CDTF">2023-04-07T07:51:36Z</dcterms:modified>
  <dc:title>货物公开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BE46E9DEE2714EB197FD37FACD6FB7EC_13</vt:lpwstr>
  </property>
</Properties>
</file>