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widowControl/>
        <w:spacing w:line="360" w:lineRule="auto"/>
        <w:ind w:right="-26"/>
        <w:jc w:val="center"/>
        <w:textAlignment w:val="bottom"/>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松山湖大学创新城--创投大厦A塔、B塔室外灯光采购项目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TTWY-22018</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松山湖大学创新城--创投大厦A塔、B塔室外灯光采购项目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TTWY-22018</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8"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w:t>
      </w:r>
      <w:r>
        <w:rPr>
          <w:rFonts w:hint="eastAsia" w:ascii="黑体" w:hAnsi="黑体" w:eastAsia="黑体" w:cs="黑体"/>
          <w:b/>
          <w:color w:val="auto"/>
          <w:sz w:val="32"/>
          <w:highlight w:val="none"/>
          <w:lang w:val="en-US" w:eastAsia="zh-CN"/>
        </w:rPr>
        <w:t>二</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 xml:space="preserve">  </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color w:val="auto"/>
          <w:sz w:val="32"/>
          <w:szCs w:val="32"/>
          <w:highlight w:val="none"/>
        </w:rPr>
      </w:pPr>
      <w:bookmarkStart w:id="1"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w:t>
      </w:r>
      <w:r>
        <w:rPr>
          <w:rFonts w:hint="eastAsia" w:ascii="黑体" w:hAnsi="黑体" w:eastAsia="黑体" w:cs="黑体"/>
          <w:color w:val="auto"/>
          <w:highlight w:val="none"/>
          <w:lang w:eastAsia="zh-CN"/>
        </w:rPr>
        <w:t>报价</w:t>
      </w:r>
      <w:r>
        <w:rPr>
          <w:rFonts w:hint="eastAsia" w:ascii="黑体" w:hAnsi="黑体" w:eastAsia="黑体" w:cs="黑体"/>
          <w:color w:val="auto"/>
          <w:highlight w:val="none"/>
        </w:rPr>
        <w:t>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w:t>
      </w:r>
      <w:r>
        <w:rPr>
          <w:rFonts w:hint="eastAsia" w:ascii="黑体" w:hAnsi="黑体" w:eastAsia="黑体" w:cs="黑体"/>
          <w:color w:val="auto"/>
          <w:highlight w:val="none"/>
          <w:lang w:eastAsia="zh-CN"/>
        </w:rPr>
        <w:t>采购</w:t>
      </w:r>
      <w:r>
        <w:rPr>
          <w:rFonts w:hint="eastAsia" w:ascii="黑体" w:hAnsi="黑体" w:eastAsia="黑体" w:cs="黑体"/>
          <w:color w:val="auto"/>
          <w:highlight w:val="none"/>
        </w:rPr>
        <w:t>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7"/>
        <w:rPr>
          <w:rFonts w:hAnsi="宋体"/>
          <w:b/>
          <w:bCs/>
          <w:color w:val="auto"/>
          <w:sz w:val="32"/>
          <w:szCs w:val="32"/>
          <w:highlight w:val="none"/>
          <w:lang w:val="zh-CN"/>
        </w:rPr>
      </w:pPr>
    </w:p>
    <w:p>
      <w:pPr>
        <w:pStyle w:val="7"/>
        <w:rPr>
          <w:rFonts w:hAnsi="宋体"/>
          <w:b/>
          <w:bCs/>
          <w:color w:val="auto"/>
          <w:sz w:val="32"/>
          <w:szCs w:val="32"/>
          <w:highlight w:val="none"/>
          <w:lang w:val="zh-CN"/>
        </w:rPr>
      </w:pPr>
    </w:p>
    <w:p>
      <w:pPr>
        <w:jc w:val="center"/>
        <w:rPr>
          <w:color w:val="auto"/>
          <w:highlight w:val="none"/>
        </w:rPr>
      </w:pPr>
      <w:r>
        <w:rPr>
          <w:rFonts w:hAnsi="宋体"/>
          <w:b/>
          <w:bCs/>
          <w:color w:val="auto"/>
          <w:sz w:val="32"/>
          <w:szCs w:val="32"/>
          <w:highlight w:val="none"/>
          <w:lang w:val="zh-CN"/>
        </w:rPr>
        <w:t>目录</w:t>
      </w:r>
      <w:bookmarkStart w:id="2" w:name="_Toc396137229"/>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"_Toc27261" </w:instrText>
      </w:r>
      <w:r>
        <w:rPr>
          <w:color w:val="auto"/>
          <w:highlight w:val="none"/>
        </w:rPr>
        <w:fldChar w:fldCharType="separate"/>
      </w:r>
      <w:r>
        <w:rPr>
          <w:rFonts w:hAnsi="宋体"/>
          <w:color w:val="auto"/>
          <w:kern w:val="44"/>
          <w:sz w:val="24"/>
          <w:szCs w:val="24"/>
          <w:highlight w:val="none"/>
          <w:lang w:val="zh-CN"/>
        </w:rPr>
        <w:t xml:space="preserve">第一篇 </w:t>
      </w:r>
      <w:r>
        <w:rPr>
          <w:rFonts w:hint="eastAsia" w:hAnsi="宋体"/>
          <w:color w:val="auto"/>
          <w:kern w:val="44"/>
          <w:sz w:val="24"/>
          <w:szCs w:val="24"/>
          <w:highlight w:val="none"/>
        </w:rPr>
        <w:t>磋商邀请书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_Toc27261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Ansi="宋体"/>
          <w:color w:val="auto"/>
          <w:kern w:val="44"/>
          <w:sz w:val="24"/>
          <w:szCs w:val="24"/>
          <w:highlight w:val="none"/>
          <w:lang w:val="zh-CN"/>
        </w:rPr>
        <w:t xml:space="preserve">第二篇 </w:t>
      </w:r>
      <w:r>
        <w:rPr>
          <w:rFonts w:hint="eastAsia" w:hAnsi="宋体"/>
          <w:color w:val="auto"/>
          <w:kern w:val="44"/>
          <w:sz w:val="24"/>
          <w:szCs w:val="24"/>
          <w:highlight w:val="none"/>
          <w:lang w:val="zh-CN"/>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_Toc16634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Ansi="宋体"/>
          <w:color w:val="auto"/>
          <w:kern w:val="44"/>
          <w:sz w:val="24"/>
          <w:szCs w:val="24"/>
          <w:highlight w:val="none"/>
          <w:lang w:val="zh-CN"/>
        </w:rPr>
        <w:t xml:space="preserve">第三篇 </w:t>
      </w:r>
      <w:r>
        <w:rPr>
          <w:rFonts w:hint="eastAsia" w:hAnsi="宋体"/>
          <w:color w:val="auto"/>
          <w:kern w:val="44"/>
          <w:sz w:val="24"/>
          <w:szCs w:val="24"/>
          <w:highlight w:val="none"/>
          <w:lang w:val="zh-CN"/>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_Toc22751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"_Toc13957" </w:instrText>
      </w:r>
      <w:r>
        <w:rPr>
          <w:color w:val="auto"/>
          <w:highlight w:val="none"/>
        </w:rPr>
        <w:fldChar w:fldCharType="separate"/>
      </w:r>
      <w:r>
        <w:rPr>
          <w:rFonts w:hAnsi="宋体"/>
          <w:color w:val="auto"/>
          <w:kern w:val="44"/>
          <w:sz w:val="24"/>
          <w:szCs w:val="24"/>
          <w:highlight w:val="none"/>
          <w:lang w:val="zh-CN"/>
        </w:rPr>
        <w:t xml:space="preserve">第四篇 </w:t>
      </w:r>
      <w:r>
        <w:rPr>
          <w:rFonts w:hint="eastAsia" w:hAnsi="宋体"/>
          <w:color w:val="auto"/>
          <w:kern w:val="44"/>
          <w:sz w:val="24"/>
          <w:szCs w:val="24"/>
          <w:highlight w:val="none"/>
          <w:lang w:val="zh-CN"/>
        </w:rPr>
        <w:t>评标工作大纲</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_Toc13957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"_Toc15636" </w:instrText>
      </w:r>
      <w:r>
        <w:rPr>
          <w:color w:val="auto"/>
          <w:highlight w:val="none"/>
        </w:rPr>
        <w:fldChar w:fldCharType="separate"/>
      </w:r>
      <w:r>
        <w:rPr>
          <w:rFonts w:hAnsi="宋体"/>
          <w:color w:val="auto"/>
          <w:sz w:val="24"/>
          <w:szCs w:val="24"/>
          <w:highlight w:val="none"/>
        </w:rPr>
        <w:t xml:space="preserve">第五篇 </w:t>
      </w:r>
      <w:r>
        <w:rPr>
          <w:rFonts w:hint="eastAsia" w:hAnsi="宋体"/>
          <w:color w:val="auto"/>
          <w:kern w:val="44"/>
          <w:sz w:val="24"/>
          <w:szCs w:val="24"/>
          <w:highlight w:val="none"/>
          <w:lang w:val="zh-CN"/>
        </w:rPr>
        <w:t>合同条款格式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_Toc15636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"_Toc8470" </w:instrText>
      </w:r>
      <w:r>
        <w:rPr>
          <w:color w:val="auto"/>
          <w:highlight w:val="none"/>
        </w:rPr>
        <w:fldChar w:fldCharType="separate"/>
      </w:r>
      <w:r>
        <w:rPr>
          <w:rFonts w:hint="eastAsia" w:hAnsi="宋体"/>
          <w:color w:val="auto"/>
          <w:kern w:val="44"/>
          <w:sz w:val="24"/>
          <w:szCs w:val="24"/>
          <w:highlight w:val="none"/>
          <w:lang w:val="zh-CN"/>
        </w:rPr>
        <w:t>第六篇磋商响应文件格式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_Toc8470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color w:val="auto"/>
          <w:sz w:val="24"/>
          <w:szCs w:val="24"/>
          <w:highlight w:val="none"/>
        </w:rPr>
        <w:fldChar w:fldCharType="end"/>
      </w:r>
    </w:p>
    <w:p>
      <w:pPr>
        <w:pStyle w:val="4"/>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r>
        <w:rPr>
          <w:color w:val="auto"/>
          <w:highlight w:val="none"/>
        </w:rPr>
        <w:fldChar w:fldCharType="end"/>
      </w:r>
      <w:bookmarkEnd w:id="2"/>
      <w:r>
        <w:rPr>
          <w:rFonts w:hint="eastAsia" w:hAnsi="宋体"/>
          <w:b/>
          <w:bCs/>
          <w:color w:val="auto"/>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（以下简称“采购人”）的委托，为</w:t>
      </w:r>
      <w:r>
        <w:rPr>
          <w:rFonts w:hint="eastAsia" w:hAnsi="宋体"/>
          <w:color w:val="auto"/>
          <w:sz w:val="21"/>
          <w:szCs w:val="21"/>
          <w:highlight w:val="none"/>
          <w:lang w:eastAsia="zh-CN"/>
        </w:rPr>
        <w:t>松山湖大学创新城--创投大厦A塔、B塔室外灯光采购项目</w:t>
      </w:r>
      <w:r>
        <w:rPr>
          <w:rFonts w:hint="eastAsia" w:hAnsi="宋体"/>
          <w:color w:val="auto"/>
          <w:sz w:val="21"/>
          <w:szCs w:val="21"/>
          <w:highlight w:val="none"/>
        </w:rPr>
        <w:t xml:space="preserve"> (项目编号：</w:t>
      </w:r>
      <w:r>
        <w:rPr>
          <w:rFonts w:hint="eastAsia" w:hAnsi="宋体"/>
          <w:color w:val="auto"/>
          <w:sz w:val="21"/>
          <w:szCs w:val="21"/>
          <w:highlight w:val="none"/>
          <w:lang w:eastAsia="zh-CN"/>
        </w:rPr>
        <w:t>TTWY-22018</w:t>
      </w:r>
      <w:r>
        <w:rPr>
          <w:rFonts w:hint="eastAsia" w:hAnsi="宋体"/>
          <w:color w:val="auto"/>
          <w:sz w:val="21"/>
          <w:szCs w:val="21"/>
          <w:highlight w:val="none"/>
        </w:rPr>
        <w:t>) 采购所需的服务。本项目采用竞争性磋商采购方式，欢迎合格供应商就本项目提交密封磋商。</w:t>
      </w:r>
    </w:p>
    <w:p>
      <w:pPr>
        <w:widowControl/>
        <w:numPr>
          <w:ilvl w:val="0"/>
          <w:numId w:val="11"/>
        </w:numPr>
        <w:adjustRightInd/>
        <w:spacing w:line="360" w:lineRule="auto"/>
        <w:rPr>
          <w:rFonts w:hAnsi="宋体"/>
          <w:color w:val="auto"/>
          <w:sz w:val="21"/>
          <w:szCs w:val="21"/>
          <w:highlight w:val="none"/>
        </w:rPr>
      </w:pPr>
      <w:r>
        <w:rPr>
          <w:rFonts w:hint="eastAsia" w:hAnsi="宋体"/>
          <w:b/>
          <w:bCs/>
          <w:color w:val="auto"/>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松山湖大学创新城--创投大厦A塔、B塔室外灯光采购项目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w:t>
      </w:r>
      <w:r>
        <w:rPr>
          <w:rFonts w:hint="eastAsia" w:hAnsi="宋体"/>
          <w:color w:val="auto"/>
          <w:sz w:val="21"/>
          <w:szCs w:val="21"/>
          <w:highlight w:val="none"/>
          <w:lang w:eastAsia="zh-CN"/>
        </w:rPr>
        <w:t>TTWY-22018</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项目预算金额：909742.83</w:t>
      </w:r>
      <w:r>
        <w:rPr>
          <w:rFonts w:hint="eastAsia" w:hAnsi="宋体"/>
          <w:color w:val="auto"/>
          <w:sz w:val="21"/>
          <w:szCs w:val="21"/>
          <w:highlight w:val="none"/>
          <w:lang w:eastAsia="zh-CN"/>
        </w:rPr>
        <w:t>元（包含绿色施工安全防护措施费64710.44元）</w:t>
      </w:r>
      <w:r>
        <w:rPr>
          <w:rFonts w:hint="eastAsia" w:hAnsi="宋体"/>
          <w:color w:val="auto"/>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（五）</w:t>
      </w:r>
      <w:r>
        <w:rPr>
          <w:rFonts w:hint="eastAsia" w:hAnsi="宋体"/>
          <w:color w:val="auto"/>
          <w:kern w:val="2"/>
          <w:sz w:val="21"/>
          <w:szCs w:val="21"/>
          <w:highlight w:val="none"/>
          <w:lang w:eastAsia="zh-CN"/>
        </w:rPr>
        <w:t>供应商须具备</w:t>
      </w:r>
      <w:r>
        <w:rPr>
          <w:rFonts w:hint="eastAsia" w:hAnsi="宋体"/>
          <w:color w:val="auto"/>
          <w:kern w:val="2"/>
          <w:sz w:val="21"/>
          <w:szCs w:val="21"/>
          <w:highlight w:val="none"/>
        </w:rPr>
        <w:t>市政公用工程施工总承包三级</w:t>
      </w:r>
      <w:r>
        <w:rPr>
          <w:rFonts w:hint="eastAsia" w:hAnsi="宋体"/>
          <w:color w:val="auto"/>
          <w:kern w:val="2"/>
          <w:sz w:val="21"/>
          <w:szCs w:val="21"/>
          <w:highlight w:val="none"/>
          <w:lang w:eastAsia="zh-CN"/>
        </w:rPr>
        <w:t>（或以上）或城市及道路照明工程专业承包三级（或以上）资质。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lang w:eastAsia="zh-CN"/>
        </w:rPr>
        <w:t>（六）</w:t>
      </w:r>
      <w:r>
        <w:rPr>
          <w:rFonts w:hint="eastAsia" w:hAnsi="宋体"/>
          <w:color w:val="auto"/>
          <w:kern w:val="2"/>
          <w:sz w:val="21"/>
          <w:szCs w:val="21"/>
          <w:highlight w:val="none"/>
        </w:rPr>
        <w:t>本项目不接受联合体投标。</w:t>
      </w:r>
    </w:p>
    <w:p>
      <w:pPr>
        <w:spacing w:line="360" w:lineRule="auto"/>
        <w:rPr>
          <w:rFonts w:hAnsi="宋体"/>
          <w:b/>
          <w:bCs/>
          <w:color w:val="auto"/>
          <w:sz w:val="21"/>
          <w:szCs w:val="21"/>
          <w:highlight w:val="none"/>
        </w:rPr>
      </w:pPr>
      <w:r>
        <w:rPr>
          <w:rFonts w:hint="eastAsia" w:hAnsi="宋体"/>
          <w:b/>
          <w:bCs/>
          <w:color w:val="auto"/>
          <w:sz w:val="21"/>
          <w:szCs w:val="21"/>
          <w:highlight w:val="none"/>
        </w:rPr>
        <w:t>三、获取磋商文件：</w:t>
      </w:r>
    </w:p>
    <w:p>
      <w:pPr>
        <w:keepNext w:val="0"/>
        <w:keepLines w:val="0"/>
        <w:pageBreakBefore w:val="0"/>
        <w:widowControl/>
        <w:kinsoku/>
        <w:wordWrap/>
        <w:overflowPunct/>
        <w:topLinePunct w:val="0"/>
        <w:autoSpaceDE w:val="0"/>
        <w:autoSpaceDN w:val="0"/>
        <w:bidi w:val="0"/>
        <w:adjustRightInd/>
        <w:snapToGrid/>
        <w:spacing w:line="360" w:lineRule="auto"/>
        <w:ind w:left="420" w:right="53" w:firstLine="420" w:firstLineChars="200"/>
        <w:textAlignment w:val="bottom"/>
        <w:rPr>
          <w:rFonts w:hint="eastAsia" w:hAnsi="宋体"/>
          <w:color w:val="auto"/>
          <w:kern w:val="28"/>
          <w:sz w:val="21"/>
          <w:szCs w:val="21"/>
          <w:highlight w:val="none"/>
        </w:rPr>
      </w:pPr>
      <w:r>
        <w:rPr>
          <w:rFonts w:hint="eastAsia" w:hAnsi="宋体"/>
          <w:color w:val="auto"/>
          <w:kern w:val="28"/>
          <w:sz w:val="21"/>
          <w:szCs w:val="21"/>
          <w:highlight w:val="none"/>
          <w:lang w:eastAsia="zh-CN"/>
        </w:rPr>
        <w:t>本项目无须报名，磋商文件</w:t>
      </w:r>
      <w:r>
        <w:rPr>
          <w:rFonts w:hint="eastAsia" w:hAnsi="宋体"/>
          <w:color w:val="auto"/>
          <w:kern w:val="28"/>
          <w:sz w:val="21"/>
          <w:szCs w:val="21"/>
          <w:highlight w:val="none"/>
        </w:rPr>
        <w:t>下载地址：</w:t>
      </w:r>
      <w:r>
        <w:rPr>
          <w:rFonts w:hint="eastAsia" w:hAnsi="宋体" w:cs="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pStyle w:val="19"/>
        <w:rPr>
          <w:rFonts w:hint="default" w:eastAsia="宋体"/>
          <w:color w:val="auto"/>
          <w:highlight w:val="none"/>
          <w:lang w:val="en-US" w:eastAsia="zh-CN"/>
        </w:rPr>
      </w:pPr>
      <w:r>
        <w:rPr>
          <w:rFonts w:hint="eastAsia" w:hAnsi="宋体"/>
          <w:color w:val="auto"/>
          <w:kern w:val="28"/>
          <w:sz w:val="21"/>
          <w:szCs w:val="21"/>
          <w:highlight w:val="none"/>
          <w:lang w:val="en-US" w:eastAsia="zh-CN"/>
        </w:rPr>
        <w:t xml:space="preserve">    磋商文件公告期限：自公告之日起三个工作日。</w:t>
      </w:r>
    </w:p>
    <w:p>
      <w:pPr>
        <w:pStyle w:val="28"/>
        <w:numPr>
          <w:ilvl w:val="0"/>
          <w:numId w:val="0"/>
        </w:numPr>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w:t>
      </w:r>
      <w:r>
        <w:rPr>
          <w:rFonts w:hint="eastAsia" w:hAnsi="宋体"/>
          <w:color w:val="auto"/>
          <w:sz w:val="21"/>
          <w:szCs w:val="21"/>
          <w:highlight w:val="none"/>
          <w:lang w:eastAsia="zh-CN"/>
        </w:rPr>
        <w:t>202</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5</w:t>
      </w:r>
      <w:r>
        <w:rPr>
          <w:rFonts w:hint="eastAsia" w:hAnsi="宋体"/>
          <w:color w:val="auto"/>
          <w:sz w:val="21"/>
          <w:szCs w:val="21"/>
          <w:highlight w:val="none"/>
        </w:rPr>
        <w:t>月</w:t>
      </w:r>
      <w:r>
        <w:rPr>
          <w:rFonts w:hint="eastAsia" w:hAnsi="宋体"/>
          <w:color w:val="auto"/>
          <w:sz w:val="21"/>
          <w:szCs w:val="21"/>
          <w:highlight w:val="none"/>
          <w:lang w:val="en-US" w:eastAsia="zh-CN"/>
        </w:rPr>
        <w:t>31</w:t>
      </w:r>
      <w:r>
        <w:rPr>
          <w:rFonts w:hint="eastAsia" w:hAnsi="宋体"/>
          <w:color w:val="auto"/>
          <w:sz w:val="21"/>
          <w:szCs w:val="21"/>
          <w:highlight w:val="none"/>
        </w:rPr>
        <w:t>日上午9:</w:t>
      </w:r>
      <w:r>
        <w:rPr>
          <w:rFonts w:hint="eastAsia" w:hAnsi="宋体"/>
          <w:color w:val="auto"/>
          <w:sz w:val="21"/>
          <w:szCs w:val="21"/>
          <w:highlight w:val="none"/>
          <w:lang w:val="en-US" w:eastAsia="zh-CN"/>
        </w:rPr>
        <w:t>00</w:t>
      </w:r>
      <w:r>
        <w:rPr>
          <w:rFonts w:hint="eastAsia" w:hAnsi="宋体"/>
          <w:color w:val="auto"/>
          <w:sz w:val="21"/>
          <w:szCs w:val="21"/>
          <w:highlight w:val="none"/>
        </w:rPr>
        <w:t>～</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w:t>
      </w:r>
      <w:r>
        <w:rPr>
          <w:rFonts w:hint="eastAsia" w:hAnsi="宋体"/>
          <w:color w:val="auto"/>
          <w:sz w:val="21"/>
          <w:szCs w:val="21"/>
          <w:highlight w:val="none"/>
          <w:lang w:eastAsia="zh-CN"/>
        </w:rPr>
        <w:t>202</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5</w:t>
      </w:r>
      <w:r>
        <w:rPr>
          <w:rFonts w:hint="eastAsia" w:hAnsi="宋体"/>
          <w:color w:val="auto"/>
          <w:sz w:val="21"/>
          <w:szCs w:val="21"/>
          <w:highlight w:val="none"/>
        </w:rPr>
        <w:t>月</w:t>
      </w:r>
      <w:r>
        <w:rPr>
          <w:rFonts w:hint="eastAsia" w:hAnsi="宋体"/>
          <w:color w:val="auto"/>
          <w:sz w:val="21"/>
          <w:szCs w:val="21"/>
          <w:highlight w:val="none"/>
          <w:lang w:val="en-US" w:eastAsia="zh-CN"/>
        </w:rPr>
        <w:t>31</w:t>
      </w:r>
      <w:r>
        <w:rPr>
          <w:rFonts w:hint="eastAsia" w:hAnsi="宋体"/>
          <w:color w:val="auto"/>
          <w:sz w:val="21"/>
          <w:szCs w:val="21"/>
          <w:highlight w:val="none"/>
        </w:rPr>
        <w:t>日上午</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rPr>
          <w:rFonts w:hAnsi="宋体"/>
          <w:b/>
          <w:bCs/>
          <w:color w:val="auto"/>
          <w:sz w:val="21"/>
          <w:szCs w:val="21"/>
          <w:highlight w:val="none"/>
        </w:rPr>
      </w:pPr>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w:t>
      </w:r>
      <w:r>
        <w:rPr>
          <w:rFonts w:hint="eastAsia" w:hAnsi="宋体"/>
          <w:color w:val="auto"/>
          <w:sz w:val="21"/>
          <w:szCs w:val="21"/>
          <w:highlight w:val="none"/>
          <w:lang w:eastAsia="zh-CN"/>
        </w:rPr>
        <w:t>六</w:t>
      </w:r>
      <w:r>
        <w:rPr>
          <w:rFonts w:hint="eastAsia" w:hAnsi="宋体"/>
          <w:color w:val="auto"/>
          <w:sz w:val="21"/>
          <w:szCs w:val="21"/>
          <w:highlight w:val="none"/>
        </w:rPr>
        <w:t>楼</w:t>
      </w:r>
      <w:r>
        <w:rPr>
          <w:rFonts w:hint="eastAsia" w:hAnsi="宋体"/>
          <w:color w:val="auto"/>
          <w:sz w:val="21"/>
          <w:szCs w:val="21"/>
          <w:highlight w:val="none"/>
          <w:lang w:val="en-US" w:eastAsia="zh-CN"/>
        </w:rPr>
        <w:t>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w:t>
      </w:r>
      <w:r>
        <w:rPr>
          <w:rFonts w:hint="eastAsia" w:hAnsi="宋体"/>
          <w:color w:val="auto"/>
          <w:sz w:val="21"/>
          <w:szCs w:val="21"/>
          <w:highlight w:val="none"/>
          <w:lang w:eastAsia="zh-CN"/>
        </w:rPr>
        <w:t>冼</w:t>
      </w:r>
      <w:r>
        <w:rPr>
          <w:rFonts w:hint="eastAsia" w:hAnsi="宋体"/>
          <w:color w:val="auto"/>
          <w:sz w:val="21"/>
          <w:szCs w:val="21"/>
          <w:highlight w:val="none"/>
        </w:rPr>
        <w:t>小姐</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电    话：0769</w:t>
      </w:r>
      <w:r>
        <w:rPr>
          <w:rFonts w:hint="eastAsia" w:hAnsi="宋体"/>
          <w:color w:val="auto"/>
          <w:sz w:val="21"/>
          <w:szCs w:val="21"/>
          <w:highlight w:val="none"/>
        </w:rPr>
        <w:t>-22</w:t>
      </w:r>
      <w:r>
        <w:rPr>
          <w:rFonts w:hint="eastAsia" w:hAnsi="宋体"/>
          <w:color w:val="auto"/>
          <w:sz w:val="21"/>
          <w:szCs w:val="21"/>
          <w:highlight w:val="none"/>
          <w:lang w:val="en-US" w:eastAsia="zh-CN"/>
        </w:rPr>
        <w:t>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采 购 人：</w:t>
      </w:r>
      <w:r>
        <w:rPr>
          <w:rFonts w:hint="eastAsia" w:hAnsi="宋体"/>
          <w:color w:val="auto"/>
          <w:sz w:val="21"/>
          <w:szCs w:val="21"/>
          <w:highlight w:val="none"/>
          <w:lang w:eastAsia="zh-CN"/>
        </w:rPr>
        <w:t>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w:t>
      </w:r>
      <w:r>
        <w:rPr>
          <w:rFonts w:hint="eastAsia" w:hAnsi="宋体"/>
          <w:color w:val="auto"/>
          <w:sz w:val="21"/>
          <w:szCs w:val="21"/>
          <w:highlight w:val="none"/>
          <w:lang w:eastAsia="zh-CN"/>
        </w:rPr>
        <w:t>姜</w:t>
      </w:r>
      <w:r>
        <w:rPr>
          <w:rFonts w:hint="eastAsia" w:hAnsi="宋体"/>
          <w:color w:val="auto"/>
          <w:sz w:val="21"/>
          <w:szCs w:val="21"/>
          <w:highlight w:val="none"/>
        </w:rPr>
        <w:t>工</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rFonts w:hint="eastAsia"/>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int="default" w:hAnsi="宋体" w:eastAsia="宋体"/>
          <w:color w:val="auto"/>
          <w:sz w:val="21"/>
          <w:szCs w:val="21"/>
          <w:highlight w:val="none"/>
          <w:lang w:val="en-US" w:eastAsia="zh-CN"/>
        </w:rPr>
      </w:pPr>
      <w:r>
        <w:rPr>
          <w:rFonts w:hint="eastAsia" w:hAnsi="宋体"/>
          <w:b/>
          <w:color w:val="auto"/>
          <w:sz w:val="21"/>
          <w:szCs w:val="21"/>
          <w:highlight w:val="none"/>
          <w:lang w:val="en-US" w:eastAsia="zh-CN"/>
        </w:rPr>
        <w:t>2022</w:t>
      </w:r>
      <w:r>
        <w:rPr>
          <w:rFonts w:hint="eastAsia" w:hAnsi="宋体"/>
          <w:b/>
          <w:color w:val="auto"/>
          <w:sz w:val="21"/>
          <w:szCs w:val="21"/>
          <w:highlight w:val="none"/>
        </w:rPr>
        <w:t>年</w:t>
      </w:r>
      <w:r>
        <w:rPr>
          <w:rFonts w:hint="eastAsia" w:hAnsi="宋体"/>
          <w:b/>
          <w:color w:val="auto"/>
          <w:sz w:val="21"/>
          <w:szCs w:val="21"/>
          <w:highlight w:val="none"/>
          <w:lang w:val="en-US" w:eastAsia="zh-CN"/>
        </w:rPr>
        <w:t>5</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18日</w:t>
      </w:r>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6634"/>
      <w:r>
        <w:rPr>
          <w:rFonts w:hint="eastAsia" w:hAnsi="宋体"/>
          <w:b/>
          <w:bCs/>
          <w:color w:val="auto"/>
          <w:kern w:val="44"/>
          <w:sz w:val="28"/>
          <w:szCs w:val="28"/>
          <w:highlight w:val="none"/>
          <w:lang w:val="zh-CN"/>
        </w:rPr>
        <w:t>供应商须知</w:t>
      </w:r>
      <w:bookmarkEnd w:id="3"/>
      <w:bookmarkEnd w:id="4"/>
    </w:p>
    <w:p>
      <w:pPr>
        <w:pStyle w:val="5"/>
        <w:adjustRightInd/>
        <w:spacing w:line="360" w:lineRule="auto"/>
        <w:ind w:firstLine="562" w:firstLineChars="200"/>
        <w:jc w:val="center"/>
        <w:rPr>
          <w:color w:val="auto"/>
          <w:sz w:val="28"/>
          <w:szCs w:val="28"/>
          <w:highlight w:val="none"/>
        </w:rPr>
      </w:pPr>
      <w:bookmarkStart w:id="5" w:name="_Toc6882675"/>
      <w:bookmarkStart w:id="6" w:name="_Toc7897861"/>
      <w:bookmarkStart w:id="7" w:name="_Toc466786434"/>
      <w:bookmarkStart w:id="8" w:name="_Toc507407359"/>
      <w:bookmarkStart w:id="9" w:name="_Toc6968687"/>
      <w:bookmarkStart w:id="10" w:name="_Toc12804"/>
      <w:bookmarkStart w:id="11" w:name="_Toc102277756"/>
      <w:r>
        <w:rPr>
          <w:rFonts w:hint="eastAsia"/>
          <w:color w:val="auto"/>
          <w:sz w:val="28"/>
          <w:szCs w:val="28"/>
          <w:highlight w:val="none"/>
        </w:rPr>
        <w:t>一、说  明</w:t>
      </w:r>
      <w:bookmarkEnd w:id="5"/>
      <w:bookmarkEnd w:id="6"/>
      <w:bookmarkEnd w:id="7"/>
      <w:bookmarkEnd w:id="8"/>
      <w:bookmarkEnd w:id="9"/>
      <w:bookmarkEnd w:id="10"/>
      <w:bookmarkEnd w:id="11"/>
    </w:p>
    <w:p>
      <w:pPr>
        <w:pStyle w:val="6"/>
        <w:adjustRightInd/>
        <w:spacing w:line="360" w:lineRule="auto"/>
        <w:ind w:firstLine="420" w:firstLineChars="200"/>
        <w:rPr>
          <w:rFonts w:hAnsi="宋体"/>
          <w:color w:val="auto"/>
          <w:sz w:val="21"/>
          <w:szCs w:val="21"/>
          <w:highlight w:val="none"/>
        </w:rPr>
      </w:pPr>
      <w:bookmarkStart w:id="12" w:name="_Toc7897862"/>
      <w:bookmarkStart w:id="13" w:name="_Toc3730"/>
      <w:bookmarkStart w:id="14" w:name="_Toc475249114"/>
      <w:bookmarkStart w:id="15" w:name="_Toc24987"/>
      <w:r>
        <w:rPr>
          <w:rFonts w:hint="eastAsia" w:hAnsi="宋体"/>
          <w:color w:val="auto"/>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6"/>
        <w:adjustRightInd/>
        <w:spacing w:line="360" w:lineRule="auto"/>
        <w:ind w:firstLine="420" w:firstLineChars="200"/>
        <w:rPr>
          <w:rFonts w:hAnsi="宋体"/>
          <w:color w:val="auto"/>
          <w:sz w:val="21"/>
          <w:szCs w:val="21"/>
          <w:highlight w:val="none"/>
        </w:rPr>
      </w:pPr>
      <w:bookmarkStart w:id="16" w:name="_Toc7897863"/>
      <w:bookmarkStart w:id="17" w:name="_Toc598"/>
      <w:bookmarkStart w:id="18" w:name="_Toc9738"/>
      <w:bookmarkStart w:id="19" w:name="_Toc475249115"/>
      <w:r>
        <w:rPr>
          <w:rFonts w:hint="eastAsia" w:hAnsi="宋体"/>
          <w:color w:val="auto"/>
          <w:sz w:val="21"/>
          <w:szCs w:val="21"/>
          <w:highlight w:val="none"/>
        </w:rPr>
        <w:t>2.定义</w:t>
      </w:r>
      <w:bookmarkEnd w:id="16"/>
      <w:bookmarkEnd w:id="17"/>
      <w:bookmarkEnd w:id="18"/>
      <w:bookmarkEnd w:id="1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w:t>
      </w:r>
      <w:r>
        <w:rPr>
          <w:rFonts w:hint="eastAsia" w:hAnsi="宋体"/>
          <w:color w:val="auto"/>
          <w:sz w:val="21"/>
          <w:szCs w:val="21"/>
          <w:highlight w:val="none"/>
          <w:lang w:eastAsia="zh-CN"/>
        </w:rPr>
        <w:t>磋商文件</w:t>
      </w:r>
      <w:r>
        <w:rPr>
          <w:rFonts w:hint="eastAsia" w:hAnsi="宋体"/>
          <w:color w:val="auto"/>
          <w:sz w:val="21"/>
          <w:szCs w:val="21"/>
          <w:highlight w:val="none"/>
        </w:rPr>
        <w:t>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6"/>
        <w:adjustRightInd/>
        <w:spacing w:line="360" w:lineRule="auto"/>
        <w:ind w:firstLine="420" w:firstLineChars="200"/>
        <w:rPr>
          <w:rFonts w:hAnsi="宋体"/>
          <w:color w:val="auto"/>
          <w:sz w:val="21"/>
          <w:szCs w:val="21"/>
          <w:highlight w:val="none"/>
        </w:rPr>
      </w:pPr>
      <w:bookmarkStart w:id="20" w:name="_Toc7897864"/>
      <w:bookmarkStart w:id="21" w:name="_Toc24709"/>
      <w:bookmarkStart w:id="22" w:name="_Toc367"/>
      <w:bookmarkStart w:id="23" w:name="_Toc110953831"/>
      <w:bookmarkStart w:id="24" w:name="_Toc102277757"/>
      <w:bookmarkStart w:id="25" w:name="_Toc6882676"/>
      <w:bookmarkStart w:id="26" w:name="_Toc6968688"/>
      <w:bookmarkStart w:id="27" w:name="_Toc507407360"/>
      <w:bookmarkStart w:id="28" w:name="_Toc466786435"/>
      <w:r>
        <w:rPr>
          <w:rFonts w:hint="eastAsia" w:hAnsi="宋体"/>
          <w:color w:val="auto"/>
          <w:sz w:val="21"/>
          <w:szCs w:val="21"/>
          <w:highlight w:val="none"/>
        </w:rPr>
        <w:t>3.适用法律</w:t>
      </w:r>
      <w:bookmarkEnd w:id="20"/>
      <w:bookmarkEnd w:id="21"/>
      <w:bookmarkEnd w:id="22"/>
      <w:bookmarkEnd w:id="2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相关招标采购规定执行。</w:t>
      </w:r>
    </w:p>
    <w:p>
      <w:pPr>
        <w:pStyle w:val="6"/>
        <w:adjustRightInd/>
        <w:spacing w:line="360" w:lineRule="auto"/>
        <w:ind w:firstLine="420" w:firstLineChars="200"/>
        <w:rPr>
          <w:rFonts w:hAnsi="宋体"/>
          <w:color w:val="auto"/>
          <w:sz w:val="21"/>
          <w:szCs w:val="21"/>
          <w:highlight w:val="none"/>
          <w:lang w:val="zh-CN"/>
        </w:rPr>
      </w:pPr>
      <w:bookmarkStart w:id="29" w:name="_Toc20707"/>
      <w:bookmarkStart w:id="30" w:name="_Toc110953833"/>
      <w:bookmarkStart w:id="31" w:name="_Toc10397"/>
      <w:bookmarkStart w:id="32" w:name="_Toc7897866"/>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29"/>
    </w:p>
    <w:p>
      <w:pPr>
        <w:pStyle w:val="6"/>
        <w:adjustRightInd/>
        <w:spacing w:line="360" w:lineRule="auto"/>
        <w:ind w:firstLine="420" w:firstLineChars="200"/>
        <w:rPr>
          <w:rFonts w:hAnsi="宋体"/>
          <w:bCs/>
          <w:color w:val="auto"/>
          <w:sz w:val="21"/>
          <w:szCs w:val="21"/>
          <w:highlight w:val="none"/>
        </w:rPr>
      </w:pPr>
      <w:bookmarkStart w:id="33" w:name="_Toc10368"/>
      <w:r>
        <w:rPr>
          <w:rFonts w:hint="eastAsia" w:hAnsi="宋体"/>
          <w:color w:val="auto"/>
          <w:sz w:val="21"/>
          <w:szCs w:val="21"/>
          <w:highlight w:val="none"/>
        </w:rPr>
        <w:t>5.禁止事项</w:t>
      </w:r>
      <w:bookmarkEnd w:id="30"/>
      <w:bookmarkEnd w:id="31"/>
      <w:bookmarkEnd w:id="32"/>
      <w:bookmarkEnd w:id="33"/>
    </w:p>
    <w:p>
      <w:pPr>
        <w:spacing w:line="360" w:lineRule="auto"/>
        <w:ind w:firstLine="420" w:firstLineChars="200"/>
        <w:rPr>
          <w:rFonts w:hAnsi="宋体"/>
          <w:color w:val="auto"/>
          <w:sz w:val="21"/>
          <w:szCs w:val="21"/>
          <w:highlight w:val="none"/>
        </w:rPr>
      </w:pPr>
      <w:bookmarkStart w:id="34" w:name="_Toc98126218"/>
      <w:bookmarkStart w:id="35" w:name="_Toc98126293"/>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color w:val="auto"/>
          <w:sz w:val="21"/>
          <w:szCs w:val="21"/>
          <w:highlight w:val="none"/>
        </w:rPr>
      </w:pPr>
      <w:bookmarkStart w:id="36" w:name="_Toc98126294"/>
      <w:bookmarkStart w:id="37" w:name="_Toc98126219"/>
      <w:r>
        <w:rPr>
          <w:rFonts w:hint="eastAsia" w:hAnsi="宋体"/>
          <w:color w:val="auto"/>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color w:val="auto"/>
          <w:sz w:val="21"/>
          <w:szCs w:val="21"/>
          <w:highlight w:val="none"/>
        </w:rPr>
      </w:pPr>
      <w:bookmarkStart w:id="38" w:name="_Toc98126220"/>
      <w:bookmarkStart w:id="39"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6"/>
        <w:adjustRightInd/>
        <w:spacing w:line="360" w:lineRule="auto"/>
        <w:ind w:firstLine="420" w:firstLineChars="200"/>
        <w:rPr>
          <w:rFonts w:hAnsi="宋体"/>
          <w:bCs/>
          <w:color w:val="auto"/>
          <w:sz w:val="21"/>
          <w:szCs w:val="21"/>
          <w:highlight w:val="none"/>
        </w:rPr>
      </w:pPr>
      <w:bookmarkStart w:id="40" w:name="_Toc7897867"/>
      <w:bookmarkStart w:id="41" w:name="_Toc110953834"/>
      <w:bookmarkStart w:id="42" w:name="_Toc2863"/>
      <w:bookmarkStart w:id="43" w:name="_Toc25870"/>
      <w:r>
        <w:rPr>
          <w:rFonts w:hint="eastAsia" w:hAnsi="宋体"/>
          <w:color w:val="auto"/>
          <w:sz w:val="21"/>
          <w:szCs w:val="21"/>
          <w:highlight w:val="none"/>
        </w:rPr>
        <w:t>6.保密及其它注意事项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97"/>
      <w:bookmarkStart w:id="45"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6"/>
        <w:adjustRightInd/>
        <w:spacing w:line="360" w:lineRule="auto"/>
        <w:ind w:firstLine="420" w:firstLineChars="200"/>
        <w:rPr>
          <w:rFonts w:hAnsi="宋体"/>
          <w:color w:val="auto"/>
          <w:sz w:val="21"/>
          <w:szCs w:val="21"/>
          <w:highlight w:val="none"/>
        </w:rPr>
      </w:pPr>
      <w:bookmarkStart w:id="46" w:name="_Toc497016085"/>
      <w:bookmarkStart w:id="47" w:name="_Toc27298"/>
      <w:bookmarkStart w:id="48" w:name="_Toc13371"/>
      <w:bookmarkStart w:id="49" w:name="_Toc7897868"/>
      <w:r>
        <w:rPr>
          <w:rFonts w:hint="eastAsia" w:hAnsi="宋体"/>
          <w:color w:val="auto"/>
          <w:sz w:val="21"/>
          <w:szCs w:val="21"/>
          <w:highlight w:val="none"/>
        </w:rPr>
        <w:t>7.供应商诚信管理</w:t>
      </w:r>
      <w:bookmarkEnd w:id="46"/>
      <w:bookmarkEnd w:id="47"/>
      <w:bookmarkEnd w:id="48"/>
      <w:bookmarkEnd w:id="4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50" w:name="_Toc23741"/>
      <w:bookmarkStart w:id="51" w:name="_Toc7897869"/>
      <w:r>
        <w:rPr>
          <w:rFonts w:hint="eastAsia"/>
          <w:color w:val="auto"/>
          <w:sz w:val="28"/>
          <w:szCs w:val="28"/>
          <w:highlight w:val="none"/>
        </w:rPr>
        <w:t>二、磋商文件说明</w:t>
      </w:r>
      <w:bookmarkEnd w:id="24"/>
      <w:bookmarkEnd w:id="25"/>
      <w:bookmarkEnd w:id="26"/>
      <w:bookmarkEnd w:id="27"/>
      <w:bookmarkEnd w:id="28"/>
      <w:bookmarkEnd w:id="50"/>
      <w:bookmarkEnd w:id="51"/>
    </w:p>
    <w:p>
      <w:pPr>
        <w:pStyle w:val="6"/>
        <w:adjustRightInd/>
        <w:spacing w:line="360" w:lineRule="auto"/>
        <w:ind w:firstLine="420" w:firstLineChars="200"/>
        <w:rPr>
          <w:rFonts w:hAnsi="宋体"/>
          <w:color w:val="auto"/>
          <w:sz w:val="21"/>
          <w:szCs w:val="21"/>
          <w:highlight w:val="none"/>
        </w:rPr>
      </w:pPr>
      <w:bookmarkStart w:id="52" w:name="_Toc23606"/>
      <w:bookmarkStart w:id="53" w:name="_Toc110953836"/>
      <w:bookmarkStart w:id="54" w:name="_Toc7897870"/>
      <w:bookmarkStart w:id="55" w:name="_Toc29560"/>
      <w:bookmarkStart w:id="56" w:name="_Toc6882677"/>
      <w:bookmarkStart w:id="57" w:name="_Toc102277758"/>
      <w:bookmarkStart w:id="58" w:name="_Toc6968689"/>
      <w:bookmarkStart w:id="59" w:name="_Toc466786436"/>
      <w:bookmarkStart w:id="60" w:name="_Toc507407361"/>
      <w:r>
        <w:rPr>
          <w:rFonts w:hint="eastAsia" w:hAnsi="宋体"/>
          <w:color w:val="auto"/>
          <w:sz w:val="21"/>
          <w:szCs w:val="21"/>
          <w:highlight w:val="none"/>
        </w:rPr>
        <w:t>8.磋商文件构成</w:t>
      </w:r>
      <w:bookmarkEnd w:id="52"/>
      <w:bookmarkEnd w:id="53"/>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6"/>
        <w:adjustRightInd/>
        <w:spacing w:line="360" w:lineRule="auto"/>
        <w:ind w:firstLine="420" w:firstLineChars="200"/>
        <w:rPr>
          <w:rFonts w:hAnsi="宋体"/>
          <w:color w:val="auto"/>
          <w:sz w:val="21"/>
          <w:szCs w:val="21"/>
          <w:highlight w:val="none"/>
        </w:rPr>
      </w:pPr>
      <w:bookmarkStart w:id="61" w:name="_Toc19701"/>
      <w:bookmarkStart w:id="62" w:name="_Toc16827"/>
      <w:bookmarkStart w:id="63" w:name="_Toc7897871"/>
      <w:bookmarkStart w:id="64" w:name="_Toc110953837"/>
      <w:r>
        <w:rPr>
          <w:rFonts w:hint="eastAsia" w:hAnsi="宋体"/>
          <w:color w:val="auto"/>
          <w:sz w:val="21"/>
          <w:szCs w:val="21"/>
          <w:highlight w:val="none"/>
        </w:rPr>
        <w:t>9.磋商文件的修改</w:t>
      </w:r>
      <w:bookmarkEnd w:id="61"/>
      <w:bookmarkEnd w:id="62"/>
      <w:bookmarkEnd w:id="63"/>
      <w:bookmarkEnd w:id="6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7"/>
        <w:ind w:firstLine="400"/>
        <w:rPr>
          <w:color w:val="auto"/>
          <w:highlight w:val="none"/>
        </w:rPr>
      </w:pPr>
    </w:p>
    <w:bookmarkEnd w:id="56"/>
    <w:bookmarkEnd w:id="57"/>
    <w:bookmarkEnd w:id="58"/>
    <w:bookmarkEnd w:id="59"/>
    <w:bookmarkEnd w:id="60"/>
    <w:p>
      <w:pPr>
        <w:pStyle w:val="5"/>
        <w:adjustRightInd/>
        <w:spacing w:line="360" w:lineRule="auto"/>
        <w:ind w:firstLine="562" w:firstLineChars="200"/>
        <w:jc w:val="center"/>
        <w:rPr>
          <w:color w:val="auto"/>
          <w:sz w:val="28"/>
          <w:szCs w:val="28"/>
          <w:highlight w:val="none"/>
        </w:rPr>
      </w:pPr>
      <w:bookmarkStart w:id="65" w:name="_Toc7897872"/>
      <w:bookmarkStart w:id="66" w:name="_Toc15398"/>
      <w:bookmarkStart w:id="67" w:name="_Toc110953838"/>
      <w:bookmarkStart w:id="68" w:name="_Toc102277759"/>
      <w:bookmarkStart w:id="69" w:name="_Toc507407362"/>
      <w:bookmarkStart w:id="70" w:name="_Toc6882678"/>
      <w:bookmarkStart w:id="71" w:name="_Toc466786437"/>
      <w:bookmarkStart w:id="72" w:name="_Toc6968690"/>
      <w:r>
        <w:rPr>
          <w:rFonts w:hint="eastAsia"/>
          <w:color w:val="auto"/>
          <w:sz w:val="28"/>
          <w:szCs w:val="28"/>
          <w:highlight w:val="none"/>
        </w:rPr>
        <w:t>三、响应文件的制作</w:t>
      </w:r>
      <w:bookmarkEnd w:id="65"/>
      <w:bookmarkEnd w:id="66"/>
      <w:bookmarkEnd w:id="67"/>
    </w:p>
    <w:p>
      <w:pPr>
        <w:pStyle w:val="6"/>
        <w:adjustRightInd/>
        <w:spacing w:line="360" w:lineRule="auto"/>
        <w:ind w:firstLine="420" w:firstLineChars="200"/>
        <w:rPr>
          <w:rFonts w:hAnsi="宋体"/>
          <w:color w:val="auto"/>
          <w:sz w:val="21"/>
          <w:szCs w:val="21"/>
          <w:highlight w:val="none"/>
        </w:rPr>
      </w:pPr>
      <w:bookmarkStart w:id="73" w:name="_Toc23789"/>
      <w:bookmarkStart w:id="74" w:name="_Toc110953839"/>
      <w:bookmarkStart w:id="75" w:name="_Toc7897873"/>
      <w:bookmarkStart w:id="76" w:name="_Toc15756"/>
      <w:r>
        <w:rPr>
          <w:rFonts w:hint="eastAsia" w:hAnsi="宋体"/>
          <w:color w:val="auto"/>
          <w:sz w:val="21"/>
          <w:szCs w:val="21"/>
          <w:highlight w:val="none"/>
        </w:rPr>
        <w:t>10.制作要求</w:t>
      </w:r>
      <w:bookmarkEnd w:id="73"/>
      <w:bookmarkEnd w:id="74"/>
      <w:bookmarkEnd w:id="75"/>
      <w:bookmarkEnd w:id="7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6"/>
        <w:adjustRightInd/>
        <w:spacing w:line="360" w:lineRule="auto"/>
        <w:ind w:firstLine="420" w:firstLineChars="200"/>
        <w:rPr>
          <w:rFonts w:hAnsi="宋体"/>
          <w:color w:val="auto"/>
          <w:sz w:val="21"/>
          <w:szCs w:val="21"/>
          <w:highlight w:val="none"/>
        </w:rPr>
      </w:pPr>
      <w:bookmarkStart w:id="77" w:name="_Toc20552"/>
      <w:bookmarkStart w:id="78" w:name="_Toc18079"/>
      <w:bookmarkStart w:id="79" w:name="_Toc7897874"/>
      <w:bookmarkStart w:id="80" w:name="_Toc110953840"/>
      <w:r>
        <w:rPr>
          <w:rFonts w:hint="eastAsia" w:hAnsi="宋体"/>
          <w:color w:val="auto"/>
          <w:sz w:val="21"/>
          <w:szCs w:val="21"/>
          <w:highlight w:val="none"/>
        </w:rPr>
        <w:t>11.响应文件的内容</w:t>
      </w:r>
      <w:bookmarkEnd w:id="77"/>
      <w:bookmarkEnd w:id="78"/>
      <w:bookmarkEnd w:id="79"/>
      <w:bookmarkEnd w:id="8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6"/>
        <w:adjustRightInd/>
        <w:spacing w:line="360" w:lineRule="auto"/>
        <w:ind w:firstLine="420" w:firstLineChars="200"/>
        <w:rPr>
          <w:rFonts w:hAnsi="宋体"/>
          <w:color w:val="auto"/>
          <w:sz w:val="21"/>
          <w:szCs w:val="21"/>
          <w:highlight w:val="none"/>
        </w:rPr>
      </w:pPr>
      <w:bookmarkStart w:id="81" w:name="_Toc9150"/>
      <w:bookmarkStart w:id="82" w:name="_Toc7897875"/>
      <w:bookmarkStart w:id="83" w:name="_Toc21763"/>
      <w:bookmarkStart w:id="84" w:name="_Toc110953841"/>
      <w:r>
        <w:rPr>
          <w:rFonts w:hint="eastAsia" w:hAnsi="宋体"/>
          <w:color w:val="auto"/>
          <w:sz w:val="21"/>
          <w:szCs w:val="21"/>
          <w:highlight w:val="none"/>
        </w:rPr>
        <w:t>12.响应文件格式</w:t>
      </w:r>
      <w:bookmarkEnd w:id="81"/>
      <w:bookmarkEnd w:id="82"/>
      <w:bookmarkEnd w:id="83"/>
      <w:bookmarkEnd w:id="8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6"/>
        <w:adjustRightInd/>
        <w:spacing w:line="360" w:lineRule="auto"/>
        <w:ind w:firstLine="420" w:firstLineChars="200"/>
        <w:rPr>
          <w:rFonts w:hAnsi="宋体"/>
          <w:color w:val="auto"/>
          <w:sz w:val="21"/>
          <w:szCs w:val="21"/>
          <w:highlight w:val="none"/>
        </w:rPr>
      </w:pPr>
      <w:bookmarkStart w:id="85" w:name="_Toc185150707"/>
      <w:bookmarkStart w:id="86" w:name="_Toc30889"/>
      <w:bookmarkStart w:id="87" w:name="_Toc7897876"/>
      <w:bookmarkStart w:id="88" w:name="_Toc24570"/>
      <w:r>
        <w:rPr>
          <w:rFonts w:hint="eastAsia" w:hAnsi="宋体"/>
          <w:color w:val="auto"/>
          <w:sz w:val="21"/>
          <w:szCs w:val="21"/>
          <w:highlight w:val="none"/>
        </w:rPr>
        <w:t>13.</w:t>
      </w:r>
      <w:bookmarkEnd w:id="85"/>
      <w:r>
        <w:rPr>
          <w:rFonts w:hint="eastAsia" w:hAnsi="宋体"/>
          <w:color w:val="auto"/>
          <w:sz w:val="21"/>
          <w:szCs w:val="21"/>
          <w:highlight w:val="none"/>
        </w:rPr>
        <w:t>磋商保证金</w:t>
      </w:r>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7"/>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347"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461"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7"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松山湖大学创新城--创投大厦A塔、B塔室外灯光采购项目</w:t>
            </w:r>
          </w:p>
        </w:tc>
        <w:tc>
          <w:tcPr>
            <w:tcW w:w="3461"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壹</w:t>
            </w:r>
            <w:r>
              <w:rPr>
                <w:rFonts w:hint="eastAsia" w:hAnsi="宋体"/>
                <w:color w:val="auto"/>
                <w:sz w:val="21"/>
                <w:szCs w:val="21"/>
                <w:highlight w:val="none"/>
              </w:rPr>
              <w:t>万</w:t>
            </w:r>
            <w:r>
              <w:rPr>
                <w:rFonts w:hint="eastAsia" w:hAnsi="宋体"/>
                <w:color w:val="auto"/>
                <w:sz w:val="21"/>
                <w:szCs w:val="21"/>
                <w:highlight w:val="none"/>
                <w:lang w:eastAsia="zh-CN"/>
              </w:rPr>
              <w:t>捌仟</w:t>
            </w:r>
            <w:r>
              <w:rPr>
                <w:rFonts w:hint="eastAsia" w:hAnsi="宋体"/>
                <w:color w:val="auto"/>
                <w:sz w:val="21"/>
                <w:szCs w:val="21"/>
                <w:highlight w:val="none"/>
              </w:rPr>
              <w:t>元整（¥</w:t>
            </w:r>
            <w:r>
              <w:rPr>
                <w:rFonts w:hint="eastAsia" w:hAnsi="宋体"/>
                <w:color w:val="auto"/>
                <w:sz w:val="21"/>
                <w:szCs w:val="21"/>
                <w:highlight w:val="none"/>
                <w:lang w:val="en-US" w:eastAsia="zh-CN"/>
              </w:rPr>
              <w:t>18000</w:t>
            </w:r>
            <w:r>
              <w:rPr>
                <w:rFonts w:hint="eastAsia" w:hAnsi="宋体"/>
                <w:color w:val="auto"/>
                <w:sz w:val="21"/>
                <w:szCs w:val="21"/>
                <w:highlight w:val="none"/>
              </w:rPr>
              <w:t>.00元）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磋商保证金必须在磋商响应文件递交截止前到账，磋商保证金未按规定时间到达指定账户或提交金额不足的，将被视为无效磋商。且在备注或用途中注明本项目的项目编号。</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账户名称：广东泰通伟业工程咨询有限公司</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  号</w:t>
      </w:r>
      <w:r>
        <w:rPr>
          <w:rFonts w:hint="eastAsia" w:hAnsi="宋体" w:cs="宋体"/>
          <w:b/>
          <w:bCs/>
          <w:i w:val="0"/>
          <w:iCs w:val="0"/>
          <w:color w:val="auto"/>
          <w:kern w:val="2"/>
          <w:sz w:val="21"/>
          <w:szCs w:val="21"/>
          <w:highlight w:val="none"/>
          <w:lang w:val="zh-CN"/>
        </w:rPr>
        <w:t>：6232590699050047024</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6"/>
        <w:adjustRightInd/>
        <w:spacing w:line="360" w:lineRule="auto"/>
        <w:ind w:firstLine="420" w:firstLineChars="200"/>
        <w:rPr>
          <w:rFonts w:hAnsi="宋体"/>
          <w:color w:val="auto"/>
          <w:sz w:val="21"/>
          <w:szCs w:val="21"/>
          <w:highlight w:val="none"/>
        </w:rPr>
      </w:pPr>
      <w:bookmarkStart w:id="89" w:name="_Toc110953842"/>
      <w:bookmarkStart w:id="90" w:name="_Toc480171880"/>
      <w:bookmarkStart w:id="91" w:name="_Toc454701382"/>
      <w:bookmarkStart w:id="92" w:name="_Toc467236741"/>
      <w:bookmarkStart w:id="93" w:name="_Toc480020258"/>
      <w:bookmarkStart w:id="94" w:name="_Toc479991583"/>
      <w:bookmarkStart w:id="95" w:name="_Toc32304"/>
      <w:bookmarkStart w:id="96" w:name="_Toc480010709"/>
      <w:bookmarkStart w:id="97" w:name="_Toc468606030"/>
      <w:bookmarkStart w:id="98" w:name="_Toc467987824"/>
      <w:bookmarkStart w:id="99" w:name="_Toc7897877"/>
      <w:bookmarkStart w:id="100" w:name="_Toc503758471"/>
      <w:bookmarkStart w:id="101" w:name="_Toc458262615"/>
      <w:bookmarkStart w:id="102" w:name="_Toc480021054"/>
      <w:bookmarkStart w:id="103" w:name="_Toc2525"/>
      <w:bookmarkStart w:id="104" w:name="_Toc468157537"/>
      <w:r>
        <w:rPr>
          <w:rFonts w:hint="eastAsia" w:hAnsi="宋体"/>
          <w:color w:val="auto"/>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7"/>
        <w:ind w:firstLine="400"/>
        <w:rPr>
          <w:color w:val="auto"/>
          <w:highlight w:val="none"/>
        </w:rPr>
      </w:pPr>
    </w:p>
    <w:bookmarkEnd w:id="68"/>
    <w:bookmarkEnd w:id="69"/>
    <w:bookmarkEnd w:id="70"/>
    <w:bookmarkEnd w:id="71"/>
    <w:bookmarkEnd w:id="72"/>
    <w:p>
      <w:pPr>
        <w:pStyle w:val="5"/>
        <w:adjustRightInd/>
        <w:spacing w:line="360" w:lineRule="auto"/>
        <w:ind w:firstLine="562" w:firstLineChars="200"/>
        <w:jc w:val="center"/>
        <w:rPr>
          <w:color w:val="auto"/>
          <w:sz w:val="28"/>
          <w:szCs w:val="28"/>
          <w:highlight w:val="none"/>
        </w:rPr>
      </w:pPr>
      <w:bookmarkStart w:id="105" w:name="_Toc110953843"/>
      <w:bookmarkStart w:id="106" w:name="_Toc7897878"/>
      <w:bookmarkStart w:id="107" w:name="_Toc17761"/>
      <w:bookmarkStart w:id="108" w:name="_Toc507407363"/>
      <w:bookmarkStart w:id="109" w:name="_Toc102277760"/>
      <w:bookmarkStart w:id="110" w:name="_Toc466786438"/>
      <w:bookmarkStart w:id="111" w:name="_Toc6882679"/>
      <w:bookmarkStart w:id="112" w:name="_Toc6968691"/>
      <w:r>
        <w:rPr>
          <w:rFonts w:hint="eastAsia"/>
          <w:color w:val="auto"/>
          <w:sz w:val="28"/>
          <w:szCs w:val="28"/>
          <w:highlight w:val="none"/>
        </w:rPr>
        <w:t>四、响应文件的递交</w:t>
      </w:r>
      <w:bookmarkEnd w:id="105"/>
      <w:bookmarkEnd w:id="106"/>
      <w:bookmarkEnd w:id="107"/>
    </w:p>
    <w:p>
      <w:pPr>
        <w:pStyle w:val="6"/>
        <w:adjustRightInd/>
        <w:spacing w:line="360" w:lineRule="auto"/>
        <w:ind w:firstLine="420" w:firstLineChars="200"/>
        <w:rPr>
          <w:rFonts w:hAnsi="宋体"/>
          <w:color w:val="auto"/>
          <w:sz w:val="21"/>
          <w:szCs w:val="21"/>
          <w:highlight w:val="none"/>
        </w:rPr>
      </w:pPr>
      <w:bookmarkStart w:id="113" w:name="_Toc7897879"/>
      <w:bookmarkStart w:id="114" w:name="_Toc11500"/>
      <w:bookmarkStart w:id="115" w:name="_Toc2684"/>
      <w:bookmarkStart w:id="116" w:name="_Toc110953844"/>
      <w:r>
        <w:rPr>
          <w:rFonts w:hint="eastAsia" w:hAnsi="宋体"/>
          <w:color w:val="auto"/>
          <w:sz w:val="21"/>
          <w:szCs w:val="21"/>
          <w:highlight w:val="none"/>
        </w:rPr>
        <w:t>15.响应文件的密封和标记</w:t>
      </w:r>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6"/>
        <w:adjustRightInd/>
        <w:spacing w:line="360" w:lineRule="auto"/>
        <w:ind w:firstLine="420" w:firstLineChars="200"/>
        <w:rPr>
          <w:rFonts w:hAnsi="宋体"/>
          <w:color w:val="auto"/>
          <w:sz w:val="21"/>
          <w:szCs w:val="21"/>
          <w:highlight w:val="none"/>
        </w:rPr>
      </w:pPr>
      <w:bookmarkStart w:id="117" w:name="_Toc7897880"/>
      <w:bookmarkStart w:id="118" w:name="_Toc10017"/>
      <w:bookmarkStart w:id="119" w:name="_Toc110953845"/>
      <w:bookmarkStart w:id="120" w:name="_Toc12710"/>
      <w:r>
        <w:rPr>
          <w:rFonts w:hint="eastAsia" w:hAnsi="宋体"/>
          <w:color w:val="auto"/>
          <w:sz w:val="21"/>
          <w:szCs w:val="21"/>
          <w:highlight w:val="none"/>
        </w:rPr>
        <w:t>16.响应文件的递交</w:t>
      </w:r>
      <w:bookmarkEnd w:id="117"/>
      <w:bookmarkEnd w:id="118"/>
      <w:bookmarkEnd w:id="119"/>
      <w:bookmarkEnd w:id="12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121" w:name="_Toc22874"/>
      <w:bookmarkStart w:id="122" w:name="_Toc7897881"/>
      <w:r>
        <w:rPr>
          <w:rFonts w:hint="eastAsia"/>
          <w:color w:val="auto"/>
          <w:sz w:val="28"/>
          <w:szCs w:val="28"/>
          <w:highlight w:val="none"/>
        </w:rPr>
        <w:t>五、采购仪式和</w:t>
      </w:r>
      <w:bookmarkEnd w:id="108"/>
      <w:bookmarkEnd w:id="109"/>
      <w:bookmarkEnd w:id="110"/>
      <w:bookmarkEnd w:id="111"/>
      <w:bookmarkEnd w:id="112"/>
      <w:r>
        <w:rPr>
          <w:rFonts w:hint="eastAsia"/>
          <w:color w:val="auto"/>
          <w:sz w:val="28"/>
          <w:szCs w:val="28"/>
          <w:highlight w:val="none"/>
        </w:rPr>
        <w:t>评审会议</w:t>
      </w:r>
      <w:bookmarkEnd w:id="121"/>
      <w:bookmarkEnd w:id="122"/>
    </w:p>
    <w:p>
      <w:pPr>
        <w:pStyle w:val="6"/>
        <w:adjustRightInd/>
        <w:spacing w:line="360" w:lineRule="auto"/>
        <w:ind w:firstLine="422" w:firstLineChars="200"/>
        <w:rPr>
          <w:rFonts w:hAnsi="宋体"/>
          <w:b/>
          <w:color w:val="auto"/>
          <w:sz w:val="21"/>
          <w:szCs w:val="21"/>
          <w:highlight w:val="none"/>
        </w:rPr>
      </w:pPr>
      <w:bookmarkStart w:id="123" w:name="_Toc475249134"/>
      <w:r>
        <w:rPr>
          <w:rFonts w:hint="eastAsia" w:hAnsi="宋体"/>
          <w:b/>
          <w:color w:val="auto"/>
          <w:sz w:val="21"/>
          <w:szCs w:val="21"/>
          <w:highlight w:val="none"/>
        </w:rPr>
        <w:t>17.</w:t>
      </w:r>
      <w:bookmarkEnd w:id="123"/>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24" w:name="_Toc475249135"/>
      <w:bookmarkStart w:id="125"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w:t>
      </w:r>
      <w:r>
        <w:rPr>
          <w:rFonts w:hint="eastAsia" w:hAnsi="宋体"/>
          <w:color w:val="auto"/>
          <w:sz w:val="21"/>
          <w:szCs w:val="21"/>
          <w:highlight w:val="none"/>
          <w:lang w:eastAsia="zh-CN"/>
        </w:rPr>
        <w:t>响应</w:t>
      </w:r>
      <w:r>
        <w:rPr>
          <w:rFonts w:hint="eastAsia" w:hAnsi="宋体"/>
          <w:color w:val="auto"/>
          <w:sz w:val="21"/>
          <w:szCs w:val="21"/>
          <w:highlight w:val="none"/>
        </w:rPr>
        <w:t>文件前，采购人、采购代理机构和供应商将检查响应文件的密封情况。在确认密封完好后，进行拆封唱标。唱标主要内容为响应文件正本中</w:t>
      </w:r>
      <w:r>
        <w:rPr>
          <w:rFonts w:hint="eastAsia" w:hAnsi="宋体"/>
          <w:color w:val="auto"/>
          <w:sz w:val="21"/>
          <w:szCs w:val="21"/>
          <w:highlight w:val="none"/>
          <w:lang w:eastAsia="zh-CN"/>
        </w:rPr>
        <w:t>磋商保证金</w:t>
      </w:r>
      <w:r>
        <w:rPr>
          <w:rFonts w:hint="eastAsia" w:hAnsi="宋体"/>
          <w:color w:val="auto"/>
          <w:sz w:val="21"/>
          <w:szCs w:val="21"/>
          <w:highlight w:val="none"/>
        </w:rPr>
        <w:t>的内容以及采购代理机构认为合适的其他内容，并做唱标记录。</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2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6"/>
        <w:adjustRightInd/>
        <w:spacing w:line="360" w:lineRule="auto"/>
        <w:ind w:firstLine="422" w:firstLineChars="200"/>
        <w:rPr>
          <w:rFonts w:hAnsi="宋体"/>
          <w:b/>
          <w:color w:val="auto"/>
          <w:sz w:val="21"/>
          <w:szCs w:val="21"/>
          <w:highlight w:val="none"/>
        </w:rPr>
      </w:pPr>
      <w:bookmarkStart w:id="126" w:name="_Toc37121259"/>
      <w:bookmarkStart w:id="127" w:name="_Toc535141844"/>
      <w:r>
        <w:rPr>
          <w:rFonts w:hint="eastAsia" w:hAnsi="宋体"/>
          <w:b/>
          <w:color w:val="auto"/>
          <w:sz w:val="21"/>
          <w:szCs w:val="21"/>
          <w:highlight w:val="none"/>
        </w:rPr>
        <w:t>19.对响应文件的初审</w:t>
      </w:r>
      <w:bookmarkEnd w:id="126"/>
      <w:bookmarkEnd w:id="12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28" w:name="_Toc18625"/>
      <w:bookmarkStart w:id="129" w:name="_Toc7897882"/>
      <w:r>
        <w:rPr>
          <w:rFonts w:hint="eastAsia"/>
          <w:color w:val="auto"/>
          <w:sz w:val="28"/>
          <w:szCs w:val="28"/>
          <w:highlight w:val="none"/>
        </w:rPr>
        <w:t>六、确定成交供应商</w:t>
      </w:r>
      <w:bookmarkEnd w:id="128"/>
      <w:bookmarkEnd w:id="129"/>
    </w:p>
    <w:p>
      <w:pPr>
        <w:pStyle w:val="6"/>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6"/>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lang w:eastAsia="zh-CN"/>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lang w:eastAsia="zh-CN"/>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lang w:eastAsia="zh-CN"/>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lang w:eastAsia="zh-CN"/>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6"/>
        <w:adjustRightInd/>
        <w:spacing w:line="360" w:lineRule="auto"/>
        <w:ind w:firstLine="422" w:firstLineChars="200"/>
        <w:rPr>
          <w:rFonts w:hAnsi="宋体"/>
          <w:b/>
          <w:color w:val="auto"/>
          <w:sz w:val="21"/>
          <w:szCs w:val="21"/>
          <w:highlight w:val="none"/>
        </w:rPr>
      </w:pPr>
      <w:bookmarkStart w:id="130" w:name="_Toc475249142"/>
      <w:r>
        <w:rPr>
          <w:rFonts w:hint="eastAsia" w:hAnsi="宋体"/>
          <w:b/>
          <w:color w:val="auto"/>
          <w:sz w:val="21"/>
          <w:szCs w:val="21"/>
          <w:highlight w:val="none"/>
        </w:rPr>
        <w:t>26.成交通知</w:t>
      </w:r>
      <w:bookmarkEnd w:id="13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sz w:val="21"/>
          <w:szCs w:val="21"/>
          <w:highlight w:val="none"/>
          <w:lang w:eastAsia="zh-CN"/>
        </w:rPr>
        <w:t>磋商文件</w:t>
      </w:r>
      <w:r>
        <w:rPr>
          <w:rFonts w:hint="eastAsia" w:hAnsi="宋体"/>
          <w:color w:val="auto"/>
          <w:sz w:val="21"/>
          <w:szCs w:val="21"/>
          <w:highlight w:val="none"/>
        </w:rPr>
        <w:t>指定的采购信息发布媒体上公告，同时向成交供应商发出成交通知书，并将磋商文件随成交结果同时公告。</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31" w:name="_Toc110953852"/>
      <w:bookmarkStart w:id="132" w:name="_Toc28276"/>
      <w:bookmarkStart w:id="133" w:name="_Toc37756778"/>
      <w:bookmarkStart w:id="134" w:name="_Toc7897883"/>
      <w:bookmarkStart w:id="135" w:name="_Toc475249143"/>
      <w:r>
        <w:rPr>
          <w:rFonts w:hint="eastAsia"/>
          <w:color w:val="auto"/>
          <w:sz w:val="28"/>
          <w:szCs w:val="28"/>
          <w:highlight w:val="none"/>
        </w:rPr>
        <w:t>七、签订采购合同</w:t>
      </w:r>
      <w:bookmarkEnd w:id="131"/>
      <w:bookmarkEnd w:id="132"/>
      <w:bookmarkEnd w:id="133"/>
      <w:bookmarkEnd w:id="13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w:t>
      </w:r>
      <w:r>
        <w:rPr>
          <w:rFonts w:hint="eastAsia" w:hAnsi="宋体"/>
          <w:color w:val="auto"/>
          <w:sz w:val="21"/>
          <w:szCs w:val="21"/>
          <w:highlight w:val="none"/>
          <w:lang w:eastAsia="zh-CN"/>
        </w:rPr>
        <w:t>磋商文件</w:t>
      </w:r>
      <w:r>
        <w:rPr>
          <w:rFonts w:hint="eastAsia" w:hAnsi="宋体"/>
          <w:color w:val="auto"/>
          <w:sz w:val="21"/>
          <w:szCs w:val="21"/>
          <w:highlight w:val="none"/>
        </w:rPr>
        <w:t>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35"/>
    <w:p>
      <w:pPr>
        <w:pStyle w:val="5"/>
        <w:adjustRightInd/>
        <w:spacing w:line="360" w:lineRule="auto"/>
        <w:ind w:firstLine="562" w:firstLineChars="200"/>
        <w:jc w:val="center"/>
        <w:rPr>
          <w:color w:val="auto"/>
          <w:sz w:val="21"/>
          <w:szCs w:val="21"/>
          <w:highlight w:val="none"/>
        </w:rPr>
      </w:pPr>
      <w:bookmarkStart w:id="136" w:name="_Toc7897884"/>
      <w:bookmarkStart w:id="137" w:name="_Toc8766"/>
      <w:bookmarkStart w:id="138" w:name="_Toc5141"/>
      <w:bookmarkStart w:id="139" w:name="_Toc3498"/>
      <w:bookmarkStart w:id="140" w:name="_Toc396137239"/>
      <w:bookmarkStart w:id="141" w:name="_Toc396137240"/>
      <w:bookmarkStart w:id="142" w:name="_Toc22751"/>
      <w:r>
        <w:rPr>
          <w:rFonts w:hint="eastAsia"/>
          <w:color w:val="auto"/>
          <w:sz w:val="28"/>
          <w:szCs w:val="28"/>
          <w:highlight w:val="none"/>
        </w:rPr>
        <w:t>八、成交服务费</w:t>
      </w:r>
      <w:bookmarkEnd w:id="136"/>
      <w:bookmarkEnd w:id="137"/>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.1</w:t>
      </w:r>
      <w:r>
        <w:rPr>
          <w:rFonts w:hint="eastAsia" w:hAnsi="宋体"/>
          <w:color w:val="auto"/>
          <w:sz w:val="21"/>
          <w:szCs w:val="21"/>
          <w:highlight w:val="none"/>
          <w:lang w:eastAsia="zh-CN"/>
        </w:rPr>
        <w:t>成交供应商</w:t>
      </w:r>
      <w:r>
        <w:rPr>
          <w:rFonts w:hint="eastAsia" w:hAnsi="宋体"/>
          <w:color w:val="auto"/>
          <w:sz w:val="21"/>
          <w:szCs w:val="21"/>
          <w:highlight w:val="none"/>
        </w:rPr>
        <w:t>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.2成交服务费</w:t>
      </w:r>
      <w:r>
        <w:rPr>
          <w:rFonts w:hint="eastAsia" w:hAnsi="宋体"/>
          <w:color w:val="auto"/>
          <w:sz w:val="21"/>
          <w:szCs w:val="21"/>
          <w:highlight w:val="none"/>
          <w:lang w:eastAsia="zh-CN"/>
        </w:rPr>
        <w:t>参照</w:t>
      </w:r>
      <w:r>
        <w:rPr>
          <w:rFonts w:hint="eastAsia" w:hAnsi="宋体"/>
          <w:color w:val="auto"/>
          <w:sz w:val="21"/>
          <w:szCs w:val="21"/>
          <w:highlight w:val="none"/>
        </w:rPr>
        <w:t>国家计委[计价格[2002]1980号]文和国家发改委[发改价格[2011]534号]文及相关规定收取，按差额定率累进法计算，按</w:t>
      </w:r>
      <w:r>
        <w:rPr>
          <w:rFonts w:hint="eastAsia" w:hAnsi="宋体"/>
          <w:color w:val="auto"/>
          <w:sz w:val="21"/>
          <w:szCs w:val="21"/>
          <w:highlight w:val="none"/>
          <w:lang w:eastAsia="zh-CN"/>
        </w:rPr>
        <w:t>工程</w:t>
      </w:r>
      <w:r>
        <w:rPr>
          <w:rFonts w:hint="eastAsia" w:hAnsi="宋体"/>
          <w:color w:val="auto"/>
          <w:sz w:val="21"/>
          <w:szCs w:val="21"/>
          <w:highlight w:val="none"/>
        </w:rPr>
        <w:t>类</w:t>
      </w:r>
      <w:r>
        <w:rPr>
          <w:rFonts w:hint="eastAsia" w:hAnsi="宋体"/>
          <w:color w:val="auto"/>
          <w:sz w:val="21"/>
          <w:szCs w:val="21"/>
          <w:highlight w:val="none"/>
          <w:lang w:eastAsia="zh-CN"/>
        </w:rPr>
        <w:t>的</w:t>
      </w:r>
      <w:r>
        <w:rPr>
          <w:rFonts w:hint="eastAsia" w:hAnsi="宋体"/>
          <w:color w:val="auto"/>
          <w:sz w:val="21"/>
          <w:szCs w:val="21"/>
          <w:highlight w:val="none"/>
          <w:lang w:val="en-US" w:eastAsia="zh-CN"/>
        </w:rPr>
        <w:t>七折</w:t>
      </w:r>
      <w:r>
        <w:rPr>
          <w:rFonts w:hint="eastAsia" w:hAnsi="宋体"/>
          <w:color w:val="auto"/>
          <w:sz w:val="21"/>
          <w:szCs w:val="21"/>
          <w:highlight w:val="none"/>
          <w:lang w:eastAsia="zh-CN"/>
        </w:rPr>
        <w:t>收取</w:t>
      </w:r>
      <w:r>
        <w:rPr>
          <w:rFonts w:hint="eastAsia" w:hAnsi="宋体"/>
          <w:color w:val="auto"/>
          <w:sz w:val="21"/>
          <w:szCs w:val="21"/>
          <w:highlight w:val="none"/>
        </w:rPr>
        <w:t>，以成交通知书中确定的成交总金额作为收费的计算依据。成交服务费最低收费标准为伍仟元整。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.4服务费应由</w:t>
      </w:r>
      <w:r>
        <w:rPr>
          <w:rFonts w:hint="eastAsia" w:hAnsi="宋体"/>
          <w:color w:val="auto"/>
          <w:sz w:val="21"/>
          <w:szCs w:val="21"/>
          <w:highlight w:val="none"/>
          <w:lang w:eastAsia="zh-CN"/>
        </w:rPr>
        <w:t>成交供应商</w:t>
      </w:r>
      <w:r>
        <w:rPr>
          <w:rFonts w:hint="eastAsia" w:hAnsi="宋体"/>
          <w:color w:val="auto"/>
          <w:sz w:val="21"/>
          <w:szCs w:val="21"/>
          <w:highlight w:val="none"/>
        </w:rPr>
        <w:t>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.5以转账或现金的形式支付。</w:t>
      </w:r>
    </w:p>
    <w:p>
      <w:pPr>
        <w:pStyle w:val="7"/>
        <w:ind w:firstLine="400"/>
        <w:rPr>
          <w:color w:val="auto"/>
          <w:highlight w:val="none"/>
        </w:rPr>
      </w:pPr>
    </w:p>
    <w:p>
      <w:pPr>
        <w:pStyle w:val="5"/>
        <w:adjustRightInd/>
        <w:spacing w:line="360" w:lineRule="auto"/>
        <w:ind w:firstLine="562" w:firstLineChars="200"/>
        <w:jc w:val="center"/>
        <w:rPr>
          <w:color w:val="auto"/>
          <w:sz w:val="28"/>
          <w:szCs w:val="28"/>
          <w:highlight w:val="none"/>
          <w:lang w:val="zh-CN"/>
        </w:rPr>
      </w:pPr>
      <w:r>
        <w:rPr>
          <w:rFonts w:hint="eastAsia"/>
          <w:color w:val="auto"/>
          <w:sz w:val="28"/>
          <w:szCs w:val="28"/>
          <w:highlight w:val="none"/>
          <w:lang w:val="zh-CN"/>
        </w:rPr>
        <w:t>九、质疑与回复</w:t>
      </w:r>
      <w:bookmarkEnd w:id="138"/>
      <w:bookmarkEnd w:id="139"/>
      <w:bookmarkEnd w:id="14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 xml:space="preserve">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.4. 供应商认为采购过程和</w:t>
      </w:r>
      <w:r>
        <w:rPr>
          <w:rFonts w:hint="eastAsia" w:hAnsi="宋体"/>
          <w:color w:val="auto"/>
          <w:sz w:val="21"/>
          <w:szCs w:val="21"/>
          <w:highlight w:val="none"/>
          <w:lang w:eastAsia="zh-CN"/>
        </w:rPr>
        <w:t>成交</w:t>
      </w:r>
      <w:r>
        <w:rPr>
          <w:rFonts w:hint="eastAsia" w:hAnsi="宋体"/>
          <w:color w:val="auto"/>
          <w:sz w:val="21"/>
          <w:szCs w:val="21"/>
          <w:highlight w:val="none"/>
        </w:rPr>
        <w:t>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43" w:name="_Toc29421"/>
      <w:r>
        <w:rPr>
          <w:rFonts w:hint="eastAsia"/>
          <w:color w:val="auto"/>
          <w:sz w:val="21"/>
          <w:szCs w:val="21"/>
          <w:highlight w:val="none"/>
        </w:rPr>
        <w:t>3</w:t>
      </w:r>
      <w:r>
        <w:rPr>
          <w:rFonts w:hint="eastAsia"/>
          <w:color w:val="auto"/>
          <w:sz w:val="21"/>
          <w:szCs w:val="21"/>
          <w:highlight w:val="none"/>
          <w:lang w:val="en-US" w:eastAsia="zh-CN"/>
        </w:rPr>
        <w:t>3</w:t>
      </w:r>
      <w:r>
        <w:rPr>
          <w:rFonts w:hint="eastAsia"/>
          <w:color w:val="auto"/>
          <w:sz w:val="21"/>
          <w:szCs w:val="21"/>
          <w:highlight w:val="none"/>
        </w:rPr>
        <w:t>.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3"/>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用户需求书</w:t>
      </w:r>
      <w:bookmarkEnd w:id="141"/>
      <w:bookmarkEnd w:id="142"/>
    </w:p>
    <w:p>
      <w:pPr>
        <w:pStyle w:val="4"/>
        <w:spacing w:line="360" w:lineRule="auto"/>
        <w:jc w:val="center"/>
        <w:rPr>
          <w:b/>
          <w:bCs/>
          <w:color w:val="auto"/>
          <w:sz w:val="28"/>
          <w:szCs w:val="28"/>
          <w:highlight w:val="none"/>
        </w:rPr>
      </w:pPr>
      <w:bookmarkStart w:id="144" w:name="_Toc32290"/>
      <w:bookmarkStart w:id="145" w:name="_Toc13957"/>
      <w:r>
        <w:rPr>
          <w:rFonts w:hint="eastAsia"/>
          <w:b/>
          <w:bCs/>
          <w:color w:val="auto"/>
          <w:sz w:val="28"/>
          <w:szCs w:val="28"/>
          <w:highlight w:val="none"/>
        </w:rPr>
        <w:t>第一部分 商务需求书</w:t>
      </w:r>
      <w:bookmarkEnd w:id="144"/>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39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rPr>
              <w:t>期</w:t>
            </w:r>
          </w:p>
        </w:tc>
        <w:tc>
          <w:tcPr>
            <w:tcW w:w="6397" w:type="dxa"/>
            <w:noWrap w:val="0"/>
            <w:vAlign w:val="center"/>
          </w:tcPr>
          <w:p>
            <w:pPr>
              <w:pStyle w:val="144"/>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施工场地达到入场条件，以采购人开工令为准确定开始施工日期。工期为</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天（日历日）。</w:t>
            </w:r>
          </w:p>
          <w:p>
            <w:pPr>
              <w:pStyle w:val="144"/>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原因，</w:t>
            </w:r>
            <w:r>
              <w:rPr>
                <w:rFonts w:hint="eastAsia" w:ascii="宋体" w:hAnsi="宋体" w:eastAsia="宋体" w:cs="宋体"/>
                <w:color w:val="auto"/>
                <w:sz w:val="21"/>
                <w:szCs w:val="21"/>
                <w:highlight w:val="none"/>
                <w:lang w:val="en-US" w:eastAsia="zh-CN"/>
              </w:rPr>
              <w:t>造成</w:t>
            </w:r>
            <w:r>
              <w:rPr>
                <w:rFonts w:hint="eastAsia" w:ascii="宋体" w:hAnsi="宋体" w:eastAsia="宋体" w:cs="宋体"/>
                <w:color w:val="auto"/>
                <w:sz w:val="21"/>
                <w:szCs w:val="21"/>
                <w:highlight w:val="none"/>
              </w:rPr>
              <w:t>逾期竣工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，每逾期一天，</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须支付给</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本合同价款总额0.5%的违约金，由于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原因导致的工期延误，工期顺延。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9" w:type="dxa"/>
            <w:noWrap w:val="0"/>
            <w:vAlign w:val="center"/>
          </w:tcPr>
          <w:p>
            <w:pPr>
              <w:spacing w:line="360" w:lineRule="auto"/>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sz w:val="21"/>
                <w:szCs w:val="21"/>
                <w:highlight w:val="none"/>
              </w:rPr>
              <w:t>报价要求</w:t>
            </w:r>
          </w:p>
        </w:tc>
        <w:tc>
          <w:tcPr>
            <w:tcW w:w="6397" w:type="dxa"/>
            <w:noWrap w:val="0"/>
            <w:vAlign w:val="center"/>
          </w:tcPr>
          <w:p>
            <w:pPr>
              <w:autoSpaceDE/>
              <w:autoSpaceDN/>
              <w:adjustRightInd/>
              <w:spacing w:line="360" w:lineRule="auto"/>
              <w:ind w:firstLine="420" w:firstLineChars="200"/>
              <w:jc w:val="both"/>
              <w:rPr>
                <w:rFonts w:hint="eastAsia" w:ascii="宋体" w:hAnsi="宋体" w:eastAsia="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1</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应当对充分了解工程施工现场和周围环境，以获得由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自己负责的有关编制</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文件和签署合同的所有信息，一旦</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这种考察即被认为其结果已在</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文件中的充分反映；若因本项目实施中可能出现其它未知因素和</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无法体现的内容而产生费用，该费用由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承担。</w:t>
            </w:r>
          </w:p>
          <w:p>
            <w:pPr>
              <w:autoSpaceDE/>
              <w:autoSpaceDN/>
              <w:adjustRightInd/>
              <w:spacing w:line="360" w:lineRule="auto"/>
              <w:ind w:firstLine="420" w:firstLineChars="200"/>
              <w:jc w:val="both"/>
              <w:rPr>
                <w:rFonts w:hint="eastAsia" w:ascii="宋体" w:hAnsi="宋体" w:eastAsia="宋体" w:cs="宋体"/>
                <w:b w:val="0"/>
                <w:bCs w:val="0"/>
                <w:color w:val="auto"/>
                <w:sz w:val="21"/>
                <w:szCs w:val="21"/>
                <w:highlight w:val="none"/>
                <w:lang w:eastAsia="zh-CN"/>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2</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本项目采用</w:t>
            </w:r>
            <w:r>
              <w:rPr>
                <w:rFonts w:hint="eastAsia" w:ascii="宋体" w:hAnsi="宋体" w:eastAsia="宋体" w:cs="宋体"/>
                <w:b w:val="0"/>
                <w:bCs w:val="0"/>
                <w:color w:val="auto"/>
                <w:sz w:val="21"/>
                <w:szCs w:val="21"/>
                <w:highlight w:val="none"/>
              </w:rPr>
              <w:t>固定总价</w:t>
            </w:r>
            <w:r>
              <w:rPr>
                <w:rFonts w:hint="eastAsia" w:ascii="宋体" w:hAnsi="宋体" w:eastAsia="宋体" w:cs="宋体"/>
                <w:b w:val="0"/>
                <w:bCs w:val="0"/>
                <w:color w:val="auto"/>
                <w:sz w:val="21"/>
                <w:szCs w:val="21"/>
                <w:highlight w:val="none"/>
                <w:lang w:eastAsia="zh-CN"/>
              </w:rPr>
              <w:t>包干</w:t>
            </w:r>
            <w:r>
              <w:rPr>
                <w:rFonts w:hint="eastAsia" w:ascii="宋体" w:hAnsi="宋体" w:eastAsia="宋体" w:cs="宋体"/>
                <w:b w:val="0"/>
                <w:bCs w:val="0"/>
                <w:color w:val="auto"/>
                <w:sz w:val="21"/>
                <w:szCs w:val="21"/>
                <w:highlight w:val="none"/>
              </w:rPr>
              <w:t>方式</w:t>
            </w:r>
            <w:r>
              <w:rPr>
                <w:rFonts w:hint="eastAsia" w:ascii="宋体" w:hAnsi="宋体" w:eastAsia="宋体" w:cs="宋体"/>
                <w:b w:val="0"/>
                <w:bCs w:val="0"/>
                <w:color w:val="auto"/>
                <w:sz w:val="21"/>
                <w:szCs w:val="21"/>
                <w:highlight w:val="none"/>
                <w:lang w:eastAsia="zh-CN"/>
              </w:rPr>
              <w:t>进行报价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应按采购人提供的工程量清单项目及工程量进行报价。</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总价是指</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完成整个项目的施工安装，实现采购人使用要求所需的所有费用，须包工、包料、包工期、包质量、包安全、包文明施工，包验收合格，包保修等。</w:t>
            </w:r>
            <w:r>
              <w:rPr>
                <w:rFonts w:hint="eastAsia" w:ascii="宋体" w:hAnsi="宋体" w:eastAsia="宋体" w:cs="宋体"/>
                <w:b w:val="0"/>
                <w:bCs w:val="0"/>
                <w:color w:val="auto"/>
                <w:sz w:val="21"/>
                <w:szCs w:val="21"/>
                <w:highlight w:val="none"/>
                <w:lang w:eastAsia="zh-CN"/>
              </w:rPr>
              <w:t>除</w:t>
            </w:r>
            <w:r>
              <w:rPr>
                <w:rFonts w:hint="eastAsia" w:ascii="宋体" w:hAnsi="宋体" w:eastAsia="宋体" w:cs="宋体"/>
                <w:b w:val="0"/>
                <w:bCs w:val="0"/>
                <w:color w:val="auto"/>
                <w:sz w:val="21"/>
                <w:szCs w:val="21"/>
                <w:highlight w:val="none"/>
              </w:rPr>
              <w:t>施工过程中发生设计变更</w:t>
            </w:r>
            <w:r>
              <w:rPr>
                <w:rFonts w:hint="eastAsia" w:ascii="宋体" w:hAnsi="宋体" w:eastAsia="宋体" w:cs="宋体"/>
                <w:b w:val="0"/>
                <w:bCs w:val="0"/>
                <w:color w:val="auto"/>
                <w:sz w:val="21"/>
                <w:szCs w:val="21"/>
                <w:highlight w:val="none"/>
                <w:lang w:eastAsia="zh-CN"/>
              </w:rPr>
              <w:t>及现场签证外</w:t>
            </w:r>
            <w:r>
              <w:rPr>
                <w:rFonts w:hint="eastAsia" w:ascii="宋体" w:hAnsi="宋体" w:eastAsia="宋体" w:cs="宋体"/>
                <w:b w:val="0"/>
                <w:bCs w:val="0"/>
                <w:color w:val="auto"/>
                <w:sz w:val="21"/>
                <w:szCs w:val="21"/>
                <w:highlight w:val="none"/>
              </w:rPr>
              <w:t>，合同总价在</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及施工合同约定的风险范围之内(的图纸、</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以及技术资料的固定)不可调整。</w:t>
            </w:r>
          </w:p>
          <w:p>
            <w:pPr>
              <w:pStyle w:val="144"/>
              <w:spacing w:line="360" w:lineRule="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应结合建筑市场、自身施工能力、经营状况，充分考虑市场竞争和施工过程中承担风险的能力等。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应按企业的实际情况自行报价，但不得低于本企业成本价。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付款方式</w:t>
            </w:r>
          </w:p>
        </w:tc>
        <w:tc>
          <w:tcPr>
            <w:tcW w:w="6397" w:type="dxa"/>
            <w:noWrap w:val="0"/>
            <w:vAlign w:val="center"/>
          </w:tcPr>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本合同采用按工期节点进度付款，具体付款方式如下：</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）工程进度款按月支付，每个月支付完成工程量造价的80%；待支付至合同款的80%不再进行进度款支付；</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ascii="宋体" w:hAnsi="宋体" w:eastAsia="宋体" w:cs="宋体"/>
                <w:color w:val="auto"/>
                <w:sz w:val="21"/>
                <w:szCs w:val="21"/>
                <w:highlight w:val="none"/>
              </w:rPr>
              <w:t>并办理完结算后，</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提交完整的请款资料，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在收到请款资料后20个工作日内</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支付至结算总价97%。</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）工程质量保修金为结算总价3%，满两年质保期后无质量问题的申请支付余款。</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）每次支付工程款项时，</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必须提供税率为9%的增值税专用发票。若有税率调整，按最新政策税率执行，结算时按不含税价*新税率调整。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质保期</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项目验收合格之日起,提供2年质量保修服务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服务地点</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合同条款</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9" w:type="dxa"/>
            <w:noWrap w:val="0"/>
            <w:vAlign w:val="center"/>
          </w:tcPr>
          <w:p>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其他服务要求</w:t>
            </w:r>
          </w:p>
        </w:tc>
        <w:tc>
          <w:tcPr>
            <w:tcW w:w="6397" w:type="dxa"/>
            <w:noWrap w:val="0"/>
            <w:vAlign w:val="center"/>
          </w:tcPr>
          <w:p>
            <w:pPr>
              <w:pStyle w:val="144"/>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详见技术需求书。</w:t>
            </w:r>
          </w:p>
        </w:tc>
      </w:tr>
    </w:tbl>
    <w:p>
      <w:pPr>
        <w:pStyle w:val="7"/>
        <w:rPr>
          <w:rFonts w:hint="eastAsia"/>
          <w:color w:val="auto"/>
          <w:highlight w:val="none"/>
        </w:rPr>
      </w:pPr>
    </w:p>
    <w:p>
      <w:pPr>
        <w:pStyle w:val="4"/>
        <w:jc w:val="center"/>
        <w:rPr>
          <w:rFonts w:hint="eastAsia"/>
          <w:b/>
          <w:color w:val="auto"/>
          <w:sz w:val="28"/>
          <w:szCs w:val="28"/>
          <w:highlight w:val="none"/>
        </w:rPr>
      </w:pPr>
      <w:bookmarkStart w:id="146" w:name="_Toc25267"/>
      <w:r>
        <w:rPr>
          <w:rFonts w:hint="eastAsia"/>
          <w:b/>
          <w:color w:val="auto"/>
          <w:sz w:val="28"/>
          <w:szCs w:val="28"/>
          <w:highlight w:val="none"/>
        </w:rPr>
        <w:t>第二部分 技术需求书</w:t>
      </w:r>
      <w:bookmarkEnd w:id="146"/>
    </w:p>
    <w:p>
      <w:pPr>
        <w:pStyle w:val="5"/>
        <w:keepNext w:val="0"/>
        <w:keepLines w:val="0"/>
        <w:pageBreakBefore w:val="0"/>
        <w:widowControl w:val="0"/>
        <w:kinsoku/>
        <w:wordWrap/>
        <w:overflowPunct/>
        <w:topLinePunct w:val="0"/>
        <w:bidi w:val="0"/>
        <w:snapToGrid/>
        <w:spacing w:line="360" w:lineRule="auto"/>
        <w:textAlignment w:val="auto"/>
        <w:rPr>
          <w:rFonts w:hint="eastAsia" w:eastAsia="宋体"/>
          <w:color w:val="auto"/>
          <w:highlight w:val="none"/>
          <w:lang w:eastAsia="zh-CN"/>
        </w:rPr>
      </w:pPr>
      <w:bookmarkStart w:id="147" w:name="_Toc30247"/>
      <w:r>
        <w:rPr>
          <w:rFonts w:hint="eastAsia"/>
          <w:color w:val="auto"/>
          <w:highlight w:val="none"/>
        </w:rPr>
        <w:t>一、项目</w:t>
      </w:r>
      <w:r>
        <w:rPr>
          <w:rFonts w:hint="eastAsia"/>
          <w:color w:val="auto"/>
          <w:highlight w:val="none"/>
          <w:lang w:eastAsia="zh-CN"/>
        </w:rPr>
        <w:t>概况</w:t>
      </w:r>
      <w:bookmarkEnd w:id="14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1、项目名称：</w:t>
      </w:r>
      <w:r>
        <w:rPr>
          <w:rFonts w:hint="eastAsia" w:hAnsi="宋体"/>
          <w:color w:val="auto"/>
          <w:sz w:val="21"/>
          <w:szCs w:val="21"/>
          <w:highlight w:val="none"/>
          <w:lang w:eastAsia="zh-CN"/>
        </w:rPr>
        <w:t>松山湖大学创新城--创投大厦A塔、B塔室外灯光采购项目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2、建设地点：东莞市松山湖</w:t>
      </w:r>
    </w:p>
    <w:p>
      <w:pPr>
        <w:pStyle w:val="7"/>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范围：</w:t>
      </w:r>
      <w:r>
        <w:rPr>
          <w:rFonts w:hint="eastAsia" w:ascii="宋体" w:hAnsi="宋体"/>
          <w:color w:val="auto"/>
          <w:sz w:val="21"/>
          <w:szCs w:val="21"/>
          <w:highlight w:val="none"/>
        </w:rPr>
        <w:t>按招标图纸及工程量清单所含内容，包括但不限于：洗墙灯、线条灯、灯带、投光灯、光束灯、照树灯、水纹灯、星星冰条灯、星星灯串、蒲公英灯、摇摆萤火虫灯、插地芦苇灯、许愿灯、logo投影灯等灯具采购安装及调试；配电箱、开关电源、分控、电缆、线管、仿树腾管、网线；</w:t>
      </w:r>
      <w:r>
        <w:rPr>
          <w:rFonts w:hint="eastAsia" w:ascii="宋体" w:hAnsi="宋体"/>
          <w:color w:val="auto"/>
          <w:sz w:val="21"/>
          <w:szCs w:val="21"/>
          <w:highlight w:val="none"/>
          <w:lang w:eastAsia="zh-CN"/>
        </w:rPr>
        <w:t>取电接驳、</w:t>
      </w:r>
      <w:r>
        <w:rPr>
          <w:rFonts w:hint="eastAsia" w:ascii="宋体" w:hAnsi="宋体"/>
          <w:color w:val="auto"/>
          <w:sz w:val="21"/>
          <w:szCs w:val="21"/>
          <w:highlight w:val="none"/>
        </w:rPr>
        <w:t>开挖及恢复等。</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rPr>
        <w:t>本项目主要材料说明</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本工程所承包范围内所需的材料、成品、未成品、设备的采购、运输、保管、质量等责任均由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不提供材料，</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采购供应的材料尽量使用节能产品，环境标志产品、设备、其名称、品种、型号、规格、质量等，均应符合国家、地方及行业有关规范及要求。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rPr>
        <w:t>材料及工艺要求：</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应保证按照合同和图纸及清单要求进行施工，其施工工艺符合国家标准、规范的施工要求。</w:t>
      </w:r>
    </w:p>
    <w:p>
      <w:pPr>
        <w:pStyle w:val="5"/>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bookmarkStart w:id="148" w:name="_Toc2183"/>
      <w:r>
        <w:rPr>
          <w:rFonts w:hint="eastAsia"/>
          <w:color w:val="auto"/>
          <w:highlight w:val="none"/>
          <w:lang w:eastAsia="zh-CN"/>
        </w:rPr>
        <w:t>二</w:t>
      </w:r>
      <w:r>
        <w:rPr>
          <w:rFonts w:hint="eastAsia"/>
          <w:color w:val="auto"/>
          <w:highlight w:val="none"/>
        </w:rPr>
        <w:t>、工程量清单</w:t>
      </w:r>
      <w:bookmarkEnd w:id="148"/>
    </w:p>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616"/>
        <w:gridCol w:w="5616"/>
        <w:gridCol w:w="1016"/>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1.名称:塑料管</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2.规格:PVC25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1.名称:塑料管</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2.规格:PVC20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1.名称:仿树藤管</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2.规格:φ20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2.型号:ZC-YJV</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3.规格:3*2.5mm2</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4.材质:铜芯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2.型号:ZC-YJV</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3.规格:3*4mm2</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4.材质:铜芯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1.名称:管内穿线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2.型号:ZR-RVV</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3.规格:2*4mm2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双绞线缆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1.名称:网络线</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2.规格:超五类屏蔽</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控制设备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1.名称:分控器 SVE8X512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室外配电箱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.名称:防雨箱体</w:t>
            </w:r>
            <w:r>
              <w:rPr>
                <w:rFonts w:hint="eastAsia" w:hAnsi="宋体" w:cs="宋体"/>
                <w:i w:val="0"/>
                <w:iCs w:val="0"/>
                <w:color w:val="auto"/>
                <w:kern w:val="0"/>
                <w:sz w:val="20"/>
                <w:szCs w:val="20"/>
                <w:highlight w:val="none"/>
                <w:u w:val="none"/>
                <w:lang w:val="en-US" w:eastAsia="zh-CN" w:bidi="ar"/>
              </w:rPr>
              <w:t>（含时控）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2.材质:不锈钢304,</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3.规格:400*300*250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接线盒</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1.名称:防水接线盒</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开关电源设备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1.种类:开关电源</w:t>
            </w:r>
            <w:bookmarkStart w:id="278" w:name="_GoBack"/>
            <w:bookmarkEnd w:id="278"/>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2.型号:350W/24V</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1.名称:洗墙灯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2.编号:XQ-1a</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3.规格:DC24V,LED-24W,3000K,30*60° L:1000mm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1.名称:洗墙灯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2.编号:XQ-1b</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3.规格:DC24V,LED-12W,3000K,30*60° L:500mm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1.名称:洗墙灯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2.编号:XQ-1c</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3.规格:DC24V,LED-8W,3000K,30*60° L:300mm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1.名称:洗墙灯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2.编号:XQ-2a</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3.规格:DC24V,LED-18W,3000K,30*60°,蜂窝防眩网 L:1000mm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1.名称:洗墙灯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2.编号:XQ-2b</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3.规格:DC24V,LED-9W,3000K,30*60°,蜂窝防眩网 L:500mm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1.名称:洗墙灯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2.编号:XQ-2c</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3.规格:DC24V,LED-6W,3000K,30*60°,蜂窝防眩网 L:300mm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1.名称:埋地洗墙灯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2.编号:XQ-3a</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3.规格:DC24V,LED-24W,3000K,60°,蜂窝防眩网 L:1000mm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1.名称:埋地洗墙灯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2.编号:XQ-3b</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3.规格:DC24V,LED-12W,3000K,60°,蜂窝防眩网 L:500mm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1.名称:埋地洗墙灯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2.编号:XQ-3c</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3.规格:DC24V,LED-8W,3000K,60°,蜂窝防眩网 L:300mm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工厂灯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1.名称:水纹灯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2.规格:AC220V,LED-300W,RGBW,DMX512外控 </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3.含:灯具防坠落安全绳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工厂灯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1.名称:埋地投光灯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2.型号: TG1</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3.规格:AC220V,LED- 56W,3000K,20°,带蜂窝网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工厂灯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1.名称:投光灯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2.编号:TG2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3.规格:AC220V,LED- 56W,5000K,60°,磨砂玻璃 </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4.含:灯具防坠落安全绳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工厂灯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1.名称:光束灯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2.编号:GSD</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3.规格:AC220V,LED-400W,RGB,变焦,DMX512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工厂灯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1.名称:光速灯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2.编号:GSD2</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3.规格:AC220V,3000W,RGB</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工厂灯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1.名称:LOGO投影灯 </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2.规格:AC220V,150W</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工厂灯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1.名称:照树灯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2.编号:Z1</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 DC24V,LED-36W,3000K,60°,带遮光罩</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1.名称:线条灯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2.编号:XT-1a</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3.规格:DC24V,LED-12W,5000K,120° DMX512 L:1000mm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1.名称:线条灯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2.编号:XT-1b</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3.规格:DC24V,LED-9W,5000K,120° DMX512 L:700mm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1.名称:线条灯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2.编号:XT-1c</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3.规格:DC24V,LED-6W,5000K,120° DMX512 L:500mm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1.名称:线条灯</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2.编号:XT-1d</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3.规格:DC24V,LED-4W,5000K,120° DMX512 L:300mm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1.名称:星星冰条灯</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2.规格:DC24V,LED-12W,5000K,120° DMX512 L:1000mm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1.名称:灯带 </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2.编号:XT2</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3.规格:DC24V,LED-12W,3000K,120°L:300mm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1.名称:灯带</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2.编号:XT3</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3.规格:DC24V,LED-15W,3000K,120°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1.名称:灯带</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2.编号:XT4</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3.规格:DC24V,LED-6W,3000K,120°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1.名称:插地芦苇灯 °</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2.规格:DC24V,LED-1W,3000K,360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1.名称:蒲公英灯 </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2.规格:DC24V,LED-30W,3000K,360°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1.名称:摇摆萤火虫灯</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2.规格:DC24V,LED-10W,3000K,360°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1.名称:树上许愿灯1</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2.规格:DC24V,LED-3W,RGB,内控,360°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1.名称:树上许愿灯2</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2.规格:DC24V,LED-3W,RGB,内控,360°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1.名称:树上许愿灯3</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2.规格:DC24V,LED-3W,RGB,内控,360°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1.名称:星星灯串XXD</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2.规格:DC24V,LED-5W/1000mm,3000K L:100000mm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铁构件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1.名称:投光灯支架（镀锌角钢50*50）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1.名称:混凝土基础 </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2.规格:C25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挖沟槽土方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1.土壤类别:人工挖沟槽土方一、二类土</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2.挖土深度:2m 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440.545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回填及面层恢复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1.内容:原土回填及面层修复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措施其他项目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单价措施合计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rPr>
          <w:rFonts w:hint="eastAsia"/>
          <w:color w:val="auto"/>
          <w:highlight w:val="none"/>
          <w:lang w:eastAsia="zh-CN"/>
        </w:rPr>
      </w:pPr>
    </w:p>
    <w:p>
      <w:pPr>
        <w:pStyle w:val="5"/>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bookmarkStart w:id="149" w:name="_Toc22790"/>
      <w:r>
        <w:rPr>
          <w:rFonts w:hint="eastAsia"/>
          <w:color w:val="auto"/>
          <w:highlight w:val="none"/>
          <w:lang w:eastAsia="zh-CN"/>
        </w:rPr>
        <w:t>三</w:t>
      </w:r>
      <w:r>
        <w:rPr>
          <w:rFonts w:hint="eastAsia"/>
          <w:color w:val="auto"/>
          <w:highlight w:val="none"/>
        </w:rPr>
        <w:t>、服务要求</w:t>
      </w:r>
      <w:bookmarkEnd w:id="149"/>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（一）售后服务</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1.自全部工程竣工交付采购人使用，由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和采购人签字验收合格之日起算，质保期期限不少于2年，保修费用列入“售后服务报价”中并计入总价；质保期内</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对所供货物、服务、工程实行包修、包换、包退、包维护保养，更换同种品牌不低于原合同需求。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2.质保期内，如出现故障而造成短期停用时，则质保期和免费维修期相应顺延。如停用时间累计超过 15天则质保期重新计算。</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3.对采购人的服务通知，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在接报后应立即响应，12小时内到达现场，24小时内处理完毕，并制作到现场处理完毕后的工作报告。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4.在质保期内，若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不在规定的时间内响应并提供服务，采购人有权自行或委托第三方保修，所需费用在质保金中扣除。同时每逾期一天，应向采购人支付合同金额3‰的违约金。如货物、工程、服务经采购人3次维修仍不能达到</w:t>
      </w:r>
      <w:r>
        <w:rPr>
          <w:rFonts w:hint="eastAsia" w:hAnsi="宋体" w:cs="宋体"/>
          <w:color w:val="auto"/>
          <w:sz w:val="21"/>
          <w:szCs w:val="21"/>
          <w:highlight w:val="none"/>
          <w:lang w:eastAsia="zh-CN"/>
        </w:rPr>
        <w:t>磋商文件、磋商响应文件</w:t>
      </w:r>
      <w:r>
        <w:rPr>
          <w:rFonts w:hint="eastAsia" w:hAnsi="宋体" w:cs="宋体"/>
          <w:color w:val="auto"/>
          <w:sz w:val="21"/>
          <w:szCs w:val="21"/>
          <w:highlight w:val="none"/>
        </w:rPr>
        <w:t>和合同约定的质量标准，采购人有视作</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不能按期交付使用而须支付违约赔偿金给采购人，采购人还可依法追究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的违约责任。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提供采购人的货物、工程、服务质量问题导致采购人或使用者投诉，造成采购人或其他使用者损失的，采购人对其有形损失（费用、索赔）及无形损失进行核算后，以书面通知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，并依法追究其相关责任。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6.采购人只负责现场的日常运营管理，在质保期内，如属</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工程或材料存在问题而引起的故障或缺陷，</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应提供上门服务及时予以免费修复，即由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派员到现场维修，由此产生的一切费用均由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7.任何时候，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均不能免除因项目设计和货物本身的缺陷所应负的责任，</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有义务提供替代性设计方案以及货物选型的比较方案供采购人考虑，并在双方约定期限内做出整改。替代性方案的功能应达到或优于</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的要求，其价格必须不高于</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8.如</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无法提出替代方案，采购人有权自行组织相关单位设计替代方案，方案设计和实施费用由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9.对于涉及结构安全的质量问题，应当按照有关规定，立即向当地建设行政主管部门报告，采取安全防范措施；由原设计单位或者具有相应资质等级的设计单位提出保修方案，</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实施保修。</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（二）质量要求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必须严格按照本项目图纸设计施工，一次性验收合格；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2、本工程所有的设备和材料所涉及的设计标准、规范，产品标准、规范，工程标准、规范，验收标准、规范等必须完全符合中华人民共和国及省、市相应的标准和规格。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3、为确保项目实施过程中严格按照设计标准实施，项目负责人必须每天到施工现场监督管理，并且每天上、下午按时到采购人项目管理科室签到，每缺少一次签到扣</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价的5‰。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在施工中如果工程质量不符合设计要求和有关规定，采购人要求停工和返工时，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须立即执行，并承担由此产生的各种费用，工期不予顺延。否则，停止支付工程费，采购人保留追</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相应的法律责任的权利。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（三）施工条件及管理要求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1、采购人不提供施工所需的食宿、办公、临时及材料加工场地，均由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外自行解决，其费用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2、采购人不提供临及材料加工场，临时设施及材料加工由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在施工现场以外解决，其费用由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3、施工时间安排：上午：7：45-12:00，下午 14:00-22:00，如遇到特殊情况，以采购人书面或口头通知为准。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的生产用水、电按照采购人指定地点，由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装表驳接，并按有关规定向采购人缴纳实耗水电费。</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应确保施工现场的清洁卫生，建筑垃圾需当日清理干净，不得留在现场过夜。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6、由于施工地点比较特殊，</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需严格遵守采购人的各项规章制度，包括但不限于：①在规定的地域施工和活动；②项目经理和管理人员需坚守岗位，因事需离开施工现场超过一天的，需提前向采购人请假，经采购人同意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7、需指定和落实安全生产及文明施工措施，施工期间需严格管理施工人员，保护好已完工工程产品，发生一切安全事故均由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自行负责。严格加强管理，按规定缴纳治安保证金，如发生盗窃，斗殴等现象，根据情节轻重，除追究当事人责任外，还要求在所缴纳的保证金中给予处罚。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（四）使用材料要求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1.本工程所承包范围内所需的材料、成品、未成品、设备的采购、运输、保管、质量等责任均由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不提供材料，</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2.采购供应的材料、设备、其名称、品种、型号、规格、质量等，均应符合国家、地方及行业有关规范及要求。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应按响应文件中选定的品牌厂家供应材料，严格把好产品质量关，所有产品进场要有厂家产品检验报告和产品合格证书，并经现场负责人和采购人验证后方可施工。如发生货不对板，采购人有权拒用，造成损失由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4.采购人保留对本工程使用之主要材料品质确认审查的权利及保留另行委托专业单位对本工程进行独立检测的权利。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5.采购范围之内工程所用之设备，由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（五）安全文明施工要求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2、在施工期间应严格遵守国家、省、市有关防火、爆破和施工安全以及文明施工、环卫和城管等规定，建立规章制度和防护措施。否则，由此造成的经济和法律责任均由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应按安全施工的要求，采取严格科学的安全措施，做好从进场施工开始到验收结束交付工程前的安全施工预防措施，并制定相应的应急预案，确保施工安全和第三者的安全，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完全承担出于自身安全措施不力所造成的事故责任和发生的费用。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的施工队伍必须接受现场管理单位的监督、管理和指导。</w:t>
      </w:r>
    </w:p>
    <w:p>
      <w:pPr>
        <w:autoSpaceDE/>
        <w:autoSpaceDN/>
        <w:adjustRightInd/>
        <w:spacing w:line="360" w:lineRule="auto"/>
        <w:ind w:firstLine="420" w:firstLineChars="200"/>
        <w:jc w:val="both"/>
        <w:rPr>
          <w:rFonts w:hint="eastAsia" w:hAnsi="宋体" w:eastAsia="宋体" w:cs="宋体"/>
          <w:color w:val="auto"/>
          <w:sz w:val="21"/>
          <w:szCs w:val="21"/>
          <w:highlight w:val="none"/>
          <w:lang w:eastAsia="zh-CN"/>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应在采购人确定施工条件已具备后，</w:t>
      </w:r>
      <w:r>
        <w:rPr>
          <w:rFonts w:hint="eastAsia" w:hAnsi="宋体" w:cs="宋体"/>
          <w:color w:val="auto"/>
          <w:sz w:val="21"/>
          <w:szCs w:val="21"/>
          <w:highlight w:val="none"/>
          <w:lang w:eastAsia="zh-CN"/>
        </w:rPr>
        <w:t>以</w:t>
      </w:r>
      <w:r>
        <w:rPr>
          <w:rFonts w:hint="eastAsia" w:hAnsi="宋体" w:cs="宋体"/>
          <w:color w:val="auto"/>
          <w:sz w:val="21"/>
          <w:szCs w:val="21"/>
          <w:highlight w:val="none"/>
        </w:rPr>
        <w:t>采购人</w:t>
      </w:r>
      <w:r>
        <w:rPr>
          <w:rFonts w:hint="eastAsia" w:hAnsi="宋体" w:cs="宋体"/>
          <w:color w:val="auto"/>
          <w:sz w:val="21"/>
          <w:szCs w:val="21"/>
          <w:highlight w:val="none"/>
          <w:lang w:eastAsia="zh-CN"/>
        </w:rPr>
        <w:t>开工令为准</w:t>
      </w:r>
      <w:r>
        <w:rPr>
          <w:rFonts w:hint="eastAsia" w:hAnsi="宋体" w:cs="宋体"/>
          <w:color w:val="auto"/>
          <w:sz w:val="21"/>
          <w:szCs w:val="21"/>
          <w:highlight w:val="none"/>
        </w:rPr>
        <w:t>确定开始施工日期。</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进场所要的现场工作条件及施工中，需要采购人配合承担的工程由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w:t>
      </w:r>
      <w:r>
        <w:rPr>
          <w:rFonts w:hint="eastAsia" w:hAnsi="宋体" w:cs="宋体"/>
          <w:color w:val="auto"/>
          <w:sz w:val="21"/>
          <w:szCs w:val="21"/>
          <w:highlight w:val="none"/>
          <w:lang w:eastAsia="zh-CN"/>
        </w:rPr>
        <w:t>磋商</w:t>
      </w:r>
      <w:r>
        <w:rPr>
          <w:rFonts w:hint="eastAsia" w:hAnsi="宋体" w:cs="宋体"/>
          <w:color w:val="auto"/>
          <w:sz w:val="21"/>
          <w:szCs w:val="21"/>
          <w:highlight w:val="none"/>
        </w:rPr>
        <w:t>时提出,签署合同时也作为合同的补充附件。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7、施工所用的机械工具由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自备及自费运到施工工地，进场后进行必要的性能安全检查，完工后从工地自费搬出运走。</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8.施工所用的材料及机械工具工地之后，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按照采购人提供恰当的场所存放，不得随便存放，并做好日常防盗措施和风雨保护措施的保管工作，以免造成不必要的丢失和损坏。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（六）总包及分包规定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根据采购人的</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、施工图纸及工程量清单等规定的范围内的工程内容，结合现场实际情况进行报价，由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包工、包料、包工期、包质量、包安全、包文 明施工，达到验收规范要求。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2.本项目不接受联合体</w:t>
      </w:r>
      <w:r>
        <w:rPr>
          <w:rFonts w:hint="eastAsia" w:hAnsi="宋体" w:cs="宋体"/>
          <w:color w:val="auto"/>
          <w:sz w:val="21"/>
          <w:szCs w:val="21"/>
          <w:highlight w:val="none"/>
          <w:lang w:eastAsia="zh-CN"/>
        </w:rPr>
        <w:t>磋商</w:t>
      </w:r>
      <w:r>
        <w:rPr>
          <w:rFonts w:hint="eastAsia" w:hAnsi="宋体" w:cs="宋体"/>
          <w:color w:val="auto"/>
          <w:sz w:val="21"/>
          <w:szCs w:val="21"/>
          <w:highlight w:val="none"/>
        </w:rPr>
        <w:t>，不允许对项目专业分包及劳务分包。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七</w:t>
      </w:r>
      <w:r>
        <w:rPr>
          <w:rFonts w:hint="eastAsia" w:hAnsi="宋体" w:cs="宋体"/>
          <w:color w:val="auto"/>
          <w:sz w:val="21"/>
          <w:szCs w:val="21"/>
          <w:highlight w:val="none"/>
        </w:rPr>
        <w:t>）验收要求、验收标准及方法要求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1、申请竣工验收条件：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（1）合同范围内的全部单位工程以及有关工作，包括合同要求的试验、试运行以及检验 和验收均已完成，并符合合同要求；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（2）已按合同约定的内容和份数备齐了符合要求的竣工资料；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需要提交的工程文件套数、费用、质量和移交时间应在专用条款中约定；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（3）采购人要求在竣工验收前完成的其他工作；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2、竣工验收程序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向采购人报送竣工验收申请报告。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（2）采购人审查后认为尚不具备验收条件的，应在收到竣工验收申请报告后的5天内通知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，指出在颁发接收证书前</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还需进行的工作内容。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完成采购人通知的全部工作内容后，应再次提交竣工验收申请报告，直至采购人同意为止。</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（3）采购人审查后认为已具备竣工验收条件的，应在5天内提请采购人进行工程验收。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（4）采购人组织</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、勘察设计等相关单位同意竣工验收申请报告后5日内进行竣工验收。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（5）采购人验收后同意接收工程但提出整修和完善要求的，应限期修好，并缓发工程接收证书。整修和完善工作完成后，经采购人同意后，再向</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出具工程接收证书。</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（6）采购人验收后不同意接收工程的，</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应按照采购人的验收意见，对不合格工程认真返工重做或进行补救处理，并承担由此产生的费用。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在完成不合格工程的返工重做或补救工作后，应重新提交竣工验收申请报告，按本款约定的程序重新进行。</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八</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合同价款调整</w:t>
      </w:r>
      <w:r>
        <w:rPr>
          <w:rFonts w:hint="eastAsia" w:hAnsi="宋体" w:cs="宋体"/>
          <w:color w:val="auto"/>
          <w:sz w:val="21"/>
          <w:szCs w:val="21"/>
          <w:highlight w:val="none"/>
        </w:rPr>
        <w:t>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所有设计变更、洽商记录、图纸会审纪录、施工组织设计等涉及工程内容及工程量的变化可能导致合同价款调整的必须在该事实发生后5天内经采购人会签；其中设计变更、现场签证、施工组织设计需经现场代表及采购人有关人员共同会签，才可作为合同价款调整依据，否则，结算时不予认可。</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2、已标价工程量清单中有适用于变更工程的子目，采用该子目的单价。但是变更工作导致实际完成的工程量与工程量清单中表明的工程量变化幅度不得超过10%。</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3、已标价工程量清单中无适用于变更工程的子目，但有类似子目的，可在合理范围内参照类似子目的单价，由采购人与成交供应商商定。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4、已标价工程量清单中无适用或</w:t>
      </w:r>
      <w:r>
        <w:rPr>
          <w:rFonts w:hint="eastAsia" w:hAnsi="宋体" w:cs="宋体"/>
          <w:color w:val="auto"/>
          <w:sz w:val="21"/>
          <w:szCs w:val="21"/>
          <w:highlight w:val="none"/>
          <w:lang w:eastAsia="zh-CN"/>
        </w:rPr>
        <w:t>无</w:t>
      </w:r>
      <w:r>
        <w:rPr>
          <w:rFonts w:hint="eastAsia" w:hAnsi="宋体" w:cs="宋体"/>
          <w:color w:val="auto"/>
          <w:sz w:val="21"/>
          <w:szCs w:val="21"/>
          <w:highlight w:val="none"/>
        </w:rPr>
        <w:t>类似子目的单价，应按以下方法确定变更工程价款：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①按省、市相关行业主管部门颁布的工程造价计价规定以及</w:t>
      </w:r>
      <w:r>
        <w:rPr>
          <w:rFonts w:hint="eastAsia" w:hAnsi="宋体" w:cs="宋体"/>
          <w:color w:val="auto"/>
          <w:sz w:val="21"/>
          <w:szCs w:val="21"/>
          <w:highlight w:val="none"/>
          <w:lang w:eastAsia="zh-CN"/>
        </w:rPr>
        <w:t>磋商</w:t>
      </w:r>
      <w:r>
        <w:rPr>
          <w:rFonts w:hint="eastAsia" w:hAnsi="宋体" w:cs="宋体"/>
          <w:color w:val="auto"/>
          <w:sz w:val="21"/>
          <w:szCs w:val="21"/>
          <w:highlight w:val="none"/>
        </w:rPr>
        <w:t>当月的人工、材料价格计算预算价，按</w:t>
      </w:r>
      <w:r>
        <w:rPr>
          <w:rFonts w:hint="eastAsia" w:hAnsi="宋体" w:cs="宋体"/>
          <w:color w:val="auto"/>
          <w:sz w:val="21"/>
          <w:szCs w:val="21"/>
          <w:highlight w:val="none"/>
          <w:lang w:eastAsia="zh-CN"/>
        </w:rPr>
        <w:t>成交</w:t>
      </w:r>
      <w:r>
        <w:rPr>
          <w:rFonts w:hint="eastAsia" w:hAnsi="宋体" w:cs="宋体"/>
          <w:color w:val="auto"/>
          <w:sz w:val="21"/>
          <w:szCs w:val="21"/>
          <w:highlight w:val="none"/>
        </w:rPr>
        <w:t>下浮率下浮后确定变更工程价款；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②变更工程项目的材料价格应执行市相关行业主管部门颁布的参考信息价；市相关行业主管部门没有颁布的，参考周边城市相关行业主管部门颁布的信息价以及本地的市场价格确定；各市相关行业主管部门没有颁布的，由</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会同市财政局、市住房和城乡建设局通过市场调查确定；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③有关工程造价计价规定不明确的以及计价定额缺项的，由市相关行业主管部门予以明确以及制定补充定额。</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九</w:t>
      </w:r>
      <w:r>
        <w:rPr>
          <w:rFonts w:hint="eastAsia" w:hAnsi="宋体" w:cs="宋体"/>
          <w:color w:val="auto"/>
          <w:sz w:val="21"/>
          <w:szCs w:val="21"/>
          <w:highlight w:val="none"/>
        </w:rPr>
        <w:t>）其他要求：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1、遵守国家或地方政府及有关部门对施工现场管理的规定，妥善保护好施工现场周围建筑物、设备管线、古树名木不受损坏。处理好由于施工带来的扰民问题及与周围单位（住户）的关系。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应确保施工现场的清洁卫生，建筑垃圾须当日清理干净，不得留在现场过夜。工程竣工验收后，须按照采购人的要求，立即清理干净工地现场，全部撤离。否则视为成交</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违约，采购人将扣除本合同总价5‰。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一旦进场施工，须严格遵守采购人的各项规章制度，包括但不限于：①在规定的地域施工和活动；②须采取有效措施保护好楼地面成品及电梯内装饰，如因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原因导致损坏，应无偿修复；③施工期间须严格管理施工人员，如发生施工人员盗窃，斗殴等现象，由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在施工期间应严格遵守国家、省、市有关防火（施工现场不得有明火，施工人员不准在施工现场吸烟，每发现一个烟头扣罚</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200元工程款）、施工安全以及文明施工、深夜施工、环卫和城管等规定，建立规章制度和防护措施。若违反以上规定，由此造成的经济损失和法律责任，均由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应按安全施工的要求，采取严格科学的安全措施，确保施工安全和第三者的安全，须按安全生产和文明工地要求实行施工。凡在工地现场及医院范围内由于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自身安全措施不力所造成的任何安全事故，由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7、工程竣工验收时，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应向采购人提供合格完整的竣工图及有关技术档案资料。</w:t>
      </w:r>
    </w:p>
    <w:p>
      <w:pPr>
        <w:autoSpaceDE/>
        <w:autoSpaceDN/>
        <w:adjustRightInd/>
        <w:spacing w:line="360" w:lineRule="auto"/>
        <w:ind w:firstLine="420" w:firstLineChars="200"/>
        <w:jc w:val="both"/>
        <w:rPr>
          <w:rFonts w:hint="eastAsia" w:ascii="宋体" w:hAnsi="宋体" w:cs="宋体"/>
          <w:color w:val="auto"/>
          <w:sz w:val="21"/>
          <w:szCs w:val="21"/>
          <w:highlight w:val="none"/>
        </w:rPr>
      </w:pPr>
      <w:r>
        <w:rPr>
          <w:rFonts w:hint="eastAsia" w:hAnsi="宋体" w:cs="宋体"/>
          <w:color w:val="auto"/>
          <w:sz w:val="21"/>
          <w:szCs w:val="21"/>
          <w:highlight w:val="none"/>
          <w:lang w:val="en-US" w:eastAsia="zh-CN"/>
        </w:rPr>
        <w:t>8</w:t>
      </w:r>
      <w:r>
        <w:rPr>
          <w:rFonts w:hint="eastAsia" w:hAnsi="宋体" w:cs="宋体"/>
          <w:color w:val="auto"/>
          <w:sz w:val="21"/>
          <w:szCs w:val="21"/>
          <w:highlight w:val="none"/>
        </w:rPr>
        <w:t>、本</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所附合同条款为签订合同条款，这些条款对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具有约束力，</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不得在</w:t>
      </w:r>
      <w:r>
        <w:rPr>
          <w:rFonts w:hint="eastAsia" w:hAnsi="宋体" w:cs="宋体"/>
          <w:color w:val="auto"/>
          <w:sz w:val="21"/>
          <w:szCs w:val="21"/>
          <w:highlight w:val="none"/>
          <w:lang w:eastAsia="zh-CN"/>
        </w:rPr>
        <w:t>成交</w:t>
      </w:r>
      <w:r>
        <w:rPr>
          <w:rFonts w:hint="eastAsia" w:hAnsi="宋体" w:cs="宋体"/>
          <w:color w:val="auto"/>
          <w:sz w:val="21"/>
          <w:szCs w:val="21"/>
          <w:highlight w:val="none"/>
        </w:rPr>
        <w:t>后对合同条款提出违背</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精神的修改意见，采购人有权力在签订合同时对部分条款进行符合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精神的修订和补充。</w:t>
      </w:r>
    </w:p>
    <w:p>
      <w:pPr>
        <w:keepNext w:val="0"/>
        <w:keepLines w:val="0"/>
        <w:pageBreakBefore w:val="0"/>
        <w:kinsoku/>
        <w:wordWrap/>
        <w:overflowPunct/>
        <w:topLinePunct w:val="0"/>
        <w:bidi w:val="0"/>
        <w:snapToGrid/>
        <w:spacing w:line="360" w:lineRule="auto"/>
        <w:ind w:firstLine="420" w:firstLineChars="200"/>
        <w:rPr>
          <w:rFonts w:hint="eastAsia" w:hAnsi="宋体"/>
          <w:color w:val="auto"/>
          <w:sz w:val="21"/>
          <w:szCs w:val="21"/>
          <w:highlight w:val="none"/>
        </w:rPr>
      </w:pPr>
    </w:p>
    <w:p>
      <w:pPr>
        <w:pStyle w:val="5"/>
        <w:keepNext w:val="0"/>
        <w:keepLines w:val="0"/>
        <w:pageBreakBefore w:val="0"/>
        <w:kinsoku/>
        <w:wordWrap/>
        <w:overflowPunct/>
        <w:topLinePunct w:val="0"/>
        <w:bidi w:val="0"/>
        <w:snapToGrid/>
        <w:spacing w:line="360" w:lineRule="auto"/>
        <w:ind w:firstLine="422" w:firstLineChars="200"/>
        <w:rPr>
          <w:rFonts w:hint="eastAsia" w:hAnsi="宋体"/>
          <w:color w:val="auto"/>
          <w:sz w:val="21"/>
          <w:szCs w:val="21"/>
          <w:highlight w:val="none"/>
          <w:lang w:eastAsia="zh-CN"/>
        </w:rPr>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pPr>
    </w:p>
    <w:p>
      <w:pPr>
        <w:pStyle w:val="4"/>
        <w:keepNext/>
        <w:keepLines/>
        <w:pageBreakBefore/>
        <w:numPr>
          <w:ilvl w:val="0"/>
          <w:numId w:val="14"/>
        </w:numPr>
        <w:spacing w:line="360" w:lineRule="auto"/>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评审工作大纲</w:t>
      </w:r>
      <w:bookmarkEnd w:id="145"/>
    </w:p>
    <w:p>
      <w:pPr>
        <w:pStyle w:val="2"/>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（一）资格性检查</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1)资格瑕疵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2)磋商保证金瑕疵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（二）符合性检查</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1)供应商代表身份审查</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2)响应文件的有效性、完整性瑕疵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3)技术响应瑕疵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4)商务响应瑕疵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5）报价</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6）违规行为</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15"/>
        </w:numPr>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法律法规及磋商文件中规定的其它情形。</w:t>
      </w:r>
    </w:p>
    <w:p>
      <w:pPr>
        <w:pStyle w:val="2"/>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w:t>
      </w:r>
      <w:r>
        <w:rPr>
          <w:rFonts w:hint="eastAsia" w:hAnsi="宋体"/>
          <w:color w:val="auto"/>
          <w:sz w:val="21"/>
          <w:szCs w:val="21"/>
          <w:highlight w:val="none"/>
          <w:lang w:eastAsia="zh-CN"/>
        </w:rPr>
        <w:t>编制</w:t>
      </w:r>
      <w:r>
        <w:rPr>
          <w:rFonts w:hint="eastAsia" w:hAnsi="宋体"/>
          <w:color w:val="auto"/>
          <w:sz w:val="21"/>
          <w:szCs w:val="21"/>
          <w:highlight w:val="none"/>
        </w:rPr>
        <w:t>评审报告。</w:t>
      </w:r>
    </w:p>
    <w:p>
      <w:pPr>
        <w:pStyle w:val="28"/>
        <w:spacing w:line="360" w:lineRule="auto"/>
        <w:ind w:firstLine="422" w:firstLineChars="200"/>
        <w:rPr>
          <w:rFonts w:hAnsi="宋体"/>
          <w:b/>
          <w:bCs/>
          <w:color w:val="auto"/>
          <w:szCs w:val="21"/>
          <w:highlight w:val="none"/>
        </w:rPr>
      </w:pPr>
      <w:r>
        <w:rPr>
          <w:rFonts w:hint="eastAsia" w:hAnsi="宋体"/>
          <w:b/>
          <w:bCs/>
          <w:color w:val="auto"/>
          <w:szCs w:val="21"/>
          <w:highlight w:val="none"/>
        </w:rPr>
        <w:t>三、评审因素及评分权重</w:t>
      </w:r>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价格评分（</w:t>
            </w:r>
            <w:r>
              <w:rPr>
                <w:rFonts w:hint="eastAsia" w:cs="宋体"/>
                <w:b/>
                <w:color w:val="auto"/>
                <w:kern w:val="2"/>
                <w:sz w:val="21"/>
                <w:szCs w:val="21"/>
                <w:highlight w:val="none"/>
                <w:lang w:val="en-US" w:eastAsia="zh-CN"/>
              </w:rPr>
              <w:t>60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w:t>
            </w:r>
          </w:p>
        </w:tc>
        <w:tc>
          <w:tcPr>
            <w:tcW w:w="678"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rPr>
              <w:t>分</w:t>
            </w:r>
          </w:p>
        </w:tc>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价格分计算方法：满足磋商文件要求且磋商价格最低的磋商报价为评标基准价，其价格分为满分。其他</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的价格分统一按照下列公式计算：磋商报价得分=(评标基准价／磋商报价)×价格权重</w:t>
            </w:r>
            <w:r>
              <w:rPr>
                <w:rFonts w:hint="eastAsia"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商务评分（</w:t>
            </w:r>
            <w:r>
              <w:rPr>
                <w:rFonts w:hint="eastAsia" w:cs="宋体"/>
                <w:b/>
                <w:color w:val="auto"/>
                <w:kern w:val="2"/>
                <w:sz w:val="21"/>
                <w:szCs w:val="21"/>
                <w:highlight w:val="none"/>
                <w:lang w:val="en-US" w:eastAsia="zh-CN"/>
              </w:rPr>
              <w:t>10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企业业绩</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在201</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年1月1日至今完成</w:t>
            </w:r>
            <w:r>
              <w:rPr>
                <w:rFonts w:hint="eastAsia" w:hAnsi="宋体" w:cs="宋体"/>
                <w:color w:val="auto"/>
                <w:sz w:val="21"/>
                <w:szCs w:val="21"/>
                <w:highlight w:val="none"/>
                <w:lang w:eastAsia="zh-CN"/>
              </w:rPr>
              <w:t>的市政类</w:t>
            </w:r>
            <w:r>
              <w:rPr>
                <w:rFonts w:hint="eastAsia" w:ascii="宋体" w:hAnsi="宋体" w:eastAsia="宋体" w:cs="宋体"/>
                <w:color w:val="auto"/>
                <w:sz w:val="21"/>
                <w:szCs w:val="21"/>
                <w:highlight w:val="none"/>
              </w:rPr>
              <w:t>工程施工业绩，每个得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分，本项最高得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注：须同时提供以下证明材料加盖公章：</w:t>
            </w: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rPr>
              <w:t>中标</w:t>
            </w:r>
            <w:r>
              <w:rPr>
                <w:rFonts w:hint="eastAsia" w:hAnsi="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rPr>
              <w:t>合同主要页复印件；</w:t>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rPr>
              <w:t>竣工验收报告或验收证明；</w:t>
            </w:r>
            <w:r>
              <w:rPr>
                <w:rFonts w:hint="eastAsia" w:hAnsi="宋体" w:cs="宋体"/>
                <w:color w:val="auto"/>
                <w:sz w:val="21"/>
                <w:szCs w:val="21"/>
                <w:highlight w:val="none"/>
                <w:lang w:eastAsia="zh-CN"/>
              </w:rPr>
              <w:t>④</w:t>
            </w:r>
            <w:r>
              <w:rPr>
                <w:rFonts w:hint="eastAsia" w:ascii="宋体" w:hAnsi="宋体" w:eastAsia="宋体" w:cs="宋体"/>
                <w:color w:val="auto"/>
                <w:sz w:val="21"/>
                <w:szCs w:val="21"/>
                <w:highlight w:val="none"/>
              </w:rPr>
              <w:t>客户联系人及电话以查证；</w:t>
            </w:r>
            <w:r>
              <w:rPr>
                <w:rFonts w:hint="eastAsia" w:hAnsi="宋体" w:cs="宋体"/>
                <w:color w:val="auto"/>
                <w:sz w:val="21"/>
                <w:szCs w:val="21"/>
                <w:highlight w:val="none"/>
                <w:lang w:eastAsia="zh-CN"/>
              </w:rPr>
              <w:t>⑤</w:t>
            </w:r>
            <w:r>
              <w:rPr>
                <w:rFonts w:hint="eastAsia" w:ascii="宋体" w:hAnsi="宋体" w:eastAsia="宋体" w:cs="宋体"/>
                <w:color w:val="auto"/>
                <w:sz w:val="21"/>
                <w:szCs w:val="21"/>
                <w:highlight w:val="none"/>
              </w:rPr>
              <w:t>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技术评分（</w:t>
            </w:r>
            <w:r>
              <w:rPr>
                <w:rFonts w:hint="eastAsia" w:cs="宋体"/>
                <w:b/>
                <w:color w:val="auto"/>
                <w:kern w:val="2"/>
                <w:sz w:val="21"/>
                <w:szCs w:val="21"/>
                <w:highlight w:val="none"/>
                <w:lang w:val="en-US" w:eastAsia="zh-CN"/>
              </w:rPr>
              <w:t>30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kern w:val="2"/>
                <w:sz w:val="21"/>
                <w:szCs w:val="21"/>
                <w:highlight w:val="none"/>
              </w:rPr>
              <w:t>拟投入本项目人员情况</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ind w:firstLine="422" w:firstLineChars="200"/>
              <w:textAlignment w:val="auto"/>
              <w:rPr>
                <w:rStyle w:val="59"/>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项目施工负责人：</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shd w:val="clear" w:color="auto" w:fill="FFFFFF"/>
              </w:rPr>
              <w:t>具有</w:t>
            </w:r>
            <w:r>
              <w:rPr>
                <w:rFonts w:hint="eastAsia" w:hAnsi="宋体" w:cs="宋体"/>
                <w:bCs/>
                <w:color w:val="auto"/>
                <w:sz w:val="21"/>
                <w:szCs w:val="21"/>
                <w:highlight w:val="none"/>
                <w:shd w:val="clear" w:color="auto" w:fill="FFFFFF"/>
                <w:lang w:eastAsia="zh-CN"/>
              </w:rPr>
              <w:t>工程</w:t>
            </w:r>
            <w:r>
              <w:rPr>
                <w:rFonts w:hint="eastAsia" w:ascii="宋体" w:hAnsi="宋体" w:eastAsia="宋体" w:cs="宋体"/>
                <w:bCs/>
                <w:color w:val="auto"/>
                <w:sz w:val="21"/>
                <w:szCs w:val="21"/>
                <w:highlight w:val="none"/>
                <w:shd w:val="clear" w:color="auto" w:fill="FFFFFF"/>
              </w:rPr>
              <w:t>专业</w:t>
            </w:r>
            <w:r>
              <w:rPr>
                <w:rFonts w:hint="eastAsia" w:ascii="宋体" w:hAnsi="宋体" w:eastAsia="宋体" w:cs="宋体"/>
                <w:color w:val="auto"/>
                <w:sz w:val="21"/>
                <w:szCs w:val="21"/>
                <w:highlight w:val="none"/>
              </w:rPr>
              <w:t>类中级</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或以上</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职称</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或</w:t>
            </w:r>
            <w:r>
              <w:rPr>
                <w:rFonts w:hint="eastAsia" w:hAnsi="宋体" w:cs="宋体"/>
                <w:bCs/>
                <w:color w:val="auto"/>
                <w:sz w:val="21"/>
                <w:szCs w:val="21"/>
                <w:highlight w:val="none"/>
                <w:shd w:val="clear" w:color="auto" w:fill="FFFFFF"/>
                <w:lang w:eastAsia="zh-CN"/>
              </w:rPr>
              <w:t>具有二</w:t>
            </w:r>
            <w:r>
              <w:rPr>
                <w:rFonts w:hint="eastAsia" w:ascii="宋体" w:hAnsi="宋体" w:eastAsia="宋体" w:cs="宋体"/>
                <w:bCs/>
                <w:color w:val="auto"/>
                <w:sz w:val="21"/>
                <w:szCs w:val="21"/>
                <w:highlight w:val="none"/>
                <w:shd w:val="clear" w:color="auto" w:fill="FFFFFF"/>
              </w:rPr>
              <w:t>级</w:t>
            </w:r>
            <w:r>
              <w:rPr>
                <w:rFonts w:hint="eastAsia" w:hAnsi="宋体" w:cs="宋体"/>
                <w:bCs/>
                <w:color w:val="auto"/>
                <w:sz w:val="21"/>
                <w:szCs w:val="21"/>
                <w:highlight w:val="none"/>
                <w:shd w:val="clear" w:color="auto" w:fill="FFFFFF"/>
                <w:lang w:eastAsia="zh-CN"/>
              </w:rPr>
              <w:t>或以上</w:t>
            </w:r>
            <w:r>
              <w:rPr>
                <w:rFonts w:hint="eastAsia" w:ascii="宋体" w:hAnsi="宋体" w:eastAsia="宋体" w:cs="宋体"/>
                <w:bCs/>
                <w:color w:val="auto"/>
                <w:sz w:val="21"/>
                <w:szCs w:val="21"/>
                <w:highlight w:val="none"/>
                <w:shd w:val="clear" w:color="auto" w:fill="FFFFFF"/>
              </w:rPr>
              <w:t>注册建造师</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建造师注册证书中列明的专业类别为</w:t>
            </w:r>
            <w:r>
              <w:rPr>
                <w:rFonts w:hint="eastAsia" w:hAnsi="宋体" w:cs="宋体"/>
                <w:bCs/>
                <w:color w:val="auto"/>
                <w:sz w:val="21"/>
                <w:szCs w:val="21"/>
                <w:highlight w:val="none"/>
                <w:shd w:val="clear" w:color="auto" w:fill="FFFFFF"/>
                <w:lang w:eastAsia="zh-CN"/>
              </w:rPr>
              <w:t>市政</w:t>
            </w:r>
            <w:r>
              <w:rPr>
                <w:rFonts w:hint="eastAsia" w:ascii="宋体" w:hAnsi="宋体" w:eastAsia="宋体" w:cs="宋体"/>
                <w:bCs/>
                <w:color w:val="auto"/>
                <w:sz w:val="21"/>
                <w:szCs w:val="21"/>
                <w:highlight w:val="none"/>
                <w:shd w:val="clear" w:color="auto" w:fill="FFFFFF"/>
              </w:rPr>
              <w:t>工程</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注册单位为</w:t>
            </w:r>
            <w:r>
              <w:rPr>
                <w:rFonts w:hint="eastAsia" w:hAnsi="宋体" w:cs="宋体"/>
                <w:bCs/>
                <w:color w:val="auto"/>
                <w:sz w:val="21"/>
                <w:szCs w:val="21"/>
                <w:highlight w:val="none"/>
                <w:shd w:val="clear" w:color="auto" w:fill="FFFFFF"/>
                <w:lang w:eastAsia="zh-CN"/>
              </w:rPr>
              <w:t>供应商</w:t>
            </w:r>
            <w:r>
              <w:rPr>
                <w:rFonts w:hint="eastAsia" w:ascii="宋体" w:hAnsi="宋体" w:eastAsia="宋体" w:cs="宋体"/>
                <w:bCs/>
                <w:color w:val="auto"/>
                <w:sz w:val="21"/>
                <w:szCs w:val="21"/>
                <w:highlight w:val="none"/>
                <w:shd w:val="clear" w:color="auto" w:fill="FFFFFF"/>
              </w:rPr>
              <w:t>本单位</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，得</w:t>
            </w:r>
            <w:r>
              <w:rPr>
                <w:rFonts w:hint="eastAsia" w:hAnsi="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分；本项最高得</w:t>
            </w:r>
            <w:r>
              <w:rPr>
                <w:rFonts w:hint="eastAsia" w:hAnsi="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施工技术负责人：</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具有</w:t>
            </w:r>
            <w:r>
              <w:rPr>
                <w:rFonts w:hint="eastAsia" w:ascii="宋体" w:hAnsi="宋体" w:cs="宋体"/>
                <w:bCs/>
                <w:color w:val="auto"/>
                <w:sz w:val="21"/>
                <w:szCs w:val="21"/>
                <w:highlight w:val="none"/>
                <w:shd w:val="clear" w:color="auto" w:fill="FFFFFF"/>
                <w:lang w:eastAsia="zh-CN"/>
              </w:rPr>
              <w:t>工程</w:t>
            </w:r>
            <w:r>
              <w:rPr>
                <w:rFonts w:hint="eastAsia" w:ascii="宋体" w:hAnsi="宋体" w:eastAsia="宋体" w:cs="宋体"/>
                <w:bCs/>
                <w:color w:val="auto"/>
                <w:sz w:val="21"/>
                <w:szCs w:val="21"/>
                <w:highlight w:val="none"/>
                <w:shd w:val="clear" w:color="auto" w:fill="FFFFFF"/>
              </w:rPr>
              <w:t>类专业</w:t>
            </w:r>
            <w:r>
              <w:rPr>
                <w:rFonts w:hint="eastAsia" w:ascii="宋体" w:hAnsi="宋体" w:eastAsia="宋体" w:cs="宋体"/>
                <w:color w:val="auto"/>
                <w:sz w:val="21"/>
                <w:szCs w:val="21"/>
                <w:highlight w:val="none"/>
              </w:rPr>
              <w:t>类中级（或以上）职称的，得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分；本项最高</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安全员：</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具备主管部门颁发的安全生产考核合格证(须为专职安全生产管理人员C证，即“C类”证），</w:t>
            </w:r>
            <w:r>
              <w:rPr>
                <w:rFonts w:hint="eastAsia" w:ascii="宋体" w:hAnsi="宋体" w:eastAsia="宋体" w:cs="宋体"/>
                <w:color w:val="auto"/>
                <w:sz w:val="21"/>
                <w:szCs w:val="21"/>
                <w:highlight w:val="none"/>
              </w:rPr>
              <w:t>每人得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质量员：</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具有质量员（质检员）上岗证，或工程类初级（或以上）职称，每人得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资料员：</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具有资料员上岗证，或工程类初级（或以上）职称，每人得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7"/>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施工</w:t>
            </w:r>
            <w:r>
              <w:rPr>
                <w:rFonts w:hint="eastAsia" w:ascii="宋体" w:hAnsi="宋体" w:eastAsia="宋体" w:cs="宋体"/>
                <w:b/>
                <w:color w:val="auto"/>
                <w:sz w:val="21"/>
                <w:szCs w:val="21"/>
                <w:highlight w:val="none"/>
              </w:rPr>
              <w:t>员：</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eastAsia="zh-CN"/>
              </w:rPr>
              <w:t>施工员</w:t>
            </w:r>
            <w:r>
              <w:rPr>
                <w:rFonts w:hint="eastAsia" w:ascii="宋体" w:hAnsi="宋体" w:eastAsia="宋体" w:cs="宋体"/>
                <w:color w:val="auto"/>
                <w:sz w:val="21"/>
                <w:szCs w:val="21"/>
                <w:highlight w:val="none"/>
              </w:rPr>
              <w:t>资格，或工程类初级（或以上）职称，每人得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7"/>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注：须提供以上证书</w:t>
            </w:r>
            <w:r>
              <w:rPr>
                <w:rFonts w:hint="eastAsia" w:ascii="宋体" w:hAnsi="宋体" w:eastAsia="宋体" w:cs="宋体"/>
                <w:color w:val="auto"/>
                <w:sz w:val="21"/>
                <w:szCs w:val="21"/>
                <w:highlight w:val="none"/>
                <w:lang w:eastAsia="zh-CN"/>
              </w:rPr>
              <w:t>及供应商为其缴纳的近三个月社保证明文件</w:t>
            </w:r>
            <w:r>
              <w:rPr>
                <w:rFonts w:hint="eastAsia" w:ascii="宋体" w:hAnsi="宋体" w:eastAsia="宋体" w:cs="宋体"/>
                <w:color w:val="auto"/>
                <w:sz w:val="21"/>
                <w:szCs w:val="21"/>
                <w:highlight w:val="none"/>
              </w:rPr>
              <w:t>复印件加盖公章。如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当地有关政府部门政策文件可享受阶段性免征或可延期缴纳社会养老保险的，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可提供开始享受阶段性免征或可延期缴纳社会养老保险时的上三个月的社会养老保险证明，并同时提供当地有关政府部门政策文件的打印件或复印件。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施工实施方案和进度计划</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对项目的施工实施方案进行综合评审：</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hAnsi="宋体" w:cs="宋体"/>
                <w:color w:val="auto"/>
                <w:sz w:val="21"/>
                <w:szCs w:val="21"/>
                <w:highlight w:val="none"/>
                <w:lang w:eastAsia="zh-CN"/>
              </w:rPr>
              <w:t>能详述本项目情况和需求，有具体的工期进度计划（</w:t>
            </w:r>
            <w:r>
              <w:rPr>
                <w:rFonts w:hint="eastAsia" w:ascii="宋体" w:hAnsi="宋体" w:eastAsia="宋体" w:cs="宋体"/>
                <w:color w:val="auto"/>
                <w:sz w:val="21"/>
                <w:szCs w:val="21"/>
                <w:highlight w:val="none"/>
              </w:rPr>
              <w:t>进度关键线路清晰</w:t>
            </w:r>
            <w:r>
              <w:rPr>
                <w:rFonts w:hint="eastAsia" w:hAnsi="宋体" w:cs="宋体"/>
                <w:color w:val="auto"/>
                <w:sz w:val="21"/>
                <w:szCs w:val="21"/>
                <w:highlight w:val="none"/>
                <w:lang w:eastAsia="zh-CN"/>
              </w:rPr>
              <w:t>）及保证措施、拟投入的服务人员队伍架构合理；配备项目所需材料设备等资源、对施工条件的管理要求明确等，整体</w:t>
            </w:r>
            <w:r>
              <w:rPr>
                <w:rFonts w:hint="eastAsia" w:ascii="宋体" w:hAnsi="宋体" w:eastAsia="宋体" w:cs="宋体"/>
                <w:color w:val="auto"/>
                <w:sz w:val="21"/>
                <w:szCs w:val="21"/>
                <w:highlight w:val="none"/>
              </w:rPr>
              <w:t>施工实施方案</w:t>
            </w:r>
            <w:r>
              <w:rPr>
                <w:rFonts w:hint="eastAsia" w:hAnsi="宋体" w:cs="宋体"/>
                <w:color w:val="auto"/>
                <w:sz w:val="21"/>
                <w:szCs w:val="21"/>
                <w:highlight w:val="none"/>
                <w:lang w:eastAsia="zh-CN"/>
              </w:rPr>
              <w:t>详细、</w:t>
            </w:r>
            <w:r>
              <w:rPr>
                <w:rFonts w:hint="eastAsia" w:ascii="宋体" w:hAnsi="宋体" w:eastAsia="宋体" w:cs="宋体"/>
                <w:color w:val="auto"/>
                <w:sz w:val="21"/>
                <w:szCs w:val="21"/>
                <w:highlight w:val="none"/>
              </w:rPr>
              <w:t>清晰、科学可行，得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能基本说明项目概况，有工期进度计划；拟投入的人力、物力基本符合项目需求；</w:t>
            </w:r>
            <w:r>
              <w:rPr>
                <w:rFonts w:hint="eastAsia" w:ascii="宋体" w:hAnsi="宋体" w:eastAsia="宋体" w:cs="宋体"/>
                <w:color w:val="auto"/>
                <w:sz w:val="21"/>
                <w:szCs w:val="21"/>
                <w:highlight w:val="none"/>
              </w:rPr>
              <w:t>施工实施方案</w:t>
            </w:r>
            <w:r>
              <w:rPr>
                <w:rFonts w:hint="eastAsia" w:hAnsi="宋体" w:cs="宋体"/>
                <w:color w:val="auto"/>
                <w:sz w:val="21"/>
                <w:szCs w:val="21"/>
                <w:highlight w:val="none"/>
                <w:lang w:eastAsia="zh-CN"/>
              </w:rPr>
              <w:t>合理，但不够详尽</w:t>
            </w:r>
            <w:r>
              <w:rPr>
                <w:rFonts w:hint="eastAsia" w:ascii="宋体" w:hAnsi="宋体" w:eastAsia="宋体" w:cs="宋体"/>
                <w:color w:val="auto"/>
                <w:sz w:val="21"/>
                <w:szCs w:val="21"/>
                <w:highlight w:val="none"/>
              </w:rPr>
              <w:t>，得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差：</w:t>
            </w:r>
            <w:r>
              <w:rPr>
                <w:rFonts w:hint="eastAsia" w:hAnsi="宋体" w:cs="宋体"/>
                <w:color w:val="auto"/>
                <w:sz w:val="21"/>
                <w:szCs w:val="21"/>
                <w:highlight w:val="none"/>
                <w:lang w:eastAsia="zh-CN"/>
              </w:rPr>
              <w:t>对项目情况不熟悉，工期进度计划不合理，</w:t>
            </w:r>
            <w:r>
              <w:rPr>
                <w:rFonts w:hint="eastAsia" w:ascii="宋体" w:hAnsi="宋体" w:eastAsia="宋体" w:cs="宋体"/>
                <w:color w:val="auto"/>
                <w:sz w:val="21"/>
                <w:szCs w:val="21"/>
                <w:highlight w:val="none"/>
              </w:rPr>
              <w:t>实施方案一般；计划措施一般</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3</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lang w:val="en-US" w:eastAsia="zh-CN" w:bidi="ar-SA"/>
              </w:rPr>
            </w:pPr>
            <w:r>
              <w:rPr>
                <w:rFonts w:hint="eastAsia" w:hAnsi="宋体" w:eastAsia="宋体"/>
                <w:color w:val="auto"/>
                <w:sz w:val="21"/>
                <w:szCs w:val="21"/>
                <w:highlight w:val="none"/>
              </w:rPr>
              <w:t>安全文明施工保证措施</w:t>
            </w:r>
          </w:p>
        </w:tc>
        <w:tc>
          <w:tcPr>
            <w:tcW w:w="715"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hAnsi="宋体" w:eastAsia="宋体"/>
                <w:color w:val="auto"/>
                <w:sz w:val="21"/>
                <w:szCs w:val="21"/>
                <w:highlight w:val="none"/>
              </w:rPr>
            </w:pPr>
          </w:p>
          <w:p>
            <w:pPr>
              <w:spacing w:line="360" w:lineRule="auto"/>
              <w:jc w:val="center"/>
              <w:rPr>
                <w:rFonts w:hint="eastAsia" w:hAnsi="宋体" w:eastAsia="宋体"/>
                <w:color w:val="auto"/>
                <w:sz w:val="21"/>
                <w:szCs w:val="21"/>
                <w:highlight w:val="none"/>
              </w:rPr>
            </w:pPr>
          </w:p>
          <w:p>
            <w:pPr>
              <w:spacing w:line="360" w:lineRule="auto"/>
              <w:jc w:val="center"/>
              <w:rPr>
                <w:rFonts w:hint="eastAsia" w:hAnsi="宋体" w:eastAsia="宋体"/>
                <w:color w:val="auto"/>
                <w:sz w:val="21"/>
                <w:szCs w:val="21"/>
                <w:highlight w:val="none"/>
              </w:rPr>
            </w:pPr>
          </w:p>
          <w:p>
            <w:pPr>
              <w:spacing w:line="360" w:lineRule="auto"/>
              <w:jc w:val="center"/>
              <w:rPr>
                <w:rFonts w:hint="eastAsia" w:ascii="宋体" w:hAnsi="宋体" w:eastAsia="宋体" w:cs="宋体"/>
                <w:color w:val="auto"/>
                <w:sz w:val="21"/>
                <w:szCs w:val="21"/>
                <w:highlight w:val="none"/>
                <w:lang w:val="en-US" w:eastAsia="zh-CN" w:bidi="ar-SA"/>
              </w:rPr>
            </w:pPr>
            <w:r>
              <w:rPr>
                <w:rFonts w:hint="eastAsia" w:hAnsi="宋体" w:eastAsia="宋体"/>
                <w:color w:val="auto"/>
                <w:sz w:val="21"/>
                <w:szCs w:val="21"/>
                <w:highlight w:val="none"/>
                <w:lang w:val="en-US" w:eastAsia="zh-CN"/>
              </w:rPr>
              <w:t>5</w:t>
            </w:r>
            <w:r>
              <w:rPr>
                <w:rFonts w:hint="eastAsia" w:hAnsi="宋体" w:eastAsia="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根据各响应供应商的</w:t>
            </w:r>
            <w:r>
              <w:rPr>
                <w:rFonts w:hint="eastAsia" w:hAnsi="宋体" w:eastAsia="宋体"/>
                <w:color w:val="auto"/>
                <w:sz w:val="21"/>
                <w:szCs w:val="21"/>
                <w:highlight w:val="none"/>
              </w:rPr>
              <w:t>安全文明施工保证措施</w:t>
            </w:r>
            <w:r>
              <w:rPr>
                <w:rFonts w:hint="eastAsia" w:ascii="宋体" w:hAnsi="宋体" w:eastAsia="宋体" w:cs="宋体"/>
                <w:color w:val="auto"/>
                <w:sz w:val="21"/>
                <w:szCs w:val="21"/>
                <w:highlight w:val="none"/>
              </w:rPr>
              <w:t>进行评审：</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w:t>
            </w:r>
            <w:r>
              <w:rPr>
                <w:rFonts w:hint="eastAsia" w:hAnsi="宋体" w:cs="宋体"/>
                <w:color w:val="auto"/>
                <w:sz w:val="21"/>
                <w:szCs w:val="21"/>
                <w:highlight w:val="none"/>
                <w:lang w:eastAsia="zh-CN"/>
              </w:rPr>
              <w:t>上岗人员有相应的上岗证；</w:t>
            </w:r>
            <w:r>
              <w:rPr>
                <w:rFonts w:hint="eastAsia" w:hAnsi="宋体" w:cs="宋体"/>
                <w:color w:val="auto"/>
                <w:sz w:val="21"/>
                <w:szCs w:val="21"/>
                <w:highlight w:val="none"/>
              </w:rPr>
              <w:t>严格遵守国家、省、市有关防火、爆破和施工安全以及文明施工、环卫和城管等规定，</w:t>
            </w:r>
            <w:r>
              <w:rPr>
                <w:rFonts w:hint="eastAsia" w:ascii="宋体" w:hAnsi="宋体" w:eastAsia="宋体" w:cs="宋体"/>
                <w:color w:val="auto"/>
                <w:sz w:val="21"/>
                <w:szCs w:val="21"/>
                <w:highlight w:val="none"/>
              </w:rPr>
              <w:t>管理措施和规章制度规范、完善，</w:t>
            </w:r>
            <w:r>
              <w:rPr>
                <w:rFonts w:hint="eastAsia" w:hAnsi="宋体" w:cs="宋体"/>
                <w:color w:val="auto"/>
                <w:sz w:val="21"/>
                <w:szCs w:val="21"/>
                <w:highlight w:val="none"/>
              </w:rPr>
              <w:t>并制定相应的应急预案，</w:t>
            </w:r>
            <w:r>
              <w:rPr>
                <w:rFonts w:hint="eastAsia" w:ascii="宋体" w:hAnsi="宋体" w:eastAsia="宋体" w:cs="宋体"/>
                <w:color w:val="auto"/>
                <w:sz w:val="21"/>
                <w:szCs w:val="21"/>
                <w:highlight w:val="none"/>
              </w:rPr>
              <w:t>实用性与可行性好，得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hAnsi="宋体" w:cs="宋体"/>
                <w:color w:val="auto"/>
                <w:sz w:val="21"/>
                <w:szCs w:val="21"/>
                <w:highlight w:val="none"/>
                <w:lang w:eastAsia="zh-CN"/>
              </w:rPr>
              <w:t>配备人员列表；对</w:t>
            </w:r>
            <w:r>
              <w:rPr>
                <w:rFonts w:hint="eastAsia" w:hAnsi="宋体" w:cs="宋体"/>
                <w:color w:val="auto"/>
                <w:sz w:val="21"/>
                <w:szCs w:val="21"/>
                <w:highlight w:val="none"/>
              </w:rPr>
              <w:t>国家、省、市有关防火、爆破和施工安全以及文明施工、环卫和城管等规定</w:t>
            </w:r>
            <w:r>
              <w:rPr>
                <w:rFonts w:hint="eastAsia" w:hAnsi="宋体" w:cs="宋体"/>
                <w:color w:val="auto"/>
                <w:sz w:val="21"/>
                <w:szCs w:val="21"/>
                <w:highlight w:val="none"/>
                <w:lang w:eastAsia="zh-CN"/>
              </w:rPr>
              <w:t>基本了解</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管理措施和规章制度的规范性、完善度一般，有一定的实用性与可行性，得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 xml:space="preserve">管理措施和规章制度的规范性、完善度较差，实用性与可行性较差， </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无相关描述不得分。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4</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响应工期的承诺</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满足用户需求书要求工期的基础上，对</w:t>
            </w:r>
            <w:r>
              <w:rPr>
                <w:rFonts w:hint="eastAsia" w:ascii="宋体" w:hAnsi="宋体" w:eastAsia="宋体" w:cs="宋体"/>
                <w:color w:val="auto"/>
                <w:sz w:val="21"/>
                <w:szCs w:val="21"/>
                <w:highlight w:val="none"/>
                <w:lang w:eastAsia="zh-CN"/>
              </w:rPr>
              <w:t>各供应商</w:t>
            </w:r>
            <w:r>
              <w:rPr>
                <w:rFonts w:hint="eastAsia" w:ascii="宋体" w:hAnsi="宋体" w:eastAsia="宋体" w:cs="宋体"/>
                <w:color w:val="auto"/>
                <w:sz w:val="21"/>
                <w:szCs w:val="21"/>
                <w:highlight w:val="none"/>
              </w:rPr>
              <w:t>响应工期的承诺进行</w:t>
            </w:r>
            <w:r>
              <w:rPr>
                <w:rFonts w:hint="eastAsia" w:ascii="宋体" w:hAnsi="宋体" w:eastAsia="宋体" w:cs="宋体"/>
                <w:color w:val="auto"/>
                <w:sz w:val="21"/>
                <w:szCs w:val="21"/>
                <w:highlight w:val="none"/>
                <w:lang w:eastAsia="zh-CN"/>
              </w:rPr>
              <w:t>横向</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w:t>
            </w:r>
            <w:r>
              <w:rPr>
                <w:rFonts w:hint="eastAsia" w:hAnsi="宋体" w:cs="宋体"/>
                <w:color w:val="auto"/>
                <w:sz w:val="21"/>
                <w:szCs w:val="21"/>
                <w:highlight w:val="none"/>
                <w:lang w:val="zh-CN"/>
              </w:rPr>
              <w:t>供应商承诺</w:t>
            </w:r>
            <w:r>
              <w:rPr>
                <w:rFonts w:hint="eastAsia" w:ascii="宋体" w:hAnsi="宋体" w:eastAsia="宋体" w:cs="宋体"/>
                <w:color w:val="auto"/>
                <w:sz w:val="21"/>
                <w:szCs w:val="21"/>
                <w:highlight w:val="none"/>
                <w:lang w:val="zh-CN"/>
              </w:rPr>
              <w:t>提前工期天数由高至低排名第1名的，得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w:t>
            </w:r>
            <w:r>
              <w:rPr>
                <w:rFonts w:hint="eastAsia" w:hAnsi="宋体" w:cs="宋体"/>
                <w:color w:val="auto"/>
                <w:sz w:val="21"/>
                <w:szCs w:val="21"/>
                <w:highlight w:val="none"/>
                <w:lang w:val="zh-CN"/>
              </w:rPr>
              <w:t>供应商承诺</w:t>
            </w:r>
            <w:r>
              <w:rPr>
                <w:rFonts w:hint="eastAsia" w:ascii="宋体" w:hAnsi="宋体" w:eastAsia="宋体" w:cs="宋体"/>
                <w:color w:val="auto"/>
                <w:sz w:val="21"/>
                <w:szCs w:val="21"/>
                <w:highlight w:val="none"/>
                <w:lang w:val="zh-CN"/>
              </w:rPr>
              <w:t>提前工期天数由高至低排名第</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val="zh-CN"/>
              </w:rPr>
              <w:t>名的，得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w:t>
            </w:r>
            <w:r>
              <w:rPr>
                <w:rFonts w:hint="eastAsia" w:hAnsi="宋体" w:cs="宋体"/>
                <w:color w:val="auto"/>
                <w:sz w:val="21"/>
                <w:szCs w:val="21"/>
                <w:highlight w:val="none"/>
                <w:lang w:val="zh-CN"/>
              </w:rPr>
              <w:t>供应商承诺</w:t>
            </w:r>
            <w:r>
              <w:rPr>
                <w:rFonts w:hint="eastAsia" w:ascii="宋体" w:hAnsi="宋体" w:eastAsia="宋体" w:cs="宋体"/>
                <w:color w:val="auto"/>
                <w:sz w:val="21"/>
                <w:szCs w:val="21"/>
                <w:highlight w:val="none"/>
                <w:lang w:val="zh-CN"/>
              </w:rPr>
              <w:t>提前工期天数由高至低排名第</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名或以下的不得</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分</w:t>
            </w:r>
            <w:r>
              <w:rPr>
                <w:rFonts w:hint="eastAsia" w:hAnsi="宋体" w:cs="宋体"/>
                <w:color w:val="auto"/>
                <w:sz w:val="21"/>
                <w:szCs w:val="21"/>
                <w:highlight w:val="none"/>
                <w:lang w:val="zh-CN"/>
              </w:rPr>
              <w:t>。</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注：提供单独的承诺函加盖公章。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5</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eastAsia="zh-CN"/>
              </w:rPr>
              <w:t>质量保证承诺</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6分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提供的售后免费延保承诺进行评审，每延长半年得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注：提供单独的承诺函加盖公章。</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根据</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制定的项目质量保证措施进行评分：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hAnsi="宋体" w:cs="宋体"/>
                <w:color w:val="auto"/>
                <w:sz w:val="21"/>
                <w:szCs w:val="21"/>
                <w:highlight w:val="none"/>
                <w:lang w:val="zh-CN"/>
              </w:rPr>
              <w:t>能提供现行有效的施工验收规范和相关法规、规定的依据文件，</w:t>
            </w:r>
            <w:r>
              <w:rPr>
                <w:rFonts w:hint="eastAsia" w:ascii="宋体" w:hAnsi="宋体" w:eastAsia="宋体" w:cs="宋体"/>
                <w:color w:val="auto"/>
                <w:sz w:val="21"/>
                <w:szCs w:val="21"/>
                <w:highlight w:val="none"/>
                <w:lang w:val="zh-CN"/>
              </w:rPr>
              <w:t>对</w:t>
            </w:r>
            <w:r>
              <w:rPr>
                <w:rFonts w:hint="eastAsia" w:hAnsi="宋体" w:cs="宋体"/>
                <w:color w:val="auto"/>
                <w:sz w:val="21"/>
                <w:szCs w:val="21"/>
                <w:highlight w:val="none"/>
                <w:lang w:val="zh-CN"/>
              </w:rPr>
              <w:t>应</w:t>
            </w:r>
            <w:r>
              <w:rPr>
                <w:rFonts w:hint="eastAsia" w:ascii="宋体" w:hAnsi="宋体" w:eastAsia="宋体" w:cs="宋体"/>
                <w:color w:val="auto"/>
                <w:sz w:val="21"/>
                <w:szCs w:val="21"/>
                <w:highlight w:val="none"/>
                <w:lang w:val="zh-CN"/>
              </w:rPr>
              <w:t>质量标准的执行明确，保证措施</w:t>
            </w:r>
            <w:r>
              <w:rPr>
                <w:rFonts w:hint="eastAsia" w:hAnsi="宋体" w:cs="宋体"/>
                <w:color w:val="auto"/>
                <w:sz w:val="21"/>
                <w:szCs w:val="21"/>
                <w:highlight w:val="none"/>
                <w:lang w:val="zh-CN"/>
              </w:rPr>
              <w:t>合理</w:t>
            </w:r>
            <w:r>
              <w:rPr>
                <w:rFonts w:hint="eastAsia" w:ascii="宋体" w:hAnsi="宋体" w:eastAsia="宋体" w:cs="宋体"/>
                <w:color w:val="auto"/>
                <w:sz w:val="21"/>
                <w:szCs w:val="21"/>
                <w:highlight w:val="none"/>
                <w:lang w:val="zh-CN"/>
              </w:rPr>
              <w:t>、具体可行、针对性强，得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hAnsi="宋体" w:cs="宋体"/>
                <w:color w:val="auto"/>
                <w:sz w:val="21"/>
                <w:szCs w:val="21"/>
                <w:highlight w:val="none"/>
                <w:lang w:val="zh-CN"/>
              </w:rPr>
              <w:t>对现有执行的验收规定基本了解；</w:t>
            </w:r>
            <w:r>
              <w:rPr>
                <w:rFonts w:hint="eastAsia" w:ascii="宋体" w:hAnsi="宋体" w:eastAsia="宋体" w:cs="宋体"/>
                <w:color w:val="auto"/>
                <w:sz w:val="21"/>
                <w:szCs w:val="21"/>
                <w:highlight w:val="none"/>
                <w:lang w:val="zh-CN"/>
              </w:rPr>
              <w:t>对质量标准的执行较明确合理，保证措施较</w:t>
            </w:r>
            <w:r>
              <w:rPr>
                <w:rFonts w:hint="eastAsia" w:hAnsi="宋体" w:cs="宋体"/>
                <w:color w:val="auto"/>
                <w:sz w:val="21"/>
                <w:szCs w:val="21"/>
                <w:highlight w:val="none"/>
                <w:lang w:val="zh-CN"/>
              </w:rPr>
              <w:t>妥当</w:t>
            </w:r>
            <w:r>
              <w:rPr>
                <w:rFonts w:hint="eastAsia" w:ascii="宋体" w:hAnsi="宋体" w:eastAsia="宋体" w:cs="宋体"/>
                <w:color w:val="auto"/>
                <w:sz w:val="21"/>
                <w:szCs w:val="21"/>
                <w:highlight w:val="none"/>
                <w:lang w:val="zh-CN"/>
              </w:rPr>
              <w:t>、可行性较好，得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zh-CN"/>
              </w:rPr>
              <w:t>差</w:t>
            </w:r>
            <w:r>
              <w:rPr>
                <w:rFonts w:hint="eastAsia" w:ascii="宋体" w:hAnsi="宋体" w:eastAsia="宋体" w:cs="宋体"/>
                <w:color w:val="auto"/>
                <w:sz w:val="21"/>
                <w:szCs w:val="21"/>
                <w:highlight w:val="none"/>
                <w:lang w:val="zh-CN"/>
              </w:rPr>
              <w:t>：对质量标准的执行一般，保证措施一般；</w:t>
            </w:r>
            <w:r>
              <w:rPr>
                <w:rFonts w:hint="eastAsia" w:hAnsi="宋体" w:cs="宋体"/>
                <w:color w:val="auto"/>
                <w:sz w:val="21"/>
                <w:szCs w:val="21"/>
                <w:highlight w:val="none"/>
                <w:lang w:val="zh-CN"/>
              </w:rPr>
              <w:t>或</w:t>
            </w:r>
            <w:r>
              <w:rPr>
                <w:rFonts w:hint="eastAsia" w:ascii="宋体" w:hAnsi="宋体" w:eastAsia="宋体" w:cs="宋体"/>
                <w:color w:val="auto"/>
                <w:sz w:val="21"/>
                <w:szCs w:val="21"/>
                <w:highlight w:val="none"/>
                <w:lang w:val="zh-CN"/>
              </w:rPr>
              <w:t>无提供对应方案不得分。</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w:t>
      </w:r>
      <w:r>
        <w:rPr>
          <w:rFonts w:hint="eastAsia" w:hAnsi="宋体"/>
          <w:bCs/>
          <w:color w:val="auto"/>
          <w:sz w:val="21"/>
          <w:szCs w:val="21"/>
          <w:highlight w:val="none"/>
          <w:lang w:eastAsia="zh-CN"/>
        </w:rPr>
        <w:t>成交</w:t>
      </w:r>
      <w:r>
        <w:rPr>
          <w:rFonts w:hint="eastAsia" w:hAnsi="宋体"/>
          <w:bCs/>
          <w:color w:val="auto"/>
          <w:sz w:val="21"/>
          <w:szCs w:val="21"/>
          <w:highlight w:val="none"/>
        </w:rPr>
        <w:t>将在发放成交通知书前逐一核对核查原件，请勿提供虚假、过期材料，否则将依据相关规定严肃处理。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color w:val="auto"/>
          <w:szCs w:val="21"/>
          <w:highlight w:val="none"/>
        </w:rPr>
      </w:pPr>
    </w:p>
    <w:p>
      <w:pPr>
        <w:pStyle w:val="28"/>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4"/>
        <w:keepNext/>
        <w:keepLines/>
        <w:pageBreakBefore/>
        <w:numPr>
          <w:ilvl w:val="0"/>
          <w:numId w:val="14"/>
        </w:numPr>
        <w:spacing w:line="360" w:lineRule="auto"/>
        <w:jc w:val="center"/>
        <w:rPr>
          <w:rFonts w:hAnsi="宋体"/>
          <w:b/>
          <w:bCs/>
          <w:color w:val="auto"/>
          <w:highlight w:val="none"/>
        </w:rPr>
      </w:pPr>
      <w:bookmarkStart w:id="150" w:name="_Toc15636"/>
      <w:r>
        <w:rPr>
          <w:rFonts w:hint="eastAsia" w:hAnsi="宋体"/>
          <w:b/>
          <w:bCs/>
          <w:color w:val="auto"/>
          <w:kern w:val="44"/>
          <w:sz w:val="28"/>
          <w:szCs w:val="28"/>
          <w:highlight w:val="none"/>
          <w:lang w:val="zh-CN"/>
        </w:rPr>
        <w:t>合同条款格式</w:t>
      </w:r>
      <w:bookmarkEnd w:id="150"/>
    </w:p>
    <w:p>
      <w:pPr>
        <w:rPr>
          <w:rFonts w:hint="eastAsia" w:eastAsia="宋体"/>
          <w:color w:val="auto"/>
          <w:highlight w:val="none"/>
          <w:lang w:val="en-US" w:eastAsia="zh-CN"/>
        </w:rPr>
      </w:pPr>
    </w:p>
    <w:p>
      <w:pPr>
        <w:spacing w:line="400" w:lineRule="exact"/>
        <w:jc w:val="center"/>
        <w:rPr>
          <w:rFonts w:eastAsia="方正小标宋简体"/>
          <w:b/>
          <w:bCs/>
          <w:color w:val="auto"/>
          <w:sz w:val="36"/>
          <w:szCs w:val="36"/>
          <w:highlight w:val="none"/>
        </w:rPr>
      </w:pPr>
      <w:r>
        <w:rPr>
          <w:rFonts w:eastAsia="方正小标宋简体"/>
          <w:b/>
          <w:bCs/>
          <w:color w:val="auto"/>
          <w:sz w:val="30"/>
          <w:szCs w:val="30"/>
          <w:highlight w:val="none"/>
        </w:rPr>
        <w:t>工程施工合同</w:t>
      </w:r>
    </w:p>
    <w:p>
      <w:pPr>
        <w:widowControl/>
        <w:ind w:firstLine="5400" w:firstLineChars="1800"/>
        <w:rPr>
          <w:rFonts w:eastAsia="方正小标宋简体"/>
          <w:color w:val="auto"/>
          <w:sz w:val="30"/>
          <w:szCs w:val="30"/>
          <w:highlight w:val="none"/>
        </w:rPr>
      </w:pPr>
    </w:p>
    <w:p>
      <w:pPr>
        <w:spacing w:line="600" w:lineRule="exact"/>
        <w:rPr>
          <w:rFonts w:hint="eastAsia" w:hAnsi="宋体" w:cs="宋体"/>
          <w:color w:val="auto"/>
          <w:sz w:val="21"/>
          <w:szCs w:val="21"/>
          <w:highlight w:val="none"/>
        </w:rPr>
      </w:pPr>
      <w:r>
        <w:rPr>
          <w:rFonts w:hint="eastAsia" w:hAnsi="宋体" w:cs="宋体"/>
          <w:b/>
          <w:color w:val="auto"/>
          <w:sz w:val="21"/>
          <w:szCs w:val="21"/>
          <w:highlight w:val="none"/>
        </w:rPr>
        <w:t>发包人：</w:t>
      </w:r>
      <w:r>
        <w:rPr>
          <w:rFonts w:hint="eastAsia" w:hAnsi="宋体" w:cs="宋体"/>
          <w:b/>
          <w:color w:val="auto"/>
          <w:sz w:val="21"/>
          <w:szCs w:val="21"/>
          <w:highlight w:val="none"/>
          <w:u w:val="single"/>
        </w:rPr>
        <w:t>东莞市大学创新城建设发展有限公司</w:t>
      </w:r>
      <w:r>
        <w:rPr>
          <w:rFonts w:hint="eastAsia" w:hAnsi="宋体" w:cs="宋体"/>
          <w:color w:val="auto"/>
          <w:sz w:val="21"/>
          <w:szCs w:val="21"/>
          <w:highlight w:val="none"/>
        </w:rPr>
        <w:t>（以下简称甲方）</w:t>
      </w:r>
    </w:p>
    <w:p>
      <w:pPr>
        <w:spacing w:line="600" w:lineRule="exact"/>
        <w:rPr>
          <w:rFonts w:eastAsia="仿宋_GB2312"/>
          <w:color w:val="auto"/>
          <w:sz w:val="21"/>
          <w:szCs w:val="21"/>
          <w:highlight w:val="none"/>
        </w:rPr>
      </w:pPr>
      <w:r>
        <w:rPr>
          <w:rFonts w:hint="eastAsia" w:hAnsi="宋体" w:cs="宋体"/>
          <w:b/>
          <w:color w:val="auto"/>
          <w:sz w:val="21"/>
          <w:szCs w:val="21"/>
          <w:highlight w:val="none"/>
        </w:rPr>
        <w:t>承包人：</w:t>
      </w:r>
      <w:r>
        <w:rPr>
          <w:rFonts w:hint="eastAsia" w:hAnsi="宋体" w:cs="宋体"/>
          <w:b/>
          <w:color w:val="auto"/>
          <w:sz w:val="21"/>
          <w:szCs w:val="21"/>
          <w:highlight w:val="none"/>
          <w:u w:val="single"/>
        </w:rPr>
        <w:t xml:space="preserve">                          </w:t>
      </w:r>
      <w:r>
        <w:rPr>
          <w:rFonts w:hint="eastAsia" w:hAnsi="宋体" w:cs="宋体"/>
          <w:b/>
          <w:color w:val="auto"/>
          <w:sz w:val="21"/>
          <w:szCs w:val="21"/>
          <w:highlight w:val="none"/>
          <w:u w:val="single"/>
          <w:lang w:val="en-US" w:eastAsia="zh-CN"/>
        </w:rPr>
        <w:t xml:space="preserve">     </w:t>
      </w:r>
      <w:r>
        <w:rPr>
          <w:rFonts w:hint="eastAsia" w:hAnsi="宋体" w:cs="宋体"/>
          <w:b/>
          <w:color w:val="auto"/>
          <w:sz w:val="21"/>
          <w:szCs w:val="21"/>
          <w:highlight w:val="none"/>
          <w:u w:val="single"/>
        </w:rPr>
        <w:t xml:space="preserve">  </w:t>
      </w:r>
      <w:r>
        <w:rPr>
          <w:rFonts w:hint="eastAsia" w:hAnsi="宋体" w:cs="宋体"/>
          <w:color w:val="auto"/>
          <w:sz w:val="21"/>
          <w:szCs w:val="21"/>
          <w:highlight w:val="none"/>
        </w:rPr>
        <w:t>（以下简称乙方）</w:t>
      </w:r>
    </w:p>
    <w:p>
      <w:pPr>
        <w:spacing w:line="600" w:lineRule="exact"/>
        <w:rPr>
          <w:rFonts w:eastAsia="仿宋_GB2312"/>
          <w:color w:val="auto"/>
          <w:sz w:val="21"/>
          <w:szCs w:val="21"/>
          <w:highlight w:val="none"/>
        </w:rPr>
      </w:pP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按照《中华人民共和国</w:t>
      </w:r>
      <w:r>
        <w:rPr>
          <w:rFonts w:hint="eastAsia" w:hAnsi="宋体" w:cs="宋体"/>
          <w:color w:val="auto"/>
          <w:sz w:val="21"/>
          <w:szCs w:val="21"/>
          <w:highlight w:val="none"/>
          <w:lang w:eastAsia="zh-CN"/>
        </w:rPr>
        <w:t>民法典</w:t>
      </w:r>
      <w:r>
        <w:rPr>
          <w:rFonts w:hint="eastAsia" w:hAnsi="宋体" w:cs="宋体"/>
          <w:color w:val="auto"/>
          <w:sz w:val="21"/>
          <w:szCs w:val="21"/>
          <w:highlight w:val="none"/>
        </w:rPr>
        <w:t>》等有关法律法规的规定，结合本工程实际情况，遵守平等、自愿、公平和诚实信用原则，经双方协商达成如下协议：</w:t>
      </w:r>
    </w:p>
    <w:p>
      <w:pPr>
        <w:spacing w:line="600" w:lineRule="exact"/>
        <w:ind w:firstLine="422" w:firstLineChars="200"/>
        <w:rPr>
          <w:rFonts w:eastAsia="仿宋_GB2312"/>
          <w:b/>
          <w:bCs/>
          <w:color w:val="auto"/>
          <w:sz w:val="21"/>
          <w:szCs w:val="21"/>
          <w:highlight w:val="none"/>
        </w:rPr>
      </w:pPr>
      <w:r>
        <w:rPr>
          <w:rFonts w:hint="eastAsia" w:eastAsia="仿宋_GB2312"/>
          <w:b/>
          <w:bCs/>
          <w:color w:val="auto"/>
          <w:sz w:val="21"/>
          <w:szCs w:val="21"/>
          <w:highlight w:val="none"/>
        </w:rPr>
        <w:t xml:space="preserve">一 </w:t>
      </w:r>
      <w:r>
        <w:rPr>
          <w:rFonts w:eastAsia="仿宋_GB2312"/>
          <w:b/>
          <w:bCs/>
          <w:color w:val="auto"/>
          <w:sz w:val="21"/>
          <w:szCs w:val="21"/>
          <w:highlight w:val="none"/>
        </w:rPr>
        <w:t>工程概况</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（一）工程名称：</w:t>
      </w:r>
      <w:r>
        <w:rPr>
          <w:rFonts w:hint="eastAsia" w:hAnsi="宋体" w:cs="宋体"/>
          <w:color w:val="auto"/>
          <w:sz w:val="21"/>
          <w:szCs w:val="21"/>
          <w:highlight w:val="none"/>
          <w:lang w:eastAsia="zh-CN"/>
        </w:rPr>
        <w:t>松山湖大学创新城--创投大厦A塔、B塔室外灯光采购项目</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（二）工程地点：</w:t>
      </w:r>
      <w:r>
        <w:rPr>
          <w:rFonts w:hint="eastAsia" w:hAnsi="宋体" w:cs="宋体"/>
          <w:color w:val="auto"/>
          <w:sz w:val="21"/>
          <w:szCs w:val="21"/>
          <w:highlight w:val="none"/>
          <w:u w:val="single"/>
        </w:rPr>
        <w:t xml:space="preserve"> 东莞市松山湖大学创新城  </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（三）工程内容及施工范围：            </w:t>
      </w:r>
      <w:r>
        <w:rPr>
          <w:rFonts w:hint="eastAsia" w:hAnsi="宋体" w:cs="宋体"/>
          <w:color w:val="auto"/>
          <w:sz w:val="21"/>
          <w:szCs w:val="21"/>
          <w:highlight w:val="none"/>
          <w:u w:val="singl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以上施工范围未尽事宜，请详见施工图纸，并满足设计文件要求。</w:t>
      </w:r>
    </w:p>
    <w:p>
      <w:pPr>
        <w:spacing w:line="600" w:lineRule="exact"/>
        <w:ind w:firstLine="210" w:firstLineChars="100"/>
        <w:rPr>
          <w:rFonts w:hint="eastAsia" w:hAnsi="宋体" w:cs="宋体"/>
          <w:color w:val="auto"/>
          <w:sz w:val="21"/>
          <w:szCs w:val="21"/>
          <w:highlight w:val="none"/>
        </w:rPr>
      </w:pPr>
      <w:r>
        <w:rPr>
          <w:rFonts w:hint="eastAsia" w:hAnsi="宋体" w:cs="宋体"/>
          <w:color w:val="auto"/>
          <w:sz w:val="21"/>
          <w:szCs w:val="21"/>
          <w:highlight w:val="none"/>
        </w:rPr>
        <w:t xml:space="preserve">  （四）本工程按合同总价一次包干：乙方包工包料、包机械设备、包承包期、包质量、包安全、包税收；</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（五）工期：总工期为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日历天，以甲方通知的实际开工报告日期为准；</w:t>
      </w:r>
    </w:p>
    <w:p>
      <w:pPr>
        <w:tabs>
          <w:tab w:val="left" w:pos="3405"/>
        </w:tabs>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（六）合同价款</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1.本工程合同总价款为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）。其中，单列部分的安全防护、文明施工费为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2.在工程实施期间，因施工图纸设计发生的设计变更、工程签证等项目，经甲方确认后，按如下计取：建设工程预算审核书中有适用或类似相应综合单价的项目，参照执行，无适用或类似单价的项目，其综合单价按施工当月东莞市政府造价部门公布的信息价，无信息价的按市场价计取，计价原则参照预算审核原则。</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二 工程质量及验收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（一）工程质量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应严格按照施工图纸、说明文件和国家颁发的建筑工程规范、规程和标准进行施工，符合工程所在地相关施工规范及中华人民共和国现行国家标准、国家优质工程验收标准，并接受甲方现场代表的监督。乙方应在施工现场采取维护安全、防范风险、预防火灾等措施并对施工现场实行封闭管理。乙方应当遵守有关环境保护和安全生产的法律、法规的规定，采取控制和处理施工现场的各种粉尘、废气、废水、固体废物以及噪声、振动对环境的污染和危害的措施。乙方负责市容、环保、交通、派出所、街道等部门和周边居民的协调工作，甲方应提供协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本合同工程交工验收后，为了按期完成工程竣工决算审查、审计及竣工验收工作，如</w:t>
      </w:r>
      <w:r>
        <w:rPr>
          <w:rFonts w:hint="eastAsia" w:hAnsi="宋体" w:cs="宋体"/>
          <w:color w:val="auto"/>
          <w:sz w:val="21"/>
          <w:szCs w:val="21"/>
          <w:highlight w:val="none"/>
          <w:lang w:eastAsia="zh-CN"/>
        </w:rPr>
        <w:t>甲方</w:t>
      </w:r>
      <w:r>
        <w:rPr>
          <w:rFonts w:hint="eastAsia" w:hAnsi="宋体" w:cs="宋体"/>
          <w:color w:val="auto"/>
          <w:sz w:val="21"/>
          <w:szCs w:val="21"/>
          <w:highlight w:val="none"/>
        </w:rPr>
        <w:t>和</w:t>
      </w:r>
      <w:r>
        <w:rPr>
          <w:rFonts w:hint="eastAsia" w:hAnsi="宋体" w:cs="宋体"/>
          <w:color w:val="auto"/>
          <w:sz w:val="21"/>
          <w:szCs w:val="21"/>
          <w:highlight w:val="none"/>
          <w:lang w:eastAsia="zh-CN"/>
        </w:rPr>
        <w:t>乙方</w:t>
      </w:r>
      <w:r>
        <w:rPr>
          <w:rFonts w:hint="eastAsia" w:hAnsi="宋体" w:cs="宋体"/>
          <w:color w:val="auto"/>
          <w:sz w:val="21"/>
          <w:szCs w:val="21"/>
          <w:highlight w:val="none"/>
        </w:rPr>
        <w:t>对结算确实存在分歧，经双方协商未果情况下，</w:t>
      </w:r>
      <w:r>
        <w:rPr>
          <w:rFonts w:hint="eastAsia" w:hAnsi="宋体" w:cs="宋体"/>
          <w:color w:val="auto"/>
          <w:sz w:val="21"/>
          <w:szCs w:val="21"/>
          <w:highlight w:val="none"/>
          <w:lang w:eastAsia="zh-CN"/>
        </w:rPr>
        <w:t>甲方</w:t>
      </w:r>
      <w:r>
        <w:rPr>
          <w:rFonts w:hint="eastAsia" w:hAnsi="宋体" w:cs="宋体"/>
          <w:color w:val="auto"/>
          <w:sz w:val="21"/>
          <w:szCs w:val="21"/>
          <w:highlight w:val="none"/>
        </w:rPr>
        <w:t>有权进行合同单方结算，</w:t>
      </w:r>
      <w:r>
        <w:rPr>
          <w:rFonts w:hint="eastAsia" w:hAnsi="宋体" w:cs="宋体"/>
          <w:color w:val="auto"/>
          <w:sz w:val="21"/>
          <w:szCs w:val="21"/>
          <w:highlight w:val="none"/>
          <w:lang w:eastAsia="zh-CN"/>
        </w:rPr>
        <w:t>乙方</w:t>
      </w:r>
      <w:r>
        <w:rPr>
          <w:rFonts w:hint="eastAsia" w:hAnsi="宋体" w:cs="宋体"/>
          <w:color w:val="auto"/>
          <w:sz w:val="21"/>
          <w:szCs w:val="21"/>
          <w:highlight w:val="none"/>
        </w:rPr>
        <w:t>须无条件接受。</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验收的依据和标准：执行国家及工程所在地区颁布的，现行有效的施工验收规范和相关法规、规定；以本合同约定的技术和质量要求、甲乙双方确认的施工图纸及说明、施工技术文件、有关设计变更和技术交底及相关会议纪要等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2.验收方式：甲方根据国家有关施工验收规范及甲方提出的相关技术指标要求对工程进行验收。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3.工程具备竣工验收条件，乙方与甲方联系，确定验收日期，甲方组织双方参加的竣工验收。甲方应在竣工验收当天后 5 天内提出整改意见，乙方按意见及要求进行整改。</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4.竣工验收参加单位为甲方、乙方、设计单位，工程竣工验收文件所标示的最后日期即为实际竣工日期。</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5.乙方应于竣工验收前将完整的</w:t>
      </w:r>
      <w:r>
        <w:rPr>
          <w:rFonts w:hint="eastAsia" w:hAnsi="宋体" w:cs="宋体"/>
          <w:color w:val="auto"/>
          <w:sz w:val="21"/>
          <w:szCs w:val="21"/>
          <w:highlight w:val="none"/>
          <w:lang w:eastAsia="zh-CN"/>
        </w:rPr>
        <w:t>竣工资料及</w:t>
      </w:r>
      <w:r>
        <w:rPr>
          <w:rFonts w:hint="eastAsia" w:hAnsi="宋体" w:cs="宋体"/>
          <w:color w:val="auto"/>
          <w:sz w:val="21"/>
          <w:szCs w:val="21"/>
          <w:highlight w:val="none"/>
        </w:rPr>
        <w:t>竣工图一式两份交付给甲方。</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三 工程付款方式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本合同采用按工期节点进度付款，具体付款方式如下：</w:t>
      </w:r>
    </w:p>
    <w:p>
      <w:pPr>
        <w:snapToGrid w:val="0"/>
        <w:spacing w:line="600" w:lineRule="exact"/>
        <w:ind w:firstLine="420" w:firstLineChars="200"/>
        <w:rPr>
          <w:rFonts w:hint="eastAsia" w:hAnsi="宋体" w:cs="宋体"/>
          <w:color w:val="auto"/>
          <w:sz w:val="21"/>
          <w:szCs w:val="21"/>
          <w:highlight w:val="none"/>
        </w:rPr>
      </w:pPr>
      <w:bookmarkStart w:id="151" w:name="OLE_LINK1"/>
      <w:r>
        <w:rPr>
          <w:rFonts w:hint="eastAsia" w:hAnsi="宋体" w:cs="宋体"/>
          <w:color w:val="auto"/>
          <w:sz w:val="21"/>
          <w:szCs w:val="21"/>
          <w:highlight w:val="none"/>
        </w:rPr>
        <w:t>（</w:t>
      </w:r>
      <w:r>
        <w:rPr>
          <w:rFonts w:hint="eastAsia" w:hAnsi="宋体" w:cs="宋体"/>
          <w:color w:val="auto"/>
          <w:sz w:val="21"/>
          <w:szCs w:val="21"/>
          <w:highlight w:val="none"/>
          <w:lang w:eastAsia="zh-CN"/>
        </w:rPr>
        <w:t>一</w:t>
      </w:r>
      <w:r>
        <w:rPr>
          <w:rFonts w:hint="eastAsia" w:hAnsi="宋体" w:cs="宋体"/>
          <w:color w:val="auto"/>
          <w:sz w:val="21"/>
          <w:szCs w:val="21"/>
          <w:highlight w:val="none"/>
        </w:rPr>
        <w:t>）工程进度款按月支付，每个月支付完成工程量造价的80%；待支付至合同款的80%不再进行进度款支付；</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二</w:t>
      </w:r>
      <w:r>
        <w:rPr>
          <w:rFonts w:hint="eastAsia" w:hAnsi="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hAnsi="宋体" w:cs="宋体"/>
          <w:color w:val="auto"/>
          <w:sz w:val="21"/>
          <w:szCs w:val="21"/>
          <w:highlight w:val="none"/>
        </w:rPr>
        <w:t>并办理完结算后，乙方提交完整的请款资料，甲方在收到请款资料后20个工作日内乙方支付至结算总价97%。</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三</w:t>
      </w:r>
      <w:r>
        <w:rPr>
          <w:rFonts w:hint="eastAsia" w:hAnsi="宋体" w:cs="宋体"/>
          <w:color w:val="auto"/>
          <w:sz w:val="21"/>
          <w:szCs w:val="21"/>
          <w:highlight w:val="none"/>
        </w:rPr>
        <w:t>）工程质量保修金为结算总价3%，满</w:t>
      </w:r>
      <w:r>
        <w:rPr>
          <w:rFonts w:hint="eastAsia" w:hAnsi="宋体" w:cs="宋体"/>
          <w:color w:val="auto"/>
          <w:sz w:val="21"/>
          <w:szCs w:val="21"/>
          <w:highlight w:val="none"/>
          <w:u w:val="single"/>
        </w:rPr>
        <w:t>两</w:t>
      </w:r>
      <w:r>
        <w:rPr>
          <w:rFonts w:hint="eastAsia" w:hAnsi="宋体" w:cs="宋体"/>
          <w:color w:val="auto"/>
          <w:sz w:val="21"/>
          <w:szCs w:val="21"/>
          <w:highlight w:val="none"/>
        </w:rPr>
        <w:t>年质保期后无质量问题的申请支付余款。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四</w:t>
      </w:r>
      <w:r>
        <w:rPr>
          <w:rFonts w:hint="eastAsia" w:hAnsi="宋体" w:cs="宋体"/>
          <w:color w:val="auto"/>
          <w:sz w:val="21"/>
          <w:szCs w:val="21"/>
          <w:highlight w:val="none"/>
        </w:rPr>
        <w:t>）每次支付工程款项时，乙方必须提供税率为9%的增值税专用发票。若有税率调整，按最新政策税率执行，结算时按不含税价*新税率调整。</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四 履约担保</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乙方在签订本合同前5个工作日内，必须提交履约担保，履约担保可采用履约保函或履约保证金形式：</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（一）若乙方提交履约保函，履约保函的内容及格式应先征求甲方同意，并应满足以下规定：</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1.履约保函必须是无条件不可撤销保函。</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2.履约保函必须由银行支行或以上级别机构出具，由非东莞市行政区域内的银行出具的履约保函需经银行所在地公证机关公证。</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3.履约保函担保金额为合同价的10％。</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4.履约保函的期限应从合同签订到工程竣工验收合格并按有关规定审核结算后28天内保持有效。</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6.履约保函开具或延期所产生的费用由乙方承担</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履约保证金汇入以下专用账户：</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账户名称：东莞市大学创新城建设发展有限公司</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    号：1060 1651 6010 0036 35</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开 户 行：广发银行松山湖支行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（三）乙方如逾期未能缴纳履约保证金或提供银行履约保函，甲方有权废除乙方的</w:t>
      </w:r>
      <w:r>
        <w:rPr>
          <w:rFonts w:hint="eastAsia" w:hAnsi="宋体" w:cs="宋体"/>
          <w:color w:val="auto"/>
          <w:sz w:val="21"/>
          <w:szCs w:val="21"/>
          <w:highlight w:val="none"/>
          <w:lang w:eastAsia="zh-CN"/>
        </w:rPr>
        <w:t>成交</w:t>
      </w:r>
      <w:r>
        <w:rPr>
          <w:rFonts w:hint="eastAsia" w:hAnsi="宋体" w:cs="宋体"/>
          <w:color w:val="auto"/>
          <w:sz w:val="21"/>
          <w:szCs w:val="21"/>
          <w:highlight w:val="none"/>
        </w:rPr>
        <w:t>资格，并保留没收</w:t>
      </w:r>
      <w:r>
        <w:rPr>
          <w:rFonts w:hint="eastAsia" w:hAnsi="宋体" w:cs="宋体"/>
          <w:color w:val="auto"/>
          <w:sz w:val="21"/>
          <w:szCs w:val="21"/>
          <w:highlight w:val="none"/>
          <w:lang w:eastAsia="zh-CN"/>
        </w:rPr>
        <w:t>磋商</w:t>
      </w:r>
      <w:r>
        <w:rPr>
          <w:rFonts w:hint="eastAsia" w:hAnsi="宋体" w:cs="宋体"/>
          <w:color w:val="auto"/>
          <w:sz w:val="21"/>
          <w:szCs w:val="21"/>
          <w:highlight w:val="none"/>
        </w:rPr>
        <w:t>保证金的权利。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（四）履约保证金的退还</w:t>
      </w:r>
    </w:p>
    <w:p>
      <w:pPr>
        <w:spacing w:line="600" w:lineRule="exact"/>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rPr>
        <w:t>乙方向甲方缴纳的上述履约保证金，在工程竣工验收合格并按有关规定审核结算后无息退还。</w:t>
      </w:r>
      <w:bookmarkEnd w:id="151"/>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五 工程变更及合理化建议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1.如果甲方认为有必要对工程或其中任何部分的形式、质量或数量作出任何变更，则甲方有权指示乙方进行下述任何工作，乙方应遵照执行：</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(1)增加或减少合同中所包括的任何工作的数量；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(2)省略合同中所包括的任何工作；</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(3)改变合同中所包括的任何工作的性质、质量或类型；</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(4)改变工程任何部分的标高、基线、位置或尺寸；</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(5)改变工程任何部分的施工顺序或时间安排。</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上述变更不应以任何方式使合同作废或失效，但对所有上述变更对工程价值的影响（如有）应按合同相关条款计价。</w:t>
      </w:r>
    </w:p>
    <w:p>
      <w:pPr>
        <w:spacing w:line="600" w:lineRule="exact"/>
        <w:ind w:firstLine="525" w:firstLineChars="250"/>
        <w:rPr>
          <w:rFonts w:hint="eastAsia" w:hAnsi="宋体" w:cs="宋体"/>
          <w:b/>
          <w:color w:val="auto"/>
          <w:sz w:val="21"/>
          <w:szCs w:val="21"/>
          <w:highlight w:val="none"/>
        </w:rPr>
      </w:pPr>
      <w:r>
        <w:rPr>
          <w:rFonts w:hint="eastAsia" w:hAnsi="宋体" w:cs="宋体"/>
          <w:color w:val="auto"/>
          <w:sz w:val="21"/>
          <w:szCs w:val="21"/>
          <w:highlight w:val="none"/>
        </w:rPr>
        <w:t>2.在工程实施期间，因施工图纸设计发生的设计变更、施工图纸外发生的工程签证等项目，经甲方审批确认后实施。</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（二）乙方提出的合理化建议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除非本合同另有约定，在合同履约过程中乙方有责任和义务以书面形式向甲方提出任何有关本工程设计和施工的合理化建议。在下列条件全部满足时，乙方的合理化建议构成本条所指的变更：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1.乙方的合理化建议被证明是出于有利于甲方实现其本工程的目的和利益，或者是由于合同图纸、设计变更等有合同约束力的文件中的错误或明显不合理或明显不可行；</w:t>
      </w:r>
    </w:p>
    <w:p>
      <w:pPr>
        <w:snapToGrid w:val="0"/>
        <w:spacing w:line="600" w:lineRule="exact"/>
        <w:ind w:firstLine="420" w:firstLineChars="200"/>
        <w:rPr>
          <w:rFonts w:hint="eastAsia" w:hAnsi="宋体" w:cs="宋体"/>
          <w:color w:val="auto"/>
          <w:sz w:val="21"/>
          <w:szCs w:val="21"/>
          <w:highlight w:val="none"/>
        </w:rPr>
      </w:pPr>
      <w:bookmarkStart w:id="152" w:name="_Toc220292915"/>
      <w:bookmarkStart w:id="153" w:name="_Toc220295274"/>
      <w:bookmarkStart w:id="154" w:name="_Toc220293671"/>
      <w:bookmarkStart w:id="155" w:name="_Toc300242200"/>
      <w:bookmarkStart w:id="156" w:name="_Toc299746078"/>
      <w:bookmarkStart w:id="157" w:name="_Toc243986907"/>
      <w:bookmarkStart w:id="158" w:name="_Toc246408540"/>
      <w:bookmarkStart w:id="159" w:name="_Toc299660633"/>
      <w:bookmarkStart w:id="160" w:name="_Toc229302590"/>
      <w:bookmarkStart w:id="161" w:name="_Toc299659890"/>
      <w:bookmarkStart w:id="162" w:name="_Toc220293325"/>
      <w:bookmarkStart w:id="163" w:name="_Toc174273244"/>
      <w:bookmarkStart w:id="164" w:name="_Toc229302932"/>
      <w:bookmarkStart w:id="165" w:name="_Toc299660262"/>
      <w:bookmarkStart w:id="166" w:name="_Toc174269088"/>
      <w:bookmarkStart w:id="167" w:name="_Toc257904141"/>
      <w:bookmarkStart w:id="168" w:name="_Toc220294650"/>
      <w:bookmarkStart w:id="169" w:name="_Toc220294962"/>
      <w:bookmarkStart w:id="170" w:name="_Toc240269407"/>
      <w:bookmarkStart w:id="171" w:name="_Toc220292602"/>
      <w:r>
        <w:rPr>
          <w:rFonts w:hint="eastAsia" w:hAnsi="宋体" w:cs="宋体"/>
          <w:color w:val="auto"/>
          <w:sz w:val="21"/>
          <w:szCs w:val="21"/>
          <w:highlight w:val="none"/>
        </w:rPr>
        <w:t>2.乙方已恰当履行了约定的义务。</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（三）现场签证、设计变更计价和付款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工程变更签证》所涉及的费用均按合同相关条款约定计算。经审核及确认后，可与进度款同期支付。将在乙方所承包的全部工程竣工并移交且乙方向甲方提供齐备完善的竣工验收资料、结算资料后，变更签证价款作为结算总价款的组成部分之一。</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六 双方义务</w:t>
      </w:r>
    </w:p>
    <w:p>
      <w:pPr>
        <w:spacing w:line="600" w:lineRule="exact"/>
        <w:ind w:left="-120" w:leftChars="-50" w:firstLine="210" w:firstLineChars="100"/>
        <w:rPr>
          <w:rFonts w:hint="eastAsia" w:hAnsi="宋体" w:cs="宋体"/>
          <w:color w:val="auto"/>
          <w:sz w:val="21"/>
          <w:szCs w:val="21"/>
          <w:highlight w:val="none"/>
        </w:rPr>
      </w:pPr>
      <w:r>
        <w:rPr>
          <w:rFonts w:hint="eastAsia" w:hAnsi="宋体" w:cs="宋体"/>
          <w:color w:val="auto"/>
          <w:sz w:val="21"/>
          <w:szCs w:val="21"/>
          <w:highlight w:val="none"/>
        </w:rPr>
        <w:t>（一）甲方义务</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负责对工程建设进行全面管理，解决施工过程中出现的需要甲方协调的相关问题，并参与工程的初验、各种验收和签证工作。如变更现场代表应及时通知乙方。</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2.及时对工程进度、工程质量进行监督检查，参加材料报验、样板验收、组织工程的初验，接乙方书面通知起</w:t>
      </w:r>
      <w:r>
        <w:rPr>
          <w:rFonts w:hint="eastAsia" w:hAnsi="宋体" w:cs="宋体"/>
          <w:color w:val="auto"/>
          <w:sz w:val="21"/>
          <w:szCs w:val="21"/>
          <w:highlight w:val="none"/>
          <w:u w:val="single"/>
        </w:rPr>
        <w:t xml:space="preserve"> 24 </w:t>
      </w:r>
      <w:r>
        <w:rPr>
          <w:rFonts w:hint="eastAsia" w:hAnsi="宋体" w:cs="宋体"/>
          <w:color w:val="auto"/>
          <w:sz w:val="21"/>
          <w:szCs w:val="21"/>
          <w:highlight w:val="none"/>
        </w:rPr>
        <w:t>个工作小时内参加隐蔽工程验收。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3.接乙方书面竣工验收通知后应在</w:t>
      </w:r>
      <w:r>
        <w:rPr>
          <w:rFonts w:hint="eastAsia" w:hAnsi="宋体" w:cs="宋体"/>
          <w:color w:val="auto"/>
          <w:sz w:val="21"/>
          <w:szCs w:val="21"/>
          <w:highlight w:val="none"/>
          <w:u w:val="single"/>
        </w:rPr>
        <w:t xml:space="preserve"> 10 </w:t>
      </w:r>
      <w:r>
        <w:rPr>
          <w:rFonts w:hint="eastAsia" w:hAnsi="宋体" w:cs="宋体"/>
          <w:color w:val="auto"/>
          <w:sz w:val="21"/>
          <w:szCs w:val="21"/>
          <w:highlight w:val="none"/>
        </w:rPr>
        <w:t>个工作日内组织竣工验收。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4.对于工程变更申请，应在收到乙方书面材料起</w:t>
      </w:r>
      <w:r>
        <w:rPr>
          <w:rFonts w:hint="eastAsia" w:hAnsi="宋体" w:cs="宋体"/>
          <w:color w:val="auto"/>
          <w:sz w:val="21"/>
          <w:szCs w:val="21"/>
          <w:highlight w:val="none"/>
          <w:u w:val="single"/>
        </w:rPr>
        <w:t xml:space="preserve"> 10</w:t>
      </w:r>
      <w:r>
        <w:rPr>
          <w:rFonts w:hint="eastAsia" w:hAnsi="宋体" w:cs="宋体"/>
          <w:color w:val="auto"/>
          <w:sz w:val="21"/>
          <w:szCs w:val="21"/>
          <w:highlight w:val="none"/>
        </w:rPr>
        <w:t>个工作日内进行审批或确认，办理有关的签证。</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5.负责协调乙方与其他各承包单位的关系，并协助解决材料堆放场地。</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（二）乙方义务</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负责施工期间的全面管理，如变更现场代表应事先经甲方书面同意。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 根据甲方确认的施工图纸，按照本合同约定完成承包范围内的施工工作，并按甲方要求的格式书面提请办理验收和确认手续。</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3.按相关安全法规进行安全施工，遵守甲方施工现场管理的有关规定。</w:t>
      </w:r>
    </w:p>
    <w:p>
      <w:pPr>
        <w:spacing w:line="600" w:lineRule="exact"/>
        <w:ind w:right="24" w:firstLine="445" w:firstLineChars="212"/>
        <w:rPr>
          <w:rFonts w:hint="eastAsia" w:hAnsi="宋体" w:cs="宋体"/>
          <w:color w:val="auto"/>
          <w:sz w:val="21"/>
          <w:szCs w:val="21"/>
          <w:highlight w:val="none"/>
        </w:rPr>
      </w:pPr>
      <w:r>
        <w:rPr>
          <w:rFonts w:hint="eastAsia" w:hAnsi="宋体" w:cs="宋体"/>
          <w:color w:val="auto"/>
          <w:sz w:val="21"/>
          <w:szCs w:val="21"/>
          <w:highlight w:val="none"/>
        </w:rPr>
        <w:t>4.乙方应处理好与其他在建专业施工队伍（或单位）的关系，须按工程情况与其他单位进行密切协调与配合。</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5.乙方须保证施工场地的清洁卫生符合相关环境卫生、环境保护及整治管理的规定，防止扬尘及保持场地出入口及场外周边道路的清洁卫生，做到工完场清。 </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6.竣工验收后，乙方人员必须在一周内清理并撤离施工场地。如因乙方人员逾期未清理或未撤离导致甲方无法正常使用场地的，每逾期一日应按照总合同价0.5%每日的标准支付违约金，由此给甲方造成其他损失的，乙方应一并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图纸外（现场变更、临时工程等）的工程签证，属于隐蔽工程的应于隐蔽前办理签证，非隐蔽工程应于完成后两个工作日内办理签证。签证时，乙方应至少提前4个工作小时通知甲方，经甲方代表及乙方共同现场验收签证。甲方、乙方双方各执2份，作为工程结算依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8.乙方应具备法律法规或国家规定的相应资质，相应的资质文件作为本合同附件。如因乙方隐瞒或提供虚假文件导致本合同全部或部分条款无效的，乙方应赔偿甲方由此产生的全部直接损失及间接损失。</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七 安全生产和防火</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（一）甲方提供的施工图纸或作法说明，应符合《中华人民共和国消防条例》和有关防火设计规范。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（二）乙方在施工期间应严格遵守《建筑安装工程安全技术规程》、《建筑安装工程安全操作规程》、《中华人民共和国消防条例》和其它相关的法规、规范。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（三）参与本工程的设计和施工管理的从业人员，应是经过行业培训的持证上岗人员。</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乙方在本工程竣工验收前，负责保护工程成品和工程现场的全部安全。由于乙方在施工生产过程中自身安全措施不力及违反相关安全操作规程、消防条例，导致发生安全、火灾事故，乙方应承担由此产生的一切责任后果和经济费用。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必须做好施工现场及工地现场的管线和邻近建筑物的保护工作，由于该类影响所造成的额外费用和赔偿均由乙方承担。乙方应当自行购买其工程范围内人员和设备的保险，以及第三者责任险等一切涉及本工程的保险。因可归责于乙方原因导致的施工人员或其他第三人发生人身、财产安全事故的，由乙方承担全部法律责任，与甲方无关。如因此给甲方造成的损失（包括但不限于律师费、诉讼费或仲裁费、担保费等），乙方应承担相应的赔偿责任。</w:t>
      </w:r>
    </w:p>
    <w:p>
      <w:pPr>
        <w:spacing w:line="600" w:lineRule="exact"/>
        <w:ind w:firstLine="422" w:firstLineChars="200"/>
        <w:rPr>
          <w:rFonts w:hint="eastAsia" w:hAnsi="宋体" w:cs="宋体"/>
          <w:color w:val="auto"/>
          <w:sz w:val="21"/>
          <w:szCs w:val="21"/>
          <w:highlight w:val="none"/>
        </w:rPr>
      </w:pPr>
      <w:r>
        <w:rPr>
          <w:rFonts w:hint="eastAsia" w:hAnsi="宋体" w:cs="宋体"/>
          <w:b/>
          <w:bCs/>
          <w:color w:val="auto"/>
          <w:sz w:val="21"/>
          <w:szCs w:val="21"/>
          <w:highlight w:val="none"/>
        </w:rPr>
        <w:t>八 违约责任</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（二）合同签订后，在履约过程中，因甲方原因导致合同无法继续履行，乙方已经履行了部分合同义务的，甲方除了支付相应款项外，还应承担违约金责任和因此给对方造成的其他损失。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（三）由于乙方原因，逾期竣工，每逾期一天，乙方须支付给甲方本合同价款总额0.5%的违约金。</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（四）在施工过程中，甲方未经乙方或乙方代表同意而与其他工作人员协商私自更改施工内容，由此所引起的费用及质量问题，责任由甲方承担。</w:t>
      </w:r>
    </w:p>
    <w:p>
      <w:pPr>
        <w:spacing w:line="600" w:lineRule="exact"/>
        <w:ind w:firstLine="420" w:firstLineChars="200"/>
        <w:rPr>
          <w:rFonts w:hint="eastAsia" w:hAnsi="宋体" w:cs="宋体"/>
          <w:color w:val="auto"/>
          <w:sz w:val="21"/>
          <w:szCs w:val="21"/>
          <w:highlight w:val="none"/>
        </w:rPr>
      </w:pPr>
      <w:r>
        <w:rPr>
          <w:rFonts w:hint="eastAsia" w:hAnsi="宋体" w:cs="宋体"/>
          <w:bCs/>
          <w:color w:val="auto"/>
          <w:sz w:val="21"/>
          <w:szCs w:val="21"/>
          <w:highlight w:val="none"/>
        </w:rPr>
        <w:t>（五）</w:t>
      </w:r>
      <w:r>
        <w:rPr>
          <w:rFonts w:hint="eastAsia" w:hAnsi="宋体" w:cs="宋体"/>
          <w:color w:val="auto"/>
          <w:sz w:val="21"/>
          <w:szCs w:val="21"/>
          <w:highlight w:val="none"/>
        </w:rPr>
        <w:t>乙方应妥善保护甲方提供的材料、设备及现场堆放的家具、陈设和工程成品，如造成损失，应照价赔偿。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（六）乙方提供的材料、设备是假冒伪劣产品的，应按材料、设备价款的双倍赔偿给甲方。</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（七）对于不符合施工质量验收标准中的部分项目，甲方提出施工质量整改要求，乙方未按规定时间内履行整改工作或无正当理由拒绝整改。每逾期一天，乙方支付甲方本合同价款总额0.5%的违约金。</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九 争议解决</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（一）本合同在履行期间，双方发生争议时，在不影响工程进度的前提下，双方可协商解决，或交由甲方母公司东莞实业投资控股集团有限公司业务办公会决议。</w:t>
      </w:r>
    </w:p>
    <w:p>
      <w:pPr>
        <w:pStyle w:val="47"/>
        <w:spacing w:line="60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（二）</w:t>
      </w:r>
      <w:r>
        <w:rPr>
          <w:rFonts w:hint="eastAsia" w:cs="宋体"/>
          <w:color w:val="auto"/>
          <w:sz w:val="21"/>
          <w:szCs w:val="21"/>
          <w:highlight w:val="none"/>
          <w:shd w:val="clear" w:color="auto" w:fill="FFFFFF"/>
        </w:rPr>
        <w:t>若双方不能通过协商达成协议，可依据《中华人民共和国民事诉讼法》和《中华人民共和国</w:t>
      </w:r>
      <w:r>
        <w:rPr>
          <w:rFonts w:hint="eastAsia" w:cs="宋体"/>
          <w:color w:val="auto"/>
          <w:sz w:val="21"/>
          <w:szCs w:val="21"/>
          <w:highlight w:val="none"/>
          <w:shd w:val="clear" w:color="auto" w:fill="FFFFFF"/>
          <w:lang w:eastAsia="zh-CN"/>
        </w:rPr>
        <w:t>民法典</w:t>
      </w:r>
      <w:r>
        <w:rPr>
          <w:rFonts w:hint="eastAsia" w:cs="宋体"/>
          <w:color w:val="auto"/>
          <w:sz w:val="21"/>
          <w:szCs w:val="21"/>
          <w:highlight w:val="none"/>
          <w:shd w:val="clear" w:color="auto" w:fill="FFFFFF"/>
        </w:rPr>
        <w:t>》的有关规定，</w:t>
      </w:r>
      <w:r>
        <w:rPr>
          <w:rFonts w:hint="eastAsia" w:cs="宋体"/>
          <w:color w:val="auto"/>
          <w:sz w:val="21"/>
          <w:szCs w:val="21"/>
          <w:highlight w:val="none"/>
        </w:rPr>
        <w:t>任何一方应向向不动产所在地即东莞市松山湖有管辖权的人民法院提出诉讼。</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 保修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（一）工程竣工后，乙方施工项目在保修期限内出现问题，由乙方进行保修，保修范围为乙方施工的工程项目（以工程结算书所列项目为准）。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（二）本工程保修责任期（以竣工验收当日开始计算）为2年，均从双方签署竣工验收合格文件之日起算。</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保修期间属乙方包工包料的项目因乙方原因出现质量问题由乙方负责保修的人工费和材料费，属乙方包工不包料的项目出现质量问题乙方只负责保修的人工费。因乙方工程质量原因造成的其它损失，由乙方按当时市场价格全额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（四）由于甲方提供的材料出现质量问题、人为造成的损坏、使用不当造成的损坏和不可抗力因素造成的损坏不在保修范围内。</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要提供24小时联系电话，并在接到甲方保修通知电话后4小时内派人到工程现场处理，研究拟定维修方案，在不影响正常上班的情况下，尽快修复,不得故意拖延，否则，甲方在书面通知未果的情况下有权委托其它单位或人员进行修复， 维修费用甲方有权从质保金中优先扣除，不足部分由乙方承担。</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十一 合同解除和终止</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（一）有下列情形之一的，可以解除合同：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1.甲、乙双方协商一致；</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2.因不可抗力致使合同无法履行。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3.因一方违约致使合同无法履行。</w:t>
      </w:r>
    </w:p>
    <w:p>
      <w:pPr>
        <w:spacing w:line="600" w:lineRule="exact"/>
        <w:ind w:firstLine="420" w:firstLineChars="200"/>
        <w:rPr>
          <w:rFonts w:hint="eastAsia" w:hAnsi="宋体" w:cs="宋体"/>
          <w:b w:val="0"/>
          <w:bCs w:val="0"/>
          <w:color w:val="auto"/>
          <w:sz w:val="21"/>
          <w:szCs w:val="21"/>
          <w:highlight w:val="none"/>
        </w:rPr>
      </w:pPr>
      <w:r>
        <w:rPr>
          <w:rFonts w:hint="eastAsia" w:hAnsi="宋体" w:cs="宋体"/>
          <w:color w:val="auto"/>
          <w:sz w:val="21"/>
          <w:szCs w:val="21"/>
          <w:highlight w:val="none"/>
        </w:rPr>
        <w:t>（二）甲、乙双方履行完本合同全部义务，工程竣工结算价款支付完毕，本合同即告终止。</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十二 附则</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本合同正本一式陆份，甲方执肆份，乙方执贰份，均具同等法律效力，双方签字盖章后生效。</w:t>
      </w:r>
    </w:p>
    <w:p>
      <w:pPr>
        <w:shd w:val="clear" w:color="auto" w:fill="FFFFFF"/>
        <w:spacing w:line="600" w:lineRule="exact"/>
        <w:ind w:firstLine="422" w:firstLineChars="200"/>
        <w:textAlignment w:val="baseline"/>
        <w:rPr>
          <w:rFonts w:hint="eastAsia" w:hAnsi="宋体" w:cs="宋体"/>
          <w:b/>
          <w:bCs/>
          <w:color w:val="auto"/>
          <w:sz w:val="21"/>
          <w:szCs w:val="21"/>
          <w:highlight w:val="none"/>
          <w:shd w:val="clear" w:color="auto" w:fill="FFFFFF"/>
        </w:rPr>
      </w:pPr>
      <w:r>
        <w:rPr>
          <w:rFonts w:hint="eastAsia" w:hAnsi="宋体" w:cs="宋体"/>
          <w:b/>
          <w:bCs/>
          <w:color w:val="auto"/>
          <w:sz w:val="21"/>
          <w:szCs w:val="21"/>
          <w:highlight w:val="none"/>
          <w:shd w:val="clear" w:color="auto" w:fill="FFFFFF"/>
        </w:rPr>
        <w:t>十三 其它约定事项</w:t>
      </w:r>
    </w:p>
    <w:p>
      <w:pPr>
        <w:shd w:val="clear" w:color="auto" w:fill="FFFFFF"/>
        <w:spacing w:line="600" w:lineRule="exact"/>
        <w:ind w:firstLine="420" w:firstLineChars="200"/>
        <w:textAlignment w:val="baseline"/>
        <w:rPr>
          <w:rFonts w:hint="eastAsia" w:cs="宋体"/>
          <w:color w:val="auto"/>
          <w:sz w:val="21"/>
          <w:szCs w:val="21"/>
          <w:highlight w:val="none"/>
          <w:shd w:val="clear" w:color="auto" w:fill="FFFFFF"/>
        </w:rPr>
      </w:pPr>
      <w:r>
        <w:rPr>
          <w:rFonts w:hint="eastAsia" w:hAnsi="宋体" w:cs="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pacing w:line="600" w:lineRule="exact"/>
        <w:ind w:firstLine="420" w:firstLineChars="200"/>
        <w:rPr>
          <w:rFonts w:hint="eastAsia" w:hAnsi="宋体" w:cs="宋体"/>
          <w:color w:val="auto"/>
          <w:sz w:val="21"/>
          <w:szCs w:val="21"/>
          <w:highlight w:val="none"/>
          <w:shd w:val="clear" w:color="auto" w:fill="FFFFFF"/>
        </w:rPr>
      </w:pPr>
    </w:p>
    <w:p>
      <w:pPr>
        <w:spacing w:line="600" w:lineRule="exact"/>
        <w:ind w:firstLine="420" w:firstLineChars="200"/>
        <w:rPr>
          <w:rFonts w:hint="eastAsia" w:hAnsi="宋体" w:cs="宋体"/>
          <w:color w:val="auto"/>
          <w:sz w:val="21"/>
          <w:szCs w:val="21"/>
          <w:highlight w:val="none"/>
          <w:shd w:val="clear" w:color="auto" w:fill="FFFFFF"/>
        </w:rPr>
      </w:pPr>
      <w:r>
        <w:rPr>
          <w:rFonts w:hint="eastAsia" w:hAnsi="宋体" w:cs="宋体"/>
          <w:color w:val="auto"/>
          <w:sz w:val="21"/>
          <w:szCs w:val="21"/>
          <w:highlight w:val="none"/>
          <w:shd w:val="clear" w:color="auto" w:fill="FFFFFF"/>
        </w:rPr>
        <w:t>合同附件</w:t>
      </w:r>
    </w:p>
    <w:p>
      <w:pPr>
        <w:pStyle w:val="7"/>
        <w:rPr>
          <w:rFonts w:hint="eastAsia" w:hAnsi="宋体" w:cs="宋体"/>
          <w:color w:val="auto"/>
          <w:sz w:val="21"/>
          <w:szCs w:val="21"/>
          <w:highlight w:val="none"/>
          <w:shd w:val="clear" w:color="auto" w:fill="FFFFFF"/>
        </w:rPr>
      </w:pPr>
    </w:p>
    <w:p>
      <w:pPr>
        <w:pStyle w:val="7"/>
        <w:rPr>
          <w:rFonts w:hint="eastAsia" w:hAnsi="宋体" w:cs="宋体"/>
          <w:color w:val="auto"/>
          <w:sz w:val="21"/>
          <w:szCs w:val="21"/>
          <w:highlight w:val="none"/>
          <w:shd w:val="clear" w:color="auto" w:fill="FFFFFF"/>
        </w:rPr>
      </w:pPr>
    </w:p>
    <w:p>
      <w:pPr>
        <w:spacing w:line="600" w:lineRule="exact"/>
        <w:ind w:firstLine="640" w:firstLineChars="200"/>
        <w:rPr>
          <w:rFonts w:eastAsia="仿宋_GB2312"/>
          <w:color w:val="auto"/>
          <w:sz w:val="32"/>
          <w:szCs w:val="32"/>
          <w:highlight w:val="none"/>
          <w:shd w:val="clear" w:color="auto" w:fill="FFFFFF"/>
        </w:rPr>
      </w:pPr>
    </w:p>
    <w:p>
      <w:pPr>
        <w:spacing w:line="600" w:lineRule="exact"/>
        <w:ind w:firstLine="422" w:firstLineChars="200"/>
        <w:rPr>
          <w:rFonts w:hint="eastAsia" w:hAnsi="宋体" w:cs="宋体"/>
          <w:b/>
          <w:bCs/>
          <w:color w:val="auto"/>
          <w:sz w:val="21"/>
          <w:szCs w:val="21"/>
          <w:highlight w:val="none"/>
          <w:u w:val="single"/>
          <w:shd w:val="clear" w:color="auto" w:fill="FFFFFF"/>
        </w:rPr>
      </w:pPr>
      <w:r>
        <w:rPr>
          <w:rFonts w:hint="eastAsia" w:hAnsi="宋体" w:cs="宋体"/>
          <w:b/>
          <w:bCs/>
          <w:color w:val="auto"/>
          <w:sz w:val="21"/>
          <w:szCs w:val="21"/>
          <w:highlight w:val="none"/>
          <w:shd w:val="clear" w:color="auto" w:fill="FFFFFF"/>
        </w:rPr>
        <w:t>甲方（盖章）：　                  乙方（盖章）：</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法定代表人或其委托                法定代表人或其委托</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代理人（签字）：                  代理人（签字）：</w:t>
      </w:r>
    </w:p>
    <w:p>
      <w:pPr>
        <w:snapToGrid w:val="0"/>
        <w:spacing w:line="600" w:lineRule="exact"/>
        <w:ind w:left="4767" w:leftChars="760" w:hanging="2943" w:hangingChars="1396"/>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开户名称：</w:t>
      </w:r>
      <w:r>
        <w:rPr>
          <w:rFonts w:hint="eastAsia" w:hAnsi="宋体" w:cs="宋体"/>
          <w:bCs/>
          <w:color w:val="auto"/>
          <w:sz w:val="21"/>
          <w:szCs w:val="21"/>
          <w:highlight w:val="none"/>
        </w:rPr>
        <w:t xml:space="preserve">      </w:t>
      </w:r>
    </w:p>
    <w:p>
      <w:pPr>
        <w:snapToGrid w:val="0"/>
        <w:spacing w:line="600" w:lineRule="exact"/>
        <w:ind w:left="5346" w:hanging="4010" w:hangingChars="1902"/>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开户银行：</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 xml:space="preserve">帐号：        </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合同订立时间：        年     月     日</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合同签订地点：</w:t>
      </w:r>
    </w:p>
    <w:p>
      <w:pPr>
        <w:spacing w:line="480" w:lineRule="exact"/>
        <w:rPr>
          <w:rFonts w:ascii="方正小标宋简体" w:hAnsi="黑体" w:eastAsia="方正小标宋简体"/>
          <w:b/>
          <w:color w:val="auto"/>
          <w:sz w:val="44"/>
          <w:szCs w:val="44"/>
          <w:highlight w:val="none"/>
        </w:rPr>
      </w:pPr>
    </w:p>
    <w:p>
      <w:pPr>
        <w:spacing w:line="480" w:lineRule="exact"/>
        <w:rPr>
          <w:rFonts w:ascii="方正小标宋简体" w:hAnsi="黑体" w:eastAsia="方正小标宋简体"/>
          <w:b/>
          <w:color w:val="auto"/>
          <w:sz w:val="44"/>
          <w:szCs w:val="44"/>
          <w:highlight w:val="none"/>
        </w:rPr>
      </w:pPr>
    </w:p>
    <w:p>
      <w:pPr>
        <w:spacing w:line="480" w:lineRule="exact"/>
        <w:jc w:val="center"/>
        <w:rPr>
          <w:rFonts w:hint="eastAsia" w:ascii="方正小标宋简体" w:hAnsi="黑体" w:eastAsia="方正小标宋简体"/>
          <w:b/>
          <w:color w:val="auto"/>
          <w:sz w:val="30"/>
          <w:szCs w:val="30"/>
          <w:highlight w:val="none"/>
        </w:rPr>
      </w:pPr>
    </w:p>
    <w:p>
      <w:pPr>
        <w:jc w:val="left"/>
        <w:rPr>
          <w:rFonts w:hint="eastAsia"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br w:type="page"/>
      </w: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    甲乙双方于 202</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     月     日签署了《……》（以下简称原合同），为加强双方阳光合作，保证职员职业安全，甲乙双方经协商签订本协议并作为双方共同遵守的阳光合作行为准则。</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甲方责任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乙方责任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举报受理部门：东莞实业投资控股集团有限公司纪检监察部</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东实集团举报邮箱：dgsyjjjc@163.com</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东实集团举报电话：0769-28822331（周一至周五9:00-12:00和14:00-18:00）</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邮寄地址：东莞市东城区八一路1号机关二号大院9号楼204室，东莞实业投资控股集团有限公司纪检监察部收，邮编523000。</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其他</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法定代表人（授权代表）：</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172" w:name="设计变更通知单"/>
      <w:bookmarkEnd w:id="172"/>
      <w:bookmarkStart w:id="173" w:name="现场签证通知单"/>
      <w:bookmarkEnd w:id="173"/>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签约日期：   年   月   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keepNext/>
        <w:keepLines/>
        <w:pageBreakBefore/>
        <w:spacing w:line="360" w:lineRule="auto"/>
        <w:jc w:val="center"/>
        <w:rPr>
          <w:rFonts w:hAnsi="宋体"/>
          <w:b/>
          <w:bCs/>
          <w:color w:val="auto"/>
          <w:kern w:val="44"/>
          <w:sz w:val="28"/>
          <w:szCs w:val="28"/>
          <w:highlight w:val="none"/>
          <w:lang w:val="zh-CN"/>
        </w:rPr>
      </w:pPr>
      <w:bookmarkStart w:id="174" w:name="_Toc8470"/>
      <w:bookmarkStart w:id="175" w:name="_Toc396137242"/>
      <w:r>
        <w:rPr>
          <w:rFonts w:hint="eastAsia" w:hAnsi="宋体"/>
          <w:b/>
          <w:bCs/>
          <w:color w:val="auto"/>
          <w:kern w:val="44"/>
          <w:sz w:val="28"/>
          <w:szCs w:val="28"/>
          <w:highlight w:val="none"/>
          <w:lang w:val="zh-CN"/>
        </w:rPr>
        <w:t>第六篇磋商响应文件格式</w:t>
      </w:r>
      <w:bookmarkEnd w:id="174"/>
      <w:bookmarkEnd w:id="175"/>
    </w:p>
    <w:p>
      <w:pPr>
        <w:ind w:firstLine="1800" w:firstLineChars="750"/>
        <w:rPr>
          <w:rFonts w:hAnsi="宋体"/>
          <w:color w:val="auto"/>
          <w:highlight w:val="none"/>
        </w:rPr>
      </w:pPr>
    </w:p>
    <w:p>
      <w:pPr>
        <w:pStyle w:val="5"/>
        <w:jc w:val="center"/>
        <w:rPr>
          <w:color w:val="auto"/>
          <w:sz w:val="28"/>
          <w:szCs w:val="28"/>
          <w:highlight w:val="none"/>
        </w:rPr>
      </w:pPr>
      <w:bookmarkStart w:id="176" w:name="_Toc19311"/>
      <w:bookmarkStart w:id="177" w:name="_Toc9566"/>
      <w:r>
        <w:rPr>
          <w:rFonts w:hint="eastAsia"/>
          <w:color w:val="auto"/>
          <w:sz w:val="28"/>
          <w:szCs w:val="28"/>
          <w:highlight w:val="none"/>
        </w:rPr>
        <w:t>第一部分 价格文件（单独编制装订成册）</w:t>
      </w:r>
      <w:bookmarkEnd w:id="176"/>
      <w:bookmarkEnd w:id="177"/>
    </w:p>
    <w:p>
      <w:pPr>
        <w:ind w:firstLine="1800" w:firstLineChars="750"/>
        <w:rPr>
          <w:rFonts w:hAnsi="宋体"/>
          <w:color w:val="auto"/>
          <w:highlight w:val="none"/>
        </w:rPr>
      </w:pPr>
    </w:p>
    <w:p>
      <w:pPr>
        <w:pStyle w:val="5"/>
        <w:numPr>
          <w:ilvl w:val="0"/>
          <w:numId w:val="17"/>
        </w:numPr>
        <w:jc w:val="center"/>
        <w:rPr>
          <w:color w:val="auto"/>
          <w:sz w:val="28"/>
          <w:szCs w:val="28"/>
          <w:highlight w:val="none"/>
        </w:rPr>
      </w:pPr>
      <w:bookmarkStart w:id="178" w:name="_Toc7897888"/>
      <w:bookmarkStart w:id="179" w:name="_Toc20730"/>
      <w:bookmarkStart w:id="180" w:name="_Toc12373"/>
      <w:bookmarkStart w:id="181" w:name="_Toc458262639"/>
      <w:bookmarkStart w:id="182" w:name="_Toc467236769"/>
      <w:bookmarkStart w:id="183" w:name="_Toc476976201"/>
      <w:bookmarkStart w:id="184" w:name="_Toc486671573"/>
      <w:bookmarkStart w:id="185" w:name="_Toc454701406"/>
      <w:bookmarkStart w:id="186" w:name="_Toc30637"/>
      <w:bookmarkStart w:id="187" w:name="_Toc32736"/>
      <w:bookmarkStart w:id="188" w:name="_Toc19671"/>
      <w:bookmarkStart w:id="189" w:name="_Toc12383"/>
      <w:bookmarkStart w:id="190" w:name="_Toc18848"/>
      <w:bookmarkStart w:id="191" w:name="_Toc28095"/>
      <w:bookmarkStart w:id="192" w:name="_Toc2544"/>
      <w:bookmarkStart w:id="193" w:name="_Toc15960"/>
      <w:bookmarkStart w:id="194" w:name="_Toc29841"/>
      <w:bookmarkStart w:id="195" w:name="_Toc32405"/>
      <w:bookmarkStart w:id="196" w:name="_Toc9348"/>
      <w:bookmarkStart w:id="197" w:name="_Toc396137244"/>
      <w:bookmarkStart w:id="198" w:name="_Toc32273"/>
      <w:r>
        <w:rPr>
          <w:rFonts w:hint="eastAsia"/>
          <w:color w:val="auto"/>
          <w:sz w:val="28"/>
          <w:szCs w:val="28"/>
          <w:highlight w:val="none"/>
        </w:rPr>
        <w:t>报价一览表</w:t>
      </w:r>
      <w:bookmarkEnd w:id="178"/>
      <w:bookmarkEnd w:id="179"/>
      <w:bookmarkEnd w:id="180"/>
    </w:p>
    <w:p>
      <w:pPr>
        <w:pStyle w:val="7"/>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54" w:hRule="atLeast"/>
          <w:jc w:val="center"/>
        </w:trPr>
        <w:tc>
          <w:tcPr>
            <w:tcW w:w="1134"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457"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TTWY-22018</w:t>
            </w:r>
          </w:p>
        </w:tc>
        <w:tc>
          <w:tcPr>
            <w:tcW w:w="2457"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松山湖大学创新城--创投大厦A塔、B塔室外灯光采购项目</w:t>
            </w:r>
          </w:p>
        </w:tc>
        <w:tc>
          <w:tcPr>
            <w:tcW w:w="3883" w:type="dxa"/>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line="460" w:lineRule="exact"/>
              <w:jc w:val="center"/>
              <w:rPr>
                <w:rFonts w:hAnsi="宋体"/>
                <w:color w:val="auto"/>
                <w:sz w:val="21"/>
                <w:szCs w:val="21"/>
                <w:highlight w:val="none"/>
              </w:rPr>
            </w:pPr>
          </w:p>
        </w:tc>
        <w:tc>
          <w:tcPr>
            <w:tcW w:w="2457" w:type="dxa"/>
            <w:vMerge w:val="continue"/>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7"/>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81"/>
      <w:bookmarkEnd w:id="182"/>
      <w:bookmarkEnd w:id="183"/>
      <w:bookmarkEnd w:id="184"/>
      <w:bookmarkEnd w:id="185"/>
      <w:r>
        <w:rPr>
          <w:rFonts w:hint="eastAsia"/>
          <w:color w:val="auto"/>
          <w:sz w:val="21"/>
          <w:szCs w:val="21"/>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186"/>
    <w:bookmarkEnd w:id="187"/>
    <w:bookmarkEnd w:id="188"/>
    <w:bookmarkEnd w:id="189"/>
    <w:bookmarkEnd w:id="190"/>
    <w:bookmarkEnd w:id="191"/>
    <w:bookmarkEnd w:id="192"/>
    <w:bookmarkEnd w:id="193"/>
    <w:bookmarkEnd w:id="194"/>
    <w:bookmarkEnd w:id="195"/>
    <w:bookmarkEnd w:id="196"/>
    <w:bookmarkEnd w:id="197"/>
    <w:bookmarkEnd w:id="198"/>
    <w:p>
      <w:pPr>
        <w:pStyle w:val="5"/>
        <w:pageBreakBefore/>
        <w:spacing w:line="360" w:lineRule="auto"/>
        <w:jc w:val="center"/>
        <w:rPr>
          <w:bCs/>
          <w:color w:val="auto"/>
          <w:sz w:val="28"/>
          <w:szCs w:val="28"/>
          <w:highlight w:val="none"/>
        </w:rPr>
      </w:pPr>
      <w:bookmarkStart w:id="199" w:name="_Toc18450"/>
      <w:bookmarkStart w:id="200" w:name="_Toc12158"/>
      <w:bookmarkStart w:id="201" w:name="_Toc476976200"/>
      <w:bookmarkStart w:id="202" w:name="_Toc454701405"/>
      <w:bookmarkStart w:id="203" w:name="_Toc27849"/>
      <w:bookmarkStart w:id="204" w:name="_Toc7897890"/>
      <w:bookmarkStart w:id="205" w:name="_Toc486671572"/>
      <w:bookmarkStart w:id="206" w:name="_Toc467236768"/>
      <w:bookmarkStart w:id="207" w:name="_Toc458262638"/>
      <w:bookmarkStart w:id="208" w:name="_Toc110953866"/>
      <w:bookmarkStart w:id="209" w:name="_Toc467987856"/>
      <w:bookmarkStart w:id="210" w:name="_Toc480020289"/>
      <w:bookmarkStart w:id="211" w:name="_Toc480021085"/>
      <w:bookmarkStart w:id="212" w:name="_Toc468606064"/>
      <w:bookmarkStart w:id="213" w:name="_Toc480010742"/>
      <w:bookmarkStart w:id="214" w:name="_Toc479991616"/>
      <w:bookmarkStart w:id="215" w:name="_Toc468157569"/>
      <w:r>
        <w:rPr>
          <w:rFonts w:hint="eastAsia"/>
          <w:bCs/>
          <w:color w:val="auto"/>
          <w:sz w:val="28"/>
          <w:szCs w:val="28"/>
          <w:highlight w:val="none"/>
        </w:rPr>
        <w:t>第二部分  商务文件</w:t>
      </w:r>
      <w:bookmarkEnd w:id="199"/>
      <w:bookmarkEnd w:id="200"/>
      <w:bookmarkStart w:id="216" w:name="_Hlt10519799"/>
      <w:bookmarkEnd w:id="216"/>
      <w:bookmarkStart w:id="217" w:name="_Hlt10456397"/>
      <w:bookmarkEnd w:id="217"/>
    </w:p>
    <w:p>
      <w:pPr>
        <w:rPr>
          <w:color w:val="auto"/>
          <w:highlight w:val="none"/>
        </w:rPr>
      </w:pPr>
    </w:p>
    <w:p>
      <w:pPr>
        <w:pStyle w:val="5"/>
        <w:numPr>
          <w:ilvl w:val="0"/>
          <w:numId w:val="18"/>
        </w:numPr>
        <w:jc w:val="center"/>
        <w:rPr>
          <w:b w:val="0"/>
          <w:color w:val="auto"/>
          <w:sz w:val="28"/>
          <w:szCs w:val="28"/>
          <w:highlight w:val="none"/>
        </w:rPr>
      </w:pPr>
      <w:bookmarkStart w:id="218" w:name="_Toc18728"/>
      <w:r>
        <w:rPr>
          <w:rFonts w:hint="eastAsia"/>
          <w:color w:val="auto"/>
          <w:sz w:val="28"/>
          <w:szCs w:val="28"/>
          <w:highlight w:val="none"/>
        </w:rPr>
        <w:t>响应书</w:t>
      </w:r>
      <w:bookmarkEnd w:id="201"/>
      <w:bookmarkEnd w:id="202"/>
      <w:bookmarkEnd w:id="203"/>
      <w:bookmarkEnd w:id="204"/>
      <w:bookmarkEnd w:id="205"/>
      <w:bookmarkEnd w:id="206"/>
      <w:bookmarkEnd w:id="207"/>
      <w:bookmarkEnd w:id="218"/>
    </w:p>
    <w:p>
      <w:pPr>
        <w:pStyle w:val="30"/>
        <w:autoSpaceDE/>
        <w:autoSpaceDN/>
        <w:adjustRightInd/>
        <w:spacing w:line="480" w:lineRule="exact"/>
        <w:ind w:left="6000"/>
        <w:rPr>
          <w:rFonts w:hAnsi="宋体"/>
          <w:color w:val="auto"/>
          <w:sz w:val="24"/>
          <w:highlight w:val="none"/>
        </w:rPr>
      </w:pPr>
    </w:p>
    <w:p>
      <w:pPr>
        <w:pStyle w:val="30"/>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5"/>
        <w:numPr>
          <w:ilvl w:val="0"/>
          <w:numId w:val="18"/>
        </w:numPr>
        <w:jc w:val="center"/>
        <w:rPr>
          <w:bCs/>
          <w:color w:val="auto"/>
          <w:sz w:val="28"/>
          <w:szCs w:val="28"/>
          <w:highlight w:val="none"/>
        </w:rPr>
      </w:pPr>
      <w:r>
        <w:rPr>
          <w:color w:val="auto"/>
          <w:sz w:val="22"/>
          <w:szCs w:val="22"/>
          <w:highlight w:val="none"/>
        </w:rPr>
        <w:br w:type="page"/>
      </w:r>
      <w:bookmarkStart w:id="219" w:name="_Toc31943"/>
      <w:bookmarkStart w:id="220" w:name="_Toc10808"/>
      <w:bookmarkStart w:id="221" w:name="_Toc7897891"/>
      <w:r>
        <w:rPr>
          <w:rFonts w:hint="eastAsia"/>
          <w:bCs/>
          <w:color w:val="auto"/>
          <w:sz w:val="28"/>
          <w:szCs w:val="28"/>
          <w:highlight w:val="none"/>
        </w:rPr>
        <w:t>法定代表人证明书</w:t>
      </w:r>
      <w:bookmarkEnd w:id="219"/>
      <w:bookmarkEnd w:id="220"/>
      <w:bookmarkEnd w:id="221"/>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5"/>
        <w:numPr>
          <w:ilvl w:val="0"/>
          <w:numId w:val="18"/>
        </w:numPr>
        <w:jc w:val="center"/>
        <w:rPr>
          <w:bCs/>
          <w:color w:val="auto"/>
          <w:sz w:val="28"/>
          <w:szCs w:val="28"/>
          <w:highlight w:val="none"/>
        </w:rPr>
      </w:pPr>
      <w:r>
        <w:rPr>
          <w:rFonts w:hint="eastAsia"/>
          <w:bCs/>
          <w:color w:val="auto"/>
          <w:sz w:val="28"/>
          <w:szCs w:val="28"/>
          <w:highlight w:val="none"/>
        </w:rPr>
        <w:br w:type="page"/>
      </w:r>
      <w:bookmarkStart w:id="222" w:name="_Toc28882"/>
      <w:bookmarkStart w:id="223" w:name="_Toc19634"/>
      <w:bookmarkStart w:id="224" w:name="_Toc7897892"/>
      <w:r>
        <w:rPr>
          <w:rFonts w:hint="eastAsia"/>
          <w:bCs/>
          <w:color w:val="auto"/>
          <w:sz w:val="28"/>
          <w:szCs w:val="28"/>
          <w:highlight w:val="none"/>
        </w:rPr>
        <w:t>授权委托书（加法人证明书）</w:t>
      </w:r>
      <w:bookmarkEnd w:id="222"/>
      <w:bookmarkEnd w:id="223"/>
      <w:bookmarkEnd w:id="224"/>
    </w:p>
    <w:p>
      <w:pPr>
        <w:pStyle w:val="7"/>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7"/>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25" w:name="_Toc7897893"/>
      <w:bookmarkStart w:id="226" w:name="_Toc4592"/>
    </w:p>
    <w:p>
      <w:pPr>
        <w:pStyle w:val="7"/>
        <w:ind w:firstLine="0" w:firstLineChars="0"/>
        <w:rPr>
          <w:color w:val="auto"/>
          <w:highlight w:val="none"/>
        </w:rPr>
      </w:pPr>
    </w:p>
    <w:p>
      <w:pPr>
        <w:pStyle w:val="7"/>
        <w:ind w:firstLine="0" w:firstLineChars="0"/>
        <w:rPr>
          <w:color w:val="auto"/>
          <w:highlight w:val="none"/>
        </w:rPr>
      </w:pPr>
    </w:p>
    <w:p>
      <w:pPr>
        <w:pStyle w:val="7"/>
        <w:ind w:firstLine="0" w:firstLineChars="0"/>
        <w:rPr>
          <w:color w:val="auto"/>
          <w:highlight w:val="none"/>
        </w:rPr>
      </w:pPr>
    </w:p>
    <w:p>
      <w:pPr>
        <w:pStyle w:val="5"/>
        <w:numPr>
          <w:ilvl w:val="0"/>
          <w:numId w:val="18"/>
        </w:numPr>
        <w:jc w:val="center"/>
        <w:rPr>
          <w:color w:val="auto"/>
          <w:sz w:val="28"/>
          <w:szCs w:val="28"/>
          <w:highlight w:val="none"/>
        </w:rPr>
      </w:pPr>
      <w:bookmarkStart w:id="227" w:name="_Toc17363"/>
      <w:r>
        <w:rPr>
          <w:rFonts w:hint="eastAsia"/>
          <w:color w:val="auto"/>
          <w:sz w:val="28"/>
          <w:szCs w:val="28"/>
          <w:highlight w:val="none"/>
        </w:rPr>
        <w:t>供应商基本情况说明</w:t>
      </w:r>
      <w:bookmarkEnd w:id="225"/>
      <w:bookmarkEnd w:id="226"/>
      <w:bookmarkEnd w:id="227"/>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5"/>
        <w:numPr>
          <w:ilvl w:val="0"/>
          <w:numId w:val="18"/>
        </w:numPr>
        <w:jc w:val="center"/>
        <w:rPr>
          <w:b w:val="0"/>
          <w:color w:val="auto"/>
          <w:sz w:val="28"/>
          <w:szCs w:val="28"/>
          <w:highlight w:val="none"/>
          <w:u w:val="single"/>
        </w:rPr>
      </w:pPr>
      <w:r>
        <w:rPr>
          <w:color w:val="auto"/>
          <w:sz w:val="22"/>
          <w:szCs w:val="22"/>
          <w:highlight w:val="none"/>
        </w:rPr>
        <w:br w:type="page"/>
      </w:r>
      <w:bookmarkStart w:id="228" w:name="_Toc27094"/>
      <w:bookmarkStart w:id="229" w:name="_Toc7897894"/>
      <w:bookmarkStart w:id="230" w:name="_Toc17704"/>
      <w:r>
        <w:rPr>
          <w:rFonts w:hint="eastAsia"/>
          <w:bCs/>
          <w:color w:val="auto"/>
          <w:sz w:val="28"/>
          <w:szCs w:val="28"/>
          <w:highlight w:val="none"/>
        </w:rPr>
        <w:t>偏离表</w:t>
      </w:r>
      <w:bookmarkEnd w:id="208"/>
      <w:bookmarkEnd w:id="228"/>
      <w:bookmarkEnd w:id="229"/>
      <w:bookmarkEnd w:id="230"/>
    </w:p>
    <w:p>
      <w:pPr>
        <w:pStyle w:val="7"/>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
        <w:numPr>
          <w:ilvl w:val="0"/>
          <w:numId w:val="18"/>
        </w:numPr>
        <w:jc w:val="center"/>
        <w:rPr>
          <w:rFonts w:ascii="Calibri" w:hAnsi="Times New Roman"/>
          <w:color w:val="auto"/>
          <w:sz w:val="28"/>
          <w:szCs w:val="28"/>
          <w:highlight w:val="none"/>
        </w:rPr>
      </w:pPr>
      <w:bookmarkStart w:id="231" w:name="_Toc8299"/>
      <w:bookmarkStart w:id="232" w:name="_Toc31965"/>
      <w:bookmarkStart w:id="233"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31"/>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7"/>
        <w:ind w:firstLine="400"/>
        <w:rPr>
          <w:color w:val="auto"/>
          <w:highlight w:val="none"/>
        </w:rPr>
      </w:pPr>
    </w:p>
    <w:p>
      <w:pPr>
        <w:pStyle w:val="5"/>
        <w:numPr>
          <w:ilvl w:val="0"/>
          <w:numId w:val="18"/>
        </w:numPr>
        <w:jc w:val="center"/>
        <w:rPr>
          <w:color w:val="auto"/>
          <w:sz w:val="28"/>
          <w:szCs w:val="28"/>
          <w:highlight w:val="none"/>
        </w:rPr>
      </w:pPr>
      <w:bookmarkStart w:id="234" w:name="_Toc12735"/>
      <w:r>
        <w:rPr>
          <w:rFonts w:hint="eastAsia"/>
          <w:bCs/>
          <w:color w:val="auto"/>
          <w:sz w:val="28"/>
          <w:szCs w:val="28"/>
          <w:highlight w:val="none"/>
        </w:rPr>
        <w:t>供应商所获资质或奖项证书一览表</w:t>
      </w:r>
      <w:bookmarkEnd w:id="232"/>
      <w:bookmarkEnd w:id="233"/>
      <w:bookmarkEnd w:id="234"/>
    </w:p>
    <w:p>
      <w:pPr>
        <w:pStyle w:val="7"/>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7"/>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2218" w:type="dxa"/>
            <w:vAlign w:val="center"/>
          </w:tcPr>
          <w:p>
            <w:pPr>
              <w:pStyle w:val="7"/>
              <w:ind w:firstLine="422"/>
              <w:jc w:val="center"/>
              <w:rPr>
                <w:rFonts w:ascii="Times New Roman" w:hAnsi="宋体"/>
                <w:b/>
                <w:bCs/>
                <w:color w:val="auto"/>
                <w:sz w:val="21"/>
                <w:szCs w:val="21"/>
                <w:highlight w:val="none"/>
              </w:rPr>
            </w:pPr>
          </w:p>
        </w:tc>
        <w:tc>
          <w:tcPr>
            <w:tcW w:w="1862" w:type="dxa"/>
            <w:vAlign w:val="center"/>
          </w:tcPr>
          <w:p>
            <w:pPr>
              <w:pStyle w:val="7"/>
              <w:ind w:firstLine="422"/>
              <w:jc w:val="center"/>
              <w:rPr>
                <w:rFonts w:ascii="Times New Roman" w:hAnsi="宋体"/>
                <w:b/>
                <w:bCs/>
                <w:color w:val="auto"/>
                <w:sz w:val="21"/>
                <w:szCs w:val="21"/>
                <w:highlight w:val="none"/>
              </w:rPr>
            </w:pPr>
          </w:p>
        </w:tc>
        <w:tc>
          <w:tcPr>
            <w:tcW w:w="1529" w:type="dxa"/>
            <w:vAlign w:val="center"/>
          </w:tcPr>
          <w:p>
            <w:pPr>
              <w:pStyle w:val="7"/>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5"/>
        <w:numPr>
          <w:ilvl w:val="0"/>
          <w:numId w:val="18"/>
        </w:numPr>
        <w:jc w:val="center"/>
        <w:rPr>
          <w:color w:val="auto"/>
          <w:sz w:val="28"/>
          <w:szCs w:val="28"/>
          <w:highlight w:val="none"/>
        </w:rPr>
      </w:pPr>
      <w:r>
        <w:rPr>
          <w:color w:val="auto"/>
          <w:highlight w:val="none"/>
        </w:rPr>
        <w:br w:type="page"/>
      </w:r>
      <w:bookmarkStart w:id="235" w:name="_Toc7897896"/>
      <w:bookmarkStart w:id="236" w:name="_Toc4539"/>
      <w:bookmarkStart w:id="237" w:name="_Toc4884"/>
      <w:r>
        <w:rPr>
          <w:rFonts w:hint="eastAsia"/>
          <w:bCs/>
          <w:color w:val="auto"/>
          <w:sz w:val="28"/>
          <w:szCs w:val="28"/>
          <w:highlight w:val="none"/>
        </w:rPr>
        <w:t>项目业绩一览表</w:t>
      </w:r>
      <w:bookmarkEnd w:id="235"/>
      <w:bookmarkEnd w:id="236"/>
      <w:bookmarkEnd w:id="237"/>
    </w:p>
    <w:p>
      <w:pPr>
        <w:pStyle w:val="28"/>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8"/>
        <w:spacing w:line="480" w:lineRule="exact"/>
        <w:rPr>
          <w:rFonts w:hAnsi="宋体"/>
          <w:color w:val="auto"/>
          <w:sz w:val="22"/>
          <w:szCs w:val="22"/>
          <w:highlight w:val="none"/>
        </w:rPr>
      </w:pPr>
    </w:p>
    <w:p>
      <w:pPr>
        <w:pStyle w:val="28"/>
        <w:spacing w:line="480" w:lineRule="exact"/>
        <w:rPr>
          <w:rFonts w:hAnsi="宋体"/>
          <w:color w:val="auto"/>
          <w:sz w:val="22"/>
          <w:szCs w:val="22"/>
          <w:highlight w:val="none"/>
        </w:rPr>
      </w:pPr>
      <w:r>
        <w:rPr>
          <w:rFonts w:hint="eastAsia" w:hAnsi="宋体"/>
          <w:color w:val="auto"/>
          <w:sz w:val="22"/>
          <w:szCs w:val="22"/>
          <w:highlight w:val="none"/>
        </w:rPr>
        <w:t>要求：</w:t>
      </w:r>
    </w:p>
    <w:p>
      <w:pPr>
        <w:pStyle w:val="28"/>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5"/>
        <w:numPr>
          <w:ilvl w:val="0"/>
          <w:numId w:val="18"/>
        </w:numPr>
        <w:jc w:val="center"/>
        <w:rPr>
          <w:b w:val="0"/>
          <w:bCs/>
          <w:color w:val="auto"/>
          <w:sz w:val="28"/>
          <w:highlight w:val="none"/>
        </w:rPr>
      </w:pPr>
      <w:r>
        <w:rPr>
          <w:color w:val="auto"/>
          <w:sz w:val="22"/>
          <w:szCs w:val="22"/>
          <w:highlight w:val="none"/>
        </w:rPr>
        <w:br w:type="page"/>
      </w:r>
      <w:bookmarkStart w:id="238" w:name="_Toc17432"/>
      <w:bookmarkStart w:id="239" w:name="_Toc7897897"/>
      <w:bookmarkStart w:id="240" w:name="_Toc23633"/>
      <w:r>
        <w:rPr>
          <w:rFonts w:hint="eastAsia"/>
          <w:bCs/>
          <w:color w:val="auto"/>
          <w:sz w:val="28"/>
          <w:highlight w:val="none"/>
        </w:rPr>
        <w:t>在经营活动中没有重大违法记录的书面声明</w:t>
      </w:r>
      <w:bookmarkEnd w:id="238"/>
      <w:bookmarkEnd w:id="239"/>
      <w:bookmarkEnd w:id="240"/>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09"/>
    <w:bookmarkEnd w:id="210"/>
    <w:bookmarkEnd w:id="211"/>
    <w:bookmarkEnd w:id="212"/>
    <w:bookmarkEnd w:id="213"/>
    <w:bookmarkEnd w:id="214"/>
    <w:bookmarkEnd w:id="215"/>
    <w:p>
      <w:pPr>
        <w:pStyle w:val="5"/>
        <w:numPr>
          <w:ilvl w:val="0"/>
          <w:numId w:val="18"/>
        </w:numPr>
        <w:jc w:val="center"/>
        <w:rPr>
          <w:b w:val="0"/>
          <w:color w:val="auto"/>
          <w:sz w:val="28"/>
          <w:szCs w:val="28"/>
          <w:highlight w:val="none"/>
        </w:rPr>
      </w:pPr>
      <w:bookmarkStart w:id="241" w:name="_Toc110953865"/>
      <w:bookmarkStart w:id="242" w:name="_Toc467987857"/>
      <w:bookmarkStart w:id="243" w:name="_Toc35233726"/>
      <w:bookmarkStart w:id="244" w:name="_Toc468606065"/>
      <w:bookmarkStart w:id="245" w:name="_Toc454701411"/>
      <w:bookmarkStart w:id="246" w:name="_Toc458262644"/>
      <w:bookmarkStart w:id="247" w:name="_Toc479991617"/>
      <w:bookmarkStart w:id="248" w:name="_Toc480021086"/>
      <w:bookmarkStart w:id="249" w:name="_Toc480010743"/>
      <w:bookmarkStart w:id="250" w:name="_Toc467236774"/>
      <w:bookmarkStart w:id="251" w:name="_Toc480171915"/>
      <w:bookmarkStart w:id="252" w:name="_Toc480020290"/>
      <w:bookmarkStart w:id="253" w:name="_Toc468157570"/>
      <w:r>
        <w:rPr>
          <w:color w:val="auto"/>
          <w:sz w:val="22"/>
          <w:szCs w:val="22"/>
          <w:highlight w:val="none"/>
        </w:rPr>
        <w:br w:type="page"/>
      </w:r>
      <w:bookmarkEnd w:id="241"/>
      <w:bookmarkStart w:id="254" w:name="_Toc7897900"/>
      <w:bookmarkStart w:id="255" w:name="_Toc2461"/>
      <w:bookmarkStart w:id="256" w:name="_Toc8181"/>
      <w:r>
        <w:rPr>
          <w:rFonts w:hint="eastAsia"/>
          <w:color w:val="auto"/>
          <w:sz w:val="28"/>
          <w:szCs w:val="28"/>
          <w:highlight w:val="none"/>
        </w:rPr>
        <w:t>针对本项目拟派人员及其技术资格一览表</w:t>
      </w:r>
      <w:bookmarkEnd w:id="254"/>
      <w:bookmarkEnd w:id="255"/>
      <w:bookmarkEnd w:id="256"/>
    </w:p>
    <w:p>
      <w:pPr>
        <w:pStyle w:val="28"/>
        <w:spacing w:line="480" w:lineRule="exact"/>
        <w:ind w:left="-202" w:leftChars="-84" w:firstLine="241" w:firstLineChars="100"/>
        <w:rPr>
          <w:rFonts w:hAnsi="宋体"/>
          <w:b/>
          <w:color w:val="auto"/>
          <w:sz w:val="24"/>
          <w:szCs w:val="21"/>
          <w:highlight w:val="none"/>
        </w:rPr>
      </w:pPr>
    </w:p>
    <w:p>
      <w:pPr>
        <w:pStyle w:val="28"/>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5"/>
        <w:numPr>
          <w:ilvl w:val="0"/>
          <w:numId w:val="18"/>
        </w:numPr>
        <w:jc w:val="center"/>
        <w:rPr>
          <w:bCs/>
          <w:color w:val="auto"/>
          <w:sz w:val="28"/>
          <w:szCs w:val="28"/>
          <w:highlight w:val="none"/>
        </w:rPr>
      </w:pPr>
      <w:r>
        <w:rPr>
          <w:bCs/>
          <w:color w:val="auto"/>
          <w:szCs w:val="21"/>
          <w:highlight w:val="none"/>
        </w:rPr>
        <w:br w:type="page"/>
      </w:r>
      <w:bookmarkEnd w:id="242"/>
      <w:bookmarkEnd w:id="243"/>
      <w:bookmarkEnd w:id="244"/>
      <w:bookmarkEnd w:id="245"/>
      <w:bookmarkEnd w:id="246"/>
      <w:bookmarkEnd w:id="247"/>
      <w:bookmarkEnd w:id="248"/>
      <w:bookmarkEnd w:id="249"/>
      <w:bookmarkEnd w:id="250"/>
      <w:bookmarkEnd w:id="251"/>
      <w:bookmarkEnd w:id="252"/>
      <w:bookmarkEnd w:id="253"/>
      <w:bookmarkStart w:id="257" w:name="_Toc13441"/>
      <w:r>
        <w:rPr>
          <w:rFonts w:hint="eastAsia"/>
          <w:bCs/>
          <w:color w:val="auto"/>
          <w:sz w:val="28"/>
          <w:szCs w:val="28"/>
          <w:highlight w:val="none"/>
        </w:rPr>
        <w:t>磋商保证金汇入情况说明（适用于转账、电汇方式）</w:t>
      </w:r>
      <w:bookmarkEnd w:id="257"/>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5"/>
        <w:pageBreakBefore/>
        <w:spacing w:line="360" w:lineRule="auto"/>
        <w:jc w:val="center"/>
        <w:rPr>
          <w:bCs/>
          <w:color w:val="auto"/>
          <w:sz w:val="28"/>
          <w:szCs w:val="28"/>
          <w:highlight w:val="none"/>
        </w:rPr>
      </w:pPr>
      <w:bookmarkStart w:id="258" w:name="_Toc20966"/>
      <w:bookmarkStart w:id="259" w:name="_Toc19888"/>
      <w:r>
        <w:rPr>
          <w:rFonts w:hint="eastAsia"/>
          <w:bCs/>
          <w:color w:val="auto"/>
          <w:sz w:val="28"/>
          <w:szCs w:val="28"/>
          <w:highlight w:val="none"/>
        </w:rPr>
        <w:t>第三部分 技术文件</w:t>
      </w:r>
      <w:bookmarkEnd w:id="258"/>
      <w:bookmarkEnd w:id="259"/>
    </w:p>
    <w:p>
      <w:pPr>
        <w:jc w:val="center"/>
        <w:rPr>
          <w:color w:val="auto"/>
          <w:highlight w:val="none"/>
        </w:rPr>
      </w:pPr>
    </w:p>
    <w:p>
      <w:pPr>
        <w:pStyle w:val="5"/>
        <w:numPr>
          <w:ilvl w:val="0"/>
          <w:numId w:val="19"/>
        </w:numPr>
        <w:jc w:val="center"/>
        <w:rPr>
          <w:color w:val="auto"/>
          <w:highlight w:val="none"/>
        </w:rPr>
      </w:pPr>
      <w:bookmarkStart w:id="260" w:name="_Toc15167"/>
      <w:bookmarkStart w:id="261" w:name="_Toc31683"/>
      <w:bookmarkStart w:id="262" w:name="_Toc24064"/>
      <w:bookmarkStart w:id="263" w:name="_Toc25949"/>
      <w:bookmarkStart w:id="264" w:name="_Toc28884"/>
      <w:bookmarkStart w:id="265" w:name="_Toc9540"/>
      <w:bookmarkStart w:id="266" w:name="_Toc1852"/>
      <w:bookmarkStart w:id="267" w:name="_Toc9579"/>
      <w:r>
        <w:rPr>
          <w:rFonts w:hint="eastAsia"/>
          <w:color w:val="auto"/>
          <w:highlight w:val="none"/>
        </w:rPr>
        <w:t>技术方案</w:t>
      </w:r>
      <w:bookmarkEnd w:id="260"/>
      <w:bookmarkEnd w:id="261"/>
      <w:bookmarkEnd w:id="262"/>
      <w:bookmarkEnd w:id="263"/>
      <w:bookmarkEnd w:id="264"/>
      <w:bookmarkEnd w:id="265"/>
      <w:bookmarkEnd w:id="266"/>
      <w:bookmarkEnd w:id="267"/>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numPr>
          <w:ilvl w:val="0"/>
          <w:numId w:val="19"/>
        </w:numPr>
        <w:jc w:val="center"/>
        <w:rPr>
          <w:color w:val="auto"/>
          <w:highlight w:val="none"/>
        </w:rPr>
      </w:pPr>
      <w:bookmarkStart w:id="268" w:name="_Toc11036"/>
      <w:bookmarkStart w:id="269" w:name="_Toc30049"/>
      <w:bookmarkStart w:id="270" w:name="_Toc28953"/>
      <w:bookmarkStart w:id="271" w:name="_Toc23849"/>
      <w:bookmarkStart w:id="272" w:name="_Toc24947"/>
      <w:bookmarkStart w:id="273" w:name="_Toc15530"/>
      <w:bookmarkStart w:id="274" w:name="_Toc9619"/>
      <w:bookmarkStart w:id="275" w:name="_Toc12278"/>
      <w:r>
        <w:rPr>
          <w:rFonts w:hint="eastAsia"/>
          <w:color w:val="auto"/>
          <w:highlight w:val="none"/>
        </w:rPr>
        <w:t>其他资料</w:t>
      </w:r>
      <w:bookmarkEnd w:id="268"/>
      <w:bookmarkEnd w:id="269"/>
      <w:bookmarkEnd w:id="270"/>
      <w:bookmarkEnd w:id="271"/>
      <w:bookmarkEnd w:id="272"/>
      <w:bookmarkEnd w:id="273"/>
      <w:bookmarkEnd w:id="274"/>
      <w:bookmarkEnd w:id="275"/>
    </w:p>
    <w:p>
      <w:pPr>
        <w:pStyle w:val="28"/>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7"/>
        <w:rPr>
          <w:rFonts w:hAnsi="宋体"/>
          <w:color w:val="auto"/>
          <w:sz w:val="21"/>
          <w:szCs w:val="21"/>
          <w:highlight w:val="none"/>
        </w:rPr>
      </w:pPr>
    </w:p>
    <w:p>
      <w:pPr>
        <w:pStyle w:val="5"/>
        <w:jc w:val="center"/>
        <w:rPr>
          <w:color w:val="auto"/>
          <w:sz w:val="28"/>
          <w:szCs w:val="28"/>
          <w:highlight w:val="none"/>
        </w:rPr>
      </w:pPr>
      <w:bookmarkStart w:id="276"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276"/>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1</w:t>
      </w:r>
      <w:r>
        <w:rPr>
          <w:rFonts w:hint="eastAsia" w:ascii="宋体" w:eastAsia="宋体"/>
          <w:color w:val="auto"/>
          <w:sz w:val="21"/>
          <w:szCs w:val="21"/>
          <w:highlight w:val="none"/>
        </w:rPr>
        <w:t>）磋商保证金汇入情况说明及银行汇款凭证（或担保函）复印件加盖公章；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2</w:t>
      </w:r>
      <w:r>
        <w:rPr>
          <w:rFonts w:hint="eastAsia" w:ascii="宋体" w:eastAsia="宋体"/>
          <w:color w:val="auto"/>
          <w:sz w:val="21"/>
          <w:szCs w:val="21"/>
          <w:highlight w:val="none"/>
        </w:rPr>
        <w:t>）法定代表人证明书加盖公章；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3</w:t>
      </w:r>
      <w:r>
        <w:rPr>
          <w:rFonts w:hint="eastAsia" w:ascii="宋体" w:eastAsia="宋体"/>
          <w:color w:val="auto"/>
          <w:sz w:val="21"/>
          <w:szCs w:val="21"/>
          <w:highlight w:val="none"/>
        </w:rPr>
        <w:t>）法定代表人授权委托书加盖公章（法定代表人磋商的除外）；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4</w:t>
      </w:r>
      <w:r>
        <w:rPr>
          <w:rFonts w:hint="eastAsia" w:ascii="宋体" w:eastAsia="宋体"/>
          <w:color w:val="auto"/>
          <w:sz w:val="21"/>
          <w:szCs w:val="21"/>
          <w:highlight w:val="none"/>
        </w:rPr>
        <w:t>）磋商文件电子文件（签字、盖章后的磋商文件PDF格式扫描版电子文件,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277"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7"/>
        <w:ind w:firstLine="400"/>
        <w:rPr>
          <w:color w:val="auto"/>
          <w:highlight w:val="none"/>
          <w:lang w:val="zh-CN"/>
        </w:rPr>
      </w:pPr>
    </w:p>
    <w:p>
      <w:pPr>
        <w:pStyle w:val="7"/>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277"/>
    <w:p>
      <w:pPr>
        <w:rPr>
          <w:color w:val="auto"/>
          <w:highlight w:val="none"/>
          <w:lang w:val="zh-CN"/>
        </w:rPr>
      </w:pPr>
    </w:p>
    <w:sectPr>
      <w:headerReference r:id="rId13" w:type="first"/>
      <w:footerReference r:id="rId16" w:type="first"/>
      <w:headerReference r:id="rId12" w:type="default"/>
      <w:footerReference r:id="rId14" w:type="default"/>
      <w:footerReference r:id="rId15"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5408;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7Vt9QAAAACAQAADwAAAAAAAAABACAAAAAiAAAA&#10;ZHJzL2Rvd25yZXYueG1sUEsBAhQAFAAAAAgAh07iQE2KlF7SAQAAogMAAA4AAAAAAAAAAQAgAAAA&#10;IwEAAGRycy9lMm9Eb2MueG1sUEsFBgAAAAAGAAYAWQEAAGc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M/8h6f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7" name="图片 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A57500B"/>
    <w:multiLevelType w:val="multilevel"/>
    <w:tmpl w:val="0A57500B"/>
    <w:lvl w:ilvl="0" w:tentative="0">
      <w:start w:val="1"/>
      <w:numFmt w:val="japaneseCounting"/>
      <w:lvlText w:val="%1、"/>
      <w:lvlJc w:val="left"/>
      <w:pPr>
        <w:ind w:left="11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5">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6">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7">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8">
    <w:nsid w:val="57289543"/>
    <w:multiLevelType w:val="singleLevel"/>
    <w:tmpl w:val="57289543"/>
    <w:lvl w:ilvl="0" w:tentative="0">
      <w:start w:val="7"/>
      <w:numFmt w:val="decimal"/>
      <w:suff w:val="nothing"/>
      <w:lvlText w:val="%1)"/>
      <w:lvlJc w:val="left"/>
    </w:lvl>
  </w:abstractNum>
  <w:num w:numId="1">
    <w:abstractNumId w:val="8"/>
  </w:num>
  <w:num w:numId="2">
    <w:abstractNumId w:val="15"/>
  </w:num>
  <w:num w:numId="3">
    <w:abstractNumId w:val="16"/>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67764"/>
    <w:rsid w:val="00270A95"/>
    <w:rsid w:val="002908F6"/>
    <w:rsid w:val="00291FAB"/>
    <w:rsid w:val="002C0888"/>
    <w:rsid w:val="002D14E4"/>
    <w:rsid w:val="002D687C"/>
    <w:rsid w:val="002E58AE"/>
    <w:rsid w:val="00354336"/>
    <w:rsid w:val="003613BD"/>
    <w:rsid w:val="00376337"/>
    <w:rsid w:val="003824C3"/>
    <w:rsid w:val="00391ED7"/>
    <w:rsid w:val="00393E42"/>
    <w:rsid w:val="003A2560"/>
    <w:rsid w:val="003C2F31"/>
    <w:rsid w:val="004207FB"/>
    <w:rsid w:val="0044257A"/>
    <w:rsid w:val="0045071E"/>
    <w:rsid w:val="0046288B"/>
    <w:rsid w:val="00465BC3"/>
    <w:rsid w:val="00473DA1"/>
    <w:rsid w:val="004D2652"/>
    <w:rsid w:val="005471BA"/>
    <w:rsid w:val="00553F3A"/>
    <w:rsid w:val="00555F92"/>
    <w:rsid w:val="00563F71"/>
    <w:rsid w:val="00585BAB"/>
    <w:rsid w:val="005A06DF"/>
    <w:rsid w:val="005B5C14"/>
    <w:rsid w:val="005F37C4"/>
    <w:rsid w:val="006023DD"/>
    <w:rsid w:val="006071A1"/>
    <w:rsid w:val="00636A66"/>
    <w:rsid w:val="00637720"/>
    <w:rsid w:val="006421D2"/>
    <w:rsid w:val="00643C95"/>
    <w:rsid w:val="006529BE"/>
    <w:rsid w:val="00661DDF"/>
    <w:rsid w:val="00675141"/>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D40C9"/>
    <w:rsid w:val="01016788"/>
    <w:rsid w:val="010B18A0"/>
    <w:rsid w:val="01101FD4"/>
    <w:rsid w:val="013511BC"/>
    <w:rsid w:val="01630778"/>
    <w:rsid w:val="01857C73"/>
    <w:rsid w:val="01A12C3F"/>
    <w:rsid w:val="01CD1195"/>
    <w:rsid w:val="01D142D7"/>
    <w:rsid w:val="021F4C81"/>
    <w:rsid w:val="02414B92"/>
    <w:rsid w:val="028366E4"/>
    <w:rsid w:val="02A56B80"/>
    <w:rsid w:val="02B5383F"/>
    <w:rsid w:val="02C560C8"/>
    <w:rsid w:val="02F741FF"/>
    <w:rsid w:val="03077BF2"/>
    <w:rsid w:val="03240B2D"/>
    <w:rsid w:val="03404A6C"/>
    <w:rsid w:val="035324D3"/>
    <w:rsid w:val="036719BE"/>
    <w:rsid w:val="038413BE"/>
    <w:rsid w:val="038C71B9"/>
    <w:rsid w:val="03C53166"/>
    <w:rsid w:val="0437435F"/>
    <w:rsid w:val="043948C2"/>
    <w:rsid w:val="0441683D"/>
    <w:rsid w:val="04897AAE"/>
    <w:rsid w:val="048D3C72"/>
    <w:rsid w:val="04946A57"/>
    <w:rsid w:val="049E01CA"/>
    <w:rsid w:val="04AA7A54"/>
    <w:rsid w:val="04DC1E95"/>
    <w:rsid w:val="05056F9C"/>
    <w:rsid w:val="053B507A"/>
    <w:rsid w:val="056B6415"/>
    <w:rsid w:val="056F7E9D"/>
    <w:rsid w:val="05A04252"/>
    <w:rsid w:val="05B531D5"/>
    <w:rsid w:val="05D70893"/>
    <w:rsid w:val="05D879EE"/>
    <w:rsid w:val="05EF3BF5"/>
    <w:rsid w:val="061B4DCC"/>
    <w:rsid w:val="0631131C"/>
    <w:rsid w:val="0684556E"/>
    <w:rsid w:val="07005EC6"/>
    <w:rsid w:val="07144968"/>
    <w:rsid w:val="071F2807"/>
    <w:rsid w:val="074D0B91"/>
    <w:rsid w:val="07667537"/>
    <w:rsid w:val="076F789A"/>
    <w:rsid w:val="0784472B"/>
    <w:rsid w:val="079B0031"/>
    <w:rsid w:val="079F5559"/>
    <w:rsid w:val="07B55B45"/>
    <w:rsid w:val="07E16810"/>
    <w:rsid w:val="08213B81"/>
    <w:rsid w:val="084C0B9D"/>
    <w:rsid w:val="0873640D"/>
    <w:rsid w:val="08783888"/>
    <w:rsid w:val="08AE00F7"/>
    <w:rsid w:val="08C30F20"/>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5F45C4"/>
    <w:rsid w:val="0C6352C9"/>
    <w:rsid w:val="0C694A19"/>
    <w:rsid w:val="0C6E22F8"/>
    <w:rsid w:val="0C752414"/>
    <w:rsid w:val="0C781DA4"/>
    <w:rsid w:val="0CA4014A"/>
    <w:rsid w:val="0CD86DE7"/>
    <w:rsid w:val="0CE51F42"/>
    <w:rsid w:val="0CF9441B"/>
    <w:rsid w:val="0CFE63A4"/>
    <w:rsid w:val="0D0807FC"/>
    <w:rsid w:val="0D33119A"/>
    <w:rsid w:val="0D4A2577"/>
    <w:rsid w:val="0D4D7EA2"/>
    <w:rsid w:val="0D596969"/>
    <w:rsid w:val="0D6D348A"/>
    <w:rsid w:val="0D9C0739"/>
    <w:rsid w:val="0DC77E1F"/>
    <w:rsid w:val="0DE500C7"/>
    <w:rsid w:val="0E30061A"/>
    <w:rsid w:val="0E693E94"/>
    <w:rsid w:val="0EAB15DF"/>
    <w:rsid w:val="0EBD4ECC"/>
    <w:rsid w:val="0EC12B61"/>
    <w:rsid w:val="0ECB16D0"/>
    <w:rsid w:val="0F0F3E67"/>
    <w:rsid w:val="0F36681E"/>
    <w:rsid w:val="0F554B61"/>
    <w:rsid w:val="0FA658B8"/>
    <w:rsid w:val="0FA725F9"/>
    <w:rsid w:val="0FB125A0"/>
    <w:rsid w:val="0FF75B36"/>
    <w:rsid w:val="1007384E"/>
    <w:rsid w:val="107962EB"/>
    <w:rsid w:val="107D7A08"/>
    <w:rsid w:val="10C4053D"/>
    <w:rsid w:val="10D064F7"/>
    <w:rsid w:val="10D24A7B"/>
    <w:rsid w:val="10D763F7"/>
    <w:rsid w:val="10DA580F"/>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554F68"/>
    <w:rsid w:val="165B5F0F"/>
    <w:rsid w:val="166320D6"/>
    <w:rsid w:val="166C4896"/>
    <w:rsid w:val="167B7AAC"/>
    <w:rsid w:val="169B4AF9"/>
    <w:rsid w:val="16DB0595"/>
    <w:rsid w:val="16DF2F08"/>
    <w:rsid w:val="16E051E8"/>
    <w:rsid w:val="16ED26EB"/>
    <w:rsid w:val="17066EDE"/>
    <w:rsid w:val="1713214D"/>
    <w:rsid w:val="17945C52"/>
    <w:rsid w:val="17970727"/>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3363D"/>
    <w:rsid w:val="1C4628F7"/>
    <w:rsid w:val="1C79295A"/>
    <w:rsid w:val="1CA03602"/>
    <w:rsid w:val="1CC16689"/>
    <w:rsid w:val="1CCC24BC"/>
    <w:rsid w:val="1CE512E6"/>
    <w:rsid w:val="1CEF2480"/>
    <w:rsid w:val="1D061139"/>
    <w:rsid w:val="1D870AB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F77DC5"/>
    <w:rsid w:val="1F383ACC"/>
    <w:rsid w:val="1F596305"/>
    <w:rsid w:val="1F8811C7"/>
    <w:rsid w:val="1F9062F5"/>
    <w:rsid w:val="1FEB5C6A"/>
    <w:rsid w:val="202209B9"/>
    <w:rsid w:val="20280066"/>
    <w:rsid w:val="202C0E96"/>
    <w:rsid w:val="20304AD2"/>
    <w:rsid w:val="203B6599"/>
    <w:rsid w:val="204F6722"/>
    <w:rsid w:val="20902778"/>
    <w:rsid w:val="20AF30C4"/>
    <w:rsid w:val="20C20F88"/>
    <w:rsid w:val="20FD5C7C"/>
    <w:rsid w:val="21096CBA"/>
    <w:rsid w:val="2115662C"/>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1D037F"/>
    <w:rsid w:val="2433149D"/>
    <w:rsid w:val="246270E4"/>
    <w:rsid w:val="24772C2B"/>
    <w:rsid w:val="248B2E3F"/>
    <w:rsid w:val="24DF22D5"/>
    <w:rsid w:val="25241FCD"/>
    <w:rsid w:val="257008BE"/>
    <w:rsid w:val="258A0443"/>
    <w:rsid w:val="25E86FC2"/>
    <w:rsid w:val="260C3AE7"/>
    <w:rsid w:val="261B35E2"/>
    <w:rsid w:val="261D7A35"/>
    <w:rsid w:val="263A612D"/>
    <w:rsid w:val="26483965"/>
    <w:rsid w:val="26684108"/>
    <w:rsid w:val="268B0B22"/>
    <w:rsid w:val="26BB607A"/>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38738D"/>
    <w:rsid w:val="286F250E"/>
    <w:rsid w:val="287D2504"/>
    <w:rsid w:val="2886147E"/>
    <w:rsid w:val="28A87389"/>
    <w:rsid w:val="28AB0694"/>
    <w:rsid w:val="28AE6A69"/>
    <w:rsid w:val="28B81772"/>
    <w:rsid w:val="291176CC"/>
    <w:rsid w:val="291C67BC"/>
    <w:rsid w:val="29503AAE"/>
    <w:rsid w:val="29573123"/>
    <w:rsid w:val="297F7A53"/>
    <w:rsid w:val="2992095F"/>
    <w:rsid w:val="29AC6651"/>
    <w:rsid w:val="29C4608A"/>
    <w:rsid w:val="29E769C8"/>
    <w:rsid w:val="29F21662"/>
    <w:rsid w:val="29F51AC1"/>
    <w:rsid w:val="29F51D07"/>
    <w:rsid w:val="29FC30C2"/>
    <w:rsid w:val="2A6D3E9B"/>
    <w:rsid w:val="2A783D0E"/>
    <w:rsid w:val="2A9C0461"/>
    <w:rsid w:val="2AD0515C"/>
    <w:rsid w:val="2AE8528D"/>
    <w:rsid w:val="2AF16E8B"/>
    <w:rsid w:val="2B0B7CEC"/>
    <w:rsid w:val="2B27452A"/>
    <w:rsid w:val="2B2D4BDC"/>
    <w:rsid w:val="2B4503EF"/>
    <w:rsid w:val="2B767712"/>
    <w:rsid w:val="2BBA7AC6"/>
    <w:rsid w:val="2BFC26B9"/>
    <w:rsid w:val="2C3C0A88"/>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D21188"/>
    <w:rsid w:val="2EE1137A"/>
    <w:rsid w:val="2EE6759F"/>
    <w:rsid w:val="2EEB0819"/>
    <w:rsid w:val="2F010E90"/>
    <w:rsid w:val="2F0C69E6"/>
    <w:rsid w:val="2F0D5CED"/>
    <w:rsid w:val="2F236129"/>
    <w:rsid w:val="2F2C56BA"/>
    <w:rsid w:val="2F2D0218"/>
    <w:rsid w:val="2F356A16"/>
    <w:rsid w:val="2F4614DA"/>
    <w:rsid w:val="2F636A54"/>
    <w:rsid w:val="2FA00DAE"/>
    <w:rsid w:val="30081603"/>
    <w:rsid w:val="30420830"/>
    <w:rsid w:val="309C224F"/>
    <w:rsid w:val="31190489"/>
    <w:rsid w:val="311C3987"/>
    <w:rsid w:val="31232963"/>
    <w:rsid w:val="315857B1"/>
    <w:rsid w:val="31AB6658"/>
    <w:rsid w:val="31BC3F1B"/>
    <w:rsid w:val="31C37B9C"/>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4007"/>
    <w:rsid w:val="33A60671"/>
    <w:rsid w:val="33AF4FB4"/>
    <w:rsid w:val="33CF2119"/>
    <w:rsid w:val="33DE4357"/>
    <w:rsid w:val="341D5AAB"/>
    <w:rsid w:val="342732F1"/>
    <w:rsid w:val="342B2E3E"/>
    <w:rsid w:val="3454463B"/>
    <w:rsid w:val="346B507B"/>
    <w:rsid w:val="347B293F"/>
    <w:rsid w:val="348C37FE"/>
    <w:rsid w:val="34AA4F73"/>
    <w:rsid w:val="34F52FDD"/>
    <w:rsid w:val="352B6C5A"/>
    <w:rsid w:val="35520294"/>
    <w:rsid w:val="357A04F1"/>
    <w:rsid w:val="357C1D84"/>
    <w:rsid w:val="35887A53"/>
    <w:rsid w:val="35B4397E"/>
    <w:rsid w:val="36034EE1"/>
    <w:rsid w:val="36237D2D"/>
    <w:rsid w:val="363503EB"/>
    <w:rsid w:val="3647637B"/>
    <w:rsid w:val="367F686D"/>
    <w:rsid w:val="36A14C50"/>
    <w:rsid w:val="36B412F5"/>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120308"/>
    <w:rsid w:val="3C42650A"/>
    <w:rsid w:val="3C762DF2"/>
    <w:rsid w:val="3C7D1D40"/>
    <w:rsid w:val="3C9B51F8"/>
    <w:rsid w:val="3CDD0DBD"/>
    <w:rsid w:val="3D101034"/>
    <w:rsid w:val="3D544EBB"/>
    <w:rsid w:val="3D9814F2"/>
    <w:rsid w:val="3DE32AFA"/>
    <w:rsid w:val="3E136ED4"/>
    <w:rsid w:val="3E2726B6"/>
    <w:rsid w:val="3E8A1A02"/>
    <w:rsid w:val="3E8E765E"/>
    <w:rsid w:val="3EA9393D"/>
    <w:rsid w:val="3EAD0498"/>
    <w:rsid w:val="3EC56D78"/>
    <w:rsid w:val="3EC7715A"/>
    <w:rsid w:val="3ED16A4F"/>
    <w:rsid w:val="3ED17EBE"/>
    <w:rsid w:val="3EDC543E"/>
    <w:rsid w:val="3EED5016"/>
    <w:rsid w:val="3EF52FF7"/>
    <w:rsid w:val="3EF75B65"/>
    <w:rsid w:val="3EFB570C"/>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4746DD"/>
    <w:rsid w:val="455367B2"/>
    <w:rsid w:val="45555732"/>
    <w:rsid w:val="455F10D7"/>
    <w:rsid w:val="456355DA"/>
    <w:rsid w:val="45741675"/>
    <w:rsid w:val="459C4648"/>
    <w:rsid w:val="45A02EDD"/>
    <w:rsid w:val="45E61BCA"/>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9A2ED2"/>
    <w:rsid w:val="47B328B4"/>
    <w:rsid w:val="47C13542"/>
    <w:rsid w:val="48113D01"/>
    <w:rsid w:val="484C7B11"/>
    <w:rsid w:val="485E0A04"/>
    <w:rsid w:val="48740F1D"/>
    <w:rsid w:val="48761BE3"/>
    <w:rsid w:val="489E0EB1"/>
    <w:rsid w:val="48A4548A"/>
    <w:rsid w:val="48A57E1F"/>
    <w:rsid w:val="48B50D92"/>
    <w:rsid w:val="48DE3BBF"/>
    <w:rsid w:val="48E77164"/>
    <w:rsid w:val="491D19DF"/>
    <w:rsid w:val="49304CB2"/>
    <w:rsid w:val="496F6EBE"/>
    <w:rsid w:val="49814F4C"/>
    <w:rsid w:val="49A364F7"/>
    <w:rsid w:val="49B42429"/>
    <w:rsid w:val="49C4569B"/>
    <w:rsid w:val="4A074043"/>
    <w:rsid w:val="4A090DC7"/>
    <w:rsid w:val="4A091441"/>
    <w:rsid w:val="4A14567E"/>
    <w:rsid w:val="4A1E6180"/>
    <w:rsid w:val="4A2308FE"/>
    <w:rsid w:val="4A287AB1"/>
    <w:rsid w:val="4A5133EE"/>
    <w:rsid w:val="4A915C19"/>
    <w:rsid w:val="4A955A49"/>
    <w:rsid w:val="4A9C5501"/>
    <w:rsid w:val="4AD80F53"/>
    <w:rsid w:val="4B2C75A6"/>
    <w:rsid w:val="4B2F25FD"/>
    <w:rsid w:val="4BB15678"/>
    <w:rsid w:val="4BB76960"/>
    <w:rsid w:val="4BD03593"/>
    <w:rsid w:val="4BD63363"/>
    <w:rsid w:val="4BD87666"/>
    <w:rsid w:val="4BE6691C"/>
    <w:rsid w:val="4BF467F9"/>
    <w:rsid w:val="4BF83E44"/>
    <w:rsid w:val="4C276C17"/>
    <w:rsid w:val="4C7C0669"/>
    <w:rsid w:val="4C850277"/>
    <w:rsid w:val="4C9904F2"/>
    <w:rsid w:val="4D2572CD"/>
    <w:rsid w:val="4D354FF0"/>
    <w:rsid w:val="4D4C32B8"/>
    <w:rsid w:val="4DBB048A"/>
    <w:rsid w:val="4DE07DE4"/>
    <w:rsid w:val="4E0D5D14"/>
    <w:rsid w:val="4E2F45C0"/>
    <w:rsid w:val="4E363F2F"/>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614DD7"/>
    <w:rsid w:val="506B628A"/>
    <w:rsid w:val="50787CFE"/>
    <w:rsid w:val="50AE1AE4"/>
    <w:rsid w:val="50FE2631"/>
    <w:rsid w:val="51151D83"/>
    <w:rsid w:val="51167E7F"/>
    <w:rsid w:val="51390032"/>
    <w:rsid w:val="515426DE"/>
    <w:rsid w:val="515C74D2"/>
    <w:rsid w:val="51652C0F"/>
    <w:rsid w:val="518D4538"/>
    <w:rsid w:val="51960DFD"/>
    <w:rsid w:val="51BB2BF3"/>
    <w:rsid w:val="51FD0367"/>
    <w:rsid w:val="52377D55"/>
    <w:rsid w:val="525F7483"/>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A2C4220"/>
    <w:rsid w:val="5A316507"/>
    <w:rsid w:val="5A497C34"/>
    <w:rsid w:val="5A4C0E52"/>
    <w:rsid w:val="5A7B33E5"/>
    <w:rsid w:val="5A8C664D"/>
    <w:rsid w:val="5ABD43B1"/>
    <w:rsid w:val="5AC20EBF"/>
    <w:rsid w:val="5ACD5B73"/>
    <w:rsid w:val="5ADF42CD"/>
    <w:rsid w:val="5B050809"/>
    <w:rsid w:val="5B366061"/>
    <w:rsid w:val="5B3846E5"/>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B2347"/>
    <w:rsid w:val="5CC6320E"/>
    <w:rsid w:val="5CC76C7C"/>
    <w:rsid w:val="5CF36024"/>
    <w:rsid w:val="5CFF01AA"/>
    <w:rsid w:val="5D1344DD"/>
    <w:rsid w:val="5D7B6EDD"/>
    <w:rsid w:val="5D806796"/>
    <w:rsid w:val="5D827D40"/>
    <w:rsid w:val="5DC43C07"/>
    <w:rsid w:val="5DCA3A55"/>
    <w:rsid w:val="5DCD3255"/>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652DB1"/>
    <w:rsid w:val="61970BE7"/>
    <w:rsid w:val="61A20E5D"/>
    <w:rsid w:val="61F17268"/>
    <w:rsid w:val="620A3859"/>
    <w:rsid w:val="62204E0F"/>
    <w:rsid w:val="62207D5C"/>
    <w:rsid w:val="624063A3"/>
    <w:rsid w:val="62533606"/>
    <w:rsid w:val="62845968"/>
    <w:rsid w:val="62A86B6F"/>
    <w:rsid w:val="62B35B81"/>
    <w:rsid w:val="62B75EDD"/>
    <w:rsid w:val="62C01D55"/>
    <w:rsid w:val="62C92F2D"/>
    <w:rsid w:val="62D93169"/>
    <w:rsid w:val="631D5B18"/>
    <w:rsid w:val="631E201F"/>
    <w:rsid w:val="63320961"/>
    <w:rsid w:val="634E6C76"/>
    <w:rsid w:val="63577D60"/>
    <w:rsid w:val="636514C6"/>
    <w:rsid w:val="636F701B"/>
    <w:rsid w:val="6382662F"/>
    <w:rsid w:val="63C95202"/>
    <w:rsid w:val="63CB4107"/>
    <w:rsid w:val="63DB551D"/>
    <w:rsid w:val="64090834"/>
    <w:rsid w:val="64116EAE"/>
    <w:rsid w:val="64272A3B"/>
    <w:rsid w:val="6467063D"/>
    <w:rsid w:val="648F4A0E"/>
    <w:rsid w:val="64937E71"/>
    <w:rsid w:val="6495646A"/>
    <w:rsid w:val="64FA320D"/>
    <w:rsid w:val="65797FD4"/>
    <w:rsid w:val="658D5E16"/>
    <w:rsid w:val="65953363"/>
    <w:rsid w:val="65B841DE"/>
    <w:rsid w:val="65CA03C9"/>
    <w:rsid w:val="65E1661E"/>
    <w:rsid w:val="65E36C18"/>
    <w:rsid w:val="660918F9"/>
    <w:rsid w:val="663C1302"/>
    <w:rsid w:val="665F0112"/>
    <w:rsid w:val="669A5886"/>
    <w:rsid w:val="66BF54E4"/>
    <w:rsid w:val="67101119"/>
    <w:rsid w:val="67151BB5"/>
    <w:rsid w:val="671C67EA"/>
    <w:rsid w:val="67400D4D"/>
    <w:rsid w:val="677A414A"/>
    <w:rsid w:val="67C952B3"/>
    <w:rsid w:val="67DB4341"/>
    <w:rsid w:val="68720AE2"/>
    <w:rsid w:val="689554F5"/>
    <w:rsid w:val="68AA7215"/>
    <w:rsid w:val="68ED6911"/>
    <w:rsid w:val="6903642B"/>
    <w:rsid w:val="690F1870"/>
    <w:rsid w:val="692F5E27"/>
    <w:rsid w:val="69466675"/>
    <w:rsid w:val="698C2B7F"/>
    <w:rsid w:val="69AB5D7A"/>
    <w:rsid w:val="69F575F2"/>
    <w:rsid w:val="6A4C7335"/>
    <w:rsid w:val="6A531E39"/>
    <w:rsid w:val="6A545ADB"/>
    <w:rsid w:val="6A5D05BD"/>
    <w:rsid w:val="6A6B273C"/>
    <w:rsid w:val="6A703222"/>
    <w:rsid w:val="6AAA18E6"/>
    <w:rsid w:val="6AC938A9"/>
    <w:rsid w:val="6B2F05BC"/>
    <w:rsid w:val="6B435167"/>
    <w:rsid w:val="6BB237C9"/>
    <w:rsid w:val="6BDF1336"/>
    <w:rsid w:val="6C3161F1"/>
    <w:rsid w:val="6C3745DF"/>
    <w:rsid w:val="6C3D4127"/>
    <w:rsid w:val="6C6253EB"/>
    <w:rsid w:val="6C666B72"/>
    <w:rsid w:val="6C8F3EF6"/>
    <w:rsid w:val="6CAD55CC"/>
    <w:rsid w:val="6CBE1616"/>
    <w:rsid w:val="6CC15F94"/>
    <w:rsid w:val="6CDA118A"/>
    <w:rsid w:val="6D0C01A9"/>
    <w:rsid w:val="6D493A0A"/>
    <w:rsid w:val="6D551BE3"/>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C26F58"/>
    <w:rsid w:val="6FD761EC"/>
    <w:rsid w:val="6FE52312"/>
    <w:rsid w:val="6FF1085F"/>
    <w:rsid w:val="700F6510"/>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D5E1F"/>
    <w:rsid w:val="72E72EAA"/>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D2B17"/>
    <w:rsid w:val="7760235E"/>
    <w:rsid w:val="77C64121"/>
    <w:rsid w:val="77CD3C5D"/>
    <w:rsid w:val="77FD4667"/>
    <w:rsid w:val="781200C6"/>
    <w:rsid w:val="78150104"/>
    <w:rsid w:val="786B1829"/>
    <w:rsid w:val="78C7234E"/>
    <w:rsid w:val="791063B8"/>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C2422A"/>
    <w:rsid w:val="7AD44A1D"/>
    <w:rsid w:val="7B045A0E"/>
    <w:rsid w:val="7B137629"/>
    <w:rsid w:val="7B1B29C2"/>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819A4"/>
    <w:rsid w:val="7D57537E"/>
    <w:rsid w:val="7D79413D"/>
    <w:rsid w:val="7D872924"/>
    <w:rsid w:val="7D8F5F9C"/>
    <w:rsid w:val="7E180A37"/>
    <w:rsid w:val="7E252BD1"/>
    <w:rsid w:val="7E2D4483"/>
    <w:rsid w:val="7E327A3B"/>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0"/>
    <w:qFormat/>
    <w:uiPriority w:val="0"/>
    <w:pPr>
      <w:outlineLvl w:val="0"/>
    </w:pPr>
  </w:style>
  <w:style w:type="paragraph" w:styleId="5">
    <w:name w:val="heading 2"/>
    <w:basedOn w:val="1"/>
    <w:next w:val="1"/>
    <w:qFormat/>
    <w:uiPriority w:val="0"/>
    <w:pPr>
      <w:outlineLvl w:val="1"/>
    </w:pPr>
    <w:rPr>
      <w:rFonts w:hAnsi="宋体"/>
      <w:b/>
    </w:rPr>
  </w:style>
  <w:style w:type="paragraph" w:styleId="6">
    <w:name w:val="heading 3"/>
    <w:basedOn w:val="1"/>
    <w:next w:val="7"/>
    <w:qFormat/>
    <w:uiPriority w:val="0"/>
    <w:pPr>
      <w:outlineLvl w:val="2"/>
    </w:p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0">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1">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2">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3">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7">
    <w:name w:val="Normal Indent"/>
    <w:basedOn w:val="1"/>
    <w:link w:val="76"/>
    <w:qFormat/>
    <w:uiPriority w:val="0"/>
    <w:pPr>
      <w:widowControl/>
      <w:autoSpaceDE/>
      <w:autoSpaceDN/>
      <w:adjustRightInd/>
      <w:ind w:firstLine="420" w:firstLineChars="200"/>
    </w:pPr>
    <w:rPr>
      <w:rFonts w:ascii="Calibri"/>
      <w:sz w:val="20"/>
      <w:szCs w:val="20"/>
    </w:rPr>
  </w:style>
  <w:style w:type="paragraph" w:styleId="14">
    <w:name w:val="toc 7"/>
    <w:basedOn w:val="1"/>
    <w:next w:val="1"/>
    <w:qFormat/>
    <w:uiPriority w:val="0"/>
    <w:pPr>
      <w:ind w:left="1440"/>
    </w:pPr>
    <w:rPr>
      <w:rFonts w:ascii="Calibri" w:cs="Calibri"/>
      <w:sz w:val="18"/>
      <w:szCs w:val="18"/>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3"/>
    <w:qFormat/>
    <w:uiPriority w:val="0"/>
    <w:pPr>
      <w:widowControl/>
      <w:autoSpaceDE/>
      <w:autoSpaceDN/>
      <w:adjustRightInd/>
    </w:pPr>
    <w:rPr>
      <w:rFonts w:ascii="Times New Roman"/>
      <w:sz w:val="21"/>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0"/>
    <w:next w:val="20"/>
    <w:qFormat/>
    <w:uiPriority w:val="0"/>
    <w:rPr>
      <w:b/>
      <w:bCs/>
    </w:rPr>
  </w:style>
  <w:style w:type="paragraph" w:styleId="50">
    <w:name w:val="Body Text First Indent 2"/>
    <w:basedOn w:val="22"/>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6"/>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4"/>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7"/>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4"/>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4"/>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5"/>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8"/>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6"/>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5"/>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7"/>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4"/>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5"/>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8"/>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5"/>
    <w:next w:val="15"/>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20"/>
    <w:qFormat/>
    <w:uiPriority w:val="0"/>
    <w:rPr>
      <w:rFonts w:ascii="Times New Roman" w:hAnsi="Calibri" w:eastAsia="宋体" w:cs="宋体"/>
      <w:sz w:val="21"/>
    </w:rPr>
  </w:style>
  <w:style w:type="paragraph" w:customStyle="1" w:styleId="184">
    <w:name w:val="正文文本缩进 21"/>
    <w:basedOn w:val="1"/>
    <w:qFormat/>
    <w:uiPriority w:val="99"/>
    <w:pPr>
      <w:adjustRightInd w:val="0"/>
      <w:spacing w:line="480" w:lineRule="auto"/>
      <w:ind w:firstLine="54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62</Pages>
  <Words>30132</Words>
  <Characters>32334</Characters>
  <Lines>28</Lines>
  <Paragraphs>46</Paragraphs>
  <TotalTime>11</TotalTime>
  <ScaleCrop>false</ScaleCrop>
  <LinksUpToDate>false</LinksUpToDate>
  <CharactersWithSpaces>33335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2020-08-24T02:29:00Z</dcterms:created>
  <dc:creator>lyy</dc:creator>
  <cp:lastModifiedBy>Yakult</cp:lastModifiedBy>
  <cp:lastPrinted>2020-07-10T09:47:00Z</cp:lastPrinted>
  <dcterms:modified xsi:type="dcterms:W3CDTF">2022-05-18T07:05:08Z</dcterms:modified>
  <dc:title>货物公开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7AA47DC60AA540B6A7CD9444D75CD181</vt:lpwstr>
  </property>
</Properties>
</file>