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widowControl/>
        <w:spacing w:line="360" w:lineRule="auto"/>
        <w:ind w:right="-26"/>
        <w:jc w:val="center"/>
        <w:textAlignment w:val="bottom"/>
        <w:rPr>
          <w:rFonts w:hAnsi="宋体"/>
          <w:b/>
          <w:color w:val="auto"/>
          <w:sz w:val="72"/>
          <w:highlight w:val="none"/>
        </w:rPr>
      </w:pPr>
    </w:p>
    <w:p>
      <w:pP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竞争性磋商文件</w: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292735</wp:posOffset>
                </wp:positionH>
                <wp:positionV relativeFrom="paragraph">
                  <wp:posOffset>81915</wp:posOffset>
                </wp:positionV>
                <wp:extent cx="4483735" cy="2146300"/>
                <wp:effectExtent l="0" t="0" r="12065" b="6350"/>
                <wp:wrapNone/>
                <wp:docPr id="3" name="文本框 6"/>
                <wp:cNvGraphicFramePr/>
                <a:graphic xmlns:a="http://schemas.openxmlformats.org/drawingml/2006/main">
                  <a:graphicData uri="http://schemas.microsoft.com/office/word/2010/wordprocessingShape">
                    <wps:wsp>
                      <wps:cNvSpPr txBox="1"/>
                      <wps:spPr>
                        <a:xfrm>
                          <a:off x="0" y="0"/>
                          <a:ext cx="5030470" cy="1375410"/>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color w:val="auto"/>
                                <w:sz w:val="32"/>
                                <w:highlight w:val="none"/>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highlight w:val="none"/>
                              </w:rPr>
                              <w:t>：</w:t>
                            </w:r>
                            <w:r>
                              <w:rPr>
                                <w:rFonts w:hint="eastAsia" w:ascii="黑体" w:hAnsi="黑体" w:eastAsia="黑体" w:cs="黑体"/>
                                <w:b/>
                                <w:color w:val="auto"/>
                                <w:sz w:val="32"/>
                                <w:highlight w:val="none"/>
                                <w:lang w:eastAsia="zh-CN"/>
                              </w:rPr>
                              <w:t>松山湖大学创新城--创新配套服务区专家公寓电视机采购项目</w:t>
                            </w:r>
                          </w:p>
                          <w:p>
                            <w:pPr>
                              <w:widowControl/>
                              <w:spacing w:line="360" w:lineRule="auto"/>
                              <w:ind w:right="-26"/>
                              <w:jc w:val="both"/>
                              <w:textAlignment w:val="bottom"/>
                              <w:rPr>
                                <w:rFonts w:hint="eastAsia" w:ascii="黑体" w:hAnsi="黑体" w:eastAsia="黑体" w:cs="黑体"/>
                                <w:b/>
                                <w:color w:val="auto"/>
                                <w:sz w:val="32"/>
                                <w:highlight w:val="none"/>
                                <w:lang w:eastAsia="zh-CN"/>
                              </w:rPr>
                            </w:pPr>
                            <w:r>
                              <w:rPr>
                                <w:rFonts w:hint="eastAsia" w:ascii="黑体" w:hAnsi="黑体" w:eastAsia="黑体" w:cs="黑体"/>
                                <w:b/>
                                <w:color w:val="auto"/>
                                <w:sz w:val="32"/>
                                <w:highlight w:val="none"/>
                              </w:rPr>
                              <w:t>项目编号：</w:t>
                            </w:r>
                            <w:r>
                              <w:rPr>
                                <w:rFonts w:hint="eastAsia" w:ascii="黑体" w:hAnsi="黑体" w:eastAsia="黑体" w:cs="黑体"/>
                                <w:b/>
                                <w:color w:val="auto"/>
                                <w:sz w:val="32"/>
                                <w:highlight w:val="none"/>
                                <w:lang w:eastAsia="zh-CN"/>
                              </w:rPr>
                              <w:t>TTWY-22008</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wps:txbx>
                      <wps:bodyPr upright="1"/>
                    </wps:wsp>
                  </a:graphicData>
                </a:graphic>
              </wp:anchor>
            </w:drawing>
          </mc:Choice>
          <mc:Fallback>
            <w:pict>
              <v:shape id="文本框 6" o:spid="_x0000_s1026" o:spt="202" type="#_x0000_t202" style="position:absolute;left:0pt;margin-left:23.05pt;margin-top:6.45pt;height:169pt;width:353.05pt;z-index:-251653120;mso-width-relative:page;mso-height-relative:page;" fillcolor="#FFFFFF" filled="t" stroked="f" coordsize="21600,21600" o:gfxdata="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xsCu9sAAAAJAQAADwAAAAAAAAABACAAAAAiAAAA&#10;ZHJzL2Rvd25yZXYueG1sUEsBAhQAFAAAAAgAh07iQHlgjrAEAgAAFwQAAA4AAAAAAAAAAQAgAAAA&#10;KgEAAGRycy9lMm9Eb2MueG1sUEsFBgAAAAAGAAYAWQEAAKAFA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color w:val="auto"/>
                          <w:sz w:val="32"/>
                          <w:highlight w:val="none"/>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highlight w:val="none"/>
                        </w:rPr>
                        <w:t>：</w:t>
                      </w:r>
                      <w:r>
                        <w:rPr>
                          <w:rFonts w:hint="eastAsia" w:ascii="黑体" w:hAnsi="黑体" w:eastAsia="黑体" w:cs="黑体"/>
                          <w:b/>
                          <w:color w:val="auto"/>
                          <w:sz w:val="32"/>
                          <w:highlight w:val="none"/>
                          <w:lang w:eastAsia="zh-CN"/>
                        </w:rPr>
                        <w:t>松山湖大学创新城--创新配套服务区专家公寓电视机采购项目</w:t>
                      </w:r>
                    </w:p>
                    <w:p>
                      <w:pPr>
                        <w:widowControl/>
                        <w:spacing w:line="360" w:lineRule="auto"/>
                        <w:ind w:right="-26"/>
                        <w:jc w:val="both"/>
                        <w:textAlignment w:val="bottom"/>
                        <w:rPr>
                          <w:rFonts w:hint="eastAsia" w:ascii="黑体" w:hAnsi="黑体" w:eastAsia="黑体" w:cs="黑体"/>
                          <w:b/>
                          <w:color w:val="auto"/>
                          <w:sz w:val="32"/>
                          <w:highlight w:val="none"/>
                          <w:lang w:eastAsia="zh-CN"/>
                        </w:rPr>
                      </w:pPr>
                      <w:r>
                        <w:rPr>
                          <w:rFonts w:hint="eastAsia" w:ascii="黑体" w:hAnsi="黑体" w:eastAsia="黑体" w:cs="黑体"/>
                          <w:b/>
                          <w:color w:val="auto"/>
                          <w:sz w:val="32"/>
                          <w:highlight w:val="none"/>
                        </w:rPr>
                        <w:t>项目编号：</w:t>
                      </w:r>
                      <w:r>
                        <w:rPr>
                          <w:rFonts w:hint="eastAsia" w:ascii="黑体" w:hAnsi="黑体" w:eastAsia="黑体" w:cs="黑体"/>
                          <w:b/>
                          <w:color w:val="auto"/>
                          <w:sz w:val="32"/>
                          <w:highlight w:val="none"/>
                          <w:lang w:eastAsia="zh-CN"/>
                        </w:rPr>
                        <w:t>TTWY-22008</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60288"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0"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广东泰通伟业工程咨询有限公司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w:t>
      </w:r>
      <w:r>
        <w:rPr>
          <w:rFonts w:hint="eastAsia" w:ascii="黑体" w:hAnsi="黑体" w:eastAsia="黑体" w:cs="黑体"/>
          <w:b/>
          <w:color w:val="auto"/>
          <w:sz w:val="32"/>
          <w:highlight w:val="none"/>
          <w:lang w:eastAsia="zh-CN"/>
        </w:rPr>
        <w:t>二</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二</w:t>
      </w:r>
      <w:r>
        <w:rPr>
          <w:rFonts w:hint="eastAsia" w:ascii="黑体" w:hAnsi="黑体" w:eastAsia="黑体" w:cs="黑体"/>
          <w:b/>
          <w:color w:val="auto"/>
          <w:sz w:val="32"/>
          <w:highlight w:val="none"/>
        </w:rPr>
        <w:t>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Borders>
            <w:top w:val="none" w:sz="0" w:space="0"/>
            <w:left w:val="none" w:sz="0" w:space="0"/>
            <w:bottom w:val="none" w:sz="0" w:space="0"/>
            <w:right w:val="none" w:sz="0" w:space="0"/>
          </w:pgBorders>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color w:val="auto"/>
          <w:sz w:val="32"/>
          <w:szCs w:val="32"/>
          <w:highlight w:val="none"/>
        </w:rPr>
      </w:pPr>
      <w:bookmarkStart w:id="1"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w:t>
      </w:r>
      <w:r>
        <w:rPr>
          <w:rFonts w:hint="eastAsia" w:ascii="黑体" w:hAnsi="黑体" w:eastAsia="黑体" w:cs="黑体"/>
          <w:color w:val="auto"/>
          <w:highlight w:val="none"/>
          <w:lang w:eastAsia="zh-CN"/>
        </w:rPr>
        <w:t>报价</w:t>
      </w:r>
      <w:r>
        <w:rPr>
          <w:rFonts w:hint="eastAsia" w:ascii="黑体" w:hAnsi="黑体" w:eastAsia="黑体" w:cs="黑体"/>
          <w:color w:val="auto"/>
          <w:highlight w:val="none"/>
        </w:rPr>
        <w:t>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w:t>
      </w:r>
      <w:r>
        <w:rPr>
          <w:rFonts w:hint="eastAsia" w:ascii="黑体" w:hAnsi="黑体" w:eastAsia="黑体" w:cs="黑体"/>
          <w:color w:val="auto"/>
          <w:highlight w:val="none"/>
          <w:lang w:eastAsia="zh-CN"/>
        </w:rPr>
        <w:t>采购</w:t>
      </w:r>
      <w:r>
        <w:rPr>
          <w:rFonts w:hint="eastAsia" w:ascii="黑体" w:hAnsi="黑体" w:eastAsia="黑体" w:cs="黑体"/>
          <w:color w:val="auto"/>
          <w:highlight w:val="none"/>
        </w:rPr>
        <w:t>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12"/>
        <w:rPr>
          <w:rFonts w:hAnsi="宋体"/>
          <w:b/>
          <w:bCs/>
          <w:color w:val="auto"/>
          <w:sz w:val="32"/>
          <w:szCs w:val="32"/>
          <w:highlight w:val="none"/>
          <w:lang w:val="zh-CN"/>
        </w:rPr>
      </w:pPr>
    </w:p>
    <w:p>
      <w:pPr>
        <w:pStyle w:val="12"/>
        <w:rPr>
          <w:rFonts w:hAnsi="宋体"/>
          <w:b/>
          <w:bCs/>
          <w:color w:val="auto"/>
          <w:sz w:val="32"/>
          <w:szCs w:val="32"/>
          <w:highlight w:val="none"/>
          <w:lang w:val="zh-CN"/>
        </w:rPr>
      </w:pPr>
    </w:p>
    <w:p>
      <w:pPr>
        <w:jc w:val="center"/>
        <w:rPr>
          <w:color w:val="auto"/>
          <w:highlight w:val="none"/>
        </w:rPr>
      </w:pPr>
      <w:r>
        <w:rPr>
          <w:rFonts w:hAnsi="宋体"/>
          <w:b/>
          <w:bCs/>
          <w:color w:val="auto"/>
          <w:sz w:val="32"/>
          <w:szCs w:val="32"/>
          <w:highlight w:val="none"/>
          <w:lang w:val="zh-CN"/>
        </w:rPr>
        <w:t>目录</w:t>
      </w:r>
      <w:bookmarkStart w:id="2" w:name="_Toc396137229"/>
      <w:r>
        <w:rPr>
          <w:rFonts w:hAnsi="宋体"/>
          <w:b/>
          <w:bCs/>
          <w:caps/>
          <w:color w:val="auto"/>
          <w:sz w:val="21"/>
          <w:szCs w:val="21"/>
          <w:highlight w:val="none"/>
        </w:rPr>
        <w:fldChar w:fldCharType="begin"/>
      </w:r>
      <w:r>
        <w:rPr>
          <w:rStyle w:val="59"/>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"_Toc27261" </w:instrText>
      </w:r>
      <w:r>
        <w:rPr>
          <w:color w:val="auto"/>
          <w:highlight w:val="none"/>
        </w:rPr>
        <w:fldChar w:fldCharType="separate"/>
      </w:r>
      <w:r>
        <w:rPr>
          <w:rFonts w:hAnsi="宋体"/>
          <w:color w:val="auto"/>
          <w:kern w:val="44"/>
          <w:sz w:val="24"/>
          <w:szCs w:val="24"/>
          <w:highlight w:val="none"/>
          <w:lang w:val="zh-CN"/>
        </w:rPr>
        <w:t xml:space="preserve">第一篇 </w:t>
      </w:r>
      <w:r>
        <w:rPr>
          <w:rFonts w:hint="eastAsia" w:hAnsi="宋体"/>
          <w:color w:val="auto"/>
          <w:kern w:val="44"/>
          <w:sz w:val="24"/>
          <w:szCs w:val="24"/>
          <w:highlight w:val="none"/>
        </w:rPr>
        <w:t>磋商邀请书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_Toc27261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"_Toc16634" </w:instrText>
      </w:r>
      <w:r>
        <w:rPr>
          <w:color w:val="auto"/>
          <w:highlight w:val="none"/>
        </w:rPr>
        <w:fldChar w:fldCharType="separate"/>
      </w:r>
      <w:r>
        <w:rPr>
          <w:rFonts w:hAnsi="宋体"/>
          <w:color w:val="auto"/>
          <w:kern w:val="44"/>
          <w:sz w:val="24"/>
          <w:szCs w:val="24"/>
          <w:highlight w:val="none"/>
          <w:lang w:val="zh-CN"/>
        </w:rPr>
        <w:t xml:space="preserve">第二篇 </w:t>
      </w:r>
      <w:r>
        <w:rPr>
          <w:rFonts w:hint="eastAsia" w:hAnsi="宋体"/>
          <w:color w:val="auto"/>
          <w:kern w:val="44"/>
          <w:sz w:val="24"/>
          <w:szCs w:val="24"/>
          <w:highlight w:val="none"/>
          <w:lang w:val="zh-CN"/>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_Toc16634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"_Toc22751" </w:instrText>
      </w:r>
      <w:r>
        <w:rPr>
          <w:color w:val="auto"/>
          <w:highlight w:val="none"/>
        </w:rPr>
        <w:fldChar w:fldCharType="separate"/>
      </w:r>
      <w:r>
        <w:rPr>
          <w:rFonts w:hAnsi="宋体"/>
          <w:color w:val="auto"/>
          <w:kern w:val="44"/>
          <w:sz w:val="24"/>
          <w:szCs w:val="24"/>
          <w:highlight w:val="none"/>
          <w:lang w:val="zh-CN"/>
        </w:rPr>
        <w:t xml:space="preserve">第三篇 </w:t>
      </w:r>
      <w:r>
        <w:rPr>
          <w:rFonts w:hint="eastAsia" w:hAnsi="宋体"/>
          <w:color w:val="auto"/>
          <w:kern w:val="44"/>
          <w:sz w:val="24"/>
          <w:szCs w:val="24"/>
          <w:highlight w:val="none"/>
          <w:lang w:val="zh-CN"/>
        </w:rPr>
        <w:t>用户需求书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_Toc22751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color w:val="auto"/>
          <w:sz w:val="24"/>
          <w:szCs w:val="24"/>
          <w:highlight w:val="none"/>
        </w:rPr>
        <w:fldChar w:fldCharType="end"/>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"_Toc13957" </w:instrText>
      </w:r>
      <w:r>
        <w:rPr>
          <w:color w:val="auto"/>
          <w:highlight w:val="none"/>
        </w:rPr>
        <w:fldChar w:fldCharType="separate"/>
      </w:r>
      <w:r>
        <w:rPr>
          <w:rFonts w:hAnsi="宋体"/>
          <w:color w:val="auto"/>
          <w:kern w:val="44"/>
          <w:sz w:val="24"/>
          <w:szCs w:val="24"/>
          <w:highlight w:val="none"/>
          <w:lang w:val="zh-CN"/>
        </w:rPr>
        <w:t xml:space="preserve">第四篇 </w:t>
      </w:r>
      <w:r>
        <w:rPr>
          <w:rFonts w:hint="eastAsia" w:hAnsi="宋体"/>
          <w:color w:val="auto"/>
          <w:kern w:val="44"/>
          <w:sz w:val="24"/>
          <w:szCs w:val="24"/>
          <w:highlight w:val="none"/>
          <w:lang w:val="zh-CN"/>
        </w:rPr>
        <w:t>评标工作大纲</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_Toc13957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"_Toc15636" </w:instrText>
      </w:r>
      <w:r>
        <w:rPr>
          <w:color w:val="auto"/>
          <w:highlight w:val="none"/>
        </w:rPr>
        <w:fldChar w:fldCharType="separate"/>
      </w:r>
      <w:r>
        <w:rPr>
          <w:rFonts w:hAnsi="宋体"/>
          <w:color w:val="auto"/>
          <w:sz w:val="24"/>
          <w:szCs w:val="24"/>
          <w:highlight w:val="none"/>
        </w:rPr>
        <w:t xml:space="preserve">第五篇 </w:t>
      </w:r>
      <w:r>
        <w:rPr>
          <w:rFonts w:hint="eastAsia" w:hAnsi="宋体"/>
          <w:color w:val="auto"/>
          <w:kern w:val="44"/>
          <w:sz w:val="24"/>
          <w:szCs w:val="24"/>
          <w:highlight w:val="none"/>
          <w:lang w:val="zh-CN"/>
        </w:rPr>
        <w:t>合同条款格式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_Toc15636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color w:val="auto"/>
          <w:sz w:val="24"/>
          <w:szCs w:val="24"/>
          <w:highlight w:val="none"/>
        </w:rPr>
        <w:fldChar w:fldCharType="end"/>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"_Toc8470" </w:instrText>
      </w:r>
      <w:r>
        <w:rPr>
          <w:color w:val="auto"/>
          <w:highlight w:val="none"/>
        </w:rPr>
        <w:fldChar w:fldCharType="separate"/>
      </w:r>
      <w:r>
        <w:rPr>
          <w:rFonts w:hint="eastAsia" w:hAnsi="宋体"/>
          <w:color w:val="auto"/>
          <w:kern w:val="44"/>
          <w:sz w:val="24"/>
          <w:szCs w:val="24"/>
          <w:highlight w:val="none"/>
          <w:lang w:val="zh-CN"/>
        </w:rPr>
        <w:t>第六篇</w:t>
      </w:r>
      <w:r>
        <w:rPr>
          <w:rFonts w:hint="eastAsia" w:hAnsi="宋体"/>
          <w:color w:val="auto"/>
          <w:kern w:val="44"/>
          <w:sz w:val="24"/>
          <w:szCs w:val="24"/>
          <w:highlight w:val="none"/>
          <w:lang w:val="en-US" w:eastAsia="zh-CN"/>
        </w:rPr>
        <w:t xml:space="preserve"> </w:t>
      </w:r>
      <w:r>
        <w:rPr>
          <w:rFonts w:hint="eastAsia" w:hAnsi="宋体"/>
          <w:color w:val="auto"/>
          <w:kern w:val="44"/>
          <w:sz w:val="24"/>
          <w:szCs w:val="24"/>
          <w:highlight w:val="none"/>
          <w:lang w:val="zh-CN"/>
        </w:rPr>
        <w:t>磋商响应文件格式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_Toc8470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color w:val="auto"/>
          <w:sz w:val="24"/>
          <w:szCs w:val="24"/>
          <w:highlight w:val="none"/>
        </w:rPr>
        <w:fldChar w:fldCharType="end"/>
      </w:r>
    </w:p>
    <w:p>
      <w:pPr>
        <w:pStyle w:val="3"/>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r>
        <w:rPr>
          <w:color w:val="auto"/>
          <w:highlight w:val="none"/>
        </w:rPr>
        <w:fldChar w:fldCharType="end"/>
      </w:r>
      <w:bookmarkEnd w:id="2"/>
      <w:r>
        <w:rPr>
          <w:rFonts w:hint="eastAsia" w:hAnsi="宋体"/>
          <w:b/>
          <w:bCs/>
          <w:color w:val="auto"/>
          <w:kern w:val="44"/>
          <w:sz w:val="28"/>
          <w:szCs w:val="28"/>
          <w:highlight w:val="none"/>
        </w:rPr>
        <w:t>磋商邀请书</w:t>
      </w:r>
      <w:bookmarkEnd w:id="1"/>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shd w:val="clear" w:color="auto" w:fill="auto"/>
        </w:rPr>
      </w:pPr>
      <w:r>
        <w:rPr>
          <w:rFonts w:hint="eastAsia" w:hAnsi="宋体"/>
          <w:color w:val="auto"/>
          <w:sz w:val="21"/>
          <w:szCs w:val="21"/>
          <w:highlight w:val="none"/>
        </w:rPr>
        <w:t>广东泰通伟业工程咨询有限公司（以下简称“采购代理机构”）受</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（以下简称“采购人”）的委托</w:t>
      </w:r>
      <w:r>
        <w:rPr>
          <w:rFonts w:hint="eastAsia" w:hAnsi="宋体"/>
          <w:color w:val="auto"/>
          <w:sz w:val="21"/>
          <w:szCs w:val="21"/>
          <w:highlight w:val="none"/>
          <w:shd w:val="clear" w:color="auto" w:fill="auto"/>
        </w:rPr>
        <w:t>，为</w:t>
      </w:r>
      <w:r>
        <w:rPr>
          <w:rFonts w:hint="eastAsia" w:hAnsi="宋体"/>
          <w:color w:val="auto"/>
          <w:sz w:val="21"/>
          <w:szCs w:val="21"/>
          <w:highlight w:val="none"/>
          <w:shd w:val="clear" w:color="auto" w:fill="auto"/>
          <w:lang w:eastAsia="zh-CN"/>
        </w:rPr>
        <w:t>松山湖大学创新城--创新配套服务区专家公寓电视机采购项目</w:t>
      </w:r>
      <w:r>
        <w:rPr>
          <w:rFonts w:hint="eastAsia" w:hAnsi="宋体"/>
          <w:color w:val="auto"/>
          <w:sz w:val="21"/>
          <w:szCs w:val="21"/>
          <w:highlight w:val="none"/>
          <w:shd w:val="clear" w:color="auto" w:fill="auto"/>
        </w:rPr>
        <w:t xml:space="preserve"> (项目编号：</w:t>
      </w:r>
      <w:r>
        <w:rPr>
          <w:rFonts w:hint="eastAsia" w:hAnsi="宋体"/>
          <w:color w:val="auto"/>
          <w:sz w:val="21"/>
          <w:szCs w:val="21"/>
          <w:highlight w:val="none"/>
          <w:shd w:val="clear" w:color="auto" w:fill="auto"/>
          <w:lang w:eastAsia="zh-CN"/>
        </w:rPr>
        <w:t>TTWY-22008</w:t>
      </w:r>
      <w:r>
        <w:rPr>
          <w:rFonts w:hint="eastAsia" w:hAnsi="宋体"/>
          <w:color w:val="auto"/>
          <w:sz w:val="21"/>
          <w:szCs w:val="21"/>
          <w:highlight w:val="none"/>
          <w:shd w:val="clear" w:color="auto" w:fill="auto"/>
        </w:rPr>
        <w:t>) 采购所需的服务。本项目采用竞争性磋商采购方式，欢迎合格供应商就本项目提交密封磋商。</w:t>
      </w:r>
    </w:p>
    <w:p>
      <w:pPr>
        <w:widowControl/>
        <w:numPr>
          <w:ilvl w:val="0"/>
          <w:numId w:val="11"/>
        </w:numPr>
        <w:adjustRightInd/>
        <w:spacing w:line="360" w:lineRule="auto"/>
        <w:rPr>
          <w:rFonts w:hAnsi="宋体"/>
          <w:color w:val="auto"/>
          <w:sz w:val="21"/>
          <w:szCs w:val="21"/>
          <w:highlight w:val="none"/>
          <w:shd w:val="clear" w:color="auto" w:fill="auto"/>
        </w:rPr>
      </w:pPr>
      <w:r>
        <w:rPr>
          <w:rFonts w:hint="eastAsia" w:hAnsi="宋体"/>
          <w:b/>
          <w:bCs/>
          <w:color w:val="auto"/>
          <w:kern w:val="28"/>
          <w:sz w:val="21"/>
          <w:szCs w:val="21"/>
          <w:highlight w:val="none"/>
          <w:shd w:val="clear" w:color="auto" w:fill="auto"/>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shd w:val="clear" w:color="auto" w:fill="auto"/>
        </w:rPr>
      </w:pPr>
      <w:r>
        <w:rPr>
          <w:rFonts w:hint="eastAsia" w:hAnsi="宋体"/>
          <w:color w:val="auto"/>
          <w:sz w:val="21"/>
          <w:szCs w:val="21"/>
          <w:highlight w:val="none"/>
          <w:shd w:val="clear" w:color="auto" w:fill="auto"/>
        </w:rPr>
        <w:t>项目名称：</w:t>
      </w:r>
      <w:r>
        <w:rPr>
          <w:rFonts w:hint="eastAsia" w:hAnsi="宋体"/>
          <w:color w:val="auto"/>
          <w:sz w:val="21"/>
          <w:szCs w:val="21"/>
          <w:highlight w:val="none"/>
          <w:shd w:val="clear" w:color="auto" w:fill="auto"/>
          <w:lang w:eastAsia="zh-CN"/>
        </w:rPr>
        <w:t>松山湖大学创新城--创新配套服务区专家公寓电视机采购项目</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shd w:val="clear" w:color="auto" w:fill="auto"/>
        </w:rPr>
      </w:pPr>
      <w:r>
        <w:rPr>
          <w:rFonts w:hint="eastAsia" w:hAnsi="宋体"/>
          <w:color w:val="auto"/>
          <w:sz w:val="21"/>
          <w:szCs w:val="21"/>
          <w:highlight w:val="none"/>
          <w:shd w:val="clear" w:color="auto" w:fill="auto"/>
        </w:rPr>
        <w:t>项目编号：</w:t>
      </w:r>
      <w:r>
        <w:rPr>
          <w:rFonts w:hint="eastAsia" w:hAnsi="宋体"/>
          <w:color w:val="auto"/>
          <w:sz w:val="21"/>
          <w:szCs w:val="21"/>
          <w:highlight w:val="none"/>
          <w:shd w:val="clear" w:color="auto" w:fill="auto"/>
          <w:lang w:eastAsia="zh-CN"/>
        </w:rPr>
        <w:t>TTWY-22008</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w:t>
      </w:r>
      <w:r>
        <w:rPr>
          <w:rFonts w:hint="eastAsia" w:hAnsi="宋体"/>
          <w:color w:val="auto"/>
          <w:sz w:val="21"/>
          <w:szCs w:val="21"/>
          <w:highlight w:val="none"/>
          <w:lang w:eastAsia="zh-CN"/>
        </w:rPr>
        <w:t>（元）</w:t>
      </w:r>
      <w:r>
        <w:rPr>
          <w:rFonts w:hint="eastAsia" w:hAnsi="宋体"/>
          <w:color w:val="auto"/>
          <w:sz w:val="21"/>
          <w:szCs w:val="21"/>
          <w:highlight w:val="none"/>
        </w:rPr>
        <w:t>：¥974</w:t>
      </w:r>
      <w:r>
        <w:rPr>
          <w:rFonts w:hint="eastAsia" w:hAnsi="宋体"/>
          <w:color w:val="auto"/>
          <w:sz w:val="21"/>
          <w:szCs w:val="21"/>
          <w:highlight w:val="none"/>
          <w:lang w:val="en-US" w:eastAsia="zh-CN"/>
        </w:rPr>
        <w:t>,</w:t>
      </w:r>
      <w:r>
        <w:rPr>
          <w:rFonts w:hint="eastAsia" w:hAnsi="宋体"/>
          <w:color w:val="auto"/>
          <w:sz w:val="21"/>
          <w:szCs w:val="21"/>
          <w:highlight w:val="none"/>
        </w:rPr>
        <w:t>778.28</w:t>
      </w:r>
      <w:r>
        <w:rPr>
          <w:rFonts w:hint="eastAsia" w:hAnsi="宋体"/>
          <w:color w:val="auto"/>
          <w:sz w:val="21"/>
          <w:szCs w:val="21"/>
          <w:highlight w:val="none"/>
          <w:lang w:eastAsia="zh-CN"/>
        </w:rPr>
        <w:t>（大写：人民币玖拾柒万肆仟柒佰柒拾捌元贰角捌分）</w:t>
      </w:r>
      <w:r>
        <w:rPr>
          <w:rFonts w:hint="eastAsia" w:hAnsi="宋体"/>
          <w:color w:val="auto"/>
          <w:sz w:val="21"/>
          <w:szCs w:val="21"/>
          <w:highlight w:val="none"/>
        </w:rPr>
        <w:tab/>
      </w:r>
      <w:r>
        <w:rPr>
          <w:rFonts w:hint="eastAsia" w:hAnsi="宋体"/>
          <w:color w:val="auto"/>
          <w:sz w:val="21"/>
          <w:szCs w:val="21"/>
          <w:highlight w:val="none"/>
          <w:lang w:val="en-US" w:eastAsia="zh-CN"/>
        </w:rPr>
        <w:t xml:space="preserve">   </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3"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lang w:eastAsia="zh-CN"/>
        </w:rPr>
        <w:t>（五）</w:t>
      </w:r>
      <w:r>
        <w:rPr>
          <w:rFonts w:hint="eastAsia" w:hAnsi="宋体"/>
          <w:color w:val="auto"/>
          <w:kern w:val="2"/>
          <w:sz w:val="21"/>
          <w:szCs w:val="21"/>
          <w:highlight w:val="none"/>
        </w:rPr>
        <w:t>本项目不接受联合体投标。</w:t>
      </w:r>
    </w:p>
    <w:p>
      <w:pPr>
        <w:spacing w:line="360" w:lineRule="auto"/>
        <w:rPr>
          <w:rFonts w:hAnsi="宋体"/>
          <w:b/>
          <w:bCs/>
          <w:color w:val="auto"/>
          <w:sz w:val="21"/>
          <w:szCs w:val="21"/>
          <w:highlight w:val="none"/>
        </w:rPr>
      </w:pPr>
      <w:r>
        <w:rPr>
          <w:rFonts w:hint="eastAsia" w:hAnsi="宋体"/>
          <w:b/>
          <w:bCs/>
          <w:color w:val="auto"/>
          <w:sz w:val="21"/>
          <w:szCs w:val="21"/>
          <w:highlight w:val="none"/>
        </w:rPr>
        <w:t>三、获取磋商文件：</w:t>
      </w:r>
    </w:p>
    <w:p>
      <w:pPr>
        <w:keepNext w:val="0"/>
        <w:keepLines w:val="0"/>
        <w:pageBreakBefore w:val="0"/>
        <w:widowControl/>
        <w:kinsoku/>
        <w:wordWrap/>
        <w:overflowPunct/>
        <w:topLinePunct w:val="0"/>
        <w:autoSpaceDE w:val="0"/>
        <w:autoSpaceDN w:val="0"/>
        <w:bidi w:val="0"/>
        <w:adjustRightInd/>
        <w:snapToGrid/>
        <w:spacing w:line="360" w:lineRule="auto"/>
        <w:ind w:left="420" w:right="53" w:firstLine="420" w:firstLineChars="200"/>
        <w:textAlignment w:val="bottom"/>
        <w:rPr>
          <w:rFonts w:hint="eastAsia" w:hAnsi="宋体"/>
          <w:color w:val="auto"/>
          <w:kern w:val="28"/>
          <w:sz w:val="21"/>
          <w:szCs w:val="21"/>
          <w:highlight w:val="none"/>
        </w:rPr>
      </w:pPr>
      <w:r>
        <w:rPr>
          <w:rFonts w:hint="eastAsia" w:hAnsi="宋体"/>
          <w:color w:val="auto"/>
          <w:kern w:val="28"/>
          <w:sz w:val="21"/>
          <w:szCs w:val="21"/>
          <w:highlight w:val="none"/>
          <w:lang w:eastAsia="zh-CN"/>
        </w:rPr>
        <w:t>本项目无须报名，磋商文件</w:t>
      </w:r>
      <w:r>
        <w:rPr>
          <w:rFonts w:hint="eastAsia" w:hAnsi="宋体"/>
          <w:color w:val="auto"/>
          <w:kern w:val="28"/>
          <w:sz w:val="21"/>
          <w:szCs w:val="21"/>
          <w:highlight w:val="none"/>
        </w:rPr>
        <w:t>下载地址：</w:t>
      </w:r>
      <w:r>
        <w:rPr>
          <w:rFonts w:hint="eastAsia" w:hAnsi="宋体" w:cs="宋体"/>
          <w:color w:val="auto"/>
          <w:spacing w:val="-6"/>
          <w:kern w:val="28"/>
          <w:sz w:val="21"/>
          <w:szCs w:val="21"/>
          <w:highlight w:val="none"/>
        </w:rPr>
        <w:t>中国招标投标公共服务平台（http://www.cebpubservice.com/）</w:t>
      </w:r>
      <w:r>
        <w:rPr>
          <w:rFonts w:hint="eastAsia" w:hAnsi="宋体"/>
          <w:color w:val="auto"/>
          <w:kern w:val="28"/>
          <w:sz w:val="21"/>
          <w:szCs w:val="21"/>
          <w:highlight w:val="none"/>
        </w:rPr>
        <w:t>、东莞实业投资控股集团有限公司-招标采购栏目（http://www.dgsy.com.cn/）、广东泰通伟业工程咨询有限公司官网-招标采购栏目（http://www.weiyecoltd.com/）。</w:t>
      </w:r>
    </w:p>
    <w:p>
      <w:pPr>
        <w:pStyle w:val="17"/>
        <w:rPr>
          <w:rFonts w:hint="default" w:eastAsia="宋体"/>
          <w:color w:val="auto"/>
          <w:highlight w:val="none"/>
          <w:lang w:val="en-US" w:eastAsia="zh-CN"/>
        </w:rPr>
      </w:pPr>
      <w:r>
        <w:rPr>
          <w:rFonts w:hint="eastAsia" w:hAnsi="宋体"/>
          <w:color w:val="auto"/>
          <w:kern w:val="28"/>
          <w:sz w:val="21"/>
          <w:szCs w:val="21"/>
          <w:highlight w:val="none"/>
          <w:lang w:val="en-US" w:eastAsia="zh-CN"/>
        </w:rPr>
        <w:t xml:space="preserve">    磋商文件公告期限：自公告之日起三个工作日。</w:t>
      </w:r>
    </w:p>
    <w:p>
      <w:pPr>
        <w:pStyle w:val="28"/>
        <w:numPr>
          <w:ilvl w:val="0"/>
          <w:numId w:val="0"/>
        </w:numPr>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w:t>
      </w:r>
      <w:r>
        <w:rPr>
          <w:rFonts w:hint="eastAsia" w:hAnsi="宋体"/>
          <w:color w:val="auto"/>
          <w:sz w:val="21"/>
          <w:szCs w:val="21"/>
          <w:highlight w:val="none"/>
          <w:lang w:eastAsia="zh-CN"/>
        </w:rPr>
        <w:t>2022年</w:t>
      </w:r>
      <w:r>
        <w:rPr>
          <w:rFonts w:hint="eastAsia" w:hAnsi="宋体"/>
          <w:color w:val="auto"/>
          <w:sz w:val="21"/>
          <w:szCs w:val="21"/>
          <w:highlight w:val="none"/>
          <w:lang w:val="en-US" w:eastAsia="zh-CN"/>
        </w:rPr>
        <w:t>3</w:t>
      </w:r>
      <w:r>
        <w:rPr>
          <w:rFonts w:hint="eastAsia" w:hAnsi="宋体"/>
          <w:color w:val="auto"/>
          <w:sz w:val="21"/>
          <w:szCs w:val="21"/>
          <w:highlight w:val="none"/>
        </w:rPr>
        <w:t>月</w:t>
      </w:r>
      <w:r>
        <w:rPr>
          <w:rFonts w:hint="eastAsia" w:hAnsi="宋体"/>
          <w:color w:val="auto"/>
          <w:sz w:val="21"/>
          <w:szCs w:val="21"/>
          <w:highlight w:val="none"/>
          <w:lang w:val="en-US" w:eastAsia="zh-CN"/>
        </w:rPr>
        <w:t>9</w:t>
      </w:r>
      <w:r>
        <w:rPr>
          <w:rFonts w:hint="eastAsia" w:hAnsi="宋体"/>
          <w:color w:val="auto"/>
          <w:sz w:val="21"/>
          <w:szCs w:val="21"/>
          <w:highlight w:val="none"/>
        </w:rPr>
        <w:t>日上午9:</w:t>
      </w:r>
      <w:r>
        <w:rPr>
          <w:rFonts w:hint="eastAsia" w:hAnsi="宋体"/>
          <w:color w:val="auto"/>
          <w:sz w:val="21"/>
          <w:szCs w:val="21"/>
          <w:highlight w:val="none"/>
          <w:lang w:val="en-US" w:eastAsia="zh-CN"/>
        </w:rPr>
        <w:t>00</w:t>
      </w:r>
      <w:r>
        <w:rPr>
          <w:rFonts w:hint="eastAsia" w:hAnsi="宋体"/>
          <w:color w:val="auto"/>
          <w:sz w:val="21"/>
          <w:szCs w:val="21"/>
          <w:highlight w:val="none"/>
        </w:rPr>
        <w:t>～</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w:t>
      </w:r>
      <w:r>
        <w:rPr>
          <w:rFonts w:hint="eastAsia" w:hAnsi="宋体"/>
          <w:color w:val="auto"/>
          <w:sz w:val="21"/>
          <w:szCs w:val="21"/>
          <w:highlight w:val="none"/>
          <w:lang w:eastAsia="zh-CN"/>
        </w:rPr>
        <w:t>2022年</w:t>
      </w:r>
      <w:r>
        <w:rPr>
          <w:rFonts w:hint="eastAsia" w:hAnsi="宋体"/>
          <w:color w:val="auto"/>
          <w:sz w:val="21"/>
          <w:szCs w:val="21"/>
          <w:highlight w:val="none"/>
          <w:lang w:val="en-US" w:eastAsia="zh-CN"/>
        </w:rPr>
        <w:t>3</w:t>
      </w:r>
      <w:r>
        <w:rPr>
          <w:rFonts w:hint="eastAsia" w:hAnsi="宋体"/>
          <w:color w:val="auto"/>
          <w:sz w:val="21"/>
          <w:szCs w:val="21"/>
          <w:highlight w:val="none"/>
        </w:rPr>
        <w:t>月</w:t>
      </w:r>
      <w:r>
        <w:rPr>
          <w:rFonts w:hint="eastAsia" w:hAnsi="宋体"/>
          <w:color w:val="auto"/>
          <w:sz w:val="21"/>
          <w:szCs w:val="21"/>
          <w:highlight w:val="none"/>
          <w:lang w:val="en-US" w:eastAsia="zh-CN"/>
        </w:rPr>
        <w:t>9</w:t>
      </w:r>
      <w:r>
        <w:rPr>
          <w:rFonts w:hint="eastAsia" w:hAnsi="宋体"/>
          <w:color w:val="auto"/>
          <w:sz w:val="21"/>
          <w:szCs w:val="21"/>
          <w:highlight w:val="none"/>
        </w:rPr>
        <w:t>日上午</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3、接收响应文件地点：东莞市东城莞龙路下桥银门街一号办公楼六楼618室。</w:t>
      </w:r>
    </w:p>
    <w:p>
      <w:pPr>
        <w:spacing w:line="360" w:lineRule="auto"/>
        <w:rPr>
          <w:rFonts w:hAnsi="宋体"/>
          <w:b/>
          <w:bCs/>
          <w:color w:val="auto"/>
          <w:sz w:val="21"/>
          <w:szCs w:val="21"/>
          <w:highlight w:val="none"/>
        </w:rPr>
      </w:pPr>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w:t>
      </w:r>
      <w:r>
        <w:rPr>
          <w:rFonts w:hint="eastAsia" w:hAnsi="宋体"/>
          <w:color w:val="auto"/>
          <w:sz w:val="21"/>
          <w:szCs w:val="21"/>
          <w:highlight w:val="none"/>
          <w:lang w:eastAsia="zh-CN"/>
        </w:rPr>
        <w:t>六</w:t>
      </w:r>
      <w:r>
        <w:rPr>
          <w:rFonts w:hint="eastAsia" w:hAnsi="宋体"/>
          <w:color w:val="auto"/>
          <w:sz w:val="21"/>
          <w:szCs w:val="21"/>
          <w:highlight w:val="none"/>
        </w:rPr>
        <w:t>楼</w:t>
      </w:r>
      <w:r>
        <w:rPr>
          <w:rFonts w:hint="eastAsia" w:hAnsi="宋体"/>
          <w:color w:val="auto"/>
          <w:sz w:val="21"/>
          <w:szCs w:val="21"/>
          <w:highlight w:val="none"/>
          <w:lang w:val="en-US" w:eastAsia="zh-CN"/>
        </w:rPr>
        <w:t>606室招标采购部</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w:t>
      </w:r>
      <w:r>
        <w:rPr>
          <w:rFonts w:hint="eastAsia" w:hAnsi="宋体"/>
          <w:color w:val="auto"/>
          <w:sz w:val="21"/>
          <w:szCs w:val="21"/>
          <w:highlight w:val="none"/>
          <w:lang w:eastAsia="zh-CN"/>
        </w:rPr>
        <w:t>罗</w:t>
      </w:r>
      <w:r>
        <w:rPr>
          <w:rFonts w:hint="eastAsia" w:hAnsi="宋体"/>
          <w:color w:val="auto"/>
          <w:sz w:val="21"/>
          <w:szCs w:val="21"/>
          <w:highlight w:val="none"/>
        </w:rPr>
        <w:t>小姐</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电    话：0769</w:t>
      </w:r>
      <w:r>
        <w:rPr>
          <w:rFonts w:hint="eastAsia" w:hAnsi="宋体"/>
          <w:color w:val="auto"/>
          <w:sz w:val="21"/>
          <w:szCs w:val="21"/>
          <w:highlight w:val="none"/>
        </w:rPr>
        <w:t>-22</w:t>
      </w:r>
      <w:r>
        <w:rPr>
          <w:rFonts w:hint="eastAsia" w:hAnsi="宋体"/>
          <w:color w:val="auto"/>
          <w:sz w:val="21"/>
          <w:szCs w:val="21"/>
          <w:highlight w:val="none"/>
          <w:lang w:val="en-US" w:eastAsia="zh-CN"/>
        </w:rPr>
        <w:t>088829</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采 购 人：</w:t>
      </w:r>
      <w:r>
        <w:rPr>
          <w:rFonts w:hint="eastAsia" w:hAnsi="宋体"/>
          <w:color w:val="auto"/>
          <w:sz w:val="21"/>
          <w:szCs w:val="21"/>
          <w:highlight w:val="none"/>
          <w:lang w:eastAsia="zh-CN"/>
        </w:rPr>
        <w:t>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lang w:eastAsia="zh-CN"/>
        </w:rPr>
        <w:t>肖</w:t>
      </w:r>
      <w:r>
        <w:rPr>
          <w:rFonts w:hint="eastAsia" w:hAnsi="宋体"/>
          <w:color w:val="auto"/>
          <w:sz w:val="21"/>
          <w:szCs w:val="21"/>
          <w:highlight w:val="none"/>
        </w:rPr>
        <w:t>工</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b/>
          <w:color w:val="auto"/>
          <w:sz w:val="21"/>
          <w:szCs w:val="21"/>
          <w:highlight w:val="none"/>
        </w:rPr>
      </w:pPr>
      <w:r>
        <w:rPr>
          <w:rFonts w:hint="eastAsia"/>
          <w:b/>
          <w:color w:val="auto"/>
          <w:sz w:val="21"/>
          <w:szCs w:val="21"/>
          <w:highlight w:val="none"/>
        </w:rPr>
        <w:t xml:space="preserve">                                         广东泰通伟业工程咨询有限公司</w:t>
      </w:r>
    </w:p>
    <w:p>
      <w:pPr>
        <w:wordWrap w:val="0"/>
        <w:spacing w:line="360" w:lineRule="auto"/>
        <w:ind w:right="-34" w:firstLine="426" w:firstLineChars="202"/>
        <w:jc w:val="right"/>
        <w:rPr>
          <w:rFonts w:hint="default" w:hAnsi="宋体" w:eastAsia="宋体"/>
          <w:color w:val="auto"/>
          <w:sz w:val="21"/>
          <w:szCs w:val="21"/>
          <w:highlight w:val="none"/>
          <w:lang w:val="en-US" w:eastAsia="zh-CN"/>
        </w:rPr>
      </w:pPr>
      <w:r>
        <w:rPr>
          <w:rFonts w:hint="eastAsia" w:hAnsi="宋体"/>
          <w:b/>
          <w:color w:val="auto"/>
          <w:sz w:val="21"/>
          <w:szCs w:val="21"/>
          <w:highlight w:val="none"/>
          <w:lang w:val="en-US" w:eastAsia="zh-CN"/>
        </w:rPr>
        <w:t>2022</w:t>
      </w:r>
      <w:r>
        <w:rPr>
          <w:rFonts w:hint="eastAsia" w:hAnsi="宋体"/>
          <w:b/>
          <w:color w:val="auto"/>
          <w:sz w:val="21"/>
          <w:szCs w:val="21"/>
          <w:highlight w:val="none"/>
        </w:rPr>
        <w:t>年</w:t>
      </w:r>
      <w:r>
        <w:rPr>
          <w:rFonts w:hint="eastAsia" w:hAnsi="宋体"/>
          <w:b/>
          <w:color w:val="auto"/>
          <w:sz w:val="21"/>
          <w:szCs w:val="21"/>
          <w:highlight w:val="none"/>
          <w:lang w:val="en-US" w:eastAsia="zh-CN"/>
        </w:rPr>
        <w:t>2</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25日</w:t>
      </w:r>
    </w:p>
    <w:p>
      <w:pPr>
        <w:pStyle w:val="3"/>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4" w:name="_Toc16634"/>
      <w:r>
        <w:rPr>
          <w:rFonts w:hint="eastAsia" w:hAnsi="宋体"/>
          <w:b/>
          <w:bCs/>
          <w:color w:val="auto"/>
          <w:kern w:val="44"/>
          <w:sz w:val="28"/>
          <w:szCs w:val="28"/>
          <w:highlight w:val="none"/>
          <w:lang w:val="zh-CN"/>
        </w:rPr>
        <w:t>供应商须知</w:t>
      </w:r>
      <w:bookmarkEnd w:id="3"/>
      <w:bookmarkEnd w:id="4"/>
    </w:p>
    <w:p>
      <w:pPr>
        <w:pStyle w:val="2"/>
        <w:adjustRightInd/>
        <w:spacing w:line="360" w:lineRule="auto"/>
        <w:ind w:firstLine="562" w:firstLineChars="200"/>
        <w:jc w:val="center"/>
        <w:rPr>
          <w:color w:val="auto"/>
          <w:sz w:val="28"/>
          <w:szCs w:val="28"/>
          <w:highlight w:val="none"/>
        </w:rPr>
      </w:pPr>
      <w:bookmarkStart w:id="5" w:name="_Toc7897861"/>
      <w:bookmarkStart w:id="6" w:name="_Toc12804"/>
      <w:bookmarkStart w:id="7" w:name="_Toc102277756"/>
      <w:bookmarkStart w:id="8" w:name="_Toc6968687"/>
      <w:bookmarkStart w:id="9" w:name="_Toc466786434"/>
      <w:bookmarkStart w:id="10" w:name="_Toc507407359"/>
      <w:bookmarkStart w:id="11" w:name="_Toc6882675"/>
      <w:r>
        <w:rPr>
          <w:rFonts w:hint="eastAsia"/>
          <w:color w:val="auto"/>
          <w:sz w:val="28"/>
          <w:szCs w:val="28"/>
          <w:highlight w:val="none"/>
        </w:rPr>
        <w:t>一、说  明</w:t>
      </w:r>
      <w:bookmarkEnd w:id="5"/>
      <w:bookmarkEnd w:id="6"/>
      <w:bookmarkEnd w:id="7"/>
      <w:bookmarkEnd w:id="8"/>
      <w:bookmarkEnd w:id="9"/>
      <w:bookmarkEnd w:id="10"/>
      <w:bookmarkEnd w:id="11"/>
    </w:p>
    <w:p>
      <w:pPr>
        <w:pStyle w:val="4"/>
        <w:adjustRightInd/>
        <w:spacing w:line="360" w:lineRule="auto"/>
        <w:ind w:firstLine="420" w:firstLineChars="200"/>
        <w:rPr>
          <w:rFonts w:hAnsi="宋体"/>
          <w:color w:val="auto"/>
          <w:sz w:val="21"/>
          <w:szCs w:val="21"/>
          <w:highlight w:val="none"/>
        </w:rPr>
      </w:pPr>
      <w:bookmarkStart w:id="12" w:name="_Toc3730"/>
      <w:bookmarkStart w:id="13" w:name="_Toc7897862"/>
      <w:bookmarkStart w:id="14" w:name="_Toc24987"/>
      <w:bookmarkStart w:id="15" w:name="_Toc475249114"/>
      <w:r>
        <w:rPr>
          <w:rFonts w:hint="eastAsia" w:hAnsi="宋体"/>
          <w:color w:val="auto"/>
          <w:sz w:val="21"/>
          <w:szCs w:val="21"/>
          <w:highlight w:val="none"/>
        </w:rPr>
        <w:t>1.适用范围</w:t>
      </w:r>
      <w:bookmarkEnd w:id="12"/>
      <w:bookmarkEnd w:id="13"/>
      <w:bookmarkEnd w:id="14"/>
      <w:bookmarkEnd w:id="1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4"/>
        <w:adjustRightInd/>
        <w:spacing w:line="360" w:lineRule="auto"/>
        <w:ind w:firstLine="420" w:firstLineChars="200"/>
        <w:rPr>
          <w:rFonts w:hAnsi="宋体"/>
          <w:color w:val="auto"/>
          <w:sz w:val="21"/>
          <w:szCs w:val="21"/>
          <w:highlight w:val="none"/>
        </w:rPr>
      </w:pPr>
      <w:bookmarkStart w:id="16" w:name="_Toc475249115"/>
      <w:bookmarkStart w:id="17" w:name="_Toc598"/>
      <w:bookmarkStart w:id="18" w:name="_Toc7897863"/>
      <w:bookmarkStart w:id="19" w:name="_Toc9738"/>
      <w:r>
        <w:rPr>
          <w:rFonts w:hint="eastAsia" w:hAnsi="宋体"/>
          <w:color w:val="auto"/>
          <w:sz w:val="21"/>
          <w:szCs w:val="21"/>
          <w:highlight w:val="none"/>
        </w:rPr>
        <w:t>2.定义</w:t>
      </w:r>
      <w:bookmarkEnd w:id="16"/>
      <w:bookmarkEnd w:id="17"/>
      <w:bookmarkEnd w:id="18"/>
      <w:bookmarkEnd w:id="1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w:t>
      </w:r>
      <w:r>
        <w:rPr>
          <w:rFonts w:hint="eastAsia" w:hAnsi="宋体"/>
          <w:color w:val="auto"/>
          <w:sz w:val="21"/>
          <w:szCs w:val="21"/>
          <w:highlight w:val="none"/>
          <w:lang w:eastAsia="zh-CN"/>
        </w:rPr>
        <w:t>磋商文件</w:t>
      </w:r>
      <w:r>
        <w:rPr>
          <w:rFonts w:hint="eastAsia" w:hAnsi="宋体"/>
          <w:color w:val="auto"/>
          <w:sz w:val="21"/>
          <w:szCs w:val="21"/>
          <w:highlight w:val="none"/>
        </w:rPr>
        <w:t>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4"/>
        <w:adjustRightInd/>
        <w:spacing w:line="360" w:lineRule="auto"/>
        <w:ind w:firstLine="420" w:firstLineChars="200"/>
        <w:rPr>
          <w:rFonts w:hAnsi="宋体"/>
          <w:color w:val="auto"/>
          <w:sz w:val="21"/>
          <w:szCs w:val="21"/>
          <w:highlight w:val="none"/>
        </w:rPr>
      </w:pPr>
      <w:bookmarkStart w:id="20" w:name="_Toc110953831"/>
      <w:bookmarkStart w:id="21" w:name="_Toc24709"/>
      <w:bookmarkStart w:id="22" w:name="_Toc7897864"/>
      <w:bookmarkStart w:id="23" w:name="_Toc367"/>
      <w:bookmarkStart w:id="24" w:name="_Toc6968688"/>
      <w:bookmarkStart w:id="25" w:name="_Toc466786435"/>
      <w:bookmarkStart w:id="26" w:name="_Toc6882676"/>
      <w:bookmarkStart w:id="27" w:name="_Toc507407360"/>
      <w:bookmarkStart w:id="28" w:name="_Toc102277757"/>
      <w:r>
        <w:rPr>
          <w:rFonts w:hint="eastAsia" w:hAnsi="宋体"/>
          <w:color w:val="auto"/>
          <w:sz w:val="21"/>
          <w:szCs w:val="21"/>
          <w:highlight w:val="none"/>
        </w:rPr>
        <w:t>3.适用法律</w:t>
      </w:r>
      <w:bookmarkEnd w:id="20"/>
      <w:bookmarkEnd w:id="21"/>
      <w:bookmarkEnd w:id="22"/>
      <w:bookmarkEnd w:id="2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相关招标采购规定执行。</w:t>
      </w:r>
    </w:p>
    <w:p>
      <w:pPr>
        <w:pStyle w:val="4"/>
        <w:adjustRightInd/>
        <w:spacing w:line="360" w:lineRule="auto"/>
        <w:ind w:firstLine="420" w:firstLineChars="200"/>
        <w:rPr>
          <w:rFonts w:hAnsi="宋体"/>
          <w:color w:val="auto"/>
          <w:sz w:val="21"/>
          <w:szCs w:val="21"/>
          <w:highlight w:val="none"/>
          <w:lang w:val="zh-CN"/>
        </w:rPr>
      </w:pPr>
      <w:bookmarkStart w:id="29" w:name="_Toc20707"/>
      <w:bookmarkStart w:id="30" w:name="_Toc10397"/>
      <w:bookmarkStart w:id="31" w:name="_Toc110953833"/>
      <w:bookmarkStart w:id="32" w:name="_Toc7897866"/>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29"/>
    </w:p>
    <w:p>
      <w:pPr>
        <w:pStyle w:val="4"/>
        <w:adjustRightInd/>
        <w:spacing w:line="360" w:lineRule="auto"/>
        <w:ind w:firstLine="420" w:firstLineChars="200"/>
        <w:rPr>
          <w:rFonts w:hAnsi="宋体"/>
          <w:bCs/>
          <w:color w:val="auto"/>
          <w:sz w:val="21"/>
          <w:szCs w:val="21"/>
          <w:highlight w:val="none"/>
        </w:rPr>
      </w:pPr>
      <w:bookmarkStart w:id="33" w:name="_Toc10368"/>
      <w:r>
        <w:rPr>
          <w:rFonts w:hint="eastAsia" w:hAnsi="宋体"/>
          <w:color w:val="auto"/>
          <w:sz w:val="21"/>
          <w:szCs w:val="21"/>
          <w:highlight w:val="none"/>
        </w:rPr>
        <w:t>5.禁止事项</w:t>
      </w:r>
      <w:bookmarkEnd w:id="30"/>
      <w:bookmarkEnd w:id="31"/>
      <w:bookmarkEnd w:id="32"/>
      <w:bookmarkEnd w:id="33"/>
    </w:p>
    <w:p>
      <w:pPr>
        <w:spacing w:line="360" w:lineRule="auto"/>
        <w:ind w:firstLine="420" w:firstLineChars="200"/>
        <w:rPr>
          <w:rFonts w:hAnsi="宋体"/>
          <w:color w:val="auto"/>
          <w:sz w:val="21"/>
          <w:szCs w:val="21"/>
          <w:highlight w:val="none"/>
        </w:rPr>
      </w:pPr>
      <w:bookmarkStart w:id="34" w:name="_Toc98126218"/>
      <w:bookmarkStart w:id="35" w:name="_Toc98126293"/>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color w:val="auto"/>
          <w:sz w:val="21"/>
          <w:szCs w:val="21"/>
          <w:highlight w:val="none"/>
        </w:rPr>
      </w:pPr>
      <w:bookmarkStart w:id="36" w:name="_Toc98126219"/>
      <w:bookmarkStart w:id="37" w:name="_Toc98126294"/>
      <w:r>
        <w:rPr>
          <w:rFonts w:hint="eastAsia" w:hAnsi="宋体"/>
          <w:color w:val="auto"/>
          <w:sz w:val="21"/>
          <w:szCs w:val="21"/>
          <w:highlight w:val="none"/>
        </w:rPr>
        <w:t>5.3采购代理机构不得向采购人行贿或者采取其他不正当手段谋取非法利益。</w:t>
      </w:r>
      <w:bookmarkEnd w:id="36"/>
      <w:bookmarkEnd w:id="37"/>
    </w:p>
    <w:p>
      <w:pPr>
        <w:spacing w:line="360" w:lineRule="auto"/>
        <w:ind w:firstLine="420" w:firstLineChars="200"/>
        <w:rPr>
          <w:rFonts w:hAnsi="宋体"/>
          <w:color w:val="auto"/>
          <w:sz w:val="21"/>
          <w:szCs w:val="21"/>
          <w:highlight w:val="none"/>
        </w:rPr>
      </w:pPr>
      <w:bookmarkStart w:id="38" w:name="_Toc98126295"/>
      <w:bookmarkStart w:id="39" w:name="_Toc98126220"/>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4"/>
        <w:adjustRightInd/>
        <w:spacing w:line="360" w:lineRule="auto"/>
        <w:ind w:firstLine="420" w:firstLineChars="200"/>
        <w:rPr>
          <w:rFonts w:hAnsi="宋体"/>
          <w:bCs/>
          <w:color w:val="auto"/>
          <w:sz w:val="21"/>
          <w:szCs w:val="21"/>
          <w:highlight w:val="none"/>
        </w:rPr>
      </w:pPr>
      <w:bookmarkStart w:id="40" w:name="_Toc2863"/>
      <w:bookmarkStart w:id="41" w:name="_Toc25870"/>
      <w:bookmarkStart w:id="42" w:name="_Toc7897867"/>
      <w:bookmarkStart w:id="43" w:name="_Toc110953834"/>
      <w:r>
        <w:rPr>
          <w:rFonts w:hint="eastAsia" w:hAnsi="宋体"/>
          <w:color w:val="auto"/>
          <w:sz w:val="21"/>
          <w:szCs w:val="21"/>
          <w:highlight w:val="none"/>
        </w:rPr>
        <w:t>6.保密及其它注意事项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22"/>
      <w:bookmarkStart w:id="45" w:name="_Toc98126297"/>
      <w:r>
        <w:rPr>
          <w:rFonts w:hint="eastAsia" w:hAnsi="宋体"/>
          <w:color w:val="auto"/>
          <w:sz w:val="21"/>
          <w:szCs w:val="21"/>
          <w:highlight w:val="none"/>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4"/>
        <w:adjustRightInd/>
        <w:spacing w:line="360" w:lineRule="auto"/>
        <w:ind w:firstLine="420" w:firstLineChars="200"/>
        <w:rPr>
          <w:rFonts w:hAnsi="宋体"/>
          <w:color w:val="auto"/>
          <w:sz w:val="21"/>
          <w:szCs w:val="21"/>
          <w:highlight w:val="none"/>
        </w:rPr>
      </w:pPr>
      <w:bookmarkStart w:id="46" w:name="_Toc27298"/>
      <w:bookmarkStart w:id="47" w:name="_Toc7897868"/>
      <w:bookmarkStart w:id="48" w:name="_Toc13371"/>
      <w:bookmarkStart w:id="49" w:name="_Toc497016085"/>
      <w:r>
        <w:rPr>
          <w:rFonts w:hint="eastAsia" w:hAnsi="宋体"/>
          <w:color w:val="auto"/>
          <w:sz w:val="21"/>
          <w:szCs w:val="21"/>
          <w:highlight w:val="none"/>
        </w:rPr>
        <w:t>7.供应商诚信管理</w:t>
      </w:r>
      <w:bookmarkEnd w:id="46"/>
      <w:bookmarkEnd w:id="47"/>
      <w:bookmarkEnd w:id="48"/>
      <w:bookmarkEnd w:id="4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2"/>
        <w:adjustRightInd/>
        <w:spacing w:line="360" w:lineRule="auto"/>
        <w:ind w:firstLine="562" w:firstLineChars="200"/>
        <w:jc w:val="center"/>
        <w:rPr>
          <w:color w:val="auto"/>
          <w:sz w:val="28"/>
          <w:szCs w:val="28"/>
          <w:highlight w:val="none"/>
        </w:rPr>
      </w:pPr>
      <w:bookmarkStart w:id="50" w:name="_Toc23741"/>
      <w:bookmarkStart w:id="51" w:name="_Toc7897869"/>
      <w:r>
        <w:rPr>
          <w:rFonts w:hint="eastAsia"/>
          <w:color w:val="auto"/>
          <w:sz w:val="28"/>
          <w:szCs w:val="28"/>
          <w:highlight w:val="none"/>
        </w:rPr>
        <w:t>二、磋商文件说明</w:t>
      </w:r>
      <w:bookmarkEnd w:id="24"/>
      <w:bookmarkEnd w:id="25"/>
      <w:bookmarkEnd w:id="26"/>
      <w:bookmarkEnd w:id="27"/>
      <w:bookmarkEnd w:id="28"/>
      <w:bookmarkEnd w:id="50"/>
      <w:bookmarkEnd w:id="51"/>
    </w:p>
    <w:p>
      <w:pPr>
        <w:pStyle w:val="4"/>
        <w:adjustRightInd/>
        <w:spacing w:line="360" w:lineRule="auto"/>
        <w:ind w:firstLine="420" w:firstLineChars="200"/>
        <w:rPr>
          <w:rFonts w:hAnsi="宋体"/>
          <w:color w:val="auto"/>
          <w:sz w:val="21"/>
          <w:szCs w:val="21"/>
          <w:highlight w:val="none"/>
        </w:rPr>
      </w:pPr>
      <w:bookmarkStart w:id="52" w:name="_Toc23606"/>
      <w:bookmarkStart w:id="53" w:name="_Toc29560"/>
      <w:bookmarkStart w:id="54" w:name="_Toc7897870"/>
      <w:bookmarkStart w:id="55" w:name="_Toc110953836"/>
      <w:bookmarkStart w:id="56" w:name="_Toc6968689"/>
      <w:bookmarkStart w:id="57" w:name="_Toc6882677"/>
      <w:bookmarkStart w:id="58" w:name="_Toc466786436"/>
      <w:bookmarkStart w:id="59" w:name="_Toc507407361"/>
      <w:bookmarkStart w:id="60" w:name="_Toc102277758"/>
      <w:r>
        <w:rPr>
          <w:rFonts w:hint="eastAsia" w:hAnsi="宋体"/>
          <w:color w:val="auto"/>
          <w:sz w:val="21"/>
          <w:szCs w:val="21"/>
          <w:highlight w:val="none"/>
        </w:rPr>
        <w:t>8.磋商文件构成</w:t>
      </w:r>
      <w:bookmarkEnd w:id="52"/>
      <w:bookmarkEnd w:id="53"/>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4"/>
        <w:adjustRightInd/>
        <w:spacing w:line="360" w:lineRule="auto"/>
        <w:ind w:firstLine="420" w:firstLineChars="200"/>
        <w:rPr>
          <w:rFonts w:hAnsi="宋体"/>
          <w:color w:val="auto"/>
          <w:sz w:val="21"/>
          <w:szCs w:val="21"/>
          <w:highlight w:val="none"/>
        </w:rPr>
      </w:pPr>
      <w:bookmarkStart w:id="61" w:name="_Toc19701"/>
      <w:bookmarkStart w:id="62" w:name="_Toc7897871"/>
      <w:bookmarkStart w:id="63" w:name="_Toc16827"/>
      <w:bookmarkStart w:id="64" w:name="_Toc110953837"/>
      <w:r>
        <w:rPr>
          <w:rFonts w:hint="eastAsia" w:hAnsi="宋体"/>
          <w:color w:val="auto"/>
          <w:sz w:val="21"/>
          <w:szCs w:val="21"/>
          <w:highlight w:val="none"/>
        </w:rPr>
        <w:t>9.磋商文件的修改</w:t>
      </w:r>
      <w:bookmarkEnd w:id="61"/>
      <w:bookmarkEnd w:id="62"/>
      <w:bookmarkEnd w:id="63"/>
      <w:bookmarkEnd w:id="6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12"/>
        <w:ind w:firstLine="400"/>
        <w:rPr>
          <w:color w:val="auto"/>
          <w:highlight w:val="none"/>
        </w:rPr>
      </w:pPr>
    </w:p>
    <w:bookmarkEnd w:id="56"/>
    <w:bookmarkEnd w:id="57"/>
    <w:bookmarkEnd w:id="58"/>
    <w:bookmarkEnd w:id="59"/>
    <w:bookmarkEnd w:id="60"/>
    <w:p>
      <w:pPr>
        <w:pStyle w:val="2"/>
        <w:adjustRightInd/>
        <w:spacing w:line="360" w:lineRule="auto"/>
        <w:ind w:firstLine="562" w:firstLineChars="200"/>
        <w:jc w:val="center"/>
        <w:rPr>
          <w:color w:val="auto"/>
          <w:sz w:val="28"/>
          <w:szCs w:val="28"/>
          <w:highlight w:val="none"/>
        </w:rPr>
      </w:pPr>
      <w:bookmarkStart w:id="65" w:name="_Toc15398"/>
      <w:bookmarkStart w:id="66" w:name="_Toc110953838"/>
      <w:bookmarkStart w:id="67" w:name="_Toc7897872"/>
      <w:bookmarkStart w:id="68" w:name="_Toc6882678"/>
      <w:bookmarkStart w:id="69" w:name="_Toc102277759"/>
      <w:bookmarkStart w:id="70" w:name="_Toc466786437"/>
      <w:bookmarkStart w:id="71" w:name="_Toc507407362"/>
      <w:bookmarkStart w:id="72" w:name="_Toc6968690"/>
      <w:r>
        <w:rPr>
          <w:rFonts w:hint="eastAsia"/>
          <w:color w:val="auto"/>
          <w:sz w:val="28"/>
          <w:szCs w:val="28"/>
          <w:highlight w:val="none"/>
        </w:rPr>
        <w:t>三、响应文件的制作</w:t>
      </w:r>
      <w:bookmarkEnd w:id="65"/>
      <w:bookmarkEnd w:id="66"/>
      <w:bookmarkEnd w:id="67"/>
    </w:p>
    <w:p>
      <w:pPr>
        <w:pStyle w:val="4"/>
        <w:adjustRightInd/>
        <w:spacing w:line="360" w:lineRule="auto"/>
        <w:ind w:firstLine="420" w:firstLineChars="200"/>
        <w:rPr>
          <w:rFonts w:hAnsi="宋体"/>
          <w:color w:val="auto"/>
          <w:sz w:val="21"/>
          <w:szCs w:val="21"/>
          <w:highlight w:val="none"/>
        </w:rPr>
      </w:pPr>
      <w:bookmarkStart w:id="73" w:name="_Toc23789"/>
      <w:bookmarkStart w:id="74" w:name="_Toc110953839"/>
      <w:bookmarkStart w:id="75" w:name="_Toc7897873"/>
      <w:bookmarkStart w:id="76" w:name="_Toc15756"/>
      <w:r>
        <w:rPr>
          <w:rFonts w:hint="eastAsia" w:hAnsi="宋体"/>
          <w:color w:val="auto"/>
          <w:sz w:val="21"/>
          <w:szCs w:val="21"/>
          <w:highlight w:val="none"/>
        </w:rPr>
        <w:t>10.制作要求</w:t>
      </w:r>
      <w:bookmarkEnd w:id="73"/>
      <w:bookmarkEnd w:id="74"/>
      <w:bookmarkEnd w:id="75"/>
      <w:bookmarkEnd w:id="7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4"/>
        <w:adjustRightInd/>
        <w:spacing w:line="360" w:lineRule="auto"/>
        <w:ind w:firstLine="420" w:firstLineChars="200"/>
        <w:rPr>
          <w:rFonts w:hAnsi="宋体"/>
          <w:color w:val="auto"/>
          <w:sz w:val="21"/>
          <w:szCs w:val="21"/>
          <w:highlight w:val="none"/>
        </w:rPr>
      </w:pPr>
      <w:bookmarkStart w:id="77" w:name="_Toc7897874"/>
      <w:bookmarkStart w:id="78" w:name="_Toc18079"/>
      <w:bookmarkStart w:id="79" w:name="_Toc110953840"/>
      <w:bookmarkStart w:id="80" w:name="_Toc20552"/>
      <w:r>
        <w:rPr>
          <w:rFonts w:hint="eastAsia" w:hAnsi="宋体"/>
          <w:color w:val="auto"/>
          <w:sz w:val="21"/>
          <w:szCs w:val="21"/>
          <w:highlight w:val="none"/>
        </w:rPr>
        <w:t>11.响应文件的内容</w:t>
      </w:r>
      <w:bookmarkEnd w:id="77"/>
      <w:bookmarkEnd w:id="78"/>
      <w:bookmarkEnd w:id="79"/>
      <w:bookmarkEnd w:id="8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w:t>
      </w:r>
      <w:r>
        <w:rPr>
          <w:rFonts w:hint="eastAsia"/>
          <w:bCs/>
          <w:color w:val="auto"/>
          <w:kern w:val="2"/>
          <w:sz w:val="21"/>
          <w:szCs w:val="21"/>
          <w:highlight w:val="none"/>
          <w:lang w:eastAsia="zh-CN"/>
        </w:rPr>
        <w:t>采用</w:t>
      </w:r>
      <w:r>
        <w:rPr>
          <w:rFonts w:hint="eastAsia"/>
          <w:bCs/>
          <w:color w:val="auto"/>
          <w:kern w:val="2"/>
          <w:sz w:val="21"/>
          <w:szCs w:val="21"/>
          <w:highlight w:val="none"/>
        </w:rPr>
        <w:t>固定综合单价</w:t>
      </w:r>
      <w:r>
        <w:rPr>
          <w:rFonts w:hint="eastAsia"/>
          <w:bCs/>
          <w:color w:val="auto"/>
          <w:kern w:val="2"/>
          <w:sz w:val="21"/>
          <w:szCs w:val="21"/>
          <w:highlight w:val="none"/>
          <w:lang w:eastAsia="zh-CN"/>
        </w:rPr>
        <w:t>、</w:t>
      </w:r>
      <w:r>
        <w:rPr>
          <w:rFonts w:hint="eastAsia"/>
          <w:bCs/>
          <w:color w:val="auto"/>
          <w:kern w:val="2"/>
          <w:sz w:val="21"/>
          <w:szCs w:val="21"/>
          <w:highlight w:val="none"/>
          <w:lang w:val="en-US" w:eastAsia="zh-CN"/>
        </w:rPr>
        <w:t>根据拟采购清单暂定总价的形式</w:t>
      </w:r>
      <w:r>
        <w:rPr>
          <w:rFonts w:hint="eastAsia"/>
          <w:bCs/>
          <w:color w:val="auto"/>
          <w:kern w:val="2"/>
          <w:sz w:val="21"/>
          <w:szCs w:val="21"/>
          <w:highlight w:val="none"/>
          <w:lang w:eastAsia="zh-CN"/>
        </w:rPr>
        <w:t>报价，</w:t>
      </w:r>
      <w:r>
        <w:rPr>
          <w:rFonts w:hint="eastAsia" w:hAnsi="宋体"/>
          <w:color w:val="auto"/>
          <w:sz w:val="21"/>
          <w:szCs w:val="21"/>
          <w:highlight w:val="none"/>
        </w:rPr>
        <w:t>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4"/>
        <w:adjustRightInd/>
        <w:spacing w:line="360" w:lineRule="auto"/>
        <w:ind w:firstLine="420" w:firstLineChars="200"/>
        <w:rPr>
          <w:rFonts w:hAnsi="宋体"/>
          <w:color w:val="auto"/>
          <w:sz w:val="21"/>
          <w:szCs w:val="21"/>
          <w:highlight w:val="none"/>
        </w:rPr>
      </w:pPr>
      <w:bookmarkStart w:id="81" w:name="_Toc9150"/>
      <w:bookmarkStart w:id="82" w:name="_Toc7897875"/>
      <w:bookmarkStart w:id="83" w:name="_Toc110953841"/>
      <w:bookmarkStart w:id="84" w:name="_Toc21763"/>
      <w:r>
        <w:rPr>
          <w:rFonts w:hint="eastAsia" w:hAnsi="宋体"/>
          <w:color w:val="auto"/>
          <w:sz w:val="21"/>
          <w:szCs w:val="21"/>
          <w:highlight w:val="none"/>
        </w:rPr>
        <w:t>12.响应文件格式</w:t>
      </w:r>
      <w:bookmarkEnd w:id="81"/>
      <w:bookmarkEnd w:id="82"/>
      <w:bookmarkEnd w:id="83"/>
      <w:bookmarkEnd w:id="8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4"/>
        <w:adjustRightInd/>
        <w:spacing w:line="360" w:lineRule="auto"/>
        <w:ind w:firstLine="420" w:firstLineChars="200"/>
        <w:rPr>
          <w:rFonts w:hAnsi="宋体"/>
          <w:color w:val="auto"/>
          <w:sz w:val="21"/>
          <w:szCs w:val="21"/>
          <w:highlight w:val="none"/>
        </w:rPr>
      </w:pPr>
      <w:bookmarkStart w:id="85" w:name="_Toc185150707"/>
      <w:bookmarkStart w:id="86" w:name="_Toc7897876"/>
      <w:bookmarkStart w:id="87" w:name="_Toc24570"/>
      <w:bookmarkStart w:id="88" w:name="_Toc30889"/>
      <w:r>
        <w:rPr>
          <w:rFonts w:hint="eastAsia" w:hAnsi="宋体"/>
          <w:color w:val="auto"/>
          <w:sz w:val="21"/>
          <w:szCs w:val="21"/>
          <w:highlight w:val="none"/>
        </w:rPr>
        <w:t>13.</w:t>
      </w:r>
      <w:bookmarkEnd w:id="85"/>
      <w:r>
        <w:rPr>
          <w:rFonts w:hint="eastAsia" w:hAnsi="宋体"/>
          <w:color w:val="auto"/>
          <w:sz w:val="21"/>
          <w:szCs w:val="21"/>
          <w:highlight w:val="none"/>
        </w:rPr>
        <w:t>磋商保证金</w:t>
      </w:r>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2"/>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2"/>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4292"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078"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92"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shd w:val="clear" w:color="auto" w:fill="auto"/>
                <w:lang w:eastAsia="zh-CN"/>
              </w:rPr>
              <w:t>松山湖大学创新城--创新配套服务区专家公寓电视机采购项目</w:t>
            </w:r>
          </w:p>
        </w:tc>
        <w:tc>
          <w:tcPr>
            <w:tcW w:w="3078" w:type="dxa"/>
            <w:vAlign w:val="center"/>
          </w:tcPr>
          <w:p>
            <w:pPr>
              <w:widowControl/>
              <w:jc w:val="center"/>
              <w:rPr>
                <w:rFonts w:hint="eastAsia" w:hAnsi="宋体"/>
                <w:color w:val="auto"/>
                <w:sz w:val="21"/>
                <w:szCs w:val="21"/>
                <w:highlight w:val="none"/>
                <w:lang w:eastAsia="zh-CN"/>
              </w:rPr>
            </w:pPr>
            <w:r>
              <w:rPr>
                <w:rFonts w:hint="eastAsia" w:hAnsi="宋体"/>
                <w:color w:val="auto"/>
                <w:sz w:val="21"/>
                <w:szCs w:val="21"/>
                <w:highlight w:val="none"/>
                <w:lang w:eastAsia="zh-CN"/>
              </w:rPr>
              <w:t>人民币壹万玖仟元</w:t>
            </w:r>
          </w:p>
          <w:p>
            <w:pPr>
              <w:widowControl/>
              <w:jc w:val="center"/>
              <w:rPr>
                <w:rFonts w:hAnsi="宋体"/>
                <w:color w:val="auto"/>
                <w:sz w:val="21"/>
                <w:szCs w:val="21"/>
                <w:highlight w:val="none"/>
              </w:rPr>
            </w:pPr>
            <w:r>
              <w:rPr>
                <w:rFonts w:hint="eastAsia" w:hAnsi="宋体"/>
                <w:color w:val="auto"/>
                <w:sz w:val="21"/>
                <w:szCs w:val="21"/>
                <w:highlight w:val="none"/>
              </w:rPr>
              <w:t>（¥</w:t>
            </w:r>
            <w:r>
              <w:rPr>
                <w:rFonts w:hint="eastAsia" w:hAnsi="宋体"/>
                <w:color w:val="auto"/>
                <w:sz w:val="21"/>
                <w:szCs w:val="21"/>
                <w:highlight w:val="none"/>
                <w:lang w:val="en-US" w:eastAsia="zh-CN"/>
              </w:rPr>
              <w:t>19</w:t>
            </w:r>
            <w:r>
              <w:rPr>
                <w:rFonts w:hint="eastAsia" w:hAnsi="宋体"/>
                <w:color w:val="auto"/>
                <w:sz w:val="21"/>
                <w:szCs w:val="21"/>
                <w:highlight w:val="none"/>
              </w:rPr>
              <w:t>,000.00元）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color w:val="auto"/>
          <w:kern w:val="2"/>
          <w:sz w:val="21"/>
          <w:szCs w:val="21"/>
          <w:highlight w:val="none"/>
          <w:lang w:val="zh-CN"/>
        </w:rPr>
        <w:t>项目编号、包号</w:t>
      </w:r>
      <w:r>
        <w:rPr>
          <w:rFonts w:hint="eastAsia" w:hAnsi="宋体"/>
          <w:color w:val="auto"/>
          <w:kern w:val="2"/>
          <w:sz w:val="21"/>
          <w:szCs w:val="21"/>
          <w:highlight w:val="none"/>
          <w:lang w:val="zh-CN"/>
        </w:rPr>
        <w:t>。</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账户名称：广东泰通伟业工程咨询有限公司</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  号：</w:t>
      </w:r>
      <w:bookmarkStart w:id="263" w:name="_GoBack"/>
      <w:r>
        <w:rPr>
          <w:rFonts w:hint="eastAsia" w:hAnsi="宋体" w:cs="宋体"/>
          <w:b/>
          <w:bCs/>
          <w:i w:val="0"/>
          <w:iCs w:val="0"/>
          <w:color w:val="auto"/>
          <w:kern w:val="2"/>
          <w:sz w:val="21"/>
          <w:szCs w:val="21"/>
          <w:highlight w:val="none"/>
          <w:lang w:val="zh-CN"/>
        </w:rPr>
        <w:t>6232590699050044591</w:t>
      </w:r>
      <w:bookmarkEnd w:id="263"/>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4"/>
        <w:adjustRightInd/>
        <w:spacing w:line="360" w:lineRule="auto"/>
        <w:ind w:firstLine="420" w:firstLineChars="200"/>
        <w:rPr>
          <w:rFonts w:hAnsi="宋体"/>
          <w:color w:val="auto"/>
          <w:sz w:val="21"/>
          <w:szCs w:val="21"/>
          <w:highlight w:val="none"/>
        </w:rPr>
      </w:pPr>
      <w:bookmarkStart w:id="89" w:name="_Toc479991583"/>
      <w:bookmarkStart w:id="90" w:name="_Toc480010709"/>
      <w:bookmarkStart w:id="91" w:name="_Toc480020258"/>
      <w:bookmarkStart w:id="92" w:name="_Toc467236741"/>
      <w:bookmarkStart w:id="93" w:name="_Toc467987824"/>
      <w:bookmarkStart w:id="94" w:name="_Toc110953842"/>
      <w:bookmarkStart w:id="95" w:name="_Toc468157537"/>
      <w:bookmarkStart w:id="96" w:name="_Toc2525"/>
      <w:bookmarkStart w:id="97" w:name="_Toc503758471"/>
      <w:bookmarkStart w:id="98" w:name="_Toc480171880"/>
      <w:bookmarkStart w:id="99" w:name="_Toc468606030"/>
      <w:bookmarkStart w:id="100" w:name="_Toc32304"/>
      <w:bookmarkStart w:id="101" w:name="_Toc480021054"/>
      <w:bookmarkStart w:id="102" w:name="_Toc7897877"/>
      <w:bookmarkStart w:id="103" w:name="_Toc454701382"/>
      <w:bookmarkStart w:id="104" w:name="_Toc458262615"/>
      <w:r>
        <w:rPr>
          <w:rFonts w:hint="eastAsia" w:hAnsi="宋体"/>
          <w:color w:val="auto"/>
          <w:sz w:val="21"/>
          <w:szCs w:val="21"/>
          <w:highlight w:val="none"/>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12"/>
        <w:ind w:firstLine="400"/>
        <w:rPr>
          <w:color w:val="auto"/>
          <w:highlight w:val="none"/>
        </w:rPr>
      </w:pPr>
    </w:p>
    <w:bookmarkEnd w:id="68"/>
    <w:bookmarkEnd w:id="69"/>
    <w:bookmarkEnd w:id="70"/>
    <w:bookmarkEnd w:id="71"/>
    <w:bookmarkEnd w:id="72"/>
    <w:p>
      <w:pPr>
        <w:pStyle w:val="2"/>
        <w:adjustRightInd/>
        <w:spacing w:line="360" w:lineRule="auto"/>
        <w:ind w:firstLine="562" w:firstLineChars="200"/>
        <w:jc w:val="center"/>
        <w:rPr>
          <w:color w:val="auto"/>
          <w:sz w:val="28"/>
          <w:szCs w:val="28"/>
          <w:highlight w:val="none"/>
        </w:rPr>
      </w:pPr>
      <w:bookmarkStart w:id="105" w:name="_Toc110953843"/>
      <w:bookmarkStart w:id="106" w:name="_Toc7897878"/>
      <w:bookmarkStart w:id="107" w:name="_Toc17761"/>
      <w:bookmarkStart w:id="108" w:name="_Toc102277760"/>
      <w:bookmarkStart w:id="109" w:name="_Toc507407363"/>
      <w:bookmarkStart w:id="110" w:name="_Toc466786438"/>
      <w:bookmarkStart w:id="111" w:name="_Toc6882679"/>
      <w:bookmarkStart w:id="112" w:name="_Toc6968691"/>
      <w:r>
        <w:rPr>
          <w:rFonts w:hint="eastAsia"/>
          <w:color w:val="auto"/>
          <w:sz w:val="28"/>
          <w:szCs w:val="28"/>
          <w:highlight w:val="none"/>
        </w:rPr>
        <w:t>四、响应文件的递交</w:t>
      </w:r>
      <w:bookmarkEnd w:id="105"/>
      <w:bookmarkEnd w:id="106"/>
      <w:bookmarkEnd w:id="107"/>
    </w:p>
    <w:p>
      <w:pPr>
        <w:pStyle w:val="4"/>
        <w:adjustRightInd/>
        <w:spacing w:line="360" w:lineRule="auto"/>
        <w:ind w:firstLine="420" w:firstLineChars="200"/>
        <w:rPr>
          <w:rFonts w:hAnsi="宋体"/>
          <w:color w:val="auto"/>
          <w:sz w:val="21"/>
          <w:szCs w:val="21"/>
          <w:highlight w:val="none"/>
        </w:rPr>
      </w:pPr>
      <w:bookmarkStart w:id="113" w:name="_Toc110953844"/>
      <w:bookmarkStart w:id="114" w:name="_Toc7897879"/>
      <w:bookmarkStart w:id="115" w:name="_Toc2684"/>
      <w:bookmarkStart w:id="116" w:name="_Toc11500"/>
      <w:r>
        <w:rPr>
          <w:rFonts w:hint="eastAsia" w:hAnsi="宋体"/>
          <w:color w:val="auto"/>
          <w:sz w:val="21"/>
          <w:szCs w:val="21"/>
          <w:highlight w:val="none"/>
        </w:rPr>
        <w:t>15.响应文件的密封和标记</w:t>
      </w:r>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w:t>
      </w:r>
      <w:r>
        <w:rPr>
          <w:rFonts w:hint="eastAsia" w:hAnsi="宋体"/>
          <w:color w:val="auto"/>
          <w:sz w:val="21"/>
          <w:szCs w:val="21"/>
          <w:highlight w:val="none"/>
          <w:lang w:eastAsia="zh-CN"/>
        </w:rPr>
        <w:t>项目编号</w:t>
      </w:r>
      <w:r>
        <w:rPr>
          <w:rFonts w:hint="eastAsia" w:hAnsi="宋体"/>
          <w:color w:val="auto"/>
          <w:sz w:val="21"/>
          <w:szCs w:val="21"/>
          <w:highlight w:val="none"/>
        </w:rPr>
        <w:t>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int="eastAsia" w:hAnsi="宋体" w:eastAsia="宋体"/>
          <w:color w:val="auto"/>
          <w:sz w:val="21"/>
          <w:szCs w:val="21"/>
          <w:highlight w:val="none"/>
          <w:lang w:eastAsia="zh-CN"/>
        </w:rPr>
      </w:pPr>
      <w:r>
        <w:rPr>
          <w:rFonts w:hint="eastAsia" w:hAnsi="宋体"/>
          <w:color w:val="auto"/>
          <w:sz w:val="21"/>
          <w:szCs w:val="21"/>
          <w:highlight w:val="none"/>
          <w:lang w:eastAsia="zh-CN"/>
        </w:rPr>
        <w:t>③</w:t>
      </w:r>
      <w:r>
        <w:rPr>
          <w:rFonts w:hint="eastAsia" w:hAnsi="宋体"/>
          <w:color w:val="auto"/>
          <w:sz w:val="21"/>
          <w:szCs w:val="21"/>
          <w:highlight w:val="none"/>
          <w:lang w:val="en-US" w:eastAsia="zh-CN"/>
        </w:rPr>
        <w:t xml:space="preserve"> </w:t>
      </w:r>
      <w:r>
        <w:rPr>
          <w:rFonts w:hint="eastAsia" w:hAnsi="宋体"/>
          <w:color w:val="auto"/>
          <w:sz w:val="21"/>
          <w:szCs w:val="21"/>
          <w:highlight w:val="none"/>
          <w:lang w:eastAsia="zh-CN"/>
        </w:rPr>
        <w:t>包</w:t>
      </w:r>
      <w:r>
        <w:rPr>
          <w:rFonts w:hint="eastAsia" w:hAnsi="宋体"/>
          <w:color w:val="auto"/>
          <w:sz w:val="21"/>
          <w:szCs w:val="21"/>
          <w:highlight w:val="none"/>
          <w:lang w:val="en-US" w:eastAsia="zh-CN"/>
        </w:rPr>
        <w:t xml:space="preserve">    </w:t>
      </w:r>
      <w:r>
        <w:rPr>
          <w:rFonts w:hint="eastAsia" w:hAnsi="宋体"/>
          <w:color w:val="auto"/>
          <w:sz w:val="21"/>
          <w:szCs w:val="21"/>
          <w:highlight w:val="none"/>
          <w:lang w:eastAsia="zh-CN"/>
        </w:rPr>
        <w:t>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④</w:t>
      </w:r>
      <w:r>
        <w:rPr>
          <w:rFonts w:hint="eastAsia" w:hAnsi="宋体"/>
          <w:color w:val="auto"/>
          <w:sz w:val="21"/>
          <w:szCs w:val="21"/>
          <w:highlight w:val="none"/>
        </w:rPr>
        <w:t xml:space="preserve"> </w:t>
      </w:r>
      <w:r>
        <w:rPr>
          <w:rFonts w:hint="eastAsia" w:hAnsi="宋体"/>
          <w:color w:val="auto"/>
          <w:sz w:val="21"/>
          <w:szCs w:val="21"/>
          <w:highlight w:val="none"/>
          <w:lang w:eastAsia="zh-CN"/>
        </w:rPr>
        <w:t>项目编号</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⑤</w:t>
      </w:r>
      <w:r>
        <w:rPr>
          <w:rFonts w:hint="eastAsia" w:hAnsi="宋体"/>
          <w:color w:val="auto"/>
          <w:sz w:val="21"/>
          <w:szCs w:val="21"/>
          <w:highlight w:val="none"/>
        </w:rPr>
        <w:t xml:space="preserve">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⑥</w:t>
      </w:r>
      <w:r>
        <w:rPr>
          <w:rFonts w:hint="eastAsia" w:hAnsi="宋体"/>
          <w:color w:val="auto"/>
          <w:sz w:val="21"/>
          <w:szCs w:val="21"/>
          <w:highlight w:val="none"/>
        </w:rPr>
        <w:t xml:space="preserve">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4"/>
        <w:adjustRightInd/>
        <w:spacing w:line="360" w:lineRule="auto"/>
        <w:ind w:firstLine="420" w:firstLineChars="200"/>
        <w:rPr>
          <w:rFonts w:hAnsi="宋体"/>
          <w:color w:val="auto"/>
          <w:sz w:val="21"/>
          <w:szCs w:val="21"/>
          <w:highlight w:val="none"/>
        </w:rPr>
      </w:pPr>
      <w:bookmarkStart w:id="117" w:name="_Toc7897880"/>
      <w:bookmarkStart w:id="118" w:name="_Toc10017"/>
      <w:bookmarkStart w:id="119" w:name="_Toc12710"/>
      <w:bookmarkStart w:id="120" w:name="_Toc110953845"/>
      <w:r>
        <w:rPr>
          <w:rFonts w:hint="eastAsia" w:hAnsi="宋体"/>
          <w:color w:val="auto"/>
          <w:sz w:val="21"/>
          <w:szCs w:val="21"/>
          <w:highlight w:val="none"/>
        </w:rPr>
        <w:t>16.响应文件的递交</w:t>
      </w:r>
      <w:bookmarkEnd w:id="117"/>
      <w:bookmarkEnd w:id="118"/>
      <w:bookmarkEnd w:id="119"/>
      <w:bookmarkEnd w:id="12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2" w:firstLineChars="200"/>
        <w:rPr>
          <w:rFonts w:hint="default" w:hAnsi="宋体" w:eastAsia="宋体"/>
          <w:b/>
          <w:bCs/>
          <w:color w:val="auto"/>
          <w:sz w:val="21"/>
          <w:szCs w:val="21"/>
          <w:highlight w:val="none"/>
          <w:lang w:val="en-US" w:eastAsia="zh-CN"/>
        </w:rPr>
      </w:pPr>
      <w:r>
        <w:rPr>
          <w:rFonts w:hint="eastAsia" w:hAnsi="宋体"/>
          <w:b/>
          <w:bCs/>
          <w:color w:val="auto"/>
          <w:sz w:val="21"/>
          <w:szCs w:val="21"/>
          <w:highlight w:val="none"/>
          <w:lang w:val="en-US" w:eastAsia="zh-CN"/>
        </w:rPr>
        <w:t>16.2若</w:t>
      </w:r>
      <w:r>
        <w:rPr>
          <w:rFonts w:hint="eastAsia" w:hAnsi="宋体"/>
          <w:b/>
          <w:bCs/>
          <w:color w:val="auto"/>
          <w:sz w:val="21"/>
          <w:szCs w:val="21"/>
          <w:highlight w:val="none"/>
        </w:rPr>
        <w:t>供应商</w:t>
      </w:r>
      <w:r>
        <w:rPr>
          <w:rFonts w:hint="eastAsia" w:hAnsi="宋体"/>
          <w:b/>
          <w:bCs/>
          <w:color w:val="auto"/>
          <w:sz w:val="21"/>
          <w:szCs w:val="21"/>
          <w:highlight w:val="none"/>
          <w:lang w:eastAsia="zh-CN"/>
        </w:rPr>
        <w:t>同时响应多个包组，</w:t>
      </w:r>
      <w:r>
        <w:rPr>
          <w:rFonts w:hint="eastAsia" w:hAnsi="宋体"/>
          <w:b/>
          <w:bCs/>
          <w:color w:val="auto"/>
          <w:sz w:val="21"/>
          <w:szCs w:val="21"/>
          <w:highlight w:val="none"/>
          <w:lang w:val="en-US" w:eastAsia="zh-CN"/>
        </w:rPr>
        <w:t>必须按包号分别制作并递交密封磋商响应文件。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w:t>
      </w:r>
      <w:r>
        <w:rPr>
          <w:rFonts w:hint="eastAsia" w:hAnsi="宋体"/>
          <w:color w:val="auto"/>
          <w:sz w:val="21"/>
          <w:szCs w:val="21"/>
          <w:highlight w:val="none"/>
          <w:lang w:val="en-US" w:eastAsia="zh-CN"/>
        </w:rPr>
        <w:t>3</w:t>
      </w:r>
      <w:r>
        <w:rPr>
          <w:rFonts w:hint="eastAsia" w:hAnsi="宋体"/>
          <w:color w:val="auto"/>
          <w:sz w:val="21"/>
          <w:szCs w:val="21"/>
          <w:highlight w:val="none"/>
        </w:rPr>
        <w:t>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w:t>
      </w:r>
      <w:r>
        <w:rPr>
          <w:rFonts w:hint="eastAsia" w:hAnsi="宋体"/>
          <w:color w:val="auto"/>
          <w:sz w:val="21"/>
          <w:szCs w:val="21"/>
          <w:highlight w:val="none"/>
          <w:lang w:val="en-US" w:eastAsia="zh-CN"/>
        </w:rPr>
        <w:t>4</w:t>
      </w:r>
      <w:r>
        <w:rPr>
          <w:rFonts w:hint="eastAsia" w:hAnsi="宋体"/>
          <w:color w:val="auto"/>
          <w:sz w:val="21"/>
          <w:szCs w:val="21"/>
          <w:highlight w:val="none"/>
        </w:rPr>
        <w:t>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2"/>
        <w:adjustRightInd/>
        <w:spacing w:line="360" w:lineRule="auto"/>
        <w:ind w:firstLine="562" w:firstLineChars="200"/>
        <w:jc w:val="center"/>
        <w:rPr>
          <w:color w:val="auto"/>
          <w:sz w:val="28"/>
          <w:szCs w:val="28"/>
          <w:highlight w:val="none"/>
        </w:rPr>
      </w:pPr>
      <w:bookmarkStart w:id="121" w:name="_Toc7897881"/>
      <w:bookmarkStart w:id="122" w:name="_Toc22874"/>
      <w:r>
        <w:rPr>
          <w:rFonts w:hint="eastAsia"/>
          <w:color w:val="auto"/>
          <w:sz w:val="28"/>
          <w:szCs w:val="28"/>
          <w:highlight w:val="none"/>
        </w:rPr>
        <w:t>五、采购仪式和</w:t>
      </w:r>
      <w:bookmarkEnd w:id="108"/>
      <w:bookmarkEnd w:id="109"/>
      <w:bookmarkEnd w:id="110"/>
      <w:bookmarkEnd w:id="111"/>
      <w:bookmarkEnd w:id="112"/>
      <w:r>
        <w:rPr>
          <w:rFonts w:hint="eastAsia"/>
          <w:color w:val="auto"/>
          <w:sz w:val="28"/>
          <w:szCs w:val="28"/>
          <w:highlight w:val="none"/>
        </w:rPr>
        <w:t>评审会议</w:t>
      </w:r>
      <w:bookmarkEnd w:id="121"/>
      <w:bookmarkEnd w:id="122"/>
    </w:p>
    <w:p>
      <w:pPr>
        <w:pStyle w:val="4"/>
        <w:adjustRightInd/>
        <w:spacing w:line="360" w:lineRule="auto"/>
        <w:ind w:firstLine="422" w:firstLineChars="200"/>
        <w:rPr>
          <w:rFonts w:hAnsi="宋体"/>
          <w:b/>
          <w:color w:val="auto"/>
          <w:sz w:val="21"/>
          <w:szCs w:val="21"/>
          <w:highlight w:val="none"/>
        </w:rPr>
      </w:pPr>
      <w:bookmarkStart w:id="123" w:name="_Toc475249134"/>
      <w:r>
        <w:rPr>
          <w:rFonts w:hint="eastAsia" w:hAnsi="宋体"/>
          <w:b/>
          <w:color w:val="auto"/>
          <w:sz w:val="21"/>
          <w:szCs w:val="21"/>
          <w:highlight w:val="none"/>
        </w:rPr>
        <w:t>17.</w:t>
      </w:r>
      <w:bookmarkEnd w:id="123"/>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24" w:name="_Toc475249135"/>
      <w:bookmarkStart w:id="125"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w:t>
      </w:r>
      <w:r>
        <w:rPr>
          <w:rFonts w:hint="eastAsia" w:hAnsi="宋体"/>
          <w:color w:val="auto"/>
          <w:sz w:val="21"/>
          <w:szCs w:val="21"/>
          <w:highlight w:val="none"/>
          <w:lang w:eastAsia="zh-CN"/>
        </w:rPr>
        <w:t>响应</w:t>
      </w:r>
      <w:r>
        <w:rPr>
          <w:rFonts w:hint="eastAsia" w:hAnsi="宋体"/>
          <w:color w:val="auto"/>
          <w:sz w:val="21"/>
          <w:szCs w:val="21"/>
          <w:highlight w:val="none"/>
        </w:rPr>
        <w:t>文件前，采购人、采购代理机构和供应商将检查响应文件的密封情况。在确认密封完好后，进行拆封唱标。唱标主要内容为保证金汇入情况以及采购代理机构认为合适的其他内容，并做唱标记录。</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2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4"/>
        <w:adjustRightInd/>
        <w:spacing w:line="360" w:lineRule="auto"/>
        <w:ind w:firstLine="422" w:firstLineChars="200"/>
        <w:rPr>
          <w:rFonts w:hAnsi="宋体"/>
          <w:b/>
          <w:color w:val="auto"/>
          <w:sz w:val="21"/>
          <w:szCs w:val="21"/>
          <w:highlight w:val="none"/>
        </w:rPr>
      </w:pPr>
      <w:bookmarkStart w:id="126" w:name="_Toc535141844"/>
      <w:bookmarkStart w:id="127" w:name="_Toc37121259"/>
      <w:r>
        <w:rPr>
          <w:rFonts w:hint="eastAsia" w:hAnsi="宋体"/>
          <w:b/>
          <w:color w:val="auto"/>
          <w:sz w:val="21"/>
          <w:szCs w:val="21"/>
          <w:highlight w:val="none"/>
        </w:rPr>
        <w:t>19.对响应文件的初审</w:t>
      </w:r>
      <w:bookmarkEnd w:id="126"/>
      <w:bookmarkEnd w:id="12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25"/>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12"/>
        <w:ind w:firstLine="400"/>
        <w:rPr>
          <w:color w:val="auto"/>
          <w:highlight w:val="none"/>
        </w:rPr>
      </w:pPr>
    </w:p>
    <w:p>
      <w:pPr>
        <w:pStyle w:val="2"/>
        <w:adjustRightInd/>
        <w:spacing w:line="360" w:lineRule="auto"/>
        <w:ind w:firstLine="562" w:firstLineChars="200"/>
        <w:jc w:val="center"/>
        <w:rPr>
          <w:color w:val="auto"/>
          <w:sz w:val="28"/>
          <w:szCs w:val="28"/>
          <w:highlight w:val="none"/>
        </w:rPr>
      </w:pPr>
      <w:bookmarkStart w:id="128" w:name="_Toc18625"/>
      <w:bookmarkStart w:id="129" w:name="_Toc7897882"/>
      <w:r>
        <w:rPr>
          <w:rFonts w:hint="eastAsia"/>
          <w:color w:val="auto"/>
          <w:sz w:val="28"/>
          <w:szCs w:val="28"/>
          <w:highlight w:val="none"/>
        </w:rPr>
        <w:t>六、确定成交供应商</w:t>
      </w:r>
      <w:bookmarkEnd w:id="128"/>
      <w:bookmarkEnd w:id="129"/>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4"/>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lang w:eastAsia="zh-CN"/>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lang w:eastAsia="zh-CN"/>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lang w:eastAsia="zh-CN"/>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lang w:eastAsia="zh-CN"/>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4"/>
        <w:adjustRightInd/>
        <w:spacing w:line="360" w:lineRule="auto"/>
        <w:ind w:firstLine="422" w:firstLineChars="200"/>
        <w:rPr>
          <w:rFonts w:hAnsi="宋体"/>
          <w:b/>
          <w:color w:val="auto"/>
          <w:sz w:val="21"/>
          <w:szCs w:val="21"/>
          <w:highlight w:val="none"/>
        </w:rPr>
      </w:pPr>
      <w:bookmarkStart w:id="130" w:name="_Toc475249142"/>
      <w:r>
        <w:rPr>
          <w:rFonts w:hint="eastAsia" w:hAnsi="宋体"/>
          <w:b/>
          <w:color w:val="auto"/>
          <w:sz w:val="21"/>
          <w:szCs w:val="21"/>
          <w:highlight w:val="none"/>
        </w:rPr>
        <w:t>26.成交通知</w:t>
      </w:r>
      <w:bookmarkEnd w:id="13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sz w:val="21"/>
          <w:szCs w:val="21"/>
          <w:highlight w:val="none"/>
          <w:lang w:eastAsia="zh-CN"/>
        </w:rPr>
        <w:t>磋商文件</w:t>
      </w:r>
      <w:r>
        <w:rPr>
          <w:rFonts w:hint="eastAsia" w:hAnsi="宋体"/>
          <w:color w:val="auto"/>
          <w:sz w:val="21"/>
          <w:szCs w:val="21"/>
          <w:highlight w:val="none"/>
        </w:rPr>
        <w:t>指定的采购信息发布媒体上公告，同时向成交供应商发出成交通知书，并将磋商文件随成交结果同时公告。</w:t>
      </w:r>
    </w:p>
    <w:p>
      <w:pPr>
        <w:pStyle w:val="12"/>
        <w:ind w:firstLine="400"/>
        <w:rPr>
          <w:color w:val="auto"/>
          <w:highlight w:val="none"/>
        </w:rPr>
      </w:pPr>
    </w:p>
    <w:p>
      <w:pPr>
        <w:pStyle w:val="2"/>
        <w:adjustRightInd/>
        <w:spacing w:line="360" w:lineRule="auto"/>
        <w:ind w:firstLine="562" w:firstLineChars="200"/>
        <w:jc w:val="center"/>
        <w:rPr>
          <w:color w:val="auto"/>
          <w:sz w:val="28"/>
          <w:szCs w:val="28"/>
          <w:highlight w:val="none"/>
        </w:rPr>
      </w:pPr>
      <w:bookmarkStart w:id="131" w:name="_Toc28276"/>
      <w:bookmarkStart w:id="132" w:name="_Toc110953852"/>
      <w:bookmarkStart w:id="133" w:name="_Toc7897883"/>
      <w:bookmarkStart w:id="134" w:name="_Toc37756778"/>
      <w:bookmarkStart w:id="135" w:name="_Toc475249143"/>
      <w:r>
        <w:rPr>
          <w:rFonts w:hint="eastAsia"/>
          <w:color w:val="auto"/>
          <w:sz w:val="28"/>
          <w:szCs w:val="28"/>
          <w:highlight w:val="none"/>
        </w:rPr>
        <w:t>七、签订采购合同</w:t>
      </w:r>
      <w:bookmarkEnd w:id="131"/>
      <w:bookmarkEnd w:id="132"/>
      <w:bookmarkEnd w:id="133"/>
      <w:bookmarkEnd w:id="13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w:t>
      </w:r>
      <w:r>
        <w:rPr>
          <w:rFonts w:hint="eastAsia" w:hAnsi="宋体"/>
          <w:color w:val="auto"/>
          <w:sz w:val="21"/>
          <w:szCs w:val="21"/>
          <w:highlight w:val="none"/>
          <w:lang w:eastAsia="zh-CN"/>
        </w:rPr>
        <w:t>磋商文件</w:t>
      </w:r>
      <w:r>
        <w:rPr>
          <w:rFonts w:hint="eastAsia" w:hAnsi="宋体"/>
          <w:color w:val="auto"/>
          <w:sz w:val="21"/>
          <w:szCs w:val="21"/>
          <w:highlight w:val="none"/>
        </w:rPr>
        <w:t>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35"/>
    <w:p>
      <w:pPr>
        <w:pStyle w:val="2"/>
        <w:adjustRightInd/>
        <w:spacing w:line="360" w:lineRule="auto"/>
        <w:ind w:firstLine="562" w:firstLineChars="200"/>
        <w:jc w:val="center"/>
        <w:rPr>
          <w:color w:val="auto"/>
          <w:sz w:val="21"/>
          <w:szCs w:val="21"/>
          <w:highlight w:val="none"/>
        </w:rPr>
      </w:pPr>
      <w:bookmarkStart w:id="136" w:name="_Toc7897884"/>
      <w:bookmarkStart w:id="137" w:name="_Toc8766"/>
      <w:bookmarkStart w:id="138" w:name="_Toc396137239"/>
      <w:bookmarkStart w:id="139" w:name="_Toc3498"/>
      <w:bookmarkStart w:id="140" w:name="_Toc5141"/>
      <w:bookmarkStart w:id="141" w:name="_Toc396137240"/>
      <w:bookmarkStart w:id="142" w:name="_Toc22751"/>
      <w:r>
        <w:rPr>
          <w:rFonts w:hint="eastAsia"/>
          <w:color w:val="auto"/>
          <w:sz w:val="28"/>
          <w:szCs w:val="28"/>
          <w:highlight w:val="none"/>
        </w:rPr>
        <w:t>八、成交服务费</w:t>
      </w:r>
      <w:bookmarkEnd w:id="136"/>
      <w:bookmarkEnd w:id="137"/>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.1</w:t>
      </w:r>
      <w:r>
        <w:rPr>
          <w:rFonts w:hint="eastAsia" w:hAnsi="宋体"/>
          <w:color w:val="auto"/>
          <w:sz w:val="21"/>
          <w:szCs w:val="21"/>
          <w:highlight w:val="none"/>
          <w:lang w:eastAsia="zh-CN"/>
        </w:rPr>
        <w:t>成交供应商</w:t>
      </w:r>
      <w:r>
        <w:rPr>
          <w:rFonts w:hint="eastAsia" w:hAnsi="宋体"/>
          <w:color w:val="auto"/>
          <w:sz w:val="21"/>
          <w:szCs w:val="21"/>
          <w:highlight w:val="none"/>
        </w:rPr>
        <w:t>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.2成交服务费</w:t>
      </w:r>
      <w:r>
        <w:rPr>
          <w:rFonts w:hint="eastAsia" w:hAnsi="宋体"/>
          <w:color w:val="auto"/>
          <w:sz w:val="21"/>
          <w:szCs w:val="21"/>
          <w:highlight w:val="none"/>
          <w:lang w:eastAsia="zh-CN"/>
        </w:rPr>
        <w:t>参照</w:t>
      </w:r>
      <w:r>
        <w:rPr>
          <w:rFonts w:hint="eastAsia" w:hAnsi="宋体"/>
          <w:color w:val="auto"/>
          <w:sz w:val="21"/>
          <w:szCs w:val="21"/>
          <w:highlight w:val="none"/>
        </w:rPr>
        <w:t>国家计委[计价格[2002]1980号]文和国家发改委[发改价格[2011]534号]文及相关规定</w:t>
      </w:r>
      <w:r>
        <w:rPr>
          <w:rFonts w:hint="eastAsia" w:hAnsi="宋体"/>
          <w:color w:val="auto"/>
          <w:sz w:val="21"/>
          <w:szCs w:val="21"/>
          <w:highlight w:val="none"/>
          <w:lang w:val="en-US" w:eastAsia="zh-CN"/>
        </w:rPr>
        <w:t>的7折</w:t>
      </w:r>
      <w:r>
        <w:rPr>
          <w:rFonts w:hint="eastAsia" w:hAnsi="宋体"/>
          <w:color w:val="auto"/>
          <w:sz w:val="21"/>
          <w:szCs w:val="21"/>
          <w:highlight w:val="none"/>
        </w:rPr>
        <w:t>收取，按差额定率累进法计算，按</w:t>
      </w:r>
      <w:r>
        <w:rPr>
          <w:rFonts w:hint="eastAsia" w:hAnsi="宋体"/>
          <w:color w:val="auto"/>
          <w:sz w:val="21"/>
          <w:szCs w:val="21"/>
          <w:highlight w:val="none"/>
          <w:lang w:eastAsia="zh-CN"/>
        </w:rPr>
        <w:t>货物类收取</w:t>
      </w:r>
      <w:r>
        <w:rPr>
          <w:rFonts w:hint="eastAsia" w:hAnsi="宋体"/>
          <w:color w:val="auto"/>
          <w:sz w:val="21"/>
          <w:szCs w:val="21"/>
          <w:highlight w:val="none"/>
        </w:rPr>
        <w:t>，以成交通知书中确定的成交总金额作为收费的计算依据。成交服务费最低收费标准为伍仟元整。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.4服务费应由</w:t>
      </w:r>
      <w:r>
        <w:rPr>
          <w:rFonts w:hint="eastAsia" w:hAnsi="宋体"/>
          <w:color w:val="auto"/>
          <w:sz w:val="21"/>
          <w:szCs w:val="21"/>
          <w:highlight w:val="none"/>
          <w:lang w:eastAsia="zh-CN"/>
        </w:rPr>
        <w:t>成交供应商</w:t>
      </w:r>
      <w:r>
        <w:rPr>
          <w:rFonts w:hint="eastAsia" w:hAnsi="宋体"/>
          <w:color w:val="auto"/>
          <w:sz w:val="21"/>
          <w:szCs w:val="21"/>
          <w:highlight w:val="none"/>
        </w:rPr>
        <w:t>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.5以转账或现金的形式支付。</w:t>
      </w:r>
    </w:p>
    <w:p>
      <w:pPr>
        <w:pStyle w:val="12"/>
        <w:ind w:firstLine="400"/>
        <w:rPr>
          <w:color w:val="auto"/>
          <w:highlight w:val="none"/>
        </w:rPr>
      </w:pPr>
    </w:p>
    <w:p>
      <w:pPr>
        <w:pStyle w:val="2"/>
        <w:adjustRightInd/>
        <w:spacing w:line="360" w:lineRule="auto"/>
        <w:ind w:firstLine="562" w:firstLineChars="200"/>
        <w:jc w:val="center"/>
        <w:rPr>
          <w:color w:val="auto"/>
          <w:sz w:val="28"/>
          <w:szCs w:val="28"/>
          <w:highlight w:val="none"/>
          <w:lang w:val="zh-CN"/>
        </w:rPr>
      </w:pPr>
      <w:r>
        <w:rPr>
          <w:rFonts w:hint="eastAsia"/>
          <w:color w:val="auto"/>
          <w:sz w:val="28"/>
          <w:szCs w:val="28"/>
          <w:highlight w:val="none"/>
          <w:lang w:val="zh-CN"/>
        </w:rPr>
        <w:t>九、质疑与回复</w:t>
      </w:r>
      <w:bookmarkEnd w:id="138"/>
      <w:bookmarkEnd w:id="139"/>
      <w:bookmarkEnd w:id="14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 xml:space="preserve">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w:t>
      </w:r>
      <w:r>
        <w:rPr>
          <w:rFonts w:hint="eastAsia" w:hAnsi="宋体"/>
          <w:color w:val="auto"/>
          <w:kern w:val="2"/>
          <w:sz w:val="21"/>
          <w:szCs w:val="21"/>
          <w:highlight w:val="none"/>
          <w:lang w:val="en-US" w:eastAsia="zh-CN"/>
        </w:rPr>
        <w:t>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.4. 供应商认为采购过程和</w:t>
      </w:r>
      <w:r>
        <w:rPr>
          <w:rFonts w:hint="eastAsia" w:hAnsi="宋体"/>
          <w:color w:val="auto"/>
          <w:sz w:val="21"/>
          <w:szCs w:val="21"/>
          <w:highlight w:val="none"/>
          <w:lang w:eastAsia="zh-CN"/>
        </w:rPr>
        <w:t>成交</w:t>
      </w:r>
      <w:r>
        <w:rPr>
          <w:rFonts w:hint="eastAsia" w:hAnsi="宋体"/>
          <w:color w:val="auto"/>
          <w:sz w:val="21"/>
          <w:szCs w:val="21"/>
          <w:highlight w:val="none"/>
        </w:rPr>
        <w:t>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43" w:name="_Toc29421"/>
      <w:r>
        <w:rPr>
          <w:rFonts w:hint="eastAsia"/>
          <w:color w:val="auto"/>
          <w:sz w:val="21"/>
          <w:szCs w:val="21"/>
          <w:highlight w:val="none"/>
        </w:rPr>
        <w:t>3</w:t>
      </w:r>
      <w:r>
        <w:rPr>
          <w:rFonts w:hint="eastAsia"/>
          <w:color w:val="auto"/>
          <w:sz w:val="21"/>
          <w:szCs w:val="21"/>
          <w:highlight w:val="none"/>
          <w:lang w:val="en-US" w:eastAsia="zh-CN"/>
        </w:rPr>
        <w:t>3</w:t>
      </w:r>
      <w:r>
        <w:rPr>
          <w:rFonts w:hint="eastAsia"/>
          <w:color w:val="auto"/>
          <w:sz w:val="21"/>
          <w:szCs w:val="21"/>
          <w:highlight w:val="none"/>
        </w:rPr>
        <w:t>.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43"/>
    </w:p>
    <w:p>
      <w:pPr>
        <w:pStyle w:val="3"/>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用户需求书</w:t>
      </w:r>
      <w:bookmarkEnd w:id="141"/>
      <w:bookmarkEnd w:id="142"/>
    </w:p>
    <w:p>
      <w:pPr>
        <w:pStyle w:val="2"/>
        <w:spacing w:line="360" w:lineRule="auto"/>
        <w:jc w:val="center"/>
        <w:rPr>
          <w:rFonts w:hint="eastAsia"/>
          <w:color w:val="auto"/>
          <w:highlight w:val="none"/>
        </w:rPr>
      </w:pPr>
      <w:bookmarkStart w:id="144" w:name="_Toc16194"/>
      <w:bookmarkStart w:id="145" w:name="_Toc20439"/>
      <w:r>
        <w:rPr>
          <w:rFonts w:hint="eastAsia"/>
          <w:color w:val="auto"/>
          <w:highlight w:val="none"/>
        </w:rPr>
        <w:t>第一部分 商务需求书</w:t>
      </w:r>
      <w:bookmarkEnd w:id="144"/>
    </w:p>
    <w:tbl>
      <w:tblPr>
        <w:tblStyle w:val="5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7"/>
        <w:gridCol w:w="1886"/>
        <w:gridCol w:w="664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707"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序号</w:t>
            </w:r>
          </w:p>
        </w:tc>
        <w:tc>
          <w:tcPr>
            <w:tcW w:w="1886"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条款名称</w:t>
            </w:r>
          </w:p>
        </w:tc>
        <w:tc>
          <w:tcPr>
            <w:tcW w:w="6641" w:type="dxa"/>
            <w:noWrap w:val="0"/>
            <w:vAlign w:val="center"/>
          </w:tcPr>
          <w:p>
            <w:pPr>
              <w:spacing w:line="360" w:lineRule="auto"/>
              <w:jc w:val="center"/>
              <w:rPr>
                <w:rFonts w:hAnsi="宋体"/>
                <w:color w:val="auto"/>
                <w:sz w:val="21"/>
                <w:szCs w:val="21"/>
                <w:highlight w:val="none"/>
              </w:rPr>
            </w:pPr>
            <w:r>
              <w:rPr>
                <w:rFonts w:hAnsi="宋体"/>
                <w:color w:val="auto"/>
                <w:sz w:val="21"/>
                <w:szCs w:val="21"/>
                <w:highlight w:val="none"/>
              </w:rPr>
              <w:t>说</w:t>
            </w:r>
            <w:r>
              <w:rPr>
                <w:rFonts w:hint="eastAsia" w:hAnsi="宋体"/>
                <w:color w:val="auto"/>
                <w:sz w:val="21"/>
                <w:szCs w:val="21"/>
                <w:highlight w:val="none"/>
              </w:rPr>
              <w:t xml:space="preserve">  </w:t>
            </w:r>
            <w:r>
              <w:rPr>
                <w:rFonts w:hAnsi="宋体"/>
                <w:color w:val="auto"/>
                <w:sz w:val="21"/>
                <w:szCs w:val="21"/>
                <w:highlight w:val="none"/>
              </w:rPr>
              <w:t>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707"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1</w:t>
            </w:r>
          </w:p>
        </w:tc>
        <w:tc>
          <w:tcPr>
            <w:tcW w:w="1886"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完工工期</w:t>
            </w:r>
          </w:p>
        </w:tc>
        <w:tc>
          <w:tcPr>
            <w:tcW w:w="6641" w:type="dxa"/>
            <w:noWrap w:val="0"/>
            <w:vAlign w:val="center"/>
          </w:tcPr>
          <w:p>
            <w:pPr>
              <w:spacing w:line="360" w:lineRule="auto"/>
              <w:rPr>
                <w:rFonts w:hint="eastAsia" w:hAnsi="宋体" w:eastAsia="宋体"/>
                <w:color w:val="auto"/>
                <w:sz w:val="21"/>
                <w:szCs w:val="21"/>
                <w:highlight w:val="none"/>
                <w:lang w:eastAsia="zh-CN"/>
              </w:rPr>
            </w:pPr>
            <w:r>
              <w:rPr>
                <w:rFonts w:hint="eastAsia" w:hAnsi="宋体"/>
                <w:color w:val="auto"/>
                <w:sz w:val="21"/>
                <w:szCs w:val="21"/>
                <w:highlight w:val="none"/>
              </w:rPr>
              <w:t>签发</w:t>
            </w:r>
            <w:r>
              <w:rPr>
                <w:rFonts w:hint="eastAsia" w:hAnsi="宋体"/>
                <w:color w:val="auto"/>
                <w:sz w:val="21"/>
                <w:szCs w:val="21"/>
                <w:highlight w:val="none"/>
                <w:lang w:eastAsia="zh-CN"/>
              </w:rPr>
              <w:t>成交通知书</w:t>
            </w:r>
            <w:r>
              <w:rPr>
                <w:rFonts w:hint="eastAsia" w:hAnsi="宋体"/>
                <w:color w:val="auto"/>
                <w:sz w:val="21"/>
                <w:szCs w:val="21"/>
                <w:highlight w:val="none"/>
              </w:rPr>
              <w:t>之日起35个日历天内完成交货、安装及验收。</w:t>
            </w:r>
            <w:r>
              <w:rPr>
                <w:rFonts w:hint="eastAsia" w:hAnsi="宋体"/>
                <w:color w:val="auto"/>
                <w:sz w:val="21"/>
                <w:szCs w:val="21"/>
                <w:highlight w:val="none"/>
                <w:lang w:eastAsia="zh-CN"/>
              </w:rPr>
              <w:t>签发成交通知书后，由采购人组织成交供应商进行供货前约谈并形成纪要，具体供货时间以采购人书面通知为准。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07"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2</w:t>
            </w:r>
          </w:p>
        </w:tc>
        <w:tc>
          <w:tcPr>
            <w:tcW w:w="1886"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质保期及质保金</w:t>
            </w:r>
          </w:p>
        </w:tc>
        <w:tc>
          <w:tcPr>
            <w:tcW w:w="6641" w:type="dxa"/>
            <w:noWrap w:val="0"/>
            <w:vAlign w:val="center"/>
          </w:tcPr>
          <w:p>
            <w:pPr>
              <w:autoSpaceDE/>
              <w:autoSpaceDN/>
              <w:adjustRightInd/>
              <w:spacing w:line="360" w:lineRule="auto"/>
              <w:rPr>
                <w:rFonts w:hint="eastAsia" w:hAnsi="宋体" w:cs="宋体"/>
                <w:bCs/>
                <w:color w:val="auto"/>
                <w:sz w:val="21"/>
                <w:szCs w:val="21"/>
                <w:highlight w:val="none"/>
              </w:rPr>
            </w:pPr>
            <w:r>
              <w:rPr>
                <w:rFonts w:hint="eastAsia" w:hAnsi="宋体" w:cs="宋体"/>
                <w:bCs/>
                <w:color w:val="auto"/>
                <w:sz w:val="21"/>
                <w:szCs w:val="21"/>
                <w:highlight w:val="none"/>
              </w:rPr>
              <w:t>①项目验收合格之日起,提供五年质保期，质保期内免费提供保修服务；</w:t>
            </w:r>
          </w:p>
          <w:p>
            <w:pPr>
              <w:spacing w:line="360" w:lineRule="auto"/>
              <w:rPr>
                <w:rFonts w:hint="eastAsia" w:hAnsi="宋体"/>
                <w:color w:val="auto"/>
                <w:sz w:val="21"/>
                <w:szCs w:val="21"/>
                <w:highlight w:val="none"/>
              </w:rPr>
            </w:pPr>
            <w:r>
              <w:rPr>
                <w:rFonts w:hint="eastAsia" w:hAnsi="宋体" w:cs="宋体"/>
                <w:bCs/>
                <w:color w:val="auto"/>
                <w:sz w:val="21"/>
                <w:szCs w:val="21"/>
                <w:highlight w:val="none"/>
              </w:rPr>
              <w:t>②项目质保金按项目合同总价乘以3%执行。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707"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3</w:t>
            </w:r>
          </w:p>
        </w:tc>
        <w:tc>
          <w:tcPr>
            <w:tcW w:w="1886" w:type="dxa"/>
            <w:noWrap w:val="0"/>
            <w:vAlign w:val="center"/>
          </w:tcPr>
          <w:p>
            <w:pPr>
              <w:numPr>
                <w:ilvl w:val="1"/>
                <w:numId w:val="0"/>
              </w:numPr>
              <w:tabs>
                <w:tab w:val="left" w:pos="-28"/>
              </w:tabs>
              <w:spacing w:line="360" w:lineRule="auto"/>
              <w:jc w:val="center"/>
              <w:rPr>
                <w:rFonts w:hAnsi="宋体"/>
                <w:color w:val="auto"/>
                <w:sz w:val="21"/>
                <w:szCs w:val="21"/>
                <w:highlight w:val="none"/>
              </w:rPr>
            </w:pPr>
            <w:r>
              <w:rPr>
                <w:rFonts w:hint="eastAsia" w:hAnsi="宋体"/>
                <w:color w:val="auto"/>
                <w:sz w:val="21"/>
                <w:szCs w:val="21"/>
                <w:highlight w:val="none"/>
              </w:rPr>
              <w:t>付款方式</w:t>
            </w:r>
          </w:p>
        </w:tc>
        <w:tc>
          <w:tcPr>
            <w:tcW w:w="6641" w:type="dxa"/>
            <w:noWrap w:val="0"/>
            <w:vAlign w:val="center"/>
          </w:tcPr>
          <w:p>
            <w:pPr>
              <w:numPr>
                <w:ilvl w:val="1"/>
                <w:numId w:val="0"/>
              </w:numPr>
              <w:tabs>
                <w:tab w:val="left" w:pos="-28"/>
              </w:tabs>
              <w:spacing w:line="360" w:lineRule="auto"/>
              <w:rPr>
                <w:rFonts w:hint="eastAsia" w:hAnsi="宋体"/>
                <w:color w:val="auto"/>
                <w:sz w:val="21"/>
                <w:szCs w:val="21"/>
                <w:highlight w:val="none"/>
              </w:rPr>
            </w:pPr>
            <w:r>
              <w:rPr>
                <w:rFonts w:hint="eastAsia" w:hAnsi="宋体"/>
                <w:color w:val="auto"/>
                <w:sz w:val="21"/>
                <w:szCs w:val="21"/>
                <w:highlight w:val="none"/>
              </w:rPr>
              <w:t>（一）</w:t>
            </w:r>
            <w:r>
              <w:rPr>
                <w:rFonts w:hint="eastAsia" w:hAnsi="宋体"/>
                <w:color w:val="auto"/>
                <w:sz w:val="21"/>
                <w:szCs w:val="21"/>
                <w:highlight w:val="none"/>
                <w:lang w:eastAsia="zh-CN"/>
              </w:rPr>
              <w:t>成交供应商</w:t>
            </w:r>
            <w:r>
              <w:rPr>
                <w:rFonts w:hint="eastAsia" w:hAnsi="宋体"/>
                <w:color w:val="auto"/>
                <w:sz w:val="21"/>
                <w:szCs w:val="21"/>
                <w:highlight w:val="none"/>
              </w:rPr>
              <w:t>在合同签订之日起15天内，向</w:t>
            </w:r>
            <w:r>
              <w:rPr>
                <w:rFonts w:hint="eastAsia" w:hAnsi="宋体"/>
                <w:color w:val="auto"/>
                <w:sz w:val="21"/>
                <w:szCs w:val="21"/>
                <w:highlight w:val="none"/>
                <w:lang w:eastAsia="zh-CN"/>
              </w:rPr>
              <w:t>采购人</w:t>
            </w:r>
            <w:r>
              <w:rPr>
                <w:rFonts w:hint="eastAsia" w:hAnsi="宋体"/>
                <w:color w:val="auto"/>
                <w:sz w:val="21"/>
                <w:szCs w:val="21"/>
                <w:highlight w:val="none"/>
              </w:rPr>
              <w:t>提交金额为暂定合同总价10%的不可撤销银行保函或履约保证金作为履行合同的担保，履约担保期限从合同签订之日起至项目交工验收合格并完成结算后，双方签字之日起7天内保持有效；</w:t>
            </w:r>
          </w:p>
          <w:p>
            <w:pPr>
              <w:numPr>
                <w:ilvl w:val="1"/>
                <w:numId w:val="0"/>
              </w:numPr>
              <w:tabs>
                <w:tab w:val="left" w:pos="-28"/>
              </w:tabs>
              <w:spacing w:line="360" w:lineRule="auto"/>
              <w:rPr>
                <w:rFonts w:hint="eastAsia" w:hAnsi="宋体"/>
                <w:color w:val="auto"/>
                <w:sz w:val="21"/>
                <w:szCs w:val="21"/>
                <w:highlight w:val="none"/>
              </w:rPr>
            </w:pPr>
            <w:r>
              <w:rPr>
                <w:rFonts w:hint="eastAsia" w:hAnsi="宋体"/>
                <w:color w:val="auto"/>
                <w:sz w:val="21"/>
                <w:szCs w:val="21"/>
                <w:highlight w:val="none"/>
              </w:rPr>
              <w:t>（二）合同签订提交请款报告后20天内，</w:t>
            </w:r>
            <w:r>
              <w:rPr>
                <w:rFonts w:hint="eastAsia" w:hAnsi="宋体"/>
                <w:color w:val="auto"/>
                <w:sz w:val="21"/>
                <w:szCs w:val="21"/>
                <w:highlight w:val="none"/>
                <w:lang w:eastAsia="zh-CN"/>
              </w:rPr>
              <w:t>采购人</w:t>
            </w:r>
            <w:r>
              <w:rPr>
                <w:rFonts w:hint="eastAsia" w:hAnsi="宋体"/>
                <w:color w:val="auto"/>
                <w:sz w:val="21"/>
                <w:szCs w:val="21"/>
                <w:highlight w:val="none"/>
              </w:rPr>
              <w:t>支付暂定合同总价的10%作为定金；</w:t>
            </w:r>
          </w:p>
          <w:p>
            <w:pPr>
              <w:numPr>
                <w:ilvl w:val="1"/>
                <w:numId w:val="0"/>
              </w:numPr>
              <w:tabs>
                <w:tab w:val="left" w:pos="-28"/>
              </w:tabs>
              <w:spacing w:line="360" w:lineRule="auto"/>
              <w:rPr>
                <w:rFonts w:hint="eastAsia" w:hAnsi="宋体"/>
                <w:color w:val="auto"/>
                <w:sz w:val="21"/>
                <w:szCs w:val="21"/>
                <w:highlight w:val="none"/>
              </w:rPr>
            </w:pPr>
            <w:r>
              <w:rPr>
                <w:rFonts w:hint="eastAsia" w:hAnsi="宋体"/>
                <w:color w:val="auto"/>
                <w:sz w:val="21"/>
                <w:szCs w:val="21"/>
                <w:highlight w:val="none"/>
              </w:rPr>
              <w:t>（三）</w:t>
            </w:r>
            <w:r>
              <w:rPr>
                <w:rFonts w:hint="eastAsia" w:hAnsi="宋体"/>
                <w:color w:val="auto"/>
                <w:sz w:val="21"/>
                <w:szCs w:val="21"/>
                <w:highlight w:val="none"/>
                <w:lang w:eastAsia="zh-CN"/>
              </w:rPr>
              <w:t>成交供应商</w:t>
            </w:r>
            <w:r>
              <w:rPr>
                <w:rFonts w:hint="eastAsia" w:hAnsi="宋体"/>
                <w:color w:val="auto"/>
                <w:sz w:val="21"/>
                <w:szCs w:val="21"/>
                <w:highlight w:val="none"/>
              </w:rPr>
              <w:t>将所有货物运至</w:t>
            </w:r>
            <w:r>
              <w:rPr>
                <w:rFonts w:hint="eastAsia" w:hAnsi="宋体"/>
                <w:color w:val="auto"/>
                <w:sz w:val="21"/>
                <w:szCs w:val="21"/>
                <w:highlight w:val="none"/>
                <w:lang w:eastAsia="zh-CN"/>
              </w:rPr>
              <w:t>采购人</w:t>
            </w:r>
            <w:r>
              <w:rPr>
                <w:rFonts w:hint="eastAsia" w:hAnsi="宋体"/>
                <w:color w:val="auto"/>
                <w:sz w:val="21"/>
                <w:szCs w:val="21"/>
                <w:highlight w:val="none"/>
              </w:rPr>
              <w:t>指定地点并经</w:t>
            </w:r>
            <w:r>
              <w:rPr>
                <w:rFonts w:hint="eastAsia" w:hAnsi="宋体"/>
                <w:color w:val="auto"/>
                <w:sz w:val="21"/>
                <w:szCs w:val="21"/>
                <w:highlight w:val="none"/>
                <w:lang w:eastAsia="zh-CN"/>
              </w:rPr>
              <w:t>采购人</w:t>
            </w:r>
            <w:r>
              <w:rPr>
                <w:rFonts w:hint="eastAsia" w:hAnsi="宋体"/>
                <w:color w:val="auto"/>
                <w:sz w:val="21"/>
                <w:szCs w:val="21"/>
                <w:highlight w:val="none"/>
              </w:rPr>
              <w:t>验收通过后，</w:t>
            </w:r>
            <w:r>
              <w:rPr>
                <w:rFonts w:hint="eastAsia" w:hAnsi="宋体"/>
                <w:color w:val="auto"/>
                <w:sz w:val="21"/>
                <w:szCs w:val="21"/>
                <w:highlight w:val="none"/>
                <w:lang w:eastAsia="zh-CN"/>
              </w:rPr>
              <w:t>成交供应商</w:t>
            </w:r>
            <w:r>
              <w:rPr>
                <w:rFonts w:hint="eastAsia" w:hAnsi="宋体"/>
                <w:color w:val="auto"/>
                <w:sz w:val="21"/>
                <w:szCs w:val="21"/>
                <w:highlight w:val="none"/>
              </w:rPr>
              <w:t>向</w:t>
            </w:r>
            <w:r>
              <w:rPr>
                <w:rFonts w:hint="eastAsia" w:hAnsi="宋体"/>
                <w:color w:val="auto"/>
                <w:sz w:val="21"/>
                <w:szCs w:val="21"/>
                <w:highlight w:val="none"/>
                <w:lang w:eastAsia="zh-CN"/>
              </w:rPr>
              <w:t>采购人</w:t>
            </w:r>
            <w:r>
              <w:rPr>
                <w:rFonts w:hint="eastAsia" w:hAnsi="宋体"/>
                <w:color w:val="auto"/>
                <w:sz w:val="21"/>
                <w:szCs w:val="21"/>
                <w:highlight w:val="none"/>
              </w:rPr>
              <w:t>提交请款报告后20天内，</w:t>
            </w:r>
            <w:r>
              <w:rPr>
                <w:rFonts w:hint="eastAsia" w:hAnsi="宋体"/>
                <w:color w:val="auto"/>
                <w:sz w:val="21"/>
                <w:szCs w:val="21"/>
                <w:highlight w:val="none"/>
                <w:lang w:eastAsia="zh-CN"/>
              </w:rPr>
              <w:t>采购人</w:t>
            </w:r>
            <w:r>
              <w:rPr>
                <w:rFonts w:hint="eastAsia" w:hAnsi="宋体"/>
                <w:color w:val="auto"/>
                <w:sz w:val="21"/>
                <w:szCs w:val="21"/>
                <w:highlight w:val="none"/>
              </w:rPr>
              <w:t>向</w:t>
            </w:r>
            <w:r>
              <w:rPr>
                <w:rFonts w:hint="eastAsia" w:hAnsi="宋体"/>
                <w:color w:val="auto"/>
                <w:sz w:val="21"/>
                <w:szCs w:val="21"/>
                <w:highlight w:val="none"/>
                <w:lang w:eastAsia="zh-CN"/>
              </w:rPr>
              <w:t>成交供应商</w:t>
            </w:r>
            <w:r>
              <w:rPr>
                <w:rFonts w:hint="eastAsia" w:hAnsi="宋体"/>
                <w:color w:val="auto"/>
                <w:sz w:val="21"/>
                <w:szCs w:val="21"/>
                <w:highlight w:val="none"/>
              </w:rPr>
              <w:t>支付至实际供货数量合同金额的80％；</w:t>
            </w:r>
          </w:p>
          <w:p>
            <w:pPr>
              <w:numPr>
                <w:ilvl w:val="1"/>
                <w:numId w:val="0"/>
              </w:numPr>
              <w:tabs>
                <w:tab w:val="left" w:pos="-28"/>
              </w:tabs>
              <w:spacing w:line="360" w:lineRule="auto"/>
              <w:rPr>
                <w:rFonts w:hint="eastAsia" w:hAnsi="宋体"/>
                <w:color w:val="auto"/>
                <w:sz w:val="21"/>
                <w:szCs w:val="21"/>
                <w:highlight w:val="none"/>
              </w:rPr>
            </w:pPr>
            <w:r>
              <w:rPr>
                <w:rFonts w:hint="eastAsia" w:hAnsi="宋体"/>
                <w:color w:val="auto"/>
                <w:sz w:val="21"/>
                <w:szCs w:val="21"/>
                <w:highlight w:val="none"/>
              </w:rPr>
              <w:t>（四）项目竣工验收合格并完成结算后，</w:t>
            </w:r>
            <w:r>
              <w:rPr>
                <w:rFonts w:hint="eastAsia" w:hAnsi="宋体"/>
                <w:color w:val="auto"/>
                <w:sz w:val="21"/>
                <w:szCs w:val="21"/>
                <w:highlight w:val="none"/>
                <w:lang w:eastAsia="zh-CN"/>
              </w:rPr>
              <w:t>成交供应商</w:t>
            </w:r>
            <w:r>
              <w:rPr>
                <w:rFonts w:hint="eastAsia" w:hAnsi="宋体"/>
                <w:color w:val="auto"/>
                <w:sz w:val="21"/>
                <w:szCs w:val="21"/>
                <w:highlight w:val="none"/>
              </w:rPr>
              <w:t>向</w:t>
            </w:r>
            <w:r>
              <w:rPr>
                <w:rFonts w:hint="eastAsia" w:hAnsi="宋体"/>
                <w:color w:val="auto"/>
                <w:sz w:val="21"/>
                <w:szCs w:val="21"/>
                <w:highlight w:val="none"/>
                <w:lang w:eastAsia="zh-CN"/>
              </w:rPr>
              <w:t>采购人</w:t>
            </w:r>
            <w:r>
              <w:rPr>
                <w:rFonts w:hint="eastAsia" w:hAnsi="宋体"/>
                <w:color w:val="auto"/>
                <w:sz w:val="21"/>
                <w:szCs w:val="21"/>
                <w:highlight w:val="none"/>
              </w:rPr>
              <w:t>提交请款报告后20天内，</w:t>
            </w:r>
            <w:r>
              <w:rPr>
                <w:rFonts w:hint="eastAsia" w:hAnsi="宋体"/>
                <w:color w:val="auto"/>
                <w:sz w:val="21"/>
                <w:szCs w:val="21"/>
                <w:highlight w:val="none"/>
                <w:lang w:eastAsia="zh-CN"/>
              </w:rPr>
              <w:t>采购人</w:t>
            </w:r>
            <w:r>
              <w:rPr>
                <w:rFonts w:hint="eastAsia" w:hAnsi="宋体"/>
                <w:color w:val="auto"/>
                <w:sz w:val="21"/>
                <w:szCs w:val="21"/>
                <w:highlight w:val="none"/>
              </w:rPr>
              <w:t>向</w:t>
            </w:r>
            <w:r>
              <w:rPr>
                <w:rFonts w:hint="eastAsia" w:hAnsi="宋体"/>
                <w:color w:val="auto"/>
                <w:sz w:val="21"/>
                <w:szCs w:val="21"/>
                <w:highlight w:val="none"/>
                <w:lang w:eastAsia="zh-CN"/>
              </w:rPr>
              <w:t>成交供应商</w:t>
            </w:r>
            <w:r>
              <w:rPr>
                <w:rFonts w:hint="eastAsia" w:hAnsi="宋体"/>
                <w:color w:val="auto"/>
                <w:sz w:val="21"/>
                <w:szCs w:val="21"/>
                <w:highlight w:val="none"/>
              </w:rPr>
              <w:t xml:space="preserve">支付至竣工结算价款的97％； </w:t>
            </w:r>
          </w:p>
          <w:p>
            <w:pPr>
              <w:numPr>
                <w:ilvl w:val="1"/>
                <w:numId w:val="0"/>
              </w:numPr>
              <w:tabs>
                <w:tab w:val="left" w:pos="-28"/>
              </w:tabs>
              <w:spacing w:line="360" w:lineRule="auto"/>
              <w:rPr>
                <w:rFonts w:hint="eastAsia" w:hAnsi="宋体"/>
                <w:color w:val="auto"/>
                <w:sz w:val="21"/>
                <w:szCs w:val="21"/>
                <w:highlight w:val="none"/>
              </w:rPr>
            </w:pPr>
            <w:r>
              <w:rPr>
                <w:rFonts w:hint="eastAsia" w:hAnsi="宋体"/>
                <w:color w:val="auto"/>
                <w:sz w:val="21"/>
                <w:szCs w:val="21"/>
                <w:highlight w:val="none"/>
              </w:rPr>
              <w:t>（五）结算价余款3％作为质保金，按合同质量保修金及支付方式的约定支付给</w:t>
            </w:r>
            <w:r>
              <w:rPr>
                <w:rFonts w:hint="eastAsia" w:hAnsi="宋体"/>
                <w:color w:val="auto"/>
                <w:sz w:val="21"/>
                <w:szCs w:val="21"/>
                <w:highlight w:val="none"/>
                <w:lang w:eastAsia="zh-CN"/>
              </w:rPr>
              <w:t>成交供应商</w:t>
            </w:r>
            <w:r>
              <w:rPr>
                <w:rFonts w:hint="eastAsia" w:hAnsi="宋体"/>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07"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4</w:t>
            </w:r>
          </w:p>
        </w:tc>
        <w:tc>
          <w:tcPr>
            <w:tcW w:w="1886"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服务地点</w:t>
            </w:r>
          </w:p>
        </w:tc>
        <w:tc>
          <w:tcPr>
            <w:tcW w:w="6641" w:type="dxa"/>
            <w:noWrap w:val="0"/>
            <w:vAlign w:val="center"/>
          </w:tcPr>
          <w:p>
            <w:pPr>
              <w:spacing w:line="360" w:lineRule="auto"/>
              <w:rPr>
                <w:rFonts w:hAnsi="宋体"/>
                <w:color w:val="auto"/>
                <w:sz w:val="21"/>
                <w:szCs w:val="21"/>
                <w:highlight w:val="none"/>
              </w:rPr>
            </w:pPr>
            <w:r>
              <w:rPr>
                <w:rFonts w:hint="eastAsia" w:hAnsi="宋体"/>
                <w:bCs/>
                <w:color w:val="auto"/>
                <w:sz w:val="21"/>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707"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5</w:t>
            </w:r>
          </w:p>
        </w:tc>
        <w:tc>
          <w:tcPr>
            <w:tcW w:w="1886"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报价内容</w:t>
            </w:r>
          </w:p>
        </w:tc>
        <w:tc>
          <w:tcPr>
            <w:tcW w:w="6641" w:type="dxa"/>
            <w:noWrap w:val="0"/>
            <w:vAlign w:val="center"/>
          </w:tcPr>
          <w:p>
            <w:pPr>
              <w:widowControl/>
              <w:spacing w:line="360" w:lineRule="auto"/>
              <w:ind w:firstLine="525" w:firstLineChars="250"/>
              <w:rPr>
                <w:rFonts w:hint="eastAsia" w:hAnsi="宋体" w:cs="宋体"/>
                <w:color w:val="auto"/>
                <w:sz w:val="21"/>
                <w:szCs w:val="21"/>
                <w:highlight w:val="none"/>
              </w:rPr>
            </w:pPr>
            <w:r>
              <w:rPr>
                <w:rFonts w:hint="eastAsia" w:hAnsi="宋体"/>
                <w:color w:val="auto"/>
                <w:sz w:val="21"/>
                <w:szCs w:val="21"/>
                <w:highlight w:val="none"/>
              </w:rPr>
              <w:t>本项目采购按拟采购数量清单以固定综合单价，暂定总价的方式进行报价。</w:t>
            </w:r>
            <w:r>
              <w:rPr>
                <w:rFonts w:hint="eastAsia" w:hAnsi="宋体" w:cs="宋体"/>
                <w:color w:val="auto"/>
                <w:sz w:val="21"/>
                <w:szCs w:val="21"/>
                <w:highlight w:val="none"/>
              </w:rPr>
              <w:t>投标人报价时应综合考虑配件及其它费用。合同期内，除实际采购货物数量增减外，其他费用不做任何调整。</w:t>
            </w:r>
          </w:p>
          <w:p>
            <w:pPr>
              <w:widowControl/>
              <w:spacing w:line="360" w:lineRule="auto"/>
              <w:ind w:firstLine="525" w:firstLineChars="250"/>
              <w:rPr>
                <w:rFonts w:hint="eastAsia" w:hAnsi="宋体"/>
                <w:bCs/>
                <w:color w:val="auto"/>
                <w:sz w:val="21"/>
                <w:szCs w:val="21"/>
                <w:highlight w:val="none"/>
              </w:rPr>
            </w:pPr>
            <w:r>
              <w:rPr>
                <w:rFonts w:hint="eastAsia" w:hAnsi="宋体"/>
                <w:color w:val="auto"/>
                <w:sz w:val="21"/>
                <w:szCs w:val="21"/>
                <w:highlight w:val="none"/>
              </w:rPr>
              <w:t>报价应包含材料费、人工费、设备费、运输费、装卸费、现场保管仓储费、装修费、安装费、施工配合费、验收费、质保期内维修保养费、各种税务费及合同实施过程中的不可预见费用等全部费用。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707"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6</w:t>
            </w:r>
          </w:p>
        </w:tc>
        <w:tc>
          <w:tcPr>
            <w:tcW w:w="1886"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合同条款</w:t>
            </w:r>
          </w:p>
        </w:tc>
        <w:tc>
          <w:tcPr>
            <w:tcW w:w="6641" w:type="dxa"/>
            <w:noWrap w:val="0"/>
            <w:vAlign w:val="top"/>
          </w:tcPr>
          <w:p>
            <w:pPr>
              <w:spacing w:line="360" w:lineRule="auto"/>
              <w:rPr>
                <w:rFonts w:hint="eastAsia" w:hAnsi="宋体"/>
                <w:color w:val="auto"/>
                <w:sz w:val="21"/>
                <w:szCs w:val="21"/>
                <w:highlight w:val="none"/>
              </w:rPr>
            </w:pPr>
            <w:r>
              <w:rPr>
                <w:rFonts w:hint="eastAsia" w:hAnsi="宋体"/>
                <w:color w:val="auto"/>
                <w:sz w:val="21"/>
                <w:szCs w:val="21"/>
                <w:highlight w:val="none"/>
              </w:rPr>
              <w:t>投标人实质响应合同各条款。</w:t>
            </w:r>
          </w:p>
        </w:tc>
      </w:tr>
    </w:tbl>
    <w:p>
      <w:pPr>
        <w:rPr>
          <w:rFonts w:hint="eastAsia" w:hAnsi="宋体"/>
          <w:b/>
          <w:color w:val="auto"/>
          <w:sz w:val="30"/>
          <w:szCs w:val="30"/>
          <w:highlight w:val="none"/>
        </w:rPr>
      </w:pPr>
    </w:p>
    <w:p>
      <w:pPr>
        <w:rPr>
          <w:rFonts w:hint="eastAsia"/>
          <w:color w:val="auto"/>
          <w:highlight w:val="none"/>
        </w:rPr>
      </w:pPr>
    </w:p>
    <w:p>
      <w:pPr>
        <w:pStyle w:val="2"/>
        <w:spacing w:line="360" w:lineRule="auto"/>
        <w:jc w:val="center"/>
        <w:rPr>
          <w:rFonts w:hint="eastAsia"/>
          <w:color w:val="auto"/>
          <w:sz w:val="30"/>
          <w:szCs w:val="30"/>
          <w:highlight w:val="none"/>
        </w:rPr>
      </w:pPr>
      <w:bookmarkStart w:id="146" w:name="_Toc1805"/>
      <w:r>
        <w:rPr>
          <w:rFonts w:hint="eastAsia"/>
          <w:color w:val="auto"/>
          <w:sz w:val="30"/>
          <w:szCs w:val="30"/>
          <w:highlight w:val="none"/>
        </w:rPr>
        <w:t>第二部分 技术需求书</w:t>
      </w:r>
      <w:bookmarkEnd w:id="146"/>
    </w:p>
    <w:p>
      <w:pPr>
        <w:pStyle w:val="2"/>
        <w:spacing w:line="360" w:lineRule="auto"/>
        <w:rPr>
          <w:color w:val="auto"/>
          <w:highlight w:val="none"/>
          <w:lang w:val="zh-CN"/>
        </w:rPr>
      </w:pPr>
      <w:bookmarkStart w:id="147" w:name="_Toc32216"/>
      <w:r>
        <w:rPr>
          <w:rFonts w:hint="eastAsia"/>
          <w:color w:val="auto"/>
          <w:highlight w:val="none"/>
          <w:lang w:val="zh-CN"/>
        </w:rPr>
        <w:t>一、项目概况</w:t>
      </w:r>
      <w:bookmarkEnd w:id="145"/>
      <w:bookmarkEnd w:id="147"/>
    </w:p>
    <w:p>
      <w:pPr>
        <w:widowControl/>
        <w:spacing w:line="360" w:lineRule="auto"/>
        <w:ind w:firstLine="525" w:firstLineChars="250"/>
        <w:rPr>
          <w:rFonts w:hAnsi="宋体" w:cs="宋体"/>
          <w:color w:val="auto"/>
          <w:sz w:val="21"/>
          <w:szCs w:val="21"/>
          <w:highlight w:val="none"/>
        </w:rPr>
      </w:pPr>
      <w:r>
        <w:rPr>
          <w:rFonts w:hint="eastAsia" w:hAnsi="宋体" w:cs="宋体"/>
          <w:color w:val="auto"/>
          <w:sz w:val="21"/>
          <w:szCs w:val="21"/>
          <w:highlight w:val="none"/>
        </w:rPr>
        <w:t>松山湖大学创新城——创新配套服务区（创投大厦A塔、B塔），总建筑面积为111594.76平方米，地下建筑面积27674.34平方米，由A塔、B塔、裙楼组成，建筑高度99.55米。</w:t>
      </w:r>
    </w:p>
    <w:p>
      <w:pPr>
        <w:widowControl/>
        <w:spacing w:line="360" w:lineRule="auto"/>
        <w:ind w:firstLine="525" w:firstLineChars="250"/>
        <w:rPr>
          <w:rFonts w:hint="eastAsia" w:hAnsi="宋体" w:cs="宋体"/>
          <w:color w:val="auto"/>
          <w:sz w:val="21"/>
          <w:szCs w:val="21"/>
          <w:highlight w:val="none"/>
        </w:rPr>
      </w:pPr>
      <w:bookmarkStart w:id="148" w:name="_Toc19004"/>
      <w:r>
        <w:rPr>
          <w:rFonts w:hint="eastAsia"/>
          <w:color w:val="auto"/>
          <w:sz w:val="21"/>
          <w:szCs w:val="21"/>
          <w:highlight w:val="none"/>
        </w:rPr>
        <w:t>本项目采购范围：按照采购人拟采购的货物配置清单，提供包括但不限于</w:t>
      </w:r>
      <w:r>
        <w:rPr>
          <w:rFonts w:hint="eastAsia" w:hAnsi="宋体" w:cs="宋体"/>
          <w:color w:val="auto"/>
          <w:sz w:val="21"/>
          <w:szCs w:val="21"/>
          <w:highlight w:val="none"/>
        </w:rPr>
        <w:t>松山湖大学创新城创新配套服务区创投大厦B塔配套电视机采购</w:t>
      </w:r>
      <w:r>
        <w:rPr>
          <w:rFonts w:hint="eastAsia"/>
          <w:color w:val="auto"/>
          <w:sz w:val="21"/>
          <w:szCs w:val="21"/>
          <w:highlight w:val="none"/>
        </w:rPr>
        <w:t>、供货、安装等配套服务。</w:t>
      </w:r>
      <w:r>
        <w:rPr>
          <w:rFonts w:hint="eastAsia" w:hAnsi="宋体"/>
          <w:color w:val="auto"/>
          <w:sz w:val="21"/>
          <w:szCs w:val="21"/>
          <w:highlight w:val="none"/>
        </w:rPr>
        <w:t>采购人提供初步确认设计方案，投标人保证原设计方案整体效果，可进行局部方案优化调整，但是不能低于原方案配置要求且需经采购人签字确认。</w:t>
      </w:r>
    </w:p>
    <w:p>
      <w:pPr>
        <w:pStyle w:val="2"/>
        <w:spacing w:line="360" w:lineRule="auto"/>
        <w:rPr>
          <w:rFonts w:hint="eastAsia"/>
          <w:color w:val="auto"/>
          <w:highlight w:val="none"/>
          <w:lang w:val="zh-CN"/>
        </w:rPr>
      </w:pPr>
      <w:bookmarkStart w:id="149" w:name="_Toc20320"/>
      <w:r>
        <w:rPr>
          <w:rFonts w:hint="eastAsia"/>
          <w:color w:val="auto"/>
          <w:highlight w:val="none"/>
          <w:lang w:val="zh-CN"/>
        </w:rPr>
        <w:t>二、采购货物清单</w:t>
      </w:r>
      <w:bookmarkEnd w:id="148"/>
      <w:bookmarkEnd w:id="149"/>
    </w:p>
    <w:p>
      <w:pPr>
        <w:widowControl/>
        <w:spacing w:line="360" w:lineRule="auto"/>
        <w:ind w:firstLine="525" w:firstLineChars="250"/>
        <w:rPr>
          <w:rFonts w:hint="eastAsia"/>
          <w:color w:val="auto"/>
          <w:highlight w:val="none"/>
          <w:lang w:val="en-US" w:eastAsia="zh-CN"/>
        </w:rPr>
      </w:pPr>
      <w:r>
        <w:rPr>
          <w:rFonts w:hint="eastAsia" w:hAnsi="宋体" w:cs="宋体"/>
          <w:color w:val="auto"/>
          <w:sz w:val="21"/>
          <w:szCs w:val="21"/>
          <w:highlight w:val="none"/>
        </w:rPr>
        <w:t>以下提供的采购清单，仅供投标人参考，采购清单所列质量标准及性能要求为本项目拟采购货物的基本要求，投标人可根据其所投产品的实际质量标准及性能进行响应，并不构成对投标人所投产品品牌及型号的限制。但所投产品质量标准及主要性能要求不能低于采购人要求。本清单数量为拟采购数量，结算以实际供货数量为准。</w:t>
      </w:r>
    </w:p>
    <w:tbl>
      <w:tblPr>
        <w:tblStyle w:val="52"/>
        <w:tblW w:w="973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20"/>
        <w:gridCol w:w="3150"/>
        <w:gridCol w:w="3732"/>
        <w:gridCol w:w="918"/>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2" w:hRule="atLeast"/>
        </w:trPr>
        <w:tc>
          <w:tcPr>
            <w:tcW w:w="10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31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参考图片</w:t>
            </w:r>
          </w:p>
        </w:tc>
        <w:tc>
          <w:tcPr>
            <w:tcW w:w="373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主要参数及要求</w:t>
            </w:r>
          </w:p>
        </w:tc>
        <w:tc>
          <w:tcPr>
            <w:tcW w:w="91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9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102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43寸液晶电视</w:t>
            </w:r>
          </w:p>
        </w:tc>
        <w:tc>
          <w:tcPr>
            <w:tcW w:w="315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drawing>
                <wp:anchor distT="0" distB="0" distL="114300" distR="114300" simplePos="0" relativeHeight="251659264" behindDoc="0" locked="0" layoutInCell="1" allowOverlap="1">
                  <wp:simplePos x="0" y="0"/>
                  <wp:positionH relativeFrom="column">
                    <wp:posOffset>73025</wp:posOffset>
                  </wp:positionH>
                  <wp:positionV relativeFrom="paragraph">
                    <wp:posOffset>856615</wp:posOffset>
                  </wp:positionV>
                  <wp:extent cx="1814195" cy="1191260"/>
                  <wp:effectExtent l="0" t="0" r="14605" b="8890"/>
                  <wp:wrapNone/>
                  <wp:docPr id="6" name="图片_1"/>
                  <wp:cNvGraphicFramePr/>
                  <a:graphic xmlns:a="http://schemas.openxmlformats.org/drawingml/2006/main">
                    <a:graphicData uri="http://schemas.openxmlformats.org/drawingml/2006/picture">
                      <pic:pic xmlns:pic="http://schemas.openxmlformats.org/drawingml/2006/picture">
                        <pic:nvPicPr>
                          <pic:cNvPr id="6" name="图片_1"/>
                          <pic:cNvPicPr/>
                        </pic:nvPicPr>
                        <pic:blipFill>
                          <a:blip r:embed="rId11"/>
                          <a:stretch>
                            <a:fillRect/>
                          </a:stretch>
                        </pic:blipFill>
                        <pic:spPr>
                          <a:xfrm>
                            <a:off x="0" y="0"/>
                            <a:ext cx="1814195" cy="1191260"/>
                          </a:xfrm>
                          <a:prstGeom prst="rect">
                            <a:avLst/>
                          </a:prstGeom>
                          <a:noFill/>
                          <a:ln>
                            <a:noFill/>
                          </a:ln>
                        </pic:spPr>
                      </pic:pic>
                    </a:graphicData>
                  </a:graphic>
                </wp:anchor>
              </w:drawing>
            </w:r>
          </w:p>
        </w:tc>
        <w:tc>
          <w:tcPr>
            <w:tcW w:w="3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1.名称:43寸液晶电视</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2.性能参数:电视参数：43英寸 LED面板 ，2K超高清画质，带语音声控，双核64位或以上中央处理器芯片 1G+8G或以上存储组合，8W*2或以上声音输出功率、DTS音频码、三级或以上能效、屏显比例 16 : 9  大于95%屏占比，带2个或以上USB接口，带2个或以上HDMI接口。无线：2.4G WIFI。固定支架参数：挂架材质 冷轧钢板</w:t>
            </w:r>
          </w:p>
        </w:tc>
        <w:tc>
          <w:tcPr>
            <w:tcW w:w="91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532</w:t>
            </w:r>
          </w:p>
        </w:tc>
      </w:tr>
    </w:tbl>
    <w:p>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color w:val="auto"/>
          <w:highlight w:val="none"/>
          <w:lang w:val="en-US" w:eastAsia="zh-CN"/>
        </w:rPr>
      </w:pPr>
    </w:p>
    <w:p>
      <w:pPr>
        <w:pStyle w:val="2"/>
        <w:spacing w:line="360" w:lineRule="auto"/>
        <w:rPr>
          <w:rFonts w:hint="eastAsia"/>
          <w:color w:val="auto"/>
          <w:highlight w:val="none"/>
          <w:lang w:val="zh-CN"/>
        </w:rPr>
      </w:pPr>
      <w:bookmarkStart w:id="150" w:name="_Toc6080"/>
      <w:r>
        <w:rPr>
          <w:rFonts w:hint="eastAsia"/>
          <w:color w:val="auto"/>
          <w:highlight w:val="none"/>
          <w:lang w:val="zh-CN"/>
        </w:rPr>
        <w:t>三、货物总体要求</w:t>
      </w:r>
      <w:bookmarkEnd w:id="150"/>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所投货物必须是原装、全新的产品，符合国家以及该产品的出厂标准。</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所投货物必须使用环保材料并符合国家环保要求及标准。</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应保证仪器设备在不需要增配未列出配件（特别指出的除外）的前提下货物功能、技术标准能够达到</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的要求，而无须再增配未列出的配件；如</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所提供的产品需要增配配件才能达到要求的，所增配的配件须由供应商免费提供。</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4、货物在验收合格前的保险由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负责，且</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负责其派出的现场服务人员人身意外保险。</w:t>
      </w:r>
    </w:p>
    <w:p>
      <w:pPr>
        <w:pStyle w:val="28"/>
        <w:spacing w:line="360" w:lineRule="auto"/>
        <w:ind w:firstLine="420" w:firstLineChars="200"/>
        <w:jc w:val="left"/>
        <w:rPr>
          <w:rFonts w:hint="eastAsia" w:hAnsi="宋体" w:cs="宋体"/>
          <w:bCs/>
          <w:color w:val="auto"/>
          <w:sz w:val="21"/>
          <w:szCs w:val="21"/>
          <w:highlight w:val="none"/>
        </w:rPr>
      </w:pPr>
      <w:r>
        <w:rPr>
          <w:rFonts w:hint="eastAsia" w:hAnsi="宋体" w:cs="宋体"/>
          <w:color w:val="auto"/>
          <w:sz w:val="21"/>
          <w:szCs w:val="21"/>
          <w:highlight w:val="none"/>
        </w:rPr>
        <w:t>5、</w:t>
      </w:r>
      <w:r>
        <w:rPr>
          <w:rFonts w:hint="eastAsia" w:hAnsi="宋体" w:cs="宋体"/>
          <w:bCs/>
          <w:color w:val="auto"/>
          <w:sz w:val="21"/>
          <w:szCs w:val="21"/>
          <w:highlight w:val="none"/>
        </w:rPr>
        <w:t>安装调试完成后</w:t>
      </w:r>
      <w:r>
        <w:rPr>
          <w:rFonts w:hint="eastAsia" w:hAnsi="宋体" w:cs="宋体"/>
          <w:color w:val="auto"/>
          <w:sz w:val="21"/>
          <w:szCs w:val="21"/>
          <w:highlight w:val="none"/>
        </w:rPr>
        <w:t>由采购人（或采购人指定的单位）和</w:t>
      </w:r>
      <w:r>
        <w:rPr>
          <w:rFonts w:hint="eastAsia" w:hAnsi="宋体" w:cs="宋体"/>
          <w:color w:val="auto"/>
          <w:sz w:val="21"/>
          <w:szCs w:val="21"/>
          <w:highlight w:val="none"/>
          <w:lang w:eastAsia="zh-CN"/>
        </w:rPr>
        <w:t>成交供应商</w:t>
      </w:r>
      <w:r>
        <w:rPr>
          <w:rFonts w:hint="eastAsia" w:hAnsi="宋体" w:cs="宋体"/>
          <w:bCs/>
          <w:color w:val="auto"/>
          <w:sz w:val="21"/>
          <w:szCs w:val="21"/>
          <w:highlight w:val="none"/>
        </w:rPr>
        <w:t>共同进行验收，并签署项目验收报告</w:t>
      </w:r>
      <w:r>
        <w:rPr>
          <w:rFonts w:hint="eastAsia" w:hAnsi="宋体" w:cs="宋体"/>
          <w:color w:val="auto"/>
          <w:sz w:val="21"/>
          <w:szCs w:val="21"/>
          <w:highlight w:val="none"/>
        </w:rPr>
        <w:t>。</w:t>
      </w:r>
    </w:p>
    <w:p>
      <w:pPr>
        <w:pStyle w:val="2"/>
        <w:spacing w:line="360" w:lineRule="auto"/>
        <w:rPr>
          <w:rFonts w:hint="eastAsia"/>
          <w:color w:val="auto"/>
          <w:highlight w:val="none"/>
          <w:lang w:val="zh-CN"/>
        </w:rPr>
      </w:pPr>
      <w:bookmarkStart w:id="151" w:name="_Toc11175"/>
      <w:r>
        <w:rPr>
          <w:rFonts w:hint="eastAsia"/>
          <w:color w:val="auto"/>
          <w:highlight w:val="none"/>
          <w:lang w:val="zh-CN"/>
        </w:rPr>
        <w:t>四、安装、调试</w:t>
      </w:r>
      <w:bookmarkEnd w:id="151"/>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负责货物的包装、运输、安装、调试等工作，并承担由此产生的所有费用，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负责到用户指定的地点进行安装、调试。</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应提交详细安装进度表。</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应设安装负责人，负责安装协调管理工作。</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4、按国家相关施工验收规范进行，分阶段进行调试。</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5、货物的安装、调试等项工作由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负责，但必须在采购人指定人员的参与下进行。调试的原始记录须经各方签字后作为验收的文件之一。</w:t>
      </w:r>
    </w:p>
    <w:p>
      <w:pPr>
        <w:pStyle w:val="2"/>
        <w:spacing w:line="360" w:lineRule="auto"/>
        <w:rPr>
          <w:rFonts w:hint="eastAsia"/>
          <w:color w:val="auto"/>
          <w:highlight w:val="none"/>
          <w:lang w:val="zh-CN"/>
        </w:rPr>
      </w:pPr>
      <w:bookmarkStart w:id="152" w:name="_Toc9470"/>
      <w:r>
        <w:rPr>
          <w:rFonts w:hint="eastAsia"/>
          <w:color w:val="auto"/>
          <w:highlight w:val="none"/>
          <w:lang w:val="zh-CN"/>
        </w:rPr>
        <w:t>五、验收</w:t>
      </w:r>
      <w:bookmarkEnd w:id="152"/>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1、验收工作由采购人（或采购人指定的单位）和</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共同进行。</w:t>
      </w:r>
    </w:p>
    <w:p>
      <w:pPr>
        <w:tabs>
          <w:tab w:val="left" w:pos="360"/>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2、验收以采购人技术人员为主，</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提供技术支援，对在测试中发现的技术问题双方记录，完成测试后，双方签署终验测试报告。</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3、由采购人对货物的质量、规格、数量和运行状况及其他进行检验。如发现质量、规格、数量和运行状况等任何一项与招标要求规定不符，采购人有权拒绝验收。</w:t>
      </w:r>
    </w:p>
    <w:p>
      <w:pPr>
        <w:pStyle w:val="2"/>
        <w:spacing w:line="360" w:lineRule="auto"/>
        <w:rPr>
          <w:rFonts w:hint="eastAsia"/>
          <w:color w:val="auto"/>
          <w:highlight w:val="none"/>
          <w:lang w:val="zh-CN"/>
        </w:rPr>
      </w:pPr>
      <w:bookmarkStart w:id="153" w:name="_Toc20084"/>
      <w:r>
        <w:rPr>
          <w:rFonts w:hint="eastAsia"/>
          <w:color w:val="auto"/>
          <w:highlight w:val="none"/>
          <w:lang w:val="zh-CN"/>
        </w:rPr>
        <w:t>六、质量保证</w:t>
      </w:r>
      <w:bookmarkEnd w:id="153"/>
    </w:p>
    <w:p>
      <w:pPr>
        <w:tabs>
          <w:tab w:val="left" w:pos="360"/>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所投货物必须是原装、全新的产品，并且符合国家以及该产品的出厂标准。</w:t>
      </w:r>
    </w:p>
    <w:p>
      <w:pPr>
        <w:tabs>
          <w:tab w:val="left" w:pos="360"/>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所投货物必须使用环保材料并符合国家环保要求及标准。</w:t>
      </w:r>
    </w:p>
    <w:p>
      <w:pPr>
        <w:tabs>
          <w:tab w:val="left" w:pos="360"/>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3、所有货物在开箱检验时必须完好，无破损，配置与装箱单相符。数量、质量及性能不低于本需求书中提出的要求。</w:t>
      </w:r>
    </w:p>
    <w:p>
      <w:pPr>
        <w:tabs>
          <w:tab w:val="left" w:pos="360"/>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4、货物外观清洁，标记编号等字体清晰，明确。</w:t>
      </w:r>
    </w:p>
    <w:p>
      <w:pPr>
        <w:tabs>
          <w:tab w:val="left" w:pos="360"/>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5、对于影响货物正常工作的必要组成部分，无论在技术规范中指出与否，投标人都应提供并在</w:t>
      </w:r>
      <w:r>
        <w:rPr>
          <w:rFonts w:hint="eastAsia" w:hAnsi="宋体" w:cs="宋体"/>
          <w:color w:val="auto"/>
          <w:sz w:val="21"/>
          <w:szCs w:val="21"/>
          <w:highlight w:val="none"/>
          <w:lang w:eastAsia="zh-CN"/>
        </w:rPr>
        <w:t>磋商响应文件</w:t>
      </w:r>
      <w:r>
        <w:rPr>
          <w:rFonts w:hint="eastAsia" w:hAnsi="宋体" w:cs="宋体"/>
          <w:color w:val="auto"/>
          <w:sz w:val="21"/>
          <w:szCs w:val="21"/>
          <w:highlight w:val="none"/>
        </w:rPr>
        <w:t>中明确列出。</w:t>
      </w:r>
    </w:p>
    <w:p>
      <w:pPr>
        <w:tabs>
          <w:tab w:val="left" w:pos="360"/>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在实际供货时，若被发现提供的货物未能达到</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和</w:t>
      </w:r>
      <w:r>
        <w:rPr>
          <w:rFonts w:hint="eastAsia" w:hAnsi="宋体" w:cs="宋体"/>
          <w:color w:val="auto"/>
          <w:sz w:val="21"/>
          <w:szCs w:val="21"/>
          <w:highlight w:val="none"/>
          <w:lang w:eastAsia="zh-CN"/>
        </w:rPr>
        <w:t>磋商响应文件</w:t>
      </w:r>
      <w:r>
        <w:rPr>
          <w:rFonts w:hint="eastAsia" w:hAnsi="宋体" w:cs="宋体"/>
          <w:color w:val="auto"/>
          <w:sz w:val="21"/>
          <w:szCs w:val="21"/>
          <w:highlight w:val="none"/>
        </w:rPr>
        <w:t>中的有关要求，将按合同约定进行处罚。</w:t>
      </w:r>
    </w:p>
    <w:p>
      <w:pPr>
        <w:pStyle w:val="2"/>
        <w:spacing w:line="360" w:lineRule="auto"/>
        <w:rPr>
          <w:rFonts w:hint="eastAsia"/>
          <w:color w:val="auto"/>
          <w:highlight w:val="none"/>
          <w:lang w:val="zh-CN"/>
        </w:rPr>
      </w:pPr>
      <w:bookmarkStart w:id="154" w:name="_Toc19744"/>
      <w:r>
        <w:rPr>
          <w:rFonts w:hint="eastAsia"/>
          <w:color w:val="auto"/>
          <w:highlight w:val="none"/>
          <w:lang w:val="zh-CN"/>
        </w:rPr>
        <w:t>七、售后服务</w:t>
      </w:r>
      <w:bookmarkEnd w:id="154"/>
    </w:p>
    <w:p>
      <w:pPr>
        <w:tabs>
          <w:tab w:val="left" w:pos="360"/>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1、质保期内：</w:t>
      </w:r>
    </w:p>
    <w:p>
      <w:pPr>
        <w:tabs>
          <w:tab w:val="left" w:pos="360"/>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① 故障响应时间：质保期内，货物出现质量问题，</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接到质量问题通知后12个小时内到场处理，24个小时内修复，如无法修复须提供相应规格的货物供采购人替代使用；其他服务承诺在</w:t>
      </w:r>
      <w:r>
        <w:rPr>
          <w:rFonts w:hint="eastAsia" w:hAnsi="宋体" w:cs="宋体"/>
          <w:color w:val="auto"/>
          <w:sz w:val="21"/>
          <w:szCs w:val="21"/>
          <w:highlight w:val="none"/>
          <w:lang w:eastAsia="zh-CN"/>
        </w:rPr>
        <w:t>磋商响应文件</w:t>
      </w:r>
      <w:r>
        <w:rPr>
          <w:rFonts w:hint="eastAsia" w:hAnsi="宋体" w:cs="宋体"/>
          <w:color w:val="auto"/>
          <w:sz w:val="21"/>
          <w:szCs w:val="21"/>
          <w:highlight w:val="none"/>
        </w:rPr>
        <w:t>中说明。</w:t>
      </w:r>
    </w:p>
    <w:p>
      <w:pPr>
        <w:tabs>
          <w:tab w:val="left" w:pos="360"/>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② 如果货物不能稳定地达到</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承诺的全部功能，</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应对此承担责任并承担全部相关费用以及采购人的直接损失，经采购人同意对货物采用如下一种或几种方式处理：1.免费维修和更换损坏零部件；2.换货；3.降价，但不免除其它正常部分的质量保证责任。如</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未能在合理的时间内将产品维修、更换或修正以符合规格，采购人有权在合理时间内将产品退回</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后要求返还已付的价款。</w:t>
      </w:r>
    </w:p>
    <w:p>
      <w:pPr>
        <w:tabs>
          <w:tab w:val="left" w:pos="360"/>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2、质保期后：提供技术支持和详细的售后服务计划，</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应按其在东莞地区同类产品的最优惠价格提供保修服务，终身保证配品配件的供应，更换配件的费用以成本计。</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3、售后服务机构：设有固定的维修点或售后服务机构，具有提供日常维护和技术支持的能力，能提供正常的技术、备品备件、服务等；须提供服务机构名称、人员情况、办公地址、联系电话。</w:t>
      </w:r>
    </w:p>
    <w:p>
      <w:pPr>
        <w:rPr>
          <w:rFonts w:hint="default"/>
          <w:color w:val="auto"/>
          <w:highlight w:val="none"/>
          <w:lang w:val="en-US" w:eastAsia="zh-CN"/>
        </w:rPr>
        <w:sectPr>
          <w:headerReference r:id="rId7" w:type="default"/>
          <w:footerReference r:id="rId8" w:type="default"/>
          <w:pgSz w:w="11907" w:h="16840"/>
          <w:pgMar w:top="1440" w:right="1134" w:bottom="1440" w:left="1134" w:header="850" w:footer="720" w:gutter="0"/>
          <w:pgBorders>
            <w:top w:val="none" w:sz="0" w:space="0"/>
            <w:left w:val="none" w:sz="0" w:space="0"/>
            <w:bottom w:val="none" w:sz="0" w:space="0"/>
            <w:right w:val="none" w:sz="0" w:space="0"/>
          </w:pgBorders>
          <w:cols w:space="720" w:num="1"/>
          <w:docGrid w:type="lines" w:linePitch="326" w:charSpace="0"/>
        </w:sectPr>
      </w:pPr>
    </w:p>
    <w:p>
      <w:pPr>
        <w:pStyle w:val="3"/>
        <w:keepNext/>
        <w:keepLines/>
        <w:pageBreakBefore/>
        <w:numPr>
          <w:ilvl w:val="0"/>
          <w:numId w:val="14"/>
        </w:numPr>
        <w:spacing w:line="360" w:lineRule="auto"/>
        <w:jc w:val="center"/>
        <w:rPr>
          <w:rFonts w:hAnsi="宋体"/>
          <w:b/>
          <w:bCs/>
          <w:color w:val="auto"/>
          <w:kern w:val="44"/>
          <w:sz w:val="28"/>
          <w:szCs w:val="28"/>
          <w:highlight w:val="none"/>
          <w:lang w:val="zh-CN"/>
        </w:rPr>
      </w:pPr>
      <w:bookmarkStart w:id="155" w:name="_Toc13957"/>
      <w:r>
        <w:rPr>
          <w:rFonts w:hint="eastAsia" w:hAnsi="宋体"/>
          <w:b/>
          <w:bCs/>
          <w:color w:val="auto"/>
          <w:kern w:val="44"/>
          <w:sz w:val="28"/>
          <w:szCs w:val="28"/>
          <w:highlight w:val="none"/>
          <w:lang w:val="zh-CN"/>
        </w:rPr>
        <w:t>评审工作大纲</w:t>
      </w:r>
      <w:bookmarkEnd w:id="155"/>
    </w:p>
    <w:p>
      <w:pPr>
        <w:pStyle w:val="20"/>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（一）资格性检查</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1)资格瑕疵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包括但不限于：①资格证明文件未提供或不符合磋商文件要求的；②供应商与采购人、采购代理机构有利害关系的。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2)磋商保证金瑕疵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包括但不限于：①供应商未提交磋商文件保证金或金额不足；②提交方式、提交时间不符合采购要求；③磋商文件保证金有效期不符合采购要求的。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（二）符合性检查</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1)供应商代表身份审查</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包括但不限于：①供应商代表未参加开标会；②供应商代表无有效授权；③核对供应商代表身份时，不能提供相应的身份证明或不相符。</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2)响应文件的有效性、完整性瑕疵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响应文件的数量、制作、密封、标记不符合要求；②响应文件无法定代表人或其授权代表签字，或签字人无法定代表人有效授权的；③签字盖章不符合磋商文件要求的；④响应文件内容有严重缺漏项的；⑤报价有严重缺漏项的；⑥响应文件的关键内容字迹模糊、无法辨认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3)技术响应瑕疵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响应文件不满足磋商文件中加注星号（★）的主要参数要求或加注星号的主要参数无技术资料支持的；②一般参数超出允许偏离的最大范围或最高项数的；③响应文件技术响应与事实不符或虚假磋商的；④供应商复制磋商文件的技术规格相关部分内容作为其响应文件的一部分的；⑤《技术规格偏离表》填写不明或不实的；⑥将一个包中的内容拆开磋商的；⑦供应商对同一货物或服务磋商时，同时提供两套或两套以上的磋商方案的；⑧明显不符合技术规格、技术标准要求的；⑨其他未实质性响应磋商文件技术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4)商务响应瑕疵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磋商文件加注星号（★）的商务要求负偏离的；②项目完成期未满足磋商文件要求的；③报价超出采购预算的。④《商务条款偏离表》填写不明或不实的；⑤；⑥供应商低于成本报价竞标的；⑦响应文件附有采购人不能接受的条件的；⑧其他未实质性响应磋商文件商务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5）报价</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6）违规行为</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以他人的名义磋商、串通磋商、以行贿手段谋取成交或者以其他弄虚作假方式参与磋商的；②拒不按照要求对响应文件进行澄清、说明或者补正的；③扰乱开标、评标秩序，干扰磋商工作正常进行的。</w:t>
      </w:r>
    </w:p>
    <w:p>
      <w:pPr>
        <w:pStyle w:val="20"/>
        <w:numPr>
          <w:ilvl w:val="0"/>
          <w:numId w:val="15"/>
        </w:numP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法律法规及磋商文件中规定的其它情形。</w:t>
      </w:r>
    </w:p>
    <w:p>
      <w:pPr>
        <w:pStyle w:val="20"/>
        <w:spacing w:line="360" w:lineRule="auto"/>
        <w:jc w:val="left"/>
        <w:rPr>
          <w:rFonts w:hAnsi="宋体"/>
          <w:b w:val="0"/>
          <w:bCs w:val="0"/>
          <w:color w:val="auto"/>
          <w:sz w:val="21"/>
          <w:szCs w:val="21"/>
          <w:highlight w:val="none"/>
        </w:rPr>
      </w:pPr>
    </w:p>
    <w:p>
      <w:pPr>
        <w:pStyle w:val="20"/>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w:t>
      </w:r>
      <w:r>
        <w:rPr>
          <w:rFonts w:hint="eastAsia" w:hAnsi="宋体"/>
          <w:color w:val="auto"/>
          <w:sz w:val="21"/>
          <w:szCs w:val="21"/>
          <w:highlight w:val="none"/>
          <w:lang w:eastAsia="zh-CN"/>
        </w:rPr>
        <w:t>编制</w:t>
      </w:r>
      <w:r>
        <w:rPr>
          <w:rFonts w:hint="eastAsia" w:hAnsi="宋体"/>
          <w:color w:val="auto"/>
          <w:sz w:val="21"/>
          <w:szCs w:val="21"/>
          <w:highlight w:val="none"/>
        </w:rPr>
        <w:t>评审报告。</w:t>
      </w:r>
    </w:p>
    <w:p>
      <w:pPr>
        <w:pStyle w:val="20"/>
        <w:spacing w:line="360" w:lineRule="auto"/>
        <w:ind w:left="480" w:leftChars="200"/>
        <w:jc w:val="left"/>
        <w:rPr>
          <w:rFonts w:hAnsi="宋体"/>
          <w:color w:val="auto"/>
          <w:sz w:val="21"/>
          <w:szCs w:val="21"/>
          <w:highlight w:val="none"/>
        </w:rPr>
      </w:pPr>
    </w:p>
    <w:p>
      <w:pPr>
        <w:pStyle w:val="28"/>
        <w:spacing w:line="360" w:lineRule="auto"/>
        <w:ind w:firstLine="422" w:firstLineChars="200"/>
        <w:rPr>
          <w:rFonts w:hint="eastAsia" w:hAnsi="宋体" w:eastAsia="宋体"/>
          <w:b/>
          <w:bCs/>
          <w:color w:val="auto"/>
          <w:szCs w:val="21"/>
          <w:highlight w:val="none"/>
          <w:lang w:eastAsia="zh-CN"/>
        </w:rPr>
      </w:pPr>
      <w:r>
        <w:rPr>
          <w:rFonts w:hint="eastAsia" w:hAnsi="宋体"/>
          <w:b/>
          <w:bCs/>
          <w:color w:val="auto"/>
          <w:szCs w:val="21"/>
          <w:highlight w:val="none"/>
        </w:rPr>
        <w:t>三、评审因素及评分权重</w:t>
      </w:r>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14"/>
        <w:gridCol w:w="817"/>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cs="宋体"/>
                <w:b/>
                <w:color w:val="auto"/>
                <w:kern w:val="2"/>
                <w:sz w:val="21"/>
                <w:szCs w:val="21"/>
                <w:highlight w:val="none"/>
              </w:rPr>
            </w:pPr>
            <w:r>
              <w:rPr>
                <w:rFonts w:hint="eastAsia" w:cs="宋体"/>
                <w:b/>
                <w:color w:val="auto"/>
                <w:kern w:val="2"/>
                <w:sz w:val="21"/>
                <w:szCs w:val="21"/>
                <w:highlight w:val="none"/>
              </w:rPr>
              <w:t>序号</w:t>
            </w:r>
          </w:p>
        </w:tc>
        <w:tc>
          <w:tcPr>
            <w:tcW w:w="1114"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cs="宋体"/>
                <w:b/>
                <w:color w:val="auto"/>
                <w:kern w:val="2"/>
                <w:sz w:val="21"/>
                <w:szCs w:val="21"/>
                <w:highlight w:val="none"/>
              </w:rPr>
            </w:pPr>
            <w:r>
              <w:rPr>
                <w:rFonts w:hint="eastAsia" w:cs="宋体"/>
                <w:b/>
                <w:color w:val="auto"/>
                <w:kern w:val="2"/>
                <w:sz w:val="21"/>
                <w:szCs w:val="21"/>
                <w:highlight w:val="none"/>
              </w:rPr>
              <w:t>评分内容</w:t>
            </w:r>
          </w:p>
        </w:tc>
        <w:tc>
          <w:tcPr>
            <w:tcW w:w="817"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cs="宋体"/>
                <w:b/>
                <w:color w:val="auto"/>
                <w:kern w:val="2"/>
                <w:sz w:val="21"/>
                <w:szCs w:val="21"/>
                <w:highlight w:val="none"/>
              </w:rPr>
            </w:pPr>
            <w:r>
              <w:rPr>
                <w:rFonts w:hint="eastAsia" w:cs="宋体"/>
                <w:b/>
                <w:color w:val="auto"/>
                <w:kern w:val="2"/>
                <w:sz w:val="21"/>
                <w:szCs w:val="21"/>
                <w:highlight w:val="none"/>
              </w:rPr>
              <w:t>分值</w:t>
            </w:r>
          </w:p>
        </w:tc>
        <w:tc>
          <w:tcPr>
            <w:tcW w:w="6185"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cs="宋体"/>
                <w:b/>
                <w:color w:val="auto"/>
                <w:kern w:val="2"/>
                <w:sz w:val="21"/>
                <w:szCs w:val="21"/>
                <w:highlight w:val="none"/>
              </w:rPr>
            </w:pPr>
            <w:r>
              <w:rPr>
                <w:rFonts w:hint="eastAsia" w:cs="宋体"/>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0" w:type="dxa"/>
            <w:gridSpan w:val="4"/>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cs="宋体"/>
                <w:b/>
                <w:color w:val="auto"/>
                <w:kern w:val="2"/>
                <w:sz w:val="21"/>
                <w:szCs w:val="21"/>
                <w:highlight w:val="none"/>
              </w:rPr>
            </w:pPr>
            <w:r>
              <w:rPr>
                <w:rFonts w:hint="eastAsia" w:cs="宋体"/>
                <w:b/>
                <w:color w:val="auto"/>
                <w:kern w:val="2"/>
                <w:sz w:val="21"/>
                <w:szCs w:val="21"/>
                <w:highlight w:val="none"/>
              </w:rPr>
              <w:t>价格评分（50分）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cs="宋体"/>
                <w:color w:val="auto"/>
                <w:kern w:val="2"/>
                <w:sz w:val="21"/>
                <w:szCs w:val="21"/>
                <w:highlight w:val="none"/>
              </w:rPr>
            </w:pPr>
            <w:r>
              <w:rPr>
                <w:rFonts w:hint="eastAsia" w:cs="宋体"/>
                <w:color w:val="auto"/>
                <w:kern w:val="2"/>
                <w:sz w:val="21"/>
                <w:szCs w:val="21"/>
                <w:highlight w:val="none"/>
              </w:rPr>
              <w:t>1</w:t>
            </w:r>
          </w:p>
        </w:tc>
        <w:tc>
          <w:tcPr>
            <w:tcW w:w="1114"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cs="宋体"/>
                <w:color w:val="auto"/>
                <w:kern w:val="2"/>
                <w:sz w:val="21"/>
                <w:szCs w:val="21"/>
                <w:highlight w:val="none"/>
              </w:rPr>
            </w:pPr>
            <w:r>
              <w:rPr>
                <w:rFonts w:hint="eastAsia" w:cs="宋体"/>
                <w:color w:val="auto"/>
                <w:kern w:val="2"/>
                <w:sz w:val="21"/>
                <w:szCs w:val="21"/>
                <w:highlight w:val="none"/>
              </w:rPr>
              <w:t>价格</w:t>
            </w:r>
          </w:p>
        </w:tc>
        <w:tc>
          <w:tcPr>
            <w:tcW w:w="817"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cs="宋体"/>
                <w:color w:val="auto"/>
                <w:kern w:val="2"/>
                <w:sz w:val="21"/>
                <w:szCs w:val="21"/>
                <w:highlight w:val="none"/>
              </w:rPr>
            </w:pPr>
            <w:r>
              <w:rPr>
                <w:rFonts w:hint="eastAsia" w:cs="宋体"/>
                <w:color w:val="auto"/>
                <w:kern w:val="2"/>
                <w:sz w:val="21"/>
                <w:szCs w:val="21"/>
                <w:highlight w:val="none"/>
              </w:rPr>
              <w:t>50分</w:t>
            </w:r>
          </w:p>
        </w:tc>
        <w:tc>
          <w:tcPr>
            <w:tcW w:w="6185"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rPr>
                <w:rFonts w:hint="eastAsia" w:cs="宋体"/>
                <w:color w:val="auto"/>
                <w:kern w:val="2"/>
                <w:sz w:val="21"/>
                <w:szCs w:val="21"/>
                <w:highlight w:val="none"/>
              </w:rPr>
            </w:pPr>
            <w:r>
              <w:rPr>
                <w:rFonts w:hint="eastAsia" w:cs="宋体"/>
                <w:color w:val="auto"/>
                <w:kern w:val="2"/>
                <w:sz w:val="21"/>
                <w:szCs w:val="21"/>
                <w:highlight w:val="none"/>
              </w:rPr>
              <w:t>价格分计算方法：满足</w:t>
            </w:r>
            <w:r>
              <w:rPr>
                <w:rFonts w:hint="eastAsia" w:cs="宋体"/>
                <w:color w:val="auto"/>
                <w:kern w:val="2"/>
                <w:sz w:val="21"/>
                <w:szCs w:val="21"/>
                <w:highlight w:val="none"/>
                <w:lang w:eastAsia="zh-CN"/>
              </w:rPr>
              <w:t>磋商文件</w:t>
            </w:r>
            <w:r>
              <w:rPr>
                <w:rFonts w:hint="eastAsia" w:cs="宋体"/>
                <w:color w:val="auto"/>
                <w:kern w:val="2"/>
                <w:sz w:val="21"/>
                <w:szCs w:val="21"/>
                <w:highlight w:val="none"/>
              </w:rPr>
              <w:t>要求且投标价格最低的投标报价为评标基准价，其价格分为满分。其他投标人的价格分统一按照下列公式计算：投标报价得分=(评标基准价／投标报价)×价格权重（50%）×100。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90" w:type="dxa"/>
            <w:gridSpan w:val="4"/>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cs="宋体"/>
                <w:b/>
                <w:color w:val="auto"/>
                <w:kern w:val="2"/>
                <w:sz w:val="21"/>
                <w:szCs w:val="21"/>
                <w:highlight w:val="none"/>
              </w:rPr>
            </w:pPr>
            <w:r>
              <w:rPr>
                <w:rFonts w:hint="eastAsia" w:cs="宋体"/>
                <w:b/>
                <w:color w:val="auto"/>
                <w:kern w:val="2"/>
                <w:sz w:val="21"/>
                <w:szCs w:val="21"/>
                <w:highlight w:val="none"/>
              </w:rPr>
              <w:t>商务评分（</w:t>
            </w:r>
            <w:r>
              <w:rPr>
                <w:rFonts w:hint="eastAsia" w:cs="宋体"/>
                <w:b/>
                <w:color w:val="auto"/>
                <w:kern w:val="2"/>
                <w:sz w:val="21"/>
                <w:szCs w:val="21"/>
                <w:highlight w:val="none"/>
                <w:lang w:val="en-US" w:eastAsia="zh-CN"/>
              </w:rPr>
              <w:t>20</w:t>
            </w:r>
            <w:r>
              <w:rPr>
                <w:rFonts w:hint="eastAsia"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eastAsia="宋体" w:cs="宋体"/>
                <w:color w:val="auto"/>
                <w:kern w:val="2"/>
                <w:sz w:val="21"/>
                <w:szCs w:val="21"/>
                <w:highlight w:val="none"/>
                <w:lang w:eastAsia="zh-CN"/>
              </w:rPr>
            </w:pPr>
            <w:r>
              <w:rPr>
                <w:rFonts w:hint="eastAsia" w:cs="宋体"/>
                <w:color w:val="auto"/>
                <w:kern w:val="2"/>
                <w:sz w:val="21"/>
                <w:szCs w:val="21"/>
                <w:highlight w:val="none"/>
                <w:lang w:val="en-US" w:eastAsia="zh-CN"/>
              </w:rPr>
              <w:t>1</w:t>
            </w:r>
          </w:p>
        </w:tc>
        <w:tc>
          <w:tcPr>
            <w:tcW w:w="1114"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cs="宋体"/>
                <w:color w:val="auto"/>
                <w:kern w:val="2"/>
                <w:sz w:val="21"/>
                <w:szCs w:val="21"/>
                <w:highlight w:val="none"/>
              </w:rPr>
            </w:pPr>
            <w:r>
              <w:rPr>
                <w:rFonts w:hint="eastAsia" w:cs="宋体"/>
                <w:color w:val="auto"/>
                <w:sz w:val="21"/>
                <w:szCs w:val="21"/>
                <w:highlight w:val="none"/>
              </w:rPr>
              <w:t>业绩经验</w:t>
            </w:r>
          </w:p>
        </w:tc>
        <w:tc>
          <w:tcPr>
            <w:tcW w:w="817"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cs="宋体"/>
                <w:color w:val="auto"/>
                <w:kern w:val="2"/>
                <w:sz w:val="21"/>
                <w:szCs w:val="21"/>
                <w:highlight w:val="none"/>
              </w:rPr>
            </w:pPr>
            <w:r>
              <w:rPr>
                <w:rFonts w:hint="eastAsia" w:cs="宋体"/>
                <w:color w:val="auto"/>
                <w:sz w:val="21"/>
                <w:szCs w:val="21"/>
                <w:highlight w:val="none"/>
                <w:lang w:val="en-US" w:eastAsia="zh-CN"/>
              </w:rPr>
              <w:t>20</w:t>
            </w:r>
            <w:r>
              <w:rPr>
                <w:rFonts w:hint="eastAsia" w:cs="宋体"/>
                <w:color w:val="auto"/>
                <w:sz w:val="21"/>
                <w:szCs w:val="21"/>
                <w:highlight w:val="none"/>
              </w:rPr>
              <w:t>分</w:t>
            </w:r>
          </w:p>
        </w:tc>
        <w:tc>
          <w:tcPr>
            <w:tcW w:w="6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投标人自2018年1月1日至今</w:t>
            </w:r>
            <w:r>
              <w:rPr>
                <w:rFonts w:hint="eastAsia" w:hAnsi="宋体" w:cs="宋体"/>
                <w:color w:val="auto"/>
                <w:sz w:val="21"/>
                <w:szCs w:val="21"/>
                <w:highlight w:val="none"/>
                <w:lang w:eastAsia="zh-CN"/>
              </w:rPr>
              <w:t>（以合同签订时间为准）</w:t>
            </w:r>
            <w:r>
              <w:rPr>
                <w:rFonts w:hint="eastAsia" w:hAnsi="宋体" w:cs="宋体"/>
                <w:color w:val="auto"/>
                <w:sz w:val="21"/>
                <w:szCs w:val="21"/>
                <w:highlight w:val="none"/>
              </w:rPr>
              <w:t>承接</w:t>
            </w:r>
            <w:r>
              <w:rPr>
                <w:rFonts w:hint="eastAsia" w:hAnsi="宋体" w:cs="宋体"/>
                <w:color w:val="auto"/>
                <w:sz w:val="21"/>
                <w:szCs w:val="21"/>
                <w:highlight w:val="none"/>
                <w:lang w:eastAsia="zh-CN"/>
              </w:rPr>
              <w:t>过电视机</w:t>
            </w:r>
            <w:r>
              <w:rPr>
                <w:rFonts w:hint="eastAsia" w:hAnsi="宋体" w:cs="宋体"/>
                <w:color w:val="auto"/>
                <w:sz w:val="21"/>
                <w:szCs w:val="21"/>
                <w:highlight w:val="none"/>
              </w:rPr>
              <w:t>类供货项目业绩，每个得</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分,最高得</w:t>
            </w:r>
            <w:r>
              <w:rPr>
                <w:rFonts w:hint="eastAsia" w:hAnsi="宋体" w:cs="宋体"/>
                <w:color w:val="auto"/>
                <w:sz w:val="21"/>
                <w:szCs w:val="21"/>
                <w:highlight w:val="none"/>
                <w:lang w:val="en-US" w:eastAsia="zh-CN"/>
              </w:rPr>
              <w:t>20</w:t>
            </w:r>
            <w:r>
              <w:rPr>
                <w:rFonts w:hint="eastAsia" w:hAnsi="宋体" w:cs="宋体"/>
                <w:color w:val="auto"/>
                <w:sz w:val="21"/>
                <w:szCs w:val="21"/>
                <w:highlight w:val="none"/>
              </w:rPr>
              <w:t>分。</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注：须同时提供①业绩合同复印件、②提供与项目相关的发票或完税证明复印件（张数不限），并加盖公章。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0" w:type="dxa"/>
            <w:gridSpan w:val="4"/>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cs="宋体"/>
                <w:b/>
                <w:color w:val="auto"/>
                <w:kern w:val="2"/>
                <w:sz w:val="21"/>
                <w:szCs w:val="21"/>
                <w:highlight w:val="none"/>
              </w:rPr>
            </w:pPr>
            <w:r>
              <w:rPr>
                <w:rFonts w:hint="eastAsia" w:cs="宋体"/>
                <w:b/>
                <w:color w:val="auto"/>
                <w:kern w:val="2"/>
                <w:sz w:val="21"/>
                <w:szCs w:val="21"/>
                <w:highlight w:val="none"/>
              </w:rPr>
              <w:t>技术评分（</w:t>
            </w:r>
            <w:r>
              <w:rPr>
                <w:rFonts w:hint="eastAsia" w:cs="宋体"/>
                <w:b/>
                <w:color w:val="auto"/>
                <w:kern w:val="2"/>
                <w:sz w:val="21"/>
                <w:szCs w:val="21"/>
                <w:highlight w:val="none"/>
                <w:lang w:val="en-US" w:eastAsia="zh-CN"/>
              </w:rPr>
              <w:t>30</w:t>
            </w:r>
            <w:r>
              <w:rPr>
                <w:rFonts w:hint="eastAsia"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right w:val="single" w:color="auto" w:sz="4" w:space="0"/>
            </w:tcBorders>
            <w:noWrap w:val="0"/>
            <w:vAlign w:val="center"/>
          </w:tcPr>
          <w:p>
            <w:pPr>
              <w:pStyle w:val="48"/>
              <w:spacing w:line="360" w:lineRule="auto"/>
              <w:jc w:val="center"/>
              <w:rPr>
                <w:rFonts w:hint="eastAsia" w:cs="宋体"/>
                <w:color w:val="auto"/>
                <w:kern w:val="2"/>
                <w:sz w:val="21"/>
                <w:szCs w:val="21"/>
                <w:highlight w:val="none"/>
              </w:rPr>
            </w:pPr>
            <w:r>
              <w:rPr>
                <w:rFonts w:hint="eastAsia" w:cs="宋体"/>
                <w:color w:val="auto"/>
                <w:kern w:val="2"/>
                <w:sz w:val="21"/>
                <w:szCs w:val="21"/>
                <w:highlight w:val="none"/>
              </w:rPr>
              <w:t>1</w:t>
            </w:r>
          </w:p>
        </w:tc>
        <w:tc>
          <w:tcPr>
            <w:tcW w:w="1114" w:type="dxa"/>
            <w:tcBorders>
              <w:top w:val="single" w:color="auto" w:sz="4" w:space="0"/>
              <w:left w:val="single" w:color="auto" w:sz="4" w:space="0"/>
              <w:right w:val="single" w:color="auto" w:sz="4" w:space="0"/>
            </w:tcBorders>
            <w:noWrap w:val="0"/>
            <w:vAlign w:val="center"/>
          </w:tcPr>
          <w:p>
            <w:pPr>
              <w:pStyle w:val="75"/>
              <w:spacing w:line="400" w:lineRule="exact"/>
              <w:ind w:firstLine="0" w:firstLineChars="0"/>
              <w:jc w:val="center"/>
              <w:rPr>
                <w:rFonts w:hint="eastAsia" w:ascii="宋体" w:eastAsia="宋体" w:cs="宋体"/>
                <w:color w:val="auto"/>
                <w:sz w:val="21"/>
                <w:szCs w:val="21"/>
                <w:highlight w:val="none"/>
                <w:lang w:val="zh-CN"/>
              </w:rPr>
            </w:pPr>
            <w:r>
              <w:rPr>
                <w:rFonts w:hint="eastAsia" w:ascii="宋体" w:eastAsia="宋体" w:cs="宋体"/>
                <w:color w:val="auto"/>
                <w:sz w:val="21"/>
                <w:szCs w:val="21"/>
                <w:highlight w:val="none"/>
              </w:rPr>
              <w:t>所投产品的材料及配置情况</w:t>
            </w:r>
          </w:p>
        </w:tc>
        <w:tc>
          <w:tcPr>
            <w:tcW w:w="817" w:type="dxa"/>
            <w:tcBorders>
              <w:top w:val="single" w:color="auto" w:sz="4" w:space="0"/>
              <w:left w:val="single" w:color="auto" w:sz="4" w:space="0"/>
              <w:right w:val="single" w:color="auto" w:sz="4" w:space="0"/>
            </w:tcBorders>
            <w:noWrap w:val="0"/>
            <w:vAlign w:val="center"/>
          </w:tcPr>
          <w:p>
            <w:pPr>
              <w:pStyle w:val="75"/>
              <w:spacing w:line="400" w:lineRule="exact"/>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lang w:val="en-US" w:eastAsia="zh-CN"/>
              </w:rPr>
              <w:t>15</w:t>
            </w:r>
            <w:r>
              <w:rPr>
                <w:rFonts w:hint="eastAsia" w:ascii="宋体" w:eastAsia="宋体" w:cs="宋体"/>
                <w:color w:val="auto"/>
                <w:sz w:val="21"/>
                <w:szCs w:val="21"/>
                <w:highlight w:val="none"/>
              </w:rPr>
              <w:t>分</w:t>
            </w:r>
          </w:p>
        </w:tc>
        <w:tc>
          <w:tcPr>
            <w:tcW w:w="6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根据投标人对所投每类产品的品牌、档次、技术情况（技术参数、技术指标、配置、技术性能），该货物类似项目使用经验、先进性、技术成熟性等情况，并根据以下评审标准进行综合评审：</w:t>
            </w:r>
          </w:p>
          <w:p>
            <w:pPr>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评审标准：</w:t>
            </w:r>
          </w:p>
          <w:p>
            <w:pPr>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优：产品的品牌知名度高（如一线品牌）、档次高、技术先进性及安全性能好，产品的材料及配置情况先进、完整合理、完全或优于</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要求的</w:t>
            </w:r>
            <w:r>
              <w:rPr>
                <w:rFonts w:hint="eastAsia" w:hAnsi="宋体" w:cs="宋体"/>
                <w:bCs/>
                <w:color w:val="auto"/>
                <w:sz w:val="21"/>
                <w:szCs w:val="21"/>
                <w:highlight w:val="none"/>
              </w:rPr>
              <w:t>，得</w:t>
            </w:r>
            <w:r>
              <w:rPr>
                <w:rFonts w:hint="eastAsia" w:hAnsi="宋体" w:cs="宋体"/>
                <w:bCs/>
                <w:color w:val="auto"/>
                <w:sz w:val="21"/>
                <w:szCs w:val="21"/>
                <w:highlight w:val="none"/>
                <w:lang w:val="en-US" w:eastAsia="zh-CN"/>
              </w:rPr>
              <w:t>15</w:t>
            </w:r>
            <w:r>
              <w:rPr>
                <w:rFonts w:hint="eastAsia" w:hAnsi="宋体" w:cs="宋体"/>
                <w:bCs/>
                <w:color w:val="auto"/>
                <w:sz w:val="21"/>
                <w:szCs w:val="21"/>
                <w:highlight w:val="none"/>
              </w:rPr>
              <w:t>分；</w:t>
            </w:r>
          </w:p>
          <w:p>
            <w:pPr>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良：产品的品牌知名度较好（如二线品牌）、档次良好、技术先进性及安全性能良好，产品的材料及配置情况方案完整合理</w:t>
            </w:r>
            <w:r>
              <w:rPr>
                <w:rFonts w:hint="eastAsia" w:hAnsi="宋体" w:cs="宋体"/>
                <w:bCs/>
                <w:color w:val="auto"/>
                <w:sz w:val="21"/>
                <w:szCs w:val="21"/>
                <w:highlight w:val="none"/>
              </w:rPr>
              <w:t>，得</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rPr>
              <w:t>分；</w:t>
            </w:r>
          </w:p>
          <w:p>
            <w:pPr>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eastAsia="zh-CN"/>
              </w:rPr>
              <w:t>中</w:t>
            </w:r>
            <w:r>
              <w:rPr>
                <w:rFonts w:hint="eastAsia" w:hAnsi="宋体" w:cs="宋体"/>
                <w:color w:val="auto"/>
                <w:sz w:val="21"/>
                <w:szCs w:val="21"/>
                <w:highlight w:val="none"/>
              </w:rPr>
              <w:t>：产品的品牌知名度</w:t>
            </w:r>
            <w:r>
              <w:rPr>
                <w:rFonts w:hint="eastAsia" w:hAnsi="宋体" w:cs="宋体"/>
                <w:color w:val="auto"/>
                <w:sz w:val="21"/>
                <w:szCs w:val="21"/>
                <w:highlight w:val="none"/>
                <w:lang w:eastAsia="zh-CN"/>
              </w:rPr>
              <w:t>低</w:t>
            </w:r>
            <w:r>
              <w:rPr>
                <w:rFonts w:hint="eastAsia" w:hAnsi="宋体" w:cs="宋体"/>
                <w:color w:val="auto"/>
                <w:sz w:val="21"/>
                <w:szCs w:val="21"/>
                <w:highlight w:val="none"/>
              </w:rPr>
              <w:t>、档次低、技术先进性及安全性能</w:t>
            </w:r>
            <w:r>
              <w:rPr>
                <w:rFonts w:hint="eastAsia" w:hAnsi="宋体" w:cs="宋体"/>
                <w:color w:val="auto"/>
                <w:sz w:val="21"/>
                <w:szCs w:val="21"/>
                <w:highlight w:val="none"/>
                <w:lang w:eastAsia="zh-CN"/>
              </w:rPr>
              <w:t>一般</w:t>
            </w:r>
            <w:r>
              <w:rPr>
                <w:rFonts w:hint="eastAsia" w:hAnsi="宋体" w:cs="宋体"/>
                <w:color w:val="auto"/>
                <w:sz w:val="21"/>
                <w:szCs w:val="21"/>
                <w:highlight w:val="none"/>
              </w:rPr>
              <w:t>，产品的材料及配置情况</w:t>
            </w:r>
            <w:r>
              <w:rPr>
                <w:rFonts w:hint="eastAsia" w:hAnsi="宋体" w:cs="宋体"/>
                <w:color w:val="auto"/>
                <w:sz w:val="21"/>
                <w:szCs w:val="21"/>
                <w:highlight w:val="none"/>
                <w:lang w:eastAsia="zh-CN"/>
              </w:rPr>
              <w:t>过时、落后</w:t>
            </w:r>
            <w:r>
              <w:rPr>
                <w:rFonts w:hint="eastAsia" w:hAnsi="宋体" w:cs="宋体"/>
                <w:color w:val="auto"/>
                <w:sz w:val="21"/>
                <w:szCs w:val="21"/>
                <w:highlight w:val="none"/>
              </w:rPr>
              <w:t>，表述的内容</w:t>
            </w:r>
            <w:r>
              <w:rPr>
                <w:rFonts w:hint="eastAsia" w:hAnsi="宋体" w:cs="宋体"/>
                <w:color w:val="auto"/>
                <w:sz w:val="21"/>
                <w:szCs w:val="21"/>
                <w:highlight w:val="none"/>
                <w:lang w:eastAsia="zh-CN"/>
              </w:rPr>
              <w:t>难以</w:t>
            </w:r>
            <w:r>
              <w:rPr>
                <w:rFonts w:hint="eastAsia" w:hAnsi="宋体" w:cs="宋体"/>
                <w:color w:val="auto"/>
                <w:sz w:val="21"/>
                <w:szCs w:val="21"/>
                <w:highlight w:val="none"/>
              </w:rPr>
              <w:t>符合现场实际的</w:t>
            </w:r>
            <w:r>
              <w:rPr>
                <w:rFonts w:hint="eastAsia" w:hAnsi="宋体" w:cs="宋体"/>
                <w:bCs/>
                <w:color w:val="auto"/>
                <w:sz w:val="21"/>
                <w:szCs w:val="21"/>
                <w:highlight w:val="none"/>
              </w:rPr>
              <w:t>，得</w:t>
            </w:r>
            <w:r>
              <w:rPr>
                <w:rFonts w:hint="eastAsia" w:hAnsi="宋体" w:cs="宋体"/>
                <w:bCs/>
                <w:color w:val="auto"/>
                <w:sz w:val="21"/>
                <w:szCs w:val="21"/>
                <w:highlight w:val="none"/>
                <w:lang w:val="en-US" w:eastAsia="zh-CN"/>
              </w:rPr>
              <w:t>5</w:t>
            </w:r>
            <w:r>
              <w:rPr>
                <w:rFonts w:hint="eastAsia" w:hAnsi="宋体" w:cs="宋体"/>
                <w:bCs/>
                <w:color w:val="auto"/>
                <w:sz w:val="21"/>
                <w:szCs w:val="21"/>
                <w:highlight w:val="none"/>
              </w:rPr>
              <w:t>分；</w:t>
            </w:r>
          </w:p>
          <w:p>
            <w:pPr>
              <w:snapToGrid w:val="0"/>
              <w:spacing w:line="360" w:lineRule="auto"/>
              <w:ind w:firstLine="420" w:firstLineChars="200"/>
              <w:rPr>
                <w:rFonts w:hint="eastAsia" w:hAnsi="宋体" w:cs="宋体"/>
                <w:bCs/>
                <w:color w:val="auto"/>
                <w:sz w:val="21"/>
                <w:szCs w:val="21"/>
                <w:highlight w:val="none"/>
              </w:rPr>
            </w:pPr>
            <w:r>
              <w:rPr>
                <w:rFonts w:hint="eastAsia" w:hAnsi="宋体" w:cs="宋体"/>
                <w:color w:val="auto"/>
                <w:sz w:val="21"/>
                <w:szCs w:val="21"/>
                <w:highlight w:val="none"/>
                <w:lang w:eastAsia="zh-CN"/>
              </w:rPr>
              <w:t>差：</w:t>
            </w:r>
            <w:r>
              <w:rPr>
                <w:rFonts w:hint="eastAsia" w:hAnsi="宋体" w:cs="宋体"/>
                <w:color w:val="auto"/>
                <w:sz w:val="21"/>
                <w:szCs w:val="21"/>
                <w:highlight w:val="none"/>
              </w:rPr>
              <w:t>产品的品牌无知名度、档次低、技术先进性及安全性能较差，产品的材料及配置情况内容欠缺较多，表述的内容不符合现场实际的</w:t>
            </w:r>
            <w:r>
              <w:rPr>
                <w:rFonts w:hint="eastAsia" w:hAnsi="宋体" w:cs="宋体"/>
                <w:bCs/>
                <w:color w:val="auto"/>
                <w:sz w:val="21"/>
                <w:szCs w:val="21"/>
                <w:highlight w:val="none"/>
              </w:rPr>
              <w:t>，得</w:t>
            </w:r>
            <w:r>
              <w:rPr>
                <w:rFonts w:hint="eastAsia" w:hAnsi="宋体" w:cs="宋体"/>
                <w:bCs/>
                <w:color w:val="auto"/>
                <w:sz w:val="21"/>
                <w:szCs w:val="21"/>
                <w:highlight w:val="none"/>
                <w:lang w:val="en-US" w:eastAsia="zh-CN"/>
              </w:rPr>
              <w:t>1</w:t>
            </w:r>
            <w:r>
              <w:rPr>
                <w:rFonts w:hint="eastAsia" w:hAnsi="宋体" w:cs="宋体"/>
                <w:bCs/>
                <w:color w:val="auto"/>
                <w:sz w:val="21"/>
                <w:szCs w:val="21"/>
                <w:highlight w:val="none"/>
              </w:rPr>
              <w:t>分；</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eastAsia="宋体" w:cs="宋体"/>
                <w:color w:val="auto"/>
                <w:kern w:val="2"/>
                <w:sz w:val="21"/>
                <w:szCs w:val="21"/>
                <w:highlight w:val="none"/>
                <w:lang w:eastAsia="zh-CN"/>
              </w:rPr>
            </w:pPr>
            <w:r>
              <w:rPr>
                <w:rFonts w:hint="eastAsia" w:cs="宋体"/>
                <w:color w:val="auto"/>
                <w:kern w:val="2"/>
                <w:sz w:val="21"/>
                <w:szCs w:val="21"/>
                <w:highlight w:val="none"/>
                <w:lang w:val="en-US" w:eastAsia="zh-CN"/>
              </w:rPr>
              <w:t>2</w:t>
            </w:r>
          </w:p>
        </w:tc>
        <w:tc>
          <w:tcPr>
            <w:tcW w:w="11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color w:val="auto"/>
                <w:sz w:val="21"/>
                <w:szCs w:val="21"/>
                <w:highlight w:val="none"/>
              </w:rPr>
            </w:pPr>
            <w:r>
              <w:rPr>
                <w:rFonts w:hint="eastAsia" w:hAnsi="宋体" w:cs="宋体"/>
                <w:color w:val="auto"/>
                <w:sz w:val="21"/>
                <w:szCs w:val="21"/>
                <w:highlight w:val="none"/>
              </w:rPr>
              <w:t>所投产品的采购、供货、安装等配套服务方案</w:t>
            </w:r>
          </w:p>
        </w:tc>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color w:val="auto"/>
                <w:kern w:val="2"/>
                <w:sz w:val="21"/>
                <w:szCs w:val="21"/>
                <w:highlight w:val="none"/>
              </w:rPr>
            </w:pPr>
            <w:r>
              <w:rPr>
                <w:rFonts w:hint="eastAsia" w:hAnsi="宋体" w:cs="宋体"/>
                <w:color w:val="auto"/>
                <w:sz w:val="21"/>
                <w:szCs w:val="21"/>
                <w:highlight w:val="none"/>
              </w:rPr>
              <w:t>10分</w:t>
            </w:r>
          </w:p>
        </w:tc>
        <w:tc>
          <w:tcPr>
            <w:tcW w:w="6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cs="宋体"/>
                <w:bCs/>
                <w:color w:val="auto"/>
                <w:sz w:val="21"/>
                <w:szCs w:val="21"/>
                <w:highlight w:val="none"/>
              </w:rPr>
            </w:pPr>
            <w:r>
              <w:rPr>
                <w:rFonts w:hint="eastAsia" w:hAnsi="宋体" w:cs="宋体"/>
                <w:bCs/>
                <w:color w:val="auto"/>
                <w:sz w:val="21"/>
                <w:szCs w:val="21"/>
                <w:highlight w:val="none"/>
              </w:rPr>
              <w:t>根据投标人制定所投产品的采购、供货、安装等配套服务方案（包括但不限于供货方案、安装调试方案、进度安排、验收方案等）进行评分：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cs="宋体"/>
                <w:bCs/>
                <w:color w:val="auto"/>
                <w:sz w:val="21"/>
                <w:szCs w:val="21"/>
                <w:highlight w:val="none"/>
              </w:rPr>
            </w:pPr>
            <w:r>
              <w:rPr>
                <w:rFonts w:hint="eastAsia" w:hAnsi="宋体" w:cs="宋体"/>
                <w:bCs/>
                <w:color w:val="auto"/>
                <w:sz w:val="21"/>
                <w:szCs w:val="21"/>
                <w:highlight w:val="none"/>
              </w:rPr>
              <w:t>优：工作流程及服务方案周密合理可行，进度计划及保障设施科学合理，</w:t>
            </w:r>
            <w:r>
              <w:rPr>
                <w:rFonts w:hint="eastAsia" w:hAnsi="宋体" w:cs="宋体"/>
                <w:color w:val="auto"/>
                <w:sz w:val="21"/>
                <w:szCs w:val="21"/>
                <w:highlight w:val="none"/>
              </w:rPr>
              <w:t>安全防护、文明施工措施规范，现场管理</w:t>
            </w:r>
            <w:r>
              <w:rPr>
                <w:rFonts w:hint="eastAsia" w:hAnsi="宋体" w:cs="宋体"/>
                <w:bCs/>
                <w:color w:val="auto"/>
                <w:sz w:val="21"/>
                <w:szCs w:val="21"/>
                <w:highlight w:val="none"/>
              </w:rPr>
              <w:t>方案具有较好的针对性，可操作性强，得10分；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cs="宋体"/>
                <w:bCs/>
                <w:color w:val="auto"/>
                <w:sz w:val="21"/>
                <w:szCs w:val="21"/>
                <w:highlight w:val="none"/>
              </w:rPr>
            </w:pPr>
            <w:r>
              <w:rPr>
                <w:rFonts w:hint="eastAsia" w:hAnsi="宋体" w:cs="宋体"/>
                <w:bCs/>
                <w:color w:val="auto"/>
                <w:sz w:val="21"/>
                <w:szCs w:val="21"/>
                <w:highlight w:val="none"/>
              </w:rPr>
              <w:t>良：工作流程及服务方案完善，</w:t>
            </w:r>
            <w:r>
              <w:rPr>
                <w:rFonts w:hint="eastAsia" w:hAnsi="宋体" w:cs="宋体"/>
                <w:color w:val="auto"/>
                <w:sz w:val="21"/>
                <w:szCs w:val="21"/>
                <w:highlight w:val="none"/>
              </w:rPr>
              <w:t>进度计划</w:t>
            </w:r>
            <w:r>
              <w:rPr>
                <w:rFonts w:hint="eastAsia" w:hAnsi="宋体" w:cs="宋体"/>
                <w:bCs/>
                <w:color w:val="auto"/>
                <w:sz w:val="21"/>
                <w:szCs w:val="21"/>
                <w:highlight w:val="none"/>
              </w:rPr>
              <w:t>及保障设施</w:t>
            </w:r>
            <w:r>
              <w:rPr>
                <w:rFonts w:hint="eastAsia" w:hAnsi="宋体" w:cs="宋体"/>
                <w:color w:val="auto"/>
                <w:sz w:val="21"/>
                <w:szCs w:val="21"/>
                <w:highlight w:val="none"/>
              </w:rPr>
              <w:t>完整可行，安全防护、文明施工措施完善，现场管理</w:t>
            </w:r>
            <w:r>
              <w:rPr>
                <w:rFonts w:hint="eastAsia" w:hAnsi="宋体" w:cs="宋体"/>
                <w:bCs/>
                <w:color w:val="auto"/>
                <w:sz w:val="21"/>
                <w:szCs w:val="21"/>
                <w:highlight w:val="none"/>
              </w:rPr>
              <w:t>方案针对性一般，操作性一般，得</w:t>
            </w:r>
            <w:r>
              <w:rPr>
                <w:rFonts w:hint="eastAsia" w:hAnsi="宋体" w:cs="宋体"/>
                <w:bCs/>
                <w:color w:val="auto"/>
                <w:sz w:val="21"/>
                <w:szCs w:val="21"/>
                <w:highlight w:val="none"/>
                <w:lang w:val="en-US" w:eastAsia="zh-CN"/>
              </w:rPr>
              <w:t>7</w:t>
            </w:r>
            <w:r>
              <w:rPr>
                <w:rFonts w:hint="eastAsia" w:hAnsi="宋体" w:cs="宋体"/>
                <w:bCs/>
                <w:color w:val="auto"/>
                <w:sz w:val="21"/>
                <w:szCs w:val="21"/>
                <w:highlight w:val="none"/>
              </w:rPr>
              <w:t>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olor w:val="auto"/>
                <w:highlight w:val="none"/>
              </w:rPr>
            </w:pPr>
            <w:r>
              <w:rPr>
                <w:rFonts w:hint="eastAsia" w:hAnsi="宋体" w:cs="宋体"/>
                <w:bCs/>
                <w:color w:val="auto"/>
                <w:sz w:val="21"/>
                <w:szCs w:val="21"/>
                <w:highlight w:val="none"/>
                <w:lang w:eastAsia="zh-CN"/>
              </w:rPr>
              <w:t>中</w:t>
            </w:r>
            <w:r>
              <w:rPr>
                <w:rFonts w:hint="eastAsia" w:hAnsi="宋体" w:cs="宋体"/>
                <w:bCs/>
                <w:color w:val="auto"/>
                <w:sz w:val="21"/>
                <w:szCs w:val="21"/>
                <w:highlight w:val="none"/>
              </w:rPr>
              <w:t>：工作流程及进度计划可行性</w:t>
            </w:r>
            <w:r>
              <w:rPr>
                <w:rFonts w:hint="eastAsia" w:hAnsi="宋体" w:cs="宋体"/>
                <w:bCs/>
                <w:color w:val="auto"/>
                <w:sz w:val="21"/>
                <w:szCs w:val="21"/>
                <w:highlight w:val="none"/>
                <w:lang w:eastAsia="zh-CN"/>
              </w:rPr>
              <w:t>较</w:t>
            </w:r>
            <w:r>
              <w:rPr>
                <w:rFonts w:hint="eastAsia" w:hAnsi="宋体" w:cs="宋体"/>
                <w:bCs/>
                <w:color w:val="auto"/>
                <w:sz w:val="21"/>
                <w:szCs w:val="21"/>
                <w:highlight w:val="none"/>
              </w:rPr>
              <w:t>低，进度计划未能响应</w:t>
            </w:r>
            <w:r>
              <w:rPr>
                <w:rFonts w:hint="eastAsia" w:hAnsi="宋体" w:cs="宋体"/>
                <w:bCs/>
                <w:color w:val="auto"/>
                <w:sz w:val="21"/>
                <w:szCs w:val="21"/>
                <w:highlight w:val="none"/>
                <w:lang w:eastAsia="zh-CN"/>
              </w:rPr>
              <w:t>磋商文件</w:t>
            </w:r>
            <w:r>
              <w:rPr>
                <w:rFonts w:hint="eastAsia" w:hAnsi="宋体" w:cs="宋体"/>
                <w:bCs/>
                <w:color w:val="auto"/>
                <w:sz w:val="21"/>
                <w:szCs w:val="21"/>
                <w:highlight w:val="none"/>
              </w:rPr>
              <w:t>要求，</w:t>
            </w:r>
            <w:r>
              <w:rPr>
                <w:rFonts w:hint="eastAsia" w:hAnsi="宋体" w:cs="宋体"/>
                <w:color w:val="auto"/>
                <w:sz w:val="21"/>
                <w:szCs w:val="21"/>
                <w:highlight w:val="none"/>
              </w:rPr>
              <w:t>安全防护、文明施工措施规范</w:t>
            </w:r>
            <w:r>
              <w:rPr>
                <w:rFonts w:hint="eastAsia" w:hAnsi="宋体" w:cs="宋体"/>
                <w:color w:val="auto"/>
                <w:sz w:val="21"/>
                <w:szCs w:val="21"/>
                <w:highlight w:val="none"/>
                <w:lang w:eastAsia="zh-CN"/>
              </w:rPr>
              <w:t>、</w:t>
            </w:r>
            <w:r>
              <w:rPr>
                <w:rFonts w:hint="eastAsia" w:hAnsi="宋体" w:cs="宋体"/>
                <w:color w:val="auto"/>
                <w:sz w:val="21"/>
                <w:szCs w:val="21"/>
                <w:highlight w:val="none"/>
              </w:rPr>
              <w:t>现场管理</w:t>
            </w:r>
            <w:r>
              <w:rPr>
                <w:rFonts w:hint="eastAsia" w:hAnsi="宋体" w:cs="宋体"/>
                <w:bCs/>
                <w:color w:val="auto"/>
                <w:sz w:val="21"/>
                <w:szCs w:val="21"/>
                <w:highlight w:val="none"/>
              </w:rPr>
              <w:t>方案缺少针对性，得</w:t>
            </w:r>
            <w:r>
              <w:rPr>
                <w:rFonts w:hint="eastAsia" w:hAnsi="宋体" w:cs="宋体"/>
                <w:bCs/>
                <w:color w:val="auto"/>
                <w:sz w:val="21"/>
                <w:szCs w:val="21"/>
                <w:highlight w:val="none"/>
                <w:lang w:val="en-US" w:eastAsia="zh-CN"/>
              </w:rPr>
              <w:t>3</w:t>
            </w:r>
            <w:r>
              <w:rPr>
                <w:rFonts w:hint="eastAsia" w:hAnsi="宋体" w:cs="宋体"/>
                <w:bCs/>
                <w:color w:val="auto"/>
                <w:sz w:val="21"/>
                <w:szCs w:val="21"/>
                <w:highlight w:val="none"/>
              </w:rPr>
              <w:t>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cs="宋体"/>
                <w:bCs/>
                <w:color w:val="auto"/>
                <w:sz w:val="21"/>
                <w:szCs w:val="21"/>
                <w:highlight w:val="none"/>
              </w:rPr>
            </w:pPr>
            <w:r>
              <w:rPr>
                <w:rFonts w:hint="eastAsia" w:hAnsi="宋体" w:cs="宋体"/>
                <w:bCs/>
                <w:color w:val="auto"/>
                <w:sz w:val="21"/>
                <w:szCs w:val="21"/>
                <w:highlight w:val="none"/>
              </w:rPr>
              <w:t>差：工作流程及进度计划</w:t>
            </w:r>
            <w:r>
              <w:rPr>
                <w:rFonts w:hint="eastAsia" w:hAnsi="宋体" w:cs="宋体"/>
                <w:bCs/>
                <w:color w:val="auto"/>
                <w:sz w:val="21"/>
                <w:szCs w:val="21"/>
                <w:highlight w:val="none"/>
                <w:lang w:eastAsia="zh-CN"/>
              </w:rPr>
              <w:t>无</w:t>
            </w:r>
            <w:r>
              <w:rPr>
                <w:rFonts w:hint="eastAsia" w:hAnsi="宋体" w:cs="宋体"/>
                <w:bCs/>
                <w:color w:val="auto"/>
                <w:sz w:val="21"/>
                <w:szCs w:val="21"/>
                <w:highlight w:val="none"/>
              </w:rPr>
              <w:t>可行性，进度计划未能响应</w:t>
            </w:r>
            <w:r>
              <w:rPr>
                <w:rFonts w:hint="eastAsia" w:hAnsi="宋体" w:cs="宋体"/>
                <w:bCs/>
                <w:color w:val="auto"/>
                <w:sz w:val="21"/>
                <w:szCs w:val="21"/>
                <w:highlight w:val="none"/>
                <w:lang w:eastAsia="zh-CN"/>
              </w:rPr>
              <w:t>磋商文件</w:t>
            </w:r>
            <w:r>
              <w:rPr>
                <w:rFonts w:hint="eastAsia" w:hAnsi="宋体" w:cs="宋体"/>
                <w:bCs/>
                <w:color w:val="auto"/>
                <w:sz w:val="21"/>
                <w:szCs w:val="21"/>
                <w:highlight w:val="none"/>
              </w:rPr>
              <w:t>要求，缺乏</w:t>
            </w:r>
            <w:r>
              <w:rPr>
                <w:rFonts w:hint="eastAsia" w:hAnsi="宋体" w:cs="宋体"/>
                <w:color w:val="auto"/>
                <w:sz w:val="21"/>
                <w:szCs w:val="21"/>
                <w:highlight w:val="none"/>
              </w:rPr>
              <w:t>安全防护、文明施工措施规范，现场管理</w:t>
            </w:r>
            <w:r>
              <w:rPr>
                <w:rFonts w:hint="eastAsia" w:hAnsi="宋体" w:cs="宋体"/>
                <w:bCs/>
                <w:color w:val="auto"/>
                <w:sz w:val="21"/>
                <w:szCs w:val="21"/>
                <w:highlight w:val="none"/>
              </w:rPr>
              <w:t>方案</w:t>
            </w:r>
            <w:r>
              <w:rPr>
                <w:rFonts w:hint="eastAsia" w:hAnsi="宋体" w:cs="宋体"/>
                <w:bCs/>
                <w:color w:val="auto"/>
                <w:sz w:val="21"/>
                <w:szCs w:val="21"/>
                <w:highlight w:val="none"/>
                <w:lang w:eastAsia="zh-CN"/>
              </w:rPr>
              <w:t>不符合实际需求</w:t>
            </w:r>
            <w:r>
              <w:rPr>
                <w:rFonts w:hint="eastAsia" w:hAnsi="宋体" w:cs="宋体"/>
                <w:bCs/>
                <w:color w:val="auto"/>
                <w:sz w:val="21"/>
                <w:szCs w:val="21"/>
                <w:highlight w:val="none"/>
              </w:rPr>
              <w:t>，得</w:t>
            </w:r>
            <w:r>
              <w:rPr>
                <w:rFonts w:hint="eastAsia" w:hAnsi="宋体" w:cs="宋体"/>
                <w:bCs/>
                <w:color w:val="auto"/>
                <w:sz w:val="21"/>
                <w:szCs w:val="21"/>
                <w:highlight w:val="none"/>
                <w:lang w:val="en-US" w:eastAsia="zh-CN"/>
              </w:rPr>
              <w:t>1</w:t>
            </w:r>
            <w:r>
              <w:rPr>
                <w:rFonts w:hint="eastAsia" w:hAnsi="宋体" w:cs="宋体"/>
                <w:bCs/>
                <w:color w:val="auto"/>
                <w:sz w:val="21"/>
                <w:szCs w:val="21"/>
                <w:highlight w:val="none"/>
              </w:rPr>
              <w:t>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cs="宋体"/>
                <w:color w:val="auto"/>
                <w:sz w:val="21"/>
                <w:szCs w:val="21"/>
                <w:highlight w:val="none"/>
              </w:rPr>
            </w:pPr>
            <w:r>
              <w:rPr>
                <w:rFonts w:hint="eastAsia" w:hAnsi="宋体" w:cs="宋体"/>
                <w:color w:val="auto"/>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74"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lang w:val="en-US" w:eastAsia="zh-CN"/>
              </w:rPr>
              <w:t>3</w:t>
            </w:r>
          </w:p>
        </w:tc>
        <w:tc>
          <w:tcPr>
            <w:tcW w:w="1114"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hAnsi="宋体" w:cs="宋体"/>
                <w:color w:val="auto"/>
                <w:sz w:val="21"/>
                <w:szCs w:val="21"/>
                <w:highlight w:val="none"/>
              </w:rPr>
            </w:pPr>
            <w:r>
              <w:rPr>
                <w:rFonts w:hint="eastAsia" w:hAnsi="宋体" w:cs="宋体"/>
                <w:color w:val="auto"/>
                <w:sz w:val="21"/>
                <w:szCs w:val="21"/>
                <w:highlight w:val="none"/>
              </w:rPr>
              <w:t>售后服务</w:t>
            </w:r>
          </w:p>
        </w:tc>
        <w:tc>
          <w:tcPr>
            <w:tcW w:w="817"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hAnsi="宋体" w:cs="宋体"/>
                <w:color w:val="auto"/>
                <w:kern w:val="2"/>
                <w:sz w:val="21"/>
                <w:szCs w:val="21"/>
                <w:highlight w:val="none"/>
              </w:rPr>
            </w:pPr>
            <w:r>
              <w:rPr>
                <w:rFonts w:hint="eastAsia" w:hAnsi="宋体" w:cs="宋体"/>
                <w:color w:val="auto"/>
                <w:sz w:val="21"/>
                <w:szCs w:val="21"/>
                <w:highlight w:val="none"/>
              </w:rPr>
              <w:t>5分</w:t>
            </w:r>
          </w:p>
        </w:tc>
        <w:tc>
          <w:tcPr>
            <w:tcW w:w="61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1、根据各投标人提供的售后服务质量保障措施（包括售后响应时间、技术支持和售后服务计划、服务质量保证、应急方案）进行评比：</w:t>
            </w:r>
          </w:p>
          <w:p>
            <w:pPr>
              <w:widowControl/>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优</w:t>
            </w:r>
            <w:r>
              <w:rPr>
                <w:rFonts w:hint="eastAsia" w:hAnsi="宋体" w:cs="宋体"/>
                <w:color w:val="auto"/>
                <w:sz w:val="21"/>
                <w:szCs w:val="21"/>
                <w:highlight w:val="none"/>
                <w:lang w:val="pt-BR"/>
              </w:rPr>
              <w:t>：</w:t>
            </w:r>
            <w:r>
              <w:rPr>
                <w:rFonts w:hint="eastAsia" w:hAnsi="宋体" w:cs="宋体"/>
                <w:color w:val="auto"/>
                <w:sz w:val="21"/>
                <w:szCs w:val="21"/>
                <w:highlight w:val="none"/>
              </w:rPr>
              <w:t>售后服务方案保障措施详细完整，切实可行的得3分；</w:t>
            </w:r>
          </w:p>
          <w:p>
            <w:pPr>
              <w:widowControl/>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良</w:t>
            </w:r>
            <w:r>
              <w:rPr>
                <w:rFonts w:hint="eastAsia" w:hAnsi="宋体" w:cs="宋体"/>
                <w:color w:val="auto"/>
                <w:sz w:val="21"/>
                <w:szCs w:val="21"/>
                <w:highlight w:val="none"/>
                <w:lang w:val="pt-BR"/>
              </w:rPr>
              <w:t>：</w:t>
            </w:r>
            <w:r>
              <w:rPr>
                <w:rFonts w:hint="eastAsia" w:hAnsi="宋体" w:cs="宋体"/>
                <w:color w:val="auto"/>
                <w:sz w:val="21"/>
                <w:szCs w:val="21"/>
                <w:highlight w:val="none"/>
              </w:rPr>
              <w:t>售后服务方案保障措施基本完整，可行性一般的得</w:t>
            </w:r>
            <w:r>
              <w:rPr>
                <w:rFonts w:hint="eastAsia" w:hAnsi="宋体" w:cs="宋体"/>
                <w:color w:val="auto"/>
                <w:sz w:val="21"/>
                <w:szCs w:val="21"/>
                <w:highlight w:val="none"/>
                <w:lang w:val="en-US" w:eastAsia="zh-CN"/>
              </w:rPr>
              <w:t>1</w:t>
            </w:r>
            <w:r>
              <w:rPr>
                <w:rFonts w:hint="eastAsia" w:hAnsi="宋体" w:cs="宋体"/>
                <w:color w:val="auto"/>
                <w:sz w:val="21"/>
                <w:szCs w:val="21"/>
                <w:highlight w:val="none"/>
              </w:rPr>
              <w:t>分；</w:t>
            </w:r>
          </w:p>
          <w:p>
            <w:pPr>
              <w:widowControl/>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差</w:t>
            </w:r>
            <w:r>
              <w:rPr>
                <w:rFonts w:hint="eastAsia" w:hAnsi="宋体" w:cs="宋体"/>
                <w:color w:val="auto"/>
                <w:sz w:val="21"/>
                <w:szCs w:val="21"/>
                <w:highlight w:val="none"/>
                <w:lang w:val="pt-BR"/>
              </w:rPr>
              <w:t>：</w:t>
            </w:r>
            <w:r>
              <w:rPr>
                <w:rFonts w:hint="eastAsia" w:hAnsi="宋体" w:cs="宋体"/>
                <w:color w:val="auto"/>
                <w:sz w:val="21"/>
                <w:szCs w:val="21"/>
                <w:highlight w:val="none"/>
              </w:rPr>
              <w:t>售后服务方案保障措施可行性差的</w:t>
            </w:r>
            <w:r>
              <w:rPr>
                <w:rFonts w:hint="eastAsia" w:hAnsi="宋体" w:cs="宋体"/>
                <w:color w:val="auto"/>
                <w:sz w:val="21"/>
                <w:szCs w:val="21"/>
                <w:highlight w:val="none"/>
                <w:lang w:eastAsia="zh-CN"/>
              </w:rPr>
              <w:t>，或</w:t>
            </w:r>
            <w:r>
              <w:rPr>
                <w:rFonts w:hint="eastAsia" w:hAnsi="宋体" w:cs="宋体"/>
                <w:color w:val="auto"/>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74"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color w:val="auto"/>
                <w:kern w:val="2"/>
                <w:sz w:val="21"/>
                <w:szCs w:val="21"/>
                <w:highlight w:val="none"/>
              </w:rPr>
            </w:pPr>
          </w:p>
        </w:tc>
        <w:tc>
          <w:tcPr>
            <w:tcW w:w="1114"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color w:val="auto"/>
                <w:sz w:val="21"/>
                <w:szCs w:val="21"/>
                <w:highlight w:val="none"/>
              </w:rPr>
            </w:pPr>
          </w:p>
        </w:tc>
        <w:tc>
          <w:tcPr>
            <w:tcW w:w="817"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color w:val="auto"/>
                <w:sz w:val="21"/>
                <w:szCs w:val="21"/>
                <w:highlight w:val="none"/>
              </w:rPr>
            </w:pPr>
          </w:p>
        </w:tc>
        <w:tc>
          <w:tcPr>
            <w:tcW w:w="61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2、根据投标人提供的售后免费延保承诺进行评审，每延长半年得1分，最高得2分。（须提供单独的承诺函加盖公章。）</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w:t>
      </w:r>
      <w:r>
        <w:rPr>
          <w:rFonts w:hint="eastAsia" w:hAnsi="宋体"/>
          <w:bCs/>
          <w:color w:val="auto"/>
          <w:sz w:val="21"/>
          <w:szCs w:val="21"/>
          <w:highlight w:val="none"/>
          <w:lang w:val="en-US" w:eastAsia="zh-CN"/>
        </w:rPr>
        <w:t>以</w:t>
      </w:r>
      <w:r>
        <w:rPr>
          <w:rFonts w:hint="eastAsia" w:hAnsi="宋体"/>
          <w:bCs/>
          <w:color w:val="auto"/>
          <w:sz w:val="21"/>
          <w:szCs w:val="21"/>
          <w:highlight w:val="none"/>
        </w:rPr>
        <w:t>上证明文件均提供加盖公章</w:t>
      </w:r>
      <w:r>
        <w:rPr>
          <w:rFonts w:hint="eastAsia" w:hAnsi="宋体"/>
          <w:bCs/>
          <w:color w:val="auto"/>
          <w:sz w:val="21"/>
          <w:szCs w:val="21"/>
          <w:highlight w:val="none"/>
          <w:lang w:val="en-US" w:eastAsia="zh-CN"/>
        </w:rPr>
        <w:t>的</w:t>
      </w:r>
      <w:r>
        <w:rPr>
          <w:rFonts w:hint="eastAsia" w:hAnsi="宋体"/>
          <w:bCs/>
          <w:color w:val="auto"/>
          <w:sz w:val="21"/>
          <w:szCs w:val="21"/>
          <w:highlight w:val="none"/>
        </w:rPr>
        <w:t>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w:t>
      </w:r>
      <w:r>
        <w:rPr>
          <w:rFonts w:hint="eastAsia" w:hAnsi="宋体"/>
          <w:bCs/>
          <w:color w:val="auto"/>
          <w:sz w:val="21"/>
          <w:szCs w:val="21"/>
          <w:highlight w:val="none"/>
          <w:lang w:eastAsia="zh-CN"/>
        </w:rPr>
        <w:t>成交</w:t>
      </w:r>
      <w:r>
        <w:rPr>
          <w:rFonts w:hint="eastAsia" w:hAnsi="宋体"/>
          <w:bCs/>
          <w:color w:val="auto"/>
          <w:sz w:val="21"/>
          <w:szCs w:val="21"/>
          <w:highlight w:val="none"/>
        </w:rPr>
        <w:t>将在发放成交通知书前逐一核对核查原件，请勿提供虚假、过期材料，否则将依据相关规定严肃处理。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四、技术评审</w:t>
      </w:r>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五、商务评审</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六、报价评审</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color w:val="auto"/>
          <w:szCs w:val="21"/>
          <w:highlight w:val="none"/>
        </w:rPr>
      </w:pPr>
    </w:p>
    <w:p>
      <w:pPr>
        <w:pStyle w:val="28"/>
        <w:tabs>
          <w:tab w:val="left" w:pos="1365"/>
        </w:tabs>
        <w:spacing w:line="360" w:lineRule="auto"/>
        <w:ind w:left="16" w:firstLine="422" w:firstLineChars="200"/>
        <w:rPr>
          <w:rFonts w:hAnsi="宋体"/>
          <w:b/>
          <w:color w:val="auto"/>
          <w:szCs w:val="21"/>
          <w:highlight w:val="none"/>
        </w:rPr>
      </w:pPr>
      <w:r>
        <w:rPr>
          <w:rFonts w:hint="eastAsia" w:hAnsi="宋体"/>
          <w:b/>
          <w:color w:val="auto"/>
          <w:szCs w:val="21"/>
          <w:highlight w:val="none"/>
        </w:rPr>
        <w:t>七、综合得分的计算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2.评审顺序按照顺序进行评审</w:t>
      </w:r>
      <w:r>
        <w:rPr>
          <w:rFonts w:hint="eastAsia" w:hAnsi="宋体"/>
          <w:color w:val="auto"/>
          <w:sz w:val="21"/>
          <w:szCs w:val="21"/>
          <w:highlight w:val="none"/>
          <w:lang w:eastAsia="zh-CN"/>
        </w:rPr>
        <w:t>。</w:t>
      </w:r>
      <w:r>
        <w:rPr>
          <w:rFonts w:hint="eastAsia" w:hAnsi="宋体"/>
          <w:color w:val="auto"/>
          <w:sz w:val="21"/>
          <w:szCs w:val="21"/>
          <w:highlight w:val="none"/>
        </w:rPr>
        <w:t>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3"/>
        <w:keepNext/>
        <w:keepLines/>
        <w:pageBreakBefore/>
        <w:numPr>
          <w:ilvl w:val="0"/>
          <w:numId w:val="14"/>
        </w:numPr>
        <w:spacing w:line="360" w:lineRule="auto"/>
        <w:jc w:val="center"/>
        <w:rPr>
          <w:rFonts w:hAnsi="宋体"/>
          <w:b/>
          <w:bCs/>
          <w:color w:val="auto"/>
          <w:highlight w:val="none"/>
        </w:rPr>
      </w:pPr>
      <w:bookmarkStart w:id="156" w:name="_Toc15636"/>
      <w:r>
        <w:rPr>
          <w:rFonts w:hint="eastAsia" w:hAnsi="宋体"/>
          <w:b/>
          <w:bCs/>
          <w:color w:val="auto"/>
          <w:kern w:val="44"/>
          <w:sz w:val="28"/>
          <w:szCs w:val="28"/>
          <w:highlight w:val="none"/>
          <w:lang w:val="zh-CN"/>
        </w:rPr>
        <w:t>合同条款格式</w:t>
      </w:r>
      <w:bookmarkEnd w:id="156"/>
    </w:p>
    <w:p>
      <w:pPr>
        <w:rPr>
          <w:rFonts w:hint="eastAsia" w:eastAsia="宋体"/>
          <w:color w:val="auto"/>
          <w:highlight w:val="none"/>
          <w:lang w:val="en-US" w:eastAsia="zh-CN"/>
        </w:rPr>
      </w:pPr>
    </w:p>
    <w:p>
      <w:pPr>
        <w:jc w:val="center"/>
        <w:rPr>
          <w:rFonts w:hint="eastAsia" w:hAnsi="宋体"/>
          <w:b/>
          <w:color w:val="auto"/>
          <w:sz w:val="52"/>
          <w:szCs w:val="52"/>
          <w:highlight w:val="none"/>
        </w:rPr>
      </w:pPr>
    </w:p>
    <w:p>
      <w:pPr>
        <w:jc w:val="center"/>
        <w:rPr>
          <w:rFonts w:hint="eastAsia" w:hAnsi="宋体"/>
          <w:b/>
          <w:color w:val="auto"/>
          <w:sz w:val="52"/>
          <w:szCs w:val="52"/>
          <w:highlight w:val="none"/>
        </w:rPr>
      </w:pPr>
      <w:r>
        <w:rPr>
          <w:rFonts w:hint="eastAsia" w:hAnsi="宋体"/>
          <w:b/>
          <w:color w:val="auto"/>
          <w:sz w:val="52"/>
          <w:szCs w:val="52"/>
          <w:highlight w:val="none"/>
        </w:rPr>
        <w:t>合  同  书</w:t>
      </w:r>
    </w:p>
    <w:p>
      <w:pPr>
        <w:jc w:val="center"/>
        <w:rPr>
          <w:rFonts w:hint="eastAsia" w:hAnsi="宋体"/>
          <w:b/>
          <w:color w:val="auto"/>
          <w:sz w:val="52"/>
          <w:szCs w:val="52"/>
          <w:highlight w:val="none"/>
        </w:rPr>
      </w:pPr>
    </w:p>
    <w:p>
      <w:pPr>
        <w:jc w:val="center"/>
        <w:rPr>
          <w:rFonts w:hAnsi="宋体"/>
          <w:color w:val="auto"/>
          <w:highlight w:val="none"/>
        </w:rPr>
      </w:pPr>
    </w:p>
    <w:p>
      <w:pPr>
        <w:jc w:val="center"/>
        <w:rPr>
          <w:rFonts w:ascii="黑体" w:hAnsi="宋体" w:eastAsia="黑体"/>
          <w:b/>
          <w:color w:val="auto"/>
          <w:sz w:val="48"/>
          <w:highlight w:val="none"/>
        </w:rPr>
      </w:pPr>
    </w:p>
    <w:p>
      <w:pPr>
        <w:jc w:val="center"/>
        <w:rPr>
          <w:rFonts w:hint="eastAsia" w:hAnsi="宋体"/>
          <w:color w:val="auto"/>
          <w:sz w:val="48"/>
          <w:highlight w:val="none"/>
        </w:rPr>
      </w:pPr>
      <w:r>
        <w:rPr>
          <w:rFonts w:hint="eastAsia" w:hAnsi="宋体"/>
          <w:color w:val="auto"/>
          <w:sz w:val="48"/>
          <w:highlight w:val="none"/>
        </w:rPr>
        <w:t xml:space="preserve">  </w:t>
      </w:r>
    </w:p>
    <w:p>
      <w:pPr>
        <w:jc w:val="center"/>
        <w:rPr>
          <w:rFonts w:hint="eastAsia" w:hAnsi="宋体"/>
          <w:color w:val="auto"/>
          <w:sz w:val="48"/>
          <w:highlight w:val="none"/>
        </w:rPr>
      </w:pPr>
    </w:p>
    <w:p>
      <w:pPr>
        <w:jc w:val="center"/>
        <w:rPr>
          <w:rFonts w:hint="eastAsia" w:hAnsi="宋体"/>
          <w:color w:val="auto"/>
          <w:sz w:val="48"/>
          <w:highlight w:val="none"/>
        </w:rPr>
      </w:pPr>
    </w:p>
    <w:p>
      <w:pPr>
        <w:jc w:val="center"/>
        <w:rPr>
          <w:rFonts w:hint="eastAsia" w:hAnsi="宋体"/>
          <w:color w:val="auto"/>
          <w:sz w:val="48"/>
          <w:highlight w:val="none"/>
        </w:rPr>
      </w:pPr>
    </w:p>
    <w:p>
      <w:pPr>
        <w:jc w:val="center"/>
        <w:rPr>
          <w:rFonts w:hAnsi="宋体"/>
          <w:color w:val="auto"/>
          <w:sz w:val="44"/>
          <w:szCs w:val="21"/>
          <w:highlight w:val="none"/>
        </w:rPr>
      </w:pPr>
    </w:p>
    <w:p>
      <w:pPr>
        <w:spacing w:line="360" w:lineRule="auto"/>
        <w:ind w:firstLine="1680" w:firstLineChars="525"/>
        <w:rPr>
          <w:rFonts w:hAnsi="宋体"/>
          <w:color w:val="auto"/>
          <w:sz w:val="32"/>
          <w:highlight w:val="none"/>
          <w:u w:val="single"/>
        </w:rPr>
      </w:pPr>
      <w:r>
        <w:rPr>
          <w:rFonts w:hint="eastAsia" w:hAnsi="宋体"/>
          <w:color w:val="auto"/>
          <w:sz w:val="32"/>
          <w:highlight w:val="none"/>
        </w:rPr>
        <w:t>项目名称：</w:t>
      </w:r>
      <w:r>
        <w:rPr>
          <w:rFonts w:hAnsi="宋体"/>
          <w:color w:val="auto"/>
          <w:sz w:val="32"/>
          <w:highlight w:val="none"/>
          <w:u w:val="single"/>
        </w:rPr>
        <w:t xml:space="preserve">                   </w:t>
      </w:r>
      <w:r>
        <w:rPr>
          <w:rFonts w:hAnsi="宋体"/>
          <w:color w:val="auto"/>
          <w:highlight w:val="none"/>
          <w:u w:val="single"/>
        </w:rPr>
        <w:t xml:space="preserve">        </w:t>
      </w:r>
      <w:r>
        <w:rPr>
          <w:color w:val="auto"/>
          <w:highlight w:val="none"/>
          <w:u w:val="single"/>
        </w:rPr>
        <w:t xml:space="preserve">    </w:t>
      </w:r>
    </w:p>
    <w:p>
      <w:pPr>
        <w:spacing w:line="360" w:lineRule="auto"/>
        <w:ind w:firstLine="1478" w:firstLineChars="462"/>
        <w:rPr>
          <w:rFonts w:hAnsi="宋体"/>
          <w:color w:val="auto"/>
          <w:sz w:val="32"/>
          <w:highlight w:val="none"/>
          <w:u w:val="single"/>
        </w:rPr>
      </w:pPr>
      <w:r>
        <w:rPr>
          <w:rFonts w:hint="eastAsia" w:hAnsi="宋体"/>
          <w:color w:val="auto"/>
          <w:sz w:val="32"/>
          <w:highlight w:val="none"/>
        </w:rPr>
        <w:t xml:space="preserve"> 合同编号：</w:t>
      </w:r>
      <w:r>
        <w:rPr>
          <w:rFonts w:hAnsi="宋体"/>
          <w:color w:val="auto"/>
          <w:sz w:val="32"/>
          <w:highlight w:val="none"/>
          <w:u w:val="single"/>
        </w:rPr>
        <w:t xml:space="preserve">                       </w:t>
      </w:r>
    </w:p>
    <w:p>
      <w:pPr>
        <w:spacing w:line="360" w:lineRule="auto"/>
        <w:ind w:firstLine="1478" w:firstLineChars="462"/>
        <w:rPr>
          <w:rFonts w:hAnsi="宋体"/>
          <w:color w:val="auto"/>
          <w:sz w:val="32"/>
          <w:highlight w:val="none"/>
          <w:u w:val="single"/>
        </w:rPr>
      </w:pPr>
      <w:r>
        <w:rPr>
          <w:rFonts w:hAnsi="宋体"/>
          <w:color w:val="auto"/>
          <w:sz w:val="32"/>
          <w:highlight w:val="none"/>
        </w:rPr>
        <w:t xml:space="preserve"> </w:t>
      </w:r>
      <w:r>
        <w:rPr>
          <w:rFonts w:hint="eastAsia" w:hAnsi="宋体"/>
          <w:color w:val="auto"/>
          <w:sz w:val="32"/>
          <w:highlight w:val="none"/>
        </w:rPr>
        <w:t>签订地点：</w:t>
      </w:r>
      <w:r>
        <w:rPr>
          <w:rFonts w:hAnsi="宋体"/>
          <w:color w:val="auto"/>
          <w:sz w:val="32"/>
          <w:highlight w:val="none"/>
          <w:u w:val="single"/>
        </w:rPr>
        <w:t xml:space="preserve">              </w:t>
      </w:r>
      <w:r>
        <w:rPr>
          <w:rFonts w:hAnsi="宋体"/>
          <w:color w:val="auto"/>
          <w:highlight w:val="none"/>
          <w:u w:val="single"/>
        </w:rPr>
        <w:t xml:space="preserve">     </w:t>
      </w:r>
      <w:r>
        <w:rPr>
          <w:rFonts w:hAnsi="宋体"/>
          <w:color w:val="auto"/>
          <w:sz w:val="32"/>
          <w:highlight w:val="none"/>
          <w:u w:val="single"/>
        </w:rPr>
        <w:t xml:space="preserve">          </w:t>
      </w:r>
    </w:p>
    <w:p>
      <w:pPr>
        <w:ind w:firstLine="1478" w:firstLineChars="462"/>
        <w:jc w:val="center"/>
        <w:rPr>
          <w:rFonts w:hAnsi="宋体"/>
          <w:color w:val="auto"/>
          <w:sz w:val="32"/>
          <w:highlight w:val="none"/>
        </w:rPr>
      </w:pPr>
    </w:p>
    <w:p>
      <w:pPr>
        <w:rPr>
          <w:rFonts w:hAnsi="宋体"/>
          <w:color w:val="auto"/>
          <w:sz w:val="22"/>
          <w:highlight w:val="none"/>
        </w:rPr>
      </w:pPr>
    </w:p>
    <w:p>
      <w:pPr>
        <w:rPr>
          <w:rFonts w:hAnsi="宋体"/>
          <w:color w:val="auto"/>
          <w:sz w:val="32"/>
          <w:highlight w:val="none"/>
        </w:rPr>
      </w:pPr>
    </w:p>
    <w:p>
      <w:pPr>
        <w:tabs>
          <w:tab w:val="left" w:pos="0"/>
        </w:tabs>
        <w:spacing w:line="360" w:lineRule="auto"/>
        <w:jc w:val="center"/>
        <w:rPr>
          <w:rFonts w:hint="eastAsia" w:hAnsi="宋体"/>
          <w:color w:val="auto"/>
          <w:sz w:val="32"/>
          <w:highlight w:val="none"/>
        </w:rPr>
      </w:pPr>
      <w:r>
        <w:rPr>
          <w:rFonts w:hint="eastAsia" w:hAnsi="宋体"/>
          <w:color w:val="auto"/>
          <w:sz w:val="32"/>
          <w:highlight w:val="none"/>
        </w:rPr>
        <w:t>二○    年</w:t>
      </w:r>
      <w:r>
        <w:rPr>
          <w:rFonts w:hAnsi="宋体"/>
          <w:color w:val="auto"/>
          <w:sz w:val="32"/>
          <w:highlight w:val="none"/>
        </w:rPr>
        <w:t xml:space="preserve">    月    日</w:t>
      </w:r>
    </w:p>
    <w:p>
      <w:pPr>
        <w:tabs>
          <w:tab w:val="left" w:pos="0"/>
        </w:tabs>
        <w:spacing w:line="360" w:lineRule="auto"/>
        <w:jc w:val="center"/>
        <w:rPr>
          <w:rFonts w:hint="eastAsia"/>
          <w:color w:val="auto"/>
          <w:highlight w:val="none"/>
        </w:rPr>
      </w:pPr>
    </w:p>
    <w:p>
      <w:pPr>
        <w:tabs>
          <w:tab w:val="left" w:pos="0"/>
        </w:tabs>
        <w:spacing w:line="360" w:lineRule="auto"/>
        <w:jc w:val="center"/>
        <w:rPr>
          <w:rFonts w:hint="eastAsia"/>
          <w:color w:val="auto"/>
          <w:highlight w:val="none"/>
        </w:rPr>
      </w:pPr>
    </w:p>
    <w:p>
      <w:pPr>
        <w:tabs>
          <w:tab w:val="left" w:pos="0"/>
        </w:tabs>
        <w:spacing w:line="360" w:lineRule="auto"/>
        <w:jc w:val="center"/>
        <w:rPr>
          <w:rFonts w:hint="eastAsia"/>
          <w:color w:val="auto"/>
          <w:highlight w:val="none"/>
        </w:rPr>
      </w:pPr>
    </w:p>
    <w:p>
      <w:pPr>
        <w:spacing w:line="440" w:lineRule="exact"/>
        <w:rPr>
          <w:rFonts w:hint="eastAsia" w:hAnsi="宋体" w:cs="宋体"/>
          <w:color w:val="auto"/>
          <w:sz w:val="21"/>
          <w:szCs w:val="21"/>
          <w:highlight w:val="none"/>
        </w:rPr>
      </w:pPr>
      <w:r>
        <w:rPr>
          <w:rFonts w:hint="eastAsia" w:hAnsi="宋体" w:cs="宋体"/>
          <w:color w:val="auto"/>
          <w:sz w:val="21"/>
          <w:szCs w:val="21"/>
          <w:highlight w:val="none"/>
        </w:rPr>
        <w:t xml:space="preserve">甲方：（采购人）                     </w:t>
      </w:r>
    </w:p>
    <w:p>
      <w:pPr>
        <w:spacing w:line="440" w:lineRule="exact"/>
        <w:rPr>
          <w:rFonts w:hint="eastAsia" w:hAnsi="宋体" w:cs="宋体"/>
          <w:color w:val="auto"/>
          <w:sz w:val="21"/>
          <w:szCs w:val="21"/>
          <w:highlight w:val="none"/>
        </w:rPr>
      </w:pPr>
      <w:r>
        <w:rPr>
          <w:rFonts w:hint="eastAsia" w:hAnsi="宋体" w:cs="宋体"/>
          <w:color w:val="auto"/>
          <w:sz w:val="21"/>
          <w:szCs w:val="21"/>
          <w:highlight w:val="none"/>
        </w:rPr>
        <w:t>乙方：（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受甲方委托，</w:t>
      </w:r>
      <w:r>
        <w:rPr>
          <w:rFonts w:hint="eastAsia" w:cs="宋体"/>
          <w:color w:val="auto"/>
          <w:sz w:val="21"/>
          <w:szCs w:val="21"/>
          <w:highlight w:val="none"/>
          <w:u w:val="single"/>
        </w:rPr>
        <w:t xml:space="preserve">           (采购代理机构)</w:t>
      </w:r>
      <w:r>
        <w:rPr>
          <w:rFonts w:hint="eastAsia" w:cs="宋体"/>
          <w:color w:val="auto"/>
          <w:sz w:val="21"/>
          <w:szCs w:val="21"/>
          <w:highlight w:val="none"/>
        </w:rPr>
        <w:t>组织对</w:t>
      </w:r>
      <w:r>
        <w:rPr>
          <w:rFonts w:hint="eastAsia" w:cs="宋体"/>
          <w:color w:val="auto"/>
          <w:sz w:val="21"/>
          <w:szCs w:val="21"/>
          <w:highlight w:val="none"/>
          <w:u w:val="single"/>
        </w:rPr>
        <w:t xml:space="preserve">         （项目名称）</w:t>
      </w:r>
      <w:r>
        <w:rPr>
          <w:rFonts w:hint="eastAsia" w:cs="宋体"/>
          <w:color w:val="auto"/>
          <w:sz w:val="21"/>
          <w:szCs w:val="21"/>
          <w:highlight w:val="none"/>
        </w:rPr>
        <w:t>采购项目（</w:t>
      </w:r>
      <w:r>
        <w:rPr>
          <w:rFonts w:hint="eastAsia" w:cs="宋体"/>
          <w:color w:val="auto"/>
          <w:sz w:val="21"/>
          <w:szCs w:val="21"/>
          <w:highlight w:val="none"/>
          <w:lang w:eastAsia="zh-CN"/>
        </w:rPr>
        <w:t>项目编号</w:t>
      </w:r>
      <w:r>
        <w:rPr>
          <w:rFonts w:hint="eastAsia" w:cs="宋体"/>
          <w:color w:val="auto"/>
          <w:sz w:val="21"/>
          <w:szCs w:val="21"/>
          <w:highlight w:val="none"/>
        </w:rPr>
        <w:t>为</w:t>
      </w:r>
      <w:r>
        <w:rPr>
          <w:rFonts w:hint="eastAsia" w:cs="宋体"/>
          <w:color w:val="auto"/>
          <w:sz w:val="21"/>
          <w:szCs w:val="21"/>
          <w:highlight w:val="none"/>
          <w:u w:val="single"/>
        </w:rPr>
        <w:t xml:space="preserve">       </w:t>
      </w:r>
      <w:r>
        <w:rPr>
          <w:rFonts w:hint="eastAsia" w:cs="宋体"/>
          <w:color w:val="auto"/>
          <w:sz w:val="21"/>
          <w:szCs w:val="21"/>
          <w:highlight w:val="none"/>
        </w:rPr>
        <w:t>）进行采购，于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日通过</w:t>
      </w:r>
      <w:r>
        <w:rPr>
          <w:rFonts w:hint="eastAsia" w:cs="宋体"/>
          <w:color w:val="auto"/>
          <w:sz w:val="21"/>
          <w:szCs w:val="21"/>
          <w:highlight w:val="none"/>
          <w:lang w:eastAsia="zh-CN"/>
        </w:rPr>
        <w:t>竞争性磋商采购</w:t>
      </w:r>
      <w:r>
        <w:rPr>
          <w:rFonts w:hint="eastAsia" w:cs="宋体"/>
          <w:color w:val="auto"/>
          <w:sz w:val="21"/>
          <w:szCs w:val="21"/>
          <w:highlight w:val="none"/>
        </w:rPr>
        <w:t>，经</w:t>
      </w:r>
      <w:r>
        <w:rPr>
          <w:rFonts w:hint="eastAsia" w:cs="宋体"/>
          <w:color w:val="auto"/>
          <w:sz w:val="21"/>
          <w:szCs w:val="21"/>
          <w:highlight w:val="none"/>
          <w:lang w:eastAsia="zh-CN"/>
        </w:rPr>
        <w:t>磋商小组</w:t>
      </w:r>
      <w:r>
        <w:rPr>
          <w:rFonts w:hint="eastAsia" w:cs="宋体"/>
          <w:color w:val="auto"/>
          <w:sz w:val="21"/>
          <w:szCs w:val="21"/>
          <w:highlight w:val="none"/>
        </w:rPr>
        <w:t>评定乙方</w:t>
      </w:r>
      <w:r>
        <w:rPr>
          <w:rFonts w:hint="eastAsia" w:cs="宋体"/>
          <w:color w:val="auto"/>
          <w:sz w:val="21"/>
          <w:szCs w:val="21"/>
          <w:highlight w:val="none"/>
          <w:u w:val="single"/>
        </w:rPr>
        <w:t xml:space="preserve">      </w:t>
      </w:r>
      <w:r>
        <w:rPr>
          <w:rFonts w:hint="eastAsia" w:cs="宋体"/>
          <w:color w:val="auto"/>
          <w:sz w:val="21"/>
          <w:szCs w:val="21"/>
          <w:highlight w:val="none"/>
        </w:rPr>
        <w:t>为</w:t>
      </w:r>
      <w:r>
        <w:rPr>
          <w:rFonts w:hint="eastAsia" w:cs="宋体"/>
          <w:color w:val="auto"/>
          <w:sz w:val="21"/>
          <w:szCs w:val="21"/>
          <w:highlight w:val="none"/>
          <w:lang w:eastAsia="zh-CN"/>
        </w:rPr>
        <w:t>成交供应商</w:t>
      </w:r>
      <w:r>
        <w:rPr>
          <w:rFonts w:hint="eastAsia" w:cs="宋体"/>
          <w:color w:val="auto"/>
          <w:sz w:val="21"/>
          <w:szCs w:val="21"/>
          <w:highlight w:val="none"/>
        </w:rPr>
        <w:t>。为了保护甲乙双方合法权益，根据《中华人民共和国民法典》等有关法律法规的规定，在平等自愿的基础上，甲乙双方按照下面的条款和条件，签署本合同。</w:t>
      </w:r>
    </w:p>
    <w:p>
      <w:pPr>
        <w:pStyle w:val="48"/>
        <w:spacing w:line="440" w:lineRule="exact"/>
        <w:ind w:firstLine="422" w:firstLineChars="200"/>
        <w:rPr>
          <w:rFonts w:hint="eastAsia" w:cs="宋体"/>
          <w:b/>
          <w:color w:val="auto"/>
          <w:sz w:val="21"/>
          <w:szCs w:val="21"/>
          <w:highlight w:val="none"/>
        </w:rPr>
      </w:pPr>
      <w:r>
        <w:rPr>
          <w:rFonts w:hint="eastAsia" w:cs="宋体"/>
          <w:b/>
          <w:color w:val="auto"/>
          <w:sz w:val="21"/>
          <w:szCs w:val="21"/>
          <w:highlight w:val="none"/>
        </w:rPr>
        <w:t xml:space="preserve">一、合同组成及合同总价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1.1 合同文件组成内容包括：1、本合同书 ，2、补充协议或者双方签订的备忘录、会议纪要，3、</w:t>
      </w:r>
      <w:r>
        <w:rPr>
          <w:rFonts w:hint="eastAsia" w:cs="宋体"/>
          <w:color w:val="auto"/>
          <w:sz w:val="21"/>
          <w:szCs w:val="21"/>
          <w:highlight w:val="none"/>
          <w:lang w:eastAsia="zh-CN"/>
        </w:rPr>
        <w:t>成交通知书</w:t>
      </w:r>
      <w:r>
        <w:rPr>
          <w:rFonts w:hint="eastAsia" w:cs="宋体"/>
          <w:color w:val="auto"/>
          <w:sz w:val="21"/>
          <w:szCs w:val="21"/>
          <w:highlight w:val="none"/>
        </w:rPr>
        <w:t>，4、</w:t>
      </w:r>
      <w:r>
        <w:rPr>
          <w:rFonts w:hint="eastAsia" w:cs="宋体"/>
          <w:color w:val="auto"/>
          <w:sz w:val="21"/>
          <w:szCs w:val="21"/>
          <w:highlight w:val="none"/>
          <w:lang w:eastAsia="zh-CN"/>
        </w:rPr>
        <w:t>磋商响应文件</w:t>
      </w:r>
      <w:r>
        <w:rPr>
          <w:rFonts w:hint="eastAsia" w:cs="宋体"/>
          <w:color w:val="auto"/>
          <w:sz w:val="21"/>
          <w:szCs w:val="21"/>
          <w:highlight w:val="none"/>
        </w:rPr>
        <w:t>（含澄清内容），5</w:t>
      </w:r>
      <w:r>
        <w:rPr>
          <w:rFonts w:hint="eastAsia" w:cs="宋体"/>
          <w:color w:val="auto"/>
          <w:sz w:val="21"/>
          <w:szCs w:val="21"/>
          <w:highlight w:val="none"/>
          <w:lang w:eastAsia="zh-CN"/>
        </w:rPr>
        <w:t>磋商文件</w:t>
      </w:r>
      <w:r>
        <w:rPr>
          <w:rFonts w:hint="eastAsia" w:cs="宋体"/>
          <w:color w:val="auto"/>
          <w:sz w:val="21"/>
          <w:szCs w:val="21"/>
          <w:highlight w:val="none"/>
        </w:rPr>
        <w:t>（含</w:t>
      </w:r>
      <w:r>
        <w:rPr>
          <w:rFonts w:hint="eastAsia" w:cs="宋体"/>
          <w:color w:val="auto"/>
          <w:sz w:val="21"/>
          <w:szCs w:val="21"/>
          <w:highlight w:val="none"/>
          <w:lang w:eastAsia="zh-CN"/>
        </w:rPr>
        <w:t>磋商文件</w:t>
      </w:r>
      <w:r>
        <w:rPr>
          <w:rFonts w:hint="eastAsia" w:cs="宋体"/>
          <w:color w:val="auto"/>
          <w:sz w:val="21"/>
          <w:szCs w:val="21"/>
          <w:highlight w:val="none"/>
        </w:rPr>
        <w:t>澄清通知）等。</w:t>
      </w:r>
    </w:p>
    <w:p>
      <w:pPr>
        <w:pStyle w:val="48"/>
        <w:spacing w:line="440" w:lineRule="exact"/>
        <w:ind w:firstLine="420" w:firstLineChars="200"/>
        <w:rPr>
          <w:rFonts w:cs="宋体"/>
          <w:color w:val="auto"/>
          <w:sz w:val="21"/>
          <w:szCs w:val="21"/>
          <w:highlight w:val="none"/>
        </w:rPr>
      </w:pPr>
      <w:r>
        <w:rPr>
          <w:rFonts w:hint="eastAsia" w:cs="宋体"/>
          <w:color w:val="auto"/>
          <w:sz w:val="21"/>
          <w:szCs w:val="21"/>
          <w:highlight w:val="none"/>
        </w:rPr>
        <w:t>合同文件内容有冲突的，按照上述顺序优先解释，同一顺序内容有冲突的，以最后签署日期的文件优先。</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1.2</w:t>
      </w:r>
      <w:r>
        <w:rPr>
          <w:rFonts w:cs="宋体"/>
          <w:color w:val="auto"/>
          <w:sz w:val="21"/>
          <w:szCs w:val="21"/>
          <w:highlight w:val="none"/>
        </w:rPr>
        <w:t xml:space="preserve"> </w:t>
      </w:r>
      <w:r>
        <w:rPr>
          <w:rFonts w:hint="eastAsia" w:cs="宋体"/>
          <w:color w:val="auto"/>
          <w:sz w:val="21"/>
          <w:szCs w:val="21"/>
          <w:highlight w:val="none"/>
        </w:rPr>
        <w:t>货物需求收货标准一览表及技术规格:乙方按甲方要求打版各一套并摆放到位，甲乙双方样板签字确认后，按合同数量，样板材质，颜色，规格，摆放位置等要求再批量生产如期交货。</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1.2.1货物总体要求</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（1）乙方所投货物必须是原装、全新的产品，符合国家以及该产品的出厂标准。</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2）实际供货时将根据现场情况和实际使用功能作调整，如材料、规格、产品的效果图等的要求，乙方须无条件配合甲方的要求调整方案。最终供货方案经甲方确认成品样板或产品效果图后，方可正式实施生产供货，所涉及的一切费用由乙方承担。</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（3）乙方所投货物必须使用环保材料并符合国家环保要求及标准。</w:t>
      </w:r>
    </w:p>
    <w:p>
      <w:pPr>
        <w:pStyle w:val="48"/>
        <w:spacing w:line="440" w:lineRule="exact"/>
        <w:ind w:firstLine="420" w:firstLineChars="200"/>
        <w:rPr>
          <w:rFonts w:cs="宋体"/>
          <w:color w:val="auto"/>
          <w:sz w:val="21"/>
          <w:szCs w:val="21"/>
          <w:highlight w:val="none"/>
        </w:rPr>
      </w:pPr>
      <w:r>
        <w:rPr>
          <w:rFonts w:hint="eastAsia" w:cs="宋体"/>
          <w:color w:val="auto"/>
          <w:sz w:val="21"/>
          <w:szCs w:val="21"/>
          <w:highlight w:val="none"/>
        </w:rPr>
        <w:t>（4）签定合同后，乙方须无条件配合甲方到其生产加工现场就投入本项目有关的人员、设备、原材料采购、原料品牌、品质、型号、加工生产工艺流程、半成品，以及成品打包前质量、材质、款式等进行监督和检查；乙方须按甲方要求提交原材料采购的原始检验证、环保证、合格证等合法手续凭证，以得到甲方的监督和认可。如人员未能达到</w:t>
      </w:r>
      <w:r>
        <w:rPr>
          <w:rFonts w:hint="eastAsia" w:cs="宋体"/>
          <w:color w:val="auto"/>
          <w:sz w:val="21"/>
          <w:szCs w:val="21"/>
          <w:highlight w:val="none"/>
          <w:lang w:eastAsia="zh-CN"/>
        </w:rPr>
        <w:t>磋商文件</w:t>
      </w:r>
      <w:r>
        <w:rPr>
          <w:rFonts w:hint="eastAsia" w:cs="宋体"/>
          <w:color w:val="auto"/>
          <w:sz w:val="21"/>
          <w:szCs w:val="21"/>
          <w:highlight w:val="none"/>
        </w:rPr>
        <w:t>要求和</w:t>
      </w:r>
      <w:r>
        <w:rPr>
          <w:rFonts w:hint="eastAsia" w:cs="宋体"/>
          <w:color w:val="auto"/>
          <w:sz w:val="21"/>
          <w:szCs w:val="21"/>
          <w:highlight w:val="none"/>
          <w:lang w:eastAsia="zh-CN"/>
        </w:rPr>
        <w:t>磋商响应文件</w:t>
      </w:r>
      <w:r>
        <w:rPr>
          <w:rFonts w:hint="eastAsia" w:cs="宋体"/>
          <w:color w:val="auto"/>
          <w:sz w:val="21"/>
          <w:szCs w:val="21"/>
          <w:highlight w:val="none"/>
        </w:rPr>
        <w:t>中的承诺响应的，每发现一人处罚（2万元/每人次）；如设备未能达到</w:t>
      </w:r>
      <w:r>
        <w:rPr>
          <w:rFonts w:hint="eastAsia" w:cs="宋体"/>
          <w:color w:val="auto"/>
          <w:sz w:val="21"/>
          <w:szCs w:val="21"/>
          <w:highlight w:val="none"/>
          <w:lang w:eastAsia="zh-CN"/>
        </w:rPr>
        <w:t>磋商文件</w:t>
      </w:r>
      <w:r>
        <w:rPr>
          <w:rFonts w:hint="eastAsia" w:cs="宋体"/>
          <w:color w:val="auto"/>
          <w:sz w:val="21"/>
          <w:szCs w:val="21"/>
          <w:highlight w:val="none"/>
        </w:rPr>
        <w:t>要求和</w:t>
      </w:r>
      <w:r>
        <w:rPr>
          <w:rFonts w:hint="eastAsia" w:cs="宋体"/>
          <w:color w:val="auto"/>
          <w:sz w:val="21"/>
          <w:szCs w:val="21"/>
          <w:highlight w:val="none"/>
          <w:lang w:eastAsia="zh-CN"/>
        </w:rPr>
        <w:t>磋商响应文件</w:t>
      </w:r>
      <w:r>
        <w:rPr>
          <w:rFonts w:hint="eastAsia" w:cs="宋体"/>
          <w:color w:val="auto"/>
          <w:sz w:val="21"/>
          <w:szCs w:val="21"/>
          <w:highlight w:val="none"/>
        </w:rPr>
        <w:t>中的承诺响应的，每发现一台处罚（2万元/每台）；监督检查发现生产过程中有不符合相关规定的，甲方有权视其情节轻重进行处罚。</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（5）乙方应保证货物在不需要增配未列出配件（特别指出的除外）的前提下货物功能、技术标准能够达到</w:t>
      </w:r>
      <w:r>
        <w:rPr>
          <w:rFonts w:hint="eastAsia" w:cs="宋体"/>
          <w:color w:val="auto"/>
          <w:sz w:val="21"/>
          <w:szCs w:val="21"/>
          <w:highlight w:val="none"/>
          <w:lang w:eastAsia="zh-CN"/>
        </w:rPr>
        <w:t>磋商文件</w:t>
      </w:r>
      <w:r>
        <w:rPr>
          <w:rFonts w:hint="eastAsia" w:cs="宋体"/>
          <w:color w:val="auto"/>
          <w:sz w:val="21"/>
          <w:szCs w:val="21"/>
          <w:highlight w:val="none"/>
        </w:rPr>
        <w:t>的要求，而无须再增配未列出的配件；如乙方所提供的产品需要增配配件才能达到要求的，所增配的配件须由乙方免费提供。</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（6）货物在验收合格前的保险由乙方负责，且乙方负责其派出的现场服务人员人身意外保险。</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（6）乙方应对甲方提供免费培训服务。</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1.3货物需求一览表及技术规格：</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67"/>
        <w:gridCol w:w="1810"/>
        <w:gridCol w:w="1134"/>
        <w:gridCol w:w="851"/>
        <w:gridCol w:w="708"/>
        <w:gridCol w:w="709"/>
        <w:gridCol w:w="1157"/>
        <w:gridCol w:w="916"/>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序号</w:t>
            </w:r>
          </w:p>
        </w:tc>
        <w:tc>
          <w:tcPr>
            <w:tcW w:w="1167" w:type="dxa"/>
            <w:noWrap w:val="0"/>
            <w:vAlign w:val="top"/>
          </w:tcPr>
          <w:p>
            <w:pPr>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货物名称</w:t>
            </w:r>
          </w:p>
        </w:tc>
        <w:tc>
          <w:tcPr>
            <w:tcW w:w="1810" w:type="dxa"/>
            <w:noWrap w:val="0"/>
            <w:vAlign w:val="top"/>
          </w:tcPr>
          <w:p>
            <w:pPr>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品牌/型号/规格</w:t>
            </w:r>
          </w:p>
        </w:tc>
        <w:tc>
          <w:tcPr>
            <w:tcW w:w="1134" w:type="dxa"/>
            <w:noWrap w:val="0"/>
            <w:vAlign w:val="top"/>
          </w:tcPr>
          <w:p>
            <w:pPr>
              <w:spacing w:line="440" w:lineRule="exact"/>
              <w:rPr>
                <w:rFonts w:hint="eastAsia" w:hAnsi="宋体" w:cs="宋体"/>
                <w:color w:val="auto"/>
                <w:sz w:val="21"/>
                <w:szCs w:val="21"/>
                <w:highlight w:val="none"/>
              </w:rPr>
            </w:pPr>
            <w:r>
              <w:rPr>
                <w:rFonts w:hint="eastAsia" w:hAnsi="宋体" w:cs="宋体"/>
                <w:color w:val="auto"/>
                <w:sz w:val="21"/>
                <w:szCs w:val="21"/>
                <w:highlight w:val="none"/>
              </w:rPr>
              <w:t>配置要求</w:t>
            </w:r>
          </w:p>
        </w:tc>
        <w:tc>
          <w:tcPr>
            <w:tcW w:w="851" w:type="dxa"/>
            <w:noWrap w:val="0"/>
            <w:vAlign w:val="top"/>
          </w:tcPr>
          <w:p>
            <w:pPr>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产地</w:t>
            </w:r>
          </w:p>
        </w:tc>
        <w:tc>
          <w:tcPr>
            <w:tcW w:w="708" w:type="dxa"/>
            <w:noWrap w:val="0"/>
            <w:vAlign w:val="top"/>
          </w:tcPr>
          <w:p>
            <w:pPr>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单位</w:t>
            </w:r>
          </w:p>
        </w:tc>
        <w:tc>
          <w:tcPr>
            <w:tcW w:w="709" w:type="dxa"/>
            <w:noWrap w:val="0"/>
            <w:vAlign w:val="top"/>
          </w:tcPr>
          <w:p>
            <w:pPr>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数量</w:t>
            </w:r>
          </w:p>
        </w:tc>
        <w:tc>
          <w:tcPr>
            <w:tcW w:w="1157" w:type="dxa"/>
            <w:noWrap w:val="0"/>
            <w:vAlign w:val="top"/>
          </w:tcPr>
          <w:p>
            <w:pPr>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综合单价</w:t>
            </w:r>
          </w:p>
        </w:tc>
        <w:tc>
          <w:tcPr>
            <w:tcW w:w="916" w:type="dxa"/>
            <w:noWrap w:val="0"/>
            <w:vAlign w:val="top"/>
          </w:tcPr>
          <w:p>
            <w:pPr>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金额</w:t>
            </w:r>
          </w:p>
        </w:tc>
        <w:tc>
          <w:tcPr>
            <w:tcW w:w="689" w:type="dxa"/>
            <w:noWrap w:val="0"/>
            <w:vAlign w:val="top"/>
          </w:tcPr>
          <w:p>
            <w:pPr>
              <w:spacing w:line="440" w:lineRule="exact"/>
              <w:jc w:val="center"/>
              <w:rPr>
                <w:rFonts w:hint="eastAsia" w:hAnsi="宋体" w:cs="宋体"/>
                <w:color w:val="auto"/>
                <w:sz w:val="21"/>
                <w:szCs w:val="21"/>
                <w:highlight w:val="none"/>
              </w:rPr>
            </w:pPr>
            <w:r>
              <w:rPr>
                <w:rFonts w:hint="eastAsia"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spacing w:line="440" w:lineRule="exact"/>
              <w:rPr>
                <w:rFonts w:hint="eastAsia" w:hAnsi="宋体" w:cs="宋体"/>
                <w:color w:val="auto"/>
                <w:sz w:val="21"/>
                <w:szCs w:val="21"/>
                <w:highlight w:val="none"/>
              </w:rPr>
            </w:pPr>
          </w:p>
        </w:tc>
        <w:tc>
          <w:tcPr>
            <w:tcW w:w="1167" w:type="dxa"/>
            <w:noWrap w:val="0"/>
            <w:vAlign w:val="top"/>
          </w:tcPr>
          <w:p>
            <w:pPr>
              <w:spacing w:line="440" w:lineRule="exact"/>
              <w:rPr>
                <w:rFonts w:hint="eastAsia" w:hAnsi="宋体" w:cs="宋体"/>
                <w:color w:val="auto"/>
                <w:sz w:val="21"/>
                <w:szCs w:val="21"/>
                <w:highlight w:val="none"/>
              </w:rPr>
            </w:pPr>
          </w:p>
        </w:tc>
        <w:tc>
          <w:tcPr>
            <w:tcW w:w="1810" w:type="dxa"/>
            <w:noWrap w:val="0"/>
            <w:vAlign w:val="top"/>
          </w:tcPr>
          <w:p>
            <w:pPr>
              <w:spacing w:line="440" w:lineRule="exact"/>
              <w:rPr>
                <w:rFonts w:hint="eastAsia" w:hAnsi="宋体" w:cs="宋体"/>
                <w:color w:val="auto"/>
                <w:sz w:val="21"/>
                <w:szCs w:val="21"/>
                <w:highlight w:val="none"/>
              </w:rPr>
            </w:pPr>
          </w:p>
        </w:tc>
        <w:tc>
          <w:tcPr>
            <w:tcW w:w="1134" w:type="dxa"/>
            <w:noWrap w:val="0"/>
            <w:vAlign w:val="top"/>
          </w:tcPr>
          <w:p>
            <w:pPr>
              <w:spacing w:line="440" w:lineRule="exact"/>
              <w:rPr>
                <w:rFonts w:hint="eastAsia" w:hAnsi="宋体" w:cs="宋体"/>
                <w:color w:val="auto"/>
                <w:sz w:val="21"/>
                <w:szCs w:val="21"/>
                <w:highlight w:val="none"/>
              </w:rPr>
            </w:pPr>
          </w:p>
        </w:tc>
        <w:tc>
          <w:tcPr>
            <w:tcW w:w="851" w:type="dxa"/>
            <w:noWrap w:val="0"/>
            <w:vAlign w:val="top"/>
          </w:tcPr>
          <w:p>
            <w:pPr>
              <w:spacing w:line="440" w:lineRule="exact"/>
              <w:rPr>
                <w:rFonts w:hint="eastAsia" w:hAnsi="宋体" w:cs="宋体"/>
                <w:color w:val="auto"/>
                <w:sz w:val="21"/>
                <w:szCs w:val="21"/>
                <w:highlight w:val="none"/>
              </w:rPr>
            </w:pPr>
          </w:p>
        </w:tc>
        <w:tc>
          <w:tcPr>
            <w:tcW w:w="708" w:type="dxa"/>
            <w:noWrap w:val="0"/>
            <w:vAlign w:val="top"/>
          </w:tcPr>
          <w:p>
            <w:pPr>
              <w:spacing w:line="440" w:lineRule="exact"/>
              <w:rPr>
                <w:rFonts w:hint="eastAsia" w:hAnsi="宋体" w:cs="宋体"/>
                <w:color w:val="auto"/>
                <w:sz w:val="21"/>
                <w:szCs w:val="21"/>
                <w:highlight w:val="none"/>
              </w:rPr>
            </w:pPr>
          </w:p>
        </w:tc>
        <w:tc>
          <w:tcPr>
            <w:tcW w:w="709" w:type="dxa"/>
            <w:noWrap w:val="0"/>
            <w:vAlign w:val="top"/>
          </w:tcPr>
          <w:p>
            <w:pPr>
              <w:spacing w:line="440" w:lineRule="exact"/>
              <w:rPr>
                <w:rFonts w:hint="eastAsia" w:hAnsi="宋体" w:cs="宋体"/>
                <w:color w:val="auto"/>
                <w:sz w:val="21"/>
                <w:szCs w:val="21"/>
                <w:highlight w:val="none"/>
              </w:rPr>
            </w:pPr>
          </w:p>
        </w:tc>
        <w:tc>
          <w:tcPr>
            <w:tcW w:w="1157" w:type="dxa"/>
            <w:noWrap w:val="0"/>
            <w:vAlign w:val="top"/>
          </w:tcPr>
          <w:p>
            <w:pPr>
              <w:spacing w:line="440" w:lineRule="exact"/>
              <w:rPr>
                <w:rFonts w:hint="eastAsia" w:hAnsi="宋体" w:cs="宋体"/>
                <w:color w:val="auto"/>
                <w:sz w:val="21"/>
                <w:szCs w:val="21"/>
                <w:highlight w:val="none"/>
              </w:rPr>
            </w:pPr>
          </w:p>
        </w:tc>
        <w:tc>
          <w:tcPr>
            <w:tcW w:w="916" w:type="dxa"/>
            <w:noWrap w:val="0"/>
            <w:vAlign w:val="top"/>
          </w:tcPr>
          <w:p>
            <w:pPr>
              <w:spacing w:line="440" w:lineRule="exact"/>
              <w:rPr>
                <w:rFonts w:hint="eastAsia" w:hAnsi="宋体" w:cs="宋体"/>
                <w:color w:val="auto"/>
                <w:sz w:val="21"/>
                <w:szCs w:val="21"/>
                <w:highlight w:val="none"/>
              </w:rPr>
            </w:pPr>
          </w:p>
        </w:tc>
        <w:tc>
          <w:tcPr>
            <w:tcW w:w="689" w:type="dxa"/>
            <w:noWrap w:val="0"/>
            <w:vAlign w:val="top"/>
          </w:tcPr>
          <w:p>
            <w:pPr>
              <w:spacing w:line="440" w:lineRule="exact"/>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spacing w:line="440" w:lineRule="exact"/>
              <w:rPr>
                <w:rFonts w:hint="eastAsia" w:hAnsi="宋体" w:cs="宋体"/>
                <w:color w:val="auto"/>
                <w:sz w:val="21"/>
                <w:szCs w:val="21"/>
                <w:highlight w:val="none"/>
              </w:rPr>
            </w:pPr>
          </w:p>
        </w:tc>
        <w:tc>
          <w:tcPr>
            <w:tcW w:w="1167" w:type="dxa"/>
            <w:noWrap w:val="0"/>
            <w:vAlign w:val="top"/>
          </w:tcPr>
          <w:p>
            <w:pPr>
              <w:spacing w:line="440" w:lineRule="exact"/>
              <w:rPr>
                <w:rFonts w:hint="eastAsia" w:hAnsi="宋体" w:cs="宋体"/>
                <w:color w:val="auto"/>
                <w:sz w:val="21"/>
                <w:szCs w:val="21"/>
                <w:highlight w:val="none"/>
              </w:rPr>
            </w:pPr>
          </w:p>
        </w:tc>
        <w:tc>
          <w:tcPr>
            <w:tcW w:w="1810" w:type="dxa"/>
            <w:noWrap w:val="0"/>
            <w:vAlign w:val="top"/>
          </w:tcPr>
          <w:p>
            <w:pPr>
              <w:spacing w:line="440" w:lineRule="exact"/>
              <w:rPr>
                <w:rFonts w:hint="eastAsia" w:hAnsi="宋体" w:cs="宋体"/>
                <w:color w:val="auto"/>
                <w:sz w:val="21"/>
                <w:szCs w:val="21"/>
                <w:highlight w:val="none"/>
              </w:rPr>
            </w:pPr>
          </w:p>
        </w:tc>
        <w:tc>
          <w:tcPr>
            <w:tcW w:w="1134" w:type="dxa"/>
            <w:noWrap w:val="0"/>
            <w:vAlign w:val="top"/>
          </w:tcPr>
          <w:p>
            <w:pPr>
              <w:spacing w:line="440" w:lineRule="exact"/>
              <w:rPr>
                <w:rFonts w:hint="eastAsia" w:hAnsi="宋体" w:cs="宋体"/>
                <w:color w:val="auto"/>
                <w:sz w:val="21"/>
                <w:szCs w:val="21"/>
                <w:highlight w:val="none"/>
              </w:rPr>
            </w:pPr>
          </w:p>
        </w:tc>
        <w:tc>
          <w:tcPr>
            <w:tcW w:w="851" w:type="dxa"/>
            <w:noWrap w:val="0"/>
            <w:vAlign w:val="top"/>
          </w:tcPr>
          <w:p>
            <w:pPr>
              <w:spacing w:line="440" w:lineRule="exact"/>
              <w:rPr>
                <w:rFonts w:hint="eastAsia" w:hAnsi="宋体" w:cs="宋体"/>
                <w:color w:val="auto"/>
                <w:sz w:val="21"/>
                <w:szCs w:val="21"/>
                <w:highlight w:val="none"/>
              </w:rPr>
            </w:pPr>
          </w:p>
        </w:tc>
        <w:tc>
          <w:tcPr>
            <w:tcW w:w="708" w:type="dxa"/>
            <w:noWrap w:val="0"/>
            <w:vAlign w:val="top"/>
          </w:tcPr>
          <w:p>
            <w:pPr>
              <w:spacing w:line="440" w:lineRule="exact"/>
              <w:rPr>
                <w:rFonts w:hint="eastAsia" w:hAnsi="宋体" w:cs="宋体"/>
                <w:color w:val="auto"/>
                <w:sz w:val="21"/>
                <w:szCs w:val="21"/>
                <w:highlight w:val="none"/>
              </w:rPr>
            </w:pPr>
          </w:p>
        </w:tc>
        <w:tc>
          <w:tcPr>
            <w:tcW w:w="709" w:type="dxa"/>
            <w:noWrap w:val="0"/>
            <w:vAlign w:val="top"/>
          </w:tcPr>
          <w:p>
            <w:pPr>
              <w:spacing w:line="440" w:lineRule="exact"/>
              <w:rPr>
                <w:rFonts w:hint="eastAsia" w:hAnsi="宋体" w:cs="宋体"/>
                <w:color w:val="auto"/>
                <w:sz w:val="21"/>
                <w:szCs w:val="21"/>
                <w:highlight w:val="none"/>
              </w:rPr>
            </w:pPr>
          </w:p>
        </w:tc>
        <w:tc>
          <w:tcPr>
            <w:tcW w:w="1157" w:type="dxa"/>
            <w:noWrap w:val="0"/>
            <w:vAlign w:val="top"/>
          </w:tcPr>
          <w:p>
            <w:pPr>
              <w:spacing w:line="440" w:lineRule="exact"/>
              <w:rPr>
                <w:rFonts w:hint="eastAsia" w:hAnsi="宋体" w:cs="宋体"/>
                <w:color w:val="auto"/>
                <w:sz w:val="21"/>
                <w:szCs w:val="21"/>
                <w:highlight w:val="none"/>
              </w:rPr>
            </w:pPr>
          </w:p>
        </w:tc>
        <w:tc>
          <w:tcPr>
            <w:tcW w:w="916" w:type="dxa"/>
            <w:noWrap w:val="0"/>
            <w:vAlign w:val="top"/>
          </w:tcPr>
          <w:p>
            <w:pPr>
              <w:spacing w:line="440" w:lineRule="exact"/>
              <w:rPr>
                <w:rFonts w:hint="eastAsia" w:hAnsi="宋体" w:cs="宋体"/>
                <w:color w:val="auto"/>
                <w:sz w:val="21"/>
                <w:szCs w:val="21"/>
                <w:highlight w:val="none"/>
              </w:rPr>
            </w:pPr>
          </w:p>
        </w:tc>
        <w:tc>
          <w:tcPr>
            <w:tcW w:w="689" w:type="dxa"/>
            <w:noWrap w:val="0"/>
            <w:vAlign w:val="top"/>
          </w:tcPr>
          <w:p>
            <w:pPr>
              <w:spacing w:line="440" w:lineRule="exact"/>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noWrap w:val="0"/>
            <w:vAlign w:val="top"/>
          </w:tcPr>
          <w:p>
            <w:pPr>
              <w:spacing w:line="440" w:lineRule="exact"/>
              <w:rPr>
                <w:rFonts w:hint="eastAsia" w:hAnsi="宋体" w:cs="宋体"/>
                <w:color w:val="auto"/>
                <w:sz w:val="21"/>
                <w:szCs w:val="21"/>
                <w:highlight w:val="none"/>
              </w:rPr>
            </w:pPr>
          </w:p>
        </w:tc>
        <w:tc>
          <w:tcPr>
            <w:tcW w:w="1167" w:type="dxa"/>
            <w:noWrap w:val="0"/>
            <w:vAlign w:val="top"/>
          </w:tcPr>
          <w:p>
            <w:pPr>
              <w:spacing w:line="440" w:lineRule="exact"/>
              <w:rPr>
                <w:rFonts w:hint="eastAsia" w:hAnsi="宋体" w:cs="宋体"/>
                <w:color w:val="auto"/>
                <w:sz w:val="21"/>
                <w:szCs w:val="21"/>
                <w:highlight w:val="none"/>
              </w:rPr>
            </w:pPr>
          </w:p>
        </w:tc>
        <w:tc>
          <w:tcPr>
            <w:tcW w:w="1810" w:type="dxa"/>
            <w:noWrap w:val="0"/>
            <w:vAlign w:val="top"/>
          </w:tcPr>
          <w:p>
            <w:pPr>
              <w:spacing w:line="440" w:lineRule="exact"/>
              <w:rPr>
                <w:rFonts w:hint="eastAsia" w:hAnsi="宋体" w:cs="宋体"/>
                <w:color w:val="auto"/>
                <w:sz w:val="21"/>
                <w:szCs w:val="21"/>
                <w:highlight w:val="none"/>
              </w:rPr>
            </w:pPr>
          </w:p>
        </w:tc>
        <w:tc>
          <w:tcPr>
            <w:tcW w:w="1134" w:type="dxa"/>
            <w:noWrap w:val="0"/>
            <w:vAlign w:val="top"/>
          </w:tcPr>
          <w:p>
            <w:pPr>
              <w:spacing w:line="440" w:lineRule="exact"/>
              <w:rPr>
                <w:rFonts w:hint="eastAsia" w:hAnsi="宋体" w:cs="宋体"/>
                <w:color w:val="auto"/>
                <w:sz w:val="21"/>
                <w:szCs w:val="21"/>
                <w:highlight w:val="none"/>
              </w:rPr>
            </w:pPr>
          </w:p>
        </w:tc>
        <w:tc>
          <w:tcPr>
            <w:tcW w:w="851" w:type="dxa"/>
            <w:noWrap w:val="0"/>
            <w:vAlign w:val="top"/>
          </w:tcPr>
          <w:p>
            <w:pPr>
              <w:spacing w:line="440" w:lineRule="exact"/>
              <w:rPr>
                <w:rFonts w:hint="eastAsia" w:hAnsi="宋体" w:cs="宋体"/>
                <w:color w:val="auto"/>
                <w:sz w:val="21"/>
                <w:szCs w:val="21"/>
                <w:highlight w:val="none"/>
              </w:rPr>
            </w:pPr>
          </w:p>
        </w:tc>
        <w:tc>
          <w:tcPr>
            <w:tcW w:w="708" w:type="dxa"/>
            <w:noWrap w:val="0"/>
            <w:vAlign w:val="top"/>
          </w:tcPr>
          <w:p>
            <w:pPr>
              <w:spacing w:line="440" w:lineRule="exact"/>
              <w:rPr>
                <w:rFonts w:hint="eastAsia" w:hAnsi="宋体" w:cs="宋体"/>
                <w:color w:val="auto"/>
                <w:sz w:val="21"/>
                <w:szCs w:val="21"/>
                <w:highlight w:val="none"/>
              </w:rPr>
            </w:pPr>
          </w:p>
        </w:tc>
        <w:tc>
          <w:tcPr>
            <w:tcW w:w="709" w:type="dxa"/>
            <w:noWrap w:val="0"/>
            <w:vAlign w:val="top"/>
          </w:tcPr>
          <w:p>
            <w:pPr>
              <w:spacing w:line="440" w:lineRule="exact"/>
              <w:rPr>
                <w:rFonts w:hint="eastAsia" w:hAnsi="宋体" w:cs="宋体"/>
                <w:color w:val="auto"/>
                <w:sz w:val="21"/>
                <w:szCs w:val="21"/>
                <w:highlight w:val="none"/>
              </w:rPr>
            </w:pPr>
          </w:p>
        </w:tc>
        <w:tc>
          <w:tcPr>
            <w:tcW w:w="1157" w:type="dxa"/>
            <w:noWrap w:val="0"/>
            <w:vAlign w:val="top"/>
          </w:tcPr>
          <w:p>
            <w:pPr>
              <w:spacing w:line="440" w:lineRule="exact"/>
              <w:rPr>
                <w:rFonts w:hint="eastAsia" w:hAnsi="宋体" w:cs="宋体"/>
                <w:color w:val="auto"/>
                <w:sz w:val="21"/>
                <w:szCs w:val="21"/>
                <w:highlight w:val="none"/>
              </w:rPr>
            </w:pPr>
          </w:p>
        </w:tc>
        <w:tc>
          <w:tcPr>
            <w:tcW w:w="916" w:type="dxa"/>
            <w:noWrap w:val="0"/>
            <w:vAlign w:val="top"/>
          </w:tcPr>
          <w:p>
            <w:pPr>
              <w:spacing w:line="440" w:lineRule="exact"/>
              <w:rPr>
                <w:rFonts w:hint="eastAsia" w:hAnsi="宋体" w:cs="宋体"/>
                <w:color w:val="auto"/>
                <w:sz w:val="21"/>
                <w:szCs w:val="21"/>
                <w:highlight w:val="none"/>
              </w:rPr>
            </w:pPr>
          </w:p>
        </w:tc>
        <w:tc>
          <w:tcPr>
            <w:tcW w:w="689" w:type="dxa"/>
            <w:noWrap w:val="0"/>
            <w:vAlign w:val="top"/>
          </w:tcPr>
          <w:p>
            <w:pPr>
              <w:spacing w:line="440" w:lineRule="exact"/>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spacing w:line="440" w:lineRule="exact"/>
              <w:rPr>
                <w:rFonts w:hint="eastAsia" w:hAnsi="宋体" w:cs="宋体"/>
                <w:color w:val="auto"/>
                <w:sz w:val="21"/>
                <w:szCs w:val="21"/>
                <w:highlight w:val="none"/>
              </w:rPr>
            </w:pPr>
          </w:p>
        </w:tc>
        <w:tc>
          <w:tcPr>
            <w:tcW w:w="1167" w:type="dxa"/>
            <w:noWrap w:val="0"/>
            <w:vAlign w:val="top"/>
          </w:tcPr>
          <w:p>
            <w:pPr>
              <w:spacing w:line="440" w:lineRule="exact"/>
              <w:rPr>
                <w:rFonts w:hint="eastAsia" w:hAnsi="宋体" w:cs="宋体"/>
                <w:color w:val="auto"/>
                <w:sz w:val="21"/>
                <w:szCs w:val="21"/>
                <w:highlight w:val="none"/>
              </w:rPr>
            </w:pPr>
          </w:p>
        </w:tc>
        <w:tc>
          <w:tcPr>
            <w:tcW w:w="1810" w:type="dxa"/>
            <w:noWrap w:val="0"/>
            <w:vAlign w:val="top"/>
          </w:tcPr>
          <w:p>
            <w:pPr>
              <w:spacing w:line="440" w:lineRule="exact"/>
              <w:rPr>
                <w:rFonts w:hint="eastAsia" w:hAnsi="宋体" w:cs="宋体"/>
                <w:color w:val="auto"/>
                <w:sz w:val="21"/>
                <w:szCs w:val="21"/>
                <w:highlight w:val="none"/>
              </w:rPr>
            </w:pPr>
          </w:p>
        </w:tc>
        <w:tc>
          <w:tcPr>
            <w:tcW w:w="1134" w:type="dxa"/>
            <w:noWrap w:val="0"/>
            <w:vAlign w:val="top"/>
          </w:tcPr>
          <w:p>
            <w:pPr>
              <w:spacing w:line="440" w:lineRule="exact"/>
              <w:rPr>
                <w:rFonts w:hint="eastAsia" w:hAnsi="宋体" w:cs="宋体"/>
                <w:color w:val="auto"/>
                <w:sz w:val="21"/>
                <w:szCs w:val="21"/>
                <w:highlight w:val="none"/>
              </w:rPr>
            </w:pPr>
          </w:p>
        </w:tc>
        <w:tc>
          <w:tcPr>
            <w:tcW w:w="851" w:type="dxa"/>
            <w:noWrap w:val="0"/>
            <w:vAlign w:val="top"/>
          </w:tcPr>
          <w:p>
            <w:pPr>
              <w:spacing w:line="440" w:lineRule="exact"/>
              <w:rPr>
                <w:rFonts w:hint="eastAsia" w:hAnsi="宋体" w:cs="宋体"/>
                <w:color w:val="auto"/>
                <w:sz w:val="21"/>
                <w:szCs w:val="21"/>
                <w:highlight w:val="none"/>
              </w:rPr>
            </w:pPr>
          </w:p>
        </w:tc>
        <w:tc>
          <w:tcPr>
            <w:tcW w:w="708" w:type="dxa"/>
            <w:noWrap w:val="0"/>
            <w:vAlign w:val="top"/>
          </w:tcPr>
          <w:p>
            <w:pPr>
              <w:spacing w:line="440" w:lineRule="exact"/>
              <w:rPr>
                <w:rFonts w:hint="eastAsia" w:hAnsi="宋体" w:cs="宋体"/>
                <w:color w:val="auto"/>
                <w:sz w:val="21"/>
                <w:szCs w:val="21"/>
                <w:highlight w:val="none"/>
              </w:rPr>
            </w:pPr>
          </w:p>
        </w:tc>
        <w:tc>
          <w:tcPr>
            <w:tcW w:w="709" w:type="dxa"/>
            <w:noWrap w:val="0"/>
            <w:vAlign w:val="top"/>
          </w:tcPr>
          <w:p>
            <w:pPr>
              <w:spacing w:line="440" w:lineRule="exact"/>
              <w:rPr>
                <w:rFonts w:hint="eastAsia" w:hAnsi="宋体" w:cs="宋体"/>
                <w:color w:val="auto"/>
                <w:sz w:val="21"/>
                <w:szCs w:val="21"/>
                <w:highlight w:val="none"/>
              </w:rPr>
            </w:pPr>
          </w:p>
        </w:tc>
        <w:tc>
          <w:tcPr>
            <w:tcW w:w="1157" w:type="dxa"/>
            <w:noWrap w:val="0"/>
            <w:vAlign w:val="top"/>
          </w:tcPr>
          <w:p>
            <w:pPr>
              <w:spacing w:line="440" w:lineRule="exact"/>
              <w:rPr>
                <w:rFonts w:hint="eastAsia" w:hAnsi="宋体" w:cs="宋体"/>
                <w:color w:val="auto"/>
                <w:sz w:val="21"/>
                <w:szCs w:val="21"/>
                <w:highlight w:val="none"/>
              </w:rPr>
            </w:pPr>
          </w:p>
        </w:tc>
        <w:tc>
          <w:tcPr>
            <w:tcW w:w="916" w:type="dxa"/>
            <w:noWrap w:val="0"/>
            <w:vAlign w:val="top"/>
          </w:tcPr>
          <w:p>
            <w:pPr>
              <w:spacing w:line="440" w:lineRule="exact"/>
              <w:rPr>
                <w:rFonts w:hint="eastAsia" w:hAnsi="宋体" w:cs="宋体"/>
                <w:color w:val="auto"/>
                <w:sz w:val="21"/>
                <w:szCs w:val="21"/>
                <w:highlight w:val="none"/>
              </w:rPr>
            </w:pPr>
          </w:p>
        </w:tc>
        <w:tc>
          <w:tcPr>
            <w:tcW w:w="689" w:type="dxa"/>
            <w:noWrap w:val="0"/>
            <w:vAlign w:val="top"/>
          </w:tcPr>
          <w:p>
            <w:pPr>
              <w:spacing w:line="440" w:lineRule="exact"/>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spacing w:line="440" w:lineRule="exact"/>
              <w:rPr>
                <w:rFonts w:hint="eastAsia" w:hAnsi="宋体" w:cs="宋体"/>
                <w:color w:val="auto"/>
                <w:sz w:val="21"/>
                <w:szCs w:val="21"/>
                <w:highlight w:val="none"/>
              </w:rPr>
            </w:pPr>
          </w:p>
        </w:tc>
        <w:tc>
          <w:tcPr>
            <w:tcW w:w="1167" w:type="dxa"/>
            <w:noWrap w:val="0"/>
            <w:vAlign w:val="top"/>
          </w:tcPr>
          <w:p>
            <w:pPr>
              <w:spacing w:line="440" w:lineRule="exact"/>
              <w:rPr>
                <w:rFonts w:hint="eastAsia" w:hAnsi="宋体" w:cs="宋体"/>
                <w:color w:val="auto"/>
                <w:sz w:val="21"/>
                <w:szCs w:val="21"/>
                <w:highlight w:val="none"/>
              </w:rPr>
            </w:pPr>
          </w:p>
        </w:tc>
        <w:tc>
          <w:tcPr>
            <w:tcW w:w="1810" w:type="dxa"/>
            <w:noWrap w:val="0"/>
            <w:vAlign w:val="top"/>
          </w:tcPr>
          <w:p>
            <w:pPr>
              <w:spacing w:line="440" w:lineRule="exact"/>
              <w:rPr>
                <w:rFonts w:hint="eastAsia" w:hAnsi="宋体" w:cs="宋体"/>
                <w:color w:val="auto"/>
                <w:sz w:val="21"/>
                <w:szCs w:val="21"/>
                <w:highlight w:val="none"/>
              </w:rPr>
            </w:pPr>
          </w:p>
        </w:tc>
        <w:tc>
          <w:tcPr>
            <w:tcW w:w="1134" w:type="dxa"/>
            <w:noWrap w:val="0"/>
            <w:vAlign w:val="top"/>
          </w:tcPr>
          <w:p>
            <w:pPr>
              <w:spacing w:line="440" w:lineRule="exact"/>
              <w:rPr>
                <w:rFonts w:hint="eastAsia" w:hAnsi="宋体" w:cs="宋体"/>
                <w:color w:val="auto"/>
                <w:sz w:val="21"/>
                <w:szCs w:val="21"/>
                <w:highlight w:val="none"/>
              </w:rPr>
            </w:pPr>
          </w:p>
        </w:tc>
        <w:tc>
          <w:tcPr>
            <w:tcW w:w="851" w:type="dxa"/>
            <w:noWrap w:val="0"/>
            <w:vAlign w:val="top"/>
          </w:tcPr>
          <w:p>
            <w:pPr>
              <w:spacing w:line="440" w:lineRule="exact"/>
              <w:rPr>
                <w:rFonts w:hint="eastAsia" w:hAnsi="宋体" w:cs="宋体"/>
                <w:color w:val="auto"/>
                <w:sz w:val="21"/>
                <w:szCs w:val="21"/>
                <w:highlight w:val="none"/>
              </w:rPr>
            </w:pPr>
          </w:p>
        </w:tc>
        <w:tc>
          <w:tcPr>
            <w:tcW w:w="708" w:type="dxa"/>
            <w:noWrap w:val="0"/>
            <w:vAlign w:val="top"/>
          </w:tcPr>
          <w:p>
            <w:pPr>
              <w:spacing w:line="440" w:lineRule="exact"/>
              <w:rPr>
                <w:rFonts w:hint="eastAsia" w:hAnsi="宋体" w:cs="宋体"/>
                <w:color w:val="auto"/>
                <w:sz w:val="21"/>
                <w:szCs w:val="21"/>
                <w:highlight w:val="none"/>
              </w:rPr>
            </w:pPr>
          </w:p>
        </w:tc>
        <w:tc>
          <w:tcPr>
            <w:tcW w:w="709" w:type="dxa"/>
            <w:noWrap w:val="0"/>
            <w:vAlign w:val="top"/>
          </w:tcPr>
          <w:p>
            <w:pPr>
              <w:spacing w:line="440" w:lineRule="exact"/>
              <w:rPr>
                <w:rFonts w:hint="eastAsia" w:hAnsi="宋体" w:cs="宋体"/>
                <w:color w:val="auto"/>
                <w:sz w:val="21"/>
                <w:szCs w:val="21"/>
                <w:highlight w:val="none"/>
              </w:rPr>
            </w:pPr>
          </w:p>
        </w:tc>
        <w:tc>
          <w:tcPr>
            <w:tcW w:w="1157" w:type="dxa"/>
            <w:noWrap w:val="0"/>
            <w:vAlign w:val="top"/>
          </w:tcPr>
          <w:p>
            <w:pPr>
              <w:spacing w:line="440" w:lineRule="exact"/>
              <w:rPr>
                <w:rFonts w:hint="eastAsia" w:hAnsi="宋体" w:cs="宋体"/>
                <w:color w:val="auto"/>
                <w:sz w:val="21"/>
                <w:szCs w:val="21"/>
                <w:highlight w:val="none"/>
              </w:rPr>
            </w:pPr>
          </w:p>
        </w:tc>
        <w:tc>
          <w:tcPr>
            <w:tcW w:w="916" w:type="dxa"/>
            <w:noWrap w:val="0"/>
            <w:vAlign w:val="top"/>
          </w:tcPr>
          <w:p>
            <w:pPr>
              <w:spacing w:line="440" w:lineRule="exact"/>
              <w:rPr>
                <w:rFonts w:hint="eastAsia" w:hAnsi="宋体" w:cs="宋体"/>
                <w:color w:val="auto"/>
                <w:sz w:val="21"/>
                <w:szCs w:val="21"/>
                <w:highlight w:val="none"/>
              </w:rPr>
            </w:pPr>
          </w:p>
        </w:tc>
        <w:tc>
          <w:tcPr>
            <w:tcW w:w="689" w:type="dxa"/>
            <w:noWrap w:val="0"/>
            <w:vAlign w:val="top"/>
          </w:tcPr>
          <w:p>
            <w:pPr>
              <w:spacing w:line="440" w:lineRule="exact"/>
              <w:rPr>
                <w:rFonts w:hint="eastAsia" w:hAnsi="宋体" w:cs="宋体"/>
                <w:color w:val="auto"/>
                <w:sz w:val="21"/>
                <w:szCs w:val="21"/>
                <w:highlight w:val="none"/>
              </w:rPr>
            </w:pPr>
          </w:p>
        </w:tc>
      </w:tr>
    </w:tbl>
    <w:p>
      <w:pPr>
        <w:pStyle w:val="48"/>
        <w:spacing w:line="440" w:lineRule="exact"/>
        <w:ind w:firstLine="420" w:firstLineChars="200"/>
        <w:rPr>
          <w:rFonts w:hint="eastAsia" w:cs="宋体"/>
          <w:color w:val="auto"/>
          <w:sz w:val="21"/>
          <w:szCs w:val="21"/>
          <w:highlight w:val="none"/>
        </w:rPr>
      </w:pPr>
      <w:r>
        <w:rPr>
          <w:rFonts w:hint="eastAsia"/>
          <w:color w:val="auto"/>
          <w:sz w:val="21"/>
          <w:szCs w:val="21"/>
          <w:highlight w:val="none"/>
        </w:rPr>
        <w:t>本清单数量为拟采购数量，结算以实际供货数量为准。</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1.4本合同暂定含税总价为¥</w:t>
      </w:r>
      <w:r>
        <w:rPr>
          <w:rFonts w:hint="eastAsia" w:cs="宋体"/>
          <w:color w:val="auto"/>
          <w:sz w:val="21"/>
          <w:szCs w:val="21"/>
          <w:highlight w:val="none"/>
          <w:u w:val="single"/>
        </w:rPr>
        <w:t xml:space="preserve">        </w:t>
      </w:r>
      <w:r>
        <w:rPr>
          <w:rFonts w:hint="eastAsia" w:cs="宋体"/>
          <w:color w:val="auto"/>
          <w:sz w:val="21"/>
          <w:szCs w:val="21"/>
          <w:highlight w:val="none"/>
        </w:rPr>
        <w:t>元（人民币</w:t>
      </w:r>
      <w:r>
        <w:rPr>
          <w:rFonts w:hint="eastAsia" w:cs="宋体"/>
          <w:color w:val="auto"/>
          <w:sz w:val="21"/>
          <w:szCs w:val="21"/>
          <w:highlight w:val="none"/>
          <w:u w:val="single"/>
        </w:rPr>
        <w:t xml:space="preserve">      </w:t>
      </w:r>
      <w:r>
        <w:rPr>
          <w:rFonts w:hint="eastAsia" w:cs="宋体"/>
          <w:color w:val="auto"/>
          <w:sz w:val="21"/>
          <w:szCs w:val="21"/>
          <w:highlight w:val="none"/>
        </w:rPr>
        <w:t>元），其中：增值税税率为</w:t>
      </w:r>
      <w:r>
        <w:rPr>
          <w:rFonts w:hint="eastAsia" w:cs="宋体"/>
          <w:color w:val="auto"/>
          <w:sz w:val="21"/>
          <w:szCs w:val="21"/>
          <w:highlight w:val="none"/>
          <w:u w:val="single"/>
        </w:rPr>
        <w:t xml:space="preserve">        </w:t>
      </w:r>
      <w:r>
        <w:rPr>
          <w:rFonts w:hint="eastAsia" w:cs="宋体"/>
          <w:color w:val="auto"/>
          <w:sz w:val="21"/>
          <w:szCs w:val="21"/>
          <w:highlight w:val="none"/>
        </w:rPr>
        <w:t>%，税金金额¥</w:t>
      </w:r>
      <w:r>
        <w:rPr>
          <w:rFonts w:hint="eastAsia" w:cs="宋体"/>
          <w:color w:val="auto"/>
          <w:sz w:val="21"/>
          <w:szCs w:val="21"/>
          <w:highlight w:val="none"/>
          <w:u w:val="single"/>
        </w:rPr>
        <w:t xml:space="preserve">        </w:t>
      </w:r>
      <w:r>
        <w:rPr>
          <w:rFonts w:hint="eastAsia" w:cs="宋体"/>
          <w:color w:val="auto"/>
          <w:sz w:val="21"/>
          <w:szCs w:val="21"/>
          <w:highlight w:val="none"/>
        </w:rPr>
        <w:t>元，不含税合同暂定总价款为¥</w:t>
      </w:r>
      <w:r>
        <w:rPr>
          <w:rFonts w:hint="eastAsia" w:cs="宋体"/>
          <w:color w:val="auto"/>
          <w:sz w:val="21"/>
          <w:szCs w:val="21"/>
          <w:highlight w:val="none"/>
          <w:u w:val="single"/>
        </w:rPr>
        <w:t xml:space="preserve">        </w:t>
      </w:r>
      <w:r>
        <w:rPr>
          <w:rFonts w:hint="eastAsia" w:cs="宋体"/>
          <w:color w:val="auto"/>
          <w:sz w:val="21"/>
          <w:szCs w:val="21"/>
          <w:highlight w:val="none"/>
        </w:rPr>
        <w:t>元。</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本合同总价包含了产品购置费、安装调试费、运费、售后服务费及验收合格之前和保修期间的备品备件发生的所有含税费用。 </w:t>
      </w:r>
    </w:p>
    <w:p>
      <w:pPr>
        <w:pStyle w:val="48"/>
        <w:spacing w:line="440" w:lineRule="exact"/>
        <w:ind w:firstLine="422" w:firstLineChars="200"/>
        <w:rPr>
          <w:rFonts w:hint="eastAsia" w:cs="宋体"/>
          <w:b/>
          <w:color w:val="auto"/>
          <w:sz w:val="21"/>
          <w:szCs w:val="21"/>
          <w:highlight w:val="none"/>
        </w:rPr>
      </w:pPr>
      <w:r>
        <w:rPr>
          <w:rFonts w:hint="eastAsia" w:cs="宋体"/>
          <w:b/>
          <w:color w:val="auto"/>
          <w:sz w:val="21"/>
          <w:szCs w:val="21"/>
          <w:highlight w:val="none"/>
        </w:rPr>
        <w:t>二、合同主要条款</w:t>
      </w:r>
    </w:p>
    <w:p>
      <w:pPr>
        <w:pStyle w:val="48"/>
        <w:spacing w:line="440" w:lineRule="exact"/>
        <w:ind w:firstLine="422" w:firstLineChars="200"/>
        <w:rPr>
          <w:rFonts w:hint="eastAsia" w:cs="宋体"/>
          <w:b/>
          <w:bCs/>
          <w:color w:val="auto"/>
          <w:sz w:val="21"/>
          <w:szCs w:val="21"/>
          <w:highlight w:val="none"/>
        </w:rPr>
      </w:pPr>
      <w:r>
        <w:rPr>
          <w:rFonts w:hint="eastAsia" w:cs="宋体"/>
          <w:b/>
          <w:bCs/>
          <w:color w:val="auto"/>
          <w:sz w:val="21"/>
          <w:szCs w:val="21"/>
          <w:highlight w:val="none"/>
        </w:rPr>
        <w:t>1.1本合同的付款方式：</w:t>
      </w:r>
    </w:p>
    <w:p>
      <w:pPr>
        <w:pStyle w:val="20"/>
        <w:snapToGrid w:val="0"/>
        <w:spacing w:line="360" w:lineRule="auto"/>
        <w:ind w:right="0" w:firstLine="420" w:firstLineChars="200"/>
        <w:jc w:val="left"/>
        <w:rPr>
          <w:rFonts w:hint="eastAsia"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一）乙方在合同签订之日起15天内，向甲方提交金额为本暂定合同总价10%的不可撤销银行保函或履约保证金作为履行合同的担保，履约担保期限从合同签订之日起至项目交工验收合格并完成结算后，双方签字之日起7天内保持有效；</w:t>
      </w:r>
    </w:p>
    <w:p>
      <w:pPr>
        <w:widowControl/>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（二）合同签订提交请款报告后20天内，甲方支付暂定合同总价的10%作为定金；</w:t>
      </w:r>
    </w:p>
    <w:p>
      <w:pPr>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（三）乙方将所有货物运至甲方指定地点并经甲方验收通过后，乙方向甲方提交请款报告后20天内，甲方向乙方支付至实际供货数量合同金额的80％；</w:t>
      </w:r>
    </w:p>
    <w:p>
      <w:pPr>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（四）项目竣工验收合格并完成结算后，乙方向甲方提交请款报告后20天内，甲方向乙方支付至竣工结算价款的97％； </w:t>
      </w:r>
    </w:p>
    <w:p>
      <w:pPr>
        <w:pStyle w:val="20"/>
        <w:snapToGrid w:val="0"/>
        <w:spacing w:line="360" w:lineRule="auto"/>
        <w:ind w:right="0" w:firstLine="420" w:firstLineChars="200"/>
        <w:jc w:val="left"/>
        <w:rPr>
          <w:rFonts w:hint="eastAsia"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（五）结算价余款3％作为质保金，按合同质量保修金及支付方式的约定支付给乙方。</w:t>
      </w:r>
    </w:p>
    <w:p>
      <w:pPr>
        <w:pStyle w:val="20"/>
        <w:snapToGrid w:val="0"/>
        <w:spacing w:line="360" w:lineRule="auto"/>
        <w:ind w:right="0" w:firstLine="420" w:firstLineChars="200"/>
        <w:jc w:val="left"/>
        <w:rPr>
          <w:rFonts w:hint="eastAsia"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注：定金请款时须同时提供等额收据，第（</w:t>
      </w:r>
      <w:r>
        <w:rPr>
          <w:rFonts w:hint="eastAsia" w:hAnsi="宋体" w:cs="宋体"/>
          <w:b w:val="0"/>
          <w:bCs w:val="0"/>
          <w:color w:val="auto"/>
          <w:sz w:val="21"/>
          <w:szCs w:val="21"/>
          <w:highlight w:val="none"/>
          <w:u w:val="single"/>
          <w:lang w:val="en-US"/>
        </w:rPr>
        <w:t xml:space="preserve">  </w:t>
      </w:r>
      <w:r>
        <w:rPr>
          <w:rFonts w:hint="eastAsia" w:hAnsi="宋体" w:cs="宋体"/>
          <w:b w:val="0"/>
          <w:bCs w:val="0"/>
          <w:color w:val="auto"/>
          <w:sz w:val="21"/>
          <w:szCs w:val="21"/>
          <w:highlight w:val="none"/>
          <w:lang w:val="en-US"/>
        </w:rPr>
        <w:t>）次请款时，须提供含定金部分的等额增值税发票，此后请款时，乙方须同时提供等额增值税发票（第（</w:t>
      </w:r>
      <w:r>
        <w:rPr>
          <w:rFonts w:hint="eastAsia" w:hAnsi="宋体" w:cs="宋体"/>
          <w:b w:val="0"/>
          <w:bCs w:val="0"/>
          <w:color w:val="auto"/>
          <w:sz w:val="21"/>
          <w:szCs w:val="21"/>
          <w:highlight w:val="none"/>
          <w:u w:val="single"/>
          <w:lang w:val="en-US"/>
        </w:rPr>
        <w:t xml:space="preserve">  </w:t>
      </w:r>
      <w:r>
        <w:rPr>
          <w:rFonts w:hint="eastAsia" w:hAnsi="宋体" w:cs="宋体"/>
          <w:b w:val="0"/>
          <w:bCs w:val="0"/>
          <w:color w:val="auto"/>
          <w:sz w:val="21"/>
          <w:szCs w:val="21"/>
          <w:highlight w:val="none"/>
          <w:lang w:val="en-US"/>
        </w:rPr>
        <w:t>）次请款时，须提供合同金额100%的等额增值税发票）。</w:t>
      </w:r>
    </w:p>
    <w:p>
      <w:pPr>
        <w:pStyle w:val="20"/>
        <w:snapToGrid w:val="0"/>
        <w:spacing w:line="360" w:lineRule="auto"/>
        <w:ind w:right="0"/>
        <w:jc w:val="left"/>
        <w:rPr>
          <w:rFonts w:hint="eastAsia"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乙方收款账户信息如下：</w:t>
      </w:r>
    </w:p>
    <w:p>
      <w:pPr>
        <w:pStyle w:val="20"/>
        <w:snapToGrid w:val="0"/>
        <w:spacing w:line="360" w:lineRule="auto"/>
        <w:ind w:right="0" w:firstLine="420" w:firstLineChars="200"/>
        <w:jc w:val="left"/>
        <w:rPr>
          <w:rFonts w:hint="eastAsia"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账户名：</w:t>
      </w:r>
    </w:p>
    <w:p>
      <w:pPr>
        <w:pStyle w:val="20"/>
        <w:snapToGrid w:val="0"/>
        <w:spacing w:line="360" w:lineRule="auto"/>
        <w:ind w:right="0" w:firstLine="420" w:firstLineChars="200"/>
        <w:jc w:val="left"/>
        <w:rPr>
          <w:rFonts w:hint="eastAsia"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账户号：</w:t>
      </w:r>
    </w:p>
    <w:p>
      <w:pPr>
        <w:pStyle w:val="20"/>
        <w:snapToGrid w:val="0"/>
        <w:spacing w:line="360" w:lineRule="auto"/>
        <w:ind w:right="0" w:firstLine="420" w:firstLineChars="200"/>
        <w:jc w:val="left"/>
        <w:rPr>
          <w:rFonts w:hint="eastAsia"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开户行：</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付款前乙方应向甲方提出请款申请及所需的材料和等额合法发票，且发票名称必需与甲方、乙方完全一致。如果因乙方怠于或者拒绝提供资料或者办理手续等乙方原因导致的付款迟延，责任全部由乙方承担，甲方不以违约论。</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1.2本合同货物的交货时间为：</w:t>
      </w:r>
      <w:r>
        <w:rPr>
          <w:rFonts w:hint="eastAsia" w:cs="宋体"/>
          <w:color w:val="auto"/>
          <w:sz w:val="21"/>
          <w:szCs w:val="21"/>
          <w:highlight w:val="none"/>
          <w:u w:val="single"/>
        </w:rPr>
        <w:t xml:space="preserve">         </w:t>
      </w:r>
      <w:r>
        <w:rPr>
          <w:rFonts w:hint="eastAsia" w:cs="宋体"/>
          <w:color w:val="auto"/>
          <w:sz w:val="21"/>
          <w:szCs w:val="21"/>
          <w:highlight w:val="none"/>
        </w:rPr>
        <w:t>；交货地点为：</w:t>
      </w:r>
      <w:r>
        <w:rPr>
          <w:rFonts w:hint="eastAsia" w:cs="宋体"/>
          <w:color w:val="auto"/>
          <w:sz w:val="21"/>
          <w:szCs w:val="21"/>
          <w:highlight w:val="none"/>
          <w:u w:val="single"/>
        </w:rPr>
        <w:t xml:space="preserve">         </w:t>
      </w:r>
      <w:r>
        <w:rPr>
          <w:rFonts w:hint="eastAsia" w:cs="宋体"/>
          <w:color w:val="auto"/>
          <w:sz w:val="21"/>
          <w:szCs w:val="21"/>
          <w:highlight w:val="none"/>
        </w:rPr>
        <w:t>。</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1.3本合同货物的质保期为：</w:t>
      </w:r>
      <w:r>
        <w:rPr>
          <w:rFonts w:hint="eastAsia" w:cs="宋体"/>
          <w:color w:val="auto"/>
          <w:sz w:val="21"/>
          <w:szCs w:val="21"/>
          <w:highlight w:val="none"/>
          <w:u w:val="single"/>
        </w:rPr>
        <w:t xml:space="preserve">           （如个体设备有更高要求的，遵循更高要求）</w:t>
      </w:r>
      <w:r>
        <w:rPr>
          <w:rFonts w:hint="eastAsia" w:cs="宋体"/>
          <w:color w:val="auto"/>
          <w:sz w:val="21"/>
          <w:szCs w:val="21"/>
          <w:highlight w:val="none"/>
        </w:rPr>
        <w:t>，自货物交付并经甲方验收合格之日起算。质量保修期内发生质量问题，全部由乙方负责。乙方怠于或拒绝履行的，甲方可委托第三方代为履行，发生的费用及损失由乙方承担。</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1.4具体质量保修服务要求及售后承诺：</w:t>
      </w:r>
      <w:r>
        <w:rPr>
          <w:rFonts w:hint="eastAsia" w:cs="宋体"/>
          <w:color w:val="auto"/>
          <w:sz w:val="21"/>
          <w:szCs w:val="21"/>
          <w:highlight w:val="none"/>
          <w:u w:val="single"/>
        </w:rPr>
        <w:t xml:space="preserve">                       </w:t>
      </w:r>
      <w:r>
        <w:rPr>
          <w:rFonts w:hint="eastAsia" w:cs="宋体"/>
          <w:color w:val="auto"/>
          <w:sz w:val="21"/>
          <w:szCs w:val="21"/>
          <w:highlight w:val="none"/>
        </w:rPr>
        <w:t>。</w:t>
      </w:r>
    </w:p>
    <w:p>
      <w:pPr>
        <w:pStyle w:val="20"/>
        <w:snapToGrid w:val="0"/>
        <w:spacing w:line="360" w:lineRule="auto"/>
        <w:ind w:right="0" w:firstLine="422" w:firstLineChars="200"/>
        <w:jc w:val="left"/>
        <w:rPr>
          <w:rFonts w:hint="eastAsia" w:hAnsi="宋体" w:cs="宋体"/>
          <w:b w:val="0"/>
          <w:bCs w:val="0"/>
          <w:color w:val="auto"/>
          <w:sz w:val="21"/>
          <w:szCs w:val="21"/>
          <w:highlight w:val="none"/>
          <w:lang w:val="en-US"/>
        </w:rPr>
      </w:pPr>
      <w:r>
        <w:rPr>
          <w:rFonts w:hint="eastAsia" w:hAnsi="宋体" w:cs="宋体"/>
          <w:color w:val="auto"/>
          <w:sz w:val="21"/>
          <w:szCs w:val="21"/>
          <w:highlight w:val="none"/>
          <w:lang w:val="en-US"/>
        </w:rPr>
        <w:t>1.5质量保修金及支付方式：</w:t>
      </w:r>
      <w:r>
        <w:rPr>
          <w:rFonts w:hint="eastAsia" w:hAnsi="宋体" w:cs="宋体"/>
          <w:b w:val="0"/>
          <w:bCs w:val="0"/>
          <w:color w:val="auto"/>
          <w:sz w:val="21"/>
          <w:szCs w:val="21"/>
          <w:highlight w:val="none"/>
          <w:lang w:val="en-US"/>
        </w:rPr>
        <w:t>结算价款的（3%）留作质量保修金。在乙方按本合同约定履行质量保修义务的前提下，甲方于全部货物验收合格之日起届满二年且收到乙方提交的下述质量保修保函之后，甲方将剩余的质量保修金无息退还给乙方。如乙方未按本合同约定履行质量保修义务的，甲方有权不予或推迟向乙方退还质量保修金。甲方向乙方退还质量保修金前，乙方须向甲方提交担保金额为结算价款（3%）的无条件、见索即付、不可撤销质量保修保函（如质保期短于两年（含），则无需提供质量保修保函）。该保函的有效期为（全部货物验收合格届满二年之日起   年）。</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1.6乙方在履行本合同过程中造成其人员或第三人人身、财产损害的，由其自行处理和承担赔偿责任，与甲方无关，乙方不得因此影响本合同的履行。</w:t>
      </w:r>
    </w:p>
    <w:p>
      <w:pPr>
        <w:pStyle w:val="48"/>
        <w:spacing w:line="440" w:lineRule="exact"/>
        <w:ind w:firstLine="420" w:firstLineChars="200"/>
        <w:rPr>
          <w:rFonts w:cs="宋体"/>
          <w:color w:val="auto"/>
          <w:sz w:val="21"/>
          <w:szCs w:val="21"/>
          <w:highlight w:val="none"/>
        </w:rPr>
      </w:pPr>
      <w:r>
        <w:rPr>
          <w:rFonts w:hint="eastAsia" w:cs="宋体"/>
          <w:color w:val="auto"/>
          <w:sz w:val="21"/>
          <w:szCs w:val="21"/>
          <w:highlight w:val="none"/>
        </w:rPr>
        <w:t>1.7甲方根据项目要求增加其他必要条款：</w:t>
      </w:r>
      <w:r>
        <w:rPr>
          <w:rFonts w:hint="eastAsia" w:cs="宋体"/>
          <w:color w:val="auto"/>
          <w:sz w:val="21"/>
          <w:szCs w:val="21"/>
          <w:highlight w:val="none"/>
          <w:u w:val="single"/>
        </w:rPr>
        <w:t xml:space="preserve">                </w:t>
      </w:r>
      <w:r>
        <w:rPr>
          <w:rFonts w:hint="eastAsia" w:cs="宋体"/>
          <w:color w:val="auto"/>
          <w:sz w:val="21"/>
          <w:szCs w:val="21"/>
          <w:highlight w:val="none"/>
        </w:rPr>
        <w:t>。</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1.8本项目按实际供货数量结算，以中标单价乘以实际供货数量计算具体费用。采购人需采购清单内未列明的货物，</w:t>
      </w:r>
      <w:r>
        <w:rPr>
          <w:rFonts w:hint="eastAsia" w:cs="宋体"/>
          <w:color w:val="auto"/>
          <w:sz w:val="21"/>
          <w:szCs w:val="21"/>
          <w:highlight w:val="none"/>
          <w:lang w:eastAsia="zh-CN"/>
        </w:rPr>
        <w:t>成交供应商</w:t>
      </w:r>
      <w:r>
        <w:rPr>
          <w:rFonts w:hint="eastAsia" w:cs="宋体"/>
          <w:color w:val="auto"/>
          <w:sz w:val="21"/>
          <w:szCs w:val="21"/>
          <w:highlight w:val="none"/>
        </w:rPr>
        <w:t>须按采购人的要求进行供货，新增货物的价格由双方协商后确定。</w:t>
      </w:r>
    </w:p>
    <w:p>
      <w:pPr>
        <w:pStyle w:val="48"/>
        <w:spacing w:line="440" w:lineRule="exact"/>
        <w:ind w:firstLine="422" w:firstLineChars="200"/>
        <w:rPr>
          <w:rFonts w:hint="eastAsia" w:cs="宋体"/>
          <w:b/>
          <w:color w:val="auto"/>
          <w:sz w:val="21"/>
          <w:szCs w:val="21"/>
          <w:highlight w:val="none"/>
        </w:rPr>
      </w:pPr>
      <w:r>
        <w:rPr>
          <w:rFonts w:hint="eastAsia" w:cs="宋体"/>
          <w:b/>
          <w:color w:val="auto"/>
          <w:sz w:val="21"/>
          <w:szCs w:val="21"/>
          <w:highlight w:val="none"/>
        </w:rPr>
        <w:t xml:space="preserve">三、合同一般条款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 定义本合同中的下列术语应解释为：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1.1“合同”系指甲乙双方签署的、合同格式中载明的甲乙双方所达成的协议， 包括所有的附件、附录、和构成合同的其它文件。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1.2“合同价”系指根据合同约定，乙方在完全履行合同义务后甲方应付给乙方的价格。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1.3 “货物”系指乙方根据合同约定须向甲方提供的一切设备、机械、仪表、备件，包括工具、手册等其它相关资料。“服务”系指根据合同约定乙方承担与供货有关的辅助服务，如运输、保险及安装、调试、提供技术援助、培训和其他类似的服务。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1.4 “验收”系指合同双方依据强制性的国家技术质量规范和合同约定，确认合同项下的货物符合合同规定的活动。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2 技术规范 </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2.1 提交货物的技术规范应与</w:t>
      </w:r>
      <w:r>
        <w:rPr>
          <w:rFonts w:hint="eastAsia" w:cs="宋体"/>
          <w:color w:val="auto"/>
          <w:sz w:val="21"/>
          <w:szCs w:val="21"/>
          <w:highlight w:val="none"/>
          <w:lang w:eastAsia="zh-CN"/>
        </w:rPr>
        <w:t>磋商文件</w:t>
      </w:r>
      <w:r>
        <w:rPr>
          <w:rFonts w:hint="eastAsia" w:cs="宋体"/>
          <w:color w:val="auto"/>
          <w:sz w:val="21"/>
          <w:szCs w:val="21"/>
          <w:highlight w:val="none"/>
        </w:rPr>
        <w:t>规定的技术规范和其</w:t>
      </w:r>
      <w:r>
        <w:rPr>
          <w:rFonts w:hint="eastAsia" w:cs="宋体"/>
          <w:color w:val="auto"/>
          <w:sz w:val="21"/>
          <w:szCs w:val="21"/>
          <w:highlight w:val="none"/>
          <w:lang w:eastAsia="zh-CN"/>
        </w:rPr>
        <w:t>磋商响应文件</w:t>
      </w:r>
      <w:r>
        <w:rPr>
          <w:rFonts w:hint="eastAsia" w:cs="宋体"/>
          <w:color w:val="auto"/>
          <w:sz w:val="21"/>
          <w:szCs w:val="21"/>
          <w:highlight w:val="none"/>
        </w:rPr>
        <w:t xml:space="preserve">的技术规范相一致。若技术规范中无相应说明，则以国家有关部门最新颁布的相应标准及规范为准。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3 知识产权 </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 xml:space="preserve">3.1 乙方应保证甲方在使用该货物或其任何一部分时不受第三方提出的侵犯专利权、著作权、商标权和工业设计权等侵犯知识产权的起诉。如果任何第三方提出侵权指控，乙方须与第三方交涉并承担由此发生的一切责任、费用和经济赔偿，导致甲方不能使用成果的还应退还全部项目费用，并承担违约责任及赔偿因此给甲方造成的全部损失。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4 包装要求、</w:t>
      </w:r>
      <w:r>
        <w:rPr>
          <w:rFonts w:hint="eastAsia"/>
          <w:bCs/>
          <w:color w:val="auto"/>
          <w:sz w:val="21"/>
          <w:szCs w:val="21"/>
          <w:highlight w:val="none"/>
        </w:rPr>
        <w:t>安装、调试</w:t>
      </w:r>
      <w:r>
        <w:rPr>
          <w:rFonts w:hint="eastAsia" w:cs="宋体"/>
          <w:color w:val="auto"/>
          <w:sz w:val="21"/>
          <w:szCs w:val="21"/>
          <w:highlight w:val="none"/>
        </w:rPr>
        <w:t xml:space="preserve">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4.1 除合同另有约定外，乙方提供的全部货物，均应采用本行业通用的方式进行包装，且该包装应符合国家有关包装的</w:t>
      </w:r>
      <w:r>
        <w:rPr>
          <w:rFonts w:hint="eastAsia" w:cs="宋体"/>
          <w:color w:val="auto"/>
          <w:sz w:val="21"/>
          <w:szCs w:val="21"/>
          <w:highlight w:val="none"/>
        </w:rPr>
        <w:fldChar w:fldCharType="begin"/>
      </w:r>
      <w:r>
        <w:rPr>
          <w:rFonts w:hint="eastAsia" w:cs="宋体"/>
          <w:color w:val="auto"/>
          <w:sz w:val="21"/>
          <w:szCs w:val="21"/>
          <w:highlight w:val="none"/>
        </w:rPr>
        <w:instrText xml:space="preserve"> HYPERLINK "http://www.chinalawedu.com/" \t "_blank" \o "法律" </w:instrText>
      </w:r>
      <w:r>
        <w:rPr>
          <w:rFonts w:hint="eastAsia" w:cs="宋体"/>
          <w:color w:val="auto"/>
          <w:sz w:val="21"/>
          <w:szCs w:val="21"/>
          <w:highlight w:val="none"/>
        </w:rPr>
        <w:fldChar w:fldCharType="separate"/>
      </w:r>
      <w:r>
        <w:rPr>
          <w:rStyle w:val="59"/>
          <w:color w:val="auto"/>
          <w:sz w:val="21"/>
          <w:szCs w:val="21"/>
          <w:highlight w:val="none"/>
        </w:rPr>
        <w:t>法律</w:t>
      </w:r>
      <w:r>
        <w:rPr>
          <w:rFonts w:hint="eastAsia" w:cs="宋体"/>
          <w:color w:val="auto"/>
          <w:sz w:val="21"/>
          <w:szCs w:val="21"/>
          <w:highlight w:val="none"/>
        </w:rPr>
        <w:fldChar w:fldCharType="end"/>
      </w:r>
      <w:r>
        <w:rPr>
          <w:rFonts w:hint="eastAsia" w:cs="宋体"/>
          <w:color w:val="auto"/>
          <w:sz w:val="21"/>
          <w:szCs w:val="21"/>
          <w:highlight w:val="none"/>
        </w:rPr>
        <w:t>、</w:t>
      </w:r>
      <w:r>
        <w:rPr>
          <w:rFonts w:hint="eastAsia" w:cs="宋体"/>
          <w:color w:val="auto"/>
          <w:sz w:val="21"/>
          <w:szCs w:val="21"/>
          <w:highlight w:val="none"/>
        </w:rPr>
        <w:fldChar w:fldCharType="begin"/>
      </w:r>
      <w:r>
        <w:rPr>
          <w:rFonts w:hint="eastAsia" w:cs="宋体"/>
          <w:color w:val="auto"/>
          <w:sz w:val="21"/>
          <w:szCs w:val="21"/>
          <w:highlight w:val="none"/>
        </w:rPr>
        <w:instrText xml:space="preserve"> HYPERLINK "http://www.chinalawedu.com/falvfagui/" \t "_blank" \o "法规" </w:instrText>
      </w:r>
      <w:r>
        <w:rPr>
          <w:rFonts w:hint="eastAsia" w:cs="宋体"/>
          <w:color w:val="auto"/>
          <w:sz w:val="21"/>
          <w:szCs w:val="21"/>
          <w:highlight w:val="none"/>
        </w:rPr>
        <w:fldChar w:fldCharType="separate"/>
      </w:r>
      <w:r>
        <w:rPr>
          <w:rStyle w:val="59"/>
          <w:color w:val="auto"/>
          <w:sz w:val="21"/>
          <w:szCs w:val="21"/>
          <w:highlight w:val="none"/>
        </w:rPr>
        <w:t>法规</w:t>
      </w:r>
      <w:r>
        <w:rPr>
          <w:rFonts w:hint="eastAsia" w:cs="宋体"/>
          <w:color w:val="auto"/>
          <w:sz w:val="21"/>
          <w:szCs w:val="21"/>
          <w:highlight w:val="none"/>
        </w:rPr>
        <w:fldChar w:fldCharType="end"/>
      </w:r>
      <w:r>
        <w:rPr>
          <w:rFonts w:hint="eastAsia" w:cs="宋体"/>
          <w:color w:val="auto"/>
          <w:sz w:val="21"/>
          <w:szCs w:val="21"/>
          <w:highlight w:val="none"/>
        </w:rPr>
        <w:t xml:space="preserve">的规定。包装应适应于远距离运输、防潮、防震、防锈和防粗暴装卸，确保货物安全无损，运抵现场。由于包装不善等非甲方原因所引起的货物锈蚀、损坏和损失均由乙方承担。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4.2 每件包装箱内应附一份详细装箱单、质量合格证、保修单。 </w:t>
      </w:r>
    </w:p>
    <w:p>
      <w:pPr>
        <w:pStyle w:val="48"/>
        <w:spacing w:line="440" w:lineRule="exact"/>
        <w:ind w:firstLine="420" w:firstLineChars="200"/>
        <w:rPr>
          <w:rFonts w:hint="eastAsia"/>
          <w:bCs/>
          <w:color w:val="auto"/>
          <w:sz w:val="21"/>
          <w:szCs w:val="21"/>
          <w:highlight w:val="none"/>
        </w:rPr>
      </w:pPr>
      <w:r>
        <w:rPr>
          <w:rFonts w:hint="eastAsia"/>
          <w:bCs/>
          <w:color w:val="auto"/>
          <w:sz w:val="21"/>
          <w:szCs w:val="21"/>
          <w:highlight w:val="none"/>
        </w:rPr>
        <w:t>4.3安装、调试</w:t>
      </w:r>
      <w:r>
        <w:rPr>
          <w:rFonts w:hint="eastAsia" w:cs="宋体"/>
          <w:bCs/>
          <w:color w:val="auto"/>
          <w:sz w:val="21"/>
          <w:szCs w:val="21"/>
          <w:highlight w:val="none"/>
        </w:rPr>
        <w:t xml:space="preserve"> </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4.3.1乙方负责货物的包装、运输、安装、调试等工作，并承担由此产生的所有费用，乙方负责到用户指定的地点进行安装、调试。</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4.3.2乙方应提交详细安装进度表。</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4.3.3乙方应设安装负责人，负责安装协调管理工作。</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4.3.4按国家相关施工验收规范进行，分阶段进行调试。</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4.3.5货物的安装、调试等项工作由乙方负责，但必须在甲方指定人员的参与下进行。调试的原始记录须经各方签字后作为验收的文件之一。</w:t>
      </w:r>
    </w:p>
    <w:p>
      <w:pPr>
        <w:spacing w:line="360" w:lineRule="auto"/>
        <w:ind w:firstLine="420" w:firstLineChars="200"/>
        <w:rPr>
          <w:rFonts w:hint="eastAsia" w:cs="宋体"/>
          <w:color w:val="auto"/>
          <w:sz w:val="21"/>
          <w:szCs w:val="21"/>
          <w:highlight w:val="none"/>
        </w:rPr>
      </w:pPr>
      <w:r>
        <w:rPr>
          <w:rFonts w:hint="eastAsia" w:hAnsi="宋体"/>
          <w:color w:val="auto"/>
          <w:sz w:val="21"/>
          <w:szCs w:val="21"/>
          <w:highlight w:val="none"/>
        </w:rPr>
        <w:t>4.3.6货物开始安装后，甲方可以抽样到市级以上专业部门进行环保检测，如果产品及格则进行验收，如果不及格甲方有权退货。（抽样费用由乙方承担。）</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5 交货方式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5.1 乙方应按甲方指定时间和地点交货。</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6技术资料 </w:t>
      </w:r>
    </w:p>
    <w:p>
      <w:pPr>
        <w:pStyle w:val="48"/>
        <w:spacing w:line="440" w:lineRule="exact"/>
        <w:ind w:firstLine="420" w:firstLineChars="200"/>
        <w:rPr>
          <w:rFonts w:hint="eastAsia" w:cs="宋体"/>
          <w:color w:val="auto"/>
          <w:sz w:val="21"/>
          <w:szCs w:val="21"/>
          <w:highlight w:val="none"/>
          <w:u w:val="single"/>
        </w:rPr>
      </w:pPr>
      <w:r>
        <w:rPr>
          <w:rFonts w:hint="eastAsia" w:cs="宋体"/>
          <w:color w:val="auto"/>
          <w:sz w:val="21"/>
          <w:szCs w:val="21"/>
          <w:highlight w:val="none"/>
        </w:rPr>
        <w:t>6.1本合同技术资料（除合同主要条款规定外）将以下方式交付：</w:t>
      </w:r>
      <w:r>
        <w:rPr>
          <w:rFonts w:hint="eastAsia" w:cs="宋体"/>
          <w:color w:val="auto"/>
          <w:sz w:val="21"/>
          <w:szCs w:val="21"/>
          <w:highlight w:val="none"/>
          <w:u w:val="single"/>
        </w:rPr>
        <w:t xml:space="preserve">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6.2乙方所提供货物必须符合国家有关规范和环保要求及甲方的技术要求，并提供货物的出厂测试报告及合格证，进口产品必须具备原产地证明或商检部门的检验证明及合法进货渠道证明。</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7 质量保证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7.1 乙方所投货物必须是原装、全新的产品，并且符合国家以及该产品的出厂标准。</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7.2 乙方所投货物必须使用环保材料并符合国家环保要求及标准。</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7.3 所有货物在开箱检验时必须完好，无破损，配置与装箱单相符。数量、质量及性能不低于</w:t>
      </w:r>
      <w:r>
        <w:rPr>
          <w:rFonts w:hint="eastAsia" w:cs="宋体"/>
          <w:color w:val="auto"/>
          <w:sz w:val="21"/>
          <w:szCs w:val="21"/>
          <w:highlight w:val="none"/>
          <w:lang w:eastAsia="zh-CN"/>
        </w:rPr>
        <w:t>磋商文件</w:t>
      </w:r>
      <w:r>
        <w:rPr>
          <w:rFonts w:hint="eastAsia" w:cs="宋体"/>
          <w:color w:val="auto"/>
          <w:sz w:val="21"/>
          <w:szCs w:val="21"/>
          <w:highlight w:val="none"/>
        </w:rPr>
        <w:t>需求书中提出的要求。</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7.4 货物外观清洁，标记编号以及盘面显示等字体清晰，明确。</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7.5 对于影响货物正常工作的必要组成部分，无论在技术规范中指出与否，乙方都应提供并在</w:t>
      </w:r>
      <w:r>
        <w:rPr>
          <w:rFonts w:hint="eastAsia" w:cs="宋体"/>
          <w:color w:val="auto"/>
          <w:sz w:val="21"/>
          <w:szCs w:val="21"/>
          <w:highlight w:val="none"/>
          <w:lang w:eastAsia="zh-CN"/>
        </w:rPr>
        <w:t>磋商响应文件</w:t>
      </w:r>
      <w:r>
        <w:rPr>
          <w:rFonts w:hint="eastAsia" w:cs="宋体"/>
          <w:color w:val="auto"/>
          <w:sz w:val="21"/>
          <w:szCs w:val="21"/>
          <w:highlight w:val="none"/>
        </w:rPr>
        <w:t>中明确列出。</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7.6 乙方在实际供货时，若被发现提供的货物未能达到</w:t>
      </w:r>
      <w:r>
        <w:rPr>
          <w:rFonts w:hint="eastAsia" w:cs="宋体"/>
          <w:color w:val="auto"/>
          <w:sz w:val="21"/>
          <w:szCs w:val="21"/>
          <w:highlight w:val="none"/>
          <w:lang w:eastAsia="zh-CN"/>
        </w:rPr>
        <w:t>磋商文件</w:t>
      </w:r>
      <w:r>
        <w:rPr>
          <w:rFonts w:hint="eastAsia" w:cs="宋体"/>
          <w:color w:val="auto"/>
          <w:sz w:val="21"/>
          <w:szCs w:val="21"/>
          <w:highlight w:val="none"/>
        </w:rPr>
        <w:t>和</w:t>
      </w:r>
      <w:r>
        <w:rPr>
          <w:rFonts w:hint="eastAsia" w:cs="宋体"/>
          <w:color w:val="auto"/>
          <w:sz w:val="21"/>
          <w:szCs w:val="21"/>
          <w:highlight w:val="none"/>
          <w:lang w:eastAsia="zh-CN"/>
        </w:rPr>
        <w:t>磋商响应文件</w:t>
      </w:r>
      <w:r>
        <w:rPr>
          <w:rFonts w:hint="eastAsia" w:cs="宋体"/>
          <w:color w:val="auto"/>
          <w:sz w:val="21"/>
          <w:szCs w:val="21"/>
          <w:highlight w:val="none"/>
        </w:rPr>
        <w:t>中的有关要求，甲方应以书面形式通知乙方责令整改。甲方要求其整改之日起5日内仍无实质性改进的，按合同违约条款进行处罚。</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7.7 乙方应保证主要材料零部件产地符合用户需求书的有关规定，所有主要材料零部件必须能提供原产地证明、出厂检验报告、完税证明。任何时候，甲方发现产地不符合要求，乙方应无偿更换或负进一步责任。</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7.8 货物验收合格后，质保期最少为五年（特殊要求产品除外），实际以</w:t>
      </w:r>
      <w:r>
        <w:rPr>
          <w:rFonts w:hint="eastAsia" w:cs="宋体"/>
          <w:color w:val="auto"/>
          <w:sz w:val="21"/>
          <w:szCs w:val="21"/>
          <w:highlight w:val="none"/>
          <w:lang w:eastAsia="zh-CN"/>
        </w:rPr>
        <w:t>成交供应商</w:t>
      </w:r>
      <w:r>
        <w:rPr>
          <w:rFonts w:hint="eastAsia" w:cs="宋体"/>
          <w:color w:val="auto"/>
          <w:sz w:val="21"/>
          <w:szCs w:val="21"/>
          <w:highlight w:val="none"/>
        </w:rPr>
        <w:t>投标书为准，时间自货物最终验收合格并交付使用之日起计算，个别货物在采购货物清单内有具体要求保修方式的以该要求为准，人为因素损坏除外。</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7.9 质保期内非人为原因损坏、失效或已达到报废标准的零部件除无偿更换外，对更换上的零部件还应有继续五年的质保期。凡因产品质量问题，在保修期内若设备经检修后又在同一部件出现相同质量故障，可无偿更换同档次新设备部件。</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7.10质保期内非甲方/用户的人为原因而出现产品质量及安装问题，由乙方负责包修、包换或包退，并承担因此而产生的一切费用。</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7.11 除“合同主要条款”规定外，合同项下货物的质量保证期为自货物通过最终验收之日起五年（如相关规定超过该期限，则按照该规定执行）。</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8 检验和验收、售后服务要求 </w:t>
      </w:r>
    </w:p>
    <w:p>
      <w:pPr>
        <w:pStyle w:val="48"/>
        <w:spacing w:line="440" w:lineRule="exact"/>
        <w:ind w:firstLine="420"/>
        <w:rPr>
          <w:rFonts w:hint="eastAsia" w:cs="宋体"/>
          <w:color w:val="auto"/>
          <w:sz w:val="21"/>
          <w:szCs w:val="21"/>
          <w:highlight w:val="none"/>
        </w:rPr>
      </w:pPr>
      <w:r>
        <w:rPr>
          <w:rFonts w:hint="eastAsia" w:cs="宋体"/>
          <w:color w:val="auto"/>
          <w:sz w:val="21"/>
          <w:szCs w:val="21"/>
          <w:highlight w:val="none"/>
        </w:rPr>
        <w:t>8.1 验收工作由甲方（或甲方指定的单位）和乙方共同进行。</w:t>
      </w:r>
    </w:p>
    <w:p>
      <w:pPr>
        <w:pStyle w:val="48"/>
        <w:spacing w:line="440" w:lineRule="exact"/>
        <w:ind w:firstLine="420"/>
        <w:rPr>
          <w:rFonts w:hint="eastAsia" w:cs="宋体"/>
          <w:color w:val="auto"/>
          <w:sz w:val="21"/>
          <w:szCs w:val="21"/>
          <w:highlight w:val="none"/>
        </w:rPr>
      </w:pPr>
      <w:r>
        <w:rPr>
          <w:rFonts w:hint="eastAsia" w:cs="宋体"/>
          <w:color w:val="auto"/>
          <w:sz w:val="21"/>
          <w:szCs w:val="21"/>
          <w:highlight w:val="none"/>
        </w:rPr>
        <w:t>8.2 验收的项目指标、方法和检测仪器等原则上由乙方在验收开始前5个工作日提交甲方。甲方可以根据技术规范书和国家有关标准进行修改和补充，经双方确认后作为验收的依据。</w:t>
      </w:r>
    </w:p>
    <w:p>
      <w:pPr>
        <w:pStyle w:val="48"/>
        <w:spacing w:line="440" w:lineRule="exact"/>
        <w:ind w:firstLine="420"/>
        <w:rPr>
          <w:rFonts w:hint="eastAsia" w:cs="宋体"/>
          <w:color w:val="auto"/>
          <w:sz w:val="21"/>
          <w:szCs w:val="21"/>
          <w:highlight w:val="none"/>
        </w:rPr>
      </w:pPr>
      <w:r>
        <w:rPr>
          <w:rFonts w:hint="eastAsia" w:cs="宋体"/>
          <w:color w:val="auto"/>
          <w:sz w:val="21"/>
          <w:szCs w:val="21"/>
          <w:highlight w:val="none"/>
        </w:rPr>
        <w:t>8.3 验收以甲方技术人员为主，投标人提供技术支援，对在测试中发现的技术问题双方记录，完成测试后，双方签署终验测试报告。</w:t>
      </w:r>
    </w:p>
    <w:p>
      <w:pPr>
        <w:pStyle w:val="48"/>
        <w:spacing w:line="440" w:lineRule="exact"/>
        <w:ind w:firstLine="420"/>
        <w:rPr>
          <w:rFonts w:hint="eastAsia" w:cs="宋体"/>
          <w:color w:val="auto"/>
          <w:sz w:val="21"/>
          <w:szCs w:val="21"/>
          <w:highlight w:val="none"/>
        </w:rPr>
      </w:pPr>
      <w:r>
        <w:rPr>
          <w:rFonts w:hint="eastAsia" w:cs="宋体"/>
          <w:color w:val="auto"/>
          <w:sz w:val="21"/>
          <w:szCs w:val="21"/>
          <w:highlight w:val="none"/>
        </w:rPr>
        <w:t>8.4 在验收时，乙方应向甲方提供货物的出厂合格证书、出厂检测报告、厂家装箱清单、使用说明、操作手册、随机附件及其他相关资料。</w:t>
      </w:r>
    </w:p>
    <w:p>
      <w:pPr>
        <w:pStyle w:val="48"/>
        <w:spacing w:line="440" w:lineRule="exact"/>
        <w:ind w:firstLine="420"/>
        <w:rPr>
          <w:rFonts w:hint="eastAsia" w:cs="宋体"/>
          <w:color w:val="auto"/>
          <w:sz w:val="21"/>
          <w:szCs w:val="21"/>
          <w:highlight w:val="none"/>
        </w:rPr>
      </w:pPr>
      <w:r>
        <w:rPr>
          <w:rFonts w:hint="eastAsia" w:cs="宋体"/>
          <w:color w:val="auto"/>
          <w:sz w:val="21"/>
          <w:szCs w:val="21"/>
          <w:highlight w:val="none"/>
        </w:rPr>
        <w:t>8.5 由甲方对货物的质量、规格、数量和运行状况及其他进行检验。如发现质量、规格、数量和运行状况等任何一项与招标要求规定不符，甲方有权拒绝验收。</w:t>
      </w:r>
    </w:p>
    <w:p>
      <w:pPr>
        <w:pStyle w:val="48"/>
        <w:spacing w:line="440" w:lineRule="exact"/>
        <w:ind w:firstLine="420"/>
        <w:rPr>
          <w:rFonts w:hint="eastAsia" w:cs="宋体"/>
          <w:color w:val="auto"/>
          <w:sz w:val="21"/>
          <w:szCs w:val="21"/>
          <w:highlight w:val="none"/>
        </w:rPr>
      </w:pPr>
      <w:r>
        <w:rPr>
          <w:rFonts w:hint="eastAsia" w:cs="宋体"/>
          <w:color w:val="auto"/>
          <w:sz w:val="21"/>
          <w:szCs w:val="21"/>
          <w:highlight w:val="none"/>
        </w:rPr>
        <w:t>8.6 如因乙方的货物质量原因而影响安装工期，则工期每影响24小时罚款2万元。</w:t>
      </w:r>
    </w:p>
    <w:p>
      <w:pPr>
        <w:pStyle w:val="48"/>
        <w:spacing w:line="440" w:lineRule="exact"/>
        <w:ind w:firstLine="420"/>
        <w:rPr>
          <w:rFonts w:hint="eastAsia" w:cs="宋体"/>
          <w:color w:val="auto"/>
          <w:sz w:val="21"/>
          <w:szCs w:val="21"/>
          <w:highlight w:val="none"/>
        </w:rPr>
      </w:pPr>
      <w:r>
        <w:rPr>
          <w:rFonts w:hint="eastAsia" w:cs="宋体"/>
          <w:color w:val="auto"/>
          <w:sz w:val="21"/>
          <w:szCs w:val="21"/>
          <w:highlight w:val="none"/>
        </w:rPr>
        <w:t>8.7如因乙方的技术原因，导致某情况下某设备不能正常使用而影响调试进度，罚款不少于1万元/每（套）。</w:t>
      </w:r>
    </w:p>
    <w:p>
      <w:pPr>
        <w:pStyle w:val="48"/>
        <w:spacing w:line="440" w:lineRule="exact"/>
        <w:ind w:firstLine="420"/>
        <w:rPr>
          <w:rFonts w:hint="eastAsia" w:cs="宋体"/>
          <w:color w:val="auto"/>
          <w:sz w:val="21"/>
          <w:szCs w:val="21"/>
          <w:highlight w:val="none"/>
        </w:rPr>
      </w:pPr>
      <w:r>
        <w:rPr>
          <w:rFonts w:hint="eastAsia" w:cs="宋体"/>
          <w:color w:val="auto"/>
          <w:sz w:val="21"/>
          <w:szCs w:val="21"/>
          <w:highlight w:val="none"/>
        </w:rPr>
        <w:t>8.8以上出现的问题，除了罚款外，均由乙方免费负责处理（包括缺陷处理、更换新部件备件或货物）。</w:t>
      </w:r>
    </w:p>
    <w:p>
      <w:pPr>
        <w:pStyle w:val="48"/>
        <w:spacing w:line="440" w:lineRule="exact"/>
        <w:ind w:firstLine="420"/>
        <w:rPr>
          <w:rFonts w:hint="eastAsia" w:cs="宋体"/>
          <w:color w:val="auto"/>
          <w:sz w:val="21"/>
          <w:szCs w:val="21"/>
          <w:highlight w:val="none"/>
        </w:rPr>
      </w:pPr>
      <w:r>
        <w:rPr>
          <w:rFonts w:hint="eastAsia" w:cs="宋体"/>
          <w:color w:val="auto"/>
          <w:sz w:val="21"/>
          <w:szCs w:val="21"/>
          <w:highlight w:val="none"/>
        </w:rPr>
        <w:t>8.9售后服务</w:t>
      </w:r>
    </w:p>
    <w:p>
      <w:pPr>
        <w:pStyle w:val="48"/>
        <w:spacing w:line="440" w:lineRule="exact"/>
        <w:ind w:firstLine="420"/>
        <w:rPr>
          <w:rFonts w:hint="eastAsia" w:cs="宋体"/>
          <w:color w:val="auto"/>
          <w:sz w:val="21"/>
          <w:szCs w:val="21"/>
          <w:highlight w:val="none"/>
        </w:rPr>
      </w:pPr>
      <w:r>
        <w:rPr>
          <w:rFonts w:hint="eastAsia" w:cs="宋体"/>
          <w:color w:val="auto"/>
          <w:sz w:val="21"/>
          <w:szCs w:val="21"/>
          <w:highlight w:val="none"/>
        </w:rPr>
        <w:t>8.9.1质保期内：</w:t>
      </w:r>
    </w:p>
    <w:p>
      <w:pPr>
        <w:pStyle w:val="48"/>
        <w:spacing w:line="440" w:lineRule="exact"/>
        <w:ind w:firstLine="420"/>
        <w:rPr>
          <w:rFonts w:hint="eastAsia" w:cs="宋体"/>
          <w:color w:val="auto"/>
          <w:sz w:val="21"/>
          <w:szCs w:val="21"/>
          <w:highlight w:val="none"/>
        </w:rPr>
      </w:pPr>
      <w:r>
        <w:rPr>
          <w:rFonts w:hint="eastAsia" w:cs="宋体"/>
          <w:color w:val="auto"/>
          <w:sz w:val="21"/>
          <w:szCs w:val="21"/>
          <w:highlight w:val="none"/>
        </w:rPr>
        <w:t>（1）故障响应时间：质保期内，货物出现质量问题，乙方接到质量问题通知后12个小时内到场处理，24个小时内修复，如无法修复须提供相应规格的货物供甲方替代使用；其他服务承诺在</w:t>
      </w:r>
      <w:r>
        <w:rPr>
          <w:rFonts w:hint="eastAsia" w:cs="宋体"/>
          <w:color w:val="auto"/>
          <w:sz w:val="21"/>
          <w:szCs w:val="21"/>
          <w:highlight w:val="none"/>
          <w:lang w:eastAsia="zh-CN"/>
        </w:rPr>
        <w:t>磋商响应文件</w:t>
      </w:r>
      <w:r>
        <w:rPr>
          <w:rFonts w:hint="eastAsia" w:cs="宋体"/>
          <w:color w:val="auto"/>
          <w:sz w:val="21"/>
          <w:szCs w:val="21"/>
          <w:highlight w:val="none"/>
        </w:rPr>
        <w:t>中说明。如乙方怠于响应或不能及时维修的，甲方有权委托第三方履行，产生的费用及损失一并由乙方承担。</w:t>
      </w:r>
    </w:p>
    <w:p>
      <w:pPr>
        <w:pStyle w:val="48"/>
        <w:spacing w:line="440" w:lineRule="exact"/>
        <w:ind w:firstLine="420"/>
        <w:rPr>
          <w:rFonts w:hint="eastAsia" w:cs="宋体"/>
          <w:color w:val="auto"/>
          <w:sz w:val="21"/>
          <w:szCs w:val="21"/>
          <w:highlight w:val="none"/>
        </w:rPr>
      </w:pPr>
      <w:r>
        <w:rPr>
          <w:rFonts w:hint="eastAsia" w:cs="宋体"/>
          <w:color w:val="auto"/>
          <w:sz w:val="21"/>
          <w:szCs w:val="21"/>
          <w:highlight w:val="none"/>
        </w:rPr>
        <w:t>（2）如果货物不能稳定地达到投标人承诺的全部功能，投标人应对此承担责任并承担全部相关费用以及买方的直接损失，经买方同意对货物采用如下一种或几种方式处理：①免费维修和更换损坏零部件；②换货；③降价，但不免除其它正常部分的质量保证责任。如投标人未能在合理的时间内将产品维修、更换或修正以符合规格，买方有权在合理时间内将产品退回卖方后要求返还已付的价款。</w:t>
      </w:r>
    </w:p>
    <w:p>
      <w:pPr>
        <w:pStyle w:val="48"/>
        <w:spacing w:line="440" w:lineRule="exact"/>
        <w:ind w:firstLine="420"/>
        <w:rPr>
          <w:rFonts w:hint="eastAsia" w:cs="宋体"/>
          <w:color w:val="auto"/>
          <w:sz w:val="21"/>
          <w:szCs w:val="21"/>
          <w:highlight w:val="none"/>
        </w:rPr>
      </w:pPr>
      <w:r>
        <w:rPr>
          <w:rFonts w:hint="eastAsia" w:cs="宋体"/>
          <w:color w:val="auto"/>
          <w:sz w:val="21"/>
          <w:szCs w:val="21"/>
          <w:highlight w:val="none"/>
        </w:rPr>
        <w:t>8.9.2质保期后：提供技术支持和详细的售后服务计划，投标人应按其在东莞地区同类产品的最优惠价格提供保修服务，终身保证配品配件的供应，更换配件的费用以成本计。</w:t>
      </w:r>
    </w:p>
    <w:p>
      <w:pPr>
        <w:pStyle w:val="48"/>
        <w:spacing w:line="440" w:lineRule="exact"/>
        <w:ind w:firstLine="420"/>
        <w:rPr>
          <w:rFonts w:hint="eastAsia" w:cs="宋体"/>
          <w:color w:val="auto"/>
          <w:sz w:val="21"/>
          <w:szCs w:val="21"/>
          <w:highlight w:val="none"/>
        </w:rPr>
      </w:pPr>
      <w:r>
        <w:rPr>
          <w:rFonts w:hint="eastAsia" w:cs="宋体"/>
          <w:color w:val="auto"/>
          <w:sz w:val="21"/>
          <w:szCs w:val="21"/>
          <w:highlight w:val="none"/>
        </w:rPr>
        <w:t>8.9.3售后服务机构：设有稳定的维修点或售后服务机构，具有提供日常维护和技术支持的能力，能提供正常的技术、备品备件、服务等；须提供服务机构名称、人员情况、办公地址、联系电话。</w:t>
      </w:r>
    </w:p>
    <w:p>
      <w:pPr>
        <w:pStyle w:val="48"/>
        <w:spacing w:line="440" w:lineRule="exact"/>
        <w:ind w:firstLine="420"/>
        <w:rPr>
          <w:rFonts w:hint="eastAsia" w:cs="宋体"/>
          <w:color w:val="auto"/>
          <w:sz w:val="21"/>
          <w:szCs w:val="21"/>
          <w:highlight w:val="none"/>
        </w:rPr>
      </w:pPr>
      <w:r>
        <w:rPr>
          <w:rFonts w:hint="eastAsia" w:cs="宋体"/>
          <w:color w:val="auto"/>
          <w:sz w:val="21"/>
          <w:szCs w:val="21"/>
          <w:highlight w:val="none"/>
        </w:rPr>
        <w:t>8.9.4培训：负责免费对用户人员进行培训，提供详细的培训计划，使其掌握操作使用等基本技能。</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9 索赔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9.1 如果货物的质量、规格、数量、重量等与合同不符，或在合同约定的质量保证期内证实货物存有缺陷，包括潜在的缺陷或使用不符合要求的材料等，甲方有权向乙方提出索赔（索赔金额不低于合同总价5%）。</w:t>
      </w:r>
      <w:r>
        <w:rPr>
          <w:rFonts w:hint="eastAsia"/>
          <w:color w:val="auto"/>
          <w:sz w:val="21"/>
          <w:szCs w:val="21"/>
          <w:highlight w:val="none"/>
        </w:rPr>
        <w:t>乙方应在甲方提出索赔要求后三日内，进行无偿修理、更换、赔款。如乙方未在规定时间内处理的，甲方有权自行安排修理、更换，由此产生的一切费用和风险由乙方承担且乙方仍需承担质量保修责任。</w:t>
      </w:r>
      <w:r>
        <w:rPr>
          <w:rFonts w:hint="eastAsia" w:cs="宋体"/>
          <w:color w:val="auto"/>
          <w:sz w:val="21"/>
          <w:szCs w:val="21"/>
          <w:highlight w:val="none"/>
        </w:rPr>
        <w:t xml:space="preserve">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9.2 在根据合同规定的检验期和质量保证期内，如果乙方对甲方提出的索赔负有责任，乙方应按照甲方同意的方式解决索赔事宜，或由双方协商处理。</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9.3 如果在甲方发出索赔通知后</w:t>
      </w:r>
      <w:r>
        <w:rPr>
          <w:rFonts w:hint="eastAsia" w:cs="宋体"/>
          <w:color w:val="auto"/>
          <w:sz w:val="21"/>
          <w:szCs w:val="21"/>
          <w:highlight w:val="none"/>
          <w:u w:val="single"/>
        </w:rPr>
        <w:t xml:space="preserve">    </w:t>
      </w:r>
      <w:r>
        <w:rPr>
          <w:rFonts w:hint="eastAsia" w:cs="宋体"/>
          <w:color w:val="auto"/>
          <w:sz w:val="21"/>
          <w:szCs w:val="21"/>
          <w:highlight w:val="none"/>
        </w:rPr>
        <w:t>天内，乙方未作答复，上述索赔要求应视为已被乙方接受。如乙方未能在甲方提出索赔通知后</w:t>
      </w:r>
      <w:r>
        <w:rPr>
          <w:rFonts w:hint="eastAsia" w:cs="宋体"/>
          <w:color w:val="auto"/>
          <w:sz w:val="21"/>
          <w:szCs w:val="21"/>
          <w:highlight w:val="none"/>
          <w:u w:val="single"/>
        </w:rPr>
        <w:t xml:space="preserve">    </w:t>
      </w:r>
      <w:r>
        <w:rPr>
          <w:rFonts w:hint="eastAsia" w:cs="宋体"/>
          <w:color w:val="auto"/>
          <w:sz w:val="21"/>
          <w:szCs w:val="21"/>
          <w:highlight w:val="none"/>
        </w:rPr>
        <w:t>天内或甲方同意的更长时间内，按照本合同规定的方法解决索赔事宜，甲方将从合同款或从乙方开具的履约保证金保函中扣回索赔金额。如果这些金额不足以补偿索赔金额，甲方有权向乙方提出不足部分的补偿。</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9.4 本合同所述之损失、经济赔偿是指甲方因乙方原因而造成的经济损失、因此而向第三方支付的赔偿金、违约金、因此而支付的诉讼费、律师费、公证费、鉴定费、保全费等全部费用。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10 迟延交货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10.1 乙方应按照甲方规定的时间交货和提供服务。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10.2 如果乙方无正当理由迟延交货，甲方有权提出违约损失赔偿或解除合同。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10.3 在履行合同过程中，如果乙方遇到不能按时交货和提供服务的情况，应及时以书面形式将不能按时交货的理由、预期延误时间通知甲方。甲方收到乙方通知后，认为其理由正当的，可酌情延长交货时间，认为理由不成立的，交货期限不予延长。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11 违约赔偿 </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11.1甲方无正当理由拒收货物，拒付货款的，甲方向乙方偿付货物总金额5%的违约金。</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11.2如果由于甲方未按乙方所提供的技术资料、图纸、说明书和乙方现场技术服务人员的指导而造成货物损坏的，由甲方负责。但乙方有义务尽快提供所需要更换的货物。对于甲方要求的紧急部件，乙方应安排最快的方式运输，所有费用均由甲方负担。</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11.3乙方的</w:t>
      </w:r>
      <w:r>
        <w:rPr>
          <w:rFonts w:hint="eastAsia" w:cs="宋体"/>
          <w:color w:val="auto"/>
          <w:sz w:val="21"/>
          <w:szCs w:val="21"/>
          <w:highlight w:val="none"/>
          <w:lang w:eastAsia="zh-CN"/>
        </w:rPr>
        <w:t>磋商响应文件</w:t>
      </w:r>
      <w:r>
        <w:rPr>
          <w:rFonts w:hint="eastAsia" w:cs="宋体"/>
          <w:color w:val="auto"/>
          <w:sz w:val="21"/>
          <w:szCs w:val="21"/>
          <w:highlight w:val="none"/>
        </w:rPr>
        <w:t>为响应本合同的重要依据之一，履行合同时，如与其在投标时承诺响应的实质性内容有偏离或无法履行的，乙方应向甲方支付合同价格20%的违约金并赔偿甲方因此遭受的所有损失，并责令乙方限期整改。甲方要求其整改之日起5日内仍无实质性改进的，甲方有权单方面解除合同，合同因此解除的，乙方应退还甲方已支付的合同价格（如有）。</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11.4 除合同规定外，如果乙方没有按照合同规定的时间提供质量合格的货物和服务，甲方可要求乙方支付违约金。从逾期之日起每日按本合同总价</w:t>
      </w:r>
      <w:r>
        <w:rPr>
          <w:rFonts w:hint="eastAsia" w:cs="宋体"/>
          <w:color w:val="auto"/>
          <w:sz w:val="21"/>
          <w:szCs w:val="21"/>
          <w:highlight w:val="none"/>
          <w:u w:val="single"/>
        </w:rPr>
        <w:t xml:space="preserve">的 2 </w:t>
      </w:r>
      <w:r>
        <w:rPr>
          <w:rFonts w:hint="eastAsia" w:cs="宋体"/>
          <w:color w:val="auto"/>
          <w:sz w:val="21"/>
          <w:szCs w:val="21"/>
          <w:highlight w:val="none"/>
        </w:rPr>
        <w:t>‰数额向甲方支付违约金；逾期30天以上（含30天）的，甲方有权解除合同，并且乙方应向甲方双倍返还定金，并且给甲方造成的经济损失由乙方承担赔偿责任。</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11.5因乙方原因导致本合同解除或是无法履行的，乙方应向甲方双倍返还定金，且甲方有权决定是否接收属于乙方在现场的一切产品使用于本项目，并有进一步要求向乙方索赔的权利。双倍定金不足以弥补甲方损失的，乙方应另行补足。</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11.6如乙方对合同敷衍执行，或忽视履行合同规定的实质性义务，且从甲方要求其整改之日起5日内仍无实质性改进，甲方有权解除合同，乙方应退还甲方已支付的合同价格（如有），向甲方支付合同价格20%的违约金并赔偿甲方因此遭受的所有损失。</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11.7因乙方原因造成合同终止或解除，乙方应退还甲方已支付的合同价格（如有），乙方应在接到甲方离场通知的5日内无条件撤离现场，否则每逾期一日应向甲方支付人民币10000元的违约金，并赔偿甲方的损失。</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11.8乙方违约或乙方任何其他原因造成甲方损失及/或甲方被追索的及/或承担责任的，甲方均有权拒付全部或部分价款，有权直接从合同价款扣除乙方应支付甲方的违约金、赔偿金。</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11.9在本合同约定的相应履行期限届满之前，乙方明确表示或者以自己的行为表明不履行合同义务的，甲方有权解除本合同。合同因此解除的，乙方应退还甲方已支付的合同价格（如有），向甲方支付合同价格20%的违约金并赔偿甲方因此遭受的所有损失。</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 xml:space="preserve">11.10甲方有权从未支付的款项或是履约保证金中直接扣除乙方的违约金，不足的部分由乙方另行补足。 </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11.11除非双方协议将合同解除，违约方承担前述违约责任后仍必须履行合同。</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11.12本合同下，双方对违约责任未明确约定的，相关违约责任按合同法及其他法律法规的有关规定执行。本合同项下约定的甲方遭受的损失包括但不限于因乙方违约而使甲方遭受的因减少或迟延运营所遭受的收入损失。</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12 不可抗力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12.1 如果双方中任何一方遭遇法律规定的不可抗力，致使合同履行受阻时，履行合同的期限应予延长，延长的期限应相当于不可抗力所影响的时间。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12.2 受事故影响的一方应在不可抗力的事故发生后尽快书面形式通知另一方，并在事故发生后</w:t>
      </w:r>
      <w:r>
        <w:rPr>
          <w:rFonts w:hint="eastAsia" w:cs="宋体"/>
          <w:color w:val="auto"/>
          <w:sz w:val="21"/>
          <w:szCs w:val="21"/>
          <w:highlight w:val="none"/>
          <w:u w:val="single"/>
        </w:rPr>
        <w:t xml:space="preserve">   </w:t>
      </w:r>
      <w:r>
        <w:rPr>
          <w:rFonts w:hint="eastAsia" w:cs="宋体"/>
          <w:color w:val="auto"/>
          <w:sz w:val="21"/>
          <w:szCs w:val="21"/>
          <w:highlight w:val="none"/>
        </w:rPr>
        <w:t xml:space="preserve">天内，将有关部门出具的证明文件送达另一方。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12.3 不可抗力使合同的某些内容有变更必要的，合同签订双方应通过协商在</w:t>
      </w:r>
      <w:r>
        <w:rPr>
          <w:rFonts w:hint="eastAsia" w:cs="宋体"/>
          <w:color w:val="auto"/>
          <w:sz w:val="21"/>
          <w:szCs w:val="21"/>
          <w:highlight w:val="none"/>
          <w:u w:val="single"/>
        </w:rPr>
        <w:t xml:space="preserve">   </w:t>
      </w:r>
      <w:r>
        <w:rPr>
          <w:rFonts w:hint="eastAsia" w:cs="宋体"/>
          <w:color w:val="auto"/>
          <w:sz w:val="21"/>
          <w:szCs w:val="21"/>
          <w:highlight w:val="none"/>
        </w:rPr>
        <w:t xml:space="preserve">日内达成进一步履行合同的协议，因不可抗力致使合同不能履行的，合同终止。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13税费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13.1 与本合同有关的一切税费均适用中华人民共和国法律的相关规定。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14 合同争议的解决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14.1 因合同履行中发生的争议，可通过合同当事人双方友好协商解决。如自协商开始之起15日内得不到解决，双方应将争议提交同级政府采购监督管理部门调解。调解不成的，可向甲方所在地有管辖权的人</w:t>
      </w:r>
      <w:r>
        <w:rPr>
          <w:rFonts w:hint="eastAsia" w:cs="宋体"/>
          <w:color w:val="auto"/>
          <w:sz w:val="21"/>
          <w:szCs w:val="21"/>
          <w:highlight w:val="none"/>
        </w:rPr>
        <w:fldChar w:fldCharType="begin"/>
      </w:r>
      <w:r>
        <w:rPr>
          <w:rFonts w:hint="eastAsia" w:cs="宋体"/>
          <w:color w:val="auto"/>
          <w:sz w:val="21"/>
          <w:szCs w:val="21"/>
          <w:highlight w:val="none"/>
        </w:rPr>
        <w:instrText xml:space="preserve"> HYPERLINK "http://www.chinalawedu.com/web/23243/" \t "_blank" \o "民法" </w:instrText>
      </w:r>
      <w:r>
        <w:rPr>
          <w:rFonts w:hint="eastAsia" w:cs="宋体"/>
          <w:color w:val="auto"/>
          <w:sz w:val="21"/>
          <w:szCs w:val="21"/>
          <w:highlight w:val="none"/>
        </w:rPr>
        <w:fldChar w:fldCharType="separate"/>
      </w:r>
      <w:r>
        <w:rPr>
          <w:rStyle w:val="59"/>
          <w:color w:val="auto"/>
          <w:sz w:val="21"/>
          <w:szCs w:val="21"/>
          <w:highlight w:val="none"/>
        </w:rPr>
        <w:t>民法</w:t>
      </w:r>
      <w:r>
        <w:rPr>
          <w:rFonts w:hint="eastAsia" w:cs="宋体"/>
          <w:color w:val="auto"/>
          <w:sz w:val="21"/>
          <w:szCs w:val="21"/>
          <w:highlight w:val="none"/>
        </w:rPr>
        <w:fldChar w:fldCharType="end"/>
      </w:r>
      <w:r>
        <w:rPr>
          <w:rFonts w:hint="eastAsia" w:cs="宋体"/>
          <w:color w:val="auto"/>
          <w:sz w:val="21"/>
          <w:szCs w:val="21"/>
          <w:highlight w:val="none"/>
        </w:rPr>
        <w:t xml:space="preserve">院提起诉讼。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15 违约解除合同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15.1 在乙方违约的情况下，甲方经同级政府采购监督管理部门审批后，可向乙方发出书面通知，部分或全部终止合同。同时保留向乙方追诉的权利。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15.2全部或部分解除合同之后，应当遵循诚实信用原则，以政府采购监督管理部门同意的方式，购买未予交付的货物类似的货物或服务。乙方应承担甲方购买类似货物或服务而产生的额外支出。部分解除合同的，乙方应继续履行合同中未解除的部分。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16破产终止合同 </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 xml:space="preserve">16.1 如果乙方破产或无清偿能力时，甲方经报同级政府采购监督管理部门审批后，可在任何时候以书面通知乙方，提出终止合同而不给乙方补偿。该合同的终止将不损害或不影响甲方已经采取或将要采取任何行动或补救措施的权利。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17 转让和分包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17.1 政府采购合同不能转让。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17.2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17.3甲方和乙方都不得擅自变更本合同，但合同继续履行将损害国家和社会公共利益的除外。如必须对合同条款进行改动时，当事人双方须共同签署书面文件，作为合同的补充，并报同级政府采购监督管理部门备案。</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17.4乙方擅自转让本合同或是未经甲方书面同意将合同项下非主体、非关键性工作分包给他人的，甲方有权立即解除本合同，同时要求乙方支付合同总价20%的违约金，违约金不足以弥补甲方损失，甲方有权继续向乙方追索。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18 计量单位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18.1 除技术规范中另有规定外，计量单位均使用国家法定计量单位。 </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19 合同生效和其它 </w:t>
      </w:r>
    </w:p>
    <w:p>
      <w:pPr>
        <w:pStyle w:val="48"/>
        <w:spacing w:line="44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19.1 采购项目的采购合同内容的确定应以</w:t>
      </w:r>
      <w:r>
        <w:rPr>
          <w:rFonts w:hint="eastAsia" w:cs="宋体"/>
          <w:color w:val="auto"/>
          <w:sz w:val="21"/>
          <w:szCs w:val="21"/>
          <w:highlight w:val="none"/>
          <w:lang w:eastAsia="zh-CN"/>
        </w:rPr>
        <w:t>磋商文件</w:t>
      </w:r>
      <w:r>
        <w:rPr>
          <w:rFonts w:hint="eastAsia" w:cs="宋体"/>
          <w:color w:val="auto"/>
          <w:sz w:val="21"/>
          <w:szCs w:val="21"/>
          <w:highlight w:val="none"/>
        </w:rPr>
        <w:t>和</w:t>
      </w:r>
      <w:r>
        <w:rPr>
          <w:rFonts w:hint="eastAsia" w:cs="宋体"/>
          <w:color w:val="auto"/>
          <w:sz w:val="21"/>
          <w:szCs w:val="21"/>
          <w:highlight w:val="none"/>
          <w:lang w:eastAsia="zh-CN"/>
        </w:rPr>
        <w:t>磋商响应文件</w:t>
      </w:r>
      <w:r>
        <w:rPr>
          <w:rFonts w:hint="eastAsia" w:cs="宋体"/>
          <w:color w:val="auto"/>
          <w:sz w:val="21"/>
          <w:szCs w:val="21"/>
          <w:highlight w:val="none"/>
        </w:rPr>
        <w:t xml:space="preserve">为基础，不得违背其实质性内容。采购项目的采购合同自签订之日起七个工作日内，甲方应当将合同副本报有关部门备案。合同将在双方签字盖章后开始生效。 </w:t>
      </w:r>
    </w:p>
    <w:p>
      <w:pPr>
        <w:snapToGrid w:val="0"/>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19.</w:t>
      </w:r>
      <w:r>
        <w:rPr>
          <w:rFonts w:hAnsi="宋体" w:cs="宋体"/>
          <w:color w:val="auto"/>
          <w:sz w:val="21"/>
          <w:szCs w:val="21"/>
          <w:highlight w:val="none"/>
        </w:rPr>
        <w:t>2</w:t>
      </w:r>
      <w:r>
        <w:rPr>
          <w:rFonts w:hint="eastAsia" w:hAnsi="宋体" w:cs="宋体"/>
          <w:color w:val="auto"/>
          <w:sz w:val="21"/>
          <w:szCs w:val="21"/>
          <w:highlight w:val="none"/>
        </w:rPr>
        <w:t>本合同一式</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份，甲方执</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份，乙方执</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份，采购代理机构执</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份，具同等法律效力。本合同合计</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页，缺页之合同为无效合同。</w:t>
      </w:r>
    </w:p>
    <w:p>
      <w:pPr>
        <w:snapToGrid w:val="0"/>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19.</w:t>
      </w:r>
      <w:r>
        <w:rPr>
          <w:rFonts w:hAnsi="宋体" w:cs="宋体"/>
          <w:color w:val="auto"/>
          <w:sz w:val="21"/>
          <w:szCs w:val="21"/>
          <w:highlight w:val="none"/>
        </w:rPr>
        <w:t>3</w:t>
      </w:r>
      <w:r>
        <w:rPr>
          <w:rFonts w:hint="eastAsia" w:hAnsi="宋体" w:cs="宋体"/>
          <w:color w:val="auto"/>
          <w:sz w:val="21"/>
          <w:szCs w:val="21"/>
          <w:highlight w:val="none"/>
        </w:rPr>
        <w:t>其它未尽事宜，由甲乙双方友好协商解决，并参照《中华人民共和国民法典》有关条款执行。</w:t>
      </w:r>
    </w:p>
    <w:p>
      <w:pPr>
        <w:pStyle w:val="48"/>
        <w:spacing w:line="440" w:lineRule="exact"/>
        <w:ind w:firstLine="420" w:firstLineChars="200"/>
        <w:rPr>
          <w:rFonts w:hint="eastAsia" w:cs="宋体"/>
          <w:color w:val="auto"/>
          <w:sz w:val="21"/>
          <w:szCs w:val="21"/>
          <w:highlight w:val="none"/>
        </w:rPr>
      </w:pPr>
      <w:r>
        <w:rPr>
          <w:rFonts w:hint="eastAsia" w:cs="宋体"/>
          <w:color w:val="auto"/>
          <w:sz w:val="21"/>
          <w:szCs w:val="21"/>
          <w:highlight w:val="none"/>
        </w:rPr>
        <w:t>19.</w:t>
      </w:r>
      <w:r>
        <w:rPr>
          <w:rFonts w:cs="宋体"/>
          <w:color w:val="auto"/>
          <w:sz w:val="21"/>
          <w:szCs w:val="21"/>
          <w:highlight w:val="none"/>
        </w:rPr>
        <w:t>4</w:t>
      </w:r>
      <w:r>
        <w:rPr>
          <w:rFonts w:hint="eastAsia" w:cs="宋体"/>
          <w:color w:val="auto"/>
          <w:sz w:val="21"/>
          <w:szCs w:val="21"/>
          <w:highlight w:val="none"/>
        </w:rPr>
        <w:t>本合同应按照中华人民共和国的法律进行解释。</w:t>
      </w:r>
    </w:p>
    <w:p>
      <w:pPr>
        <w:spacing w:line="440" w:lineRule="exact"/>
        <w:ind w:firstLine="420" w:firstLineChars="200"/>
        <w:rPr>
          <w:rFonts w:hint="eastAsia" w:hAnsi="宋体" w:cs="宋体"/>
          <w:color w:val="auto"/>
          <w:sz w:val="21"/>
          <w:szCs w:val="21"/>
          <w:highlight w:val="none"/>
        </w:rPr>
      </w:pPr>
      <w:r>
        <w:rPr>
          <w:rFonts w:hint="eastAsia" w:cs="宋体"/>
          <w:color w:val="auto"/>
          <w:sz w:val="21"/>
          <w:szCs w:val="21"/>
          <w:highlight w:val="none"/>
        </w:rPr>
        <w:t xml:space="preserve"> </w:t>
      </w:r>
      <w:r>
        <w:rPr>
          <w:rFonts w:hint="eastAsia" w:hAnsi="宋体" w:cs="宋体"/>
          <w:color w:val="auto"/>
          <w:sz w:val="21"/>
          <w:szCs w:val="21"/>
          <w:highlight w:val="none"/>
        </w:rPr>
        <w:t>（以下无正文）</w:t>
      </w:r>
    </w:p>
    <w:p>
      <w:pPr>
        <w:spacing w:line="440" w:lineRule="exact"/>
        <w:ind w:firstLine="420" w:firstLineChars="200"/>
        <w:rPr>
          <w:rFonts w:hint="eastAsia" w:hAnsi="宋体" w:cs="宋体"/>
          <w:color w:val="auto"/>
          <w:sz w:val="21"/>
          <w:szCs w:val="21"/>
          <w:highlight w:val="none"/>
        </w:rPr>
      </w:pPr>
    </w:p>
    <w:p>
      <w:pPr>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甲方（盖章）：                      乙方（盖章）：</w:t>
      </w:r>
    </w:p>
    <w:p>
      <w:pPr>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甲方法定代表(签字)：                乙方法定代表(签字)：</w:t>
      </w:r>
    </w:p>
    <w:p>
      <w:pPr>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地址：                              地址： </w:t>
      </w:r>
    </w:p>
    <w:p>
      <w:pPr>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电话：                              电话：</w:t>
      </w:r>
    </w:p>
    <w:p>
      <w:pPr>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 xml:space="preserve">     传真：</w:t>
      </w:r>
    </w:p>
    <w:p>
      <w:pPr>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开户银行：</w:t>
      </w:r>
      <w:r>
        <w:rPr>
          <w:rFonts w:hint="eastAsia" w:hAnsi="宋体" w:cs="宋体"/>
          <w:color w:val="auto"/>
          <w:sz w:val="21"/>
          <w:szCs w:val="21"/>
          <w:highlight w:val="none"/>
        </w:rPr>
        <w:tab/>
      </w:r>
      <w:r>
        <w:rPr>
          <w:rFonts w:hint="eastAsia" w:hAnsi="宋体" w:cs="宋体"/>
          <w:color w:val="auto"/>
          <w:sz w:val="21"/>
          <w:szCs w:val="21"/>
          <w:highlight w:val="none"/>
        </w:rPr>
        <w:t xml:space="preserve">                   开户银行：</w:t>
      </w:r>
    </w:p>
    <w:p>
      <w:pPr>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账号：                              账号：</w:t>
      </w:r>
    </w:p>
    <w:p>
      <w:pPr>
        <w:spacing w:line="440" w:lineRule="exact"/>
        <w:ind w:firstLine="420" w:firstLineChars="200"/>
        <w:rPr>
          <w:rFonts w:hint="eastAsia" w:hAnsi="宋体" w:cs="宋体"/>
          <w:color w:val="auto"/>
          <w:sz w:val="21"/>
          <w:szCs w:val="21"/>
          <w:highlight w:val="none"/>
        </w:rPr>
      </w:pPr>
    </w:p>
    <w:p>
      <w:pPr>
        <w:spacing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签约时间：</w:t>
      </w:r>
    </w:p>
    <w:p>
      <w:pPr>
        <w:pStyle w:val="144"/>
        <w:spacing w:line="440" w:lineRule="exact"/>
        <w:rPr>
          <w:rFonts w:hint="eastAsia" w:ascii="宋体" w:hAnsi="宋体" w:cs="宋体"/>
          <w:color w:val="auto"/>
          <w:szCs w:val="21"/>
          <w:highlight w:val="none"/>
        </w:rPr>
      </w:pPr>
      <w:r>
        <w:rPr>
          <w:rFonts w:hint="eastAsia" w:ascii="宋体" w:hAnsi="宋体" w:cs="宋体"/>
          <w:color w:val="auto"/>
          <w:szCs w:val="21"/>
          <w:highlight w:val="none"/>
        </w:rPr>
        <w:t>签约地点：</w:t>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bidi w:val="0"/>
        <w:rPr>
          <w:rFonts w:hint="eastAsia"/>
          <w:color w:val="auto"/>
          <w:highlight w:val="none"/>
        </w:rPr>
      </w:pPr>
    </w:p>
    <w:p>
      <w:pPr>
        <w:rPr>
          <w:rFonts w:hint="eastAsia"/>
          <w:color w:val="auto"/>
          <w:highlight w:val="none"/>
        </w:rPr>
      </w:pPr>
    </w:p>
    <w:p>
      <w:pPr>
        <w:bidi w:val="0"/>
        <w:rPr>
          <w:rFonts w:hint="eastAsia"/>
          <w:color w:val="auto"/>
          <w:highlight w:val="none"/>
        </w:rPr>
      </w:pPr>
    </w:p>
    <w:p>
      <w:pPr>
        <w:rPr>
          <w:rFonts w:hint="eastAsia"/>
          <w:color w:val="auto"/>
          <w:highlight w:val="none"/>
        </w:rPr>
      </w:pPr>
    </w:p>
    <w:p>
      <w:pPr>
        <w:bidi w:val="0"/>
        <w:rPr>
          <w:rFonts w:hint="eastAsia"/>
          <w:color w:val="auto"/>
          <w:highlight w:val="none"/>
        </w:rPr>
      </w:pPr>
    </w:p>
    <w:p>
      <w:pPr>
        <w:rPr>
          <w:rFonts w:hint="eastAsia"/>
          <w:color w:val="auto"/>
          <w:highlight w:val="none"/>
        </w:rPr>
      </w:pPr>
    </w:p>
    <w:p>
      <w:pPr>
        <w:rPr>
          <w:rFonts w:hint="eastAsia"/>
          <w:color w:val="auto"/>
          <w:highlight w:val="none"/>
        </w:rPr>
      </w:pPr>
    </w:p>
    <w:p>
      <w:pPr>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pPr>
        <w:spacing w:before="120" w:beforeLines="50" w:after="120"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r>
        <w:rPr>
          <w:rFonts w:hAnsi="宋体"/>
          <w:color w:val="auto"/>
          <w:sz w:val="21"/>
          <w:szCs w:val="21"/>
          <w:highlight w:val="none"/>
        </w:rPr>
        <w:t xml:space="preserve"> </w:t>
      </w:r>
    </w:p>
    <w:p>
      <w:pPr>
        <w:spacing w:before="120" w:beforeLines="50" w:after="120"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 xml:space="preserve">    甲乙双方于 </w:t>
      </w:r>
      <w:r>
        <w:rPr>
          <w:rFonts w:hint="eastAsia" w:hAnsi="宋体"/>
          <w:color w:val="auto"/>
          <w:sz w:val="21"/>
          <w:szCs w:val="21"/>
          <w:highlight w:val="none"/>
          <w:lang w:eastAsia="zh-CN"/>
        </w:rPr>
        <w:t>2022</w:t>
      </w:r>
      <w:r>
        <w:rPr>
          <w:rFonts w:hint="eastAsia" w:hAnsi="宋体"/>
          <w:color w:val="auto"/>
          <w:sz w:val="21"/>
          <w:szCs w:val="21"/>
          <w:highlight w:val="none"/>
        </w:rPr>
        <w:t>年     月     日签署了《……》（以下简称原合同），为加强双方阳光合作，保证职员职业安全，甲乙双方经协商签订本协议并作为双方共同遵守的阳光合作行为准则。</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甲方责任</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乙方责任</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举报受理部门：东莞实业投资控股集团有限公司纪检监察部</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东实集团举报邮箱：dgsyjjjc@163.com</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东实集团举报电话：0769-28822331（周一至周五9:00-12:00和14:00-18:00）</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邮寄地址：东莞市东城区八一路1号机关二号大院9号楼204室，东莞实业投资控股集团有限公司纪检监察部收，邮编523000。</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其他</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本</w:t>
      </w:r>
      <w:r>
        <w:rPr>
          <w:rFonts w:hint="eastAsia" w:hAnsi="宋体"/>
          <w:color w:val="auto"/>
          <w:sz w:val="21"/>
          <w:szCs w:val="21"/>
          <w:highlight w:val="none"/>
        </w:rPr>
        <w:t>协议</w:t>
      </w:r>
      <w:r>
        <w:rPr>
          <w:rFonts w:hAnsi="宋体"/>
          <w:color w:val="auto"/>
          <w:sz w:val="21"/>
          <w:szCs w:val="21"/>
          <w:highlight w:val="none"/>
        </w:rPr>
        <w:t>一式</w:t>
      </w:r>
      <w:r>
        <w:rPr>
          <w:rFonts w:hint="eastAsia" w:hAnsi="宋体"/>
          <w:color w:val="auto"/>
          <w:sz w:val="21"/>
          <w:szCs w:val="21"/>
          <w:highlight w:val="none"/>
        </w:rPr>
        <w:t>四</w:t>
      </w:r>
      <w:r>
        <w:rPr>
          <w:rFonts w:hAnsi="宋体"/>
          <w:color w:val="auto"/>
          <w:sz w:val="21"/>
          <w:szCs w:val="21"/>
          <w:highlight w:val="none"/>
        </w:rPr>
        <w:t>份，甲方执</w:t>
      </w:r>
      <w:r>
        <w:rPr>
          <w:rFonts w:hint="eastAsia" w:hAnsi="宋体"/>
          <w:color w:val="auto"/>
          <w:sz w:val="21"/>
          <w:szCs w:val="21"/>
          <w:highlight w:val="none"/>
        </w:rPr>
        <w:t>贰</w:t>
      </w:r>
      <w:r>
        <w:rPr>
          <w:rFonts w:hAnsi="宋体"/>
          <w:color w:val="auto"/>
          <w:sz w:val="21"/>
          <w:szCs w:val="21"/>
          <w:highlight w:val="none"/>
        </w:rPr>
        <w:t>份，乙方执</w:t>
      </w:r>
      <w:r>
        <w:rPr>
          <w:rFonts w:hint="eastAsia" w:hAnsi="宋体"/>
          <w:color w:val="auto"/>
          <w:sz w:val="21"/>
          <w:szCs w:val="21"/>
          <w:highlight w:val="none"/>
        </w:rPr>
        <w:t>贰</w:t>
      </w:r>
      <w:r>
        <w:rPr>
          <w:rFonts w:hAnsi="宋体"/>
          <w:color w:val="auto"/>
          <w:sz w:val="21"/>
          <w:szCs w:val="21"/>
          <w:highlight w:val="none"/>
        </w:rPr>
        <w:t>份</w:t>
      </w:r>
      <w:r>
        <w:rPr>
          <w:rFonts w:hint="eastAsia" w:hAnsi="宋体"/>
          <w:color w:val="auto"/>
          <w:sz w:val="21"/>
          <w:szCs w:val="21"/>
          <w:highlight w:val="none"/>
        </w:rPr>
        <w:t>,具有同等法律效力。</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 xml:space="preserve">甲方（盖章）：                      </w:t>
      </w:r>
      <w:r>
        <w:rPr>
          <w:rFonts w:hint="eastAsia" w:hAnsi="宋体"/>
          <w:color w:val="auto"/>
          <w:sz w:val="21"/>
          <w:szCs w:val="21"/>
          <w:highlight w:val="none"/>
          <w:lang w:val="en-US" w:eastAsia="zh-CN"/>
        </w:rPr>
        <w:t xml:space="preserve">    </w:t>
      </w:r>
      <w:r>
        <w:rPr>
          <w:rFonts w:hint="eastAsia" w:hAnsi="宋体"/>
          <w:color w:val="auto"/>
          <w:sz w:val="21"/>
          <w:szCs w:val="21"/>
          <w:highlight w:val="none"/>
        </w:rPr>
        <w:t>乙方（盖章）：</w:t>
      </w:r>
      <w:r>
        <w:rPr>
          <w:color w:val="auto"/>
          <w:sz w:val="21"/>
          <w:szCs w:val="21"/>
          <w:highlight w:val="none"/>
        </w:rPr>
        <w:t xml:space="preserve"> </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法定代表人（授权代表）：</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hAnsi="宋体"/>
          <w:color w:val="auto"/>
          <w:sz w:val="21"/>
          <w:szCs w:val="21"/>
          <w:highlight w:val="none"/>
        </w:rPr>
        <w:t>法定代表人（授权代表）：</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签约日期：   年   月   日</w:t>
      </w:r>
      <w:bookmarkStart w:id="157" w:name="现场签证通知单"/>
      <w:bookmarkEnd w:id="157"/>
      <w:bookmarkStart w:id="158" w:name="设计变更通知单"/>
      <w:bookmarkEnd w:id="158"/>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hAnsi="宋体"/>
          <w:color w:val="auto"/>
          <w:sz w:val="21"/>
          <w:szCs w:val="21"/>
          <w:highlight w:val="none"/>
        </w:rPr>
        <w:t>签约日期：   年   月   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keepNext/>
        <w:keepLines/>
        <w:pageBreakBefore/>
        <w:spacing w:line="360" w:lineRule="auto"/>
        <w:jc w:val="center"/>
        <w:rPr>
          <w:rFonts w:hAnsi="宋体"/>
          <w:b/>
          <w:bCs/>
          <w:color w:val="auto"/>
          <w:kern w:val="44"/>
          <w:sz w:val="28"/>
          <w:szCs w:val="28"/>
          <w:highlight w:val="none"/>
          <w:lang w:val="zh-CN"/>
        </w:rPr>
      </w:pPr>
      <w:bookmarkStart w:id="159" w:name="_Toc8470"/>
      <w:bookmarkStart w:id="160" w:name="_Toc396137242"/>
      <w:r>
        <w:rPr>
          <w:rFonts w:hint="eastAsia" w:hAnsi="宋体"/>
          <w:b/>
          <w:bCs/>
          <w:color w:val="auto"/>
          <w:kern w:val="44"/>
          <w:sz w:val="28"/>
          <w:szCs w:val="28"/>
          <w:highlight w:val="none"/>
          <w:lang w:val="zh-CN"/>
        </w:rPr>
        <w:t>第六篇磋商响应文件格式</w:t>
      </w:r>
      <w:bookmarkEnd w:id="159"/>
      <w:bookmarkEnd w:id="160"/>
    </w:p>
    <w:p>
      <w:pPr>
        <w:ind w:firstLine="1800" w:firstLineChars="750"/>
        <w:rPr>
          <w:rFonts w:hAnsi="宋体"/>
          <w:color w:val="auto"/>
          <w:highlight w:val="none"/>
        </w:rPr>
      </w:pPr>
    </w:p>
    <w:p>
      <w:pPr>
        <w:pStyle w:val="2"/>
        <w:jc w:val="center"/>
        <w:rPr>
          <w:color w:val="auto"/>
          <w:sz w:val="28"/>
          <w:szCs w:val="28"/>
          <w:highlight w:val="none"/>
        </w:rPr>
      </w:pPr>
      <w:bookmarkStart w:id="161" w:name="_Toc19311"/>
      <w:bookmarkStart w:id="162" w:name="_Toc9566"/>
      <w:r>
        <w:rPr>
          <w:rFonts w:hint="eastAsia"/>
          <w:color w:val="auto"/>
          <w:sz w:val="28"/>
          <w:szCs w:val="28"/>
          <w:highlight w:val="none"/>
        </w:rPr>
        <w:t>第一部分 价格文件（单独编制装订成册）</w:t>
      </w:r>
      <w:bookmarkEnd w:id="161"/>
      <w:bookmarkEnd w:id="162"/>
    </w:p>
    <w:p>
      <w:pPr>
        <w:ind w:firstLine="1800" w:firstLineChars="750"/>
        <w:rPr>
          <w:rFonts w:hAnsi="宋体"/>
          <w:color w:val="auto"/>
          <w:highlight w:val="none"/>
        </w:rPr>
      </w:pPr>
    </w:p>
    <w:p>
      <w:pPr>
        <w:pStyle w:val="2"/>
        <w:numPr>
          <w:ilvl w:val="0"/>
          <w:numId w:val="17"/>
        </w:numPr>
        <w:jc w:val="center"/>
        <w:rPr>
          <w:color w:val="auto"/>
          <w:sz w:val="28"/>
          <w:szCs w:val="28"/>
          <w:highlight w:val="none"/>
        </w:rPr>
      </w:pPr>
      <w:bookmarkStart w:id="163" w:name="_Toc20730"/>
      <w:bookmarkStart w:id="164" w:name="_Toc7897888"/>
      <w:bookmarkStart w:id="165" w:name="_Toc12373"/>
      <w:bookmarkStart w:id="166" w:name="_Toc454701406"/>
      <w:bookmarkStart w:id="167" w:name="_Toc486671573"/>
      <w:bookmarkStart w:id="168" w:name="_Toc467236769"/>
      <w:bookmarkStart w:id="169" w:name="_Toc476976201"/>
      <w:bookmarkStart w:id="170" w:name="_Toc458262639"/>
      <w:bookmarkStart w:id="171" w:name="_Toc2544"/>
      <w:bookmarkStart w:id="172" w:name="_Toc32736"/>
      <w:bookmarkStart w:id="173" w:name="_Toc12383"/>
      <w:bookmarkStart w:id="174" w:name="_Toc29841"/>
      <w:bookmarkStart w:id="175" w:name="_Toc32273"/>
      <w:bookmarkStart w:id="176" w:name="_Toc18848"/>
      <w:bookmarkStart w:id="177" w:name="_Toc30637"/>
      <w:bookmarkStart w:id="178" w:name="_Toc19671"/>
      <w:bookmarkStart w:id="179" w:name="_Toc15960"/>
      <w:bookmarkStart w:id="180" w:name="_Toc9348"/>
      <w:bookmarkStart w:id="181" w:name="_Toc32405"/>
      <w:bookmarkStart w:id="182" w:name="_Toc28095"/>
      <w:bookmarkStart w:id="183" w:name="_Toc396137244"/>
      <w:r>
        <w:rPr>
          <w:rFonts w:hint="eastAsia"/>
          <w:color w:val="auto"/>
          <w:sz w:val="28"/>
          <w:szCs w:val="28"/>
          <w:highlight w:val="none"/>
        </w:rPr>
        <w:t>报价一览表</w:t>
      </w:r>
      <w:bookmarkEnd w:id="163"/>
      <w:bookmarkEnd w:id="164"/>
      <w:bookmarkEnd w:id="165"/>
    </w:p>
    <w:p>
      <w:pPr>
        <w:pStyle w:val="12"/>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2"/>
        <w:tblW w:w="91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2515"/>
        <w:gridCol w:w="3422"/>
        <w:gridCol w:w="19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266"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项目编号</w:t>
            </w:r>
          </w:p>
        </w:tc>
        <w:tc>
          <w:tcPr>
            <w:tcW w:w="2515"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项目名称</w:t>
            </w:r>
          </w:p>
        </w:tc>
        <w:tc>
          <w:tcPr>
            <w:tcW w:w="3422"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1918"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266" w:type="dxa"/>
            <w:vAlign w:val="center"/>
          </w:tcPr>
          <w:p>
            <w:pPr>
              <w:overflowPunct w:val="0"/>
              <w:spacing w:line="460" w:lineRule="exact"/>
              <w:jc w:val="center"/>
              <w:rPr>
                <w:rFonts w:hint="default" w:hAnsi="宋体"/>
                <w:color w:val="auto"/>
                <w:sz w:val="21"/>
                <w:szCs w:val="21"/>
                <w:highlight w:val="none"/>
                <w:lang w:val="en-US" w:eastAsia="zh-CN"/>
              </w:rPr>
            </w:pPr>
            <w:r>
              <w:rPr>
                <w:rFonts w:hint="eastAsia" w:hAnsi="宋体"/>
                <w:color w:val="auto"/>
                <w:sz w:val="21"/>
                <w:szCs w:val="21"/>
                <w:highlight w:val="none"/>
                <w:lang w:eastAsia="zh-CN"/>
              </w:rPr>
              <w:t>TTWY-22008</w:t>
            </w:r>
          </w:p>
        </w:tc>
        <w:tc>
          <w:tcPr>
            <w:tcW w:w="2515" w:type="dxa"/>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shd w:val="clear" w:color="auto" w:fill="auto"/>
                <w:lang w:eastAsia="zh-CN"/>
              </w:rPr>
              <w:t>松山湖大学创新城--创新配套服务区专家公寓电视机采购项目</w:t>
            </w:r>
          </w:p>
        </w:tc>
        <w:tc>
          <w:tcPr>
            <w:tcW w:w="3422" w:type="dxa"/>
            <w:vAlign w:val="center"/>
          </w:tcPr>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18" w:type="dxa"/>
            <w:vAlign w:val="center"/>
          </w:tcPr>
          <w:p>
            <w:pPr>
              <w:overflowPunct w:val="0"/>
              <w:spacing w:line="460" w:lineRule="exac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eastAsia="zh-CN"/>
              </w:rPr>
              <w:t>税率：</w:t>
            </w:r>
            <w:r>
              <w:rPr>
                <w:rFonts w:hint="eastAsia" w:hAnsi="宋体"/>
                <w:color w:val="auto"/>
                <w:sz w:val="21"/>
                <w:szCs w:val="21"/>
                <w:highlight w:val="none"/>
                <w:lang w:val="en-US" w:eastAsia="zh-CN"/>
              </w:rPr>
              <w:t xml:space="preserve">   %</w:t>
            </w: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12"/>
        <w:spacing w:line="360" w:lineRule="auto"/>
        <w:rPr>
          <w:rFonts w:hint="eastAsia"/>
          <w:color w:val="auto"/>
          <w:sz w:val="21"/>
          <w:szCs w:val="21"/>
          <w:highlight w:val="none"/>
        </w:rPr>
      </w:pPr>
      <w:r>
        <w:rPr>
          <w:rFonts w:hint="eastAsia"/>
          <w:color w:val="auto"/>
          <w:sz w:val="21"/>
          <w:szCs w:val="21"/>
          <w:highlight w:val="none"/>
        </w:rPr>
        <w:t>注：</w:t>
      </w:r>
    </w:p>
    <w:p>
      <w:pPr>
        <w:pStyle w:val="12"/>
        <w:spacing w:line="360" w:lineRule="auto"/>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磋商总价栏须用文字和数字两种方式表示的磋商总价。磋商总价大小写不一致，以大写为准。</w:t>
      </w:r>
      <w:bookmarkEnd w:id="166"/>
      <w:bookmarkEnd w:id="167"/>
      <w:bookmarkEnd w:id="168"/>
      <w:bookmarkEnd w:id="169"/>
      <w:bookmarkEnd w:id="170"/>
    </w:p>
    <w:p>
      <w:pPr>
        <w:pStyle w:val="28"/>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宋体"/>
          <w:color w:val="auto"/>
          <w:kern w:val="0"/>
          <w:sz w:val="21"/>
          <w:szCs w:val="21"/>
          <w:highlight w:val="none"/>
          <w:lang w:val="en-US" w:eastAsia="zh-CN" w:bidi="ar-SA"/>
        </w:rPr>
      </w:pPr>
      <w:r>
        <w:rPr>
          <w:rFonts w:hint="eastAsia" w:ascii="Calibri" w:hAnsi="Calibri" w:eastAsia="宋体" w:cs="宋体"/>
          <w:color w:val="auto"/>
          <w:kern w:val="0"/>
          <w:sz w:val="21"/>
          <w:szCs w:val="21"/>
          <w:highlight w:val="none"/>
          <w:lang w:val="en-US" w:eastAsia="zh-CN" w:bidi="ar-SA"/>
        </w:rPr>
        <w:t>2、中文大写金额用汉字，总报价适用大写以“零、壹、贰、叁、肆、伍、陆、柒、捌、玖、拾、佰、仟、万、亿、元、角、分”填报，下浮率适用大写以“零、一、二、三、四、五、六、七、八、九、百分之” 填报。</w:t>
      </w:r>
    </w:p>
    <w:p>
      <w:pPr>
        <w:pStyle w:val="28"/>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宋体"/>
          <w:color w:val="auto"/>
          <w:kern w:val="0"/>
          <w:sz w:val="21"/>
          <w:szCs w:val="21"/>
          <w:highlight w:val="none"/>
          <w:lang w:val="en-US" w:eastAsia="zh-CN" w:bidi="ar-SA"/>
        </w:rPr>
      </w:pPr>
      <w:r>
        <w:rPr>
          <w:rFonts w:hint="eastAsia" w:ascii="Calibri" w:hAnsi="Calibri" w:eastAsia="宋体" w:cs="宋体"/>
          <w:color w:val="auto"/>
          <w:kern w:val="0"/>
          <w:sz w:val="21"/>
          <w:szCs w:val="21"/>
          <w:highlight w:val="none"/>
          <w:lang w:val="en-US" w:eastAsia="zh-CN" w:bidi="ar-SA"/>
        </w:rPr>
        <w:t>3、此表中的投标总价应和分项报价表的总价应相一致。</w:t>
      </w:r>
    </w:p>
    <w:p>
      <w:pPr>
        <w:pStyle w:val="12"/>
        <w:spacing w:line="360" w:lineRule="auto"/>
        <w:rPr>
          <w:rFonts w:hint="eastAsia"/>
          <w:color w:val="auto"/>
          <w:sz w:val="21"/>
          <w:szCs w:val="21"/>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bidi w:val="0"/>
        <w:rPr>
          <w:color w:val="auto"/>
          <w:highlight w:val="none"/>
        </w:rPr>
      </w:pPr>
    </w:p>
    <w:p>
      <w:pPr>
        <w:pStyle w:val="2"/>
        <w:keepNext w:val="0"/>
        <w:keepLines w:val="0"/>
        <w:pageBreakBefore w:val="0"/>
        <w:widowControl w:val="0"/>
        <w:numPr>
          <w:ilvl w:val="0"/>
          <w:numId w:val="17"/>
        </w:numPr>
        <w:kinsoku/>
        <w:wordWrap/>
        <w:overflowPunct/>
        <w:topLinePunct w:val="0"/>
        <w:autoSpaceDE w:val="0"/>
        <w:autoSpaceDN w:val="0"/>
        <w:bidi w:val="0"/>
        <w:adjustRightInd w:val="0"/>
        <w:snapToGrid/>
        <w:spacing w:line="360" w:lineRule="auto"/>
        <w:ind w:firstLine="0"/>
        <w:jc w:val="center"/>
        <w:textAlignment w:val="auto"/>
        <w:rPr>
          <w:rFonts w:hint="eastAsia"/>
          <w:color w:val="auto"/>
          <w:sz w:val="28"/>
          <w:szCs w:val="28"/>
          <w:highlight w:val="none"/>
          <w:lang w:eastAsia="zh-CN"/>
        </w:rPr>
      </w:pPr>
      <w:r>
        <w:rPr>
          <w:rFonts w:hint="eastAsia"/>
          <w:color w:val="auto"/>
          <w:sz w:val="28"/>
          <w:szCs w:val="28"/>
          <w:highlight w:val="none"/>
        </w:rPr>
        <w:t>分项报价明细表</w:t>
      </w:r>
    </w:p>
    <w:tbl>
      <w:tblPr>
        <w:tblStyle w:val="52"/>
        <w:tblW w:w="970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20"/>
        <w:gridCol w:w="3732"/>
        <w:gridCol w:w="918"/>
        <w:gridCol w:w="919"/>
        <w:gridCol w:w="1425"/>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2" w:hRule="atLeast"/>
        </w:trPr>
        <w:tc>
          <w:tcPr>
            <w:tcW w:w="10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auto"/>
                <w:kern w:val="0"/>
                <w:sz w:val="21"/>
                <w:szCs w:val="21"/>
                <w:highlight w:val="none"/>
                <w:u w:val="none"/>
                <w:lang w:val="en-US" w:eastAsia="zh-CN" w:bidi="ar"/>
              </w:rPr>
              <w:t>货物</w:t>
            </w:r>
            <w:r>
              <w:rPr>
                <w:rFonts w:hint="eastAsia" w:ascii="宋体" w:hAnsi="宋体" w:eastAsia="宋体" w:cs="宋体"/>
                <w:i w:val="0"/>
                <w:iCs w:val="0"/>
                <w:color w:val="auto"/>
                <w:kern w:val="0"/>
                <w:sz w:val="21"/>
                <w:szCs w:val="21"/>
                <w:highlight w:val="none"/>
                <w:u w:val="none"/>
                <w:lang w:val="en-US" w:eastAsia="zh-CN" w:bidi="ar"/>
              </w:rPr>
              <w:t>名称</w:t>
            </w:r>
          </w:p>
        </w:tc>
        <w:tc>
          <w:tcPr>
            <w:tcW w:w="373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主要参数及要求</w:t>
            </w:r>
          </w:p>
        </w:tc>
        <w:tc>
          <w:tcPr>
            <w:tcW w:w="91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9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4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hAnsi="宋体" w:cs="宋体"/>
                <w:i w:val="0"/>
                <w:iCs w:val="0"/>
                <w:color w:val="auto"/>
                <w:kern w:val="0"/>
                <w:sz w:val="21"/>
                <w:szCs w:val="21"/>
                <w:highlight w:val="none"/>
                <w:u w:val="none"/>
                <w:lang w:val="en-US" w:eastAsia="zh-CN" w:bidi="ar"/>
              </w:rPr>
              <w:t>单价（元）</w:t>
            </w:r>
          </w:p>
        </w:tc>
        <w:tc>
          <w:tcPr>
            <w:tcW w:w="1688" w:type="dxa"/>
            <w:shd w:val="clear" w:color="auto" w:fill="auto"/>
            <w:noWrap/>
            <w:vAlign w:val="center"/>
          </w:tcPr>
          <w:p>
            <w:pPr>
              <w:keepNext w:val="0"/>
              <w:keepLines w:val="0"/>
              <w:widowControl/>
              <w:suppressLineNumbers w:val="0"/>
              <w:jc w:val="center"/>
              <w:textAlignment w:val="center"/>
              <w:rPr>
                <w:rFonts w:hint="eastAsia" w:hAnsi="宋体" w:cs="宋体"/>
                <w:i w:val="0"/>
                <w:iCs w:val="0"/>
                <w:color w:val="auto"/>
                <w:kern w:val="0"/>
                <w:sz w:val="21"/>
                <w:szCs w:val="21"/>
                <w:highlight w:val="none"/>
                <w:u w:val="none"/>
                <w:lang w:val="en-US" w:eastAsia="zh-CN" w:bidi="ar"/>
              </w:rPr>
            </w:pPr>
            <w:r>
              <w:rPr>
                <w:rFonts w:hint="eastAsia" w:hAnsi="宋体" w:cs="宋体"/>
                <w:i w:val="0"/>
                <w:iCs w:val="0"/>
                <w:color w:val="auto"/>
                <w:kern w:val="0"/>
                <w:sz w:val="21"/>
                <w:szCs w:val="21"/>
                <w:highlight w:val="none"/>
                <w:u w:val="none"/>
                <w:lang w:val="en-US" w:eastAsia="zh-CN" w:bidi="ar"/>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102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43寸液晶电视</w:t>
            </w:r>
          </w:p>
        </w:tc>
        <w:tc>
          <w:tcPr>
            <w:tcW w:w="37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1.名称:43寸液晶电视</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2.性能参数:电视参数：43英寸 LED面板 ，2K超高清画质，带语音声控，双核64位或以上中央处理器芯片 1G+8G或以上存储组合，8W*2或以上声音输出功率、DTS音频码、三级或以上能效、屏显比例 16 : 9  大于95%屏占比，带2个或以上USB接口，带2个或以上HDMI接口。无线：2.4G WIFI。固定支架参数：挂架材质 冷轧钢板</w:t>
            </w:r>
          </w:p>
        </w:tc>
        <w:tc>
          <w:tcPr>
            <w:tcW w:w="91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532</w:t>
            </w:r>
          </w:p>
        </w:tc>
        <w:tc>
          <w:tcPr>
            <w:tcW w:w="14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b/>
          <w:bCs/>
          <w:color w:val="auto"/>
          <w:sz w:val="24"/>
          <w:szCs w:val="24"/>
          <w:highlight w:val="none"/>
          <w:lang w:val="en-US" w:eastAsia="zh-CN"/>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日期：</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年</w:t>
      </w:r>
      <w:r>
        <w:rPr>
          <w:rFonts w:hint="eastAsia" w:hAnsi="宋体"/>
          <w:color w:val="auto"/>
          <w:sz w:val="21"/>
          <w:szCs w:val="21"/>
          <w:highlight w:val="none"/>
          <w:lang w:val="en-US" w:eastAsia="zh-CN"/>
        </w:rPr>
        <w:t xml:space="preserve">   </w:t>
      </w:r>
      <w:r>
        <w:rPr>
          <w:rFonts w:hint="eastAsia" w:hAnsi="宋体"/>
          <w:color w:val="auto"/>
          <w:sz w:val="21"/>
          <w:szCs w:val="21"/>
          <w:highlight w:val="none"/>
        </w:rPr>
        <w:t>月</w:t>
      </w:r>
      <w:r>
        <w:rPr>
          <w:rFonts w:hint="eastAsia" w:hAnsi="宋体"/>
          <w:color w:val="auto"/>
          <w:sz w:val="21"/>
          <w:szCs w:val="21"/>
          <w:highlight w:val="none"/>
          <w:lang w:val="en-US" w:eastAsia="zh-CN"/>
        </w:rPr>
        <w:t xml:space="preserve">    </w:t>
      </w:r>
      <w:r>
        <w:rPr>
          <w:rFonts w:hint="eastAsia" w:hAnsi="宋体"/>
          <w:color w:val="auto"/>
          <w:sz w:val="21"/>
          <w:szCs w:val="21"/>
          <w:highlight w:val="none"/>
        </w:rPr>
        <w:t xml:space="preserve">日 </w:t>
      </w:r>
    </w:p>
    <w:p>
      <w:pPr>
        <w:rPr>
          <w:rFonts w:hint="eastAsia" w:eastAsia="宋体"/>
          <w:b/>
          <w:bCs/>
          <w:color w:val="auto"/>
          <w:sz w:val="22"/>
          <w:szCs w:val="22"/>
          <w:highlight w:val="none"/>
          <w:lang w:eastAsia="zh-CN"/>
        </w:rPr>
      </w:pPr>
      <w:r>
        <w:rPr>
          <w:rFonts w:hint="eastAsia" w:eastAsia="宋体"/>
          <w:b/>
          <w:bCs/>
          <w:color w:val="auto"/>
          <w:sz w:val="22"/>
          <w:szCs w:val="22"/>
          <w:highlight w:val="none"/>
          <w:lang w:eastAsia="zh-CN"/>
        </w:rPr>
        <w:br w:type="page"/>
      </w:r>
    </w:p>
    <w:bookmarkEnd w:id="171"/>
    <w:bookmarkEnd w:id="172"/>
    <w:bookmarkEnd w:id="173"/>
    <w:bookmarkEnd w:id="174"/>
    <w:bookmarkEnd w:id="175"/>
    <w:bookmarkEnd w:id="176"/>
    <w:bookmarkEnd w:id="177"/>
    <w:bookmarkEnd w:id="178"/>
    <w:bookmarkEnd w:id="179"/>
    <w:bookmarkEnd w:id="180"/>
    <w:bookmarkEnd w:id="181"/>
    <w:bookmarkEnd w:id="182"/>
    <w:bookmarkEnd w:id="183"/>
    <w:p>
      <w:pPr>
        <w:pStyle w:val="2"/>
        <w:pageBreakBefore/>
        <w:spacing w:line="360" w:lineRule="auto"/>
        <w:jc w:val="center"/>
        <w:rPr>
          <w:bCs/>
          <w:color w:val="auto"/>
          <w:sz w:val="28"/>
          <w:szCs w:val="28"/>
          <w:highlight w:val="none"/>
        </w:rPr>
      </w:pPr>
      <w:bookmarkStart w:id="184" w:name="_Toc18450"/>
      <w:bookmarkStart w:id="185" w:name="_Toc12158"/>
      <w:bookmarkStart w:id="186" w:name="_Toc458262638"/>
      <w:bookmarkStart w:id="187" w:name="_Toc476976200"/>
      <w:bookmarkStart w:id="188" w:name="_Toc486671572"/>
      <w:bookmarkStart w:id="189" w:name="_Toc27849"/>
      <w:bookmarkStart w:id="190" w:name="_Toc467236768"/>
      <w:bookmarkStart w:id="191" w:name="_Toc454701405"/>
      <w:bookmarkStart w:id="192" w:name="_Toc7897890"/>
      <w:bookmarkStart w:id="193" w:name="_Toc110953866"/>
      <w:bookmarkStart w:id="194" w:name="_Toc468606064"/>
      <w:bookmarkStart w:id="195" w:name="_Toc480010742"/>
      <w:bookmarkStart w:id="196" w:name="_Toc468157569"/>
      <w:bookmarkStart w:id="197" w:name="_Toc467987856"/>
      <w:bookmarkStart w:id="198" w:name="_Toc480021085"/>
      <w:bookmarkStart w:id="199" w:name="_Toc479991616"/>
      <w:bookmarkStart w:id="200" w:name="_Toc480020289"/>
      <w:r>
        <w:rPr>
          <w:rFonts w:hint="eastAsia"/>
          <w:bCs/>
          <w:color w:val="auto"/>
          <w:sz w:val="28"/>
          <w:szCs w:val="28"/>
          <w:highlight w:val="none"/>
        </w:rPr>
        <w:t>第二部分  商务文件</w:t>
      </w:r>
      <w:bookmarkEnd w:id="184"/>
      <w:bookmarkEnd w:id="185"/>
      <w:bookmarkStart w:id="201" w:name="_Hlt10456397"/>
      <w:bookmarkEnd w:id="201"/>
      <w:bookmarkStart w:id="202" w:name="_Hlt10519799"/>
      <w:bookmarkEnd w:id="202"/>
    </w:p>
    <w:p>
      <w:pPr>
        <w:rPr>
          <w:color w:val="auto"/>
          <w:highlight w:val="none"/>
        </w:rPr>
      </w:pPr>
    </w:p>
    <w:p>
      <w:pPr>
        <w:pStyle w:val="2"/>
        <w:numPr>
          <w:ilvl w:val="0"/>
          <w:numId w:val="18"/>
        </w:numPr>
        <w:jc w:val="center"/>
        <w:rPr>
          <w:b w:val="0"/>
          <w:color w:val="auto"/>
          <w:sz w:val="28"/>
          <w:szCs w:val="28"/>
          <w:highlight w:val="none"/>
        </w:rPr>
      </w:pPr>
      <w:bookmarkStart w:id="203" w:name="_Toc18728"/>
      <w:r>
        <w:rPr>
          <w:rFonts w:hint="eastAsia"/>
          <w:color w:val="auto"/>
          <w:sz w:val="28"/>
          <w:szCs w:val="28"/>
          <w:highlight w:val="none"/>
        </w:rPr>
        <w:t>响应书</w:t>
      </w:r>
      <w:bookmarkEnd w:id="186"/>
      <w:bookmarkEnd w:id="187"/>
      <w:bookmarkEnd w:id="188"/>
      <w:bookmarkEnd w:id="189"/>
      <w:bookmarkEnd w:id="190"/>
      <w:bookmarkEnd w:id="191"/>
      <w:bookmarkEnd w:id="192"/>
      <w:bookmarkEnd w:id="203"/>
    </w:p>
    <w:p>
      <w:pPr>
        <w:pStyle w:val="31"/>
        <w:autoSpaceDE/>
        <w:autoSpaceDN/>
        <w:adjustRightInd/>
        <w:spacing w:line="480" w:lineRule="exact"/>
        <w:ind w:left="6000"/>
        <w:rPr>
          <w:rFonts w:hAnsi="宋体"/>
          <w:color w:val="auto"/>
          <w:sz w:val="24"/>
          <w:highlight w:val="none"/>
        </w:rPr>
      </w:pPr>
    </w:p>
    <w:p>
      <w:pPr>
        <w:pStyle w:val="31"/>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w:t>
      </w:r>
      <w:r>
        <w:rPr>
          <w:rFonts w:hint="eastAsia" w:hAnsi="宋体"/>
          <w:color w:val="auto"/>
          <w:sz w:val="21"/>
          <w:szCs w:val="21"/>
          <w:highlight w:val="none"/>
          <w:lang w:eastAsia="zh-CN"/>
        </w:rPr>
        <w:t>项目编号</w:t>
      </w:r>
      <w:r>
        <w:rPr>
          <w:rFonts w:hint="eastAsia" w:hAnsi="宋体"/>
          <w:color w:val="auto"/>
          <w:sz w:val="21"/>
          <w:szCs w:val="21"/>
          <w:highlight w:val="none"/>
        </w:rPr>
        <w:t>：）的采购邀请和磋商文件，供应商承诺如下：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w:t>
      </w:r>
      <w:r>
        <w:rPr>
          <w:rFonts w:hint="eastAsia" w:hAnsi="宋体"/>
          <w:color w:val="auto"/>
          <w:sz w:val="21"/>
          <w:szCs w:val="21"/>
          <w:highlight w:val="none"/>
          <w:lang w:val="en-US" w:eastAsia="zh-CN"/>
        </w:rPr>
        <w:t xml:space="preserve">  </w:t>
      </w:r>
      <w:r>
        <w:rPr>
          <w:rFonts w:hint="eastAsia" w:hAnsi="宋体"/>
          <w:color w:val="auto"/>
          <w:sz w:val="21"/>
          <w:szCs w:val="21"/>
          <w:highlight w:val="none"/>
        </w:rPr>
        <w:t>月</w:t>
      </w:r>
      <w:r>
        <w:rPr>
          <w:rFonts w:hint="eastAsia" w:hAnsi="宋体"/>
          <w:color w:val="auto"/>
          <w:sz w:val="21"/>
          <w:szCs w:val="21"/>
          <w:highlight w:val="none"/>
          <w:lang w:val="en-US" w:eastAsia="zh-CN"/>
        </w:rPr>
        <w:t xml:space="preserve">   </w:t>
      </w:r>
      <w:r>
        <w:rPr>
          <w:rFonts w:hint="eastAsia" w:hAnsi="宋体"/>
          <w:color w:val="auto"/>
          <w:sz w:val="21"/>
          <w:szCs w:val="21"/>
          <w:highlight w:val="none"/>
        </w:rPr>
        <w:t>日</w:t>
      </w:r>
    </w:p>
    <w:p>
      <w:pPr>
        <w:pStyle w:val="2"/>
        <w:numPr>
          <w:ilvl w:val="0"/>
          <w:numId w:val="18"/>
        </w:numPr>
        <w:jc w:val="center"/>
        <w:rPr>
          <w:bCs/>
          <w:color w:val="auto"/>
          <w:sz w:val="28"/>
          <w:szCs w:val="28"/>
          <w:highlight w:val="none"/>
        </w:rPr>
      </w:pPr>
      <w:r>
        <w:rPr>
          <w:color w:val="auto"/>
          <w:sz w:val="22"/>
          <w:szCs w:val="22"/>
          <w:highlight w:val="none"/>
        </w:rPr>
        <w:br w:type="page"/>
      </w:r>
      <w:bookmarkStart w:id="204" w:name="_Toc10808"/>
      <w:bookmarkStart w:id="205" w:name="_Toc31943"/>
      <w:bookmarkStart w:id="206" w:name="_Toc7897891"/>
      <w:r>
        <w:rPr>
          <w:rFonts w:hint="eastAsia"/>
          <w:bCs/>
          <w:color w:val="auto"/>
          <w:sz w:val="28"/>
          <w:szCs w:val="28"/>
          <w:highlight w:val="none"/>
        </w:rPr>
        <w:t>法定代表人证明书</w:t>
      </w:r>
      <w:bookmarkEnd w:id="204"/>
      <w:bookmarkEnd w:id="205"/>
      <w:bookmarkEnd w:id="206"/>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须附：法定代表人身份证复印件（加盖公章）</w:t>
      </w:r>
    </w:p>
    <w:p>
      <w:pPr>
        <w:spacing w:line="420" w:lineRule="atLeast"/>
        <w:ind w:firstLine="422" w:firstLineChars="200"/>
        <w:rPr>
          <w:b/>
          <w:color w:val="auto"/>
          <w:sz w:val="21"/>
          <w:szCs w:val="21"/>
          <w:highlight w:val="none"/>
        </w:rPr>
      </w:pPr>
    </w:p>
    <w:tbl>
      <w:tblPr>
        <w:tblStyle w:val="52"/>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2"/>
        <w:numPr>
          <w:ilvl w:val="0"/>
          <w:numId w:val="18"/>
        </w:numPr>
        <w:jc w:val="center"/>
        <w:rPr>
          <w:bCs/>
          <w:color w:val="auto"/>
          <w:sz w:val="28"/>
          <w:szCs w:val="28"/>
          <w:highlight w:val="none"/>
        </w:rPr>
      </w:pPr>
      <w:r>
        <w:rPr>
          <w:rFonts w:hint="eastAsia"/>
          <w:bCs/>
          <w:color w:val="auto"/>
          <w:sz w:val="28"/>
          <w:szCs w:val="28"/>
          <w:highlight w:val="none"/>
        </w:rPr>
        <w:br w:type="page"/>
      </w:r>
      <w:bookmarkStart w:id="207" w:name="_Toc19634"/>
      <w:bookmarkStart w:id="208" w:name="_Toc7897892"/>
      <w:bookmarkStart w:id="209" w:name="_Toc28882"/>
      <w:r>
        <w:rPr>
          <w:rFonts w:hint="eastAsia"/>
          <w:bCs/>
          <w:color w:val="auto"/>
          <w:sz w:val="28"/>
          <w:szCs w:val="28"/>
          <w:highlight w:val="none"/>
        </w:rPr>
        <w:t>授权委托书（加法人证明书）</w:t>
      </w:r>
      <w:bookmarkEnd w:id="207"/>
      <w:bookmarkEnd w:id="208"/>
      <w:bookmarkEnd w:id="209"/>
    </w:p>
    <w:p>
      <w:pPr>
        <w:pStyle w:val="12"/>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w:t>
      </w:r>
      <w:r>
        <w:rPr>
          <w:rFonts w:hint="eastAsia" w:ascii="宋体" w:eastAsia="宋体"/>
          <w:color w:val="auto"/>
          <w:sz w:val="21"/>
          <w:szCs w:val="21"/>
          <w:highlight w:val="none"/>
          <w:lang w:eastAsia="zh-CN"/>
        </w:rPr>
        <w:t>项目编号</w:t>
      </w:r>
      <w:r>
        <w:rPr>
          <w:rFonts w:hint="eastAsia" w:ascii="宋体" w:eastAsia="宋体"/>
          <w:color w:val="auto"/>
          <w:sz w:val="21"/>
          <w:szCs w:val="21"/>
          <w:highlight w:val="none"/>
        </w:rPr>
        <w:t>：</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须附：授权代理人身份证复印件（加盖公章）</w:t>
      </w:r>
    </w:p>
    <w:p>
      <w:pPr>
        <w:spacing w:line="420" w:lineRule="atLeast"/>
        <w:ind w:firstLine="420" w:firstLineChars="200"/>
        <w:rPr>
          <w:color w:val="auto"/>
          <w:sz w:val="21"/>
          <w:szCs w:val="21"/>
          <w:highlight w:val="none"/>
        </w:rPr>
      </w:pPr>
    </w:p>
    <w:tbl>
      <w:tblPr>
        <w:tblStyle w:val="52"/>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12"/>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10" w:name="_Toc7897893"/>
      <w:bookmarkStart w:id="211" w:name="_Toc4592"/>
    </w:p>
    <w:p>
      <w:pPr>
        <w:pStyle w:val="12"/>
        <w:ind w:firstLine="0" w:firstLineChars="0"/>
        <w:rPr>
          <w:color w:val="auto"/>
          <w:highlight w:val="none"/>
        </w:rPr>
      </w:pPr>
    </w:p>
    <w:p>
      <w:pPr>
        <w:pStyle w:val="12"/>
        <w:ind w:firstLine="0" w:firstLineChars="0"/>
        <w:rPr>
          <w:color w:val="auto"/>
          <w:highlight w:val="none"/>
        </w:rPr>
      </w:pPr>
    </w:p>
    <w:p>
      <w:pPr>
        <w:pStyle w:val="12"/>
        <w:ind w:firstLine="0" w:firstLineChars="0"/>
        <w:rPr>
          <w:color w:val="auto"/>
          <w:highlight w:val="none"/>
        </w:rPr>
      </w:pPr>
    </w:p>
    <w:p>
      <w:pPr>
        <w:pStyle w:val="2"/>
        <w:numPr>
          <w:ilvl w:val="0"/>
          <w:numId w:val="18"/>
        </w:numPr>
        <w:jc w:val="center"/>
        <w:rPr>
          <w:color w:val="auto"/>
          <w:sz w:val="28"/>
          <w:szCs w:val="28"/>
          <w:highlight w:val="none"/>
        </w:rPr>
      </w:pPr>
      <w:bookmarkStart w:id="212" w:name="_Toc17363"/>
      <w:r>
        <w:rPr>
          <w:rFonts w:hint="eastAsia"/>
          <w:color w:val="auto"/>
          <w:sz w:val="28"/>
          <w:szCs w:val="28"/>
          <w:highlight w:val="none"/>
        </w:rPr>
        <w:t>供应商基本情况说明</w:t>
      </w:r>
      <w:bookmarkEnd w:id="210"/>
      <w:bookmarkEnd w:id="211"/>
      <w:bookmarkEnd w:id="212"/>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2"/>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rPr>
          <w:rFonts w:hAnsi="宋体"/>
          <w:color w:val="auto"/>
          <w:sz w:val="21"/>
          <w:szCs w:val="21"/>
          <w:highlight w:val="none"/>
        </w:rPr>
      </w:pPr>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p>
    <w:tbl>
      <w:tblPr>
        <w:tblStyle w:val="52"/>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日期：</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年</w:t>
      </w:r>
      <w:r>
        <w:rPr>
          <w:rFonts w:hint="eastAsia" w:hAnsi="宋体"/>
          <w:color w:val="auto"/>
          <w:sz w:val="21"/>
          <w:szCs w:val="21"/>
          <w:highlight w:val="none"/>
          <w:lang w:val="en-US" w:eastAsia="zh-CN"/>
        </w:rPr>
        <w:t xml:space="preserve"> </w:t>
      </w:r>
      <w:r>
        <w:rPr>
          <w:rFonts w:hint="eastAsia" w:hAnsi="宋体"/>
          <w:color w:val="auto"/>
          <w:sz w:val="21"/>
          <w:szCs w:val="21"/>
          <w:highlight w:val="none"/>
        </w:rPr>
        <w:t>月</w:t>
      </w:r>
      <w:r>
        <w:rPr>
          <w:rFonts w:hint="eastAsia" w:hAnsi="宋体"/>
          <w:color w:val="auto"/>
          <w:sz w:val="21"/>
          <w:szCs w:val="21"/>
          <w:highlight w:val="none"/>
          <w:lang w:val="en-US" w:eastAsia="zh-CN"/>
        </w:rPr>
        <w:t xml:space="preserve">  </w:t>
      </w:r>
      <w:r>
        <w:rPr>
          <w:rFonts w:hint="eastAsia" w:hAnsi="宋体"/>
          <w:color w:val="auto"/>
          <w:sz w:val="21"/>
          <w:szCs w:val="21"/>
          <w:highlight w:val="none"/>
        </w:rPr>
        <w:t xml:space="preserve">日 </w:t>
      </w:r>
    </w:p>
    <w:p>
      <w:pPr>
        <w:pStyle w:val="2"/>
        <w:numPr>
          <w:ilvl w:val="0"/>
          <w:numId w:val="18"/>
        </w:numPr>
        <w:jc w:val="center"/>
        <w:rPr>
          <w:b w:val="0"/>
          <w:color w:val="auto"/>
          <w:sz w:val="28"/>
          <w:szCs w:val="28"/>
          <w:highlight w:val="none"/>
          <w:u w:val="single"/>
        </w:rPr>
      </w:pPr>
      <w:r>
        <w:rPr>
          <w:color w:val="auto"/>
          <w:sz w:val="22"/>
          <w:szCs w:val="22"/>
          <w:highlight w:val="none"/>
        </w:rPr>
        <w:br w:type="page"/>
      </w:r>
      <w:bookmarkStart w:id="213" w:name="_Toc7897894"/>
      <w:bookmarkStart w:id="214" w:name="_Toc17704"/>
      <w:bookmarkStart w:id="215" w:name="_Toc27094"/>
      <w:r>
        <w:rPr>
          <w:rFonts w:hint="eastAsia" w:ascii="宋体" w:hAnsi="宋体" w:eastAsia="宋体" w:cs="宋体"/>
          <w:bCs/>
          <w:color w:val="auto"/>
          <w:sz w:val="28"/>
          <w:szCs w:val="28"/>
          <w:highlight w:val="none"/>
          <w:lang w:eastAsia="zh-CN"/>
        </w:rPr>
        <w:t>用户需求</w:t>
      </w:r>
      <w:r>
        <w:rPr>
          <w:rFonts w:hint="eastAsia"/>
          <w:bCs/>
          <w:color w:val="auto"/>
          <w:sz w:val="28"/>
          <w:szCs w:val="28"/>
          <w:highlight w:val="none"/>
        </w:rPr>
        <w:t>偏离表</w:t>
      </w:r>
      <w:bookmarkEnd w:id="193"/>
      <w:bookmarkEnd w:id="213"/>
      <w:bookmarkEnd w:id="214"/>
      <w:bookmarkEnd w:id="215"/>
    </w:p>
    <w:p>
      <w:pPr>
        <w:pStyle w:val="12"/>
        <w:ind w:firstLine="480"/>
        <w:rPr>
          <w:color w:val="auto"/>
          <w:sz w:val="24"/>
          <w:szCs w:val="21"/>
          <w:highlight w:val="none"/>
        </w:rPr>
      </w:pPr>
    </w:p>
    <w:tbl>
      <w:tblPr>
        <w:tblStyle w:val="5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w:t>
      </w:r>
      <w:r>
        <w:rPr>
          <w:rFonts w:hint="eastAsia" w:hAnsi="宋体"/>
          <w:color w:val="auto"/>
          <w:sz w:val="21"/>
          <w:szCs w:val="21"/>
          <w:highlight w:val="none"/>
          <w:lang w:eastAsia="zh-CN"/>
        </w:rPr>
        <w:t>用户</w:t>
      </w:r>
      <w:r>
        <w:rPr>
          <w:rFonts w:hint="eastAsia" w:hAnsi="宋体"/>
          <w:color w:val="auto"/>
          <w:sz w:val="21"/>
          <w:szCs w:val="21"/>
          <w:highlight w:val="none"/>
        </w:rPr>
        <w:t>需求书”，“响应文件响应情况”是指供应商的</w:t>
      </w:r>
      <w:r>
        <w:rPr>
          <w:rFonts w:hint="eastAsia" w:hAnsi="宋体"/>
          <w:color w:val="auto"/>
          <w:sz w:val="21"/>
          <w:szCs w:val="21"/>
          <w:highlight w:val="none"/>
          <w:lang w:eastAsia="zh-CN"/>
        </w:rPr>
        <w:t>响应</w:t>
      </w:r>
      <w:r>
        <w:rPr>
          <w:rFonts w:hint="eastAsia" w:hAnsi="宋体"/>
          <w:color w:val="auto"/>
          <w:sz w:val="21"/>
          <w:szCs w:val="21"/>
          <w:highlight w:val="none"/>
        </w:rPr>
        <w:t>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对“用户需求书”的条款全部响应的，也可以在表格下面用文字总括性的说明。</w:t>
      </w:r>
    </w:p>
    <w:p>
      <w:pPr>
        <w:bidi w:val="0"/>
        <w:rPr>
          <w:color w:val="auto"/>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keepNext w:val="0"/>
        <w:keepLines w:val="0"/>
        <w:pageBreakBefore w:val="0"/>
        <w:widowControl w:val="0"/>
        <w:kinsoku/>
        <w:wordWrap/>
        <w:overflowPunct w:val="0"/>
        <w:topLinePunct w:val="0"/>
        <w:autoSpaceDE w:val="0"/>
        <w:autoSpaceDN w:val="0"/>
        <w:bidi w:val="0"/>
        <w:adjustRightInd w:val="0"/>
        <w:snapToGrid/>
        <w:spacing w:line="460" w:lineRule="exact"/>
        <w:ind w:firstLine="420" w:firstLineChars="200"/>
        <w:textAlignment w:val="auto"/>
        <w:rPr>
          <w:rFonts w:hAnsi="宋体"/>
          <w:color w:val="auto"/>
          <w:sz w:val="21"/>
          <w:szCs w:val="21"/>
          <w:highlight w:val="none"/>
        </w:rPr>
      </w:pPr>
      <w:r>
        <w:rPr>
          <w:rFonts w:hint="eastAsia" w:hAnsi="宋体"/>
          <w:color w:val="auto"/>
          <w:sz w:val="21"/>
          <w:szCs w:val="21"/>
          <w:highlight w:val="none"/>
        </w:rPr>
        <w:t>供应商名称（加盖公章）：</w:t>
      </w:r>
    </w:p>
    <w:p>
      <w:pPr>
        <w:keepNext w:val="0"/>
        <w:keepLines w:val="0"/>
        <w:pageBreakBefore w:val="0"/>
        <w:widowControl w:val="0"/>
        <w:kinsoku/>
        <w:wordWrap/>
        <w:overflowPunct w:val="0"/>
        <w:topLinePunct w:val="0"/>
        <w:autoSpaceDE w:val="0"/>
        <w:autoSpaceDN w:val="0"/>
        <w:bidi w:val="0"/>
        <w:adjustRightInd w:val="0"/>
        <w:snapToGrid/>
        <w:spacing w:line="460" w:lineRule="exact"/>
        <w:ind w:firstLine="420" w:firstLineChars="200"/>
        <w:textAlignment w:val="auto"/>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keepNext w:val="0"/>
        <w:keepLines w:val="0"/>
        <w:pageBreakBefore w:val="0"/>
        <w:widowControl w:val="0"/>
        <w:kinsoku/>
        <w:wordWrap/>
        <w:overflowPunct w:val="0"/>
        <w:topLinePunct w:val="0"/>
        <w:autoSpaceDE w:val="0"/>
        <w:autoSpaceDN w:val="0"/>
        <w:bidi w:val="0"/>
        <w:adjustRightInd w:val="0"/>
        <w:snapToGrid/>
        <w:spacing w:line="460" w:lineRule="exact"/>
        <w:ind w:firstLine="420" w:firstLineChars="200"/>
        <w:textAlignment w:val="auto"/>
        <w:rPr>
          <w:rFonts w:hAnsi="宋体"/>
          <w:color w:val="auto"/>
          <w:sz w:val="22"/>
          <w:szCs w:val="22"/>
          <w:highlight w:val="none"/>
        </w:rPr>
      </w:pPr>
      <w:r>
        <w:rPr>
          <w:rFonts w:hint="eastAsia" w:hAnsi="宋体"/>
          <w:color w:val="auto"/>
          <w:sz w:val="21"/>
          <w:szCs w:val="21"/>
          <w:highlight w:val="none"/>
        </w:rPr>
        <w:t>日期：</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年</w:t>
      </w:r>
      <w:r>
        <w:rPr>
          <w:rFonts w:hint="eastAsia" w:hAnsi="宋体"/>
          <w:color w:val="auto"/>
          <w:sz w:val="21"/>
          <w:szCs w:val="21"/>
          <w:highlight w:val="none"/>
          <w:lang w:val="en-US" w:eastAsia="zh-CN"/>
        </w:rPr>
        <w:t xml:space="preserve"> </w:t>
      </w:r>
      <w:r>
        <w:rPr>
          <w:rFonts w:hint="eastAsia" w:hAnsi="宋体"/>
          <w:color w:val="auto"/>
          <w:sz w:val="21"/>
          <w:szCs w:val="21"/>
          <w:highlight w:val="none"/>
        </w:rPr>
        <w:t>月</w:t>
      </w:r>
      <w:r>
        <w:rPr>
          <w:rFonts w:hint="eastAsia" w:hAnsi="宋体"/>
          <w:color w:val="auto"/>
          <w:sz w:val="21"/>
          <w:szCs w:val="21"/>
          <w:highlight w:val="none"/>
          <w:lang w:val="en-US" w:eastAsia="zh-CN"/>
        </w:rPr>
        <w:t xml:space="preserve">  </w:t>
      </w:r>
      <w:r>
        <w:rPr>
          <w:rFonts w:hint="eastAsia" w:hAnsi="宋体"/>
          <w:color w:val="auto"/>
          <w:sz w:val="21"/>
          <w:szCs w:val="21"/>
          <w:highlight w:val="none"/>
        </w:rPr>
        <w:t xml:space="preserve">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
        <w:numPr>
          <w:ilvl w:val="0"/>
          <w:numId w:val="18"/>
        </w:numPr>
        <w:jc w:val="center"/>
        <w:rPr>
          <w:rFonts w:ascii="Calibri" w:hAnsi="Times New Roman"/>
          <w:color w:val="auto"/>
          <w:sz w:val="28"/>
          <w:szCs w:val="28"/>
          <w:highlight w:val="none"/>
        </w:rPr>
      </w:pPr>
      <w:bookmarkStart w:id="216" w:name="_Toc8299"/>
      <w:bookmarkStart w:id="217" w:name="_Toc31965"/>
      <w:bookmarkStart w:id="218"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16"/>
    </w:p>
    <w:p>
      <w:pPr>
        <w:rPr>
          <w:rFonts w:hAnsi="宋体"/>
          <w:b/>
          <w:bCs/>
          <w:color w:val="auto"/>
          <w:highlight w:val="none"/>
        </w:rPr>
      </w:pPr>
    </w:p>
    <w:tbl>
      <w:tblPr>
        <w:tblStyle w:val="52"/>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年</w:t>
      </w:r>
      <w:r>
        <w:rPr>
          <w:rFonts w:hint="eastAsia" w:hAnsi="宋体"/>
          <w:color w:val="auto"/>
          <w:sz w:val="21"/>
          <w:szCs w:val="21"/>
          <w:highlight w:val="none"/>
          <w:lang w:val="en-US" w:eastAsia="zh-CN"/>
        </w:rPr>
        <w:t xml:space="preserve"> </w:t>
      </w:r>
      <w:r>
        <w:rPr>
          <w:rFonts w:hint="eastAsia" w:hAnsi="宋体"/>
          <w:color w:val="auto"/>
          <w:sz w:val="21"/>
          <w:szCs w:val="21"/>
          <w:highlight w:val="none"/>
        </w:rPr>
        <w:t>月</w:t>
      </w:r>
      <w:r>
        <w:rPr>
          <w:rFonts w:hint="eastAsia" w:hAnsi="宋体"/>
          <w:color w:val="auto"/>
          <w:sz w:val="21"/>
          <w:szCs w:val="21"/>
          <w:highlight w:val="none"/>
          <w:lang w:val="en-US" w:eastAsia="zh-CN"/>
        </w:rPr>
        <w:t xml:space="preserve">  </w:t>
      </w:r>
      <w:r>
        <w:rPr>
          <w:rFonts w:hint="eastAsia" w:hAnsi="宋体"/>
          <w:color w:val="auto"/>
          <w:sz w:val="21"/>
          <w:szCs w:val="21"/>
          <w:highlight w:val="none"/>
        </w:rPr>
        <w:t>日</w:t>
      </w:r>
    </w:p>
    <w:p>
      <w:pPr>
        <w:pStyle w:val="12"/>
        <w:ind w:firstLine="400"/>
        <w:rPr>
          <w:color w:val="auto"/>
          <w:highlight w:val="none"/>
        </w:rPr>
      </w:pPr>
    </w:p>
    <w:p>
      <w:pPr>
        <w:pStyle w:val="12"/>
        <w:ind w:firstLine="400"/>
        <w:rPr>
          <w:color w:val="auto"/>
          <w:highlight w:val="none"/>
        </w:rPr>
      </w:pPr>
    </w:p>
    <w:p>
      <w:pPr>
        <w:pStyle w:val="2"/>
        <w:numPr>
          <w:ilvl w:val="0"/>
          <w:numId w:val="18"/>
        </w:numPr>
        <w:jc w:val="center"/>
        <w:rPr>
          <w:color w:val="auto"/>
          <w:sz w:val="28"/>
          <w:szCs w:val="28"/>
          <w:highlight w:val="none"/>
        </w:rPr>
      </w:pPr>
      <w:bookmarkStart w:id="219" w:name="_Toc12735"/>
      <w:r>
        <w:rPr>
          <w:rFonts w:hint="eastAsia"/>
          <w:bCs/>
          <w:color w:val="auto"/>
          <w:sz w:val="28"/>
          <w:szCs w:val="28"/>
          <w:highlight w:val="none"/>
        </w:rPr>
        <w:t>供应商所获资质或奖项证书一览表</w:t>
      </w:r>
      <w:bookmarkEnd w:id="217"/>
      <w:bookmarkEnd w:id="218"/>
      <w:bookmarkEnd w:id="219"/>
    </w:p>
    <w:p>
      <w:pPr>
        <w:pStyle w:val="12"/>
        <w:tabs>
          <w:tab w:val="left" w:pos="8280"/>
        </w:tabs>
        <w:spacing w:line="480" w:lineRule="exact"/>
        <w:ind w:firstLine="482"/>
        <w:rPr>
          <w:rFonts w:hAnsi="宋体"/>
          <w:b/>
          <w:color w:val="auto"/>
          <w:sz w:val="24"/>
          <w:szCs w:val="21"/>
          <w:highlight w:val="none"/>
        </w:rPr>
      </w:pPr>
    </w:p>
    <w:tbl>
      <w:tblPr>
        <w:tblStyle w:val="52"/>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12"/>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12"/>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12"/>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12"/>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bl>
    <w:p>
      <w:pPr>
        <w:keepNext w:val="0"/>
        <w:keepLines w:val="0"/>
        <w:pageBreakBefore w:val="0"/>
        <w:widowControl w:val="0"/>
        <w:kinsoku/>
        <w:wordWrap/>
        <w:overflowPunct w:val="0"/>
        <w:topLinePunct w:val="0"/>
        <w:autoSpaceDE w:val="0"/>
        <w:autoSpaceDN w:val="0"/>
        <w:bidi w:val="0"/>
        <w:adjustRightInd w:val="0"/>
        <w:snapToGrid/>
        <w:spacing w:line="460" w:lineRule="exact"/>
        <w:ind w:firstLine="420" w:firstLineChars="200"/>
        <w:textAlignment w:val="auto"/>
        <w:rPr>
          <w:rFonts w:hAnsi="宋体"/>
          <w:color w:val="auto"/>
          <w:sz w:val="21"/>
          <w:szCs w:val="21"/>
          <w:highlight w:val="none"/>
        </w:rPr>
      </w:pPr>
      <w:r>
        <w:rPr>
          <w:rFonts w:hint="eastAsia" w:hAnsi="宋体"/>
          <w:color w:val="auto"/>
          <w:sz w:val="21"/>
          <w:szCs w:val="21"/>
          <w:highlight w:val="none"/>
        </w:rPr>
        <w:t>供应商名称（加盖公章）：</w:t>
      </w:r>
    </w:p>
    <w:p>
      <w:pPr>
        <w:keepNext w:val="0"/>
        <w:keepLines w:val="0"/>
        <w:pageBreakBefore w:val="0"/>
        <w:widowControl w:val="0"/>
        <w:kinsoku/>
        <w:wordWrap/>
        <w:overflowPunct w:val="0"/>
        <w:topLinePunct w:val="0"/>
        <w:autoSpaceDE w:val="0"/>
        <w:autoSpaceDN w:val="0"/>
        <w:bidi w:val="0"/>
        <w:adjustRightInd w:val="0"/>
        <w:snapToGrid/>
        <w:spacing w:line="460" w:lineRule="exact"/>
        <w:ind w:firstLine="420" w:firstLineChars="200"/>
        <w:textAlignment w:val="auto"/>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keepNext w:val="0"/>
        <w:keepLines w:val="0"/>
        <w:pageBreakBefore w:val="0"/>
        <w:widowControl w:val="0"/>
        <w:kinsoku/>
        <w:wordWrap/>
        <w:overflowPunct w:val="0"/>
        <w:topLinePunct w:val="0"/>
        <w:autoSpaceDE w:val="0"/>
        <w:autoSpaceDN w:val="0"/>
        <w:bidi w:val="0"/>
        <w:adjustRightInd w:val="0"/>
        <w:snapToGrid/>
        <w:spacing w:line="460" w:lineRule="exact"/>
        <w:ind w:firstLine="420" w:firstLineChars="200"/>
        <w:textAlignment w:val="auto"/>
        <w:rPr>
          <w:rFonts w:hAnsi="宋体"/>
          <w:color w:val="auto"/>
          <w:sz w:val="21"/>
          <w:szCs w:val="21"/>
          <w:highlight w:val="none"/>
        </w:rPr>
      </w:pPr>
      <w:r>
        <w:rPr>
          <w:rFonts w:hint="eastAsia" w:hAnsi="宋体"/>
          <w:color w:val="auto"/>
          <w:sz w:val="21"/>
          <w:szCs w:val="21"/>
          <w:highlight w:val="none"/>
        </w:rPr>
        <w:t>日期：</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年</w:t>
      </w:r>
      <w:r>
        <w:rPr>
          <w:rFonts w:hint="eastAsia" w:hAnsi="宋体"/>
          <w:color w:val="auto"/>
          <w:sz w:val="21"/>
          <w:szCs w:val="21"/>
          <w:highlight w:val="none"/>
          <w:lang w:val="en-US" w:eastAsia="zh-CN"/>
        </w:rPr>
        <w:t xml:space="preserve">  </w:t>
      </w:r>
      <w:r>
        <w:rPr>
          <w:rFonts w:hint="eastAsia" w:hAnsi="宋体"/>
          <w:color w:val="auto"/>
          <w:sz w:val="21"/>
          <w:szCs w:val="21"/>
          <w:highlight w:val="none"/>
        </w:rPr>
        <w:t>月</w:t>
      </w:r>
      <w:r>
        <w:rPr>
          <w:rFonts w:hint="eastAsia" w:hAnsi="宋体"/>
          <w:color w:val="auto"/>
          <w:sz w:val="21"/>
          <w:szCs w:val="21"/>
          <w:highlight w:val="none"/>
          <w:lang w:val="en-US" w:eastAsia="zh-CN"/>
        </w:rPr>
        <w:t xml:space="preserve">  </w:t>
      </w:r>
      <w:r>
        <w:rPr>
          <w:rFonts w:hint="eastAsia" w:hAnsi="宋体"/>
          <w:color w:val="auto"/>
          <w:sz w:val="21"/>
          <w:szCs w:val="21"/>
          <w:highlight w:val="none"/>
        </w:rPr>
        <w:t xml:space="preserve">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2"/>
        <w:numPr>
          <w:ilvl w:val="0"/>
          <w:numId w:val="18"/>
        </w:numPr>
        <w:jc w:val="center"/>
        <w:rPr>
          <w:color w:val="auto"/>
          <w:sz w:val="28"/>
          <w:szCs w:val="28"/>
          <w:highlight w:val="none"/>
        </w:rPr>
      </w:pPr>
      <w:r>
        <w:rPr>
          <w:color w:val="auto"/>
          <w:highlight w:val="none"/>
        </w:rPr>
        <w:br w:type="page"/>
      </w:r>
      <w:bookmarkStart w:id="220" w:name="_Toc4539"/>
      <w:bookmarkStart w:id="221" w:name="_Toc4884"/>
      <w:bookmarkStart w:id="222" w:name="_Toc7897896"/>
      <w:r>
        <w:rPr>
          <w:rFonts w:hint="eastAsia"/>
          <w:bCs/>
          <w:color w:val="auto"/>
          <w:sz w:val="28"/>
          <w:szCs w:val="28"/>
          <w:highlight w:val="none"/>
        </w:rPr>
        <w:t>项目业绩一览表</w:t>
      </w:r>
      <w:bookmarkEnd w:id="220"/>
      <w:bookmarkEnd w:id="221"/>
      <w:bookmarkEnd w:id="222"/>
    </w:p>
    <w:p>
      <w:pPr>
        <w:pStyle w:val="28"/>
        <w:spacing w:line="480" w:lineRule="exact"/>
        <w:jc w:val="center"/>
        <w:rPr>
          <w:rFonts w:hAnsi="宋体"/>
          <w:b/>
          <w:color w:val="auto"/>
          <w:sz w:val="22"/>
          <w:szCs w:val="22"/>
          <w:highlight w:val="none"/>
        </w:rPr>
      </w:pPr>
    </w:p>
    <w:tbl>
      <w:tblPr>
        <w:tblStyle w:val="52"/>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402"/>
        <w:gridCol w:w="1695"/>
        <w:gridCol w:w="1635"/>
        <w:gridCol w:w="169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6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16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lang w:eastAsia="zh-CN"/>
              </w:rPr>
              <w:t>合同签订</w:t>
            </w:r>
            <w:r>
              <w:rPr>
                <w:rFonts w:hint="eastAsia" w:hAnsi="宋体"/>
                <w:b/>
                <w:color w:val="auto"/>
                <w:sz w:val="21"/>
                <w:szCs w:val="21"/>
                <w:highlight w:val="none"/>
              </w:rPr>
              <w:t>时间</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hAnsi="宋体"/>
                <w:b/>
                <w:color w:val="auto"/>
                <w:sz w:val="21"/>
                <w:szCs w:val="21"/>
                <w:highlight w:val="none"/>
                <w:lang w:eastAsia="zh-CN"/>
              </w:rPr>
            </w:pPr>
            <w:r>
              <w:rPr>
                <w:rFonts w:hint="eastAsia" w:hAnsi="宋体"/>
                <w:b/>
                <w:color w:val="auto"/>
                <w:sz w:val="21"/>
                <w:szCs w:val="21"/>
                <w:highlight w:val="none"/>
                <w:lang w:eastAsia="zh-CN"/>
              </w:rPr>
              <w:t>完成情况</w:t>
            </w:r>
          </w:p>
          <w:p>
            <w:pPr>
              <w:snapToGrid w:val="0"/>
              <w:jc w:val="center"/>
              <w:rPr>
                <w:rFonts w:hAnsi="宋体"/>
                <w:b/>
                <w:color w:val="auto"/>
                <w:sz w:val="21"/>
                <w:szCs w:val="21"/>
                <w:highlight w:val="none"/>
              </w:rPr>
            </w:pPr>
            <w:r>
              <w:rPr>
                <w:rFonts w:hint="eastAsia" w:hAnsi="宋体"/>
                <w:b/>
                <w:color w:val="auto"/>
                <w:sz w:val="21"/>
                <w:szCs w:val="21"/>
                <w:highlight w:val="none"/>
                <w:lang w:eastAsia="zh-CN"/>
              </w:rPr>
              <w:t>（正在进行或已完成）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1</w:t>
            </w:r>
          </w:p>
        </w:tc>
        <w:tc>
          <w:tcPr>
            <w:tcW w:w="240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9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90"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80"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2</w:t>
            </w:r>
          </w:p>
        </w:tc>
        <w:tc>
          <w:tcPr>
            <w:tcW w:w="240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9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90"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80"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3</w:t>
            </w:r>
          </w:p>
        </w:tc>
        <w:tc>
          <w:tcPr>
            <w:tcW w:w="240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9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90"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80"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w:t>
            </w:r>
          </w:p>
        </w:tc>
        <w:tc>
          <w:tcPr>
            <w:tcW w:w="240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9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90"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80"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9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90"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80"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9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90"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80"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9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90"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80"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9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690"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80"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lang w:eastAsia="zh-CN"/>
        </w:rPr>
        <w:t>注</w:t>
      </w:r>
      <w:r>
        <w:rPr>
          <w:rFonts w:hint="eastAsia" w:hAnsi="宋体"/>
          <w:color w:val="auto"/>
          <w:sz w:val="21"/>
          <w:szCs w:val="21"/>
          <w:highlight w:val="none"/>
        </w:rPr>
        <w:t>：供应商应当在响应文件中提供评分标准</w:t>
      </w:r>
      <w:r>
        <w:rPr>
          <w:rFonts w:hint="eastAsia" w:hAnsi="宋体"/>
          <w:color w:val="auto"/>
          <w:sz w:val="21"/>
          <w:szCs w:val="21"/>
          <w:highlight w:val="none"/>
          <w:lang w:eastAsia="zh-CN"/>
        </w:rPr>
        <w:t>（如有）</w:t>
      </w:r>
      <w:r>
        <w:rPr>
          <w:rFonts w:hint="eastAsia" w:hAnsi="宋体"/>
          <w:color w:val="auto"/>
          <w:sz w:val="21"/>
          <w:szCs w:val="21"/>
          <w:highlight w:val="none"/>
        </w:rPr>
        <w:t>中要求提供</w:t>
      </w:r>
      <w:r>
        <w:rPr>
          <w:rFonts w:hint="eastAsia" w:hAnsi="宋体"/>
          <w:color w:val="auto"/>
          <w:sz w:val="21"/>
          <w:szCs w:val="21"/>
          <w:highlight w:val="none"/>
          <w:lang w:eastAsia="zh-CN"/>
        </w:rPr>
        <w:t>的证明材料</w:t>
      </w:r>
      <w:r>
        <w:rPr>
          <w:rFonts w:hint="eastAsia" w:hAnsi="宋体"/>
          <w:color w:val="auto"/>
          <w:sz w:val="21"/>
          <w:szCs w:val="21"/>
          <w:highlight w:val="none"/>
        </w:rPr>
        <w:t>。</w:t>
      </w:r>
    </w:p>
    <w:p>
      <w:pPr>
        <w:pStyle w:val="28"/>
        <w:spacing w:line="480" w:lineRule="exact"/>
        <w:rPr>
          <w:rFonts w:hAnsi="宋体"/>
          <w:color w:val="auto"/>
          <w:sz w:val="22"/>
          <w:szCs w:val="22"/>
          <w:highlight w:val="none"/>
        </w:rPr>
      </w:pPr>
    </w:p>
    <w:p>
      <w:pPr>
        <w:pStyle w:val="28"/>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日期：</w:t>
      </w:r>
      <w:r>
        <w:rPr>
          <w:rFonts w:hint="eastAsia" w:hAnsi="宋体"/>
          <w:color w:val="auto"/>
          <w:sz w:val="22"/>
          <w:szCs w:val="22"/>
          <w:highlight w:val="none"/>
          <w:lang w:val="en-US" w:eastAsia="zh-CN"/>
        </w:rPr>
        <w:t xml:space="preserve"> </w:t>
      </w:r>
      <w:r>
        <w:rPr>
          <w:rFonts w:hint="eastAsia" w:hAnsi="宋体"/>
          <w:color w:val="auto"/>
          <w:sz w:val="22"/>
          <w:szCs w:val="22"/>
          <w:highlight w:val="none"/>
        </w:rPr>
        <w:t>年</w:t>
      </w:r>
      <w:r>
        <w:rPr>
          <w:rFonts w:hint="eastAsia" w:hAnsi="宋体"/>
          <w:color w:val="auto"/>
          <w:sz w:val="22"/>
          <w:szCs w:val="22"/>
          <w:highlight w:val="none"/>
          <w:lang w:val="en-US" w:eastAsia="zh-CN"/>
        </w:rPr>
        <w:t xml:space="preserve">  </w:t>
      </w:r>
      <w:r>
        <w:rPr>
          <w:rFonts w:hint="eastAsia" w:hAnsi="宋体"/>
          <w:color w:val="auto"/>
          <w:sz w:val="22"/>
          <w:szCs w:val="22"/>
          <w:highlight w:val="none"/>
        </w:rPr>
        <w:t>月</w:t>
      </w:r>
      <w:r>
        <w:rPr>
          <w:rFonts w:hint="eastAsia" w:hAnsi="宋体"/>
          <w:color w:val="auto"/>
          <w:sz w:val="22"/>
          <w:szCs w:val="22"/>
          <w:highlight w:val="none"/>
          <w:lang w:val="en-US" w:eastAsia="zh-CN"/>
        </w:rPr>
        <w:t xml:space="preserve">  </w:t>
      </w:r>
      <w:r>
        <w:rPr>
          <w:rFonts w:hint="eastAsia" w:hAnsi="宋体"/>
          <w:color w:val="auto"/>
          <w:sz w:val="22"/>
          <w:szCs w:val="22"/>
          <w:highlight w:val="none"/>
        </w:rPr>
        <w:t xml:space="preserve">日 </w:t>
      </w:r>
    </w:p>
    <w:p>
      <w:pPr>
        <w:pStyle w:val="2"/>
        <w:numPr>
          <w:ilvl w:val="0"/>
          <w:numId w:val="18"/>
        </w:numPr>
        <w:jc w:val="center"/>
        <w:rPr>
          <w:b w:val="0"/>
          <w:bCs/>
          <w:color w:val="auto"/>
          <w:sz w:val="28"/>
          <w:highlight w:val="none"/>
        </w:rPr>
      </w:pPr>
      <w:r>
        <w:rPr>
          <w:color w:val="auto"/>
          <w:sz w:val="22"/>
          <w:szCs w:val="22"/>
          <w:highlight w:val="none"/>
        </w:rPr>
        <w:br w:type="page"/>
      </w:r>
      <w:bookmarkStart w:id="223" w:name="_Toc7897897"/>
      <w:bookmarkStart w:id="224" w:name="_Toc23633"/>
      <w:bookmarkStart w:id="225" w:name="_Toc17432"/>
      <w:r>
        <w:rPr>
          <w:rFonts w:hint="eastAsia"/>
          <w:bCs/>
          <w:color w:val="auto"/>
          <w:sz w:val="28"/>
          <w:highlight w:val="none"/>
        </w:rPr>
        <w:t>在经营活动中没有重大违法记录的书面声明</w:t>
      </w:r>
      <w:bookmarkEnd w:id="223"/>
      <w:bookmarkEnd w:id="224"/>
      <w:bookmarkEnd w:id="225"/>
    </w:p>
    <w:p>
      <w:pPr>
        <w:pStyle w:val="75"/>
        <w:ind w:firstLine="0" w:firstLineChars="0"/>
        <w:jc w:val="center"/>
        <w:rPr>
          <w:rFonts w:ascii="宋体" w:eastAsia="宋体"/>
          <w:b/>
          <w:color w:val="auto"/>
          <w:sz w:val="28"/>
          <w:highlight w:val="none"/>
        </w:rPr>
      </w:pPr>
    </w:p>
    <w:p>
      <w:pPr>
        <w:spacing w:line="360" w:lineRule="auto"/>
        <w:rPr>
          <w:rFonts w:hint="eastAsia" w:hAnsi="宋体" w:eastAsia="宋体"/>
          <w:color w:val="auto"/>
          <w:sz w:val="21"/>
          <w:szCs w:val="21"/>
          <w:highlight w:val="none"/>
          <w:u w:val="single"/>
          <w:lang w:eastAsia="zh-CN"/>
        </w:rPr>
      </w:pPr>
      <w:r>
        <w:rPr>
          <w:rFonts w:hint="eastAsia" w:hAnsi="宋体"/>
          <w:color w:val="auto"/>
          <w:sz w:val="21"/>
          <w:szCs w:val="21"/>
          <w:highlight w:val="none"/>
        </w:rPr>
        <w:t>致：</w:t>
      </w:r>
      <w:r>
        <w:rPr>
          <w:rFonts w:hint="eastAsia" w:hAnsi="宋体"/>
          <w:color w:val="auto"/>
          <w:sz w:val="21"/>
          <w:szCs w:val="21"/>
          <w:highlight w:val="none"/>
          <w:lang w:eastAsia="zh-CN"/>
        </w:rPr>
        <w:t>广东泰通伟业工程咨询有限公司</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采购项目（</w:t>
      </w:r>
      <w:r>
        <w:rPr>
          <w:rFonts w:hint="eastAsia" w:hAnsi="宋体"/>
          <w:color w:val="auto"/>
          <w:sz w:val="21"/>
          <w:szCs w:val="21"/>
          <w:highlight w:val="none"/>
          <w:lang w:eastAsia="zh-CN"/>
        </w:rPr>
        <w:t>项目编号：</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日期：</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年</w:t>
      </w:r>
      <w:r>
        <w:rPr>
          <w:rFonts w:hint="eastAsia" w:hAnsi="宋体"/>
          <w:color w:val="auto"/>
          <w:sz w:val="21"/>
          <w:szCs w:val="21"/>
          <w:highlight w:val="none"/>
          <w:lang w:val="en-US" w:eastAsia="zh-CN"/>
        </w:rPr>
        <w:t xml:space="preserve">   </w:t>
      </w:r>
      <w:r>
        <w:rPr>
          <w:rFonts w:hint="eastAsia" w:hAnsi="宋体"/>
          <w:color w:val="auto"/>
          <w:sz w:val="21"/>
          <w:szCs w:val="21"/>
          <w:highlight w:val="none"/>
        </w:rPr>
        <w:t>月</w:t>
      </w:r>
      <w:r>
        <w:rPr>
          <w:rFonts w:hint="eastAsia" w:hAnsi="宋体"/>
          <w:color w:val="auto"/>
          <w:sz w:val="21"/>
          <w:szCs w:val="21"/>
          <w:highlight w:val="none"/>
          <w:lang w:val="en-US" w:eastAsia="zh-CN"/>
        </w:rPr>
        <w:t xml:space="preserve">    </w:t>
      </w:r>
      <w:r>
        <w:rPr>
          <w:rFonts w:hint="eastAsia" w:hAnsi="宋体"/>
          <w:color w:val="auto"/>
          <w:sz w:val="21"/>
          <w:szCs w:val="21"/>
          <w:highlight w:val="none"/>
        </w:rPr>
        <w:t xml:space="preserve">日 </w:t>
      </w:r>
    </w:p>
    <w:bookmarkEnd w:id="194"/>
    <w:bookmarkEnd w:id="195"/>
    <w:bookmarkEnd w:id="196"/>
    <w:bookmarkEnd w:id="197"/>
    <w:bookmarkEnd w:id="198"/>
    <w:bookmarkEnd w:id="199"/>
    <w:bookmarkEnd w:id="200"/>
    <w:p>
      <w:pPr>
        <w:pStyle w:val="2"/>
        <w:numPr>
          <w:ilvl w:val="0"/>
          <w:numId w:val="18"/>
        </w:numPr>
        <w:jc w:val="center"/>
        <w:rPr>
          <w:b w:val="0"/>
          <w:color w:val="auto"/>
          <w:sz w:val="28"/>
          <w:szCs w:val="28"/>
          <w:highlight w:val="none"/>
        </w:rPr>
      </w:pPr>
      <w:bookmarkStart w:id="226" w:name="_Toc110953865"/>
      <w:bookmarkStart w:id="227" w:name="_Toc480021086"/>
      <w:bookmarkStart w:id="228" w:name="_Toc458262644"/>
      <w:bookmarkStart w:id="229" w:name="_Toc480171915"/>
      <w:bookmarkStart w:id="230" w:name="_Toc467236774"/>
      <w:bookmarkStart w:id="231" w:name="_Toc454701411"/>
      <w:bookmarkStart w:id="232" w:name="_Toc468157570"/>
      <w:bookmarkStart w:id="233" w:name="_Toc468606065"/>
      <w:bookmarkStart w:id="234" w:name="_Toc479991617"/>
      <w:bookmarkStart w:id="235" w:name="_Toc35233726"/>
      <w:bookmarkStart w:id="236" w:name="_Toc480020290"/>
      <w:bookmarkStart w:id="237" w:name="_Toc480010743"/>
      <w:bookmarkStart w:id="238" w:name="_Toc467987857"/>
      <w:r>
        <w:rPr>
          <w:color w:val="auto"/>
          <w:sz w:val="22"/>
          <w:szCs w:val="22"/>
          <w:highlight w:val="none"/>
        </w:rPr>
        <w:br w:type="page"/>
      </w:r>
      <w:bookmarkEnd w:id="226"/>
      <w:bookmarkStart w:id="239" w:name="_Toc7897900"/>
      <w:bookmarkStart w:id="240" w:name="_Toc2461"/>
      <w:bookmarkStart w:id="241" w:name="_Toc8181"/>
      <w:r>
        <w:rPr>
          <w:rFonts w:hint="eastAsia"/>
          <w:color w:val="auto"/>
          <w:sz w:val="28"/>
          <w:szCs w:val="28"/>
          <w:highlight w:val="none"/>
        </w:rPr>
        <w:t>针对本项目拟派人员及其技术资格一览表</w:t>
      </w:r>
      <w:bookmarkEnd w:id="239"/>
      <w:bookmarkEnd w:id="240"/>
      <w:bookmarkEnd w:id="241"/>
    </w:p>
    <w:p>
      <w:pPr>
        <w:pStyle w:val="28"/>
        <w:spacing w:line="480" w:lineRule="exact"/>
        <w:ind w:left="-202" w:leftChars="-84" w:firstLine="221" w:firstLineChars="100"/>
        <w:rPr>
          <w:rFonts w:hAnsi="宋体"/>
          <w:b/>
          <w:color w:val="auto"/>
          <w:sz w:val="22"/>
          <w:szCs w:val="22"/>
          <w:highlight w:val="none"/>
          <w:u w:val="single"/>
        </w:rPr>
      </w:pPr>
    </w:p>
    <w:tbl>
      <w:tblPr>
        <w:tblStyle w:val="52"/>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8"/>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8"/>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lang w:eastAsia="zh-CN"/>
        </w:rPr>
        <w:t>注</w:t>
      </w:r>
      <w:r>
        <w:rPr>
          <w:rFonts w:hint="eastAsia" w:hAnsi="宋体"/>
          <w:color w:val="auto"/>
          <w:sz w:val="21"/>
          <w:szCs w:val="21"/>
          <w:highlight w:val="none"/>
        </w:rPr>
        <w:t>：供应商应当在响应文件中提供评分标准</w:t>
      </w:r>
      <w:r>
        <w:rPr>
          <w:rFonts w:hint="eastAsia" w:hAnsi="宋体"/>
          <w:color w:val="auto"/>
          <w:sz w:val="21"/>
          <w:szCs w:val="21"/>
          <w:highlight w:val="none"/>
          <w:lang w:eastAsia="zh-CN"/>
        </w:rPr>
        <w:t>（如有）</w:t>
      </w:r>
      <w:r>
        <w:rPr>
          <w:rFonts w:hint="eastAsia" w:hAnsi="宋体"/>
          <w:color w:val="auto"/>
          <w:sz w:val="21"/>
          <w:szCs w:val="21"/>
          <w:highlight w:val="none"/>
        </w:rPr>
        <w:t>中要求提供</w:t>
      </w:r>
      <w:r>
        <w:rPr>
          <w:rFonts w:hint="eastAsia" w:hAnsi="宋体"/>
          <w:color w:val="auto"/>
          <w:sz w:val="21"/>
          <w:szCs w:val="21"/>
          <w:highlight w:val="none"/>
          <w:lang w:eastAsia="zh-CN"/>
        </w:rPr>
        <w:t>的证明材料</w:t>
      </w:r>
      <w:r>
        <w:rPr>
          <w:rFonts w:hint="eastAsia" w:hAnsi="宋体"/>
          <w:color w:val="auto"/>
          <w:sz w:val="21"/>
          <w:szCs w:val="21"/>
          <w:highlight w:val="none"/>
        </w:rPr>
        <w:t>。</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pStyle w:val="2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2"/>
        <w:numPr>
          <w:ilvl w:val="0"/>
          <w:numId w:val="18"/>
        </w:numPr>
        <w:jc w:val="center"/>
        <w:rPr>
          <w:bCs/>
          <w:color w:val="auto"/>
          <w:sz w:val="28"/>
          <w:szCs w:val="28"/>
          <w:highlight w:val="none"/>
        </w:rPr>
      </w:pPr>
      <w:r>
        <w:rPr>
          <w:bCs/>
          <w:color w:val="auto"/>
          <w:szCs w:val="21"/>
          <w:highlight w:val="none"/>
        </w:rPr>
        <w:br w:type="page"/>
      </w:r>
      <w:bookmarkEnd w:id="227"/>
      <w:bookmarkEnd w:id="228"/>
      <w:bookmarkEnd w:id="229"/>
      <w:bookmarkEnd w:id="230"/>
      <w:bookmarkEnd w:id="231"/>
      <w:bookmarkEnd w:id="232"/>
      <w:bookmarkEnd w:id="233"/>
      <w:bookmarkEnd w:id="234"/>
      <w:bookmarkEnd w:id="235"/>
      <w:bookmarkEnd w:id="236"/>
      <w:bookmarkEnd w:id="237"/>
      <w:bookmarkEnd w:id="238"/>
      <w:bookmarkStart w:id="242" w:name="_Toc13441"/>
      <w:r>
        <w:rPr>
          <w:rFonts w:hint="eastAsia"/>
          <w:bCs/>
          <w:color w:val="auto"/>
          <w:sz w:val="28"/>
          <w:szCs w:val="28"/>
          <w:highlight w:val="none"/>
        </w:rPr>
        <w:t>磋商保证金汇入情况说明（适用于转账、电汇方式）</w:t>
      </w:r>
      <w:bookmarkEnd w:id="242"/>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lang w:eastAsia="zh-CN"/>
        </w:rPr>
        <w:t>项目编号</w:t>
      </w:r>
      <w:r>
        <w:rPr>
          <w:rFonts w:hint="eastAsia" w:hAnsi="宋体"/>
          <w:color w:val="auto"/>
          <w:sz w:val="21"/>
          <w:szCs w:val="21"/>
          <w:highlight w:val="none"/>
        </w:rPr>
        <w:t>：</w:t>
      </w:r>
      <w:r>
        <w:rPr>
          <w:rFonts w:hint="eastAsia" w:hAnsi="宋体"/>
          <w:color w:val="auto"/>
          <w:sz w:val="21"/>
          <w:szCs w:val="21"/>
          <w:highlight w:val="none"/>
          <w:u w:val="single"/>
        </w:rPr>
        <w:t xml:space="preserve">     </w:t>
      </w:r>
      <w:r>
        <w:rPr>
          <w:rFonts w:hint="eastAsia" w:hAnsi="宋体"/>
          <w:color w:val="auto"/>
          <w:sz w:val="21"/>
          <w:szCs w:val="21"/>
          <w:highlight w:val="none"/>
          <w:u w:val="none"/>
        </w:rPr>
        <w:t>）</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r>
        <w:rPr>
          <w:rFonts w:hint="eastAsia" w:hAnsi="宋体"/>
          <w:color w:val="auto"/>
          <w:sz w:val="21"/>
          <w:szCs w:val="21"/>
          <w:highlight w:val="none"/>
          <w:u w:val="single"/>
          <w:lang w:eastAsia="zh-CN"/>
        </w:rPr>
        <w:t>；</w:t>
      </w:r>
      <w:r>
        <w:rPr>
          <w:rFonts w:hint="eastAsia" w:hAnsi="宋体"/>
          <w:color w:val="auto"/>
          <w:sz w:val="21"/>
          <w:szCs w:val="21"/>
          <w:highlight w:val="none"/>
        </w:rPr>
        <w:t>（小写）</w:t>
      </w:r>
      <w:r>
        <w:rPr>
          <w:rFonts w:hint="eastAsia" w:hAnsi="宋体"/>
          <w:color w:val="auto"/>
          <w:sz w:val="21"/>
          <w:szCs w:val="21"/>
          <w:highlight w:val="none"/>
          <w:lang w:val="en-US" w:eastAsia="zh-CN"/>
        </w:rPr>
        <w:t>¥：</w:t>
      </w:r>
      <w:r>
        <w:rPr>
          <w:rFonts w:hint="eastAsia" w:hAnsi="宋体"/>
          <w:color w:val="auto"/>
          <w:sz w:val="21"/>
          <w:szCs w:val="21"/>
          <w:highlight w:val="none"/>
          <w:u w:val="single"/>
        </w:rPr>
        <w:t xml:space="preserve">               </w:t>
      </w:r>
      <w:r>
        <w:rPr>
          <w:rFonts w:hint="eastAsia" w:hAnsi="宋体"/>
          <w:color w:val="auto"/>
          <w:sz w:val="21"/>
          <w:szCs w:val="21"/>
          <w:highlight w:val="none"/>
        </w:rPr>
        <w:t>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2"/>
        <w:pageBreakBefore/>
        <w:spacing w:line="360" w:lineRule="auto"/>
        <w:jc w:val="center"/>
        <w:rPr>
          <w:bCs/>
          <w:color w:val="auto"/>
          <w:sz w:val="28"/>
          <w:szCs w:val="28"/>
          <w:highlight w:val="none"/>
        </w:rPr>
      </w:pPr>
      <w:bookmarkStart w:id="243" w:name="_Toc20966"/>
      <w:bookmarkStart w:id="244" w:name="_Toc19888"/>
      <w:r>
        <w:rPr>
          <w:rFonts w:hint="eastAsia"/>
          <w:bCs/>
          <w:color w:val="auto"/>
          <w:sz w:val="28"/>
          <w:szCs w:val="28"/>
          <w:highlight w:val="none"/>
        </w:rPr>
        <w:t>第三部分 技术文件</w:t>
      </w:r>
      <w:bookmarkEnd w:id="243"/>
      <w:bookmarkEnd w:id="244"/>
    </w:p>
    <w:p>
      <w:pPr>
        <w:jc w:val="center"/>
        <w:rPr>
          <w:color w:val="auto"/>
          <w:highlight w:val="none"/>
        </w:rPr>
      </w:pPr>
    </w:p>
    <w:p>
      <w:pPr>
        <w:pStyle w:val="2"/>
        <w:numPr>
          <w:ilvl w:val="0"/>
          <w:numId w:val="19"/>
        </w:numPr>
        <w:jc w:val="center"/>
        <w:rPr>
          <w:color w:val="auto"/>
          <w:highlight w:val="none"/>
        </w:rPr>
      </w:pPr>
      <w:bookmarkStart w:id="245" w:name="_Toc1852"/>
      <w:bookmarkStart w:id="246" w:name="_Toc31683"/>
      <w:bookmarkStart w:id="247" w:name="_Toc9540"/>
      <w:bookmarkStart w:id="248" w:name="_Toc24064"/>
      <w:bookmarkStart w:id="249" w:name="_Toc25949"/>
      <w:bookmarkStart w:id="250" w:name="_Toc15167"/>
      <w:bookmarkStart w:id="251" w:name="_Toc28884"/>
      <w:bookmarkStart w:id="252" w:name="_Toc9579"/>
      <w:r>
        <w:rPr>
          <w:rFonts w:hint="eastAsia"/>
          <w:color w:val="auto"/>
          <w:highlight w:val="none"/>
        </w:rPr>
        <w:t>技术方案</w:t>
      </w:r>
      <w:bookmarkEnd w:id="245"/>
      <w:bookmarkEnd w:id="246"/>
      <w:bookmarkEnd w:id="247"/>
      <w:bookmarkEnd w:id="248"/>
      <w:bookmarkEnd w:id="249"/>
      <w:bookmarkEnd w:id="250"/>
      <w:bookmarkEnd w:id="251"/>
      <w:bookmarkEnd w:id="252"/>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2"/>
        <w:numPr>
          <w:ilvl w:val="0"/>
          <w:numId w:val="19"/>
        </w:numPr>
        <w:jc w:val="center"/>
        <w:rPr>
          <w:color w:val="auto"/>
          <w:highlight w:val="none"/>
        </w:rPr>
      </w:pPr>
      <w:bookmarkStart w:id="253" w:name="_Toc15530"/>
      <w:bookmarkStart w:id="254" w:name="_Toc24947"/>
      <w:bookmarkStart w:id="255" w:name="_Toc23849"/>
      <w:bookmarkStart w:id="256" w:name="_Toc28953"/>
      <w:bookmarkStart w:id="257" w:name="_Toc30049"/>
      <w:bookmarkStart w:id="258" w:name="_Toc9619"/>
      <w:bookmarkStart w:id="259" w:name="_Toc12278"/>
      <w:bookmarkStart w:id="260" w:name="_Toc11036"/>
      <w:r>
        <w:rPr>
          <w:rFonts w:hint="eastAsia"/>
          <w:color w:val="auto"/>
          <w:highlight w:val="none"/>
        </w:rPr>
        <w:t>其他资料</w:t>
      </w:r>
      <w:bookmarkEnd w:id="253"/>
      <w:bookmarkEnd w:id="254"/>
      <w:bookmarkEnd w:id="255"/>
      <w:bookmarkEnd w:id="256"/>
      <w:bookmarkEnd w:id="257"/>
      <w:bookmarkEnd w:id="258"/>
      <w:bookmarkEnd w:id="259"/>
      <w:bookmarkEnd w:id="260"/>
    </w:p>
    <w:p>
      <w:pPr>
        <w:pStyle w:val="28"/>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2"/>
        <w:jc w:val="center"/>
        <w:rPr>
          <w:color w:val="auto"/>
          <w:sz w:val="28"/>
          <w:szCs w:val="28"/>
          <w:highlight w:val="none"/>
        </w:rPr>
      </w:pPr>
      <w:bookmarkStart w:id="261"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261"/>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1</w:t>
      </w:r>
      <w:r>
        <w:rPr>
          <w:rFonts w:hint="eastAsia" w:ascii="宋体" w:eastAsia="宋体"/>
          <w:color w:val="auto"/>
          <w:sz w:val="21"/>
          <w:szCs w:val="21"/>
          <w:highlight w:val="none"/>
        </w:rPr>
        <w:t>）磋商保证金汇入情况说明及银行汇款凭证（或担保函）复印件加盖公章；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2</w:t>
      </w:r>
      <w:r>
        <w:rPr>
          <w:rFonts w:hint="eastAsia" w:ascii="宋体" w:eastAsia="宋体"/>
          <w:color w:val="auto"/>
          <w:sz w:val="21"/>
          <w:szCs w:val="21"/>
          <w:highlight w:val="none"/>
        </w:rPr>
        <w:t>）法定代表人证明书加盖公章；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3</w:t>
      </w:r>
      <w:r>
        <w:rPr>
          <w:rFonts w:hint="eastAsia" w:ascii="宋体" w:eastAsia="宋体"/>
          <w:color w:val="auto"/>
          <w:sz w:val="21"/>
          <w:szCs w:val="21"/>
          <w:highlight w:val="none"/>
        </w:rPr>
        <w:t>）法定代表人授权委托书加盖公章（法定代表人磋商的除外）；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4</w:t>
      </w:r>
      <w:r>
        <w:rPr>
          <w:rFonts w:hint="eastAsia" w:ascii="宋体" w:eastAsia="宋体"/>
          <w:color w:val="auto"/>
          <w:sz w:val="21"/>
          <w:szCs w:val="21"/>
          <w:highlight w:val="none"/>
        </w:rPr>
        <w:t>）磋商文件电子文件（签字、盖章后的磋商文件PDF格式扫描版电子文件,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262"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12"/>
        <w:ind w:firstLine="400"/>
        <w:rPr>
          <w:color w:val="auto"/>
          <w:highlight w:val="none"/>
          <w:lang w:val="zh-CN"/>
        </w:rPr>
      </w:pPr>
    </w:p>
    <w:p>
      <w:pPr>
        <w:pStyle w:val="12"/>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262"/>
    <w:p>
      <w:pPr>
        <w:rPr>
          <w:color w:val="auto"/>
          <w:highlight w:val="none"/>
          <w:lang w:val="zh-CN"/>
        </w:rPr>
      </w:pPr>
    </w:p>
    <w:sectPr>
      <w:pgSz w:w="11907" w:h="16840"/>
      <w:pgMar w:top="1440" w:right="1134" w:bottom="1440" w:left="1134" w:header="850" w:footer="720" w:gutter="0"/>
      <w:pgBorders>
        <w:top w:val="none" w:sz="0" w:space="0"/>
        <w:left w:val="none" w:sz="0" w:space="0"/>
        <w:bottom w:val="none" w:sz="0" w:space="0"/>
        <w:right w:val="none" w:sz="0" w:space="0"/>
      </w:pgBorders>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6"/>
      </w:rPr>
    </w:pPr>
    <w:r>
      <w:fldChar w:fldCharType="begin"/>
    </w:r>
    <w:r>
      <w:rPr>
        <w:rStyle w:val="56"/>
      </w:rPr>
      <w:instrText xml:space="preserve">PAGE  </w:instrText>
    </w:r>
    <w:r>
      <w:fldChar w:fldCharType="separate"/>
    </w:r>
    <w:r>
      <w:rPr>
        <w:rStyle w:val="56"/>
      </w:rPr>
      <w:t>5</w:t>
    </w:r>
    <w:r>
      <w:fldChar w:fldCharType="end"/>
    </w:r>
  </w:p>
  <w:p>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2336;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1312"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4"/>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9"/>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27DD9B"/>
    <w:multiLevelType w:val="multilevel"/>
    <w:tmpl w:val="2727DD9B"/>
    <w:lvl w:ilvl="0" w:tentative="0">
      <w:start w:val="1"/>
      <w:numFmt w:val="decimal"/>
      <w:pStyle w:val="15"/>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6">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7">
    <w:nsid w:val="57289543"/>
    <w:multiLevelType w:val="singleLevel"/>
    <w:tmpl w:val="57289543"/>
    <w:lvl w:ilvl="0" w:tentative="0">
      <w:start w:val="7"/>
      <w:numFmt w:val="decimal"/>
      <w:suff w:val="nothing"/>
      <w:lvlText w:val="%1)"/>
      <w:lvlJc w:val="left"/>
    </w:lvl>
  </w:abstractNum>
  <w:abstractNum w:abstractNumId="18">
    <w:nsid w:val="61B69DE3"/>
    <w:multiLevelType w:val="multilevel"/>
    <w:tmpl w:val="61B69DE3"/>
    <w:lvl w:ilvl="0" w:tentative="0">
      <w:start w:val="1"/>
      <w:numFmt w:val="japaneseCounting"/>
      <w:lvlText w:val="%1、"/>
      <w:lvlJc w:val="left"/>
      <w:pPr>
        <w:ind w:left="11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8"/>
  </w:num>
  <w:num w:numId="2">
    <w:abstractNumId w:val="14"/>
  </w:num>
  <w:num w:numId="3">
    <w:abstractNumId w:val="15"/>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5"/>
  </w:num>
  <w:num w:numId="15">
    <w:abstractNumId w:val="1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70E77"/>
    <w:rsid w:val="02EF3E7D"/>
    <w:rsid w:val="086F6C71"/>
    <w:rsid w:val="09D14BB6"/>
    <w:rsid w:val="0A0D5935"/>
    <w:rsid w:val="0B41016F"/>
    <w:rsid w:val="0DDC5E5E"/>
    <w:rsid w:val="0EFE5739"/>
    <w:rsid w:val="17080541"/>
    <w:rsid w:val="170A3EF4"/>
    <w:rsid w:val="177224D0"/>
    <w:rsid w:val="1B972588"/>
    <w:rsid w:val="1CDA7E1E"/>
    <w:rsid w:val="211B75C6"/>
    <w:rsid w:val="2571351A"/>
    <w:rsid w:val="258E422F"/>
    <w:rsid w:val="278F23BE"/>
    <w:rsid w:val="27F333C8"/>
    <w:rsid w:val="2E9A2302"/>
    <w:rsid w:val="2F1E5CC4"/>
    <w:rsid w:val="32BF6098"/>
    <w:rsid w:val="34DF07DE"/>
    <w:rsid w:val="3670470E"/>
    <w:rsid w:val="3B994E72"/>
    <w:rsid w:val="3BE13EA1"/>
    <w:rsid w:val="3C892DD1"/>
    <w:rsid w:val="3E055146"/>
    <w:rsid w:val="3F5356B7"/>
    <w:rsid w:val="422A5766"/>
    <w:rsid w:val="486C3BB1"/>
    <w:rsid w:val="492601CE"/>
    <w:rsid w:val="49FD7B86"/>
    <w:rsid w:val="4B9D1042"/>
    <w:rsid w:val="4E695D36"/>
    <w:rsid w:val="532A5FE6"/>
    <w:rsid w:val="58B93124"/>
    <w:rsid w:val="58FD7F05"/>
    <w:rsid w:val="5A693FDA"/>
    <w:rsid w:val="5CB917B5"/>
    <w:rsid w:val="5F66148E"/>
    <w:rsid w:val="60D40F7A"/>
    <w:rsid w:val="636439DA"/>
    <w:rsid w:val="68866C55"/>
    <w:rsid w:val="69BB3DE8"/>
    <w:rsid w:val="6AEA5C29"/>
    <w:rsid w:val="6B18772C"/>
    <w:rsid w:val="6BF7161C"/>
    <w:rsid w:val="6C223579"/>
    <w:rsid w:val="6CD66AC8"/>
    <w:rsid w:val="72E60898"/>
    <w:rsid w:val="72EA0814"/>
    <w:rsid w:val="744E2126"/>
    <w:rsid w:val="76A07939"/>
    <w:rsid w:val="7885657D"/>
    <w:rsid w:val="79B9417A"/>
    <w:rsid w:val="7B681899"/>
    <w:rsid w:val="7BD72896"/>
    <w:rsid w:val="7CCC0275"/>
    <w:rsid w:val="7D3565F0"/>
    <w:rsid w:val="7D5C2A39"/>
    <w:rsid w:val="7DB21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3">
    <w:name w:val="heading 1"/>
    <w:basedOn w:val="1"/>
    <w:next w:val="1"/>
    <w:link w:val="70"/>
    <w:qFormat/>
    <w:uiPriority w:val="0"/>
    <w:pPr>
      <w:outlineLvl w:val="0"/>
    </w:pPr>
  </w:style>
  <w:style w:type="paragraph" w:styleId="2">
    <w:name w:val="heading 2"/>
    <w:basedOn w:val="1"/>
    <w:next w:val="1"/>
    <w:qFormat/>
    <w:uiPriority w:val="0"/>
    <w:pPr>
      <w:outlineLvl w:val="1"/>
    </w:pPr>
    <w:rPr>
      <w:rFonts w:hAnsi="宋体"/>
      <w:b/>
    </w:rPr>
  </w:style>
  <w:style w:type="paragraph" w:styleId="4">
    <w:name w:val="heading 3"/>
    <w:basedOn w:val="1"/>
    <w:next w:val="1"/>
    <w:qFormat/>
    <w:uiPriority w:val="0"/>
    <w:pPr>
      <w:outlineLvl w:val="2"/>
    </w:p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7">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8">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9">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0">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440"/>
    </w:pPr>
    <w:rPr>
      <w:rFonts w:ascii="Calibri" w:cs="Calibri"/>
      <w:sz w:val="18"/>
      <w:szCs w:val="18"/>
    </w:rPr>
  </w:style>
  <w:style w:type="paragraph" w:styleId="12">
    <w:name w:val="Normal Indent"/>
    <w:basedOn w:val="1"/>
    <w:link w:val="76"/>
    <w:qFormat/>
    <w:uiPriority w:val="0"/>
    <w:pPr>
      <w:widowControl/>
      <w:autoSpaceDE/>
      <w:autoSpaceDN/>
      <w:adjustRightInd/>
      <w:ind w:firstLine="420" w:firstLineChars="200"/>
    </w:pPr>
    <w:rPr>
      <w:rFonts w:ascii="Calibri"/>
      <w:sz w:val="20"/>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List Bullet"/>
    <w:basedOn w:val="15"/>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5">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18">
    <w:name w:val="annotation text"/>
    <w:basedOn w:val="1"/>
    <w:link w:val="183"/>
    <w:qFormat/>
    <w:uiPriority w:val="0"/>
    <w:pPr>
      <w:widowControl/>
      <w:autoSpaceDE/>
      <w:autoSpaceDN/>
      <w:adjustRightInd/>
    </w:pPr>
    <w:rPr>
      <w:rFonts w:ascii="Times New Roman"/>
      <w:sz w:val="21"/>
      <w:szCs w:val="20"/>
    </w:rPr>
  </w:style>
  <w:style w:type="paragraph" w:styleId="19">
    <w:name w:val="Body Text 3"/>
    <w:basedOn w:val="1"/>
    <w:qFormat/>
    <w:uiPriority w:val="0"/>
    <w:pPr>
      <w:ind w:right="-26"/>
      <w:jc w:val="center"/>
    </w:pPr>
    <w:rPr>
      <w:b/>
      <w:bCs/>
      <w:color w:val="3366FF"/>
      <w:kern w:val="2"/>
      <w:sz w:val="52"/>
      <w:szCs w:val="52"/>
      <w:lang w:val="zh-CN"/>
    </w:rPr>
  </w:style>
  <w:style w:type="paragraph" w:styleId="20">
    <w:name w:val="Body Text"/>
    <w:basedOn w:val="1"/>
    <w:next w:val="21"/>
    <w:link w:val="81"/>
    <w:qFormat/>
    <w:uiPriority w:val="0"/>
    <w:pPr>
      <w:ind w:right="-26"/>
      <w:jc w:val="center"/>
    </w:pPr>
    <w:rPr>
      <w:rFonts w:hAnsi="Times New Roman"/>
      <w:b/>
      <w:bCs/>
      <w:kern w:val="2"/>
      <w:sz w:val="84"/>
      <w:szCs w:val="84"/>
      <w:lang w:val="zh-CN"/>
    </w:rPr>
  </w:style>
  <w:style w:type="paragraph" w:styleId="21">
    <w:name w:val="Body Text First Indent"/>
    <w:basedOn w:val="20"/>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29"/>
    <w:link w:val="77"/>
    <w:qFormat/>
    <w:uiPriority w:val="0"/>
    <w:pPr>
      <w:autoSpaceDE/>
      <w:autoSpaceDN/>
      <w:adjustRightInd/>
      <w:jc w:val="both"/>
    </w:pPr>
    <w:rPr>
      <w:rFonts w:hAnsi="Courier New"/>
      <w:kern w:val="2"/>
      <w:sz w:val="21"/>
      <w:szCs w:val="20"/>
    </w:rPr>
  </w:style>
  <w:style w:type="paragraph" w:customStyle="1" w:styleId="2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30">
    <w:name w:val="toc 8"/>
    <w:basedOn w:val="1"/>
    <w:next w:val="1"/>
    <w:qFormat/>
    <w:uiPriority w:val="0"/>
    <w:pPr>
      <w:ind w:left="1680"/>
    </w:pPr>
    <w:rPr>
      <w:rFonts w:ascii="Calibri" w:cs="Calibri"/>
      <w:sz w:val="18"/>
      <w:szCs w:val="18"/>
    </w:rPr>
  </w:style>
  <w:style w:type="paragraph" w:styleId="31">
    <w:name w:val="Date"/>
    <w:basedOn w:val="1"/>
    <w:next w:val="1"/>
    <w:qFormat/>
    <w:uiPriority w:val="0"/>
    <w:pPr>
      <w:ind w:left="100" w:leftChars="2500"/>
    </w:pPr>
    <w:rPr>
      <w:b/>
      <w:bCs/>
      <w:kern w:val="2"/>
      <w:sz w:val="21"/>
      <w:szCs w:val="21"/>
      <w:lang w:val="zh-CN"/>
    </w:rPr>
  </w:style>
  <w:style w:type="paragraph" w:styleId="32">
    <w:name w:val="Body Text Indent 2"/>
    <w:basedOn w:val="1"/>
    <w:qFormat/>
    <w:uiPriority w:val="0"/>
    <w:pPr>
      <w:tabs>
        <w:tab w:val="left" w:pos="8640"/>
      </w:tabs>
      <w:autoSpaceDE/>
      <w:autoSpaceDN/>
      <w:adjustRightInd/>
      <w:ind w:left="1260"/>
      <w:jc w:val="both"/>
    </w:pPr>
    <w:rPr>
      <w:kern w:val="2"/>
      <w:sz w:val="21"/>
      <w:szCs w:val="20"/>
    </w:rPr>
  </w:style>
  <w:style w:type="paragraph" w:styleId="33">
    <w:name w:val="Balloon Text"/>
    <w:basedOn w:val="1"/>
    <w:qFormat/>
    <w:uiPriority w:val="0"/>
    <w:pPr>
      <w:autoSpaceDE/>
      <w:autoSpaceDN/>
      <w:adjustRightInd/>
      <w:jc w:val="both"/>
    </w:pPr>
    <w:rPr>
      <w:rFonts w:ascii="Times New Roman"/>
      <w:kern w:val="2"/>
      <w:sz w:val="18"/>
      <w:szCs w:val="18"/>
    </w:rPr>
  </w:style>
  <w:style w:type="paragraph" w:styleId="34">
    <w:name w:val="footer"/>
    <w:basedOn w:val="1"/>
    <w:link w:val="90"/>
    <w:qFormat/>
    <w:uiPriority w:val="0"/>
    <w:pPr>
      <w:tabs>
        <w:tab w:val="center" w:pos="4153"/>
        <w:tab w:val="right" w:pos="8306"/>
      </w:tabs>
      <w:snapToGrid w:val="0"/>
    </w:pPr>
    <w:rPr>
      <w:rFonts w:hAnsi="Times New Roman"/>
      <w:sz w:val="18"/>
      <w:szCs w:val="18"/>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120" w:after="120"/>
    </w:pPr>
    <w:rPr>
      <w:rFonts w:ascii="Calibri" w:cs="Calibri"/>
      <w:b/>
      <w:bCs/>
      <w:caps/>
      <w:sz w:val="20"/>
      <w:szCs w:val="20"/>
    </w:rPr>
  </w:style>
  <w:style w:type="paragraph" w:styleId="37">
    <w:name w:val="toc 4"/>
    <w:basedOn w:val="1"/>
    <w:next w:val="1"/>
    <w:qFormat/>
    <w:uiPriority w:val="0"/>
    <w:pPr>
      <w:ind w:left="720"/>
    </w:pPr>
    <w:rPr>
      <w:rFonts w:ascii="Calibri" w:cs="Calibri"/>
      <w:sz w:val="18"/>
      <w:szCs w:val="18"/>
    </w:rPr>
  </w:style>
  <w:style w:type="paragraph" w:styleId="38">
    <w:name w:val="index heading"/>
    <w:basedOn w:val="1"/>
    <w:next w:val="39"/>
    <w:qFormat/>
    <w:uiPriority w:val="0"/>
    <w:pPr>
      <w:autoSpaceDE/>
      <w:autoSpaceDN/>
      <w:adjustRightInd/>
      <w:jc w:val="both"/>
    </w:pPr>
    <w:rPr>
      <w:rFonts w:ascii="Times New Roman"/>
      <w:kern w:val="2"/>
      <w:sz w:val="21"/>
      <w:szCs w:val="20"/>
    </w:rPr>
  </w:style>
  <w:style w:type="paragraph" w:styleId="39">
    <w:name w:val="index 1"/>
    <w:basedOn w:val="1"/>
    <w:next w:val="1"/>
    <w:qFormat/>
    <w:uiPriority w:val="0"/>
    <w:pPr>
      <w:autoSpaceDE/>
      <w:autoSpaceDN/>
      <w:adjustRightInd/>
      <w:ind w:left="540" w:leftChars="257"/>
      <w:jc w:val="both"/>
    </w:pPr>
    <w:rPr>
      <w:rFonts w:ascii="Arial" w:hAnsi="Arial" w:cs="Arial"/>
      <w:kern w:val="2"/>
      <w:sz w:val="21"/>
    </w:rPr>
  </w:style>
  <w:style w:type="paragraph" w:styleId="40">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1">
    <w:name w:val="toc 6"/>
    <w:basedOn w:val="1"/>
    <w:next w:val="1"/>
    <w:qFormat/>
    <w:uiPriority w:val="0"/>
    <w:pPr>
      <w:ind w:left="1200"/>
    </w:pPr>
    <w:rPr>
      <w:rFonts w:ascii="Calibri" w:cs="Calibri"/>
      <w:sz w:val="18"/>
      <w:szCs w:val="18"/>
    </w:rPr>
  </w:style>
  <w:style w:type="paragraph" w:styleId="42">
    <w:name w:val="Body Text Indent 3"/>
    <w:basedOn w:val="1"/>
    <w:qFormat/>
    <w:uiPriority w:val="0"/>
    <w:pPr>
      <w:spacing w:line="360" w:lineRule="auto"/>
      <w:ind w:firstLine="480" w:firstLineChars="200"/>
    </w:pPr>
  </w:style>
  <w:style w:type="paragraph" w:styleId="43">
    <w:name w:val="toc 2"/>
    <w:basedOn w:val="1"/>
    <w:next w:val="1"/>
    <w:qFormat/>
    <w:uiPriority w:val="0"/>
    <w:pPr>
      <w:ind w:left="240"/>
    </w:pPr>
    <w:rPr>
      <w:rFonts w:ascii="Calibri" w:cs="Calibri"/>
      <w:smallCaps/>
      <w:sz w:val="20"/>
      <w:szCs w:val="20"/>
    </w:rPr>
  </w:style>
  <w:style w:type="paragraph" w:styleId="44">
    <w:name w:val="toc 9"/>
    <w:basedOn w:val="1"/>
    <w:next w:val="1"/>
    <w:qFormat/>
    <w:uiPriority w:val="0"/>
    <w:pPr>
      <w:ind w:left="1920"/>
    </w:pPr>
    <w:rPr>
      <w:rFonts w:ascii="Calibri" w:cs="Calibri"/>
      <w:sz w:val="18"/>
      <w:szCs w:val="18"/>
    </w:rPr>
  </w:style>
  <w:style w:type="paragraph" w:styleId="45">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6">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8">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9">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50">
    <w:name w:val="annotation subject"/>
    <w:basedOn w:val="18"/>
    <w:next w:val="18"/>
    <w:qFormat/>
    <w:uiPriority w:val="0"/>
    <w:rPr>
      <w:b/>
      <w:bCs/>
    </w:rPr>
  </w:style>
  <w:style w:type="paragraph" w:styleId="51">
    <w:name w:val="Body Text First Indent 2"/>
    <w:basedOn w:val="22"/>
    <w:unhideWhenUsed/>
    <w:qFormat/>
    <w:uiPriority w:val="99"/>
    <w:pPr>
      <w:ind w:firstLine="420" w:firstLineChars="200"/>
    </w:p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333333"/>
      <w:u w:val="none"/>
    </w:rPr>
  </w:style>
  <w:style w:type="character" w:styleId="58">
    <w:name w:val="Emphasis"/>
    <w:qFormat/>
    <w:uiPriority w:val="0"/>
    <w:rPr>
      <w:i/>
      <w:iCs/>
    </w:rPr>
  </w:style>
  <w:style w:type="character" w:styleId="59">
    <w:name w:val="Hyperlink"/>
    <w:qFormat/>
    <w:uiPriority w:val="0"/>
    <w:rPr>
      <w:color w:val="333333"/>
      <w:u w:val="none"/>
    </w:rPr>
  </w:style>
  <w:style w:type="character" w:styleId="60">
    <w:name w:val="annotation reference"/>
    <w:basedOn w:val="54"/>
    <w:qFormat/>
    <w:uiPriority w:val="0"/>
    <w:rPr>
      <w:sz w:val="21"/>
      <w:szCs w:val="21"/>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4"/>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3"/>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4"/>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next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12"/>
    <w:qFormat/>
    <w:uiPriority w:val="0"/>
    <w:rPr>
      <w:rFonts w:eastAsia="宋体"/>
      <w:lang w:val="en-US" w:eastAsia="zh-CN" w:bidi="ar-SA"/>
    </w:rPr>
  </w:style>
  <w:style w:type="character" w:customStyle="1" w:styleId="77">
    <w:name w:val="纯文本 Char"/>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0"/>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5"/>
    <w:qFormat/>
    <w:uiPriority w:val="0"/>
    <w:rPr>
      <w:rFonts w:ascii="宋体"/>
      <w:sz w:val="18"/>
      <w:szCs w:val="18"/>
    </w:rPr>
  </w:style>
  <w:style w:type="character" w:customStyle="1" w:styleId="87">
    <w:name w:val="HTML 预设格式 Char"/>
    <w:link w:val="47"/>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40"/>
    <w:qFormat/>
    <w:uiPriority w:val="0"/>
    <w:rPr>
      <w:rFonts w:ascii="Arial" w:hAnsi="Arial"/>
      <w:b/>
      <w:kern w:val="28"/>
      <w:sz w:val="32"/>
    </w:rPr>
  </w:style>
  <w:style w:type="character" w:customStyle="1" w:styleId="90">
    <w:name w:val="页脚 Char"/>
    <w:link w:val="34"/>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3"/>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3"/>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2"/>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6"/>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2"/>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4"/>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customStyle="1"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3"/>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40"/>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12"/>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3"/>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4"/>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3"/>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6"/>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3"/>
    <w:next w:val="13"/>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4"/>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1"/>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0"/>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3"/>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Char"/>
    <w:basedOn w:val="54"/>
    <w:link w:val="18"/>
    <w:qFormat/>
    <w:uiPriority w:val="0"/>
    <w:rPr>
      <w:rFonts w:ascii="Times New Roman" w:hAnsi="Calibri" w:eastAsia="宋体" w:cs="宋体"/>
      <w:sz w:val="21"/>
    </w:rPr>
  </w:style>
  <w:style w:type="paragraph" w:customStyle="1" w:styleId="184">
    <w:name w:val="正文文本缩进 21"/>
    <w:basedOn w:val="1"/>
    <w:qFormat/>
    <w:uiPriority w:val="99"/>
    <w:pPr>
      <w:adjustRightInd w:val="0"/>
      <w:spacing w:line="480" w:lineRule="auto"/>
      <w:ind w:firstLine="540"/>
    </w:pPr>
    <w:rPr>
      <w:kern w:val="0"/>
      <w:sz w:val="20"/>
      <w:szCs w:val="20"/>
    </w:rPr>
  </w:style>
  <w:style w:type="character" w:customStyle="1" w:styleId="185">
    <w:name w:val="font41"/>
    <w:basedOn w:val="54"/>
    <w:qFormat/>
    <w:uiPriority w:val="0"/>
    <w:rPr>
      <w:rFonts w:hint="eastAsia" w:ascii="宋体" w:hAnsi="宋体" w:eastAsia="宋体" w:cs="宋体"/>
      <w:color w:val="FF0000"/>
      <w:sz w:val="20"/>
      <w:szCs w:val="20"/>
      <w:u w:val="none"/>
    </w:rPr>
  </w:style>
  <w:style w:type="character" w:customStyle="1" w:styleId="186">
    <w:name w:val="font21"/>
    <w:basedOn w:val="54"/>
    <w:qFormat/>
    <w:uiPriority w:val="0"/>
    <w:rPr>
      <w:rFonts w:hint="eastAsia" w:ascii="宋体" w:hAnsi="宋体" w:eastAsia="宋体" w:cs="宋体"/>
      <w:color w:val="000000"/>
      <w:sz w:val="20"/>
      <w:szCs w:val="20"/>
      <w:u w:val="none"/>
    </w:rPr>
  </w:style>
  <w:style w:type="character" w:customStyle="1" w:styleId="187">
    <w:name w:val="font11"/>
    <w:basedOn w:val="54"/>
    <w:qFormat/>
    <w:uiPriority w:val="0"/>
    <w:rPr>
      <w:rFonts w:hint="eastAsia" w:ascii="宋体" w:hAnsi="宋体" w:eastAsia="宋体" w:cs="宋体"/>
      <w:color w:val="000000"/>
      <w:sz w:val="20"/>
      <w:szCs w:val="20"/>
      <w:u w:val="none"/>
    </w:rPr>
  </w:style>
  <w:style w:type="character" w:customStyle="1" w:styleId="188">
    <w:name w:val="font31"/>
    <w:basedOn w:val="54"/>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66</Pages>
  <Words>32830</Words>
  <Characters>34725</Characters>
  <Lines>28</Lines>
  <Paragraphs>46</Paragraphs>
  <TotalTime>91</TotalTime>
  <ScaleCrop>false</ScaleCrop>
  <LinksUpToDate>false</LinksUpToDate>
  <CharactersWithSpaces>35767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2020-08-25T02:29:00Z</dcterms:created>
  <dc:creator>lyy</dc:creator>
  <cp:lastModifiedBy>Xxy</cp:lastModifiedBy>
  <cp:lastPrinted>2022-02-22T02:17:00Z</cp:lastPrinted>
  <dcterms:modified xsi:type="dcterms:W3CDTF">2022-02-25T09:33:05Z</dcterms:modified>
  <dc:title>货物公开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B089E320FC9A4911899A3B640B5A86BB</vt:lpwstr>
  </property>
</Properties>
</file>