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sz w:val="72"/>
          <w:highlight w:val="none"/>
        </w:rPr>
      </w:pPr>
    </w:p>
    <w:p>
      <w:pPr>
        <w:widowControl/>
        <w:spacing w:line="360" w:lineRule="auto"/>
        <w:ind w:right="-26"/>
        <w:jc w:val="center"/>
        <w:textAlignment w:val="bottom"/>
        <w:rPr>
          <w:rFonts w:hAnsi="宋体"/>
          <w:b/>
          <w:sz w:val="72"/>
          <w:highlight w:val="none"/>
        </w:rPr>
      </w:pPr>
    </w:p>
    <w:p>
      <w:pPr>
        <w:snapToGrid w:val="0"/>
        <w:jc w:val="center"/>
        <w:rPr>
          <w:rFonts w:ascii="黑体" w:hAnsi="华文中宋" w:eastAsia="黑体" w:cs="华文中宋"/>
          <w:b/>
          <w:bCs/>
          <w:sz w:val="72"/>
          <w:szCs w:val="72"/>
          <w:highlight w:val="none"/>
        </w:rPr>
      </w:pPr>
      <w:r>
        <w:rPr>
          <w:rFonts w:hint="eastAsia" w:ascii="黑体" w:hAnsi="华文中宋" w:eastAsia="黑体" w:cs="华文中宋"/>
          <w:b/>
          <w:bCs/>
          <w:sz w:val="72"/>
          <w:szCs w:val="72"/>
          <w:highlight w:val="none"/>
        </w:rPr>
        <w:t>竞争性磋商文件</w: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r>
        <w:rPr>
          <w:sz w:val="44"/>
          <w:highlight w:val="none"/>
        </w:rPr>
        <mc:AlternateContent>
          <mc:Choice Requires="wps">
            <w:drawing>
              <wp:anchor distT="0" distB="0" distL="114300" distR="114300" simplePos="0" relativeHeight="251663360" behindDoc="1" locked="0" layoutInCell="1" allowOverlap="1">
                <wp:simplePos x="0" y="0"/>
                <wp:positionH relativeFrom="column">
                  <wp:posOffset>292735</wp:posOffset>
                </wp:positionH>
                <wp:positionV relativeFrom="paragraph">
                  <wp:posOffset>164465</wp:posOffset>
                </wp:positionV>
                <wp:extent cx="4683125" cy="2459990"/>
                <wp:effectExtent l="0" t="0" r="3175" b="16510"/>
                <wp:wrapNone/>
                <wp:docPr id="3" name="文本框 6"/>
                <wp:cNvGraphicFramePr/>
                <a:graphic xmlns:a="http://schemas.openxmlformats.org/drawingml/2006/main">
                  <a:graphicData uri="http://schemas.microsoft.com/office/word/2010/wordprocessingShape">
                    <wps:wsp>
                      <wps:cNvSpPr txBox="1"/>
                      <wps:spPr>
                        <a:xfrm>
                          <a:off x="0" y="0"/>
                          <a:ext cx="4683125" cy="2459990"/>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sz w:val="32"/>
                                <w:highlight w:val="yellow"/>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松山湖大学创新城--室外停车场管理系统采购安装项目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TTWY-22040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23.05pt;margin-top:12.95pt;height:193.7pt;width:368.75pt;z-index:-251653120;mso-width-relative:page;mso-height-relative:page;" fillcolor="#FFFFFF" filled="t" stroked="f" coordsize="21600,21600" o:gfxdata="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MoYS9oAAAAJAQAADwAAAAAAAAABACAAAAAiAAAA&#10;ZHJzL2Rvd25yZXYueG1sUEsBAhQAFAAAAAgAh07iQK2Et2YFAgAAFwQAAA4AAAAAAAAAAQAgAAAA&#10;KQEAAGRycy9lMm9Eb2MueG1sUEsFBgAAAAAGAAYAWQEAAKAFA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sz w:val="32"/>
                          <w:highlight w:val="yellow"/>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松山湖大学创新城--室外停车场管理系统采购安装项目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TTWY-22040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textAlignment w:val="bottom"/>
        <w:rPr>
          <w:rFonts w:hAnsi="宋体"/>
          <w:b/>
          <w:sz w:val="32"/>
          <w:highlight w:val="none"/>
        </w:rPr>
      </w:pPr>
      <w:r>
        <w:rPr>
          <w:rFonts w:hint="eastAsia" w:hAnsi="宋体"/>
          <w:bCs/>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sz w:val="32"/>
          <w:highlight w:val="none"/>
        </w:rPr>
      </w:pPr>
      <w:r>
        <w:rPr>
          <w:rFonts w:hint="eastAsia" w:ascii="黑体" w:hAnsi="黑体" w:eastAsia="黑体" w:cs="黑体"/>
          <w:b/>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sz w:val="32"/>
          <w:highlight w:val="none"/>
        </w:rPr>
      </w:pPr>
      <w:r>
        <w:rPr>
          <w:rFonts w:hint="eastAsia" w:ascii="黑体" w:hAnsi="黑体" w:eastAsia="黑体" w:cs="黑体"/>
          <w:b/>
          <w:sz w:val="32"/>
          <w:highlight w:val="none"/>
        </w:rPr>
        <w:t xml:space="preserve">    二〇二二年</w:t>
      </w:r>
      <w:r>
        <w:rPr>
          <w:rFonts w:hint="eastAsia" w:ascii="黑体" w:hAnsi="黑体" w:eastAsia="黑体" w:cs="黑体"/>
          <w:b/>
          <w:sz w:val="32"/>
          <w:highlight w:val="none"/>
          <w:lang w:val="en-US" w:eastAsia="zh-CN"/>
        </w:rPr>
        <w:t>八</w:t>
      </w:r>
      <w:r>
        <w:rPr>
          <w:rFonts w:hint="eastAsia" w:ascii="黑体" w:hAnsi="黑体" w:eastAsia="黑体" w:cs="黑体"/>
          <w:b/>
          <w:sz w:val="32"/>
          <w:highlight w:val="none"/>
        </w:rPr>
        <w:t>月</w:t>
      </w: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jc w:val="both"/>
        <w:rPr>
          <w:rFonts w:hAnsi="宋体"/>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sz w:val="32"/>
          <w:szCs w:val="32"/>
          <w:highlight w:val="none"/>
        </w:rPr>
      </w:pPr>
      <w:bookmarkStart w:id="1" w:name="_Toc27261"/>
      <w:r>
        <w:rPr>
          <w:rFonts w:hint="eastAsia" w:ascii="黑体" w:hAnsi="黑体" w:eastAsia="黑体" w:cs="黑体"/>
          <w:sz w:val="32"/>
          <w:szCs w:val="32"/>
          <w:highlight w:val="none"/>
        </w:rPr>
        <w:t>温馨提示</w:t>
      </w:r>
    </w:p>
    <w:p>
      <w:pPr>
        <w:jc w:val="center"/>
        <w:rPr>
          <w:rFonts w:ascii="黑体" w:hAnsi="黑体" w:eastAsia="黑体" w:cs="黑体"/>
          <w:highlight w:val="none"/>
        </w:rPr>
      </w:pPr>
      <w:r>
        <w:rPr>
          <w:rFonts w:hint="eastAsia" w:ascii="黑体" w:hAnsi="黑体" w:eastAsia="黑体" w:cs="黑体"/>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sz w:val="32"/>
          <w:szCs w:val="32"/>
          <w:highlight w:val="none"/>
        </w:rPr>
      </w:pP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pStyle w:val="14"/>
        <w:ind w:firstLine="643"/>
        <w:rPr>
          <w:rFonts w:hAnsi="宋体"/>
          <w:b/>
          <w:bCs/>
          <w:sz w:val="32"/>
          <w:szCs w:val="32"/>
          <w:highlight w:val="none"/>
          <w:lang w:val="zh-CN"/>
        </w:rPr>
      </w:pPr>
    </w:p>
    <w:p>
      <w:pPr>
        <w:pStyle w:val="14"/>
        <w:ind w:firstLine="643"/>
        <w:rPr>
          <w:rFonts w:hAnsi="宋体"/>
          <w:b/>
          <w:bCs/>
          <w:sz w:val="32"/>
          <w:szCs w:val="32"/>
          <w:highlight w:val="none"/>
          <w:lang w:val="zh-CN"/>
        </w:rPr>
      </w:pPr>
    </w:p>
    <w:p>
      <w:pPr>
        <w:jc w:val="center"/>
        <w:rPr>
          <w:highlight w:val="none"/>
        </w:rPr>
      </w:pPr>
      <w:r>
        <w:rPr>
          <w:rFonts w:hAnsi="宋体"/>
          <w:b/>
          <w:bCs/>
          <w:sz w:val="32"/>
          <w:szCs w:val="32"/>
          <w:highlight w:val="none"/>
          <w:lang w:val="zh-CN"/>
        </w:rPr>
        <w:t>目录</w:t>
      </w:r>
      <w:bookmarkStart w:id="2" w:name="_Toc396137229"/>
      <w:r>
        <w:rPr>
          <w:rFonts w:hAnsi="宋体"/>
          <w:b/>
          <w:bCs/>
          <w:caps/>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sz w:val="21"/>
          <w:szCs w:val="21"/>
          <w:highlight w:val="none"/>
        </w:rPr>
        <w:fldChar w:fldCharType="separate"/>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"_Toc27261" </w:instrText>
      </w:r>
      <w:r>
        <w:rPr>
          <w:highlight w:val="none"/>
        </w:rPr>
        <w:fldChar w:fldCharType="separate"/>
      </w:r>
      <w:r>
        <w:rPr>
          <w:rFonts w:hAnsi="宋体"/>
          <w:kern w:val="44"/>
          <w:sz w:val="24"/>
          <w:szCs w:val="24"/>
          <w:highlight w:val="none"/>
          <w:lang w:val="zh-CN"/>
        </w:rPr>
        <w:t xml:space="preserve">第一篇 </w:t>
      </w:r>
      <w:r>
        <w:rPr>
          <w:rFonts w:hint="eastAsia" w:hAnsi="宋体"/>
          <w:kern w:val="44"/>
          <w:sz w:val="24"/>
          <w:szCs w:val="24"/>
          <w:highlight w:val="none"/>
        </w:rPr>
        <w:t>磋商邀请书</w:t>
      </w:r>
      <w:r>
        <w:rPr>
          <w:sz w:val="24"/>
          <w:szCs w:val="24"/>
          <w:highlight w:val="none"/>
        </w:rPr>
        <w:tab/>
      </w:r>
      <w:r>
        <w:rPr>
          <w:sz w:val="24"/>
          <w:szCs w:val="24"/>
          <w:highlight w:val="none"/>
        </w:rPr>
        <w:fldChar w:fldCharType="begin"/>
      </w:r>
      <w:r>
        <w:rPr>
          <w:sz w:val="24"/>
          <w:szCs w:val="24"/>
          <w:highlight w:val="none"/>
        </w:rPr>
        <w:instrText xml:space="preserve"> PAGEREF _Toc27261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"_Toc16634" </w:instrText>
      </w:r>
      <w:r>
        <w:rPr>
          <w:highlight w:val="none"/>
        </w:rPr>
        <w:fldChar w:fldCharType="separate"/>
      </w:r>
      <w:r>
        <w:rPr>
          <w:rFonts w:hAnsi="宋体"/>
          <w:kern w:val="44"/>
          <w:sz w:val="24"/>
          <w:szCs w:val="24"/>
          <w:highlight w:val="none"/>
          <w:lang w:val="zh-CN"/>
        </w:rPr>
        <w:t xml:space="preserve">第二篇 </w:t>
      </w:r>
      <w:r>
        <w:rPr>
          <w:rFonts w:hint="eastAsia" w:hAnsi="宋体"/>
          <w:kern w:val="44"/>
          <w:sz w:val="24"/>
          <w:szCs w:val="24"/>
          <w:highlight w:val="none"/>
          <w:lang w:val="zh-CN"/>
        </w:rPr>
        <w:t>供应商须知</w:t>
      </w:r>
      <w:r>
        <w:rPr>
          <w:sz w:val="24"/>
          <w:szCs w:val="24"/>
          <w:highlight w:val="none"/>
        </w:rPr>
        <w:tab/>
      </w:r>
      <w:r>
        <w:rPr>
          <w:sz w:val="24"/>
          <w:szCs w:val="24"/>
          <w:highlight w:val="none"/>
        </w:rPr>
        <w:fldChar w:fldCharType="begin"/>
      </w:r>
      <w:r>
        <w:rPr>
          <w:sz w:val="24"/>
          <w:szCs w:val="24"/>
          <w:highlight w:val="none"/>
        </w:rPr>
        <w:instrText xml:space="preserve"> PAGEREF _Toc16634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"_Toc22751" </w:instrText>
      </w:r>
      <w:r>
        <w:rPr>
          <w:highlight w:val="none"/>
        </w:rPr>
        <w:fldChar w:fldCharType="separate"/>
      </w:r>
      <w:r>
        <w:rPr>
          <w:rFonts w:hAnsi="宋体"/>
          <w:kern w:val="44"/>
          <w:sz w:val="24"/>
          <w:szCs w:val="24"/>
          <w:highlight w:val="none"/>
          <w:lang w:val="zh-CN"/>
        </w:rPr>
        <w:t xml:space="preserve">第三篇 </w:t>
      </w:r>
      <w:r>
        <w:rPr>
          <w:rFonts w:hint="eastAsia" w:hAnsi="宋体"/>
          <w:kern w:val="44"/>
          <w:sz w:val="24"/>
          <w:szCs w:val="24"/>
          <w:highlight w:val="none"/>
          <w:lang w:val="zh-CN"/>
        </w:rPr>
        <w:t>用户需求书</w:t>
      </w:r>
      <w:r>
        <w:rPr>
          <w:sz w:val="24"/>
          <w:szCs w:val="24"/>
          <w:highlight w:val="none"/>
        </w:rPr>
        <w:tab/>
      </w:r>
      <w:r>
        <w:rPr>
          <w:sz w:val="24"/>
          <w:szCs w:val="24"/>
          <w:highlight w:val="none"/>
        </w:rPr>
        <w:fldChar w:fldCharType="begin"/>
      </w:r>
      <w:r>
        <w:rPr>
          <w:sz w:val="24"/>
          <w:szCs w:val="24"/>
          <w:highlight w:val="none"/>
        </w:rPr>
        <w:instrText xml:space="preserve"> PAGEREF _Toc22751 </w:instrText>
      </w:r>
      <w:r>
        <w:rPr>
          <w:sz w:val="24"/>
          <w:szCs w:val="24"/>
          <w:highlight w:val="none"/>
        </w:rPr>
        <w:fldChar w:fldCharType="separate"/>
      </w:r>
      <w:r>
        <w:rPr>
          <w:sz w:val="24"/>
          <w:szCs w:val="24"/>
          <w:highlight w:val="none"/>
        </w:rPr>
        <w:t>14</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"_Toc13957" </w:instrText>
      </w:r>
      <w:r>
        <w:rPr>
          <w:highlight w:val="none"/>
        </w:rPr>
        <w:fldChar w:fldCharType="separate"/>
      </w:r>
      <w:r>
        <w:rPr>
          <w:rFonts w:hAnsi="宋体"/>
          <w:kern w:val="44"/>
          <w:sz w:val="24"/>
          <w:szCs w:val="24"/>
          <w:highlight w:val="none"/>
          <w:lang w:val="zh-CN"/>
        </w:rPr>
        <w:t xml:space="preserve">第四篇 </w:t>
      </w:r>
      <w:r>
        <w:rPr>
          <w:rFonts w:hint="eastAsia" w:hAnsi="宋体"/>
          <w:kern w:val="44"/>
          <w:sz w:val="24"/>
          <w:szCs w:val="24"/>
          <w:highlight w:val="none"/>
          <w:lang w:val="zh-CN"/>
        </w:rPr>
        <w:t>评标工作大纲</w:t>
      </w:r>
      <w:r>
        <w:rPr>
          <w:sz w:val="24"/>
          <w:szCs w:val="24"/>
          <w:highlight w:val="none"/>
        </w:rPr>
        <w:tab/>
      </w:r>
      <w:r>
        <w:rPr>
          <w:sz w:val="24"/>
          <w:szCs w:val="24"/>
          <w:highlight w:val="none"/>
        </w:rPr>
        <w:fldChar w:fldCharType="begin"/>
      </w:r>
      <w:r>
        <w:rPr>
          <w:sz w:val="24"/>
          <w:szCs w:val="24"/>
          <w:highlight w:val="none"/>
        </w:rPr>
        <w:instrText xml:space="preserve"> PAGEREF _Toc13957 </w:instrText>
      </w:r>
      <w:r>
        <w:rPr>
          <w:sz w:val="24"/>
          <w:szCs w:val="24"/>
          <w:highlight w:val="none"/>
        </w:rPr>
        <w:fldChar w:fldCharType="separate"/>
      </w:r>
      <w:r>
        <w:rPr>
          <w:sz w:val="24"/>
          <w:szCs w:val="24"/>
          <w:highlight w:val="none"/>
        </w:rPr>
        <w:t>43</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"_Toc15636" </w:instrText>
      </w:r>
      <w:r>
        <w:rPr>
          <w:highlight w:val="none"/>
        </w:rPr>
        <w:fldChar w:fldCharType="separate"/>
      </w:r>
      <w:r>
        <w:rPr>
          <w:rFonts w:hAnsi="宋体"/>
          <w:sz w:val="24"/>
          <w:szCs w:val="24"/>
          <w:highlight w:val="none"/>
        </w:rPr>
        <w:t xml:space="preserve">第五篇 </w:t>
      </w:r>
      <w:r>
        <w:rPr>
          <w:rFonts w:hint="eastAsia" w:hAnsi="宋体"/>
          <w:kern w:val="44"/>
          <w:sz w:val="24"/>
          <w:szCs w:val="24"/>
          <w:highlight w:val="none"/>
          <w:lang w:val="zh-CN"/>
        </w:rPr>
        <w:t>合同条款格式</w:t>
      </w:r>
      <w:r>
        <w:rPr>
          <w:sz w:val="24"/>
          <w:szCs w:val="24"/>
          <w:highlight w:val="none"/>
        </w:rPr>
        <w:tab/>
      </w:r>
      <w:r>
        <w:rPr>
          <w:sz w:val="24"/>
          <w:szCs w:val="24"/>
          <w:highlight w:val="none"/>
        </w:rPr>
        <w:fldChar w:fldCharType="begin"/>
      </w:r>
      <w:r>
        <w:rPr>
          <w:sz w:val="24"/>
          <w:szCs w:val="24"/>
          <w:highlight w:val="none"/>
        </w:rPr>
        <w:instrText xml:space="preserve"> PAGEREF _Toc15636 </w:instrText>
      </w:r>
      <w:r>
        <w:rPr>
          <w:sz w:val="24"/>
          <w:szCs w:val="24"/>
          <w:highlight w:val="none"/>
        </w:rPr>
        <w:fldChar w:fldCharType="separate"/>
      </w:r>
      <w:r>
        <w:rPr>
          <w:sz w:val="24"/>
          <w:szCs w:val="24"/>
          <w:highlight w:val="none"/>
        </w:rPr>
        <w:t>49</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"_Toc8470" </w:instrText>
      </w:r>
      <w:r>
        <w:rPr>
          <w:highlight w:val="none"/>
        </w:rPr>
        <w:fldChar w:fldCharType="separate"/>
      </w:r>
      <w:r>
        <w:rPr>
          <w:rFonts w:hint="eastAsia" w:hAnsi="宋体"/>
          <w:kern w:val="44"/>
          <w:sz w:val="24"/>
          <w:szCs w:val="24"/>
          <w:highlight w:val="none"/>
          <w:lang w:val="zh-CN"/>
        </w:rPr>
        <w:t>第六篇</w:t>
      </w:r>
      <w:r>
        <w:rPr>
          <w:rFonts w:hint="eastAsia" w:hAnsi="宋体"/>
          <w:kern w:val="44"/>
          <w:sz w:val="24"/>
          <w:szCs w:val="24"/>
          <w:highlight w:val="none"/>
        </w:rPr>
        <w:t xml:space="preserve"> </w:t>
      </w:r>
      <w:r>
        <w:rPr>
          <w:rFonts w:hint="eastAsia" w:hAnsi="宋体"/>
          <w:kern w:val="44"/>
          <w:sz w:val="24"/>
          <w:szCs w:val="24"/>
          <w:highlight w:val="none"/>
          <w:lang w:val="zh-CN"/>
        </w:rPr>
        <w:t>磋商响应文件格式</w:t>
      </w:r>
      <w:r>
        <w:rPr>
          <w:sz w:val="24"/>
          <w:szCs w:val="24"/>
          <w:highlight w:val="none"/>
        </w:rPr>
        <w:tab/>
      </w:r>
      <w:r>
        <w:rPr>
          <w:sz w:val="24"/>
          <w:szCs w:val="24"/>
          <w:highlight w:val="none"/>
        </w:rPr>
        <w:fldChar w:fldCharType="begin"/>
      </w:r>
      <w:r>
        <w:rPr>
          <w:sz w:val="24"/>
          <w:szCs w:val="24"/>
          <w:highlight w:val="none"/>
        </w:rPr>
        <w:instrText xml:space="preserve"> PAGEREF _Toc8470 </w:instrText>
      </w:r>
      <w:r>
        <w:rPr>
          <w:sz w:val="24"/>
          <w:szCs w:val="24"/>
          <w:highlight w:val="none"/>
        </w:rPr>
        <w:fldChar w:fldCharType="separate"/>
      </w:r>
      <w:r>
        <w:rPr>
          <w:sz w:val="24"/>
          <w:szCs w:val="24"/>
          <w:highlight w:val="none"/>
        </w:rPr>
        <w:t>64</w:t>
      </w:r>
      <w:r>
        <w:rPr>
          <w:sz w:val="24"/>
          <w:szCs w:val="24"/>
          <w:highlight w:val="none"/>
        </w:rPr>
        <w:fldChar w:fldCharType="end"/>
      </w:r>
      <w:r>
        <w:rPr>
          <w:sz w:val="24"/>
          <w:szCs w:val="24"/>
          <w:highlight w:val="none"/>
        </w:rPr>
        <w:fldChar w:fldCharType="end"/>
      </w:r>
    </w:p>
    <w:p>
      <w:pPr>
        <w:pStyle w:val="4"/>
        <w:keepNext/>
        <w:keepLines/>
        <w:pageBreakBefore/>
        <w:numPr>
          <w:ilvl w:val="0"/>
          <w:numId w:val="10"/>
        </w:numPr>
        <w:tabs>
          <w:tab w:val="left" w:pos="1080"/>
        </w:tabs>
        <w:spacing w:line="360" w:lineRule="auto"/>
        <w:ind w:left="1078" w:hanging="1077" w:hangingChars="449"/>
        <w:jc w:val="center"/>
        <w:rPr>
          <w:rFonts w:hAnsi="宋体"/>
          <w:b/>
          <w:bCs/>
          <w:kern w:val="44"/>
          <w:sz w:val="28"/>
          <w:szCs w:val="28"/>
          <w:highlight w:val="none"/>
          <w:lang w:val="zh-CN"/>
        </w:rPr>
      </w:pPr>
      <w:r>
        <w:rPr>
          <w:highlight w:val="none"/>
        </w:rPr>
        <w:fldChar w:fldCharType="end"/>
      </w:r>
      <w:bookmarkEnd w:id="2"/>
      <w:r>
        <w:rPr>
          <w:rFonts w:hint="eastAsia" w:hAnsi="宋体"/>
          <w:b/>
          <w:bCs/>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广东泰通伟业工程咨询有限公司（以下简称“采购代理机构”）受东莞市大学创新城建设发展有限公司（以下简称“采购人”）的委托，为</w:t>
      </w:r>
      <w:r>
        <w:rPr>
          <w:rFonts w:hint="eastAsia" w:hAnsi="宋体"/>
          <w:sz w:val="21"/>
          <w:szCs w:val="21"/>
          <w:highlight w:val="none"/>
          <w:lang w:eastAsia="zh-CN"/>
        </w:rPr>
        <w:t>松山湖大学创新城--室外停车场管理系统采购安装项目</w:t>
      </w:r>
      <w:r>
        <w:rPr>
          <w:rFonts w:hint="eastAsia" w:hAnsi="宋体"/>
          <w:sz w:val="21"/>
          <w:szCs w:val="21"/>
          <w:highlight w:val="none"/>
        </w:rPr>
        <w:t>(项目编号：</w:t>
      </w:r>
      <w:r>
        <w:rPr>
          <w:rFonts w:hint="eastAsia" w:hAnsi="宋体"/>
          <w:sz w:val="21"/>
          <w:szCs w:val="21"/>
          <w:highlight w:val="none"/>
          <w:lang w:eastAsia="zh-CN"/>
        </w:rPr>
        <w:t>TTWY-22040</w:t>
      </w:r>
      <w:r>
        <w:rPr>
          <w:rFonts w:hint="eastAsia" w:hAnsi="宋体"/>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rPr>
          <w:rFonts w:hAnsi="宋体"/>
          <w:sz w:val="21"/>
          <w:szCs w:val="21"/>
          <w:highlight w:val="none"/>
        </w:rPr>
      </w:pPr>
      <w:r>
        <w:rPr>
          <w:rFonts w:hint="eastAsia" w:hAnsi="宋体"/>
          <w:b/>
          <w:bCs/>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项目名称：</w:t>
      </w:r>
      <w:r>
        <w:rPr>
          <w:rFonts w:hint="eastAsia" w:hAnsi="宋体"/>
          <w:sz w:val="21"/>
          <w:szCs w:val="21"/>
          <w:highlight w:val="none"/>
          <w:lang w:eastAsia="zh-CN"/>
        </w:rPr>
        <w:t>松山湖大学创新城--室外停车场管理系统采购安装项目</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项目编号：</w:t>
      </w:r>
      <w:r>
        <w:rPr>
          <w:rFonts w:hint="eastAsia" w:hAnsi="宋体"/>
          <w:sz w:val="21"/>
          <w:szCs w:val="21"/>
          <w:highlight w:val="none"/>
          <w:lang w:eastAsia="zh-CN"/>
        </w:rPr>
        <w:t>TTWY-22040</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项目预算金额：¥1,099,706.02（人民币壹佰零玖万玖仟柒佰零陆元贰分）。</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项目需求：详见磋商文件第三篇用户需求书。</w:t>
      </w:r>
    </w:p>
    <w:p>
      <w:pPr>
        <w:widowControl/>
        <w:adjustRightInd/>
        <w:spacing w:line="360" w:lineRule="auto"/>
        <w:rPr>
          <w:rFonts w:hAnsi="宋体"/>
          <w:b/>
          <w:bCs/>
          <w:kern w:val="28"/>
          <w:sz w:val="21"/>
          <w:szCs w:val="21"/>
          <w:highlight w:val="none"/>
        </w:rPr>
      </w:pPr>
      <w:r>
        <w:rPr>
          <w:rFonts w:hint="eastAsia" w:hAnsi="宋体"/>
          <w:b/>
          <w:bCs/>
          <w:kern w:val="28"/>
          <w:sz w:val="21"/>
          <w:szCs w:val="21"/>
          <w:highlight w:val="none"/>
          <w:lang w:val="zh-CN"/>
        </w:rPr>
        <w:t>二、供应商须满足以下资格条件</w:t>
      </w:r>
      <w:r>
        <w:rPr>
          <w:rFonts w:hint="eastAsia" w:hAnsi="宋体"/>
          <w:b/>
          <w:bCs/>
          <w:kern w:val="28"/>
          <w:sz w:val="21"/>
          <w:szCs w:val="21"/>
          <w:highlight w:val="none"/>
        </w:rPr>
        <w:t>：</w:t>
      </w:r>
    </w:p>
    <w:p>
      <w:pPr>
        <w:widowControl/>
        <w:numPr>
          <w:ilvl w:val="0"/>
          <w:numId w:val="13"/>
        </w:numPr>
        <w:adjustRightInd/>
        <w:spacing w:line="360" w:lineRule="auto"/>
        <w:ind w:right="53"/>
        <w:textAlignment w:val="bottom"/>
        <w:rPr>
          <w:rFonts w:hAnsi="宋体"/>
          <w:kern w:val="2"/>
          <w:sz w:val="21"/>
          <w:szCs w:val="21"/>
          <w:highlight w:val="none"/>
        </w:rPr>
      </w:pPr>
      <w:bookmarkStart w:id="3" w:name="_Toc396137230"/>
      <w:r>
        <w:rPr>
          <w:rFonts w:hint="eastAsia" w:hAnsi="宋体"/>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（五）本项目不接受联合体投标。</w:t>
      </w:r>
    </w:p>
    <w:p>
      <w:pPr>
        <w:spacing w:line="360" w:lineRule="auto"/>
        <w:rPr>
          <w:rFonts w:hAnsi="宋体"/>
          <w:b/>
          <w:bCs/>
          <w:sz w:val="21"/>
          <w:szCs w:val="21"/>
          <w:highlight w:val="none"/>
        </w:rPr>
      </w:pPr>
      <w:r>
        <w:rPr>
          <w:rFonts w:hint="eastAsia" w:hAnsi="宋体"/>
          <w:b/>
          <w:bCs/>
          <w:sz w:val="21"/>
          <w:szCs w:val="21"/>
          <w:highlight w:val="none"/>
        </w:rPr>
        <w:t>三、获取磋商文件：</w:t>
      </w:r>
    </w:p>
    <w:p>
      <w:pPr>
        <w:widowControl/>
        <w:adjustRightInd/>
        <w:spacing w:line="360" w:lineRule="auto"/>
        <w:ind w:left="420" w:right="53" w:firstLine="420" w:firstLineChars="200"/>
        <w:textAlignment w:val="bottom"/>
        <w:rPr>
          <w:rFonts w:hAnsi="宋体"/>
          <w:kern w:val="28"/>
          <w:sz w:val="21"/>
          <w:szCs w:val="21"/>
          <w:highlight w:val="none"/>
        </w:rPr>
      </w:pPr>
      <w:r>
        <w:rPr>
          <w:rFonts w:hint="eastAsia" w:hAnsi="宋体"/>
          <w:kern w:val="28"/>
          <w:sz w:val="21"/>
          <w:szCs w:val="21"/>
          <w:highlight w:val="none"/>
        </w:rPr>
        <w:t>本项目无须报名，磋商文件下载地址：</w:t>
      </w:r>
      <w:r>
        <w:rPr>
          <w:rFonts w:hint="eastAsia" w:hAnsi="宋体"/>
          <w:spacing w:val="-6"/>
          <w:kern w:val="28"/>
          <w:sz w:val="21"/>
          <w:szCs w:val="21"/>
          <w:highlight w:val="none"/>
        </w:rPr>
        <w:t>中国招标投标公共服务平台（http://www.cebpubservice.com/）</w:t>
      </w:r>
      <w:r>
        <w:rPr>
          <w:rFonts w:hint="eastAsia" w:hAnsi="宋体"/>
          <w:kern w:val="28"/>
          <w:sz w:val="21"/>
          <w:szCs w:val="21"/>
          <w:highlight w:val="none"/>
        </w:rPr>
        <w:t>、东莞实业投资控股集团有限公司-招标采购栏目（http://www.dgsy.com.cn/）、广东泰通伟业工程咨询有限公司官网-招标采购栏目（http://www.weiyecoltd.com/）。</w:t>
      </w:r>
    </w:p>
    <w:p>
      <w:pPr>
        <w:pStyle w:val="19"/>
        <w:rPr>
          <w:color w:val="auto"/>
          <w:highlight w:val="none"/>
        </w:rPr>
      </w:pPr>
      <w:r>
        <w:rPr>
          <w:rFonts w:hint="eastAsia" w:hAnsi="宋体"/>
          <w:color w:val="auto"/>
          <w:kern w:val="28"/>
          <w:szCs w:val="21"/>
          <w:highlight w:val="none"/>
        </w:rPr>
        <w:t xml:space="preserve">    磋商文件公告期限：自公告之日起三个工作日。</w:t>
      </w:r>
    </w:p>
    <w:p>
      <w:pPr>
        <w:pStyle w:val="28"/>
        <w:spacing w:line="360" w:lineRule="auto"/>
        <w:rPr>
          <w:rFonts w:hAnsi="宋体"/>
          <w:b/>
          <w:bCs/>
          <w:szCs w:val="21"/>
          <w:highlight w:val="none"/>
        </w:rPr>
      </w:pPr>
      <w:r>
        <w:rPr>
          <w:rFonts w:hint="eastAsia" w:hAnsi="宋体"/>
          <w:b/>
          <w:bCs/>
          <w:szCs w:val="21"/>
          <w:highlight w:val="none"/>
        </w:rPr>
        <w:t>四、接收响应文件的时间、地点、截止时间，开启响应文件时间、地点</w:t>
      </w:r>
      <w:r>
        <w:rPr>
          <w:rFonts w:hint="eastAsia" w:hAnsi="宋体"/>
          <w:b/>
          <w:szCs w:val="21"/>
          <w:highlight w:val="none"/>
        </w:rPr>
        <w:t>：</w:t>
      </w:r>
    </w:p>
    <w:p>
      <w:pPr>
        <w:spacing w:line="360" w:lineRule="auto"/>
        <w:ind w:firstLine="420" w:firstLineChars="200"/>
        <w:rPr>
          <w:rFonts w:hAnsi="宋体"/>
          <w:sz w:val="21"/>
          <w:szCs w:val="21"/>
          <w:highlight w:val="none"/>
        </w:rPr>
      </w:pPr>
      <w:r>
        <w:rPr>
          <w:rFonts w:hint="eastAsia" w:hAnsi="宋体"/>
          <w:sz w:val="21"/>
          <w:szCs w:val="21"/>
          <w:highlight w:val="none"/>
        </w:rPr>
        <w:t>1、接收响应文件的时间：2022年</w:t>
      </w:r>
      <w:r>
        <w:rPr>
          <w:rFonts w:hint="eastAsia" w:hAnsi="宋体"/>
          <w:sz w:val="21"/>
          <w:szCs w:val="21"/>
          <w:highlight w:val="none"/>
          <w:lang w:val="en-US" w:eastAsia="zh-CN"/>
        </w:rPr>
        <w:t>9</w:t>
      </w:r>
      <w:r>
        <w:rPr>
          <w:rFonts w:hint="eastAsia" w:hAnsi="宋体"/>
          <w:sz w:val="21"/>
          <w:szCs w:val="21"/>
          <w:highlight w:val="none"/>
        </w:rPr>
        <w:t>月</w:t>
      </w:r>
      <w:r>
        <w:rPr>
          <w:rFonts w:hint="eastAsia" w:hAnsi="宋体"/>
          <w:sz w:val="21"/>
          <w:szCs w:val="21"/>
          <w:highlight w:val="none"/>
          <w:lang w:val="en-US" w:eastAsia="zh-CN"/>
        </w:rPr>
        <w:t>2</w:t>
      </w:r>
      <w:r>
        <w:rPr>
          <w:rFonts w:hint="eastAsia" w:hAnsi="宋体"/>
          <w:sz w:val="21"/>
          <w:szCs w:val="21"/>
          <w:highlight w:val="none"/>
        </w:rPr>
        <w:t>日上午9:00～9:30。</w:t>
      </w:r>
    </w:p>
    <w:p>
      <w:pPr>
        <w:spacing w:line="360" w:lineRule="auto"/>
        <w:ind w:firstLine="420" w:firstLineChars="200"/>
        <w:rPr>
          <w:rFonts w:hAnsi="宋体"/>
          <w:sz w:val="21"/>
          <w:szCs w:val="21"/>
          <w:highlight w:val="none"/>
        </w:rPr>
      </w:pPr>
      <w:r>
        <w:rPr>
          <w:rFonts w:hint="eastAsia" w:hAnsi="宋体"/>
          <w:sz w:val="21"/>
          <w:szCs w:val="21"/>
          <w:highlight w:val="none"/>
        </w:rPr>
        <w:t>2、接收响应文件截止时间及开启响应文件时间：2022年</w:t>
      </w:r>
      <w:r>
        <w:rPr>
          <w:rFonts w:hint="eastAsia" w:hAnsi="宋体"/>
          <w:sz w:val="21"/>
          <w:szCs w:val="21"/>
          <w:highlight w:val="none"/>
          <w:lang w:val="en-US" w:eastAsia="zh-CN"/>
        </w:rPr>
        <w:t>9</w:t>
      </w:r>
      <w:r>
        <w:rPr>
          <w:rFonts w:hint="eastAsia" w:hAnsi="宋体"/>
          <w:sz w:val="21"/>
          <w:szCs w:val="21"/>
          <w:highlight w:val="none"/>
        </w:rPr>
        <w:t>月</w:t>
      </w:r>
      <w:r>
        <w:rPr>
          <w:rFonts w:hint="eastAsia" w:hAnsi="宋体"/>
          <w:sz w:val="21"/>
          <w:szCs w:val="21"/>
          <w:highlight w:val="none"/>
          <w:lang w:val="en-US" w:eastAsia="zh-CN"/>
        </w:rPr>
        <w:t>2</w:t>
      </w:r>
      <w:r>
        <w:rPr>
          <w:rFonts w:hint="eastAsia" w:hAnsi="宋体"/>
          <w:sz w:val="21"/>
          <w:szCs w:val="21"/>
          <w:highlight w:val="none"/>
        </w:rPr>
        <w:t>日上午9:30。</w:t>
      </w:r>
    </w:p>
    <w:p>
      <w:pPr>
        <w:spacing w:line="360" w:lineRule="auto"/>
        <w:ind w:firstLine="420" w:firstLineChars="200"/>
        <w:rPr>
          <w:rFonts w:hAnsi="宋体"/>
          <w:sz w:val="21"/>
          <w:szCs w:val="21"/>
          <w:highlight w:val="none"/>
        </w:rPr>
      </w:pPr>
      <w:r>
        <w:rPr>
          <w:rFonts w:hint="eastAsia" w:hAnsi="宋体"/>
          <w:sz w:val="21"/>
          <w:szCs w:val="21"/>
          <w:highlight w:val="none"/>
        </w:rPr>
        <w:t>3、接收响应文件地点：东莞市东城莞龙路下桥银门街一号办公楼六楼618室。</w:t>
      </w:r>
    </w:p>
    <w:p>
      <w:pPr>
        <w:spacing w:line="360" w:lineRule="auto"/>
        <w:rPr>
          <w:rFonts w:hAnsi="宋体"/>
          <w:b/>
          <w:bCs/>
          <w:sz w:val="21"/>
          <w:szCs w:val="21"/>
          <w:highlight w:val="none"/>
        </w:rPr>
      </w:pPr>
      <w:r>
        <w:rPr>
          <w:rFonts w:hint="eastAsia" w:hAnsi="宋体"/>
          <w:b/>
          <w:bCs/>
          <w:sz w:val="21"/>
          <w:szCs w:val="21"/>
          <w:highlight w:val="none"/>
        </w:rPr>
        <w:t>五、</w:t>
      </w:r>
      <w:r>
        <w:rPr>
          <w:rFonts w:hint="eastAsia" w:hAnsi="宋体"/>
          <w:b/>
          <w:sz w:val="21"/>
          <w:szCs w:val="21"/>
          <w:highlight w:val="none"/>
        </w:rPr>
        <w:t>采购代理机构</w:t>
      </w:r>
      <w:r>
        <w:rPr>
          <w:rFonts w:hint="eastAsia" w:hAnsi="宋体"/>
          <w:b/>
          <w:bCs/>
          <w:sz w:val="21"/>
          <w:szCs w:val="21"/>
          <w:highlight w:val="none"/>
        </w:rPr>
        <w:t>及采购人</w:t>
      </w:r>
      <w:r>
        <w:rPr>
          <w:rFonts w:hint="eastAsia" w:hAnsi="宋体"/>
          <w:b/>
          <w:sz w:val="21"/>
          <w:szCs w:val="21"/>
          <w:highlight w:val="none"/>
        </w:rPr>
        <w:t>的地址和联系方式</w:t>
      </w:r>
      <w:r>
        <w:rPr>
          <w:rFonts w:hint="eastAsia" w:hAnsi="宋体"/>
          <w:b/>
          <w:bCs/>
          <w:sz w:val="21"/>
          <w:szCs w:val="21"/>
          <w:highlight w:val="none"/>
        </w:rPr>
        <w:t>：</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采购代理机构：</w:t>
      </w:r>
      <w:r>
        <w:rPr>
          <w:rFonts w:hAnsi="宋体"/>
          <w:sz w:val="21"/>
          <w:szCs w:val="21"/>
          <w:highlight w:val="none"/>
        </w:rPr>
        <w:t>广东泰通伟业工程咨询有限公司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东莞市东城莞龙路下桥银门街一号办公楼六楼606室招标采购部</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项目</w:t>
      </w:r>
      <w:r>
        <w:rPr>
          <w:rFonts w:hAnsi="宋体"/>
          <w:sz w:val="21"/>
          <w:szCs w:val="21"/>
          <w:highlight w:val="none"/>
        </w:rPr>
        <w:t>联系人:</w:t>
      </w:r>
      <w:r>
        <w:rPr>
          <w:rFonts w:hint="eastAsia" w:hAnsi="宋体"/>
          <w:sz w:val="21"/>
          <w:szCs w:val="21"/>
          <w:highlight w:val="none"/>
        </w:rPr>
        <w:t xml:space="preserve"> 冼小姐</w:t>
      </w:r>
    </w:p>
    <w:p>
      <w:pPr>
        <w:spacing w:line="360" w:lineRule="auto"/>
        <w:ind w:right="-34" w:firstLine="424" w:firstLineChars="202"/>
        <w:jc w:val="both"/>
        <w:rPr>
          <w:rFonts w:hAnsi="宋体"/>
          <w:sz w:val="21"/>
          <w:szCs w:val="21"/>
          <w:highlight w:val="none"/>
        </w:rPr>
      </w:pPr>
      <w:r>
        <w:rPr>
          <w:rFonts w:hAnsi="宋体"/>
          <w:sz w:val="21"/>
          <w:szCs w:val="21"/>
          <w:highlight w:val="none"/>
        </w:rPr>
        <w:t>电    话：0769</w:t>
      </w:r>
      <w:r>
        <w:rPr>
          <w:rFonts w:hint="eastAsia" w:hAnsi="宋体"/>
          <w:sz w:val="21"/>
          <w:szCs w:val="21"/>
          <w:highlight w:val="none"/>
        </w:rPr>
        <w:t>-22088829</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邮    箱</w:t>
      </w:r>
      <w:r>
        <w:rPr>
          <w:rFonts w:hAnsi="宋体"/>
          <w:sz w:val="21"/>
          <w:szCs w:val="21"/>
          <w:highlight w:val="none"/>
        </w:rPr>
        <w:t>：</w:t>
      </w:r>
      <w:r>
        <w:rPr>
          <w:rFonts w:hint="eastAsia" w:hAnsi="宋体"/>
          <w:sz w:val="21"/>
          <w:szCs w:val="21"/>
          <w:highlight w:val="none"/>
        </w:rPr>
        <w:t>WYZFCG@126.com</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 购 人：东莞市大学创新城建设发展有限公司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东莞市松山湖大学创新城G4栋20层</w:t>
      </w:r>
    </w:p>
    <w:p>
      <w:pPr>
        <w:spacing w:line="360" w:lineRule="auto"/>
        <w:ind w:right="-34" w:firstLine="424" w:firstLineChars="202"/>
        <w:jc w:val="both"/>
        <w:rPr>
          <w:rFonts w:hAnsi="宋体"/>
          <w:sz w:val="21"/>
          <w:szCs w:val="21"/>
          <w:highlight w:val="none"/>
        </w:rPr>
      </w:pPr>
      <w:r>
        <w:rPr>
          <w:rFonts w:hAnsi="宋体"/>
          <w:sz w:val="21"/>
          <w:szCs w:val="21"/>
          <w:highlight w:val="none"/>
        </w:rPr>
        <w:t>联 系 人:</w:t>
      </w:r>
      <w:r>
        <w:rPr>
          <w:rFonts w:hint="eastAsia" w:hAnsi="宋体"/>
          <w:sz w:val="21"/>
          <w:szCs w:val="21"/>
          <w:highlight w:val="none"/>
        </w:rPr>
        <w:t>姜工</w:t>
      </w:r>
    </w:p>
    <w:p>
      <w:pPr>
        <w:spacing w:line="360" w:lineRule="auto"/>
        <w:ind w:right="-34" w:firstLine="424" w:firstLineChars="202"/>
        <w:jc w:val="both"/>
        <w:rPr>
          <w:rFonts w:hAnsi="宋体"/>
          <w:sz w:val="21"/>
          <w:szCs w:val="21"/>
          <w:highlight w:val="none"/>
        </w:rPr>
      </w:pPr>
      <w:r>
        <w:rPr>
          <w:rFonts w:hAnsi="宋体"/>
          <w:sz w:val="21"/>
          <w:szCs w:val="21"/>
          <w:highlight w:val="none"/>
        </w:rPr>
        <w:t>电    话：</w:t>
      </w:r>
      <w:r>
        <w:rPr>
          <w:rFonts w:hint="eastAsia" w:hAnsi="宋体"/>
          <w:sz w:val="21"/>
          <w:szCs w:val="21"/>
          <w:highlight w:val="none"/>
        </w:rPr>
        <w:t>0769-38888010</w:t>
      </w:r>
    </w:p>
    <w:p>
      <w:pPr>
        <w:spacing w:line="360" w:lineRule="auto"/>
        <w:ind w:firstLine="422" w:firstLineChars="200"/>
        <w:jc w:val="right"/>
        <w:rPr>
          <w:b/>
          <w:sz w:val="21"/>
          <w:szCs w:val="21"/>
          <w:highlight w:val="none"/>
        </w:rPr>
      </w:pPr>
      <w:r>
        <w:rPr>
          <w:rFonts w:hint="eastAsia"/>
          <w:b/>
          <w:sz w:val="21"/>
          <w:szCs w:val="21"/>
          <w:highlight w:val="none"/>
        </w:rPr>
        <w:t xml:space="preserve">                                         广东泰通伟业工程咨询有限公司</w:t>
      </w:r>
    </w:p>
    <w:p>
      <w:pPr>
        <w:wordWrap w:val="0"/>
        <w:spacing w:line="360" w:lineRule="auto"/>
        <w:ind w:right="-34" w:firstLine="426" w:firstLineChars="202"/>
        <w:jc w:val="right"/>
        <w:rPr>
          <w:rFonts w:hAnsi="宋体"/>
          <w:sz w:val="21"/>
          <w:szCs w:val="21"/>
          <w:highlight w:val="none"/>
        </w:rPr>
      </w:pPr>
      <w:r>
        <w:rPr>
          <w:rFonts w:hint="eastAsia" w:hAnsi="宋体"/>
          <w:b/>
          <w:sz w:val="21"/>
          <w:szCs w:val="21"/>
          <w:highlight w:val="none"/>
        </w:rPr>
        <w:t>二〇二二年</w:t>
      </w:r>
      <w:r>
        <w:rPr>
          <w:rFonts w:hint="eastAsia" w:hAnsi="宋体"/>
          <w:b/>
          <w:sz w:val="21"/>
          <w:szCs w:val="21"/>
          <w:highlight w:val="none"/>
          <w:lang w:val="en-US" w:eastAsia="zh-CN"/>
        </w:rPr>
        <w:t>八</w:t>
      </w:r>
      <w:r>
        <w:rPr>
          <w:rFonts w:hint="eastAsia" w:hAnsi="宋体"/>
          <w:b/>
          <w:bCs/>
          <w:sz w:val="21"/>
          <w:szCs w:val="21"/>
          <w:highlight w:val="none"/>
        </w:rPr>
        <w:t>月</w:t>
      </w:r>
      <w:r>
        <w:rPr>
          <w:rFonts w:hint="eastAsia" w:hAnsi="宋体"/>
          <w:b/>
          <w:bCs/>
          <w:sz w:val="21"/>
          <w:szCs w:val="21"/>
          <w:highlight w:val="none"/>
          <w:lang w:val="en-US" w:eastAsia="zh-CN"/>
        </w:rPr>
        <w:t>二十二</w:t>
      </w:r>
      <w:r>
        <w:rPr>
          <w:rFonts w:hint="eastAsia" w:hAnsi="宋体"/>
          <w:b/>
          <w:bCs/>
          <w:sz w:val="21"/>
          <w:szCs w:val="21"/>
          <w:highlight w:val="none"/>
        </w:rPr>
        <w:t>日</w:t>
      </w:r>
    </w:p>
    <w:p>
      <w:pPr>
        <w:pStyle w:val="4"/>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bookmarkStart w:id="4" w:name="_Toc16634"/>
      <w:r>
        <w:rPr>
          <w:rFonts w:hint="eastAsia" w:hAnsi="宋体"/>
          <w:b/>
          <w:bCs/>
          <w:kern w:val="44"/>
          <w:sz w:val="28"/>
          <w:szCs w:val="28"/>
          <w:highlight w:val="none"/>
          <w:lang w:val="zh-CN"/>
        </w:rPr>
        <w:t>供应商须知</w:t>
      </w:r>
      <w:bookmarkEnd w:id="3"/>
      <w:bookmarkEnd w:id="4"/>
    </w:p>
    <w:p>
      <w:pPr>
        <w:pStyle w:val="5"/>
        <w:adjustRightInd/>
        <w:spacing w:line="360" w:lineRule="auto"/>
        <w:ind w:firstLine="562" w:firstLineChars="200"/>
        <w:jc w:val="center"/>
        <w:rPr>
          <w:sz w:val="28"/>
          <w:szCs w:val="28"/>
          <w:highlight w:val="none"/>
        </w:rPr>
      </w:pPr>
      <w:bookmarkStart w:id="5" w:name="_Toc6968687"/>
      <w:bookmarkStart w:id="6" w:name="_Toc7897861"/>
      <w:bookmarkStart w:id="7" w:name="_Toc102277756"/>
      <w:bookmarkStart w:id="8" w:name="_Toc466786434"/>
      <w:bookmarkStart w:id="9" w:name="_Toc12804"/>
      <w:bookmarkStart w:id="10" w:name="_Toc507407359"/>
      <w:bookmarkStart w:id="11" w:name="_Toc6882675"/>
      <w:r>
        <w:rPr>
          <w:rFonts w:hint="eastAsia"/>
          <w:sz w:val="28"/>
          <w:szCs w:val="28"/>
          <w:highlight w:val="none"/>
        </w:rPr>
        <w:t>一、说  明</w:t>
      </w:r>
      <w:bookmarkEnd w:id="5"/>
      <w:bookmarkEnd w:id="6"/>
      <w:bookmarkEnd w:id="7"/>
      <w:bookmarkEnd w:id="8"/>
      <w:bookmarkEnd w:id="9"/>
      <w:bookmarkEnd w:id="10"/>
      <w:bookmarkEnd w:id="11"/>
    </w:p>
    <w:p>
      <w:pPr>
        <w:pStyle w:val="6"/>
        <w:adjustRightInd/>
        <w:spacing w:line="360" w:lineRule="auto"/>
        <w:ind w:firstLine="420" w:firstLineChars="200"/>
        <w:rPr>
          <w:rFonts w:hAnsi="宋体"/>
          <w:sz w:val="21"/>
          <w:szCs w:val="21"/>
          <w:highlight w:val="none"/>
        </w:rPr>
      </w:pPr>
      <w:bookmarkStart w:id="12" w:name="_Toc24987"/>
      <w:bookmarkStart w:id="13" w:name="_Toc7897862"/>
      <w:bookmarkStart w:id="14" w:name="_Toc475249114"/>
      <w:bookmarkStart w:id="15" w:name="_Toc3730"/>
      <w:r>
        <w:rPr>
          <w:rFonts w:hint="eastAsia" w:hAnsi="宋体"/>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1.1本磋商文件仅适用于本次采购邀请中所叙述的项目。</w:t>
      </w:r>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1.2本磋商文件的解释权在采购代理机构。</w:t>
      </w:r>
    </w:p>
    <w:p>
      <w:pPr>
        <w:pStyle w:val="6"/>
        <w:adjustRightInd/>
        <w:spacing w:line="360" w:lineRule="auto"/>
        <w:ind w:firstLine="420" w:firstLineChars="200"/>
        <w:rPr>
          <w:rFonts w:hAnsi="宋体"/>
          <w:sz w:val="21"/>
          <w:szCs w:val="21"/>
          <w:highlight w:val="none"/>
        </w:rPr>
      </w:pPr>
      <w:bookmarkStart w:id="16" w:name="_Toc598"/>
      <w:bookmarkStart w:id="17" w:name="_Toc7897863"/>
      <w:bookmarkStart w:id="18" w:name="_Toc475249115"/>
      <w:bookmarkStart w:id="19" w:name="_Toc9738"/>
      <w:r>
        <w:rPr>
          <w:rFonts w:hint="eastAsia" w:hAnsi="宋体"/>
          <w:sz w:val="21"/>
          <w:szCs w:val="21"/>
          <w:highlight w:val="none"/>
        </w:rPr>
        <w:t>2.定义</w:t>
      </w:r>
      <w:bookmarkEnd w:id="16"/>
      <w:bookmarkEnd w:id="17"/>
      <w:bookmarkEnd w:id="18"/>
      <w:bookmarkEnd w:id="19"/>
    </w:p>
    <w:p>
      <w:pPr>
        <w:spacing w:line="360" w:lineRule="auto"/>
        <w:ind w:firstLine="420" w:firstLineChars="200"/>
        <w:rPr>
          <w:rFonts w:hAnsi="宋体"/>
          <w:sz w:val="21"/>
          <w:szCs w:val="21"/>
          <w:highlight w:val="none"/>
        </w:rPr>
      </w:pPr>
      <w:r>
        <w:rPr>
          <w:rFonts w:hint="eastAsia" w:hAnsi="宋体"/>
          <w:sz w:val="21"/>
          <w:szCs w:val="21"/>
          <w:highlight w:val="none"/>
        </w:rPr>
        <w:t>2.1“采购人”是指东莞市大学创新城建设发展有限公司。</w:t>
      </w:r>
    </w:p>
    <w:p>
      <w:pPr>
        <w:spacing w:line="360" w:lineRule="auto"/>
        <w:ind w:firstLine="420" w:firstLineChars="200"/>
        <w:rPr>
          <w:rFonts w:hAnsi="宋体"/>
          <w:b/>
          <w:sz w:val="21"/>
          <w:szCs w:val="21"/>
          <w:highlight w:val="none"/>
        </w:rPr>
      </w:pPr>
      <w:r>
        <w:rPr>
          <w:rFonts w:hint="eastAsia" w:hAnsi="宋体"/>
          <w:sz w:val="21"/>
          <w:szCs w:val="21"/>
          <w:highlight w:val="none"/>
        </w:rPr>
        <w:t>2.2“采购代理机构”是指广东泰通伟业工程咨询有限公司。</w:t>
      </w:r>
    </w:p>
    <w:p>
      <w:pPr>
        <w:spacing w:line="360" w:lineRule="auto"/>
        <w:ind w:firstLine="420" w:firstLineChars="200"/>
        <w:rPr>
          <w:rFonts w:hAnsi="宋体"/>
          <w:sz w:val="21"/>
          <w:szCs w:val="21"/>
          <w:highlight w:val="none"/>
        </w:rPr>
      </w:pPr>
      <w:r>
        <w:rPr>
          <w:rFonts w:hint="eastAsia" w:hAnsi="宋体"/>
          <w:sz w:val="21"/>
          <w:szCs w:val="21"/>
          <w:highlight w:val="none"/>
        </w:rPr>
        <w:t>2.3“供应商”指向采购代理机构提交响应文件的法人。</w:t>
      </w:r>
    </w:p>
    <w:p>
      <w:pPr>
        <w:spacing w:line="360" w:lineRule="auto"/>
        <w:ind w:firstLine="420" w:firstLineChars="200"/>
        <w:rPr>
          <w:rFonts w:hAnsi="宋体"/>
          <w:sz w:val="21"/>
          <w:szCs w:val="21"/>
          <w:highlight w:val="none"/>
        </w:rPr>
      </w:pPr>
      <w:r>
        <w:rPr>
          <w:rFonts w:hint="eastAsia" w:hAnsi="宋体"/>
          <w:sz w:val="21"/>
          <w:szCs w:val="21"/>
          <w:highlight w:val="none"/>
        </w:rPr>
        <w:t>2.4 货物：卖方按磋商文件规定向买方提供的货物。</w:t>
      </w:r>
    </w:p>
    <w:p>
      <w:pPr>
        <w:spacing w:line="360" w:lineRule="auto"/>
        <w:ind w:firstLine="420" w:firstLineChars="200"/>
        <w:rPr>
          <w:rFonts w:hAnsi="宋体"/>
          <w:sz w:val="21"/>
          <w:szCs w:val="21"/>
          <w:highlight w:val="none"/>
        </w:rPr>
      </w:pPr>
      <w:r>
        <w:rPr>
          <w:rFonts w:hint="eastAsia" w:hAnsi="宋体"/>
          <w:sz w:val="21"/>
          <w:szCs w:val="21"/>
          <w:highlight w:val="none"/>
        </w:rPr>
        <w:t>2.5 服务：磋商文件规定卖方必须承担的咨询、技术协助、培训及其它相关义务。</w:t>
      </w:r>
    </w:p>
    <w:p>
      <w:pPr>
        <w:spacing w:line="360" w:lineRule="auto"/>
        <w:ind w:firstLine="420" w:firstLineChars="200"/>
        <w:rPr>
          <w:rFonts w:hAnsi="宋体"/>
          <w:sz w:val="21"/>
          <w:szCs w:val="21"/>
          <w:highlight w:val="none"/>
        </w:rPr>
      </w:pPr>
      <w:r>
        <w:rPr>
          <w:rFonts w:hint="eastAsia" w:hAnsi="宋体"/>
          <w:sz w:val="21"/>
          <w:szCs w:val="21"/>
          <w:highlight w:val="none"/>
        </w:rPr>
        <w:t>2.6 语言：磋商文件的语言为简体中文。</w:t>
      </w:r>
    </w:p>
    <w:p>
      <w:pPr>
        <w:spacing w:line="360" w:lineRule="auto"/>
        <w:ind w:firstLine="420" w:firstLineChars="200"/>
        <w:rPr>
          <w:rFonts w:hAnsi="宋体"/>
          <w:sz w:val="21"/>
          <w:szCs w:val="21"/>
          <w:highlight w:val="none"/>
        </w:rPr>
      </w:pPr>
      <w:r>
        <w:rPr>
          <w:rFonts w:hint="eastAsia" w:hAnsi="宋体"/>
          <w:sz w:val="21"/>
          <w:szCs w:val="21"/>
          <w:highlight w:val="none"/>
        </w:rPr>
        <w:t>2.7 日期：指公历日。</w:t>
      </w:r>
    </w:p>
    <w:p>
      <w:pPr>
        <w:spacing w:line="360" w:lineRule="auto"/>
        <w:ind w:firstLine="420" w:firstLineChars="200"/>
        <w:rPr>
          <w:rFonts w:hAnsi="宋体"/>
          <w:sz w:val="21"/>
          <w:szCs w:val="21"/>
          <w:highlight w:val="none"/>
        </w:rPr>
      </w:pPr>
      <w:r>
        <w:rPr>
          <w:rFonts w:hint="eastAsia" w:hAnsi="宋体"/>
          <w:sz w:val="21"/>
          <w:szCs w:val="21"/>
          <w:highlight w:val="none"/>
        </w:rPr>
        <w:t>2.8 时间：指北京时间。</w:t>
      </w:r>
    </w:p>
    <w:p>
      <w:pPr>
        <w:pStyle w:val="6"/>
        <w:adjustRightInd/>
        <w:spacing w:line="360" w:lineRule="auto"/>
        <w:ind w:firstLine="420" w:firstLineChars="200"/>
        <w:rPr>
          <w:rFonts w:hAnsi="宋体"/>
          <w:sz w:val="21"/>
          <w:szCs w:val="21"/>
          <w:highlight w:val="none"/>
        </w:rPr>
      </w:pPr>
      <w:bookmarkStart w:id="20" w:name="_Toc24709"/>
      <w:bookmarkStart w:id="21" w:name="_Toc367"/>
      <w:bookmarkStart w:id="22" w:name="_Toc110953831"/>
      <w:bookmarkStart w:id="23" w:name="_Toc7897864"/>
      <w:bookmarkStart w:id="24" w:name="_Toc6882676"/>
      <w:bookmarkStart w:id="25" w:name="_Toc102277757"/>
      <w:bookmarkStart w:id="26" w:name="_Toc6968688"/>
      <w:bookmarkStart w:id="27" w:name="_Toc507407360"/>
      <w:bookmarkStart w:id="28" w:name="_Toc466786435"/>
      <w:r>
        <w:rPr>
          <w:rFonts w:hint="eastAsia" w:hAnsi="宋体"/>
          <w:sz w:val="21"/>
          <w:szCs w:val="21"/>
          <w:highlight w:val="none"/>
        </w:rPr>
        <w:t>3.适用法律</w:t>
      </w:r>
      <w:bookmarkEnd w:id="20"/>
      <w:bookmarkEnd w:id="21"/>
      <w:bookmarkEnd w:id="22"/>
      <w:bookmarkEnd w:id="23"/>
    </w:p>
    <w:p>
      <w:pPr>
        <w:spacing w:line="360" w:lineRule="auto"/>
        <w:ind w:firstLine="420" w:firstLineChars="200"/>
        <w:rPr>
          <w:rFonts w:hAnsi="宋体"/>
          <w:sz w:val="21"/>
          <w:szCs w:val="21"/>
          <w:highlight w:val="none"/>
        </w:rPr>
      </w:pPr>
      <w:r>
        <w:rPr>
          <w:rFonts w:hint="eastAsia" w:hAnsi="宋体"/>
          <w:sz w:val="21"/>
          <w:szCs w:val="21"/>
          <w:highlight w:val="none"/>
        </w:rPr>
        <w:t>采购人、供应商和采购代理机构均应当参照东莞市大学创新城建设发展有限公司相关招标采购规定执行。</w:t>
      </w:r>
    </w:p>
    <w:p>
      <w:pPr>
        <w:pStyle w:val="6"/>
        <w:adjustRightInd/>
        <w:spacing w:line="360" w:lineRule="auto"/>
        <w:ind w:firstLine="420" w:firstLineChars="200"/>
        <w:rPr>
          <w:rFonts w:hAnsi="宋体"/>
          <w:sz w:val="21"/>
          <w:szCs w:val="21"/>
          <w:highlight w:val="none"/>
          <w:lang w:val="zh-CN"/>
        </w:rPr>
      </w:pPr>
      <w:bookmarkStart w:id="29" w:name="_Toc20707"/>
      <w:bookmarkStart w:id="30" w:name="_Toc10397"/>
      <w:bookmarkStart w:id="31" w:name="_Toc110953833"/>
      <w:bookmarkStart w:id="32" w:name="_Toc7897866"/>
      <w:r>
        <w:rPr>
          <w:rFonts w:hint="eastAsia" w:hAnsi="宋体"/>
          <w:sz w:val="21"/>
          <w:szCs w:val="21"/>
          <w:highlight w:val="none"/>
          <w:lang w:val="zh-CN"/>
        </w:rPr>
        <w:t>4</w:t>
      </w:r>
      <w:r>
        <w:rPr>
          <w:rFonts w:hint="eastAsia" w:hAnsi="宋体"/>
          <w:sz w:val="21"/>
          <w:szCs w:val="21"/>
          <w:highlight w:val="none"/>
        </w:rPr>
        <w:t>.</w:t>
      </w:r>
      <w:r>
        <w:rPr>
          <w:rFonts w:hint="eastAsia" w:hAnsi="宋体"/>
          <w:sz w:val="21"/>
          <w:szCs w:val="21"/>
          <w:highlight w:val="none"/>
          <w:lang w:val="zh-CN"/>
        </w:rPr>
        <w:t>本项目不接受联合体磋商。</w:t>
      </w:r>
      <w:bookmarkEnd w:id="29"/>
    </w:p>
    <w:p>
      <w:pPr>
        <w:pStyle w:val="6"/>
        <w:adjustRightInd/>
        <w:spacing w:line="360" w:lineRule="auto"/>
        <w:ind w:firstLine="420" w:firstLineChars="200"/>
        <w:rPr>
          <w:rFonts w:hAnsi="宋体"/>
          <w:bCs/>
          <w:sz w:val="21"/>
          <w:szCs w:val="21"/>
          <w:highlight w:val="none"/>
        </w:rPr>
      </w:pPr>
      <w:bookmarkStart w:id="33" w:name="_Toc10368"/>
      <w:r>
        <w:rPr>
          <w:rFonts w:hint="eastAsia" w:hAnsi="宋体"/>
          <w:sz w:val="21"/>
          <w:szCs w:val="21"/>
          <w:highlight w:val="none"/>
        </w:rPr>
        <w:t>5.禁止事项</w:t>
      </w:r>
      <w:bookmarkEnd w:id="30"/>
      <w:bookmarkEnd w:id="31"/>
      <w:bookmarkEnd w:id="32"/>
      <w:bookmarkEnd w:id="33"/>
    </w:p>
    <w:p>
      <w:pPr>
        <w:spacing w:line="360" w:lineRule="auto"/>
        <w:ind w:firstLine="420" w:firstLineChars="200"/>
        <w:rPr>
          <w:rFonts w:hAnsi="宋体"/>
          <w:sz w:val="21"/>
          <w:szCs w:val="21"/>
          <w:highlight w:val="none"/>
        </w:rPr>
      </w:pPr>
      <w:bookmarkStart w:id="34" w:name="_Toc98126293"/>
      <w:bookmarkStart w:id="35" w:name="_Toc98126218"/>
      <w:r>
        <w:rPr>
          <w:rFonts w:hint="eastAsia" w:hAnsi="宋体"/>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sz w:val="21"/>
          <w:szCs w:val="21"/>
          <w:highlight w:val="none"/>
        </w:rPr>
      </w:pPr>
      <w:r>
        <w:rPr>
          <w:rFonts w:hint="eastAsia" w:hAnsi="宋体"/>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sz w:val="21"/>
          <w:szCs w:val="21"/>
          <w:highlight w:val="none"/>
        </w:rPr>
      </w:pPr>
      <w:bookmarkStart w:id="36" w:name="_Toc98126294"/>
      <w:bookmarkStart w:id="37" w:name="_Toc98126219"/>
      <w:r>
        <w:rPr>
          <w:rFonts w:hint="eastAsia" w:hAnsi="宋体"/>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sz w:val="21"/>
          <w:szCs w:val="21"/>
          <w:highlight w:val="none"/>
        </w:rPr>
      </w:pPr>
      <w:bookmarkStart w:id="38" w:name="_Toc98126220"/>
      <w:bookmarkStart w:id="39" w:name="_Toc98126295"/>
      <w:r>
        <w:rPr>
          <w:rFonts w:hint="eastAsia" w:hAnsi="宋体"/>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6"/>
        <w:adjustRightInd/>
        <w:spacing w:line="360" w:lineRule="auto"/>
        <w:ind w:firstLine="420" w:firstLineChars="200"/>
        <w:rPr>
          <w:rFonts w:hAnsi="宋体"/>
          <w:bCs/>
          <w:sz w:val="21"/>
          <w:szCs w:val="21"/>
          <w:highlight w:val="none"/>
        </w:rPr>
      </w:pPr>
      <w:bookmarkStart w:id="40" w:name="_Toc2863"/>
      <w:bookmarkStart w:id="41" w:name="_Toc25870"/>
      <w:bookmarkStart w:id="42" w:name="_Toc110953834"/>
      <w:bookmarkStart w:id="43" w:name="_Toc7897867"/>
      <w:r>
        <w:rPr>
          <w:rFonts w:hint="eastAsia" w:hAnsi="宋体"/>
          <w:sz w:val="21"/>
          <w:szCs w:val="21"/>
          <w:highlight w:val="none"/>
        </w:rPr>
        <w:t>6.保密及其它注意事项</w:t>
      </w:r>
      <w:bookmarkEnd w:id="40"/>
      <w:bookmarkEnd w:id="41"/>
      <w:bookmarkEnd w:id="42"/>
      <w:bookmarkEnd w:id="43"/>
    </w:p>
    <w:p>
      <w:pPr>
        <w:spacing w:line="360" w:lineRule="auto"/>
        <w:ind w:firstLine="420" w:firstLineChars="200"/>
        <w:rPr>
          <w:rFonts w:hAnsi="宋体"/>
          <w:sz w:val="21"/>
          <w:szCs w:val="21"/>
          <w:highlight w:val="none"/>
        </w:rPr>
      </w:pPr>
      <w:bookmarkStart w:id="44" w:name="_Toc98126222"/>
      <w:bookmarkStart w:id="45" w:name="_Toc98126297"/>
      <w:r>
        <w:rPr>
          <w:rFonts w:hint="eastAsia" w:hAnsi="宋体"/>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sz w:val="21"/>
          <w:szCs w:val="21"/>
          <w:highlight w:val="none"/>
        </w:rPr>
      </w:pPr>
      <w:r>
        <w:rPr>
          <w:rFonts w:hint="eastAsia" w:hAnsi="宋体"/>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sz w:val="21"/>
          <w:szCs w:val="21"/>
          <w:highlight w:val="none"/>
        </w:rPr>
      </w:pPr>
      <w:r>
        <w:rPr>
          <w:rFonts w:hint="eastAsia" w:hAnsi="宋体"/>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sz w:val="21"/>
          <w:szCs w:val="21"/>
          <w:highlight w:val="none"/>
        </w:rPr>
      </w:pPr>
      <w:r>
        <w:rPr>
          <w:rFonts w:hint="eastAsia" w:hAnsi="宋体"/>
          <w:sz w:val="21"/>
          <w:szCs w:val="21"/>
          <w:highlight w:val="none"/>
        </w:rPr>
        <w:t>6.4磋商小组不向未成交供应商解释落选原因，不退还响应文件。</w:t>
      </w:r>
    </w:p>
    <w:p>
      <w:pPr>
        <w:spacing w:line="360" w:lineRule="auto"/>
        <w:ind w:firstLine="420" w:firstLineChars="200"/>
        <w:rPr>
          <w:rFonts w:hAnsi="宋体"/>
          <w:sz w:val="21"/>
          <w:szCs w:val="21"/>
          <w:highlight w:val="none"/>
        </w:rPr>
      </w:pPr>
      <w:r>
        <w:rPr>
          <w:rFonts w:hint="eastAsia" w:hAnsi="宋体"/>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sz w:val="21"/>
          <w:szCs w:val="21"/>
          <w:highlight w:val="none"/>
        </w:rPr>
      </w:pPr>
      <w:bookmarkStart w:id="46" w:name="_Toc7897868"/>
      <w:bookmarkStart w:id="47" w:name="_Toc27298"/>
      <w:bookmarkStart w:id="48" w:name="_Toc13371"/>
      <w:bookmarkStart w:id="49" w:name="_Toc497016085"/>
      <w:r>
        <w:rPr>
          <w:rFonts w:hint="eastAsia" w:hAnsi="宋体"/>
          <w:sz w:val="21"/>
          <w:szCs w:val="21"/>
          <w:highlight w:val="none"/>
        </w:rPr>
        <w:t>7.供应商诚信管理</w:t>
      </w:r>
      <w:bookmarkEnd w:id="46"/>
      <w:bookmarkEnd w:id="47"/>
      <w:bookmarkEnd w:id="48"/>
      <w:bookmarkEnd w:id="49"/>
    </w:p>
    <w:p>
      <w:pPr>
        <w:spacing w:line="360" w:lineRule="auto"/>
        <w:ind w:firstLine="420" w:firstLineChars="200"/>
        <w:rPr>
          <w:rFonts w:hAnsi="宋体"/>
          <w:sz w:val="21"/>
          <w:szCs w:val="21"/>
          <w:highlight w:val="none"/>
        </w:rPr>
      </w:pPr>
      <w:r>
        <w:rPr>
          <w:rFonts w:hint="eastAsia" w:hAnsi="宋体"/>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sz w:val="21"/>
          <w:szCs w:val="21"/>
          <w:highlight w:val="none"/>
        </w:rPr>
      </w:pPr>
      <w:r>
        <w:rPr>
          <w:rFonts w:hint="eastAsia" w:hAnsi="宋体"/>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sz w:val="21"/>
          <w:szCs w:val="21"/>
          <w:highlight w:val="none"/>
        </w:rPr>
      </w:pPr>
    </w:p>
    <w:p>
      <w:pPr>
        <w:pStyle w:val="5"/>
        <w:adjustRightInd/>
        <w:spacing w:line="360" w:lineRule="auto"/>
        <w:ind w:firstLine="562" w:firstLineChars="200"/>
        <w:jc w:val="center"/>
        <w:rPr>
          <w:sz w:val="28"/>
          <w:szCs w:val="28"/>
          <w:highlight w:val="none"/>
        </w:rPr>
      </w:pPr>
      <w:bookmarkStart w:id="50" w:name="_Toc23741"/>
      <w:bookmarkStart w:id="51" w:name="_Toc7897869"/>
      <w:r>
        <w:rPr>
          <w:rFonts w:hint="eastAsia"/>
          <w:sz w:val="28"/>
          <w:szCs w:val="28"/>
          <w:highlight w:val="none"/>
        </w:rPr>
        <w:t>二、磋商文件说明</w:t>
      </w:r>
      <w:bookmarkEnd w:id="24"/>
      <w:bookmarkEnd w:id="25"/>
      <w:bookmarkEnd w:id="26"/>
      <w:bookmarkEnd w:id="27"/>
      <w:bookmarkEnd w:id="28"/>
      <w:bookmarkEnd w:id="50"/>
      <w:bookmarkEnd w:id="51"/>
    </w:p>
    <w:p>
      <w:pPr>
        <w:pStyle w:val="6"/>
        <w:adjustRightInd/>
        <w:spacing w:line="360" w:lineRule="auto"/>
        <w:ind w:firstLine="420" w:firstLineChars="200"/>
        <w:rPr>
          <w:rFonts w:hAnsi="宋体"/>
          <w:sz w:val="21"/>
          <w:szCs w:val="21"/>
          <w:highlight w:val="none"/>
        </w:rPr>
      </w:pPr>
      <w:bookmarkStart w:id="52" w:name="_Toc110953836"/>
      <w:bookmarkStart w:id="53" w:name="_Toc23606"/>
      <w:bookmarkStart w:id="54" w:name="_Toc29560"/>
      <w:bookmarkStart w:id="55" w:name="_Toc7897870"/>
      <w:bookmarkStart w:id="56" w:name="_Toc6968689"/>
      <w:bookmarkStart w:id="57" w:name="_Toc102277758"/>
      <w:bookmarkStart w:id="58" w:name="_Toc466786436"/>
      <w:bookmarkStart w:id="59" w:name="_Toc6882677"/>
      <w:bookmarkStart w:id="60" w:name="_Toc507407361"/>
      <w:r>
        <w:rPr>
          <w:rFonts w:hint="eastAsia" w:hAnsi="宋体"/>
          <w:sz w:val="21"/>
          <w:szCs w:val="21"/>
          <w:highlight w:val="none"/>
        </w:rPr>
        <w:t>8.磋商文件构成</w:t>
      </w:r>
      <w:bookmarkEnd w:id="52"/>
      <w:bookmarkEnd w:id="53"/>
      <w:bookmarkEnd w:id="54"/>
      <w:bookmarkEnd w:id="55"/>
    </w:p>
    <w:p>
      <w:pPr>
        <w:spacing w:line="360" w:lineRule="auto"/>
        <w:ind w:firstLine="420" w:firstLineChars="200"/>
        <w:rPr>
          <w:rFonts w:hAnsi="宋体"/>
          <w:sz w:val="21"/>
          <w:szCs w:val="21"/>
          <w:highlight w:val="none"/>
        </w:rPr>
      </w:pPr>
      <w:r>
        <w:rPr>
          <w:rFonts w:hint="eastAsia" w:hAnsi="宋体"/>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sz w:val="21"/>
          <w:szCs w:val="21"/>
          <w:highlight w:val="none"/>
        </w:rPr>
      </w:pPr>
      <w:bookmarkStart w:id="61" w:name="_Toc19701"/>
      <w:bookmarkStart w:id="62" w:name="_Toc7897871"/>
      <w:bookmarkStart w:id="63" w:name="_Toc110953837"/>
      <w:bookmarkStart w:id="64" w:name="_Toc16827"/>
      <w:r>
        <w:rPr>
          <w:rFonts w:hint="eastAsia" w:hAnsi="宋体"/>
          <w:sz w:val="21"/>
          <w:szCs w:val="21"/>
          <w:highlight w:val="none"/>
        </w:rPr>
        <w:t>9.磋商文件的修改</w:t>
      </w:r>
      <w:bookmarkEnd w:id="61"/>
      <w:bookmarkEnd w:id="62"/>
      <w:bookmarkEnd w:id="63"/>
      <w:bookmarkEnd w:id="64"/>
    </w:p>
    <w:p>
      <w:pPr>
        <w:spacing w:line="360" w:lineRule="auto"/>
        <w:ind w:firstLine="420" w:firstLineChars="200"/>
        <w:rPr>
          <w:rFonts w:hAnsi="宋体"/>
          <w:sz w:val="21"/>
          <w:szCs w:val="21"/>
          <w:highlight w:val="none"/>
        </w:rPr>
      </w:pPr>
      <w:r>
        <w:rPr>
          <w:rFonts w:hint="eastAsia" w:hAnsi="宋体"/>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sz w:val="21"/>
          <w:szCs w:val="21"/>
          <w:highlight w:val="none"/>
        </w:rPr>
      </w:pPr>
      <w:r>
        <w:rPr>
          <w:rFonts w:hint="eastAsia" w:hAnsi="宋体"/>
          <w:sz w:val="21"/>
          <w:szCs w:val="21"/>
          <w:highlight w:val="none"/>
        </w:rPr>
        <w:t>9.2如果修改的时间距响应文件递交截止时间不足5日的，将相应顺延递交首次响应文件截止时间。</w:t>
      </w:r>
    </w:p>
    <w:p>
      <w:pPr>
        <w:pStyle w:val="14"/>
        <w:ind w:firstLine="400"/>
        <w:rPr>
          <w:highlight w:val="none"/>
        </w:rPr>
      </w:pPr>
    </w:p>
    <w:bookmarkEnd w:id="56"/>
    <w:bookmarkEnd w:id="57"/>
    <w:bookmarkEnd w:id="58"/>
    <w:bookmarkEnd w:id="59"/>
    <w:bookmarkEnd w:id="60"/>
    <w:p>
      <w:pPr>
        <w:pStyle w:val="5"/>
        <w:adjustRightInd/>
        <w:spacing w:line="360" w:lineRule="auto"/>
        <w:ind w:firstLine="562" w:firstLineChars="200"/>
        <w:jc w:val="center"/>
        <w:rPr>
          <w:sz w:val="28"/>
          <w:szCs w:val="28"/>
          <w:highlight w:val="none"/>
        </w:rPr>
      </w:pPr>
      <w:bookmarkStart w:id="65" w:name="_Toc15398"/>
      <w:bookmarkStart w:id="66" w:name="_Toc110953838"/>
      <w:bookmarkStart w:id="67" w:name="_Toc7897872"/>
      <w:bookmarkStart w:id="68" w:name="_Toc6882678"/>
      <w:bookmarkStart w:id="69" w:name="_Toc6968690"/>
      <w:bookmarkStart w:id="70" w:name="_Toc507407362"/>
      <w:bookmarkStart w:id="71" w:name="_Toc102277759"/>
      <w:bookmarkStart w:id="72" w:name="_Toc466786437"/>
      <w:r>
        <w:rPr>
          <w:rFonts w:hint="eastAsia"/>
          <w:sz w:val="28"/>
          <w:szCs w:val="28"/>
          <w:highlight w:val="none"/>
        </w:rPr>
        <w:t>三、响应文件的制作</w:t>
      </w:r>
      <w:bookmarkEnd w:id="65"/>
      <w:bookmarkEnd w:id="66"/>
      <w:bookmarkEnd w:id="67"/>
    </w:p>
    <w:p>
      <w:pPr>
        <w:pStyle w:val="6"/>
        <w:adjustRightInd/>
        <w:spacing w:line="360" w:lineRule="auto"/>
        <w:ind w:firstLine="420" w:firstLineChars="200"/>
        <w:rPr>
          <w:rFonts w:hAnsi="宋体"/>
          <w:sz w:val="21"/>
          <w:szCs w:val="21"/>
          <w:highlight w:val="none"/>
        </w:rPr>
      </w:pPr>
      <w:bookmarkStart w:id="73" w:name="_Toc110953839"/>
      <w:bookmarkStart w:id="74" w:name="_Toc23789"/>
      <w:bookmarkStart w:id="75" w:name="_Toc15756"/>
      <w:bookmarkStart w:id="76" w:name="_Toc7897873"/>
      <w:r>
        <w:rPr>
          <w:rFonts w:hint="eastAsia" w:hAnsi="宋体"/>
          <w:sz w:val="21"/>
          <w:szCs w:val="21"/>
          <w:highlight w:val="none"/>
        </w:rPr>
        <w:t>10.制作要求</w:t>
      </w:r>
      <w:bookmarkEnd w:id="73"/>
      <w:bookmarkEnd w:id="74"/>
      <w:bookmarkEnd w:id="75"/>
      <w:bookmarkEnd w:id="76"/>
    </w:p>
    <w:p>
      <w:pPr>
        <w:spacing w:line="360" w:lineRule="auto"/>
        <w:ind w:firstLine="420" w:firstLineChars="200"/>
        <w:rPr>
          <w:rFonts w:hAnsi="宋体"/>
          <w:sz w:val="21"/>
          <w:szCs w:val="21"/>
          <w:highlight w:val="none"/>
        </w:rPr>
      </w:pPr>
      <w:r>
        <w:rPr>
          <w:rFonts w:hint="eastAsia" w:hAnsi="宋体"/>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sz w:val="21"/>
          <w:szCs w:val="21"/>
          <w:highlight w:val="none"/>
        </w:rPr>
      </w:pPr>
      <w:r>
        <w:rPr>
          <w:rFonts w:hint="eastAsia" w:hAnsi="宋体"/>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sz w:val="21"/>
          <w:szCs w:val="21"/>
          <w:highlight w:val="none"/>
        </w:rPr>
      </w:pPr>
      <w:r>
        <w:rPr>
          <w:rFonts w:hint="eastAsia" w:hAnsi="宋体"/>
          <w:sz w:val="21"/>
          <w:szCs w:val="21"/>
          <w:highlight w:val="none"/>
        </w:rPr>
        <w:t>10.</w:t>
      </w:r>
      <w:r>
        <w:rPr>
          <w:rFonts w:hint="eastAsia" w:hAnsi="宋体"/>
          <w:b/>
          <w:sz w:val="21"/>
          <w:szCs w:val="21"/>
          <w:highlight w:val="none"/>
        </w:rPr>
        <w:t>3供应商应提供正本一份、副本三份、唱标信封一份。</w:t>
      </w:r>
      <w:r>
        <w:rPr>
          <w:rFonts w:hint="eastAsia" w:hAnsi="宋体"/>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sz w:val="21"/>
          <w:szCs w:val="21"/>
          <w:highlight w:val="none"/>
        </w:rPr>
      </w:pPr>
      <w:r>
        <w:rPr>
          <w:rFonts w:hint="eastAsia" w:hAnsi="宋体"/>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sz w:val="21"/>
          <w:szCs w:val="21"/>
          <w:highlight w:val="none"/>
        </w:rPr>
      </w:pPr>
      <w:r>
        <w:rPr>
          <w:rFonts w:hint="eastAsia" w:hAnsi="宋体"/>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sz w:val="21"/>
          <w:szCs w:val="21"/>
          <w:highlight w:val="none"/>
        </w:rPr>
      </w:pPr>
      <w:r>
        <w:rPr>
          <w:rFonts w:hint="eastAsia" w:hAnsi="宋体"/>
          <w:sz w:val="21"/>
          <w:szCs w:val="21"/>
          <w:highlight w:val="none"/>
        </w:rPr>
        <w:t>10.6电报、电话、传真、电子邮件形式的响应概不接受。</w:t>
      </w:r>
    </w:p>
    <w:p>
      <w:pPr>
        <w:pStyle w:val="6"/>
        <w:adjustRightInd/>
        <w:spacing w:line="360" w:lineRule="auto"/>
        <w:ind w:firstLine="420" w:firstLineChars="200"/>
        <w:rPr>
          <w:rFonts w:hAnsi="宋体"/>
          <w:sz w:val="21"/>
          <w:szCs w:val="21"/>
          <w:highlight w:val="none"/>
        </w:rPr>
      </w:pPr>
      <w:bookmarkStart w:id="77" w:name="_Toc18079"/>
      <w:bookmarkStart w:id="78" w:name="_Toc110953840"/>
      <w:bookmarkStart w:id="79" w:name="_Toc7897874"/>
      <w:bookmarkStart w:id="80" w:name="_Toc20552"/>
      <w:r>
        <w:rPr>
          <w:rFonts w:hint="eastAsia" w:hAnsi="宋体"/>
          <w:sz w:val="21"/>
          <w:szCs w:val="21"/>
          <w:highlight w:val="none"/>
        </w:rPr>
        <w:t>11.响应文件的内容</w:t>
      </w:r>
      <w:bookmarkEnd w:id="77"/>
      <w:bookmarkEnd w:id="78"/>
      <w:bookmarkEnd w:id="79"/>
      <w:bookmarkEnd w:id="80"/>
    </w:p>
    <w:p>
      <w:pPr>
        <w:spacing w:line="360" w:lineRule="auto"/>
        <w:ind w:firstLine="420" w:firstLineChars="200"/>
        <w:rPr>
          <w:rFonts w:hAnsi="宋体"/>
          <w:sz w:val="21"/>
          <w:szCs w:val="21"/>
          <w:highlight w:val="none"/>
        </w:rPr>
      </w:pPr>
      <w:r>
        <w:rPr>
          <w:rFonts w:hint="eastAsia" w:hAnsi="宋体"/>
          <w:sz w:val="21"/>
          <w:szCs w:val="21"/>
          <w:highlight w:val="none"/>
        </w:rPr>
        <w:t>11.1响应文件应包括下列部分：</w:t>
      </w:r>
    </w:p>
    <w:p>
      <w:pPr>
        <w:spacing w:line="360" w:lineRule="auto"/>
        <w:ind w:firstLine="420" w:firstLineChars="200"/>
        <w:rPr>
          <w:rFonts w:hAnsi="宋体"/>
          <w:sz w:val="21"/>
          <w:szCs w:val="21"/>
          <w:highlight w:val="none"/>
        </w:rPr>
      </w:pPr>
      <w:r>
        <w:rPr>
          <w:rFonts w:hint="eastAsia" w:hAnsi="宋体"/>
          <w:sz w:val="21"/>
          <w:szCs w:val="21"/>
          <w:highlight w:val="none"/>
        </w:rPr>
        <w:t>11.1.1价格文件</w:t>
      </w:r>
    </w:p>
    <w:p>
      <w:pPr>
        <w:spacing w:line="360" w:lineRule="auto"/>
        <w:ind w:firstLine="420" w:firstLineChars="200"/>
        <w:rPr>
          <w:rFonts w:hAnsi="宋体"/>
          <w:sz w:val="21"/>
          <w:szCs w:val="21"/>
          <w:highlight w:val="none"/>
        </w:rPr>
      </w:pPr>
      <w:r>
        <w:rPr>
          <w:rFonts w:hint="eastAsia" w:hAnsi="宋体"/>
          <w:sz w:val="21"/>
          <w:szCs w:val="21"/>
          <w:highlight w:val="none"/>
        </w:rPr>
        <w:t>11.1.2商务、技术文件</w:t>
      </w:r>
    </w:p>
    <w:p>
      <w:pPr>
        <w:spacing w:line="360" w:lineRule="auto"/>
        <w:ind w:firstLine="420" w:firstLineChars="200"/>
        <w:rPr>
          <w:rFonts w:hAnsi="宋体"/>
          <w:sz w:val="21"/>
          <w:szCs w:val="21"/>
          <w:highlight w:val="none"/>
        </w:rPr>
      </w:pPr>
      <w:r>
        <w:rPr>
          <w:rFonts w:hint="eastAsia" w:hAnsi="宋体"/>
          <w:sz w:val="21"/>
          <w:szCs w:val="21"/>
          <w:highlight w:val="none"/>
        </w:rPr>
        <w:t>11.1.3唱标信封（须独立密封）</w:t>
      </w:r>
    </w:p>
    <w:p>
      <w:pPr>
        <w:spacing w:line="360" w:lineRule="auto"/>
        <w:ind w:firstLine="422" w:firstLineChars="200"/>
        <w:rPr>
          <w:rFonts w:hAnsi="宋体"/>
          <w:b/>
          <w:sz w:val="21"/>
          <w:szCs w:val="21"/>
          <w:highlight w:val="none"/>
        </w:rPr>
      </w:pPr>
      <w:r>
        <w:rPr>
          <w:rFonts w:hint="eastAsia" w:hAnsi="宋体"/>
          <w:b/>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sz w:val="21"/>
          <w:szCs w:val="21"/>
          <w:highlight w:val="none"/>
        </w:rPr>
      </w:pPr>
      <w:r>
        <w:rPr>
          <w:rFonts w:hint="eastAsia" w:hAnsi="宋体"/>
          <w:sz w:val="21"/>
          <w:szCs w:val="21"/>
          <w:highlight w:val="none"/>
        </w:rPr>
        <w:t>11.2响应（磋商）报价</w:t>
      </w:r>
    </w:p>
    <w:p>
      <w:pPr>
        <w:spacing w:line="360" w:lineRule="auto"/>
        <w:ind w:firstLine="420" w:firstLineChars="200"/>
        <w:rPr>
          <w:rFonts w:hAnsi="宋体"/>
          <w:sz w:val="21"/>
          <w:szCs w:val="21"/>
          <w:highlight w:val="none"/>
        </w:rPr>
      </w:pPr>
      <w:r>
        <w:rPr>
          <w:rFonts w:hint="eastAsia" w:hAnsi="宋体"/>
          <w:sz w:val="21"/>
          <w:szCs w:val="21"/>
          <w:highlight w:val="none"/>
        </w:rPr>
        <w:t>（1）响应（磋商）报价应为人民币含税全包价，</w:t>
      </w:r>
      <w:r>
        <w:rPr>
          <w:rFonts w:hint="eastAsia"/>
          <w:bCs/>
          <w:kern w:val="2"/>
          <w:sz w:val="21"/>
          <w:szCs w:val="21"/>
          <w:highlight w:val="none"/>
        </w:rPr>
        <w:t>采用固定综合单价、根据拟采购清单暂定总价的形式报价，</w:t>
      </w:r>
      <w:r>
        <w:rPr>
          <w:rFonts w:hint="eastAsia" w:hAnsi="宋体"/>
          <w:sz w:val="21"/>
          <w:szCs w:val="21"/>
          <w:highlight w:val="none"/>
        </w:rPr>
        <w:t>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sz w:val="21"/>
          <w:szCs w:val="21"/>
          <w:highlight w:val="none"/>
        </w:rPr>
      </w:pPr>
      <w:r>
        <w:rPr>
          <w:rFonts w:hint="eastAsia" w:hAnsi="宋体"/>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sz w:val="21"/>
          <w:szCs w:val="21"/>
          <w:highlight w:val="none"/>
        </w:rPr>
      </w:pPr>
      <w:r>
        <w:rPr>
          <w:rFonts w:hint="eastAsia" w:hAnsi="宋体"/>
          <w:sz w:val="21"/>
          <w:szCs w:val="21"/>
          <w:highlight w:val="none"/>
        </w:rPr>
        <w:t>（3）供应商应按响应文件的《报价一览表》格式填写响应内容的单价和总价。</w:t>
      </w:r>
    </w:p>
    <w:p>
      <w:pPr>
        <w:spacing w:line="360" w:lineRule="auto"/>
        <w:ind w:firstLine="422" w:firstLineChars="200"/>
        <w:rPr>
          <w:rFonts w:hAnsi="宋体"/>
          <w:b/>
          <w:sz w:val="21"/>
          <w:szCs w:val="21"/>
          <w:highlight w:val="none"/>
        </w:rPr>
      </w:pPr>
      <w:r>
        <w:rPr>
          <w:rFonts w:hint="eastAsia" w:hAnsi="宋体"/>
          <w:b/>
          <w:sz w:val="21"/>
          <w:szCs w:val="21"/>
          <w:highlight w:val="none"/>
        </w:rPr>
        <w:t>（4）</w:t>
      </w:r>
      <w:r>
        <w:rPr>
          <w:rFonts w:hint="eastAsia" w:hAnsi="宋体"/>
          <w:b/>
          <w:bCs/>
          <w:sz w:val="21"/>
          <w:szCs w:val="21"/>
          <w:highlight w:val="none"/>
        </w:rPr>
        <w:t>供应商每次报价超过最高限价视为非实质性响应磋商而予以拒绝。</w:t>
      </w:r>
    </w:p>
    <w:p>
      <w:pPr>
        <w:spacing w:line="360" w:lineRule="auto"/>
        <w:ind w:firstLine="420" w:firstLineChars="200"/>
        <w:rPr>
          <w:rFonts w:hAnsi="宋体"/>
          <w:sz w:val="21"/>
          <w:szCs w:val="21"/>
          <w:highlight w:val="none"/>
        </w:rPr>
      </w:pPr>
      <w:r>
        <w:rPr>
          <w:rFonts w:hint="eastAsia" w:hAnsi="宋体"/>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sz w:val="21"/>
          <w:szCs w:val="21"/>
          <w:highlight w:val="none"/>
        </w:rPr>
      </w:pPr>
      <w:r>
        <w:rPr>
          <w:rFonts w:hint="eastAsia" w:hAnsi="宋体"/>
          <w:b/>
          <w:sz w:val="21"/>
          <w:szCs w:val="21"/>
          <w:highlight w:val="none"/>
        </w:rPr>
        <w:t>（6）供应商只能就单个项目提供唯一的方案和报价，不接受选择性的方案和报价。</w:t>
      </w:r>
    </w:p>
    <w:p>
      <w:pPr>
        <w:spacing w:line="360" w:lineRule="auto"/>
        <w:ind w:firstLine="420" w:firstLineChars="200"/>
        <w:rPr>
          <w:rFonts w:hAnsi="宋体"/>
          <w:sz w:val="21"/>
          <w:szCs w:val="21"/>
          <w:highlight w:val="none"/>
        </w:rPr>
      </w:pPr>
      <w:r>
        <w:rPr>
          <w:rFonts w:hint="eastAsia" w:hAnsi="宋体"/>
          <w:sz w:val="21"/>
          <w:szCs w:val="21"/>
          <w:highlight w:val="none"/>
        </w:rPr>
        <w:t>11.3证明供应商合格和资格的文件</w:t>
      </w:r>
    </w:p>
    <w:p>
      <w:pPr>
        <w:spacing w:line="360" w:lineRule="auto"/>
        <w:ind w:firstLine="420" w:firstLineChars="200"/>
        <w:rPr>
          <w:rFonts w:hAnsi="宋体"/>
          <w:sz w:val="21"/>
          <w:szCs w:val="21"/>
          <w:highlight w:val="none"/>
        </w:rPr>
      </w:pPr>
      <w:r>
        <w:rPr>
          <w:rFonts w:hint="eastAsia" w:hAnsi="宋体"/>
          <w:sz w:val="21"/>
          <w:szCs w:val="21"/>
          <w:highlight w:val="none"/>
        </w:rPr>
        <w:t>11.4供应商应当提交具备履行合同的证明文件。</w:t>
      </w:r>
    </w:p>
    <w:p>
      <w:pPr>
        <w:spacing w:line="360" w:lineRule="auto"/>
        <w:ind w:firstLine="420" w:firstLineChars="200"/>
        <w:rPr>
          <w:rFonts w:hAnsi="宋体"/>
          <w:sz w:val="21"/>
          <w:szCs w:val="21"/>
          <w:highlight w:val="none"/>
        </w:rPr>
      </w:pPr>
      <w:r>
        <w:rPr>
          <w:rFonts w:hint="eastAsia" w:hAnsi="宋体"/>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sz w:val="21"/>
          <w:szCs w:val="21"/>
          <w:highlight w:val="none"/>
        </w:rPr>
      </w:pPr>
      <w:r>
        <w:rPr>
          <w:rFonts w:hint="eastAsia" w:hAnsi="宋体"/>
          <w:sz w:val="21"/>
          <w:szCs w:val="21"/>
          <w:highlight w:val="none"/>
        </w:rPr>
        <w:t>11.6证明服务的合格性和符合磋商文件规定的文件。</w:t>
      </w:r>
    </w:p>
    <w:p>
      <w:pPr>
        <w:spacing w:line="360" w:lineRule="auto"/>
        <w:ind w:firstLine="420" w:firstLineChars="200"/>
        <w:rPr>
          <w:rFonts w:hAnsi="宋体"/>
          <w:sz w:val="21"/>
          <w:szCs w:val="21"/>
          <w:highlight w:val="none"/>
        </w:rPr>
      </w:pPr>
      <w:r>
        <w:rPr>
          <w:rFonts w:hint="eastAsia" w:hAnsi="宋体"/>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sz w:val="21"/>
          <w:szCs w:val="21"/>
          <w:highlight w:val="none"/>
        </w:rPr>
      </w:pPr>
      <w:r>
        <w:rPr>
          <w:rFonts w:hint="eastAsia" w:hAnsi="宋体"/>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sz w:val="21"/>
          <w:szCs w:val="21"/>
          <w:highlight w:val="none"/>
        </w:rPr>
      </w:pPr>
      <w:bookmarkStart w:id="81" w:name="_Toc21763"/>
      <w:bookmarkStart w:id="82" w:name="_Toc7897875"/>
      <w:bookmarkStart w:id="83" w:name="_Toc9150"/>
      <w:bookmarkStart w:id="84" w:name="_Toc110953841"/>
      <w:r>
        <w:rPr>
          <w:rFonts w:hint="eastAsia" w:hAnsi="宋体"/>
          <w:sz w:val="21"/>
          <w:szCs w:val="21"/>
          <w:highlight w:val="none"/>
        </w:rPr>
        <w:t>12.响应文件格式</w:t>
      </w:r>
      <w:bookmarkEnd w:id="81"/>
      <w:bookmarkEnd w:id="82"/>
      <w:bookmarkEnd w:id="83"/>
      <w:bookmarkEnd w:id="84"/>
    </w:p>
    <w:p>
      <w:pPr>
        <w:spacing w:line="360" w:lineRule="auto"/>
        <w:ind w:firstLine="420" w:firstLineChars="200"/>
        <w:rPr>
          <w:rFonts w:hAnsi="宋体"/>
          <w:sz w:val="21"/>
          <w:szCs w:val="21"/>
          <w:highlight w:val="none"/>
        </w:rPr>
      </w:pPr>
      <w:r>
        <w:rPr>
          <w:rFonts w:hint="eastAsia" w:hAnsi="宋体"/>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sz w:val="21"/>
          <w:szCs w:val="21"/>
          <w:highlight w:val="none"/>
        </w:rPr>
      </w:pPr>
      <w:bookmarkStart w:id="85" w:name="_Toc185150707"/>
      <w:bookmarkStart w:id="86" w:name="_Toc7897876"/>
      <w:bookmarkStart w:id="87" w:name="_Toc24570"/>
      <w:bookmarkStart w:id="88" w:name="_Toc30889"/>
      <w:r>
        <w:rPr>
          <w:rFonts w:hint="eastAsia" w:hAnsi="宋体"/>
          <w:sz w:val="21"/>
          <w:szCs w:val="21"/>
          <w:highlight w:val="none"/>
        </w:rPr>
        <w:t>13.</w:t>
      </w:r>
      <w:bookmarkEnd w:id="85"/>
      <w:r>
        <w:rPr>
          <w:rFonts w:hint="eastAsia" w:hAnsi="宋体"/>
          <w:sz w:val="21"/>
          <w:szCs w:val="21"/>
          <w:highlight w:val="none"/>
        </w:rPr>
        <w:t>磋商保证金</w:t>
      </w:r>
      <w:bookmarkEnd w:id="86"/>
      <w:bookmarkEnd w:id="87"/>
      <w:bookmarkEnd w:id="88"/>
    </w:p>
    <w:p>
      <w:pPr>
        <w:spacing w:line="360" w:lineRule="auto"/>
        <w:ind w:firstLine="420" w:firstLineChars="200"/>
        <w:rPr>
          <w:rFonts w:hAnsi="宋体"/>
          <w:sz w:val="21"/>
          <w:szCs w:val="21"/>
          <w:highlight w:val="none"/>
        </w:rPr>
      </w:pPr>
      <w:r>
        <w:rPr>
          <w:rFonts w:hint="eastAsia" w:hAnsi="宋体"/>
          <w:sz w:val="21"/>
          <w:szCs w:val="21"/>
          <w:highlight w:val="none"/>
        </w:rPr>
        <w:t>13.1供应商应向采购代理机构提交磋商保证金，并作为其响应文件的一部分。磋商保证金的金额：</w:t>
      </w:r>
    </w:p>
    <w:tbl>
      <w:tblPr>
        <w:tblStyle w:val="51"/>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2"/>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4292"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3078"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92" w:type="dxa"/>
            <w:vAlign w:val="center"/>
          </w:tcPr>
          <w:p>
            <w:pPr>
              <w:widowControl/>
              <w:jc w:val="center"/>
              <w:rPr>
                <w:rFonts w:hAnsi="宋体"/>
                <w:sz w:val="21"/>
                <w:szCs w:val="21"/>
                <w:highlight w:val="none"/>
              </w:rPr>
            </w:pPr>
            <w:r>
              <w:rPr>
                <w:rFonts w:hint="eastAsia" w:hAnsi="宋体"/>
                <w:sz w:val="21"/>
                <w:szCs w:val="21"/>
                <w:highlight w:val="none"/>
                <w:lang w:eastAsia="zh-CN"/>
              </w:rPr>
              <w:t>松山湖大学创新城--室外停车场管理系统采购安装项目</w:t>
            </w:r>
          </w:p>
        </w:tc>
        <w:tc>
          <w:tcPr>
            <w:tcW w:w="3078" w:type="dxa"/>
            <w:vAlign w:val="center"/>
          </w:tcPr>
          <w:p>
            <w:pPr>
              <w:widowControl/>
              <w:jc w:val="center"/>
              <w:rPr>
                <w:rFonts w:hAnsi="宋体"/>
                <w:sz w:val="21"/>
                <w:szCs w:val="21"/>
                <w:highlight w:val="none"/>
              </w:rPr>
            </w:pPr>
            <w:r>
              <w:rPr>
                <w:rFonts w:hint="eastAsia" w:hAnsi="宋体"/>
                <w:sz w:val="21"/>
                <w:szCs w:val="21"/>
                <w:highlight w:val="none"/>
              </w:rPr>
              <w:t>（¥</w:t>
            </w:r>
            <w:r>
              <w:rPr>
                <w:rFonts w:hint="eastAsia" w:hAnsi="宋体"/>
                <w:sz w:val="21"/>
                <w:szCs w:val="21"/>
                <w:highlight w:val="none"/>
                <w:lang w:val="en-US" w:eastAsia="zh-CN"/>
              </w:rPr>
              <w:t>21</w:t>
            </w:r>
            <w:bookmarkStart w:id="252" w:name="_GoBack"/>
            <w:bookmarkEnd w:id="252"/>
            <w:r>
              <w:rPr>
                <w:rFonts w:hint="eastAsia" w:hAnsi="宋体"/>
                <w:sz w:val="21"/>
                <w:szCs w:val="21"/>
                <w:highlight w:val="none"/>
                <w:lang w:val="en-US" w:eastAsia="zh-CN"/>
              </w:rPr>
              <w:t>,000.00</w:t>
            </w:r>
            <w:r>
              <w:rPr>
                <w:rFonts w:hint="eastAsia" w:hAnsi="宋体"/>
                <w:sz w:val="21"/>
                <w:szCs w:val="21"/>
                <w:highlight w:val="none"/>
              </w:rPr>
              <w:t>元）</w:t>
            </w:r>
          </w:p>
        </w:tc>
      </w:tr>
    </w:tbl>
    <w:p>
      <w:pPr>
        <w:spacing w:line="360" w:lineRule="auto"/>
        <w:ind w:firstLine="420" w:firstLineChars="200"/>
        <w:rPr>
          <w:rFonts w:hAnsi="宋体"/>
          <w:sz w:val="21"/>
          <w:szCs w:val="21"/>
          <w:highlight w:val="none"/>
        </w:rPr>
      </w:pPr>
      <w:r>
        <w:rPr>
          <w:rFonts w:hint="eastAsia" w:hAnsi="宋体"/>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sz w:val="21"/>
          <w:szCs w:val="21"/>
          <w:highlight w:val="none"/>
        </w:rPr>
      </w:pPr>
      <w:r>
        <w:rPr>
          <w:rFonts w:hint="eastAsia" w:hAnsi="宋体"/>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kern w:val="2"/>
          <w:sz w:val="21"/>
          <w:szCs w:val="21"/>
          <w:highlight w:val="none"/>
          <w:lang w:val="zh-CN"/>
        </w:rPr>
      </w:pPr>
      <w:r>
        <w:rPr>
          <w:rFonts w:hint="eastAsia" w:hAnsi="宋体"/>
          <w:kern w:val="2"/>
          <w:sz w:val="21"/>
          <w:szCs w:val="21"/>
          <w:highlight w:val="none"/>
          <w:lang w:val="zh-CN"/>
        </w:rPr>
        <w:t>磋商保证金采用转帐、电汇方式或银行保函方式方式提交，应符合以下要求：</w:t>
      </w:r>
      <w:r>
        <w:rPr>
          <w:rFonts w:hint="eastAsia" w:hAnsi="宋体"/>
          <w:b/>
          <w:bCs/>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kern w:val="2"/>
          <w:sz w:val="21"/>
          <w:szCs w:val="21"/>
          <w:highlight w:val="none"/>
          <w:lang w:val="zh-CN"/>
        </w:rPr>
        <w:t>项目编号、包号</w:t>
      </w:r>
      <w:r>
        <w:rPr>
          <w:rFonts w:hint="eastAsia" w:hAnsi="宋体"/>
          <w:kern w:val="2"/>
          <w:sz w:val="21"/>
          <w:szCs w:val="21"/>
          <w:highlight w:val="none"/>
          <w:lang w:val="zh-CN"/>
        </w:rPr>
        <w:t>。</w:t>
      </w:r>
      <w:r>
        <w:rPr>
          <w:rFonts w:hint="eastAsia" w:hAnsi="宋体"/>
          <w:b/>
          <w:bCs/>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kern w:val="2"/>
          <w:sz w:val="21"/>
          <w:szCs w:val="21"/>
          <w:highlight w:val="none"/>
          <w:lang w:val="zh-CN"/>
        </w:rPr>
      </w:pPr>
      <w:r>
        <w:rPr>
          <w:rFonts w:hint="eastAsia" w:hAnsi="宋体"/>
          <w:kern w:val="2"/>
          <w:sz w:val="21"/>
          <w:szCs w:val="21"/>
          <w:highlight w:val="none"/>
          <w:lang w:val="zh-CN"/>
        </w:rPr>
        <w:t>磋商保证金专用账户如下：</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账户名称：广东泰通伟业工程咨询有限公司</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 xml:space="preserve">账  </w:t>
      </w:r>
      <w:r>
        <w:rPr>
          <w:rFonts w:hint="eastAsia" w:hAnsi="宋体"/>
          <w:b/>
          <w:bCs/>
          <w:kern w:val="2"/>
          <w:sz w:val="21"/>
          <w:szCs w:val="21"/>
          <w:highlight w:val="none"/>
          <w:lang w:val="en-US" w:eastAsia="zh-CN"/>
        </w:rPr>
        <w:t xml:space="preserve">  </w:t>
      </w:r>
      <w:r>
        <w:rPr>
          <w:rFonts w:hint="eastAsia" w:hAnsi="宋体"/>
          <w:b/>
          <w:bCs/>
          <w:kern w:val="2"/>
          <w:sz w:val="21"/>
          <w:szCs w:val="21"/>
          <w:highlight w:val="none"/>
          <w:lang w:val="zh-CN"/>
        </w:rPr>
        <w:t>号：6232590699050050721</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开户行：广发银行股份有限公司东莞东翔支行</w:t>
      </w:r>
    </w:p>
    <w:p>
      <w:pPr>
        <w:spacing w:line="360" w:lineRule="auto"/>
        <w:ind w:firstLine="420" w:firstLineChars="200"/>
        <w:rPr>
          <w:rFonts w:hAnsi="宋体"/>
          <w:sz w:val="21"/>
          <w:szCs w:val="21"/>
          <w:highlight w:val="none"/>
        </w:rPr>
      </w:pPr>
      <w:r>
        <w:rPr>
          <w:rFonts w:hint="eastAsia" w:hAnsi="宋体"/>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sz w:val="21"/>
          <w:szCs w:val="21"/>
          <w:highlight w:val="none"/>
        </w:rPr>
      </w:pPr>
      <w:r>
        <w:rPr>
          <w:rFonts w:hint="eastAsia" w:hAnsi="宋体"/>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sz w:val="21"/>
          <w:szCs w:val="21"/>
          <w:highlight w:val="none"/>
        </w:rPr>
      </w:pPr>
      <w:r>
        <w:rPr>
          <w:rFonts w:hint="eastAsia" w:hAnsi="宋体"/>
          <w:sz w:val="21"/>
          <w:szCs w:val="21"/>
          <w:highlight w:val="none"/>
        </w:rPr>
        <w:t>13.5凡没有根据规定递交磋商保证金的，应视为非响应性磋商予以拒绝。</w:t>
      </w:r>
    </w:p>
    <w:p>
      <w:pPr>
        <w:spacing w:line="360" w:lineRule="auto"/>
        <w:ind w:firstLine="420" w:firstLineChars="200"/>
        <w:rPr>
          <w:rFonts w:hAnsi="宋体"/>
          <w:sz w:val="21"/>
          <w:szCs w:val="21"/>
          <w:highlight w:val="none"/>
        </w:rPr>
      </w:pPr>
      <w:r>
        <w:rPr>
          <w:rFonts w:hint="eastAsia" w:hAnsi="宋体"/>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sz w:val="21"/>
          <w:szCs w:val="21"/>
          <w:highlight w:val="none"/>
        </w:rPr>
      </w:pPr>
      <w:r>
        <w:rPr>
          <w:rFonts w:hint="eastAsia" w:hAnsi="宋体"/>
          <w:sz w:val="21"/>
          <w:szCs w:val="21"/>
          <w:highlight w:val="none"/>
        </w:rPr>
        <w:t>13.7下列任何情况发生时，磋商保证金将被没收：</w:t>
      </w:r>
    </w:p>
    <w:p>
      <w:pPr>
        <w:spacing w:line="360" w:lineRule="auto"/>
        <w:ind w:firstLine="420" w:firstLineChars="200"/>
        <w:rPr>
          <w:rFonts w:hAnsi="宋体"/>
          <w:sz w:val="21"/>
          <w:szCs w:val="21"/>
          <w:highlight w:val="none"/>
        </w:rPr>
      </w:pPr>
      <w:r>
        <w:rPr>
          <w:rFonts w:hint="eastAsia" w:hAnsi="宋体"/>
          <w:sz w:val="21"/>
          <w:szCs w:val="21"/>
          <w:highlight w:val="none"/>
        </w:rPr>
        <w:t>13.7.1供应商在磋商文件中规定的磋商有效期内撤回其磋商；</w:t>
      </w:r>
    </w:p>
    <w:p>
      <w:pPr>
        <w:spacing w:line="360" w:lineRule="auto"/>
        <w:ind w:firstLine="420" w:firstLineChars="200"/>
        <w:rPr>
          <w:rFonts w:hAnsi="宋体"/>
          <w:sz w:val="21"/>
          <w:szCs w:val="21"/>
          <w:highlight w:val="none"/>
        </w:rPr>
      </w:pPr>
      <w:r>
        <w:rPr>
          <w:rFonts w:hint="eastAsia" w:hAnsi="宋体"/>
          <w:sz w:val="21"/>
          <w:szCs w:val="21"/>
          <w:highlight w:val="none"/>
        </w:rPr>
        <w:t>13.7.2供应商串通磋商或者以其他弄虚作假方式磋商；</w:t>
      </w:r>
    </w:p>
    <w:p>
      <w:pPr>
        <w:spacing w:line="360" w:lineRule="auto"/>
        <w:ind w:firstLine="420" w:firstLineChars="200"/>
        <w:rPr>
          <w:rFonts w:hAnsi="宋体"/>
          <w:sz w:val="21"/>
          <w:szCs w:val="21"/>
          <w:highlight w:val="none"/>
        </w:rPr>
      </w:pPr>
      <w:r>
        <w:rPr>
          <w:rFonts w:hint="eastAsia" w:hAnsi="宋体"/>
          <w:sz w:val="21"/>
          <w:szCs w:val="21"/>
          <w:highlight w:val="none"/>
        </w:rPr>
        <w:t>13.7.3成交供应商在规定期限内未能按规定签订合同；</w:t>
      </w:r>
    </w:p>
    <w:p>
      <w:pPr>
        <w:spacing w:line="360" w:lineRule="auto"/>
        <w:ind w:firstLine="420" w:firstLineChars="200"/>
        <w:rPr>
          <w:rFonts w:hAnsi="宋体"/>
          <w:sz w:val="21"/>
          <w:szCs w:val="21"/>
          <w:highlight w:val="none"/>
        </w:rPr>
      </w:pPr>
      <w:r>
        <w:rPr>
          <w:rFonts w:hint="eastAsia" w:hAnsi="宋体"/>
          <w:sz w:val="21"/>
          <w:szCs w:val="21"/>
          <w:highlight w:val="none"/>
        </w:rPr>
        <w:t>13.7.4法律法规规定和磋商文件中规定的其它情况。</w:t>
      </w:r>
    </w:p>
    <w:p>
      <w:pPr>
        <w:pStyle w:val="6"/>
        <w:adjustRightInd/>
        <w:spacing w:line="360" w:lineRule="auto"/>
        <w:ind w:firstLine="420" w:firstLineChars="200"/>
        <w:rPr>
          <w:rFonts w:hAnsi="宋体"/>
          <w:sz w:val="21"/>
          <w:szCs w:val="21"/>
          <w:highlight w:val="none"/>
        </w:rPr>
      </w:pPr>
      <w:bookmarkStart w:id="89" w:name="_Toc468606030"/>
      <w:bookmarkStart w:id="90" w:name="_Toc479991583"/>
      <w:bookmarkStart w:id="91" w:name="_Toc454701382"/>
      <w:bookmarkStart w:id="92" w:name="_Toc480010709"/>
      <w:bookmarkStart w:id="93" w:name="_Toc7897877"/>
      <w:bookmarkStart w:id="94" w:name="_Toc503758471"/>
      <w:bookmarkStart w:id="95" w:name="_Toc480171880"/>
      <w:bookmarkStart w:id="96" w:name="_Toc480021054"/>
      <w:bookmarkStart w:id="97" w:name="_Toc467236741"/>
      <w:bookmarkStart w:id="98" w:name="_Toc2525"/>
      <w:bookmarkStart w:id="99" w:name="_Toc467987824"/>
      <w:bookmarkStart w:id="100" w:name="_Toc480020258"/>
      <w:bookmarkStart w:id="101" w:name="_Toc32304"/>
      <w:bookmarkStart w:id="102" w:name="_Toc468157537"/>
      <w:bookmarkStart w:id="103" w:name="_Toc458262615"/>
      <w:bookmarkStart w:id="104" w:name="_Toc110953842"/>
      <w:r>
        <w:rPr>
          <w:rFonts w:hint="eastAsia" w:hAnsi="宋体"/>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sz w:val="21"/>
          <w:szCs w:val="21"/>
          <w:highlight w:val="none"/>
        </w:rPr>
      </w:pPr>
      <w:r>
        <w:rPr>
          <w:rFonts w:hint="eastAsia" w:hAnsi="宋体"/>
          <w:sz w:val="21"/>
          <w:szCs w:val="21"/>
          <w:highlight w:val="none"/>
        </w:rPr>
        <w:t>14.1响应文件从开启响应文件之日起，响应有效期为90个工作日。</w:t>
      </w:r>
    </w:p>
    <w:p>
      <w:pPr>
        <w:spacing w:line="360" w:lineRule="auto"/>
        <w:ind w:firstLine="420" w:firstLineChars="200"/>
        <w:rPr>
          <w:rFonts w:hAnsi="宋体"/>
          <w:sz w:val="21"/>
          <w:szCs w:val="21"/>
          <w:highlight w:val="none"/>
        </w:rPr>
      </w:pPr>
      <w:r>
        <w:rPr>
          <w:rFonts w:hint="eastAsia" w:hAnsi="宋体"/>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4"/>
        <w:ind w:firstLine="400"/>
        <w:rPr>
          <w:highlight w:val="none"/>
        </w:rPr>
      </w:pPr>
    </w:p>
    <w:bookmarkEnd w:id="68"/>
    <w:bookmarkEnd w:id="69"/>
    <w:bookmarkEnd w:id="70"/>
    <w:bookmarkEnd w:id="71"/>
    <w:bookmarkEnd w:id="72"/>
    <w:p>
      <w:pPr>
        <w:pStyle w:val="5"/>
        <w:adjustRightInd/>
        <w:spacing w:line="360" w:lineRule="auto"/>
        <w:ind w:firstLine="562" w:firstLineChars="200"/>
        <w:jc w:val="center"/>
        <w:rPr>
          <w:sz w:val="28"/>
          <w:szCs w:val="28"/>
          <w:highlight w:val="none"/>
        </w:rPr>
      </w:pPr>
      <w:bookmarkStart w:id="105" w:name="_Toc17761"/>
      <w:bookmarkStart w:id="106" w:name="_Toc7897878"/>
      <w:bookmarkStart w:id="107" w:name="_Toc110953843"/>
      <w:bookmarkStart w:id="108" w:name="_Toc6882679"/>
      <w:bookmarkStart w:id="109" w:name="_Toc102277760"/>
      <w:bookmarkStart w:id="110" w:name="_Toc507407363"/>
      <w:bookmarkStart w:id="111" w:name="_Toc466786438"/>
      <w:bookmarkStart w:id="112" w:name="_Toc6968691"/>
      <w:r>
        <w:rPr>
          <w:rFonts w:hint="eastAsia"/>
          <w:sz w:val="28"/>
          <w:szCs w:val="28"/>
          <w:highlight w:val="none"/>
        </w:rPr>
        <w:t>四、响应文件的递交</w:t>
      </w:r>
      <w:bookmarkEnd w:id="105"/>
      <w:bookmarkEnd w:id="106"/>
      <w:bookmarkEnd w:id="107"/>
    </w:p>
    <w:p>
      <w:pPr>
        <w:pStyle w:val="6"/>
        <w:adjustRightInd/>
        <w:spacing w:line="360" w:lineRule="auto"/>
        <w:ind w:firstLine="420" w:firstLineChars="200"/>
        <w:rPr>
          <w:rFonts w:hAnsi="宋体"/>
          <w:sz w:val="21"/>
          <w:szCs w:val="21"/>
          <w:highlight w:val="none"/>
        </w:rPr>
      </w:pPr>
      <w:bookmarkStart w:id="113" w:name="_Toc7897879"/>
      <w:bookmarkStart w:id="114" w:name="_Toc110953844"/>
      <w:bookmarkStart w:id="115" w:name="_Toc11500"/>
      <w:bookmarkStart w:id="116" w:name="_Toc2684"/>
      <w:r>
        <w:rPr>
          <w:rFonts w:hint="eastAsia" w:hAnsi="宋体"/>
          <w:sz w:val="21"/>
          <w:szCs w:val="21"/>
          <w:highlight w:val="none"/>
        </w:rPr>
        <w:t>15.响应文件的密封和标记</w:t>
      </w:r>
      <w:bookmarkEnd w:id="113"/>
      <w:bookmarkEnd w:id="114"/>
      <w:bookmarkEnd w:id="115"/>
      <w:bookmarkEnd w:id="116"/>
    </w:p>
    <w:p>
      <w:pPr>
        <w:spacing w:line="360" w:lineRule="auto"/>
        <w:ind w:firstLine="420" w:firstLineChars="200"/>
        <w:rPr>
          <w:rFonts w:hAnsi="宋体"/>
          <w:sz w:val="21"/>
          <w:szCs w:val="21"/>
          <w:highlight w:val="none"/>
        </w:rPr>
      </w:pPr>
      <w:r>
        <w:rPr>
          <w:rFonts w:hint="eastAsia" w:hAnsi="宋体"/>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sz w:val="21"/>
          <w:szCs w:val="21"/>
          <w:highlight w:val="none"/>
        </w:rPr>
      </w:pPr>
      <w:r>
        <w:rPr>
          <w:rFonts w:hint="eastAsia" w:hAnsi="宋体"/>
          <w:b/>
          <w:sz w:val="21"/>
          <w:szCs w:val="21"/>
          <w:highlight w:val="none"/>
        </w:rPr>
        <w:t>15.2唱标信封应单独密封，与磋商响应文件一同提交。</w:t>
      </w:r>
    </w:p>
    <w:p>
      <w:pPr>
        <w:tabs>
          <w:tab w:val="left" w:pos="567"/>
        </w:tabs>
        <w:spacing w:line="360" w:lineRule="auto"/>
        <w:ind w:firstLine="420" w:firstLineChars="200"/>
        <w:rPr>
          <w:rFonts w:hAnsi="宋体"/>
          <w:sz w:val="21"/>
          <w:szCs w:val="21"/>
          <w:highlight w:val="none"/>
        </w:rPr>
      </w:pPr>
      <w:r>
        <w:rPr>
          <w:rFonts w:hint="eastAsia" w:hAnsi="宋体"/>
          <w:sz w:val="21"/>
          <w:szCs w:val="21"/>
          <w:highlight w:val="none"/>
        </w:rPr>
        <w:t>15.3在磋商响应文件密封袋上均应标明以下内容：</w:t>
      </w:r>
    </w:p>
    <w:p>
      <w:pPr>
        <w:spacing w:line="360" w:lineRule="auto"/>
        <w:ind w:firstLine="420" w:firstLineChars="200"/>
        <w:rPr>
          <w:rFonts w:hAnsi="宋体"/>
          <w:sz w:val="21"/>
          <w:szCs w:val="21"/>
          <w:highlight w:val="none"/>
        </w:rPr>
      </w:pPr>
      <w:r>
        <w:rPr>
          <w:rFonts w:hint="eastAsia" w:hAnsi="宋体"/>
          <w:sz w:val="21"/>
          <w:szCs w:val="21"/>
          <w:highlight w:val="none"/>
        </w:rPr>
        <w:t>① 收 件 人：；</w:t>
      </w:r>
    </w:p>
    <w:p>
      <w:pPr>
        <w:spacing w:line="360" w:lineRule="auto"/>
        <w:ind w:firstLine="420" w:firstLineChars="200"/>
        <w:rPr>
          <w:rFonts w:hAnsi="宋体"/>
          <w:sz w:val="21"/>
          <w:szCs w:val="21"/>
          <w:highlight w:val="none"/>
        </w:rPr>
      </w:pPr>
      <w:r>
        <w:rPr>
          <w:rFonts w:hint="eastAsia" w:hAnsi="宋体"/>
          <w:sz w:val="21"/>
          <w:szCs w:val="21"/>
          <w:highlight w:val="none"/>
        </w:rPr>
        <w:t>② 项目名称：；</w:t>
      </w:r>
    </w:p>
    <w:p>
      <w:pPr>
        <w:spacing w:line="360" w:lineRule="auto"/>
        <w:ind w:firstLine="420" w:firstLineChars="200"/>
        <w:rPr>
          <w:rFonts w:hAnsi="宋体"/>
          <w:sz w:val="21"/>
          <w:szCs w:val="21"/>
          <w:highlight w:val="none"/>
        </w:rPr>
      </w:pPr>
      <w:r>
        <w:rPr>
          <w:rFonts w:hint="eastAsia" w:hAnsi="宋体"/>
          <w:sz w:val="21"/>
          <w:szCs w:val="21"/>
          <w:highlight w:val="none"/>
        </w:rPr>
        <w:t>③ 包    号：；</w:t>
      </w:r>
    </w:p>
    <w:p>
      <w:pPr>
        <w:spacing w:line="360" w:lineRule="auto"/>
        <w:ind w:firstLine="420" w:firstLineChars="200"/>
        <w:rPr>
          <w:rFonts w:hAnsi="宋体"/>
          <w:sz w:val="21"/>
          <w:szCs w:val="21"/>
          <w:highlight w:val="none"/>
        </w:rPr>
      </w:pPr>
      <w:r>
        <w:rPr>
          <w:rFonts w:hint="eastAsia" w:hAnsi="宋体"/>
          <w:sz w:val="21"/>
          <w:szCs w:val="21"/>
          <w:highlight w:val="none"/>
        </w:rPr>
        <w:t>④ 采购编号：；</w:t>
      </w:r>
    </w:p>
    <w:p>
      <w:pPr>
        <w:spacing w:line="360" w:lineRule="auto"/>
        <w:ind w:firstLine="420" w:firstLineChars="200"/>
        <w:rPr>
          <w:rFonts w:hAnsi="宋体"/>
          <w:sz w:val="21"/>
          <w:szCs w:val="21"/>
          <w:highlight w:val="none"/>
        </w:rPr>
      </w:pPr>
      <w:r>
        <w:rPr>
          <w:rFonts w:hint="eastAsia" w:hAnsi="宋体"/>
          <w:sz w:val="21"/>
          <w:szCs w:val="21"/>
          <w:highlight w:val="none"/>
        </w:rPr>
        <w:t>⑤        年   月   日   时   分开标，此时间以前不得开封；</w:t>
      </w:r>
    </w:p>
    <w:p>
      <w:pPr>
        <w:spacing w:line="360" w:lineRule="auto"/>
        <w:ind w:firstLine="420" w:firstLineChars="200"/>
        <w:rPr>
          <w:rFonts w:hAnsi="宋体"/>
          <w:sz w:val="21"/>
          <w:szCs w:val="21"/>
          <w:highlight w:val="none"/>
        </w:rPr>
      </w:pPr>
      <w:r>
        <w:rPr>
          <w:rFonts w:hint="eastAsia" w:hAnsi="宋体"/>
          <w:sz w:val="21"/>
          <w:szCs w:val="21"/>
          <w:highlight w:val="none"/>
        </w:rPr>
        <w:t>⑥ 标明供应商名称、地址、联系人和电话以及文件的种类（如价格文件、商务技术文件、唱标信封等）。</w:t>
      </w:r>
    </w:p>
    <w:p>
      <w:pPr>
        <w:spacing w:line="360" w:lineRule="auto"/>
        <w:ind w:firstLine="420" w:firstLineChars="200"/>
        <w:rPr>
          <w:rFonts w:hAnsi="宋体"/>
          <w:sz w:val="21"/>
          <w:szCs w:val="21"/>
          <w:highlight w:val="none"/>
        </w:rPr>
      </w:pPr>
      <w:r>
        <w:rPr>
          <w:rFonts w:hint="eastAsia" w:hAnsi="宋体"/>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sz w:val="21"/>
          <w:szCs w:val="21"/>
          <w:highlight w:val="none"/>
        </w:rPr>
      </w:pPr>
      <w:r>
        <w:rPr>
          <w:rFonts w:hint="eastAsia" w:hAnsi="宋体"/>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sz w:val="21"/>
          <w:szCs w:val="21"/>
          <w:highlight w:val="none"/>
        </w:rPr>
      </w:pPr>
      <w:bookmarkStart w:id="117" w:name="_Toc12710"/>
      <w:bookmarkStart w:id="118" w:name="_Toc10017"/>
      <w:bookmarkStart w:id="119" w:name="_Toc110953845"/>
      <w:bookmarkStart w:id="120" w:name="_Toc7897880"/>
      <w:r>
        <w:rPr>
          <w:rFonts w:hint="eastAsia" w:hAnsi="宋体"/>
          <w:sz w:val="21"/>
          <w:szCs w:val="21"/>
          <w:highlight w:val="none"/>
        </w:rPr>
        <w:t>16.响应文件的递交</w:t>
      </w:r>
      <w:bookmarkEnd w:id="117"/>
      <w:bookmarkEnd w:id="118"/>
      <w:bookmarkEnd w:id="119"/>
      <w:bookmarkEnd w:id="120"/>
    </w:p>
    <w:p>
      <w:pPr>
        <w:spacing w:line="360" w:lineRule="auto"/>
        <w:ind w:firstLine="420" w:firstLineChars="200"/>
        <w:rPr>
          <w:rFonts w:hAnsi="宋体"/>
          <w:sz w:val="21"/>
          <w:szCs w:val="21"/>
          <w:highlight w:val="none"/>
        </w:rPr>
      </w:pPr>
      <w:r>
        <w:rPr>
          <w:rFonts w:hint="eastAsia" w:hAnsi="宋体"/>
          <w:sz w:val="21"/>
          <w:szCs w:val="21"/>
          <w:highlight w:val="none"/>
        </w:rPr>
        <w:t>16.1所有响应文件都必须在响应截止时间之前送至采购代理机构。</w:t>
      </w:r>
    </w:p>
    <w:p>
      <w:pPr>
        <w:spacing w:line="360" w:lineRule="auto"/>
        <w:ind w:firstLine="422" w:firstLineChars="200"/>
        <w:rPr>
          <w:rFonts w:hAnsi="宋体"/>
          <w:b/>
          <w:bCs/>
          <w:sz w:val="21"/>
          <w:szCs w:val="21"/>
          <w:highlight w:val="none"/>
        </w:rPr>
      </w:pPr>
      <w:r>
        <w:rPr>
          <w:rFonts w:hint="eastAsia" w:hAnsi="宋体"/>
          <w:b/>
          <w:bCs/>
          <w:sz w:val="21"/>
          <w:szCs w:val="21"/>
          <w:highlight w:val="none"/>
        </w:rPr>
        <w:t>16.2若供应商同时响应多个包组，必须按包号分别制作并递交密封磋商响应文件。</w:t>
      </w:r>
    </w:p>
    <w:p>
      <w:pPr>
        <w:spacing w:line="360" w:lineRule="auto"/>
        <w:ind w:firstLine="420" w:firstLineChars="200"/>
        <w:rPr>
          <w:rFonts w:hAnsi="宋体"/>
          <w:sz w:val="21"/>
          <w:szCs w:val="21"/>
          <w:highlight w:val="none"/>
        </w:rPr>
      </w:pPr>
      <w:r>
        <w:rPr>
          <w:rFonts w:hint="eastAsia" w:hAnsi="宋体"/>
          <w:sz w:val="21"/>
          <w:szCs w:val="21"/>
          <w:highlight w:val="none"/>
        </w:rPr>
        <w:t>16.3采购代理机构拒绝接受以下文件：</w:t>
      </w:r>
    </w:p>
    <w:p>
      <w:pPr>
        <w:spacing w:line="360" w:lineRule="auto"/>
        <w:ind w:firstLine="420" w:firstLineChars="200"/>
        <w:rPr>
          <w:rFonts w:hAnsi="宋体"/>
          <w:sz w:val="21"/>
          <w:szCs w:val="21"/>
          <w:highlight w:val="none"/>
        </w:rPr>
      </w:pPr>
      <w:r>
        <w:rPr>
          <w:rFonts w:hint="eastAsia" w:hAnsi="宋体"/>
          <w:sz w:val="21"/>
          <w:szCs w:val="21"/>
          <w:highlight w:val="none"/>
        </w:rPr>
        <w:t>（1）提前递交的文件，</w:t>
      </w:r>
    </w:p>
    <w:p>
      <w:pPr>
        <w:spacing w:line="360" w:lineRule="auto"/>
        <w:ind w:firstLine="420" w:firstLineChars="200"/>
        <w:rPr>
          <w:rFonts w:hAnsi="宋体"/>
          <w:sz w:val="21"/>
          <w:szCs w:val="21"/>
          <w:highlight w:val="none"/>
        </w:rPr>
      </w:pPr>
      <w:r>
        <w:rPr>
          <w:rFonts w:hint="eastAsia" w:hAnsi="宋体"/>
          <w:sz w:val="21"/>
          <w:szCs w:val="21"/>
          <w:highlight w:val="none"/>
        </w:rPr>
        <w:t>（2）在响应截止时间后递交的响应文件，</w:t>
      </w:r>
    </w:p>
    <w:p>
      <w:pPr>
        <w:spacing w:line="360" w:lineRule="auto"/>
        <w:ind w:firstLine="420" w:firstLineChars="200"/>
        <w:rPr>
          <w:rFonts w:hAnsi="宋体"/>
          <w:sz w:val="21"/>
          <w:szCs w:val="21"/>
          <w:highlight w:val="none"/>
        </w:rPr>
      </w:pPr>
      <w:r>
        <w:rPr>
          <w:rFonts w:hint="eastAsia" w:hAnsi="宋体"/>
          <w:sz w:val="21"/>
          <w:szCs w:val="21"/>
          <w:highlight w:val="none"/>
        </w:rPr>
        <w:t>（3）未按规定包装和密封的响应文件。</w:t>
      </w:r>
    </w:p>
    <w:p>
      <w:pPr>
        <w:spacing w:line="360" w:lineRule="auto"/>
        <w:ind w:firstLine="420" w:firstLineChars="200"/>
        <w:rPr>
          <w:rFonts w:hAnsi="宋体"/>
          <w:b/>
          <w:bCs/>
          <w:sz w:val="21"/>
          <w:szCs w:val="21"/>
          <w:highlight w:val="none"/>
          <w:lang w:val="zh-CN"/>
        </w:rPr>
      </w:pPr>
      <w:r>
        <w:rPr>
          <w:rFonts w:hint="eastAsia" w:hAnsi="宋体"/>
          <w:sz w:val="21"/>
          <w:szCs w:val="21"/>
          <w:highlight w:val="none"/>
        </w:rPr>
        <w:t>16.4响应文件的修改与撤回</w:t>
      </w:r>
    </w:p>
    <w:p>
      <w:pPr>
        <w:spacing w:line="360" w:lineRule="auto"/>
        <w:ind w:firstLine="420" w:firstLineChars="200"/>
        <w:rPr>
          <w:rFonts w:hAnsi="宋体"/>
          <w:sz w:val="21"/>
          <w:szCs w:val="21"/>
          <w:highlight w:val="none"/>
        </w:rPr>
      </w:pPr>
      <w:r>
        <w:rPr>
          <w:rFonts w:hint="eastAsia" w:hAnsi="宋体"/>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sz w:val="21"/>
          <w:szCs w:val="21"/>
          <w:highlight w:val="none"/>
        </w:rPr>
      </w:pPr>
      <w:r>
        <w:rPr>
          <w:rFonts w:hint="eastAsia" w:hAnsi="宋体"/>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sz w:val="21"/>
          <w:szCs w:val="21"/>
          <w:highlight w:val="none"/>
        </w:rPr>
      </w:pPr>
    </w:p>
    <w:p>
      <w:pPr>
        <w:pStyle w:val="5"/>
        <w:adjustRightInd/>
        <w:spacing w:line="360" w:lineRule="auto"/>
        <w:ind w:firstLine="562" w:firstLineChars="200"/>
        <w:jc w:val="center"/>
        <w:rPr>
          <w:sz w:val="28"/>
          <w:szCs w:val="28"/>
          <w:highlight w:val="none"/>
        </w:rPr>
      </w:pPr>
      <w:bookmarkStart w:id="121" w:name="_Toc7897881"/>
      <w:bookmarkStart w:id="122" w:name="_Toc22874"/>
      <w:r>
        <w:rPr>
          <w:rFonts w:hint="eastAsia"/>
          <w:sz w:val="28"/>
          <w:szCs w:val="28"/>
          <w:highlight w:val="none"/>
        </w:rPr>
        <w:t>五、采购仪式和</w:t>
      </w:r>
      <w:bookmarkEnd w:id="108"/>
      <w:bookmarkEnd w:id="109"/>
      <w:bookmarkEnd w:id="110"/>
      <w:bookmarkEnd w:id="111"/>
      <w:bookmarkEnd w:id="112"/>
      <w:r>
        <w:rPr>
          <w:rFonts w:hint="eastAsia"/>
          <w:sz w:val="28"/>
          <w:szCs w:val="28"/>
          <w:highlight w:val="none"/>
        </w:rPr>
        <w:t>评审会议</w:t>
      </w:r>
      <w:bookmarkEnd w:id="121"/>
      <w:bookmarkEnd w:id="122"/>
    </w:p>
    <w:p>
      <w:pPr>
        <w:pStyle w:val="6"/>
        <w:adjustRightInd/>
        <w:spacing w:line="360" w:lineRule="auto"/>
        <w:ind w:firstLine="422" w:firstLineChars="200"/>
        <w:rPr>
          <w:rFonts w:hAnsi="宋体"/>
          <w:b/>
          <w:sz w:val="21"/>
          <w:szCs w:val="21"/>
          <w:highlight w:val="none"/>
        </w:rPr>
      </w:pPr>
      <w:bookmarkStart w:id="123" w:name="_Toc475249134"/>
      <w:r>
        <w:rPr>
          <w:rFonts w:hint="eastAsia" w:hAnsi="宋体"/>
          <w:b/>
          <w:sz w:val="21"/>
          <w:szCs w:val="21"/>
          <w:highlight w:val="none"/>
        </w:rPr>
        <w:t>17.</w:t>
      </w:r>
      <w:bookmarkEnd w:id="123"/>
      <w:r>
        <w:rPr>
          <w:rFonts w:hint="eastAsia" w:hAnsi="宋体"/>
          <w:b/>
          <w:sz w:val="21"/>
          <w:szCs w:val="21"/>
          <w:highlight w:val="none"/>
        </w:rPr>
        <w:t>开启响应文件</w:t>
      </w:r>
    </w:p>
    <w:p>
      <w:pPr>
        <w:spacing w:line="360" w:lineRule="auto"/>
        <w:ind w:firstLine="420" w:firstLineChars="200"/>
        <w:rPr>
          <w:rFonts w:hAnsi="宋体"/>
          <w:sz w:val="21"/>
          <w:szCs w:val="21"/>
          <w:highlight w:val="none"/>
        </w:rPr>
      </w:pPr>
      <w:bookmarkStart w:id="124" w:name="_Toc475249135"/>
      <w:bookmarkStart w:id="125" w:name="_Toc475249138"/>
      <w:r>
        <w:rPr>
          <w:rFonts w:hint="eastAsia" w:hAnsi="宋体"/>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sz w:val="21"/>
          <w:szCs w:val="21"/>
          <w:highlight w:val="none"/>
        </w:rPr>
      </w:pPr>
      <w:r>
        <w:rPr>
          <w:rFonts w:hint="eastAsia" w:hAnsi="宋体"/>
          <w:sz w:val="21"/>
          <w:szCs w:val="21"/>
          <w:highlight w:val="none"/>
        </w:rPr>
        <w:t>17.2开启响应文件前，采购人、采购代理机构和供应商将检查响应文件的密封情况。在确认密封完好后，进行拆封唱标。唱标主要内容为保证金汇入情况以及采购代理机构认为合适的其他内容，并做唱标记录。</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18.磋商小组</w:t>
      </w:r>
      <w:bookmarkEnd w:id="124"/>
    </w:p>
    <w:p>
      <w:pPr>
        <w:spacing w:line="360" w:lineRule="auto"/>
        <w:ind w:firstLine="420" w:firstLineChars="200"/>
        <w:rPr>
          <w:rFonts w:hAnsi="宋体"/>
          <w:sz w:val="21"/>
          <w:szCs w:val="21"/>
          <w:highlight w:val="none"/>
        </w:rPr>
      </w:pPr>
      <w:r>
        <w:rPr>
          <w:rFonts w:hint="eastAsia" w:hAnsi="宋体"/>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sz w:val="21"/>
          <w:szCs w:val="21"/>
          <w:highlight w:val="none"/>
        </w:rPr>
      </w:pPr>
      <w:bookmarkStart w:id="126" w:name="_Toc535141844"/>
      <w:bookmarkStart w:id="127" w:name="_Toc37121259"/>
      <w:r>
        <w:rPr>
          <w:rFonts w:hint="eastAsia" w:hAnsi="宋体"/>
          <w:b/>
          <w:sz w:val="21"/>
          <w:szCs w:val="21"/>
          <w:highlight w:val="none"/>
        </w:rPr>
        <w:t>19.对响应文件的初审</w:t>
      </w:r>
      <w:bookmarkEnd w:id="126"/>
      <w:bookmarkEnd w:id="127"/>
    </w:p>
    <w:p>
      <w:pPr>
        <w:spacing w:line="360" w:lineRule="auto"/>
        <w:ind w:firstLine="420" w:firstLineChars="200"/>
        <w:rPr>
          <w:rFonts w:hAnsi="宋体"/>
          <w:sz w:val="21"/>
          <w:szCs w:val="21"/>
          <w:highlight w:val="none"/>
        </w:rPr>
      </w:pPr>
      <w:r>
        <w:rPr>
          <w:rFonts w:hint="eastAsia" w:hAnsi="宋体"/>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sz w:val="21"/>
          <w:szCs w:val="21"/>
          <w:highlight w:val="none"/>
        </w:rPr>
      </w:pPr>
      <w:r>
        <w:rPr>
          <w:rFonts w:hint="eastAsia" w:hAnsi="宋体"/>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sz w:val="21"/>
          <w:szCs w:val="21"/>
          <w:highlight w:val="none"/>
        </w:rPr>
      </w:pPr>
      <w:r>
        <w:rPr>
          <w:rFonts w:hint="eastAsia" w:hAnsi="宋体"/>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sz w:val="21"/>
          <w:szCs w:val="21"/>
          <w:highlight w:val="none"/>
        </w:rPr>
      </w:pPr>
      <w:r>
        <w:rPr>
          <w:rFonts w:hint="eastAsia" w:hAnsi="宋体"/>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sz w:val="21"/>
          <w:szCs w:val="21"/>
          <w:highlight w:val="none"/>
        </w:rPr>
      </w:pPr>
      <w:r>
        <w:rPr>
          <w:rFonts w:hint="eastAsia" w:hAnsi="宋体"/>
          <w:sz w:val="21"/>
          <w:szCs w:val="21"/>
          <w:highlight w:val="none"/>
        </w:rPr>
        <w:t>19.5磋商小组确定响应文件的响应性，只根据响应文件本身的内容，而不寻找外部的证据。</w:t>
      </w:r>
    </w:p>
    <w:p>
      <w:pPr>
        <w:spacing w:line="360" w:lineRule="auto"/>
        <w:ind w:firstLine="420" w:firstLineChars="200"/>
        <w:rPr>
          <w:rFonts w:hAnsi="宋体"/>
          <w:sz w:val="21"/>
          <w:szCs w:val="21"/>
          <w:highlight w:val="none"/>
        </w:rPr>
      </w:pPr>
      <w:r>
        <w:rPr>
          <w:rFonts w:hint="eastAsia" w:hAnsi="宋体"/>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20.对响应文件的澄清</w:t>
      </w:r>
    </w:p>
    <w:p>
      <w:pPr>
        <w:spacing w:line="360" w:lineRule="auto"/>
        <w:ind w:firstLine="420" w:firstLineChars="200"/>
        <w:rPr>
          <w:rFonts w:hAnsi="宋体"/>
          <w:sz w:val="21"/>
          <w:szCs w:val="21"/>
          <w:highlight w:val="none"/>
        </w:rPr>
      </w:pPr>
      <w:r>
        <w:rPr>
          <w:rFonts w:hint="eastAsia" w:hAnsi="宋体"/>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sz w:val="21"/>
          <w:szCs w:val="21"/>
          <w:highlight w:val="none"/>
        </w:rPr>
      </w:pPr>
      <w:r>
        <w:rPr>
          <w:rFonts w:hint="eastAsia" w:hAnsi="宋体"/>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sz w:val="21"/>
          <w:szCs w:val="21"/>
          <w:highlight w:val="none"/>
        </w:rPr>
      </w:pPr>
      <w:r>
        <w:rPr>
          <w:rFonts w:hint="eastAsia" w:hAnsi="宋体"/>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21.开展磋商</w:t>
      </w:r>
    </w:p>
    <w:p>
      <w:pPr>
        <w:spacing w:line="360" w:lineRule="auto"/>
        <w:ind w:firstLine="420" w:firstLineChars="200"/>
        <w:rPr>
          <w:rFonts w:hAnsi="宋体"/>
          <w:sz w:val="21"/>
          <w:szCs w:val="21"/>
          <w:highlight w:val="none"/>
        </w:rPr>
      </w:pPr>
      <w:r>
        <w:rPr>
          <w:rFonts w:hint="eastAsia" w:hAnsi="宋体"/>
          <w:sz w:val="21"/>
          <w:szCs w:val="21"/>
          <w:highlight w:val="none"/>
        </w:rPr>
        <w:t>21.1主持人宣布评审纪律，磋商小组所有成员及相关工作人员签名确认。</w:t>
      </w:r>
    </w:p>
    <w:p>
      <w:pPr>
        <w:spacing w:line="360" w:lineRule="auto"/>
        <w:ind w:firstLine="420" w:firstLineChars="200"/>
        <w:rPr>
          <w:rFonts w:hAnsi="宋体"/>
          <w:sz w:val="21"/>
          <w:szCs w:val="21"/>
          <w:highlight w:val="none"/>
        </w:rPr>
      </w:pPr>
      <w:r>
        <w:rPr>
          <w:rFonts w:hint="eastAsia" w:hAnsi="宋体"/>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sz w:val="21"/>
          <w:szCs w:val="21"/>
          <w:highlight w:val="none"/>
        </w:rPr>
      </w:pPr>
      <w:r>
        <w:rPr>
          <w:rFonts w:hint="eastAsia" w:hAnsi="宋体"/>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22.最后报价</w:t>
      </w:r>
    </w:p>
    <w:p>
      <w:pPr>
        <w:spacing w:line="360" w:lineRule="auto"/>
        <w:ind w:firstLine="420" w:firstLineChars="200"/>
        <w:rPr>
          <w:rFonts w:hAnsi="宋体"/>
          <w:sz w:val="21"/>
          <w:szCs w:val="21"/>
          <w:highlight w:val="none"/>
        </w:rPr>
      </w:pPr>
      <w:r>
        <w:rPr>
          <w:rFonts w:hint="eastAsia" w:hAnsi="宋体"/>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23.综合评分</w:t>
      </w:r>
    </w:p>
    <w:p>
      <w:pPr>
        <w:spacing w:line="360" w:lineRule="auto"/>
        <w:ind w:firstLine="420" w:firstLineChars="200"/>
        <w:rPr>
          <w:rFonts w:hAnsi="宋体"/>
          <w:sz w:val="21"/>
          <w:szCs w:val="21"/>
          <w:highlight w:val="none"/>
        </w:rPr>
      </w:pPr>
      <w:r>
        <w:rPr>
          <w:rFonts w:hint="eastAsia" w:hAnsi="宋体"/>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4"/>
        <w:ind w:firstLine="400"/>
        <w:rPr>
          <w:highlight w:val="none"/>
        </w:rPr>
      </w:pPr>
    </w:p>
    <w:p>
      <w:pPr>
        <w:pStyle w:val="5"/>
        <w:adjustRightInd/>
        <w:spacing w:line="360" w:lineRule="auto"/>
        <w:ind w:firstLine="562" w:firstLineChars="200"/>
        <w:jc w:val="center"/>
        <w:rPr>
          <w:sz w:val="28"/>
          <w:szCs w:val="28"/>
          <w:highlight w:val="none"/>
        </w:rPr>
      </w:pPr>
      <w:bookmarkStart w:id="128" w:name="_Toc18625"/>
      <w:bookmarkStart w:id="129" w:name="_Toc7897882"/>
      <w:r>
        <w:rPr>
          <w:rFonts w:hint="eastAsia"/>
          <w:sz w:val="28"/>
          <w:szCs w:val="28"/>
          <w:highlight w:val="none"/>
        </w:rPr>
        <w:t>六、确定成交供应商</w:t>
      </w:r>
      <w:bookmarkEnd w:id="128"/>
      <w:bookmarkEnd w:id="129"/>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24.确定成交</w:t>
      </w:r>
    </w:p>
    <w:p>
      <w:pPr>
        <w:spacing w:line="360" w:lineRule="auto"/>
        <w:ind w:firstLine="420" w:firstLineChars="200"/>
        <w:rPr>
          <w:rFonts w:hAnsi="宋体"/>
          <w:sz w:val="21"/>
          <w:szCs w:val="21"/>
          <w:highlight w:val="none"/>
        </w:rPr>
      </w:pPr>
      <w:r>
        <w:rPr>
          <w:rFonts w:hint="eastAsia" w:hAnsi="宋体"/>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sz w:val="21"/>
          <w:szCs w:val="21"/>
          <w:highlight w:val="none"/>
        </w:rPr>
      </w:pPr>
      <w:r>
        <w:rPr>
          <w:rFonts w:hint="eastAsia" w:hAnsi="宋体"/>
          <w:sz w:val="21"/>
          <w:szCs w:val="21"/>
          <w:highlight w:val="none"/>
        </w:rPr>
        <w:t>24.2采购人从成交候选供应商名单中按照综合得分排序确定1名成交供应商。</w:t>
      </w:r>
    </w:p>
    <w:p>
      <w:pPr>
        <w:spacing w:line="360" w:lineRule="auto"/>
        <w:ind w:firstLine="420" w:firstLineChars="200"/>
        <w:rPr>
          <w:rFonts w:hAnsi="宋体"/>
          <w:sz w:val="21"/>
          <w:szCs w:val="21"/>
          <w:highlight w:val="none"/>
        </w:rPr>
      </w:pPr>
      <w:r>
        <w:rPr>
          <w:rFonts w:hint="eastAsia" w:hAnsi="宋体"/>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sz w:val="21"/>
          <w:szCs w:val="21"/>
          <w:highlight w:val="none"/>
        </w:rPr>
      </w:pPr>
      <w:r>
        <w:rPr>
          <w:rFonts w:hint="eastAsia"/>
          <w:b/>
          <w:sz w:val="21"/>
          <w:szCs w:val="21"/>
          <w:highlight w:val="none"/>
        </w:rPr>
        <w:t>25.资格后审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.1</w:t>
      </w:r>
      <w:r>
        <w:rPr>
          <w:rFonts w:hint="eastAsia"/>
          <w:sz w:val="21"/>
          <w:szCs w:val="21"/>
          <w:highlight w:val="none"/>
        </w:rPr>
        <w:t>采购人</w:t>
      </w:r>
      <w:r>
        <w:rPr>
          <w:sz w:val="21"/>
          <w:szCs w:val="21"/>
          <w:highlight w:val="none"/>
        </w:rPr>
        <w:t>将根据</w:t>
      </w:r>
      <w:r>
        <w:rPr>
          <w:rFonts w:hint="eastAsia"/>
          <w:sz w:val="21"/>
          <w:szCs w:val="21"/>
          <w:highlight w:val="none"/>
        </w:rPr>
        <w:t>磋商文件</w:t>
      </w:r>
      <w:r>
        <w:rPr>
          <w:sz w:val="21"/>
          <w:szCs w:val="21"/>
          <w:highlight w:val="none"/>
        </w:rPr>
        <w:t>中的要求，对评委会推荐的</w:t>
      </w:r>
      <w:r>
        <w:rPr>
          <w:rFonts w:hint="eastAsia"/>
          <w:sz w:val="21"/>
          <w:szCs w:val="21"/>
          <w:highlight w:val="none"/>
        </w:rPr>
        <w:t>成交候选人</w:t>
      </w:r>
      <w:r>
        <w:rPr>
          <w:sz w:val="21"/>
          <w:szCs w:val="21"/>
          <w:highlight w:val="none"/>
        </w:rPr>
        <w:t>进行资格后审。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.2</w:t>
      </w:r>
      <w:r>
        <w:rPr>
          <w:rFonts w:hint="eastAsia"/>
          <w:sz w:val="21"/>
          <w:szCs w:val="21"/>
          <w:highlight w:val="none"/>
        </w:rPr>
        <w:t>成交候选人</w:t>
      </w:r>
      <w:r>
        <w:rPr>
          <w:sz w:val="21"/>
          <w:szCs w:val="21"/>
          <w:highlight w:val="none"/>
        </w:rPr>
        <w:t>须无条件配合资格后审，否则</w:t>
      </w:r>
      <w:r>
        <w:rPr>
          <w:rFonts w:hint="eastAsia"/>
          <w:sz w:val="21"/>
          <w:szCs w:val="21"/>
          <w:highlight w:val="none"/>
        </w:rPr>
        <w:t>采购人</w:t>
      </w:r>
      <w:r>
        <w:rPr>
          <w:sz w:val="21"/>
          <w:szCs w:val="21"/>
          <w:highlight w:val="none"/>
        </w:rPr>
        <w:t>有权取消</w:t>
      </w:r>
      <w:r>
        <w:rPr>
          <w:rFonts w:hint="eastAsia"/>
          <w:sz w:val="21"/>
          <w:szCs w:val="21"/>
          <w:highlight w:val="none"/>
        </w:rPr>
        <w:t>成交</w:t>
      </w:r>
      <w:r>
        <w:rPr>
          <w:sz w:val="21"/>
          <w:szCs w:val="21"/>
          <w:highlight w:val="none"/>
        </w:rPr>
        <w:t>资格。</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.3资格</w:t>
      </w:r>
      <w:r>
        <w:rPr>
          <w:rFonts w:hint="eastAsia"/>
          <w:sz w:val="21"/>
          <w:szCs w:val="21"/>
          <w:highlight w:val="none"/>
        </w:rPr>
        <w:t>后审</w:t>
      </w:r>
      <w:r>
        <w:rPr>
          <w:sz w:val="21"/>
          <w:szCs w:val="21"/>
          <w:highlight w:val="none"/>
        </w:rPr>
        <w:t>须提供包括但不限于营业执照、税务登记证和在</w:t>
      </w:r>
      <w:r>
        <w:rPr>
          <w:rFonts w:hint="eastAsia"/>
          <w:sz w:val="21"/>
          <w:szCs w:val="21"/>
          <w:highlight w:val="none"/>
        </w:rPr>
        <w:t>磋商响应文件</w:t>
      </w:r>
      <w:r>
        <w:rPr>
          <w:sz w:val="21"/>
          <w:szCs w:val="21"/>
          <w:highlight w:val="none"/>
        </w:rPr>
        <w:t>中提供的资质证明文件、合同等重要证明文件的原件进行核对，综合考察</w:t>
      </w:r>
      <w:r>
        <w:rPr>
          <w:rFonts w:hint="eastAsia"/>
          <w:sz w:val="21"/>
          <w:szCs w:val="21"/>
          <w:highlight w:val="none"/>
        </w:rPr>
        <w:t>成交供应商</w:t>
      </w:r>
      <w:r>
        <w:rPr>
          <w:sz w:val="21"/>
          <w:szCs w:val="21"/>
          <w:highlight w:val="none"/>
        </w:rPr>
        <w:t>的履约能力。如</w:t>
      </w:r>
      <w:r>
        <w:rPr>
          <w:rFonts w:hint="eastAsia"/>
          <w:sz w:val="21"/>
          <w:szCs w:val="21"/>
          <w:highlight w:val="none"/>
        </w:rPr>
        <w:t>采购人</w:t>
      </w:r>
      <w:r>
        <w:rPr>
          <w:sz w:val="21"/>
          <w:szCs w:val="21"/>
          <w:highlight w:val="none"/>
        </w:rPr>
        <w:t>要求还须提供业绩证明的其他材料,</w:t>
      </w:r>
      <w:r>
        <w:rPr>
          <w:rFonts w:hint="eastAsia"/>
          <w:sz w:val="21"/>
          <w:szCs w:val="21"/>
          <w:highlight w:val="none"/>
        </w:rPr>
        <w:t>成交候选人</w:t>
      </w:r>
      <w:r>
        <w:rPr>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.4如发现</w:t>
      </w:r>
      <w:r>
        <w:rPr>
          <w:rFonts w:hint="eastAsia"/>
          <w:sz w:val="21"/>
          <w:szCs w:val="21"/>
          <w:highlight w:val="none"/>
        </w:rPr>
        <w:t>供应商</w:t>
      </w:r>
      <w:r>
        <w:rPr>
          <w:sz w:val="21"/>
          <w:szCs w:val="21"/>
          <w:highlight w:val="none"/>
        </w:rPr>
        <w:t>提交虚假资料谋取</w:t>
      </w:r>
      <w:r>
        <w:rPr>
          <w:rFonts w:hint="eastAsia"/>
          <w:sz w:val="21"/>
          <w:szCs w:val="21"/>
          <w:highlight w:val="none"/>
        </w:rPr>
        <w:t>成交</w:t>
      </w:r>
      <w:r>
        <w:rPr>
          <w:sz w:val="21"/>
          <w:szCs w:val="21"/>
          <w:highlight w:val="none"/>
        </w:rPr>
        <w:t>的，</w:t>
      </w:r>
      <w:r>
        <w:rPr>
          <w:rFonts w:hint="eastAsia"/>
          <w:sz w:val="21"/>
          <w:szCs w:val="21"/>
          <w:highlight w:val="none"/>
        </w:rPr>
        <w:t>采购人</w:t>
      </w:r>
      <w:r>
        <w:rPr>
          <w:sz w:val="21"/>
          <w:szCs w:val="21"/>
          <w:highlight w:val="none"/>
        </w:rPr>
        <w:t>有权没收其</w:t>
      </w:r>
      <w:r>
        <w:rPr>
          <w:rFonts w:hint="eastAsia"/>
          <w:sz w:val="21"/>
          <w:szCs w:val="21"/>
          <w:highlight w:val="none"/>
        </w:rPr>
        <w:t>磋商</w:t>
      </w:r>
      <w:r>
        <w:rPr>
          <w:sz w:val="21"/>
          <w:szCs w:val="21"/>
          <w:highlight w:val="none"/>
        </w:rPr>
        <w:t>保证金，并保留追究其赔偿</w:t>
      </w:r>
      <w:r>
        <w:rPr>
          <w:rFonts w:hint="eastAsia"/>
          <w:sz w:val="21"/>
          <w:szCs w:val="21"/>
          <w:highlight w:val="none"/>
        </w:rPr>
        <w:t>采购人</w:t>
      </w:r>
      <w:r>
        <w:rPr>
          <w:sz w:val="21"/>
          <w:szCs w:val="21"/>
          <w:highlight w:val="none"/>
        </w:rPr>
        <w:t>由此而造成一切损失的责任。</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.5</w:t>
      </w:r>
      <w:r>
        <w:rPr>
          <w:rFonts w:hint="eastAsia"/>
          <w:sz w:val="21"/>
          <w:szCs w:val="21"/>
          <w:highlight w:val="none"/>
        </w:rPr>
        <w:t>采购人</w:t>
      </w:r>
      <w:r>
        <w:rPr>
          <w:sz w:val="21"/>
          <w:szCs w:val="21"/>
          <w:highlight w:val="none"/>
        </w:rPr>
        <w:t>保留审查</w:t>
      </w:r>
      <w:r>
        <w:rPr>
          <w:rFonts w:hint="eastAsia"/>
          <w:sz w:val="21"/>
          <w:szCs w:val="21"/>
          <w:highlight w:val="none"/>
        </w:rPr>
        <w:t>成交供应商</w:t>
      </w:r>
      <w:r>
        <w:rPr>
          <w:sz w:val="21"/>
          <w:szCs w:val="21"/>
          <w:highlight w:val="none"/>
        </w:rPr>
        <w:t>是否有能力令</w:t>
      </w:r>
      <w:r>
        <w:rPr>
          <w:rFonts w:hint="eastAsia"/>
          <w:sz w:val="21"/>
          <w:szCs w:val="21"/>
          <w:highlight w:val="none"/>
        </w:rPr>
        <w:t>采购人</w:t>
      </w:r>
      <w:r>
        <w:rPr>
          <w:sz w:val="21"/>
          <w:szCs w:val="21"/>
          <w:highlight w:val="none"/>
        </w:rPr>
        <w:t>满意的履行合同的权利，包括但不限于对</w:t>
      </w:r>
      <w:r>
        <w:rPr>
          <w:rFonts w:hint="eastAsia"/>
          <w:sz w:val="21"/>
          <w:szCs w:val="21"/>
          <w:highlight w:val="none"/>
        </w:rPr>
        <w:t>成交供应商</w:t>
      </w:r>
      <w:r>
        <w:rPr>
          <w:sz w:val="21"/>
          <w:szCs w:val="21"/>
          <w:highlight w:val="none"/>
        </w:rPr>
        <w:t>的规模、人员、场地、生产能力、供货能力等方面的核实或现场考察。如果审查通过，</w:t>
      </w:r>
      <w:r>
        <w:rPr>
          <w:rFonts w:hint="eastAsia"/>
          <w:sz w:val="21"/>
          <w:szCs w:val="21"/>
          <w:highlight w:val="none"/>
        </w:rPr>
        <w:t>采购人</w:t>
      </w:r>
      <w:r>
        <w:rPr>
          <w:sz w:val="21"/>
          <w:szCs w:val="21"/>
          <w:highlight w:val="none"/>
        </w:rPr>
        <w:t>将把合同授予该</w:t>
      </w:r>
      <w:r>
        <w:rPr>
          <w:rFonts w:hint="eastAsia"/>
          <w:sz w:val="21"/>
          <w:szCs w:val="21"/>
          <w:highlight w:val="none"/>
        </w:rPr>
        <w:t>供应商；</w:t>
      </w:r>
      <w:r>
        <w:rPr>
          <w:sz w:val="21"/>
          <w:szCs w:val="21"/>
          <w:highlight w:val="none"/>
        </w:rPr>
        <w:t>如果审查没有通过，</w:t>
      </w:r>
      <w:r>
        <w:rPr>
          <w:rFonts w:hint="eastAsia"/>
          <w:sz w:val="21"/>
          <w:szCs w:val="21"/>
          <w:highlight w:val="none"/>
        </w:rPr>
        <w:t>采购人</w:t>
      </w:r>
      <w:r>
        <w:rPr>
          <w:sz w:val="21"/>
          <w:szCs w:val="21"/>
          <w:highlight w:val="none"/>
        </w:rPr>
        <w:t>将拒绝其</w:t>
      </w:r>
      <w:r>
        <w:rPr>
          <w:rFonts w:hint="eastAsia"/>
          <w:sz w:val="21"/>
          <w:szCs w:val="21"/>
          <w:highlight w:val="none"/>
        </w:rPr>
        <w:t>磋商</w:t>
      </w:r>
      <w:r>
        <w:rPr>
          <w:sz w:val="21"/>
          <w:szCs w:val="21"/>
          <w:highlight w:val="none"/>
        </w:rPr>
        <w:t>，并对下一个候选的</w:t>
      </w:r>
      <w:r>
        <w:rPr>
          <w:rFonts w:hint="eastAsia"/>
          <w:sz w:val="21"/>
          <w:szCs w:val="21"/>
          <w:highlight w:val="none"/>
        </w:rPr>
        <w:t>供应商</w:t>
      </w:r>
      <w:r>
        <w:rPr>
          <w:sz w:val="21"/>
          <w:szCs w:val="21"/>
          <w:highlight w:val="none"/>
        </w:rPr>
        <w:t>能否令人满意地履行合同作类似的审查或重新采购。</w:t>
      </w:r>
    </w:p>
    <w:p>
      <w:pPr>
        <w:pStyle w:val="6"/>
        <w:adjustRightInd/>
        <w:spacing w:line="360" w:lineRule="auto"/>
        <w:ind w:firstLine="422" w:firstLineChars="200"/>
        <w:rPr>
          <w:rFonts w:hAnsi="宋体"/>
          <w:b/>
          <w:sz w:val="21"/>
          <w:szCs w:val="21"/>
          <w:highlight w:val="none"/>
        </w:rPr>
      </w:pPr>
      <w:bookmarkStart w:id="130" w:name="_Toc475249142"/>
      <w:r>
        <w:rPr>
          <w:rFonts w:hint="eastAsia" w:hAnsi="宋体"/>
          <w:b/>
          <w:sz w:val="21"/>
          <w:szCs w:val="21"/>
          <w:highlight w:val="none"/>
        </w:rPr>
        <w:t>26.成交通知</w:t>
      </w:r>
      <w:bookmarkEnd w:id="130"/>
    </w:p>
    <w:p>
      <w:pPr>
        <w:spacing w:line="360" w:lineRule="auto"/>
        <w:ind w:firstLine="420" w:firstLineChars="200"/>
        <w:rPr>
          <w:rFonts w:hAnsi="宋体"/>
          <w:sz w:val="21"/>
          <w:szCs w:val="21"/>
          <w:highlight w:val="none"/>
        </w:rPr>
      </w:pPr>
      <w:r>
        <w:rPr>
          <w:rFonts w:hint="eastAsia" w:hAnsi="宋体"/>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sz w:val="21"/>
          <w:szCs w:val="21"/>
          <w:highlight w:val="none"/>
        </w:rPr>
      </w:pPr>
      <w:r>
        <w:rPr>
          <w:rFonts w:hint="eastAsia" w:hAnsi="宋体"/>
          <w:sz w:val="21"/>
          <w:szCs w:val="21"/>
          <w:highlight w:val="none"/>
        </w:rPr>
        <w:t>26.2《成交通知书》是签订采购合同的依据和组成部分。</w:t>
      </w:r>
    </w:p>
    <w:p>
      <w:pPr>
        <w:spacing w:line="360" w:lineRule="auto"/>
        <w:ind w:firstLine="420" w:firstLineChars="200"/>
        <w:rPr>
          <w:rFonts w:hAnsi="宋体"/>
          <w:sz w:val="21"/>
          <w:szCs w:val="21"/>
          <w:highlight w:val="none"/>
        </w:rPr>
      </w:pPr>
      <w:r>
        <w:rPr>
          <w:rFonts w:hint="eastAsia" w:hAnsi="宋体"/>
          <w:sz w:val="21"/>
          <w:szCs w:val="21"/>
          <w:highlight w:val="none"/>
        </w:rPr>
        <w:t>26.3成交结果将在磋商文件指定的采购信息发布媒体上公告，同时向成交供应商发出成交通知书，并将磋商文件随成交结果同时公告。</w:t>
      </w:r>
    </w:p>
    <w:p>
      <w:pPr>
        <w:pStyle w:val="14"/>
        <w:ind w:firstLine="400"/>
        <w:rPr>
          <w:highlight w:val="none"/>
        </w:rPr>
      </w:pPr>
    </w:p>
    <w:p>
      <w:pPr>
        <w:pStyle w:val="5"/>
        <w:adjustRightInd/>
        <w:spacing w:line="360" w:lineRule="auto"/>
        <w:ind w:firstLine="562" w:firstLineChars="200"/>
        <w:jc w:val="center"/>
        <w:rPr>
          <w:sz w:val="28"/>
          <w:szCs w:val="28"/>
          <w:highlight w:val="none"/>
        </w:rPr>
      </w:pPr>
      <w:bookmarkStart w:id="131" w:name="_Toc110953852"/>
      <w:bookmarkStart w:id="132" w:name="_Toc37756778"/>
      <w:bookmarkStart w:id="133" w:name="_Toc28276"/>
      <w:bookmarkStart w:id="134" w:name="_Toc7897883"/>
      <w:bookmarkStart w:id="135" w:name="_Toc475249143"/>
      <w:r>
        <w:rPr>
          <w:rFonts w:hint="eastAsia"/>
          <w:sz w:val="28"/>
          <w:szCs w:val="28"/>
          <w:highlight w:val="none"/>
        </w:rPr>
        <w:t>七、签订采购合同</w:t>
      </w:r>
      <w:bookmarkEnd w:id="131"/>
      <w:bookmarkEnd w:id="132"/>
      <w:bookmarkEnd w:id="133"/>
      <w:bookmarkEnd w:id="134"/>
    </w:p>
    <w:p>
      <w:pPr>
        <w:spacing w:line="360" w:lineRule="auto"/>
        <w:ind w:firstLine="420" w:firstLineChars="200"/>
        <w:rPr>
          <w:rFonts w:hAnsi="宋体"/>
          <w:sz w:val="21"/>
          <w:szCs w:val="21"/>
          <w:highlight w:val="none"/>
        </w:rPr>
      </w:pPr>
      <w:r>
        <w:rPr>
          <w:rFonts w:hint="eastAsia" w:hAnsi="宋体"/>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sz w:val="21"/>
          <w:szCs w:val="21"/>
          <w:highlight w:val="none"/>
        </w:rPr>
      </w:pPr>
      <w:r>
        <w:rPr>
          <w:rFonts w:hint="eastAsia" w:hAnsi="宋体"/>
          <w:sz w:val="21"/>
          <w:szCs w:val="21"/>
          <w:highlight w:val="none"/>
        </w:rPr>
        <w:t>28.合同内容不得与磋商文件和响应文件内容有实质性偏离。</w:t>
      </w:r>
    </w:p>
    <w:p>
      <w:pPr>
        <w:spacing w:line="360" w:lineRule="auto"/>
        <w:ind w:firstLine="420" w:firstLineChars="200"/>
        <w:rPr>
          <w:rFonts w:hAnsi="宋体"/>
          <w:sz w:val="21"/>
          <w:szCs w:val="21"/>
          <w:highlight w:val="none"/>
        </w:rPr>
      </w:pPr>
      <w:r>
        <w:rPr>
          <w:rFonts w:hint="eastAsia" w:hAnsi="宋体"/>
          <w:sz w:val="21"/>
          <w:szCs w:val="21"/>
          <w:highlight w:val="none"/>
        </w:rPr>
        <w:t>29.采购合同自签订之日起7个工作日内，采购人应将合同副本报采购代理机构归档。</w:t>
      </w:r>
    </w:p>
    <w:p>
      <w:pPr>
        <w:spacing w:line="360" w:lineRule="auto"/>
        <w:ind w:firstLine="420" w:firstLineChars="200"/>
        <w:rPr>
          <w:rFonts w:hAnsi="宋体"/>
          <w:sz w:val="21"/>
          <w:szCs w:val="21"/>
          <w:highlight w:val="none"/>
          <w:lang w:val="zh-CN"/>
        </w:rPr>
      </w:pPr>
      <w:r>
        <w:rPr>
          <w:rFonts w:hint="eastAsia" w:hAnsi="宋体"/>
          <w:sz w:val="21"/>
          <w:szCs w:val="21"/>
          <w:highlight w:val="none"/>
        </w:rPr>
        <w:t>30</w:t>
      </w:r>
      <w:r>
        <w:rPr>
          <w:rFonts w:hint="eastAsia" w:hAnsi="宋体"/>
          <w:sz w:val="21"/>
          <w:szCs w:val="21"/>
          <w:highlight w:val="none"/>
          <w:lang w:val="zh-CN"/>
        </w:rPr>
        <w:tab/>
      </w:r>
      <w:r>
        <w:rPr>
          <w:rFonts w:hint="eastAsia" w:hAnsi="宋体"/>
          <w:sz w:val="21"/>
          <w:szCs w:val="21"/>
          <w:highlight w:val="none"/>
          <w:lang w:val="zh-CN"/>
        </w:rPr>
        <w:t>履约</w:t>
      </w:r>
      <w:r>
        <w:rPr>
          <w:rFonts w:hint="eastAsia" w:hAnsi="宋体"/>
          <w:sz w:val="21"/>
          <w:szCs w:val="21"/>
          <w:highlight w:val="none"/>
        </w:rPr>
        <w:t>担保</w:t>
      </w:r>
    </w:p>
    <w:p>
      <w:pPr>
        <w:spacing w:line="360" w:lineRule="auto"/>
        <w:ind w:firstLine="420" w:firstLineChars="200"/>
        <w:rPr>
          <w:rFonts w:hAnsi="宋体"/>
          <w:sz w:val="21"/>
          <w:szCs w:val="21"/>
          <w:highlight w:val="none"/>
        </w:rPr>
      </w:pPr>
      <w:r>
        <w:rPr>
          <w:rFonts w:hint="eastAsia" w:hAnsi="宋体"/>
          <w:sz w:val="21"/>
          <w:szCs w:val="21"/>
          <w:highlight w:val="none"/>
        </w:rPr>
        <w:t>30</w:t>
      </w:r>
      <w:r>
        <w:rPr>
          <w:rFonts w:hint="eastAsia" w:hAnsi="宋体"/>
          <w:sz w:val="21"/>
          <w:szCs w:val="21"/>
          <w:highlight w:val="none"/>
          <w:lang w:val="zh-CN"/>
        </w:rPr>
        <w:t>.1</w:t>
      </w:r>
      <w:r>
        <w:rPr>
          <w:rFonts w:hint="eastAsia" w:hAnsi="宋体"/>
          <w:sz w:val="21"/>
          <w:szCs w:val="21"/>
          <w:highlight w:val="none"/>
        </w:rPr>
        <w:t>签订合同前，成交供应商应提交履约担保。</w:t>
      </w:r>
    </w:p>
    <w:p>
      <w:pPr>
        <w:spacing w:line="360" w:lineRule="auto"/>
        <w:ind w:firstLine="420" w:firstLineChars="200"/>
        <w:rPr>
          <w:rFonts w:hAnsi="宋体"/>
          <w:sz w:val="21"/>
          <w:szCs w:val="21"/>
          <w:highlight w:val="none"/>
        </w:rPr>
      </w:pPr>
      <w:r>
        <w:rPr>
          <w:rFonts w:hint="eastAsia" w:hAnsi="宋体"/>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sz w:val="21"/>
          <w:szCs w:val="21"/>
          <w:highlight w:val="none"/>
          <w:lang w:val="zh-CN"/>
        </w:rPr>
      </w:pPr>
      <w:r>
        <w:rPr>
          <w:rFonts w:hint="eastAsia" w:hAnsi="宋体"/>
          <w:sz w:val="21"/>
          <w:szCs w:val="21"/>
          <w:highlight w:val="none"/>
        </w:rPr>
        <w:t>30.3</w:t>
      </w:r>
      <w:r>
        <w:rPr>
          <w:rFonts w:hint="eastAsia" w:hAnsi="宋体"/>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sz w:val="21"/>
          <w:szCs w:val="21"/>
          <w:highlight w:val="none"/>
          <w:lang w:val="zh-CN"/>
        </w:rPr>
      </w:pPr>
      <w:r>
        <w:rPr>
          <w:rFonts w:hint="eastAsia" w:hAnsi="宋体"/>
          <w:sz w:val="21"/>
          <w:szCs w:val="21"/>
          <w:highlight w:val="none"/>
        </w:rPr>
        <w:t>30.4</w:t>
      </w:r>
      <w:r>
        <w:rPr>
          <w:rFonts w:hint="eastAsia" w:hAnsi="宋体"/>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sz w:val="21"/>
          <w:szCs w:val="21"/>
          <w:highlight w:val="none"/>
        </w:rPr>
      </w:pPr>
      <w:r>
        <w:rPr>
          <w:rFonts w:hint="eastAsia" w:hAnsi="宋体"/>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sz w:val="21"/>
          <w:szCs w:val="21"/>
          <w:highlight w:val="none"/>
          <w:lang w:val="zh-CN"/>
        </w:rPr>
      </w:pPr>
      <w:r>
        <w:rPr>
          <w:rFonts w:hint="eastAsia" w:hAnsi="宋体"/>
          <w:sz w:val="21"/>
          <w:szCs w:val="21"/>
          <w:highlight w:val="none"/>
          <w:lang w:val="zh-CN"/>
        </w:rPr>
        <w:t>31.发票</w:t>
      </w:r>
    </w:p>
    <w:p>
      <w:pPr>
        <w:spacing w:line="360" w:lineRule="auto"/>
        <w:ind w:firstLine="420" w:firstLineChars="200"/>
        <w:rPr>
          <w:rFonts w:hAnsi="宋体"/>
          <w:sz w:val="21"/>
          <w:szCs w:val="21"/>
          <w:highlight w:val="none"/>
          <w:lang w:val="zh-CN"/>
        </w:rPr>
      </w:pPr>
      <w:r>
        <w:rPr>
          <w:rFonts w:hint="eastAsia" w:hAnsi="宋体"/>
          <w:sz w:val="21"/>
          <w:szCs w:val="21"/>
          <w:highlight w:val="none"/>
        </w:rPr>
        <w:t>31</w:t>
      </w:r>
      <w:r>
        <w:rPr>
          <w:rFonts w:hint="eastAsia" w:hAnsi="宋体"/>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sz w:val="21"/>
          <w:szCs w:val="21"/>
          <w:highlight w:val="none"/>
        </w:rPr>
      </w:pPr>
      <w:r>
        <w:rPr>
          <w:rFonts w:hint="eastAsia" w:hAnsi="宋体"/>
          <w:sz w:val="21"/>
          <w:szCs w:val="21"/>
          <w:highlight w:val="none"/>
        </w:rPr>
        <w:t>31.2成交供应商需提交增值税专用发票，并于备注栏写明项目名称及合同名称。</w:t>
      </w:r>
    </w:p>
    <w:p>
      <w:pPr>
        <w:spacing w:line="360" w:lineRule="auto"/>
        <w:ind w:firstLine="420" w:firstLineChars="200"/>
        <w:rPr>
          <w:rFonts w:hAnsi="宋体"/>
          <w:sz w:val="21"/>
          <w:szCs w:val="21"/>
          <w:highlight w:val="none"/>
        </w:rPr>
      </w:pPr>
      <w:r>
        <w:rPr>
          <w:rFonts w:hint="eastAsia" w:hAnsi="宋体"/>
          <w:sz w:val="21"/>
          <w:szCs w:val="21"/>
          <w:highlight w:val="none"/>
        </w:rPr>
        <w:t>31.3在合同履行期间，如遇国家的税率调整，则以开具发票的时间为准，以原合同约定价格不含税金额不变作为基准，按照新税率重新计算含税价格。</w:t>
      </w:r>
    </w:p>
    <w:p>
      <w:pPr>
        <w:rPr>
          <w:highlight w:val="none"/>
        </w:rPr>
      </w:pPr>
    </w:p>
    <w:bookmarkEnd w:id="135"/>
    <w:p>
      <w:pPr>
        <w:pStyle w:val="5"/>
        <w:adjustRightInd/>
        <w:spacing w:line="360" w:lineRule="auto"/>
        <w:ind w:firstLine="562" w:firstLineChars="200"/>
        <w:jc w:val="center"/>
        <w:rPr>
          <w:sz w:val="21"/>
          <w:szCs w:val="21"/>
          <w:highlight w:val="none"/>
        </w:rPr>
      </w:pPr>
      <w:bookmarkStart w:id="136" w:name="_Toc8766"/>
      <w:bookmarkStart w:id="137" w:name="_Toc7897884"/>
      <w:bookmarkStart w:id="138" w:name="_Toc5141"/>
      <w:bookmarkStart w:id="139" w:name="_Toc396137239"/>
      <w:bookmarkStart w:id="140" w:name="_Toc3498"/>
      <w:bookmarkStart w:id="141" w:name="_Toc396137240"/>
      <w:bookmarkStart w:id="142" w:name="_Toc22751"/>
      <w:r>
        <w:rPr>
          <w:rFonts w:hint="eastAsia"/>
          <w:sz w:val="28"/>
          <w:szCs w:val="28"/>
          <w:highlight w:val="none"/>
        </w:rPr>
        <w:t>八、成交服务费</w:t>
      </w:r>
      <w:bookmarkEnd w:id="136"/>
      <w:bookmarkEnd w:id="137"/>
    </w:p>
    <w:p>
      <w:pPr>
        <w:spacing w:line="360" w:lineRule="auto"/>
        <w:ind w:firstLine="428" w:firstLineChars="204"/>
        <w:rPr>
          <w:rFonts w:hAnsi="宋体"/>
          <w:sz w:val="21"/>
          <w:szCs w:val="21"/>
          <w:highlight w:val="none"/>
        </w:rPr>
      </w:pPr>
      <w:r>
        <w:rPr>
          <w:rFonts w:hint="eastAsia" w:hAnsi="宋体"/>
          <w:sz w:val="21"/>
          <w:szCs w:val="21"/>
          <w:highlight w:val="none"/>
        </w:rPr>
        <w:t>32.成交服务费</w:t>
      </w:r>
    </w:p>
    <w:p>
      <w:pPr>
        <w:spacing w:line="360" w:lineRule="auto"/>
        <w:ind w:firstLine="428" w:firstLineChars="204"/>
        <w:rPr>
          <w:rFonts w:hAnsi="宋体"/>
          <w:sz w:val="21"/>
          <w:szCs w:val="21"/>
          <w:highlight w:val="none"/>
        </w:rPr>
      </w:pPr>
      <w:r>
        <w:rPr>
          <w:rFonts w:hint="eastAsia" w:hAnsi="宋体"/>
          <w:sz w:val="21"/>
          <w:szCs w:val="21"/>
          <w:highlight w:val="none"/>
        </w:rPr>
        <w:t>32.1成交供应商须向采购代理机构按如下标准和规定交纳成交服务费。</w:t>
      </w:r>
    </w:p>
    <w:p>
      <w:pPr>
        <w:spacing w:line="360" w:lineRule="auto"/>
        <w:ind w:firstLine="428" w:firstLineChars="204"/>
        <w:rPr>
          <w:rFonts w:hAnsi="宋体"/>
          <w:sz w:val="21"/>
          <w:szCs w:val="21"/>
          <w:highlight w:val="none"/>
        </w:rPr>
      </w:pPr>
      <w:r>
        <w:rPr>
          <w:rFonts w:hint="eastAsia" w:hAnsi="宋体"/>
          <w:sz w:val="21"/>
          <w:szCs w:val="21"/>
          <w:highlight w:val="none"/>
        </w:rPr>
        <w:t>32.2成交服务费参照国家计委[计价格[2002]1980号]文和国家发改委[发改价格[2011]534号]文及相关规定的7折收取，按差额定率累进法计算，按货物类收取，以成交通知书中确定的成交总金额作为收费的计算依据。成交服务费最低收费标准为伍仟元整。</w:t>
      </w:r>
    </w:p>
    <w:p>
      <w:pPr>
        <w:spacing w:line="360" w:lineRule="auto"/>
        <w:ind w:firstLine="428" w:firstLineChars="204"/>
        <w:rPr>
          <w:rFonts w:hAnsi="宋体"/>
          <w:sz w:val="21"/>
          <w:szCs w:val="21"/>
          <w:highlight w:val="none"/>
        </w:rPr>
      </w:pPr>
      <w:r>
        <w:rPr>
          <w:rFonts w:hint="eastAsia" w:hAnsi="宋体"/>
          <w:sz w:val="21"/>
          <w:szCs w:val="21"/>
          <w:highlight w:val="none"/>
        </w:rPr>
        <w:t>32.3服务费的货币为人民币。</w:t>
      </w:r>
    </w:p>
    <w:p>
      <w:pPr>
        <w:spacing w:line="360" w:lineRule="auto"/>
        <w:ind w:firstLine="428" w:firstLineChars="204"/>
        <w:rPr>
          <w:rFonts w:hAnsi="宋体"/>
          <w:sz w:val="21"/>
          <w:szCs w:val="21"/>
          <w:highlight w:val="none"/>
        </w:rPr>
      </w:pPr>
      <w:r>
        <w:rPr>
          <w:rFonts w:hint="eastAsia" w:hAnsi="宋体"/>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sz w:val="21"/>
          <w:szCs w:val="21"/>
          <w:highlight w:val="none"/>
        </w:rPr>
      </w:pPr>
      <w:r>
        <w:rPr>
          <w:rFonts w:hint="eastAsia" w:hAnsi="宋体"/>
          <w:sz w:val="21"/>
          <w:szCs w:val="21"/>
          <w:highlight w:val="none"/>
        </w:rPr>
        <w:t>32.5以转账或现金的形式支付。</w:t>
      </w:r>
    </w:p>
    <w:p>
      <w:pPr>
        <w:pStyle w:val="14"/>
        <w:ind w:firstLine="400"/>
        <w:rPr>
          <w:highlight w:val="none"/>
        </w:rPr>
      </w:pPr>
    </w:p>
    <w:p>
      <w:pPr>
        <w:pStyle w:val="5"/>
        <w:adjustRightInd/>
        <w:spacing w:line="360" w:lineRule="auto"/>
        <w:ind w:firstLine="562" w:firstLineChars="200"/>
        <w:jc w:val="center"/>
        <w:rPr>
          <w:sz w:val="28"/>
          <w:szCs w:val="28"/>
          <w:highlight w:val="none"/>
          <w:lang w:val="zh-CN"/>
        </w:rPr>
      </w:pPr>
      <w:r>
        <w:rPr>
          <w:rFonts w:hint="eastAsia"/>
          <w:sz w:val="28"/>
          <w:szCs w:val="28"/>
          <w:highlight w:val="none"/>
          <w:lang w:val="zh-CN"/>
        </w:rPr>
        <w:t>九、质疑与回复</w:t>
      </w:r>
      <w:bookmarkEnd w:id="138"/>
      <w:bookmarkEnd w:id="139"/>
      <w:bookmarkEnd w:id="140"/>
    </w:p>
    <w:p>
      <w:pPr>
        <w:spacing w:line="360" w:lineRule="auto"/>
        <w:ind w:firstLine="420" w:firstLineChars="200"/>
        <w:rPr>
          <w:rFonts w:hAnsi="宋体"/>
          <w:sz w:val="21"/>
          <w:szCs w:val="21"/>
          <w:highlight w:val="none"/>
        </w:rPr>
      </w:pPr>
      <w:r>
        <w:rPr>
          <w:rFonts w:hint="eastAsia" w:hAnsi="宋体"/>
          <w:sz w:val="21"/>
          <w:szCs w:val="21"/>
          <w:highlight w:val="none"/>
        </w:rPr>
        <w:t>33   质疑与回复</w:t>
      </w:r>
    </w:p>
    <w:p>
      <w:pPr>
        <w:spacing w:line="360" w:lineRule="auto"/>
        <w:ind w:firstLine="420" w:firstLineChars="200"/>
        <w:rPr>
          <w:rFonts w:hAnsi="宋体"/>
          <w:sz w:val="21"/>
          <w:szCs w:val="21"/>
          <w:highlight w:val="none"/>
        </w:rPr>
      </w:pPr>
      <w:r>
        <w:rPr>
          <w:rFonts w:hint="eastAsia" w:hAnsi="宋体"/>
          <w:sz w:val="21"/>
          <w:szCs w:val="21"/>
          <w:highlight w:val="none"/>
        </w:rPr>
        <w:t>33.1 质疑书应当包括下列主要内容：</w:t>
      </w:r>
    </w:p>
    <w:p>
      <w:pPr>
        <w:spacing w:line="360" w:lineRule="auto"/>
        <w:ind w:left="539" w:right="17" w:hanging="539"/>
        <w:jc w:val="both"/>
        <w:rPr>
          <w:rFonts w:hAnsi="宋体"/>
          <w:sz w:val="21"/>
          <w:szCs w:val="21"/>
          <w:highlight w:val="none"/>
        </w:rPr>
      </w:pPr>
      <w:r>
        <w:rPr>
          <w:rFonts w:hint="eastAsia" w:hAnsi="宋体"/>
          <w:sz w:val="21"/>
          <w:szCs w:val="21"/>
          <w:highlight w:val="none"/>
        </w:rPr>
        <w:t>　　（1）供应商的姓名或者名称、地址、邮编、联系人及联系电话；</w:t>
      </w:r>
    </w:p>
    <w:p>
      <w:pPr>
        <w:spacing w:line="360" w:lineRule="auto"/>
        <w:ind w:left="539" w:right="17" w:hanging="539"/>
        <w:jc w:val="both"/>
        <w:rPr>
          <w:rFonts w:hAnsi="宋体"/>
          <w:sz w:val="21"/>
          <w:szCs w:val="21"/>
          <w:highlight w:val="none"/>
        </w:rPr>
      </w:pPr>
      <w:r>
        <w:rPr>
          <w:rFonts w:hint="eastAsia" w:hAnsi="宋体"/>
          <w:sz w:val="21"/>
          <w:szCs w:val="21"/>
          <w:highlight w:val="none"/>
        </w:rPr>
        <w:t>　　（2）质疑项目的名称、编号；</w:t>
      </w:r>
    </w:p>
    <w:p>
      <w:pPr>
        <w:spacing w:line="360" w:lineRule="auto"/>
        <w:ind w:left="539" w:right="17" w:hanging="539"/>
        <w:jc w:val="both"/>
        <w:rPr>
          <w:rFonts w:hAnsi="宋体"/>
          <w:sz w:val="21"/>
          <w:szCs w:val="21"/>
          <w:highlight w:val="none"/>
        </w:rPr>
      </w:pPr>
      <w:r>
        <w:rPr>
          <w:rFonts w:hint="eastAsia" w:hAnsi="宋体"/>
          <w:sz w:val="21"/>
          <w:szCs w:val="21"/>
          <w:highlight w:val="none"/>
        </w:rPr>
        <w:t>　　（3）具体、明确的质疑事项和与质疑事项相关的请求；</w:t>
      </w:r>
    </w:p>
    <w:p>
      <w:pPr>
        <w:spacing w:line="360" w:lineRule="auto"/>
        <w:ind w:left="539" w:right="17" w:hanging="539"/>
        <w:jc w:val="both"/>
        <w:rPr>
          <w:rFonts w:hAnsi="宋体"/>
          <w:sz w:val="21"/>
          <w:szCs w:val="21"/>
          <w:highlight w:val="none"/>
        </w:rPr>
      </w:pPr>
      <w:r>
        <w:rPr>
          <w:rFonts w:hint="eastAsia" w:hAnsi="宋体"/>
          <w:sz w:val="21"/>
          <w:szCs w:val="21"/>
          <w:highlight w:val="none"/>
        </w:rPr>
        <w:t>　　（4）事实依据；</w:t>
      </w:r>
    </w:p>
    <w:p>
      <w:pPr>
        <w:spacing w:line="360" w:lineRule="auto"/>
        <w:ind w:left="539" w:right="17" w:hanging="539"/>
        <w:jc w:val="both"/>
        <w:rPr>
          <w:rFonts w:hAnsi="宋体"/>
          <w:sz w:val="21"/>
          <w:szCs w:val="21"/>
          <w:highlight w:val="none"/>
        </w:rPr>
      </w:pPr>
      <w:r>
        <w:rPr>
          <w:rFonts w:hint="eastAsia" w:hAnsi="宋体"/>
          <w:sz w:val="21"/>
          <w:szCs w:val="21"/>
          <w:highlight w:val="none"/>
        </w:rPr>
        <w:t>　　（5）必要的法律依据；</w:t>
      </w:r>
    </w:p>
    <w:p>
      <w:pPr>
        <w:spacing w:line="360" w:lineRule="auto"/>
        <w:ind w:left="539" w:right="17" w:hanging="539"/>
        <w:jc w:val="both"/>
        <w:rPr>
          <w:rFonts w:hAnsi="宋体"/>
          <w:sz w:val="21"/>
          <w:szCs w:val="21"/>
          <w:highlight w:val="none"/>
        </w:rPr>
      </w:pPr>
      <w:r>
        <w:rPr>
          <w:rFonts w:hint="eastAsia" w:hAnsi="宋体"/>
          <w:sz w:val="21"/>
          <w:szCs w:val="21"/>
          <w:highlight w:val="none"/>
        </w:rPr>
        <w:t>　　（6）提出质疑的日期。</w:t>
      </w:r>
    </w:p>
    <w:p>
      <w:pPr>
        <w:spacing w:line="360" w:lineRule="auto"/>
        <w:ind w:firstLine="420" w:firstLineChars="200"/>
        <w:rPr>
          <w:rFonts w:hAnsi="宋体"/>
          <w:sz w:val="21"/>
          <w:szCs w:val="21"/>
          <w:highlight w:val="none"/>
        </w:rPr>
      </w:pPr>
      <w:r>
        <w:rPr>
          <w:rFonts w:hint="eastAsia" w:hAnsi="宋体"/>
          <w:kern w:val="2"/>
          <w:sz w:val="21"/>
          <w:szCs w:val="21"/>
          <w:highlight w:val="none"/>
        </w:rPr>
        <w:t>33</w:t>
      </w:r>
      <w:r>
        <w:rPr>
          <w:rFonts w:hint="eastAsia" w:hAnsi="宋体"/>
          <w:sz w:val="21"/>
          <w:szCs w:val="21"/>
          <w:highlight w:val="none"/>
        </w:rPr>
        <w:t>.2. 质疑书应当署名。质疑人为自然人的，应当由本人签名；质疑人为法人或者</w:t>
      </w:r>
      <w:r>
        <w:rPr>
          <w:rFonts w:hint="eastAsia" w:hAnsi="宋体"/>
          <w:kern w:val="2"/>
          <w:sz w:val="21"/>
          <w:szCs w:val="21"/>
          <w:highlight w:val="none"/>
          <w:lang w:val="zh-CN"/>
        </w:rPr>
        <w:t>其他</w:t>
      </w:r>
      <w:r>
        <w:rPr>
          <w:rFonts w:hint="eastAsia" w:hAnsi="宋体"/>
          <w:sz w:val="21"/>
          <w:szCs w:val="21"/>
          <w:highlight w:val="none"/>
        </w:rPr>
        <w:t>组织的，应当由法定代表人或者主要负责人签名并加盖公章。</w:t>
      </w:r>
    </w:p>
    <w:p>
      <w:pPr>
        <w:spacing w:line="360" w:lineRule="auto"/>
        <w:ind w:firstLine="420" w:firstLineChars="200"/>
        <w:rPr>
          <w:rFonts w:hAnsi="宋体"/>
          <w:sz w:val="21"/>
          <w:szCs w:val="21"/>
          <w:highlight w:val="none"/>
        </w:rPr>
      </w:pPr>
      <w:r>
        <w:rPr>
          <w:rFonts w:hint="eastAsia" w:hAnsi="宋体"/>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sz w:val="21"/>
          <w:szCs w:val="21"/>
          <w:highlight w:val="none"/>
        </w:rPr>
      </w:pPr>
      <w:r>
        <w:rPr>
          <w:rFonts w:hint="eastAsia" w:hAnsi="宋体"/>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sz w:val="21"/>
          <w:szCs w:val="21"/>
          <w:highlight w:val="none"/>
        </w:rPr>
      </w:pPr>
      <w:r>
        <w:rPr>
          <w:rFonts w:hint="eastAsia" w:hAnsi="宋体"/>
          <w:sz w:val="21"/>
          <w:szCs w:val="21"/>
          <w:highlight w:val="none"/>
        </w:rPr>
        <w:t>33.5.供应商在法定质疑期内一次性提出针对同一采购程序环节的质疑。</w:t>
      </w:r>
    </w:p>
    <w:p>
      <w:pPr>
        <w:spacing w:line="360" w:lineRule="auto"/>
        <w:ind w:firstLine="420" w:firstLineChars="200"/>
        <w:rPr>
          <w:rFonts w:hAnsi="宋体"/>
          <w:sz w:val="21"/>
          <w:szCs w:val="21"/>
          <w:highlight w:val="none"/>
        </w:rPr>
      </w:pPr>
      <w:r>
        <w:rPr>
          <w:rFonts w:hint="eastAsia" w:hAnsi="宋体"/>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sz w:val="21"/>
          <w:szCs w:val="21"/>
          <w:highlight w:val="none"/>
        </w:rPr>
      </w:pPr>
      <w:bookmarkStart w:id="143" w:name="_Toc29421"/>
      <w:r>
        <w:rPr>
          <w:rFonts w:hint="eastAsia"/>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4"/>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r>
        <w:rPr>
          <w:rFonts w:hint="eastAsia" w:hAnsi="宋体"/>
          <w:b/>
          <w:bCs/>
          <w:kern w:val="44"/>
          <w:sz w:val="28"/>
          <w:szCs w:val="28"/>
          <w:highlight w:val="none"/>
          <w:lang w:val="zh-CN"/>
        </w:rPr>
        <w:t>用户需求书</w:t>
      </w:r>
      <w:bookmarkEnd w:id="141"/>
      <w:bookmarkEnd w:id="142"/>
    </w:p>
    <w:p>
      <w:pPr>
        <w:pStyle w:val="4"/>
        <w:spacing w:line="360" w:lineRule="auto"/>
        <w:jc w:val="center"/>
        <w:rPr>
          <w:b/>
          <w:bCs/>
          <w:sz w:val="28"/>
          <w:szCs w:val="28"/>
          <w:highlight w:val="none"/>
        </w:rPr>
      </w:pPr>
      <w:r>
        <w:rPr>
          <w:rFonts w:hint="eastAsia"/>
          <w:b/>
          <w:bCs/>
          <w:sz w:val="28"/>
          <w:szCs w:val="28"/>
          <w:highlight w:val="none"/>
        </w:rPr>
        <w:t>第一部分 商务需求书</w:t>
      </w:r>
    </w:p>
    <w:tbl>
      <w:tblPr>
        <w:tblStyle w:val="5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序号</w:t>
            </w:r>
          </w:p>
        </w:tc>
        <w:tc>
          <w:tcPr>
            <w:tcW w:w="2049" w:type="dxa"/>
            <w:vAlign w:val="center"/>
          </w:tcPr>
          <w:p>
            <w:pPr>
              <w:spacing w:line="360" w:lineRule="auto"/>
              <w:jc w:val="center"/>
              <w:rPr>
                <w:rFonts w:hAnsi="宋体"/>
                <w:sz w:val="21"/>
                <w:szCs w:val="21"/>
                <w:highlight w:val="none"/>
              </w:rPr>
            </w:pPr>
            <w:r>
              <w:rPr>
                <w:rFonts w:hint="eastAsia" w:hAnsi="宋体"/>
                <w:sz w:val="21"/>
                <w:szCs w:val="21"/>
                <w:highlight w:val="none"/>
              </w:rPr>
              <w:t>条款名称</w:t>
            </w:r>
          </w:p>
        </w:tc>
        <w:tc>
          <w:tcPr>
            <w:tcW w:w="6397" w:type="dxa"/>
            <w:vAlign w:val="center"/>
          </w:tcPr>
          <w:p>
            <w:pPr>
              <w:spacing w:line="360" w:lineRule="auto"/>
              <w:jc w:val="center"/>
              <w:rPr>
                <w:rFonts w:hAnsi="宋体"/>
                <w:sz w:val="21"/>
                <w:szCs w:val="21"/>
                <w:highlight w:val="none"/>
              </w:rPr>
            </w:pPr>
            <w:r>
              <w:rPr>
                <w:rFonts w:hint="eastAsia" w:hAnsi="宋体"/>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1</w:t>
            </w:r>
          </w:p>
        </w:tc>
        <w:tc>
          <w:tcPr>
            <w:tcW w:w="2049" w:type="dxa"/>
            <w:vAlign w:val="center"/>
          </w:tcPr>
          <w:p>
            <w:pPr>
              <w:spacing w:line="360" w:lineRule="auto"/>
              <w:jc w:val="center"/>
              <w:rPr>
                <w:rFonts w:hAnsi="宋体"/>
                <w:sz w:val="21"/>
                <w:szCs w:val="21"/>
                <w:highlight w:val="none"/>
              </w:rPr>
            </w:pPr>
            <w:r>
              <w:rPr>
                <w:rFonts w:hint="eastAsia" w:hAnsi="宋体"/>
                <w:kern w:val="2"/>
                <w:sz w:val="21"/>
                <w:szCs w:val="21"/>
                <w:highlight w:val="none"/>
              </w:rPr>
              <w:t>工期</w:t>
            </w:r>
          </w:p>
        </w:tc>
        <w:tc>
          <w:tcPr>
            <w:tcW w:w="6397" w:type="dxa"/>
            <w:vAlign w:val="center"/>
          </w:tcPr>
          <w:p>
            <w:pPr>
              <w:pStyle w:val="144"/>
              <w:spacing w:line="360" w:lineRule="auto"/>
              <w:rPr>
                <w:rFonts w:ascii="宋体" w:hAnsi="宋体"/>
                <w:szCs w:val="21"/>
                <w:highlight w:val="none"/>
              </w:rPr>
            </w:pPr>
            <w:r>
              <w:rPr>
                <w:rFonts w:hint="eastAsia" w:hAnsi="宋体"/>
                <w:color w:val="auto"/>
                <w:sz w:val="21"/>
                <w:szCs w:val="21"/>
                <w:highlight w:val="none"/>
              </w:rPr>
              <w:t>合同签订生效后</w:t>
            </w:r>
            <w:r>
              <w:rPr>
                <w:rFonts w:hint="eastAsia" w:hAnsi="宋体"/>
                <w:color w:val="auto"/>
                <w:sz w:val="21"/>
                <w:szCs w:val="21"/>
                <w:highlight w:val="none"/>
                <w:lang w:val="en-US" w:eastAsia="zh-CN"/>
              </w:rPr>
              <w:t>20</w:t>
            </w:r>
            <w:r>
              <w:rPr>
                <w:rFonts w:hint="eastAsia" w:hAnsi="宋体"/>
                <w:color w:val="auto"/>
                <w:sz w:val="21"/>
                <w:szCs w:val="21"/>
                <w:highlight w:val="none"/>
              </w:rPr>
              <w:t>个日历天内完成所有设备的安装、调试并交付使用</w:t>
            </w:r>
            <w:r>
              <w:rPr>
                <w:rFonts w:hint="eastAsia" w:ascii="宋体" w:hAnsi="宋体"/>
                <w:szCs w:val="21"/>
                <w:highlight w:val="none"/>
              </w:rPr>
              <w:t>。具体开工时间以采购人发出开工令或业主联系单为准。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2</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报价要求</w:t>
            </w:r>
          </w:p>
        </w:tc>
        <w:tc>
          <w:tcPr>
            <w:tcW w:w="6397" w:type="dxa"/>
            <w:vAlign w:val="center"/>
          </w:tcPr>
          <w:p>
            <w:pPr>
              <w:autoSpaceDE/>
              <w:autoSpaceDN/>
              <w:adjustRightInd/>
              <w:spacing w:line="360" w:lineRule="auto"/>
              <w:ind w:firstLine="420" w:firstLineChars="200"/>
              <w:jc w:val="both"/>
              <w:rPr>
                <w:rFonts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1、</w:t>
            </w:r>
            <w:r>
              <w:rPr>
                <w:rFonts w:hint="eastAsia" w:ascii="宋体" w:hAnsi="宋体" w:eastAsia="宋体" w:cs="宋体"/>
                <w:b w:val="0"/>
                <w:bCs w:val="0"/>
                <w:color w:val="auto"/>
                <w:sz w:val="21"/>
                <w:szCs w:val="21"/>
                <w:highlight w:val="none"/>
                <w:lang w:eastAsia="zh-CN"/>
              </w:rPr>
              <w:t>项目采用</w:t>
            </w:r>
            <w:r>
              <w:rPr>
                <w:rFonts w:hint="eastAsia" w:ascii="宋体" w:hAnsi="宋体" w:eastAsia="宋体" w:cs="宋体"/>
                <w:b w:val="0"/>
                <w:bCs w:val="0"/>
                <w:color w:val="auto"/>
                <w:sz w:val="21"/>
                <w:szCs w:val="21"/>
                <w:highlight w:val="none"/>
              </w:rPr>
              <w:t>固定总价</w:t>
            </w:r>
            <w:r>
              <w:rPr>
                <w:rFonts w:hint="eastAsia" w:ascii="宋体" w:hAnsi="宋体" w:eastAsia="宋体" w:cs="宋体"/>
                <w:b w:val="0"/>
                <w:bCs w:val="0"/>
                <w:color w:val="auto"/>
                <w:sz w:val="21"/>
                <w:szCs w:val="21"/>
                <w:highlight w:val="none"/>
                <w:lang w:eastAsia="zh-CN"/>
              </w:rPr>
              <w:t>包干</w:t>
            </w:r>
            <w:r>
              <w:rPr>
                <w:rFonts w:hint="eastAsia" w:ascii="宋体" w:hAnsi="宋体" w:eastAsia="宋体" w:cs="宋体"/>
                <w:b w:val="0"/>
                <w:bCs w:val="0"/>
                <w:color w:val="auto"/>
                <w:sz w:val="21"/>
                <w:szCs w:val="21"/>
                <w:highlight w:val="none"/>
              </w:rPr>
              <w:t>方式</w:t>
            </w:r>
            <w:r>
              <w:rPr>
                <w:rFonts w:hint="eastAsia" w:ascii="宋体" w:hAnsi="宋体" w:eastAsia="宋体" w:cs="宋体"/>
                <w:b w:val="0"/>
                <w:bCs w:val="0"/>
                <w:color w:val="auto"/>
                <w:sz w:val="21"/>
                <w:szCs w:val="21"/>
                <w:highlight w:val="none"/>
                <w:lang w:eastAsia="zh-CN"/>
              </w:rPr>
              <w:t>进行报价，</w:t>
            </w:r>
            <w:r>
              <w:rPr>
                <w:rFonts w:hint="eastAsia" w:asciiTheme="minorEastAsia" w:hAnsiTheme="minorEastAsia" w:eastAsiaTheme="minorEastAsia" w:cstheme="minorEastAsia"/>
                <w:bCs/>
                <w:kern w:val="2"/>
                <w:sz w:val="21"/>
                <w:szCs w:val="21"/>
                <w:highlight w:val="none"/>
              </w:rPr>
              <w:t>供应商响应报价不得超过总最高限价（采购预算价）。</w:t>
            </w:r>
          </w:p>
          <w:p>
            <w:pPr>
              <w:autoSpaceDE/>
              <w:autoSpaceDN/>
              <w:adjustRightInd/>
              <w:spacing w:line="360" w:lineRule="auto"/>
              <w:ind w:firstLine="420" w:firstLineChars="200"/>
              <w:jc w:val="both"/>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2、响应供应商报价应包含完成本次采购所有服务内容的费用，包括人工费、劳保费、保险费、材料费、设备使用费、各种税务费、必须的辅助材料费、因施工破坏需按原状恢复的费用及合同实施过程中不可预见费用等全部费用。</w:t>
            </w:r>
          </w:p>
          <w:p>
            <w:pPr>
              <w:autoSpaceDE/>
              <w:autoSpaceDN/>
              <w:adjustRightInd/>
              <w:spacing w:line="360" w:lineRule="auto"/>
              <w:ind w:firstLine="420" w:firstLineChars="200"/>
              <w:jc w:val="both"/>
              <w:rPr>
                <w:rFonts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color w:val="auto"/>
                <w:sz w:val="21"/>
                <w:szCs w:val="21"/>
                <w:highlight w:val="none"/>
              </w:rPr>
              <w:t>投标价应包括所有应支付的对专利权和版权、设计或其他知识产权而需要向其他方支付的版税。</w:t>
            </w:r>
          </w:p>
          <w:p>
            <w:pPr>
              <w:pStyle w:val="144"/>
              <w:spacing w:line="360" w:lineRule="auto"/>
              <w:rPr>
                <w:rFonts w:ascii="宋体" w:hAnsi="宋体"/>
                <w:szCs w:val="21"/>
                <w:highlight w:val="none"/>
              </w:rPr>
            </w:pPr>
            <w:r>
              <w:rPr>
                <w:rFonts w:hint="eastAsia" w:asciiTheme="minorEastAsia" w:hAnsiTheme="minorEastAsia" w:eastAsiaTheme="minorEastAsia" w:cstheme="minorEastAsia"/>
                <w:bCs/>
                <w:szCs w:val="21"/>
                <w:highlight w:val="none"/>
                <w:lang w:val="en-US" w:eastAsia="zh-CN"/>
              </w:rPr>
              <w:t>4</w:t>
            </w:r>
            <w:r>
              <w:rPr>
                <w:rFonts w:hint="eastAsia" w:asciiTheme="minorEastAsia" w:hAnsiTheme="minorEastAsia" w:eastAsiaTheme="minorEastAsia" w:cstheme="minorEastAsia"/>
                <w:bCs/>
                <w:szCs w:val="21"/>
                <w:highlight w:val="none"/>
              </w:rPr>
              <w:t>、如果响应供应商对于采购文件或答疑文件中为满足技术要求中所提供的服务或货物有未报价或漏报、错报、缺报等情况，可以视其为响应供应商予以采购人的报价优惠报价，中标后不予调整。若响应供应商报价出现错误，则按招标文件约定的</w:t>
            </w:r>
            <w:r>
              <w:rPr>
                <w:rFonts w:hint="eastAsia" w:asciiTheme="minorEastAsia" w:hAnsiTheme="minorEastAsia" w:eastAsiaTheme="minorEastAsia" w:cstheme="minorEastAsia"/>
                <w:szCs w:val="21"/>
                <w:highlight w:val="none"/>
              </w:rPr>
              <w:t>修正错误的方法</w:t>
            </w:r>
            <w:r>
              <w:rPr>
                <w:rFonts w:hint="eastAsia" w:asciiTheme="minorEastAsia" w:hAnsiTheme="minorEastAsia" w:eastAsiaTheme="minorEastAsia" w:cstheme="minorEastAsia"/>
                <w:bCs/>
                <w:szCs w:val="21"/>
                <w:highlight w:val="none"/>
              </w:rPr>
              <w:t>调整响应文件中的报价，调整后的价格对响应供应商具有约束力，如果响应供应商不接受修正后的价格，则其报价将被拒绝。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3</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付款方式</w:t>
            </w:r>
          </w:p>
        </w:tc>
        <w:tc>
          <w:tcPr>
            <w:tcW w:w="6397" w:type="dxa"/>
            <w:vAlign w:val="center"/>
          </w:tcPr>
          <w:p>
            <w:pPr>
              <w:pStyle w:val="100"/>
              <w:spacing w:line="360" w:lineRule="auto"/>
              <w:rPr>
                <w:rFonts w:ascii="宋体" w:hAnsi="宋体" w:cs="宋体"/>
                <w:szCs w:val="21"/>
                <w:highlight w:val="none"/>
              </w:rPr>
            </w:pPr>
            <w:r>
              <w:rPr>
                <w:rFonts w:hint="eastAsia" w:ascii="宋体" w:hAnsi="宋体" w:cs="宋体"/>
                <w:szCs w:val="21"/>
                <w:highlight w:val="none"/>
              </w:rPr>
              <w:t>（一）成交人在合同签订之日起15天内，向采购人提交金额为本合同总价10%的不可撤销银行保函或履约保证金作为履行合同的担保，履约担保期限从合同签订之日起至项目交工验收合格并完成结算后，双方签字之日起7天内保持有效；</w:t>
            </w:r>
          </w:p>
          <w:p>
            <w:pPr>
              <w:pStyle w:val="100"/>
              <w:spacing w:line="360" w:lineRule="auto"/>
              <w:rPr>
                <w:rFonts w:ascii="宋体" w:hAnsi="宋体" w:cs="宋体"/>
                <w:szCs w:val="21"/>
                <w:highlight w:val="none"/>
              </w:rPr>
            </w:pPr>
            <w:r>
              <w:rPr>
                <w:rFonts w:hint="eastAsia" w:ascii="宋体" w:hAnsi="宋体" w:cs="宋体"/>
                <w:szCs w:val="21"/>
                <w:highlight w:val="none"/>
              </w:rPr>
              <w:t>（二）合同签订提交请款报告后20天内，采购人支付合同总价的20%作为定金；</w:t>
            </w:r>
          </w:p>
          <w:p>
            <w:pPr>
              <w:pStyle w:val="100"/>
              <w:spacing w:line="360" w:lineRule="auto"/>
              <w:rPr>
                <w:rFonts w:ascii="宋体" w:hAnsi="宋体" w:cs="宋体"/>
                <w:szCs w:val="21"/>
                <w:highlight w:val="none"/>
              </w:rPr>
            </w:pPr>
            <w:r>
              <w:rPr>
                <w:rFonts w:hint="eastAsia" w:ascii="宋体" w:hAnsi="宋体" w:cs="宋体"/>
                <w:szCs w:val="21"/>
                <w:highlight w:val="none"/>
              </w:rPr>
              <w:t xml:space="preserve">（三）进度款的支付根据每期计量工程价款的80%进行支付。支付至合同价款的80%时，不再支付。所有货物安装完成且经采购人验收合格并办理结算手续后，成交人向采购人提交请款报告后20天内，支付至工程结算价款的97%； </w:t>
            </w:r>
          </w:p>
          <w:p>
            <w:pPr>
              <w:pStyle w:val="100"/>
              <w:spacing w:line="360" w:lineRule="auto"/>
              <w:rPr>
                <w:rFonts w:ascii="宋体" w:hAnsi="宋体" w:cs="宋体"/>
                <w:szCs w:val="21"/>
                <w:highlight w:val="none"/>
              </w:rPr>
            </w:pPr>
            <w:r>
              <w:rPr>
                <w:rFonts w:hint="eastAsia" w:ascii="宋体" w:hAnsi="宋体" w:cs="宋体"/>
                <w:szCs w:val="21"/>
                <w:highlight w:val="none"/>
              </w:rPr>
              <w:t>（四）结算价余款3％作为质保金，按合同质量保修金及支付方式的约定支付给成交人。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4</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免费保修期及质保金</w:t>
            </w:r>
          </w:p>
        </w:tc>
        <w:tc>
          <w:tcPr>
            <w:tcW w:w="6397" w:type="dxa"/>
            <w:vAlign w:val="center"/>
          </w:tcPr>
          <w:p>
            <w:pPr>
              <w:pStyle w:val="100"/>
              <w:spacing w:line="360" w:lineRule="auto"/>
              <w:ind w:firstLine="0" w:firstLineChars="0"/>
              <w:rPr>
                <w:rFonts w:hint="eastAsia" w:ascii="宋体" w:hAnsi="宋体" w:eastAsia="宋体" w:cs="宋体"/>
                <w:szCs w:val="21"/>
                <w:highlight w:val="none"/>
                <w:lang w:eastAsia="zh-CN"/>
              </w:rPr>
            </w:pPr>
            <w:r>
              <w:rPr>
                <w:rFonts w:hint="eastAsia" w:ascii="宋体" w:hAnsi="宋体" w:cs="宋体"/>
                <w:szCs w:val="21"/>
                <w:highlight w:val="none"/>
              </w:rPr>
              <w:t>①项目验收合格之日起,提供</w:t>
            </w:r>
            <w:r>
              <w:rPr>
                <w:rFonts w:hint="eastAsia" w:ascii="宋体" w:hAnsi="宋体" w:cs="宋体"/>
                <w:szCs w:val="21"/>
                <w:highlight w:val="none"/>
                <w:lang w:val="en-US" w:eastAsia="zh-CN"/>
              </w:rPr>
              <w:t>2</w:t>
            </w:r>
            <w:r>
              <w:rPr>
                <w:rFonts w:hint="eastAsia" w:ascii="宋体" w:hAnsi="宋体" w:cs="宋体"/>
                <w:szCs w:val="21"/>
                <w:highlight w:val="none"/>
              </w:rPr>
              <w:t>年免费保修服务</w:t>
            </w:r>
            <w:r>
              <w:rPr>
                <w:rFonts w:hint="eastAsia" w:ascii="宋体" w:hAnsi="宋体" w:cs="宋体"/>
                <w:szCs w:val="21"/>
                <w:highlight w:val="none"/>
                <w:lang w:eastAsia="zh-CN"/>
              </w:rPr>
              <w:t>。</w:t>
            </w:r>
          </w:p>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②项目质保金按项目结算总价乘以3%执行。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5</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6</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合同条款</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7</w:t>
            </w:r>
          </w:p>
        </w:tc>
        <w:tc>
          <w:tcPr>
            <w:tcW w:w="2049" w:type="dxa"/>
            <w:vAlign w:val="center"/>
          </w:tcPr>
          <w:p>
            <w:pPr>
              <w:spacing w:line="360" w:lineRule="auto"/>
              <w:jc w:val="center"/>
              <w:rPr>
                <w:rFonts w:hAnsi="宋体"/>
                <w:bCs/>
                <w:sz w:val="21"/>
                <w:szCs w:val="21"/>
                <w:highlight w:val="none"/>
              </w:rPr>
            </w:pPr>
            <w:r>
              <w:rPr>
                <w:rFonts w:hint="eastAsia" w:hAnsi="宋体"/>
                <w:bCs/>
                <w:sz w:val="21"/>
                <w:szCs w:val="21"/>
                <w:highlight w:val="none"/>
              </w:rPr>
              <w:t>其他服务要求</w:t>
            </w:r>
          </w:p>
        </w:tc>
        <w:tc>
          <w:tcPr>
            <w:tcW w:w="6397" w:type="dxa"/>
            <w:vAlign w:val="center"/>
          </w:tcPr>
          <w:p>
            <w:pPr>
              <w:pStyle w:val="144"/>
              <w:spacing w:line="360" w:lineRule="auto"/>
              <w:ind w:firstLine="0" w:firstLineChars="0"/>
              <w:rPr>
                <w:rFonts w:ascii="宋体" w:hAnsi="宋体"/>
                <w:szCs w:val="21"/>
                <w:highlight w:val="none"/>
              </w:rPr>
            </w:pPr>
            <w:r>
              <w:rPr>
                <w:rFonts w:hint="eastAsia" w:ascii="宋体" w:hAnsi="宋体"/>
                <w:szCs w:val="21"/>
                <w:highlight w:val="none"/>
              </w:rPr>
              <w:t>详见技术需求书。</w:t>
            </w:r>
          </w:p>
        </w:tc>
      </w:tr>
    </w:tbl>
    <w:p>
      <w:pPr>
        <w:rPr>
          <w:highlight w:val="none"/>
        </w:rPr>
      </w:pPr>
    </w:p>
    <w:p>
      <w:pPr>
        <w:rPr>
          <w:highlight w:val="none"/>
        </w:rPr>
      </w:pPr>
    </w:p>
    <w:p>
      <w:pPr>
        <w:pStyle w:val="14"/>
        <w:ind w:firstLine="400"/>
        <w:rPr>
          <w:highlight w:val="none"/>
        </w:rPr>
      </w:pPr>
    </w:p>
    <w:p>
      <w:pPr>
        <w:pStyle w:val="14"/>
        <w:ind w:firstLine="400"/>
        <w:rPr>
          <w:highlight w:val="none"/>
        </w:rPr>
      </w:pPr>
    </w:p>
    <w:p>
      <w:pPr>
        <w:pStyle w:val="4"/>
        <w:jc w:val="center"/>
        <w:rPr>
          <w:b/>
          <w:sz w:val="28"/>
          <w:szCs w:val="28"/>
          <w:highlight w:val="none"/>
        </w:rPr>
      </w:pPr>
      <w:r>
        <w:rPr>
          <w:rFonts w:hint="eastAsia"/>
          <w:b/>
          <w:sz w:val="28"/>
          <w:szCs w:val="28"/>
          <w:highlight w:val="none"/>
        </w:rPr>
        <w:t>第二部分 技术需求书</w:t>
      </w:r>
    </w:p>
    <w:p>
      <w:pPr>
        <w:pStyle w:val="5"/>
        <w:spacing w:line="360" w:lineRule="auto"/>
        <w:ind w:firstLine="422" w:firstLineChars="200"/>
        <w:rPr>
          <w:sz w:val="21"/>
          <w:szCs w:val="21"/>
          <w:highlight w:val="none"/>
        </w:rPr>
      </w:pPr>
      <w:r>
        <w:rPr>
          <w:rFonts w:hint="eastAsia"/>
          <w:sz w:val="21"/>
          <w:szCs w:val="21"/>
          <w:highlight w:val="none"/>
        </w:rPr>
        <w:t>一、项目概况</w:t>
      </w:r>
    </w:p>
    <w:p>
      <w:pPr>
        <w:autoSpaceDE/>
        <w:autoSpaceDN/>
        <w:adjustRightInd/>
        <w:spacing w:line="360" w:lineRule="auto"/>
        <w:ind w:firstLine="420" w:firstLineChars="200"/>
        <w:jc w:val="both"/>
        <w:rPr>
          <w:rFonts w:hint="eastAsia" w:hAnsi="宋体"/>
          <w:sz w:val="21"/>
          <w:szCs w:val="21"/>
          <w:highlight w:val="none"/>
        </w:rPr>
      </w:pPr>
      <w:r>
        <w:rPr>
          <w:rFonts w:hint="eastAsia" w:hAnsi="宋体"/>
          <w:sz w:val="21"/>
          <w:szCs w:val="21"/>
          <w:highlight w:val="none"/>
        </w:rPr>
        <w:t>（一）项目名称：松山湖大学创新城--室外停车场管理系统采购安装项目</w:t>
      </w:r>
    </w:p>
    <w:p>
      <w:pPr>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（二）项目地点：东莞市松山湖</w:t>
      </w:r>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三）采购范围：按照图纸及采购清单，提供包括但不限于：新增6处（1至5#、8#）一进一出道闸，2处（6#、7#）共进出道闸；将9#道闸（G3栋旁）外移位至主要出入口；对园区A3栋地下车库出口、G4栋地下车库入口及G4栋旁地面停车场出口增加安全岛、辅助摄像机。</w:t>
      </w:r>
    </w:p>
    <w:p>
      <w:pPr>
        <w:autoSpaceDE/>
        <w:autoSpaceDN/>
        <w:adjustRightInd/>
        <w:spacing w:line="360" w:lineRule="auto"/>
        <w:ind w:firstLine="420" w:firstLineChars="200"/>
        <w:jc w:val="both"/>
        <w:rPr>
          <w:rFonts w:hAnsi="宋体"/>
          <w:sz w:val="21"/>
          <w:szCs w:val="21"/>
          <w:highlight w:val="none"/>
        </w:rPr>
      </w:pPr>
    </w:p>
    <w:p>
      <w:pPr>
        <w:pStyle w:val="75"/>
        <w:tabs>
          <w:tab w:val="left" w:pos="0"/>
        </w:tabs>
        <w:spacing w:line="360" w:lineRule="auto"/>
        <w:ind w:firstLine="422" w:firstLineChars="200"/>
        <w:outlineLvl w:val="1"/>
        <w:rPr>
          <w:rFonts w:hint="eastAsia" w:ascii="宋体" w:eastAsia="宋体"/>
          <w:b/>
          <w:bCs/>
          <w:sz w:val="21"/>
          <w:szCs w:val="21"/>
          <w:highlight w:val="none"/>
          <w:lang w:eastAsia="zh-CN"/>
        </w:rPr>
      </w:pPr>
      <w:r>
        <w:rPr>
          <w:rFonts w:hint="eastAsia" w:ascii="宋体" w:eastAsia="宋体"/>
          <w:b/>
          <w:bCs/>
          <w:sz w:val="21"/>
          <w:szCs w:val="21"/>
          <w:highlight w:val="none"/>
        </w:rPr>
        <w:t>二、</w:t>
      </w:r>
      <w:r>
        <w:rPr>
          <w:rFonts w:hint="eastAsia" w:ascii="宋体" w:eastAsia="宋体"/>
          <w:b/>
          <w:bCs/>
          <w:sz w:val="21"/>
          <w:szCs w:val="21"/>
          <w:highlight w:val="none"/>
          <w:lang w:eastAsia="zh-CN"/>
        </w:rPr>
        <w:t>停车场管理系统技术要求</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、车辆信息记录</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车辆信息包括车辆通行信息和车辆图像信息两类。</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在车辆通过出入口时，牌照识别系统准确拍摄包含车辆前端、车牌的图像，并将图像和车辆通行信息传输给出入口控制终端，并可选择在图像中叠加车辆通行信息（如时间、地点等），准确记录车辆通行信息。</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、信息提示</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车辆在出入口被抓拍后，系统将进行相关信息提示，包含语音提示、信息显示，车辆驶入、驶出时可以根据客户需要提示语音，收费金额显示，欢迎标语等。</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、车牌校正</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系统支持通过人工在岗亭客户端上对识别异常的车牌进行修正，对无牌车进行人工匹配来确保系统工作正常。</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、车辆收费管理功能、车辆缴费</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系统支持对固定车辆、临时车辆等制定相应的收费规则，支持车辆出场时在岗亭通过车牌识别记录车辆进出时间并计算费用和收费，支持通过现金、支付宝、微信等方式进行停车费的自助缴费。支持无牌车辆使用微信/支付宝扫码车道旁的二维码自主进出场和缴费。</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、车辆管控</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固定车辆：支持车牌识别比对正确，信息核实有效后，即可进场和出场，无需其他操作。</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临时车辆：抓拍车牌并识别，将车辆信息记录在系统中，直接放行进场；出场时，缴清费用后，快速离场。</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布控车辆：嫌疑车辆由系统自动在前端岗亭和中心产生报警，同时人工参与处理。</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、异常求助</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系统支持任何车辆在遇到无法自助处理的情况时，通过入场车道或者出场车道的LCD票箱上的呼叫按钮向中心求助。</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、远程协助</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停车场管理者可以通过本系统的中心客户端远程接听入场车道或者出场车道求助，做可视化对讲。可以对于车主的操作问题进行指导；可以对于识别错误问题进行远程修正；可以对于特殊车辆进行放。</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、道闸控制功能</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岗亭客户端支持远程控制电动挡车器启闭，方便操作人员管理和特殊控制需要。</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、数据查询功能</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可查询通行信息、场内车辆、操作日志、设备状态和收费金额等信息并输出完整的数据报表。</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、统计报表功能</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支持按停车场收费统计、车辆流量数据统计、临时车辆缴费统计、现金收费统计等报表功能。</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、数据上传功能</w:t>
      </w:r>
    </w:p>
    <w:p>
      <w:pPr>
        <w:widowControl/>
        <w:tabs>
          <w:tab w:val="left" w:pos="-360"/>
        </w:tabs>
        <w:adjustRightInd/>
        <w:spacing w:line="360" w:lineRule="auto"/>
        <w:ind w:right="-34" w:firstLine="420" w:firstLineChars="200"/>
        <w:jc w:val="both"/>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出入口过车数据自动上传中心，由中心集中存储和管理，支持前端数据缓存以及断点续传。</w:t>
      </w:r>
    </w:p>
    <w:p>
      <w:pPr>
        <w:widowControl/>
        <w:tabs>
          <w:tab w:val="left" w:pos="-360"/>
        </w:tabs>
        <w:adjustRightInd/>
        <w:spacing w:line="360" w:lineRule="auto"/>
        <w:ind w:right="-34" w:firstLine="422" w:firstLineChars="200"/>
        <w:jc w:val="both"/>
        <w:textAlignment w:val="bottom"/>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★12</w:t>
      </w:r>
      <w:r>
        <w:rPr>
          <w:rFonts w:hint="eastAsia" w:ascii="宋体" w:hAnsi="宋体" w:eastAsia="宋体" w:cs="宋体"/>
          <w:b/>
          <w:bCs/>
          <w:sz w:val="21"/>
          <w:szCs w:val="21"/>
          <w:highlight w:val="none"/>
          <w:lang w:eastAsia="zh-CN"/>
        </w:rPr>
        <w:t>、为确保产品质量和售后服务，投标人必须承诺所供产品是厂家的正规产品及保证采购人采购之货物和服务能够同时享受制造商提供的原厂服务，投标人如若中标须在中标结果公示结束之日起7个日历日内提供所投产品中设备厂商出具的针对本项目的售后服务承诺函原件（加盖厂商公章），无法提供或虚假响应将取消中标资格。（注：须提供承诺函加盖投标人公章，承诺函格式不限由投标人自行提供）</w:t>
      </w:r>
    </w:p>
    <w:p>
      <w:pPr>
        <w:widowControl/>
        <w:tabs>
          <w:tab w:val="left" w:pos="-360"/>
        </w:tabs>
        <w:adjustRightInd/>
        <w:spacing w:line="360" w:lineRule="auto"/>
        <w:ind w:right="-34" w:firstLine="422" w:firstLineChars="200"/>
        <w:jc w:val="both"/>
        <w:textAlignment w:val="bottom"/>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★13、</w:t>
      </w:r>
      <w:r>
        <w:rPr>
          <w:rFonts w:hint="eastAsia" w:ascii="宋体" w:hAnsi="宋体" w:eastAsia="宋体" w:cs="宋体"/>
          <w:b/>
          <w:bCs/>
          <w:sz w:val="21"/>
          <w:szCs w:val="21"/>
          <w:highlight w:val="none"/>
          <w:lang w:eastAsia="zh-CN"/>
        </w:rPr>
        <w:t>项目所建系统需要无缝对接原有智慧园区管理平台，无须增加对接费用。（注：须提供承诺函加盖投标人公章，承诺函格式不限由投标人自行提供）</w:t>
      </w:r>
    </w:p>
    <w:p>
      <w:pPr>
        <w:pStyle w:val="75"/>
        <w:tabs>
          <w:tab w:val="left" w:pos="0"/>
        </w:tabs>
        <w:spacing w:line="360" w:lineRule="auto"/>
        <w:ind w:firstLine="422" w:firstLineChars="200"/>
        <w:outlineLvl w:val="1"/>
        <w:rPr>
          <w:rFonts w:ascii="宋体" w:eastAsia="宋体"/>
          <w:b/>
          <w:bCs/>
          <w:sz w:val="21"/>
          <w:szCs w:val="21"/>
          <w:highlight w:val="none"/>
        </w:rPr>
      </w:pPr>
      <w:r>
        <w:rPr>
          <w:rFonts w:hint="eastAsia" w:ascii="宋体" w:eastAsia="宋体"/>
          <w:b/>
          <w:bCs/>
          <w:sz w:val="21"/>
          <w:szCs w:val="21"/>
          <w:highlight w:val="none"/>
          <w:lang w:eastAsia="zh-CN"/>
        </w:rPr>
        <w:t>三、</w:t>
      </w:r>
      <w:r>
        <w:rPr>
          <w:rFonts w:hint="eastAsia" w:ascii="宋体" w:eastAsia="宋体"/>
          <w:b/>
          <w:bCs/>
          <w:sz w:val="21"/>
          <w:szCs w:val="21"/>
          <w:highlight w:val="none"/>
        </w:rPr>
        <w:t>货物总体要求</w:t>
      </w:r>
    </w:p>
    <w:p>
      <w:pPr>
        <w:spacing w:line="360" w:lineRule="auto"/>
        <w:ind w:firstLine="420" w:firstLineChars="200"/>
        <w:rPr>
          <w:rFonts w:hAnsi="宋体"/>
          <w:sz w:val="21"/>
          <w:szCs w:val="21"/>
          <w:highlight w:val="none"/>
        </w:rPr>
      </w:pPr>
      <w:r>
        <w:rPr>
          <w:rFonts w:hint="eastAsia" w:hAnsi="宋体"/>
          <w:sz w:val="21"/>
          <w:szCs w:val="21"/>
          <w:highlight w:val="none"/>
        </w:rPr>
        <w:t>1、供应商所投货物必须是原装、全新的产品，符合国家以及该产品的出厂标准。设备须由国内知名厂家提供，设备选定需由发标人审核定版</w:t>
      </w:r>
    </w:p>
    <w:p>
      <w:pPr>
        <w:spacing w:line="360" w:lineRule="auto"/>
        <w:ind w:firstLine="420" w:firstLineChars="200"/>
        <w:rPr>
          <w:rFonts w:hAnsi="宋体"/>
          <w:sz w:val="21"/>
          <w:szCs w:val="21"/>
          <w:highlight w:val="none"/>
        </w:rPr>
      </w:pPr>
      <w:r>
        <w:rPr>
          <w:rFonts w:hint="eastAsia" w:hAnsi="宋体"/>
          <w:sz w:val="21"/>
          <w:szCs w:val="21"/>
          <w:highlight w:val="none"/>
        </w:rPr>
        <w:t>2、实际供货时将根据现场情况和实际使用功能作调整，最终</w:t>
      </w:r>
      <w:r>
        <w:rPr>
          <w:rFonts w:hint="eastAsia" w:hAnsi="宋体"/>
          <w:sz w:val="21"/>
          <w:szCs w:val="21"/>
          <w:highlight w:val="none"/>
          <w:lang w:eastAsia="zh-CN"/>
        </w:rPr>
        <w:t>设备必须选定</w:t>
      </w:r>
      <w:r>
        <w:rPr>
          <w:rFonts w:hint="eastAsia" w:hAnsi="宋体"/>
          <w:sz w:val="21"/>
          <w:szCs w:val="21"/>
          <w:highlight w:val="none"/>
        </w:rPr>
        <w:t>经采购人</w:t>
      </w:r>
      <w:r>
        <w:rPr>
          <w:rFonts w:hint="eastAsia" w:hAnsi="宋体"/>
          <w:sz w:val="21"/>
          <w:szCs w:val="21"/>
          <w:highlight w:val="none"/>
          <w:lang w:eastAsia="zh-CN"/>
        </w:rPr>
        <w:t>审核确认</w:t>
      </w:r>
      <w:r>
        <w:rPr>
          <w:rFonts w:hint="eastAsia" w:hAnsi="宋体"/>
          <w:sz w:val="21"/>
          <w:szCs w:val="21"/>
          <w:highlight w:val="none"/>
        </w:rPr>
        <w:t>后，方可正式实施供货，所涉及的一切费用由成交人承担。</w:t>
      </w:r>
    </w:p>
    <w:p>
      <w:pPr>
        <w:spacing w:line="360" w:lineRule="auto"/>
        <w:ind w:firstLine="420" w:firstLineChars="200"/>
        <w:rPr>
          <w:rFonts w:hAnsi="宋体"/>
          <w:sz w:val="21"/>
          <w:szCs w:val="21"/>
          <w:highlight w:val="none"/>
        </w:rPr>
      </w:pPr>
      <w:r>
        <w:rPr>
          <w:rFonts w:hint="eastAsia" w:hAnsi="宋体"/>
          <w:sz w:val="21"/>
          <w:szCs w:val="21"/>
          <w:highlight w:val="none"/>
        </w:rPr>
        <w:t>3、供应商所投货物必须使用环保材料并符合国家环保要求及标准。</w:t>
      </w:r>
    </w:p>
    <w:p>
      <w:pPr>
        <w:spacing w:line="360" w:lineRule="auto"/>
        <w:ind w:firstLine="420" w:firstLineChars="200"/>
        <w:rPr>
          <w:rFonts w:hAnsi="宋体"/>
          <w:sz w:val="21"/>
          <w:szCs w:val="21"/>
          <w:highlight w:val="none"/>
        </w:rPr>
      </w:pPr>
      <w:r>
        <w:rPr>
          <w:rFonts w:hint="eastAsia" w:hAnsi="宋体"/>
          <w:sz w:val="21"/>
          <w:szCs w:val="21"/>
          <w:highlight w:val="none"/>
        </w:rPr>
        <w:t>4、签定合同后，成交人须无条件配合采购人到其生产加工现场就拟投入本项目有关的人员、设备、原材料采购、原料品牌、品质、型号、加工生产工艺流程、半成品，以及成品打包前质量、材质、款式等进行监督和检查；成交人须按采购人要求提交原材料采购的原始检验证、环保证、合格证等合法手续凭证，以得到采购人的监督和认可。</w:t>
      </w:r>
    </w:p>
    <w:p>
      <w:pPr>
        <w:spacing w:line="360" w:lineRule="auto"/>
        <w:ind w:firstLine="420" w:firstLineChars="200"/>
        <w:rPr>
          <w:rFonts w:hAnsi="宋体"/>
          <w:sz w:val="21"/>
          <w:szCs w:val="21"/>
          <w:highlight w:val="none"/>
        </w:rPr>
      </w:pPr>
      <w:r>
        <w:rPr>
          <w:rFonts w:hint="eastAsia" w:hAnsi="宋体"/>
          <w:sz w:val="21"/>
          <w:szCs w:val="21"/>
          <w:highlight w:val="none"/>
        </w:rPr>
        <w:t>5、供应商应保证货物在不需要增配未列出配件（特别指出的除外）的前提下货物功能、技术标准能够达到招标文件的要求，而无须再增配未列出的配件；如供应商所提供的产品需要增配配件才能达到要求的，所增配的配件须由供应商免费提供，如配电管线、电源转接电箱、控制开关等。</w:t>
      </w:r>
    </w:p>
    <w:p>
      <w:pPr>
        <w:spacing w:line="360" w:lineRule="auto"/>
        <w:ind w:firstLine="420" w:firstLineChars="200"/>
        <w:rPr>
          <w:rFonts w:hAnsi="宋体"/>
          <w:sz w:val="21"/>
          <w:szCs w:val="21"/>
          <w:highlight w:val="none"/>
        </w:rPr>
      </w:pPr>
      <w:r>
        <w:rPr>
          <w:rFonts w:hint="eastAsia" w:hAnsi="宋体"/>
          <w:sz w:val="21"/>
          <w:szCs w:val="21"/>
          <w:highlight w:val="none"/>
        </w:rPr>
        <w:t>6、货物在验收合格前的保险由供应商负责，且供应商负责其派出的现场服务人员人身意外保险。</w:t>
      </w:r>
    </w:p>
    <w:p>
      <w:pPr>
        <w:spacing w:line="360" w:lineRule="auto"/>
        <w:ind w:firstLine="420" w:firstLineChars="200"/>
        <w:rPr>
          <w:rFonts w:hAnsi="宋体"/>
          <w:sz w:val="21"/>
          <w:szCs w:val="21"/>
          <w:highlight w:val="none"/>
        </w:rPr>
      </w:pPr>
      <w:r>
        <w:rPr>
          <w:rFonts w:hint="eastAsia" w:hAnsi="宋体"/>
          <w:sz w:val="21"/>
          <w:szCs w:val="21"/>
          <w:highlight w:val="none"/>
        </w:rPr>
        <w:t>7、成交人应对采购人提供免费培训服务。</w:t>
      </w:r>
    </w:p>
    <w:p>
      <w:pPr>
        <w:pStyle w:val="75"/>
        <w:tabs>
          <w:tab w:val="left" w:pos="0"/>
        </w:tabs>
        <w:spacing w:line="360" w:lineRule="auto"/>
        <w:ind w:firstLine="422" w:firstLineChars="200"/>
        <w:outlineLvl w:val="1"/>
        <w:rPr>
          <w:rFonts w:ascii="宋体" w:eastAsia="宋体"/>
          <w:sz w:val="21"/>
          <w:szCs w:val="21"/>
          <w:highlight w:val="none"/>
        </w:rPr>
      </w:pPr>
      <w:r>
        <w:rPr>
          <w:rFonts w:hint="eastAsia" w:ascii="宋体" w:eastAsia="宋体"/>
          <w:b/>
          <w:bCs/>
          <w:sz w:val="21"/>
          <w:szCs w:val="21"/>
          <w:highlight w:val="none"/>
          <w:lang w:eastAsia="zh-CN"/>
        </w:rPr>
        <w:t>四</w:t>
      </w:r>
      <w:r>
        <w:rPr>
          <w:rFonts w:hint="eastAsia" w:ascii="宋体" w:eastAsia="宋体"/>
          <w:b/>
          <w:bCs/>
          <w:sz w:val="21"/>
          <w:szCs w:val="21"/>
          <w:highlight w:val="none"/>
        </w:rPr>
        <w:t>、包装、运输、保管及保险</w:t>
      </w:r>
    </w:p>
    <w:p>
      <w:pPr>
        <w:spacing w:line="360" w:lineRule="auto"/>
        <w:ind w:firstLine="420" w:firstLineChars="200"/>
        <w:rPr>
          <w:rFonts w:hAnsi="宋体"/>
          <w:sz w:val="21"/>
          <w:szCs w:val="21"/>
          <w:highlight w:val="none"/>
        </w:rPr>
      </w:pPr>
      <w:r>
        <w:rPr>
          <w:rFonts w:hint="eastAsia" w:hAnsi="宋体"/>
          <w:sz w:val="21"/>
          <w:szCs w:val="21"/>
          <w:highlight w:val="none"/>
        </w:rPr>
        <w:t>1、由成交人负责按国家相关标准进行货物包装且包装为制造商原厂包装，货物的包装均应有良好的防湿、防锈、防潮、防雨、防腐及防碰撞的措施。凡由于包装不良造成的损失和由此产生的费用均由成交人承担。</w:t>
      </w:r>
    </w:p>
    <w:p>
      <w:pPr>
        <w:spacing w:line="360" w:lineRule="auto"/>
        <w:ind w:firstLine="420" w:firstLineChars="200"/>
        <w:rPr>
          <w:rFonts w:hAnsi="宋体"/>
          <w:sz w:val="21"/>
          <w:szCs w:val="21"/>
          <w:highlight w:val="none"/>
        </w:rPr>
      </w:pPr>
      <w:r>
        <w:rPr>
          <w:rFonts w:hint="eastAsia" w:hAnsi="宋体"/>
          <w:sz w:val="21"/>
          <w:szCs w:val="21"/>
          <w:highlight w:val="none"/>
        </w:rPr>
        <w:t>2、成交人负责将货物材料运到现场过程中的全部运输费用，包括装卸车、货物现场的搬运。</w:t>
      </w:r>
    </w:p>
    <w:p>
      <w:pPr>
        <w:spacing w:line="360" w:lineRule="auto"/>
        <w:ind w:firstLine="420" w:firstLineChars="200"/>
        <w:rPr>
          <w:rFonts w:hAnsi="宋体"/>
          <w:sz w:val="21"/>
          <w:szCs w:val="21"/>
          <w:highlight w:val="none"/>
        </w:rPr>
      </w:pPr>
      <w:r>
        <w:rPr>
          <w:rFonts w:hint="eastAsia" w:hAnsi="宋体"/>
          <w:sz w:val="21"/>
          <w:szCs w:val="21"/>
          <w:highlight w:val="none"/>
        </w:rPr>
        <w:t>3、各种货物，提供装箱清单，按装箱清单验收货物。</w:t>
      </w:r>
    </w:p>
    <w:p>
      <w:pPr>
        <w:widowControl/>
        <w:spacing w:line="360" w:lineRule="auto"/>
        <w:ind w:firstLine="420" w:firstLineChars="200"/>
        <w:textAlignment w:val="bottom"/>
        <w:rPr>
          <w:rFonts w:hAnsi="宋体"/>
          <w:sz w:val="21"/>
          <w:szCs w:val="21"/>
          <w:highlight w:val="none"/>
        </w:rPr>
      </w:pPr>
      <w:r>
        <w:rPr>
          <w:rFonts w:hint="eastAsia" w:hAnsi="宋体"/>
          <w:sz w:val="21"/>
          <w:szCs w:val="21"/>
          <w:highlight w:val="none"/>
        </w:rPr>
        <w:t>4、货物在安装调试验收合格前的保险由成交人负责，成交人负责其派出的现场服务人员人身意外保险。</w:t>
      </w:r>
    </w:p>
    <w:p>
      <w:pPr>
        <w:widowControl/>
        <w:tabs>
          <w:tab w:val="left" w:pos="720"/>
        </w:tabs>
        <w:spacing w:line="360" w:lineRule="auto"/>
        <w:ind w:firstLine="420" w:firstLineChars="200"/>
        <w:rPr>
          <w:rFonts w:hAnsi="宋体"/>
          <w:b/>
          <w:sz w:val="21"/>
          <w:szCs w:val="21"/>
          <w:highlight w:val="none"/>
          <w:lang w:bidi="ar"/>
        </w:rPr>
      </w:pPr>
      <w:r>
        <w:rPr>
          <w:rFonts w:hint="eastAsia" w:hAnsi="宋体"/>
          <w:sz w:val="21"/>
          <w:szCs w:val="21"/>
          <w:highlight w:val="none"/>
        </w:rPr>
        <w:t>5、货物在验收合格前的保管由成交人负责。</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eastAsia="zh-CN" w:bidi="ar"/>
        </w:rPr>
        <w:t>五</w:t>
      </w:r>
      <w:r>
        <w:rPr>
          <w:rFonts w:hint="eastAsia" w:hAnsi="宋体"/>
          <w:b/>
          <w:sz w:val="21"/>
          <w:szCs w:val="21"/>
          <w:highlight w:val="none"/>
          <w:lang w:bidi="ar"/>
        </w:rPr>
        <w:t>、安装、调试</w:t>
      </w:r>
    </w:p>
    <w:p>
      <w:pPr>
        <w:spacing w:line="360" w:lineRule="auto"/>
        <w:ind w:firstLine="420" w:firstLineChars="200"/>
        <w:rPr>
          <w:rFonts w:hAnsi="宋体"/>
          <w:sz w:val="21"/>
          <w:szCs w:val="21"/>
          <w:highlight w:val="none"/>
        </w:rPr>
      </w:pPr>
      <w:r>
        <w:rPr>
          <w:rFonts w:hint="eastAsia" w:hAnsi="宋体"/>
          <w:sz w:val="21"/>
          <w:szCs w:val="21"/>
          <w:highlight w:val="none"/>
        </w:rPr>
        <w:t>1、供应商负责货物的包装、运输、安装、调试、用电、用水等工作，并承担由此产生的所有费用，成交人负责到用户指定的地点进行安装、调试。</w:t>
      </w:r>
    </w:p>
    <w:p>
      <w:pPr>
        <w:spacing w:line="360" w:lineRule="auto"/>
        <w:ind w:firstLine="420" w:firstLineChars="200"/>
        <w:rPr>
          <w:rFonts w:hAnsi="宋体"/>
          <w:sz w:val="21"/>
          <w:szCs w:val="21"/>
          <w:highlight w:val="none"/>
        </w:rPr>
      </w:pPr>
      <w:r>
        <w:rPr>
          <w:rFonts w:hint="eastAsia" w:hAnsi="宋体"/>
          <w:sz w:val="21"/>
          <w:szCs w:val="21"/>
          <w:highlight w:val="none"/>
        </w:rPr>
        <w:t>2、成交人应提交详细安装进度表。</w:t>
      </w:r>
    </w:p>
    <w:p>
      <w:pPr>
        <w:spacing w:line="360" w:lineRule="auto"/>
        <w:ind w:firstLine="420" w:firstLineChars="200"/>
        <w:rPr>
          <w:rFonts w:hAnsi="宋体"/>
          <w:sz w:val="21"/>
          <w:szCs w:val="21"/>
          <w:highlight w:val="none"/>
        </w:rPr>
      </w:pPr>
      <w:r>
        <w:rPr>
          <w:rFonts w:hint="eastAsia" w:hAnsi="宋体"/>
          <w:sz w:val="21"/>
          <w:szCs w:val="21"/>
          <w:highlight w:val="none"/>
        </w:rPr>
        <w:t>3、成交人应设安装负责人，负责安装协调管理工作。</w:t>
      </w:r>
    </w:p>
    <w:p>
      <w:pPr>
        <w:spacing w:line="360" w:lineRule="auto"/>
        <w:ind w:firstLine="420" w:firstLineChars="200"/>
        <w:rPr>
          <w:rFonts w:hAnsi="宋体"/>
          <w:sz w:val="21"/>
          <w:szCs w:val="21"/>
          <w:highlight w:val="none"/>
        </w:rPr>
      </w:pPr>
      <w:r>
        <w:rPr>
          <w:rFonts w:hint="eastAsia" w:hAnsi="宋体"/>
          <w:sz w:val="21"/>
          <w:szCs w:val="21"/>
          <w:highlight w:val="none"/>
        </w:rPr>
        <w:t>4、按国家相关施工验收规范进行，分阶段进行调试。</w:t>
      </w:r>
    </w:p>
    <w:p>
      <w:pPr>
        <w:spacing w:line="360" w:lineRule="auto"/>
        <w:ind w:firstLine="420" w:firstLineChars="200"/>
        <w:rPr>
          <w:rFonts w:hAnsi="宋体"/>
          <w:sz w:val="21"/>
          <w:szCs w:val="21"/>
          <w:highlight w:val="none"/>
        </w:rPr>
      </w:pPr>
      <w:r>
        <w:rPr>
          <w:rFonts w:hint="eastAsia" w:hAnsi="宋体"/>
          <w:sz w:val="21"/>
          <w:szCs w:val="21"/>
          <w:highlight w:val="none"/>
        </w:rPr>
        <w:t>5、货物的安装、调试等项工作由成交人负责，但必须在采购人指定人员的参与下进行。调试的原始记录须经各方签字后作为验收的文件之一。</w:t>
      </w:r>
    </w:p>
    <w:p>
      <w:pPr>
        <w:spacing w:line="360" w:lineRule="auto"/>
        <w:ind w:firstLine="420" w:firstLineChars="200"/>
        <w:rPr>
          <w:rFonts w:hAnsi="宋体"/>
          <w:sz w:val="21"/>
          <w:szCs w:val="21"/>
          <w:highlight w:val="none"/>
        </w:rPr>
      </w:pPr>
      <w:r>
        <w:rPr>
          <w:rFonts w:hint="eastAsia" w:hAnsi="宋体"/>
          <w:sz w:val="21"/>
          <w:szCs w:val="21"/>
          <w:highlight w:val="none"/>
        </w:rPr>
        <w:t>6、货物开始安装后，采购人可以抽样到市级以上专业部门进行环保检测，如果产品及格则进行验收，如果不及格采购人有权要求退回或更换。（抽样费用由成交人承担。）</w:t>
      </w:r>
    </w:p>
    <w:p>
      <w:pPr>
        <w:spacing w:line="360" w:lineRule="auto"/>
        <w:ind w:firstLine="422" w:firstLineChars="200"/>
        <w:outlineLvl w:val="1"/>
        <w:rPr>
          <w:rFonts w:hAnsi="宋体"/>
          <w:b/>
          <w:sz w:val="21"/>
          <w:szCs w:val="21"/>
          <w:highlight w:val="none"/>
          <w:lang w:bidi="ar"/>
        </w:rPr>
      </w:pPr>
      <w:r>
        <w:rPr>
          <w:rFonts w:hint="eastAsia" w:hAnsi="宋体"/>
          <w:b/>
          <w:sz w:val="21"/>
          <w:szCs w:val="21"/>
          <w:highlight w:val="none"/>
          <w:lang w:eastAsia="zh-CN" w:bidi="ar"/>
        </w:rPr>
        <w:t>六</w:t>
      </w:r>
      <w:r>
        <w:rPr>
          <w:rFonts w:hint="eastAsia" w:hAnsi="宋体"/>
          <w:b/>
          <w:sz w:val="21"/>
          <w:szCs w:val="21"/>
          <w:highlight w:val="none"/>
          <w:lang w:bidi="ar"/>
        </w:rPr>
        <w:t>、验收</w:t>
      </w:r>
    </w:p>
    <w:p>
      <w:pPr>
        <w:spacing w:line="360" w:lineRule="auto"/>
        <w:ind w:firstLine="420" w:firstLineChars="200"/>
        <w:rPr>
          <w:rFonts w:hAnsi="宋体"/>
          <w:sz w:val="21"/>
          <w:szCs w:val="21"/>
          <w:highlight w:val="none"/>
        </w:rPr>
      </w:pPr>
      <w:r>
        <w:rPr>
          <w:rFonts w:hint="eastAsia" w:hAnsi="宋体"/>
          <w:sz w:val="21"/>
          <w:szCs w:val="21"/>
          <w:highlight w:val="none"/>
        </w:rPr>
        <w:t>1、验收工作由采购人（或采购人指定的单位）和成交人共同进行。</w:t>
      </w:r>
    </w:p>
    <w:p>
      <w:pPr>
        <w:spacing w:line="360" w:lineRule="auto"/>
        <w:ind w:firstLine="420" w:firstLineChars="200"/>
        <w:rPr>
          <w:rFonts w:hAnsi="宋体"/>
          <w:sz w:val="21"/>
          <w:szCs w:val="21"/>
          <w:highlight w:val="none"/>
        </w:rPr>
      </w:pPr>
      <w:r>
        <w:rPr>
          <w:rFonts w:hint="eastAsia" w:hAnsi="宋体"/>
          <w:sz w:val="21"/>
          <w:szCs w:val="21"/>
          <w:highlight w:val="none"/>
        </w:rPr>
        <w:t>2、验收的项目指标、方法和检测仪器等原则上由成交人在验收开始前5个工作日提交采购人。采购人可以根据技术规范书和国家有关标准进行修改和补充，经双方确认后作为验收的依据。</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3、验收以采购人技术人员为主，供应商提供技术支援，对在测试中发现的技术问题双方记录，完成测试后，双方签署终验测试报告。</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4、在验收时，成交人应向采购人提供货物的出厂合格证书、出厂检测报告、厂家装箱清单、使用说明、操作手册、随机附件及其他相关资料。</w:t>
      </w:r>
    </w:p>
    <w:p>
      <w:pPr>
        <w:spacing w:line="360" w:lineRule="auto"/>
        <w:ind w:firstLine="420" w:firstLineChars="200"/>
        <w:rPr>
          <w:sz w:val="21"/>
          <w:szCs w:val="21"/>
          <w:highlight w:val="none"/>
        </w:rPr>
      </w:pPr>
      <w:r>
        <w:rPr>
          <w:rFonts w:hint="eastAsia" w:hAnsi="宋体"/>
          <w:sz w:val="21"/>
          <w:szCs w:val="21"/>
          <w:highlight w:val="none"/>
        </w:rPr>
        <w:t>5、 由采购人对货物的质量、规格、数量和运行状况及其他进行检验。如发现质量、规格、数量和运行状况等任何一项与招标要求规定不符，采购人有权拒绝验收。</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eastAsia="zh-CN" w:bidi="ar"/>
        </w:rPr>
        <w:t>七</w:t>
      </w:r>
      <w:r>
        <w:rPr>
          <w:rFonts w:hint="eastAsia" w:hAnsi="宋体"/>
          <w:b/>
          <w:sz w:val="21"/>
          <w:szCs w:val="21"/>
          <w:highlight w:val="none"/>
          <w:lang w:bidi="ar"/>
        </w:rPr>
        <w:t>、质量保证</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1、供应商所投货物必须是原装、全新的产品，并且符合国家以及该产品的出厂标准。</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2、供应商所投货物必须使用环保材料并符合国家环保要求及标准。</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3、所有货物在开箱检验时必须完好，无破损，配置与装箱单相符。数量、质量及性能不低于本需求书中提出的要求。</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4、货物外观清洁，标记编号以及盘面显示等字体清晰，明确。</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5、对于影响货物正常工作的必要组成部分，无论在技术规范中指出与否，供应商都应提供并在投标文件中明确列出。</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6、成交人在实际供货时，若被发现提供的货物未能达到招标文件和投标文件中的有关要求，将按有关法规进行处罚。</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7、成交人应保证主要材料零部件产地符合用户需求书的有关规定，所有主要材料零部件必须能提供原产地证明、出厂检验报告、完税证明。任何时候，采购人发现产地不符合要求，供应商应无偿更换或负进一步责任。</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8、货物验收合格后，免费保修期为2年，时间自货物最终验收合格并交付使用之日起计算，个别货物在采购货物清单内有具体要求保修方式的以该要求为准，人为因素损坏除外。</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9、免费保修期内非人为原因损坏、失效或已达到报废标准的零部件除无偿更换外，对更换上的零部件还应有继续</w:t>
      </w:r>
      <w:r>
        <w:rPr>
          <w:rFonts w:hint="eastAsia" w:hAnsi="宋体"/>
          <w:sz w:val="21"/>
          <w:szCs w:val="21"/>
          <w:highlight w:val="none"/>
          <w:lang w:eastAsia="zh-CN"/>
        </w:rPr>
        <w:t>两</w:t>
      </w:r>
      <w:r>
        <w:rPr>
          <w:rFonts w:hint="eastAsia" w:hAnsi="宋体"/>
          <w:sz w:val="21"/>
          <w:szCs w:val="21"/>
          <w:highlight w:val="none"/>
        </w:rPr>
        <w:t>年的免费保修期。凡因产品质量问题，在保修期内若设备经检修后又在同一部件出现相同质量故障，可无偿更换同档次新设备部件。</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eastAsia="zh-CN" w:bidi="ar"/>
        </w:rPr>
        <w:t>八</w:t>
      </w:r>
      <w:r>
        <w:rPr>
          <w:rFonts w:hint="eastAsia" w:hAnsi="宋体"/>
          <w:b/>
          <w:sz w:val="21"/>
          <w:szCs w:val="21"/>
          <w:highlight w:val="none"/>
          <w:lang w:bidi="ar"/>
        </w:rPr>
        <w:t>、售后服务</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1、免费保修期内：</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（1）故障响应时间：免费保修期内，货物出现质量问题，成交人接到质量问题通知后</w:t>
      </w:r>
      <w:r>
        <w:rPr>
          <w:rFonts w:hint="eastAsia" w:hAnsi="宋体"/>
          <w:sz w:val="21"/>
          <w:szCs w:val="21"/>
          <w:highlight w:val="none"/>
          <w:lang w:val="en-US" w:eastAsia="zh-CN"/>
        </w:rPr>
        <w:t>24</w:t>
      </w:r>
      <w:r>
        <w:rPr>
          <w:rFonts w:hint="eastAsia" w:hAnsi="宋体"/>
          <w:sz w:val="21"/>
          <w:szCs w:val="21"/>
          <w:highlight w:val="none"/>
        </w:rPr>
        <w:t>个小时内到场处理，</w:t>
      </w:r>
      <w:r>
        <w:rPr>
          <w:rFonts w:hint="eastAsia" w:hAnsi="宋体"/>
          <w:sz w:val="21"/>
          <w:szCs w:val="21"/>
          <w:highlight w:val="none"/>
          <w:lang w:val="en-US" w:eastAsia="zh-CN"/>
        </w:rPr>
        <w:t>48</w:t>
      </w:r>
      <w:r>
        <w:rPr>
          <w:rFonts w:hint="eastAsia" w:hAnsi="宋体"/>
          <w:sz w:val="21"/>
          <w:szCs w:val="21"/>
          <w:highlight w:val="none"/>
        </w:rPr>
        <w:t>个小时内修复，如无法修复须提供相应规格的货物供采购人替代使用；其他服务承诺在投标文件中说明。如成交人怠于响应或不能及时维修的，采购人有权委托第三方履行，产生的费用及损失一并由成交人承担。</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如果货物不能稳定地达到供应商承诺的全部功能，供应商应对此承担责任并承担全部相关费用以及买方的直接损失，经买方同意对货物采用如下一种或几种方式处理：①免费维修和更换损坏零部件；②换货；③降价，但不免除其它正常部分的质量保证责任。如供应商未能在合理的时间内将产品维修、更换或修正以符合规格，买方有权在合理时间内将产品退回卖方后要求返还已付的价款。</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2、免费保修期后：提供技术支持和详细的售后服务计划，供应商应按其在东莞地区同类产品的最优惠价格提供保修服务，终身保证配品配件的供应，更换配件的费用以成本计。</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3、售后服务机构：设有稳定的维修点或售后服务机构，具有提供日常维护和技术支持的能力，能提供正常的技术、备品备件、服务等；须提供服务机构名称、人员情况、办公地址、联系电话。</w:t>
      </w:r>
    </w:p>
    <w:p>
      <w:pPr>
        <w:spacing w:line="360" w:lineRule="auto"/>
        <w:ind w:firstLine="420" w:firstLineChars="200"/>
        <w:rPr>
          <w:rFonts w:hAnsi="宋体"/>
          <w:sz w:val="21"/>
          <w:szCs w:val="21"/>
          <w:highlight w:val="none"/>
        </w:rPr>
      </w:pPr>
      <w:r>
        <w:rPr>
          <w:rFonts w:hint="eastAsia" w:hAnsi="宋体"/>
          <w:sz w:val="21"/>
          <w:szCs w:val="21"/>
          <w:highlight w:val="none"/>
        </w:rPr>
        <w:t>4、培训：负责免费对用户人员进行培训，提供详细的培训计划，使其掌握操作使用等基本技能。</w:t>
      </w:r>
    </w:p>
    <w:p>
      <w:pPr>
        <w:pStyle w:val="5"/>
        <w:spacing w:line="360" w:lineRule="auto"/>
        <w:ind w:firstLine="422" w:firstLineChars="200"/>
        <w:rPr>
          <w:sz w:val="21"/>
          <w:szCs w:val="21"/>
          <w:highlight w:val="none"/>
        </w:rPr>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pPr>
    </w:p>
    <w:p>
      <w:pPr>
        <w:pStyle w:val="5"/>
        <w:spacing w:line="360" w:lineRule="auto"/>
        <w:rPr>
          <w:rFonts w:hint="eastAsia"/>
          <w:highlight w:val="none"/>
        </w:rPr>
      </w:pPr>
      <w:r>
        <w:rPr>
          <w:rFonts w:hint="eastAsia"/>
          <w:highlight w:val="none"/>
          <w:lang w:eastAsia="zh-CN"/>
        </w:rPr>
        <w:t>九</w:t>
      </w:r>
      <w:r>
        <w:rPr>
          <w:rFonts w:hint="eastAsia"/>
          <w:highlight w:val="none"/>
        </w:rPr>
        <w:t>、</w:t>
      </w:r>
      <w:r>
        <w:rPr>
          <w:rFonts w:hint="eastAsia"/>
          <w:highlight w:val="none"/>
          <w:lang w:eastAsia="zh-CN"/>
        </w:rPr>
        <w:t>设备</w:t>
      </w:r>
      <w:r>
        <w:rPr>
          <w:rFonts w:hint="eastAsia"/>
          <w:highlight w:val="none"/>
        </w:rPr>
        <w:t>清单</w:t>
      </w:r>
    </w:p>
    <w:p>
      <w:pPr>
        <w:rPr>
          <w:rFonts w:hint="eastAsia" w:eastAsia="宋体"/>
          <w:highlight w:val="none"/>
          <w:lang w:eastAsia="zh-CN"/>
        </w:rPr>
      </w:pPr>
      <w:r>
        <w:rPr>
          <w:rFonts w:hint="eastAsia"/>
          <w:highlight w:val="none"/>
          <w:lang w:eastAsia="zh-CN"/>
        </w:rPr>
        <w:t>（一）设备清单</w:t>
      </w:r>
    </w:p>
    <w:p>
      <w:pPr>
        <w:spacing w:line="440" w:lineRule="exact"/>
        <w:ind w:firstLine="422" w:firstLineChars="200"/>
        <w:jc w:val="left"/>
        <w:rPr>
          <w:rFonts w:ascii="宋体" w:hAnsi="宋体" w:cs="仿宋"/>
          <w:b/>
          <w:bCs/>
          <w:sz w:val="21"/>
          <w:szCs w:val="21"/>
          <w:highlight w:val="none"/>
        </w:rPr>
      </w:pPr>
      <w:r>
        <w:rPr>
          <w:rFonts w:hint="eastAsia" w:ascii="宋体" w:hAnsi="宋体" w:cs="仿宋"/>
          <w:b/>
          <w:bCs/>
          <w:sz w:val="21"/>
          <w:szCs w:val="21"/>
          <w:highlight w:val="none"/>
        </w:rPr>
        <w:t>注：采购清单中 “</w:t>
      </w:r>
      <w:r>
        <w:rPr>
          <w:rFonts w:hint="eastAsia" w:ascii="宋体" w:hAnsi="宋体" w:cs="仿宋"/>
          <w:color w:val="000000" w:themeColor="text1"/>
          <w:sz w:val="21"/>
          <w:szCs w:val="21"/>
          <w:highlight w:val="none"/>
          <w14:textFill>
            <w14:solidFill>
              <w14:schemeClr w14:val="tx1"/>
            </w14:solidFill>
          </w14:textFill>
        </w:rPr>
        <w:t>●</w:t>
      </w:r>
      <w:r>
        <w:rPr>
          <w:rFonts w:hint="eastAsia" w:ascii="宋体" w:hAnsi="宋体" w:cs="仿宋"/>
          <w:b/>
          <w:bCs/>
          <w:sz w:val="21"/>
          <w:szCs w:val="21"/>
          <w:highlight w:val="none"/>
        </w:rPr>
        <w:t>”为采购的主要标的（核心产品），在《采购清单》中所提供的货物参数要求，其目的仅仅是为了使投标人更加准确地了解招标要求，不构成对投标单位所报品牌的任何约束；投标人所投货物参数应不低于《采购清单》中的要求。打“▲”号条款为重要技术参数(如有)，若有部分“▲”条款未响应或不满足，将根据评审要求影响其得分，但不作为无效投标(响应)条款。</w:t>
      </w:r>
    </w:p>
    <w:tbl>
      <w:tblPr>
        <w:tblStyle w:val="5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
        <w:gridCol w:w="2288"/>
        <w:gridCol w:w="5468"/>
        <w:gridCol w:w="471"/>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1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7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单位</w:t>
            </w:r>
          </w:p>
        </w:tc>
        <w:tc>
          <w:tcPr>
            <w:tcW w:w="52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6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7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2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一进一出、共进出道闸</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1#一进一出道闸</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1.名称:工业级1光8电光纤收发器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2.≥8个千兆电口，≥1个千兆SFP口，RJ45端口: 支持10/100/1000M,全/半双工, MDI/MDI-X自适应功能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3.交换容量: 48Gbps, 转发速率：22Mpps；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4.标准协议: IEEE802.3i,IEEE802.3u,IEEE802.3ab,IEEE802.3z；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5.光纤端口: 1000Base-GX端口（SC/FC/ST/SFP可选）；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6.传输距离: 双绞线100m, 多模光纤500m~2km, 单模光纤20km~120km;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7.机械结构: IP40,防雷击6KV,防浪涌,全铝机身, 无风扇设计, 导轨/壁挂式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8.电源参数: 6P工业端子, 内置AC/DC110V~265V电源, 防反接/过流保护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千兆光纤模块</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1.名称:千兆光纤模块(20KM工业级)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2、规格:1.25G, T3/R5; 单模/单纤/LC/20km"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4口光纤盒</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1.名称:4口光纤盒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LC/SC光纤跳线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1.名称:LC/SC光纤跳线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立杆防水箱</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1.名称:立杆防水箱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2.型号:400*300*200mm表面防腐处理，镀锌保护层厚度为≧90ｕｍ，表面采用优质无尘汽车烤漆，厚度：1.0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3.规格:含漏电开关、2P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车牌识别道闸一体机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1.名称:车牌识别道闸一体机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2.设备集成车牌识别摄像机、显示屏、补光灯、开关闸、机芯、机箱、控制系统等组成；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3.单车牌识别时间：≤30ms；识别率：≥99%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4.配备≥10寸LCD显示屏、LCD亮度：≥1000cd/m2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5.内置TTS语音模块，可通过软件进行语音编辑，可远程操控，数据实时同步，远程运维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6.内置带光感补光灯，增强夜间识别效果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7.含遥控器*2，遥控距离≥30m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8.可配置内置车辆检测器，可以实现视频和地感双重触发识别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9.闸杆：1.5-6s可调，通讯方式：TCP/IP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道闸直杆</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1.名称:道闸直杆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2.闸杆长度：3至6米（以现场为准，最长不超过6M）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1.名称:辅助摄像机及立杆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2.摄像机分辨率：≥300万像、图像传感器 1/2.8"CMOS，彩色灰度等级：≥11级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3.车牌识别准确率 ≥99.9%、车牌识别识读响应时间≤1s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4.适应车速范围 0～40km/h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5.最低照度 0.02Lux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6.输出视频格式 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7.通讯接口 100M自适应网口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 IP65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数字式车辆检测器</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1.名称:数字车辆检测器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2.控制自动关闸、防砸车两重功效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3.输入信号：1/2路地感信号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4.输出方式：继电器输出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5.反应时间：≤100ms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6.灵敏度：高中低三级可调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7.线圈电感：80~150uH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出入口可视自助终端</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1.名称:出入口可视自助终端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2.LCD显示屏≥10寸，LCD亮度：≥1000cd/m2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3.内置可视对讲分机，实现无人值守时车主和管理人员通话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4.内置TTS语音模块，可通过软件进行语音编辑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5.LCD显示屏显示支付二维码或出入场二维码，方便用户移动支付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6.通讯方式：TCP/IP ，防护等级：IP54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7.规格:详见技术参数</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减速带</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1.名称:减速带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2.参数:1000*350*50MM，黑黄相间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地感线圈</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1.名称:地感线圈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2.规格:FVN1.5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安全岛2500*600*250mm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2.构件规格:2500*600*250mm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配管PVC25</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3.规格:RVVP6*0.5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超六类网线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1.名称:超六类网线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3.敷设方式:暗敷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1.名称:凿(压)槽及修补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2#一进一出道闸</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1.名称:工业级1光8电光纤收发器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2.≥8个千兆电口，≥1个千兆SFP口，RJ45端口: 支持10/100/1000M,全/半双工, MDI/MDI-X自适应功能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3.交换容量: 48Gbps, 转发速率：22Mpps；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4.标准协议: IEEE802.3i,IEEE802.3u,IEEE802.3ab,IEEE802.3z；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5.光纤端口: 1000Base-GX端口（SC/FC/ST/SFP可选）；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6.传输距离: 双绞线100m, 多模光纤500m~2km, 单模光纤20km~120km;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7.机械结构: IP40,防雷击6KV,防浪涌,全铝机身, 无风扇设计, 导轨/壁挂式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8.电源参数: 6P工业端子, 内置AC/DC110V~265V电源, 防反接/过流保护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千兆光纤模块</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1.名称:千兆光纤模块(20KM工业级)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2、规格:1.25G, T3/R5; 单模/单纤/LC/20km"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4口光纤盒</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1.名称:4口光纤盒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LC/SC光纤跳线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1.名称:LC/SC光纤跳线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立杆防水箱</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1.名称:立杆防水箱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2.型号:400*300*200mm表面防腐处理，镀锌保护层厚度为≧90ｕｍ，表面采用优质无尘汽车烤漆，厚度：1.0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3.规格:含漏电开关、2P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车牌识别道闸一体机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1.名称:车牌识别道闸一体机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2.设备集成车牌识别摄像机、显示屏、补光灯、开关闸、机芯、机箱、控制系统等组成；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3.单车牌识别时间：≤30ms；识别率：≥99%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4.配备≥10寸LCD显示屏、LCD亮度：≥1000cd/m2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5.内置TTS语音模块，可通过软件进行语音编辑，可远程操控，数据实时同步，远程运维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6.内置带光感补光灯，增强夜间识别效果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7.含遥控器*2，遥控距离≥30m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8.可配置内置车辆检测器，可以实现视频和地感双重触发识别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9.闸杆：1.5-6s可调，通讯方式：TCP/IP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道闸直杆</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1.名称:道闸直杆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2.闸杆长度：3至6米（以现场为准，最长不超过6M）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1.名称:辅助摄像机及立杆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2.摄像机分辨率：≥300万像、图像传感器 1/2.8"CMOS，彩色灰度等级：≥11级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3.车牌识别准确率 ≥99.9%、车牌识别识读响应时间≤1s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4.适应车速范围 0～40km/h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5.最低照度 0.02Lux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6.输出视频格式 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7.通讯接口 100M自适应网口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 IP65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数字式车辆检测器</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1.名称:数字车辆检测器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2.控制自动关闸、防砸车两重功效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3.输入信号：1/2路地感信号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4.输出方式：继电器输出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5.反应时间：≤100ms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6.灵敏度：高中低三级可调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7.线圈电感：80~150uH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出入口可视自助终端</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1.名称:出入口可视自助终端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2.LCD显示屏≥10寸，LCD亮度：≥1000cd/m2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3.内置可视对讲分机，实现无人值守时车主和管理人员通话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4.内置TTS语音模块，可通过软件进行语音编辑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5.LCD显示屏显示支付二维码或出入场二维码，方便用户移动支付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6.通讯方式：TCP/IP ，防护等级：IP54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7.规格:详见技术参数</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减速带</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1.名称:减速带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2.参数:1000*350*50MM，黑黄相间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地感线圈</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1.名称:地感线圈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2.规格:FVN1.5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安全岛2500*600*250mm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2.构件规格:2500*600*250mm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配管PVC25</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3.规格:RVVP6*0.5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超六类网线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1.名称:超六类网线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3.敷设方式:暗敷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1.名称:凿(压)槽及修补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3#一进一出道闸</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1.名称:工业级1光8电光纤收发器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2.≥8个千兆电口，≥1个千兆SFP口，RJ45端口: 支持10/100/1000M,全/半双工, MDI/MDI-X自适应功能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3.交换容量: 48Gbps, 转发速率：22Mpps；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4.标准协议: IEEE802.3i,IEEE802.3u,IEEE802.3ab,IEEE802.3z；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5.光纤端口: 1000Base-GX端口（SC/FC/ST/SFP可选）；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6.传输距离: 双绞线100m, 多模光纤500m~2km, 单模光纤20km~120km;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7.机械结构: IP40,防雷击6KV,防浪涌,全铝机身, 无风扇设计, 导轨/壁挂式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8.电源参数: 6P工业端子, 内置AC/DC110V~265V电源, 防反接/过流保护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千兆光纤模块</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1.名称:千兆光纤模块(20KM工业级)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2、规格:1.25G, T3/R5; 单模/单纤/LC/20km"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4口光纤盒</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1.名称:4口光纤盒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LC/SC光纤跳线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1.名称:LC/SC光纤跳线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立杆防水箱</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1.名称:立杆防水箱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2.型号:400*300*200mm表面防腐处理，镀锌保护层厚度为≧90ｕｍ，表面采用优质无尘汽车烤漆，厚度：1.0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3.规格:含漏电开关、2P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车牌识别道闸一体机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1.名称:车牌识别道闸一体机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2.设备集成车牌识别摄像机、显示屏、补光灯、开关闸、机芯、机箱、控制系统等组成；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3.单车牌识别时间：≤30ms；识别率：≥99%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4.配备≥10寸LCD显示屏、LCD亮度：≥1000cd/m2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5.内置TTS语音模块，可通过软件进行语音编辑，可远程操控，数据实时同步，远程运维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6.内置带光感补光灯，增强夜间识别效果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7.含遥控器*2，遥控距离≥30m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8.可配置内置车辆检测器，可以实现视频和地感双重触发识别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9.闸杆：1.5-6s可调，通讯方式：TCP/IP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道闸直杆</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1.名称:道闸直杆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2.闸杆长度：3至6米（以现场为准，最长不超过6M）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1.名称:辅助摄像机及立杆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2.摄像机分辨率：≥300万像、图像传感器 1/2.8"CMOS，彩色灰度等级：≥11级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3.车牌识别准确率 ≥99.9%、车牌识别识读响应时间≤1s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4.适应车速范围 0～40km/h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5.最低照度 0.02Lux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6.输出视频格式 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7.通讯接口 100M自适应网口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 IP65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数字式车辆检测器</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1.名称:数字车辆检测器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2.控制自动关闸、防砸车两重功效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3.输入信号：1/2路地感信号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4.输出方式：继电器输出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5.反应时间：≤100ms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6.灵敏度：高中低三级可调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7.线圈电感：80~150uH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出入口可视自助终端</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1.名称:出入口可视自助终端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2.LCD显示屏≥10寸，LCD亮度：≥1000cd/m2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3.内置可视对讲分机，实现无人值守时车主和管理人员通话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4.内置TTS语音模块，可通过软件进行语音编辑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5.LCD显示屏显示支付二维码或出入场二维码，方便用户移动支付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6.通讯方式：TCP/IP ，防护等级：IP54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7.规格:详见技术参数</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减速带</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1.名称:减速带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2.参数:1000*350*50MM，黑黄相间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地感线圈</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1.名称:地感线圈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2.规格:FVN1.5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安全岛2500*600*250mm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2.构件规格:2500*600*250mm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配管PVC25</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3.规格:RVVP6*0.5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超六类网线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1.名称:超六类网线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3.敷设方式:暗敷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1.名称:凿(压)槽及修补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4#一进一出道闸</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1.名称:工业级1光8电光纤收发器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2.≥8个千兆电口，≥1个千兆SFP口，RJ45端口: 支持10/100/1000M,全/半双工, MDI/MDI-X自适应功能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3.交换容量: 48Gbps, 转发速率：22Mpps；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4.标准协议: IEEE802.3i,IEEE802.3u,IEEE802.3ab,IEEE802.3z；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5.光纤端口: 1000Base-GX端口（SC/FC/ST/SFP可选）；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6.传输距离: 双绞线100m, 多模光纤500m~2km, 单模光纤20km~120km;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7.机械结构: IP40,防雷击6KV,防浪涌,全铝机身, 无风扇设计, 导轨/壁挂式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8.电源参数: 6P工业端子, 内置AC/DC110V~265V电源, 防反接/过流保护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千兆光纤模块</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1.名称:千兆光纤模块(20KM工业级)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2、规格:1.25G, T3/R5; 单模/单纤/LC/20km"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4口光纤盒</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1.名称:4口光纤盒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LC/SC光纤跳线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1.名称:LC/SC光纤跳线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立杆防水箱</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1.名称:立杆防水箱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2.型号:400*300*200mm表面防腐处理，镀锌保护层厚度为≧90ｕｍ，表面采用优质无尘汽车烤漆，厚度：1.0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3.规格:含漏电开关、2P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车牌识别道闸一体机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1.名称:车牌识别道闸一体机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2.设备集成车牌识别摄像机、显示屏、补光灯、开关闸、机芯、机箱、控制系统等组成；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3.单车牌识别时间：≤30ms；识别率：≥99%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4.配备≥10寸LCD显示屏、LCD亮度：≥1000cd/m2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5.内置TTS语音模块，可通过软件进行语音编辑，可远程操控，数据实时同步，远程运维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6.内置带光感补光灯，增强夜间识别效果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7.含遥控器*2，遥控距离≥30m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8.可配置内置车辆检测器，可以实现视频和地感双重触发识别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9.闸杆：1.5-6s可调，通讯方式：TCP/IP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道闸直杆</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1.名称:道闸直杆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2.闸杆长度：3至6米（以现场为准，最长不超过6M）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1.名称:辅助摄像机及立杆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2.摄像机分辨率：≥300万像、图像传感器 1/2.8"CMOS，彩色灰度等级：≥11级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3.车牌识别准确率 ≥99.9%、车牌识别识读响应时间≤1s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4.适应车速范围 0～40km/h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5.最低照度 0.02Lux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6.输出视频格式 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7.通讯接口 100M自适应网口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 IP65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数字式车辆检测器</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1.名称:数字车辆检测器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2.控制自动关闸、防砸车两重功效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3.输入信号：1/2路地感信号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4.输出方式：继电器输出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5.反应时间：≤100ms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6.灵敏度：高中低三级可调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7.线圈电感：80~150uH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出入口可视自助终端</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1.名称:出入口可视自助终端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2.LCD显示屏≥10寸，LCD亮度：≥1000cd/m2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3.内置可视对讲分机，实现无人值守时车主和管理人员通话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4.内置TTS语音模块，可通过软件进行语音编辑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5.LCD显示屏显示支付二维码或出入场二维码，方便用户移动支付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6.通讯方式：TCP/IP ，防护等级：IP54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7.规格:详见技术参数</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减速带</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1.名称:减速带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2.参数:1000*350*50MM，黑黄相间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地感线圈</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1.名称:地感线圈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2.规格:FVN1.5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安全岛2500*600*250mm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2.构件规格:2500*600*250mm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配管PVC25</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3.规格:RVVP6*0.5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超六类网线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1.名称:超六类网线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3.敷设方式:暗敷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1.名称:凿(压)槽及修补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5#一进一出道闸</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1.名称:工业级1光8电光纤收发器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2.≥8个千兆电口，≥1个千兆SFP口，RJ45端口: 支持10/100/1000M,全/半双工, MDI/MDI-X自适应功能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3.交换容量: 48Gbps, 转发速率：22Mpps；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4.标准协议: IEEE802.3i,IEEE802.3u,IEEE802.3ab,IEEE802.3z；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5.光纤端口: 1000Base-GX端口（SC/FC/ST/SFP可选）；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6.传输距离: 双绞线100m, 多模光纤500m~2km, 单模光纤20km~120km;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7.机械结构: IP40,防雷击6KV,防浪涌,全铝机身, 无风扇设计, 导轨/壁挂式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8.电源参数: 6P工业端子, 内置AC/DC110V~265V电源, 防反接/过流保护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千兆光纤模块</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1.名称:千兆光纤模块(20KM工业级)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2、规格:1.25G, T3/R5; 单模/单纤/LC/20km"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4口光纤盒</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1.名称:4口光纤盒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LC/SC光纤跳线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1.名称:LC/SC光纤跳线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立杆防水箱</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1.名称:立杆防水箱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2.型号:400*300*200mm表面防腐处理，镀锌保护层厚度为≧90ｕｍ，表面采用优质无尘汽车烤漆，厚度：1.0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3.规格:含漏电开关、2P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车牌识别道闸一体机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1.名称:车牌识别道闸一体机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2.设备集成车牌识别摄像机、显示屏、补光灯、开关闸、机芯、机箱、控制系统等组成；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3.单车牌识别时间：≤30ms；识别率：≥99%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4.配备≥10寸LCD显示屏、LCD亮度：≥1000cd/m2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5.内置TTS语音模块，可通过软件进行语音编辑，可远程操控，数据实时同步，远程运维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6.内置带光感补光灯，增强夜间识别效果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7.含遥控器*2，遥控距离≥30m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8.可配置内置车辆检测器，可以实现视频和地感双重触发识别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9.闸杆：1.5-6s可调，通讯方式：TCP/IP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道闸直杆</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1.名称:道闸直杆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2.闸杆长度：3至6米（以现场为准，最长不超过6M）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1.名称:辅助摄像机及立杆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2.摄像机分辨率：≥300万像、图像传感器 1/2.8"CMOS，彩色灰度等级：≥11级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3.车牌识别准确率 ≥99.9%、车牌识别识读响应时间≤1s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4.适应车速范围 0～40km/h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5.最低照度 0.02Lux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6.输出视频格式 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7.通讯接口 100M自适应网口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 IP65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数字式车辆检测器</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1.名称:数字车辆检测器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2.控制自动关闸、防砸车两重功效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3.输入信号：1/2路地感信号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4.输出方式：继电器输出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5.反应时间：≤100ms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6.灵敏度：高中低三级可调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7.线圈电感：80~150uH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出入口可视自助终端</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1.名称:出入口可视自助终端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2.LCD显示屏≥10寸，LCD亮度：≥1000cd/m2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3.内置可视对讲分机，实现无人值守时车主和管理人员通话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4.内置TTS语音模块，可通过软件进行语音编辑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5.LCD显示屏显示支付二维码或出入场二维码，方便用户移动支付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6.通讯方式：TCP/IP ，防护等级：IP54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7.规格:详见技术参数</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减速带</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1.名称:减速带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2.参数:1000*350*50MM，黑黄相间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地感线圈</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1.名称:地感线圈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2.规格:FVN1.5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安全岛2500*600*250mm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2.构件规格:2500*600*250mm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配管PVC25</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3.规格:RVVP6*0.5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超六类网线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1.名称:超六类网线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3.敷设方式:暗敷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1.名称:凿(压)槽及修补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6#共进共出道闸布线图</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1.名称:工业级1光8电光纤收发器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2.≥8个千兆电口，≥1个千兆SFP口，RJ45端口: 支持10/100/1000M,全/半双工, MDI/MDI-X自适应功能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3.交换容量: 48Gbps, 转发速率：22Mpps；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4.标准协议: IEEE802.3i,IEEE802.3u,IEEE802.3ab,IEEE802.3z；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5.光纤端口: 1000Base-GX端口（SC/FC/ST/SFP可选）；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6.传输距离: 双绞线100m, 多模光纤500m~2km, 单模光纤20km~120km;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7.机械结构: IP40,防雷击6KV,防浪涌,全铝机身, 无风扇设计, 导轨/壁挂式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8.电源参数: 6P工业端子, 内置AC/DC110V~265V电源, 防反接/过流保护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千兆光纤模块</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1.名称:千兆光纤模块(20KM工业级)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2、规格:1.25G, T3/R5; 单模/单纤/LC/20km"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4口光纤盒</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1.名称:4口光纤盒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LC/SC光纤跳线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1.名称:LC/SC光纤跳线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立杆防水箱</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1.名称:立杆防水箱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2.型号:400*300*200mm表面防腐处理，镀锌保护层厚度为≧90ｕｍ，表面采用优质无尘汽车烤漆，厚度：1.0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3.规格:含漏电开关、2P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车牌识别道闸一体机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1.名称:车牌识别道闸一体机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2.设备集成车牌识别摄像机、显示屏、补光灯、开关闸、机芯、机箱、控制系统等组成；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3.单车牌识别时间：≤30ms；识别率：≥99%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4.配备≥10寸LCD显示屏、LCD亮度：≥1000cd/m2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5.内置TTS语音模块，可通过软件进行语音编辑，可远程操控，数据实时同步，远程运维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6.内置带光感补光灯，增强夜间识别效果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7.含遥控器*2，遥控距离≥30m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8.可配置内置车辆检测器，可以实现视频和地感双重触发识别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9.闸杆：1.5-6s可调，通讯方式：TCP/IP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道闸直杆</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1.名称:道闸直杆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2.闸杆长度：3至6米（以现场为准，最长不超过6M）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1.名称:辅助摄像机及立杆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2.摄像机分辨率：≥300万像、图像传感器 1/2.8"CMOS，彩色灰度等级：≥11级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3.车牌识别准确率 ≥99.9%、车牌识别识读响应时间≤1s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4.适应车速范围 0～40km/h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5.最低照度 0.02Lux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6.输出视频格式 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7.通讯接口 100M自适应网口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 IP65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数字式车辆检测器</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1.名称:数字车辆检测器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2.控制自动关闸、防砸车两重功效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3.输入信号：1/2路地感信号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4.输出方式：继电器输出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5.反应时间：≤100ms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6.灵敏度：高中低三级可调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7.线圈电感：80~150uH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出入口可视自助终端</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1.名称:出入口可视自助终端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2.LCD显示屏≥10寸，LCD亮度：≥1000cd/m2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3.内置可视对讲分机，实现无人值守时车主和管理人员通话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4.内置TTS语音模块，可通过软件进行语音编辑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5.LCD显示屏显示支付二维码或出入场二维码，方便用户移动支付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6.通讯方式：TCP/IP ，防护等级：IP54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7.规格:详见技术参数</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减速带</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1.名称:减速带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2.参数:1000*350*50MM，黑黄相间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地感线圈</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1.名称:地感线圈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2.规格:FVN1.5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安全岛600*300*250mm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2.构件规格:600*300*250mm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安全岛3000*600*250mm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2.构件规格:3000*600*250mm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配管PVC25</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3.规格:RVVP6*0.5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超六类网线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1.名称:超六类网线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3.敷设方式:暗敷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1.名称:凿(压)槽及修补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7#共进共出道闸布线图</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1.名称:工业级1光8电光纤收发器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2.≥8个千兆电口，≥1个千兆SFP口，RJ45端口: 支持10/100/1000M,全/半双工, MDI/MDI-X自适应功能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3.交换容量: 48Gbps, 转发速率：22Mpps；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4.标准协议: IEEE802.3i,IEEE802.3u,IEEE802.3ab,IEEE802.3z；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5.光纤端口: 1000Base-GX端口（SC/FC/ST/SFP可选）；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6.传输距离: 双绞线100m, 多模光纤500m~2km, 单模光纤20km~120km;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7.机械结构: IP40,防雷击6KV,防浪涌,全铝机身, 无风扇设计, 导轨/壁挂式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8.电源参数: 6P工业端子, 内置AC/DC110V~265V电源, 防反接/过流保护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千兆光纤模块</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1.名称:千兆光纤模块(20KM工业级)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2、规格:1.25G, T3/R5; 单模/单纤/LC/20km"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4口光纤盒</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1.名称:4口光纤盒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LC/SC光纤跳线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1.名称:LC/SC光纤跳线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立杆防水箱</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1.名称:立杆防水箱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2.型号:400*300*200mm表面防腐处理，镀锌保护层厚度为≧90ｕｍ，表面采用优质无尘汽车烤漆，厚度：1.0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3.规格:含漏电开关、2P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车牌识别道闸一体机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1.名称:车牌识别道闸一体机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2.设备集成车牌识别摄像机、显示屏、补光灯、开关闸、机芯、机箱、控制系统等组成；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3.单车牌识别时间：≤30ms；识别率：≥99%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4.配备≥10寸LCD显示屏、LCD亮度：≥1000cd/m2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5.内置TTS语音模块，可通过软件进行语音编辑，可远程操控，数据实时同步，远程运维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6.内置带光感补光灯，增强夜间识别效果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7.含遥控器*2，遥控距离≥30m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8.可配置内置车辆检测器，可以实现视频和地感双重触发识别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9.闸杆：1.5-6s可调，通讯方式：TCP/IP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道闸直杆</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1.名称:道闸直杆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2.闸杆长度：3至6米（以现场为准，最长不超过6M）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1.名称:辅助摄像机及立杆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2.摄像机分辨率：≥300万像、图像传感器 1/2.8"CMOS，彩色灰度等级：≥11级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3.车牌识别准确率 ≥99.9%、车牌识别识读响应时间≤1s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4.适应车速范围 0～40km/h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5.最低照度 0.02Lux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6.输出视频格式 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7.通讯接口 100M自适应网口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 IP65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数字式车辆检测器</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1.名称:数字车辆检测器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2.控制自动关闸、防砸车两重功效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3.输入信号：1/2路地感信号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4.输出方式：继电器输出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5.反应时间：≤100ms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6.灵敏度：高中低三级可调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7.线圈电感：80~150uH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出入口可视自助终端</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1.名称:出入口可视自助终端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2.LCD显示屏≥10寸，LCD亮度：≥1000cd/m2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3.内置可视对讲分机，实现无人值守时车主和管理人员通话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4.内置TTS语音模块，可通过软件进行语音编辑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5.LCD显示屏显示支付二维码或出入场二维码，方便用户移动支付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6.通讯方式：TCP/IP ，防护等级：IP54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7.规格:详见技术参数</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减速带</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1.名称:减速带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2.参数:1000*350*50MM，黑黄相间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地感线圈</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1.名称:地感线圈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2.规格:FVN1.5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安全岛600*300*250mm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2.构件规格:600*300*250mm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安全岛3000*600*250mm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2.构件规格:3000*600*250mm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配管PVC25</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3.规格:RVVP6*0.5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超六类网线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1.名称:超六类网线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3.敷设方式:暗敷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1.名称:凿(压)槽及修补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8#一进一出道闸</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1.名称:工业级1光8电光纤收发器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2.≥8个千兆电口，≥1个千兆SFP口，RJ45端口: 支持10/100/1000M,全/半双工, MDI/MDI-X自适应功能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3.交换容量: 48Gbps, 转发速率：22Mpps；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4.标准协议: IEEE802.3i,IEEE802.3u,IEEE802.3ab,IEEE802.3z；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5.光纤端口: 1000Base-GX端口（SC/FC/ST/SFP可选）；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6.传输距离: 双绞线100m, 多模光纤500m~2km, 单模光纤20km~120km;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7.机械结构: IP40,防雷击6KV,防浪涌,全铝机身, 无风扇设计, 导轨/壁挂式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8.电源参数: 6P工业端子, 内置AC/DC110V~265V电源, 防反接/过流保护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千兆光纤模块</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1.名称:千兆光纤模块(20KM工业级)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2、规格:1.25G, T3/R5; 单模/单纤/LC/20km"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4口光纤盒</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1.名称:4口光纤盒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LC/SC光纤跳线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1.名称:LC/SC光纤跳线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立杆防水箱</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1.名称:立杆防水箱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2.型号:400*300*200mm表面防腐处理，镀锌保护层厚度为≧90ｕｍ，表面采用优质无尘汽车烤漆，厚度：1.0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3.规格:含漏电开关、2P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车牌识别道闸一体机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1.名称:车牌识别道闸一体机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2.设备集成车牌识别摄像机、显示屏、补光灯、开关闸、机芯、机箱、控制系统等组成；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3.单车牌识别时间：≤30ms；识别率：≥99%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4.配备≥10寸LCD显示屏、LCD亮度：≥1000cd/m2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5.内置TTS语音模块，可通过软件进行语音编辑，可远程操控，数据实时同步，远程运维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6.内置带光感补光灯，增强夜间识别效果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7.含遥控器*2，遥控距离≥30m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8.可配置内置车辆检测器，可以实现视频和地感双重触发识别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9.闸杆：1.5-6s可调，通讯方式：TCP/IP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道闸直杆</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1.名称:道闸直杆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2.闸杆长度：3至6米（以现场为准，最长不超过6M）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1.名称:辅助摄像机及立杆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2.摄像机分辨率：≥300万像、图像传感器 1/2.8"CMOS，彩色灰度等级：≥11级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3.车牌识别准确率 ≥99.9%、车牌识别识读响应时间≤1s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4.适应车速范围 0～40km/h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5.最低照度 0.02Lux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6.输出视频格式 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7.通讯接口 100M自适应网口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 IP65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数字式车辆检测器</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1.名称:数字车辆检测器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2.控制自动关闸、防砸车两重功效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3.输入信号：1/2路地感信号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4.输出方式：继电器输出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5.反应时间：≤100ms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6.灵敏度：高中低三级可调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7.线圈电感：80~150uH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出入口可视自助终端</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1.名称:出入口可视自助终端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2.LCD显示屏≥10寸，LCD亮度：≥1000cd/m2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3.内置可视对讲分机，实现无人值守时车主和管理人员通话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4.内置TTS语音模块，可通过软件进行语音编辑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5.LCD显示屏显示支付二维码或出入场二维码，方便用户移动支付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6.通讯方式：TCP/IP ，防护等级：IP54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7.规格:详见技术参数</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减速带</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1.名称:减速带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2.参数:1000*350*50MM，黑黄相间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地感线圈</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1.名称:地感线圈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2.规格:FVN1.5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安全岛2500*600*250mm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2.构件规格:2500*600*250mm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配管PVC25</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3.规格:RVVP6*0.5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超六类网线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1.名称:超六类网线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3.敷设方式:暗敷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1.名称:凿(压)槽及修补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9#道闸一进一出道闸（移位）</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地感线圈</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1.名称:地感线圈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2.规格:FVN1.5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安全岛2000*600*250mm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2.构件规格:2000*600*250mm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配管PVC25</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3.规格:RVVP6*0.5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超六类网线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1.名称:超六类网线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3.敷设方式:暗敷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拆除安全岛600*300*250</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1.名称:拆除安全岛600*300*250mm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2.弃土运距:30km</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拆除安全岛600*300*250</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1.名称:拆除安全岛2000*300*250mm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2.弃土运距:30km</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1.名称:凿(压)槽及修补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车牌识别一体机（拆除）</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1.名称:车牌识别一体机（拆除）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车牌识别一体机（安装）</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1.名称:车牌识别一体机（安装）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设备立杆防水箱（拆除）</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1.名称:设备立杆防水箱（拆除）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设备立杆防水箱（安装）</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1.名称:设备立杆防水箱（安装）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光纤盒（拆除）</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1.名称:光纤盒（拆除）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光纤盒（安装）</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1.名称:原有光纤盒（安装）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2.含光纤熔接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交换机（拆除）</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1.名称:原有交换机（拆除）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交换机（安装）</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1.名称:原有交换机（安装）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原有道闸（拆除）</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1.名称:原有道闸（拆除）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原有道闸（安装）</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1.名称:原有道闸（安装）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橡胶减速带（拆除）</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1.名称:橡胶减速带（拆除）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橡胶减速带</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1.名称:原橡胶减速带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光纤熔接（安装）</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1.名称:光纤熔接（安装）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芯</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出入口辅助摄像机（拆除）</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1.名称:出入口辅助摄像机（拆除）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出入口辅助摄像机（安装）</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1.类型:出入口辅助摄像机（安装）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数字式车辆检测器（拆除）</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1.名称:数字式车辆检测器（拆除）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数字式车辆检测器（安装）</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1.名称:数字式车辆检测器（安装）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停车场管理设备（调试）</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1.名称:停车场管理系统调试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机房设备及室外布线</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服务器(1CPU,128,2*1800G)</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1.名称:服务器(1CPU,128,2*1800G)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2.规格:1)英特尔至强银牌4210(2.2GHz/10-Core/13.75MB/85W)处理器， 2)4*32GB-2933MT/s-2Rank(2G*16bit)-1.2V-ECC内存， 3)2*1800GB-SAS 12Gb/s-10K rpm-128MB硬盘， 4)raid1，2*GE+2*10GE光口，2*550W交流电源 5)8*2.5盘位/2U</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停车场管理系统调试</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1.名称:停车场管理系统调试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道闸对接平台</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1.名称:道闸对接平台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管理系统需有互联功能，具备与整个园区停车场统一平台管理的技术接口。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3.对接现有车场管理系统平台，安装及调试。</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电脑麦克风</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1.名称:电脑麦克风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2.规格:1）插口：3.5mm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2）指向性：全向性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3）连接模式：有线连接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4）主线长度：1.5米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5）阻抗：2.2K；灵敏度：-38dB±2dB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6）咪芯规格：直径9.7mm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工作站音响</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1.名称:工作站音响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2.规格:1）输出功率：3w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2）频率响应：30HZ~17kHZ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3）净重：0.55KG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硬盘(1800GB)</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1.名称:视频监控专业存储硬盘（1800GB）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2.规格:通用硬盘-1800GB-SAS 12Gb/s-10K rpm-128MB-2.5英寸(2.5英寸托架)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室内4芯光纤</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2.规格:1*4芯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室外4芯光纤</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2.规格:1*4芯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手井 400*400*400mm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1.名称:手井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2.规格:400*400*400mm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3.垫层:150mm厚片石夯实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4.100mm砂层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5.材质:M5水泥砂浆砖砌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6.抹灰:井内外壁抹面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7.井盖:成品复合树脂井盖400*400mm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8.弃土运距:30km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水泥沥青开挖及恢复</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配管PVC32</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旧路面切缝</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1.旧路面机械切缝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2.材质:沥青路面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拆除路面</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1.材质:沥青路面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2.厚度:10cm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3.运距:30km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拆除基层</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1.材质:水泥基层开挖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2.厚度:10cm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3.运距:30km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1.水泥基层修复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2.混凝土强度等级:C25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3.厚度:10cm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沥青混凝土</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1.沥青品种:AC16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2.沥青混凝土种类:中粒式沥青混凝土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3.厚度:10cm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4.粘油层:乳化沥青粘油层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绿化开挖及恢复</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配管PVC32</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1.土壤类别:一、二类土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2.挖土深度:2m 内</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种植土回(换)填</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1.回填土质要求:种植土回填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回填砂</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1.填方材料品种:回填砂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2.运距:30km</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9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道闸优化</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出入口辅助摄像机</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1.名称:辅助摄像机及立杆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2.摄像机分辨率：≥300万像、图像传感器 1/2.8"CMOS，彩色灰度等级：≥11级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3.车牌识别准确率 ≥99.9%、车牌识别识读响应时间≤1s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4.适应车速范围 0～40km/h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5.最低照度 0.02Lux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6.输出视频格式 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7.通讯接口 100M自适应网口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8.防护等级 IP65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9.规格:详见技术参数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安全岛600*300*250mm</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1.构件的类型:安全岛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2.构件规格:600*300*250mm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3.混凝土强度等级:C20，含模板及抹灰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4.45*95mm表面贴瓷砖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配管PVC25</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超六类网线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1.名称:超六类网线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3.敷设方式:暗敷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3.型号:RVV3*1.0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209</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2.配线形式:管内配线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3.型号:RVVP6*0.5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4.配线部位:暗配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9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w:t>
            </w:r>
          </w:p>
        </w:tc>
        <w:tc>
          <w:tcPr>
            <w:tcW w:w="11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1.名称:凿(压)槽及修补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34.78</w:t>
            </w:r>
          </w:p>
        </w:tc>
      </w:tr>
    </w:tbl>
    <w:p>
      <w:pPr>
        <w:rPr>
          <w:rFonts w:hint="eastAsia" w:ascii="宋体" w:hAnsi="宋体" w:eastAsia="宋体" w:cs="宋体"/>
          <w:b/>
          <w:sz w:val="21"/>
          <w:szCs w:val="21"/>
          <w:highlight w:val="none"/>
        </w:rPr>
      </w:pPr>
    </w:p>
    <w:p>
      <w:pPr>
        <w:pageBreakBefore w:val="0"/>
        <w:widowControl w:val="0"/>
        <w:kinsoku/>
        <w:wordWrap/>
        <w:overflowPunct/>
        <w:topLinePunct w:val="0"/>
        <w:autoSpaceDE w:val="0"/>
        <w:autoSpaceDN w:val="0"/>
        <w:bidi w:val="0"/>
        <w:adjustRightInd w:val="0"/>
        <w:snapToGrid/>
        <w:spacing w:before="0" w:after="0" w:line="360" w:lineRule="auto"/>
        <w:jc w:val="left"/>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（二）采购设备技术参数要求</w:t>
      </w:r>
    </w:p>
    <w:p>
      <w:pPr>
        <w:pStyle w:val="7"/>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服务器</w:t>
      </w:r>
    </w:p>
    <w:tbl>
      <w:tblPr>
        <w:tblStyle w:val="51"/>
        <w:tblW w:w="4997" w:type="pct"/>
        <w:tblInd w:w="0" w:type="dxa"/>
        <w:tblLayout w:type="autofit"/>
        <w:tblCellMar>
          <w:top w:w="0" w:type="dxa"/>
          <w:left w:w="108" w:type="dxa"/>
          <w:bottom w:w="0" w:type="dxa"/>
          <w:right w:w="108" w:type="dxa"/>
        </w:tblCellMar>
      </w:tblPr>
      <w:tblGrid>
        <w:gridCol w:w="1072"/>
        <w:gridCol w:w="8777"/>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序号</w:t>
            </w:r>
          </w:p>
        </w:tc>
        <w:tc>
          <w:tcPr>
            <w:tcW w:w="445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4455"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服务器(1CPU,128G,2*1.8T)</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w:t>
            </w:r>
          </w:p>
        </w:tc>
        <w:tc>
          <w:tcPr>
            <w:tcW w:w="445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英特尔至强银牌4210(2.2GHz/10-Core/13.75MB/85W)处理器</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w:t>
            </w:r>
          </w:p>
        </w:tc>
        <w:tc>
          <w:tcPr>
            <w:tcW w:w="445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4*32GB-2933MT/s-2Rank(2G*16bit)-1.2V-ECC内存</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w:t>
            </w:r>
          </w:p>
        </w:tc>
        <w:tc>
          <w:tcPr>
            <w:tcW w:w="445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2*1800GB-SAS 12Gb/s-10K rpm-128MB硬盘</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w:t>
            </w:r>
          </w:p>
        </w:tc>
        <w:tc>
          <w:tcPr>
            <w:tcW w:w="445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raid1，2*GE+2*10GE光口，2*550W交流电源</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6</w:t>
            </w:r>
          </w:p>
        </w:tc>
        <w:tc>
          <w:tcPr>
            <w:tcW w:w="4455"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8*2.5盘位/2U</w:t>
            </w:r>
          </w:p>
        </w:tc>
      </w:tr>
    </w:tbl>
    <w:p>
      <w:pPr>
        <w:pStyle w:val="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数字车辆检测器</w:t>
      </w:r>
    </w:p>
    <w:tbl>
      <w:tblPr>
        <w:tblStyle w:val="51"/>
        <w:tblW w:w="4998" w:type="pct"/>
        <w:tblInd w:w="0" w:type="dxa"/>
        <w:tblLayout w:type="autofit"/>
        <w:tblCellMar>
          <w:top w:w="0" w:type="dxa"/>
          <w:left w:w="108" w:type="dxa"/>
          <w:bottom w:w="0" w:type="dxa"/>
          <w:right w:w="108" w:type="dxa"/>
        </w:tblCellMar>
      </w:tblPr>
      <w:tblGrid>
        <w:gridCol w:w="1072"/>
        <w:gridCol w:w="8779"/>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序号</w:t>
            </w:r>
          </w:p>
        </w:tc>
        <w:tc>
          <w:tcPr>
            <w:tcW w:w="445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控制自动关闸、防砸车两重功效</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工作电压：AC220V±10% 50/60HZ功耗 &lt;5W</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输入信号：1/2路地感信号</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输出方式：继电器输出</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工作频率：20K~170KHz</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6</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 xml:space="preserve">反应时间：≤100ms </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灵敏度：高中低三级可调</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8</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线圈电感：80~150uH</w:t>
            </w:r>
          </w:p>
        </w:tc>
      </w:tr>
    </w:tbl>
    <w:p>
      <w:pPr>
        <w:pStyle w:val="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、●车牌识别道闸一体机</w:t>
      </w:r>
    </w:p>
    <w:tbl>
      <w:tblPr>
        <w:tblStyle w:val="51"/>
        <w:tblW w:w="4998" w:type="pct"/>
        <w:tblInd w:w="0" w:type="dxa"/>
        <w:tblLayout w:type="autofit"/>
        <w:tblCellMar>
          <w:top w:w="0" w:type="dxa"/>
          <w:left w:w="108" w:type="dxa"/>
          <w:bottom w:w="0" w:type="dxa"/>
          <w:right w:w="108" w:type="dxa"/>
        </w:tblCellMar>
      </w:tblPr>
      <w:tblGrid>
        <w:gridCol w:w="1072"/>
        <w:gridCol w:w="8779"/>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序号</w:t>
            </w:r>
          </w:p>
        </w:tc>
        <w:tc>
          <w:tcPr>
            <w:tcW w:w="445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技术规格参数</w:t>
            </w:r>
          </w:p>
        </w:tc>
      </w:tr>
      <w:tr>
        <w:tblPrEx>
          <w:tblCellMar>
            <w:top w:w="0" w:type="dxa"/>
            <w:left w:w="108" w:type="dxa"/>
            <w:bottom w:w="0" w:type="dxa"/>
            <w:right w:w="108" w:type="dxa"/>
          </w:tblCellMar>
        </w:tblPrEx>
        <w:trPr>
          <w:trHeight w:val="272"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设备集成车牌识别摄像机、显示屏、补光灯、闸杆、机芯、机箱、控制系统等组成；</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▲单车牌识别时间：≤30ms；识别率：≥99%（须提供官网截图或产品彩页并加盖投标人公章）</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▲配备≥10寸LCD显示屏（须提供官网截图或产品彩页并加盖投标人公章）</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可配置内置车辆检测器，可以实现视频和地感双重触发识别</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内置TTS语音模块，可通过软件进行语音编辑，使用更方便</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6</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内置带光感补光灯，增强夜间识别效果</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1.5-6s可调，根据不同杆长调节</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8</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远程操控，数据实时同步，远程运维</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9</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直杆长度3-6米（以实测为准，最长不超过6米）</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10</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b/>
                <w:bCs/>
                <w:color w:val="000000"/>
                <w:kern w:val="0"/>
                <w:sz w:val="21"/>
                <w:szCs w:val="21"/>
                <w:highlight w:val="none"/>
                <w:lang w:bidi="ar"/>
              </w:rPr>
            </w:pPr>
            <w:r>
              <w:rPr>
                <w:rFonts w:hint="eastAsia" w:ascii="宋体" w:hAnsi="宋体" w:eastAsia="宋体" w:cs="宋体"/>
                <w:color w:val="000000"/>
                <w:kern w:val="0"/>
                <w:sz w:val="21"/>
                <w:szCs w:val="21"/>
                <w:highlight w:val="none"/>
                <w:lang w:bidi="ar"/>
              </w:rPr>
              <w:t>工作电压： 220VAC</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11</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 xml:space="preserve">LCD亮度：≥1000cd/m2 </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12</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遥控距离≥30m；含遥控器*2</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13</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 xml:space="preserve">通讯方式：TCP/IP ， </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14</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防护等级：IP54</w:t>
            </w:r>
          </w:p>
        </w:tc>
      </w:tr>
    </w:tbl>
    <w:p>
      <w:pPr>
        <w:rPr>
          <w:rFonts w:hint="eastAsia" w:ascii="宋体" w:hAnsi="宋体" w:eastAsia="宋体" w:cs="宋体"/>
          <w:sz w:val="21"/>
          <w:szCs w:val="21"/>
          <w:highlight w:val="none"/>
        </w:rPr>
      </w:pPr>
    </w:p>
    <w:p>
      <w:pPr>
        <w:pStyle w:val="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3、辅助摄像机</w:t>
      </w:r>
    </w:p>
    <w:tbl>
      <w:tblPr>
        <w:tblStyle w:val="51"/>
        <w:tblW w:w="4998" w:type="pct"/>
        <w:tblInd w:w="0" w:type="dxa"/>
        <w:tblLayout w:type="autofit"/>
        <w:tblCellMar>
          <w:top w:w="0" w:type="dxa"/>
          <w:left w:w="108" w:type="dxa"/>
          <w:bottom w:w="0" w:type="dxa"/>
          <w:right w:w="108" w:type="dxa"/>
        </w:tblCellMar>
      </w:tblPr>
      <w:tblGrid>
        <w:gridCol w:w="1072"/>
        <w:gridCol w:w="8779"/>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序号</w:t>
            </w:r>
          </w:p>
        </w:tc>
        <w:tc>
          <w:tcPr>
            <w:tcW w:w="445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▲摄像机分辨率：≥300万像</w:t>
            </w:r>
            <w:r>
              <w:rPr>
                <w:rFonts w:hint="eastAsia" w:ascii="宋体" w:hAnsi="宋体" w:eastAsia="宋体" w:cs="宋体"/>
                <w:sz w:val="21"/>
                <w:szCs w:val="21"/>
                <w:highlight w:val="none"/>
              </w:rPr>
              <w:t>（须提供第三方检测报告复印件并加盖投标人公章）</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图像传感器 1/2.8" CMOS，彩色灰度等级：≥11级</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▲车牌识别准确率 ≥99.9%</w:t>
            </w:r>
            <w:r>
              <w:rPr>
                <w:rFonts w:hint="eastAsia" w:ascii="宋体" w:hAnsi="宋体" w:eastAsia="宋体" w:cs="宋体"/>
                <w:sz w:val="21"/>
                <w:szCs w:val="21"/>
                <w:highlight w:val="none"/>
              </w:rPr>
              <w:t>（须提供第三方检测报告复印件并加盖投标人公章）</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▲车牌识别识读响应时间≤1s</w:t>
            </w:r>
            <w:r>
              <w:rPr>
                <w:rFonts w:hint="eastAsia" w:ascii="宋体" w:hAnsi="宋体" w:eastAsia="宋体" w:cs="宋体"/>
                <w:sz w:val="21"/>
                <w:szCs w:val="21"/>
                <w:highlight w:val="none"/>
              </w:rPr>
              <w:t>（须提供第三方检测报告复印件并加盖投标人公章）</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适应车速范围 0～40km/h</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6</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最低照度 0.02Lux</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8</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输出视频格式 H.264</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9</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通讯接口 100M自适应网口</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10</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11</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工作电压电流 DC 12V 2A</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12</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整机功耗 关灯&lt;10W，开灯&lt;15W</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13</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工作温度 -30℃~+70℃</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14</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防护等级 IP65</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15</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工作湿度 &lt;95％，无凝结</w:t>
            </w:r>
          </w:p>
        </w:tc>
      </w:tr>
    </w:tbl>
    <w:p>
      <w:pPr>
        <w:pStyle w:val="7"/>
        <w:spacing w:line="360" w:lineRule="auto"/>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lang w:val="en-US" w:eastAsia="zh-CN"/>
        </w:rPr>
        <w:t>4</w:t>
      </w:r>
      <w:r>
        <w:rPr>
          <w:rFonts w:hint="eastAsia" w:ascii="宋体" w:hAnsi="宋体" w:eastAsia="宋体" w:cs="宋体"/>
          <w:color w:val="FF0000"/>
          <w:sz w:val="21"/>
          <w:szCs w:val="21"/>
          <w:highlight w:val="none"/>
        </w:rPr>
        <w:t>、出入口自助终端</w:t>
      </w:r>
    </w:p>
    <w:tbl>
      <w:tblPr>
        <w:tblStyle w:val="51"/>
        <w:tblW w:w="4998" w:type="pct"/>
        <w:tblInd w:w="0" w:type="dxa"/>
        <w:tblLayout w:type="autofit"/>
        <w:tblCellMar>
          <w:top w:w="0" w:type="dxa"/>
          <w:left w:w="108" w:type="dxa"/>
          <w:bottom w:w="0" w:type="dxa"/>
          <w:right w:w="108" w:type="dxa"/>
        </w:tblCellMar>
      </w:tblPr>
      <w:tblGrid>
        <w:gridCol w:w="1072"/>
        <w:gridCol w:w="8779"/>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序号</w:t>
            </w:r>
          </w:p>
        </w:tc>
        <w:tc>
          <w:tcPr>
            <w:tcW w:w="445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333333"/>
                <w:sz w:val="21"/>
                <w:szCs w:val="21"/>
                <w:highlight w:val="none"/>
                <w:shd w:val="clear" w:color="auto" w:fill="FFFFFF"/>
              </w:rPr>
              <w:t>工作电压：220VAC</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FF0000"/>
                <w:kern w:val="0"/>
                <w:sz w:val="21"/>
                <w:szCs w:val="21"/>
                <w:highlight w:val="none"/>
                <w:lang w:bidi="ar"/>
              </w:rPr>
            </w:pPr>
            <w:r>
              <w:rPr>
                <w:rFonts w:hint="eastAsia" w:ascii="宋体" w:hAnsi="宋体" w:eastAsia="宋体" w:cs="宋体"/>
                <w:color w:val="FF0000"/>
                <w:kern w:val="0"/>
                <w:sz w:val="21"/>
                <w:szCs w:val="21"/>
                <w:highlight w:val="none"/>
                <w:lang w:bidi="ar"/>
              </w:rPr>
              <w:t>2</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FF0000"/>
                <w:kern w:val="0"/>
                <w:sz w:val="21"/>
                <w:szCs w:val="21"/>
                <w:highlight w:val="none"/>
                <w:lang w:bidi="ar"/>
              </w:rPr>
            </w:pPr>
            <w:r>
              <w:rPr>
                <w:rFonts w:hint="eastAsia" w:ascii="宋体" w:hAnsi="宋体" w:eastAsia="宋体" w:cs="宋体"/>
                <w:color w:val="FF0000"/>
                <w:sz w:val="21"/>
                <w:szCs w:val="21"/>
                <w:highlight w:val="none"/>
                <w:shd w:val="clear" w:color="auto" w:fill="FFFFFF"/>
              </w:rPr>
              <w:t>屏体尺寸：≥10寸</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FF0000"/>
                <w:kern w:val="0"/>
                <w:sz w:val="21"/>
                <w:szCs w:val="21"/>
                <w:highlight w:val="none"/>
                <w:lang w:bidi="ar"/>
              </w:rPr>
            </w:pPr>
            <w:r>
              <w:rPr>
                <w:rFonts w:hint="eastAsia" w:ascii="宋体" w:hAnsi="宋体" w:eastAsia="宋体" w:cs="宋体"/>
                <w:color w:val="FF0000"/>
                <w:kern w:val="0"/>
                <w:sz w:val="21"/>
                <w:szCs w:val="21"/>
                <w:highlight w:val="none"/>
                <w:lang w:bidi="ar"/>
              </w:rPr>
              <w:t>3</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FF0000"/>
                <w:kern w:val="0"/>
                <w:sz w:val="21"/>
                <w:szCs w:val="21"/>
                <w:highlight w:val="none"/>
                <w:lang w:bidi="ar"/>
              </w:rPr>
            </w:pPr>
            <w:r>
              <w:rPr>
                <w:rFonts w:hint="eastAsia" w:ascii="宋体" w:hAnsi="宋体" w:eastAsia="宋体" w:cs="宋体"/>
                <w:color w:val="FF0000"/>
                <w:sz w:val="21"/>
                <w:szCs w:val="21"/>
                <w:highlight w:val="none"/>
                <w:shd w:val="clear" w:color="auto" w:fill="FFFFFF"/>
              </w:rPr>
              <w:t>屏体亮度：≥1000cd/㎡</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333333"/>
                <w:sz w:val="21"/>
                <w:szCs w:val="21"/>
                <w:highlight w:val="none"/>
                <w:shd w:val="clear" w:color="auto" w:fill="FFFFFF"/>
              </w:rPr>
              <w:t>屏体分辩率：≥1280x800(RGB)</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333333"/>
                <w:sz w:val="21"/>
                <w:szCs w:val="21"/>
                <w:highlight w:val="none"/>
                <w:shd w:val="clear" w:color="auto" w:fill="FFFFFF"/>
              </w:rPr>
              <w:t>通讯端口：RJ45</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6</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333333"/>
                <w:sz w:val="21"/>
                <w:szCs w:val="21"/>
                <w:highlight w:val="none"/>
                <w:shd w:val="clear" w:color="auto" w:fill="FFFFFF"/>
              </w:rPr>
              <w:t>摄像机像素：≥200万像素</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333333"/>
                <w:sz w:val="21"/>
                <w:szCs w:val="21"/>
                <w:highlight w:val="none"/>
                <w:shd w:val="clear" w:color="auto" w:fill="FFFFFF"/>
              </w:rPr>
              <w:t>安全防护等级：IP54</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8</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333333"/>
                <w:sz w:val="21"/>
                <w:szCs w:val="21"/>
                <w:highlight w:val="none"/>
                <w:shd w:val="clear" w:color="auto" w:fill="FFFFFF"/>
              </w:rPr>
              <w:t>内置可视对讲分机，在车主需要求助时，通过对讲及时进行可视求助</w:t>
            </w:r>
            <w:r>
              <w:rPr>
                <w:rFonts w:hint="eastAsia" w:ascii="宋体" w:hAnsi="宋体" w:eastAsia="宋体" w:cs="宋体"/>
                <w:color w:val="000000"/>
                <w:kern w:val="0"/>
                <w:sz w:val="21"/>
                <w:szCs w:val="21"/>
                <w:highlight w:val="none"/>
                <w:lang w:bidi="ar"/>
              </w:rPr>
              <w:t>（须提供官网截图或产品彩页并加盖投标人公章）</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9</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333333"/>
                <w:sz w:val="21"/>
                <w:szCs w:val="21"/>
                <w:highlight w:val="none"/>
                <w:shd w:val="clear" w:color="auto" w:fill="FFFFFF"/>
              </w:rPr>
              <w:t>配套LCD显示屏，对于正常通行的车辆给予有效提示，对于异常车辆，及时推送二维码，便于车主扫码进场或出场显示二维码，进行付款出场</w:t>
            </w:r>
            <w:r>
              <w:rPr>
                <w:rFonts w:hint="eastAsia" w:ascii="宋体" w:hAnsi="宋体" w:eastAsia="宋体" w:cs="宋体"/>
                <w:color w:val="000000"/>
                <w:kern w:val="0"/>
                <w:sz w:val="21"/>
                <w:szCs w:val="21"/>
                <w:highlight w:val="none"/>
                <w:lang w:bidi="ar"/>
              </w:rPr>
              <w:t>（须提供官网截图或产品彩页并加盖投标人公章）</w:t>
            </w:r>
          </w:p>
        </w:tc>
      </w:tr>
      <w:tr>
        <w:tblPrEx>
          <w:tblCellMar>
            <w:top w:w="0" w:type="dxa"/>
            <w:left w:w="108" w:type="dxa"/>
            <w:bottom w:w="0" w:type="dxa"/>
            <w:right w:w="108" w:type="dxa"/>
          </w:tblCellMar>
        </w:tblPrEx>
        <w:trPr>
          <w:trHeight w:val="9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10</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333333"/>
                <w:sz w:val="21"/>
                <w:szCs w:val="21"/>
                <w:highlight w:val="none"/>
                <w:shd w:val="clear" w:color="auto" w:fill="FFFFFF"/>
              </w:rPr>
              <w:t>集成语音提示功能，可通过软件进行语音编辑，使用更方便</w:t>
            </w:r>
          </w:p>
        </w:tc>
      </w:tr>
    </w:tbl>
    <w:p>
      <w:pPr>
        <w:pStyle w:val="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、工业级1光8电光纤收发器</w:t>
      </w:r>
    </w:p>
    <w:tbl>
      <w:tblPr>
        <w:tblStyle w:val="51"/>
        <w:tblW w:w="4998" w:type="pct"/>
        <w:tblInd w:w="0" w:type="dxa"/>
        <w:tblLayout w:type="autofit"/>
        <w:tblCellMar>
          <w:top w:w="0" w:type="dxa"/>
          <w:left w:w="108" w:type="dxa"/>
          <w:bottom w:w="0" w:type="dxa"/>
          <w:right w:w="108" w:type="dxa"/>
        </w:tblCellMar>
      </w:tblPr>
      <w:tblGrid>
        <w:gridCol w:w="1072"/>
        <w:gridCol w:w="8779"/>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序号</w:t>
            </w:r>
          </w:p>
        </w:tc>
        <w:tc>
          <w:tcPr>
            <w:tcW w:w="445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4456"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≥8个千兆电口，≥1个千兆SFP口，</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交换容量: 48Gbps, 转发速率：22Mpps；</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标准协议: IEEE802.3i,IEEE802.3u,IEEE802.3ab,IEEE802.3z；</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光纤端口: 1000Base-GX端口（SC/FC/ST/SFP可选）；</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RJ45端口: 支持10/100/1000M,全/半双工, MDI/MDI-X自适应功能；</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6</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传输距离: 双绞线100m, 多模光纤500m~2km, 单模光纤20km~120km;</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机械结构: IP40,防雷击6KV,防浪涌,全铝机身, 无风扇设计, 导轨/壁挂式</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8</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电源参数: 内置AC/DC110V~265V电源, 防反接/过流保护</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9</w:t>
            </w:r>
          </w:p>
        </w:tc>
        <w:tc>
          <w:tcPr>
            <w:tcW w:w="445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环境参数: 工作温度: -40℃~85℃, 存储温度: -40℃～90℃</w:t>
            </w:r>
          </w:p>
        </w:tc>
      </w:tr>
    </w:tbl>
    <w:p>
      <w:pPr>
        <w:pageBreakBefore w:val="0"/>
        <w:widowControl w:val="0"/>
        <w:kinsoku/>
        <w:wordWrap/>
        <w:overflowPunct/>
        <w:topLinePunct w:val="0"/>
        <w:autoSpaceDE w:val="0"/>
        <w:autoSpaceDN w:val="0"/>
        <w:bidi w:val="0"/>
        <w:adjustRightInd w:val="0"/>
        <w:snapToGrid/>
        <w:jc w:val="left"/>
        <w:textAlignment w:val="auto"/>
        <w:outlineLvl w:val="9"/>
        <w:rPr>
          <w:rFonts w:hint="eastAsia" w:ascii="宋体" w:eastAsia="宋体" w:cs="宋体"/>
          <w:highlight w:val="none"/>
          <w:lang w:eastAsia="zh-CN"/>
        </w:rPr>
      </w:pPr>
    </w:p>
    <w:p>
      <w:pPr>
        <w:pStyle w:val="4"/>
        <w:keepNext/>
        <w:keepLines/>
        <w:pageBreakBefore/>
        <w:numPr>
          <w:ilvl w:val="0"/>
          <w:numId w:val="14"/>
        </w:numPr>
        <w:spacing w:line="360" w:lineRule="auto"/>
        <w:jc w:val="center"/>
        <w:rPr>
          <w:rFonts w:hAnsi="宋体"/>
          <w:b/>
          <w:bCs/>
          <w:kern w:val="44"/>
          <w:sz w:val="28"/>
          <w:szCs w:val="28"/>
          <w:highlight w:val="none"/>
          <w:lang w:val="zh-CN"/>
        </w:rPr>
      </w:pPr>
      <w:bookmarkStart w:id="144" w:name="_Toc13957"/>
      <w:r>
        <w:rPr>
          <w:rFonts w:hint="eastAsia" w:hAnsi="宋体"/>
          <w:b/>
          <w:bCs/>
          <w:kern w:val="44"/>
          <w:sz w:val="28"/>
          <w:szCs w:val="28"/>
          <w:highlight w:val="none"/>
          <w:lang w:val="zh-CN"/>
        </w:rPr>
        <w:t>评审工作大纲</w:t>
      </w:r>
      <w:bookmarkEnd w:id="144"/>
    </w:p>
    <w:p>
      <w:pPr>
        <w:pStyle w:val="2"/>
        <w:spacing w:line="360" w:lineRule="auto"/>
        <w:ind w:firstLine="422" w:firstLineChars="200"/>
        <w:jc w:val="both"/>
        <w:rPr>
          <w:rFonts w:hAnsi="宋体"/>
          <w:sz w:val="21"/>
          <w:szCs w:val="21"/>
          <w:highlight w:val="none"/>
        </w:rPr>
      </w:pPr>
      <w:r>
        <w:rPr>
          <w:rFonts w:hint="eastAsia" w:hAnsi="宋体"/>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资格性审查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资格瑕疵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磋商保证金瑕疵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符合性审查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供应商代表身份审查</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技术响应瑕疵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商务响应瑕疵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报价</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违规行为</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szCs w:val="21"/>
                <w:highlight w:val="none"/>
              </w:rPr>
            </w:pPr>
          </w:p>
        </w:tc>
      </w:tr>
    </w:tbl>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（一）资格性检查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1)资格瑕疵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包括但不限于：①资格证明文件未提供或不符合磋商文件要求的；②供应商与采购人、采购代理机构有利害关系的。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2)磋商保证金瑕疵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包括但不限于：①供应商未提交磋商文件保证金或金额不足；②提交方式、提交时间不符合采购要求；③磋商文件保证金有效期不符合采购要求的。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（二）符合性检查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1)供应商代表身份审查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包括但不限于：①供应商代表未参加开标会；②供应商代表无有效授权；③核对供应商代表身份时，不能提供相应的身份证明或不相符。</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2)响应文件的有效性、完整性瑕疵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3)技术响应瑕疵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4)商务响应瑕疵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5）报价</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包括但不限于：报价不得超过本磋商文件明确的项目预算。</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6）违规行为</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
        <w:numPr>
          <w:ilvl w:val="0"/>
          <w:numId w:val="15"/>
        </w:numPr>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法律法规及磋商文件中规定的其它情形。</w:t>
      </w:r>
    </w:p>
    <w:p>
      <w:pPr>
        <w:pStyle w:val="2"/>
        <w:spacing w:line="360" w:lineRule="auto"/>
        <w:jc w:val="left"/>
        <w:rPr>
          <w:rFonts w:hAnsi="宋体"/>
          <w:b w:val="0"/>
          <w:bCs w:val="0"/>
          <w:sz w:val="21"/>
          <w:szCs w:val="21"/>
          <w:highlight w:val="none"/>
        </w:rPr>
      </w:pPr>
    </w:p>
    <w:p>
      <w:pPr>
        <w:pStyle w:val="2"/>
        <w:numPr>
          <w:ilvl w:val="0"/>
          <w:numId w:val="11"/>
        </w:numPr>
        <w:spacing w:line="360" w:lineRule="auto"/>
        <w:ind w:firstLine="422" w:firstLineChars="200"/>
        <w:jc w:val="left"/>
        <w:rPr>
          <w:rFonts w:hAnsi="宋体"/>
          <w:sz w:val="21"/>
          <w:szCs w:val="21"/>
          <w:highlight w:val="none"/>
        </w:rPr>
      </w:pPr>
      <w:r>
        <w:rPr>
          <w:rFonts w:hint="eastAsia" w:hAnsi="宋体"/>
          <w:sz w:val="21"/>
          <w:szCs w:val="21"/>
          <w:highlight w:val="none"/>
        </w:rPr>
        <w:t>经过磋商阶段后，磋商小组按照磋商文件确定的评审标准和方法对提交最后报价的供应商的响应文件进行评审和比较，推荐候选成交供应商，编制评审报告。</w:t>
      </w:r>
    </w:p>
    <w:p>
      <w:pPr>
        <w:pStyle w:val="2"/>
        <w:spacing w:line="360" w:lineRule="auto"/>
        <w:ind w:left="480" w:leftChars="200"/>
        <w:jc w:val="left"/>
        <w:rPr>
          <w:rFonts w:hAnsi="宋体"/>
          <w:sz w:val="21"/>
          <w:szCs w:val="21"/>
          <w:highlight w:val="none"/>
        </w:rPr>
      </w:pPr>
    </w:p>
    <w:p>
      <w:pPr>
        <w:pStyle w:val="28"/>
        <w:spacing w:line="360" w:lineRule="auto"/>
        <w:ind w:firstLine="422" w:firstLineChars="200"/>
        <w:rPr>
          <w:rFonts w:hAnsi="宋体"/>
          <w:b/>
          <w:bCs/>
          <w:szCs w:val="21"/>
          <w:highlight w:val="none"/>
        </w:rPr>
      </w:pPr>
      <w:r>
        <w:rPr>
          <w:rFonts w:hint="eastAsia" w:hAnsi="宋体"/>
          <w:b/>
          <w:bCs/>
          <w:szCs w:val="21"/>
          <w:highlight w:val="none"/>
        </w:rPr>
        <w:t>三、评审因素及评分权重</w:t>
      </w:r>
    </w:p>
    <w:p>
      <w:pPr>
        <w:tabs>
          <w:tab w:val="left" w:pos="660"/>
        </w:tabs>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1、评委考核打分的评分因素及分值:总分100分</w:t>
      </w:r>
    </w:p>
    <w:tbl>
      <w:tblPr>
        <w:tblStyle w:val="5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0"/>
        <w:gridCol w:w="707"/>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序号</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评分内容</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价格评分（</w:t>
            </w:r>
            <w:r>
              <w:rPr>
                <w:rFonts w:hint="eastAsia"/>
                <w:b/>
                <w:kern w:val="2"/>
                <w:sz w:val="21"/>
                <w:szCs w:val="21"/>
                <w:highlight w:val="none"/>
                <w:lang w:val="en-US" w:eastAsia="zh-CN"/>
              </w:rPr>
              <w:t>5</w:t>
            </w:r>
            <w:r>
              <w:rPr>
                <w:rFonts w:hint="eastAsia"/>
                <w:b/>
                <w:kern w:val="2"/>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价格</w:t>
            </w:r>
          </w:p>
        </w:tc>
        <w:tc>
          <w:tcPr>
            <w:tcW w:w="707"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lang w:val="en-US" w:eastAsia="zh-CN"/>
              </w:rPr>
              <w:t>5</w:t>
            </w:r>
            <w:r>
              <w:rPr>
                <w:rFonts w:hint="eastAsia"/>
                <w:kern w:val="2"/>
                <w:sz w:val="21"/>
                <w:szCs w:val="21"/>
                <w:highlight w:val="none"/>
              </w:rPr>
              <w:t>0分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rPr>
                <w:kern w:val="2"/>
                <w:sz w:val="21"/>
                <w:szCs w:val="21"/>
                <w:highlight w:val="none"/>
              </w:rPr>
            </w:pPr>
            <w:r>
              <w:rPr>
                <w:rFonts w:hint="eastAsia"/>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w:t>
            </w:r>
            <w:r>
              <w:rPr>
                <w:rFonts w:hint="eastAsia"/>
                <w:kern w:val="2"/>
                <w:sz w:val="21"/>
                <w:szCs w:val="21"/>
                <w:highlight w:val="none"/>
                <w:lang w:val="en-US" w:eastAsia="zh-CN"/>
              </w:rPr>
              <w:t>5</w:t>
            </w:r>
            <w:r>
              <w:rPr>
                <w:rFonts w:hint="eastAsia"/>
                <w:kern w:val="2"/>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商务评分（</w:t>
            </w:r>
            <w:r>
              <w:rPr>
                <w:rFonts w:hint="eastAsia"/>
                <w:b/>
                <w:kern w:val="2"/>
                <w:sz w:val="21"/>
                <w:szCs w:val="21"/>
                <w:highlight w:val="none"/>
                <w:lang w:val="en-US" w:eastAsia="zh-CN"/>
              </w:rPr>
              <w:t>15</w:t>
            </w:r>
            <w:r>
              <w:rPr>
                <w:rFonts w:hint="eastAsia"/>
                <w:b/>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认证情况</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3分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供应商具有以下由国家认证认可监督管理部门批准设立的认证机构颁发的认证证书，每提供一项得1分，最高得3分。</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①质量管理体系认证；</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②环境管理体系认证；</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③职业健康安全管理体系认证；</w:t>
            </w:r>
          </w:p>
          <w:p>
            <w:pPr>
              <w:spacing w:line="360" w:lineRule="auto"/>
              <w:rPr>
                <w:rFonts w:hint="eastAsia" w:ascii="宋体" w:hAnsi="宋体" w:eastAsia="宋体" w:cs="宋体"/>
                <w:b/>
                <w:bCs/>
                <w:sz w:val="21"/>
                <w:szCs w:val="21"/>
                <w:highlight w:val="none"/>
                <w:u w:val="single"/>
                <w:lang w:val="en-US" w:eastAsia="zh-CN" w:bidi="ar-SA"/>
              </w:rPr>
            </w:pPr>
            <w:r>
              <w:rPr>
                <w:rFonts w:hint="eastAsia" w:ascii="宋体" w:hAnsi="宋体" w:eastAsia="宋体" w:cs="宋体"/>
                <w:b/>
                <w:color w:val="000000" w:themeColor="text1"/>
                <w:sz w:val="21"/>
                <w:szCs w:val="21"/>
                <w:highlight w:val="none"/>
                <w:u w:val="single"/>
                <w14:textFill>
                  <w14:solidFill>
                    <w14:schemeClr w14:val="tx1"/>
                  </w14:solidFill>
                </w14:textFill>
              </w:rPr>
              <w:t>注：须提供有效证书复印件及全国认证认可信息公共服务平台官网查询截图加盖供应商公章。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业绩情况</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2分</w:t>
            </w:r>
          </w:p>
        </w:tc>
        <w:tc>
          <w:tcPr>
            <w:tcW w:w="5800" w:type="dxa"/>
            <w:tcBorders>
              <w:top w:val="single" w:color="auto" w:sz="4" w:space="0"/>
              <w:left w:val="single" w:color="auto" w:sz="4" w:space="0"/>
              <w:bottom w:val="single" w:color="auto" w:sz="4" w:space="0"/>
              <w:right w:val="single" w:color="auto" w:sz="4" w:space="0"/>
            </w:tcBorders>
            <w:vAlign w:val="center"/>
          </w:tcPr>
          <w:p>
            <w:pPr>
              <w:pStyle w:val="28"/>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根据供应商自2019年1月1日以来具有停车场道闸系统业绩进行评审，每提供一个得1分，最高得2分。</w:t>
            </w:r>
          </w:p>
          <w:p>
            <w:pPr>
              <w:spacing w:line="360" w:lineRule="auto"/>
              <w:rPr>
                <w:rFonts w:hint="eastAsia" w:ascii="宋体" w:hAnsi="宋体" w:eastAsia="宋体" w:cs="宋体"/>
                <w:b/>
                <w:bCs/>
                <w:sz w:val="21"/>
                <w:szCs w:val="21"/>
                <w:highlight w:val="none"/>
                <w:u w:val="single"/>
                <w:lang w:val="en-US" w:eastAsia="zh-CN" w:bidi="ar-SA"/>
              </w:rPr>
            </w:pPr>
            <w:r>
              <w:rPr>
                <w:rFonts w:hint="eastAsia" w:ascii="宋体" w:hAnsi="宋体" w:eastAsia="宋体" w:cs="宋体"/>
                <w:b/>
                <w:color w:val="000000" w:themeColor="text1"/>
                <w:sz w:val="21"/>
                <w:szCs w:val="21"/>
                <w:highlight w:val="none"/>
                <w:u w:val="single"/>
                <w14:textFill>
                  <w14:solidFill>
                    <w14:schemeClr w14:val="tx1"/>
                  </w14:solidFill>
                </w14:textFill>
              </w:rPr>
              <w:t>注：须提供合同复印件加盖供应商公章。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3</w:t>
            </w:r>
          </w:p>
        </w:tc>
        <w:tc>
          <w:tcPr>
            <w:tcW w:w="1570"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拟投入人员情况</w:t>
            </w:r>
          </w:p>
        </w:tc>
        <w:tc>
          <w:tcPr>
            <w:tcW w:w="744" w:type="dxa"/>
            <w:gridSpan w:val="2"/>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10分</w:t>
            </w:r>
          </w:p>
        </w:tc>
        <w:tc>
          <w:tcPr>
            <w:tcW w:w="5800"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rPr>
                <w:rFonts w:hint="eastAsia" w:ascii="宋体" w:hAnsi="宋体" w:eastAsia="宋体" w:cs="宋体"/>
                <w:b/>
                <w:bCs/>
                <w:sz w:val="21"/>
                <w:szCs w:val="21"/>
                <w:highlight w:val="none"/>
              </w:rPr>
            </w:pPr>
            <w:r>
              <w:rPr>
                <w:rFonts w:hint="eastAsia" w:ascii="宋体" w:hAnsi="宋体" w:eastAsia="宋体" w:cs="宋体"/>
                <w:bCs/>
                <w:sz w:val="21"/>
                <w:szCs w:val="21"/>
                <w:highlight w:val="none"/>
              </w:rPr>
              <w:t xml:space="preserve">1.根据供应商拟投入本项目的项目负责人（仅一人）进行评审： </w:t>
            </w:r>
          </w:p>
          <w:p>
            <w:pPr>
              <w:pStyle w:val="75"/>
              <w:spacing w:line="360" w:lineRule="auto"/>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①具有人力资源和社会保障部门或工业和信息化部门颁发的中级（含以上）系统集成项目管理工程师证书的，得2分；</w:t>
            </w:r>
          </w:p>
          <w:p>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②具有安防从业人员证书的，得2分；</w:t>
            </w:r>
          </w:p>
          <w:p>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本小项最高得4分。</w:t>
            </w:r>
          </w:p>
          <w:p>
            <w:pPr>
              <w:spacing w:line="360" w:lineRule="auto"/>
              <w:rPr>
                <w:rFonts w:hint="eastAsia" w:ascii="宋体" w:hAnsi="宋体" w:eastAsia="宋体" w:cs="宋体"/>
                <w:b/>
                <w:sz w:val="21"/>
                <w:szCs w:val="21"/>
                <w:highlight w:val="none"/>
                <w:u w:val="single"/>
                <w:lang w:val="en-US" w:eastAsia="zh-CN" w:bidi="ar-SA"/>
              </w:rPr>
            </w:pPr>
            <w:r>
              <w:rPr>
                <w:rFonts w:hint="eastAsia" w:ascii="宋体" w:hAnsi="宋体" w:eastAsia="宋体" w:cs="宋体"/>
                <w:b/>
                <w:sz w:val="21"/>
                <w:szCs w:val="21"/>
                <w:highlight w:val="none"/>
                <w:u w:val="single"/>
              </w:rPr>
              <w:t>注：须提供以上人员有效证书及社会保障部门出具的距开标（不含）当前月的前3个月</w:t>
            </w:r>
            <w:r>
              <w:rPr>
                <w:rFonts w:hint="eastAsia" w:ascii="宋体" w:hAnsi="宋体" w:eastAsia="宋体" w:cs="宋体"/>
                <w:b/>
                <w:bCs/>
                <w:sz w:val="21"/>
                <w:szCs w:val="21"/>
                <w:highlight w:val="none"/>
                <w:u w:val="single"/>
              </w:rPr>
              <w:t>供应商</w:t>
            </w:r>
            <w:r>
              <w:rPr>
                <w:rFonts w:hint="eastAsia" w:ascii="宋体" w:hAnsi="宋体" w:eastAsia="宋体" w:cs="宋体"/>
                <w:b/>
                <w:sz w:val="21"/>
                <w:szCs w:val="21"/>
                <w:highlight w:val="none"/>
                <w:u w:val="single"/>
              </w:rPr>
              <w:t>为其购买的社保证明复印件加盖</w:t>
            </w:r>
            <w:r>
              <w:rPr>
                <w:rFonts w:hint="eastAsia" w:ascii="宋体" w:hAnsi="宋体" w:eastAsia="宋体" w:cs="宋体"/>
                <w:b/>
                <w:bCs/>
                <w:sz w:val="21"/>
                <w:szCs w:val="21"/>
                <w:highlight w:val="none"/>
              </w:rPr>
              <w:t>供应商</w:t>
            </w:r>
            <w:r>
              <w:rPr>
                <w:rFonts w:hint="eastAsia" w:ascii="宋体" w:hAnsi="宋体" w:eastAsia="宋体" w:cs="宋体"/>
                <w:b/>
                <w:sz w:val="21"/>
                <w:szCs w:val="21"/>
                <w:highlight w:val="none"/>
                <w:u w:val="singl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rPr>
            </w:pPr>
          </w:p>
        </w:tc>
        <w:tc>
          <w:tcPr>
            <w:tcW w:w="1570" w:type="dxa"/>
            <w:vMerge w:val="continue"/>
            <w:tcBorders>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sz w:val="21"/>
                <w:szCs w:val="21"/>
                <w:highlight w:val="none"/>
              </w:rPr>
            </w:pPr>
          </w:p>
        </w:tc>
        <w:tc>
          <w:tcPr>
            <w:tcW w:w="744" w:type="dxa"/>
            <w:gridSpan w:val="2"/>
            <w:vMerge w:val="continue"/>
            <w:tcBorders>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sz w:val="21"/>
                <w:szCs w:val="21"/>
                <w:highlight w:val="none"/>
                <w:lang w:val="en-US" w:eastAsia="zh-CN"/>
              </w:rPr>
            </w:pPr>
          </w:p>
        </w:tc>
        <w:tc>
          <w:tcPr>
            <w:tcW w:w="5800"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rPr>
                <w:rFonts w:hint="eastAsia" w:ascii="宋体" w:hAnsi="宋体" w:eastAsia="宋体" w:cs="宋体"/>
                <w:b/>
                <w:bCs/>
                <w:sz w:val="21"/>
                <w:szCs w:val="21"/>
                <w:highlight w:val="none"/>
              </w:rPr>
            </w:pPr>
            <w:r>
              <w:rPr>
                <w:rFonts w:hint="eastAsia" w:ascii="宋体" w:hAnsi="宋体" w:eastAsia="宋体" w:cs="宋体"/>
                <w:bCs/>
                <w:sz w:val="21"/>
                <w:szCs w:val="21"/>
                <w:highlight w:val="none"/>
              </w:rPr>
              <w:t>2.根据供应商拟投入本项目的技术负责人（仅一人）进行评审：</w:t>
            </w:r>
          </w:p>
          <w:p>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具有工业和信息化部全国网络与信息技术部门颁发的高级系统集成项目经理证书的，得2分。</w:t>
            </w:r>
          </w:p>
          <w:p>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②具有信息网络安全部门颁发的信息网络安全专业技术人员证书的，得2分；</w:t>
            </w:r>
          </w:p>
          <w:p>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本小项最高得4分。</w:t>
            </w:r>
          </w:p>
          <w:p>
            <w:pPr>
              <w:spacing w:line="360" w:lineRule="auto"/>
              <w:rPr>
                <w:rFonts w:hint="eastAsia" w:ascii="宋体" w:hAnsi="宋体" w:eastAsia="宋体" w:cs="宋体"/>
                <w:b/>
                <w:sz w:val="21"/>
                <w:szCs w:val="21"/>
                <w:highlight w:val="none"/>
                <w:u w:val="single"/>
                <w:lang w:val="en-US" w:eastAsia="zh-CN" w:bidi="ar-SA"/>
              </w:rPr>
            </w:pPr>
            <w:r>
              <w:rPr>
                <w:rFonts w:hint="eastAsia" w:ascii="宋体" w:hAnsi="宋体" w:eastAsia="宋体" w:cs="宋体"/>
                <w:b/>
                <w:sz w:val="21"/>
                <w:szCs w:val="21"/>
                <w:highlight w:val="none"/>
                <w:u w:val="single"/>
              </w:rPr>
              <w:t>注：须提供以上人员有效证书及社会保障部门出具的距开标（不含）当前月的前3个月</w:t>
            </w:r>
            <w:r>
              <w:rPr>
                <w:rFonts w:hint="eastAsia" w:ascii="宋体" w:hAnsi="宋体" w:eastAsia="宋体" w:cs="宋体"/>
                <w:b/>
                <w:bCs/>
                <w:sz w:val="21"/>
                <w:szCs w:val="21"/>
                <w:highlight w:val="none"/>
                <w:u w:val="single"/>
              </w:rPr>
              <w:t>供应商</w:t>
            </w:r>
            <w:r>
              <w:rPr>
                <w:rFonts w:hint="eastAsia" w:ascii="宋体" w:hAnsi="宋体" w:eastAsia="宋体" w:cs="宋体"/>
                <w:b/>
                <w:sz w:val="21"/>
                <w:szCs w:val="21"/>
                <w:highlight w:val="none"/>
                <w:u w:val="single"/>
              </w:rPr>
              <w:t>为其购买的社保证明复印件加盖</w:t>
            </w:r>
            <w:r>
              <w:rPr>
                <w:rFonts w:hint="eastAsia" w:ascii="宋体" w:hAnsi="宋体" w:eastAsia="宋体" w:cs="宋体"/>
                <w:b/>
                <w:bCs/>
                <w:sz w:val="21"/>
                <w:szCs w:val="21"/>
                <w:highlight w:val="none"/>
              </w:rPr>
              <w:t>供应商</w:t>
            </w:r>
            <w:r>
              <w:rPr>
                <w:rFonts w:hint="eastAsia" w:ascii="宋体" w:hAnsi="宋体" w:eastAsia="宋体" w:cs="宋体"/>
                <w:b/>
                <w:sz w:val="21"/>
                <w:szCs w:val="21"/>
                <w:highlight w:val="none"/>
                <w:u w:val="singl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sz w:val="21"/>
                <w:szCs w:val="21"/>
                <w:highlight w:val="none"/>
              </w:rPr>
            </w:pP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sz w:val="21"/>
                <w:szCs w:val="21"/>
                <w:highlight w:val="none"/>
                <w:lang w:val="en-US" w:eastAsia="zh-CN"/>
              </w:rPr>
            </w:pPr>
          </w:p>
        </w:tc>
        <w:tc>
          <w:tcPr>
            <w:tcW w:w="5800" w:type="dxa"/>
            <w:tcBorders>
              <w:top w:val="single" w:color="auto" w:sz="4" w:space="0"/>
              <w:left w:val="single" w:color="auto" w:sz="4" w:space="0"/>
              <w:bottom w:val="single" w:color="auto" w:sz="4" w:space="0"/>
              <w:right w:val="single" w:color="auto" w:sz="4" w:space="0"/>
            </w:tcBorders>
            <w:vAlign w:val="center"/>
          </w:tcPr>
          <w:p>
            <w:pPr>
              <w:pStyle w:val="75"/>
              <w:spacing w:line="360" w:lineRule="auto"/>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3.根据供应商拟投入的团队人员（除项目负责人、技术负责人外）进行评审：</w:t>
            </w:r>
          </w:p>
          <w:p>
            <w:pPr>
              <w:pStyle w:val="75"/>
              <w:spacing w:line="360" w:lineRule="auto"/>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①具有人力资源和社会保障部门或工业和信息化部门颁发的高级信息系统项目管理师证书的，得2分；</w:t>
            </w:r>
          </w:p>
          <w:p>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本小项最高得2分。</w:t>
            </w:r>
          </w:p>
          <w:p>
            <w:pPr>
              <w:spacing w:line="360" w:lineRule="auto"/>
              <w:rPr>
                <w:rFonts w:hint="eastAsia" w:ascii="宋体" w:hAnsi="宋体" w:eastAsia="宋体" w:cs="宋体"/>
                <w:bCs/>
                <w:sz w:val="21"/>
                <w:szCs w:val="21"/>
                <w:highlight w:val="none"/>
                <w:lang w:val="en-US" w:eastAsia="zh-CN" w:bidi="ar-SA"/>
              </w:rPr>
            </w:pPr>
            <w:r>
              <w:rPr>
                <w:rFonts w:hint="eastAsia" w:ascii="宋体" w:hAnsi="宋体" w:eastAsia="宋体" w:cs="宋体"/>
                <w:b/>
                <w:sz w:val="21"/>
                <w:szCs w:val="21"/>
                <w:highlight w:val="none"/>
                <w:u w:val="single"/>
              </w:rPr>
              <w:t>注：须提供以上人员有效证书及社会保障部门出具的距开标（不含）当前月的前3个月</w:t>
            </w:r>
            <w:r>
              <w:rPr>
                <w:rFonts w:hint="eastAsia" w:ascii="宋体" w:hAnsi="宋体" w:eastAsia="宋体" w:cs="宋体"/>
                <w:b/>
                <w:bCs/>
                <w:sz w:val="21"/>
                <w:szCs w:val="21"/>
                <w:highlight w:val="none"/>
                <w:u w:val="single"/>
              </w:rPr>
              <w:t>供应商</w:t>
            </w:r>
            <w:r>
              <w:rPr>
                <w:rFonts w:hint="eastAsia" w:ascii="宋体" w:hAnsi="宋体" w:eastAsia="宋体" w:cs="宋体"/>
                <w:b/>
                <w:sz w:val="21"/>
                <w:szCs w:val="21"/>
                <w:highlight w:val="none"/>
                <w:u w:val="single"/>
              </w:rPr>
              <w:t>为其购买的社保证明复印件加盖</w:t>
            </w:r>
            <w:r>
              <w:rPr>
                <w:rFonts w:hint="eastAsia" w:ascii="宋体" w:hAnsi="宋体" w:eastAsia="宋体" w:cs="宋体"/>
                <w:b/>
                <w:bCs/>
                <w:sz w:val="21"/>
                <w:szCs w:val="21"/>
                <w:highlight w:val="none"/>
              </w:rPr>
              <w:t>供应商</w:t>
            </w:r>
            <w:r>
              <w:rPr>
                <w:rFonts w:hint="eastAsia" w:ascii="宋体" w:hAnsi="宋体" w:eastAsia="宋体" w:cs="宋体"/>
                <w:b/>
                <w:sz w:val="21"/>
                <w:szCs w:val="21"/>
                <w:highlight w:val="none"/>
                <w:u w:val="singl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技术评分（</w:t>
            </w:r>
            <w:r>
              <w:rPr>
                <w:rFonts w:hint="eastAsia"/>
                <w:b/>
                <w:kern w:val="2"/>
                <w:sz w:val="21"/>
                <w:szCs w:val="21"/>
                <w:highlight w:val="none"/>
                <w:lang w:val="en-US" w:eastAsia="zh-CN"/>
              </w:rPr>
              <w:t>35</w:t>
            </w:r>
            <w:r>
              <w:rPr>
                <w:rFonts w:hint="eastAsia"/>
                <w:b/>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zh-CN" w:eastAsia="zh-CN" w:bidi="ar-SA"/>
              </w:rPr>
            </w:pPr>
            <w:r>
              <w:rPr>
                <w:rFonts w:hint="eastAsia" w:ascii="宋体" w:hAnsi="宋体" w:eastAsia="宋体" w:cs="宋体"/>
                <w:sz w:val="21"/>
                <w:szCs w:val="21"/>
                <w:highlight w:val="none"/>
              </w:rPr>
              <w:t>技术条款响应情况</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1"/>
                <w:szCs w:val="21"/>
                <w:highlight w:val="none"/>
                <w:lang w:val="en-US" w:eastAsia="zh-CN" w:bidi="ar-SA"/>
              </w:rPr>
            </w:pPr>
            <w:r>
              <w:rPr>
                <w:rFonts w:hint="eastAsia" w:hAnsi="宋体" w:cs="宋体"/>
                <w:sz w:val="21"/>
                <w:szCs w:val="21"/>
                <w:highlight w:val="none"/>
                <w:lang w:val="en-US" w:eastAsia="zh-CN"/>
              </w:rPr>
              <w:t>7</w:t>
            </w:r>
            <w:r>
              <w:rPr>
                <w:rFonts w:hint="eastAsia" w:ascii="宋体" w:hAnsi="宋体" w:eastAsia="宋体" w:cs="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6"/>
              <w:rPr>
                <w:rFonts w:hint="eastAsia" w:ascii="宋体" w:hAnsi="宋体" w:eastAsia="宋体" w:cs="宋体"/>
                <w:b/>
                <w:sz w:val="21"/>
                <w:szCs w:val="21"/>
                <w:highlight w:val="none"/>
              </w:rPr>
            </w:pPr>
            <w:r>
              <w:rPr>
                <w:rFonts w:hint="eastAsia" w:ascii="宋体" w:hAnsi="宋体" w:eastAsia="宋体" w:cs="宋体"/>
                <w:sz w:val="21"/>
                <w:szCs w:val="21"/>
                <w:highlight w:val="none"/>
              </w:rPr>
              <w:t>根据供应商对采购需求中带“▲”技术要求条款的响应情况进行评审，若全部响应为满足或优于的得</w:t>
            </w:r>
            <w:r>
              <w:rPr>
                <w:rFonts w:hint="eastAsia" w:hAnsi="宋体" w:cs="宋体"/>
                <w:sz w:val="21"/>
                <w:szCs w:val="21"/>
                <w:highlight w:val="none"/>
                <w:lang w:val="en-US" w:eastAsia="zh-CN"/>
              </w:rPr>
              <w:t>7</w:t>
            </w:r>
            <w:r>
              <w:rPr>
                <w:rFonts w:hint="eastAsia" w:ascii="宋体" w:hAnsi="宋体" w:eastAsia="宋体" w:cs="宋体"/>
                <w:sz w:val="21"/>
                <w:szCs w:val="21"/>
                <w:highlight w:val="none"/>
              </w:rPr>
              <w:t>分，不满足或者不响应的每一个扣1分，扣完为止，本项最低得0分。</w:t>
            </w:r>
          </w:p>
          <w:p>
            <w:pPr>
              <w:spacing w:line="360" w:lineRule="auto"/>
              <w:jc w:val="left"/>
              <w:rPr>
                <w:rFonts w:hint="eastAsia" w:ascii="宋体" w:hAnsi="宋体" w:eastAsia="宋体" w:cs="宋体"/>
                <w:sz w:val="21"/>
                <w:szCs w:val="21"/>
                <w:highlight w:val="none"/>
                <w:lang w:val="zh-CN" w:eastAsia="zh-CN" w:bidi="ar-SA"/>
              </w:rPr>
            </w:pPr>
            <w:r>
              <w:rPr>
                <w:rFonts w:hint="eastAsia" w:ascii="宋体" w:hAnsi="宋体" w:eastAsia="宋体" w:cs="宋体"/>
                <w:b/>
                <w:sz w:val="21"/>
                <w:szCs w:val="21"/>
                <w:highlight w:val="none"/>
                <w:u w:val="single"/>
              </w:rPr>
              <w:t>注：以采购需求中要求提供的材料为准，须提供证明材料复印件加盖供应商公章。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zh-CN" w:eastAsia="zh-CN" w:bidi="ar-SA"/>
              </w:rPr>
            </w:pPr>
            <w:r>
              <w:rPr>
                <w:rFonts w:hint="eastAsia" w:ascii="宋体" w:hAnsi="宋体" w:eastAsia="宋体" w:cs="宋体"/>
                <w:color w:val="000000"/>
                <w:sz w:val="21"/>
                <w:szCs w:val="21"/>
                <w:highlight w:val="none"/>
              </w:rPr>
              <w:t>项目实施方案</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color w:val="000000"/>
                <w:sz w:val="21"/>
                <w:szCs w:val="21"/>
                <w:highlight w:val="none"/>
                <w:lang w:val="zh-CN"/>
              </w:rPr>
              <w:t>10分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根据供应商提供的项目实施方案（包括不限于施工</w:t>
            </w:r>
            <w:r>
              <w:rPr>
                <w:rFonts w:hint="eastAsia" w:ascii="宋体" w:hAnsi="宋体" w:eastAsia="宋体" w:cs="宋体"/>
                <w:bCs/>
                <w:sz w:val="21"/>
                <w:szCs w:val="21"/>
                <w:highlight w:val="none"/>
              </w:rPr>
              <w:t>进度安排、项目验收方案、货物运输及保护措施、</w:t>
            </w:r>
            <w:r>
              <w:rPr>
                <w:rFonts w:hint="eastAsia" w:ascii="宋体" w:hAnsi="宋体" w:eastAsia="宋体" w:cs="宋体"/>
                <w:sz w:val="21"/>
                <w:szCs w:val="21"/>
                <w:highlight w:val="none"/>
              </w:rPr>
              <w:t>安装调试方案、）进行评审：</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①针对本项目特征制定的实施方案的可靠性、可行性、安全性非常高的，进度计划安排非常科学合理，可行性强的，得10分；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②针对本项目特征制定的实施方案的可靠性、可行性、安全性比较高的，进度计划安排比较科学合理，可行性较强的，得6分；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③针对本项目特征制定的实施方案的可靠性、可行性、安全性一般的，进度计划安排基本科学合理，可行性一般的，得3分；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④针对本项目特征制定的实施方案的可靠性、可行性、安全性较差的，进度计划安排比较简单，可行性较差的，得1分；</w:t>
            </w:r>
          </w:p>
          <w:p>
            <w:pPr>
              <w:spacing w:line="360" w:lineRule="auto"/>
              <w:rPr>
                <w:rFonts w:hint="eastAsia" w:ascii="宋体" w:hAnsi="宋体" w:eastAsia="宋体" w:cs="宋体"/>
                <w:sz w:val="21"/>
                <w:szCs w:val="21"/>
                <w:highlight w:val="none"/>
                <w:lang w:val="zh-CN" w:eastAsia="zh-CN" w:bidi="ar-SA"/>
              </w:rPr>
            </w:pPr>
            <w:r>
              <w:rPr>
                <w:rFonts w:hint="eastAsia" w:ascii="宋体" w:hAnsi="宋体" w:eastAsia="宋体" w:cs="宋体"/>
                <w:sz w:val="21"/>
                <w:szCs w:val="21"/>
                <w:highlight w:val="none"/>
              </w:rPr>
              <w:t>⑤未提供对应方案的不得分。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zh-CN" w:eastAsia="zh-CN" w:bidi="ar-SA"/>
              </w:rPr>
            </w:pPr>
            <w:r>
              <w:rPr>
                <w:rFonts w:hint="eastAsia" w:ascii="宋体" w:hAnsi="宋体" w:eastAsia="宋体" w:cs="宋体"/>
                <w:sz w:val="21"/>
                <w:szCs w:val="21"/>
                <w:highlight w:val="none"/>
              </w:rPr>
              <w:t>货物质量可靠性</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168"/>
              <w:keepNext w:val="0"/>
              <w:tabs>
                <w:tab w:val="left" w:pos="585"/>
                <w:tab w:val="left" w:pos="680"/>
              </w:tabs>
              <w:spacing w:after="48" w:line="360" w:lineRule="auto"/>
              <w:ind w:right="0" w:rightChars="0"/>
              <w:jc w:val="center"/>
              <w:rPr>
                <w:rFonts w:hint="eastAsia" w:ascii="宋体" w:hAnsi="宋体" w:eastAsia="宋体" w:cs="宋体"/>
                <w:b w:val="0"/>
                <w:bCs w:val="0"/>
                <w:kern w:val="2"/>
                <w:sz w:val="21"/>
                <w:szCs w:val="21"/>
                <w:highlight w:val="none"/>
                <w:lang w:val="en-US" w:eastAsia="zh-CN" w:bidi="ar-SA"/>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根据投标人货物质量可靠性等情况进行综合评价：</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①投标货物的质量可靠性高，货物制造技术、制造设备、生产工艺达到行业内高水平，使用材料与部件等方面行业高质量，得</w:t>
            </w:r>
            <w:r>
              <w:rPr>
                <w:rFonts w:hint="eastAsia" w:hAnsi="宋体" w:cs="宋体"/>
                <w:sz w:val="21"/>
                <w:szCs w:val="21"/>
                <w:highlight w:val="none"/>
                <w:lang w:val="en-US" w:eastAsia="zh-CN"/>
              </w:rPr>
              <w:t>6</w:t>
            </w:r>
            <w:r>
              <w:rPr>
                <w:rFonts w:hint="eastAsia" w:ascii="宋体" w:hAnsi="宋体" w:eastAsia="宋体" w:cs="宋体"/>
                <w:sz w:val="21"/>
                <w:szCs w:val="21"/>
                <w:highlight w:val="none"/>
              </w:rPr>
              <w:t>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②投标货物的质量可靠性较高，货物制造技术、制造设备、生产工艺达到行业内较高水平，使用材料与部件等方面行业较高质量，得3分；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③投标货物的质量可靠性一般，货物制造技术、制造设备、生产工艺一般，使用材料与部件等方面质量一般，得1分；</w:t>
            </w:r>
          </w:p>
          <w:p>
            <w:pPr>
              <w:spacing w:before="31" w:beforeLines="10" w:after="30" w:line="360" w:lineRule="auto"/>
              <w:rPr>
                <w:rFonts w:hint="eastAsia" w:ascii="宋体" w:hAnsi="宋体" w:eastAsia="宋体" w:cs="宋体"/>
                <w:sz w:val="21"/>
                <w:szCs w:val="21"/>
                <w:highlight w:val="none"/>
                <w:lang w:val="zh-CN" w:eastAsia="zh-CN" w:bidi="ar-SA"/>
              </w:rPr>
            </w:pPr>
            <w:r>
              <w:rPr>
                <w:rFonts w:hint="eastAsia" w:ascii="宋体" w:hAnsi="宋体" w:eastAsia="宋体" w:cs="宋体"/>
                <w:sz w:val="21"/>
                <w:szCs w:val="21"/>
                <w:highlight w:val="none"/>
              </w:rPr>
              <w:t>④未提供项目方案的不得分。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4</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1"/>
                <w:szCs w:val="21"/>
                <w:highlight w:val="none"/>
                <w:lang w:val="en-US" w:eastAsia="zh-CN" w:bidi="ar-SA"/>
              </w:rPr>
            </w:pPr>
            <w:r>
              <w:rPr>
                <w:rFonts w:hint="eastAsia" w:ascii="宋体" w:hAnsi="宋体" w:eastAsia="宋体" w:cs="宋体"/>
                <w:sz w:val="21"/>
                <w:szCs w:val="21"/>
                <w:highlight w:val="none"/>
                <w:lang w:bidi="ar"/>
              </w:rPr>
              <w:t>质量保证措施方案</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1"/>
                <w:szCs w:val="21"/>
                <w:highlight w:val="none"/>
                <w:lang w:val="en-US" w:eastAsia="zh-CN" w:bidi="ar-SA"/>
              </w:rPr>
            </w:pPr>
            <w:r>
              <w:rPr>
                <w:rFonts w:hint="eastAsia"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zh-CN"/>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根据供应商提供质量保证措施方案（包括但不限于质量目标、项目质量的控制、质量保证措施等）进行评审：</w:t>
            </w:r>
          </w:p>
          <w:p>
            <w:pPr>
              <w:spacing w:line="360" w:lineRule="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①质量目标非常明确、对项目质量的控制非常详细、检验手段非常科学，</w:t>
            </w:r>
            <w:r>
              <w:rPr>
                <w:rFonts w:hint="eastAsia" w:ascii="宋体" w:hAnsi="宋体" w:eastAsia="宋体" w:cs="宋体"/>
                <w:sz w:val="21"/>
                <w:szCs w:val="21"/>
                <w:highlight w:val="none"/>
              </w:rPr>
              <w:t>质量保证措施非常具体，可行的，</w:t>
            </w:r>
            <w:r>
              <w:rPr>
                <w:rFonts w:hint="eastAsia" w:ascii="宋体" w:hAnsi="宋体" w:eastAsia="宋体" w:cs="宋体"/>
                <w:spacing w:val="-2"/>
                <w:sz w:val="21"/>
                <w:szCs w:val="21"/>
                <w:highlight w:val="none"/>
              </w:rPr>
              <w:t>得</w:t>
            </w:r>
            <w:r>
              <w:rPr>
                <w:rFonts w:hint="eastAsia" w:hAnsi="宋体" w:cs="宋体"/>
                <w:spacing w:val="-2"/>
                <w:sz w:val="21"/>
                <w:szCs w:val="21"/>
                <w:highlight w:val="none"/>
                <w:lang w:val="en-US" w:eastAsia="zh-CN"/>
              </w:rPr>
              <w:t>6</w:t>
            </w:r>
            <w:r>
              <w:rPr>
                <w:rFonts w:hint="eastAsia" w:ascii="宋体" w:hAnsi="宋体" w:eastAsia="宋体" w:cs="宋体"/>
                <w:spacing w:val="-2"/>
                <w:sz w:val="21"/>
                <w:szCs w:val="21"/>
                <w:highlight w:val="none"/>
              </w:rPr>
              <w:t>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②质量目标比较明确、对项目质量的控制较为详细、检验手段比较科学，质量保证措施比较具体，可行的，得3分；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③质量目标基本明确、对项目质量的控制详细程度一般、检验手段科学性一般，质量保证措施基本具体，可行的，得2分；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4 \* GB3</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④</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质量目标基本明确、对项目质量的控制详细程度一般、检验手段科学性较差，质量保证措施不够具体，可行性较差的，得1分；</w:t>
            </w:r>
          </w:p>
          <w:p>
            <w:pPr>
              <w:spacing w:line="360" w:lineRule="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⑤未提供对应方案的不得分。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5</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1"/>
                <w:szCs w:val="21"/>
                <w:highlight w:val="none"/>
                <w:lang w:val="en-US" w:eastAsia="zh-CN" w:bidi="ar-SA"/>
              </w:rPr>
            </w:pPr>
            <w:r>
              <w:rPr>
                <w:rFonts w:hint="eastAsia" w:ascii="宋体" w:hAnsi="宋体" w:eastAsia="宋体" w:cs="宋体"/>
                <w:color w:val="000000"/>
                <w:sz w:val="21"/>
                <w:szCs w:val="21"/>
                <w:highlight w:val="none"/>
              </w:rPr>
              <w:t>售后服务方案</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1"/>
                <w:szCs w:val="21"/>
                <w:highlight w:val="none"/>
                <w:lang w:val="en-US" w:eastAsia="zh-CN" w:bidi="ar-SA"/>
              </w:rPr>
            </w:pPr>
            <w:r>
              <w:rPr>
                <w:rFonts w:hint="eastAsia"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pStyle w:val="168"/>
              <w:keepNext w:val="0"/>
              <w:tabs>
                <w:tab w:val="left" w:pos="585"/>
                <w:tab w:val="left" w:pos="680"/>
              </w:tabs>
              <w:spacing w:after="0" w:line="360" w:lineRule="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根据供应商提供的售后服务方案（包括不限于</w:t>
            </w:r>
            <w:r>
              <w:rPr>
                <w:rFonts w:hint="eastAsia" w:ascii="宋体" w:hAnsi="宋体" w:eastAsia="宋体" w:cs="宋体"/>
                <w:bCs/>
                <w:sz w:val="21"/>
                <w:szCs w:val="21"/>
                <w:highlight w:val="none"/>
              </w:rPr>
              <w:t>质保期、应急维修时间安排、质保期外的维修服务收费标准、售后服务人员配置安排</w:t>
            </w:r>
            <w:r>
              <w:rPr>
                <w:rFonts w:hint="eastAsia" w:ascii="宋体" w:hAnsi="宋体" w:eastAsia="宋体" w:cs="宋体"/>
                <w:color w:val="000000"/>
                <w:sz w:val="21"/>
                <w:szCs w:val="21"/>
                <w:highlight w:val="none"/>
              </w:rPr>
              <w:t>）进行评审：</w:t>
            </w:r>
          </w:p>
          <w:p>
            <w:pPr>
              <w:pStyle w:val="168"/>
              <w:keepNext w:val="0"/>
              <w:tabs>
                <w:tab w:val="left" w:pos="585"/>
                <w:tab w:val="left" w:pos="680"/>
              </w:tabs>
              <w:spacing w:after="0"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w:t>
            </w:r>
            <w:r>
              <w:rPr>
                <w:rFonts w:hint="eastAsia" w:ascii="宋体" w:hAnsi="宋体" w:eastAsia="宋体" w:cs="宋体"/>
                <w:bCs/>
                <w:sz w:val="21"/>
                <w:szCs w:val="21"/>
                <w:highlight w:val="none"/>
              </w:rPr>
              <w:t>质保期完全</w:t>
            </w:r>
            <w:r>
              <w:rPr>
                <w:rFonts w:hint="eastAsia" w:ascii="宋体" w:hAnsi="宋体" w:eastAsia="宋体" w:cs="宋体"/>
                <w:color w:val="000000"/>
                <w:sz w:val="21"/>
                <w:szCs w:val="21"/>
                <w:highlight w:val="none"/>
              </w:rPr>
              <w:t>满足或承诺优于采购需求，售后方案非常具体详细，应急维修响应非常迅速，</w:t>
            </w:r>
            <w:r>
              <w:rPr>
                <w:rFonts w:hint="eastAsia" w:ascii="宋体" w:hAnsi="宋体" w:eastAsia="宋体" w:cs="宋体"/>
                <w:bCs/>
                <w:sz w:val="21"/>
                <w:szCs w:val="21"/>
                <w:highlight w:val="none"/>
              </w:rPr>
              <w:t>质保期外的维修服务收费标准非常明确，服务人员配置安排非常合理、可行的，得</w:t>
            </w:r>
            <w:r>
              <w:rPr>
                <w:rFonts w:hint="eastAsia" w:ascii="宋体" w:hAnsi="宋体" w:cs="宋体"/>
                <w:bCs/>
                <w:sz w:val="21"/>
                <w:szCs w:val="21"/>
                <w:highlight w:val="none"/>
                <w:lang w:val="en-US" w:eastAsia="zh-CN"/>
              </w:rPr>
              <w:t>6</w:t>
            </w:r>
            <w:r>
              <w:rPr>
                <w:rFonts w:hint="eastAsia" w:ascii="宋体" w:hAnsi="宋体" w:eastAsia="宋体" w:cs="宋体"/>
                <w:bCs/>
                <w:sz w:val="21"/>
                <w:szCs w:val="21"/>
                <w:highlight w:val="none"/>
              </w:rPr>
              <w:t>分；</w:t>
            </w:r>
          </w:p>
          <w:p>
            <w:pPr>
              <w:pStyle w:val="168"/>
              <w:keepNext w:val="0"/>
              <w:tabs>
                <w:tab w:val="left" w:pos="585"/>
                <w:tab w:val="left" w:pos="680"/>
              </w:tabs>
              <w:spacing w:after="0"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w:t>
            </w:r>
            <w:r>
              <w:rPr>
                <w:rFonts w:hint="eastAsia" w:ascii="宋体" w:hAnsi="宋体" w:eastAsia="宋体" w:cs="宋体"/>
                <w:bCs/>
                <w:sz w:val="21"/>
                <w:szCs w:val="21"/>
                <w:highlight w:val="none"/>
              </w:rPr>
              <w:t>质保期</w:t>
            </w:r>
            <w:r>
              <w:rPr>
                <w:rFonts w:hint="eastAsia" w:ascii="宋体" w:hAnsi="宋体" w:eastAsia="宋体" w:cs="宋体"/>
                <w:color w:val="000000"/>
                <w:sz w:val="21"/>
                <w:szCs w:val="21"/>
                <w:highlight w:val="none"/>
              </w:rPr>
              <w:t>满足采购需求，售后方案比较具体详细，应急维修响应迅速，</w:t>
            </w:r>
            <w:r>
              <w:rPr>
                <w:rFonts w:hint="eastAsia" w:ascii="宋体" w:hAnsi="宋体" w:eastAsia="宋体" w:cs="宋体"/>
                <w:bCs/>
                <w:sz w:val="21"/>
                <w:szCs w:val="21"/>
                <w:highlight w:val="none"/>
              </w:rPr>
              <w:t>质保期外的维修服务收费标准比较明确，服务人员配置安排比较合理、可行的，得3分；</w:t>
            </w:r>
          </w:p>
          <w:p>
            <w:pPr>
              <w:pStyle w:val="168"/>
              <w:keepNext w:val="0"/>
              <w:tabs>
                <w:tab w:val="left" w:pos="585"/>
                <w:tab w:val="left" w:pos="680"/>
              </w:tabs>
              <w:spacing w:after="0"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w:t>
            </w:r>
            <w:r>
              <w:rPr>
                <w:rFonts w:hint="eastAsia" w:ascii="宋体" w:hAnsi="宋体" w:eastAsia="宋体" w:cs="宋体"/>
                <w:bCs/>
                <w:sz w:val="21"/>
                <w:szCs w:val="21"/>
                <w:highlight w:val="none"/>
              </w:rPr>
              <w:t>质保期</w:t>
            </w:r>
            <w:r>
              <w:rPr>
                <w:rFonts w:hint="eastAsia" w:ascii="宋体" w:hAnsi="宋体" w:eastAsia="宋体" w:cs="宋体"/>
                <w:color w:val="000000"/>
                <w:sz w:val="21"/>
                <w:szCs w:val="21"/>
                <w:highlight w:val="none"/>
              </w:rPr>
              <w:t>满足采购需求，售后方案基本具体详细，应急维修响应速度一般，</w:t>
            </w:r>
            <w:r>
              <w:rPr>
                <w:rFonts w:hint="eastAsia" w:ascii="宋体" w:hAnsi="宋体" w:eastAsia="宋体" w:cs="宋体"/>
                <w:bCs/>
                <w:sz w:val="21"/>
                <w:szCs w:val="21"/>
                <w:highlight w:val="none"/>
              </w:rPr>
              <w:t>质保期外的维修服务收费标准基本明确，服务人员配置安排基本合理、可行的，得2分</w:t>
            </w:r>
            <w:r>
              <w:rPr>
                <w:rFonts w:hint="eastAsia" w:ascii="宋体" w:hAnsi="宋体" w:eastAsia="宋体" w:cs="宋体"/>
                <w:color w:val="000000"/>
                <w:sz w:val="21"/>
                <w:szCs w:val="21"/>
                <w:highlight w:val="none"/>
              </w:rPr>
              <w:t>；</w:t>
            </w:r>
          </w:p>
          <w:p>
            <w:pPr>
              <w:pStyle w:val="75"/>
              <w:spacing w:line="360" w:lineRule="auto"/>
              <w:ind w:firstLine="0" w:firstLineChars="0"/>
              <w:jc w:val="left"/>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④</w:t>
            </w:r>
            <w:r>
              <w:rPr>
                <w:rFonts w:hint="eastAsia" w:ascii="宋体" w:hAnsi="宋体" w:eastAsia="宋体" w:cs="宋体"/>
                <w:bCs/>
                <w:color w:val="000000"/>
                <w:sz w:val="21"/>
                <w:szCs w:val="21"/>
                <w:highlight w:val="none"/>
              </w:rPr>
              <w:t>质保期</w:t>
            </w:r>
            <w:r>
              <w:rPr>
                <w:rFonts w:hint="eastAsia" w:ascii="宋体" w:hAnsi="宋体" w:eastAsia="宋体" w:cs="宋体"/>
                <w:color w:val="000000"/>
                <w:sz w:val="21"/>
                <w:szCs w:val="21"/>
                <w:highlight w:val="none"/>
              </w:rPr>
              <w:t>满足采购需求，但售后方案简略，应急维修响应速度不明确，</w:t>
            </w:r>
            <w:r>
              <w:rPr>
                <w:rFonts w:hint="eastAsia" w:ascii="宋体" w:hAnsi="宋体" w:eastAsia="宋体" w:cs="宋体"/>
                <w:bCs/>
                <w:color w:val="000000"/>
                <w:sz w:val="21"/>
                <w:szCs w:val="21"/>
                <w:highlight w:val="none"/>
              </w:rPr>
              <w:t>服务人员配置安排可行性较低的，得1分</w:t>
            </w:r>
            <w:r>
              <w:rPr>
                <w:rFonts w:hint="eastAsia" w:ascii="宋体" w:hAnsi="宋体" w:eastAsia="宋体" w:cs="宋体"/>
                <w:color w:val="000000"/>
                <w:sz w:val="21"/>
                <w:szCs w:val="21"/>
                <w:highlight w:val="none"/>
              </w:rPr>
              <w:t>；</w:t>
            </w:r>
          </w:p>
          <w:p>
            <w:pPr>
              <w:pStyle w:val="75"/>
              <w:spacing w:line="360" w:lineRule="auto"/>
              <w:ind w:firstLine="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color w:val="000000"/>
                <w:sz w:val="21"/>
                <w:szCs w:val="21"/>
                <w:highlight w:val="none"/>
              </w:rPr>
              <w:t>⑤未提供对应方案的不得分。</w:t>
            </w:r>
          </w:p>
        </w:tc>
      </w:tr>
    </w:tbl>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注：</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（1）上证明文件均提供加盖公章复印件。</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sz w:val="21"/>
          <w:szCs w:val="21"/>
          <w:highlight w:val="none"/>
        </w:rPr>
      </w:pPr>
      <w:r>
        <w:rPr>
          <w:rFonts w:hint="eastAsia" w:hAnsi="宋体"/>
          <w:bCs/>
          <w:sz w:val="21"/>
          <w:szCs w:val="21"/>
          <w:highlight w:val="none"/>
        </w:rPr>
        <w:t>（3）若成交将在发放成交通知书前逐一核对核查原件，请勿提供虚假、过期材料，否则将依据相关规定严肃处理。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四、技术评审</w:t>
      </w:r>
    </w:p>
    <w:p>
      <w:pPr>
        <w:spacing w:line="360" w:lineRule="auto"/>
        <w:ind w:firstLine="420" w:firstLineChars="200"/>
        <w:rPr>
          <w:rFonts w:hAnsi="宋体"/>
          <w:bCs/>
          <w:sz w:val="21"/>
          <w:szCs w:val="21"/>
          <w:highlight w:val="none"/>
        </w:rPr>
      </w:pPr>
      <w:r>
        <w:rPr>
          <w:rFonts w:hint="eastAsia" w:hAnsi="宋体"/>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2.将每一个磋商小组成员的评分汇总，取其算术平均值，为该供应商的技术评定得分。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五、商务评审</w:t>
      </w:r>
    </w:p>
    <w:p>
      <w:pPr>
        <w:pStyle w:val="28"/>
        <w:spacing w:line="360" w:lineRule="auto"/>
        <w:ind w:firstLine="420" w:firstLineChars="200"/>
        <w:rPr>
          <w:rFonts w:hAnsi="宋体"/>
          <w:szCs w:val="21"/>
          <w:highlight w:val="none"/>
        </w:rPr>
      </w:pPr>
      <w:r>
        <w:rPr>
          <w:rFonts w:hint="eastAsia" w:hAnsi="宋体"/>
          <w:szCs w:val="21"/>
          <w:highlight w:val="none"/>
        </w:rPr>
        <w:t>1.由磋商小组评价每个供应商的商务条件，填写《商务评分表》。</w:t>
      </w:r>
    </w:p>
    <w:p>
      <w:pPr>
        <w:pStyle w:val="28"/>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2.将每一个磋商小组成员的评分汇总，取其算术平均值，为该供应商的商务得分。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六、报价评审</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1.3当分项之和与总价不一致时，以单价为准，并修正总价。</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2.价格评分：</w:t>
      </w:r>
    </w:p>
    <w:p>
      <w:pPr>
        <w:spacing w:line="360" w:lineRule="auto"/>
        <w:ind w:firstLine="420" w:firstLineChars="200"/>
        <w:rPr>
          <w:rFonts w:hAnsi="宋体"/>
          <w:sz w:val="21"/>
          <w:szCs w:val="21"/>
          <w:highlight w:val="none"/>
        </w:rPr>
      </w:pPr>
      <w:r>
        <w:rPr>
          <w:rFonts w:hint="eastAsia" w:hAnsi="宋体"/>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szCs w:val="21"/>
          <w:highlight w:val="none"/>
        </w:rPr>
      </w:pPr>
    </w:p>
    <w:p>
      <w:pPr>
        <w:pStyle w:val="28"/>
        <w:tabs>
          <w:tab w:val="left" w:pos="1365"/>
        </w:tabs>
        <w:spacing w:line="360" w:lineRule="auto"/>
        <w:ind w:left="16" w:firstLine="422" w:firstLineChars="200"/>
        <w:rPr>
          <w:rFonts w:hAnsi="宋体"/>
          <w:b/>
          <w:szCs w:val="21"/>
          <w:highlight w:val="none"/>
        </w:rPr>
      </w:pPr>
      <w:r>
        <w:rPr>
          <w:rFonts w:hint="eastAsia" w:hAnsi="宋体"/>
          <w:b/>
          <w:szCs w:val="21"/>
          <w:highlight w:val="none"/>
        </w:rPr>
        <w:t>七、综合得分的计算</w:t>
      </w:r>
    </w:p>
    <w:p>
      <w:pPr>
        <w:spacing w:line="360" w:lineRule="auto"/>
        <w:ind w:firstLine="420" w:firstLineChars="200"/>
        <w:rPr>
          <w:rFonts w:hAnsi="宋体"/>
          <w:sz w:val="21"/>
          <w:szCs w:val="21"/>
          <w:highlight w:val="none"/>
        </w:rPr>
      </w:pPr>
      <w:r>
        <w:rPr>
          <w:rFonts w:hint="eastAsia" w:hAnsi="宋体"/>
          <w:sz w:val="21"/>
          <w:szCs w:val="21"/>
          <w:highlight w:val="none"/>
        </w:rPr>
        <w:t>1.综合得分=技术评审得分+商务评审得分+磋商报价得分。</w:t>
      </w:r>
    </w:p>
    <w:p>
      <w:pPr>
        <w:spacing w:line="360" w:lineRule="auto"/>
        <w:ind w:firstLine="420" w:firstLineChars="200"/>
        <w:rPr>
          <w:rFonts w:hAnsi="宋体"/>
          <w:sz w:val="21"/>
          <w:szCs w:val="21"/>
          <w:highlight w:val="none"/>
        </w:rPr>
      </w:pPr>
      <w:r>
        <w:rPr>
          <w:rFonts w:hint="eastAsia" w:hAnsi="宋体"/>
          <w:sz w:val="21"/>
          <w:szCs w:val="21"/>
          <w:highlight w:val="none"/>
        </w:rPr>
        <w:t>2.评审顺序按照顺序进行评审。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highlight w:val="none"/>
          <w:lang w:val="zh-CN"/>
        </w:rPr>
      </w:pPr>
    </w:p>
    <w:p>
      <w:pPr>
        <w:pStyle w:val="4"/>
        <w:keepNext/>
        <w:keepLines/>
        <w:pageBreakBefore/>
        <w:numPr>
          <w:ilvl w:val="0"/>
          <w:numId w:val="14"/>
        </w:numPr>
        <w:spacing w:line="360" w:lineRule="auto"/>
        <w:jc w:val="center"/>
        <w:rPr>
          <w:rFonts w:hAnsi="宋体"/>
          <w:b/>
          <w:bCs/>
          <w:highlight w:val="none"/>
        </w:rPr>
      </w:pPr>
      <w:bookmarkStart w:id="145" w:name="_Toc15636"/>
      <w:r>
        <w:rPr>
          <w:rFonts w:hint="eastAsia" w:hAnsi="宋体"/>
          <w:b/>
          <w:bCs/>
          <w:kern w:val="44"/>
          <w:sz w:val="28"/>
          <w:szCs w:val="28"/>
          <w:highlight w:val="none"/>
          <w:lang w:val="zh-CN"/>
        </w:rPr>
        <w:t>合同条款格式</w:t>
      </w:r>
      <w:bookmarkEnd w:id="145"/>
    </w:p>
    <w:p>
      <w:pPr>
        <w:rPr>
          <w:highlight w:val="none"/>
        </w:rPr>
      </w:pPr>
    </w:p>
    <w:p>
      <w:pPr>
        <w:jc w:val="center"/>
        <w:rPr>
          <w:rFonts w:hAnsi="宋体"/>
          <w:b/>
          <w:sz w:val="52"/>
          <w:szCs w:val="52"/>
          <w:highlight w:val="none"/>
        </w:rPr>
      </w:pPr>
      <w:r>
        <w:rPr>
          <w:rFonts w:hint="eastAsia" w:hAnsi="宋体"/>
          <w:b/>
          <w:sz w:val="52"/>
          <w:szCs w:val="52"/>
          <w:highlight w:val="none"/>
        </w:rPr>
        <w:t>合  同  书</w:t>
      </w:r>
    </w:p>
    <w:p>
      <w:pPr>
        <w:jc w:val="center"/>
        <w:rPr>
          <w:rFonts w:hAnsi="宋体"/>
          <w:b/>
          <w:sz w:val="52"/>
          <w:szCs w:val="52"/>
          <w:highlight w:val="none"/>
        </w:rPr>
      </w:pPr>
    </w:p>
    <w:p>
      <w:pPr>
        <w:jc w:val="center"/>
        <w:rPr>
          <w:rFonts w:hAnsi="宋体"/>
          <w:highlight w:val="none"/>
        </w:rPr>
      </w:pPr>
    </w:p>
    <w:p>
      <w:pPr>
        <w:jc w:val="center"/>
        <w:rPr>
          <w:rFonts w:ascii="黑体" w:hAnsi="宋体" w:eastAsia="黑体"/>
          <w:b/>
          <w:sz w:val="48"/>
          <w:highlight w:val="none"/>
        </w:rPr>
      </w:pPr>
    </w:p>
    <w:p>
      <w:pPr>
        <w:jc w:val="center"/>
        <w:rPr>
          <w:rFonts w:hAnsi="宋体"/>
          <w:sz w:val="48"/>
          <w:highlight w:val="none"/>
        </w:rPr>
      </w:pPr>
      <w:r>
        <w:rPr>
          <w:rFonts w:hint="eastAsia" w:hAnsi="宋体"/>
          <w:sz w:val="48"/>
          <w:highlight w:val="none"/>
        </w:rPr>
        <w:t xml:space="preserve">  </w:t>
      </w:r>
    </w:p>
    <w:p>
      <w:pPr>
        <w:jc w:val="center"/>
        <w:rPr>
          <w:rFonts w:hAnsi="宋体"/>
          <w:sz w:val="48"/>
          <w:highlight w:val="none"/>
        </w:rPr>
      </w:pPr>
    </w:p>
    <w:p>
      <w:pPr>
        <w:jc w:val="center"/>
        <w:rPr>
          <w:rFonts w:hAnsi="宋体"/>
          <w:sz w:val="48"/>
          <w:highlight w:val="none"/>
        </w:rPr>
      </w:pPr>
    </w:p>
    <w:p>
      <w:pPr>
        <w:jc w:val="center"/>
        <w:rPr>
          <w:rFonts w:hAnsi="宋体"/>
          <w:sz w:val="48"/>
          <w:highlight w:val="none"/>
        </w:rPr>
      </w:pPr>
    </w:p>
    <w:p>
      <w:pPr>
        <w:jc w:val="center"/>
        <w:rPr>
          <w:rFonts w:hAnsi="宋体"/>
          <w:sz w:val="44"/>
          <w:szCs w:val="21"/>
          <w:highlight w:val="none"/>
        </w:rPr>
      </w:pPr>
    </w:p>
    <w:p>
      <w:pPr>
        <w:spacing w:line="360" w:lineRule="auto"/>
        <w:ind w:firstLine="1680" w:firstLineChars="525"/>
        <w:rPr>
          <w:rFonts w:hAnsi="宋体"/>
          <w:sz w:val="32"/>
          <w:highlight w:val="none"/>
          <w:u w:val="single"/>
        </w:rPr>
      </w:pPr>
      <w:r>
        <w:rPr>
          <w:rFonts w:hint="eastAsia" w:hAnsi="宋体"/>
          <w:sz w:val="32"/>
          <w:highlight w:val="none"/>
        </w:rPr>
        <w:t>项目名称：</w:t>
      </w:r>
      <w:r>
        <w:rPr>
          <w:rFonts w:hAnsi="宋体"/>
          <w:sz w:val="32"/>
          <w:highlight w:val="none"/>
          <w:u w:val="single"/>
        </w:rPr>
        <w:t xml:space="preserve">                   </w:t>
      </w:r>
      <w:r>
        <w:rPr>
          <w:rFonts w:hAnsi="宋体"/>
          <w:highlight w:val="none"/>
          <w:u w:val="single"/>
        </w:rPr>
        <w:t xml:space="preserve">        </w:t>
      </w:r>
      <w:r>
        <w:rPr>
          <w:highlight w:val="none"/>
          <w:u w:val="single"/>
        </w:rPr>
        <w:t xml:space="preserve">    </w:t>
      </w:r>
    </w:p>
    <w:p>
      <w:pPr>
        <w:spacing w:line="360" w:lineRule="auto"/>
        <w:ind w:firstLine="1478" w:firstLineChars="462"/>
        <w:rPr>
          <w:rFonts w:hAnsi="宋体"/>
          <w:sz w:val="32"/>
          <w:highlight w:val="none"/>
          <w:u w:val="single"/>
        </w:rPr>
      </w:pPr>
      <w:r>
        <w:rPr>
          <w:rFonts w:hint="eastAsia" w:hAnsi="宋体"/>
          <w:sz w:val="32"/>
          <w:highlight w:val="none"/>
        </w:rPr>
        <w:t xml:space="preserve"> 合同编号：</w:t>
      </w:r>
      <w:r>
        <w:rPr>
          <w:rFonts w:hAnsi="宋体"/>
          <w:sz w:val="32"/>
          <w:highlight w:val="none"/>
          <w:u w:val="single"/>
        </w:rPr>
        <w:t xml:space="preserve">                       </w:t>
      </w:r>
    </w:p>
    <w:p>
      <w:pPr>
        <w:spacing w:line="360" w:lineRule="auto"/>
        <w:ind w:firstLine="1478" w:firstLineChars="462"/>
        <w:rPr>
          <w:rFonts w:hAnsi="宋体"/>
          <w:sz w:val="32"/>
          <w:highlight w:val="none"/>
          <w:u w:val="single"/>
        </w:rPr>
      </w:pPr>
      <w:r>
        <w:rPr>
          <w:rFonts w:hAnsi="宋体"/>
          <w:sz w:val="32"/>
          <w:highlight w:val="none"/>
        </w:rPr>
        <w:t xml:space="preserve"> </w:t>
      </w:r>
      <w:r>
        <w:rPr>
          <w:rFonts w:hint="eastAsia" w:hAnsi="宋体"/>
          <w:sz w:val="32"/>
          <w:highlight w:val="none"/>
        </w:rPr>
        <w:t>签订地点：</w:t>
      </w:r>
      <w:r>
        <w:rPr>
          <w:rFonts w:hAnsi="宋体"/>
          <w:sz w:val="32"/>
          <w:highlight w:val="none"/>
          <w:u w:val="single"/>
        </w:rPr>
        <w:t xml:space="preserve">              </w:t>
      </w:r>
      <w:r>
        <w:rPr>
          <w:rFonts w:hAnsi="宋体"/>
          <w:highlight w:val="none"/>
          <w:u w:val="single"/>
        </w:rPr>
        <w:t xml:space="preserve">     </w:t>
      </w:r>
      <w:r>
        <w:rPr>
          <w:rFonts w:hAnsi="宋体"/>
          <w:sz w:val="32"/>
          <w:highlight w:val="none"/>
          <w:u w:val="single"/>
        </w:rPr>
        <w:t xml:space="preserve">          </w:t>
      </w:r>
    </w:p>
    <w:p>
      <w:pPr>
        <w:ind w:firstLine="1478" w:firstLineChars="462"/>
        <w:jc w:val="center"/>
        <w:rPr>
          <w:rFonts w:hAnsi="宋体"/>
          <w:sz w:val="32"/>
          <w:highlight w:val="none"/>
        </w:rPr>
      </w:pPr>
    </w:p>
    <w:p>
      <w:pPr>
        <w:rPr>
          <w:rFonts w:hAnsi="宋体"/>
          <w:sz w:val="22"/>
          <w:highlight w:val="none"/>
        </w:rPr>
      </w:pPr>
    </w:p>
    <w:p>
      <w:pPr>
        <w:rPr>
          <w:rFonts w:hAnsi="宋体"/>
          <w:sz w:val="32"/>
          <w:highlight w:val="none"/>
        </w:rPr>
      </w:pPr>
    </w:p>
    <w:p>
      <w:pPr>
        <w:tabs>
          <w:tab w:val="left" w:pos="0"/>
        </w:tabs>
        <w:spacing w:line="360" w:lineRule="auto"/>
        <w:jc w:val="center"/>
        <w:rPr>
          <w:rFonts w:hAnsi="宋体"/>
          <w:sz w:val="32"/>
          <w:highlight w:val="none"/>
        </w:rPr>
      </w:pPr>
      <w:r>
        <w:rPr>
          <w:rFonts w:hint="eastAsia" w:hAnsi="宋体"/>
          <w:sz w:val="32"/>
          <w:highlight w:val="none"/>
        </w:rPr>
        <w:t>二○    年</w:t>
      </w:r>
      <w:r>
        <w:rPr>
          <w:rFonts w:hAnsi="宋体"/>
          <w:sz w:val="32"/>
          <w:highlight w:val="none"/>
        </w:rPr>
        <w:t xml:space="preserve">    月    日</w:t>
      </w: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spacing w:line="440" w:lineRule="exact"/>
        <w:rPr>
          <w:rFonts w:hAnsi="宋体"/>
          <w:sz w:val="21"/>
          <w:szCs w:val="21"/>
          <w:highlight w:val="none"/>
        </w:rPr>
      </w:pPr>
      <w:r>
        <w:rPr>
          <w:rFonts w:hint="eastAsia" w:hAnsi="宋体"/>
          <w:sz w:val="21"/>
          <w:szCs w:val="21"/>
          <w:highlight w:val="none"/>
        </w:rPr>
        <w:t xml:space="preserve">甲方：（采购人）                     </w:t>
      </w:r>
    </w:p>
    <w:p>
      <w:pPr>
        <w:spacing w:line="440" w:lineRule="exact"/>
        <w:rPr>
          <w:rFonts w:hAnsi="宋体"/>
          <w:sz w:val="21"/>
          <w:szCs w:val="21"/>
          <w:highlight w:val="none"/>
        </w:rPr>
      </w:pPr>
      <w:r>
        <w:rPr>
          <w:rFonts w:hint="eastAsia" w:hAnsi="宋体"/>
          <w:sz w:val="21"/>
          <w:szCs w:val="21"/>
          <w:highlight w:val="none"/>
        </w:rPr>
        <w:t>乙方：（成交人）</w:t>
      </w:r>
    </w:p>
    <w:p>
      <w:pPr>
        <w:spacing w:line="440" w:lineRule="exact"/>
        <w:ind w:firstLine="420" w:firstLineChars="200"/>
        <w:rPr>
          <w:rFonts w:hAnsi="宋体"/>
          <w:sz w:val="21"/>
          <w:szCs w:val="21"/>
          <w:highlight w:val="none"/>
        </w:rPr>
      </w:pPr>
    </w:p>
    <w:p>
      <w:pPr>
        <w:pStyle w:val="47"/>
        <w:spacing w:line="440" w:lineRule="exact"/>
        <w:ind w:firstLine="420" w:firstLineChars="200"/>
        <w:rPr>
          <w:sz w:val="21"/>
          <w:szCs w:val="21"/>
          <w:highlight w:val="none"/>
        </w:rPr>
      </w:pPr>
      <w:r>
        <w:rPr>
          <w:rFonts w:hint="eastAsia"/>
          <w:sz w:val="21"/>
          <w:szCs w:val="21"/>
          <w:highlight w:val="none"/>
        </w:rPr>
        <w:t>受甲方委托，</w:t>
      </w:r>
      <w:r>
        <w:rPr>
          <w:rFonts w:hint="eastAsia"/>
          <w:sz w:val="21"/>
          <w:szCs w:val="21"/>
          <w:highlight w:val="none"/>
          <w:u w:val="single"/>
        </w:rPr>
        <w:t xml:space="preserve">           (采购代理机构)</w:t>
      </w:r>
      <w:r>
        <w:rPr>
          <w:rFonts w:hint="eastAsia"/>
          <w:sz w:val="21"/>
          <w:szCs w:val="21"/>
          <w:highlight w:val="none"/>
        </w:rPr>
        <w:t>组织对</w:t>
      </w:r>
      <w:r>
        <w:rPr>
          <w:rFonts w:hint="eastAsia"/>
          <w:sz w:val="21"/>
          <w:szCs w:val="21"/>
          <w:highlight w:val="none"/>
          <w:u w:val="single"/>
        </w:rPr>
        <w:t xml:space="preserve">         （项目名称）</w:t>
      </w:r>
      <w:r>
        <w:rPr>
          <w:rFonts w:hint="eastAsia"/>
          <w:sz w:val="21"/>
          <w:szCs w:val="21"/>
          <w:highlight w:val="none"/>
        </w:rPr>
        <w:t>采购项目（采购编号为</w:t>
      </w:r>
      <w:r>
        <w:rPr>
          <w:rFonts w:hint="eastAsia"/>
          <w:sz w:val="21"/>
          <w:szCs w:val="21"/>
          <w:highlight w:val="none"/>
          <w:u w:val="single"/>
        </w:rPr>
        <w:t xml:space="preserve">       </w:t>
      </w:r>
      <w:r>
        <w:rPr>
          <w:rFonts w:hint="eastAsia"/>
          <w:sz w:val="21"/>
          <w:szCs w:val="21"/>
          <w:highlight w:val="none"/>
        </w:rPr>
        <w:t>）进行采购，于</w:t>
      </w:r>
      <w:r>
        <w:rPr>
          <w:rFonts w:hint="eastAsia"/>
          <w:sz w:val="21"/>
          <w:szCs w:val="21"/>
          <w:highlight w:val="none"/>
          <w:u w:val="single"/>
        </w:rPr>
        <w:t xml:space="preserve">  </w:t>
      </w:r>
      <w:r>
        <w:rPr>
          <w:rFonts w:hint="eastAsia"/>
          <w:sz w:val="21"/>
          <w:szCs w:val="21"/>
          <w:highlight w:val="none"/>
        </w:rPr>
        <w:t>年</w:t>
      </w:r>
      <w:r>
        <w:rPr>
          <w:rFonts w:hint="eastAsia"/>
          <w:sz w:val="21"/>
          <w:szCs w:val="21"/>
          <w:highlight w:val="none"/>
          <w:u w:val="single"/>
        </w:rPr>
        <w:t xml:space="preserve">  </w:t>
      </w:r>
      <w:r>
        <w:rPr>
          <w:rFonts w:hint="eastAsia"/>
          <w:sz w:val="21"/>
          <w:szCs w:val="21"/>
          <w:highlight w:val="none"/>
        </w:rPr>
        <w:t>月</w:t>
      </w:r>
      <w:r>
        <w:rPr>
          <w:rFonts w:hint="eastAsia"/>
          <w:sz w:val="21"/>
          <w:szCs w:val="21"/>
          <w:highlight w:val="none"/>
          <w:u w:val="single"/>
        </w:rPr>
        <w:t xml:space="preserve">  </w:t>
      </w:r>
      <w:r>
        <w:rPr>
          <w:rFonts w:hint="eastAsia"/>
          <w:sz w:val="21"/>
          <w:szCs w:val="21"/>
          <w:highlight w:val="none"/>
        </w:rPr>
        <w:t>日通过公开招标，经评标委员会评定乙方</w:t>
      </w:r>
      <w:r>
        <w:rPr>
          <w:rFonts w:hint="eastAsia"/>
          <w:sz w:val="21"/>
          <w:szCs w:val="21"/>
          <w:highlight w:val="none"/>
          <w:u w:val="single"/>
        </w:rPr>
        <w:t xml:space="preserve">      </w:t>
      </w:r>
      <w:r>
        <w:rPr>
          <w:rFonts w:hint="eastAsia"/>
          <w:sz w:val="21"/>
          <w:szCs w:val="21"/>
          <w:highlight w:val="none"/>
        </w:rPr>
        <w:t>为成交人。为了保护甲乙双方合法权益，根据《中华人民共和国民法典》等有关法律法规的规定，在平等自愿的基础上，甲乙双方按照下面的条款和条件，签署本合同。</w:t>
      </w:r>
    </w:p>
    <w:p>
      <w:pPr>
        <w:pStyle w:val="47"/>
        <w:spacing w:line="440" w:lineRule="exact"/>
        <w:ind w:firstLine="422" w:firstLineChars="200"/>
        <w:rPr>
          <w:b/>
          <w:sz w:val="21"/>
          <w:szCs w:val="21"/>
          <w:highlight w:val="none"/>
        </w:rPr>
      </w:pPr>
      <w:r>
        <w:rPr>
          <w:rFonts w:hint="eastAsia"/>
          <w:b/>
          <w:sz w:val="21"/>
          <w:szCs w:val="21"/>
          <w:highlight w:val="none"/>
        </w:rPr>
        <w:t xml:space="preserve">一、合同组成及合同总价 </w:t>
      </w:r>
    </w:p>
    <w:p>
      <w:pPr>
        <w:pStyle w:val="47"/>
        <w:spacing w:line="440" w:lineRule="exact"/>
        <w:ind w:firstLine="420" w:firstLineChars="200"/>
        <w:rPr>
          <w:sz w:val="21"/>
          <w:szCs w:val="21"/>
          <w:highlight w:val="none"/>
        </w:rPr>
      </w:pPr>
      <w:r>
        <w:rPr>
          <w:rFonts w:hint="eastAsia"/>
          <w:sz w:val="21"/>
          <w:szCs w:val="21"/>
          <w:highlight w:val="none"/>
        </w:rPr>
        <w:t>1.1 合同文件组成内容包括：1、本合同书 ，2、补充协议或者双方签订的备忘录、会议纪要，3、中标通知书，4、投标文件（含澄清内容），5招标文件（含招标文件澄清通知）等。</w:t>
      </w:r>
    </w:p>
    <w:p>
      <w:pPr>
        <w:pStyle w:val="47"/>
        <w:spacing w:line="440" w:lineRule="exact"/>
        <w:ind w:firstLine="420" w:firstLineChars="200"/>
        <w:rPr>
          <w:sz w:val="21"/>
          <w:szCs w:val="21"/>
          <w:highlight w:val="none"/>
        </w:rPr>
      </w:pPr>
      <w:r>
        <w:rPr>
          <w:rFonts w:hint="eastAsia"/>
          <w:sz w:val="21"/>
          <w:szCs w:val="21"/>
          <w:highlight w:val="none"/>
        </w:rPr>
        <w:t>合同文件内容有冲突的，按照上述顺序优先解释，同一顺序内容有冲突的，以最后签署日期的文件优先。</w:t>
      </w:r>
    </w:p>
    <w:p>
      <w:pPr>
        <w:pStyle w:val="47"/>
        <w:spacing w:line="440" w:lineRule="exact"/>
        <w:ind w:firstLine="420" w:firstLineChars="200"/>
        <w:rPr>
          <w:rFonts w:hint="eastAsia"/>
          <w:sz w:val="21"/>
          <w:szCs w:val="21"/>
          <w:highlight w:val="none"/>
        </w:rPr>
      </w:pPr>
      <w:r>
        <w:rPr>
          <w:rFonts w:hint="eastAsia"/>
          <w:sz w:val="21"/>
          <w:szCs w:val="21"/>
          <w:highlight w:val="none"/>
        </w:rPr>
        <w:t>1.2 采购内容：按照图纸及采购清单，提供包括但不限于：</w:t>
      </w:r>
      <w:r>
        <w:rPr>
          <w:rFonts w:hint="eastAsia" w:hAnsi="宋体"/>
          <w:sz w:val="21"/>
          <w:szCs w:val="21"/>
          <w:highlight w:val="none"/>
        </w:rPr>
        <w:t>新增6处（1至5#、8#）一进一出道闸，2处（6#、7#）共进出道闸；将9#道闸（G3栋旁）外移位至主要出入口</w:t>
      </w:r>
      <w:r>
        <w:rPr>
          <w:rFonts w:hint="eastAsia"/>
          <w:sz w:val="21"/>
          <w:szCs w:val="21"/>
          <w:highlight w:val="none"/>
        </w:rPr>
        <w:t>；对园区A3栋地下车库出口、G4栋地下车库入口及G4栋旁地面停车场出口增加安全岛、辅助摄像机。</w:t>
      </w:r>
    </w:p>
    <w:p>
      <w:pPr>
        <w:pStyle w:val="47"/>
        <w:spacing w:line="440" w:lineRule="exact"/>
        <w:ind w:firstLine="420" w:firstLineChars="200"/>
        <w:rPr>
          <w:sz w:val="21"/>
          <w:szCs w:val="21"/>
          <w:highlight w:val="none"/>
        </w:rPr>
      </w:pPr>
      <w:r>
        <w:rPr>
          <w:rFonts w:hint="eastAsia"/>
          <w:sz w:val="21"/>
          <w:szCs w:val="21"/>
          <w:highlight w:val="none"/>
        </w:rPr>
        <w:t>1.3</w:t>
      </w:r>
      <w:r>
        <w:rPr>
          <w:sz w:val="21"/>
          <w:szCs w:val="21"/>
          <w:highlight w:val="none"/>
        </w:rPr>
        <w:t xml:space="preserve"> </w:t>
      </w:r>
      <w:r>
        <w:rPr>
          <w:rFonts w:hint="eastAsia"/>
          <w:sz w:val="21"/>
          <w:szCs w:val="21"/>
          <w:highlight w:val="none"/>
        </w:rPr>
        <w:t>货物需求收货标准一览表及技术规格:乙方按甲方要求打版各一套并安装到指定位置，甲乙双方样板签字确认后，按合同数量，样板材质，颜色，规格，摆放位置等要求再批量生产如期交货。</w:t>
      </w:r>
    </w:p>
    <w:p>
      <w:pPr>
        <w:pStyle w:val="47"/>
        <w:spacing w:line="440" w:lineRule="exact"/>
        <w:ind w:firstLine="420" w:firstLineChars="200"/>
        <w:rPr>
          <w:sz w:val="21"/>
          <w:szCs w:val="21"/>
          <w:highlight w:val="none"/>
        </w:rPr>
      </w:pPr>
      <w:r>
        <w:rPr>
          <w:rFonts w:hint="eastAsia"/>
          <w:sz w:val="21"/>
          <w:szCs w:val="21"/>
          <w:highlight w:val="none"/>
        </w:rPr>
        <w:t>1.3.1货物总体要求</w:t>
      </w:r>
    </w:p>
    <w:p>
      <w:pPr>
        <w:pStyle w:val="47"/>
        <w:spacing w:line="440" w:lineRule="exact"/>
        <w:ind w:firstLine="420" w:firstLineChars="200"/>
        <w:rPr>
          <w:sz w:val="21"/>
          <w:szCs w:val="21"/>
          <w:highlight w:val="none"/>
        </w:rPr>
      </w:pPr>
      <w:r>
        <w:rPr>
          <w:rFonts w:hint="eastAsia"/>
          <w:sz w:val="21"/>
          <w:szCs w:val="21"/>
          <w:highlight w:val="none"/>
        </w:rPr>
        <w:t>（1）乙方所投货物必须是原装、全新的产品，符合国家以及该产品的出厂标准。</w:t>
      </w:r>
    </w:p>
    <w:p>
      <w:pPr>
        <w:pStyle w:val="47"/>
        <w:spacing w:line="440" w:lineRule="exact"/>
        <w:ind w:firstLine="420" w:firstLineChars="200"/>
        <w:rPr>
          <w:sz w:val="21"/>
          <w:szCs w:val="21"/>
          <w:highlight w:val="none"/>
        </w:rPr>
      </w:pPr>
      <w:r>
        <w:rPr>
          <w:rFonts w:hint="eastAsia"/>
          <w:sz w:val="21"/>
          <w:szCs w:val="21"/>
          <w:highlight w:val="none"/>
        </w:rPr>
        <w:t>（2）实际供货时将根据现场情况和实际使用功能作调整，如材料、规格、产品的效果图等的要求，乙方须无条件配合甲方的要求调整方案。最终供货方案经甲方确认成品样板或产品效果图后，方可正式实施生产供货，所涉及的一切费用由乙方承担。</w:t>
      </w:r>
    </w:p>
    <w:p>
      <w:pPr>
        <w:pStyle w:val="47"/>
        <w:spacing w:line="440" w:lineRule="exact"/>
        <w:ind w:firstLine="420" w:firstLineChars="200"/>
        <w:rPr>
          <w:sz w:val="21"/>
          <w:szCs w:val="21"/>
          <w:highlight w:val="none"/>
        </w:rPr>
      </w:pPr>
      <w:r>
        <w:rPr>
          <w:rFonts w:hint="eastAsia"/>
          <w:sz w:val="21"/>
          <w:szCs w:val="21"/>
          <w:highlight w:val="none"/>
        </w:rPr>
        <w:t>（3）乙方所投货物必须使用环保材料并符合国家环保要求及标准。</w:t>
      </w:r>
    </w:p>
    <w:p>
      <w:pPr>
        <w:pStyle w:val="47"/>
        <w:spacing w:line="440" w:lineRule="exact"/>
        <w:ind w:firstLine="420" w:firstLineChars="200"/>
        <w:rPr>
          <w:sz w:val="21"/>
          <w:szCs w:val="21"/>
          <w:highlight w:val="none"/>
        </w:rPr>
      </w:pPr>
      <w:r>
        <w:rPr>
          <w:rFonts w:hint="eastAsia"/>
          <w:sz w:val="21"/>
          <w:szCs w:val="21"/>
          <w:highlight w:val="none"/>
        </w:rPr>
        <w:t>（4）签定合同后，乙方须无条件配合甲方到其生产加工现场就投入本项目有关的人员、设备、原材料采购、原料品牌、品质、型号、加工生产工艺流程、半成品，以及成品打包前质量、材质、款式等进行监督和检查；乙方须按甲方要求提交原材料采购的原始检验证、环保证、合格证等合法手续凭证，以得到甲方的监督和认可。如人员未能达到招标文件要求和投标文件中的承诺响应的，每发现一人处罚（5万元/每人次）；如设备未能达到招标文件要求和投标文件中的承诺响应的，每发现一台处罚（5万元/每台）；监督检查发现生产过程中有不符合相关规定的，甲方有权视其情节轻重进行处罚。</w:t>
      </w:r>
    </w:p>
    <w:p>
      <w:pPr>
        <w:pStyle w:val="47"/>
        <w:spacing w:line="440" w:lineRule="exact"/>
        <w:ind w:firstLine="420" w:firstLineChars="200"/>
        <w:rPr>
          <w:sz w:val="21"/>
          <w:szCs w:val="21"/>
          <w:highlight w:val="none"/>
        </w:rPr>
      </w:pPr>
      <w:r>
        <w:rPr>
          <w:rFonts w:hint="eastAsia"/>
          <w:sz w:val="21"/>
          <w:szCs w:val="21"/>
          <w:highlight w:val="none"/>
        </w:rPr>
        <w:t>（5）乙方应保证货物在不需要增配未列出配件（特别指出的除外）的前提下货物功能、技术标准能够达到招标文件的要求，而无须再增配未列出的配件；如乙方所提供的产品需要增配配件才能达到要求的，所增配的配件须由乙方免费提供。</w:t>
      </w:r>
    </w:p>
    <w:p>
      <w:pPr>
        <w:pStyle w:val="47"/>
        <w:spacing w:line="440" w:lineRule="exact"/>
        <w:ind w:firstLine="420" w:firstLineChars="200"/>
        <w:rPr>
          <w:sz w:val="21"/>
          <w:szCs w:val="21"/>
          <w:highlight w:val="none"/>
        </w:rPr>
      </w:pPr>
      <w:r>
        <w:rPr>
          <w:rFonts w:hint="eastAsia"/>
          <w:sz w:val="21"/>
          <w:szCs w:val="21"/>
          <w:highlight w:val="none"/>
        </w:rPr>
        <w:t>（6）货物在验收合格前的保险由乙方负责，且乙方负责其派出的现场服务人员人身意外保险。</w:t>
      </w:r>
    </w:p>
    <w:p>
      <w:pPr>
        <w:pStyle w:val="47"/>
        <w:spacing w:line="440" w:lineRule="exact"/>
        <w:ind w:firstLine="420" w:firstLineChars="200"/>
        <w:rPr>
          <w:sz w:val="21"/>
          <w:szCs w:val="21"/>
          <w:highlight w:val="none"/>
        </w:rPr>
      </w:pPr>
      <w:r>
        <w:rPr>
          <w:rFonts w:hint="eastAsia"/>
          <w:sz w:val="21"/>
          <w:szCs w:val="21"/>
          <w:highlight w:val="none"/>
        </w:rPr>
        <w:t>（6）乙方应对甲方提供免费培训服务。</w:t>
      </w:r>
    </w:p>
    <w:p>
      <w:pPr>
        <w:pStyle w:val="47"/>
        <w:spacing w:line="440" w:lineRule="exact"/>
        <w:ind w:firstLine="420" w:firstLineChars="200"/>
        <w:rPr>
          <w:sz w:val="21"/>
          <w:szCs w:val="21"/>
          <w:highlight w:val="none"/>
        </w:rPr>
      </w:pPr>
      <w:r>
        <w:rPr>
          <w:rFonts w:hint="eastAsia"/>
          <w:sz w:val="21"/>
          <w:szCs w:val="21"/>
          <w:highlight w:val="none"/>
        </w:rPr>
        <w:t>1.4货物需求一览表及技术规格：</w:t>
      </w:r>
    </w:p>
    <w:tbl>
      <w:tblPr>
        <w:tblStyle w:val="51"/>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67"/>
        <w:gridCol w:w="1810"/>
        <w:gridCol w:w="1134"/>
        <w:gridCol w:w="851"/>
        <w:gridCol w:w="708"/>
        <w:gridCol w:w="709"/>
        <w:gridCol w:w="803"/>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jc w:val="center"/>
              <w:rPr>
                <w:rFonts w:hAnsi="宋体"/>
                <w:sz w:val="21"/>
                <w:szCs w:val="21"/>
                <w:highlight w:val="none"/>
              </w:rPr>
            </w:pPr>
            <w:r>
              <w:rPr>
                <w:rFonts w:hint="eastAsia" w:hAnsi="宋体"/>
                <w:sz w:val="21"/>
                <w:szCs w:val="21"/>
                <w:highlight w:val="none"/>
              </w:rPr>
              <w:t>序号</w:t>
            </w:r>
          </w:p>
        </w:tc>
        <w:tc>
          <w:tcPr>
            <w:tcW w:w="1167" w:type="dxa"/>
          </w:tcPr>
          <w:p>
            <w:pPr>
              <w:spacing w:line="440" w:lineRule="exact"/>
              <w:jc w:val="center"/>
              <w:rPr>
                <w:rFonts w:hAnsi="宋体"/>
                <w:sz w:val="21"/>
                <w:szCs w:val="21"/>
                <w:highlight w:val="none"/>
              </w:rPr>
            </w:pPr>
            <w:r>
              <w:rPr>
                <w:rFonts w:hint="eastAsia" w:hAnsi="宋体"/>
                <w:sz w:val="21"/>
                <w:szCs w:val="21"/>
                <w:highlight w:val="none"/>
              </w:rPr>
              <w:t>货物名称</w:t>
            </w:r>
          </w:p>
        </w:tc>
        <w:tc>
          <w:tcPr>
            <w:tcW w:w="1810" w:type="dxa"/>
          </w:tcPr>
          <w:p>
            <w:pPr>
              <w:spacing w:line="440" w:lineRule="exact"/>
              <w:jc w:val="center"/>
              <w:rPr>
                <w:rFonts w:hAnsi="宋体"/>
                <w:sz w:val="21"/>
                <w:szCs w:val="21"/>
                <w:highlight w:val="none"/>
              </w:rPr>
            </w:pPr>
            <w:r>
              <w:rPr>
                <w:rFonts w:hint="eastAsia" w:hAnsi="宋体"/>
                <w:sz w:val="21"/>
                <w:szCs w:val="21"/>
                <w:highlight w:val="none"/>
              </w:rPr>
              <w:t>品牌/型号/规格</w:t>
            </w:r>
          </w:p>
        </w:tc>
        <w:tc>
          <w:tcPr>
            <w:tcW w:w="1134" w:type="dxa"/>
          </w:tcPr>
          <w:p>
            <w:pPr>
              <w:spacing w:line="440" w:lineRule="exact"/>
              <w:rPr>
                <w:rFonts w:hAnsi="宋体"/>
                <w:sz w:val="21"/>
                <w:szCs w:val="21"/>
                <w:highlight w:val="none"/>
              </w:rPr>
            </w:pPr>
            <w:r>
              <w:rPr>
                <w:rFonts w:hint="eastAsia" w:hAnsi="宋体"/>
                <w:sz w:val="21"/>
                <w:szCs w:val="21"/>
                <w:highlight w:val="none"/>
              </w:rPr>
              <w:t>配置要求</w:t>
            </w:r>
          </w:p>
        </w:tc>
        <w:tc>
          <w:tcPr>
            <w:tcW w:w="851" w:type="dxa"/>
          </w:tcPr>
          <w:p>
            <w:pPr>
              <w:spacing w:line="440" w:lineRule="exact"/>
              <w:jc w:val="center"/>
              <w:rPr>
                <w:rFonts w:hAnsi="宋体"/>
                <w:sz w:val="21"/>
                <w:szCs w:val="21"/>
                <w:highlight w:val="none"/>
              </w:rPr>
            </w:pPr>
            <w:r>
              <w:rPr>
                <w:rFonts w:hint="eastAsia" w:hAnsi="宋体"/>
                <w:sz w:val="21"/>
                <w:szCs w:val="21"/>
                <w:highlight w:val="none"/>
              </w:rPr>
              <w:t>产地</w:t>
            </w:r>
          </w:p>
        </w:tc>
        <w:tc>
          <w:tcPr>
            <w:tcW w:w="708" w:type="dxa"/>
          </w:tcPr>
          <w:p>
            <w:pPr>
              <w:spacing w:line="440" w:lineRule="exact"/>
              <w:jc w:val="center"/>
              <w:rPr>
                <w:rFonts w:hAnsi="宋体"/>
                <w:sz w:val="21"/>
                <w:szCs w:val="21"/>
                <w:highlight w:val="none"/>
              </w:rPr>
            </w:pPr>
            <w:r>
              <w:rPr>
                <w:rFonts w:hint="eastAsia" w:hAnsi="宋体"/>
                <w:sz w:val="21"/>
                <w:szCs w:val="21"/>
                <w:highlight w:val="none"/>
              </w:rPr>
              <w:t>单位</w:t>
            </w:r>
          </w:p>
        </w:tc>
        <w:tc>
          <w:tcPr>
            <w:tcW w:w="709" w:type="dxa"/>
          </w:tcPr>
          <w:p>
            <w:pPr>
              <w:spacing w:line="440" w:lineRule="exact"/>
              <w:jc w:val="center"/>
              <w:rPr>
                <w:rFonts w:hAnsi="宋体"/>
                <w:sz w:val="21"/>
                <w:szCs w:val="21"/>
                <w:highlight w:val="none"/>
              </w:rPr>
            </w:pPr>
            <w:r>
              <w:rPr>
                <w:rFonts w:hint="eastAsia" w:hAnsi="宋体"/>
                <w:sz w:val="21"/>
                <w:szCs w:val="21"/>
                <w:highlight w:val="none"/>
              </w:rPr>
              <w:t>数量</w:t>
            </w:r>
          </w:p>
        </w:tc>
        <w:tc>
          <w:tcPr>
            <w:tcW w:w="803" w:type="dxa"/>
          </w:tcPr>
          <w:p>
            <w:pPr>
              <w:spacing w:line="440" w:lineRule="exact"/>
              <w:jc w:val="center"/>
              <w:rPr>
                <w:rFonts w:hAnsi="宋体"/>
                <w:sz w:val="21"/>
                <w:szCs w:val="21"/>
                <w:highlight w:val="none"/>
              </w:rPr>
            </w:pPr>
            <w:r>
              <w:rPr>
                <w:rFonts w:hint="eastAsia" w:hAnsi="宋体"/>
                <w:sz w:val="21"/>
                <w:szCs w:val="21"/>
                <w:highlight w:val="none"/>
              </w:rPr>
              <w:t>单价</w:t>
            </w:r>
          </w:p>
        </w:tc>
        <w:tc>
          <w:tcPr>
            <w:tcW w:w="709" w:type="dxa"/>
          </w:tcPr>
          <w:p>
            <w:pPr>
              <w:spacing w:line="440" w:lineRule="exact"/>
              <w:jc w:val="center"/>
              <w:rPr>
                <w:rFonts w:hAnsi="宋体"/>
                <w:sz w:val="21"/>
                <w:szCs w:val="21"/>
                <w:highlight w:val="none"/>
              </w:rPr>
            </w:pPr>
            <w:r>
              <w:rPr>
                <w:rFonts w:hint="eastAsia" w:hAnsi="宋体"/>
                <w:sz w:val="21"/>
                <w:szCs w:val="21"/>
                <w:highlight w:val="none"/>
              </w:rPr>
              <w:t>金额</w:t>
            </w:r>
          </w:p>
        </w:tc>
        <w:tc>
          <w:tcPr>
            <w:tcW w:w="709" w:type="dxa"/>
          </w:tcPr>
          <w:p>
            <w:pPr>
              <w:spacing w:line="440" w:lineRule="exact"/>
              <w:jc w:val="center"/>
              <w:rPr>
                <w:rFonts w:hAnsi="宋体"/>
                <w:sz w:val="21"/>
                <w:szCs w:val="21"/>
                <w:highlight w:val="none"/>
              </w:rPr>
            </w:pPr>
            <w:r>
              <w:rPr>
                <w:rFonts w:hint="eastAsia" w:hAnsi="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bl>
    <w:p>
      <w:pPr>
        <w:pStyle w:val="3"/>
        <w:ind w:firstLineChars="200"/>
        <w:rPr>
          <w:szCs w:val="21"/>
          <w:highlight w:val="none"/>
        </w:rPr>
      </w:pPr>
    </w:p>
    <w:p>
      <w:pPr>
        <w:pStyle w:val="3"/>
        <w:ind w:firstLine="422" w:firstLineChars="200"/>
        <w:rPr>
          <w:highlight w:val="none"/>
        </w:rPr>
      </w:pPr>
      <w:r>
        <w:rPr>
          <w:rFonts w:hint="eastAsia"/>
          <w:b/>
          <w:bCs/>
          <w:szCs w:val="21"/>
          <w:highlight w:val="none"/>
        </w:rPr>
        <w:t>1.5</w:t>
      </w:r>
      <w:r>
        <w:rPr>
          <w:rFonts w:hint="eastAsia"/>
          <w:szCs w:val="21"/>
          <w:highlight w:val="none"/>
        </w:rPr>
        <w:t>本合同采用</w:t>
      </w:r>
      <w:r>
        <w:rPr>
          <w:rFonts w:hint="eastAsia"/>
          <w:szCs w:val="21"/>
          <w:highlight w:val="none"/>
          <w:lang w:eastAsia="zh-CN"/>
        </w:rPr>
        <w:t>总价包干</w:t>
      </w:r>
      <w:r>
        <w:rPr>
          <w:rFonts w:hint="eastAsia"/>
          <w:szCs w:val="21"/>
          <w:highlight w:val="none"/>
        </w:rPr>
        <w:t>的承包方式。含税总价为¥</w:t>
      </w:r>
      <w:r>
        <w:rPr>
          <w:rFonts w:hint="eastAsia"/>
          <w:szCs w:val="21"/>
          <w:highlight w:val="none"/>
          <w:u w:val="single"/>
        </w:rPr>
        <w:t xml:space="preserve">        </w:t>
      </w:r>
      <w:r>
        <w:rPr>
          <w:rFonts w:hint="eastAsia"/>
          <w:szCs w:val="21"/>
          <w:highlight w:val="none"/>
        </w:rPr>
        <w:t>元（人民币</w:t>
      </w:r>
      <w:r>
        <w:rPr>
          <w:rFonts w:hint="eastAsia"/>
          <w:szCs w:val="21"/>
          <w:highlight w:val="none"/>
          <w:u w:val="single"/>
        </w:rPr>
        <w:t xml:space="preserve">      </w:t>
      </w:r>
      <w:r>
        <w:rPr>
          <w:rFonts w:hint="eastAsia"/>
          <w:szCs w:val="21"/>
          <w:highlight w:val="none"/>
        </w:rPr>
        <w:t>元），其中：增值税税率为</w:t>
      </w:r>
      <w:r>
        <w:rPr>
          <w:rFonts w:hint="eastAsia"/>
          <w:szCs w:val="21"/>
          <w:highlight w:val="none"/>
          <w:u w:val="single"/>
        </w:rPr>
        <w:t xml:space="preserve">        </w:t>
      </w:r>
      <w:r>
        <w:rPr>
          <w:rFonts w:hint="eastAsia"/>
          <w:szCs w:val="21"/>
          <w:highlight w:val="none"/>
        </w:rPr>
        <w:t>%，税金金额¥</w:t>
      </w:r>
      <w:r>
        <w:rPr>
          <w:rFonts w:hint="eastAsia"/>
          <w:szCs w:val="21"/>
          <w:highlight w:val="none"/>
          <w:u w:val="single"/>
        </w:rPr>
        <w:t xml:space="preserve">        </w:t>
      </w:r>
      <w:r>
        <w:rPr>
          <w:rFonts w:hint="eastAsia"/>
          <w:szCs w:val="21"/>
          <w:highlight w:val="none"/>
        </w:rPr>
        <w:t>元，不含税合同总价款为¥</w:t>
      </w:r>
      <w:r>
        <w:rPr>
          <w:rFonts w:hint="eastAsia"/>
          <w:szCs w:val="21"/>
          <w:highlight w:val="none"/>
          <w:u w:val="single"/>
        </w:rPr>
        <w:t xml:space="preserve">        </w:t>
      </w:r>
      <w:r>
        <w:rPr>
          <w:rFonts w:hint="eastAsia"/>
          <w:szCs w:val="21"/>
          <w:highlight w:val="none"/>
        </w:rPr>
        <w:t>元。</w:t>
      </w:r>
    </w:p>
    <w:p>
      <w:pPr>
        <w:pStyle w:val="47"/>
        <w:spacing w:line="440" w:lineRule="exact"/>
        <w:ind w:firstLine="420" w:firstLineChars="200"/>
        <w:rPr>
          <w:sz w:val="21"/>
          <w:szCs w:val="21"/>
          <w:highlight w:val="none"/>
        </w:rPr>
      </w:pPr>
      <w:r>
        <w:rPr>
          <w:rFonts w:hint="eastAsia"/>
          <w:sz w:val="21"/>
          <w:szCs w:val="21"/>
          <w:highlight w:val="none"/>
        </w:rPr>
        <w:t xml:space="preserve">本合同价中包含了所有产品（含样品）购置费、安装调试费、运费、售后服务费及验收合格之前和保修期间的备品备件发生的所有含税费用。 </w:t>
      </w:r>
    </w:p>
    <w:p>
      <w:pPr>
        <w:pStyle w:val="47"/>
        <w:spacing w:line="440" w:lineRule="exact"/>
        <w:ind w:firstLine="422" w:firstLineChars="200"/>
        <w:rPr>
          <w:b/>
          <w:sz w:val="21"/>
          <w:szCs w:val="21"/>
          <w:highlight w:val="none"/>
        </w:rPr>
      </w:pPr>
      <w:r>
        <w:rPr>
          <w:rFonts w:hint="eastAsia"/>
          <w:b/>
          <w:sz w:val="21"/>
          <w:szCs w:val="21"/>
          <w:highlight w:val="none"/>
        </w:rPr>
        <w:t>二、合同主要条款</w:t>
      </w:r>
    </w:p>
    <w:p>
      <w:pPr>
        <w:pStyle w:val="47"/>
        <w:spacing w:line="440" w:lineRule="exact"/>
        <w:ind w:firstLine="422" w:firstLineChars="200"/>
        <w:rPr>
          <w:b/>
          <w:bCs/>
          <w:sz w:val="21"/>
          <w:szCs w:val="21"/>
          <w:highlight w:val="none"/>
        </w:rPr>
      </w:pPr>
      <w:r>
        <w:rPr>
          <w:rFonts w:hint="eastAsia"/>
          <w:b/>
          <w:bCs/>
          <w:sz w:val="21"/>
          <w:szCs w:val="21"/>
          <w:highlight w:val="none"/>
        </w:rPr>
        <w:t>1.1本合同的付款方式：</w:t>
      </w:r>
    </w:p>
    <w:p>
      <w:pPr>
        <w:pStyle w:val="100"/>
        <w:spacing w:line="360" w:lineRule="auto"/>
        <w:rPr>
          <w:rFonts w:ascii="宋体" w:hAnsi="宋体" w:cs="宋体"/>
          <w:szCs w:val="21"/>
          <w:highlight w:val="none"/>
        </w:rPr>
      </w:pPr>
      <w:r>
        <w:rPr>
          <w:rFonts w:hint="eastAsia" w:ascii="宋体" w:hAnsi="宋体" w:cs="宋体"/>
          <w:szCs w:val="21"/>
          <w:highlight w:val="none"/>
        </w:rPr>
        <w:t>（一）乙方在合同签订之日起15天内，向甲方提交金额为本合同总价10%的不可撤销银行保函或履约保证金作为履行合同的担保，履约担保期限从合同签订之日起至项目交工验收合格并完成结算后，双方签字之日起7天内保持有效；</w:t>
      </w:r>
    </w:p>
    <w:p>
      <w:pPr>
        <w:pStyle w:val="100"/>
        <w:spacing w:line="360" w:lineRule="auto"/>
        <w:rPr>
          <w:rFonts w:ascii="宋体" w:hAnsi="宋体" w:cs="宋体"/>
          <w:szCs w:val="21"/>
          <w:highlight w:val="none"/>
        </w:rPr>
      </w:pPr>
      <w:r>
        <w:rPr>
          <w:rFonts w:hint="eastAsia" w:ascii="宋体" w:hAnsi="宋体" w:cs="宋体"/>
          <w:szCs w:val="21"/>
          <w:highlight w:val="none"/>
        </w:rPr>
        <w:t>（二）合同签订提交请款报告后20天内，甲方支付合同总价的20%作为定金；</w:t>
      </w:r>
    </w:p>
    <w:p>
      <w:pPr>
        <w:pStyle w:val="100"/>
        <w:spacing w:line="360" w:lineRule="auto"/>
        <w:rPr>
          <w:rFonts w:ascii="宋体" w:hAnsi="宋体" w:cs="宋体"/>
          <w:szCs w:val="21"/>
          <w:highlight w:val="none"/>
        </w:rPr>
      </w:pPr>
      <w:r>
        <w:rPr>
          <w:rFonts w:hint="eastAsia" w:ascii="宋体" w:hAnsi="宋体" w:cs="宋体"/>
          <w:szCs w:val="21"/>
          <w:highlight w:val="none"/>
        </w:rPr>
        <w:t>（三）进度款的支付根据每期计量工程价款的80%进行支付。支付至合同价款的80%时，不再付款，乙方将所有货物安装完成且经甲方验收合格并办理结算手续后，乙方向甲方提交请款报告后20天内，支付至工程结算价款的97%；</w:t>
      </w:r>
    </w:p>
    <w:p>
      <w:pPr>
        <w:pStyle w:val="3"/>
        <w:ind w:firstLineChars="200"/>
        <w:rPr>
          <w:highlight w:val="none"/>
        </w:rPr>
      </w:pPr>
      <w:r>
        <w:rPr>
          <w:rFonts w:hint="eastAsia" w:ascii="宋体" w:hAnsi="宋体"/>
          <w:szCs w:val="21"/>
          <w:highlight w:val="none"/>
        </w:rPr>
        <w:t>（四）结算价余款3％作为质保金，按合同质量保修金及支付方式的约定支付给</w:t>
      </w:r>
      <w:r>
        <w:rPr>
          <w:rFonts w:hint="eastAsia" w:hAnsi="宋体"/>
          <w:szCs w:val="21"/>
          <w:highlight w:val="none"/>
        </w:rPr>
        <w:t>乙方</w:t>
      </w:r>
      <w:r>
        <w:rPr>
          <w:rFonts w:hint="eastAsia" w:ascii="宋体" w:hAnsi="宋体"/>
          <w:szCs w:val="21"/>
          <w:highlight w:val="none"/>
        </w:rPr>
        <w:t>。</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注：定金请款时须同时提供等额收据，第（</w:t>
      </w:r>
      <w:r>
        <w:rPr>
          <w:rFonts w:hint="eastAsia" w:hAnsi="宋体"/>
          <w:b w:val="0"/>
          <w:bCs w:val="0"/>
          <w:sz w:val="21"/>
          <w:szCs w:val="21"/>
          <w:highlight w:val="none"/>
          <w:u w:val="single"/>
          <w:lang w:val="en-US"/>
        </w:rPr>
        <w:t xml:space="preserve">  </w:t>
      </w:r>
      <w:r>
        <w:rPr>
          <w:rFonts w:hint="eastAsia" w:hAnsi="宋体"/>
          <w:b w:val="0"/>
          <w:bCs w:val="0"/>
          <w:sz w:val="21"/>
          <w:szCs w:val="21"/>
          <w:highlight w:val="none"/>
          <w:lang w:val="en-US"/>
        </w:rPr>
        <w:t>）次请款时，须提供含定金部分的等额增值税发票，此后请款时，乙方须同时提供等额增值税发票（第（</w:t>
      </w:r>
      <w:r>
        <w:rPr>
          <w:rFonts w:hint="eastAsia" w:hAnsi="宋体"/>
          <w:b w:val="0"/>
          <w:bCs w:val="0"/>
          <w:sz w:val="21"/>
          <w:szCs w:val="21"/>
          <w:highlight w:val="none"/>
          <w:u w:val="single"/>
          <w:lang w:val="en-US"/>
        </w:rPr>
        <w:t xml:space="preserve">  </w:t>
      </w:r>
      <w:r>
        <w:rPr>
          <w:rFonts w:hint="eastAsia" w:hAnsi="宋体"/>
          <w:b w:val="0"/>
          <w:bCs w:val="0"/>
          <w:sz w:val="21"/>
          <w:szCs w:val="21"/>
          <w:highlight w:val="none"/>
          <w:lang w:val="en-US"/>
        </w:rPr>
        <w:t>）次请款时，须提供合同金额100%的等额增值税发票）。</w:t>
      </w:r>
    </w:p>
    <w:p>
      <w:pPr>
        <w:pStyle w:val="2"/>
        <w:snapToGrid w:val="0"/>
        <w:spacing w:line="360" w:lineRule="auto"/>
        <w:ind w:right="0"/>
        <w:jc w:val="left"/>
        <w:rPr>
          <w:rFonts w:hAnsi="宋体"/>
          <w:b w:val="0"/>
          <w:bCs w:val="0"/>
          <w:sz w:val="21"/>
          <w:szCs w:val="21"/>
          <w:highlight w:val="none"/>
          <w:lang w:val="en-US"/>
        </w:rPr>
      </w:pPr>
      <w:r>
        <w:rPr>
          <w:rFonts w:hint="eastAsia" w:hAnsi="宋体"/>
          <w:b w:val="0"/>
          <w:bCs w:val="0"/>
          <w:sz w:val="21"/>
          <w:szCs w:val="21"/>
          <w:highlight w:val="none"/>
          <w:lang w:val="en-US"/>
        </w:rPr>
        <w:t>乙方收款账户信息如下：</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账户名：</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账户号：</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开户行：</w:t>
      </w:r>
    </w:p>
    <w:p>
      <w:pPr>
        <w:pStyle w:val="47"/>
        <w:spacing w:line="440" w:lineRule="exact"/>
        <w:ind w:firstLine="420" w:firstLineChars="200"/>
        <w:rPr>
          <w:sz w:val="21"/>
          <w:szCs w:val="21"/>
          <w:highlight w:val="none"/>
        </w:rPr>
      </w:pPr>
      <w:r>
        <w:rPr>
          <w:rFonts w:hint="eastAsia"/>
          <w:sz w:val="21"/>
          <w:szCs w:val="21"/>
          <w:highlight w:val="none"/>
        </w:rPr>
        <w:t>付款前乙方应向甲方提出请款申请及所需的材料和等额合法发票，且发票名称必需与甲方、乙方完全一致。如果因乙方怠于或者拒绝提供资料或者办理手续等乙方原因导致的付款迟延，责任全部由乙方承担，甲方不以违约论。</w:t>
      </w:r>
    </w:p>
    <w:p>
      <w:pPr>
        <w:pStyle w:val="47"/>
        <w:spacing w:line="440" w:lineRule="exact"/>
        <w:ind w:firstLine="420" w:firstLineChars="200"/>
        <w:rPr>
          <w:sz w:val="21"/>
          <w:szCs w:val="21"/>
          <w:highlight w:val="none"/>
        </w:rPr>
      </w:pPr>
      <w:r>
        <w:rPr>
          <w:rFonts w:hint="eastAsia"/>
          <w:sz w:val="21"/>
          <w:szCs w:val="21"/>
          <w:highlight w:val="none"/>
        </w:rPr>
        <w:t>1.2本合同货物的交货时间为：</w:t>
      </w:r>
      <w:r>
        <w:rPr>
          <w:rFonts w:hint="eastAsia"/>
          <w:sz w:val="21"/>
          <w:szCs w:val="21"/>
          <w:highlight w:val="none"/>
          <w:u w:val="single"/>
        </w:rPr>
        <w:t xml:space="preserve"> </w:t>
      </w:r>
      <w:r>
        <w:rPr>
          <w:rFonts w:hint="eastAsia"/>
          <w:sz w:val="21"/>
          <w:szCs w:val="21"/>
          <w:highlight w:val="none"/>
          <w:u w:val="single"/>
          <w:lang w:val="en-US" w:eastAsia="zh-CN"/>
        </w:rPr>
        <w:t>20天，具体交货时间以签发开工令时间为准，</w:t>
      </w:r>
      <w:r>
        <w:rPr>
          <w:rFonts w:hint="eastAsia"/>
          <w:sz w:val="21"/>
          <w:szCs w:val="21"/>
          <w:highlight w:val="none"/>
          <w:u w:val="single"/>
        </w:rPr>
        <w:t xml:space="preserve"> </w:t>
      </w:r>
      <w:r>
        <w:rPr>
          <w:rFonts w:hint="eastAsia"/>
          <w:sz w:val="21"/>
          <w:szCs w:val="21"/>
          <w:highlight w:val="none"/>
        </w:rPr>
        <w:t>；交货地点为：</w:t>
      </w:r>
      <w:r>
        <w:rPr>
          <w:rFonts w:hint="eastAsia"/>
          <w:sz w:val="21"/>
          <w:szCs w:val="21"/>
          <w:highlight w:val="none"/>
          <w:u w:val="single"/>
        </w:rPr>
        <w:t xml:space="preserve">  东莞市松山湖大学创新城   </w:t>
      </w:r>
      <w:r>
        <w:rPr>
          <w:rFonts w:hint="eastAsia"/>
          <w:sz w:val="21"/>
          <w:szCs w:val="21"/>
          <w:highlight w:val="none"/>
        </w:rPr>
        <w:t>。</w:t>
      </w:r>
    </w:p>
    <w:p>
      <w:pPr>
        <w:pStyle w:val="47"/>
        <w:spacing w:line="440" w:lineRule="exact"/>
        <w:ind w:firstLine="420" w:firstLineChars="200"/>
        <w:rPr>
          <w:sz w:val="21"/>
          <w:szCs w:val="21"/>
          <w:highlight w:val="none"/>
        </w:rPr>
      </w:pPr>
      <w:r>
        <w:rPr>
          <w:rFonts w:hint="eastAsia"/>
          <w:sz w:val="21"/>
          <w:szCs w:val="21"/>
          <w:highlight w:val="none"/>
        </w:rPr>
        <w:t>1.3本合同货物的质保期为：</w:t>
      </w:r>
      <w:r>
        <w:rPr>
          <w:rFonts w:hint="eastAsia"/>
          <w:sz w:val="21"/>
          <w:szCs w:val="21"/>
          <w:highlight w:val="none"/>
          <w:u w:val="single"/>
        </w:rPr>
        <w:t xml:space="preserve">           （如个体设备有更高要求的，遵循更高要求）</w:t>
      </w:r>
      <w:r>
        <w:rPr>
          <w:rFonts w:hint="eastAsia"/>
          <w:sz w:val="21"/>
          <w:szCs w:val="21"/>
          <w:highlight w:val="none"/>
        </w:rPr>
        <w:t>，自货物交付并经甲方验收合格之日起算。质量保修期内发生质量问题，全部由乙方负责。乙方怠于或拒绝履行的，甲方可委托第三方代为履行，发生的费用及损失由乙方承担。</w:t>
      </w:r>
    </w:p>
    <w:p>
      <w:pPr>
        <w:pStyle w:val="47"/>
        <w:spacing w:line="440" w:lineRule="exact"/>
        <w:ind w:firstLine="420" w:firstLineChars="200"/>
        <w:rPr>
          <w:sz w:val="21"/>
          <w:szCs w:val="21"/>
          <w:highlight w:val="none"/>
        </w:rPr>
      </w:pPr>
      <w:r>
        <w:rPr>
          <w:rFonts w:hint="eastAsia"/>
          <w:sz w:val="21"/>
          <w:szCs w:val="21"/>
          <w:highlight w:val="none"/>
        </w:rPr>
        <w:t>1.4具体质量保修服务要求及售后承诺：</w:t>
      </w:r>
      <w:r>
        <w:rPr>
          <w:rFonts w:hint="eastAsia"/>
          <w:sz w:val="21"/>
          <w:szCs w:val="21"/>
          <w:highlight w:val="none"/>
          <w:u w:val="single"/>
        </w:rPr>
        <w:t xml:space="preserve">                       </w:t>
      </w:r>
      <w:r>
        <w:rPr>
          <w:rFonts w:hint="eastAsia"/>
          <w:sz w:val="21"/>
          <w:szCs w:val="21"/>
          <w:highlight w:val="none"/>
        </w:rPr>
        <w:t>。</w:t>
      </w:r>
    </w:p>
    <w:p>
      <w:pPr>
        <w:pStyle w:val="2"/>
        <w:snapToGrid w:val="0"/>
        <w:spacing w:line="360" w:lineRule="auto"/>
        <w:ind w:right="0" w:firstLine="422" w:firstLineChars="200"/>
        <w:jc w:val="left"/>
        <w:rPr>
          <w:rFonts w:hAnsi="宋体"/>
          <w:b w:val="0"/>
          <w:bCs w:val="0"/>
          <w:sz w:val="21"/>
          <w:szCs w:val="21"/>
          <w:highlight w:val="none"/>
          <w:lang w:val="en-US"/>
        </w:rPr>
      </w:pPr>
      <w:r>
        <w:rPr>
          <w:rFonts w:hint="eastAsia" w:hAnsi="宋体"/>
          <w:sz w:val="21"/>
          <w:szCs w:val="21"/>
          <w:highlight w:val="none"/>
          <w:lang w:val="en-US"/>
        </w:rPr>
        <w:t>1.5质量保修金及支付方式：</w:t>
      </w:r>
      <w:r>
        <w:rPr>
          <w:rFonts w:hint="eastAsia" w:hAnsi="宋体"/>
          <w:b w:val="0"/>
          <w:bCs w:val="0"/>
          <w:sz w:val="21"/>
          <w:szCs w:val="21"/>
          <w:highlight w:val="none"/>
          <w:lang w:val="en-US"/>
        </w:rPr>
        <w:t>结算价款的（3%）留作质量保修金。在乙方按本合同约定履行质量保修义务的前提下，甲方于全部货物验收合格之日起届满二年且收到乙方提交的下述质量保修保函之后，甲方将剩余的质量保修金无息退还给乙方。如乙方未按本合同约定履行质量保修义务的，甲方有权不予或推迟向乙方退还质量保修金。甲方向乙方退还质量保修金前，乙方须向甲方提交担保金额为结算价款（3%）的无条件、见索即付、不可撤销质量保修保函（如质保期短于两年（含），则无需提供质量保修保函）。该保函的有效期为全部货物安装验收合格届满二年之日起</w:t>
      </w:r>
      <w:r>
        <w:rPr>
          <w:rFonts w:hint="eastAsia" w:hAnsi="宋体"/>
          <w:b w:val="0"/>
          <w:bCs w:val="0"/>
          <w:sz w:val="21"/>
          <w:szCs w:val="21"/>
          <w:highlight w:val="none"/>
          <w:u w:val="single"/>
          <w:lang w:val="en-US"/>
        </w:rPr>
        <w:t xml:space="preserve">   </w:t>
      </w:r>
      <w:r>
        <w:rPr>
          <w:rFonts w:hint="eastAsia" w:hAnsi="宋体"/>
          <w:b w:val="0"/>
          <w:bCs w:val="0"/>
          <w:sz w:val="21"/>
          <w:szCs w:val="21"/>
          <w:highlight w:val="none"/>
          <w:lang w:val="en-US"/>
        </w:rPr>
        <w:t>年。</w:t>
      </w:r>
    </w:p>
    <w:p>
      <w:pPr>
        <w:pStyle w:val="47"/>
        <w:spacing w:line="440" w:lineRule="exact"/>
        <w:ind w:firstLine="420" w:firstLineChars="200"/>
        <w:jc w:val="both"/>
        <w:rPr>
          <w:sz w:val="21"/>
          <w:szCs w:val="21"/>
          <w:highlight w:val="none"/>
        </w:rPr>
      </w:pPr>
      <w:r>
        <w:rPr>
          <w:rFonts w:hint="eastAsia"/>
          <w:sz w:val="21"/>
          <w:szCs w:val="21"/>
          <w:highlight w:val="none"/>
        </w:rPr>
        <w:t>1.6乙方在履行本合同过程中造成其人员或第三人人身、财产损害的，由其自行处理和承担赔偿责任，与甲方无关，乙方不得因此影响本合同的履行。</w:t>
      </w:r>
    </w:p>
    <w:p>
      <w:pPr>
        <w:pStyle w:val="47"/>
        <w:spacing w:line="440" w:lineRule="exact"/>
        <w:ind w:firstLine="420" w:firstLineChars="200"/>
        <w:rPr>
          <w:sz w:val="21"/>
          <w:szCs w:val="21"/>
          <w:highlight w:val="none"/>
        </w:rPr>
      </w:pPr>
      <w:r>
        <w:rPr>
          <w:rFonts w:hint="eastAsia"/>
          <w:sz w:val="21"/>
          <w:szCs w:val="21"/>
          <w:highlight w:val="none"/>
        </w:rPr>
        <w:t>1.7甲方根据项目要求增加其他必要条款：</w:t>
      </w:r>
      <w:r>
        <w:rPr>
          <w:rFonts w:hint="eastAsia"/>
          <w:sz w:val="21"/>
          <w:szCs w:val="21"/>
          <w:highlight w:val="none"/>
          <w:u w:val="single"/>
        </w:rPr>
        <w:t xml:space="preserve">                </w:t>
      </w:r>
      <w:r>
        <w:rPr>
          <w:rFonts w:hint="eastAsia"/>
          <w:sz w:val="21"/>
          <w:szCs w:val="21"/>
          <w:highlight w:val="none"/>
        </w:rPr>
        <w:t>。</w:t>
      </w:r>
    </w:p>
    <w:p>
      <w:pPr>
        <w:pStyle w:val="47"/>
        <w:spacing w:line="440" w:lineRule="exact"/>
        <w:ind w:firstLine="422" w:firstLineChars="200"/>
        <w:rPr>
          <w:b/>
          <w:sz w:val="21"/>
          <w:szCs w:val="21"/>
          <w:highlight w:val="none"/>
        </w:rPr>
      </w:pPr>
      <w:r>
        <w:rPr>
          <w:rFonts w:hint="eastAsia"/>
          <w:b/>
          <w:sz w:val="21"/>
          <w:szCs w:val="21"/>
          <w:highlight w:val="none"/>
        </w:rPr>
        <w:t xml:space="preserve">三、合同一般条款 </w:t>
      </w:r>
    </w:p>
    <w:p>
      <w:pPr>
        <w:pStyle w:val="47"/>
        <w:spacing w:line="440" w:lineRule="exact"/>
        <w:ind w:firstLine="420" w:firstLineChars="200"/>
        <w:rPr>
          <w:sz w:val="21"/>
          <w:szCs w:val="21"/>
          <w:highlight w:val="none"/>
        </w:rPr>
      </w:pPr>
      <w:r>
        <w:rPr>
          <w:rFonts w:hint="eastAsia"/>
          <w:sz w:val="21"/>
          <w:szCs w:val="21"/>
          <w:highlight w:val="none"/>
        </w:rPr>
        <w:t xml:space="preserve">1 定义本合同中的下列术语应解释为： </w:t>
      </w:r>
    </w:p>
    <w:p>
      <w:pPr>
        <w:pStyle w:val="47"/>
        <w:spacing w:line="440" w:lineRule="exact"/>
        <w:ind w:firstLine="420" w:firstLineChars="200"/>
        <w:rPr>
          <w:sz w:val="21"/>
          <w:szCs w:val="21"/>
          <w:highlight w:val="none"/>
        </w:rPr>
      </w:pPr>
      <w:r>
        <w:rPr>
          <w:rFonts w:hint="eastAsia"/>
          <w:sz w:val="21"/>
          <w:szCs w:val="21"/>
          <w:highlight w:val="none"/>
        </w:rPr>
        <w:t xml:space="preserve">1.1“合同”系指甲乙双方签署的、合同格式中载明的甲乙双方所达成的协议， 包括所有的附件、附录、和构成合同的其它文件。 </w:t>
      </w:r>
    </w:p>
    <w:p>
      <w:pPr>
        <w:pStyle w:val="47"/>
        <w:spacing w:line="440" w:lineRule="exact"/>
        <w:ind w:firstLine="420" w:firstLineChars="200"/>
        <w:rPr>
          <w:sz w:val="21"/>
          <w:szCs w:val="21"/>
          <w:highlight w:val="none"/>
        </w:rPr>
      </w:pPr>
      <w:r>
        <w:rPr>
          <w:rFonts w:hint="eastAsia"/>
          <w:sz w:val="21"/>
          <w:szCs w:val="21"/>
          <w:highlight w:val="none"/>
        </w:rPr>
        <w:t xml:space="preserve">1.2“合同价”系指根据合同约定，乙方在完全履行合同义务后甲方应付给乙方的价格。 </w:t>
      </w:r>
    </w:p>
    <w:p>
      <w:pPr>
        <w:pStyle w:val="47"/>
        <w:spacing w:line="440" w:lineRule="exact"/>
        <w:ind w:firstLine="420" w:firstLineChars="200"/>
        <w:rPr>
          <w:sz w:val="21"/>
          <w:szCs w:val="21"/>
          <w:highlight w:val="none"/>
        </w:rPr>
      </w:pPr>
      <w:r>
        <w:rPr>
          <w:rFonts w:hint="eastAsia"/>
          <w:sz w:val="21"/>
          <w:szCs w:val="21"/>
          <w:highlight w:val="none"/>
        </w:rPr>
        <w:t xml:space="preserve">1.3 “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pStyle w:val="47"/>
        <w:spacing w:line="440" w:lineRule="exact"/>
        <w:ind w:firstLine="420" w:firstLineChars="200"/>
        <w:rPr>
          <w:sz w:val="21"/>
          <w:szCs w:val="21"/>
          <w:highlight w:val="none"/>
        </w:rPr>
      </w:pPr>
      <w:r>
        <w:rPr>
          <w:rFonts w:hint="eastAsia"/>
          <w:sz w:val="21"/>
          <w:szCs w:val="21"/>
          <w:highlight w:val="none"/>
        </w:rPr>
        <w:t xml:space="preserve">1.4 “验收”系指合同双方依据强制性的国家技术质量规范和合同约定，确认合同项下的货物符合合同规定的活动。 </w:t>
      </w:r>
    </w:p>
    <w:p>
      <w:pPr>
        <w:pStyle w:val="47"/>
        <w:spacing w:line="440" w:lineRule="exact"/>
        <w:ind w:firstLine="420" w:firstLineChars="200"/>
        <w:rPr>
          <w:sz w:val="21"/>
          <w:szCs w:val="21"/>
          <w:highlight w:val="none"/>
        </w:rPr>
      </w:pPr>
      <w:r>
        <w:rPr>
          <w:rFonts w:hint="eastAsia"/>
          <w:sz w:val="21"/>
          <w:szCs w:val="21"/>
          <w:highlight w:val="none"/>
        </w:rPr>
        <w:t xml:space="preserve">2 技术规范 </w:t>
      </w:r>
    </w:p>
    <w:p>
      <w:pPr>
        <w:pStyle w:val="47"/>
        <w:spacing w:line="440" w:lineRule="exact"/>
        <w:ind w:firstLine="420" w:firstLineChars="200"/>
        <w:jc w:val="both"/>
        <w:rPr>
          <w:sz w:val="21"/>
          <w:szCs w:val="21"/>
          <w:highlight w:val="none"/>
        </w:rPr>
      </w:pPr>
      <w:r>
        <w:rPr>
          <w:rFonts w:hint="eastAsia"/>
          <w:sz w:val="21"/>
          <w:szCs w:val="21"/>
          <w:highlight w:val="none"/>
        </w:rPr>
        <w:t xml:space="preserve">2.1 提交货物的技术规范应与招标文件规定的技术规范和其投标文件的技术规范相一致。若技术规范中无相应说明，则以国家有关部门最新颁布的相应标准及规范为准。 </w:t>
      </w:r>
    </w:p>
    <w:p>
      <w:pPr>
        <w:pStyle w:val="47"/>
        <w:spacing w:line="440" w:lineRule="exact"/>
        <w:ind w:firstLine="420" w:firstLineChars="200"/>
        <w:rPr>
          <w:sz w:val="21"/>
          <w:szCs w:val="21"/>
          <w:highlight w:val="none"/>
        </w:rPr>
      </w:pPr>
      <w:r>
        <w:rPr>
          <w:rFonts w:hint="eastAsia"/>
          <w:sz w:val="21"/>
          <w:szCs w:val="21"/>
          <w:highlight w:val="none"/>
        </w:rPr>
        <w:t xml:space="preserve">3 知识产权 </w:t>
      </w:r>
    </w:p>
    <w:p>
      <w:pPr>
        <w:pStyle w:val="47"/>
        <w:spacing w:line="440" w:lineRule="exact"/>
        <w:ind w:firstLine="420" w:firstLineChars="200"/>
        <w:jc w:val="both"/>
        <w:rPr>
          <w:sz w:val="21"/>
          <w:szCs w:val="21"/>
          <w:highlight w:val="none"/>
        </w:rPr>
      </w:pPr>
      <w:r>
        <w:rPr>
          <w:rFonts w:hint="eastAsia"/>
          <w:sz w:val="21"/>
          <w:szCs w:val="21"/>
          <w:highlight w:val="none"/>
        </w:rPr>
        <w:t xml:space="preserve">3.1 乙方应保证甲方在使用该货物或其任何一部分时不受第三方提出的侵犯专利权、著作权、商标权和工业设计权等侵犯知识产权的起诉。如果任何第三方提出侵权指控，乙方须与第三方交涉并承担由此发生的一切责任、费用和经济赔偿，导致甲方不能使用成果的还应退还全部项目费用，并承担违约责任及赔偿因此给甲方造成的全部损失。 </w:t>
      </w:r>
    </w:p>
    <w:p>
      <w:pPr>
        <w:pStyle w:val="47"/>
        <w:spacing w:line="440" w:lineRule="exact"/>
        <w:ind w:firstLine="420" w:firstLineChars="200"/>
        <w:rPr>
          <w:sz w:val="21"/>
          <w:szCs w:val="21"/>
          <w:highlight w:val="none"/>
        </w:rPr>
      </w:pPr>
      <w:r>
        <w:rPr>
          <w:rFonts w:hint="eastAsia"/>
          <w:sz w:val="21"/>
          <w:szCs w:val="21"/>
          <w:highlight w:val="none"/>
        </w:rPr>
        <w:t>4 包装要求、</w:t>
      </w:r>
      <w:r>
        <w:rPr>
          <w:rFonts w:hint="eastAsia"/>
          <w:bCs/>
          <w:sz w:val="21"/>
          <w:szCs w:val="21"/>
          <w:highlight w:val="none"/>
        </w:rPr>
        <w:t xml:space="preserve">安装、调试 </w:t>
      </w:r>
    </w:p>
    <w:p>
      <w:pPr>
        <w:pStyle w:val="47"/>
        <w:spacing w:line="440" w:lineRule="exact"/>
        <w:ind w:firstLine="420" w:firstLineChars="200"/>
        <w:rPr>
          <w:sz w:val="21"/>
          <w:szCs w:val="21"/>
          <w:highlight w:val="none"/>
        </w:rPr>
      </w:pPr>
      <w:r>
        <w:rPr>
          <w:rFonts w:hint="eastAsia"/>
          <w:sz w:val="21"/>
          <w:szCs w:val="21"/>
          <w:highlight w:val="none"/>
        </w:rPr>
        <w:t>4.1 除合同另有约定外，乙方提供的全部货物，均应采用本行业通用的方式进行包装，且该包装应符合国家有关包装的</w:t>
      </w:r>
      <w:r>
        <w:rPr>
          <w:highlight w:val="none"/>
        </w:rPr>
        <w:fldChar w:fldCharType="begin"/>
      </w:r>
      <w:r>
        <w:rPr>
          <w:highlight w:val="none"/>
        </w:rPr>
        <w:instrText xml:space="preserve"> HYPERLINK "http://www.chinalawedu.com/" \t "_blank" \o "法律" </w:instrText>
      </w:r>
      <w:r>
        <w:rPr>
          <w:highlight w:val="none"/>
        </w:rPr>
        <w:fldChar w:fldCharType="separate"/>
      </w:r>
      <w:r>
        <w:rPr>
          <w:rStyle w:val="58"/>
          <w:color w:val="auto"/>
          <w:sz w:val="21"/>
          <w:szCs w:val="21"/>
          <w:highlight w:val="none"/>
        </w:rPr>
        <w:t>法律</w:t>
      </w:r>
      <w:r>
        <w:rPr>
          <w:rStyle w:val="58"/>
          <w:color w:val="auto"/>
          <w:sz w:val="21"/>
          <w:szCs w:val="21"/>
          <w:highlight w:val="none"/>
        </w:rPr>
        <w:fldChar w:fldCharType="end"/>
      </w:r>
      <w:r>
        <w:rPr>
          <w:rFonts w:hint="eastAsia"/>
          <w:sz w:val="21"/>
          <w:szCs w:val="21"/>
          <w:highlight w:val="none"/>
        </w:rPr>
        <w:t>、</w:t>
      </w:r>
      <w:r>
        <w:rPr>
          <w:highlight w:val="none"/>
        </w:rPr>
        <w:fldChar w:fldCharType="begin"/>
      </w:r>
      <w:r>
        <w:rPr>
          <w:highlight w:val="none"/>
        </w:rPr>
        <w:instrText xml:space="preserve"> HYPERLINK "http://www.chinalawedu.com/falvfagui/" \t "_blank" \o "法规" </w:instrText>
      </w:r>
      <w:r>
        <w:rPr>
          <w:highlight w:val="none"/>
        </w:rPr>
        <w:fldChar w:fldCharType="separate"/>
      </w:r>
      <w:r>
        <w:rPr>
          <w:rStyle w:val="58"/>
          <w:color w:val="auto"/>
          <w:sz w:val="21"/>
          <w:szCs w:val="21"/>
          <w:highlight w:val="none"/>
        </w:rPr>
        <w:t>法规</w:t>
      </w:r>
      <w:r>
        <w:rPr>
          <w:rStyle w:val="58"/>
          <w:color w:val="auto"/>
          <w:sz w:val="21"/>
          <w:szCs w:val="21"/>
          <w:highlight w:val="none"/>
        </w:rPr>
        <w:fldChar w:fldCharType="end"/>
      </w:r>
      <w:r>
        <w:rPr>
          <w:rFonts w:hint="eastAsia"/>
          <w:sz w:val="21"/>
          <w:szCs w:val="21"/>
          <w:highlight w:val="none"/>
        </w:rPr>
        <w:t xml:space="preserve">的规定。包装应适应于远距离运输、防潮、防震、防锈和防粗暴装卸，确保货物安全无损，运抵现场。由于包装不善等非甲方原因所引起的货物锈蚀、损坏和损失均由乙方承担。 </w:t>
      </w:r>
    </w:p>
    <w:p>
      <w:pPr>
        <w:pStyle w:val="47"/>
        <w:spacing w:line="440" w:lineRule="exact"/>
        <w:ind w:firstLine="420" w:firstLineChars="200"/>
        <w:rPr>
          <w:sz w:val="21"/>
          <w:szCs w:val="21"/>
          <w:highlight w:val="none"/>
        </w:rPr>
      </w:pPr>
      <w:r>
        <w:rPr>
          <w:rFonts w:hint="eastAsia"/>
          <w:sz w:val="21"/>
          <w:szCs w:val="21"/>
          <w:highlight w:val="none"/>
        </w:rPr>
        <w:t xml:space="preserve">4.2 每件包装箱内应附一份详细装箱单、质量合格证、保修单。 </w:t>
      </w:r>
    </w:p>
    <w:p>
      <w:pPr>
        <w:pStyle w:val="47"/>
        <w:spacing w:line="440" w:lineRule="exact"/>
        <w:ind w:firstLine="422" w:firstLineChars="200"/>
        <w:rPr>
          <w:b/>
          <w:sz w:val="21"/>
          <w:szCs w:val="21"/>
          <w:highlight w:val="none"/>
        </w:rPr>
      </w:pPr>
      <w:r>
        <w:rPr>
          <w:rFonts w:hint="eastAsia"/>
          <w:b/>
          <w:sz w:val="21"/>
          <w:szCs w:val="21"/>
          <w:highlight w:val="none"/>
        </w:rPr>
        <w:t>4.3安装、调试</w:t>
      </w:r>
      <w:r>
        <w:rPr>
          <w:rFonts w:hint="eastAsia"/>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4.3.1乙方负责货物的包装、运输、安装、调试等工作，并承担由此产生的所有费用，乙方负责到用户指定的地点进行安装、调试。</w:t>
      </w:r>
    </w:p>
    <w:p>
      <w:pPr>
        <w:spacing w:line="360" w:lineRule="auto"/>
        <w:ind w:firstLine="420" w:firstLineChars="200"/>
        <w:rPr>
          <w:rFonts w:hAnsi="宋体"/>
          <w:sz w:val="21"/>
          <w:szCs w:val="21"/>
          <w:highlight w:val="none"/>
        </w:rPr>
      </w:pPr>
      <w:r>
        <w:rPr>
          <w:rFonts w:hint="eastAsia" w:hAnsi="宋体"/>
          <w:sz w:val="21"/>
          <w:szCs w:val="21"/>
          <w:highlight w:val="none"/>
        </w:rPr>
        <w:t>4.3.2乙方应提交详细安装进度表。</w:t>
      </w:r>
    </w:p>
    <w:p>
      <w:pPr>
        <w:spacing w:line="360" w:lineRule="auto"/>
        <w:ind w:firstLine="420" w:firstLineChars="200"/>
        <w:rPr>
          <w:rFonts w:hAnsi="宋体"/>
          <w:sz w:val="21"/>
          <w:szCs w:val="21"/>
          <w:highlight w:val="none"/>
        </w:rPr>
      </w:pPr>
      <w:r>
        <w:rPr>
          <w:rFonts w:hint="eastAsia" w:hAnsi="宋体"/>
          <w:sz w:val="21"/>
          <w:szCs w:val="21"/>
          <w:highlight w:val="none"/>
        </w:rPr>
        <w:t>4.3.3乙方应设安装负责人，负责安装协调管理工作。</w:t>
      </w:r>
    </w:p>
    <w:p>
      <w:pPr>
        <w:spacing w:line="360" w:lineRule="auto"/>
        <w:ind w:firstLine="420" w:firstLineChars="200"/>
        <w:rPr>
          <w:rFonts w:hAnsi="宋体"/>
          <w:sz w:val="21"/>
          <w:szCs w:val="21"/>
          <w:highlight w:val="none"/>
        </w:rPr>
      </w:pPr>
      <w:r>
        <w:rPr>
          <w:rFonts w:hint="eastAsia" w:hAnsi="宋体"/>
          <w:sz w:val="21"/>
          <w:szCs w:val="21"/>
          <w:highlight w:val="none"/>
        </w:rPr>
        <w:t>4.3.4按国家相关施工验收规范进行，分阶段进行调试。</w:t>
      </w:r>
    </w:p>
    <w:p>
      <w:pPr>
        <w:spacing w:line="360" w:lineRule="auto"/>
        <w:ind w:firstLine="420" w:firstLineChars="200"/>
        <w:rPr>
          <w:rFonts w:hAnsi="宋体"/>
          <w:sz w:val="21"/>
          <w:szCs w:val="21"/>
          <w:highlight w:val="none"/>
        </w:rPr>
      </w:pPr>
      <w:r>
        <w:rPr>
          <w:rFonts w:hint="eastAsia" w:hAnsi="宋体"/>
          <w:sz w:val="21"/>
          <w:szCs w:val="21"/>
          <w:highlight w:val="none"/>
        </w:rPr>
        <w:t>4.3.5货物的安装、调试等项工作由乙方负责，但必须在甲方指定人员的参与下进行。调试的原始记录须经各方签字后作为验收的文件之一。</w:t>
      </w:r>
    </w:p>
    <w:p>
      <w:pPr>
        <w:spacing w:line="360" w:lineRule="auto"/>
        <w:ind w:firstLine="420" w:firstLineChars="200"/>
        <w:rPr>
          <w:sz w:val="21"/>
          <w:szCs w:val="21"/>
          <w:highlight w:val="none"/>
        </w:rPr>
      </w:pPr>
      <w:r>
        <w:rPr>
          <w:rFonts w:hint="eastAsia" w:hAnsi="宋体"/>
          <w:sz w:val="21"/>
          <w:szCs w:val="21"/>
          <w:highlight w:val="none"/>
        </w:rPr>
        <w:t>4.3.6货物开始安装后，甲方可以抽样到市级以上专业部门进行环保检测，如果产品及格则进行验收，如果不及格甲方有权退货。（抽样费用由乙方承担。）</w:t>
      </w:r>
    </w:p>
    <w:p>
      <w:pPr>
        <w:pStyle w:val="47"/>
        <w:spacing w:line="440" w:lineRule="exact"/>
        <w:ind w:firstLine="420" w:firstLineChars="200"/>
        <w:rPr>
          <w:sz w:val="21"/>
          <w:szCs w:val="21"/>
          <w:highlight w:val="none"/>
        </w:rPr>
      </w:pPr>
      <w:r>
        <w:rPr>
          <w:rFonts w:hint="eastAsia"/>
          <w:sz w:val="21"/>
          <w:szCs w:val="21"/>
          <w:highlight w:val="none"/>
        </w:rPr>
        <w:t xml:space="preserve">5 交货方式 </w:t>
      </w:r>
    </w:p>
    <w:p>
      <w:pPr>
        <w:pStyle w:val="47"/>
        <w:spacing w:line="440" w:lineRule="exact"/>
        <w:ind w:firstLine="420" w:firstLineChars="200"/>
        <w:rPr>
          <w:sz w:val="21"/>
          <w:szCs w:val="21"/>
          <w:highlight w:val="none"/>
        </w:rPr>
      </w:pPr>
      <w:r>
        <w:rPr>
          <w:rFonts w:hint="eastAsia"/>
          <w:sz w:val="21"/>
          <w:szCs w:val="21"/>
          <w:highlight w:val="none"/>
        </w:rPr>
        <w:t>5.1 乙方应按甲方指定时间和地点交货。</w:t>
      </w:r>
    </w:p>
    <w:p>
      <w:pPr>
        <w:pStyle w:val="47"/>
        <w:spacing w:line="440" w:lineRule="exact"/>
        <w:ind w:firstLine="420" w:firstLineChars="200"/>
        <w:rPr>
          <w:sz w:val="21"/>
          <w:szCs w:val="21"/>
          <w:highlight w:val="none"/>
        </w:rPr>
      </w:pPr>
      <w:r>
        <w:rPr>
          <w:rFonts w:hint="eastAsia"/>
          <w:sz w:val="21"/>
          <w:szCs w:val="21"/>
          <w:highlight w:val="none"/>
        </w:rPr>
        <w:t xml:space="preserve">6技术资料 </w:t>
      </w:r>
    </w:p>
    <w:p>
      <w:pPr>
        <w:pStyle w:val="47"/>
        <w:spacing w:line="440" w:lineRule="exact"/>
        <w:ind w:firstLine="420" w:firstLineChars="200"/>
        <w:rPr>
          <w:sz w:val="21"/>
          <w:szCs w:val="21"/>
          <w:highlight w:val="none"/>
          <w:u w:val="single"/>
        </w:rPr>
      </w:pPr>
      <w:r>
        <w:rPr>
          <w:rFonts w:hint="eastAsia"/>
          <w:sz w:val="21"/>
          <w:szCs w:val="21"/>
          <w:highlight w:val="none"/>
        </w:rPr>
        <w:t>6.1本合同技术资料（除合同主要条款规定外）将以下方式交付：</w:t>
      </w:r>
      <w:r>
        <w:rPr>
          <w:rFonts w:hint="eastAsia"/>
          <w:sz w:val="21"/>
          <w:szCs w:val="21"/>
          <w:highlight w:val="none"/>
          <w:u w:val="single"/>
        </w:rPr>
        <w:t xml:space="preserve">  </w:t>
      </w:r>
    </w:p>
    <w:p>
      <w:pPr>
        <w:pStyle w:val="47"/>
        <w:spacing w:line="440" w:lineRule="exact"/>
        <w:ind w:firstLine="420" w:firstLineChars="200"/>
        <w:rPr>
          <w:sz w:val="21"/>
          <w:szCs w:val="21"/>
          <w:highlight w:val="none"/>
        </w:rPr>
      </w:pPr>
      <w:r>
        <w:rPr>
          <w:rFonts w:hint="eastAsia"/>
          <w:sz w:val="21"/>
          <w:szCs w:val="21"/>
          <w:highlight w:val="none"/>
        </w:rPr>
        <w:t xml:space="preserve">乙方在申请竣工验收之前，须提交竣工验收申请资料，竣工验收合格，提交完整的竣工资料（含光盘）给甲方检查存档，同步办理结算（结算资料含光盘）。 </w:t>
      </w:r>
    </w:p>
    <w:p>
      <w:pPr>
        <w:pStyle w:val="47"/>
        <w:spacing w:line="440" w:lineRule="exact"/>
        <w:ind w:firstLine="420" w:firstLineChars="200"/>
        <w:rPr>
          <w:sz w:val="21"/>
          <w:szCs w:val="21"/>
          <w:highlight w:val="none"/>
        </w:rPr>
      </w:pPr>
      <w:r>
        <w:rPr>
          <w:rFonts w:hint="eastAsia"/>
          <w:sz w:val="21"/>
          <w:szCs w:val="21"/>
          <w:highlight w:val="none"/>
        </w:rPr>
        <w:t>6.2乙方所提供货物必须符合国家有关规范和环保要求及甲方的技术要求，并提供货物的出厂测试报告及合格证，进口产品必须具备原产地证明或商检部门的检验证明及合法进货渠道证明。</w:t>
      </w:r>
    </w:p>
    <w:p>
      <w:pPr>
        <w:pStyle w:val="47"/>
        <w:spacing w:line="440" w:lineRule="exact"/>
        <w:ind w:firstLine="420" w:firstLineChars="200"/>
        <w:rPr>
          <w:sz w:val="21"/>
          <w:szCs w:val="21"/>
          <w:highlight w:val="none"/>
        </w:rPr>
      </w:pPr>
      <w:r>
        <w:rPr>
          <w:rFonts w:hint="eastAsia"/>
          <w:sz w:val="21"/>
          <w:szCs w:val="21"/>
          <w:highlight w:val="none"/>
        </w:rPr>
        <w:t xml:space="preserve">7 质量保证 </w:t>
      </w:r>
    </w:p>
    <w:p>
      <w:pPr>
        <w:pStyle w:val="47"/>
        <w:spacing w:line="440" w:lineRule="exact"/>
        <w:ind w:firstLine="420" w:firstLineChars="200"/>
        <w:rPr>
          <w:sz w:val="21"/>
          <w:szCs w:val="21"/>
          <w:highlight w:val="none"/>
        </w:rPr>
      </w:pPr>
      <w:r>
        <w:rPr>
          <w:rFonts w:hint="eastAsia"/>
          <w:sz w:val="21"/>
          <w:szCs w:val="21"/>
          <w:highlight w:val="none"/>
        </w:rPr>
        <w:t>7.1 乙方所投货物必须是原装、全新的产品，并且符合国家以及该产品的出厂标准。</w:t>
      </w:r>
    </w:p>
    <w:p>
      <w:pPr>
        <w:pStyle w:val="47"/>
        <w:spacing w:line="440" w:lineRule="exact"/>
        <w:ind w:firstLine="420" w:firstLineChars="200"/>
        <w:rPr>
          <w:sz w:val="21"/>
          <w:szCs w:val="21"/>
          <w:highlight w:val="none"/>
        </w:rPr>
      </w:pPr>
      <w:r>
        <w:rPr>
          <w:rFonts w:hint="eastAsia"/>
          <w:sz w:val="21"/>
          <w:szCs w:val="21"/>
          <w:highlight w:val="none"/>
        </w:rPr>
        <w:t>7.2 乙方所投货物必须使用环保材料并符合国家环保要求及标准。</w:t>
      </w:r>
    </w:p>
    <w:p>
      <w:pPr>
        <w:pStyle w:val="47"/>
        <w:spacing w:line="440" w:lineRule="exact"/>
        <w:ind w:firstLine="420" w:firstLineChars="200"/>
        <w:rPr>
          <w:sz w:val="21"/>
          <w:szCs w:val="21"/>
          <w:highlight w:val="none"/>
        </w:rPr>
      </w:pPr>
      <w:r>
        <w:rPr>
          <w:rFonts w:hint="eastAsia"/>
          <w:sz w:val="21"/>
          <w:szCs w:val="21"/>
          <w:highlight w:val="none"/>
        </w:rPr>
        <w:t>7.3 所有货物在开箱检验时必须完好，无破损，配置与装箱单相符。数量、质量及性能不低于招标文件需求书中提出的要求。</w:t>
      </w:r>
    </w:p>
    <w:p>
      <w:pPr>
        <w:pStyle w:val="47"/>
        <w:spacing w:line="440" w:lineRule="exact"/>
        <w:ind w:firstLine="420" w:firstLineChars="200"/>
        <w:rPr>
          <w:sz w:val="21"/>
          <w:szCs w:val="21"/>
          <w:highlight w:val="none"/>
        </w:rPr>
      </w:pPr>
      <w:r>
        <w:rPr>
          <w:rFonts w:hint="eastAsia"/>
          <w:sz w:val="21"/>
          <w:szCs w:val="21"/>
          <w:highlight w:val="none"/>
        </w:rPr>
        <w:t>7.4 货物外观清洁，标记编号以及盘面显示等字体清晰，明确。</w:t>
      </w:r>
    </w:p>
    <w:p>
      <w:pPr>
        <w:pStyle w:val="47"/>
        <w:spacing w:line="440" w:lineRule="exact"/>
        <w:ind w:firstLine="420" w:firstLineChars="200"/>
        <w:rPr>
          <w:sz w:val="21"/>
          <w:szCs w:val="21"/>
          <w:highlight w:val="none"/>
        </w:rPr>
      </w:pPr>
      <w:r>
        <w:rPr>
          <w:rFonts w:hint="eastAsia"/>
          <w:sz w:val="21"/>
          <w:szCs w:val="21"/>
          <w:highlight w:val="none"/>
        </w:rPr>
        <w:t>7.5 对于影响货物正常工作的必要组成部分，无论在技术规范中指出与否，乙方都应提供并在投标文件中明确列出。</w:t>
      </w:r>
    </w:p>
    <w:p>
      <w:pPr>
        <w:pStyle w:val="47"/>
        <w:spacing w:line="440" w:lineRule="exact"/>
        <w:ind w:firstLine="420" w:firstLineChars="200"/>
        <w:rPr>
          <w:sz w:val="21"/>
          <w:szCs w:val="21"/>
          <w:highlight w:val="none"/>
        </w:rPr>
      </w:pPr>
      <w:r>
        <w:rPr>
          <w:rFonts w:hint="eastAsia"/>
          <w:sz w:val="21"/>
          <w:szCs w:val="21"/>
          <w:highlight w:val="none"/>
        </w:rPr>
        <w:t>7.6 乙方在实际供货时，若被发现提供的货物未能达到招标文件和投标文件中的有关要求，甲方应以书面形式通知乙方责令整改。甲方要求其整改之日起5日内仍无实质性改进的，按合同违约条款进行处罚。</w:t>
      </w:r>
    </w:p>
    <w:p>
      <w:pPr>
        <w:pStyle w:val="47"/>
        <w:spacing w:line="440" w:lineRule="exact"/>
        <w:ind w:firstLine="420" w:firstLineChars="200"/>
        <w:rPr>
          <w:sz w:val="21"/>
          <w:szCs w:val="21"/>
          <w:highlight w:val="none"/>
        </w:rPr>
      </w:pPr>
      <w:r>
        <w:rPr>
          <w:rFonts w:hint="eastAsia"/>
          <w:sz w:val="21"/>
          <w:szCs w:val="21"/>
          <w:highlight w:val="none"/>
        </w:rPr>
        <w:t>7.7 乙方应保证主要材料零部件产地符合用户需求书的有关规定，所有主要材料零部件必须能提供原产地证明、出厂检验报告、完税证明。任何时候，甲方发现产地不符合要求，乙方应无偿更换或负进一步责任。</w:t>
      </w:r>
    </w:p>
    <w:p>
      <w:pPr>
        <w:pStyle w:val="47"/>
        <w:spacing w:line="440" w:lineRule="exact"/>
        <w:ind w:firstLine="420" w:firstLineChars="200"/>
        <w:rPr>
          <w:sz w:val="21"/>
          <w:szCs w:val="21"/>
          <w:highlight w:val="none"/>
        </w:rPr>
      </w:pPr>
      <w:r>
        <w:rPr>
          <w:rFonts w:hint="eastAsia"/>
          <w:sz w:val="21"/>
          <w:szCs w:val="21"/>
          <w:highlight w:val="none"/>
        </w:rPr>
        <w:t>7.8 货物验收合格后，免费保修期为2年（特殊要求产品除外），时间自货物最终验收合格并交付使用之日起计算，个别货物在采购货物清单内有具体要求保修方式的以该要求为准，人为因素损坏除外。</w:t>
      </w:r>
    </w:p>
    <w:p>
      <w:pPr>
        <w:pStyle w:val="47"/>
        <w:spacing w:line="440" w:lineRule="exact"/>
        <w:ind w:firstLine="420" w:firstLineChars="200"/>
        <w:rPr>
          <w:sz w:val="21"/>
          <w:szCs w:val="21"/>
          <w:highlight w:val="none"/>
        </w:rPr>
      </w:pPr>
      <w:r>
        <w:rPr>
          <w:rFonts w:hint="eastAsia"/>
          <w:sz w:val="21"/>
          <w:szCs w:val="21"/>
          <w:highlight w:val="none"/>
        </w:rPr>
        <w:t>7.9 免费保修期内非人为原因损坏、失效或已达到报废标准的零部件除无偿更换外，对更换上的零部件还应有继续五年的免费保修期。凡因产品质量问题，在保修期内若设备经检修后又在同一部件出现相同质量故障，可无偿更换同档次新设备部件。</w:t>
      </w:r>
    </w:p>
    <w:p>
      <w:pPr>
        <w:pStyle w:val="47"/>
        <w:spacing w:line="440" w:lineRule="exact"/>
        <w:ind w:firstLine="420" w:firstLineChars="200"/>
        <w:rPr>
          <w:sz w:val="21"/>
          <w:szCs w:val="21"/>
          <w:highlight w:val="none"/>
        </w:rPr>
      </w:pPr>
      <w:r>
        <w:rPr>
          <w:rFonts w:hint="eastAsia"/>
          <w:sz w:val="21"/>
          <w:szCs w:val="21"/>
          <w:highlight w:val="none"/>
        </w:rPr>
        <w:t>7.10质保期内非甲方/用户的人为原因而出现产品质量及安装问题，由乙方负责包修、包换或包退，并承担因此而产生的一切费用。</w:t>
      </w:r>
    </w:p>
    <w:p>
      <w:pPr>
        <w:pStyle w:val="47"/>
        <w:spacing w:line="440" w:lineRule="exact"/>
        <w:ind w:firstLine="420" w:firstLineChars="200"/>
        <w:rPr>
          <w:sz w:val="21"/>
          <w:szCs w:val="21"/>
          <w:highlight w:val="none"/>
        </w:rPr>
      </w:pPr>
      <w:r>
        <w:rPr>
          <w:rFonts w:hint="eastAsia"/>
          <w:sz w:val="21"/>
          <w:szCs w:val="21"/>
          <w:highlight w:val="none"/>
        </w:rPr>
        <w:t>7.11 除“合同主要条款”规定外，合同项下货物的质量保证期为自货物通过最终验收之日起</w:t>
      </w:r>
      <w:r>
        <w:rPr>
          <w:rFonts w:hint="eastAsia"/>
          <w:sz w:val="21"/>
          <w:szCs w:val="21"/>
          <w:highlight w:val="none"/>
          <w:lang w:eastAsia="zh-CN"/>
        </w:rPr>
        <w:t>两</w:t>
      </w:r>
      <w:r>
        <w:rPr>
          <w:rFonts w:hint="eastAsia"/>
          <w:sz w:val="21"/>
          <w:szCs w:val="21"/>
          <w:highlight w:val="none"/>
        </w:rPr>
        <w:t>年（如相关规定超过该期限，则按照该规定执行）。</w:t>
      </w:r>
    </w:p>
    <w:p>
      <w:pPr>
        <w:pStyle w:val="47"/>
        <w:spacing w:line="440" w:lineRule="exact"/>
        <w:ind w:firstLine="420" w:firstLineChars="200"/>
        <w:rPr>
          <w:sz w:val="21"/>
          <w:szCs w:val="21"/>
          <w:highlight w:val="none"/>
        </w:rPr>
      </w:pPr>
      <w:r>
        <w:rPr>
          <w:rFonts w:hint="eastAsia"/>
          <w:sz w:val="21"/>
          <w:szCs w:val="21"/>
          <w:highlight w:val="none"/>
        </w:rPr>
        <w:t xml:space="preserve">8 检验和验收、售后服务要求 </w:t>
      </w:r>
    </w:p>
    <w:p>
      <w:pPr>
        <w:pStyle w:val="47"/>
        <w:spacing w:line="440" w:lineRule="exact"/>
        <w:ind w:firstLine="420"/>
        <w:rPr>
          <w:sz w:val="21"/>
          <w:szCs w:val="21"/>
          <w:highlight w:val="none"/>
        </w:rPr>
      </w:pPr>
      <w:r>
        <w:rPr>
          <w:rFonts w:hint="eastAsia"/>
          <w:sz w:val="21"/>
          <w:szCs w:val="21"/>
          <w:highlight w:val="none"/>
        </w:rPr>
        <w:t>8.1 验收工作由甲方（或甲方指定的单位）和乙方共同进行。</w:t>
      </w:r>
    </w:p>
    <w:p>
      <w:pPr>
        <w:pStyle w:val="47"/>
        <w:spacing w:line="440" w:lineRule="exact"/>
        <w:ind w:firstLine="420"/>
        <w:rPr>
          <w:sz w:val="21"/>
          <w:szCs w:val="21"/>
          <w:highlight w:val="none"/>
        </w:rPr>
      </w:pPr>
      <w:r>
        <w:rPr>
          <w:rFonts w:hint="eastAsia"/>
          <w:sz w:val="21"/>
          <w:szCs w:val="21"/>
          <w:highlight w:val="none"/>
        </w:rPr>
        <w:t>8.2 验收的项目指标、方法和检测仪器等原则上由乙方在验收开始前5个工作日提交甲方。甲方可以根据技术规范书和国家有关标准进行修改和补充，经双方确认后作为验收的依据。</w:t>
      </w:r>
    </w:p>
    <w:p>
      <w:pPr>
        <w:pStyle w:val="47"/>
        <w:spacing w:line="440" w:lineRule="exact"/>
        <w:ind w:firstLine="420"/>
        <w:rPr>
          <w:sz w:val="21"/>
          <w:szCs w:val="21"/>
          <w:highlight w:val="none"/>
        </w:rPr>
      </w:pPr>
      <w:r>
        <w:rPr>
          <w:rFonts w:hint="eastAsia"/>
          <w:sz w:val="21"/>
          <w:szCs w:val="21"/>
          <w:highlight w:val="none"/>
        </w:rPr>
        <w:t>8.3 验收以甲方技术人员为主，供应商提供技术支援，对在测试中发现的技术问题双方记录，完成测试后，双方签署终验测试报告。</w:t>
      </w:r>
    </w:p>
    <w:p>
      <w:pPr>
        <w:pStyle w:val="47"/>
        <w:spacing w:line="440" w:lineRule="exact"/>
        <w:ind w:firstLine="420"/>
        <w:rPr>
          <w:sz w:val="21"/>
          <w:szCs w:val="21"/>
          <w:highlight w:val="none"/>
        </w:rPr>
      </w:pPr>
      <w:r>
        <w:rPr>
          <w:rFonts w:hint="eastAsia"/>
          <w:sz w:val="21"/>
          <w:szCs w:val="21"/>
          <w:highlight w:val="none"/>
        </w:rPr>
        <w:t>8.4 在验收时，乙方应向甲方提供货物的出厂合格证书、出厂检测报告、厂家装箱清单、使用说明、操作手册、随机附件及其他相关资料。</w:t>
      </w:r>
    </w:p>
    <w:p>
      <w:pPr>
        <w:pStyle w:val="47"/>
        <w:spacing w:line="440" w:lineRule="exact"/>
        <w:ind w:firstLine="420"/>
        <w:rPr>
          <w:sz w:val="21"/>
          <w:szCs w:val="21"/>
          <w:highlight w:val="none"/>
        </w:rPr>
      </w:pPr>
      <w:r>
        <w:rPr>
          <w:rFonts w:hint="eastAsia"/>
          <w:sz w:val="21"/>
          <w:szCs w:val="21"/>
          <w:highlight w:val="none"/>
        </w:rPr>
        <w:t>8.5 由甲方对货物的质量、规格、数量和运行状况及其他进行检验。如发现质量、规格、数量和运行状况等任何一项与招标要求规定不符，甲方有权拒绝验收。</w:t>
      </w:r>
    </w:p>
    <w:p>
      <w:pPr>
        <w:pStyle w:val="47"/>
        <w:spacing w:line="440" w:lineRule="exact"/>
        <w:ind w:firstLine="420"/>
        <w:rPr>
          <w:sz w:val="21"/>
          <w:szCs w:val="21"/>
          <w:highlight w:val="none"/>
        </w:rPr>
      </w:pPr>
      <w:r>
        <w:rPr>
          <w:rFonts w:hint="eastAsia"/>
          <w:sz w:val="21"/>
          <w:szCs w:val="21"/>
          <w:highlight w:val="none"/>
        </w:rPr>
        <w:t>8.6 如因乙方的货物质量原因而影响安装工期，则工期每影响24小时罚款2万元。</w:t>
      </w:r>
    </w:p>
    <w:p>
      <w:pPr>
        <w:pStyle w:val="47"/>
        <w:spacing w:line="440" w:lineRule="exact"/>
        <w:ind w:firstLine="420"/>
        <w:rPr>
          <w:sz w:val="21"/>
          <w:szCs w:val="21"/>
          <w:highlight w:val="none"/>
        </w:rPr>
      </w:pPr>
      <w:r>
        <w:rPr>
          <w:rFonts w:hint="eastAsia"/>
          <w:sz w:val="21"/>
          <w:szCs w:val="21"/>
          <w:highlight w:val="none"/>
        </w:rPr>
        <w:t>8.7如因乙方的技术原因，导致某情况下某设备不能正常使用而影响调试进度，罚款不少于1万元/每（套）。</w:t>
      </w:r>
    </w:p>
    <w:p>
      <w:pPr>
        <w:pStyle w:val="47"/>
        <w:spacing w:line="440" w:lineRule="exact"/>
        <w:ind w:firstLine="420"/>
        <w:rPr>
          <w:sz w:val="21"/>
          <w:szCs w:val="21"/>
          <w:highlight w:val="none"/>
        </w:rPr>
      </w:pPr>
      <w:r>
        <w:rPr>
          <w:rFonts w:hint="eastAsia"/>
          <w:sz w:val="21"/>
          <w:szCs w:val="21"/>
          <w:highlight w:val="none"/>
        </w:rPr>
        <w:t>8.8以上出现的问题，除了罚款外，均由乙方免费负责处理（包括缺陷处理、更换新部件备件或货物）。</w:t>
      </w:r>
    </w:p>
    <w:p>
      <w:pPr>
        <w:pStyle w:val="47"/>
        <w:spacing w:line="440" w:lineRule="exact"/>
        <w:ind w:firstLine="420"/>
        <w:rPr>
          <w:sz w:val="21"/>
          <w:szCs w:val="21"/>
          <w:highlight w:val="none"/>
        </w:rPr>
      </w:pPr>
      <w:r>
        <w:rPr>
          <w:rFonts w:hint="eastAsia"/>
          <w:sz w:val="21"/>
          <w:szCs w:val="21"/>
          <w:highlight w:val="none"/>
        </w:rPr>
        <w:t>8.9售后服务</w:t>
      </w:r>
    </w:p>
    <w:p>
      <w:pPr>
        <w:pStyle w:val="47"/>
        <w:spacing w:line="440" w:lineRule="exact"/>
        <w:ind w:firstLine="420"/>
        <w:rPr>
          <w:sz w:val="21"/>
          <w:szCs w:val="21"/>
          <w:highlight w:val="none"/>
        </w:rPr>
      </w:pPr>
      <w:r>
        <w:rPr>
          <w:rFonts w:hint="eastAsia"/>
          <w:sz w:val="21"/>
          <w:szCs w:val="21"/>
          <w:highlight w:val="none"/>
        </w:rPr>
        <w:t>8.9.1免费保修期内：</w:t>
      </w:r>
    </w:p>
    <w:p>
      <w:pPr>
        <w:pStyle w:val="47"/>
        <w:spacing w:line="440" w:lineRule="exact"/>
        <w:ind w:firstLine="420"/>
        <w:rPr>
          <w:sz w:val="21"/>
          <w:szCs w:val="21"/>
          <w:highlight w:val="none"/>
        </w:rPr>
      </w:pPr>
      <w:r>
        <w:rPr>
          <w:rFonts w:hint="eastAsia"/>
          <w:sz w:val="21"/>
          <w:szCs w:val="21"/>
          <w:highlight w:val="none"/>
        </w:rPr>
        <w:t>（1）故障响应时间：免费保修期内，货物出现质量问题，乙方接到质量问题通知后12个小时内到场处理，24个小时内修复，如无法修复须提供相应规格的货物供甲方替代使用；其他服务承诺在投标文件中说明。如乙方怠于响应或不能及时维修的，甲方有权委托第三方履行，产生的费用及损失一并由乙方承担。</w:t>
      </w:r>
    </w:p>
    <w:p>
      <w:pPr>
        <w:pStyle w:val="47"/>
        <w:spacing w:line="440" w:lineRule="exact"/>
        <w:ind w:firstLine="420"/>
        <w:rPr>
          <w:sz w:val="21"/>
          <w:szCs w:val="21"/>
          <w:highlight w:val="none"/>
        </w:rPr>
      </w:pPr>
      <w:r>
        <w:rPr>
          <w:rFonts w:hint="eastAsia"/>
          <w:sz w:val="21"/>
          <w:szCs w:val="21"/>
          <w:highlight w:val="none"/>
        </w:rPr>
        <w:t>（2）如果货物不能稳定地达到供应商承诺的全部功能，供应商应对此承担责任并承担全部相关费用以及买方的直接损失，经买方同意对货物采用如下一种或几种方式处理：①免费维修和更换损坏零部件；②换货；③降价，但不免除其它正常部分的质量保证责任。如供应商未能在合理的时间内将产品维修、更换或修正以符合规格，买方有权在合理时间内将产品退回卖方后要求返还已付的价款。</w:t>
      </w:r>
    </w:p>
    <w:p>
      <w:pPr>
        <w:pStyle w:val="47"/>
        <w:spacing w:line="440" w:lineRule="exact"/>
        <w:ind w:firstLine="420"/>
        <w:rPr>
          <w:sz w:val="21"/>
          <w:szCs w:val="21"/>
          <w:highlight w:val="none"/>
        </w:rPr>
      </w:pPr>
      <w:r>
        <w:rPr>
          <w:rFonts w:hint="eastAsia"/>
          <w:sz w:val="21"/>
          <w:szCs w:val="21"/>
          <w:highlight w:val="none"/>
        </w:rPr>
        <w:t>8.9.2免费保修期后：提供技术支持和详细的售后服务计划，供应商应按其在东莞地区同类产品的最优惠价格提供保修服务，终身保证配品配件的供应，更换配件的费用以成本计。</w:t>
      </w:r>
    </w:p>
    <w:p>
      <w:pPr>
        <w:pStyle w:val="47"/>
        <w:spacing w:line="440" w:lineRule="exact"/>
        <w:ind w:firstLine="420"/>
        <w:rPr>
          <w:sz w:val="21"/>
          <w:szCs w:val="21"/>
          <w:highlight w:val="none"/>
        </w:rPr>
      </w:pPr>
      <w:r>
        <w:rPr>
          <w:rFonts w:hint="eastAsia"/>
          <w:sz w:val="21"/>
          <w:szCs w:val="21"/>
          <w:highlight w:val="none"/>
        </w:rPr>
        <w:t>8.9.3售后服务机构：设有稳定的维修点或售后服务机构，具有提供日常维护和技术支持的能力，能提供正常的技术、备品备件、服务等；须提供服务机构名称、人员情况、办公地址、联系电话。</w:t>
      </w:r>
    </w:p>
    <w:p>
      <w:pPr>
        <w:pStyle w:val="47"/>
        <w:spacing w:line="440" w:lineRule="exact"/>
        <w:ind w:firstLine="420"/>
        <w:rPr>
          <w:sz w:val="21"/>
          <w:szCs w:val="21"/>
          <w:highlight w:val="none"/>
        </w:rPr>
      </w:pPr>
      <w:r>
        <w:rPr>
          <w:rFonts w:hint="eastAsia"/>
          <w:sz w:val="21"/>
          <w:szCs w:val="21"/>
          <w:highlight w:val="none"/>
        </w:rPr>
        <w:t>8.9.4培训：负责免费对用户人员进行培训，提供详细的培训计划，使其掌握操作使用等基本技能。</w:t>
      </w:r>
    </w:p>
    <w:p>
      <w:pPr>
        <w:pStyle w:val="47"/>
        <w:spacing w:line="440" w:lineRule="exact"/>
        <w:ind w:firstLine="420" w:firstLineChars="200"/>
        <w:rPr>
          <w:sz w:val="21"/>
          <w:szCs w:val="21"/>
          <w:highlight w:val="none"/>
        </w:rPr>
      </w:pPr>
      <w:r>
        <w:rPr>
          <w:rFonts w:hint="eastAsia"/>
          <w:sz w:val="21"/>
          <w:szCs w:val="21"/>
          <w:highlight w:val="none"/>
        </w:rPr>
        <w:t xml:space="preserve">9 索赔 </w:t>
      </w:r>
    </w:p>
    <w:p>
      <w:pPr>
        <w:pStyle w:val="47"/>
        <w:spacing w:line="440" w:lineRule="exact"/>
        <w:ind w:firstLine="420" w:firstLineChars="200"/>
        <w:rPr>
          <w:sz w:val="21"/>
          <w:szCs w:val="21"/>
          <w:highlight w:val="none"/>
        </w:rPr>
      </w:pPr>
      <w:r>
        <w:rPr>
          <w:rFonts w:hint="eastAsia"/>
          <w:sz w:val="21"/>
          <w:szCs w:val="21"/>
          <w:highlight w:val="none"/>
        </w:rPr>
        <w:t xml:space="preserve">9.1 如果货物的质量、规格、数量、重量等与合同不符，或在合同约定的质量保证期内证实货物存有缺陷，包括潜在的缺陷或使用不符合要求的材料等，甲方有权向乙方提出索赔（索赔金额不低于合同总价5%）。乙方应在甲方提出索赔要求后三日内，进行无偿修理、更换、赔款。如乙方未在规定时间内处理的，甲方有权自行安排修理、更换，由此产生的一切费用和风险由乙方承担且乙方仍需承担质量保修责任。 </w:t>
      </w:r>
    </w:p>
    <w:p>
      <w:pPr>
        <w:pStyle w:val="47"/>
        <w:spacing w:line="440" w:lineRule="exact"/>
        <w:ind w:firstLine="420" w:firstLineChars="200"/>
        <w:rPr>
          <w:sz w:val="21"/>
          <w:szCs w:val="21"/>
          <w:highlight w:val="none"/>
        </w:rPr>
      </w:pPr>
      <w:r>
        <w:rPr>
          <w:rFonts w:hint="eastAsia"/>
          <w:sz w:val="21"/>
          <w:szCs w:val="21"/>
          <w:highlight w:val="none"/>
        </w:rPr>
        <w:t>9.2 在根据合同规定的检验期和质量保证期内，如果乙方对甲方提出的索赔负有责任，乙方应按照甲方同意的方式解决索赔事宜，或由双方协商处理。</w:t>
      </w:r>
    </w:p>
    <w:p>
      <w:pPr>
        <w:pStyle w:val="47"/>
        <w:spacing w:line="440" w:lineRule="exact"/>
        <w:ind w:firstLine="420" w:firstLineChars="200"/>
        <w:rPr>
          <w:sz w:val="21"/>
          <w:szCs w:val="21"/>
          <w:highlight w:val="none"/>
        </w:rPr>
      </w:pPr>
      <w:r>
        <w:rPr>
          <w:rFonts w:hint="eastAsia"/>
          <w:sz w:val="21"/>
          <w:szCs w:val="21"/>
          <w:highlight w:val="none"/>
        </w:rPr>
        <w:t>9.3 如果在甲方发出索赔通知后</w:t>
      </w:r>
      <w:r>
        <w:rPr>
          <w:rFonts w:hint="eastAsia"/>
          <w:sz w:val="21"/>
          <w:szCs w:val="21"/>
          <w:highlight w:val="none"/>
          <w:u w:val="single"/>
        </w:rPr>
        <w:t xml:space="preserve">    </w:t>
      </w:r>
      <w:r>
        <w:rPr>
          <w:rFonts w:hint="eastAsia"/>
          <w:sz w:val="21"/>
          <w:szCs w:val="21"/>
          <w:highlight w:val="none"/>
        </w:rPr>
        <w:t>天内，乙方未作答复，上述索赔要求应视为已被乙方接受。如乙方未能在甲方提出索赔通知后</w:t>
      </w:r>
      <w:r>
        <w:rPr>
          <w:rFonts w:hint="eastAsia"/>
          <w:sz w:val="21"/>
          <w:szCs w:val="21"/>
          <w:highlight w:val="none"/>
          <w:u w:val="single"/>
        </w:rPr>
        <w:t xml:space="preserve">    </w:t>
      </w:r>
      <w:r>
        <w:rPr>
          <w:rFonts w:hint="eastAsia"/>
          <w:sz w:val="21"/>
          <w:szCs w:val="21"/>
          <w:highlight w:val="none"/>
        </w:rPr>
        <w:t>天内或甲方同意的更长时间内，按照本合同规定的方法解决索赔事宜，甲方将从合同款或从乙方开具的履约保证金保函中扣回索赔金额。如果这些金额不足以补偿索赔金额，甲方有权向乙方提出不足部分的补偿。</w:t>
      </w:r>
    </w:p>
    <w:p>
      <w:pPr>
        <w:pStyle w:val="47"/>
        <w:spacing w:line="440" w:lineRule="exact"/>
        <w:ind w:firstLine="420" w:firstLineChars="200"/>
        <w:rPr>
          <w:sz w:val="21"/>
          <w:szCs w:val="21"/>
          <w:highlight w:val="none"/>
        </w:rPr>
      </w:pPr>
      <w:r>
        <w:rPr>
          <w:rFonts w:hint="eastAsia"/>
          <w:sz w:val="21"/>
          <w:szCs w:val="21"/>
          <w:highlight w:val="none"/>
        </w:rPr>
        <w:t xml:space="preserve">9.4 本合同所述之损失、经济赔偿是指甲方因乙方原因而造成的经济损失、因此而向第三方支付的赔偿金、违约金、因此而支付的诉讼费、律师费、公证费、鉴定费、保全费等全部费用。 </w:t>
      </w:r>
    </w:p>
    <w:p>
      <w:pPr>
        <w:pStyle w:val="47"/>
        <w:spacing w:line="440" w:lineRule="exact"/>
        <w:ind w:firstLine="420" w:firstLineChars="200"/>
        <w:rPr>
          <w:sz w:val="21"/>
          <w:szCs w:val="21"/>
          <w:highlight w:val="none"/>
        </w:rPr>
      </w:pPr>
      <w:r>
        <w:rPr>
          <w:rFonts w:hint="eastAsia"/>
          <w:sz w:val="21"/>
          <w:szCs w:val="21"/>
          <w:highlight w:val="none"/>
        </w:rPr>
        <w:t xml:space="preserve">10 迟延交货 </w:t>
      </w:r>
    </w:p>
    <w:p>
      <w:pPr>
        <w:pStyle w:val="47"/>
        <w:spacing w:line="440" w:lineRule="exact"/>
        <w:ind w:firstLine="420" w:firstLineChars="200"/>
        <w:rPr>
          <w:sz w:val="21"/>
          <w:szCs w:val="21"/>
          <w:highlight w:val="none"/>
        </w:rPr>
      </w:pPr>
      <w:r>
        <w:rPr>
          <w:rFonts w:hint="eastAsia"/>
          <w:sz w:val="21"/>
          <w:szCs w:val="21"/>
          <w:highlight w:val="none"/>
        </w:rPr>
        <w:t xml:space="preserve">10.1 乙方应按照甲方规定的时间交货和提供服务。 </w:t>
      </w:r>
    </w:p>
    <w:p>
      <w:pPr>
        <w:pStyle w:val="47"/>
        <w:spacing w:line="440" w:lineRule="exact"/>
        <w:ind w:firstLine="420" w:firstLineChars="200"/>
        <w:rPr>
          <w:sz w:val="21"/>
          <w:szCs w:val="21"/>
          <w:highlight w:val="none"/>
        </w:rPr>
      </w:pPr>
      <w:r>
        <w:rPr>
          <w:rFonts w:hint="eastAsia"/>
          <w:sz w:val="21"/>
          <w:szCs w:val="21"/>
          <w:highlight w:val="none"/>
        </w:rPr>
        <w:t xml:space="preserve">10.2 如果乙方无正当理由迟延交货，甲方有权提出违约损失赔偿或解除合同。 </w:t>
      </w:r>
    </w:p>
    <w:p>
      <w:pPr>
        <w:pStyle w:val="47"/>
        <w:spacing w:line="440" w:lineRule="exact"/>
        <w:ind w:firstLine="420" w:firstLineChars="200"/>
        <w:rPr>
          <w:sz w:val="21"/>
          <w:szCs w:val="21"/>
          <w:highlight w:val="none"/>
        </w:rPr>
      </w:pPr>
      <w:r>
        <w:rPr>
          <w:rFonts w:hint="eastAsia"/>
          <w:sz w:val="21"/>
          <w:szCs w:val="21"/>
          <w:highlight w:val="none"/>
        </w:rPr>
        <w:t xml:space="preserve">10.3 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pStyle w:val="47"/>
        <w:spacing w:line="440" w:lineRule="exact"/>
        <w:ind w:firstLine="420" w:firstLineChars="200"/>
        <w:rPr>
          <w:sz w:val="21"/>
          <w:szCs w:val="21"/>
          <w:highlight w:val="none"/>
        </w:rPr>
      </w:pPr>
      <w:r>
        <w:rPr>
          <w:rFonts w:hint="eastAsia"/>
          <w:sz w:val="21"/>
          <w:szCs w:val="21"/>
          <w:highlight w:val="none"/>
        </w:rPr>
        <w:t xml:space="preserve">11 违约赔偿 </w:t>
      </w:r>
    </w:p>
    <w:p>
      <w:pPr>
        <w:pStyle w:val="47"/>
        <w:spacing w:line="440" w:lineRule="exact"/>
        <w:ind w:firstLine="420" w:firstLineChars="200"/>
        <w:jc w:val="both"/>
        <w:rPr>
          <w:sz w:val="21"/>
          <w:szCs w:val="21"/>
          <w:highlight w:val="none"/>
        </w:rPr>
      </w:pPr>
      <w:r>
        <w:rPr>
          <w:rFonts w:hint="eastAsia"/>
          <w:sz w:val="21"/>
          <w:szCs w:val="21"/>
          <w:highlight w:val="none"/>
        </w:rPr>
        <w:t>11.1甲方无正当理由拒收货物，拒付货款的，甲方向乙方偿付货物总金额5%的违约金。</w:t>
      </w:r>
    </w:p>
    <w:p>
      <w:pPr>
        <w:pStyle w:val="47"/>
        <w:spacing w:line="440" w:lineRule="exact"/>
        <w:ind w:firstLine="420" w:firstLineChars="200"/>
        <w:jc w:val="both"/>
        <w:rPr>
          <w:sz w:val="21"/>
          <w:szCs w:val="21"/>
          <w:highlight w:val="none"/>
        </w:rPr>
      </w:pPr>
      <w:r>
        <w:rPr>
          <w:rFonts w:hint="eastAsia"/>
          <w:sz w:val="21"/>
          <w:szCs w:val="21"/>
          <w:highlight w:val="none"/>
        </w:rPr>
        <w:t>11.2如果由于甲方未按乙方所提供的技术资料、图纸、说明书和乙方现场技术服务人员的指导而造成货物损坏的，由甲方负责。但乙方有义务尽快提供所需要更换的货物。对于甲方要求的紧急部件，乙方应安排最快的方式运输，所有费用均由甲方负担。</w:t>
      </w:r>
    </w:p>
    <w:p>
      <w:pPr>
        <w:pStyle w:val="47"/>
        <w:spacing w:line="440" w:lineRule="exact"/>
        <w:ind w:firstLine="420" w:firstLineChars="200"/>
        <w:jc w:val="both"/>
        <w:rPr>
          <w:sz w:val="21"/>
          <w:szCs w:val="21"/>
          <w:highlight w:val="none"/>
        </w:rPr>
      </w:pPr>
      <w:r>
        <w:rPr>
          <w:rFonts w:hint="eastAsia"/>
          <w:sz w:val="21"/>
          <w:szCs w:val="21"/>
          <w:highlight w:val="none"/>
        </w:rPr>
        <w:t>11.3乙方的投标文件为响应本合同的重要依据之一，履行合同时，如与其在投标时承诺响应的实质性内容有偏离或无法履行的，乙方应向甲方支付合同价格20%的违约金并赔偿甲方因此遭受的所有损失，并责令乙方限期整改。甲方要求其整改之日起5日内仍无实质性改进的，甲方有权单方面解除合同，合同因此解除的，乙方应退还甲方已支付的合同价格（如有）。</w:t>
      </w:r>
    </w:p>
    <w:p>
      <w:pPr>
        <w:pStyle w:val="47"/>
        <w:spacing w:line="440" w:lineRule="exact"/>
        <w:ind w:firstLine="420" w:firstLineChars="200"/>
        <w:jc w:val="both"/>
        <w:rPr>
          <w:sz w:val="21"/>
          <w:szCs w:val="21"/>
          <w:highlight w:val="none"/>
        </w:rPr>
      </w:pPr>
      <w:r>
        <w:rPr>
          <w:rFonts w:hint="eastAsia"/>
          <w:sz w:val="21"/>
          <w:szCs w:val="21"/>
          <w:highlight w:val="none"/>
        </w:rPr>
        <w:t>11.4 除合同规定外，如果乙方没有按照合同规定的时间提供质量合格的货物和服务，甲方可要求乙方支付违约金。从逾期之日起每日按本合同总价</w:t>
      </w:r>
      <w:r>
        <w:rPr>
          <w:rFonts w:hint="eastAsia"/>
          <w:sz w:val="21"/>
          <w:szCs w:val="21"/>
          <w:highlight w:val="none"/>
          <w:u w:val="single"/>
        </w:rPr>
        <w:t xml:space="preserve">的 2 </w:t>
      </w:r>
      <w:r>
        <w:rPr>
          <w:rFonts w:hint="eastAsia"/>
          <w:sz w:val="21"/>
          <w:szCs w:val="21"/>
          <w:highlight w:val="none"/>
        </w:rPr>
        <w:t>‰数额向甲方支付违约金；逾期30天以上（含30天）的，甲方有权解除合同，并且乙方应向甲方双倍返还定金，并且给甲方造成的经济损失由乙方承担赔偿责任。</w:t>
      </w:r>
    </w:p>
    <w:p>
      <w:pPr>
        <w:pStyle w:val="47"/>
        <w:spacing w:line="440" w:lineRule="exact"/>
        <w:ind w:firstLine="420" w:firstLineChars="200"/>
        <w:jc w:val="both"/>
        <w:rPr>
          <w:sz w:val="21"/>
          <w:szCs w:val="21"/>
          <w:highlight w:val="none"/>
        </w:rPr>
      </w:pPr>
      <w:r>
        <w:rPr>
          <w:rFonts w:hint="eastAsia"/>
          <w:sz w:val="21"/>
          <w:szCs w:val="21"/>
          <w:highlight w:val="none"/>
        </w:rPr>
        <w:t>11.5因乙方原因导致本合同解除或是无法履行的，乙方应向甲方双倍返还定金，且甲方有权决定是否接收属于乙方在现场的一切产品使用于本项目，并有进一步要求向乙方索赔的权利。双倍定金不足以弥补甲方损失的，乙方应另行补足。</w:t>
      </w:r>
    </w:p>
    <w:p>
      <w:pPr>
        <w:pStyle w:val="47"/>
        <w:spacing w:line="440" w:lineRule="exact"/>
        <w:ind w:firstLine="420" w:firstLineChars="200"/>
        <w:jc w:val="both"/>
        <w:rPr>
          <w:sz w:val="21"/>
          <w:szCs w:val="21"/>
          <w:highlight w:val="none"/>
        </w:rPr>
      </w:pPr>
      <w:r>
        <w:rPr>
          <w:rFonts w:hint="eastAsia"/>
          <w:sz w:val="21"/>
          <w:szCs w:val="21"/>
          <w:highlight w:val="none"/>
        </w:rPr>
        <w:t>11.6如乙方对合同敷衍执行，或忽视履行合同规定的实质性义务，且从甲方要求其整改之日起5日内仍无实质性改进，甲方有权解除合同，乙方应退还甲方已支付的合同价格（如有），向甲方支付合同价格20%的违约金并赔偿甲方因此遭受的所有损失。</w:t>
      </w:r>
    </w:p>
    <w:p>
      <w:pPr>
        <w:pStyle w:val="47"/>
        <w:spacing w:line="440" w:lineRule="exact"/>
        <w:ind w:firstLine="420" w:firstLineChars="200"/>
        <w:jc w:val="both"/>
        <w:rPr>
          <w:sz w:val="21"/>
          <w:szCs w:val="21"/>
          <w:highlight w:val="none"/>
        </w:rPr>
      </w:pPr>
      <w:r>
        <w:rPr>
          <w:rFonts w:hint="eastAsia"/>
          <w:sz w:val="21"/>
          <w:szCs w:val="21"/>
          <w:highlight w:val="none"/>
        </w:rPr>
        <w:t>11.7因乙方原因造成合同终止或解除，乙方应退还甲方已支付的合同价格（如有），乙方应在接到甲方离场通知的5日内无条件撤离现场，否则每逾期一日应向甲方支付人民币10000元的违约金，并赔偿甲方的损失。</w:t>
      </w:r>
    </w:p>
    <w:p>
      <w:pPr>
        <w:pStyle w:val="47"/>
        <w:spacing w:line="440" w:lineRule="exact"/>
        <w:ind w:firstLine="420" w:firstLineChars="200"/>
        <w:jc w:val="both"/>
        <w:rPr>
          <w:sz w:val="21"/>
          <w:szCs w:val="21"/>
          <w:highlight w:val="none"/>
        </w:rPr>
      </w:pPr>
      <w:r>
        <w:rPr>
          <w:rFonts w:hint="eastAsia"/>
          <w:sz w:val="21"/>
          <w:szCs w:val="21"/>
          <w:highlight w:val="none"/>
        </w:rPr>
        <w:t>11.8乙方违约或乙方任何其他原因造成甲方损失及/或甲方被追索的及/或承担责任的，甲方均有权拒付全部或部分价款，有权直接从合同价款扣除乙方应支付甲方的违约金、赔偿金。</w:t>
      </w:r>
    </w:p>
    <w:p>
      <w:pPr>
        <w:pStyle w:val="47"/>
        <w:spacing w:line="440" w:lineRule="exact"/>
        <w:ind w:firstLine="420" w:firstLineChars="200"/>
        <w:jc w:val="both"/>
        <w:rPr>
          <w:sz w:val="21"/>
          <w:szCs w:val="21"/>
          <w:highlight w:val="none"/>
        </w:rPr>
      </w:pPr>
      <w:r>
        <w:rPr>
          <w:rFonts w:hint="eastAsia"/>
          <w:sz w:val="21"/>
          <w:szCs w:val="21"/>
          <w:highlight w:val="none"/>
        </w:rPr>
        <w:t>11.9在本合同约定的相应履行期限届满之前，乙方明确表示或者以自己的行为表明不履行合同义务的，甲方有权解除本合同。合同因此解除的，乙方应退还甲方已支付的合同价格（如有），向甲方支付合同价格20%的违约金并赔偿甲方因此遭受的所有损失。</w:t>
      </w:r>
    </w:p>
    <w:p>
      <w:pPr>
        <w:pStyle w:val="47"/>
        <w:spacing w:line="440" w:lineRule="exact"/>
        <w:ind w:firstLine="420" w:firstLineChars="200"/>
        <w:jc w:val="both"/>
        <w:rPr>
          <w:sz w:val="21"/>
          <w:szCs w:val="21"/>
          <w:highlight w:val="none"/>
        </w:rPr>
      </w:pPr>
      <w:r>
        <w:rPr>
          <w:rFonts w:hint="eastAsia"/>
          <w:sz w:val="21"/>
          <w:szCs w:val="21"/>
          <w:highlight w:val="none"/>
        </w:rPr>
        <w:t xml:space="preserve">11.10甲方有权从未支付的款项或是履约保证金中直接扣除乙方的违约金，不足的部分由乙方另行补足。 </w:t>
      </w:r>
    </w:p>
    <w:p>
      <w:pPr>
        <w:pStyle w:val="47"/>
        <w:spacing w:line="440" w:lineRule="exact"/>
        <w:ind w:firstLine="420" w:firstLineChars="200"/>
        <w:jc w:val="both"/>
        <w:rPr>
          <w:sz w:val="21"/>
          <w:szCs w:val="21"/>
          <w:highlight w:val="none"/>
        </w:rPr>
      </w:pPr>
      <w:r>
        <w:rPr>
          <w:rFonts w:hint="eastAsia"/>
          <w:sz w:val="21"/>
          <w:szCs w:val="21"/>
          <w:highlight w:val="none"/>
        </w:rPr>
        <w:t>11.11除非双方协议将合同解除，违约方承担前述违约责任后仍必须履行合同。</w:t>
      </w:r>
    </w:p>
    <w:p>
      <w:pPr>
        <w:pStyle w:val="47"/>
        <w:spacing w:line="440" w:lineRule="exact"/>
        <w:ind w:firstLine="420" w:firstLineChars="200"/>
        <w:jc w:val="both"/>
        <w:rPr>
          <w:sz w:val="21"/>
          <w:szCs w:val="21"/>
          <w:highlight w:val="none"/>
        </w:rPr>
      </w:pPr>
      <w:r>
        <w:rPr>
          <w:rFonts w:hint="eastAsia"/>
          <w:sz w:val="21"/>
          <w:szCs w:val="21"/>
          <w:highlight w:val="none"/>
        </w:rPr>
        <w:t>11.12本合同下，双方对违约责任未明确约定的，相关违约责任按合同法及其他法律法规的有关规定执行。本合同项下约定的甲方遭受的损失包括但不限于因乙方违约而使甲方遭受的因减少或迟延运营所遭受的收入损失。</w:t>
      </w:r>
    </w:p>
    <w:p>
      <w:pPr>
        <w:pStyle w:val="47"/>
        <w:spacing w:line="440" w:lineRule="exact"/>
        <w:ind w:firstLine="420" w:firstLineChars="200"/>
        <w:rPr>
          <w:sz w:val="21"/>
          <w:szCs w:val="21"/>
          <w:highlight w:val="none"/>
        </w:rPr>
      </w:pPr>
      <w:r>
        <w:rPr>
          <w:rFonts w:hint="eastAsia"/>
          <w:sz w:val="21"/>
          <w:szCs w:val="21"/>
          <w:highlight w:val="none"/>
        </w:rPr>
        <w:t xml:space="preserve">12 不可抗力 </w:t>
      </w:r>
    </w:p>
    <w:p>
      <w:pPr>
        <w:pStyle w:val="47"/>
        <w:spacing w:line="440" w:lineRule="exact"/>
        <w:ind w:firstLine="420" w:firstLineChars="200"/>
        <w:rPr>
          <w:sz w:val="21"/>
          <w:szCs w:val="21"/>
          <w:highlight w:val="none"/>
        </w:rPr>
      </w:pPr>
      <w:r>
        <w:rPr>
          <w:rFonts w:hint="eastAsia"/>
          <w:sz w:val="21"/>
          <w:szCs w:val="21"/>
          <w:highlight w:val="none"/>
        </w:rPr>
        <w:t xml:space="preserve">12.1 如果双方中任何一方遭遇法律规定的不可抗力，致使合同履行受阻时，履行合同的期限应予延长，延长的期限应相当于不可抗力所影响的时间。 </w:t>
      </w:r>
    </w:p>
    <w:p>
      <w:pPr>
        <w:pStyle w:val="47"/>
        <w:spacing w:line="440" w:lineRule="exact"/>
        <w:ind w:firstLine="420" w:firstLineChars="200"/>
        <w:rPr>
          <w:sz w:val="21"/>
          <w:szCs w:val="21"/>
          <w:highlight w:val="none"/>
        </w:rPr>
      </w:pPr>
      <w:r>
        <w:rPr>
          <w:rFonts w:hint="eastAsia"/>
          <w:sz w:val="21"/>
          <w:szCs w:val="21"/>
          <w:highlight w:val="none"/>
        </w:rPr>
        <w:t>12.2 受事故影响的一方应在不可抗力的事故发生后尽快书面形式通知另一方，并在事故发生后</w:t>
      </w:r>
      <w:r>
        <w:rPr>
          <w:rFonts w:hint="eastAsia"/>
          <w:sz w:val="21"/>
          <w:szCs w:val="21"/>
          <w:highlight w:val="none"/>
          <w:u w:val="single"/>
        </w:rPr>
        <w:t xml:space="preserve">   </w:t>
      </w:r>
      <w:r>
        <w:rPr>
          <w:rFonts w:hint="eastAsia"/>
          <w:sz w:val="21"/>
          <w:szCs w:val="21"/>
          <w:highlight w:val="none"/>
        </w:rPr>
        <w:t xml:space="preserve">天内，将有关部门出具的证明文件送达另一方。 </w:t>
      </w:r>
    </w:p>
    <w:p>
      <w:pPr>
        <w:pStyle w:val="47"/>
        <w:spacing w:line="440" w:lineRule="exact"/>
        <w:ind w:firstLine="420" w:firstLineChars="200"/>
        <w:rPr>
          <w:sz w:val="21"/>
          <w:szCs w:val="21"/>
          <w:highlight w:val="none"/>
        </w:rPr>
      </w:pPr>
      <w:r>
        <w:rPr>
          <w:rFonts w:hint="eastAsia"/>
          <w:sz w:val="21"/>
          <w:szCs w:val="21"/>
          <w:highlight w:val="none"/>
        </w:rPr>
        <w:t>12.3 不可抗力使合同的某些内容有变更必要的，合同签订双方应通过协商在</w:t>
      </w:r>
      <w:r>
        <w:rPr>
          <w:rFonts w:hint="eastAsia"/>
          <w:sz w:val="21"/>
          <w:szCs w:val="21"/>
          <w:highlight w:val="none"/>
          <w:u w:val="single"/>
        </w:rPr>
        <w:t xml:space="preserve">   </w:t>
      </w:r>
      <w:r>
        <w:rPr>
          <w:rFonts w:hint="eastAsia"/>
          <w:sz w:val="21"/>
          <w:szCs w:val="21"/>
          <w:highlight w:val="none"/>
        </w:rPr>
        <w:t xml:space="preserve">日内达成进一步履行合同的协议，因不可抗力致使合同不能履行的，合同终止。 </w:t>
      </w:r>
    </w:p>
    <w:p>
      <w:pPr>
        <w:pStyle w:val="47"/>
        <w:spacing w:line="440" w:lineRule="exact"/>
        <w:ind w:firstLine="420" w:firstLineChars="200"/>
        <w:rPr>
          <w:sz w:val="21"/>
          <w:szCs w:val="21"/>
          <w:highlight w:val="none"/>
        </w:rPr>
      </w:pPr>
      <w:r>
        <w:rPr>
          <w:rFonts w:hint="eastAsia"/>
          <w:sz w:val="21"/>
          <w:szCs w:val="21"/>
          <w:highlight w:val="none"/>
        </w:rPr>
        <w:t xml:space="preserve">13税费 </w:t>
      </w:r>
    </w:p>
    <w:p>
      <w:pPr>
        <w:pStyle w:val="47"/>
        <w:spacing w:line="440" w:lineRule="exact"/>
        <w:ind w:firstLine="420" w:firstLineChars="200"/>
        <w:rPr>
          <w:sz w:val="21"/>
          <w:szCs w:val="21"/>
          <w:highlight w:val="none"/>
        </w:rPr>
      </w:pPr>
      <w:r>
        <w:rPr>
          <w:rFonts w:hint="eastAsia"/>
          <w:sz w:val="21"/>
          <w:szCs w:val="21"/>
          <w:highlight w:val="none"/>
        </w:rPr>
        <w:t xml:space="preserve">13.1 与本合同有关的一切税费均适用中华人民共和国法律的相关规定。 </w:t>
      </w:r>
    </w:p>
    <w:p>
      <w:pPr>
        <w:pStyle w:val="47"/>
        <w:spacing w:line="440" w:lineRule="exact"/>
        <w:ind w:firstLine="420" w:firstLineChars="200"/>
        <w:rPr>
          <w:sz w:val="21"/>
          <w:szCs w:val="21"/>
          <w:highlight w:val="none"/>
        </w:rPr>
      </w:pPr>
      <w:r>
        <w:rPr>
          <w:rFonts w:hint="eastAsia"/>
          <w:sz w:val="21"/>
          <w:szCs w:val="21"/>
          <w:highlight w:val="none"/>
        </w:rPr>
        <w:t xml:space="preserve">14 合同争议的解决 </w:t>
      </w:r>
    </w:p>
    <w:p>
      <w:pPr>
        <w:pStyle w:val="47"/>
        <w:spacing w:line="440" w:lineRule="exact"/>
        <w:ind w:firstLine="420" w:firstLineChars="200"/>
        <w:rPr>
          <w:sz w:val="21"/>
          <w:szCs w:val="21"/>
          <w:highlight w:val="none"/>
        </w:rPr>
      </w:pPr>
      <w:r>
        <w:rPr>
          <w:rFonts w:hint="eastAsia"/>
          <w:sz w:val="21"/>
          <w:szCs w:val="21"/>
          <w:highlight w:val="none"/>
        </w:rPr>
        <w:t>14.1 因合同履行中发生的争议，可通过合同当事人双方友好协商解决。如自协商开始之起15日内得不到解决，双方应将争议提交同级政府采购监督管理部门调解。调解不成的，可向甲方所在地有管辖权的人</w:t>
      </w:r>
      <w:r>
        <w:rPr>
          <w:highlight w:val="none"/>
        </w:rPr>
        <w:fldChar w:fldCharType="begin"/>
      </w:r>
      <w:r>
        <w:rPr>
          <w:highlight w:val="none"/>
        </w:rPr>
        <w:instrText xml:space="preserve"> HYPERLINK "http://www.chinalawedu.com/web/23243/" \t "_blank" \o "民法" </w:instrText>
      </w:r>
      <w:r>
        <w:rPr>
          <w:highlight w:val="none"/>
        </w:rPr>
        <w:fldChar w:fldCharType="separate"/>
      </w:r>
      <w:r>
        <w:rPr>
          <w:rStyle w:val="58"/>
          <w:color w:val="auto"/>
          <w:sz w:val="21"/>
          <w:szCs w:val="21"/>
          <w:highlight w:val="none"/>
        </w:rPr>
        <w:t>民法</w:t>
      </w:r>
      <w:r>
        <w:rPr>
          <w:rStyle w:val="58"/>
          <w:color w:val="auto"/>
          <w:sz w:val="21"/>
          <w:szCs w:val="21"/>
          <w:highlight w:val="none"/>
        </w:rPr>
        <w:fldChar w:fldCharType="end"/>
      </w:r>
      <w:r>
        <w:rPr>
          <w:rFonts w:hint="eastAsia"/>
          <w:sz w:val="21"/>
          <w:szCs w:val="21"/>
          <w:highlight w:val="none"/>
        </w:rPr>
        <w:t xml:space="preserve">院提起诉讼。 </w:t>
      </w:r>
    </w:p>
    <w:p>
      <w:pPr>
        <w:pStyle w:val="47"/>
        <w:spacing w:line="440" w:lineRule="exact"/>
        <w:ind w:firstLine="420" w:firstLineChars="200"/>
        <w:rPr>
          <w:sz w:val="21"/>
          <w:szCs w:val="21"/>
          <w:highlight w:val="none"/>
        </w:rPr>
      </w:pPr>
      <w:r>
        <w:rPr>
          <w:rFonts w:hint="eastAsia"/>
          <w:sz w:val="21"/>
          <w:szCs w:val="21"/>
          <w:highlight w:val="none"/>
        </w:rPr>
        <w:t xml:space="preserve">15 违约解除合同 </w:t>
      </w:r>
    </w:p>
    <w:p>
      <w:pPr>
        <w:pStyle w:val="47"/>
        <w:spacing w:line="440" w:lineRule="exact"/>
        <w:ind w:firstLine="420" w:firstLineChars="200"/>
        <w:rPr>
          <w:sz w:val="21"/>
          <w:szCs w:val="21"/>
          <w:highlight w:val="none"/>
        </w:rPr>
      </w:pPr>
      <w:r>
        <w:rPr>
          <w:rFonts w:hint="eastAsia"/>
          <w:sz w:val="21"/>
          <w:szCs w:val="21"/>
          <w:highlight w:val="none"/>
        </w:rPr>
        <w:t xml:space="preserve">15.1 在乙方违约的情况下，甲方经同级政府采购监督管理部门审批后，可向乙方发出书面通知，部分或全部终止合同。同时保留向乙方追诉的权利。 </w:t>
      </w:r>
    </w:p>
    <w:p>
      <w:pPr>
        <w:pStyle w:val="47"/>
        <w:spacing w:line="440" w:lineRule="exact"/>
        <w:ind w:firstLine="420" w:firstLineChars="200"/>
        <w:rPr>
          <w:sz w:val="21"/>
          <w:szCs w:val="21"/>
          <w:highlight w:val="none"/>
        </w:rPr>
      </w:pPr>
      <w:r>
        <w:rPr>
          <w:rFonts w:hint="eastAsia"/>
          <w:sz w:val="21"/>
          <w:szCs w:val="21"/>
          <w:highlight w:val="none"/>
        </w:rPr>
        <w:t xml:space="preserve">15.2全部或部分解除合同之后，应当遵循诚实信用原则，以政府采购监督管理部门同意的方式，购买未予交付的货物类似的货物或服务。乙方应承担甲方购买类似货物或服务而产生的额外支出。部分解除合同的，乙方应继续履行合同中未解除的部分。 </w:t>
      </w:r>
    </w:p>
    <w:p>
      <w:pPr>
        <w:pStyle w:val="47"/>
        <w:spacing w:line="440" w:lineRule="exact"/>
        <w:ind w:firstLine="420" w:firstLineChars="200"/>
        <w:rPr>
          <w:sz w:val="21"/>
          <w:szCs w:val="21"/>
          <w:highlight w:val="none"/>
        </w:rPr>
      </w:pPr>
      <w:r>
        <w:rPr>
          <w:rFonts w:hint="eastAsia"/>
          <w:sz w:val="21"/>
          <w:szCs w:val="21"/>
          <w:highlight w:val="none"/>
        </w:rPr>
        <w:t xml:space="preserve">16破产终止合同 </w:t>
      </w:r>
    </w:p>
    <w:p>
      <w:pPr>
        <w:pStyle w:val="47"/>
        <w:spacing w:line="440" w:lineRule="exact"/>
        <w:ind w:firstLine="420" w:firstLineChars="200"/>
        <w:jc w:val="both"/>
        <w:rPr>
          <w:sz w:val="21"/>
          <w:szCs w:val="21"/>
          <w:highlight w:val="none"/>
        </w:rPr>
      </w:pPr>
      <w:r>
        <w:rPr>
          <w:rFonts w:hint="eastAsia"/>
          <w:sz w:val="21"/>
          <w:szCs w:val="21"/>
          <w:highlight w:val="none"/>
        </w:rPr>
        <w:t xml:space="preserve">16.1 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 </w:t>
      </w:r>
    </w:p>
    <w:p>
      <w:pPr>
        <w:pStyle w:val="47"/>
        <w:spacing w:line="440" w:lineRule="exact"/>
        <w:ind w:firstLine="420" w:firstLineChars="200"/>
        <w:rPr>
          <w:sz w:val="21"/>
          <w:szCs w:val="21"/>
          <w:highlight w:val="none"/>
        </w:rPr>
      </w:pPr>
      <w:r>
        <w:rPr>
          <w:rFonts w:hint="eastAsia"/>
          <w:sz w:val="21"/>
          <w:szCs w:val="21"/>
          <w:highlight w:val="none"/>
        </w:rPr>
        <w:t xml:space="preserve">17 转让和分包 </w:t>
      </w:r>
    </w:p>
    <w:p>
      <w:pPr>
        <w:pStyle w:val="47"/>
        <w:spacing w:line="440" w:lineRule="exact"/>
        <w:ind w:firstLine="420" w:firstLineChars="200"/>
        <w:rPr>
          <w:sz w:val="21"/>
          <w:szCs w:val="21"/>
          <w:highlight w:val="none"/>
        </w:rPr>
      </w:pPr>
      <w:r>
        <w:rPr>
          <w:rFonts w:hint="eastAsia"/>
          <w:sz w:val="21"/>
          <w:szCs w:val="21"/>
          <w:highlight w:val="none"/>
        </w:rPr>
        <w:t xml:space="preserve">17.1 合同不能转让。 </w:t>
      </w:r>
    </w:p>
    <w:p>
      <w:pPr>
        <w:pStyle w:val="47"/>
        <w:spacing w:line="440" w:lineRule="exact"/>
        <w:ind w:firstLine="420" w:firstLineChars="200"/>
        <w:rPr>
          <w:sz w:val="21"/>
          <w:szCs w:val="21"/>
          <w:highlight w:val="none"/>
        </w:rPr>
      </w:pPr>
      <w:r>
        <w:rPr>
          <w:rFonts w:hint="eastAsia"/>
          <w:sz w:val="21"/>
          <w:szCs w:val="21"/>
          <w:highlight w:val="none"/>
        </w:rPr>
        <w:t xml:space="preserve">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 </w:t>
      </w:r>
    </w:p>
    <w:p>
      <w:pPr>
        <w:pStyle w:val="47"/>
        <w:spacing w:line="440" w:lineRule="exact"/>
        <w:ind w:firstLine="420" w:firstLineChars="200"/>
        <w:rPr>
          <w:sz w:val="21"/>
          <w:szCs w:val="21"/>
          <w:highlight w:val="none"/>
        </w:rPr>
      </w:pPr>
      <w:r>
        <w:rPr>
          <w:rFonts w:hint="eastAsia"/>
          <w:sz w:val="21"/>
          <w:szCs w:val="21"/>
          <w:highlight w:val="none"/>
        </w:rPr>
        <w:t>17.3甲方和乙方都不得擅自变更本合同，但合同继续履行将损害国家和社会公共利益的除外。如必须对合同条款进行改动时，当事人双方须共同签署书面文件，作为合同的补充，并报同级政府采购监督管理部门备案。</w:t>
      </w:r>
    </w:p>
    <w:p>
      <w:pPr>
        <w:pStyle w:val="47"/>
        <w:spacing w:line="440" w:lineRule="exact"/>
        <w:ind w:firstLine="420" w:firstLineChars="200"/>
        <w:rPr>
          <w:sz w:val="21"/>
          <w:szCs w:val="21"/>
          <w:highlight w:val="none"/>
        </w:rPr>
      </w:pPr>
      <w:r>
        <w:rPr>
          <w:rFonts w:hint="eastAsia"/>
          <w:sz w:val="21"/>
          <w:szCs w:val="21"/>
          <w:highlight w:val="none"/>
        </w:rPr>
        <w:t xml:space="preserve">17.4乙方擅自转让本合同或是未经甲方书面同意将合同项下非主体、非关键性工作分包给他人的，甲方有权立即解除本合同，同时要求乙方支付合同总价20%的违约金，违约金不足以弥补甲方损失，甲方有权继续向乙方追索。 </w:t>
      </w:r>
    </w:p>
    <w:p>
      <w:pPr>
        <w:pStyle w:val="47"/>
        <w:spacing w:line="440" w:lineRule="exact"/>
        <w:ind w:firstLine="420" w:firstLineChars="200"/>
        <w:rPr>
          <w:sz w:val="21"/>
          <w:szCs w:val="21"/>
          <w:highlight w:val="none"/>
        </w:rPr>
      </w:pPr>
      <w:r>
        <w:rPr>
          <w:rFonts w:hint="eastAsia"/>
          <w:sz w:val="21"/>
          <w:szCs w:val="21"/>
          <w:highlight w:val="none"/>
        </w:rPr>
        <w:t xml:space="preserve">18 计量单位 </w:t>
      </w:r>
    </w:p>
    <w:p>
      <w:pPr>
        <w:pStyle w:val="47"/>
        <w:spacing w:line="440" w:lineRule="exact"/>
        <w:ind w:firstLine="420" w:firstLineChars="200"/>
        <w:rPr>
          <w:sz w:val="21"/>
          <w:szCs w:val="21"/>
          <w:highlight w:val="none"/>
        </w:rPr>
      </w:pPr>
      <w:r>
        <w:rPr>
          <w:rFonts w:hint="eastAsia"/>
          <w:sz w:val="21"/>
          <w:szCs w:val="21"/>
          <w:highlight w:val="none"/>
        </w:rPr>
        <w:t xml:space="preserve">18.1 各项计量单位与货物清单对应项计量单位一致。 </w:t>
      </w:r>
    </w:p>
    <w:p>
      <w:pPr>
        <w:pStyle w:val="47"/>
        <w:spacing w:line="440" w:lineRule="exact"/>
        <w:ind w:firstLine="420" w:firstLineChars="200"/>
        <w:rPr>
          <w:sz w:val="21"/>
          <w:szCs w:val="21"/>
          <w:highlight w:val="none"/>
        </w:rPr>
      </w:pPr>
      <w:r>
        <w:rPr>
          <w:rFonts w:hint="eastAsia"/>
          <w:sz w:val="21"/>
          <w:szCs w:val="21"/>
          <w:highlight w:val="none"/>
        </w:rPr>
        <w:t xml:space="preserve">19 合同生效和其它 </w:t>
      </w:r>
    </w:p>
    <w:p>
      <w:pPr>
        <w:pStyle w:val="47"/>
        <w:spacing w:line="440" w:lineRule="exact"/>
        <w:ind w:firstLine="420" w:firstLineChars="200"/>
        <w:jc w:val="both"/>
        <w:rPr>
          <w:sz w:val="21"/>
          <w:szCs w:val="21"/>
          <w:highlight w:val="none"/>
        </w:rPr>
      </w:pPr>
      <w:r>
        <w:rPr>
          <w:rFonts w:hint="eastAsia"/>
          <w:sz w:val="21"/>
          <w:szCs w:val="21"/>
          <w:highlight w:val="none"/>
        </w:rPr>
        <w:t xml:space="preserve">19.1 采购项目的采购合同内容的确定应以招标文件和投标文件为基础，不得违背其实质性内容。采购项目的采购合同自签订之日起七个工作日内，甲方应当将合同副本报有关部门备案。合同将在双方签字盖章后开始生效。 </w:t>
      </w:r>
    </w:p>
    <w:p>
      <w:pPr>
        <w:snapToGrid w:val="0"/>
        <w:spacing w:line="440" w:lineRule="exact"/>
        <w:ind w:firstLine="420" w:firstLineChars="200"/>
        <w:rPr>
          <w:rFonts w:hAnsi="宋体"/>
          <w:sz w:val="21"/>
          <w:szCs w:val="21"/>
          <w:highlight w:val="none"/>
        </w:rPr>
      </w:pPr>
      <w:r>
        <w:rPr>
          <w:rFonts w:hint="eastAsia" w:hAnsi="宋体"/>
          <w:sz w:val="21"/>
          <w:szCs w:val="21"/>
          <w:highlight w:val="none"/>
        </w:rPr>
        <w:t>19.</w:t>
      </w:r>
      <w:r>
        <w:rPr>
          <w:rFonts w:hAnsi="宋体"/>
          <w:sz w:val="21"/>
          <w:szCs w:val="21"/>
          <w:highlight w:val="none"/>
        </w:rPr>
        <w:t>2</w:t>
      </w:r>
      <w:r>
        <w:rPr>
          <w:rFonts w:hint="eastAsia" w:hAnsi="宋体"/>
          <w:sz w:val="21"/>
          <w:szCs w:val="21"/>
          <w:highlight w:val="none"/>
        </w:rPr>
        <w:t>本合同一式</w:t>
      </w:r>
      <w:r>
        <w:rPr>
          <w:rFonts w:hint="eastAsia" w:hAnsi="宋体"/>
          <w:sz w:val="21"/>
          <w:szCs w:val="21"/>
          <w:highlight w:val="none"/>
          <w:u w:val="single"/>
        </w:rPr>
        <w:t xml:space="preserve">    </w:t>
      </w:r>
      <w:r>
        <w:rPr>
          <w:rFonts w:hint="eastAsia" w:hAnsi="宋体"/>
          <w:sz w:val="21"/>
          <w:szCs w:val="21"/>
          <w:highlight w:val="none"/>
        </w:rPr>
        <w:t>份，甲方执</w:t>
      </w:r>
      <w:r>
        <w:rPr>
          <w:rFonts w:hint="eastAsia" w:hAnsi="宋体"/>
          <w:sz w:val="21"/>
          <w:szCs w:val="21"/>
          <w:highlight w:val="none"/>
          <w:u w:val="single"/>
        </w:rPr>
        <w:t xml:space="preserve">    </w:t>
      </w:r>
      <w:r>
        <w:rPr>
          <w:rFonts w:hint="eastAsia" w:hAnsi="宋体"/>
          <w:sz w:val="21"/>
          <w:szCs w:val="21"/>
          <w:highlight w:val="none"/>
        </w:rPr>
        <w:t>份，乙方执</w:t>
      </w:r>
      <w:r>
        <w:rPr>
          <w:rFonts w:hint="eastAsia" w:hAnsi="宋体"/>
          <w:sz w:val="21"/>
          <w:szCs w:val="21"/>
          <w:highlight w:val="none"/>
          <w:u w:val="single"/>
        </w:rPr>
        <w:t xml:space="preserve">    </w:t>
      </w:r>
      <w:r>
        <w:rPr>
          <w:rFonts w:hint="eastAsia" w:hAnsi="宋体"/>
          <w:sz w:val="21"/>
          <w:szCs w:val="21"/>
          <w:highlight w:val="none"/>
        </w:rPr>
        <w:t>份，采购代理机构执</w:t>
      </w:r>
      <w:r>
        <w:rPr>
          <w:rFonts w:hint="eastAsia" w:hAnsi="宋体"/>
          <w:sz w:val="21"/>
          <w:szCs w:val="21"/>
          <w:highlight w:val="none"/>
          <w:u w:val="single"/>
        </w:rPr>
        <w:t xml:space="preserve">     </w:t>
      </w:r>
      <w:r>
        <w:rPr>
          <w:rFonts w:hint="eastAsia" w:hAnsi="宋体"/>
          <w:sz w:val="21"/>
          <w:szCs w:val="21"/>
          <w:highlight w:val="none"/>
        </w:rPr>
        <w:t>份，具同等法律效力。本合同合计</w:t>
      </w:r>
      <w:r>
        <w:rPr>
          <w:rFonts w:hint="eastAsia" w:hAnsi="宋体"/>
          <w:sz w:val="21"/>
          <w:szCs w:val="21"/>
          <w:highlight w:val="none"/>
          <w:u w:val="single"/>
        </w:rPr>
        <w:t xml:space="preserve">   </w:t>
      </w:r>
      <w:r>
        <w:rPr>
          <w:rFonts w:hint="eastAsia" w:hAnsi="宋体"/>
          <w:sz w:val="21"/>
          <w:szCs w:val="21"/>
          <w:highlight w:val="none"/>
        </w:rPr>
        <w:t>页，缺页之合同为无效合同。</w:t>
      </w:r>
    </w:p>
    <w:p>
      <w:pPr>
        <w:snapToGrid w:val="0"/>
        <w:spacing w:line="440" w:lineRule="exact"/>
        <w:ind w:firstLine="420" w:firstLineChars="200"/>
        <w:rPr>
          <w:rFonts w:hAnsi="宋体"/>
          <w:sz w:val="21"/>
          <w:szCs w:val="21"/>
          <w:highlight w:val="none"/>
        </w:rPr>
      </w:pPr>
      <w:r>
        <w:rPr>
          <w:rFonts w:hint="eastAsia" w:hAnsi="宋体"/>
          <w:sz w:val="21"/>
          <w:szCs w:val="21"/>
          <w:highlight w:val="none"/>
        </w:rPr>
        <w:t>19.</w:t>
      </w:r>
      <w:r>
        <w:rPr>
          <w:rFonts w:hAnsi="宋体"/>
          <w:sz w:val="21"/>
          <w:szCs w:val="21"/>
          <w:highlight w:val="none"/>
        </w:rPr>
        <w:t>3</w:t>
      </w:r>
      <w:r>
        <w:rPr>
          <w:rFonts w:hint="eastAsia" w:hAnsi="宋体"/>
          <w:sz w:val="21"/>
          <w:szCs w:val="21"/>
          <w:highlight w:val="none"/>
        </w:rPr>
        <w:t>其它未尽事宜，由甲乙双方友好协商解决，并参照《中华人民共和国民法典》有关条款执行。</w:t>
      </w:r>
    </w:p>
    <w:p>
      <w:pPr>
        <w:pStyle w:val="47"/>
        <w:spacing w:line="440" w:lineRule="exact"/>
        <w:ind w:firstLine="420" w:firstLineChars="200"/>
        <w:rPr>
          <w:sz w:val="21"/>
          <w:szCs w:val="21"/>
          <w:highlight w:val="none"/>
        </w:rPr>
      </w:pPr>
      <w:r>
        <w:rPr>
          <w:rFonts w:hint="eastAsia"/>
          <w:sz w:val="21"/>
          <w:szCs w:val="21"/>
          <w:highlight w:val="none"/>
        </w:rPr>
        <w:t>19.</w:t>
      </w:r>
      <w:r>
        <w:rPr>
          <w:sz w:val="21"/>
          <w:szCs w:val="21"/>
          <w:highlight w:val="none"/>
        </w:rPr>
        <w:t>4</w:t>
      </w:r>
      <w:r>
        <w:rPr>
          <w:rFonts w:hint="eastAsia"/>
          <w:sz w:val="21"/>
          <w:szCs w:val="21"/>
          <w:highlight w:val="none"/>
        </w:rPr>
        <w:t>本合同应按照中华人民共和国的法律进行解释。</w:t>
      </w:r>
    </w:p>
    <w:p>
      <w:pPr>
        <w:spacing w:line="440" w:lineRule="exact"/>
        <w:ind w:firstLine="420" w:firstLineChars="200"/>
        <w:rPr>
          <w:rFonts w:hAnsi="宋体"/>
          <w:sz w:val="21"/>
          <w:szCs w:val="21"/>
          <w:highlight w:val="none"/>
        </w:rPr>
      </w:pPr>
      <w:r>
        <w:rPr>
          <w:rFonts w:hint="eastAsia" w:hAnsi="宋体"/>
          <w:sz w:val="21"/>
          <w:szCs w:val="21"/>
          <w:highlight w:val="none"/>
        </w:rPr>
        <w:t>（以下无正文）</w:t>
      </w:r>
    </w:p>
    <w:p>
      <w:pPr>
        <w:spacing w:line="440" w:lineRule="exact"/>
        <w:ind w:firstLine="420" w:firstLineChars="200"/>
        <w:rPr>
          <w:rFonts w:hAnsi="宋体"/>
          <w:sz w:val="21"/>
          <w:szCs w:val="21"/>
          <w:highlight w:val="none"/>
        </w:rPr>
      </w:pPr>
    </w:p>
    <w:p>
      <w:pPr>
        <w:spacing w:line="440" w:lineRule="exact"/>
        <w:ind w:firstLine="420" w:firstLineChars="200"/>
        <w:rPr>
          <w:rFonts w:hAnsi="宋体"/>
          <w:sz w:val="21"/>
          <w:szCs w:val="21"/>
          <w:highlight w:val="none"/>
        </w:rPr>
      </w:pPr>
      <w:r>
        <w:rPr>
          <w:rFonts w:hint="eastAsia" w:hAnsi="宋体"/>
          <w:sz w:val="21"/>
          <w:szCs w:val="21"/>
          <w:highlight w:val="none"/>
        </w:rPr>
        <w:t>甲方（盖章）：                      乙方（盖章）：</w:t>
      </w:r>
    </w:p>
    <w:p>
      <w:pPr>
        <w:spacing w:line="440" w:lineRule="exact"/>
        <w:ind w:firstLine="420" w:firstLineChars="200"/>
        <w:rPr>
          <w:rFonts w:hAnsi="宋体"/>
          <w:sz w:val="21"/>
          <w:szCs w:val="21"/>
          <w:highlight w:val="none"/>
        </w:rPr>
      </w:pPr>
      <w:r>
        <w:rPr>
          <w:rFonts w:hint="eastAsia" w:hAnsi="宋体"/>
          <w:sz w:val="21"/>
          <w:szCs w:val="21"/>
          <w:highlight w:val="none"/>
        </w:rPr>
        <w:t>甲方法定代表(签字)：                乙方法定代表(签字)：</w:t>
      </w:r>
    </w:p>
    <w:p>
      <w:pPr>
        <w:spacing w:line="440" w:lineRule="exact"/>
        <w:ind w:firstLine="420" w:firstLineChars="200"/>
        <w:rPr>
          <w:rFonts w:hAnsi="宋体"/>
          <w:sz w:val="21"/>
          <w:szCs w:val="21"/>
          <w:highlight w:val="none"/>
        </w:rPr>
      </w:pPr>
      <w:r>
        <w:rPr>
          <w:rFonts w:hint="eastAsia" w:hAnsi="宋体"/>
          <w:sz w:val="21"/>
          <w:szCs w:val="21"/>
          <w:highlight w:val="none"/>
        </w:rPr>
        <w:t xml:space="preserve">地址：                              地址： </w:t>
      </w:r>
    </w:p>
    <w:p>
      <w:pPr>
        <w:spacing w:line="440" w:lineRule="exact"/>
        <w:ind w:firstLine="420" w:firstLineChars="200"/>
        <w:rPr>
          <w:rFonts w:hAnsi="宋体"/>
          <w:sz w:val="21"/>
          <w:szCs w:val="21"/>
          <w:highlight w:val="none"/>
        </w:rPr>
      </w:pPr>
      <w:r>
        <w:rPr>
          <w:rFonts w:hint="eastAsia" w:hAnsi="宋体"/>
          <w:sz w:val="21"/>
          <w:szCs w:val="21"/>
          <w:highlight w:val="none"/>
        </w:rPr>
        <w:t>电话：                              电话：</w:t>
      </w:r>
    </w:p>
    <w:p>
      <w:pPr>
        <w:spacing w:line="440" w:lineRule="exact"/>
        <w:ind w:firstLine="420" w:firstLineChars="200"/>
        <w:rPr>
          <w:rFonts w:hAnsi="宋体"/>
          <w:sz w:val="21"/>
          <w:szCs w:val="21"/>
          <w:highlight w:val="none"/>
        </w:rPr>
      </w:pPr>
      <w:r>
        <w:rPr>
          <w:rFonts w:hint="eastAsia" w:hAnsi="宋体"/>
          <w:sz w:val="21"/>
          <w:szCs w:val="21"/>
          <w:highlight w:val="none"/>
        </w:rPr>
        <w:t>传真：</w:t>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 xml:space="preserve">     传真：</w:t>
      </w:r>
    </w:p>
    <w:p>
      <w:pPr>
        <w:spacing w:line="440" w:lineRule="exact"/>
        <w:ind w:firstLine="420" w:firstLineChars="200"/>
        <w:rPr>
          <w:rFonts w:hAnsi="宋体"/>
          <w:sz w:val="21"/>
          <w:szCs w:val="21"/>
          <w:highlight w:val="none"/>
        </w:rPr>
      </w:pPr>
      <w:r>
        <w:rPr>
          <w:rFonts w:hint="eastAsia" w:hAnsi="宋体"/>
          <w:sz w:val="21"/>
          <w:szCs w:val="21"/>
          <w:highlight w:val="none"/>
        </w:rPr>
        <w:t>开户银行：</w:t>
      </w:r>
      <w:r>
        <w:rPr>
          <w:rFonts w:hint="eastAsia" w:hAnsi="宋体"/>
          <w:sz w:val="21"/>
          <w:szCs w:val="21"/>
          <w:highlight w:val="none"/>
        </w:rPr>
        <w:tab/>
      </w:r>
      <w:r>
        <w:rPr>
          <w:rFonts w:hint="eastAsia" w:hAnsi="宋体"/>
          <w:sz w:val="21"/>
          <w:szCs w:val="21"/>
          <w:highlight w:val="none"/>
        </w:rPr>
        <w:t xml:space="preserve">                   开户银行：</w:t>
      </w:r>
    </w:p>
    <w:p>
      <w:pPr>
        <w:spacing w:line="440" w:lineRule="exact"/>
        <w:ind w:firstLine="420" w:firstLineChars="200"/>
        <w:rPr>
          <w:rFonts w:hAnsi="宋体"/>
          <w:sz w:val="21"/>
          <w:szCs w:val="21"/>
          <w:highlight w:val="none"/>
        </w:rPr>
      </w:pPr>
      <w:r>
        <w:rPr>
          <w:rFonts w:hint="eastAsia" w:hAnsi="宋体"/>
          <w:sz w:val="21"/>
          <w:szCs w:val="21"/>
          <w:highlight w:val="none"/>
        </w:rPr>
        <w:t>账号：                              账号：</w:t>
      </w:r>
    </w:p>
    <w:p>
      <w:pPr>
        <w:spacing w:line="440" w:lineRule="exact"/>
        <w:ind w:firstLine="420" w:firstLineChars="200"/>
        <w:rPr>
          <w:rFonts w:hAnsi="宋体"/>
          <w:sz w:val="21"/>
          <w:szCs w:val="21"/>
          <w:highlight w:val="none"/>
        </w:rPr>
      </w:pPr>
    </w:p>
    <w:p>
      <w:pPr>
        <w:spacing w:line="440" w:lineRule="exact"/>
        <w:ind w:firstLine="420" w:firstLineChars="200"/>
        <w:rPr>
          <w:rFonts w:hAnsi="宋体"/>
          <w:sz w:val="21"/>
          <w:szCs w:val="21"/>
          <w:highlight w:val="none"/>
        </w:rPr>
      </w:pPr>
      <w:r>
        <w:rPr>
          <w:rFonts w:hint="eastAsia" w:hAnsi="宋体"/>
          <w:sz w:val="21"/>
          <w:szCs w:val="21"/>
          <w:highlight w:val="none"/>
        </w:rPr>
        <w:t>签约时间：</w:t>
      </w:r>
    </w:p>
    <w:p>
      <w:pPr>
        <w:pStyle w:val="144"/>
        <w:spacing w:line="440" w:lineRule="exact"/>
        <w:rPr>
          <w:rFonts w:ascii="宋体" w:hAnsi="宋体"/>
          <w:szCs w:val="21"/>
          <w:highlight w:val="none"/>
        </w:rPr>
      </w:pPr>
      <w:r>
        <w:rPr>
          <w:rFonts w:hint="eastAsia" w:ascii="宋体" w:hAnsi="宋体"/>
          <w:szCs w:val="21"/>
          <w:highlight w:val="none"/>
        </w:rPr>
        <w:t>签约地点：</w:t>
      </w:r>
    </w:p>
    <w:p>
      <w:pPr>
        <w:spacing w:line="480" w:lineRule="exact"/>
        <w:rPr>
          <w:rFonts w:ascii="方正小标宋简体" w:hAnsi="黑体" w:eastAsia="方正小标宋简体"/>
          <w:b/>
          <w:sz w:val="44"/>
          <w:szCs w:val="44"/>
          <w:highlight w:val="none"/>
        </w:rPr>
      </w:pPr>
    </w:p>
    <w:p>
      <w:pPr>
        <w:spacing w:line="480" w:lineRule="exact"/>
        <w:jc w:val="center"/>
        <w:rPr>
          <w:rFonts w:ascii="方正小标宋简体" w:hAnsi="黑体" w:eastAsia="方正小标宋简体"/>
          <w:b/>
          <w:sz w:val="30"/>
          <w:szCs w:val="30"/>
          <w:highlight w:val="none"/>
        </w:rPr>
      </w:pPr>
    </w:p>
    <w:p>
      <w:pP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br w:type="page"/>
      </w:r>
    </w:p>
    <w:p>
      <w:pPr>
        <w:jc w:val="cente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t>阳光合作协议</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甲方：</w:t>
      </w:r>
      <w:r>
        <w:rPr>
          <w:rFonts w:hAnsi="宋体"/>
          <w:sz w:val="21"/>
          <w:szCs w:val="21"/>
          <w:highlight w:val="none"/>
        </w:rPr>
        <w:t xml:space="preserve"> </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乙方：</w:t>
      </w:r>
      <w:r>
        <w:rPr>
          <w:rFonts w:hAnsi="宋体"/>
          <w:sz w:val="21"/>
          <w:szCs w:val="21"/>
          <w:highlight w:val="none"/>
        </w:rPr>
        <w:t xml:space="preserve"> </w:t>
      </w: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 xml:space="preserve">    甲乙双方于 2022年     月     日签署了《……》（以下简称原合同），为加强双方阳光合作，保证职员职业安全，甲乙双方经协商签订本协议并作为双方共同遵守的阳光合作行为准则。</w:t>
      </w:r>
    </w:p>
    <w:p>
      <w:pPr>
        <w:widowControl/>
        <w:numPr>
          <w:ilvl w:val="0"/>
          <w:numId w:val="16"/>
        </w:numPr>
        <w:autoSpaceDE/>
        <w:autoSpaceDN/>
        <w:adjustRightInd/>
        <w:spacing w:before="163" w:beforeLines="50" w:after="163" w:afterLines="50" w:line="360" w:lineRule="auto"/>
        <w:ind w:left="0" w:firstLine="422" w:firstLineChars="200"/>
        <w:contextualSpacing/>
        <w:rPr>
          <w:rFonts w:hAnsi="宋体"/>
          <w:b/>
          <w:sz w:val="21"/>
          <w:szCs w:val="21"/>
          <w:highlight w:val="none"/>
        </w:rPr>
      </w:pPr>
      <w:r>
        <w:rPr>
          <w:rFonts w:hint="eastAsia" w:hAnsi="宋体"/>
          <w:b/>
          <w:sz w:val="21"/>
          <w:szCs w:val="21"/>
          <w:highlight w:val="none"/>
        </w:rPr>
        <w:t>甲方责任</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1.甲方有责任向乙方介绍本单位有关采购管理通用原则和本协议的规定。</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2.甲方有责任对本单位相关人员进行阳光合作教育。</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4.甲方人员如违反阳光合作管理制度及本协议规定，甲方视情节轻重、影响大小给予行政及经济处罚。</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5．对于乙方举报甲方人员违反阳光合作规定的情况，甲方应及时进行调查，根据调查情况进行处理，并将调查结果向乙方反馈。</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6"/>
        </w:numPr>
        <w:autoSpaceDE/>
        <w:autoSpaceDN/>
        <w:adjustRightInd/>
        <w:spacing w:before="163" w:beforeLines="50" w:after="163" w:afterLines="50" w:line="360" w:lineRule="auto"/>
        <w:ind w:left="0" w:firstLine="422" w:firstLineChars="200"/>
        <w:contextualSpacing/>
        <w:rPr>
          <w:rFonts w:hAnsi="宋体"/>
          <w:b/>
          <w:sz w:val="21"/>
          <w:szCs w:val="21"/>
          <w:highlight w:val="none"/>
        </w:rPr>
      </w:pPr>
      <w:r>
        <w:rPr>
          <w:rFonts w:hint="eastAsia" w:hAnsi="宋体"/>
          <w:b/>
          <w:sz w:val="21"/>
          <w:szCs w:val="21"/>
          <w:highlight w:val="none"/>
        </w:rPr>
        <w:t>乙方责任</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1.乙方应保证乙方人员了解甲方有关采购管理通用原则和及本协议的规定，并遵照执行。</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2.乙方不得以任何形式给予甲方人员回扣、赠送实物、现金、有价证券、礼券等有价物品或提供旅游等其他可能影响职务行为公正履行的活动（以下统称“财物”）。</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3.乙方有责任接受甲方对乙方在合作期间阳光合作管理执行情况的监督，并对甲方相关调查工作主动配合。</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 xml:space="preserve">5．甲方接受乙方实名或匿名举报，保证为举报者的信息保密，常设举报部门及电话： </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举报受理部门：东莞实业投资控股集团有限公司纪检监察部</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东实集团举报邮箱：dgsyjjjc@163.com</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东实集团举报电话：0769-28822331（周一至周五9:00-12:00和14:00-18:00）</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邮寄地址：东莞市东城区八一路1号机关二号大院9号楼204室，东莞实业投资控股集团有限公司纪检监察部收，邮编523000。</w:t>
      </w:r>
    </w:p>
    <w:p>
      <w:pPr>
        <w:widowControl/>
        <w:numPr>
          <w:ilvl w:val="0"/>
          <w:numId w:val="16"/>
        </w:numPr>
        <w:autoSpaceDE/>
        <w:autoSpaceDN/>
        <w:adjustRightInd/>
        <w:spacing w:before="163" w:beforeLines="50" w:after="163" w:afterLines="50" w:line="360" w:lineRule="auto"/>
        <w:ind w:left="0" w:firstLine="422" w:firstLineChars="200"/>
        <w:contextualSpacing/>
        <w:rPr>
          <w:rFonts w:hAnsi="宋体"/>
          <w:b/>
          <w:sz w:val="21"/>
          <w:szCs w:val="21"/>
          <w:highlight w:val="none"/>
        </w:rPr>
      </w:pPr>
      <w:r>
        <w:rPr>
          <w:rFonts w:hint="eastAsia" w:hAnsi="宋体"/>
          <w:b/>
          <w:sz w:val="21"/>
          <w:szCs w:val="21"/>
          <w:highlight w:val="none"/>
        </w:rPr>
        <w:t>其他</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1.本协议是原合同的补充协议，与原合同有同等法律效力。</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w:t>
      </w:r>
      <w:r>
        <w:rPr>
          <w:rFonts w:hAnsi="宋体"/>
          <w:sz w:val="21"/>
          <w:szCs w:val="21"/>
          <w:highlight w:val="none"/>
        </w:rPr>
        <w:t>本</w:t>
      </w:r>
      <w:r>
        <w:rPr>
          <w:rFonts w:hint="eastAsia" w:hAnsi="宋体"/>
          <w:sz w:val="21"/>
          <w:szCs w:val="21"/>
          <w:highlight w:val="none"/>
        </w:rPr>
        <w:t>协议</w:t>
      </w:r>
      <w:r>
        <w:rPr>
          <w:rFonts w:hAnsi="宋体"/>
          <w:sz w:val="21"/>
          <w:szCs w:val="21"/>
          <w:highlight w:val="none"/>
        </w:rPr>
        <w:t>一式</w:t>
      </w:r>
      <w:r>
        <w:rPr>
          <w:rFonts w:hint="eastAsia" w:hAnsi="宋体"/>
          <w:sz w:val="21"/>
          <w:szCs w:val="21"/>
          <w:highlight w:val="none"/>
        </w:rPr>
        <w:t>四</w:t>
      </w:r>
      <w:r>
        <w:rPr>
          <w:rFonts w:hAnsi="宋体"/>
          <w:sz w:val="21"/>
          <w:szCs w:val="21"/>
          <w:highlight w:val="none"/>
        </w:rPr>
        <w:t>份，甲方执</w:t>
      </w:r>
      <w:r>
        <w:rPr>
          <w:rFonts w:hint="eastAsia" w:hAnsi="宋体"/>
          <w:sz w:val="21"/>
          <w:szCs w:val="21"/>
          <w:highlight w:val="none"/>
        </w:rPr>
        <w:t>贰</w:t>
      </w:r>
      <w:r>
        <w:rPr>
          <w:rFonts w:hAnsi="宋体"/>
          <w:sz w:val="21"/>
          <w:szCs w:val="21"/>
          <w:highlight w:val="none"/>
        </w:rPr>
        <w:t>份，乙方执</w:t>
      </w:r>
      <w:r>
        <w:rPr>
          <w:rFonts w:hint="eastAsia" w:hAnsi="宋体"/>
          <w:sz w:val="21"/>
          <w:szCs w:val="21"/>
          <w:highlight w:val="none"/>
        </w:rPr>
        <w:t>贰</w:t>
      </w:r>
      <w:r>
        <w:rPr>
          <w:rFonts w:hAnsi="宋体"/>
          <w:sz w:val="21"/>
          <w:szCs w:val="21"/>
          <w:highlight w:val="none"/>
        </w:rPr>
        <w:t>份</w:t>
      </w:r>
      <w:r>
        <w:rPr>
          <w:rFonts w:hint="eastAsia" w:hAnsi="宋体"/>
          <w:sz w:val="21"/>
          <w:szCs w:val="21"/>
          <w:highlight w:val="none"/>
        </w:rPr>
        <w:t>,具有同等法律效力。</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3.本协议经双方签署后生效。</w:t>
      </w:r>
    </w:p>
    <w:p>
      <w:pPr>
        <w:spacing w:before="163" w:beforeLines="50" w:after="163" w:afterLines="50" w:line="360" w:lineRule="auto"/>
        <w:ind w:firstLine="420" w:firstLineChars="200"/>
        <w:contextualSpacing/>
        <w:rPr>
          <w:rFonts w:hAnsi="宋体"/>
          <w:sz w:val="21"/>
          <w:szCs w:val="21"/>
          <w:highlight w:val="none"/>
        </w:rPr>
      </w:pP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甲方（盖章）：                      乙方（盖章）：</w:t>
      </w:r>
      <w:r>
        <w:rPr>
          <w:sz w:val="21"/>
          <w:szCs w:val="21"/>
          <w:highlight w:val="none"/>
        </w:rPr>
        <w:t xml:space="preserve"> </w:t>
      </w:r>
    </w:p>
    <w:p>
      <w:pPr>
        <w:spacing w:before="163" w:beforeLines="50" w:after="163" w:afterLines="50" w:line="360" w:lineRule="auto"/>
        <w:ind w:firstLine="420" w:firstLineChars="200"/>
        <w:contextualSpacing/>
        <w:rPr>
          <w:rFonts w:hAnsi="宋体"/>
          <w:sz w:val="21"/>
          <w:szCs w:val="21"/>
          <w:highlight w:val="none"/>
        </w:rPr>
      </w:pP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法定代表人（授权代表）：</w:t>
      </w:r>
      <w:r>
        <w:rPr>
          <w:rFonts w:hint="eastAsia"/>
          <w:sz w:val="21"/>
          <w:szCs w:val="21"/>
          <w:highlight w:val="none"/>
        </w:rPr>
        <w:tab/>
      </w:r>
      <w:r>
        <w:rPr>
          <w:rFonts w:hint="eastAsia"/>
          <w:sz w:val="21"/>
          <w:szCs w:val="21"/>
          <w:highlight w:val="none"/>
        </w:rPr>
        <w:tab/>
      </w:r>
      <w:r>
        <w:rPr>
          <w:rFonts w:hint="eastAsia"/>
          <w:sz w:val="21"/>
          <w:szCs w:val="21"/>
          <w:highlight w:val="none"/>
        </w:rPr>
        <w:t xml:space="preserve">   </w:t>
      </w:r>
      <w:r>
        <w:rPr>
          <w:rFonts w:hint="eastAsia" w:hAnsi="宋体"/>
          <w:sz w:val="21"/>
          <w:szCs w:val="21"/>
          <w:highlight w:val="none"/>
        </w:rPr>
        <w:t>法定代表人（授权代表）：</w:t>
      </w:r>
    </w:p>
    <w:p>
      <w:pPr>
        <w:spacing w:before="163" w:beforeLines="50" w:after="163" w:afterLines="50" w:line="360" w:lineRule="auto"/>
        <w:ind w:firstLine="420" w:firstLineChars="200"/>
        <w:contextualSpacing/>
        <w:rPr>
          <w:rFonts w:hAnsi="宋体"/>
          <w:sz w:val="21"/>
          <w:szCs w:val="21"/>
          <w:highlight w:val="none"/>
        </w:rPr>
      </w:pP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签约日期：   年   月   日</w:t>
      </w:r>
      <w:bookmarkStart w:id="146" w:name="设计变更通知单"/>
      <w:bookmarkEnd w:id="146"/>
      <w:bookmarkStart w:id="147" w:name="现场签证通知单"/>
      <w:bookmarkEnd w:id="147"/>
      <w:r>
        <w:rPr>
          <w:sz w:val="21"/>
          <w:szCs w:val="21"/>
          <w:highlight w:val="none"/>
        </w:rPr>
        <w:tab/>
      </w:r>
      <w:r>
        <w:rPr>
          <w:sz w:val="21"/>
          <w:szCs w:val="21"/>
          <w:highlight w:val="none"/>
        </w:rPr>
        <w:t xml:space="preserve">    </w:t>
      </w:r>
      <w:r>
        <w:rPr>
          <w:rFonts w:hint="eastAsia"/>
          <w:sz w:val="21"/>
          <w:szCs w:val="21"/>
          <w:highlight w:val="none"/>
        </w:rPr>
        <w:t xml:space="preserve">     </w:t>
      </w:r>
      <w:r>
        <w:rPr>
          <w:rFonts w:hint="eastAsia" w:hAnsi="宋体"/>
          <w:sz w:val="21"/>
          <w:szCs w:val="21"/>
          <w:highlight w:val="none"/>
        </w:rPr>
        <w:t>签约日期：   年   月   日</w:t>
      </w:r>
    </w:p>
    <w:p>
      <w:pPr>
        <w:rPr>
          <w:highlight w:val="none"/>
        </w:rPr>
      </w:pPr>
    </w:p>
    <w:p>
      <w:pPr>
        <w:rPr>
          <w:highlight w:val="none"/>
        </w:rPr>
      </w:pPr>
    </w:p>
    <w:p>
      <w:pPr>
        <w:rPr>
          <w:highlight w:val="none"/>
        </w:rPr>
      </w:pPr>
    </w:p>
    <w:p>
      <w:pPr>
        <w:rPr>
          <w:highlight w:val="none"/>
        </w:rPr>
      </w:pPr>
    </w:p>
    <w:p>
      <w:pPr>
        <w:rPr>
          <w:highlight w:val="none"/>
        </w:rPr>
      </w:pPr>
    </w:p>
    <w:p>
      <w:pPr>
        <w:pStyle w:val="4"/>
        <w:keepNext/>
        <w:keepLines/>
        <w:pageBreakBefore/>
        <w:spacing w:line="360" w:lineRule="auto"/>
        <w:jc w:val="center"/>
        <w:rPr>
          <w:rFonts w:hAnsi="宋体"/>
          <w:b/>
          <w:bCs/>
          <w:kern w:val="44"/>
          <w:sz w:val="28"/>
          <w:szCs w:val="28"/>
          <w:highlight w:val="none"/>
          <w:lang w:val="zh-CN"/>
        </w:rPr>
      </w:pPr>
      <w:bookmarkStart w:id="148" w:name="_Toc396137242"/>
      <w:bookmarkStart w:id="149" w:name="_Toc8470"/>
      <w:r>
        <w:rPr>
          <w:rFonts w:hint="eastAsia" w:hAnsi="宋体"/>
          <w:b/>
          <w:bCs/>
          <w:kern w:val="44"/>
          <w:sz w:val="28"/>
          <w:szCs w:val="28"/>
          <w:highlight w:val="none"/>
          <w:lang w:val="zh-CN"/>
        </w:rPr>
        <w:t>第六篇磋商响应文件格式</w:t>
      </w:r>
      <w:bookmarkEnd w:id="148"/>
      <w:bookmarkEnd w:id="149"/>
    </w:p>
    <w:p>
      <w:pPr>
        <w:ind w:firstLine="1800" w:firstLineChars="750"/>
        <w:rPr>
          <w:rFonts w:hAnsi="宋体"/>
          <w:highlight w:val="none"/>
        </w:rPr>
      </w:pPr>
    </w:p>
    <w:p>
      <w:pPr>
        <w:pStyle w:val="5"/>
        <w:jc w:val="center"/>
        <w:rPr>
          <w:sz w:val="28"/>
          <w:szCs w:val="28"/>
          <w:highlight w:val="none"/>
        </w:rPr>
      </w:pPr>
      <w:bookmarkStart w:id="150" w:name="_Toc9566"/>
      <w:bookmarkStart w:id="151" w:name="_Toc19311"/>
      <w:r>
        <w:rPr>
          <w:rFonts w:hint="eastAsia"/>
          <w:sz w:val="28"/>
          <w:szCs w:val="28"/>
          <w:highlight w:val="none"/>
        </w:rPr>
        <w:t>第一部分 价格文件（单独编制装订成册）</w:t>
      </w:r>
      <w:bookmarkEnd w:id="150"/>
      <w:bookmarkEnd w:id="151"/>
    </w:p>
    <w:p>
      <w:pPr>
        <w:ind w:firstLine="1800" w:firstLineChars="750"/>
        <w:rPr>
          <w:rFonts w:hAnsi="宋体"/>
          <w:highlight w:val="none"/>
        </w:rPr>
      </w:pPr>
    </w:p>
    <w:p>
      <w:pPr>
        <w:pStyle w:val="5"/>
        <w:numPr>
          <w:ilvl w:val="0"/>
          <w:numId w:val="17"/>
        </w:numPr>
        <w:jc w:val="center"/>
        <w:rPr>
          <w:sz w:val="28"/>
          <w:szCs w:val="28"/>
          <w:highlight w:val="none"/>
        </w:rPr>
      </w:pPr>
      <w:bookmarkStart w:id="152" w:name="_Toc7897888"/>
      <w:bookmarkStart w:id="153" w:name="_Toc12373"/>
      <w:bookmarkStart w:id="154" w:name="_Toc20730"/>
      <w:bookmarkStart w:id="155" w:name="_Toc476976201"/>
      <w:bookmarkStart w:id="156" w:name="_Toc486671573"/>
      <w:bookmarkStart w:id="157" w:name="_Toc458262639"/>
      <w:bookmarkStart w:id="158" w:name="_Toc454701406"/>
      <w:bookmarkStart w:id="159" w:name="_Toc467236769"/>
      <w:bookmarkStart w:id="160" w:name="_Toc12383"/>
      <w:bookmarkStart w:id="161" w:name="_Toc2544"/>
      <w:bookmarkStart w:id="162" w:name="_Toc15960"/>
      <w:bookmarkStart w:id="163" w:name="_Toc32273"/>
      <w:bookmarkStart w:id="164" w:name="_Toc28095"/>
      <w:bookmarkStart w:id="165" w:name="_Toc9348"/>
      <w:bookmarkStart w:id="166" w:name="_Toc32405"/>
      <w:bookmarkStart w:id="167" w:name="_Toc18848"/>
      <w:bookmarkStart w:id="168" w:name="_Toc30637"/>
      <w:bookmarkStart w:id="169" w:name="_Toc19671"/>
      <w:bookmarkStart w:id="170" w:name="_Toc32736"/>
      <w:bookmarkStart w:id="171" w:name="_Toc29841"/>
      <w:bookmarkStart w:id="172" w:name="_Toc396137244"/>
      <w:r>
        <w:rPr>
          <w:rFonts w:hint="eastAsia"/>
          <w:sz w:val="28"/>
          <w:szCs w:val="28"/>
          <w:highlight w:val="none"/>
        </w:rPr>
        <w:t>报价一览表</w:t>
      </w:r>
      <w:bookmarkEnd w:id="152"/>
      <w:bookmarkEnd w:id="153"/>
      <w:bookmarkEnd w:id="154"/>
    </w:p>
    <w:p>
      <w:pPr>
        <w:pStyle w:val="14"/>
        <w:ind w:firstLine="400"/>
        <w:rPr>
          <w:rFonts w:hAnsi="宋体"/>
          <w:highlight w:val="none"/>
        </w:rPr>
      </w:pPr>
    </w:p>
    <w:p>
      <w:pPr>
        <w:overflowPunct w:val="0"/>
        <w:spacing w:line="460" w:lineRule="exact"/>
        <w:jc w:val="right"/>
        <w:rPr>
          <w:rFonts w:hAnsi="宋体"/>
          <w:highlight w:val="none"/>
        </w:rPr>
      </w:pPr>
      <w:r>
        <w:rPr>
          <w:rFonts w:hint="eastAsia" w:hAnsi="宋体"/>
          <w:highlight w:val="none"/>
        </w:rPr>
        <w:t>单位：元/（人民币）</w:t>
      </w:r>
    </w:p>
    <w:tbl>
      <w:tblPr>
        <w:tblStyle w:val="51"/>
        <w:tblW w:w="85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2515"/>
        <w:gridCol w:w="3422"/>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54" w:hRule="atLeast"/>
          <w:jc w:val="center"/>
        </w:trPr>
        <w:tc>
          <w:tcPr>
            <w:tcW w:w="1266" w:type="dxa"/>
            <w:vAlign w:val="center"/>
          </w:tcPr>
          <w:p>
            <w:pPr>
              <w:overflowPunct w:val="0"/>
              <w:spacing w:line="460" w:lineRule="exact"/>
              <w:jc w:val="center"/>
              <w:rPr>
                <w:rFonts w:hint="eastAsia" w:hAnsi="宋体" w:eastAsia="宋体"/>
                <w:b/>
                <w:sz w:val="21"/>
                <w:szCs w:val="21"/>
                <w:highlight w:val="none"/>
                <w:lang w:eastAsia="zh-CN"/>
              </w:rPr>
            </w:pPr>
            <w:r>
              <w:rPr>
                <w:rFonts w:hint="eastAsia" w:hAnsi="宋体"/>
                <w:b/>
                <w:sz w:val="21"/>
                <w:szCs w:val="21"/>
                <w:highlight w:val="none"/>
                <w:lang w:val="en-US" w:eastAsia="zh-CN"/>
              </w:rPr>
              <w:t>项目编号号</w:t>
            </w:r>
          </w:p>
        </w:tc>
        <w:tc>
          <w:tcPr>
            <w:tcW w:w="2515" w:type="dxa"/>
            <w:vAlign w:val="center"/>
          </w:tcPr>
          <w:p>
            <w:pPr>
              <w:overflowPunct w:val="0"/>
              <w:spacing w:line="460" w:lineRule="exact"/>
              <w:jc w:val="center"/>
              <w:rPr>
                <w:rFonts w:hAnsi="宋体"/>
                <w:b/>
                <w:sz w:val="21"/>
                <w:szCs w:val="21"/>
                <w:highlight w:val="none"/>
              </w:rPr>
            </w:pPr>
            <w:r>
              <w:rPr>
                <w:rFonts w:hint="eastAsia" w:hAnsi="宋体"/>
                <w:b/>
                <w:sz w:val="21"/>
                <w:szCs w:val="21"/>
                <w:highlight w:val="none"/>
              </w:rPr>
              <w:t>项目名称</w:t>
            </w:r>
          </w:p>
        </w:tc>
        <w:tc>
          <w:tcPr>
            <w:tcW w:w="3422" w:type="dxa"/>
            <w:vAlign w:val="center"/>
          </w:tcPr>
          <w:p>
            <w:pPr>
              <w:overflowPunct w:val="0"/>
              <w:spacing w:line="460" w:lineRule="exact"/>
              <w:jc w:val="center"/>
              <w:rPr>
                <w:rFonts w:hint="default" w:hAnsi="宋体" w:eastAsia="宋体"/>
                <w:b/>
                <w:sz w:val="21"/>
                <w:szCs w:val="21"/>
                <w:highlight w:val="none"/>
                <w:lang w:val="en-US" w:eastAsia="zh-CN"/>
              </w:rPr>
            </w:pPr>
            <w:r>
              <w:rPr>
                <w:rFonts w:hint="eastAsia" w:hAnsi="宋体"/>
                <w:b/>
                <w:sz w:val="21"/>
                <w:szCs w:val="21"/>
                <w:highlight w:val="none"/>
              </w:rPr>
              <w:t>总报价</w:t>
            </w:r>
          </w:p>
        </w:tc>
        <w:tc>
          <w:tcPr>
            <w:tcW w:w="1361" w:type="dxa"/>
            <w:vAlign w:val="center"/>
          </w:tcPr>
          <w:p>
            <w:pPr>
              <w:overflowPunct w:val="0"/>
              <w:jc w:val="center"/>
              <w:rPr>
                <w:rFonts w:hAnsi="宋体"/>
                <w:b/>
                <w:sz w:val="21"/>
                <w:szCs w:val="21"/>
                <w:highlight w:val="none"/>
              </w:rPr>
            </w:pPr>
            <w:r>
              <w:rPr>
                <w:rFonts w:hint="eastAsia" w:hAnsi="宋体"/>
                <w:b/>
                <w:sz w:val="21"/>
                <w:szCs w:val="21"/>
                <w:highlight w:val="none"/>
              </w:rPr>
              <w:t>备注</w:t>
            </w:r>
          </w:p>
          <w:p>
            <w:pPr>
              <w:overflowPunct w:val="0"/>
              <w:jc w:val="center"/>
              <w:rPr>
                <w:rFonts w:hAnsi="宋体"/>
                <w:b/>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266" w:type="dxa"/>
            <w:vAlign w:val="center"/>
          </w:tcPr>
          <w:p>
            <w:pPr>
              <w:pStyle w:val="2"/>
              <w:jc w:val="center"/>
              <w:rPr>
                <w:rFonts w:hint="eastAsia" w:eastAsia="宋体"/>
                <w:sz w:val="21"/>
                <w:szCs w:val="21"/>
                <w:highlight w:val="none"/>
                <w:lang w:val="en-US" w:eastAsia="zh-CN"/>
              </w:rPr>
            </w:pPr>
          </w:p>
        </w:tc>
        <w:tc>
          <w:tcPr>
            <w:tcW w:w="2515" w:type="dxa"/>
            <w:vAlign w:val="center"/>
          </w:tcPr>
          <w:p>
            <w:pPr>
              <w:overflowPunct w:val="0"/>
              <w:spacing w:line="460" w:lineRule="exact"/>
              <w:jc w:val="center"/>
              <w:rPr>
                <w:rFonts w:hAnsi="宋体"/>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目</w:t>
            </w:r>
          </w:p>
        </w:tc>
        <w:tc>
          <w:tcPr>
            <w:tcW w:w="3422" w:type="dxa"/>
            <w:vAlign w:val="center"/>
          </w:tcPr>
          <w:p>
            <w:pPr>
              <w:pStyle w:val="61"/>
              <w:ind w:firstLine="630" w:firstLineChars="300"/>
              <w:rPr>
                <w:sz w:val="21"/>
                <w:szCs w:val="21"/>
                <w:highlight w:val="none"/>
              </w:rPr>
            </w:pPr>
          </w:p>
        </w:tc>
        <w:tc>
          <w:tcPr>
            <w:tcW w:w="1361" w:type="dxa"/>
            <w:vAlign w:val="center"/>
          </w:tcPr>
          <w:p>
            <w:pPr>
              <w:overflowPunct w:val="0"/>
              <w:spacing w:line="460" w:lineRule="exact"/>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3781" w:type="dxa"/>
            <w:gridSpan w:val="2"/>
            <w:vAlign w:val="center"/>
          </w:tcPr>
          <w:p>
            <w:pPr>
              <w:overflowPunct w:val="0"/>
              <w:spacing w:line="460" w:lineRule="exact"/>
              <w:jc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sz w:val="21"/>
                <w:szCs w:val="21"/>
                <w:highlight w:val="none"/>
                <w:lang w:val="en-US" w:eastAsia="zh-CN"/>
              </w:rPr>
              <w:t>合计：</w:t>
            </w:r>
          </w:p>
        </w:tc>
        <w:tc>
          <w:tcPr>
            <w:tcW w:w="3422" w:type="dxa"/>
            <w:vAlign w:val="center"/>
          </w:tcPr>
          <w:p>
            <w:pPr>
              <w:pStyle w:val="61"/>
              <w:ind w:firstLine="630" w:firstLineChars="300"/>
              <w:rPr>
                <w:rFonts w:hint="eastAsia"/>
                <w:sz w:val="21"/>
                <w:szCs w:val="21"/>
                <w:highlight w:val="none"/>
                <w:lang w:eastAsia="zh-CN"/>
              </w:rPr>
            </w:pPr>
            <w:r>
              <w:rPr>
                <w:rFonts w:hint="eastAsia"/>
                <w:sz w:val="21"/>
                <w:szCs w:val="21"/>
                <w:highlight w:val="none"/>
                <w:lang w:eastAsia="zh-CN"/>
              </w:rPr>
              <w:t>大写：</w:t>
            </w:r>
          </w:p>
          <w:p>
            <w:pPr>
              <w:pStyle w:val="61"/>
              <w:ind w:firstLine="630" w:firstLineChars="300"/>
              <w:rPr>
                <w:rFonts w:hint="eastAsia"/>
                <w:sz w:val="21"/>
                <w:szCs w:val="21"/>
                <w:highlight w:val="none"/>
                <w:lang w:eastAsia="zh-CN"/>
              </w:rPr>
            </w:pPr>
            <w:r>
              <w:rPr>
                <w:rFonts w:hint="eastAsia"/>
                <w:sz w:val="21"/>
                <w:szCs w:val="21"/>
                <w:highlight w:val="none"/>
                <w:lang w:eastAsia="zh-CN"/>
              </w:rPr>
              <w:t>小写：</w:t>
            </w:r>
          </w:p>
        </w:tc>
        <w:tc>
          <w:tcPr>
            <w:tcW w:w="1361" w:type="dxa"/>
            <w:vAlign w:val="center"/>
          </w:tcPr>
          <w:p>
            <w:pPr>
              <w:overflowPunct w:val="0"/>
              <w:spacing w:line="460" w:lineRule="exact"/>
              <w:jc w:val="center"/>
              <w:rPr>
                <w:rFonts w:hAnsi="宋体"/>
                <w:sz w:val="21"/>
                <w:szCs w:val="21"/>
                <w:highlight w:val="none"/>
              </w:rPr>
            </w:pPr>
          </w:p>
        </w:tc>
      </w:tr>
    </w:tbl>
    <w:p>
      <w:pPr>
        <w:overflowPunct w:val="0"/>
        <w:spacing w:line="460" w:lineRule="exact"/>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137"/>
        <w:spacing w:line="460" w:lineRule="exact"/>
        <w:ind w:firstLine="1583" w:firstLineChars="754"/>
        <w:rPr>
          <w:rFonts w:ascii="宋体" w:eastAsia="宋体"/>
          <w:sz w:val="21"/>
          <w:szCs w:val="21"/>
          <w:highlight w:val="none"/>
        </w:rPr>
      </w:pPr>
    </w:p>
    <w:p>
      <w:pPr>
        <w:pStyle w:val="14"/>
        <w:spacing w:line="360" w:lineRule="auto"/>
        <w:rPr>
          <w:sz w:val="22"/>
          <w:szCs w:val="22"/>
          <w:highlight w:val="none"/>
        </w:rPr>
      </w:pPr>
      <w:r>
        <w:rPr>
          <w:rFonts w:hint="eastAsia"/>
          <w:sz w:val="21"/>
          <w:szCs w:val="21"/>
          <w:highlight w:val="none"/>
        </w:rPr>
        <w:t>注：磋商总价栏须用文字和数字两种方式表示的磋商总价。磋商总价大小写不一致，以大写为准。磋商总价必须准确唯一且应包含完成本项目的所有费用</w:t>
      </w:r>
      <w:bookmarkEnd w:id="155"/>
      <w:bookmarkEnd w:id="156"/>
      <w:bookmarkEnd w:id="157"/>
      <w:bookmarkEnd w:id="158"/>
      <w:bookmarkEnd w:id="159"/>
      <w:r>
        <w:rPr>
          <w:rFonts w:hint="eastAsia"/>
          <w:sz w:val="21"/>
          <w:szCs w:val="21"/>
          <w:highlight w:val="none"/>
        </w:rPr>
        <w:t>。</w:t>
      </w:r>
    </w:p>
    <w:p>
      <w:pPr>
        <w:rPr>
          <w:highlight w:val="none"/>
        </w:rPr>
      </w:pPr>
      <w:r>
        <w:rPr>
          <w:highlight w:val="none"/>
        </w:rPr>
        <w:br w:type="page"/>
      </w:r>
    </w:p>
    <w:p>
      <w:pPr>
        <w:ind w:firstLine="1800" w:firstLineChars="750"/>
        <w:rPr>
          <w:rFonts w:hAnsi="宋体"/>
          <w:highlight w:val="none"/>
        </w:rPr>
      </w:pPr>
    </w:p>
    <w:p>
      <w:pPr>
        <w:pStyle w:val="5"/>
        <w:numPr>
          <w:ilvl w:val="0"/>
          <w:numId w:val="17"/>
        </w:numPr>
        <w:jc w:val="center"/>
        <w:rPr>
          <w:sz w:val="28"/>
          <w:szCs w:val="28"/>
          <w:highlight w:val="none"/>
        </w:rPr>
      </w:pPr>
      <w:r>
        <w:rPr>
          <w:rFonts w:hint="eastAsia"/>
          <w:sz w:val="28"/>
          <w:szCs w:val="28"/>
          <w:highlight w:val="none"/>
        </w:rPr>
        <w:t>分项报价表</w:t>
      </w: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3299"/>
        <w:gridCol w:w="1785"/>
        <w:gridCol w:w="776"/>
        <w:gridCol w:w="1155"/>
        <w:gridCol w:w="1283"/>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9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58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0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一进一出、共进出道闸</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1#一进一出道闸</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4口光纤盒</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LC/SC光纤跳线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立杆防水箱</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车牌识别道闸一体机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道闸直杆</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数字式车辆检测器</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出入口可视自助终端</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减速带</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安全岛2500*600*250mm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配管PVC25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2#一进一出道闸</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4口光纤盒</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LC/SC光纤跳线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立杆防水箱</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车牌识别道闸一体机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道闸直杆</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数字式车辆检测器</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出入口可视自助终端</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减速带</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安全岛2500*600*250mm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配管PVC25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3#一进一出道闸</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4口光纤盒</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LC/SC光纤跳线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立杆防水箱</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车牌识别道闸一体机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道闸直杆</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数字式车辆检测器</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出入口可视自助终端</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减速带</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安全岛2500*600*250mm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配管PVC25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4#一进一出道闸</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4口光纤盒</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LC/SC光纤跳线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立杆防水箱</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车牌识别道闸一体机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道闸直杆</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数字式车辆检测器</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出入口可视自助终端</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减速带</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安全岛2500*600*250mm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配管PVC25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5#一进一出道闸</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4口光纤盒</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LC/SC光纤跳线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立杆防水箱</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车牌识别道闸一体机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道闸直杆</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数字式车辆检测器</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出入口可视自助终端</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减速带</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安全岛2500*600*250mm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配管PVC25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6#共进共出道闸布线图</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4口光纤盒</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LC/SC光纤跳线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立杆防水箱</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车牌识别道闸一体机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道闸直杆</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数字式车辆检测器</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出入口可视自助终端</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减速带</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安全岛600*300*250mm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安全岛3000*600*250mm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配管PVC25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15.57</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7#共进共出道闸布线图</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4口光纤盒</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LC/SC光纤跳线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立杆防水箱</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车牌识别道闸一体机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道闸直杆</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数字式车辆检测器</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出入口可视自助终端</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减速带</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安全岛600*300*250mm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安全岛3000*600*250mm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配管PVC25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8#一进一出道闸</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4口光纤盒</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LC/SC光纤跳线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立杆防水箱</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车牌识别道闸一体机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道闸直杆</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数字式车辆检测器</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出入口可视自助终端</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减速带</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安全岛2500*600*250mm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配管PVC25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9#道闸一进一出道闸（移位）</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安全岛2000*600*250mm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配管PVC25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拆除安全岛600*300*250</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拆除安全岛600*300*250</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61.29</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车牌识别一体机（拆除）</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车牌识别一体机（安装）</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设备立杆防水箱（拆除）</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设备立杆防水箱（安装）</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光纤盒（拆除）</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光纤盒（安装）</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交换机（拆除）</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交换机（安装）</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原有道闸（拆除）</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原有道闸（安装）</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橡胶减速带（拆除）</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橡胶减速带</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光纤熔接（安装）</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出入口辅助摄像机（拆除）</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出入口辅助摄像机（安装）</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数字式车辆检测器（拆除）</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数字式车辆检测器（安装）</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停车场管理设备（调试）</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机房设备及室外布线</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服务器(1CPU,128,2*1800G)</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停车场管理系统调试</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道闸对接平台</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电脑麦克风</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工作站音响</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硬盘(1800GB)</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室内4芯光纤</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1129.87</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室外4芯光纤</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1383.04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1129.87</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1383.04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手井 400*400*400mm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水泥沥青开挖及恢复</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配管PVC32</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旧路面切缝</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247.64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绿化开挖及恢复</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配管PVC32</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78.33</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12.53</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种植土回(换)填</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回填砂</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12.53</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道闸优化</w:t>
            </w: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出入口辅助摄像机</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安全岛600*300*250mm</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配管PVC25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11.53</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11.41</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6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34.78</w:t>
            </w:r>
          </w:p>
        </w:tc>
        <w:tc>
          <w:tcPr>
            <w:tcW w:w="6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05"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39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rPr>
          <w:rFonts w:hint="eastAsia"/>
          <w:sz w:val="28"/>
          <w:szCs w:val="28"/>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rPr>
          <w:highlight w:val="none"/>
        </w:rPr>
      </w:pPr>
    </w:p>
    <w:p>
      <w:pPr>
        <w:rPr>
          <w:highlight w:val="none"/>
        </w:rPr>
      </w:pPr>
    </w:p>
    <w:bookmarkEnd w:id="160"/>
    <w:bookmarkEnd w:id="161"/>
    <w:bookmarkEnd w:id="162"/>
    <w:bookmarkEnd w:id="163"/>
    <w:bookmarkEnd w:id="164"/>
    <w:bookmarkEnd w:id="165"/>
    <w:bookmarkEnd w:id="166"/>
    <w:bookmarkEnd w:id="167"/>
    <w:bookmarkEnd w:id="168"/>
    <w:bookmarkEnd w:id="169"/>
    <w:bookmarkEnd w:id="170"/>
    <w:bookmarkEnd w:id="171"/>
    <w:bookmarkEnd w:id="172"/>
    <w:p>
      <w:pPr>
        <w:pStyle w:val="5"/>
        <w:pageBreakBefore/>
        <w:spacing w:line="360" w:lineRule="auto"/>
        <w:jc w:val="center"/>
        <w:rPr>
          <w:bCs/>
          <w:sz w:val="28"/>
          <w:szCs w:val="28"/>
          <w:highlight w:val="none"/>
        </w:rPr>
      </w:pPr>
      <w:bookmarkStart w:id="173" w:name="_Toc18450"/>
      <w:bookmarkStart w:id="174" w:name="_Toc12158"/>
      <w:bookmarkStart w:id="175" w:name="_Toc27849"/>
      <w:bookmarkStart w:id="176" w:name="_Toc7897890"/>
      <w:bookmarkStart w:id="177" w:name="_Toc458262638"/>
      <w:bookmarkStart w:id="178" w:name="_Toc486671572"/>
      <w:bookmarkStart w:id="179" w:name="_Toc476976200"/>
      <w:bookmarkStart w:id="180" w:name="_Toc467236768"/>
      <w:bookmarkStart w:id="181" w:name="_Toc454701405"/>
      <w:bookmarkStart w:id="182" w:name="_Toc110953866"/>
      <w:bookmarkStart w:id="183" w:name="_Toc480020289"/>
      <w:bookmarkStart w:id="184" w:name="_Toc479991616"/>
      <w:bookmarkStart w:id="185" w:name="_Toc480010742"/>
      <w:bookmarkStart w:id="186" w:name="_Toc468157569"/>
      <w:bookmarkStart w:id="187" w:name="_Toc480021085"/>
      <w:bookmarkStart w:id="188" w:name="_Toc467987856"/>
      <w:bookmarkStart w:id="189" w:name="_Toc468606064"/>
      <w:r>
        <w:rPr>
          <w:rFonts w:hint="eastAsia"/>
          <w:bCs/>
          <w:sz w:val="28"/>
          <w:szCs w:val="28"/>
          <w:highlight w:val="none"/>
        </w:rPr>
        <w:t>第二部分  商务文件</w:t>
      </w:r>
      <w:bookmarkEnd w:id="173"/>
      <w:bookmarkEnd w:id="174"/>
      <w:bookmarkStart w:id="190" w:name="_Hlt10456397"/>
      <w:bookmarkEnd w:id="190"/>
      <w:bookmarkStart w:id="191" w:name="_Hlt10519799"/>
      <w:bookmarkEnd w:id="191"/>
    </w:p>
    <w:p>
      <w:pPr>
        <w:rPr>
          <w:highlight w:val="none"/>
        </w:rPr>
      </w:pPr>
    </w:p>
    <w:p>
      <w:pPr>
        <w:pStyle w:val="5"/>
        <w:numPr>
          <w:ilvl w:val="0"/>
          <w:numId w:val="18"/>
        </w:numPr>
        <w:jc w:val="center"/>
        <w:rPr>
          <w:b w:val="0"/>
          <w:sz w:val="28"/>
          <w:szCs w:val="28"/>
          <w:highlight w:val="none"/>
        </w:rPr>
      </w:pPr>
      <w:bookmarkStart w:id="192" w:name="_Toc18728"/>
      <w:r>
        <w:rPr>
          <w:rFonts w:hint="eastAsia"/>
          <w:sz w:val="28"/>
          <w:szCs w:val="28"/>
          <w:highlight w:val="none"/>
        </w:rPr>
        <w:t>响应书</w:t>
      </w:r>
      <w:bookmarkEnd w:id="175"/>
      <w:bookmarkEnd w:id="176"/>
      <w:bookmarkEnd w:id="177"/>
      <w:bookmarkEnd w:id="178"/>
      <w:bookmarkEnd w:id="179"/>
      <w:bookmarkEnd w:id="180"/>
      <w:bookmarkEnd w:id="181"/>
      <w:bookmarkEnd w:id="192"/>
    </w:p>
    <w:p>
      <w:pPr>
        <w:pStyle w:val="30"/>
        <w:autoSpaceDE/>
        <w:autoSpaceDN/>
        <w:adjustRightInd/>
        <w:spacing w:line="480" w:lineRule="exact"/>
        <w:ind w:left="6000"/>
        <w:rPr>
          <w:rFonts w:hAnsi="宋体"/>
          <w:sz w:val="24"/>
          <w:highlight w:val="none"/>
        </w:rPr>
      </w:pPr>
    </w:p>
    <w:p>
      <w:pPr>
        <w:pStyle w:val="30"/>
        <w:autoSpaceDE/>
        <w:autoSpaceDN/>
        <w:adjustRightInd/>
        <w:spacing w:line="480" w:lineRule="exact"/>
        <w:ind w:left="0" w:leftChars="0"/>
        <w:rPr>
          <w:rFonts w:hAnsi="宋体"/>
          <w:highlight w:val="none"/>
        </w:rPr>
      </w:pPr>
      <w:r>
        <w:rPr>
          <w:rFonts w:hint="eastAsia" w:hAnsi="宋体"/>
          <w:highlight w:val="none"/>
        </w:rPr>
        <w:t>致：广东泰通伟业工程咨询有限公司</w:t>
      </w:r>
    </w:p>
    <w:p>
      <w:pPr>
        <w:spacing w:line="480" w:lineRule="exact"/>
        <w:ind w:firstLine="420" w:firstLineChars="200"/>
        <w:rPr>
          <w:rFonts w:hAnsi="宋体"/>
          <w:sz w:val="21"/>
          <w:szCs w:val="21"/>
          <w:highlight w:val="none"/>
        </w:rPr>
      </w:pPr>
      <w:r>
        <w:rPr>
          <w:rFonts w:hint="eastAsia" w:hAnsi="宋体"/>
          <w:sz w:val="21"/>
          <w:szCs w:val="21"/>
          <w:highlight w:val="none"/>
        </w:rPr>
        <w:t>根据贵方（采购编号：）的采购邀请和磋商文件，供应商承诺如下：</w:t>
      </w:r>
    </w:p>
    <w:p>
      <w:pPr>
        <w:spacing w:line="480" w:lineRule="exact"/>
        <w:ind w:firstLine="420" w:firstLineChars="200"/>
        <w:rPr>
          <w:rFonts w:hAnsi="宋体"/>
          <w:sz w:val="21"/>
          <w:szCs w:val="21"/>
          <w:highlight w:val="none"/>
        </w:rPr>
      </w:pPr>
      <w:r>
        <w:rPr>
          <w:rFonts w:hint="eastAsia" w:hAnsi="宋体"/>
          <w:sz w:val="21"/>
          <w:szCs w:val="21"/>
          <w:highlight w:val="none"/>
        </w:rPr>
        <w:t>1.签字代表</w:t>
      </w:r>
      <w:r>
        <w:rPr>
          <w:rFonts w:hint="eastAsia" w:hAnsi="宋体"/>
          <w:sz w:val="21"/>
          <w:szCs w:val="21"/>
          <w:highlight w:val="none"/>
          <w:u w:val="single"/>
        </w:rPr>
        <w:t>（姓名、职务）</w:t>
      </w:r>
      <w:r>
        <w:rPr>
          <w:rFonts w:hint="eastAsia" w:hAnsi="宋体"/>
          <w:sz w:val="21"/>
          <w:szCs w:val="21"/>
          <w:highlight w:val="none"/>
        </w:rPr>
        <w:t>经正式授权并代表供应商</w:t>
      </w:r>
      <w:r>
        <w:rPr>
          <w:rFonts w:hint="eastAsia" w:hAnsi="宋体"/>
          <w:sz w:val="21"/>
          <w:szCs w:val="21"/>
          <w:highlight w:val="none"/>
          <w:u w:val="single"/>
        </w:rPr>
        <w:t>（供应商名称、地址）</w:t>
      </w:r>
      <w:r>
        <w:rPr>
          <w:rFonts w:hint="eastAsia" w:hAnsi="宋体"/>
          <w:sz w:val="21"/>
          <w:szCs w:val="21"/>
          <w:highlight w:val="none"/>
        </w:rPr>
        <w:t>提交响应文件正本份和副本份。</w:t>
      </w:r>
    </w:p>
    <w:p>
      <w:pPr>
        <w:spacing w:line="480" w:lineRule="exact"/>
        <w:ind w:firstLine="420" w:firstLineChars="200"/>
        <w:rPr>
          <w:rFonts w:hAnsi="宋体"/>
          <w:sz w:val="21"/>
          <w:szCs w:val="21"/>
          <w:highlight w:val="none"/>
        </w:rPr>
      </w:pPr>
      <w:r>
        <w:rPr>
          <w:rFonts w:hint="eastAsia" w:hAnsi="宋体"/>
          <w:sz w:val="21"/>
          <w:szCs w:val="21"/>
          <w:highlight w:val="none"/>
        </w:rPr>
        <w:t>2.供应商愿意参加响应并在成交后按磋商文件规定履行义务。</w:t>
      </w:r>
    </w:p>
    <w:p>
      <w:pPr>
        <w:spacing w:line="480" w:lineRule="exact"/>
        <w:ind w:firstLine="420" w:firstLineChars="200"/>
        <w:rPr>
          <w:rFonts w:hAnsi="宋体"/>
          <w:sz w:val="21"/>
          <w:szCs w:val="21"/>
          <w:highlight w:val="none"/>
        </w:rPr>
      </w:pPr>
      <w:r>
        <w:rPr>
          <w:rFonts w:hint="eastAsia" w:hAnsi="宋体"/>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sz w:val="21"/>
          <w:szCs w:val="21"/>
          <w:highlight w:val="none"/>
        </w:rPr>
      </w:pPr>
      <w:r>
        <w:rPr>
          <w:rFonts w:hint="eastAsia" w:hAnsi="宋体"/>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sz w:val="21"/>
          <w:szCs w:val="21"/>
          <w:highlight w:val="none"/>
        </w:rPr>
      </w:pPr>
      <w:r>
        <w:rPr>
          <w:rFonts w:hint="eastAsia" w:hAnsi="宋体"/>
          <w:sz w:val="21"/>
          <w:szCs w:val="21"/>
          <w:highlight w:val="none"/>
        </w:rPr>
        <w:t>5.参加本项目采购活动前3年内，在经营活动中没有重大违法记录。</w:t>
      </w:r>
    </w:p>
    <w:p>
      <w:pPr>
        <w:spacing w:line="480" w:lineRule="exact"/>
        <w:ind w:firstLine="420" w:firstLineChars="200"/>
        <w:rPr>
          <w:rFonts w:hAnsi="宋体"/>
          <w:sz w:val="21"/>
          <w:szCs w:val="21"/>
          <w:highlight w:val="none"/>
        </w:rPr>
      </w:pPr>
      <w:r>
        <w:rPr>
          <w:rFonts w:hint="eastAsia" w:hAnsi="宋体"/>
          <w:sz w:val="21"/>
          <w:szCs w:val="21"/>
          <w:highlight w:val="none"/>
        </w:rPr>
        <w:t>6.响应有效期为90个工作日，自开启响应文件之日起算。</w:t>
      </w:r>
    </w:p>
    <w:p>
      <w:pPr>
        <w:spacing w:line="480" w:lineRule="exact"/>
        <w:ind w:firstLine="420" w:firstLineChars="200"/>
        <w:rPr>
          <w:rFonts w:hAnsi="宋体"/>
          <w:sz w:val="21"/>
          <w:szCs w:val="21"/>
          <w:highlight w:val="none"/>
        </w:rPr>
      </w:pPr>
      <w:r>
        <w:rPr>
          <w:rFonts w:hint="eastAsia" w:hAnsi="宋体"/>
          <w:sz w:val="21"/>
          <w:szCs w:val="21"/>
          <w:highlight w:val="none"/>
        </w:rPr>
        <w:t>7.同意在成交后按照磋商文件的规定缴纳成交服务费。</w:t>
      </w:r>
    </w:p>
    <w:p>
      <w:pPr>
        <w:spacing w:line="480" w:lineRule="exact"/>
        <w:ind w:firstLine="420" w:firstLineChars="200"/>
        <w:rPr>
          <w:rFonts w:hAnsi="宋体"/>
          <w:sz w:val="21"/>
          <w:szCs w:val="21"/>
          <w:highlight w:val="none"/>
        </w:rPr>
      </w:pPr>
      <w:r>
        <w:rPr>
          <w:rFonts w:hint="eastAsia" w:hAnsi="宋体"/>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sz w:val="21"/>
          <w:szCs w:val="21"/>
          <w:highlight w:val="none"/>
        </w:rPr>
      </w:pPr>
      <w:r>
        <w:rPr>
          <w:rFonts w:hint="eastAsia" w:hAnsi="宋体"/>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sz w:val="21"/>
          <w:szCs w:val="21"/>
          <w:highlight w:val="none"/>
        </w:rPr>
      </w:pPr>
      <w:r>
        <w:rPr>
          <w:rFonts w:hint="eastAsia" w:hAnsi="宋体"/>
          <w:sz w:val="21"/>
          <w:szCs w:val="21"/>
          <w:highlight w:val="none"/>
        </w:rPr>
        <w:t>10.与本响应有关的一切正式往来通讯请寄：</w:t>
      </w:r>
    </w:p>
    <w:p>
      <w:pPr>
        <w:spacing w:line="480" w:lineRule="exact"/>
        <w:ind w:firstLine="420" w:firstLineChars="200"/>
        <w:rPr>
          <w:rFonts w:hAnsi="宋体"/>
          <w:sz w:val="21"/>
          <w:szCs w:val="21"/>
          <w:highlight w:val="none"/>
        </w:rPr>
      </w:pPr>
    </w:p>
    <w:p>
      <w:pPr>
        <w:spacing w:line="480" w:lineRule="exact"/>
        <w:ind w:firstLine="420" w:firstLineChars="200"/>
        <w:rPr>
          <w:rFonts w:hAnsi="宋体"/>
          <w:sz w:val="21"/>
          <w:szCs w:val="21"/>
          <w:highlight w:val="none"/>
        </w:rPr>
      </w:pPr>
      <w:r>
        <w:rPr>
          <w:rFonts w:hint="eastAsia" w:hAnsi="宋体"/>
          <w:sz w:val="21"/>
          <w:szCs w:val="21"/>
          <w:highlight w:val="none"/>
        </w:rPr>
        <w:t>供应商名称：</w:t>
      </w:r>
      <w:r>
        <w:rPr>
          <w:rFonts w:hint="eastAsia" w:hAnsi="宋体"/>
          <w:sz w:val="21"/>
          <w:szCs w:val="21"/>
          <w:highlight w:val="none"/>
          <w:u w:val="single"/>
        </w:rPr>
        <w:t xml:space="preserve">            （盖公章）                   </w:t>
      </w:r>
    </w:p>
    <w:p>
      <w:pPr>
        <w:spacing w:line="480" w:lineRule="exact"/>
        <w:ind w:firstLine="420" w:firstLineChars="200"/>
        <w:rPr>
          <w:rFonts w:hAnsi="宋体"/>
          <w:sz w:val="21"/>
          <w:szCs w:val="21"/>
          <w:highlight w:val="none"/>
          <w:u w:val="single"/>
        </w:rPr>
      </w:pPr>
      <w:r>
        <w:rPr>
          <w:rFonts w:hint="eastAsia" w:hAnsi="宋体"/>
          <w:sz w:val="21"/>
          <w:szCs w:val="21"/>
          <w:highlight w:val="none"/>
        </w:rPr>
        <w:t>供应商代表姓名、职务（印刷体）：</w:t>
      </w:r>
    </w:p>
    <w:p>
      <w:pPr>
        <w:spacing w:line="480" w:lineRule="exact"/>
        <w:ind w:firstLine="420" w:firstLineChars="200"/>
        <w:rPr>
          <w:rFonts w:hAnsi="宋体"/>
          <w:sz w:val="21"/>
          <w:szCs w:val="21"/>
          <w:highlight w:val="none"/>
        </w:rPr>
      </w:pPr>
      <w:r>
        <w:rPr>
          <w:rFonts w:hint="eastAsia" w:hAnsi="宋体"/>
          <w:sz w:val="21"/>
          <w:szCs w:val="21"/>
          <w:highlight w:val="none"/>
        </w:rPr>
        <w:t>供应商联系电话、传真：</w:t>
      </w:r>
    </w:p>
    <w:p>
      <w:pPr>
        <w:spacing w:line="480" w:lineRule="exact"/>
        <w:ind w:firstLine="420" w:firstLineChars="200"/>
        <w:rPr>
          <w:rFonts w:hAnsi="宋体"/>
          <w:sz w:val="21"/>
          <w:szCs w:val="21"/>
          <w:highlight w:val="none"/>
        </w:rPr>
      </w:pPr>
      <w:r>
        <w:rPr>
          <w:rFonts w:hint="eastAsia" w:hAnsi="宋体"/>
          <w:sz w:val="21"/>
          <w:szCs w:val="21"/>
          <w:highlight w:val="none"/>
        </w:rPr>
        <w:t>日期：年月日</w:t>
      </w:r>
    </w:p>
    <w:p>
      <w:pPr>
        <w:pStyle w:val="5"/>
        <w:numPr>
          <w:ilvl w:val="0"/>
          <w:numId w:val="18"/>
        </w:numPr>
        <w:jc w:val="center"/>
        <w:rPr>
          <w:bCs/>
          <w:sz w:val="28"/>
          <w:szCs w:val="28"/>
          <w:highlight w:val="none"/>
        </w:rPr>
      </w:pPr>
      <w:r>
        <w:rPr>
          <w:sz w:val="22"/>
          <w:szCs w:val="22"/>
          <w:highlight w:val="none"/>
        </w:rPr>
        <w:br w:type="page"/>
      </w:r>
      <w:bookmarkStart w:id="193" w:name="_Toc10808"/>
      <w:bookmarkStart w:id="194" w:name="_Toc7897891"/>
      <w:bookmarkStart w:id="195" w:name="_Toc31943"/>
      <w:r>
        <w:rPr>
          <w:rFonts w:hint="eastAsia"/>
          <w:bCs/>
          <w:sz w:val="28"/>
          <w:szCs w:val="28"/>
          <w:highlight w:val="none"/>
        </w:rPr>
        <w:t>法定代表人证明书</w:t>
      </w:r>
      <w:bookmarkEnd w:id="193"/>
      <w:bookmarkEnd w:id="194"/>
      <w:bookmarkEnd w:id="195"/>
    </w:p>
    <w:p>
      <w:pPr>
        <w:jc w:val="center"/>
        <w:rPr>
          <w:rFonts w:hAnsi="宋体"/>
          <w:sz w:val="28"/>
          <w:szCs w:val="28"/>
          <w:highlight w:val="none"/>
        </w:rPr>
      </w:pPr>
    </w:p>
    <w:p>
      <w:pPr>
        <w:rPr>
          <w:rFonts w:hAnsi="宋体"/>
          <w:sz w:val="28"/>
          <w:szCs w:val="28"/>
          <w:highlight w:val="none"/>
        </w:rPr>
      </w:pPr>
    </w:p>
    <w:p>
      <w:pPr>
        <w:spacing w:line="420" w:lineRule="atLeas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atLeast"/>
        <w:ind w:firstLine="433"/>
        <w:rPr>
          <w:rFonts w:ascii="宋体" w:eastAsia="宋体"/>
          <w:sz w:val="21"/>
          <w:szCs w:val="21"/>
          <w:highlight w:val="none"/>
        </w:rPr>
      </w:pP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 xml:space="preserve">供应商名称: </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单 位 性质：</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地      址：</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成 立 时间：年月日</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经 营 期限：</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姓名：性别：年龄：职务：</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系（供应商名称）的法定代表人。</w:t>
      </w:r>
    </w:p>
    <w:p>
      <w:pPr>
        <w:spacing w:line="420" w:lineRule="atLeast"/>
        <w:ind w:firstLine="420" w:firstLineChars="200"/>
        <w:rPr>
          <w:rFonts w:hAnsi="宋体"/>
          <w:sz w:val="21"/>
          <w:szCs w:val="21"/>
          <w:highlight w:val="none"/>
        </w:rPr>
      </w:pPr>
      <w:r>
        <w:rPr>
          <w:rFonts w:hint="eastAsia" w:hAnsi="宋体"/>
          <w:sz w:val="21"/>
          <w:szCs w:val="21"/>
          <w:highlight w:val="none"/>
        </w:rPr>
        <w:t>特此证明。</w:t>
      </w:r>
    </w:p>
    <w:p>
      <w:pPr>
        <w:pStyle w:val="75"/>
        <w:spacing w:line="500" w:lineRule="atLeast"/>
        <w:ind w:firstLine="3517" w:firstLineChars="1675"/>
        <w:rPr>
          <w:rFonts w:ascii="宋体" w:eastAsia="宋体"/>
          <w:sz w:val="21"/>
          <w:szCs w:val="21"/>
          <w:highlight w:val="none"/>
        </w:rPr>
      </w:pP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500" w:lineRule="atLeas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500" w:lineRule="atLeas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pStyle w:val="75"/>
        <w:spacing w:line="460" w:lineRule="exact"/>
        <w:ind w:firstLine="433"/>
        <w:rPr>
          <w:rFonts w:ascii="宋体" w:eastAsia="宋体"/>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须附：法定代表人身份证复印件（加盖公章）</w:t>
      </w:r>
    </w:p>
    <w:p>
      <w:pPr>
        <w:spacing w:line="420" w:lineRule="atLeast"/>
        <w:ind w:firstLine="422" w:firstLineChars="200"/>
        <w:rPr>
          <w:b/>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rPr>
          <w:rFonts w:hAnsi="宋体"/>
          <w:highlight w:val="none"/>
        </w:rPr>
      </w:pPr>
    </w:p>
    <w:p>
      <w:pPr>
        <w:rPr>
          <w:rFonts w:hAnsi="宋体"/>
          <w:sz w:val="28"/>
          <w:szCs w:val="28"/>
          <w:highlight w:val="none"/>
        </w:rPr>
      </w:pPr>
    </w:p>
    <w:p>
      <w:pPr>
        <w:pStyle w:val="5"/>
        <w:numPr>
          <w:ilvl w:val="0"/>
          <w:numId w:val="18"/>
        </w:numPr>
        <w:jc w:val="center"/>
        <w:rPr>
          <w:bCs/>
          <w:sz w:val="28"/>
          <w:szCs w:val="28"/>
          <w:highlight w:val="none"/>
        </w:rPr>
      </w:pPr>
      <w:r>
        <w:rPr>
          <w:rFonts w:hint="eastAsia"/>
          <w:bCs/>
          <w:sz w:val="28"/>
          <w:szCs w:val="28"/>
          <w:highlight w:val="none"/>
        </w:rPr>
        <w:br w:type="page"/>
      </w:r>
      <w:bookmarkStart w:id="196" w:name="_Toc28882"/>
      <w:bookmarkStart w:id="197" w:name="_Toc7897892"/>
      <w:bookmarkStart w:id="198" w:name="_Toc19634"/>
      <w:r>
        <w:rPr>
          <w:rFonts w:hint="eastAsia"/>
          <w:bCs/>
          <w:sz w:val="28"/>
          <w:szCs w:val="28"/>
          <w:highlight w:val="none"/>
        </w:rPr>
        <w:t>授权委托书（加法人证明书）</w:t>
      </w:r>
      <w:bookmarkEnd w:id="196"/>
      <w:bookmarkEnd w:id="197"/>
      <w:bookmarkEnd w:id="198"/>
    </w:p>
    <w:p>
      <w:pPr>
        <w:pStyle w:val="14"/>
        <w:ind w:firstLine="400"/>
        <w:rPr>
          <w:highlight w:val="none"/>
        </w:rPr>
      </w:pPr>
    </w:p>
    <w:p>
      <w:pPr>
        <w:spacing w:line="420" w:lineRule="exact"/>
        <w:rPr>
          <w:rFonts w:hAnsi="宋体"/>
          <w:sz w:val="22"/>
          <w:szCs w:val="22"/>
          <w:highlight w:val="none"/>
        </w:rPr>
      </w:pPr>
    </w:p>
    <w:p>
      <w:pPr>
        <w:spacing w:line="420" w:lineRule="exac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本人</w:t>
      </w:r>
      <w:r>
        <w:rPr>
          <w:rFonts w:hint="eastAsia" w:ascii="宋体" w:eastAsia="宋体"/>
          <w:sz w:val="21"/>
          <w:szCs w:val="21"/>
          <w:highlight w:val="none"/>
          <w:u w:val="single"/>
        </w:rPr>
        <w:t xml:space="preserve">  （姓名） </w:t>
      </w:r>
      <w:r>
        <w:rPr>
          <w:rFonts w:hint="eastAsia" w:ascii="宋体" w:eastAsia="宋体"/>
          <w:sz w:val="21"/>
          <w:szCs w:val="21"/>
          <w:highlight w:val="none"/>
        </w:rPr>
        <w:t>系</w:t>
      </w:r>
      <w:r>
        <w:rPr>
          <w:rFonts w:hint="eastAsia" w:ascii="宋体" w:eastAsia="宋体"/>
          <w:sz w:val="21"/>
          <w:szCs w:val="21"/>
          <w:highlight w:val="none"/>
          <w:u w:val="single"/>
        </w:rPr>
        <w:t xml:space="preserve">     （供应商名称）        </w:t>
      </w:r>
      <w:r>
        <w:rPr>
          <w:rFonts w:hint="eastAsia" w:ascii="宋体" w:eastAsia="宋体"/>
          <w:sz w:val="21"/>
          <w:szCs w:val="21"/>
          <w:highlight w:val="none"/>
        </w:rPr>
        <w:t>的法定代表人，现委托</w:t>
      </w:r>
      <w:r>
        <w:rPr>
          <w:rFonts w:hint="eastAsia" w:ascii="宋体" w:eastAsia="宋体"/>
          <w:sz w:val="21"/>
          <w:szCs w:val="21"/>
          <w:highlight w:val="none"/>
          <w:u w:val="single"/>
        </w:rPr>
        <w:t xml:space="preserve"> （姓名） </w:t>
      </w:r>
      <w:r>
        <w:rPr>
          <w:rFonts w:hint="eastAsia" w:ascii="宋体" w:eastAsia="宋体"/>
          <w:sz w:val="21"/>
          <w:szCs w:val="21"/>
          <w:highlight w:val="none"/>
        </w:rPr>
        <w:t>为我方合法代理人。代理人根据授权，以我方名义签署、澄清、说明、补正、递交、撤回、修改</w:t>
      </w:r>
      <w:r>
        <w:rPr>
          <w:rFonts w:hint="eastAsia" w:ascii="宋体" w:eastAsia="宋体"/>
          <w:sz w:val="21"/>
          <w:szCs w:val="21"/>
          <w:highlight w:val="none"/>
          <w:u w:val="single"/>
        </w:rPr>
        <w:t xml:space="preserve">        （项目名称）        </w:t>
      </w:r>
      <w:r>
        <w:rPr>
          <w:rFonts w:hint="eastAsia" w:ascii="宋体" w:eastAsia="宋体"/>
          <w:sz w:val="21"/>
          <w:szCs w:val="21"/>
          <w:highlight w:val="none"/>
        </w:rPr>
        <w:t>[采购编号：</w:t>
      </w:r>
      <w:r>
        <w:rPr>
          <w:rFonts w:hint="eastAsia" w:ascii="宋体" w:eastAsia="宋体"/>
          <w:sz w:val="21"/>
          <w:szCs w:val="21"/>
          <w:highlight w:val="none"/>
          <w:u w:val="single"/>
        </w:rPr>
        <w:t>　　　　　　　</w:t>
      </w:r>
      <w:r>
        <w:rPr>
          <w:rFonts w:hint="eastAsia" w:ascii="宋体" w:eastAsia="宋体"/>
          <w:sz w:val="21"/>
          <w:szCs w:val="21"/>
          <w:highlight w:val="none"/>
        </w:rPr>
        <w:t>]磋商响应文件、签订合同和处理有关事宜，其法律后果由我方承担。</w:t>
      </w:r>
    </w:p>
    <w:p>
      <w:pPr>
        <w:pStyle w:val="75"/>
        <w:spacing w:line="420" w:lineRule="exact"/>
        <w:ind w:firstLine="428" w:firstLineChars="204"/>
        <w:rPr>
          <w:rFonts w:ascii="宋体" w:eastAsia="宋体"/>
          <w:sz w:val="21"/>
          <w:szCs w:val="21"/>
          <w:highlight w:val="none"/>
        </w:rPr>
      </w:pPr>
      <w:r>
        <w:rPr>
          <w:rFonts w:hint="eastAsia" w:ascii="宋体" w:eastAsia="宋体"/>
          <w:sz w:val="21"/>
          <w:szCs w:val="21"/>
          <w:highlight w:val="none"/>
        </w:rPr>
        <w:t>本委托书于</w:t>
      </w:r>
      <w:r>
        <w:rPr>
          <w:rFonts w:hint="eastAsia" w:ascii="宋体" w:eastAsia="宋体"/>
          <w:sz w:val="21"/>
          <w:szCs w:val="21"/>
          <w:highlight w:val="none"/>
          <w:u w:val="single"/>
        </w:rPr>
        <w:t xml:space="preserve">　    </w:t>
      </w:r>
      <w:r>
        <w:rPr>
          <w:rFonts w:hint="eastAsia" w:ascii="宋体" w:eastAsia="宋体"/>
          <w:sz w:val="21"/>
          <w:szCs w:val="21"/>
          <w:highlight w:val="none"/>
        </w:rPr>
        <w:t>年</w:t>
      </w:r>
      <w:r>
        <w:rPr>
          <w:rFonts w:hint="eastAsia" w:ascii="宋体" w:eastAsia="宋体"/>
          <w:sz w:val="21"/>
          <w:szCs w:val="21"/>
          <w:highlight w:val="none"/>
          <w:u w:val="single"/>
        </w:rPr>
        <w:t xml:space="preserve">　 </w:t>
      </w:r>
      <w:r>
        <w:rPr>
          <w:rFonts w:hint="eastAsia" w:ascii="宋体" w:eastAsia="宋体"/>
          <w:sz w:val="21"/>
          <w:szCs w:val="21"/>
          <w:highlight w:val="none"/>
        </w:rPr>
        <w:t>月</w:t>
      </w:r>
      <w:r>
        <w:rPr>
          <w:rFonts w:hint="eastAsia" w:ascii="宋体" w:eastAsia="宋体"/>
          <w:sz w:val="21"/>
          <w:szCs w:val="21"/>
          <w:highlight w:val="none"/>
          <w:u w:val="single"/>
        </w:rPr>
        <w:t xml:space="preserve">　 </w:t>
      </w:r>
      <w:r>
        <w:rPr>
          <w:rFonts w:hint="eastAsia" w:ascii="宋体" w:eastAsia="宋体"/>
          <w:sz w:val="21"/>
          <w:szCs w:val="21"/>
          <w:highlight w:val="none"/>
        </w:rPr>
        <w:t>日签字生效，特此证明。</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代理人无转委托权</w:t>
      </w:r>
    </w:p>
    <w:p>
      <w:pPr>
        <w:pStyle w:val="75"/>
        <w:spacing w:line="420" w:lineRule="exact"/>
        <w:ind w:firstLine="450" w:firstLineChars="0"/>
        <w:rPr>
          <w:rFonts w:ascii="宋体" w:eastAsia="宋体"/>
          <w:sz w:val="21"/>
          <w:szCs w:val="21"/>
          <w:highlight w:val="none"/>
        </w:rPr>
      </w:pPr>
    </w:p>
    <w:p>
      <w:pPr>
        <w:pStyle w:val="75"/>
        <w:spacing w:line="420" w:lineRule="exact"/>
        <w:ind w:firstLine="428" w:firstLineChars="204"/>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身份证号码：</w:t>
      </w:r>
    </w:p>
    <w:p>
      <w:pPr>
        <w:pStyle w:val="75"/>
        <w:spacing w:line="420" w:lineRule="exact"/>
        <w:ind w:firstLine="3517" w:firstLineChars="1675"/>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受托代理人（签名或盖私章）：</w:t>
      </w:r>
    </w:p>
    <w:p>
      <w:pPr>
        <w:pStyle w:val="75"/>
        <w:spacing w:line="420" w:lineRule="exac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460" w:lineRule="exac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须附：授权代理人身份证复印件（加盖公章）</w:t>
      </w:r>
    </w:p>
    <w:p>
      <w:pPr>
        <w:spacing w:line="420" w:lineRule="atLeast"/>
        <w:ind w:firstLine="420" w:firstLineChars="200"/>
        <w:rPr>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pStyle w:val="14"/>
        <w:ind w:firstLine="482"/>
        <w:rPr>
          <w:b/>
          <w:sz w:val="24"/>
          <w:szCs w:val="24"/>
          <w:highlight w:val="none"/>
        </w:rPr>
      </w:pPr>
    </w:p>
    <w:p>
      <w:pPr>
        <w:tabs>
          <w:tab w:val="left" w:pos="7740"/>
        </w:tabs>
        <w:spacing w:line="360" w:lineRule="auto"/>
        <w:rPr>
          <w:rFonts w:hAnsi="宋体"/>
          <w:sz w:val="21"/>
          <w:szCs w:val="21"/>
          <w:highlight w:val="none"/>
        </w:rPr>
      </w:pPr>
      <w:bookmarkStart w:id="199" w:name="_Toc7897893"/>
      <w:bookmarkStart w:id="200" w:name="_Toc4592"/>
    </w:p>
    <w:p>
      <w:pPr>
        <w:pStyle w:val="14"/>
        <w:ind w:firstLine="0" w:firstLineChars="0"/>
        <w:rPr>
          <w:highlight w:val="none"/>
        </w:rPr>
      </w:pPr>
    </w:p>
    <w:p>
      <w:pPr>
        <w:pStyle w:val="14"/>
        <w:ind w:firstLine="0" w:firstLineChars="0"/>
        <w:rPr>
          <w:highlight w:val="none"/>
        </w:rPr>
      </w:pPr>
    </w:p>
    <w:p>
      <w:pPr>
        <w:pStyle w:val="14"/>
        <w:ind w:firstLine="0" w:firstLineChars="0"/>
        <w:rPr>
          <w:highlight w:val="none"/>
        </w:rPr>
      </w:pPr>
    </w:p>
    <w:p>
      <w:pPr>
        <w:pStyle w:val="5"/>
        <w:numPr>
          <w:ilvl w:val="0"/>
          <w:numId w:val="18"/>
        </w:numPr>
        <w:jc w:val="center"/>
        <w:rPr>
          <w:sz w:val="28"/>
          <w:szCs w:val="28"/>
          <w:highlight w:val="none"/>
        </w:rPr>
      </w:pPr>
      <w:bookmarkStart w:id="201" w:name="_Toc17363"/>
      <w:r>
        <w:rPr>
          <w:rFonts w:hint="eastAsia"/>
          <w:sz w:val="28"/>
          <w:szCs w:val="28"/>
          <w:highlight w:val="none"/>
        </w:rPr>
        <w:t>供应商基本情况说明</w:t>
      </w:r>
      <w:bookmarkEnd w:id="199"/>
      <w:bookmarkEnd w:id="200"/>
      <w:bookmarkEnd w:id="201"/>
    </w:p>
    <w:p>
      <w:pPr>
        <w:spacing w:line="360" w:lineRule="auto"/>
        <w:rPr>
          <w:rFonts w:hAnsi="宋体"/>
          <w:sz w:val="22"/>
          <w:szCs w:val="22"/>
          <w:highlight w:val="none"/>
        </w:rPr>
      </w:pPr>
    </w:p>
    <w:p>
      <w:pPr>
        <w:spacing w:line="360" w:lineRule="auto"/>
        <w:rPr>
          <w:rFonts w:hAnsi="宋体"/>
          <w:sz w:val="21"/>
          <w:szCs w:val="21"/>
          <w:highlight w:val="none"/>
        </w:rPr>
      </w:pPr>
      <w:r>
        <w:rPr>
          <w:rFonts w:hint="eastAsia" w:hAnsi="宋体"/>
          <w:sz w:val="21"/>
          <w:szCs w:val="21"/>
          <w:highlight w:val="none"/>
        </w:rPr>
        <w:t>一、</w:t>
      </w:r>
      <w:r>
        <w:rPr>
          <w:rFonts w:hAnsi="宋体"/>
          <w:sz w:val="21"/>
          <w:szCs w:val="21"/>
          <w:highlight w:val="none"/>
        </w:rPr>
        <w:t>公司基本情况</w:t>
      </w:r>
    </w:p>
    <w:p>
      <w:pPr>
        <w:tabs>
          <w:tab w:val="left" w:pos="4678"/>
        </w:tabs>
        <w:spacing w:line="360" w:lineRule="auto"/>
        <w:rPr>
          <w:rFonts w:hAnsi="宋体"/>
          <w:sz w:val="21"/>
          <w:szCs w:val="21"/>
          <w:highlight w:val="none"/>
        </w:rPr>
      </w:pPr>
      <w:r>
        <w:rPr>
          <w:rFonts w:hAnsi="宋体"/>
          <w:sz w:val="21"/>
          <w:szCs w:val="21"/>
          <w:highlight w:val="none"/>
        </w:rPr>
        <w:t>1、公司名称： 电话号码：</w:t>
      </w:r>
    </w:p>
    <w:p>
      <w:pPr>
        <w:spacing w:line="360" w:lineRule="auto"/>
        <w:rPr>
          <w:rFonts w:hAnsi="宋体"/>
          <w:sz w:val="21"/>
          <w:szCs w:val="21"/>
          <w:highlight w:val="none"/>
        </w:rPr>
      </w:pPr>
      <w:r>
        <w:rPr>
          <w:rFonts w:hAnsi="宋体"/>
          <w:sz w:val="21"/>
          <w:szCs w:val="21"/>
          <w:highlight w:val="none"/>
        </w:rPr>
        <w:t>2、地  址： 传  真：</w:t>
      </w:r>
    </w:p>
    <w:p>
      <w:pPr>
        <w:spacing w:line="360" w:lineRule="auto"/>
        <w:rPr>
          <w:rFonts w:hAnsi="宋体"/>
          <w:sz w:val="21"/>
          <w:szCs w:val="21"/>
          <w:highlight w:val="none"/>
          <w:u w:val="single"/>
        </w:rPr>
      </w:pPr>
      <w:r>
        <w:rPr>
          <w:rFonts w:hAnsi="宋体"/>
          <w:sz w:val="21"/>
          <w:szCs w:val="21"/>
          <w:highlight w:val="none"/>
        </w:rPr>
        <w:t>3、注册资金： 经济性质：</w:t>
      </w:r>
    </w:p>
    <w:p>
      <w:pPr>
        <w:spacing w:line="360" w:lineRule="auto"/>
        <w:rPr>
          <w:rFonts w:hAnsi="宋体"/>
          <w:sz w:val="21"/>
          <w:szCs w:val="21"/>
          <w:highlight w:val="none"/>
        </w:rPr>
      </w:pPr>
      <w:r>
        <w:rPr>
          <w:rFonts w:hAnsi="宋体"/>
          <w:sz w:val="21"/>
          <w:szCs w:val="21"/>
          <w:highlight w:val="none"/>
        </w:rPr>
        <w:t xml:space="preserve">4、公司开户银行名称及账号：      </w:t>
      </w:r>
    </w:p>
    <w:p>
      <w:pPr>
        <w:spacing w:line="360" w:lineRule="auto"/>
        <w:rPr>
          <w:rFonts w:hAnsi="宋体"/>
          <w:sz w:val="21"/>
          <w:szCs w:val="21"/>
          <w:highlight w:val="none"/>
        </w:rPr>
      </w:pPr>
      <w:r>
        <w:rPr>
          <w:rFonts w:hAnsi="宋体"/>
          <w:sz w:val="21"/>
          <w:szCs w:val="21"/>
          <w:highlight w:val="none"/>
        </w:rPr>
        <w:t xml:space="preserve">5、营业注册执照号：  </w:t>
      </w:r>
    </w:p>
    <w:p>
      <w:pPr>
        <w:spacing w:line="360" w:lineRule="auto"/>
        <w:rPr>
          <w:rFonts w:hAnsi="宋体"/>
          <w:sz w:val="21"/>
          <w:szCs w:val="21"/>
          <w:highlight w:val="none"/>
        </w:rPr>
      </w:pPr>
      <w:r>
        <w:rPr>
          <w:rFonts w:hAnsi="宋体"/>
          <w:sz w:val="21"/>
          <w:szCs w:val="21"/>
          <w:highlight w:val="none"/>
        </w:rPr>
        <w:t>6、公司简介:</w:t>
      </w:r>
    </w:p>
    <w:p>
      <w:pPr>
        <w:spacing w:line="360" w:lineRule="auto"/>
        <w:rPr>
          <w:rFonts w:hAnsi="宋体"/>
          <w:sz w:val="21"/>
          <w:szCs w:val="21"/>
          <w:highlight w:val="none"/>
        </w:rPr>
      </w:pPr>
      <w:r>
        <w:rPr>
          <w:rFonts w:hAnsi="宋体"/>
          <w:sz w:val="21"/>
          <w:szCs w:val="21"/>
          <w:highlight w:val="none"/>
        </w:rPr>
        <w:t>7、公司财务情况：</w:t>
      </w:r>
    </w:p>
    <w:p>
      <w:pPr>
        <w:spacing w:line="360" w:lineRule="auto"/>
        <w:jc w:val="right"/>
        <w:rPr>
          <w:rFonts w:hAnsi="宋体"/>
          <w:sz w:val="21"/>
          <w:szCs w:val="21"/>
          <w:highlight w:val="none"/>
        </w:rPr>
      </w:pPr>
      <w:r>
        <w:rPr>
          <w:rFonts w:hint="eastAsia" w:hAnsi="宋体"/>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sz w:val="21"/>
                <w:szCs w:val="21"/>
                <w:highlight w:val="none"/>
              </w:rPr>
            </w:pPr>
            <w:r>
              <w:rPr>
                <w:rFonts w:hint="eastAsia" w:hAnsi="宋体"/>
                <w:sz w:val="21"/>
                <w:szCs w:val="21"/>
                <w:highlight w:val="none"/>
              </w:rPr>
              <w:t>年  度</w:t>
            </w:r>
          </w:p>
        </w:tc>
        <w:tc>
          <w:tcPr>
            <w:tcW w:w="1809" w:type="dxa"/>
            <w:vAlign w:val="center"/>
          </w:tcPr>
          <w:p>
            <w:pPr>
              <w:jc w:val="center"/>
              <w:rPr>
                <w:rFonts w:hAnsi="宋体"/>
                <w:sz w:val="21"/>
                <w:szCs w:val="21"/>
                <w:highlight w:val="none"/>
              </w:rPr>
            </w:pPr>
            <w:r>
              <w:rPr>
                <w:rFonts w:hint="eastAsia" w:hAnsi="宋体"/>
                <w:sz w:val="21"/>
                <w:szCs w:val="21"/>
                <w:highlight w:val="none"/>
              </w:rPr>
              <w:t>总资产（元）</w:t>
            </w:r>
          </w:p>
        </w:tc>
        <w:tc>
          <w:tcPr>
            <w:tcW w:w="1809" w:type="dxa"/>
            <w:vAlign w:val="center"/>
          </w:tcPr>
          <w:p>
            <w:pPr>
              <w:jc w:val="center"/>
              <w:rPr>
                <w:rFonts w:hAnsi="宋体"/>
                <w:sz w:val="21"/>
                <w:szCs w:val="21"/>
                <w:highlight w:val="none"/>
              </w:rPr>
            </w:pPr>
            <w:r>
              <w:rPr>
                <w:rFonts w:hint="eastAsia" w:hAnsi="宋体"/>
                <w:sz w:val="21"/>
                <w:szCs w:val="21"/>
                <w:highlight w:val="none"/>
              </w:rPr>
              <w:t>资产负债率（%）</w:t>
            </w:r>
          </w:p>
        </w:tc>
        <w:tc>
          <w:tcPr>
            <w:tcW w:w="1839" w:type="dxa"/>
            <w:vAlign w:val="center"/>
          </w:tcPr>
          <w:p>
            <w:pPr>
              <w:jc w:val="center"/>
              <w:rPr>
                <w:rFonts w:hAnsi="宋体"/>
                <w:sz w:val="21"/>
                <w:szCs w:val="21"/>
                <w:highlight w:val="none"/>
              </w:rPr>
            </w:pPr>
            <w:r>
              <w:rPr>
                <w:rFonts w:hint="eastAsia" w:hAnsi="宋体"/>
                <w:sz w:val="21"/>
                <w:szCs w:val="21"/>
                <w:highlight w:val="none"/>
              </w:rPr>
              <w:t>年营业额（元）</w:t>
            </w:r>
          </w:p>
        </w:tc>
        <w:tc>
          <w:tcPr>
            <w:tcW w:w="1851" w:type="dxa"/>
            <w:vAlign w:val="center"/>
          </w:tcPr>
          <w:p>
            <w:pPr>
              <w:jc w:val="center"/>
              <w:rPr>
                <w:rFonts w:hAnsi="宋体"/>
                <w:sz w:val="21"/>
                <w:szCs w:val="21"/>
                <w:highlight w:val="none"/>
              </w:rPr>
            </w:pPr>
            <w:r>
              <w:rPr>
                <w:rFonts w:hint="eastAsia" w:hAnsi="宋体"/>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bl>
    <w:p>
      <w:pPr>
        <w:spacing w:line="360" w:lineRule="auto"/>
        <w:rPr>
          <w:rFonts w:hAnsi="宋体"/>
          <w:b/>
          <w:sz w:val="21"/>
          <w:szCs w:val="21"/>
          <w:highlight w:val="none"/>
        </w:rPr>
      </w:pPr>
    </w:p>
    <w:p>
      <w:pPr>
        <w:tabs>
          <w:tab w:val="left" w:pos="420"/>
          <w:tab w:val="left" w:pos="1485"/>
        </w:tabs>
        <w:spacing w:line="360" w:lineRule="auto"/>
        <w:rPr>
          <w:rFonts w:hAnsi="宋体"/>
          <w:sz w:val="21"/>
          <w:szCs w:val="21"/>
          <w:highlight w:val="none"/>
        </w:rPr>
      </w:pPr>
      <w:r>
        <w:rPr>
          <w:rFonts w:hint="eastAsia" w:hAnsi="宋体"/>
          <w:sz w:val="21"/>
          <w:szCs w:val="21"/>
          <w:highlight w:val="none"/>
        </w:rPr>
        <w:t>二、</w:t>
      </w:r>
      <w:r>
        <w:rPr>
          <w:rFonts w:hAnsi="宋体"/>
          <w:sz w:val="21"/>
          <w:szCs w:val="21"/>
          <w:highlight w:val="none"/>
        </w:rPr>
        <w:t>供应商获得国家有关部门颁发的资质证明</w:t>
      </w:r>
      <w:r>
        <w:rPr>
          <w:rFonts w:hint="eastAsia" w:hAnsi="宋体"/>
          <w:sz w:val="21"/>
          <w:szCs w:val="21"/>
          <w:highlight w:val="none"/>
        </w:rPr>
        <w:t>或荣誉</w:t>
      </w:r>
      <w:r>
        <w:rPr>
          <w:rFonts w:hAnsi="宋体"/>
          <w:sz w:val="21"/>
          <w:szCs w:val="21"/>
          <w:highlight w:val="none"/>
        </w:rPr>
        <w:t>：</w:t>
      </w:r>
      <w:r>
        <w:rPr>
          <w:rFonts w:hint="eastAsia" w:hAnsi="宋体"/>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sz w:val="21"/>
                <w:szCs w:val="21"/>
                <w:highlight w:val="none"/>
              </w:rPr>
            </w:pPr>
            <w:r>
              <w:rPr>
                <w:rFonts w:hAnsi="宋体"/>
                <w:sz w:val="21"/>
                <w:szCs w:val="21"/>
                <w:highlight w:val="none"/>
              </w:rPr>
              <w:t>证书名称</w:t>
            </w:r>
          </w:p>
        </w:tc>
        <w:tc>
          <w:tcPr>
            <w:tcW w:w="1800" w:type="dxa"/>
            <w:vAlign w:val="center"/>
          </w:tcPr>
          <w:p>
            <w:pPr>
              <w:jc w:val="center"/>
              <w:rPr>
                <w:rFonts w:hAnsi="宋体"/>
                <w:sz w:val="21"/>
                <w:szCs w:val="21"/>
                <w:highlight w:val="none"/>
              </w:rPr>
            </w:pPr>
            <w:r>
              <w:rPr>
                <w:rFonts w:hAnsi="宋体"/>
                <w:sz w:val="21"/>
                <w:szCs w:val="21"/>
                <w:highlight w:val="none"/>
              </w:rPr>
              <w:t>发证单位</w:t>
            </w:r>
          </w:p>
        </w:tc>
        <w:tc>
          <w:tcPr>
            <w:tcW w:w="1800" w:type="dxa"/>
            <w:vAlign w:val="center"/>
          </w:tcPr>
          <w:p>
            <w:pPr>
              <w:jc w:val="center"/>
              <w:rPr>
                <w:rFonts w:hAnsi="宋体"/>
                <w:sz w:val="21"/>
                <w:szCs w:val="21"/>
                <w:highlight w:val="none"/>
              </w:rPr>
            </w:pPr>
            <w:r>
              <w:rPr>
                <w:rFonts w:hAnsi="宋体"/>
                <w:sz w:val="21"/>
                <w:szCs w:val="21"/>
                <w:highlight w:val="none"/>
              </w:rPr>
              <w:t>证书等级</w:t>
            </w:r>
          </w:p>
        </w:tc>
        <w:tc>
          <w:tcPr>
            <w:tcW w:w="1830" w:type="dxa"/>
            <w:vAlign w:val="center"/>
          </w:tcPr>
          <w:p>
            <w:pPr>
              <w:jc w:val="center"/>
              <w:rPr>
                <w:rFonts w:hAnsi="宋体"/>
                <w:sz w:val="21"/>
                <w:szCs w:val="21"/>
                <w:highlight w:val="none"/>
              </w:rPr>
            </w:pPr>
            <w:r>
              <w:rPr>
                <w:rFonts w:hAnsi="宋体"/>
                <w:sz w:val="21"/>
                <w:szCs w:val="21"/>
                <w:highlight w:val="none"/>
              </w:rPr>
              <w:t>证书有效期</w:t>
            </w:r>
          </w:p>
        </w:tc>
        <w:tc>
          <w:tcPr>
            <w:tcW w:w="1842" w:type="dxa"/>
            <w:vAlign w:val="center"/>
          </w:tcPr>
          <w:p>
            <w:pPr>
              <w:jc w:val="center"/>
              <w:rPr>
                <w:rFonts w:hAnsi="宋体"/>
                <w:sz w:val="21"/>
                <w:szCs w:val="21"/>
                <w:highlight w:val="none"/>
              </w:rPr>
            </w:pPr>
            <w:r>
              <w:rPr>
                <w:rFonts w:hint="eastAsia" w:hAnsi="宋体"/>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bl>
    <w:p>
      <w:pPr>
        <w:spacing w:line="420" w:lineRule="atLeast"/>
        <w:rPr>
          <w:rFonts w:hAnsi="宋体"/>
          <w:sz w:val="21"/>
          <w:szCs w:val="21"/>
          <w:highlight w:val="none"/>
        </w:rPr>
      </w:pPr>
      <w:r>
        <w:rPr>
          <w:rFonts w:hint="eastAsia" w:hAnsi="宋体"/>
          <w:sz w:val="21"/>
          <w:szCs w:val="21"/>
          <w:highlight w:val="none"/>
        </w:rPr>
        <w:t>备注：以上资质或荣誉必须提供相关证明材料。</w:t>
      </w:r>
    </w:p>
    <w:p>
      <w:pPr>
        <w:spacing w:line="420" w:lineRule="atLeast"/>
        <w:rPr>
          <w:rFonts w:hAnsi="宋体"/>
          <w:sz w:val="21"/>
          <w:szCs w:val="21"/>
          <w:highlight w:val="none"/>
        </w:rPr>
      </w:pPr>
      <w:r>
        <w:rPr>
          <w:rFonts w:hint="eastAsia" w:hAnsi="宋体"/>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5"/>
        <w:numPr>
          <w:ilvl w:val="0"/>
          <w:numId w:val="18"/>
        </w:numPr>
        <w:jc w:val="center"/>
        <w:rPr>
          <w:b w:val="0"/>
          <w:sz w:val="28"/>
          <w:szCs w:val="28"/>
          <w:highlight w:val="none"/>
          <w:u w:val="single"/>
        </w:rPr>
      </w:pPr>
      <w:r>
        <w:rPr>
          <w:sz w:val="22"/>
          <w:szCs w:val="22"/>
          <w:highlight w:val="none"/>
        </w:rPr>
        <w:br w:type="page"/>
      </w:r>
      <w:bookmarkStart w:id="202" w:name="_Toc7897894"/>
      <w:bookmarkStart w:id="203" w:name="_Toc17704"/>
      <w:bookmarkStart w:id="204" w:name="_Toc27094"/>
      <w:r>
        <w:rPr>
          <w:rFonts w:hint="eastAsia"/>
          <w:bCs/>
          <w:sz w:val="28"/>
          <w:szCs w:val="28"/>
          <w:highlight w:val="none"/>
        </w:rPr>
        <w:t>偏离表</w:t>
      </w:r>
      <w:bookmarkEnd w:id="182"/>
      <w:bookmarkEnd w:id="202"/>
      <w:bookmarkEnd w:id="203"/>
      <w:bookmarkEnd w:id="204"/>
    </w:p>
    <w:p>
      <w:pPr>
        <w:pStyle w:val="14"/>
        <w:ind w:firstLine="480"/>
        <w:rPr>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sz w:val="21"/>
                <w:szCs w:val="21"/>
                <w:highlight w:val="none"/>
              </w:rPr>
            </w:pPr>
            <w:r>
              <w:rPr>
                <w:rFonts w:hint="eastAsia" w:hAnsi="宋体"/>
                <w:b/>
                <w:bCs/>
                <w:sz w:val="21"/>
                <w:szCs w:val="21"/>
                <w:highlight w:val="none"/>
              </w:rPr>
              <w:t>序号</w:t>
            </w:r>
          </w:p>
        </w:tc>
        <w:tc>
          <w:tcPr>
            <w:tcW w:w="2161" w:type="dxa"/>
            <w:vAlign w:val="center"/>
          </w:tcPr>
          <w:p>
            <w:pPr>
              <w:jc w:val="center"/>
              <w:rPr>
                <w:rFonts w:hAnsi="宋体"/>
                <w:b/>
                <w:bCs/>
                <w:sz w:val="21"/>
                <w:szCs w:val="21"/>
                <w:highlight w:val="none"/>
              </w:rPr>
            </w:pPr>
            <w:r>
              <w:rPr>
                <w:rFonts w:hint="eastAsia" w:hAnsi="宋体"/>
                <w:b/>
                <w:bCs/>
                <w:sz w:val="21"/>
                <w:szCs w:val="21"/>
                <w:highlight w:val="none"/>
              </w:rPr>
              <w:t>项 目</w:t>
            </w:r>
          </w:p>
        </w:tc>
        <w:tc>
          <w:tcPr>
            <w:tcW w:w="1241" w:type="dxa"/>
            <w:vAlign w:val="center"/>
          </w:tcPr>
          <w:p>
            <w:pPr>
              <w:jc w:val="center"/>
              <w:rPr>
                <w:rFonts w:hAnsi="宋体"/>
                <w:b/>
                <w:bCs/>
                <w:sz w:val="21"/>
                <w:szCs w:val="21"/>
                <w:highlight w:val="none"/>
              </w:rPr>
            </w:pPr>
            <w:r>
              <w:rPr>
                <w:rFonts w:hint="eastAsia" w:hAnsi="宋体"/>
                <w:b/>
                <w:bCs/>
                <w:sz w:val="21"/>
                <w:szCs w:val="21"/>
                <w:highlight w:val="none"/>
              </w:rPr>
              <w:t>磋商文件要求</w:t>
            </w:r>
          </w:p>
        </w:tc>
        <w:tc>
          <w:tcPr>
            <w:tcW w:w="1984" w:type="dxa"/>
            <w:vAlign w:val="center"/>
          </w:tcPr>
          <w:p>
            <w:pPr>
              <w:jc w:val="center"/>
              <w:rPr>
                <w:rFonts w:hAnsi="宋体"/>
                <w:b/>
                <w:bCs/>
                <w:sz w:val="21"/>
                <w:szCs w:val="21"/>
                <w:highlight w:val="none"/>
              </w:rPr>
            </w:pPr>
            <w:r>
              <w:rPr>
                <w:rFonts w:hint="eastAsia" w:hAnsi="宋体"/>
                <w:b/>
                <w:bCs/>
                <w:sz w:val="21"/>
                <w:szCs w:val="21"/>
                <w:highlight w:val="none"/>
              </w:rPr>
              <w:t>响应文件</w:t>
            </w:r>
          </w:p>
          <w:p>
            <w:pPr>
              <w:jc w:val="center"/>
              <w:rPr>
                <w:rFonts w:hAnsi="宋体"/>
                <w:b/>
                <w:bCs/>
                <w:sz w:val="21"/>
                <w:szCs w:val="21"/>
                <w:highlight w:val="none"/>
              </w:rPr>
            </w:pPr>
            <w:r>
              <w:rPr>
                <w:rFonts w:hint="eastAsia" w:hAnsi="宋体"/>
                <w:b/>
                <w:bCs/>
                <w:sz w:val="21"/>
                <w:szCs w:val="21"/>
                <w:highlight w:val="none"/>
              </w:rPr>
              <w:t>响应情况</w:t>
            </w:r>
          </w:p>
        </w:tc>
        <w:tc>
          <w:tcPr>
            <w:tcW w:w="1276" w:type="dxa"/>
            <w:vAlign w:val="center"/>
          </w:tcPr>
          <w:p>
            <w:pPr>
              <w:jc w:val="center"/>
              <w:rPr>
                <w:rFonts w:hAnsi="宋体"/>
                <w:b/>
                <w:bCs/>
                <w:sz w:val="21"/>
                <w:szCs w:val="21"/>
                <w:highlight w:val="none"/>
              </w:rPr>
            </w:pPr>
            <w:r>
              <w:rPr>
                <w:rFonts w:hint="eastAsia" w:hAnsi="宋体"/>
                <w:b/>
                <w:bCs/>
                <w:sz w:val="21"/>
                <w:szCs w:val="21"/>
                <w:highlight w:val="none"/>
              </w:rPr>
              <w:t>偏离情况</w:t>
            </w:r>
          </w:p>
        </w:tc>
        <w:tc>
          <w:tcPr>
            <w:tcW w:w="1594" w:type="dxa"/>
            <w:vAlign w:val="center"/>
          </w:tcPr>
          <w:p>
            <w:pPr>
              <w:jc w:val="center"/>
              <w:rPr>
                <w:rFonts w:hAnsi="宋体"/>
                <w:b/>
                <w:bCs/>
                <w:sz w:val="21"/>
                <w:szCs w:val="21"/>
                <w:highlight w:val="none"/>
              </w:rPr>
            </w:pPr>
            <w:r>
              <w:rPr>
                <w:rFonts w:hint="eastAsia" w:hAnsi="宋体"/>
                <w:b/>
                <w:bCs/>
                <w:sz w:val="21"/>
                <w:szCs w:val="21"/>
                <w:highlight w:val="none"/>
              </w:rPr>
              <w:t>偏离情况</w:t>
            </w:r>
          </w:p>
          <w:p>
            <w:pPr>
              <w:jc w:val="center"/>
              <w:rPr>
                <w:rFonts w:hAnsi="宋体"/>
                <w:b/>
                <w:bCs/>
                <w:sz w:val="21"/>
                <w:szCs w:val="21"/>
                <w:highlight w:val="none"/>
              </w:rPr>
            </w:pPr>
            <w:r>
              <w:rPr>
                <w:rFonts w:hint="eastAsia" w:hAnsi="宋体"/>
                <w:b/>
                <w:bCs/>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1</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ind w:left="-446" w:leftChars="-186" w:firstLine="390" w:firstLineChars="186"/>
              <w:jc w:val="center"/>
              <w:rPr>
                <w:rFonts w:hAnsi="宋体"/>
                <w:sz w:val="21"/>
                <w:szCs w:val="21"/>
                <w:highlight w:val="none"/>
              </w:rPr>
            </w:pPr>
          </w:p>
        </w:tc>
        <w:tc>
          <w:tcPr>
            <w:tcW w:w="1594" w:type="dxa"/>
            <w:vAlign w:val="center"/>
          </w:tcPr>
          <w:p>
            <w:pPr>
              <w:ind w:left="-446" w:leftChars="-186" w:firstLine="390" w:firstLineChars="186"/>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2</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3</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jc w:val="center"/>
              <w:rPr>
                <w:rFonts w:hAnsi="宋体"/>
                <w:bCs/>
                <w:sz w:val="21"/>
                <w:szCs w:val="21"/>
                <w:highlight w:val="none"/>
              </w:rPr>
            </w:pPr>
            <w:r>
              <w:rPr>
                <w:rFonts w:hint="eastAsia" w:hAnsi="宋体"/>
                <w:bCs/>
                <w:sz w:val="21"/>
                <w:szCs w:val="21"/>
                <w:highlight w:val="none"/>
              </w:rPr>
              <w:t>其他</w:t>
            </w: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w:t>
      </w:r>
      <w:r>
        <w:rPr>
          <w:rFonts w:hint="eastAsia" w:hAnsi="宋体"/>
          <w:bCs/>
          <w:sz w:val="21"/>
          <w:szCs w:val="21"/>
          <w:highlight w:val="none"/>
        </w:rPr>
        <w:t>偏离情况</w:t>
      </w:r>
      <w:r>
        <w:rPr>
          <w:rFonts w:hint="eastAsia" w:hAnsi="宋体"/>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 xml:space="preserve">日期：年月日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5"/>
        <w:numPr>
          <w:ilvl w:val="0"/>
          <w:numId w:val="18"/>
        </w:numPr>
        <w:jc w:val="center"/>
        <w:rPr>
          <w:rFonts w:ascii="Calibri" w:hAnsi="Times New Roman"/>
          <w:sz w:val="28"/>
          <w:szCs w:val="28"/>
          <w:highlight w:val="none"/>
        </w:rPr>
      </w:pPr>
      <w:bookmarkStart w:id="205" w:name="_Toc8299"/>
      <w:bookmarkStart w:id="206" w:name="_Toc31965"/>
      <w:bookmarkStart w:id="207" w:name="_Toc7897895"/>
      <w:r>
        <w:rPr>
          <w:rFonts w:hint="eastAsia" w:ascii="Calibri"/>
          <w:sz w:val="28"/>
          <w:szCs w:val="28"/>
          <w:highlight w:val="none"/>
        </w:rPr>
        <w:t>磋商</w:t>
      </w:r>
      <w:r>
        <w:rPr>
          <w:rFonts w:hint="eastAsia" w:ascii="Calibri" w:hAnsi="Times New Roman"/>
          <w:sz w:val="28"/>
          <w:szCs w:val="28"/>
          <w:highlight w:val="none"/>
        </w:rPr>
        <w:t>文件“★”号条款响应表</w:t>
      </w:r>
      <w:bookmarkEnd w:id="205"/>
    </w:p>
    <w:p>
      <w:pPr>
        <w:rPr>
          <w:rFonts w:hAnsi="宋体"/>
          <w:b/>
          <w:bCs/>
          <w:highlight w:val="none"/>
        </w:rPr>
      </w:pPr>
    </w:p>
    <w:p>
      <w:pPr>
        <w:rPr>
          <w:rFonts w:hAnsi="宋体"/>
          <w:b/>
          <w:bCs/>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sz w:val="21"/>
                <w:szCs w:val="21"/>
                <w:highlight w:val="none"/>
              </w:rPr>
            </w:pPr>
            <w:r>
              <w:rPr>
                <w:rFonts w:hint="eastAsia" w:hAnsi="宋体"/>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sz w:val="21"/>
                <w:szCs w:val="21"/>
                <w:highlight w:val="none"/>
              </w:rPr>
            </w:pPr>
            <w:r>
              <w:rPr>
                <w:rFonts w:hint="eastAsia" w:hAnsi="宋体"/>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sz w:val="21"/>
                <w:szCs w:val="21"/>
                <w:highlight w:val="none"/>
              </w:rPr>
            </w:pPr>
          </w:p>
        </w:tc>
        <w:tc>
          <w:tcPr>
            <w:tcW w:w="1266"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条款号</w:t>
            </w:r>
          </w:p>
        </w:tc>
        <w:tc>
          <w:tcPr>
            <w:tcW w:w="3371"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简要内容</w:t>
            </w:r>
          </w:p>
        </w:tc>
        <w:tc>
          <w:tcPr>
            <w:tcW w:w="2113"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偏离情况</w:t>
            </w:r>
          </w:p>
        </w:tc>
        <w:tc>
          <w:tcPr>
            <w:tcW w:w="2079"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1</w:t>
            </w:r>
          </w:p>
        </w:tc>
        <w:tc>
          <w:tcPr>
            <w:tcW w:w="1266" w:type="dxa"/>
            <w:vAlign w:val="center"/>
          </w:tcPr>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2</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3</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bl>
    <w:p>
      <w:pPr>
        <w:autoSpaceDE/>
        <w:autoSpaceDN/>
        <w:adjustRightInd/>
        <w:spacing w:line="360" w:lineRule="auto"/>
        <w:ind w:left="559" w:leftChars="115" w:hanging="283" w:hangingChars="135"/>
        <w:jc w:val="both"/>
        <w:rPr>
          <w:rFonts w:hAnsi="宋体"/>
          <w:i/>
          <w:iCs/>
          <w:sz w:val="21"/>
          <w:szCs w:val="21"/>
          <w:highlight w:val="none"/>
        </w:rPr>
      </w:pPr>
      <w:r>
        <w:rPr>
          <w:rFonts w:hint="eastAsia" w:hAnsi="宋体"/>
          <w:kern w:val="2"/>
          <w:sz w:val="21"/>
          <w:szCs w:val="21"/>
          <w:highlight w:val="none"/>
        </w:rPr>
        <w:t>注：1</w:t>
      </w:r>
      <w:r>
        <w:rPr>
          <w:rFonts w:hint="eastAsia" w:hAnsi="宋体"/>
          <w:b/>
          <w:kern w:val="2"/>
          <w:sz w:val="21"/>
          <w:szCs w:val="21"/>
          <w:highlight w:val="none"/>
        </w:rPr>
        <w:t>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rPr>
          <w:rFonts w:hAnsi="宋体"/>
          <w:sz w:val="22"/>
          <w:szCs w:val="22"/>
          <w:highlight w:val="none"/>
        </w:rPr>
      </w:pPr>
      <w:r>
        <w:rPr>
          <w:rFonts w:hint="eastAsia" w:hAnsi="宋体"/>
          <w:sz w:val="21"/>
          <w:szCs w:val="21"/>
          <w:highlight w:val="none"/>
        </w:rPr>
        <w:t>日期：年月日</w:t>
      </w:r>
    </w:p>
    <w:p>
      <w:pPr>
        <w:pStyle w:val="14"/>
        <w:ind w:firstLine="400"/>
        <w:rPr>
          <w:highlight w:val="none"/>
        </w:rPr>
      </w:pPr>
    </w:p>
    <w:p>
      <w:pPr>
        <w:rPr>
          <w:sz w:val="28"/>
          <w:szCs w:val="28"/>
          <w:highlight w:val="none"/>
        </w:rPr>
      </w:pPr>
      <w:bookmarkStart w:id="208" w:name="_Toc12735"/>
      <w:r>
        <w:rPr>
          <w:rFonts w:hint="eastAsia"/>
          <w:bCs/>
          <w:sz w:val="28"/>
          <w:szCs w:val="28"/>
          <w:highlight w:val="none"/>
        </w:rPr>
        <w:br w:type="page"/>
      </w:r>
    </w:p>
    <w:p>
      <w:pPr>
        <w:pStyle w:val="5"/>
        <w:numPr>
          <w:ilvl w:val="0"/>
          <w:numId w:val="18"/>
        </w:numPr>
        <w:jc w:val="center"/>
        <w:rPr>
          <w:sz w:val="28"/>
          <w:szCs w:val="28"/>
          <w:highlight w:val="none"/>
        </w:rPr>
      </w:pPr>
      <w:r>
        <w:rPr>
          <w:rFonts w:hint="eastAsia"/>
          <w:bCs/>
          <w:sz w:val="28"/>
          <w:szCs w:val="28"/>
          <w:highlight w:val="none"/>
        </w:rPr>
        <w:t>供应商所获资质或奖项证书一览表</w:t>
      </w:r>
      <w:bookmarkEnd w:id="206"/>
      <w:bookmarkEnd w:id="207"/>
      <w:bookmarkEnd w:id="208"/>
    </w:p>
    <w:p>
      <w:pPr>
        <w:pStyle w:val="14"/>
        <w:tabs>
          <w:tab w:val="left" w:pos="8280"/>
        </w:tabs>
        <w:spacing w:line="480" w:lineRule="exact"/>
        <w:ind w:firstLine="482"/>
        <w:rPr>
          <w:rFonts w:hAnsi="宋体"/>
          <w:b/>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0" w:firstLineChars="0"/>
              <w:jc w:val="both"/>
              <w:rPr>
                <w:rFonts w:ascii="Times New Roman" w:hAnsi="宋体"/>
                <w:b/>
                <w:bCs/>
                <w:sz w:val="21"/>
                <w:szCs w:val="21"/>
                <w:highlight w:val="none"/>
              </w:rPr>
            </w:pPr>
            <w:r>
              <w:rPr>
                <w:rFonts w:hint="eastAsia" w:ascii="Times New Roman" w:hAnsi="宋体"/>
                <w:b/>
                <w:bCs/>
                <w:sz w:val="21"/>
                <w:szCs w:val="21"/>
                <w:highlight w:val="none"/>
              </w:rPr>
              <w:t>序号</w:t>
            </w:r>
          </w:p>
        </w:tc>
        <w:tc>
          <w:tcPr>
            <w:tcW w:w="2218"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证书名称及等级</w:t>
            </w:r>
          </w:p>
        </w:tc>
        <w:tc>
          <w:tcPr>
            <w:tcW w:w="2218"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证书编号</w:t>
            </w:r>
          </w:p>
        </w:tc>
        <w:tc>
          <w:tcPr>
            <w:tcW w:w="1862"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发证单位</w:t>
            </w:r>
          </w:p>
        </w:tc>
        <w:tc>
          <w:tcPr>
            <w:tcW w:w="1529"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bl>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spacing w:line="480" w:lineRule="exact"/>
        <w:rPr>
          <w:rFonts w:hAnsi="宋体"/>
          <w:b/>
          <w:szCs w:val="21"/>
          <w:highlight w:val="none"/>
          <w:u w:val="single"/>
        </w:rPr>
      </w:pPr>
    </w:p>
    <w:p>
      <w:pPr>
        <w:spacing w:line="480" w:lineRule="exact"/>
        <w:rPr>
          <w:rFonts w:hAnsi="宋体"/>
          <w:b/>
          <w:bCs/>
          <w:szCs w:val="21"/>
          <w:highlight w:val="none"/>
        </w:rPr>
      </w:pPr>
    </w:p>
    <w:p>
      <w:pPr>
        <w:spacing w:line="480" w:lineRule="exact"/>
        <w:rPr>
          <w:rFonts w:hAnsi="宋体"/>
          <w:b/>
          <w:bCs/>
          <w:szCs w:val="21"/>
          <w:highlight w:val="none"/>
        </w:rPr>
      </w:pPr>
    </w:p>
    <w:p>
      <w:pPr>
        <w:rPr>
          <w:highlight w:val="none"/>
        </w:rPr>
      </w:pPr>
    </w:p>
    <w:p>
      <w:pPr>
        <w:pStyle w:val="5"/>
        <w:numPr>
          <w:ilvl w:val="0"/>
          <w:numId w:val="18"/>
        </w:numPr>
        <w:jc w:val="center"/>
        <w:rPr>
          <w:sz w:val="28"/>
          <w:szCs w:val="28"/>
          <w:highlight w:val="none"/>
        </w:rPr>
      </w:pPr>
      <w:r>
        <w:rPr>
          <w:highlight w:val="none"/>
        </w:rPr>
        <w:br w:type="page"/>
      </w:r>
      <w:bookmarkStart w:id="209" w:name="_Toc4539"/>
      <w:bookmarkStart w:id="210" w:name="_Toc4884"/>
      <w:bookmarkStart w:id="211" w:name="_Toc7897896"/>
      <w:r>
        <w:rPr>
          <w:rFonts w:hint="eastAsia"/>
          <w:bCs/>
          <w:sz w:val="28"/>
          <w:szCs w:val="28"/>
          <w:highlight w:val="none"/>
        </w:rPr>
        <w:t>项目业绩一览表</w:t>
      </w:r>
      <w:bookmarkEnd w:id="209"/>
      <w:bookmarkEnd w:id="210"/>
      <w:bookmarkEnd w:id="211"/>
    </w:p>
    <w:p>
      <w:pPr>
        <w:pStyle w:val="28"/>
        <w:spacing w:line="480" w:lineRule="exact"/>
        <w:jc w:val="center"/>
        <w:rPr>
          <w:rFonts w:hAnsi="宋体"/>
          <w:b/>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bl>
    <w:p>
      <w:pPr>
        <w:pStyle w:val="28"/>
        <w:spacing w:line="480" w:lineRule="exact"/>
        <w:rPr>
          <w:rFonts w:hAnsi="宋体"/>
          <w:sz w:val="22"/>
          <w:szCs w:val="22"/>
          <w:highlight w:val="none"/>
        </w:rPr>
      </w:pPr>
    </w:p>
    <w:p>
      <w:pPr>
        <w:pStyle w:val="28"/>
        <w:spacing w:line="480" w:lineRule="exact"/>
        <w:rPr>
          <w:rFonts w:hAnsi="宋体"/>
          <w:sz w:val="22"/>
          <w:szCs w:val="22"/>
          <w:highlight w:val="none"/>
        </w:rPr>
      </w:pPr>
      <w:r>
        <w:rPr>
          <w:rFonts w:hint="eastAsia" w:hAnsi="宋体"/>
          <w:sz w:val="22"/>
          <w:szCs w:val="22"/>
          <w:highlight w:val="none"/>
        </w:rPr>
        <w:t>要求：</w:t>
      </w:r>
    </w:p>
    <w:p>
      <w:pPr>
        <w:pStyle w:val="28"/>
        <w:spacing w:line="480" w:lineRule="exact"/>
        <w:ind w:firstLine="440" w:firstLineChars="200"/>
        <w:rPr>
          <w:rFonts w:hAnsi="宋体"/>
          <w:sz w:val="22"/>
          <w:szCs w:val="22"/>
          <w:highlight w:val="none"/>
        </w:rPr>
      </w:pPr>
      <w:r>
        <w:rPr>
          <w:rFonts w:hint="eastAsia" w:hAnsi="宋体"/>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sz w:val="22"/>
          <w:szCs w:val="22"/>
          <w:highlight w:val="none"/>
        </w:rPr>
      </w:pPr>
    </w:p>
    <w:p>
      <w:pPr>
        <w:overflowPunct w:val="0"/>
        <w:spacing w:line="460" w:lineRule="exact"/>
        <w:rPr>
          <w:rFonts w:hAnsi="宋体"/>
          <w:sz w:val="22"/>
          <w:szCs w:val="22"/>
          <w:highlight w:val="none"/>
        </w:rPr>
      </w:pPr>
      <w:r>
        <w:rPr>
          <w:rFonts w:hint="eastAsia" w:hAnsi="宋体"/>
          <w:sz w:val="22"/>
          <w:szCs w:val="22"/>
          <w:highlight w:val="none"/>
        </w:rPr>
        <w:t>供应商名称（加盖公章）：</w:t>
      </w:r>
    </w:p>
    <w:p>
      <w:pPr>
        <w:overflowPunct w:val="0"/>
        <w:spacing w:line="460" w:lineRule="exact"/>
        <w:rPr>
          <w:rFonts w:hAnsi="宋体"/>
          <w:sz w:val="22"/>
          <w:szCs w:val="22"/>
          <w:highlight w:val="none"/>
        </w:rPr>
      </w:pPr>
      <w:r>
        <w:rPr>
          <w:rFonts w:hint="eastAsia" w:hAnsi="宋体"/>
          <w:sz w:val="22"/>
          <w:szCs w:val="22"/>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2"/>
          <w:szCs w:val="22"/>
          <w:highlight w:val="none"/>
        </w:rPr>
        <w:t xml:space="preserve">日期：年月日 </w:t>
      </w:r>
    </w:p>
    <w:p>
      <w:pPr>
        <w:pStyle w:val="5"/>
        <w:numPr>
          <w:ilvl w:val="0"/>
          <w:numId w:val="18"/>
        </w:numPr>
        <w:jc w:val="center"/>
        <w:rPr>
          <w:b w:val="0"/>
          <w:bCs/>
          <w:sz w:val="28"/>
          <w:highlight w:val="none"/>
        </w:rPr>
      </w:pPr>
      <w:r>
        <w:rPr>
          <w:sz w:val="22"/>
          <w:szCs w:val="22"/>
          <w:highlight w:val="none"/>
        </w:rPr>
        <w:br w:type="page"/>
      </w:r>
      <w:bookmarkStart w:id="212" w:name="_Toc7897897"/>
      <w:bookmarkStart w:id="213" w:name="_Toc17432"/>
      <w:bookmarkStart w:id="214" w:name="_Toc23633"/>
      <w:r>
        <w:rPr>
          <w:rFonts w:hint="eastAsia"/>
          <w:bCs/>
          <w:sz w:val="28"/>
          <w:highlight w:val="none"/>
        </w:rPr>
        <w:t>在经营活动中没有重大违法记录的书面声明</w:t>
      </w:r>
      <w:bookmarkEnd w:id="212"/>
      <w:bookmarkEnd w:id="213"/>
      <w:bookmarkEnd w:id="214"/>
    </w:p>
    <w:p>
      <w:pPr>
        <w:pStyle w:val="75"/>
        <w:ind w:firstLine="0" w:firstLineChars="0"/>
        <w:jc w:val="center"/>
        <w:rPr>
          <w:rFonts w:ascii="宋体" w:eastAsia="宋体"/>
          <w:b/>
          <w:sz w:val="28"/>
          <w:highlight w:val="none"/>
        </w:rPr>
      </w:pPr>
    </w:p>
    <w:p>
      <w:pPr>
        <w:spacing w:line="360" w:lineRule="auto"/>
        <w:rPr>
          <w:rFonts w:hAnsi="宋体"/>
          <w:sz w:val="21"/>
          <w:szCs w:val="21"/>
          <w:highlight w:val="none"/>
          <w:u w:val="single"/>
        </w:rPr>
      </w:pPr>
      <w:r>
        <w:rPr>
          <w:rFonts w:hint="eastAsia" w:hAnsi="宋体"/>
          <w:sz w:val="21"/>
          <w:szCs w:val="21"/>
          <w:highlight w:val="none"/>
        </w:rPr>
        <w:t>致：</w:t>
      </w:r>
    </w:p>
    <w:p>
      <w:pPr>
        <w:spacing w:line="360" w:lineRule="auto"/>
        <w:rPr>
          <w:rFonts w:hAnsi="宋体"/>
          <w:sz w:val="21"/>
          <w:szCs w:val="21"/>
          <w:highlight w:val="none"/>
        </w:rPr>
      </w:pPr>
      <w:r>
        <w:rPr>
          <w:rFonts w:hint="eastAsia" w:hAnsi="宋体"/>
          <w:sz w:val="21"/>
          <w:szCs w:val="21"/>
          <w:highlight w:val="none"/>
        </w:rPr>
        <w:t xml:space="preserve">        本公司参加采购项目（采购编号）的采购活动，并声明：</w:t>
      </w:r>
    </w:p>
    <w:p>
      <w:pPr>
        <w:spacing w:line="360" w:lineRule="auto"/>
        <w:rPr>
          <w:rFonts w:hAnsi="宋体"/>
          <w:sz w:val="21"/>
          <w:szCs w:val="21"/>
          <w:highlight w:val="none"/>
        </w:rPr>
      </w:pPr>
      <w:r>
        <w:rPr>
          <w:rFonts w:hint="eastAsia" w:hAnsi="宋体"/>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sz w:val="21"/>
          <w:szCs w:val="21"/>
          <w:highlight w:val="none"/>
        </w:rPr>
      </w:pPr>
      <w:r>
        <w:rPr>
          <w:rFonts w:hint="eastAsia" w:hAnsi="宋体"/>
          <w:sz w:val="21"/>
          <w:szCs w:val="21"/>
          <w:highlight w:val="none"/>
        </w:rPr>
        <w:t xml:space="preserve">    特此声明！</w:t>
      </w:r>
    </w:p>
    <w:p>
      <w:pPr>
        <w:rPr>
          <w:rFonts w:hAnsi="宋体"/>
          <w:sz w:val="21"/>
          <w:szCs w:val="21"/>
          <w:highlight w:val="none"/>
        </w:rPr>
      </w:pPr>
    </w:p>
    <w:p>
      <w:pPr>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bookmarkEnd w:id="183"/>
    <w:bookmarkEnd w:id="184"/>
    <w:bookmarkEnd w:id="185"/>
    <w:bookmarkEnd w:id="186"/>
    <w:bookmarkEnd w:id="187"/>
    <w:bookmarkEnd w:id="188"/>
    <w:bookmarkEnd w:id="189"/>
    <w:p>
      <w:pPr>
        <w:pStyle w:val="5"/>
        <w:numPr>
          <w:ilvl w:val="0"/>
          <w:numId w:val="18"/>
        </w:numPr>
        <w:jc w:val="center"/>
        <w:rPr>
          <w:b w:val="0"/>
          <w:sz w:val="28"/>
          <w:szCs w:val="28"/>
          <w:highlight w:val="none"/>
        </w:rPr>
      </w:pPr>
      <w:bookmarkStart w:id="215" w:name="_Toc110953865"/>
      <w:bookmarkStart w:id="216" w:name="_Toc467236774"/>
      <w:bookmarkStart w:id="217" w:name="_Toc454701411"/>
      <w:bookmarkStart w:id="218" w:name="_Toc480010743"/>
      <w:bookmarkStart w:id="219" w:name="_Toc35233726"/>
      <w:bookmarkStart w:id="220" w:name="_Toc468606065"/>
      <w:bookmarkStart w:id="221" w:name="_Toc458262644"/>
      <w:bookmarkStart w:id="222" w:name="_Toc479991617"/>
      <w:bookmarkStart w:id="223" w:name="_Toc480021086"/>
      <w:bookmarkStart w:id="224" w:name="_Toc480020290"/>
      <w:bookmarkStart w:id="225" w:name="_Toc480171915"/>
      <w:bookmarkStart w:id="226" w:name="_Toc467987857"/>
      <w:bookmarkStart w:id="227" w:name="_Toc468157570"/>
      <w:r>
        <w:rPr>
          <w:sz w:val="22"/>
          <w:szCs w:val="22"/>
          <w:highlight w:val="none"/>
        </w:rPr>
        <w:br w:type="page"/>
      </w:r>
      <w:bookmarkEnd w:id="215"/>
      <w:bookmarkStart w:id="228" w:name="_Toc8181"/>
      <w:bookmarkStart w:id="229" w:name="_Toc7897900"/>
      <w:bookmarkStart w:id="230" w:name="_Toc2461"/>
      <w:r>
        <w:rPr>
          <w:rFonts w:hint="eastAsia"/>
          <w:sz w:val="28"/>
          <w:szCs w:val="28"/>
          <w:highlight w:val="none"/>
        </w:rPr>
        <w:t>针对本项目拟派人员及其技术资格一览表</w:t>
      </w:r>
      <w:bookmarkEnd w:id="228"/>
      <w:bookmarkEnd w:id="229"/>
      <w:bookmarkEnd w:id="230"/>
    </w:p>
    <w:p>
      <w:pPr>
        <w:pStyle w:val="28"/>
        <w:spacing w:line="480" w:lineRule="exact"/>
        <w:ind w:left="-202" w:leftChars="-84" w:firstLine="241" w:firstLineChars="100"/>
        <w:rPr>
          <w:rFonts w:hAnsi="宋体"/>
          <w:b/>
          <w:sz w:val="24"/>
          <w:szCs w:val="21"/>
          <w:highlight w:val="none"/>
        </w:rPr>
      </w:pPr>
    </w:p>
    <w:p>
      <w:pPr>
        <w:pStyle w:val="28"/>
        <w:spacing w:line="480" w:lineRule="exact"/>
        <w:ind w:left="-202" w:leftChars="-84" w:firstLine="221" w:firstLineChars="100"/>
        <w:rPr>
          <w:rFonts w:hAnsi="宋体"/>
          <w:b/>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szCs w:val="21"/>
                <w:highlight w:val="none"/>
              </w:rPr>
            </w:pPr>
            <w:r>
              <w:rPr>
                <w:rFonts w:hint="eastAsia" w:hAnsi="宋体"/>
                <w:b/>
                <w:szCs w:val="21"/>
                <w:highlight w:val="none"/>
              </w:rPr>
              <w:t>序号</w:t>
            </w:r>
          </w:p>
        </w:tc>
        <w:tc>
          <w:tcPr>
            <w:tcW w:w="1026" w:type="dxa"/>
            <w:vAlign w:val="center"/>
          </w:tcPr>
          <w:p>
            <w:pPr>
              <w:pStyle w:val="28"/>
              <w:spacing w:line="480" w:lineRule="exact"/>
              <w:jc w:val="center"/>
              <w:rPr>
                <w:rFonts w:hAnsi="宋体"/>
                <w:b/>
                <w:szCs w:val="21"/>
                <w:highlight w:val="none"/>
              </w:rPr>
            </w:pPr>
            <w:r>
              <w:rPr>
                <w:rFonts w:hint="eastAsia" w:hAnsi="宋体"/>
                <w:b/>
                <w:szCs w:val="21"/>
                <w:highlight w:val="none"/>
              </w:rPr>
              <w:t>姓名</w:t>
            </w:r>
          </w:p>
        </w:tc>
        <w:tc>
          <w:tcPr>
            <w:tcW w:w="877" w:type="dxa"/>
            <w:vAlign w:val="center"/>
          </w:tcPr>
          <w:p>
            <w:pPr>
              <w:pStyle w:val="28"/>
              <w:spacing w:line="480" w:lineRule="exact"/>
              <w:jc w:val="center"/>
              <w:rPr>
                <w:rFonts w:hAnsi="宋体"/>
                <w:b/>
                <w:szCs w:val="21"/>
                <w:highlight w:val="none"/>
              </w:rPr>
            </w:pPr>
            <w:r>
              <w:rPr>
                <w:rFonts w:hint="eastAsia" w:hAnsi="宋体"/>
                <w:b/>
                <w:szCs w:val="21"/>
                <w:highlight w:val="none"/>
              </w:rPr>
              <w:t>职位</w:t>
            </w:r>
          </w:p>
        </w:tc>
        <w:tc>
          <w:tcPr>
            <w:tcW w:w="1533" w:type="dxa"/>
          </w:tcPr>
          <w:p>
            <w:pPr>
              <w:pStyle w:val="28"/>
              <w:spacing w:line="480" w:lineRule="exact"/>
              <w:jc w:val="center"/>
              <w:rPr>
                <w:rFonts w:hAnsi="宋体"/>
                <w:b/>
                <w:szCs w:val="21"/>
                <w:highlight w:val="none"/>
              </w:rPr>
            </w:pPr>
            <w:r>
              <w:rPr>
                <w:rFonts w:hint="eastAsia" w:hAnsi="宋体"/>
                <w:b/>
                <w:szCs w:val="21"/>
                <w:highlight w:val="none"/>
              </w:rPr>
              <w:t>拟在本项目担任职务</w:t>
            </w:r>
          </w:p>
        </w:tc>
        <w:tc>
          <w:tcPr>
            <w:tcW w:w="1357" w:type="dxa"/>
            <w:vAlign w:val="center"/>
          </w:tcPr>
          <w:p>
            <w:pPr>
              <w:pStyle w:val="28"/>
              <w:spacing w:line="480" w:lineRule="exact"/>
              <w:jc w:val="center"/>
              <w:rPr>
                <w:rFonts w:hAnsi="宋体"/>
                <w:b/>
                <w:szCs w:val="21"/>
                <w:highlight w:val="none"/>
              </w:rPr>
            </w:pPr>
            <w:r>
              <w:rPr>
                <w:rFonts w:hint="eastAsia" w:hAnsi="宋体"/>
                <w:b/>
                <w:szCs w:val="21"/>
                <w:highlight w:val="none"/>
              </w:rPr>
              <w:t>专业、资格证件</w:t>
            </w:r>
          </w:p>
        </w:tc>
        <w:tc>
          <w:tcPr>
            <w:tcW w:w="1200" w:type="dxa"/>
            <w:vAlign w:val="center"/>
          </w:tcPr>
          <w:p>
            <w:pPr>
              <w:pStyle w:val="28"/>
              <w:spacing w:line="480" w:lineRule="exact"/>
              <w:jc w:val="center"/>
              <w:rPr>
                <w:rFonts w:hAnsi="宋体"/>
                <w:b/>
                <w:szCs w:val="21"/>
                <w:highlight w:val="none"/>
              </w:rPr>
            </w:pPr>
            <w:r>
              <w:rPr>
                <w:rFonts w:hint="eastAsia" w:hAnsi="宋体"/>
                <w:b/>
                <w:szCs w:val="21"/>
                <w:highlight w:val="none"/>
              </w:rPr>
              <w:t>发证时间</w:t>
            </w:r>
          </w:p>
        </w:tc>
        <w:tc>
          <w:tcPr>
            <w:tcW w:w="1403" w:type="dxa"/>
            <w:vAlign w:val="center"/>
          </w:tcPr>
          <w:p>
            <w:pPr>
              <w:pStyle w:val="28"/>
              <w:spacing w:line="480" w:lineRule="exact"/>
              <w:jc w:val="center"/>
              <w:rPr>
                <w:rFonts w:hAnsi="宋体"/>
                <w:b/>
                <w:szCs w:val="21"/>
                <w:highlight w:val="none"/>
              </w:rPr>
            </w:pPr>
            <w:r>
              <w:rPr>
                <w:rFonts w:hint="eastAsia" w:hAnsi="宋体"/>
                <w:b/>
                <w:szCs w:val="21"/>
                <w:highlight w:val="none"/>
              </w:rPr>
              <w:t>经验年限</w:t>
            </w:r>
          </w:p>
        </w:tc>
        <w:tc>
          <w:tcPr>
            <w:tcW w:w="1403" w:type="dxa"/>
          </w:tcPr>
          <w:p>
            <w:pPr>
              <w:pStyle w:val="28"/>
              <w:spacing w:line="480" w:lineRule="exact"/>
              <w:jc w:val="center"/>
              <w:rPr>
                <w:rFonts w:hAnsi="宋体"/>
                <w:b/>
                <w:szCs w:val="21"/>
                <w:highlight w:val="none"/>
              </w:rPr>
            </w:pPr>
            <w:r>
              <w:rPr>
                <w:rFonts w:hint="eastAsia" w:hAnsi="宋体"/>
                <w:b/>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r>
              <w:rPr>
                <w:rFonts w:hint="eastAsia" w:hAnsi="宋体"/>
                <w:szCs w:val="21"/>
                <w:highlight w:val="none"/>
              </w:rPr>
              <w:t>项目负责人</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vAlign w:val="center"/>
          </w:tcPr>
          <w:p>
            <w:pPr>
              <w:jc w:val="center"/>
              <w:rPr>
                <w:rFonts w:hAnsi="宋体"/>
                <w:sz w:val="21"/>
                <w:szCs w:val="21"/>
                <w:highlight w:val="none"/>
              </w:rPr>
            </w:pPr>
            <w:r>
              <w:rPr>
                <w:rFonts w:hint="eastAsia" w:hAnsi="宋体"/>
                <w:sz w:val="21"/>
                <w:szCs w:val="21"/>
                <w:highlight w:val="none"/>
              </w:rPr>
              <w:t>项目人员</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r>
              <w:rPr>
                <w:rFonts w:hint="eastAsia" w:hAnsi="宋体"/>
                <w:szCs w:val="21"/>
                <w:highlight w:val="none"/>
              </w:rPr>
              <w:t>…</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2.供应商应当在响应文件中提供评分标准中要求提供的资料。（上述文件均加盖供应商公章）</w:t>
      </w:r>
    </w:p>
    <w:p>
      <w:pPr>
        <w:pStyle w:val="2"/>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日期：年月日</w:t>
      </w:r>
    </w:p>
    <w:p>
      <w:pPr>
        <w:spacing w:line="480" w:lineRule="exact"/>
        <w:rPr>
          <w:rFonts w:hAnsi="宋体"/>
          <w:b/>
          <w:bCs/>
          <w:szCs w:val="21"/>
          <w:highlight w:val="none"/>
          <w:u w:val="single"/>
        </w:rPr>
      </w:pPr>
    </w:p>
    <w:p>
      <w:pPr>
        <w:pStyle w:val="5"/>
        <w:numPr>
          <w:ilvl w:val="0"/>
          <w:numId w:val="18"/>
        </w:numPr>
        <w:jc w:val="center"/>
        <w:rPr>
          <w:bCs/>
          <w:sz w:val="28"/>
          <w:szCs w:val="28"/>
          <w:highlight w:val="none"/>
        </w:rPr>
      </w:pPr>
      <w:r>
        <w:rPr>
          <w:bCs/>
          <w:szCs w:val="21"/>
          <w:highlight w:val="none"/>
        </w:rPr>
        <w:br w:type="page"/>
      </w:r>
      <w:bookmarkEnd w:id="216"/>
      <w:bookmarkEnd w:id="217"/>
      <w:bookmarkEnd w:id="218"/>
      <w:bookmarkEnd w:id="219"/>
      <w:bookmarkEnd w:id="220"/>
      <w:bookmarkEnd w:id="221"/>
      <w:bookmarkEnd w:id="222"/>
      <w:bookmarkEnd w:id="223"/>
      <w:bookmarkEnd w:id="224"/>
      <w:bookmarkEnd w:id="225"/>
      <w:bookmarkEnd w:id="226"/>
      <w:bookmarkEnd w:id="227"/>
      <w:bookmarkStart w:id="231" w:name="_Toc13441"/>
      <w:r>
        <w:rPr>
          <w:rFonts w:hint="eastAsia"/>
          <w:bCs/>
          <w:sz w:val="28"/>
          <w:szCs w:val="28"/>
          <w:highlight w:val="none"/>
        </w:rPr>
        <w:t>磋商保证金汇入情况说明（适用于转账、电汇方式）</w:t>
      </w:r>
      <w:bookmarkEnd w:id="231"/>
    </w:p>
    <w:p>
      <w:pPr>
        <w:spacing w:line="460" w:lineRule="exact"/>
        <w:rPr>
          <w:rFonts w:hAnsi="宋体"/>
          <w:b/>
          <w:bCs/>
          <w:sz w:val="22"/>
          <w:szCs w:val="22"/>
          <w:highlight w:val="none"/>
        </w:rPr>
      </w:pPr>
    </w:p>
    <w:p>
      <w:pPr>
        <w:spacing w:line="460" w:lineRule="exact"/>
        <w:rPr>
          <w:rFonts w:hAnsi="宋体"/>
          <w:sz w:val="21"/>
          <w:szCs w:val="21"/>
          <w:highlight w:val="none"/>
        </w:rPr>
      </w:pPr>
      <w:r>
        <w:rPr>
          <w:rFonts w:hint="eastAsia" w:hAnsi="宋体"/>
          <w:sz w:val="21"/>
          <w:szCs w:val="21"/>
          <w:highlight w:val="none"/>
        </w:rPr>
        <w:t xml:space="preserve">广东泰通伟业工程咨询有限公司： </w:t>
      </w:r>
    </w:p>
    <w:p>
      <w:pPr>
        <w:spacing w:line="460" w:lineRule="exact"/>
        <w:ind w:firstLine="420" w:firstLineChars="200"/>
        <w:rPr>
          <w:rFonts w:hAnsi="宋体"/>
          <w:sz w:val="21"/>
          <w:szCs w:val="21"/>
          <w:highlight w:val="none"/>
        </w:rPr>
      </w:pPr>
      <w:r>
        <w:rPr>
          <w:rFonts w:hint="eastAsia" w:hAnsi="宋体"/>
          <w:sz w:val="21"/>
          <w:szCs w:val="21"/>
          <w:highlight w:val="none"/>
        </w:rPr>
        <w:t>本单位已按</w:t>
      </w:r>
      <w:r>
        <w:rPr>
          <w:rFonts w:hint="eastAsia" w:hAnsi="宋体"/>
          <w:sz w:val="21"/>
          <w:szCs w:val="21"/>
          <w:highlight w:val="none"/>
          <w:u w:val="single"/>
        </w:rPr>
        <w:t xml:space="preserve">  （项目名称）   （</w:t>
      </w:r>
      <w:r>
        <w:rPr>
          <w:rFonts w:hint="eastAsia" w:hAnsi="宋体"/>
          <w:sz w:val="21"/>
          <w:szCs w:val="21"/>
          <w:highlight w:val="none"/>
        </w:rPr>
        <w:t>采购编号：</w:t>
      </w:r>
      <w:r>
        <w:rPr>
          <w:rFonts w:hint="eastAsia" w:hAnsi="宋体"/>
          <w:sz w:val="21"/>
          <w:szCs w:val="21"/>
          <w:highlight w:val="none"/>
          <w:u w:val="single"/>
        </w:rPr>
        <w:t xml:space="preserve">     ）</w:t>
      </w:r>
      <w:r>
        <w:rPr>
          <w:rFonts w:hint="eastAsia" w:hAnsi="宋体"/>
          <w:sz w:val="21"/>
          <w:szCs w:val="21"/>
          <w:highlight w:val="none"/>
        </w:rPr>
        <w:t>的磋商文件要求，于年月日前以（付款形式）方式汇入指定帐户（帐户名称：，帐号：,开户银行：）。</w:t>
      </w:r>
    </w:p>
    <w:p>
      <w:pPr>
        <w:spacing w:line="460" w:lineRule="exact"/>
        <w:ind w:firstLine="420" w:firstLineChars="200"/>
        <w:rPr>
          <w:rFonts w:hAnsi="宋体"/>
          <w:sz w:val="21"/>
          <w:szCs w:val="21"/>
          <w:highlight w:val="none"/>
        </w:rPr>
      </w:pPr>
      <w:r>
        <w:rPr>
          <w:rFonts w:hint="eastAsia" w:hAnsi="宋体"/>
          <w:sz w:val="21"/>
          <w:szCs w:val="21"/>
          <w:highlight w:val="none"/>
        </w:rPr>
        <w:t>供应商磋商保证金的汇款情况：（详见附件－磋商保证金进帐单）汇出时间：年月日；</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汇款金额：（大写）人民币</w:t>
      </w:r>
      <w:r>
        <w:rPr>
          <w:rFonts w:hint="eastAsia" w:hAnsi="宋体"/>
          <w:sz w:val="21"/>
          <w:szCs w:val="21"/>
          <w:highlight w:val="none"/>
          <w:u w:val="single"/>
        </w:rPr>
        <w:t xml:space="preserve">               元整</w:t>
      </w:r>
    </w:p>
    <w:p>
      <w:pPr>
        <w:spacing w:line="460" w:lineRule="exact"/>
        <w:ind w:firstLine="1365" w:firstLineChars="650"/>
        <w:rPr>
          <w:rFonts w:hAnsi="宋体"/>
          <w:sz w:val="21"/>
          <w:szCs w:val="21"/>
          <w:highlight w:val="none"/>
          <w:u w:val="single"/>
        </w:rPr>
      </w:pPr>
      <w:r>
        <w:rPr>
          <w:rFonts w:hint="eastAsia" w:hAnsi="宋体"/>
          <w:sz w:val="21"/>
          <w:szCs w:val="21"/>
          <w:highlight w:val="none"/>
        </w:rPr>
        <w:t>（小写）￥元。</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汇款帐户名称：</w:t>
      </w:r>
      <w:r>
        <w:rPr>
          <w:rFonts w:hint="eastAsia" w:hAnsi="宋体"/>
          <w:sz w:val="21"/>
          <w:szCs w:val="21"/>
          <w:highlight w:val="none"/>
          <w:u w:val="single"/>
        </w:rPr>
        <w:t xml:space="preserve">  （必须是磋商时使用的单位名称）   </w:t>
      </w:r>
    </w:p>
    <w:p>
      <w:pPr>
        <w:spacing w:line="460" w:lineRule="exact"/>
        <w:ind w:firstLine="420" w:firstLineChars="200"/>
        <w:rPr>
          <w:rFonts w:hAnsi="宋体"/>
          <w:sz w:val="21"/>
          <w:szCs w:val="21"/>
          <w:highlight w:val="none"/>
        </w:rPr>
      </w:pPr>
      <w:r>
        <w:rPr>
          <w:rFonts w:hint="eastAsia" w:hAnsi="宋体"/>
          <w:sz w:val="21"/>
          <w:szCs w:val="21"/>
          <w:highlight w:val="none"/>
        </w:rPr>
        <w:t>帐    号：</w:t>
      </w:r>
      <w:r>
        <w:rPr>
          <w:rFonts w:hint="eastAsia" w:hAnsi="宋体"/>
          <w:sz w:val="21"/>
          <w:szCs w:val="21"/>
          <w:highlight w:val="none"/>
          <w:u w:val="single"/>
        </w:rPr>
        <w:t xml:space="preserve">  （必须是磋商时使用的帐号）     </w:t>
      </w:r>
    </w:p>
    <w:p>
      <w:pPr>
        <w:spacing w:line="460" w:lineRule="exact"/>
        <w:ind w:firstLine="420" w:firstLineChars="200"/>
        <w:rPr>
          <w:rFonts w:hAnsi="宋体"/>
          <w:sz w:val="21"/>
          <w:szCs w:val="21"/>
          <w:highlight w:val="none"/>
          <w:u w:val="single"/>
        </w:rPr>
      </w:pPr>
      <w:r>
        <w:rPr>
          <w:rFonts w:hint="eastAsia" w:hAnsi="宋体"/>
          <w:sz w:val="21"/>
          <w:szCs w:val="21"/>
          <w:highlight w:val="none"/>
        </w:rPr>
        <w:t>开户银行：</w:t>
      </w:r>
      <w:r>
        <w:rPr>
          <w:rFonts w:hint="eastAsia" w:hAnsi="宋体"/>
          <w:sz w:val="21"/>
          <w:szCs w:val="21"/>
          <w:highlight w:val="none"/>
          <w:u w:val="single"/>
        </w:rPr>
        <w:t xml:space="preserve">    银行   省    市          (分行/支行)    </w:t>
      </w:r>
    </w:p>
    <w:p>
      <w:pPr>
        <w:spacing w:line="460" w:lineRule="exact"/>
        <w:ind w:firstLine="420" w:firstLineChars="200"/>
        <w:rPr>
          <w:rFonts w:hAnsi="宋体"/>
          <w:sz w:val="21"/>
          <w:szCs w:val="21"/>
          <w:highlight w:val="none"/>
        </w:rPr>
      </w:pPr>
      <w:r>
        <w:rPr>
          <w:rFonts w:hint="eastAsia" w:hAnsi="宋体"/>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sz w:val="21"/>
          <w:szCs w:val="21"/>
          <w:highlight w:val="none"/>
        </w:rPr>
      </w:pPr>
      <w:r>
        <w:rPr>
          <w:rFonts w:hint="eastAsia" w:hAnsi="宋体"/>
          <w:sz w:val="21"/>
          <w:szCs w:val="21"/>
          <w:highlight w:val="none"/>
        </w:rPr>
        <w:t>磋商保证金退回时，请按上述资料退回。</w:t>
      </w:r>
    </w:p>
    <w:p>
      <w:pPr>
        <w:spacing w:line="460" w:lineRule="exact"/>
        <w:rPr>
          <w:rFonts w:hAnsi="宋体"/>
          <w:b/>
          <w:bCs/>
          <w:sz w:val="21"/>
          <w:szCs w:val="21"/>
          <w:highlight w:val="none"/>
        </w:rPr>
      </w:pPr>
    </w:p>
    <w:p>
      <w:pPr>
        <w:spacing w:line="460" w:lineRule="exact"/>
        <w:rPr>
          <w:rFonts w:hAnsi="宋体"/>
          <w:b/>
          <w:bCs/>
          <w:sz w:val="21"/>
          <w:szCs w:val="21"/>
          <w:highlight w:val="none"/>
        </w:rPr>
      </w:pPr>
      <w:r>
        <w:rPr>
          <w:rFonts w:hint="eastAsia" w:hAnsi="宋体"/>
          <w:b/>
          <w:bCs/>
          <w:sz w:val="21"/>
          <w:szCs w:val="21"/>
          <w:highlight w:val="none"/>
        </w:rPr>
        <w:t>附件：磋商保证金进帐单复印件（加盖公章）</w:t>
      </w:r>
    </w:p>
    <w:p>
      <w:pPr>
        <w:spacing w:line="460" w:lineRule="exact"/>
        <w:ind w:right="965" w:rightChars="402"/>
        <w:jc w:val="right"/>
        <w:rPr>
          <w:rFonts w:hAnsi="宋体"/>
          <w:sz w:val="21"/>
          <w:szCs w:val="21"/>
          <w:highlight w:val="none"/>
        </w:rPr>
      </w:pPr>
      <w:r>
        <w:rPr>
          <w:rFonts w:hint="eastAsia" w:hAnsi="宋体"/>
          <w:sz w:val="21"/>
          <w:szCs w:val="21"/>
          <w:highlight w:val="none"/>
        </w:rPr>
        <w:t>（公章）</w:t>
      </w:r>
    </w:p>
    <w:p>
      <w:pPr>
        <w:spacing w:line="460" w:lineRule="exact"/>
        <w:ind w:right="718" w:rightChars="299"/>
        <w:jc w:val="right"/>
        <w:rPr>
          <w:rFonts w:hAnsi="宋体"/>
          <w:sz w:val="21"/>
          <w:szCs w:val="21"/>
          <w:highlight w:val="none"/>
        </w:rPr>
      </w:pPr>
      <w:r>
        <w:rPr>
          <w:rFonts w:hint="eastAsia" w:hAnsi="宋体"/>
          <w:sz w:val="21"/>
          <w:szCs w:val="21"/>
          <w:highlight w:val="none"/>
        </w:rPr>
        <w:t>年   月   日</w:t>
      </w:r>
    </w:p>
    <w:p>
      <w:pPr>
        <w:spacing w:line="460" w:lineRule="exact"/>
        <w:rPr>
          <w:rFonts w:hAnsi="宋体"/>
          <w:sz w:val="21"/>
          <w:szCs w:val="21"/>
          <w:highlight w:val="none"/>
        </w:rPr>
      </w:pPr>
      <w:r>
        <w:rPr>
          <w:rFonts w:hint="eastAsia" w:hAnsi="宋体"/>
          <w:sz w:val="21"/>
          <w:szCs w:val="21"/>
          <w:highlight w:val="none"/>
        </w:rPr>
        <w:t xml:space="preserve">单位名称：           </w:t>
      </w:r>
    </w:p>
    <w:p>
      <w:pPr>
        <w:spacing w:line="460" w:lineRule="exact"/>
        <w:rPr>
          <w:rFonts w:hAnsi="宋体"/>
          <w:sz w:val="21"/>
          <w:szCs w:val="21"/>
          <w:highlight w:val="none"/>
        </w:rPr>
      </w:pPr>
      <w:r>
        <w:rPr>
          <w:rFonts w:hint="eastAsia" w:hAnsi="宋体"/>
          <w:sz w:val="21"/>
          <w:szCs w:val="21"/>
          <w:highlight w:val="none"/>
        </w:rPr>
        <w:t xml:space="preserve">单位地址：           </w:t>
      </w:r>
    </w:p>
    <w:p>
      <w:pPr>
        <w:spacing w:line="460" w:lineRule="exact"/>
        <w:rPr>
          <w:rFonts w:hAnsi="宋体"/>
          <w:sz w:val="21"/>
          <w:szCs w:val="21"/>
          <w:highlight w:val="none"/>
        </w:rPr>
      </w:pPr>
      <w:r>
        <w:rPr>
          <w:rFonts w:hint="eastAsia" w:hAnsi="宋体"/>
          <w:sz w:val="21"/>
          <w:szCs w:val="21"/>
          <w:highlight w:val="none"/>
        </w:rPr>
        <w:t xml:space="preserve">联系人：                   </w:t>
      </w:r>
    </w:p>
    <w:p>
      <w:pPr>
        <w:spacing w:line="460" w:lineRule="exact"/>
        <w:rPr>
          <w:rFonts w:hAnsi="宋体"/>
          <w:sz w:val="21"/>
          <w:szCs w:val="21"/>
          <w:highlight w:val="none"/>
        </w:rPr>
      </w:pPr>
      <w:r>
        <w:rPr>
          <w:rFonts w:hint="eastAsia" w:hAnsi="宋体"/>
          <w:sz w:val="21"/>
          <w:szCs w:val="21"/>
          <w:highlight w:val="none"/>
        </w:rPr>
        <w:t xml:space="preserve">单位电话：                 联系人手机：              </w:t>
      </w:r>
    </w:p>
    <w:p>
      <w:pPr>
        <w:spacing w:line="360" w:lineRule="auto"/>
        <w:rPr>
          <w:rFonts w:hAnsi="宋体"/>
          <w:b/>
          <w:sz w:val="21"/>
          <w:szCs w:val="21"/>
          <w:highlight w:val="none"/>
        </w:rPr>
      </w:pPr>
    </w:p>
    <w:p>
      <w:pPr>
        <w:rPr>
          <w:sz w:val="21"/>
          <w:szCs w:val="21"/>
          <w:highlight w:val="none"/>
        </w:rPr>
      </w:pPr>
      <w:r>
        <w:rPr>
          <w:rFonts w:hint="eastAsia"/>
          <w:sz w:val="21"/>
          <w:szCs w:val="21"/>
          <w:highlight w:val="none"/>
        </w:rPr>
        <w:t>注：1、本说明的所有内容（包括所填写内容）均需打印；2、本说明及磋商保证金进帐单复印件（加盖公章）在磋商时放入唱标信封内。</w:t>
      </w:r>
    </w:p>
    <w:p>
      <w:pPr>
        <w:rPr>
          <w:highlight w:val="none"/>
        </w:rPr>
      </w:pPr>
    </w:p>
    <w:p>
      <w:pPr>
        <w:overflowPunct w:val="0"/>
        <w:spacing w:line="460" w:lineRule="exact"/>
        <w:rPr>
          <w:rFonts w:hAnsi="宋体"/>
          <w:sz w:val="22"/>
          <w:szCs w:val="22"/>
          <w:highlight w:val="none"/>
        </w:rPr>
      </w:pPr>
      <w:r>
        <w:rPr>
          <w:highlight w:val="none"/>
        </w:rPr>
        <w:br w:type="page"/>
      </w:r>
    </w:p>
    <w:p>
      <w:pPr>
        <w:pStyle w:val="5"/>
        <w:pageBreakBefore/>
        <w:spacing w:line="360" w:lineRule="auto"/>
        <w:jc w:val="center"/>
        <w:rPr>
          <w:bCs/>
          <w:sz w:val="28"/>
          <w:szCs w:val="28"/>
          <w:highlight w:val="none"/>
        </w:rPr>
      </w:pPr>
      <w:bookmarkStart w:id="232" w:name="_Toc19888"/>
      <w:bookmarkStart w:id="233" w:name="_Toc20966"/>
      <w:r>
        <w:rPr>
          <w:rFonts w:hint="eastAsia"/>
          <w:bCs/>
          <w:sz w:val="28"/>
          <w:szCs w:val="28"/>
          <w:highlight w:val="none"/>
        </w:rPr>
        <w:t>第三部分 技术文件</w:t>
      </w:r>
      <w:bookmarkEnd w:id="232"/>
      <w:bookmarkEnd w:id="233"/>
    </w:p>
    <w:p>
      <w:pPr>
        <w:jc w:val="center"/>
        <w:rPr>
          <w:highlight w:val="none"/>
        </w:rPr>
      </w:pPr>
    </w:p>
    <w:p>
      <w:pPr>
        <w:pStyle w:val="5"/>
        <w:numPr>
          <w:ilvl w:val="0"/>
          <w:numId w:val="19"/>
        </w:numPr>
        <w:jc w:val="center"/>
        <w:rPr>
          <w:highlight w:val="none"/>
        </w:rPr>
      </w:pPr>
      <w:bookmarkStart w:id="234" w:name="_Toc24064"/>
      <w:bookmarkStart w:id="235" w:name="_Toc25949"/>
      <w:bookmarkStart w:id="236" w:name="_Toc1852"/>
      <w:bookmarkStart w:id="237" w:name="_Toc31683"/>
      <w:bookmarkStart w:id="238" w:name="_Toc28884"/>
      <w:bookmarkStart w:id="239" w:name="_Toc15167"/>
      <w:bookmarkStart w:id="240" w:name="_Toc9579"/>
      <w:bookmarkStart w:id="241" w:name="_Toc9540"/>
      <w:r>
        <w:rPr>
          <w:rFonts w:hint="eastAsia"/>
          <w:highlight w:val="none"/>
        </w:rPr>
        <w:t>技术方案</w:t>
      </w:r>
      <w:bookmarkEnd w:id="234"/>
      <w:bookmarkEnd w:id="235"/>
      <w:bookmarkEnd w:id="236"/>
      <w:bookmarkEnd w:id="237"/>
      <w:bookmarkEnd w:id="238"/>
      <w:bookmarkEnd w:id="239"/>
      <w:bookmarkEnd w:id="240"/>
      <w:bookmarkEnd w:id="241"/>
    </w:p>
    <w:p>
      <w:pPr>
        <w:snapToGrid w:val="0"/>
        <w:spacing w:line="360" w:lineRule="auto"/>
        <w:rPr>
          <w:rFonts w:hAnsi="宋体"/>
          <w:sz w:val="21"/>
          <w:szCs w:val="21"/>
          <w:highlight w:val="none"/>
        </w:rPr>
      </w:pPr>
    </w:p>
    <w:p>
      <w:pPr>
        <w:snapToGrid w:val="0"/>
        <w:spacing w:line="360" w:lineRule="auto"/>
        <w:ind w:firstLine="420" w:firstLineChars="200"/>
        <w:rPr>
          <w:rFonts w:hAnsi="宋体"/>
          <w:sz w:val="21"/>
          <w:szCs w:val="21"/>
          <w:highlight w:val="none"/>
        </w:rPr>
      </w:pPr>
      <w:r>
        <w:rPr>
          <w:rFonts w:hint="eastAsia" w:hAnsi="宋体"/>
          <w:sz w:val="21"/>
          <w:szCs w:val="21"/>
          <w:highlight w:val="none"/>
        </w:rPr>
        <w:t>根据用户需求书编写。</w:t>
      </w:r>
    </w:p>
    <w:p>
      <w:pPr>
        <w:snapToGrid w:val="0"/>
        <w:spacing w:line="360" w:lineRule="auto"/>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5"/>
        <w:numPr>
          <w:ilvl w:val="0"/>
          <w:numId w:val="19"/>
        </w:numPr>
        <w:jc w:val="center"/>
        <w:rPr>
          <w:highlight w:val="none"/>
        </w:rPr>
      </w:pPr>
      <w:bookmarkStart w:id="242" w:name="_Toc12278"/>
      <w:bookmarkStart w:id="243" w:name="_Toc24947"/>
      <w:bookmarkStart w:id="244" w:name="_Toc30049"/>
      <w:bookmarkStart w:id="245" w:name="_Toc23849"/>
      <w:bookmarkStart w:id="246" w:name="_Toc9619"/>
      <w:bookmarkStart w:id="247" w:name="_Toc28953"/>
      <w:bookmarkStart w:id="248" w:name="_Toc11036"/>
      <w:bookmarkStart w:id="249" w:name="_Toc15530"/>
      <w:r>
        <w:rPr>
          <w:rFonts w:hint="eastAsia"/>
          <w:highlight w:val="none"/>
        </w:rPr>
        <w:t>其他资料</w:t>
      </w:r>
      <w:bookmarkEnd w:id="242"/>
      <w:bookmarkEnd w:id="243"/>
      <w:bookmarkEnd w:id="244"/>
      <w:bookmarkEnd w:id="245"/>
      <w:bookmarkEnd w:id="246"/>
      <w:bookmarkEnd w:id="247"/>
      <w:bookmarkEnd w:id="248"/>
      <w:bookmarkEnd w:id="249"/>
    </w:p>
    <w:p>
      <w:pPr>
        <w:pStyle w:val="28"/>
        <w:spacing w:line="360" w:lineRule="auto"/>
        <w:ind w:firstLine="420"/>
        <w:rPr>
          <w:rFonts w:hAnsi="宋体"/>
          <w:highlight w:val="none"/>
        </w:rPr>
      </w:pPr>
    </w:p>
    <w:p>
      <w:pPr>
        <w:spacing w:line="360" w:lineRule="auto"/>
        <w:rPr>
          <w:rFonts w:hAnsi="宋体"/>
          <w:sz w:val="21"/>
          <w:szCs w:val="21"/>
          <w:highlight w:val="none"/>
        </w:rPr>
      </w:pPr>
      <w:r>
        <w:rPr>
          <w:rFonts w:hint="eastAsia" w:hAnsi="宋体"/>
          <w:sz w:val="21"/>
          <w:szCs w:val="21"/>
          <w:highlight w:val="none"/>
        </w:rPr>
        <w:t>1、磋商文件要求提供的其他资料（如有）</w:t>
      </w:r>
    </w:p>
    <w:p>
      <w:pPr>
        <w:spacing w:line="360" w:lineRule="auto"/>
        <w:rPr>
          <w:rFonts w:hAnsi="宋体"/>
          <w:sz w:val="21"/>
          <w:szCs w:val="21"/>
          <w:highlight w:val="none"/>
        </w:rPr>
      </w:pPr>
      <w:r>
        <w:rPr>
          <w:rFonts w:hint="eastAsia" w:hAnsi="宋体"/>
          <w:sz w:val="21"/>
          <w:szCs w:val="21"/>
          <w:highlight w:val="none"/>
        </w:rPr>
        <w:t>2、供应商认为需要提供的其他资料（如有）</w:t>
      </w: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5"/>
        <w:jc w:val="center"/>
        <w:rPr>
          <w:sz w:val="28"/>
          <w:szCs w:val="28"/>
          <w:highlight w:val="none"/>
        </w:rPr>
      </w:pPr>
      <w:bookmarkStart w:id="250" w:name="_Toc17492"/>
      <w:r>
        <w:rPr>
          <w:rFonts w:hint="eastAsia"/>
          <w:sz w:val="28"/>
          <w:szCs w:val="28"/>
          <w:highlight w:val="none"/>
        </w:rPr>
        <w:t>第四部分 唱标信封</w:t>
      </w:r>
      <w:r>
        <w:rPr>
          <w:rFonts w:hint="eastAsia"/>
          <w:bCs/>
          <w:sz w:val="28"/>
          <w:szCs w:val="28"/>
          <w:highlight w:val="none"/>
        </w:rPr>
        <w:t>（单独编制装订成册，单独封装）</w:t>
      </w:r>
      <w:bookmarkEnd w:id="250"/>
    </w:p>
    <w:p>
      <w:pPr>
        <w:pStyle w:val="75"/>
        <w:spacing w:line="460" w:lineRule="exact"/>
        <w:ind w:firstLine="0" w:firstLineChars="0"/>
        <w:rPr>
          <w:rFonts w:ascii="宋体" w:eastAsia="宋体"/>
          <w:sz w:val="21"/>
          <w:szCs w:val="21"/>
          <w:highlight w:val="none"/>
        </w:rPr>
      </w:pPr>
      <w:r>
        <w:rPr>
          <w:rFonts w:hint="eastAsia" w:ascii="宋体" w:eastAsia="宋体"/>
          <w:sz w:val="21"/>
          <w:szCs w:val="21"/>
          <w:highlight w:val="none"/>
        </w:rPr>
        <w:t>唱标信封内装：</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（1）磋商保证金汇入情况说明及银行汇款凭证（或担保函）复印件加盖公章；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（2）法定代表人证明书加盖公章；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（3）法定代表人授权委托书加盖公章（法定代表人磋商的除外）；</w:t>
      </w:r>
    </w:p>
    <w:p>
      <w:pPr>
        <w:pStyle w:val="75"/>
        <w:spacing w:line="460" w:lineRule="exact"/>
        <w:ind w:firstLine="433"/>
        <w:rPr>
          <w:rFonts w:ascii="宋体" w:eastAsia="宋体"/>
          <w:sz w:val="22"/>
          <w:szCs w:val="22"/>
          <w:highlight w:val="none"/>
        </w:rPr>
      </w:pPr>
      <w:r>
        <w:rPr>
          <w:rFonts w:hint="eastAsia" w:ascii="宋体" w:eastAsia="宋体"/>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sz w:val="22"/>
          <w:szCs w:val="22"/>
          <w:highlight w:val="none"/>
        </w:rPr>
      </w:pPr>
    </w:p>
    <w:p>
      <w:pPr>
        <w:rPr>
          <w:highlight w:val="none"/>
        </w:rPr>
      </w:pPr>
    </w:p>
    <w:p>
      <w:pPr>
        <w:rPr>
          <w:highlight w:val="none"/>
          <w:lang w:val="zh-CN"/>
        </w:rPr>
      </w:pPr>
      <w:bookmarkStart w:id="251" w:name="_Toc396137262"/>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pStyle w:val="14"/>
        <w:ind w:firstLine="400"/>
        <w:rPr>
          <w:highlight w:val="none"/>
          <w:lang w:val="zh-CN"/>
        </w:rPr>
      </w:pPr>
    </w:p>
    <w:p>
      <w:pPr>
        <w:pStyle w:val="14"/>
        <w:ind w:firstLine="400"/>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bookmarkEnd w:id="251"/>
    <w:p>
      <w:pPr>
        <w:rPr>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6">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7">
    <w:nsid w:val="57289543"/>
    <w:multiLevelType w:val="singleLevel"/>
    <w:tmpl w:val="57289543"/>
    <w:lvl w:ilvl="0" w:tentative="0">
      <w:start w:val="7"/>
      <w:numFmt w:val="decimal"/>
      <w:suff w:val="nothing"/>
      <w:lvlText w:val="%1)"/>
      <w:lvlJc w:val="left"/>
    </w:lvl>
  </w:abstractNum>
  <w:abstractNum w:abstractNumId="18">
    <w:nsid w:val="61B69DE3"/>
    <w:multiLevelType w:val="multilevel"/>
    <w:tmpl w:val="61B69DE3"/>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3064FB"/>
    <w:rsid w:val="00087881"/>
    <w:rsid w:val="0028766B"/>
    <w:rsid w:val="003064FB"/>
    <w:rsid w:val="00517F4B"/>
    <w:rsid w:val="006866DA"/>
    <w:rsid w:val="00A64A73"/>
    <w:rsid w:val="00BD4240"/>
    <w:rsid w:val="031B5222"/>
    <w:rsid w:val="06726DD2"/>
    <w:rsid w:val="086F6C71"/>
    <w:rsid w:val="094B7731"/>
    <w:rsid w:val="09D14BB6"/>
    <w:rsid w:val="0A0D5935"/>
    <w:rsid w:val="0B41016F"/>
    <w:rsid w:val="0BD8086E"/>
    <w:rsid w:val="0D5B24E8"/>
    <w:rsid w:val="0E92754E"/>
    <w:rsid w:val="17080541"/>
    <w:rsid w:val="17234A06"/>
    <w:rsid w:val="177224D0"/>
    <w:rsid w:val="19EB4D16"/>
    <w:rsid w:val="1B972588"/>
    <w:rsid w:val="20C83D9C"/>
    <w:rsid w:val="211B75C6"/>
    <w:rsid w:val="21C6419D"/>
    <w:rsid w:val="2291746B"/>
    <w:rsid w:val="23A33E78"/>
    <w:rsid w:val="250E4D44"/>
    <w:rsid w:val="2571351A"/>
    <w:rsid w:val="258E422F"/>
    <w:rsid w:val="26000CCC"/>
    <w:rsid w:val="26E54225"/>
    <w:rsid w:val="283B7303"/>
    <w:rsid w:val="2E9A2302"/>
    <w:rsid w:val="32BF6098"/>
    <w:rsid w:val="32EC4C69"/>
    <w:rsid w:val="34DF07DE"/>
    <w:rsid w:val="35210EE5"/>
    <w:rsid w:val="3670470E"/>
    <w:rsid w:val="3A975729"/>
    <w:rsid w:val="3B917387"/>
    <w:rsid w:val="3CF01918"/>
    <w:rsid w:val="3E055146"/>
    <w:rsid w:val="43405075"/>
    <w:rsid w:val="46884E5E"/>
    <w:rsid w:val="492601CE"/>
    <w:rsid w:val="49FD7B86"/>
    <w:rsid w:val="4B9D1042"/>
    <w:rsid w:val="4C0A4CA7"/>
    <w:rsid w:val="4C876ED4"/>
    <w:rsid w:val="4D4310B7"/>
    <w:rsid w:val="4ED225E7"/>
    <w:rsid w:val="50547874"/>
    <w:rsid w:val="50BC76E5"/>
    <w:rsid w:val="5255356B"/>
    <w:rsid w:val="532A5FE6"/>
    <w:rsid w:val="564E1CBA"/>
    <w:rsid w:val="58B93124"/>
    <w:rsid w:val="5CB917B5"/>
    <w:rsid w:val="5F66148E"/>
    <w:rsid w:val="5FE63048"/>
    <w:rsid w:val="60D40F7A"/>
    <w:rsid w:val="6244039F"/>
    <w:rsid w:val="636439DA"/>
    <w:rsid w:val="64854AE6"/>
    <w:rsid w:val="67E439B9"/>
    <w:rsid w:val="68866C55"/>
    <w:rsid w:val="69E96C13"/>
    <w:rsid w:val="6CD66AC8"/>
    <w:rsid w:val="6D1E296C"/>
    <w:rsid w:val="7288241A"/>
    <w:rsid w:val="72AD246F"/>
    <w:rsid w:val="72EA0814"/>
    <w:rsid w:val="744E2126"/>
    <w:rsid w:val="748D106B"/>
    <w:rsid w:val="75DE5FED"/>
    <w:rsid w:val="769F1D91"/>
    <w:rsid w:val="76A07939"/>
    <w:rsid w:val="7B681899"/>
    <w:rsid w:val="7BD72896"/>
    <w:rsid w:val="7CCC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1"/>
    <w:qFormat/>
    <w:uiPriority w:val="0"/>
    <w:pPr>
      <w:outlineLvl w:val="2"/>
    </w:p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9">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0">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1">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2">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13">
    <w:name w:val="toc 7"/>
    <w:basedOn w:val="1"/>
    <w:next w:val="1"/>
    <w:qFormat/>
    <w:uiPriority w:val="0"/>
    <w:pPr>
      <w:ind w:left="1440"/>
    </w:pPr>
    <w:rPr>
      <w:rFonts w:ascii="Calibri" w:cs="Calibri"/>
      <w:sz w:val="18"/>
      <w:szCs w:val="18"/>
    </w:rPr>
  </w:style>
  <w:style w:type="paragraph" w:styleId="14">
    <w:name w:val="Normal Indent"/>
    <w:basedOn w:val="1"/>
    <w:link w:val="76"/>
    <w:qFormat/>
    <w:uiPriority w:val="0"/>
    <w:pPr>
      <w:widowControl/>
      <w:autoSpaceDE/>
      <w:autoSpaceDN/>
      <w:adjustRightInd/>
      <w:ind w:firstLine="420" w:firstLineChars="200"/>
    </w:pPr>
    <w:rPr>
      <w:rFonts w:ascii="Calibri"/>
      <w:sz w:val="20"/>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4"/>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customStyle="1" w:styleId="119">
    <w:name w:val="无间隔1"/>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4"/>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4">
    <w:name w:val="列出段落2"/>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character" w:customStyle="1" w:styleId="185">
    <w:name w:val="font41"/>
    <w:basedOn w:val="53"/>
    <w:qFormat/>
    <w:uiPriority w:val="0"/>
    <w:rPr>
      <w:rFonts w:hint="eastAsia" w:ascii="宋体" w:hAnsi="宋体" w:eastAsia="宋体" w:cs="宋体"/>
      <w:color w:val="FF0000"/>
      <w:sz w:val="20"/>
      <w:szCs w:val="20"/>
      <w:u w:val="none"/>
    </w:rPr>
  </w:style>
  <w:style w:type="character" w:customStyle="1" w:styleId="186">
    <w:name w:val="font21"/>
    <w:basedOn w:val="53"/>
    <w:qFormat/>
    <w:uiPriority w:val="0"/>
    <w:rPr>
      <w:rFonts w:hint="eastAsia" w:ascii="宋体" w:hAnsi="宋体" w:eastAsia="宋体" w:cs="宋体"/>
      <w:color w:val="000000"/>
      <w:sz w:val="20"/>
      <w:szCs w:val="20"/>
      <w:u w:val="none"/>
    </w:rPr>
  </w:style>
  <w:style w:type="character" w:customStyle="1" w:styleId="187">
    <w:name w:val="font11"/>
    <w:basedOn w:val="53"/>
    <w:qFormat/>
    <w:uiPriority w:val="0"/>
    <w:rPr>
      <w:rFonts w:hint="eastAsia" w:ascii="宋体" w:hAnsi="宋体" w:eastAsia="宋体" w:cs="宋体"/>
      <w:color w:val="000000"/>
      <w:sz w:val="20"/>
      <w:szCs w:val="20"/>
      <w:u w:val="none"/>
    </w:rPr>
  </w:style>
  <w:style w:type="character" w:customStyle="1" w:styleId="188">
    <w:name w:val="font31"/>
    <w:basedOn w:val="53"/>
    <w:qFormat/>
    <w:uiPriority w:val="0"/>
    <w:rPr>
      <w:rFonts w:hint="eastAsia" w:ascii="宋体" w:hAnsi="宋体" w:eastAsia="宋体" w:cs="宋体"/>
      <w:color w:val="FF0000"/>
      <w:sz w:val="20"/>
      <w:szCs w:val="20"/>
      <w:u w:val="none"/>
    </w:rPr>
  </w:style>
  <w:style w:type="paragraph" w:customStyle="1" w:styleId="189">
    <w:name w:val="正文正"/>
    <w:basedOn w:val="1"/>
    <w:qFormat/>
    <w:uiPriority w:val="0"/>
    <w:pPr>
      <w:spacing w:line="560" w:lineRule="exact"/>
      <w:ind w:firstLine="561"/>
    </w:pPr>
    <w:rPr>
      <w:rFonts w:ascii="Calibri" w:hAnsi="Calibri"/>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102</Pages>
  <Words>48400</Words>
  <Characters>56478</Characters>
  <Lines>237</Lines>
  <Paragraphs>66</Paragraphs>
  <TotalTime>12</TotalTime>
  <ScaleCrop>false</ScaleCrop>
  <LinksUpToDate>false</LinksUpToDate>
  <CharactersWithSpaces>57973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2020-08-25T02:29:00Z</dcterms:created>
  <dc:creator>lyy</dc:creator>
  <cp:lastModifiedBy>Yakult</cp:lastModifiedBy>
  <cp:lastPrinted>2020-07-11T09:47:00Z</cp:lastPrinted>
  <dcterms:modified xsi:type="dcterms:W3CDTF">2022-08-22T01:54:19Z</dcterms:modified>
  <dc:title>货物公开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C2E35C660488410FB9E59E9FC5F6478B</vt:lpwstr>
  </property>
</Properties>
</file>