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pStyle w:val="2"/>
        <w:rPr>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松山湖大学创新城--消控室联动控制项目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TTWY-22029</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松山湖大学创新城--消控室联动控制项目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TTWY-22029</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8"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二</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九</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7"/>
        <w:rPr>
          <w:rFonts w:hAnsi="宋体"/>
          <w:b/>
          <w:bCs/>
          <w:color w:val="auto"/>
          <w:sz w:val="32"/>
          <w:szCs w:val="32"/>
          <w:highlight w:val="none"/>
          <w:lang w:val="zh-CN"/>
        </w:rPr>
      </w:pPr>
    </w:p>
    <w:p>
      <w:pPr>
        <w:pStyle w:val="7"/>
        <w:rPr>
          <w:rFonts w:hAnsi="宋体"/>
          <w:b/>
          <w:bCs/>
          <w:color w:val="auto"/>
          <w:sz w:val="32"/>
          <w:szCs w:val="32"/>
          <w:highlight w:val="none"/>
          <w:lang w:val="zh-CN"/>
        </w:rPr>
      </w:pP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color w:val="auto"/>
          <w:sz w:val="24"/>
          <w:szCs w:val="24"/>
          <w:highlight w:val="none"/>
        </w:rPr>
        <w:fldChar w:fldCharType="end"/>
      </w:r>
    </w:p>
    <w:p>
      <w:pPr>
        <w:pStyle w:val="4"/>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（以下简称“采购人”）的委托，为</w:t>
      </w:r>
      <w:r>
        <w:rPr>
          <w:rFonts w:hint="eastAsia" w:hAnsi="宋体"/>
          <w:color w:val="auto"/>
          <w:sz w:val="21"/>
          <w:szCs w:val="21"/>
          <w:highlight w:val="none"/>
          <w:lang w:eastAsia="zh-CN"/>
        </w:rPr>
        <w:t>松山湖大学创新城--消控室联动控制项目</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TTWY-22029</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松山湖大学创新城--消控室联动控制项目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TTWY-22029</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项目预算金额：3756444.86</w:t>
      </w:r>
      <w:r>
        <w:rPr>
          <w:rFonts w:hint="eastAsia" w:hAnsi="宋体"/>
          <w:color w:val="auto"/>
          <w:sz w:val="21"/>
          <w:szCs w:val="21"/>
          <w:highlight w:val="none"/>
          <w:lang w:eastAsia="zh-CN"/>
        </w:rPr>
        <w:t>元（包含绿色施工安全防护措施费</w:t>
      </w:r>
      <w:r>
        <w:rPr>
          <w:rFonts w:hint="eastAsia" w:hAnsi="宋体"/>
          <w:color w:val="auto"/>
          <w:sz w:val="21"/>
          <w:szCs w:val="21"/>
          <w:highlight w:val="none"/>
          <w:lang w:val="en-US" w:eastAsia="zh-CN"/>
        </w:rPr>
        <w:t>164543.92</w:t>
      </w:r>
      <w:r>
        <w:rPr>
          <w:rFonts w:hint="eastAsia" w:hAnsi="宋体"/>
          <w:color w:val="auto"/>
          <w:sz w:val="21"/>
          <w:szCs w:val="21"/>
          <w:highlight w:val="none"/>
          <w:lang w:eastAsia="zh-CN"/>
        </w:rPr>
        <w:t>元）</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（五）</w:t>
      </w:r>
      <w:r>
        <w:rPr>
          <w:rFonts w:hint="eastAsia" w:hAnsi="宋体"/>
          <w:color w:val="auto"/>
          <w:kern w:val="2"/>
          <w:sz w:val="21"/>
          <w:szCs w:val="21"/>
          <w:highlight w:val="none"/>
          <w:lang w:eastAsia="zh-CN"/>
        </w:rPr>
        <w:t>供应商须具备</w:t>
      </w:r>
      <w:r>
        <w:rPr>
          <w:rFonts w:hint="eastAsia" w:hAnsi="宋体"/>
          <w:color w:val="auto"/>
          <w:kern w:val="2"/>
          <w:sz w:val="21"/>
          <w:szCs w:val="21"/>
          <w:highlight w:val="none"/>
        </w:rPr>
        <w:t>建设行政主管部门颁发的电子与智能化</w:t>
      </w:r>
      <w:r>
        <w:rPr>
          <w:rFonts w:hint="eastAsia" w:hAnsi="宋体"/>
          <w:color w:val="auto"/>
          <w:kern w:val="2"/>
          <w:sz w:val="21"/>
          <w:szCs w:val="21"/>
          <w:highlight w:val="none"/>
          <w:lang w:eastAsia="zh-CN"/>
        </w:rPr>
        <w:t>工程</w:t>
      </w:r>
      <w:r>
        <w:rPr>
          <w:rFonts w:hint="eastAsia" w:hAnsi="宋体"/>
          <w:color w:val="auto"/>
          <w:kern w:val="2"/>
          <w:sz w:val="21"/>
          <w:szCs w:val="21"/>
          <w:highlight w:val="none"/>
        </w:rPr>
        <w:t>专业承包贰级及以上资质。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（六）</w:t>
      </w:r>
      <w:r>
        <w:rPr>
          <w:rFonts w:hint="eastAsia" w:hAnsi="宋体"/>
          <w:color w:val="auto"/>
          <w:kern w:val="2"/>
          <w:sz w:val="21"/>
          <w:szCs w:val="21"/>
          <w:highlight w:val="none"/>
        </w:rPr>
        <w:t>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keepNext w:val="0"/>
        <w:keepLines w:val="0"/>
        <w:pageBreakBefore w:val="0"/>
        <w:widowControl/>
        <w:kinsoku/>
        <w:wordWrap/>
        <w:overflowPunct/>
        <w:topLinePunct w:val="0"/>
        <w:autoSpaceDE w:val="0"/>
        <w:autoSpaceDN w:val="0"/>
        <w:bidi w:val="0"/>
        <w:adjustRightInd/>
        <w:snapToGri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w:t>
      </w:r>
      <w:r>
        <w:rPr>
          <w:rFonts w:hint="eastAsia" w:hAnsi="宋体" w:cs="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pStyle w:val="19"/>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磋商文件公告期限：自公告之日起三个工作日。</w:t>
      </w:r>
    </w:p>
    <w:p>
      <w:pPr>
        <w:pStyle w:val="28"/>
        <w:numPr>
          <w:ilvl w:val="0"/>
          <w:numId w:val="0"/>
        </w:numP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9</w:t>
      </w:r>
      <w:r>
        <w:rPr>
          <w:rFonts w:hint="eastAsia" w:hAnsi="宋体"/>
          <w:color w:val="auto"/>
          <w:sz w:val="21"/>
          <w:szCs w:val="21"/>
          <w:highlight w:val="none"/>
        </w:rPr>
        <w:t>月</w:t>
      </w:r>
      <w:r>
        <w:rPr>
          <w:rFonts w:hint="eastAsia" w:hAnsi="宋体"/>
          <w:color w:val="auto"/>
          <w:sz w:val="21"/>
          <w:szCs w:val="21"/>
          <w:highlight w:val="none"/>
          <w:lang w:val="en-US" w:eastAsia="zh-CN"/>
        </w:rPr>
        <w:t>16</w:t>
      </w:r>
      <w:r>
        <w:rPr>
          <w:rFonts w:hint="eastAsia" w:hAnsi="宋体"/>
          <w:color w:val="auto"/>
          <w:sz w:val="21"/>
          <w:szCs w:val="21"/>
          <w:highlight w:val="none"/>
        </w:rPr>
        <w:t>日</w:t>
      </w:r>
      <w:r>
        <w:rPr>
          <w:rFonts w:hint="eastAsia" w:hAnsi="宋体"/>
          <w:color w:val="auto"/>
          <w:sz w:val="21"/>
          <w:szCs w:val="21"/>
          <w:highlight w:val="none"/>
          <w:lang w:eastAsia="zh-CN"/>
        </w:rPr>
        <w:t>下</w:t>
      </w:r>
      <w:r>
        <w:rPr>
          <w:rFonts w:hint="eastAsia" w:hAnsi="宋体"/>
          <w:color w:val="auto"/>
          <w:sz w:val="21"/>
          <w:szCs w:val="21"/>
          <w:highlight w:val="none"/>
        </w:rPr>
        <w:t>午</w:t>
      </w:r>
      <w:r>
        <w:rPr>
          <w:rFonts w:hint="eastAsia" w:hAnsi="宋体"/>
          <w:color w:val="auto"/>
          <w:sz w:val="21"/>
          <w:szCs w:val="21"/>
          <w:highlight w:val="none"/>
          <w:lang w:val="en-US" w:eastAsia="zh-CN"/>
        </w:rPr>
        <w:t>14</w:t>
      </w:r>
      <w:r>
        <w:rPr>
          <w:rFonts w:hint="eastAsia" w:hAnsi="宋体"/>
          <w:color w:val="auto"/>
          <w:sz w:val="21"/>
          <w:szCs w:val="21"/>
          <w:highlight w:val="none"/>
        </w:rPr>
        <w:t>:</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14</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9</w:t>
      </w:r>
      <w:r>
        <w:rPr>
          <w:rFonts w:hint="eastAsia" w:hAnsi="宋体"/>
          <w:color w:val="auto"/>
          <w:sz w:val="21"/>
          <w:szCs w:val="21"/>
          <w:highlight w:val="none"/>
        </w:rPr>
        <w:t>月</w:t>
      </w:r>
      <w:r>
        <w:rPr>
          <w:rFonts w:hint="eastAsia" w:hAnsi="宋体"/>
          <w:color w:val="auto"/>
          <w:sz w:val="21"/>
          <w:szCs w:val="21"/>
          <w:highlight w:val="none"/>
          <w:lang w:val="en-US" w:eastAsia="zh-CN"/>
        </w:rPr>
        <w:t>16</w:t>
      </w:r>
      <w:r>
        <w:rPr>
          <w:rFonts w:hint="eastAsia" w:hAnsi="宋体"/>
          <w:color w:val="auto"/>
          <w:sz w:val="21"/>
          <w:szCs w:val="21"/>
          <w:highlight w:val="none"/>
        </w:rPr>
        <w:t>日</w:t>
      </w:r>
      <w:r>
        <w:rPr>
          <w:rFonts w:hint="eastAsia" w:hAnsi="宋体"/>
          <w:color w:val="auto"/>
          <w:sz w:val="21"/>
          <w:szCs w:val="21"/>
          <w:highlight w:val="none"/>
          <w:lang w:eastAsia="zh-CN"/>
        </w:rPr>
        <w:t>下</w:t>
      </w:r>
      <w:r>
        <w:rPr>
          <w:rFonts w:hint="eastAsia" w:hAnsi="宋体"/>
          <w:color w:val="auto"/>
          <w:sz w:val="21"/>
          <w:szCs w:val="21"/>
          <w:highlight w:val="none"/>
        </w:rPr>
        <w:t>午</w:t>
      </w:r>
      <w:r>
        <w:rPr>
          <w:rFonts w:hint="eastAsia" w:hAnsi="宋体"/>
          <w:color w:val="auto"/>
          <w:sz w:val="21"/>
          <w:szCs w:val="21"/>
          <w:highlight w:val="none"/>
          <w:lang w:val="en-US" w:eastAsia="zh-CN"/>
        </w:rPr>
        <w:t>14</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w:t>
      </w:r>
      <w:r>
        <w:rPr>
          <w:rFonts w:hint="eastAsia" w:hAnsi="宋体"/>
          <w:color w:val="auto"/>
          <w:sz w:val="21"/>
          <w:szCs w:val="21"/>
          <w:highlight w:val="none"/>
          <w:lang w:eastAsia="zh-CN"/>
        </w:rPr>
        <w:t>冼</w:t>
      </w:r>
      <w:r>
        <w:rPr>
          <w:rFonts w:hint="eastAsia" w:hAnsi="宋体"/>
          <w:color w:val="auto"/>
          <w:sz w:val="21"/>
          <w:szCs w:val="21"/>
          <w:highlight w:val="none"/>
        </w:rPr>
        <w:t>小姐</w:t>
      </w:r>
      <w:bookmarkStart w:id="278" w:name="_GoBack"/>
      <w:bookmarkEnd w:id="278"/>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w:t>
      </w:r>
      <w:r>
        <w:rPr>
          <w:rFonts w:hint="eastAsia" w:hAnsi="宋体"/>
          <w:color w:val="auto"/>
          <w:sz w:val="21"/>
          <w:szCs w:val="21"/>
          <w:highlight w:val="none"/>
          <w:lang w:eastAsia="zh-CN"/>
        </w:rPr>
        <w:t>姜</w:t>
      </w:r>
      <w:r>
        <w:rPr>
          <w:rFonts w:hint="eastAsia" w:hAnsi="宋体"/>
          <w:color w:val="auto"/>
          <w:sz w:val="21"/>
          <w:szCs w:val="21"/>
          <w:highlight w:val="none"/>
        </w:rPr>
        <w:t>工</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rFonts w:hint="eastAsia"/>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2022</w:t>
      </w:r>
      <w:r>
        <w:rPr>
          <w:rFonts w:hint="eastAsia" w:hAnsi="宋体"/>
          <w:b/>
          <w:color w:val="auto"/>
          <w:sz w:val="21"/>
          <w:szCs w:val="21"/>
          <w:highlight w:val="none"/>
        </w:rPr>
        <w:t>年</w:t>
      </w:r>
      <w:r>
        <w:rPr>
          <w:rFonts w:hint="eastAsia" w:hAnsi="宋体"/>
          <w:b/>
          <w:color w:val="auto"/>
          <w:sz w:val="21"/>
          <w:szCs w:val="21"/>
          <w:highlight w:val="none"/>
          <w:lang w:val="en-US" w:eastAsia="zh-CN"/>
        </w:rPr>
        <w:t>9</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5日</w:t>
      </w:r>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5"/>
        <w:adjustRightInd/>
        <w:spacing w:line="360" w:lineRule="auto"/>
        <w:ind w:firstLine="562" w:firstLineChars="200"/>
        <w:jc w:val="center"/>
        <w:rPr>
          <w:color w:val="auto"/>
          <w:sz w:val="28"/>
          <w:szCs w:val="28"/>
          <w:highlight w:val="none"/>
        </w:rPr>
      </w:pPr>
      <w:bookmarkStart w:id="5" w:name="_Toc102277756"/>
      <w:bookmarkStart w:id="6" w:name="_Toc7897861"/>
      <w:bookmarkStart w:id="7" w:name="_Toc507407359"/>
      <w:bookmarkStart w:id="8" w:name="_Toc466786434"/>
      <w:bookmarkStart w:id="9" w:name="_Toc6882675"/>
      <w:bookmarkStart w:id="10" w:name="_Toc12804"/>
      <w:bookmarkStart w:id="11" w:name="_Toc6968687"/>
      <w:r>
        <w:rPr>
          <w:rFonts w:hint="eastAsia"/>
          <w:color w:val="auto"/>
          <w:sz w:val="28"/>
          <w:szCs w:val="28"/>
          <w:highlight w:val="none"/>
        </w:rPr>
        <w:t>一、说  明</w:t>
      </w:r>
      <w:bookmarkEnd w:id="5"/>
      <w:bookmarkEnd w:id="6"/>
      <w:bookmarkEnd w:id="7"/>
      <w:bookmarkEnd w:id="8"/>
      <w:bookmarkEnd w:id="9"/>
      <w:bookmarkEnd w:id="10"/>
      <w:bookmarkEnd w:id="11"/>
    </w:p>
    <w:p>
      <w:pPr>
        <w:pStyle w:val="6"/>
        <w:adjustRightInd/>
        <w:spacing w:line="360" w:lineRule="auto"/>
        <w:ind w:firstLine="420" w:firstLineChars="200"/>
        <w:rPr>
          <w:rFonts w:hAnsi="宋体"/>
          <w:color w:val="auto"/>
          <w:sz w:val="21"/>
          <w:szCs w:val="21"/>
          <w:highlight w:val="none"/>
        </w:rPr>
      </w:pPr>
      <w:bookmarkStart w:id="12" w:name="_Toc475249114"/>
      <w:bookmarkStart w:id="13" w:name="_Toc3730"/>
      <w:bookmarkStart w:id="14" w:name="_Toc24987"/>
      <w:bookmarkStart w:id="15" w:name="_Toc7897862"/>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6"/>
        <w:adjustRightInd/>
        <w:spacing w:line="360" w:lineRule="auto"/>
        <w:ind w:firstLine="420" w:firstLineChars="200"/>
        <w:rPr>
          <w:rFonts w:hAnsi="宋体"/>
          <w:color w:val="auto"/>
          <w:sz w:val="21"/>
          <w:szCs w:val="21"/>
          <w:highlight w:val="none"/>
        </w:rPr>
      </w:pPr>
      <w:bookmarkStart w:id="16" w:name="_Toc7897863"/>
      <w:bookmarkStart w:id="17" w:name="_Toc9738"/>
      <w:bookmarkStart w:id="18" w:name="_Toc475249115"/>
      <w:bookmarkStart w:id="19" w:name="_Toc598"/>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6"/>
        <w:adjustRightInd/>
        <w:spacing w:line="360" w:lineRule="auto"/>
        <w:ind w:firstLine="420" w:firstLineChars="200"/>
        <w:rPr>
          <w:rFonts w:hAnsi="宋体"/>
          <w:color w:val="auto"/>
          <w:sz w:val="21"/>
          <w:szCs w:val="21"/>
          <w:highlight w:val="none"/>
        </w:rPr>
      </w:pPr>
      <w:bookmarkStart w:id="20" w:name="_Toc7897864"/>
      <w:bookmarkStart w:id="21" w:name="_Toc24709"/>
      <w:bookmarkStart w:id="22" w:name="_Toc367"/>
      <w:bookmarkStart w:id="23" w:name="_Toc110953831"/>
      <w:bookmarkStart w:id="24" w:name="_Toc102277757"/>
      <w:bookmarkStart w:id="25" w:name="_Toc466786435"/>
      <w:bookmarkStart w:id="26" w:name="_Toc6968688"/>
      <w:bookmarkStart w:id="27" w:name="_Toc6882676"/>
      <w:bookmarkStart w:id="28" w:name="_Toc507407360"/>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6"/>
        <w:adjustRightInd/>
        <w:spacing w:line="360" w:lineRule="auto"/>
        <w:ind w:firstLine="420" w:firstLineChars="200"/>
        <w:rPr>
          <w:rFonts w:hAnsi="宋体"/>
          <w:color w:val="auto"/>
          <w:sz w:val="21"/>
          <w:szCs w:val="21"/>
          <w:highlight w:val="none"/>
          <w:lang w:val="zh-CN"/>
        </w:rPr>
      </w:pPr>
      <w:bookmarkStart w:id="29" w:name="_Toc20707"/>
      <w:bookmarkStart w:id="30" w:name="_Toc7897866"/>
      <w:bookmarkStart w:id="31" w:name="_Toc10397"/>
      <w:bookmarkStart w:id="32" w:name="_Toc110953833"/>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6"/>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93"/>
      <w:bookmarkStart w:id="35"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19"/>
      <w:bookmarkStart w:id="37" w:name="_Toc98126294"/>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95"/>
      <w:bookmarkStart w:id="3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6"/>
        <w:adjustRightInd/>
        <w:spacing w:line="360" w:lineRule="auto"/>
        <w:ind w:firstLine="420" w:firstLineChars="200"/>
        <w:rPr>
          <w:rFonts w:hAnsi="宋体"/>
          <w:bCs/>
          <w:color w:val="auto"/>
          <w:sz w:val="21"/>
          <w:szCs w:val="21"/>
          <w:highlight w:val="none"/>
        </w:rPr>
      </w:pPr>
      <w:bookmarkStart w:id="40" w:name="_Toc110953834"/>
      <w:bookmarkStart w:id="41" w:name="_Toc7897867"/>
      <w:bookmarkStart w:id="42" w:name="_Toc25870"/>
      <w:bookmarkStart w:id="43" w:name="_Toc2863"/>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7"/>
      <w:bookmarkStart w:id="4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color w:val="auto"/>
          <w:sz w:val="21"/>
          <w:szCs w:val="21"/>
          <w:highlight w:val="none"/>
        </w:rPr>
      </w:pPr>
      <w:bookmarkStart w:id="46" w:name="_Toc27298"/>
      <w:bookmarkStart w:id="47" w:name="_Toc7897868"/>
      <w:bookmarkStart w:id="48" w:name="_Toc13371"/>
      <w:bookmarkStart w:id="49" w:name="_Toc497016085"/>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50" w:name="_Toc23741"/>
      <w:bookmarkStart w:id="51" w:name="_Toc7897869"/>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6"/>
        <w:adjustRightInd/>
        <w:spacing w:line="360" w:lineRule="auto"/>
        <w:ind w:firstLine="420" w:firstLineChars="200"/>
        <w:rPr>
          <w:rFonts w:hAnsi="宋体"/>
          <w:color w:val="auto"/>
          <w:sz w:val="21"/>
          <w:szCs w:val="21"/>
          <w:highlight w:val="none"/>
        </w:rPr>
      </w:pPr>
      <w:bookmarkStart w:id="52" w:name="_Toc110953836"/>
      <w:bookmarkStart w:id="53" w:name="_Toc7897870"/>
      <w:bookmarkStart w:id="54" w:name="_Toc29560"/>
      <w:bookmarkStart w:id="55" w:name="_Toc23606"/>
      <w:bookmarkStart w:id="56" w:name="_Toc507407361"/>
      <w:bookmarkStart w:id="57" w:name="_Toc466786436"/>
      <w:bookmarkStart w:id="58" w:name="_Toc6968689"/>
      <w:bookmarkStart w:id="59" w:name="_Toc6882677"/>
      <w:bookmarkStart w:id="60" w:name="_Toc102277758"/>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color w:val="auto"/>
          <w:sz w:val="21"/>
          <w:szCs w:val="21"/>
          <w:highlight w:val="none"/>
        </w:rPr>
      </w:pPr>
      <w:bookmarkStart w:id="61" w:name="_Toc7897871"/>
      <w:bookmarkStart w:id="62" w:name="_Toc19701"/>
      <w:bookmarkStart w:id="63" w:name="_Toc110953837"/>
      <w:bookmarkStart w:id="64" w:name="_Toc1682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7"/>
        <w:ind w:firstLine="400"/>
        <w:rPr>
          <w:color w:val="auto"/>
          <w:highlight w:val="none"/>
        </w:rPr>
      </w:pPr>
    </w:p>
    <w:bookmarkEnd w:id="56"/>
    <w:bookmarkEnd w:id="57"/>
    <w:bookmarkEnd w:id="58"/>
    <w:bookmarkEnd w:id="59"/>
    <w:bookmarkEnd w:id="60"/>
    <w:p>
      <w:pPr>
        <w:pStyle w:val="5"/>
        <w:adjustRightInd/>
        <w:spacing w:line="360" w:lineRule="auto"/>
        <w:ind w:firstLine="562" w:firstLineChars="200"/>
        <w:jc w:val="center"/>
        <w:rPr>
          <w:color w:val="auto"/>
          <w:sz w:val="28"/>
          <w:szCs w:val="28"/>
          <w:highlight w:val="none"/>
        </w:rPr>
      </w:pPr>
      <w:bookmarkStart w:id="65" w:name="_Toc7897872"/>
      <w:bookmarkStart w:id="66" w:name="_Toc15398"/>
      <w:bookmarkStart w:id="67" w:name="_Toc110953838"/>
      <w:bookmarkStart w:id="68" w:name="_Toc466786437"/>
      <w:bookmarkStart w:id="69" w:name="_Toc102277759"/>
      <w:bookmarkStart w:id="70" w:name="_Toc6968690"/>
      <w:bookmarkStart w:id="71" w:name="_Toc6882678"/>
      <w:bookmarkStart w:id="72" w:name="_Toc507407362"/>
      <w:r>
        <w:rPr>
          <w:rFonts w:hint="eastAsia"/>
          <w:color w:val="auto"/>
          <w:sz w:val="28"/>
          <w:szCs w:val="28"/>
          <w:highlight w:val="none"/>
        </w:rPr>
        <w:t>三、响应文件的制作</w:t>
      </w:r>
      <w:bookmarkEnd w:id="65"/>
      <w:bookmarkEnd w:id="66"/>
      <w:bookmarkEnd w:id="67"/>
    </w:p>
    <w:p>
      <w:pPr>
        <w:pStyle w:val="6"/>
        <w:adjustRightInd/>
        <w:spacing w:line="360" w:lineRule="auto"/>
        <w:ind w:firstLine="420" w:firstLineChars="200"/>
        <w:rPr>
          <w:rFonts w:hAnsi="宋体"/>
          <w:color w:val="auto"/>
          <w:sz w:val="21"/>
          <w:szCs w:val="21"/>
          <w:highlight w:val="none"/>
        </w:rPr>
      </w:pPr>
      <w:bookmarkStart w:id="73" w:name="_Toc15756"/>
      <w:bookmarkStart w:id="74" w:name="_Toc23789"/>
      <w:bookmarkStart w:id="75" w:name="_Toc7897873"/>
      <w:bookmarkStart w:id="76" w:name="_Toc110953839"/>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6"/>
        <w:adjustRightInd/>
        <w:spacing w:line="360" w:lineRule="auto"/>
        <w:ind w:firstLine="420" w:firstLineChars="200"/>
        <w:rPr>
          <w:rFonts w:hAnsi="宋体"/>
          <w:color w:val="auto"/>
          <w:sz w:val="21"/>
          <w:szCs w:val="21"/>
          <w:highlight w:val="none"/>
        </w:rPr>
      </w:pPr>
      <w:bookmarkStart w:id="77" w:name="_Toc18079"/>
      <w:bookmarkStart w:id="78" w:name="_Toc110953840"/>
      <w:bookmarkStart w:id="79" w:name="_Toc20552"/>
      <w:bookmarkStart w:id="80" w:name="_Toc7897874"/>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color w:val="auto"/>
          <w:sz w:val="21"/>
          <w:szCs w:val="21"/>
          <w:highlight w:val="none"/>
        </w:rPr>
      </w:pPr>
      <w:bookmarkStart w:id="81" w:name="_Toc7897875"/>
      <w:bookmarkStart w:id="82" w:name="_Toc9150"/>
      <w:bookmarkStart w:id="83" w:name="_Toc21763"/>
      <w:bookmarkStart w:id="84" w:name="_Toc110953841"/>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color w:val="auto"/>
          <w:sz w:val="21"/>
          <w:szCs w:val="21"/>
          <w:highlight w:val="none"/>
        </w:rPr>
      </w:pPr>
      <w:bookmarkStart w:id="85" w:name="_Toc185150707"/>
      <w:bookmarkStart w:id="86" w:name="_Toc30889"/>
      <w:bookmarkStart w:id="87" w:name="_Toc24570"/>
      <w:bookmarkStart w:id="88" w:name="_Toc7897876"/>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松山湖大学创新城--消控室联动控制项目</w:t>
            </w:r>
          </w:p>
        </w:tc>
        <w:tc>
          <w:tcPr>
            <w:tcW w:w="3679"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 xml:space="preserve"> 人民币柒万捌仟</w:t>
            </w:r>
            <w:r>
              <w:rPr>
                <w:rFonts w:hint="eastAsia" w:hAnsi="宋体"/>
                <w:color w:val="auto"/>
                <w:sz w:val="21"/>
                <w:szCs w:val="21"/>
                <w:highlight w:val="none"/>
              </w:rPr>
              <w:t>元整（¥</w:t>
            </w:r>
            <w:r>
              <w:rPr>
                <w:rFonts w:hint="eastAsia" w:hAnsi="宋体"/>
                <w:color w:val="auto"/>
                <w:sz w:val="21"/>
                <w:szCs w:val="21"/>
                <w:highlight w:val="none"/>
                <w:lang w:val="en-US" w:eastAsia="zh-CN"/>
              </w:rPr>
              <w:t>74000</w:t>
            </w:r>
            <w:r>
              <w:rPr>
                <w:rFonts w:hint="eastAsia" w:hAnsi="宋体"/>
                <w:color w:val="auto"/>
                <w:sz w:val="21"/>
                <w:szCs w:val="21"/>
                <w:highlight w:val="none"/>
              </w:rPr>
              <w:t>.00元）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kern w:val="2"/>
          <w:sz w:val="21"/>
          <w:szCs w:val="21"/>
          <w:highlight w:val="none"/>
          <w:lang w:val="zh-CN"/>
        </w:rPr>
      </w:pPr>
      <w:r>
        <w:rPr>
          <w:rFonts w:hint="eastAsia" w:hAnsi="宋体"/>
          <w:kern w:val="2"/>
          <w:sz w:val="21"/>
          <w:szCs w:val="21"/>
          <w:highlight w:val="none"/>
          <w:lang w:val="zh-CN"/>
        </w:rPr>
        <w:t>磋商保证金采用转帐、电汇方式或银行保函方式方式提交，应符合以下要求：</w:t>
      </w:r>
      <w:r>
        <w:rPr>
          <w:rFonts w:hint="eastAsia" w:hAnsi="宋体"/>
          <w:b/>
          <w:bCs/>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kern w:val="2"/>
          <w:sz w:val="21"/>
          <w:szCs w:val="21"/>
          <w:highlight w:val="none"/>
          <w:lang w:val="zh-CN"/>
        </w:rPr>
        <w:t>项目编号、包号</w:t>
      </w:r>
      <w:r>
        <w:rPr>
          <w:rFonts w:hint="eastAsia" w:hAnsi="宋体"/>
          <w:kern w:val="2"/>
          <w:sz w:val="21"/>
          <w:szCs w:val="21"/>
          <w:highlight w:val="none"/>
          <w:lang w:val="zh-CN"/>
        </w:rPr>
        <w:t>。</w:t>
      </w:r>
      <w:r>
        <w:rPr>
          <w:rFonts w:hint="eastAsia" w:hAnsi="宋体"/>
          <w:b/>
          <w:bCs/>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eastAsia" w:hAnsi="宋体" w:eastAsia="宋体" w:cs="宋体"/>
          <w:b/>
          <w:bCs/>
          <w:color w:val="auto"/>
          <w:kern w:val="2"/>
          <w:sz w:val="21"/>
          <w:szCs w:val="21"/>
          <w:highlight w:val="none"/>
          <w:lang w:val="zh-CN" w:eastAsia="zh-CN"/>
        </w:rPr>
      </w:pPr>
      <w:r>
        <w:rPr>
          <w:rFonts w:hint="eastAsia" w:hAnsi="宋体" w:cs="宋体"/>
          <w:b/>
          <w:bCs/>
          <w:color w:val="auto"/>
          <w:kern w:val="2"/>
          <w:sz w:val="21"/>
          <w:szCs w:val="21"/>
          <w:highlight w:val="none"/>
          <w:lang w:val="zh-CN"/>
        </w:rPr>
        <w:t>账  号</w:t>
      </w:r>
      <w:r>
        <w:rPr>
          <w:rFonts w:hint="eastAsia" w:hAnsi="宋体" w:cs="宋体"/>
          <w:b/>
          <w:bCs/>
          <w:i w:val="0"/>
          <w:iCs w:val="0"/>
          <w:color w:val="auto"/>
          <w:kern w:val="2"/>
          <w:sz w:val="21"/>
          <w:szCs w:val="21"/>
          <w:highlight w:val="none"/>
          <w:lang w:val="zh-CN"/>
        </w:rPr>
        <w:t>：</w:t>
      </w:r>
      <w:r>
        <w:rPr>
          <w:rFonts w:hint="eastAsia" w:hAnsi="宋体" w:cs="宋体"/>
          <w:b/>
          <w:bCs/>
          <w:i w:val="0"/>
          <w:iCs w:val="0"/>
          <w:color w:val="auto"/>
          <w:kern w:val="2"/>
          <w:sz w:val="21"/>
          <w:szCs w:val="21"/>
          <w:highlight w:val="none"/>
          <w:lang w:val="en-US" w:eastAsia="zh-CN"/>
        </w:rPr>
        <w:t xml:space="preserve"> 6232590699050051331</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6"/>
        <w:adjustRightInd/>
        <w:spacing w:line="360" w:lineRule="auto"/>
        <w:ind w:firstLine="420" w:firstLineChars="200"/>
        <w:rPr>
          <w:rFonts w:hAnsi="宋体"/>
          <w:color w:val="auto"/>
          <w:sz w:val="21"/>
          <w:szCs w:val="21"/>
          <w:highlight w:val="none"/>
        </w:rPr>
      </w:pPr>
      <w:bookmarkStart w:id="89" w:name="_Toc110953842"/>
      <w:bookmarkStart w:id="90" w:name="_Toc467987824"/>
      <w:bookmarkStart w:id="91" w:name="_Toc480171880"/>
      <w:bookmarkStart w:id="92" w:name="_Toc467236741"/>
      <w:bookmarkStart w:id="93" w:name="_Toc468157537"/>
      <w:bookmarkStart w:id="94" w:name="_Toc503758471"/>
      <w:bookmarkStart w:id="95" w:name="_Toc32304"/>
      <w:bookmarkStart w:id="96" w:name="_Toc468606030"/>
      <w:bookmarkStart w:id="97" w:name="_Toc480010709"/>
      <w:bookmarkStart w:id="98" w:name="_Toc2525"/>
      <w:bookmarkStart w:id="99" w:name="_Toc454701382"/>
      <w:bookmarkStart w:id="100" w:name="_Toc480021054"/>
      <w:bookmarkStart w:id="101" w:name="_Toc7897877"/>
      <w:bookmarkStart w:id="102" w:name="_Toc479991583"/>
      <w:bookmarkStart w:id="103" w:name="_Toc458262615"/>
      <w:bookmarkStart w:id="104" w:name="_Toc480020258"/>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7"/>
        <w:ind w:firstLine="400"/>
        <w:rPr>
          <w:color w:val="auto"/>
          <w:highlight w:val="none"/>
        </w:rPr>
      </w:pPr>
    </w:p>
    <w:bookmarkEnd w:id="68"/>
    <w:bookmarkEnd w:id="69"/>
    <w:bookmarkEnd w:id="70"/>
    <w:bookmarkEnd w:id="71"/>
    <w:bookmarkEnd w:id="72"/>
    <w:p>
      <w:pPr>
        <w:pStyle w:val="5"/>
        <w:adjustRightInd/>
        <w:spacing w:line="360" w:lineRule="auto"/>
        <w:ind w:firstLine="562" w:firstLineChars="200"/>
        <w:jc w:val="center"/>
        <w:rPr>
          <w:color w:val="auto"/>
          <w:sz w:val="28"/>
          <w:szCs w:val="28"/>
          <w:highlight w:val="none"/>
        </w:rPr>
      </w:pPr>
      <w:bookmarkStart w:id="105" w:name="_Toc7897878"/>
      <w:bookmarkStart w:id="106" w:name="_Toc110953843"/>
      <w:bookmarkStart w:id="107" w:name="_Toc17761"/>
      <w:bookmarkStart w:id="108" w:name="_Toc507407363"/>
      <w:bookmarkStart w:id="109" w:name="_Toc102277760"/>
      <w:bookmarkStart w:id="110" w:name="_Toc466786438"/>
      <w:bookmarkStart w:id="111" w:name="_Toc6882679"/>
      <w:bookmarkStart w:id="112" w:name="_Toc6968691"/>
      <w:r>
        <w:rPr>
          <w:rFonts w:hint="eastAsia"/>
          <w:color w:val="auto"/>
          <w:sz w:val="28"/>
          <w:szCs w:val="28"/>
          <w:highlight w:val="none"/>
        </w:rPr>
        <w:t>四、响应文件的递交</w:t>
      </w:r>
      <w:bookmarkEnd w:id="105"/>
      <w:bookmarkEnd w:id="106"/>
      <w:bookmarkEnd w:id="107"/>
    </w:p>
    <w:p>
      <w:pPr>
        <w:pStyle w:val="6"/>
        <w:adjustRightInd/>
        <w:spacing w:line="360" w:lineRule="auto"/>
        <w:ind w:firstLine="420" w:firstLineChars="200"/>
        <w:rPr>
          <w:rFonts w:hAnsi="宋体"/>
          <w:color w:val="auto"/>
          <w:sz w:val="21"/>
          <w:szCs w:val="21"/>
          <w:highlight w:val="none"/>
        </w:rPr>
      </w:pPr>
      <w:bookmarkStart w:id="113" w:name="_Toc11500"/>
      <w:bookmarkStart w:id="114" w:name="_Toc110953844"/>
      <w:bookmarkStart w:id="115" w:name="_Toc2684"/>
      <w:bookmarkStart w:id="116" w:name="_Toc7897879"/>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color w:val="auto"/>
          <w:sz w:val="21"/>
          <w:szCs w:val="21"/>
          <w:highlight w:val="none"/>
        </w:rPr>
      </w:pPr>
      <w:bookmarkStart w:id="117" w:name="_Toc10017"/>
      <w:bookmarkStart w:id="118" w:name="_Toc110953845"/>
      <w:bookmarkStart w:id="119" w:name="_Toc12710"/>
      <w:bookmarkStart w:id="120" w:name="_Toc7897880"/>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121" w:name="_Toc7897881"/>
      <w:bookmarkStart w:id="122" w:name="_Toc22874"/>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6"/>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文件前，采购人、采购代理机构和供应商将检查响应文件的密封情况。在确认密封完好后，进行拆封唱标。唱标主要内容为响应文件正本中</w:t>
      </w:r>
      <w:r>
        <w:rPr>
          <w:rFonts w:hint="eastAsia" w:hAnsi="宋体"/>
          <w:color w:val="auto"/>
          <w:sz w:val="21"/>
          <w:szCs w:val="21"/>
          <w:highlight w:val="none"/>
          <w:lang w:eastAsia="zh-CN"/>
        </w:rPr>
        <w:t>磋商保证金</w:t>
      </w:r>
      <w:r>
        <w:rPr>
          <w:rFonts w:hint="eastAsia" w:hAnsi="宋体"/>
          <w:color w:val="auto"/>
          <w:sz w:val="21"/>
          <w:szCs w:val="21"/>
          <w:highlight w:val="none"/>
        </w:rPr>
        <w:t>的内容以及采购代理机构认为合适的其他内容，并做唱标记录。</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color w:val="auto"/>
          <w:sz w:val="21"/>
          <w:szCs w:val="21"/>
          <w:highlight w:val="none"/>
        </w:rPr>
      </w:pPr>
      <w:bookmarkStart w:id="126" w:name="_Toc37121259"/>
      <w:bookmarkStart w:id="127" w:name="_Toc535141844"/>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28" w:name="_Toc18625"/>
      <w:bookmarkStart w:id="129" w:name="_Toc7897882"/>
      <w:r>
        <w:rPr>
          <w:rFonts w:hint="eastAsia"/>
          <w:color w:val="auto"/>
          <w:sz w:val="28"/>
          <w:szCs w:val="28"/>
          <w:highlight w:val="none"/>
        </w:rPr>
        <w:t>六、确定成交供应商</w:t>
      </w:r>
      <w:bookmarkEnd w:id="128"/>
      <w:bookmarkEnd w:id="129"/>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6"/>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31" w:name="_Toc37756778"/>
      <w:bookmarkStart w:id="132" w:name="_Toc28276"/>
      <w:bookmarkStart w:id="133" w:name="_Toc7897883"/>
      <w:bookmarkStart w:id="134" w:name="_Toc110953852"/>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35"/>
    <w:p>
      <w:pPr>
        <w:pStyle w:val="5"/>
        <w:adjustRightInd/>
        <w:spacing w:line="360" w:lineRule="auto"/>
        <w:ind w:firstLine="562" w:firstLineChars="200"/>
        <w:jc w:val="center"/>
        <w:rPr>
          <w:color w:val="auto"/>
          <w:sz w:val="21"/>
          <w:szCs w:val="21"/>
          <w:highlight w:val="none"/>
        </w:rPr>
      </w:pPr>
      <w:bookmarkStart w:id="136" w:name="_Toc7897884"/>
      <w:bookmarkStart w:id="137" w:name="_Toc8766"/>
      <w:bookmarkStart w:id="138" w:name="_Toc396137239"/>
      <w:bookmarkStart w:id="139" w:name="_Toc5141"/>
      <w:bookmarkStart w:id="140" w:name="_Toc3498"/>
      <w:bookmarkStart w:id="141" w:name="_Toc396137240"/>
      <w:bookmarkStart w:id="142" w:name="_Toc22751"/>
      <w:r>
        <w:rPr>
          <w:rFonts w:hint="eastAsia"/>
          <w:color w:val="auto"/>
          <w:sz w:val="28"/>
          <w:szCs w:val="28"/>
          <w:highlight w:val="none"/>
        </w:rPr>
        <w:t>八、成交服务费</w:t>
      </w:r>
      <w:bookmarkEnd w:id="136"/>
      <w:bookmarkEnd w:id="137"/>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国家计委[计价格[2002]1980号]文和国家发改委[发改价格[2011]534号]文及相关规定收取，按差额定率累进法计算，按</w:t>
      </w:r>
      <w:r>
        <w:rPr>
          <w:rFonts w:hint="eastAsia" w:hAnsi="宋体"/>
          <w:color w:val="auto"/>
          <w:sz w:val="21"/>
          <w:szCs w:val="21"/>
          <w:highlight w:val="none"/>
          <w:lang w:eastAsia="zh-CN"/>
        </w:rPr>
        <w:t>工程</w:t>
      </w:r>
      <w:r>
        <w:rPr>
          <w:rFonts w:hint="eastAsia" w:hAnsi="宋体"/>
          <w:color w:val="auto"/>
          <w:sz w:val="21"/>
          <w:szCs w:val="21"/>
          <w:highlight w:val="none"/>
        </w:rPr>
        <w:t>类</w:t>
      </w:r>
      <w:r>
        <w:rPr>
          <w:rFonts w:hint="eastAsia" w:hAnsi="宋体"/>
          <w:color w:val="auto"/>
          <w:sz w:val="21"/>
          <w:szCs w:val="21"/>
          <w:highlight w:val="none"/>
          <w:lang w:eastAsia="zh-CN"/>
        </w:rPr>
        <w:t>的</w:t>
      </w:r>
      <w:r>
        <w:rPr>
          <w:rFonts w:hint="eastAsia" w:hAnsi="宋体"/>
          <w:color w:val="auto"/>
          <w:sz w:val="21"/>
          <w:szCs w:val="21"/>
          <w:highlight w:val="none"/>
          <w:lang w:val="en-US" w:eastAsia="zh-CN"/>
        </w:rPr>
        <w:t>七折</w:t>
      </w:r>
      <w:r>
        <w:rPr>
          <w:rFonts w:hint="eastAsia" w:hAnsi="宋体"/>
          <w:color w:val="auto"/>
          <w:sz w:val="21"/>
          <w:szCs w:val="21"/>
          <w:highlight w:val="none"/>
          <w:lang w:eastAsia="zh-CN"/>
        </w:rPr>
        <w:t>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43"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bookmarkEnd w:id="141"/>
      <w:bookmarkEnd w:id="142"/>
    </w:p>
    <w:p>
      <w:pPr>
        <w:pStyle w:val="4"/>
        <w:spacing w:line="360" w:lineRule="auto"/>
        <w:jc w:val="center"/>
        <w:rPr>
          <w:b/>
          <w:bCs/>
          <w:color w:val="auto"/>
          <w:sz w:val="28"/>
          <w:szCs w:val="28"/>
          <w:highlight w:val="none"/>
        </w:rPr>
      </w:pPr>
      <w:bookmarkStart w:id="144" w:name="_Toc32290"/>
      <w:bookmarkStart w:id="145" w:name="_Toc13957"/>
      <w:r>
        <w:rPr>
          <w:rFonts w:hint="eastAsia"/>
          <w:b/>
          <w:bCs/>
          <w:color w:val="auto"/>
          <w:sz w:val="28"/>
          <w:szCs w:val="28"/>
          <w:highlight w:val="none"/>
        </w:rPr>
        <w:t>第一部分 商务需求书</w:t>
      </w:r>
      <w:bookmarkEnd w:id="14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noWrap w:val="0"/>
            <w:vAlign w:val="center"/>
          </w:tcPr>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施工场地达到入场条件，以采购人开工令为准确定开始施工日期。工期为</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天（日历日）。</w:t>
            </w:r>
          </w:p>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造成</w:t>
            </w:r>
            <w:r>
              <w:rPr>
                <w:rFonts w:hint="eastAsia" w:ascii="宋体" w:hAnsi="宋体" w:eastAsia="宋体" w:cs="宋体"/>
                <w:color w:val="auto"/>
                <w:sz w:val="21"/>
                <w:szCs w:val="21"/>
                <w:highlight w:val="none"/>
              </w:rPr>
              <w:t>逾期竣工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，每逾期一天，</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须支付给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本合同价款总额0.5%的违约金，由于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原因导致的工期延误，工期顺延。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noWrap w:val="0"/>
            <w:vAlign w:val="center"/>
          </w:tcPr>
          <w:p>
            <w:pPr>
              <w:spacing w:line="360" w:lineRule="auto"/>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rPr>
              <w:t>报价要求</w:t>
            </w:r>
          </w:p>
        </w:tc>
        <w:tc>
          <w:tcPr>
            <w:tcW w:w="6397" w:type="dxa"/>
            <w:noWrap w:val="0"/>
            <w:vAlign w:val="center"/>
          </w:tcPr>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应当对充分了解工程施工现场和周围环境，以获得由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自己负责的有关编制</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文件和签署合同的所有信息，一旦</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这种考察即被认为其结果已在</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文件中的充分反映；若因本项目实施中可能出现其它未知因素和</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无法体现的内容而产生费用，该费用由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承担。</w:t>
            </w:r>
          </w:p>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2</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本项目采用</w:t>
            </w:r>
            <w:r>
              <w:rPr>
                <w:rFonts w:hint="eastAsia" w:ascii="宋体" w:hAnsi="宋体" w:eastAsia="宋体" w:cs="宋体"/>
                <w:b w:val="0"/>
                <w:bCs w:val="0"/>
                <w:color w:val="auto"/>
                <w:sz w:val="21"/>
                <w:szCs w:val="21"/>
                <w:highlight w:val="none"/>
              </w:rPr>
              <w:t>固定总价</w:t>
            </w:r>
            <w:r>
              <w:rPr>
                <w:rFonts w:hint="eastAsia" w:ascii="宋体" w:hAnsi="宋体" w:eastAsia="宋体" w:cs="宋体"/>
                <w:b w:val="0"/>
                <w:bCs w:val="0"/>
                <w:color w:val="auto"/>
                <w:sz w:val="21"/>
                <w:szCs w:val="21"/>
                <w:highlight w:val="none"/>
                <w:lang w:eastAsia="zh-CN"/>
              </w:rPr>
              <w:t>包干</w:t>
            </w:r>
            <w:r>
              <w:rPr>
                <w:rFonts w:hint="eastAsia" w:ascii="宋体" w:hAnsi="宋体" w:eastAsia="宋体" w:cs="宋体"/>
                <w:b w:val="0"/>
                <w:bCs w:val="0"/>
                <w:color w:val="auto"/>
                <w:sz w:val="21"/>
                <w:szCs w:val="21"/>
                <w:highlight w:val="none"/>
              </w:rPr>
              <w:t>方式</w:t>
            </w:r>
            <w:r>
              <w:rPr>
                <w:rFonts w:hint="eastAsia" w:ascii="宋体" w:hAnsi="宋体" w:eastAsia="宋体" w:cs="宋体"/>
                <w:b w:val="0"/>
                <w:bCs w:val="0"/>
                <w:color w:val="auto"/>
                <w:sz w:val="21"/>
                <w:szCs w:val="21"/>
                <w:highlight w:val="none"/>
                <w:lang w:eastAsia="zh-CN"/>
              </w:rPr>
              <w:t>进行报价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w:t>
            </w:r>
            <w:r>
              <w:rPr>
                <w:rFonts w:hint="eastAsia" w:hAnsi="宋体" w:cs="宋体"/>
                <w:b w:val="0"/>
                <w:bCs w:val="0"/>
                <w:color w:val="auto"/>
                <w:sz w:val="21"/>
                <w:szCs w:val="21"/>
                <w:highlight w:val="none"/>
                <w:lang w:eastAsia="zh-CN"/>
              </w:rPr>
              <w:t>照</w:t>
            </w:r>
            <w:r>
              <w:rPr>
                <w:rFonts w:hint="eastAsia" w:ascii="宋体" w:hAnsi="宋体" w:eastAsia="宋体" w:cs="宋体"/>
                <w:b w:val="0"/>
                <w:bCs w:val="0"/>
                <w:color w:val="auto"/>
                <w:sz w:val="21"/>
                <w:szCs w:val="21"/>
                <w:highlight w:val="none"/>
              </w:rPr>
              <w:t>采购人提供的</w:t>
            </w:r>
            <w:r>
              <w:rPr>
                <w:rFonts w:hint="eastAsia" w:hAnsi="宋体" w:cs="宋体"/>
                <w:b w:val="0"/>
                <w:bCs w:val="0"/>
                <w:color w:val="auto"/>
                <w:sz w:val="21"/>
                <w:szCs w:val="21"/>
                <w:highlight w:val="none"/>
                <w:lang w:eastAsia="zh-CN"/>
              </w:rPr>
              <w:t>施工</w:t>
            </w:r>
            <w:r>
              <w:rPr>
                <w:rFonts w:hint="eastAsia" w:hAnsi="宋体" w:cs="宋体"/>
                <w:b w:val="0"/>
                <w:bCs w:val="0"/>
                <w:color w:val="auto"/>
                <w:sz w:val="21"/>
                <w:szCs w:val="21"/>
                <w:highlight w:val="none"/>
                <w:lang w:val="en-US" w:eastAsia="zh-CN"/>
              </w:rPr>
              <w:t>方案、图纸</w:t>
            </w:r>
            <w:r>
              <w:rPr>
                <w:rFonts w:hint="eastAsia" w:ascii="宋体" w:hAnsi="宋体" w:eastAsia="宋体" w:cs="宋体"/>
                <w:b w:val="0"/>
                <w:bCs w:val="0"/>
                <w:color w:val="auto"/>
                <w:sz w:val="21"/>
                <w:szCs w:val="21"/>
                <w:highlight w:val="none"/>
              </w:rPr>
              <w:t>进行报价</w:t>
            </w:r>
            <w:r>
              <w:rPr>
                <w:rFonts w:hint="eastAsia" w:hAnsi="宋体" w:cs="宋体"/>
                <w:b w:val="0"/>
                <w:bCs w:val="0"/>
                <w:color w:val="auto"/>
                <w:sz w:val="21"/>
                <w:szCs w:val="21"/>
                <w:highlight w:val="none"/>
                <w:lang w:eastAsia="zh-CN"/>
              </w:rPr>
              <w:t>，工程量清单及其量项仅作为参考</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总价是指</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完成整个项目的施工安装，实现采购人使用要求所需的所有费用，须包工、包料、包工期、包质量、包安全、包文明施工，包验收合格，包保修等。</w:t>
            </w:r>
            <w:r>
              <w:rPr>
                <w:rFonts w:hint="eastAsia" w:ascii="宋体" w:hAnsi="宋体" w:eastAsia="宋体" w:cs="宋体"/>
                <w:b w:val="0"/>
                <w:bCs w:val="0"/>
                <w:color w:val="auto"/>
                <w:sz w:val="21"/>
                <w:szCs w:val="21"/>
                <w:highlight w:val="none"/>
                <w:lang w:eastAsia="zh-CN"/>
              </w:rPr>
              <w:t>除</w:t>
            </w:r>
            <w:r>
              <w:rPr>
                <w:rFonts w:hint="eastAsia" w:ascii="宋体" w:hAnsi="宋体" w:eastAsia="宋体" w:cs="宋体"/>
                <w:b w:val="0"/>
                <w:bCs w:val="0"/>
                <w:color w:val="auto"/>
                <w:sz w:val="21"/>
                <w:szCs w:val="21"/>
                <w:highlight w:val="none"/>
              </w:rPr>
              <w:t>施工过程中发生设计变更</w:t>
            </w:r>
            <w:r>
              <w:rPr>
                <w:rFonts w:hint="eastAsia" w:ascii="宋体" w:hAnsi="宋体" w:eastAsia="宋体" w:cs="宋体"/>
                <w:b w:val="0"/>
                <w:bCs w:val="0"/>
                <w:color w:val="auto"/>
                <w:sz w:val="21"/>
                <w:szCs w:val="21"/>
                <w:highlight w:val="none"/>
                <w:lang w:eastAsia="zh-CN"/>
              </w:rPr>
              <w:t>及现场签证外</w:t>
            </w:r>
            <w:r>
              <w:rPr>
                <w:rFonts w:hint="eastAsia" w:ascii="宋体" w:hAnsi="宋体" w:eastAsia="宋体" w:cs="宋体"/>
                <w:b w:val="0"/>
                <w:bCs w:val="0"/>
                <w:color w:val="auto"/>
                <w:sz w:val="21"/>
                <w:szCs w:val="21"/>
                <w:highlight w:val="none"/>
              </w:rPr>
              <w:t>，合同总价在</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及施工合同约定的风险范围之内(的图纸、</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以及技术资料的固定)不可调整。</w:t>
            </w:r>
          </w:p>
          <w:p>
            <w:pPr>
              <w:pStyle w:val="144"/>
              <w:spacing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应结合建筑市场、自身施工能力、经营状况，充分考虑市场竞争和施工过程中承担风险的能力等。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应按企业的实际情况自行报价，但不得低于本企业成本价。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noWrap w:val="0"/>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本合同采用按工期节点进度付款，具体付款方式如下：</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）工程质量保修金为结算总价3%，满两年质保期后无质量问题的申请支付余款。</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必须提供税率为9%的增值税专用发票。若有税率调整，按最新政策税率执行，结算时按不含税价*新税率调整。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质保期</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项目验收合格之日起,提供2年质量保修服务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9" w:type="dxa"/>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noWrap w:val="0"/>
            <w:vAlign w:val="center"/>
          </w:tcPr>
          <w:p>
            <w:pPr>
              <w:pStyle w:val="1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详见技术需求书。</w:t>
            </w:r>
          </w:p>
        </w:tc>
      </w:tr>
    </w:tbl>
    <w:p>
      <w:pPr>
        <w:pStyle w:val="7"/>
        <w:rPr>
          <w:rFonts w:hint="eastAsia"/>
          <w:color w:val="auto"/>
          <w:highlight w:val="none"/>
        </w:rPr>
      </w:pPr>
    </w:p>
    <w:p>
      <w:pPr>
        <w:pStyle w:val="4"/>
        <w:jc w:val="center"/>
        <w:rPr>
          <w:rFonts w:hint="eastAsia"/>
          <w:b/>
          <w:color w:val="auto"/>
          <w:sz w:val="28"/>
          <w:szCs w:val="28"/>
          <w:highlight w:val="none"/>
        </w:rPr>
      </w:pPr>
      <w:bookmarkStart w:id="146" w:name="_Toc25267"/>
      <w:r>
        <w:rPr>
          <w:rFonts w:hint="eastAsia"/>
          <w:b/>
          <w:color w:val="auto"/>
          <w:sz w:val="28"/>
          <w:szCs w:val="28"/>
          <w:highlight w:val="none"/>
        </w:rPr>
        <w:t>第二部分 技术需求书</w:t>
      </w:r>
      <w:bookmarkEnd w:id="146"/>
    </w:p>
    <w:p>
      <w:pPr>
        <w:pStyle w:val="5"/>
        <w:keepNext w:val="0"/>
        <w:keepLines w:val="0"/>
        <w:pageBreakBefore w:val="0"/>
        <w:widowControl w:val="0"/>
        <w:kinsoku/>
        <w:wordWrap/>
        <w:overflowPunct/>
        <w:topLinePunct w:val="0"/>
        <w:bidi w:val="0"/>
        <w:snapToGrid/>
        <w:spacing w:line="360" w:lineRule="auto"/>
        <w:textAlignment w:val="auto"/>
        <w:rPr>
          <w:rFonts w:hint="eastAsia" w:eastAsia="宋体"/>
          <w:color w:val="auto"/>
          <w:highlight w:val="none"/>
          <w:lang w:eastAsia="zh-CN"/>
        </w:rPr>
      </w:pPr>
      <w:bookmarkStart w:id="147" w:name="_Toc30247"/>
      <w:r>
        <w:rPr>
          <w:rFonts w:hint="eastAsia"/>
          <w:color w:val="auto"/>
          <w:highlight w:val="none"/>
        </w:rPr>
        <w:t>一、项目</w:t>
      </w:r>
      <w:r>
        <w:rPr>
          <w:rFonts w:hint="eastAsia"/>
          <w:color w:val="auto"/>
          <w:highlight w:val="none"/>
          <w:lang w:eastAsia="zh-CN"/>
        </w:rPr>
        <w:t>概况</w:t>
      </w:r>
      <w:bookmarkEnd w:id="1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1、项目名称：</w:t>
      </w:r>
      <w:r>
        <w:rPr>
          <w:rFonts w:hint="eastAsia" w:hAnsi="宋体"/>
          <w:color w:val="auto"/>
          <w:sz w:val="21"/>
          <w:szCs w:val="21"/>
          <w:highlight w:val="none"/>
          <w:lang w:eastAsia="zh-CN"/>
        </w:rPr>
        <w:t>松山湖大学创新城--消控室联动控制项目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2、建设地点：东莞市松山湖</w:t>
      </w:r>
    </w:p>
    <w:p>
      <w:pPr>
        <w:pStyle w:val="7"/>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3、项目现状：本项目新增消防控制中心设于G4栋二层（直通室外），拟联动控制园区现有A1A2、A345、C1、D1、D2、D3、A塔、B塔、G1、G2、G3、G4、H1、H2H3栋消防控制室，共14个。</w:t>
      </w:r>
      <w:r>
        <w:rPr>
          <w:rFonts w:hint="eastAsia" w:ascii="宋体" w:hAnsi="宋体" w:cs="宋体"/>
          <w:color w:val="auto"/>
          <w:sz w:val="21"/>
          <w:szCs w:val="21"/>
          <w:highlight w:val="cyan"/>
          <w:lang w:val="en-US" w:eastAsia="zh-CN"/>
        </w:rPr>
        <w:t>共有消防报警主机17台，</w:t>
      </w:r>
      <w:r>
        <w:rPr>
          <w:rFonts w:hint="eastAsia" w:ascii="宋体" w:hAnsi="宋体" w:cs="宋体"/>
          <w:color w:val="auto"/>
          <w:sz w:val="21"/>
          <w:szCs w:val="21"/>
          <w:highlight w:val="none"/>
          <w:lang w:val="en-US" w:eastAsia="zh-CN"/>
        </w:rPr>
        <w:t>其中西门子720R型主机10台，西门子 FC1860型主机3台，安舍JB-TG-E98-PLUS型主机1台，北大青鸟JBF-5014主机2台，泛海三江JB-QBL-A310主机1台。</w:t>
      </w:r>
    </w:p>
    <w:p>
      <w:pPr>
        <w:pStyle w:val="7"/>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范围：</w:t>
      </w:r>
    </w:p>
    <w:p>
      <w:pPr>
        <w:pStyle w:val="7"/>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（1）按照施工图纸及采购清单；</w:t>
      </w:r>
    </w:p>
    <w:p>
      <w:pPr>
        <w:pStyle w:val="7"/>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（2）原各单栋消控室内部分设备（电气火灾监控主机、消防电源监控主机、防火门监控主机、消防主机总线、消防主机多线、消防电话主机）拆卸、迁移至新消控室内安装</w:t>
      </w:r>
      <w:r>
        <w:rPr>
          <w:rFonts w:hint="eastAsia" w:ascii="宋体" w:hAnsi="宋体"/>
          <w:color w:val="auto"/>
          <w:sz w:val="21"/>
          <w:szCs w:val="21"/>
          <w:highlight w:val="cyan"/>
          <w:lang w:eastAsia="zh-CN"/>
        </w:rPr>
        <w:t>，重新组网调试</w:t>
      </w:r>
      <w:r>
        <w:rPr>
          <w:rFonts w:hint="eastAsia" w:ascii="宋体" w:hAnsi="宋体"/>
          <w:color w:val="auto"/>
          <w:sz w:val="21"/>
          <w:szCs w:val="21"/>
          <w:highlight w:val="none"/>
        </w:rPr>
        <w:t>；</w:t>
      </w:r>
    </w:p>
    <w:p>
      <w:pPr>
        <w:pStyle w:val="7"/>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（3）户外电缆铺设、室内桥架、线槽铺设（含地下室），电缆、电缆铺设工程；</w:t>
      </w:r>
    </w:p>
    <w:p>
      <w:pPr>
        <w:pStyle w:val="7"/>
        <w:spacing w:line="360" w:lineRule="auto"/>
        <w:rPr>
          <w:rFonts w:hint="eastAsia" w:ascii="宋体" w:hAnsi="宋体"/>
          <w:color w:val="auto"/>
          <w:sz w:val="21"/>
          <w:szCs w:val="21"/>
          <w:highlight w:val="none"/>
        </w:rPr>
      </w:pPr>
      <w:r>
        <w:rPr>
          <w:rFonts w:hint="eastAsia" w:ascii="宋体" w:hAnsi="宋体"/>
          <w:color w:val="auto"/>
          <w:sz w:val="21"/>
          <w:szCs w:val="21"/>
          <w:highlight w:val="none"/>
        </w:rPr>
        <w:t>（4）拟新建总消控室内增设消防控制机柜，承重架，弱电桥架，设备安装及调试工程；</w:t>
      </w:r>
    </w:p>
    <w:p>
      <w:pPr>
        <w:pStyle w:val="7"/>
        <w:spacing w:line="360" w:lineRule="auto"/>
        <w:rPr>
          <w:rFonts w:hint="eastAsia" w:ascii="宋体" w:hAnsi="宋体"/>
          <w:color w:val="auto"/>
          <w:sz w:val="21"/>
          <w:szCs w:val="21"/>
          <w:highlight w:val="none"/>
        </w:rPr>
      </w:pPr>
      <w:r>
        <w:rPr>
          <w:rFonts w:hint="eastAsia" w:ascii="宋体" w:hAnsi="宋体"/>
          <w:color w:val="auto"/>
          <w:sz w:val="21"/>
          <w:szCs w:val="21"/>
          <w:highlight w:val="none"/>
        </w:rPr>
        <w:t>（5）为实现G4新消控室完全操控所有功能（对各主机实施消音、复位、远程启动等操作），在新总控制室内再独立设置8台报警主机，建议为一台北大青鸟JBF-5014、一台泛海三江JB-QBL-A310、三台西门子720R、两台西门子1860、一台安舍安舍JB-TG-E98-PLUS，分别与原有的控制室同品牌设备相连接，以实现远程控制的效果。</w:t>
      </w:r>
    </w:p>
    <w:p>
      <w:pPr>
        <w:pStyle w:val="7"/>
        <w:spacing w:line="360" w:lineRule="auto"/>
        <w:rPr>
          <w:rFonts w:hint="eastAsia" w:ascii="宋体" w:hAnsi="宋体" w:cs="宋体"/>
          <w:color w:val="auto"/>
          <w:sz w:val="21"/>
          <w:szCs w:val="21"/>
          <w:highlight w:val="none"/>
        </w:rPr>
      </w:pPr>
      <w:r>
        <w:rPr>
          <w:rFonts w:hint="eastAsia" w:ascii="宋体" w:hAnsi="宋体"/>
          <w:color w:val="auto"/>
          <w:sz w:val="21"/>
          <w:szCs w:val="21"/>
          <w:highlight w:val="none"/>
        </w:rPr>
        <w:t>以上范围未尽事宜，请详见施工图纸，并满足设计文件要求。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本项目主要材料说明</w:t>
      </w:r>
    </w:p>
    <w:p>
      <w:pPr>
        <w:autoSpaceDE/>
        <w:autoSpaceDN/>
        <w:adjustRightInd/>
        <w:spacing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（1）本工程所承包范围内所需的材料、成品、未成品、设备的采购、运输、保管、质量等责任均由成交供应商承担。采购人不提供材料，供应商在报价时需提供拟采用的材料的品牌厂家。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（2）采购供应的材料尽量使用节能产品，环境标志产品、设备、其名称、品种、型号、规格、质量等均应符合国家、地方及行业有关规范及要求。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（3）材料及工艺要求∶供应商应保证按照合同和图纸及清单要求进行施工，其施工工艺符合国家标准、规范的施工要求。</w:t>
      </w:r>
    </w:p>
    <w:p>
      <w:pPr>
        <w:pStyle w:val="5"/>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bookmarkStart w:id="148" w:name="_Toc2183"/>
      <w:r>
        <w:rPr>
          <w:rFonts w:hint="eastAsia"/>
          <w:color w:val="auto"/>
          <w:highlight w:val="none"/>
          <w:lang w:eastAsia="zh-CN"/>
        </w:rPr>
        <w:t>二</w:t>
      </w:r>
      <w:r>
        <w:rPr>
          <w:rFonts w:hint="eastAsia"/>
          <w:color w:val="auto"/>
          <w:highlight w:val="none"/>
        </w:rPr>
        <w:t>、工程量清单</w:t>
      </w:r>
      <w:bookmarkEnd w:id="148"/>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2025"/>
        <w:gridCol w:w="5796"/>
        <w:gridCol w:w="509"/>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1.各消控室迁移线组数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ZR-RVV-4*2.5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1.名称:配线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2.型号:ZR-RVV-4*2.5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3.其他:综合考虑配管疏通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ZR-RVV-20*1.5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1.名称:配线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2.型号:ZR-RVV-20*1.5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3.其他:综合考虑配管疏通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8204.76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ZR-RVV-30*1.5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1.名称:配线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2.型号:ZR-RVV-30*1.5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3.其他:综合考虑配管疏通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23184.76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【1.各消控室迁移线组数】分部小计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2.各消控室穿线、线槽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线槽 250*100*1.5mm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1.名称:金属线槽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2.规格:250*100*1.5mm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线槽 300*100*1.5mm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1.名称:金属线槽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2.规格:300*100*1.5mm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2.材质:综合型钢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2480.37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1.名称:支架刷油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2.油漆品种:手工除锈，调和漆及防锈漆各二道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2480.37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【2.各消控室穿线、线槽】分部小计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3.G4新消控室附件材料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消防主机机柜</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1.名称:消防主机机柜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2.规格:600*1200*2000mm（含侧门板、承重架、支架等）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弱电桥架300*100*1.5mm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1.名称:弱电桥架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2.规格:300*100*1.5mm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3.备注:含铝合金桥式支架组件、加强条、卡扣等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2.材质:综合型钢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1.名称:支架刷油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2.油漆品种:手工除锈，调和漆及防锈漆各二道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【3.G4新消控室附件材料】分部小计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4.音频系统设备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IP网络广播主机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 :IP网络广播主机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IP网络广播寻呼话筒</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1.名称:IP网络广播寻呼话筒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IP网络消防报警矩阵</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1.名称:IP网络消防报警矩阵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IP网络监听音箱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1.名称:IP网络监听音箱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IP网络前置放大器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1.名称:IP网络前置放大器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光纤转换器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1.名称:光纤转换器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2.参数:1个百兆SC光纤接口，1个百兆RJ45光纤接口，最远传输20KM，TX:1550nm(发送)，接收:1310nm(接收)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【4.音频系统设备】分部小计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5.主机迁移安装配合调试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电气火灾监控主机（安装）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1.名称:电气火灾监控主机（安装）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电气火灾监控主机（拆除）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1.名称:电气火灾监控主机（拆除）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消防电源监控主机（安装）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1.名称:消防电源监控主机（安装）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消防电源监控主机（拆除）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1.名称:消防电源监控主机（拆除）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防火门监控主机（安装）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1.名称:防火门监控主机（安装）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防火门监控主机（拆除）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1.名称:防火门监控主机（拆除）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消防电话主机（安装）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1.名称:消防电话主机（安装）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消防电话主机（拆除）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1.名称:消防电话主机（拆除）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1.名称:西门子系统调试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2.A1栋、A2栋、D1栋、D2栋、D3栋、G2栋、G3栋及G4栋等西门子系统调试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3.总点数：15764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安舍系统调试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1.名称:安舍系统调试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2.G1栋安舍系统调试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3.总点数;718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北大青鸟系统调试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1.名称:北大青鸟系统调试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2.C1栋、H1栋北大青鸟系统调试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3.总点数;2386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泛海三江系统调试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1.名称:泛海三江系统调试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2.A3栋、A4栋泛海三江系统调试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3.总点数：3177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4芯光纤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2.规格:4芯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【5.主机迁移安装配合调试】分部小计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6.消防报警系统联网（系统优化）</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一、德国安舍、西门子消防报警主机组网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2.规格型号:720R（参考）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3.安装方式:立柜式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4.品牌:西门子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联动盘</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1.名称:联动盘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2.规格型号:FCO7201-B1（参考）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3.品牌:西门子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4.备注:16路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2.规格型号:FC1860（参考）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3.安装方式:立柜式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4.品牌:西门子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2.规格型号:JB-TG-E98-PLUS（参考）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3.安装方式:立柜式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4.品牌:安舍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图形整理及布点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1.名称:图形整理及布点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2.备注:按照现场设备布置信息进行整理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光纤转换器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1.名称:光纤转换器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2.参数:1个百兆SC光纤接口，1个百兆RJ45光纤接口，最远传输20KM，TX:1550nm(发送)，接收:1310nm(接收)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琴台控制柜</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1.名称:琴台控制柜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2.规格型号:1200*1000*1100mm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3.备注:安装27寸液晶显示器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【一、德国安舍、西门子消防报警主机组网】分部小计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二、泛海三江消防报警主机组网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2.规格型号:JB－QBL－A310（参考）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4.品牌:泛海三江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协议型CAN总线光纤中继器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1.名称:协议型CAN总线光纤中继器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2.规格型号:YFCB1－S－ST（参考）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3.品牌:泛海三江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【二、泛海三江消防报警主机组网】分部小计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三、北大青鸟消防报警主机组网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2.规格型号:JBF－5014（参考）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4.品牌:北大青鸟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协议型CAN总线光纤中继器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1.名称:协议型CAN总线光纤中继器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2.规格型号:LCAN-FOBR-S4-BO-SC1（参考）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3.品牌:北大青鸟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【三、北大青鸟消防报警主机组网】分部小计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四、组网调试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调试服务费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1.名称:调试服务费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1.名称:交换机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【四、组网调试】分部小计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rPr>
          <w:rFonts w:hint="eastAsia"/>
          <w:color w:val="auto"/>
          <w:highlight w:val="none"/>
          <w:lang w:eastAsia="zh-CN"/>
        </w:rPr>
      </w:pPr>
    </w:p>
    <w:p>
      <w:pPr>
        <w:pStyle w:val="5"/>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bookmarkStart w:id="149" w:name="_Toc22790"/>
      <w:r>
        <w:rPr>
          <w:rFonts w:hint="eastAsia"/>
          <w:color w:val="auto"/>
          <w:highlight w:val="none"/>
          <w:lang w:eastAsia="zh-CN"/>
        </w:rPr>
        <w:t>三</w:t>
      </w:r>
      <w:r>
        <w:rPr>
          <w:rFonts w:hint="eastAsia"/>
          <w:color w:val="auto"/>
          <w:highlight w:val="none"/>
        </w:rPr>
        <w:t>、服务要求</w:t>
      </w:r>
      <w:bookmarkEnd w:id="149"/>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（一）售后服务</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1.自全部工程竣工交付采购人使用，由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和采购人签字验收合格之日起算，质保期期限不少于2年，保修费用列入“售后服务报价”中并计入总价；质保期内</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对所供货物、服务、工程实行包修、包换、包退、包维护保养，更换同种品牌不低于原合同需求。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2.质保期内，如出现故障而造成短期停用时，则质保期和免费维修期相应顺延。如停用时间累计超过 15天则质保期重新计算。</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3.对采购人的服务通知，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在接报后应立即响应，12小时内到达现场，24小时内处理完毕，并制作到现场处理完毕后的工作报告。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4.在质保期内，若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不在规定的时间内响应并提供服务，采购人有权自行或委托第三方保修，所需费用在质保金中扣除。同时每逾期一天，应向采购人支付合同金额3‰的违约金。如货物、工程、服务经采购人3次维修仍不能达到</w:t>
      </w:r>
      <w:r>
        <w:rPr>
          <w:rFonts w:hint="eastAsia" w:hAnsi="宋体" w:cs="宋体"/>
          <w:color w:val="auto"/>
          <w:sz w:val="21"/>
          <w:szCs w:val="21"/>
          <w:highlight w:val="none"/>
          <w:lang w:eastAsia="zh-CN"/>
        </w:rPr>
        <w:t>磋商文件、磋商响应文件</w:t>
      </w:r>
      <w:r>
        <w:rPr>
          <w:rFonts w:hint="eastAsia" w:hAnsi="宋体" w:cs="宋体"/>
          <w:color w:val="auto"/>
          <w:sz w:val="21"/>
          <w:szCs w:val="21"/>
          <w:highlight w:val="none"/>
        </w:rPr>
        <w:t>和合同约定的质量标准，采购人有视作</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不能按期交付使用而须支付违约赔偿金给采购人，采购人还可依法追究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的违约责任。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提供采购人的货物、工程、服务质量问题导致采购人或使用者投诉，造成采购人或其他使用者损失的，采购人对其有形损失（费用、索赔）及无形损失进行核算后，以书面通知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，并依法追究其相关责任。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6.采购人只负责现场的日常运营管理，在质保期内，如属</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工程或材料存在问题而引起的故障或缺陷，</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应提供上门服务及时予以免费修复，即由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派员到现场维修，由此产生的一切费用均由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7.任何时候，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均不能免除因项目设计和货物本身的缺陷所应负的责任，</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有义务提供替代性设计方案以及货物选型的比较方案供采购人考虑，并在双方约定期限内做出整改。替代性方案的功能应达到或优于</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的要求，其价格必须不高于</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无法提出替代方案，采购人有权自行组织相关单位设计替代方案，方案设计和实施费用由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9.对于涉及结构安全的质量问题，应当按照有关规定，立即向当地建设行政主管部门报告，采取安全防范措施；由原设计单位或者具有相应资质等级的设计单位提出保修方案，</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实施保修。</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（二）质量要求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必须严格按照本项目图纸设计施工，一次性验收合格；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2、本工程所有的设备和材料所涉及的设计标准、规范，产品标准、规范，工程标准、规范，验收标准、规范等必须完全符合中华人民共和国及省、市相应的标准和规格。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3、为确保项目实施过程中严格按照设计标准实施，项目负责人必须每天到施工现场监督管理，并且每天上、下午按时到采购人项目管理科室签到，每缺少一次签到扣</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价的5‰。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在施工中如果工程质量不符合设计要求和有关规定，采购人要求停工和返工时，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须立即执行，并承担由此产生的各种费用，工期不予顺延。否则，停止支付工程费，采购人保留追</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相应的法律责任的权利。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（三）施工条件及管理要求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1、采购人不提供施工所需的食宿、办公、临时及材料加工场地，均由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外自行解决，其费用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2、采购人不提供临及材料加工场，临时设施及材料加工由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在施工现场以外解决，其费用由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3、施工时间安排：上午：7：45-12:00，下午 14:00-22:00，如遇到特殊情况，以采购人书面或口头通知为准。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的生产用水、电按照采购人指定地点，由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装表驳接，并按有关规定向采购人缴纳实耗水电费。</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应确保施工现场的清洁卫生，建筑垃圾需当日清理干净，不得留在现场过夜。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6、由于施工地点比较特殊，</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需严格遵守采购人的各项规章制度，包括但不限于：①在规定的地域施工和活动；②项目经理和管理人员需坚守岗位，因事需离开施工现场超过一天的，需提前向采购人请假，经采购人同意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7、需指定和落实安全生产及文明施工措施，施工期间需严格管理施工人员，保护好已完工工程产品，发生一切安全事故均由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自行负责。严格加强管理，按规定缴纳治安保证金，如发生盗窃，斗殴等现象，根据情节轻重，除追究当事人责任外，还要求在所缴纳的保证金中给予处罚。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（四）使用材料要求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4.采购人保留对本工程使用之主要材料品质确认审查的权利及保留另行委托专业单位对本工程进行独立检测的权利。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5.采购范围之内工程所用之设备，由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（五）安全文明施工要求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2、在施工期间应严格遵守国家、省、市有关防火、爆破和施工安全以及文明施工、环卫和城管等规定，建立规章制度和防护措施。否则，由此造成的经济和法律责任均由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应按安全施工的要求，采取严格科学的安全措施，做好从进场施工开始到验收结束交付工程前的安全施工预防措施，并制定相应的应急预案，确保施工安全和第三者的安全，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完全承担出于自身安全措施不力所造成的事故责任和发生的费用。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的施工队伍必须接受现场管理单位的监督、管理和指导。</w:t>
      </w:r>
    </w:p>
    <w:p>
      <w:pPr>
        <w:autoSpaceDE/>
        <w:autoSpaceDN/>
        <w:adjustRightInd/>
        <w:spacing w:line="360" w:lineRule="auto"/>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应在采购人确定施工条件已具备后，</w:t>
      </w:r>
      <w:r>
        <w:rPr>
          <w:rFonts w:hint="eastAsia" w:hAnsi="宋体" w:cs="宋体"/>
          <w:color w:val="auto"/>
          <w:sz w:val="21"/>
          <w:szCs w:val="21"/>
          <w:highlight w:val="none"/>
          <w:lang w:eastAsia="zh-CN"/>
        </w:rPr>
        <w:t>以</w:t>
      </w:r>
      <w:r>
        <w:rPr>
          <w:rFonts w:hint="eastAsia" w:hAnsi="宋体" w:cs="宋体"/>
          <w:color w:val="auto"/>
          <w:sz w:val="21"/>
          <w:szCs w:val="21"/>
          <w:highlight w:val="none"/>
        </w:rPr>
        <w:t>采购人</w:t>
      </w:r>
      <w:r>
        <w:rPr>
          <w:rFonts w:hint="eastAsia" w:hAnsi="宋体" w:cs="宋体"/>
          <w:color w:val="auto"/>
          <w:sz w:val="21"/>
          <w:szCs w:val="21"/>
          <w:highlight w:val="none"/>
          <w:lang w:eastAsia="zh-CN"/>
        </w:rPr>
        <w:t>开工令为准</w:t>
      </w:r>
      <w:r>
        <w:rPr>
          <w:rFonts w:hint="eastAsia" w:hAnsi="宋体" w:cs="宋体"/>
          <w:color w:val="auto"/>
          <w:sz w:val="21"/>
          <w:szCs w:val="21"/>
          <w:highlight w:val="none"/>
        </w:rPr>
        <w:t>确定开始施工日期。</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进场所要的现场工作条件及施工中，需要采购人配合承担的工程由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w:t>
      </w:r>
      <w:r>
        <w:rPr>
          <w:rFonts w:hint="eastAsia" w:hAnsi="宋体" w:cs="宋体"/>
          <w:color w:val="auto"/>
          <w:sz w:val="21"/>
          <w:szCs w:val="21"/>
          <w:highlight w:val="none"/>
          <w:lang w:eastAsia="zh-CN"/>
        </w:rPr>
        <w:t>磋商</w:t>
      </w:r>
      <w:r>
        <w:rPr>
          <w:rFonts w:hint="eastAsia" w:hAnsi="宋体" w:cs="宋体"/>
          <w:color w:val="auto"/>
          <w:sz w:val="21"/>
          <w:szCs w:val="21"/>
          <w:highlight w:val="none"/>
        </w:rPr>
        <w:t>时提出,签署合同时也作为合同的补充附件。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7、施工所用的机械工具由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自备及自费运到施工工地，进场后进行必要的性能安全检查，完工后从工地自费搬出运走。</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8.施工所用的材料及机械工具工地之后，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按照采购人提供恰当的场所存放，不得随便存放，并做好日常防盗措施和风雨保护措施的保管工作，以免造成不必要的丢失和损坏。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（六）总包及分包规定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根据采购人的</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、施工图纸及工程量清单等规定的范围内的工程内容，结合现场实际情况进行报价，由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包工、包料、包工期、包质量、包安全、包文 明施工，达到验收规范要求。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2.本项目不接受联合体</w:t>
      </w:r>
      <w:r>
        <w:rPr>
          <w:rFonts w:hint="eastAsia" w:hAnsi="宋体" w:cs="宋体"/>
          <w:color w:val="auto"/>
          <w:sz w:val="21"/>
          <w:szCs w:val="21"/>
          <w:highlight w:val="none"/>
          <w:lang w:eastAsia="zh-CN"/>
        </w:rPr>
        <w:t>磋商</w:t>
      </w:r>
      <w:r>
        <w:rPr>
          <w:rFonts w:hint="eastAsia" w:hAnsi="宋体" w:cs="宋体"/>
          <w:color w:val="auto"/>
          <w:sz w:val="21"/>
          <w:szCs w:val="21"/>
          <w:highlight w:val="none"/>
        </w:rPr>
        <w:t>，不允许对项目专业分包及劳务分包。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）验收要求、验收标准及方法要求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1、申请竣工验收条件：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（1）合同范围内的全部单位工程以及有关工作，包括合同要求的试验、试运行以及检验 和验收均已完成，并符合合同要求；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（2）已按合同约定的内容和份数备齐了符合要求的竣工资料；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需要提交的工程文件套数、费用、质量和移交时间应在专用条款中约定；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（3）采购人要求在竣工验收前完成的其他工作；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2、竣工验收程序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向采购人报送竣工验收申请报告。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（2）采购人审查后认为尚不具备验收条件的，应在收到竣工验收申请报告后的5天内通知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，指出在颁发接收证书前</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还需进行的工作内容。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完成采购人通知的全部工作内容后，应再次提交竣工验收申请报告，直至采购人同意为止。</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（3）采购人审查后认为已具备竣工验收条件的，应在5天内提请采购人进行工程验收。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（4）采购人组织</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、勘察设计等相关单位同意竣工验收申请报告后5日内进行竣工验收。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（5）采购人验收后同意接收工程但提出整修和完善要求的，应限期修好，并缓发工程接收证书。整修和完善工作完成后，经采购人同意后，再向</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出具工程接收证书。</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（6）采购人验收后不同意接收工程的，</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应按照采购人的验收意见，对不合格工程认真返工重做或进行补救处理，并承担由此产生的费用。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在完成不合格工程的返工重做或补救工作后，应重新提交竣工验收申请报告，按本款约定的程序重新进行。</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八</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合同价款调整</w:t>
      </w:r>
      <w:r>
        <w:rPr>
          <w:rFonts w:hint="eastAsia" w:hAnsi="宋体" w:cs="宋体"/>
          <w:color w:val="auto"/>
          <w:sz w:val="21"/>
          <w:szCs w:val="21"/>
          <w:highlight w:val="none"/>
        </w:rPr>
        <w:t>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所有设计变更、洽商记录、图纸会审纪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2、已标价工程量清单中有适用于变更工程的子目，采用该子目的单价。但是变更工作导致实际完成的工程量与工程量清单中表明的工程量变化幅度不得超过10%。</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3、已标价工程量清单中无适用于变更工程的子目，但有类似子目的，可在合理范围内参照类似子目的单价，由采购人与成交供应商商定。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4、已标价工程量清单中无适用或</w:t>
      </w:r>
      <w:r>
        <w:rPr>
          <w:rFonts w:hint="eastAsia" w:hAnsi="宋体" w:cs="宋体"/>
          <w:color w:val="auto"/>
          <w:sz w:val="21"/>
          <w:szCs w:val="21"/>
          <w:highlight w:val="none"/>
          <w:lang w:eastAsia="zh-CN"/>
        </w:rPr>
        <w:t>无</w:t>
      </w:r>
      <w:r>
        <w:rPr>
          <w:rFonts w:hint="eastAsia" w:hAnsi="宋体" w:cs="宋体"/>
          <w:color w:val="auto"/>
          <w:sz w:val="21"/>
          <w:szCs w:val="21"/>
          <w:highlight w:val="none"/>
        </w:rPr>
        <w:t>类似子目的单价，应按以下方法确定变更工程价款：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①按省、市相关行业主管部门颁布的工程造价计价规定以及</w:t>
      </w:r>
      <w:r>
        <w:rPr>
          <w:rFonts w:hint="eastAsia" w:hAnsi="宋体" w:cs="宋体"/>
          <w:color w:val="auto"/>
          <w:sz w:val="21"/>
          <w:szCs w:val="21"/>
          <w:highlight w:val="none"/>
          <w:lang w:eastAsia="zh-CN"/>
        </w:rPr>
        <w:t>磋商</w:t>
      </w:r>
      <w:r>
        <w:rPr>
          <w:rFonts w:hint="eastAsia" w:hAnsi="宋体" w:cs="宋体"/>
          <w:color w:val="auto"/>
          <w:sz w:val="21"/>
          <w:szCs w:val="21"/>
          <w:highlight w:val="none"/>
        </w:rPr>
        <w:t>当月的人工、材料价格计算预算价，按</w:t>
      </w:r>
      <w:r>
        <w:rPr>
          <w:rFonts w:hint="eastAsia" w:hAnsi="宋体" w:cs="宋体"/>
          <w:color w:val="auto"/>
          <w:sz w:val="21"/>
          <w:szCs w:val="21"/>
          <w:highlight w:val="none"/>
          <w:lang w:eastAsia="zh-CN"/>
        </w:rPr>
        <w:t>成交</w:t>
      </w:r>
      <w:r>
        <w:rPr>
          <w:rFonts w:hint="eastAsia" w:hAnsi="宋体" w:cs="宋体"/>
          <w:color w:val="auto"/>
          <w:sz w:val="21"/>
          <w:szCs w:val="21"/>
          <w:highlight w:val="none"/>
        </w:rPr>
        <w:t>下浮率下浮后确定变更工程价款；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②变更工程项目的材料价格应执行市相关行业主管部门颁布的参考信息价；市相关行业主管部门没有颁布的，参考周边城市相关行业主管部门颁布的信息价以及本地的市场价格确定；各市相关行业主管部门没有颁布的，由</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会同市财政局、市住房和城乡建设局通过市场调查确定；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③有关工程造价计价规定不明确的以及计价定额缺项的，由市相关行业主管部门予以明确以及制定补充定额。</w:t>
      </w:r>
    </w:p>
    <w:p>
      <w:pPr>
        <w:autoSpaceDE/>
        <w:autoSpaceDN/>
        <w:adjustRightInd/>
        <w:spacing w:line="360" w:lineRule="auto"/>
        <w:ind w:firstLine="420" w:firstLineChars="200"/>
        <w:jc w:val="both"/>
        <w:rPr>
          <w:rFonts w:hint="eastAsia" w:hAnsi="宋体" w:eastAsia="宋体" w:cs="宋体"/>
          <w:color w:val="auto"/>
          <w:sz w:val="21"/>
          <w:szCs w:val="21"/>
          <w:highlight w:val="cyan"/>
          <w:lang w:val="en-US" w:eastAsia="zh-CN"/>
        </w:rPr>
      </w:pPr>
      <w:r>
        <w:rPr>
          <w:rFonts w:hint="eastAsia" w:hAnsi="宋体" w:cs="宋体"/>
          <w:color w:val="auto"/>
          <w:sz w:val="21"/>
          <w:szCs w:val="21"/>
          <w:highlight w:val="cyan"/>
          <w:lang w:val="en-US" w:eastAsia="zh-CN"/>
        </w:rPr>
        <w:t>5、室外部分线缆敷设，使用原已预埋的管线。本次报价中需综合考虑可能存在的梳通情况，结算时不做调整。</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九</w:t>
      </w:r>
      <w:r>
        <w:rPr>
          <w:rFonts w:hint="eastAsia" w:hAnsi="宋体" w:cs="宋体"/>
          <w:color w:val="auto"/>
          <w:sz w:val="21"/>
          <w:szCs w:val="21"/>
          <w:highlight w:val="none"/>
        </w:rPr>
        <w:t>）其他要求：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1、遵守国家或地方政府及有关部门对施工现场管理的规定，妥善保护好施工现场周围建筑物、设备管线、古树名木不受损坏。处理好由于施工带来的扰民问题及与周围单位（住户）的关系。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应确保施工现场的清洁卫生，建筑垃圾须当日清理干净，不得留在现场过夜。工程竣工验收后，须按照采购人的要求，立即清理干净工地现场，全部撤离。否则视为成交</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违约，采购人将扣除本合同总价5‰。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一旦进场施工，须严格遵守采购人的各项规章制度，包括但不限于：①在规定的地域施工和活动；②须采取有效措施保护好楼地面成品及电梯内装饰，如因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原因导致损坏，应无偿修复；③施工期间须严格管理施工人员，如发生施工人员盗窃，斗殴等现象，由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在施工期间应严格遵守国家、省、市有关防火（施工现场不得有明火，施工人员不准在施工现场吸烟，每发现一个烟头扣罚</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200元工程款）、施工安全以及文明施工、深夜施工、环卫和城管等规定，建立规章制度和防护措施。若违反以上规定，由此造成的经济损失和法律责任，均由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应按安全施工的要求，采取严格科学的安全措施，确保施工安全和第三者的安全，须按安全生产和文明工地要求实行施工。凡在工地现场及医院范围内由于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自身安全措施不力所造成的任何安全事故，由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7、工程竣工验收时，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应向采购人提供合格完整的竣工图及有关技术档案资料。</w:t>
      </w:r>
    </w:p>
    <w:p>
      <w:pPr>
        <w:autoSpaceDE/>
        <w:autoSpaceDN/>
        <w:adjustRightInd/>
        <w:spacing w:line="360" w:lineRule="auto"/>
        <w:ind w:firstLine="420" w:firstLineChars="200"/>
        <w:jc w:val="both"/>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8</w:t>
      </w:r>
      <w:r>
        <w:rPr>
          <w:rFonts w:hint="eastAsia" w:hAnsi="宋体" w:cs="宋体"/>
          <w:color w:val="auto"/>
          <w:sz w:val="21"/>
          <w:szCs w:val="21"/>
          <w:highlight w:val="none"/>
        </w:rPr>
        <w:t>、本</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所附合同条款为签订合同条款，这些条款对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具有约束力，</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不得在</w:t>
      </w:r>
      <w:r>
        <w:rPr>
          <w:rFonts w:hint="eastAsia" w:hAnsi="宋体" w:cs="宋体"/>
          <w:color w:val="auto"/>
          <w:sz w:val="21"/>
          <w:szCs w:val="21"/>
          <w:highlight w:val="none"/>
          <w:lang w:eastAsia="zh-CN"/>
        </w:rPr>
        <w:t>成交</w:t>
      </w:r>
      <w:r>
        <w:rPr>
          <w:rFonts w:hint="eastAsia" w:hAnsi="宋体" w:cs="宋体"/>
          <w:color w:val="auto"/>
          <w:sz w:val="21"/>
          <w:szCs w:val="21"/>
          <w:highlight w:val="none"/>
        </w:rPr>
        <w:t>后对合同条款提出违背</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精神的修改意见，采购人有权力在签订合同时对部分条款进行符合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精神的修订和补充。</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p>
    <w:p>
      <w:pPr>
        <w:pStyle w:val="5"/>
        <w:keepNext w:val="0"/>
        <w:keepLines w:val="0"/>
        <w:pageBreakBefore w:val="0"/>
        <w:kinsoku/>
        <w:wordWrap/>
        <w:overflowPunct/>
        <w:topLinePunct w:val="0"/>
        <w:bidi w:val="0"/>
        <w:snapToGrid/>
        <w:spacing w:line="360" w:lineRule="auto"/>
        <w:ind w:firstLine="422" w:firstLineChars="200"/>
        <w:rPr>
          <w:rFonts w:hint="eastAsia" w:hAnsi="宋体"/>
          <w:color w:val="auto"/>
          <w:sz w:val="21"/>
          <w:szCs w:val="21"/>
          <w:highlight w:val="none"/>
          <w:lang w:eastAsia="zh-CN"/>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4"/>
        <w:keepNext/>
        <w:keepLines/>
        <w:pageBreakBefore/>
        <w:numPr>
          <w:ilvl w:val="0"/>
          <w:numId w:val="14"/>
        </w:numPr>
        <w:spacing w:line="360" w:lineRule="auto"/>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评审工作大纲</w:t>
      </w:r>
      <w:bookmarkEnd w:id="145"/>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（一）资格性检查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1)资格瑕疵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2)磋商保证金瑕疵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（二）符合性检查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1)供应商代表身份审查</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2)响应文件的有效性、完整性瑕疵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3)技术响应瑕疵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4)商务响应瑕疵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6）违规行为</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5"/>
        </w:numPr>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cs="宋体"/>
                <w:b/>
                <w:color w:val="auto"/>
                <w:kern w:val="2"/>
                <w:sz w:val="21"/>
                <w:szCs w:val="21"/>
                <w:highlight w:val="none"/>
                <w:lang w:val="en-US" w:eastAsia="zh-CN"/>
              </w:rPr>
              <w:t>50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价格分计算方法：满足磋商文件要求且磋商价格最低的磋商报价为评标基准价，其价格分为满分。其他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的价格分统一按照下列公式计算：磋商报价得分=(评标基准价／磋商报价)×价格权重</w:t>
            </w:r>
            <w:r>
              <w:rPr>
                <w:rFonts w:hint="eastAsia"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cs="宋体"/>
                <w:b/>
                <w:color w:val="auto"/>
                <w:kern w:val="2"/>
                <w:sz w:val="21"/>
                <w:szCs w:val="21"/>
                <w:highlight w:val="none"/>
                <w:lang w:val="en-US" w:eastAsia="zh-CN"/>
              </w:rPr>
              <w:t>10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在201</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年1月1日至今</w:t>
            </w:r>
            <w:r>
              <w:rPr>
                <w:rFonts w:hint="eastAsia" w:hAnsi="宋体" w:cs="宋体"/>
                <w:color w:val="auto"/>
                <w:sz w:val="21"/>
                <w:szCs w:val="21"/>
                <w:highlight w:val="none"/>
                <w:lang w:eastAsia="zh-CN"/>
              </w:rPr>
              <w:t>承接过的</w:t>
            </w:r>
            <w:r>
              <w:rPr>
                <w:rFonts w:hint="eastAsia" w:hAnsi="宋体" w:cs="宋体"/>
                <w:color w:val="FF0000"/>
                <w:sz w:val="21"/>
                <w:szCs w:val="21"/>
                <w:highlight w:val="none"/>
                <w:lang w:eastAsia="zh-CN"/>
              </w:rPr>
              <w:t>弱电、智能化</w:t>
            </w:r>
            <w:r>
              <w:rPr>
                <w:rFonts w:hint="eastAsia" w:hAnsi="宋体" w:cs="宋体"/>
                <w:color w:val="auto"/>
                <w:sz w:val="21"/>
                <w:szCs w:val="21"/>
                <w:highlight w:val="none"/>
                <w:lang w:eastAsia="zh-CN"/>
              </w:rPr>
              <w:t>或安防</w:t>
            </w:r>
            <w:r>
              <w:rPr>
                <w:rFonts w:hint="eastAsia" w:ascii="宋体" w:hAnsi="宋体" w:eastAsia="宋体" w:cs="宋体"/>
                <w:color w:val="FF0000"/>
                <w:sz w:val="21"/>
                <w:szCs w:val="21"/>
                <w:highlight w:val="none"/>
              </w:rPr>
              <w:t>业绩</w:t>
            </w:r>
            <w:r>
              <w:rPr>
                <w:rFonts w:hint="eastAsia" w:ascii="宋体" w:hAnsi="宋体" w:eastAsia="宋体" w:cs="宋体"/>
                <w:color w:val="auto"/>
                <w:sz w:val="21"/>
                <w:szCs w:val="21"/>
                <w:highlight w:val="none"/>
              </w:rPr>
              <w:t>，每个得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注：须同时提供以下证明材料加盖公章：</w:t>
            </w:r>
            <w:r>
              <w:rPr>
                <w:rFonts w:hint="eastAsia" w:hAnsi="宋体" w:cs="宋体"/>
                <w:color w:val="auto"/>
                <w:sz w:val="21"/>
                <w:szCs w:val="21"/>
                <w:highlight w:val="none"/>
                <w:lang w:eastAsia="zh-CN"/>
              </w:rPr>
              <w:t>①</w:t>
            </w:r>
            <w:r>
              <w:rPr>
                <w:rFonts w:hint="eastAsia" w:ascii="宋体" w:hAnsi="宋体" w:eastAsia="宋体" w:cs="宋体"/>
                <w:color w:val="auto"/>
                <w:sz w:val="21"/>
                <w:szCs w:val="21"/>
                <w:highlight w:val="none"/>
              </w:rPr>
              <w:t>合同主要页复印件；</w:t>
            </w:r>
            <w:r>
              <w:rPr>
                <w:rFonts w:hint="eastAsia" w:hAnsi="宋体" w:cs="宋体"/>
                <w:color w:val="auto"/>
                <w:sz w:val="21"/>
                <w:szCs w:val="21"/>
                <w:highlight w:val="none"/>
                <w:lang w:eastAsia="zh-CN"/>
              </w:rPr>
              <w:t>②</w:t>
            </w:r>
            <w:r>
              <w:rPr>
                <w:rFonts w:hint="eastAsia" w:ascii="宋体" w:hAnsi="宋体" w:eastAsia="宋体" w:cs="宋体"/>
                <w:color w:val="auto"/>
                <w:sz w:val="21"/>
                <w:szCs w:val="21"/>
                <w:highlight w:val="none"/>
              </w:rPr>
              <w:t>客户联系人及电话以查证；</w:t>
            </w:r>
            <w:r>
              <w:rPr>
                <w:rFonts w:hint="eastAsia" w:hAnsi="宋体" w:cs="宋体"/>
                <w:color w:val="auto"/>
                <w:sz w:val="21"/>
                <w:szCs w:val="21"/>
                <w:highlight w:val="none"/>
                <w:lang w:eastAsia="zh-CN"/>
              </w:rPr>
              <w:t>③</w:t>
            </w:r>
            <w:r>
              <w:rPr>
                <w:rFonts w:hint="eastAsia" w:ascii="宋体" w:hAnsi="宋体" w:eastAsia="宋体" w:cs="宋体"/>
                <w:color w:val="auto"/>
                <w:sz w:val="21"/>
                <w:szCs w:val="21"/>
                <w:highlight w:val="none"/>
              </w:rPr>
              <w:t>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eastAsia="zh-CN"/>
              </w:rPr>
              <w:t>企业实力</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2分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left"/>
              <w:textAlignment w:val="auto"/>
              <w:outlineLvl w:val="9"/>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①</w:t>
            </w:r>
            <w:r>
              <w:rPr>
                <w:rFonts w:hint="eastAsia" w:ascii="宋体" w:hAnsi="宋体" w:eastAsia="宋体" w:cs="宋体"/>
                <w:color w:val="auto"/>
                <w:sz w:val="21"/>
                <w:szCs w:val="21"/>
                <w:highlight w:val="none"/>
              </w:rPr>
              <w:t>投标人具有由国家认证认可监督管理部门批准设立的认证机构颁发并在有效期内的质量管理体系认证证书、环境管理体系认证证书、职业健康安全管理体系认证证书，每个得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hAnsi="宋体" w:cs="宋体"/>
                <w:color w:val="auto"/>
                <w:sz w:val="21"/>
                <w:szCs w:val="21"/>
                <w:highlight w:val="none"/>
                <w:lang w:eastAsia="zh-CN"/>
              </w:rPr>
              <w:t>；最高</w:t>
            </w:r>
            <w:r>
              <w:rPr>
                <w:rFonts w:hint="eastAsia" w:hAnsi="宋体" w:cs="宋体"/>
                <w:color w:val="auto"/>
                <w:sz w:val="21"/>
                <w:szCs w:val="21"/>
                <w:highlight w:val="none"/>
                <w:lang w:val="en-US" w:eastAsia="zh-CN"/>
              </w:rPr>
              <w:t>2分</w:t>
            </w:r>
            <w:r>
              <w:rPr>
                <w:rFonts w:hint="eastAsia" w:hAnsi="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注：须提供证书复印件加盖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w:t>
            </w:r>
            <w:r>
              <w:rPr>
                <w:rFonts w:hint="eastAsia" w:cs="宋体"/>
                <w:b/>
                <w:color w:val="auto"/>
                <w:kern w:val="2"/>
                <w:sz w:val="21"/>
                <w:szCs w:val="21"/>
                <w:highlight w:val="none"/>
                <w:lang w:val="en-US" w:eastAsia="zh-CN"/>
              </w:rPr>
              <w:t>40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施工实施方案和进度计划</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对项目的施工实施方案进行综合评审：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hAnsi="宋体" w:cs="宋体"/>
                <w:color w:val="auto"/>
                <w:sz w:val="21"/>
                <w:szCs w:val="21"/>
                <w:highlight w:val="none"/>
                <w:lang w:eastAsia="zh-CN"/>
              </w:rPr>
              <w:t>能详述本项目情况和需求，有具体的工期进度计划（</w:t>
            </w:r>
            <w:r>
              <w:rPr>
                <w:rFonts w:hint="eastAsia" w:ascii="宋体" w:hAnsi="宋体" w:eastAsia="宋体" w:cs="宋体"/>
                <w:color w:val="auto"/>
                <w:sz w:val="21"/>
                <w:szCs w:val="21"/>
                <w:highlight w:val="none"/>
              </w:rPr>
              <w:t>进度关键线路清晰</w:t>
            </w:r>
            <w:r>
              <w:rPr>
                <w:rFonts w:hint="eastAsia" w:hAnsi="宋体" w:cs="宋体"/>
                <w:color w:val="auto"/>
                <w:sz w:val="21"/>
                <w:szCs w:val="21"/>
                <w:highlight w:val="none"/>
                <w:lang w:eastAsia="zh-CN"/>
              </w:rPr>
              <w:t>）及保证措施、拟投入的服务人员队伍架构合理；配备项目所需材料设备等资源、对施工条件的管理要求明确等，整体</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详细、</w:t>
            </w:r>
            <w:r>
              <w:rPr>
                <w:rFonts w:hint="eastAsia" w:ascii="宋体" w:hAnsi="宋体" w:eastAsia="宋体" w:cs="宋体"/>
                <w:color w:val="auto"/>
                <w:sz w:val="21"/>
                <w:szCs w:val="21"/>
                <w:highlight w:val="none"/>
              </w:rPr>
              <w:t>清晰、科学可行，得</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能基本说明项目概况，有工期进度计划；拟投入的人力、物力基本符合项目需求；</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合理，但不够详尽</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差：</w:t>
            </w:r>
            <w:r>
              <w:rPr>
                <w:rFonts w:hint="eastAsia" w:hAnsi="宋体" w:cs="宋体"/>
                <w:color w:val="auto"/>
                <w:sz w:val="21"/>
                <w:szCs w:val="21"/>
                <w:highlight w:val="none"/>
                <w:lang w:eastAsia="zh-CN"/>
              </w:rPr>
              <w:t>对项目情况不熟悉，工期进度计划不合理，</w:t>
            </w:r>
            <w:r>
              <w:rPr>
                <w:rFonts w:hint="eastAsia" w:ascii="宋体" w:hAnsi="宋体" w:eastAsia="宋体" w:cs="宋体"/>
                <w:color w:val="auto"/>
                <w:sz w:val="21"/>
                <w:szCs w:val="21"/>
                <w:highlight w:val="none"/>
              </w:rPr>
              <w:t>实施方案一般；计划措施一般</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lang w:val="zh-CN" w:eastAsia="zh-CN" w:bidi="ar-SA"/>
              </w:rPr>
            </w:pPr>
            <w:r>
              <w:rPr>
                <w:rFonts w:hint="eastAsia" w:hAnsi="宋体" w:eastAsia="宋体"/>
                <w:color w:val="auto"/>
                <w:sz w:val="21"/>
                <w:szCs w:val="21"/>
                <w:highlight w:val="none"/>
              </w:rPr>
              <w:t>安全文明施工保证措施</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color w:val="auto"/>
                <w:sz w:val="21"/>
                <w:szCs w:val="21"/>
                <w:highlight w:val="none"/>
                <w:lang w:val="en-US" w:eastAsia="zh-CN"/>
              </w:rPr>
              <w:t>8</w:t>
            </w:r>
            <w:r>
              <w:rPr>
                <w:rFonts w:hint="eastAsia" w:hAnsi="宋体" w:eastAsia="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根据各响应供应商的</w:t>
            </w:r>
            <w:r>
              <w:rPr>
                <w:rFonts w:hint="eastAsia" w:hAnsi="宋体" w:eastAsia="宋体"/>
                <w:color w:val="auto"/>
                <w:sz w:val="21"/>
                <w:szCs w:val="21"/>
                <w:highlight w:val="none"/>
              </w:rPr>
              <w:t>安全文明施工保证措施</w:t>
            </w:r>
            <w:r>
              <w:rPr>
                <w:rFonts w:hint="eastAsia" w:ascii="宋体" w:hAnsi="宋体" w:eastAsia="宋体" w:cs="宋体"/>
                <w:color w:val="auto"/>
                <w:sz w:val="21"/>
                <w:szCs w:val="21"/>
                <w:highlight w:val="none"/>
              </w:rPr>
              <w:t>进行评审：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w:t>
            </w:r>
            <w:r>
              <w:rPr>
                <w:rFonts w:hint="eastAsia" w:hAnsi="宋体" w:cs="宋体"/>
                <w:color w:val="auto"/>
                <w:sz w:val="21"/>
                <w:szCs w:val="21"/>
                <w:highlight w:val="none"/>
                <w:lang w:eastAsia="zh-CN"/>
              </w:rPr>
              <w:t>上岗人员有相应的上岗证；</w:t>
            </w:r>
            <w:r>
              <w:rPr>
                <w:rFonts w:hint="eastAsia" w:hAnsi="宋体" w:cs="宋体"/>
                <w:color w:val="auto"/>
                <w:sz w:val="21"/>
                <w:szCs w:val="21"/>
                <w:highlight w:val="none"/>
              </w:rPr>
              <w:t>严格遵守国家、省、市有关防火、爆破和施工安全以及文明施工、环卫和城管等规定，</w:t>
            </w:r>
            <w:r>
              <w:rPr>
                <w:rFonts w:hint="eastAsia" w:ascii="宋体" w:hAnsi="宋体" w:eastAsia="宋体" w:cs="宋体"/>
                <w:color w:val="auto"/>
                <w:sz w:val="21"/>
                <w:szCs w:val="21"/>
                <w:highlight w:val="none"/>
              </w:rPr>
              <w:t>管理措施和规章制度规范、完善，</w:t>
            </w:r>
            <w:r>
              <w:rPr>
                <w:rFonts w:hint="eastAsia" w:hAnsi="宋体" w:cs="宋体"/>
                <w:color w:val="auto"/>
                <w:sz w:val="21"/>
                <w:szCs w:val="21"/>
                <w:highlight w:val="none"/>
              </w:rPr>
              <w:t>并制定相应的应急预案，</w:t>
            </w:r>
            <w:r>
              <w:rPr>
                <w:rFonts w:hint="eastAsia" w:ascii="宋体" w:hAnsi="宋体" w:eastAsia="宋体" w:cs="宋体"/>
                <w:color w:val="auto"/>
                <w:sz w:val="21"/>
                <w:szCs w:val="21"/>
                <w:highlight w:val="none"/>
              </w:rPr>
              <w:t>实用性与可行性好，得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hAnsi="宋体" w:cs="宋体"/>
                <w:color w:val="auto"/>
                <w:sz w:val="21"/>
                <w:szCs w:val="21"/>
                <w:highlight w:val="none"/>
                <w:lang w:eastAsia="zh-CN"/>
              </w:rPr>
              <w:t>配备人员列表；对</w:t>
            </w:r>
            <w:r>
              <w:rPr>
                <w:rFonts w:hint="eastAsia" w:hAnsi="宋体" w:cs="宋体"/>
                <w:color w:val="auto"/>
                <w:sz w:val="21"/>
                <w:szCs w:val="21"/>
                <w:highlight w:val="none"/>
              </w:rPr>
              <w:t>国家、省、市有关防火、爆破和施工安全以及文明施工、环卫和城管等规定</w:t>
            </w:r>
            <w:r>
              <w:rPr>
                <w:rFonts w:hint="eastAsia" w:hAnsi="宋体" w:cs="宋体"/>
                <w:color w:val="auto"/>
                <w:sz w:val="21"/>
                <w:szCs w:val="21"/>
                <w:highlight w:val="none"/>
                <w:lang w:eastAsia="zh-CN"/>
              </w:rPr>
              <w:t>基本了解</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管理措施和规章制度的规范性、完善度一般，有一定的实用性与可行性，得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 xml:space="preserve">管理措施和规章制度的规范性、完善度较差，实用性与可行性较差， </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无相关描述不得分。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响应工期的承诺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满足用户需求书要求工期的基础上，对</w:t>
            </w:r>
            <w:r>
              <w:rPr>
                <w:rFonts w:hint="eastAsia" w:ascii="宋体" w:hAnsi="宋体" w:eastAsia="宋体" w:cs="宋体"/>
                <w:color w:val="auto"/>
                <w:sz w:val="21"/>
                <w:szCs w:val="21"/>
                <w:highlight w:val="none"/>
                <w:lang w:eastAsia="zh-CN"/>
              </w:rPr>
              <w:t>各供应商</w:t>
            </w:r>
            <w:r>
              <w:rPr>
                <w:rFonts w:hint="eastAsia" w:ascii="宋体" w:hAnsi="宋体" w:eastAsia="宋体" w:cs="宋体"/>
                <w:color w:val="auto"/>
                <w:sz w:val="21"/>
                <w:szCs w:val="21"/>
                <w:highlight w:val="none"/>
              </w:rPr>
              <w:t>响应工期的承诺进行</w:t>
            </w:r>
            <w:r>
              <w:rPr>
                <w:rFonts w:hint="eastAsia" w:ascii="宋体" w:hAnsi="宋体" w:eastAsia="宋体" w:cs="宋体"/>
                <w:color w:val="auto"/>
                <w:sz w:val="21"/>
                <w:szCs w:val="21"/>
                <w:highlight w:val="none"/>
                <w:lang w:eastAsia="zh-CN"/>
              </w:rPr>
              <w:t>横向</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提前工期天数由高至低排名第1名的，得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zh-CN"/>
              </w:rPr>
              <w:t>名的，得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名或以下的不得</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分</w:t>
            </w:r>
            <w:r>
              <w:rPr>
                <w:rFonts w:hint="eastAsia" w:hAnsi="宋体" w:cs="宋体"/>
                <w:color w:val="auto"/>
                <w:sz w:val="21"/>
                <w:szCs w:val="21"/>
                <w:highlight w:val="none"/>
                <w:lang w:val="zh-CN"/>
              </w:rPr>
              <w:t>。</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rPr>
              <w:t>注：提供单独的承诺函加盖公章。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4</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eastAsia="zh-CN"/>
              </w:rPr>
              <w:t>质量保证承诺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8分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提供的售后免费延保承诺进行评审，每延长半年得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分，最高得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注：提供单独的承诺函加盖公章。</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制定的项目质量保证措施进行评分：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hAnsi="宋体" w:cs="宋体"/>
                <w:color w:val="auto"/>
                <w:sz w:val="21"/>
                <w:szCs w:val="21"/>
                <w:highlight w:val="none"/>
                <w:lang w:val="zh-CN"/>
              </w:rPr>
              <w:t>能提供现行有效的施工验收规范和相关法规、规定的依据文件，</w:t>
            </w:r>
            <w:r>
              <w:rPr>
                <w:rFonts w:hint="eastAsia" w:ascii="宋体" w:hAnsi="宋体" w:eastAsia="宋体" w:cs="宋体"/>
                <w:color w:val="auto"/>
                <w:sz w:val="21"/>
                <w:szCs w:val="21"/>
                <w:highlight w:val="none"/>
                <w:lang w:val="zh-CN"/>
              </w:rPr>
              <w:t>对</w:t>
            </w:r>
            <w:r>
              <w:rPr>
                <w:rFonts w:hint="eastAsia" w:hAnsi="宋体" w:cs="宋体"/>
                <w:color w:val="auto"/>
                <w:sz w:val="21"/>
                <w:szCs w:val="21"/>
                <w:highlight w:val="none"/>
                <w:lang w:val="zh-CN"/>
              </w:rPr>
              <w:t>应</w:t>
            </w:r>
            <w:r>
              <w:rPr>
                <w:rFonts w:hint="eastAsia" w:ascii="宋体" w:hAnsi="宋体" w:eastAsia="宋体" w:cs="宋体"/>
                <w:color w:val="auto"/>
                <w:sz w:val="21"/>
                <w:szCs w:val="21"/>
                <w:highlight w:val="none"/>
                <w:lang w:val="zh-CN"/>
              </w:rPr>
              <w:t>质量标准的执行明确，保证措施</w:t>
            </w:r>
            <w:r>
              <w:rPr>
                <w:rFonts w:hint="eastAsia" w:hAnsi="宋体" w:cs="宋体"/>
                <w:color w:val="auto"/>
                <w:sz w:val="21"/>
                <w:szCs w:val="21"/>
                <w:highlight w:val="none"/>
                <w:lang w:val="zh-CN"/>
              </w:rPr>
              <w:t>合理</w:t>
            </w:r>
            <w:r>
              <w:rPr>
                <w:rFonts w:hint="eastAsia" w:ascii="宋体" w:hAnsi="宋体" w:eastAsia="宋体" w:cs="宋体"/>
                <w:color w:val="auto"/>
                <w:sz w:val="21"/>
                <w:szCs w:val="21"/>
                <w:highlight w:val="none"/>
                <w:lang w:val="zh-CN"/>
              </w:rPr>
              <w:t>、具体可行、针对性强，得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hAnsi="宋体" w:cs="宋体"/>
                <w:color w:val="auto"/>
                <w:sz w:val="21"/>
                <w:szCs w:val="21"/>
                <w:highlight w:val="none"/>
                <w:lang w:val="zh-CN"/>
              </w:rPr>
              <w:t>对现有执行的验收规定基本了解；</w:t>
            </w:r>
            <w:r>
              <w:rPr>
                <w:rFonts w:hint="eastAsia" w:ascii="宋体" w:hAnsi="宋体" w:eastAsia="宋体" w:cs="宋体"/>
                <w:color w:val="auto"/>
                <w:sz w:val="21"/>
                <w:szCs w:val="21"/>
                <w:highlight w:val="none"/>
                <w:lang w:val="zh-CN"/>
              </w:rPr>
              <w:t>对质量标准的执行较明确合理，保证措施较</w:t>
            </w:r>
            <w:r>
              <w:rPr>
                <w:rFonts w:hint="eastAsia" w:hAnsi="宋体" w:cs="宋体"/>
                <w:color w:val="auto"/>
                <w:sz w:val="21"/>
                <w:szCs w:val="21"/>
                <w:highlight w:val="none"/>
                <w:lang w:val="zh-CN"/>
              </w:rPr>
              <w:t>妥当</w:t>
            </w:r>
            <w:r>
              <w:rPr>
                <w:rFonts w:hint="eastAsia" w:ascii="宋体" w:hAnsi="宋体" w:eastAsia="宋体" w:cs="宋体"/>
                <w:color w:val="auto"/>
                <w:sz w:val="21"/>
                <w:szCs w:val="21"/>
                <w:highlight w:val="none"/>
                <w:lang w:val="zh-CN"/>
              </w:rPr>
              <w:t>、可行性较好，得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zh-CN"/>
              </w:rPr>
              <w:t>差</w:t>
            </w:r>
            <w:r>
              <w:rPr>
                <w:rFonts w:hint="eastAsia" w:ascii="宋体" w:hAnsi="宋体" w:eastAsia="宋体" w:cs="宋体"/>
                <w:color w:val="auto"/>
                <w:sz w:val="21"/>
                <w:szCs w:val="21"/>
                <w:highlight w:val="none"/>
                <w:lang w:val="zh-CN"/>
              </w:rPr>
              <w:t>：对质量标准的执行一般，保证措施一般；</w:t>
            </w:r>
            <w:r>
              <w:rPr>
                <w:rFonts w:hint="eastAsia" w:hAnsi="宋体" w:cs="宋体"/>
                <w:color w:val="auto"/>
                <w:sz w:val="21"/>
                <w:szCs w:val="21"/>
                <w:highlight w:val="none"/>
                <w:lang w:val="zh-CN"/>
              </w:rPr>
              <w:t>或</w:t>
            </w:r>
            <w:r>
              <w:rPr>
                <w:rFonts w:hint="eastAsia" w:ascii="宋体" w:hAnsi="宋体" w:eastAsia="宋体" w:cs="宋体"/>
                <w:color w:val="auto"/>
                <w:sz w:val="21"/>
                <w:szCs w:val="21"/>
                <w:highlight w:val="none"/>
                <w:lang w:val="zh-CN"/>
              </w:rPr>
              <w:t>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5</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cs="宋体"/>
                <w:color w:val="auto"/>
                <w:kern w:val="2"/>
                <w:sz w:val="21"/>
                <w:szCs w:val="21"/>
                <w:highlight w:val="none"/>
                <w:lang w:eastAsia="zh-CN"/>
              </w:rPr>
            </w:pPr>
            <w:r>
              <w:rPr>
                <w:rFonts w:hint="eastAsia" w:cs="宋体"/>
                <w:color w:val="auto"/>
                <w:kern w:val="2"/>
                <w:sz w:val="21"/>
                <w:szCs w:val="21"/>
                <w:highlight w:val="none"/>
                <w:lang w:eastAsia="zh-CN"/>
              </w:rPr>
              <w:t>应急措施</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5分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after="0"/>
              <w:ind w:firstLine="420" w:firstLineChars="200"/>
              <w:rPr>
                <w:rFonts w:ascii="宋体" w:eastAsia="宋体" w:cs="宋体"/>
                <w:bCs/>
                <w:color w:val="FF0000"/>
                <w:sz w:val="21"/>
                <w:szCs w:val="21"/>
                <w:highlight w:val="none"/>
              </w:rPr>
            </w:pPr>
            <w:r>
              <w:rPr>
                <w:rFonts w:hint="eastAsia" w:ascii="宋体" w:eastAsia="宋体" w:cs="宋体"/>
                <w:bCs/>
                <w:color w:val="FF0000"/>
                <w:sz w:val="21"/>
                <w:szCs w:val="21"/>
                <w:highlight w:val="none"/>
              </w:rPr>
              <w:t>根据供应商应急措施的完整性和效果等情况进行综合评价：</w:t>
            </w:r>
          </w:p>
          <w:p>
            <w:pPr>
              <w:adjustRightInd/>
              <w:snapToGrid/>
              <w:spacing w:after="0"/>
              <w:ind w:firstLine="420" w:firstLineChars="200"/>
              <w:rPr>
                <w:rFonts w:ascii="宋体" w:eastAsia="宋体" w:cs="宋体"/>
                <w:bCs/>
                <w:color w:val="FF0000"/>
                <w:sz w:val="21"/>
                <w:szCs w:val="21"/>
                <w:highlight w:val="none"/>
              </w:rPr>
            </w:pPr>
            <w:r>
              <w:rPr>
                <w:rFonts w:hint="eastAsia" w:ascii="宋体" w:eastAsia="宋体" w:cs="宋体"/>
                <w:bCs/>
                <w:color w:val="FF0000"/>
                <w:sz w:val="21"/>
                <w:szCs w:val="21"/>
                <w:highlight w:val="none"/>
              </w:rPr>
              <w:t>供应商有详细具体的应急</w:t>
            </w:r>
            <w:r>
              <w:rPr>
                <w:rFonts w:hint="eastAsia" w:cs="宋体"/>
                <w:bCs/>
                <w:color w:val="FF0000"/>
                <w:sz w:val="21"/>
                <w:szCs w:val="21"/>
                <w:highlight w:val="none"/>
                <w:lang w:eastAsia="zh-CN"/>
              </w:rPr>
              <w:t>措施</w:t>
            </w:r>
            <w:r>
              <w:rPr>
                <w:rFonts w:hint="eastAsia" w:ascii="宋体" w:eastAsia="宋体" w:cs="宋体"/>
                <w:bCs/>
                <w:color w:val="FF0000"/>
                <w:sz w:val="21"/>
                <w:szCs w:val="21"/>
                <w:highlight w:val="none"/>
              </w:rPr>
              <w:t>且针对性强，</w:t>
            </w:r>
            <w:r>
              <w:rPr>
                <w:rFonts w:hint="eastAsia" w:cs="宋体"/>
                <w:bCs/>
                <w:color w:val="FF0000"/>
                <w:sz w:val="21"/>
                <w:szCs w:val="21"/>
                <w:highlight w:val="none"/>
                <w:lang w:eastAsia="zh-CN"/>
              </w:rPr>
              <w:t>措施</w:t>
            </w:r>
            <w:r>
              <w:rPr>
                <w:rFonts w:hint="eastAsia" w:ascii="宋体" w:eastAsia="宋体" w:cs="宋体"/>
                <w:bCs/>
                <w:color w:val="FF0000"/>
                <w:sz w:val="21"/>
                <w:szCs w:val="21"/>
                <w:highlight w:val="none"/>
              </w:rPr>
              <w:t>完善的，的得5分；</w:t>
            </w:r>
          </w:p>
          <w:p>
            <w:pPr>
              <w:adjustRightInd/>
              <w:snapToGrid/>
              <w:spacing w:after="0"/>
              <w:ind w:firstLine="420" w:firstLineChars="200"/>
              <w:rPr>
                <w:rFonts w:ascii="宋体" w:eastAsia="宋体" w:cs="宋体"/>
                <w:bCs/>
                <w:color w:val="FF0000"/>
                <w:sz w:val="21"/>
                <w:szCs w:val="21"/>
                <w:highlight w:val="none"/>
              </w:rPr>
            </w:pPr>
            <w:r>
              <w:rPr>
                <w:rFonts w:hint="eastAsia" w:ascii="宋体" w:eastAsia="宋体" w:cs="宋体"/>
                <w:bCs/>
                <w:color w:val="FF0000"/>
                <w:sz w:val="21"/>
                <w:szCs w:val="21"/>
                <w:highlight w:val="none"/>
              </w:rPr>
              <w:t>供应商提供的</w:t>
            </w:r>
            <w:r>
              <w:rPr>
                <w:rFonts w:hint="eastAsia" w:cs="宋体"/>
                <w:bCs/>
                <w:color w:val="FF0000"/>
                <w:sz w:val="21"/>
                <w:szCs w:val="21"/>
                <w:highlight w:val="none"/>
                <w:lang w:eastAsia="zh-CN"/>
              </w:rPr>
              <w:t>有</w:t>
            </w:r>
            <w:r>
              <w:rPr>
                <w:rFonts w:hint="eastAsia" w:ascii="宋体" w:eastAsia="宋体" w:cs="宋体"/>
                <w:bCs/>
                <w:color w:val="FF0000"/>
                <w:sz w:val="21"/>
                <w:szCs w:val="21"/>
                <w:highlight w:val="none"/>
              </w:rPr>
              <w:t>应急</w:t>
            </w:r>
            <w:r>
              <w:rPr>
                <w:rFonts w:hint="eastAsia" w:cs="宋体"/>
                <w:bCs/>
                <w:color w:val="FF0000"/>
                <w:sz w:val="21"/>
                <w:szCs w:val="21"/>
                <w:highlight w:val="none"/>
                <w:lang w:eastAsia="zh-CN"/>
              </w:rPr>
              <w:t>措施</w:t>
            </w:r>
            <w:r>
              <w:rPr>
                <w:rFonts w:hint="eastAsia" w:ascii="宋体" w:eastAsia="宋体" w:cs="宋体"/>
                <w:bCs/>
                <w:color w:val="FF0000"/>
                <w:sz w:val="21"/>
                <w:szCs w:val="21"/>
                <w:highlight w:val="none"/>
              </w:rPr>
              <w:t>但针对性一般的，得3分；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FF0000"/>
                <w:sz w:val="21"/>
                <w:szCs w:val="21"/>
                <w:highlight w:val="none"/>
                <w:lang w:val="zh-CN" w:eastAsia="zh-CN" w:bidi="ar-SA"/>
              </w:rPr>
            </w:pPr>
            <w:r>
              <w:rPr>
                <w:rFonts w:hint="eastAsia" w:ascii="宋体" w:eastAsia="宋体" w:cs="宋体"/>
                <w:bCs/>
                <w:color w:val="FF0000"/>
                <w:sz w:val="21"/>
                <w:szCs w:val="21"/>
                <w:highlight w:val="none"/>
              </w:rPr>
              <w:t>提供的应急</w:t>
            </w:r>
            <w:r>
              <w:rPr>
                <w:rFonts w:hint="eastAsia" w:cs="宋体"/>
                <w:bCs/>
                <w:color w:val="FF0000"/>
                <w:sz w:val="21"/>
                <w:szCs w:val="21"/>
                <w:highlight w:val="none"/>
                <w:lang w:eastAsia="zh-CN"/>
              </w:rPr>
              <w:t>措施</w:t>
            </w:r>
            <w:r>
              <w:rPr>
                <w:rFonts w:hint="eastAsia" w:ascii="宋体" w:eastAsia="宋体" w:cs="宋体"/>
                <w:bCs/>
                <w:color w:val="FF0000"/>
                <w:sz w:val="21"/>
                <w:szCs w:val="21"/>
                <w:highlight w:val="none"/>
              </w:rPr>
              <w:t>一般，针对性较差的</w:t>
            </w:r>
            <w:r>
              <w:rPr>
                <w:rFonts w:hint="eastAsia" w:ascii="宋体" w:eastAsia="宋体" w:cs="宋体"/>
                <w:bCs/>
                <w:color w:val="FF0000"/>
                <w:sz w:val="21"/>
                <w:szCs w:val="21"/>
                <w:highlight w:val="none"/>
                <w:lang w:val="en-US" w:eastAsia="zh-CN"/>
              </w:rPr>
              <w:t>不得分</w:t>
            </w:r>
            <w:r>
              <w:rPr>
                <w:rFonts w:hint="eastAsia" w:ascii="宋体" w:eastAsia="宋体" w:cs="宋体"/>
                <w:bCs/>
                <w:color w:val="FF0000"/>
                <w:sz w:val="21"/>
                <w:szCs w:val="21"/>
                <w:highlight w:val="none"/>
              </w:rPr>
              <w:t>。</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4"/>
        <w:keepNext/>
        <w:keepLines/>
        <w:pageBreakBefore/>
        <w:numPr>
          <w:ilvl w:val="0"/>
          <w:numId w:val="14"/>
        </w:numPr>
        <w:spacing w:line="360" w:lineRule="auto"/>
        <w:jc w:val="center"/>
        <w:rPr>
          <w:rFonts w:hAnsi="宋体"/>
          <w:b/>
          <w:bCs/>
          <w:color w:val="auto"/>
          <w:highlight w:val="none"/>
        </w:rPr>
      </w:pPr>
      <w:bookmarkStart w:id="150" w:name="_Toc15636"/>
      <w:r>
        <w:rPr>
          <w:rFonts w:hint="eastAsia" w:hAnsi="宋体"/>
          <w:b/>
          <w:bCs/>
          <w:color w:val="auto"/>
          <w:kern w:val="44"/>
          <w:sz w:val="28"/>
          <w:szCs w:val="28"/>
          <w:highlight w:val="none"/>
          <w:lang w:val="zh-CN"/>
        </w:rPr>
        <w:t>合同条款格式</w:t>
      </w:r>
      <w:bookmarkEnd w:id="150"/>
    </w:p>
    <w:p>
      <w:pPr>
        <w:rPr>
          <w:rFonts w:hint="eastAsia" w:eastAsia="宋体"/>
          <w:color w:val="auto"/>
          <w:highlight w:val="none"/>
          <w:lang w:val="en-US" w:eastAsia="zh-CN"/>
        </w:rPr>
      </w:pPr>
    </w:p>
    <w:p>
      <w:pPr>
        <w:spacing w:line="400" w:lineRule="exact"/>
        <w:jc w:val="center"/>
        <w:rPr>
          <w:rFonts w:eastAsia="方正小标宋简体"/>
          <w:b/>
          <w:bCs/>
          <w:color w:val="auto"/>
          <w:sz w:val="36"/>
          <w:szCs w:val="36"/>
          <w:highlight w:val="none"/>
        </w:rPr>
      </w:pPr>
      <w:r>
        <w:rPr>
          <w:rFonts w:eastAsia="方正小标宋简体"/>
          <w:b/>
          <w:bCs/>
          <w:color w:val="auto"/>
          <w:sz w:val="30"/>
          <w:szCs w:val="30"/>
          <w:highlight w:val="none"/>
        </w:rPr>
        <w:t>工程施工合同</w:t>
      </w:r>
    </w:p>
    <w:p>
      <w:pPr>
        <w:widowControl/>
        <w:ind w:firstLine="5400" w:firstLineChars="1800"/>
        <w:rPr>
          <w:rFonts w:eastAsia="方正小标宋简体"/>
          <w:color w:val="auto"/>
          <w:sz w:val="30"/>
          <w:szCs w:val="30"/>
          <w:highlight w:val="none"/>
        </w:rPr>
      </w:pPr>
    </w:p>
    <w:p>
      <w:pPr>
        <w:spacing w:line="600" w:lineRule="exact"/>
        <w:rPr>
          <w:rFonts w:hint="eastAsia" w:hAnsi="宋体" w:cs="宋体"/>
          <w:color w:val="auto"/>
          <w:sz w:val="21"/>
          <w:szCs w:val="21"/>
          <w:highlight w:val="none"/>
        </w:rPr>
      </w:pPr>
      <w:r>
        <w:rPr>
          <w:rFonts w:hint="eastAsia" w:hAnsi="宋体" w:cs="宋体"/>
          <w:b/>
          <w:color w:val="auto"/>
          <w:sz w:val="21"/>
          <w:szCs w:val="21"/>
          <w:highlight w:val="none"/>
        </w:rPr>
        <w:t>发包人：</w:t>
      </w:r>
      <w:r>
        <w:rPr>
          <w:rFonts w:hint="eastAsia" w:hAnsi="宋体" w:cs="宋体"/>
          <w:b/>
          <w:color w:val="auto"/>
          <w:sz w:val="21"/>
          <w:szCs w:val="21"/>
          <w:highlight w:val="none"/>
          <w:u w:val="single"/>
        </w:rPr>
        <w:t>东莞市大学创新城建设发展有限公司</w:t>
      </w:r>
      <w:r>
        <w:rPr>
          <w:rFonts w:hint="eastAsia" w:hAnsi="宋体" w:cs="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cs="宋体"/>
          <w:b/>
          <w:color w:val="auto"/>
          <w:sz w:val="21"/>
          <w:szCs w:val="21"/>
          <w:highlight w:val="none"/>
        </w:rPr>
        <w:t>承包人：</w:t>
      </w:r>
      <w:r>
        <w:rPr>
          <w:rFonts w:hint="eastAsia" w:hAnsi="宋体" w:cs="宋体"/>
          <w:b/>
          <w:color w:val="auto"/>
          <w:sz w:val="21"/>
          <w:szCs w:val="21"/>
          <w:highlight w:val="none"/>
          <w:u w:val="single"/>
        </w:rPr>
        <w:t xml:space="preserve">                          </w:t>
      </w:r>
      <w:r>
        <w:rPr>
          <w:rFonts w:hint="eastAsia" w:hAnsi="宋体" w:cs="宋体"/>
          <w:b/>
          <w:color w:val="auto"/>
          <w:sz w:val="21"/>
          <w:szCs w:val="21"/>
          <w:highlight w:val="none"/>
          <w:u w:val="single"/>
          <w:lang w:val="en-US" w:eastAsia="zh-CN"/>
        </w:rPr>
        <w:t xml:space="preserve">     </w:t>
      </w:r>
      <w:r>
        <w:rPr>
          <w:rFonts w:hint="eastAsia" w:hAnsi="宋体" w:cs="宋体"/>
          <w:b/>
          <w:color w:val="auto"/>
          <w:sz w:val="21"/>
          <w:szCs w:val="21"/>
          <w:highlight w:val="none"/>
          <w:u w:val="single"/>
        </w:rPr>
        <w:t xml:space="preserve">  </w:t>
      </w:r>
      <w:r>
        <w:rPr>
          <w:rFonts w:hint="eastAsia" w:hAnsi="宋体" w:cs="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按照《中华人民共和国</w:t>
      </w:r>
      <w:r>
        <w:rPr>
          <w:rFonts w:hint="eastAsia" w:hAnsi="宋体" w:cs="宋体"/>
          <w:color w:val="auto"/>
          <w:sz w:val="21"/>
          <w:szCs w:val="21"/>
          <w:highlight w:val="none"/>
          <w:lang w:eastAsia="zh-CN"/>
        </w:rPr>
        <w:t>民法典</w:t>
      </w:r>
      <w:r>
        <w:rPr>
          <w:rFonts w:hint="eastAsia" w:hAnsi="宋体" w:cs="宋体"/>
          <w:color w:val="auto"/>
          <w:sz w:val="21"/>
          <w:szCs w:val="21"/>
          <w:highlight w:val="none"/>
        </w:rPr>
        <w:t>》等有关法律法规的规定，结合本工程实际情况，遵守平等、自愿、公平和诚实信用原则，经双方协商达成如下协议：</w:t>
      </w:r>
    </w:p>
    <w:p>
      <w:pP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 xml:space="preserve">一 </w:t>
      </w:r>
      <w:r>
        <w:rPr>
          <w:rFonts w:eastAsia="仿宋_GB2312"/>
          <w:b/>
          <w:bCs/>
          <w:color w:val="auto"/>
          <w:sz w:val="21"/>
          <w:szCs w:val="21"/>
          <w:highlight w:val="none"/>
        </w:rPr>
        <w:t>工程概况</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（一）工程名称：</w:t>
      </w:r>
      <w:r>
        <w:rPr>
          <w:rFonts w:hint="eastAsia" w:hAnsi="宋体" w:cs="宋体"/>
          <w:color w:val="auto"/>
          <w:sz w:val="21"/>
          <w:szCs w:val="21"/>
          <w:highlight w:val="none"/>
          <w:lang w:eastAsia="zh-CN"/>
        </w:rPr>
        <w:t>松山湖大学创新城--消控室联动控制项目</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（二）工程地点：</w:t>
      </w:r>
      <w:r>
        <w:rPr>
          <w:rFonts w:hint="eastAsia" w:hAnsi="宋体" w:cs="宋体"/>
          <w:color w:val="auto"/>
          <w:sz w:val="21"/>
          <w:szCs w:val="21"/>
          <w:highlight w:val="none"/>
          <w:u w:val="single"/>
        </w:rPr>
        <w:t xml:space="preserve"> 东莞市松山湖大学创新城  </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（三）工程内容及施工范围：            </w:t>
      </w:r>
      <w:r>
        <w:rPr>
          <w:rFonts w:hint="eastAsia" w:hAnsi="宋体" w:cs="宋体"/>
          <w:color w:val="auto"/>
          <w:sz w:val="21"/>
          <w:szCs w:val="21"/>
          <w:highlight w:val="none"/>
          <w:u w:val="singl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以上施工范围未尽事宜，请详见施工图纸，并满足设计文件要求。</w:t>
      </w:r>
    </w:p>
    <w:p>
      <w:pPr>
        <w:spacing w:line="600" w:lineRule="exact"/>
        <w:ind w:firstLine="210" w:firstLineChars="100"/>
        <w:rPr>
          <w:rFonts w:hint="eastAsia" w:hAnsi="宋体" w:cs="宋体"/>
          <w:color w:val="auto"/>
          <w:sz w:val="21"/>
          <w:szCs w:val="21"/>
          <w:highlight w:val="none"/>
        </w:rPr>
      </w:pPr>
      <w:r>
        <w:rPr>
          <w:rFonts w:hint="eastAsia" w:hAnsi="宋体" w:cs="宋体"/>
          <w:color w:val="auto"/>
          <w:sz w:val="21"/>
          <w:szCs w:val="21"/>
          <w:highlight w:val="none"/>
        </w:rPr>
        <w:t xml:space="preserve">  （四）本工程按合同总价一次包干：乙方包工包料、包机械设备、包承包期、包质量、包安全、包</w:t>
      </w:r>
      <w:r>
        <w:rPr>
          <w:rFonts w:hint="eastAsia" w:hAnsi="宋体" w:cs="宋体"/>
          <w:color w:val="auto"/>
          <w:sz w:val="21"/>
          <w:szCs w:val="21"/>
          <w:highlight w:val="none"/>
          <w:lang w:val="en-US" w:eastAsia="zh-CN"/>
        </w:rPr>
        <w:t>验</w:t>
      </w:r>
      <w:r>
        <w:rPr>
          <w:rFonts w:hint="eastAsia" w:hAnsi="宋体" w:cs="宋体"/>
          <w:color w:val="auto"/>
          <w:sz w:val="21"/>
          <w:szCs w:val="21"/>
          <w:highlight w:val="none"/>
        </w:rPr>
        <w:t>收；</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（五）工期：总工期为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日历天，以甲方通知的实际开工报告日期为准；</w:t>
      </w:r>
    </w:p>
    <w:p>
      <w:pPr>
        <w:tabs>
          <w:tab w:val="left" w:pos="3405"/>
        </w:tabs>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（六）合同价款</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1.本工程合同总价款为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）。其中，单列部分的安全防护、文明施工费为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2.在工程实施期间，因施工图纸设计发生的设计变更、工程签证等项目，经甲方确认后，按如下计取：建设工程预算审核书中有适用或类似相应综合单价的项目，参照执行，无适用或类似单价的项目，其综合单价按施工当月东莞市政府造价部门公布的信息价，无信息价的按市场价计取，计价原则参照预算审核原则。</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 工程质量及验收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（一）工程质量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应严格按照施工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本合同工程交工验收后，为了按期完成工程竣工决算审查、审计及竣工验收工作，如</w:t>
      </w:r>
      <w:r>
        <w:rPr>
          <w:rFonts w:hint="eastAsia" w:hAnsi="宋体" w:cs="宋体"/>
          <w:color w:val="auto"/>
          <w:sz w:val="21"/>
          <w:szCs w:val="21"/>
          <w:highlight w:val="none"/>
          <w:lang w:eastAsia="zh-CN"/>
        </w:rPr>
        <w:t>甲方</w:t>
      </w:r>
      <w:r>
        <w:rPr>
          <w:rFonts w:hint="eastAsia" w:hAnsi="宋体" w:cs="宋体"/>
          <w:color w:val="auto"/>
          <w:sz w:val="21"/>
          <w:szCs w:val="21"/>
          <w:highlight w:val="none"/>
        </w:rPr>
        <w:t>和</w:t>
      </w:r>
      <w:r>
        <w:rPr>
          <w:rFonts w:hint="eastAsia" w:hAnsi="宋体" w:cs="宋体"/>
          <w:color w:val="auto"/>
          <w:sz w:val="21"/>
          <w:szCs w:val="21"/>
          <w:highlight w:val="none"/>
          <w:lang w:eastAsia="zh-CN"/>
        </w:rPr>
        <w:t>乙方</w:t>
      </w:r>
      <w:r>
        <w:rPr>
          <w:rFonts w:hint="eastAsia" w:hAnsi="宋体" w:cs="宋体"/>
          <w:color w:val="auto"/>
          <w:sz w:val="21"/>
          <w:szCs w:val="21"/>
          <w:highlight w:val="none"/>
        </w:rPr>
        <w:t>对结算确实存在分歧，经双方协商未果情况下，</w:t>
      </w:r>
      <w:r>
        <w:rPr>
          <w:rFonts w:hint="eastAsia" w:hAnsi="宋体" w:cs="宋体"/>
          <w:color w:val="auto"/>
          <w:sz w:val="21"/>
          <w:szCs w:val="21"/>
          <w:highlight w:val="none"/>
          <w:lang w:eastAsia="zh-CN"/>
        </w:rPr>
        <w:t>甲方</w:t>
      </w:r>
      <w:r>
        <w:rPr>
          <w:rFonts w:hint="eastAsia" w:hAnsi="宋体" w:cs="宋体"/>
          <w:color w:val="auto"/>
          <w:sz w:val="21"/>
          <w:szCs w:val="21"/>
          <w:highlight w:val="none"/>
        </w:rPr>
        <w:t>有权进行合同单方结算，</w:t>
      </w:r>
      <w:r>
        <w:rPr>
          <w:rFonts w:hint="eastAsia" w:hAnsi="宋体" w:cs="宋体"/>
          <w:color w:val="auto"/>
          <w:sz w:val="21"/>
          <w:szCs w:val="21"/>
          <w:highlight w:val="none"/>
          <w:lang w:eastAsia="zh-CN"/>
        </w:rPr>
        <w:t>乙方</w:t>
      </w:r>
      <w:r>
        <w:rPr>
          <w:rFonts w:hint="eastAsia" w:hAnsi="宋体" w:cs="宋体"/>
          <w:color w:val="auto"/>
          <w:sz w:val="21"/>
          <w:szCs w:val="21"/>
          <w:highlight w:val="none"/>
        </w:rPr>
        <w:t>须无条件接受。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2.验收方式：甲方根据国家有关施工验收规范及甲方提出的相关技术指标要求对工程进行验收。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3.工程具备竣工验收条件，乙方与甲方联系，确定验收日期，甲方组织双方参加的竣工验收。甲方应在竣工验收当天后 5 天内提出整改意见，乙方按意见及要求进行整改。</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4.竣工验收参加单位为甲方、乙方、设计单位，工程竣工验收文件所标示的最后日期即为实际竣工日期。</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5.乙方应于竣工验收前将完整的</w:t>
      </w:r>
      <w:r>
        <w:rPr>
          <w:rFonts w:hint="eastAsia" w:hAnsi="宋体" w:cs="宋体"/>
          <w:color w:val="auto"/>
          <w:sz w:val="21"/>
          <w:szCs w:val="21"/>
          <w:highlight w:val="none"/>
          <w:lang w:eastAsia="zh-CN"/>
        </w:rPr>
        <w:t>竣工资料及</w:t>
      </w:r>
      <w:r>
        <w:rPr>
          <w:rFonts w:hint="eastAsia" w:hAnsi="宋体" w:cs="宋体"/>
          <w:color w:val="auto"/>
          <w:sz w:val="21"/>
          <w:szCs w:val="21"/>
          <w:highlight w:val="none"/>
        </w:rPr>
        <w:t>竣工图一式两份交付给甲方。</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三 工程付款方式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本合同采用按工期节点进度付款，具体付款方式如下：</w:t>
      </w:r>
    </w:p>
    <w:p>
      <w:pPr>
        <w:snapToGrid w:val="0"/>
        <w:spacing w:line="600" w:lineRule="exact"/>
        <w:ind w:firstLine="420" w:firstLineChars="200"/>
        <w:rPr>
          <w:rFonts w:hint="eastAsia" w:hAnsi="宋体" w:cs="宋体"/>
          <w:color w:val="auto"/>
          <w:sz w:val="21"/>
          <w:szCs w:val="21"/>
          <w:highlight w:val="none"/>
        </w:rPr>
      </w:pPr>
      <w:bookmarkStart w:id="151" w:name="OLE_LINK1"/>
      <w:r>
        <w:rPr>
          <w:rFonts w:hint="eastAsia" w:hAnsi="宋体" w:cs="宋体"/>
          <w:color w:val="auto"/>
          <w:sz w:val="21"/>
          <w:szCs w:val="21"/>
          <w:highlight w:val="none"/>
        </w:rPr>
        <w:t>（</w:t>
      </w:r>
      <w:r>
        <w:rPr>
          <w:rFonts w:hint="eastAsia" w:hAnsi="宋体" w:cs="宋体"/>
          <w:color w:val="auto"/>
          <w:sz w:val="21"/>
          <w:szCs w:val="21"/>
          <w:highlight w:val="none"/>
          <w:lang w:eastAsia="zh-CN"/>
        </w:rPr>
        <w:t>一</w:t>
      </w:r>
      <w:r>
        <w:rPr>
          <w:rFonts w:hint="eastAsia" w:hAnsi="宋体" w:cs="宋体"/>
          <w:color w:val="auto"/>
          <w:sz w:val="21"/>
          <w:szCs w:val="21"/>
          <w:highlight w:val="none"/>
        </w:rPr>
        <w:t>）工程进度款按月支付，每个月支付完成工程量造价的80%；待支付至合同款的80%不再进行进度款支付；</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hAnsi="宋体" w:cs="宋体"/>
          <w:color w:val="auto"/>
          <w:sz w:val="21"/>
          <w:szCs w:val="21"/>
          <w:highlight w:val="none"/>
        </w:rPr>
        <w:t>并办理完结算后，乙方提交完整的请款资料，甲方在收到请款资料后20个工作日内乙方支付至结算总价97%。</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三</w:t>
      </w:r>
      <w:r>
        <w:rPr>
          <w:rFonts w:hint="eastAsia" w:hAnsi="宋体" w:cs="宋体"/>
          <w:color w:val="auto"/>
          <w:sz w:val="21"/>
          <w:szCs w:val="21"/>
          <w:highlight w:val="none"/>
        </w:rPr>
        <w:t>）工程质量保修金为结算总价3%，满</w:t>
      </w:r>
      <w:r>
        <w:rPr>
          <w:rFonts w:hint="eastAsia" w:hAnsi="宋体" w:cs="宋体"/>
          <w:color w:val="auto"/>
          <w:sz w:val="21"/>
          <w:szCs w:val="21"/>
          <w:highlight w:val="none"/>
          <w:u w:val="single"/>
        </w:rPr>
        <w:t>两</w:t>
      </w:r>
      <w:r>
        <w:rPr>
          <w:rFonts w:hint="eastAsia" w:hAnsi="宋体" w:cs="宋体"/>
          <w:color w:val="auto"/>
          <w:sz w:val="21"/>
          <w:szCs w:val="21"/>
          <w:highlight w:val="none"/>
        </w:rPr>
        <w:t>年质保期后无质量问题的申请支付余款。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四</w:t>
      </w:r>
      <w:r>
        <w:rPr>
          <w:rFonts w:hint="eastAsia" w:hAnsi="宋体" w:cs="宋体"/>
          <w:color w:val="auto"/>
          <w:sz w:val="21"/>
          <w:szCs w:val="21"/>
          <w:highlight w:val="none"/>
        </w:rPr>
        <w:t>）每次支付工程款项时，乙方必须提供税率为9%的增值税专用发票。若有税率调整，按最新政策税率执行，结算时按不含税价*新税率调整。</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四 履约担保</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（一）若乙方提交履约保函，履约保函的内容及格式应先征求甲方同意，并应满足以下规定：</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1.履约保函必须是无条件不可撤销保函。</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3.履约保函担保金额为合同价的10％。</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4.履约保函的期限应从合同签订到工程竣工验收合格并按有关规定审核结算后28天内保持有效。</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6.履约保函开具或延期所产生的费用由乙方承担</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履约保证金汇入以下专用账户：</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账户名称：东莞市大学创新城建设发展有限公司</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    号：1060 1651 6010 0036 35</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开 户 行：广发银行松山湖支行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（三）乙方如逾期未能缴纳履约保证金或提供银行履约保函，甲方有权废除乙方的</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资格，并保留没收</w:t>
      </w:r>
      <w:r>
        <w:rPr>
          <w:rFonts w:hint="eastAsia" w:hAnsi="宋体" w:cs="宋体"/>
          <w:color w:val="auto"/>
          <w:sz w:val="21"/>
          <w:szCs w:val="21"/>
          <w:highlight w:val="none"/>
          <w:lang w:eastAsia="zh-CN"/>
        </w:rPr>
        <w:t>磋商</w:t>
      </w:r>
      <w:r>
        <w:rPr>
          <w:rFonts w:hint="eastAsia" w:hAnsi="宋体" w:cs="宋体"/>
          <w:color w:val="auto"/>
          <w:sz w:val="21"/>
          <w:szCs w:val="21"/>
          <w:highlight w:val="none"/>
        </w:rPr>
        <w:t>保证金的权利。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（四）履约保证金的退还</w:t>
      </w:r>
    </w:p>
    <w:p>
      <w:pPr>
        <w:spacing w:line="600" w:lineRule="exact"/>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乙方向甲方缴纳的上述履约保证金，在工程竣工验收合格并按有关规定审核结算后无息退还。</w:t>
      </w:r>
      <w:bookmarkEnd w:id="151"/>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五 工程变更及合理化建议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1.如果甲方认为有必要对工程或其中任何部分的形式、质量或数量作出任何变更，则甲方有权指示乙方进行下述任何工作，乙方应遵照执行：</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(1)增加或减少合同中所包括的任何工作的数量；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(2)省略合同中所包括的任何工作；</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(3)改变合同中所包括的任何工作的性质、质量或类型；</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(4)改变工程任何部分的标高、基线、位置或尺寸；</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(5)改变工程任何部分的施工顺序或时间安排。</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上述变更不应以任何方式使合同作废或失效，但对所有上述变更对工程价值的影响（如有）应按合同相关条款计价。</w:t>
      </w:r>
    </w:p>
    <w:p>
      <w:pPr>
        <w:spacing w:line="600" w:lineRule="exact"/>
        <w:ind w:firstLine="525" w:firstLineChars="250"/>
        <w:rPr>
          <w:rFonts w:hint="eastAsia" w:hAnsi="宋体" w:cs="宋体"/>
          <w:b/>
          <w:color w:val="auto"/>
          <w:sz w:val="21"/>
          <w:szCs w:val="21"/>
          <w:highlight w:val="none"/>
        </w:rPr>
      </w:pPr>
      <w:r>
        <w:rPr>
          <w:rFonts w:hint="eastAsia" w:hAnsi="宋体" w:cs="宋体"/>
          <w:color w:val="auto"/>
          <w:sz w:val="21"/>
          <w:szCs w:val="21"/>
          <w:highlight w:val="none"/>
        </w:rPr>
        <w:t>2.在工程实施期间，因施工图纸设计发生的设计变更、施工图纸外发生的工程签证等项目，经甲方审批确认后实施。</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（二）乙方提出的合理化建议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除非本合同另有约定，在合同履约过程中乙方有责任和义务以书面形式向甲方提出任何有关本工程设计和施工的合理化建议。在下列条件全部满足时，乙方的合理化建议构成本条所指的变更：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1.乙方的合理化建议被证明是出于有利于甲方实现其本工程的目的和利益，或者是由于合同图纸、设计变更等有合同约束力的文件中的错误或明显不合理或明显不可行；</w:t>
      </w:r>
    </w:p>
    <w:p>
      <w:pPr>
        <w:snapToGrid w:val="0"/>
        <w:spacing w:line="600" w:lineRule="exact"/>
        <w:ind w:firstLine="420" w:firstLineChars="200"/>
        <w:rPr>
          <w:rFonts w:hint="eastAsia" w:hAnsi="宋体" w:cs="宋体"/>
          <w:color w:val="auto"/>
          <w:sz w:val="21"/>
          <w:szCs w:val="21"/>
          <w:highlight w:val="none"/>
        </w:rPr>
      </w:pPr>
      <w:bookmarkStart w:id="152" w:name="_Toc299660262"/>
      <w:bookmarkStart w:id="153" w:name="_Toc257904141"/>
      <w:bookmarkStart w:id="154" w:name="_Toc229302932"/>
      <w:bookmarkStart w:id="155" w:name="_Toc240269407"/>
      <w:bookmarkStart w:id="156" w:name="_Toc220295274"/>
      <w:bookmarkStart w:id="157" w:name="_Toc299746078"/>
      <w:bookmarkStart w:id="158" w:name="_Toc243986907"/>
      <w:bookmarkStart w:id="159" w:name="_Toc220293671"/>
      <w:bookmarkStart w:id="160" w:name="_Toc174269088"/>
      <w:bookmarkStart w:id="161" w:name="_Toc174273244"/>
      <w:bookmarkStart w:id="162" w:name="_Toc220294650"/>
      <w:bookmarkStart w:id="163" w:name="_Toc299659890"/>
      <w:bookmarkStart w:id="164" w:name="_Toc246408540"/>
      <w:bookmarkStart w:id="165" w:name="_Toc220293325"/>
      <w:bookmarkStart w:id="166" w:name="_Toc220294962"/>
      <w:bookmarkStart w:id="167" w:name="_Toc300242200"/>
      <w:bookmarkStart w:id="168" w:name="_Toc220292915"/>
      <w:bookmarkStart w:id="169" w:name="_Toc299660633"/>
      <w:bookmarkStart w:id="170" w:name="_Toc220292602"/>
      <w:bookmarkStart w:id="171" w:name="_Toc229302590"/>
      <w:r>
        <w:rPr>
          <w:rFonts w:hint="eastAsia" w:hAnsi="宋体" w:cs="宋体"/>
          <w:color w:val="auto"/>
          <w:sz w:val="21"/>
          <w:szCs w:val="21"/>
          <w:highlight w:val="none"/>
        </w:rPr>
        <w:t>2.乙方已恰当履行了约定的义务。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（三）现场签证、设计变更计价和付款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变更签证》所涉及的费用均按合同相关条款约定计算。经审核及确认后，可与进度款同期支付。将在乙方所承包的全部工程竣工并移交且乙方向甲方提供齐备完善的竣工验收资料、结算资料后，变更签证价款作为结算总价款的组成部分之一。</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六 双方义务</w:t>
      </w:r>
    </w:p>
    <w:p>
      <w:pPr>
        <w:spacing w:line="600" w:lineRule="exact"/>
        <w:ind w:left="-120" w:leftChars="-50" w:firstLine="210" w:firstLineChars="100"/>
        <w:rPr>
          <w:rFonts w:hint="eastAsia" w:hAnsi="宋体" w:cs="宋体"/>
          <w:color w:val="auto"/>
          <w:sz w:val="21"/>
          <w:szCs w:val="21"/>
          <w:highlight w:val="none"/>
        </w:rPr>
      </w:pPr>
      <w:r>
        <w:rPr>
          <w:rFonts w:hint="eastAsia" w:hAnsi="宋体" w:cs="宋体"/>
          <w:color w:val="auto"/>
          <w:sz w:val="21"/>
          <w:szCs w:val="21"/>
          <w:highlight w:val="none"/>
        </w:rPr>
        <w:t>（一）甲方义务</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负责对工程建设进行全面管理，解决施工过程中出现的需要甲方协调的相关问题，并参与工程的初验、各种验收和签证工作。如变更现场代表应及时通知乙方。</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2.及时对工程进度、工程质量进行监督检查，参加材料报验、样板验收、组织工程的初验，接乙方书面通知起</w:t>
      </w:r>
      <w:r>
        <w:rPr>
          <w:rFonts w:hint="eastAsia" w:hAnsi="宋体" w:cs="宋体"/>
          <w:color w:val="auto"/>
          <w:sz w:val="21"/>
          <w:szCs w:val="21"/>
          <w:highlight w:val="none"/>
          <w:u w:val="single"/>
        </w:rPr>
        <w:t xml:space="preserve"> 24 </w:t>
      </w:r>
      <w:r>
        <w:rPr>
          <w:rFonts w:hint="eastAsia" w:hAnsi="宋体" w:cs="宋体"/>
          <w:color w:val="auto"/>
          <w:sz w:val="21"/>
          <w:szCs w:val="21"/>
          <w:highlight w:val="none"/>
        </w:rPr>
        <w:t>个工作小时内参加隐蔽工程验收。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3.接乙方书面竣工验收通知后应在</w:t>
      </w:r>
      <w:r>
        <w:rPr>
          <w:rFonts w:hint="eastAsia" w:hAnsi="宋体" w:cs="宋体"/>
          <w:color w:val="auto"/>
          <w:sz w:val="21"/>
          <w:szCs w:val="21"/>
          <w:highlight w:val="none"/>
          <w:u w:val="single"/>
        </w:rPr>
        <w:t xml:space="preserve"> 10 </w:t>
      </w:r>
      <w:r>
        <w:rPr>
          <w:rFonts w:hint="eastAsia" w:hAnsi="宋体" w:cs="宋体"/>
          <w:color w:val="auto"/>
          <w:sz w:val="21"/>
          <w:szCs w:val="21"/>
          <w:highlight w:val="none"/>
        </w:rPr>
        <w:t>个工作日内组织竣工验收。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4.对于工程变更申请，应在收到乙方书面材料起</w:t>
      </w:r>
      <w:r>
        <w:rPr>
          <w:rFonts w:hint="eastAsia" w:hAnsi="宋体" w:cs="宋体"/>
          <w:color w:val="auto"/>
          <w:sz w:val="21"/>
          <w:szCs w:val="21"/>
          <w:highlight w:val="none"/>
          <w:u w:val="single"/>
        </w:rPr>
        <w:t xml:space="preserve"> 10</w:t>
      </w:r>
      <w:r>
        <w:rPr>
          <w:rFonts w:hint="eastAsia" w:hAnsi="宋体" w:cs="宋体"/>
          <w:color w:val="auto"/>
          <w:sz w:val="21"/>
          <w:szCs w:val="21"/>
          <w:highlight w:val="none"/>
        </w:rPr>
        <w:t>个工作日内进行审批或确认，办理有关的签证。</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5.负责协调乙方与其他各承包单位的关系，并协助解决材料堆放场地。</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（二）乙方义务</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负责施工期间的全面管理，如变更现场代表应事先经甲方书面同意。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 根据甲方确认的施工图纸，按照本合同约定完成承包范围内的施工工作，并按甲方要求的格式书面提请办理验收和确认手续。</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3.按相关安全法规进行安全施工，遵守甲方施工现场管理的有关规定。</w:t>
      </w:r>
    </w:p>
    <w:p>
      <w:pPr>
        <w:spacing w:line="600" w:lineRule="exact"/>
        <w:ind w:right="24" w:firstLine="445" w:firstLineChars="212"/>
        <w:rPr>
          <w:rFonts w:hint="eastAsia" w:hAnsi="宋体" w:cs="宋体"/>
          <w:color w:val="auto"/>
          <w:sz w:val="21"/>
          <w:szCs w:val="21"/>
          <w:highlight w:val="none"/>
        </w:rPr>
      </w:pPr>
      <w:r>
        <w:rPr>
          <w:rFonts w:hint="eastAsia" w:hAnsi="宋体" w:cs="宋体"/>
          <w:color w:val="auto"/>
          <w:sz w:val="21"/>
          <w:szCs w:val="21"/>
          <w:highlight w:val="none"/>
        </w:rPr>
        <w:t>4.乙方应处理好与其他在建专业施工队伍（或单位）的关系，须按工程情况与其他单位进行密切协调与配合。</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5.乙方须保证施工场地的清洁卫生符合相关环境卫生、环境保护及整治管理的规定，防止扬尘及保持场地出入口及场外周边道路的清洁卫生，做到工完场清。 </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图纸外（现场变更、临时工程等）的工程签证，属于隐蔽工程的应于隐蔽前办理签证，非隐蔽工程应于完成后两个工作日内办理签证。签证时，乙方应至少提前4个工作小时通知甲方，经甲方代表及乙方共同现场验收签证。甲方、乙方双方各执2份，作为工程结算依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8.乙方应具备法律法规或国家规定的相应资质，相应的资质文件作为本合同附件。如因乙方隐瞒或提供虚假文件导致本合同全部或部分条款无效的，乙方应赔偿甲方由此产生的全部直接损失及间接损失。</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七 安全生产和防火</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（一）甲方提供的施工图纸或作法说明，应符合《中华人民共和国消防条例》和有关防火设计规范。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（二）乙方在施工期间应严格遵守《建筑安装工程安全技术规程》、《建筑安装工程安全操作规程》、《中华人民共和国消防条例》和其它相关的法规、规范。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（三）参与本工程的设计和施工管理的从业人员，应是经过行业培训的持证上岗人员。</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line="600" w:lineRule="exact"/>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八 违约责任</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（二）合同签订后，在履约过程中，因甲方原因导致合同无法继续履行，乙方已经履行了部分合同义务的，甲方除了支付相应款项外，还应承担违约金责任和因此给对方造成的其他损失。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（三）由于乙方原因，逾期竣工，每逾期一天，乙方须支付给甲方本合同价款总额0.5%的违约金。</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（四）在施工过程中，甲方未经乙方或乙方代表同意而与其他工作人员协商私自更改施工内容，由此所引起的费用及质量问题，责任由甲方承担。</w:t>
      </w:r>
    </w:p>
    <w:p>
      <w:pPr>
        <w:spacing w:line="600" w:lineRule="exact"/>
        <w:ind w:firstLine="420" w:firstLineChars="200"/>
        <w:rPr>
          <w:rFonts w:hint="eastAsia" w:hAnsi="宋体" w:cs="宋体"/>
          <w:color w:val="auto"/>
          <w:sz w:val="21"/>
          <w:szCs w:val="21"/>
          <w:highlight w:val="none"/>
        </w:rPr>
      </w:pPr>
      <w:r>
        <w:rPr>
          <w:rFonts w:hint="eastAsia" w:hAnsi="宋体" w:cs="宋体"/>
          <w:bCs/>
          <w:color w:val="auto"/>
          <w:sz w:val="21"/>
          <w:szCs w:val="21"/>
          <w:highlight w:val="none"/>
        </w:rPr>
        <w:t>（五）</w:t>
      </w:r>
      <w:r>
        <w:rPr>
          <w:rFonts w:hint="eastAsia" w:hAnsi="宋体" w:cs="宋体"/>
          <w:color w:val="auto"/>
          <w:sz w:val="21"/>
          <w:szCs w:val="21"/>
          <w:highlight w:val="none"/>
        </w:rPr>
        <w:t>乙方应妥善保护甲方提供的材料、设备及现场堆放的家具、陈设和工程成品，如造成损失，应照价赔偿。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（六）乙方提供的材料、设备是假冒伪劣产品的，应按材料、设备价款的双倍赔偿给甲方。</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（七）对于不符合施工质量验收标准中的部分项目，甲方提出施工质量整改要求，乙方未按规定时间内履行整改工作或无正当理由拒绝整改。每逾期一天，乙方支付甲方本合同价款总额0.5%的违约金。</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九 争议解决</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（一）本合同在履行期间，双方发生争议时，在不影响工程进度的前提下，双方可协商解决，或交由甲方母公司东莞实业投资控股集团有限公司业务办公会决议。</w:t>
      </w:r>
    </w:p>
    <w:p>
      <w:pPr>
        <w:pStyle w:val="47"/>
        <w:spacing w:line="6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（二）</w:t>
      </w:r>
      <w:r>
        <w:rPr>
          <w:rFonts w:hint="eastAsia" w:cs="宋体"/>
          <w:color w:val="auto"/>
          <w:sz w:val="21"/>
          <w:szCs w:val="21"/>
          <w:highlight w:val="none"/>
          <w:shd w:val="clear" w:color="auto" w:fill="FFFFFF"/>
        </w:rPr>
        <w:t>若双方不能通过协商达成协议，可依据《中华人民共和国民事诉讼法》和《中华人民共和国</w:t>
      </w:r>
      <w:r>
        <w:rPr>
          <w:rFonts w:hint="eastAsia" w:cs="宋体"/>
          <w:color w:val="auto"/>
          <w:sz w:val="21"/>
          <w:szCs w:val="21"/>
          <w:highlight w:val="none"/>
          <w:shd w:val="clear" w:color="auto" w:fill="FFFFFF"/>
          <w:lang w:eastAsia="zh-CN"/>
        </w:rPr>
        <w:t>民法典</w:t>
      </w:r>
      <w:r>
        <w:rPr>
          <w:rFonts w:hint="eastAsia" w:cs="宋体"/>
          <w:color w:val="auto"/>
          <w:sz w:val="21"/>
          <w:szCs w:val="21"/>
          <w:highlight w:val="none"/>
          <w:shd w:val="clear" w:color="auto" w:fill="FFFFFF"/>
        </w:rPr>
        <w:t>》的有关规定，</w:t>
      </w:r>
      <w:r>
        <w:rPr>
          <w:rFonts w:hint="eastAsia" w:cs="宋体"/>
          <w:color w:val="auto"/>
          <w:sz w:val="21"/>
          <w:szCs w:val="21"/>
          <w:highlight w:val="none"/>
        </w:rPr>
        <w:t>任何一方应向向不动产所在地即东莞市松山湖有管辖权的人民法院提出诉讼。</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 保修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（一）工程竣工后，乙方施工项目在保修期限内出现问题，由乙方进行保修，保修范围为乙方施工的工程项目（以工程结算书所列项目为准）。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（二）本工程保修责任期（以竣工验收当日开始计算）为2年，均从双方签署竣工验收合格文件之日起算。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保修期间属乙方包工包料的项目因乙方原因出现质量问题由乙方负责保修的人工费和材料费，属乙方包工不包料的项目出现质量问题乙方只负责保修的人工费。因乙方工程质量原因造成的其它损失，由乙方按当时市场价格全额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（四）由于甲方提供的材料出现质量问题、人为造成的损坏、使用不当造成的损坏和不可抗力因素造成的损坏不在保修范围内。</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十一 合同解除和终止</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（一）有下列情形之一的，可以解除合同：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1.甲、乙双方协商一致；</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2.因不可抗力致使合同无法履行。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3.因一方违约致使合同无法履行。</w:t>
      </w:r>
    </w:p>
    <w:p>
      <w:pPr>
        <w:spacing w:line="600" w:lineRule="exact"/>
        <w:ind w:firstLine="420" w:firstLineChars="200"/>
        <w:rPr>
          <w:rFonts w:hint="eastAsia" w:hAnsi="宋体" w:cs="宋体"/>
          <w:b w:val="0"/>
          <w:bCs w:val="0"/>
          <w:color w:val="auto"/>
          <w:sz w:val="21"/>
          <w:szCs w:val="21"/>
          <w:highlight w:val="none"/>
        </w:rPr>
      </w:pPr>
      <w:r>
        <w:rPr>
          <w:rFonts w:hint="eastAsia" w:hAnsi="宋体" w:cs="宋体"/>
          <w:color w:val="auto"/>
          <w:sz w:val="21"/>
          <w:szCs w:val="21"/>
          <w:highlight w:val="none"/>
        </w:rPr>
        <w:t>（二）甲、乙双方履行完本合同全部义务，工程竣工结算价款支付完毕，本合同即告终止。</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十二 附则</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本合同正本一式陆份，甲方执肆份，乙方执贰份，均具同等法律效力，双方签字盖章后生效。</w:t>
      </w:r>
    </w:p>
    <w:p>
      <w:pPr>
        <w:shd w:val="clear" w:color="auto" w:fill="FFFFFF"/>
        <w:spacing w:line="600" w:lineRule="exact"/>
        <w:ind w:firstLine="422" w:firstLineChars="200"/>
        <w:textAlignment w:val="baseline"/>
        <w:rPr>
          <w:rFonts w:hint="eastAsia" w:hAnsi="宋体" w:cs="宋体"/>
          <w:b/>
          <w:bCs/>
          <w:color w:val="auto"/>
          <w:sz w:val="21"/>
          <w:szCs w:val="21"/>
          <w:highlight w:val="none"/>
          <w:shd w:val="clear" w:color="auto" w:fill="FFFFFF"/>
        </w:rPr>
      </w:pPr>
      <w:r>
        <w:rPr>
          <w:rFonts w:hint="eastAsia" w:hAnsi="宋体" w:cs="宋体"/>
          <w:b/>
          <w:bCs/>
          <w:color w:val="auto"/>
          <w:sz w:val="21"/>
          <w:szCs w:val="21"/>
          <w:highlight w:val="none"/>
          <w:shd w:val="clear" w:color="auto" w:fill="FFFFFF"/>
        </w:rPr>
        <w:t>十三 其它约定事项</w:t>
      </w:r>
    </w:p>
    <w:p>
      <w:pPr>
        <w:shd w:val="clear" w:color="auto" w:fill="FFFFFF"/>
        <w:spacing w:line="600" w:lineRule="exact"/>
        <w:ind w:firstLine="420" w:firstLineChars="200"/>
        <w:textAlignment w:val="baseline"/>
        <w:rPr>
          <w:rFonts w:hint="eastAsia" w:cs="宋体"/>
          <w:color w:val="auto"/>
          <w:sz w:val="21"/>
          <w:szCs w:val="21"/>
          <w:highlight w:val="none"/>
          <w:shd w:val="clear" w:color="auto" w:fill="FFFFFF"/>
        </w:rPr>
      </w:pPr>
      <w:r>
        <w:rPr>
          <w:rFonts w:hint="eastAsia" w:hAnsi="宋体" w:cs="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int="eastAsia" w:hAnsi="宋体" w:cs="宋体"/>
          <w:color w:val="auto"/>
          <w:sz w:val="21"/>
          <w:szCs w:val="21"/>
          <w:highlight w:val="none"/>
          <w:shd w:val="clear" w:color="auto" w:fill="FFFFFF"/>
        </w:rPr>
      </w:pPr>
    </w:p>
    <w:p>
      <w:pPr>
        <w:spacing w:line="600" w:lineRule="exact"/>
        <w:ind w:firstLine="420" w:firstLineChars="200"/>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合同附件</w:t>
      </w:r>
    </w:p>
    <w:p>
      <w:pPr>
        <w:pStyle w:val="7"/>
        <w:rPr>
          <w:rFonts w:hint="eastAsia" w:hAnsi="宋体" w:cs="宋体"/>
          <w:color w:val="auto"/>
          <w:sz w:val="21"/>
          <w:szCs w:val="21"/>
          <w:highlight w:val="none"/>
          <w:shd w:val="clear" w:color="auto" w:fill="FFFFFF"/>
        </w:rPr>
      </w:pPr>
    </w:p>
    <w:p>
      <w:pPr>
        <w:pStyle w:val="7"/>
        <w:rPr>
          <w:rFonts w:hint="eastAsia" w:hAnsi="宋体" w:cs="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2" w:firstLineChars="200"/>
        <w:rPr>
          <w:rFonts w:hint="eastAsia" w:hAnsi="宋体" w:cs="宋体"/>
          <w:b/>
          <w:bCs/>
          <w:color w:val="auto"/>
          <w:sz w:val="21"/>
          <w:szCs w:val="21"/>
          <w:highlight w:val="none"/>
          <w:u w:val="single"/>
          <w:shd w:val="clear" w:color="auto" w:fill="FFFFFF"/>
        </w:rPr>
      </w:pPr>
      <w:r>
        <w:rPr>
          <w:rFonts w:hint="eastAsia" w:hAnsi="宋体" w:cs="宋体"/>
          <w:b/>
          <w:bCs/>
          <w:color w:val="auto"/>
          <w:sz w:val="21"/>
          <w:szCs w:val="21"/>
          <w:highlight w:val="none"/>
          <w:shd w:val="clear" w:color="auto" w:fill="FFFFFF"/>
        </w:rPr>
        <w:t>甲方（盖章）：　                  乙方（盖章）：</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法定代表人或其委托                法定代表人或其委托</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代理人（签字）：                  代理人（签字）：</w:t>
      </w:r>
    </w:p>
    <w:p>
      <w:pPr>
        <w:snapToGrid w:val="0"/>
        <w:spacing w:line="600" w:lineRule="exact"/>
        <w:ind w:left="4767" w:leftChars="760" w:hanging="2943" w:hangingChars="1396"/>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开户名称：</w:t>
      </w:r>
      <w:r>
        <w:rPr>
          <w:rFonts w:hint="eastAsia" w:hAnsi="宋体" w:cs="宋体"/>
          <w:bCs/>
          <w:color w:val="auto"/>
          <w:sz w:val="21"/>
          <w:szCs w:val="21"/>
          <w:highlight w:val="none"/>
        </w:rPr>
        <w:t xml:space="preserve">      </w:t>
      </w:r>
    </w:p>
    <w:p>
      <w:pPr>
        <w:snapToGrid w:val="0"/>
        <w:spacing w:line="600" w:lineRule="exact"/>
        <w:ind w:left="5346" w:hanging="4010" w:hangingChars="1902"/>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开户银行：</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 xml:space="preserve">帐号：        </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合同订立时间：        年     月     日</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spacing w:line="480" w:lineRule="exact"/>
        <w:rPr>
          <w:rFonts w:ascii="方正小标宋简体" w:hAnsi="黑体" w:eastAsia="方正小标宋简体"/>
          <w:b/>
          <w:color w:val="auto"/>
          <w:sz w:val="44"/>
          <w:szCs w:val="44"/>
          <w:highlight w:val="none"/>
        </w:rPr>
      </w:pPr>
    </w:p>
    <w:p>
      <w:pPr>
        <w:spacing w:line="480" w:lineRule="exact"/>
        <w:jc w:val="center"/>
        <w:rPr>
          <w:rFonts w:hint="eastAsia" w:ascii="方正小标宋简体" w:hAnsi="黑体" w:eastAsia="方正小标宋简体"/>
          <w:b/>
          <w:color w:val="auto"/>
          <w:sz w:val="30"/>
          <w:szCs w:val="30"/>
          <w:highlight w:val="none"/>
        </w:rPr>
      </w:pPr>
    </w:p>
    <w:p>
      <w:pPr>
        <w:jc w:val="left"/>
        <w:rPr>
          <w:rFonts w:hint="eastAsia"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202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法定代表人（授权代表）：</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72" w:name="设计变更通知单"/>
      <w:bookmarkEnd w:id="172"/>
      <w:bookmarkStart w:id="173" w:name="现场签证通知单"/>
      <w:bookmarkEnd w:id="173"/>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keepNext/>
        <w:keepLines/>
        <w:pageBreakBefore/>
        <w:spacing w:line="360" w:lineRule="auto"/>
        <w:jc w:val="center"/>
        <w:rPr>
          <w:rFonts w:hAnsi="宋体"/>
          <w:b/>
          <w:bCs/>
          <w:color w:val="auto"/>
          <w:kern w:val="44"/>
          <w:sz w:val="28"/>
          <w:szCs w:val="28"/>
          <w:highlight w:val="none"/>
          <w:lang w:val="zh-CN"/>
        </w:rPr>
      </w:pPr>
      <w:bookmarkStart w:id="174" w:name="_Toc396137242"/>
      <w:bookmarkStart w:id="175" w:name="_Toc8470"/>
      <w:r>
        <w:rPr>
          <w:rFonts w:hint="eastAsia" w:hAnsi="宋体"/>
          <w:b/>
          <w:bCs/>
          <w:color w:val="auto"/>
          <w:kern w:val="44"/>
          <w:sz w:val="28"/>
          <w:szCs w:val="28"/>
          <w:highlight w:val="none"/>
          <w:lang w:val="zh-CN"/>
        </w:rPr>
        <w:t>第六篇磋商响应文件格式</w:t>
      </w:r>
      <w:bookmarkEnd w:id="174"/>
      <w:bookmarkEnd w:id="175"/>
    </w:p>
    <w:p>
      <w:pPr>
        <w:ind w:firstLine="1800" w:firstLineChars="750"/>
        <w:rPr>
          <w:rFonts w:hAnsi="宋体"/>
          <w:color w:val="auto"/>
          <w:highlight w:val="none"/>
        </w:rPr>
      </w:pPr>
    </w:p>
    <w:p>
      <w:pPr>
        <w:pStyle w:val="5"/>
        <w:jc w:val="center"/>
        <w:rPr>
          <w:color w:val="auto"/>
          <w:sz w:val="28"/>
          <w:szCs w:val="28"/>
          <w:highlight w:val="none"/>
        </w:rPr>
      </w:pPr>
      <w:bookmarkStart w:id="176" w:name="_Toc9566"/>
      <w:bookmarkStart w:id="177" w:name="_Toc19311"/>
      <w:r>
        <w:rPr>
          <w:rFonts w:hint="eastAsia"/>
          <w:color w:val="auto"/>
          <w:sz w:val="28"/>
          <w:szCs w:val="28"/>
          <w:highlight w:val="none"/>
        </w:rPr>
        <w:t>第一部分 价格文件（单独编制装订成册）</w:t>
      </w:r>
      <w:bookmarkEnd w:id="176"/>
      <w:bookmarkEnd w:id="177"/>
    </w:p>
    <w:p>
      <w:pPr>
        <w:ind w:firstLine="1800" w:firstLineChars="750"/>
        <w:rPr>
          <w:rFonts w:hAnsi="宋体"/>
          <w:color w:val="auto"/>
          <w:highlight w:val="none"/>
        </w:rPr>
      </w:pPr>
    </w:p>
    <w:p>
      <w:pPr>
        <w:pStyle w:val="5"/>
        <w:numPr>
          <w:ilvl w:val="0"/>
          <w:numId w:val="17"/>
        </w:numPr>
        <w:jc w:val="center"/>
        <w:rPr>
          <w:color w:val="auto"/>
          <w:sz w:val="28"/>
          <w:szCs w:val="28"/>
          <w:highlight w:val="none"/>
        </w:rPr>
      </w:pPr>
      <w:bookmarkStart w:id="178" w:name="_Toc7897888"/>
      <w:bookmarkStart w:id="179" w:name="_Toc12373"/>
      <w:bookmarkStart w:id="180" w:name="_Toc20730"/>
      <w:bookmarkStart w:id="181" w:name="_Toc486671573"/>
      <w:bookmarkStart w:id="182" w:name="_Toc476976201"/>
      <w:bookmarkStart w:id="183" w:name="_Toc458262639"/>
      <w:bookmarkStart w:id="184" w:name="_Toc454701406"/>
      <w:bookmarkStart w:id="185" w:name="_Toc467236769"/>
      <w:bookmarkStart w:id="186" w:name="_Toc12383"/>
      <w:bookmarkStart w:id="187" w:name="_Toc9348"/>
      <w:bookmarkStart w:id="188" w:name="_Toc30637"/>
      <w:bookmarkStart w:id="189" w:name="_Toc32405"/>
      <w:bookmarkStart w:id="190" w:name="_Toc32273"/>
      <w:bookmarkStart w:id="191" w:name="_Toc396137244"/>
      <w:bookmarkStart w:id="192" w:name="_Toc19671"/>
      <w:bookmarkStart w:id="193" w:name="_Toc32736"/>
      <w:bookmarkStart w:id="194" w:name="_Toc29841"/>
      <w:bookmarkStart w:id="195" w:name="_Toc2544"/>
      <w:bookmarkStart w:id="196" w:name="_Toc28095"/>
      <w:bookmarkStart w:id="197" w:name="_Toc15960"/>
      <w:bookmarkStart w:id="198" w:name="_Toc18848"/>
      <w:r>
        <w:rPr>
          <w:rFonts w:hint="eastAsia"/>
          <w:color w:val="auto"/>
          <w:sz w:val="28"/>
          <w:szCs w:val="28"/>
          <w:highlight w:val="none"/>
        </w:rPr>
        <w:t>报价一览表</w:t>
      </w:r>
      <w:bookmarkEnd w:id="178"/>
      <w:bookmarkEnd w:id="179"/>
      <w:bookmarkEnd w:id="180"/>
    </w:p>
    <w:p>
      <w:pPr>
        <w:pStyle w:val="7"/>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TTWY-22029</w:t>
            </w:r>
          </w:p>
        </w:tc>
        <w:tc>
          <w:tcPr>
            <w:tcW w:w="2457"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松山湖大学创新城--消控室联动控制项目</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7"/>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81"/>
      <w:bookmarkEnd w:id="182"/>
      <w:bookmarkEnd w:id="183"/>
      <w:bookmarkEnd w:id="184"/>
      <w:bookmarkEnd w:id="185"/>
      <w:r>
        <w:rPr>
          <w:rFonts w:hint="eastAsia"/>
          <w:color w:val="auto"/>
          <w:sz w:val="21"/>
          <w:szCs w:val="21"/>
          <w:highlight w:val="none"/>
        </w:rPr>
        <w:t>。</w:t>
      </w:r>
    </w:p>
    <w:p>
      <w:pPr>
        <w:rPr>
          <w:color w:val="auto"/>
          <w:highlight w:val="none"/>
        </w:rPr>
      </w:pPr>
      <w:r>
        <w:rPr>
          <w:color w:val="auto"/>
          <w:highlight w:val="none"/>
        </w:rPr>
        <w:br w:type="page"/>
      </w:r>
    </w:p>
    <w:p>
      <w:pPr>
        <w:pStyle w:val="5"/>
        <w:numPr>
          <w:ilvl w:val="0"/>
          <w:numId w:val="17"/>
        </w:numPr>
        <w:jc w:val="center"/>
        <w:rPr>
          <w:sz w:val="28"/>
          <w:szCs w:val="28"/>
          <w:highlight w:val="none"/>
        </w:rPr>
      </w:pPr>
      <w:r>
        <w:rPr>
          <w:rFonts w:hint="eastAsia"/>
          <w:sz w:val="28"/>
          <w:szCs w:val="28"/>
          <w:highlight w:val="none"/>
        </w:rPr>
        <w:t>分项报价表</w:t>
      </w:r>
    </w:p>
    <w:tbl>
      <w:tblPr>
        <w:tblStyle w:val="51"/>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590"/>
        <w:gridCol w:w="2790"/>
        <w:gridCol w:w="660"/>
        <w:gridCol w:w="1110"/>
        <w:gridCol w:w="114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单位</w:t>
            </w:r>
          </w:p>
        </w:tc>
        <w:tc>
          <w:tcPr>
            <w:tcW w:w="11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c>
          <w:tcPr>
            <w:tcW w:w="22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7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1.各消控室迁移线组数</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ZR-RVV-4*2.5</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1.名称:配线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2.型号:ZR-RVV-4*2.5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3.其他:综合考虑配管疏通</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18774.6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ZR-RVV-20*1.5</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1.名称:配线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2.型号:ZR-RVV-20*1.5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3.其他:综合考虑配管疏通</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8204.76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ZR-RVV-30*1.5</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1.名称:配线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2.型号:ZR-RVV-30*1.5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3.其他:综合考虑配管疏通</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23184.76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【1.各消控室迁移线组数】分部小计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2.各消控室穿线、线槽</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线槽 250*100*1.5mm</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1.名称:金属线槽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2.规格:250*100*1.5mm</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1536.74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线槽 300*100*1.5mm</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1.名称:金属线槽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2.规格:300*100*1.5mm</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712.64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2.材质:综合型钢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2480.37</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支架刷油</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1.名称:支架刷油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2.油漆品种:手工除锈，调和漆及防锈漆各二道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2480.37</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【2.各消控室穿线、线槽】分部小计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3.G4新消控室附件材料</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消防主机机柜</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1.名称:消防主机机柜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2.规格:600*1200*2000mm（含侧门板、承重架、支架等）</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弱电桥架300*100*1.5mm</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1.名称:弱电桥架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2.规格:300*100*1.5mm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3.备注:含铝合金桥式支架组件、加强条、卡扣等</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2.材质:综合型钢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90.42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支架刷油</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1.名称:支架刷油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2.油漆品种:手工除锈，调和漆及防锈漆各二道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90.42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【3.G4新消控室附件材料】分部小计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4.音频系统设备</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IP网络广播主机</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 :IP网络广播主机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IP网络广播寻呼话筒</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1.名称:IP网络广播寻呼话筒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IP网络消防报警矩阵</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1.名称:IP网络消防报警矩阵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IP网络监听音箱</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1.名称:IP网络监听音箱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IP网络前置放大器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1.名称:IP网络前置放大器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2.参数:详见图纸说明</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光纤转换器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1.名称:光纤转换器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2.参数:1个百兆SC光纤接口，1个百兆RJ45光纤接口，最远传输20KM，TX:1550nm(发送)，接收:1310nm(接收)</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【4.音频系统设备】分部小计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5.主机迁移安装配合调试</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电气火灾监控主机（安装）</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1.名称:电气火灾监控主机（安装）</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电气火灾监控主机（拆除）</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1.名称:电气火灾监控主机（拆除）</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消防电源监控主机（安装）</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1.名称:消防电源监控主机（安装）</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消防电源监控主机（拆除）</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1.名称:消防电源监控主机（拆除）</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防火门监控主机（安装）</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1.名称:防火门监控主机（安装）</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防火门监控主机（拆除）</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1.名称:防火门监控主机（拆除）</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消防电话主机（安装）</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1.名称:消防电话主机（安装）</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消防电话主机（拆除）</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1.名称:消防电话主机（拆除）</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西门子系统调试</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1.名称:西门子系统调试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2.A1栋、A2栋、D1栋、D2栋、D3栋、G2栋、G3栋及G4栋等西门子系统调试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3.总点数：15764</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安舍系统调试</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1.名称:安舍系统调试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2.G1栋安舍系统调试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3.总点数;718</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北大青鸟系统调试</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1.名称:北大青鸟系统调试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2.C1栋、H1栋北大青鸟系统调试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3.总点数;2386</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泛海三江系统调试</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1.名称:泛海三江系统调试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2.A3栋、A4栋泛海三江系统调试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3.总点数：3177</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4芯光纤</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2.规格:4芯</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【5.主机迁移安装配合调试】分部小计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6.消防报警系统联网（系统优化）</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一、德国安舍、西门子消防报警主机组网</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2.规格型号:720R（参考）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3.安装方式:立柜式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4.品牌:西门子</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联动盘</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1.名称:联动盘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2.规格型号:FCO7201-B1（参考）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3.品牌:西门子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4.备注:16路</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2.规格型号:FC1860（参考）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3.安装方式:立柜式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4.品牌:西门子</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2.规格型号:JB-TG-E98-PLUS（参考）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3.安装方式:立柜式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4.品牌:安舍</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图形整理及布点</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1.名称:图形整理及布点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2.备注:按照现场设备布置信息进行整理</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光纤转换器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1.名称:光纤转换器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2.参数:1个百兆SC光纤接口，1个百兆RJ45光纤接口，最远传输20KM，TX:1550nm(发送)，接收:1310nm(接收)</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琴台控制柜</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1.名称:琴台控制柜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2.规格型号:1200*1000*1100mm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3.备注:安装27寸液晶显示器</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【一、德国安舍、西门子消防报警主机组网】分部小计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二、泛海三江消防报警主机组网</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2.规格型号:JB－QBL－A310（参考）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4.品牌:泛海三江</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协议型CAN总线光纤中继器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1.名称:协议型CAN总线光纤中继器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2.规格型号:YFCB1－S－ST（参考）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3.品牌:泛海三江</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【二、泛海三江消防报警主机组网】分部小计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三、北大青鸟消防报警主机组网</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1.名称:报警控制器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2.规格型号:JBF－5014（参考）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4.品牌:北大青鸟</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协议型CAN总线光纤中继器</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1.名称:协议型CAN总线光纤中继器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2.规格型号:LCAN-FOBR-S4-BO-SC1（参考）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3.品牌:北大青鸟</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【三、北大青鸟消防报警主机组网】分部小计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四、组网调试</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调试服务费</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1.名称:调试服务费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1.名称:交换机</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【四、组网调试】分部小计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10"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14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overflowPunct w:val="0"/>
        <w:spacing w:line="460" w:lineRule="exact"/>
        <w:rPr>
          <w:rFonts w:hint="eastAsia"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rPr>
          <w:highlight w:val="none"/>
        </w:rPr>
      </w:pPr>
    </w:p>
    <w:p>
      <w:pPr>
        <w:pStyle w:val="2"/>
        <w:rPr>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186"/>
    <w:bookmarkEnd w:id="187"/>
    <w:bookmarkEnd w:id="188"/>
    <w:bookmarkEnd w:id="189"/>
    <w:bookmarkEnd w:id="190"/>
    <w:bookmarkEnd w:id="191"/>
    <w:bookmarkEnd w:id="192"/>
    <w:bookmarkEnd w:id="193"/>
    <w:bookmarkEnd w:id="194"/>
    <w:bookmarkEnd w:id="195"/>
    <w:bookmarkEnd w:id="196"/>
    <w:bookmarkEnd w:id="197"/>
    <w:bookmarkEnd w:id="198"/>
    <w:p>
      <w:pPr>
        <w:pStyle w:val="5"/>
        <w:pageBreakBefore/>
        <w:spacing w:line="360" w:lineRule="auto"/>
        <w:jc w:val="center"/>
        <w:rPr>
          <w:bCs/>
          <w:color w:val="auto"/>
          <w:sz w:val="28"/>
          <w:szCs w:val="28"/>
          <w:highlight w:val="none"/>
        </w:rPr>
      </w:pPr>
      <w:bookmarkStart w:id="199" w:name="_Toc18450"/>
      <w:bookmarkStart w:id="200" w:name="_Toc12158"/>
      <w:bookmarkStart w:id="201" w:name="_Toc458262638"/>
      <w:bookmarkStart w:id="202" w:name="_Toc27849"/>
      <w:bookmarkStart w:id="203" w:name="_Toc454701405"/>
      <w:bookmarkStart w:id="204" w:name="_Toc476976200"/>
      <w:bookmarkStart w:id="205" w:name="_Toc486671572"/>
      <w:bookmarkStart w:id="206" w:name="_Toc7897890"/>
      <w:bookmarkStart w:id="207" w:name="_Toc467236768"/>
      <w:bookmarkStart w:id="208" w:name="_Toc110953866"/>
      <w:bookmarkStart w:id="209" w:name="_Toc479991616"/>
      <w:bookmarkStart w:id="210" w:name="_Toc468606064"/>
      <w:bookmarkStart w:id="211" w:name="_Toc480021085"/>
      <w:bookmarkStart w:id="212" w:name="_Toc480020289"/>
      <w:bookmarkStart w:id="213" w:name="_Toc468157569"/>
      <w:bookmarkStart w:id="214" w:name="_Toc467987856"/>
      <w:bookmarkStart w:id="215" w:name="_Toc480010742"/>
      <w:r>
        <w:rPr>
          <w:rFonts w:hint="eastAsia"/>
          <w:bCs/>
          <w:color w:val="auto"/>
          <w:sz w:val="28"/>
          <w:szCs w:val="28"/>
          <w:highlight w:val="none"/>
        </w:rPr>
        <w:t>第二部分  商务文件</w:t>
      </w:r>
      <w:bookmarkEnd w:id="199"/>
      <w:bookmarkEnd w:id="200"/>
      <w:bookmarkStart w:id="216" w:name="_Hlt10456397"/>
      <w:bookmarkEnd w:id="216"/>
      <w:bookmarkStart w:id="217" w:name="_Hlt10519799"/>
      <w:bookmarkEnd w:id="217"/>
    </w:p>
    <w:p>
      <w:pPr>
        <w:rPr>
          <w:color w:val="auto"/>
          <w:highlight w:val="none"/>
        </w:rPr>
      </w:pPr>
    </w:p>
    <w:p>
      <w:pPr>
        <w:pStyle w:val="5"/>
        <w:numPr>
          <w:ilvl w:val="0"/>
          <w:numId w:val="18"/>
        </w:numPr>
        <w:jc w:val="center"/>
        <w:rPr>
          <w:b w:val="0"/>
          <w:color w:val="auto"/>
          <w:sz w:val="28"/>
          <w:szCs w:val="28"/>
          <w:highlight w:val="none"/>
        </w:rPr>
      </w:pPr>
      <w:bookmarkStart w:id="218" w:name="_Toc18728"/>
      <w:r>
        <w:rPr>
          <w:rFonts w:hint="eastAsia"/>
          <w:color w:val="auto"/>
          <w:sz w:val="28"/>
          <w:szCs w:val="28"/>
          <w:highlight w:val="none"/>
        </w:rPr>
        <w:t>响应书</w:t>
      </w:r>
      <w:bookmarkEnd w:id="201"/>
      <w:bookmarkEnd w:id="202"/>
      <w:bookmarkEnd w:id="203"/>
      <w:bookmarkEnd w:id="204"/>
      <w:bookmarkEnd w:id="205"/>
      <w:bookmarkEnd w:id="206"/>
      <w:bookmarkEnd w:id="207"/>
      <w:bookmarkEnd w:id="218"/>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5"/>
        <w:numPr>
          <w:ilvl w:val="0"/>
          <w:numId w:val="18"/>
        </w:numPr>
        <w:jc w:val="center"/>
        <w:rPr>
          <w:bCs/>
          <w:color w:val="auto"/>
          <w:sz w:val="28"/>
          <w:szCs w:val="28"/>
          <w:highlight w:val="none"/>
        </w:rPr>
      </w:pPr>
      <w:r>
        <w:rPr>
          <w:color w:val="auto"/>
          <w:sz w:val="22"/>
          <w:szCs w:val="22"/>
          <w:highlight w:val="none"/>
        </w:rPr>
        <w:br w:type="page"/>
      </w:r>
      <w:bookmarkStart w:id="219" w:name="_Toc10808"/>
      <w:bookmarkStart w:id="220" w:name="_Toc31943"/>
      <w:bookmarkStart w:id="221" w:name="_Toc7897891"/>
      <w:r>
        <w:rPr>
          <w:rFonts w:hint="eastAsia"/>
          <w:bCs/>
          <w:color w:val="auto"/>
          <w:sz w:val="28"/>
          <w:szCs w:val="28"/>
          <w:highlight w:val="none"/>
        </w:rPr>
        <w:t>法定代表人证明书</w:t>
      </w:r>
      <w:bookmarkEnd w:id="219"/>
      <w:bookmarkEnd w:id="220"/>
      <w:bookmarkEnd w:id="221"/>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5"/>
        <w:numPr>
          <w:ilvl w:val="0"/>
          <w:numId w:val="18"/>
        </w:numPr>
        <w:jc w:val="center"/>
        <w:rPr>
          <w:bCs/>
          <w:color w:val="auto"/>
          <w:sz w:val="28"/>
          <w:szCs w:val="28"/>
          <w:highlight w:val="none"/>
        </w:rPr>
      </w:pPr>
      <w:r>
        <w:rPr>
          <w:rFonts w:hint="eastAsia"/>
          <w:bCs/>
          <w:color w:val="auto"/>
          <w:sz w:val="28"/>
          <w:szCs w:val="28"/>
          <w:highlight w:val="none"/>
        </w:rPr>
        <w:br w:type="page"/>
      </w:r>
      <w:bookmarkStart w:id="222" w:name="_Toc28882"/>
      <w:bookmarkStart w:id="223" w:name="_Toc7897892"/>
      <w:bookmarkStart w:id="224" w:name="_Toc19634"/>
      <w:r>
        <w:rPr>
          <w:rFonts w:hint="eastAsia"/>
          <w:bCs/>
          <w:color w:val="auto"/>
          <w:sz w:val="28"/>
          <w:szCs w:val="28"/>
          <w:highlight w:val="none"/>
        </w:rPr>
        <w:t>授权委托书（加法人证明书）</w:t>
      </w:r>
      <w:bookmarkEnd w:id="222"/>
      <w:bookmarkEnd w:id="223"/>
      <w:bookmarkEnd w:id="224"/>
    </w:p>
    <w:p>
      <w:pPr>
        <w:pStyle w:val="7"/>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7"/>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25" w:name="_Toc4592"/>
      <w:bookmarkStart w:id="226" w:name="_Toc7897893"/>
    </w:p>
    <w:p>
      <w:pPr>
        <w:pStyle w:val="7"/>
        <w:ind w:firstLine="0" w:firstLineChars="0"/>
        <w:rPr>
          <w:color w:val="auto"/>
          <w:highlight w:val="none"/>
        </w:rPr>
      </w:pPr>
    </w:p>
    <w:p>
      <w:pPr>
        <w:pStyle w:val="7"/>
        <w:ind w:firstLine="0" w:firstLineChars="0"/>
        <w:rPr>
          <w:color w:val="auto"/>
          <w:highlight w:val="none"/>
        </w:rPr>
      </w:pPr>
    </w:p>
    <w:p>
      <w:pPr>
        <w:pStyle w:val="7"/>
        <w:ind w:firstLine="0" w:firstLineChars="0"/>
        <w:rPr>
          <w:color w:val="auto"/>
          <w:highlight w:val="none"/>
        </w:rPr>
      </w:pPr>
    </w:p>
    <w:p>
      <w:pPr>
        <w:pStyle w:val="5"/>
        <w:numPr>
          <w:ilvl w:val="0"/>
          <w:numId w:val="18"/>
        </w:numPr>
        <w:jc w:val="center"/>
        <w:rPr>
          <w:color w:val="auto"/>
          <w:sz w:val="28"/>
          <w:szCs w:val="28"/>
          <w:highlight w:val="none"/>
        </w:rPr>
      </w:pPr>
      <w:bookmarkStart w:id="227" w:name="_Toc17363"/>
      <w:r>
        <w:rPr>
          <w:rFonts w:hint="eastAsia"/>
          <w:color w:val="auto"/>
          <w:sz w:val="28"/>
          <w:szCs w:val="28"/>
          <w:highlight w:val="none"/>
        </w:rPr>
        <w:t>供应商基本情况说明</w:t>
      </w:r>
      <w:bookmarkEnd w:id="225"/>
      <w:bookmarkEnd w:id="226"/>
      <w:bookmarkEnd w:id="227"/>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
        <w:numPr>
          <w:ilvl w:val="0"/>
          <w:numId w:val="18"/>
        </w:numPr>
        <w:jc w:val="center"/>
        <w:rPr>
          <w:b w:val="0"/>
          <w:color w:val="auto"/>
          <w:sz w:val="28"/>
          <w:szCs w:val="28"/>
          <w:highlight w:val="none"/>
          <w:u w:val="single"/>
        </w:rPr>
      </w:pPr>
      <w:r>
        <w:rPr>
          <w:color w:val="auto"/>
          <w:sz w:val="22"/>
          <w:szCs w:val="22"/>
          <w:highlight w:val="none"/>
        </w:rPr>
        <w:br w:type="page"/>
      </w:r>
      <w:bookmarkStart w:id="228" w:name="_Toc7897894"/>
      <w:bookmarkStart w:id="229" w:name="_Toc17704"/>
      <w:bookmarkStart w:id="230" w:name="_Toc27094"/>
      <w:r>
        <w:rPr>
          <w:rFonts w:hint="eastAsia"/>
          <w:bCs/>
          <w:color w:val="auto"/>
          <w:sz w:val="28"/>
          <w:szCs w:val="28"/>
          <w:highlight w:val="none"/>
        </w:rPr>
        <w:t>偏离表</w:t>
      </w:r>
      <w:bookmarkEnd w:id="208"/>
      <w:bookmarkEnd w:id="228"/>
      <w:bookmarkEnd w:id="229"/>
      <w:bookmarkEnd w:id="230"/>
    </w:p>
    <w:p>
      <w:pPr>
        <w:pStyle w:val="7"/>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numPr>
          <w:ilvl w:val="0"/>
          <w:numId w:val="18"/>
        </w:numPr>
        <w:jc w:val="center"/>
        <w:rPr>
          <w:rFonts w:ascii="Calibri" w:hAnsi="Times New Roman"/>
          <w:color w:val="auto"/>
          <w:sz w:val="28"/>
          <w:szCs w:val="28"/>
          <w:highlight w:val="none"/>
        </w:rPr>
      </w:pPr>
      <w:bookmarkStart w:id="231" w:name="_Toc8299"/>
      <w:bookmarkStart w:id="232" w:name="_Toc7897895"/>
      <w:bookmarkStart w:id="233" w:name="_Toc3196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31"/>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7"/>
        <w:ind w:firstLine="400"/>
        <w:rPr>
          <w:color w:val="auto"/>
          <w:highlight w:val="none"/>
        </w:rPr>
      </w:pPr>
    </w:p>
    <w:p>
      <w:pPr>
        <w:pStyle w:val="5"/>
        <w:numPr>
          <w:ilvl w:val="0"/>
          <w:numId w:val="18"/>
        </w:numPr>
        <w:jc w:val="center"/>
        <w:rPr>
          <w:color w:val="auto"/>
          <w:sz w:val="28"/>
          <w:szCs w:val="28"/>
          <w:highlight w:val="none"/>
        </w:rPr>
      </w:pPr>
      <w:bookmarkStart w:id="234" w:name="_Toc12735"/>
      <w:r>
        <w:rPr>
          <w:rFonts w:hint="eastAsia"/>
          <w:bCs/>
          <w:color w:val="auto"/>
          <w:sz w:val="28"/>
          <w:szCs w:val="28"/>
          <w:highlight w:val="none"/>
        </w:rPr>
        <w:t>供应商所获资质或奖项证书一览表</w:t>
      </w:r>
      <w:bookmarkEnd w:id="232"/>
      <w:bookmarkEnd w:id="233"/>
      <w:bookmarkEnd w:id="234"/>
    </w:p>
    <w:p>
      <w:pPr>
        <w:pStyle w:val="7"/>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5"/>
        <w:numPr>
          <w:ilvl w:val="0"/>
          <w:numId w:val="18"/>
        </w:numPr>
        <w:jc w:val="center"/>
        <w:rPr>
          <w:color w:val="auto"/>
          <w:sz w:val="28"/>
          <w:szCs w:val="28"/>
          <w:highlight w:val="none"/>
        </w:rPr>
      </w:pPr>
      <w:r>
        <w:rPr>
          <w:color w:val="auto"/>
          <w:highlight w:val="none"/>
        </w:rPr>
        <w:br w:type="page"/>
      </w:r>
      <w:bookmarkStart w:id="235" w:name="_Toc4884"/>
      <w:bookmarkStart w:id="236" w:name="_Toc7897896"/>
      <w:bookmarkStart w:id="237" w:name="_Toc4539"/>
      <w:r>
        <w:rPr>
          <w:rFonts w:hint="eastAsia"/>
          <w:bCs/>
          <w:color w:val="auto"/>
          <w:sz w:val="28"/>
          <w:szCs w:val="28"/>
          <w:highlight w:val="none"/>
        </w:rPr>
        <w:t>项目业绩一览表</w:t>
      </w:r>
      <w:bookmarkEnd w:id="235"/>
      <w:bookmarkEnd w:id="236"/>
      <w:bookmarkEnd w:id="237"/>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5"/>
        <w:numPr>
          <w:ilvl w:val="0"/>
          <w:numId w:val="18"/>
        </w:numPr>
        <w:jc w:val="center"/>
        <w:rPr>
          <w:b w:val="0"/>
          <w:bCs/>
          <w:color w:val="auto"/>
          <w:sz w:val="28"/>
          <w:highlight w:val="none"/>
        </w:rPr>
      </w:pPr>
      <w:r>
        <w:rPr>
          <w:color w:val="auto"/>
          <w:sz w:val="22"/>
          <w:szCs w:val="22"/>
          <w:highlight w:val="none"/>
        </w:rPr>
        <w:br w:type="page"/>
      </w:r>
      <w:bookmarkStart w:id="238" w:name="_Toc7897897"/>
      <w:bookmarkStart w:id="239" w:name="_Toc23633"/>
      <w:bookmarkStart w:id="240" w:name="_Toc17432"/>
      <w:r>
        <w:rPr>
          <w:rFonts w:hint="eastAsia"/>
          <w:bCs/>
          <w:color w:val="auto"/>
          <w:sz w:val="28"/>
          <w:highlight w:val="none"/>
        </w:rPr>
        <w:t>在经营活动中没有重大违法记录的书面声明</w:t>
      </w:r>
      <w:bookmarkEnd w:id="238"/>
      <w:bookmarkEnd w:id="239"/>
      <w:bookmarkEnd w:id="240"/>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09"/>
    <w:bookmarkEnd w:id="210"/>
    <w:bookmarkEnd w:id="211"/>
    <w:bookmarkEnd w:id="212"/>
    <w:bookmarkEnd w:id="213"/>
    <w:bookmarkEnd w:id="214"/>
    <w:bookmarkEnd w:id="215"/>
    <w:p>
      <w:pPr>
        <w:pStyle w:val="5"/>
        <w:numPr>
          <w:ilvl w:val="0"/>
          <w:numId w:val="18"/>
        </w:numPr>
        <w:jc w:val="center"/>
        <w:rPr>
          <w:b w:val="0"/>
          <w:color w:val="auto"/>
          <w:sz w:val="28"/>
          <w:szCs w:val="28"/>
          <w:highlight w:val="none"/>
        </w:rPr>
      </w:pPr>
      <w:bookmarkStart w:id="241" w:name="_Toc110953865"/>
      <w:bookmarkStart w:id="242" w:name="_Toc480021086"/>
      <w:bookmarkStart w:id="243" w:name="_Toc454701411"/>
      <w:bookmarkStart w:id="244" w:name="_Toc458262644"/>
      <w:bookmarkStart w:id="245" w:name="_Toc480010743"/>
      <w:bookmarkStart w:id="246" w:name="_Toc468157570"/>
      <w:bookmarkStart w:id="247" w:name="_Toc467987857"/>
      <w:bookmarkStart w:id="248" w:name="_Toc480020290"/>
      <w:bookmarkStart w:id="249" w:name="_Toc468606065"/>
      <w:bookmarkStart w:id="250" w:name="_Toc467236774"/>
      <w:bookmarkStart w:id="251" w:name="_Toc480171915"/>
      <w:bookmarkStart w:id="252" w:name="_Toc479991617"/>
      <w:bookmarkStart w:id="253" w:name="_Toc35233726"/>
      <w:r>
        <w:rPr>
          <w:color w:val="auto"/>
          <w:sz w:val="22"/>
          <w:szCs w:val="22"/>
          <w:highlight w:val="none"/>
        </w:rPr>
        <w:br w:type="page"/>
      </w:r>
      <w:bookmarkEnd w:id="241"/>
      <w:bookmarkStart w:id="254" w:name="_Toc8181"/>
      <w:bookmarkStart w:id="255" w:name="_Toc7897900"/>
      <w:bookmarkStart w:id="256" w:name="_Toc2461"/>
      <w:r>
        <w:rPr>
          <w:rFonts w:hint="eastAsia"/>
          <w:color w:val="auto"/>
          <w:sz w:val="28"/>
          <w:szCs w:val="28"/>
          <w:highlight w:val="none"/>
        </w:rPr>
        <w:t>针对本项目拟派人员及其技术资格一览表</w:t>
      </w:r>
      <w:bookmarkEnd w:id="254"/>
      <w:bookmarkEnd w:id="255"/>
      <w:bookmarkEnd w:id="256"/>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5"/>
        <w:numPr>
          <w:ilvl w:val="0"/>
          <w:numId w:val="18"/>
        </w:numPr>
        <w:jc w:val="center"/>
        <w:rPr>
          <w:bCs/>
          <w:color w:val="auto"/>
          <w:sz w:val="28"/>
          <w:szCs w:val="28"/>
          <w:highlight w:val="none"/>
        </w:rPr>
      </w:pPr>
      <w:r>
        <w:rPr>
          <w:bCs/>
          <w:color w:val="auto"/>
          <w:szCs w:val="21"/>
          <w:highlight w:val="none"/>
        </w:rPr>
        <w:br w:type="page"/>
      </w:r>
      <w:bookmarkEnd w:id="242"/>
      <w:bookmarkEnd w:id="243"/>
      <w:bookmarkEnd w:id="244"/>
      <w:bookmarkEnd w:id="245"/>
      <w:bookmarkEnd w:id="246"/>
      <w:bookmarkEnd w:id="247"/>
      <w:bookmarkEnd w:id="248"/>
      <w:bookmarkEnd w:id="249"/>
      <w:bookmarkEnd w:id="250"/>
      <w:bookmarkEnd w:id="251"/>
      <w:bookmarkEnd w:id="252"/>
      <w:bookmarkEnd w:id="253"/>
      <w:bookmarkStart w:id="257" w:name="_Toc13441"/>
      <w:r>
        <w:rPr>
          <w:rFonts w:hint="eastAsia"/>
          <w:bCs/>
          <w:color w:val="auto"/>
          <w:sz w:val="28"/>
          <w:szCs w:val="28"/>
          <w:highlight w:val="none"/>
        </w:rPr>
        <w:t>磋商保证金汇入情况说明（适用于转账、电汇方式）</w:t>
      </w:r>
      <w:bookmarkEnd w:id="257"/>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5"/>
        <w:pageBreakBefore/>
        <w:spacing w:line="360" w:lineRule="auto"/>
        <w:jc w:val="center"/>
        <w:rPr>
          <w:bCs/>
          <w:color w:val="auto"/>
          <w:sz w:val="28"/>
          <w:szCs w:val="28"/>
          <w:highlight w:val="none"/>
        </w:rPr>
      </w:pPr>
      <w:bookmarkStart w:id="258" w:name="_Toc20966"/>
      <w:bookmarkStart w:id="259" w:name="_Toc19888"/>
      <w:r>
        <w:rPr>
          <w:rFonts w:hint="eastAsia"/>
          <w:bCs/>
          <w:color w:val="auto"/>
          <w:sz w:val="28"/>
          <w:szCs w:val="28"/>
          <w:highlight w:val="none"/>
        </w:rPr>
        <w:t>第三部分 技术文件</w:t>
      </w:r>
      <w:bookmarkEnd w:id="258"/>
      <w:bookmarkEnd w:id="259"/>
    </w:p>
    <w:p>
      <w:pPr>
        <w:jc w:val="center"/>
        <w:rPr>
          <w:color w:val="auto"/>
          <w:highlight w:val="none"/>
        </w:rPr>
      </w:pPr>
    </w:p>
    <w:p>
      <w:pPr>
        <w:pStyle w:val="5"/>
        <w:numPr>
          <w:ilvl w:val="0"/>
          <w:numId w:val="19"/>
        </w:numPr>
        <w:jc w:val="center"/>
        <w:rPr>
          <w:color w:val="auto"/>
          <w:highlight w:val="none"/>
        </w:rPr>
      </w:pPr>
      <w:bookmarkStart w:id="260" w:name="_Toc28884"/>
      <w:bookmarkStart w:id="261" w:name="_Toc24064"/>
      <w:bookmarkStart w:id="262" w:name="_Toc9540"/>
      <w:bookmarkStart w:id="263" w:name="_Toc1852"/>
      <w:bookmarkStart w:id="264" w:name="_Toc31683"/>
      <w:bookmarkStart w:id="265" w:name="_Toc9579"/>
      <w:bookmarkStart w:id="266" w:name="_Toc25949"/>
      <w:bookmarkStart w:id="267" w:name="_Toc15167"/>
      <w:r>
        <w:rPr>
          <w:rFonts w:hint="eastAsia"/>
          <w:color w:val="auto"/>
          <w:highlight w:val="none"/>
        </w:rPr>
        <w:t>技术方案</w:t>
      </w:r>
      <w:bookmarkEnd w:id="260"/>
      <w:bookmarkEnd w:id="261"/>
      <w:bookmarkEnd w:id="262"/>
      <w:bookmarkEnd w:id="263"/>
      <w:bookmarkEnd w:id="264"/>
      <w:bookmarkEnd w:id="265"/>
      <w:bookmarkEnd w:id="266"/>
      <w:bookmarkEnd w:id="267"/>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numPr>
          <w:ilvl w:val="0"/>
          <w:numId w:val="19"/>
        </w:numPr>
        <w:jc w:val="center"/>
        <w:rPr>
          <w:color w:val="auto"/>
          <w:highlight w:val="none"/>
        </w:rPr>
      </w:pPr>
      <w:bookmarkStart w:id="268" w:name="_Toc23849"/>
      <w:bookmarkStart w:id="269" w:name="_Toc11036"/>
      <w:bookmarkStart w:id="270" w:name="_Toc9619"/>
      <w:bookmarkStart w:id="271" w:name="_Toc30049"/>
      <w:bookmarkStart w:id="272" w:name="_Toc12278"/>
      <w:bookmarkStart w:id="273" w:name="_Toc24947"/>
      <w:bookmarkStart w:id="274" w:name="_Toc15530"/>
      <w:bookmarkStart w:id="275" w:name="_Toc28953"/>
      <w:r>
        <w:rPr>
          <w:rFonts w:hint="eastAsia"/>
          <w:color w:val="auto"/>
          <w:highlight w:val="none"/>
        </w:rPr>
        <w:t>其他资料</w:t>
      </w:r>
      <w:bookmarkEnd w:id="268"/>
      <w:bookmarkEnd w:id="269"/>
      <w:bookmarkEnd w:id="270"/>
      <w:bookmarkEnd w:id="271"/>
      <w:bookmarkEnd w:id="272"/>
      <w:bookmarkEnd w:id="273"/>
      <w:bookmarkEnd w:id="274"/>
      <w:bookmarkEnd w:id="275"/>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jc w:val="center"/>
        <w:rPr>
          <w:color w:val="auto"/>
          <w:sz w:val="28"/>
          <w:szCs w:val="28"/>
          <w:highlight w:val="none"/>
        </w:rPr>
      </w:pPr>
      <w:bookmarkStart w:id="276"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76"/>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rPr>
        <w:t>）磋商保证金汇入情况说明及银行汇款凭证（或担保函）复印件加盖公章；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rPr>
        <w:t>）法定代表人授权委托书加盖公章（法定代表人磋商的除外）；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77"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7"/>
        <w:ind w:firstLine="400"/>
        <w:rPr>
          <w:color w:val="auto"/>
          <w:highlight w:val="none"/>
          <w:lang w:val="zh-CN"/>
        </w:rPr>
      </w:pPr>
    </w:p>
    <w:p>
      <w:pPr>
        <w:pStyle w:val="7"/>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77"/>
    <w:p>
      <w:pPr>
        <w:rPr>
          <w:color w:val="auto"/>
          <w:highlight w:val="none"/>
          <w:lang w:val="zh-CN"/>
        </w:rPr>
      </w:pPr>
    </w:p>
    <w:sectPr>
      <w:headerReference r:id="rId13" w:type="first"/>
      <w:footerReference r:id="rId16" w:type="first"/>
      <w:headerReference r:id="rId12" w:type="default"/>
      <w:footerReference r:id="rId14" w:type="default"/>
      <w:footerReference r:id="rId15"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7Vt9QAAAACAQAADwAAAAAAAAABACAAAAAiAAAA&#10;ZHJzL2Rvd25yZXYueG1sUEsBAhQAFAAAAAgAh07iQE2KlF7SAQAAogMAAA4AAAAAAAAAAQAgAAAA&#10;IwEAAGRycy9lMm9Eb2MueG1sUEsFBgAAAAAGAAYAWQEAAGc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M/8h6f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7" name="图片 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57500B"/>
    <w:multiLevelType w:val="multilevel"/>
    <w:tmpl w:val="0A57500B"/>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5">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8"/>
  </w:num>
  <w:num w:numId="2">
    <w:abstractNumId w:val="15"/>
  </w:num>
  <w:num w:numId="3">
    <w:abstractNumId w:val="16"/>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E30061A"/>
    <w:rsid w:val="0E6759EA"/>
    <w:rsid w:val="0E693E94"/>
    <w:rsid w:val="0EAB15DF"/>
    <w:rsid w:val="0EBD4ECC"/>
    <w:rsid w:val="0EC12B61"/>
    <w:rsid w:val="0ECB16D0"/>
    <w:rsid w:val="0F0F3E67"/>
    <w:rsid w:val="0F36681E"/>
    <w:rsid w:val="0F554B61"/>
    <w:rsid w:val="0F684139"/>
    <w:rsid w:val="0FA658B8"/>
    <w:rsid w:val="0FA725F9"/>
    <w:rsid w:val="0FB125A0"/>
    <w:rsid w:val="0FF75B36"/>
    <w:rsid w:val="1007384E"/>
    <w:rsid w:val="107962EB"/>
    <w:rsid w:val="107D7A08"/>
    <w:rsid w:val="10C4053D"/>
    <w:rsid w:val="10D064F7"/>
    <w:rsid w:val="10D24A7B"/>
    <w:rsid w:val="10D763F7"/>
    <w:rsid w:val="10DA580F"/>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B5C6A"/>
    <w:rsid w:val="202209B9"/>
    <w:rsid w:val="20280066"/>
    <w:rsid w:val="202C0E96"/>
    <w:rsid w:val="20304AD2"/>
    <w:rsid w:val="203B6599"/>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AC6651"/>
    <w:rsid w:val="29C4608A"/>
    <w:rsid w:val="29E769C8"/>
    <w:rsid w:val="29F21662"/>
    <w:rsid w:val="29F51AC1"/>
    <w:rsid w:val="29F51D07"/>
    <w:rsid w:val="29FC30C2"/>
    <w:rsid w:val="2A406B43"/>
    <w:rsid w:val="2A6D3E9B"/>
    <w:rsid w:val="2A783D0E"/>
    <w:rsid w:val="2A9C0461"/>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F010E90"/>
    <w:rsid w:val="2F0C69E6"/>
    <w:rsid w:val="2F0D5CED"/>
    <w:rsid w:val="2F16689C"/>
    <w:rsid w:val="2F236129"/>
    <w:rsid w:val="2F2C56BA"/>
    <w:rsid w:val="2F2D0218"/>
    <w:rsid w:val="2F356A16"/>
    <w:rsid w:val="2F4614DA"/>
    <w:rsid w:val="2F636A54"/>
    <w:rsid w:val="2FA00DAE"/>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6034EE1"/>
    <w:rsid w:val="36237D2D"/>
    <w:rsid w:val="363503EB"/>
    <w:rsid w:val="3647637B"/>
    <w:rsid w:val="367F686D"/>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9814F2"/>
    <w:rsid w:val="3DE32AFA"/>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9A2ED2"/>
    <w:rsid w:val="47B328B4"/>
    <w:rsid w:val="47C13542"/>
    <w:rsid w:val="48113D01"/>
    <w:rsid w:val="484C7B11"/>
    <w:rsid w:val="485E0A04"/>
    <w:rsid w:val="48740F1D"/>
    <w:rsid w:val="48761BE3"/>
    <w:rsid w:val="489E0EB1"/>
    <w:rsid w:val="48A4548A"/>
    <w:rsid w:val="48A57E1F"/>
    <w:rsid w:val="48B50D92"/>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5D4EF8"/>
    <w:rsid w:val="4A915C19"/>
    <w:rsid w:val="4A955A49"/>
    <w:rsid w:val="4A9C5501"/>
    <w:rsid w:val="4AAF7BD4"/>
    <w:rsid w:val="4AD80F53"/>
    <w:rsid w:val="4B2C75A6"/>
    <w:rsid w:val="4B2F25FD"/>
    <w:rsid w:val="4BB15678"/>
    <w:rsid w:val="4BB76960"/>
    <w:rsid w:val="4BD03593"/>
    <w:rsid w:val="4BD63363"/>
    <w:rsid w:val="4BD87666"/>
    <w:rsid w:val="4BE6691C"/>
    <w:rsid w:val="4BF467F9"/>
    <w:rsid w:val="4BF83E44"/>
    <w:rsid w:val="4C276C17"/>
    <w:rsid w:val="4C7C0669"/>
    <w:rsid w:val="4C850277"/>
    <w:rsid w:val="4C9904F2"/>
    <w:rsid w:val="4D2572CD"/>
    <w:rsid w:val="4D354FF0"/>
    <w:rsid w:val="4D4C32B8"/>
    <w:rsid w:val="4DBB048A"/>
    <w:rsid w:val="4DE07DE4"/>
    <w:rsid w:val="4E0D5D14"/>
    <w:rsid w:val="4E2F45C0"/>
    <w:rsid w:val="4E363F2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F17268"/>
    <w:rsid w:val="620A3859"/>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9A5886"/>
    <w:rsid w:val="66BF54E4"/>
    <w:rsid w:val="67101119"/>
    <w:rsid w:val="67151BB5"/>
    <w:rsid w:val="671C67EA"/>
    <w:rsid w:val="67400D4D"/>
    <w:rsid w:val="677A414A"/>
    <w:rsid w:val="67C952B3"/>
    <w:rsid w:val="67DB4341"/>
    <w:rsid w:val="68720AE2"/>
    <w:rsid w:val="689554F5"/>
    <w:rsid w:val="68AA7215"/>
    <w:rsid w:val="68ED6911"/>
    <w:rsid w:val="6903642B"/>
    <w:rsid w:val="690F1870"/>
    <w:rsid w:val="692F5E27"/>
    <w:rsid w:val="69466675"/>
    <w:rsid w:val="698C2B7F"/>
    <w:rsid w:val="69AB5D7A"/>
    <w:rsid w:val="69F575F2"/>
    <w:rsid w:val="6A4C7335"/>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8F3EF6"/>
    <w:rsid w:val="6CAD55CC"/>
    <w:rsid w:val="6CBE1616"/>
    <w:rsid w:val="6CC15F94"/>
    <w:rsid w:val="6CDA118A"/>
    <w:rsid w:val="6D0C01A9"/>
    <w:rsid w:val="6D2A44DD"/>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7D4FBC"/>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57DFF"/>
    <w:rsid w:val="7D79413D"/>
    <w:rsid w:val="7D872924"/>
    <w:rsid w:val="7D8F5F9C"/>
    <w:rsid w:val="7E180A37"/>
    <w:rsid w:val="7E252BD1"/>
    <w:rsid w:val="7E2D4483"/>
    <w:rsid w:val="7E327A3B"/>
    <w:rsid w:val="7E621BA9"/>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7"/>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7">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toc 7"/>
    <w:basedOn w:val="1"/>
    <w:next w:val="1"/>
    <w:qFormat/>
    <w:uiPriority w:val="0"/>
    <w:pPr>
      <w:ind w:left="1440"/>
    </w:pPr>
    <w:rPr>
      <w:rFonts w:ascii="Calibri" w:cs="Calibri"/>
      <w:sz w:val="18"/>
      <w:szCs w:val="18"/>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7"/>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7"/>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line="480" w:lineRule="auto"/>
      <w:ind w:firstLine="54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66</Pages>
  <Words>32797</Words>
  <Characters>35031</Characters>
  <Lines>28</Lines>
  <Paragraphs>46</Paragraphs>
  <TotalTime>15</TotalTime>
  <ScaleCrop>false</ScaleCrop>
  <LinksUpToDate>false</LinksUpToDate>
  <CharactersWithSpaces>36036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Yakult</cp:lastModifiedBy>
  <cp:lastPrinted>2020-07-10T09:47:00Z</cp:lastPrinted>
  <dcterms:modified xsi:type="dcterms:W3CDTF">2022-09-05T07:14:40Z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C9C7DC2244624C398423F07490B0E7DA</vt:lpwstr>
  </property>
</Properties>
</file>