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color w:val="auto"/>
          <w:sz w:val="72"/>
          <w:highlight w:val="none"/>
        </w:rPr>
      </w:pPr>
    </w:p>
    <w:p>
      <w:pPr>
        <w:widowControl/>
        <w:spacing w:line="360" w:lineRule="auto"/>
        <w:ind w:right="-26"/>
        <w:jc w:val="center"/>
        <w:textAlignment w:val="bottom"/>
        <w:rPr>
          <w:rFonts w:hAnsi="宋体"/>
          <w:b/>
          <w:color w:val="auto"/>
          <w:sz w:val="72"/>
          <w:highlight w:val="none"/>
        </w:rPr>
      </w:pPr>
    </w:p>
    <w:p>
      <w:pPr>
        <w:snapToGrid w:val="0"/>
        <w:jc w:val="center"/>
        <w:rPr>
          <w:rFonts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竞争性磋商文件</w: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3360" behindDoc="1" locked="0" layoutInCell="1" allowOverlap="1">
                <wp:simplePos x="0" y="0"/>
                <wp:positionH relativeFrom="column">
                  <wp:posOffset>292735</wp:posOffset>
                </wp:positionH>
                <wp:positionV relativeFrom="paragraph">
                  <wp:posOffset>81915</wp:posOffset>
                </wp:positionV>
                <wp:extent cx="4483735" cy="2146300"/>
                <wp:effectExtent l="0" t="0" r="12065" b="6350"/>
                <wp:wrapNone/>
                <wp:docPr id="3" name="文本框 6"/>
                <wp:cNvGraphicFramePr/>
                <a:graphic xmlns:a="http://schemas.openxmlformats.org/drawingml/2006/main">
                  <a:graphicData uri="http://schemas.microsoft.com/office/word/2010/wordprocessingShape">
                    <wps:wsp>
                      <wps:cNvSpPr txBox="1"/>
                      <wps:spPr>
                        <a:xfrm>
                          <a:off x="0" y="0"/>
                          <a:ext cx="5030470" cy="1375410"/>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hint="eastAsia" w:ascii="黑体" w:hAnsi="黑体" w:eastAsia="黑体" w:cs="黑体"/>
                                <w:b/>
                                <w:color w:val="auto"/>
                                <w:sz w:val="32"/>
                                <w:highlight w:val="none"/>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highlight w:val="none"/>
                              </w:rPr>
                              <w:t>：</w:t>
                            </w:r>
                            <w:r>
                              <w:rPr>
                                <w:rFonts w:hint="eastAsia" w:ascii="黑体" w:hAnsi="黑体" w:eastAsia="黑体" w:cs="黑体"/>
                                <w:b/>
                                <w:color w:val="auto"/>
                                <w:sz w:val="32"/>
                                <w:highlight w:val="none"/>
                                <w:lang w:eastAsia="zh-CN"/>
                              </w:rPr>
                              <w:t>松山湖大学创新城--E区创投大厦AB塔楼体标识及地下停车场灯箱项目</w:t>
                            </w:r>
                          </w:p>
                          <w:p>
                            <w:pPr>
                              <w:widowControl/>
                              <w:spacing w:line="360" w:lineRule="auto"/>
                              <w:ind w:right="-26"/>
                              <w:jc w:val="both"/>
                              <w:textAlignment w:val="bottom"/>
                              <w:rPr>
                                <w:rFonts w:hint="eastAsia" w:ascii="黑体" w:hAnsi="黑体" w:eastAsia="黑体" w:cs="黑体"/>
                                <w:b/>
                                <w:color w:val="auto"/>
                                <w:sz w:val="32"/>
                                <w:highlight w:val="none"/>
                                <w:lang w:eastAsia="zh-CN"/>
                              </w:rPr>
                            </w:pPr>
                            <w:r>
                              <w:rPr>
                                <w:rFonts w:hint="eastAsia" w:ascii="黑体" w:hAnsi="黑体" w:eastAsia="黑体" w:cs="黑体"/>
                                <w:b/>
                                <w:color w:val="auto"/>
                                <w:sz w:val="32"/>
                                <w:highlight w:val="none"/>
                              </w:rPr>
                              <w:t>项目编号：</w:t>
                            </w:r>
                            <w:r>
                              <w:rPr>
                                <w:rFonts w:hint="eastAsia" w:ascii="黑体" w:hAnsi="黑体" w:eastAsia="黑体" w:cs="黑体"/>
                                <w:b/>
                                <w:color w:val="auto"/>
                                <w:sz w:val="32"/>
                                <w:highlight w:val="none"/>
                                <w:lang w:eastAsia="zh-CN"/>
                              </w:rPr>
                              <w:t>TTWY-21104</w:t>
                            </w:r>
                          </w:p>
                          <w:p>
                            <w:pPr>
                              <w:widowControl/>
                              <w:spacing w:line="360" w:lineRule="auto"/>
                              <w:ind w:right="-26"/>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wps:txbx>
                      <wps:bodyPr upright="1"/>
                    </wps:wsp>
                  </a:graphicData>
                </a:graphic>
              </wp:anchor>
            </w:drawing>
          </mc:Choice>
          <mc:Fallback>
            <w:pict>
              <v:shape id="文本框 6" o:spid="_x0000_s1026" o:spt="202" type="#_x0000_t202" style="position:absolute;left:0pt;margin-left:23.05pt;margin-top:6.45pt;height:169pt;width:353.05pt;z-index:-251653120;mso-width-relative:page;mso-height-relative:page;" fillcolor="#FFFFFF" filled="t" stroked="f" coordsize="21600,21600" o:gfxdata="UEsDBAoAAAAAAIdO4kAAAAAAAAAAAAAAAAAEAAAAZHJzL1BLAwQUAAAACACHTuJANxsCu9sAAAAJ&#10;AQAADwAAAGRycy9kb3ducmV2LnhtbE2PzU7DMBCE70i8g7VIXKrWTiD9CXF6QEJcEFVLEVc3WZKQ&#10;eB1iNy1v3+UEx9kZzXybrc+2EyMOvnGkIZopEEiFKxuqNOzfnqZLED4YKk3nCDX8oId1fn2VmbR0&#10;J9riuAuV4BLyqdFQh9CnUvqiRmv8zPVI7H26wZrAcqhkOZgTl9tOxkrNpTUN8UJtenyssWh3R6vh&#10;NfHtBL9ftsXXMmoni+fx/WOz0fr2JlIPIAKew18YfvEZHXJmOrgjlV50Gu7nESf5Hq9AsL9I4hjE&#10;QcNdolYg80z+/yC/AFBLAwQUAAAACACHTuJAeWCOsAQCAAAXBAAADgAAAGRycy9lMm9Eb2MueG1s&#10;rVPNjtMwEL4j8Q6W7zTJdrtdRU1XgqpcECAWxNl1nMSS/+Rxm/QF4A04ceHOc/U5duxkS7VIaA/k&#10;kExmxt/M9814dTdoRQ7Cg7SmosUsp0QYbmtp2op++bx9dUsJBGZqpqwRFT0KoHfrly9WvSvFle2s&#10;qoUnCGKg7F1FuxBcmWXAO6EZzKwTBoON9ZoF/PVtVnvWI7pW2VWe32S99bXzlgsA9G7GIJ0Q/XMA&#10;bdNILjaW77UwYUT1QrGAlKCTDug6dds0gocPTQMiEFVRZBrSG4ugvYvvbL1iZeuZ6ySfWmDPaeEJ&#10;J82kwaJnqA0LjOy9/AtKS+4t2CbMuNXZSCQpgiyK/Ik29x1zInFBqcGdRYf/B8vfHz56IuuKzikx&#10;TOPATz++n37+Pv36Rm6iPL2DErPuHeaF4bUdcGke/YDOyHpovI5f5EMwjuIez+KKIRCOzkU+z6+X&#10;GOIYK+bLxXWR5M/+HHcewlthNYlGRT1OL4nKDu8gYCuY+pgyaV1vpVLE2/BVhi7JFeumIOCZ0SDO&#10;omKjG3y7e6M8OTBciG16IhlEbuEyu8jjk5D+fSSdnEopaQiL12jaqyCV+IQkpgKepXZjGWVIjyos&#10;bpeLVMPYSGTMUyZmiLS8E+84g1HraIVhN2BqNHe2PuJc9s7LtkPJ0mSyGMF9GWmNux0X8vIf7cv7&#10;vH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xsCu9sAAAAJAQAADwAAAAAAAAABACAAAAAiAAAA&#10;ZHJzL2Rvd25yZXYueG1sUEsBAhQAFAAAAAgAh07iQHlgjrAEAgAAFwQAAA4AAAAAAAAAAQAgAAAA&#10;KgEAAGRycy9lMm9Eb2MueG1sUEsFBgAAAAAGAAYAWQEAAKAFA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hint="eastAsia" w:ascii="黑体" w:hAnsi="黑体" w:eastAsia="黑体" w:cs="黑体"/>
                          <w:b/>
                          <w:color w:val="auto"/>
                          <w:sz w:val="32"/>
                          <w:highlight w:val="none"/>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highlight w:val="none"/>
                        </w:rPr>
                        <w:t>：</w:t>
                      </w:r>
                      <w:r>
                        <w:rPr>
                          <w:rFonts w:hint="eastAsia" w:ascii="黑体" w:hAnsi="黑体" w:eastAsia="黑体" w:cs="黑体"/>
                          <w:b/>
                          <w:color w:val="auto"/>
                          <w:sz w:val="32"/>
                          <w:highlight w:val="none"/>
                          <w:lang w:eastAsia="zh-CN"/>
                        </w:rPr>
                        <w:t>松山湖大学创新城--E区创投大厦AB塔楼体标识及地下停车场灯箱项目</w:t>
                      </w:r>
                    </w:p>
                    <w:p>
                      <w:pPr>
                        <w:widowControl/>
                        <w:spacing w:line="360" w:lineRule="auto"/>
                        <w:ind w:right="-26"/>
                        <w:jc w:val="both"/>
                        <w:textAlignment w:val="bottom"/>
                        <w:rPr>
                          <w:rFonts w:hint="eastAsia" w:ascii="黑体" w:hAnsi="黑体" w:eastAsia="黑体" w:cs="黑体"/>
                          <w:b/>
                          <w:color w:val="auto"/>
                          <w:sz w:val="32"/>
                          <w:highlight w:val="none"/>
                          <w:lang w:eastAsia="zh-CN"/>
                        </w:rPr>
                      </w:pPr>
                      <w:r>
                        <w:rPr>
                          <w:rFonts w:hint="eastAsia" w:ascii="黑体" w:hAnsi="黑体" w:eastAsia="黑体" w:cs="黑体"/>
                          <w:b/>
                          <w:color w:val="auto"/>
                          <w:sz w:val="32"/>
                          <w:highlight w:val="none"/>
                        </w:rPr>
                        <w:t>项目编号：</w:t>
                      </w:r>
                      <w:r>
                        <w:rPr>
                          <w:rFonts w:hint="eastAsia" w:ascii="黑体" w:hAnsi="黑体" w:eastAsia="黑体" w:cs="黑体"/>
                          <w:b/>
                          <w:color w:val="auto"/>
                          <w:sz w:val="32"/>
                          <w:highlight w:val="none"/>
                          <w:lang w:eastAsia="zh-CN"/>
                        </w:rPr>
                        <w:t>TTWY-21104</w:t>
                      </w:r>
                    </w:p>
                    <w:p>
                      <w:pPr>
                        <w:widowControl/>
                        <w:spacing w:line="360" w:lineRule="auto"/>
                        <w:ind w:right="-26"/>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v:textbox>
              </v:shape>
            </w:pict>
          </mc:Fallback>
        </mc:AlternateConten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3"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广东泰通伟业工程咨询有限公司 </w:t>
      </w:r>
    </w:p>
    <w:p>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w:t>
      </w:r>
      <w:r>
        <w:rPr>
          <w:rFonts w:hint="eastAsia" w:ascii="黑体" w:hAnsi="黑体" w:eastAsia="黑体" w:cs="黑体"/>
          <w:b/>
          <w:color w:val="auto"/>
          <w:sz w:val="32"/>
          <w:highlight w:val="none"/>
          <w:lang w:eastAsia="zh-CN"/>
        </w:rPr>
        <w:t>一</w:t>
      </w:r>
      <w:r>
        <w:rPr>
          <w:rFonts w:hint="eastAsia" w:ascii="黑体" w:hAnsi="黑体" w:eastAsia="黑体" w:cs="黑体"/>
          <w:b/>
          <w:color w:val="auto"/>
          <w:sz w:val="32"/>
          <w:highlight w:val="none"/>
        </w:rPr>
        <w:t>年</w:t>
      </w:r>
      <w:r>
        <w:rPr>
          <w:rFonts w:hint="eastAsia" w:ascii="黑体" w:hAnsi="黑体" w:eastAsia="黑体" w:cs="黑体"/>
          <w:b/>
          <w:color w:val="auto"/>
          <w:sz w:val="32"/>
          <w:highlight w:val="none"/>
          <w:lang w:val="en-US" w:eastAsia="zh-CN"/>
        </w:rPr>
        <w:t>十二</w:t>
      </w:r>
      <w:r>
        <w:rPr>
          <w:rFonts w:hint="eastAsia" w:ascii="黑体" w:hAnsi="黑体" w:eastAsia="黑体" w:cs="黑体"/>
          <w:b/>
          <w:color w:val="auto"/>
          <w:sz w:val="32"/>
          <w:highlight w:val="none"/>
        </w:rPr>
        <w:t>月</w:t>
      </w: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Borders>
            <w:top w:val="none" w:sz="0" w:space="0"/>
            <w:left w:val="none" w:sz="0" w:space="0"/>
            <w:bottom w:val="none" w:sz="0" w:space="0"/>
            <w:right w:val="none" w:sz="0" w:space="0"/>
          </w:pgBorders>
          <w:pgNumType w:start="0"/>
          <w:cols w:space="720" w:num="1"/>
          <w:docGrid w:type="lines" w:linePitch="312" w:charSpace="0"/>
        </w:sectPr>
      </w:pPr>
      <w:bookmarkStart w:id="0" w:name="_Toc13507"/>
    </w:p>
    <w:bookmarkEnd w:id="0"/>
    <w:p>
      <w:pPr>
        <w:spacing w:line="360" w:lineRule="auto"/>
        <w:ind w:left="48" w:leftChars="20"/>
        <w:jc w:val="center"/>
        <w:rPr>
          <w:rFonts w:ascii="黑体" w:hAnsi="黑体" w:eastAsia="黑体" w:cs="黑体"/>
          <w:color w:val="auto"/>
          <w:sz w:val="32"/>
          <w:szCs w:val="32"/>
          <w:highlight w:val="none"/>
        </w:rPr>
      </w:pPr>
      <w:bookmarkStart w:id="1" w:name="_Toc27261"/>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color w:val="auto"/>
          <w:sz w:val="32"/>
          <w:szCs w:val="32"/>
          <w:highlight w:val="none"/>
        </w:rPr>
      </w:pP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w:t>
      </w:r>
      <w:r>
        <w:rPr>
          <w:rFonts w:hint="eastAsia" w:ascii="黑体" w:hAnsi="黑体" w:eastAsia="黑体" w:cs="黑体"/>
          <w:color w:val="auto"/>
          <w:highlight w:val="none"/>
          <w:lang w:eastAsia="zh-CN"/>
        </w:rPr>
        <w:t>报价</w:t>
      </w:r>
      <w:r>
        <w:rPr>
          <w:rFonts w:hint="eastAsia" w:ascii="黑体" w:hAnsi="黑体" w:eastAsia="黑体" w:cs="黑体"/>
          <w:color w:val="auto"/>
          <w:highlight w:val="none"/>
        </w:rPr>
        <w:t>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磋商响应文件应按顺序编制页码。</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w:t>
      </w:r>
      <w:r>
        <w:rPr>
          <w:rFonts w:hint="eastAsia" w:ascii="黑体" w:hAnsi="黑体" w:eastAsia="黑体" w:cs="黑体"/>
          <w:color w:val="auto"/>
          <w:highlight w:val="none"/>
          <w:lang w:eastAsia="zh-CN"/>
        </w:rPr>
        <w:t>采购</w:t>
      </w:r>
      <w:r>
        <w:rPr>
          <w:rFonts w:hint="eastAsia" w:ascii="黑体" w:hAnsi="黑体" w:eastAsia="黑体" w:cs="黑体"/>
          <w:color w:val="auto"/>
          <w:highlight w:val="none"/>
        </w:rPr>
        <w:t>代理服务费等，磋商文件将书面详细告知，请供应商按磋商文件规定的方式和金额支付。</w:t>
      </w: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pStyle w:val="12"/>
        <w:rPr>
          <w:rFonts w:hAnsi="宋体"/>
          <w:b/>
          <w:bCs/>
          <w:color w:val="auto"/>
          <w:sz w:val="32"/>
          <w:szCs w:val="32"/>
          <w:highlight w:val="none"/>
          <w:lang w:val="zh-CN"/>
        </w:rPr>
      </w:pPr>
    </w:p>
    <w:p>
      <w:pPr>
        <w:pStyle w:val="12"/>
        <w:rPr>
          <w:rFonts w:hAnsi="宋体"/>
          <w:b/>
          <w:bCs/>
          <w:color w:val="auto"/>
          <w:sz w:val="32"/>
          <w:szCs w:val="32"/>
          <w:highlight w:val="none"/>
          <w:lang w:val="zh-CN"/>
        </w:rPr>
      </w:pPr>
    </w:p>
    <w:p>
      <w:pPr>
        <w:jc w:val="center"/>
        <w:rPr>
          <w:color w:val="auto"/>
          <w:highlight w:val="none"/>
        </w:rPr>
      </w:pPr>
      <w:r>
        <w:rPr>
          <w:rFonts w:hAnsi="宋体"/>
          <w:b/>
          <w:bCs/>
          <w:color w:val="auto"/>
          <w:sz w:val="32"/>
          <w:szCs w:val="32"/>
          <w:highlight w:val="none"/>
          <w:lang w:val="zh-CN"/>
        </w:rPr>
        <w:t>目录</w:t>
      </w:r>
      <w:bookmarkStart w:id="2" w:name="_Toc396137229"/>
      <w:r>
        <w:rPr>
          <w:rFonts w:hAnsi="宋体"/>
          <w:b/>
          <w:bCs/>
          <w:caps/>
          <w:color w:val="auto"/>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"_Toc27261" </w:instrText>
      </w:r>
      <w:r>
        <w:rPr>
          <w:color w:val="auto"/>
          <w:highlight w:val="none"/>
        </w:rPr>
        <w:fldChar w:fldCharType="separate"/>
      </w:r>
      <w:r>
        <w:rPr>
          <w:rFonts w:hAnsi="宋体"/>
          <w:color w:val="auto"/>
          <w:kern w:val="44"/>
          <w:sz w:val="24"/>
          <w:szCs w:val="24"/>
          <w:highlight w:val="none"/>
          <w:lang w:val="zh-CN"/>
        </w:rPr>
        <w:t xml:space="preserve">第一篇 </w:t>
      </w:r>
      <w:r>
        <w:rPr>
          <w:rFonts w:hint="eastAsia" w:hAnsi="宋体"/>
          <w:color w:val="auto"/>
          <w:kern w:val="44"/>
          <w:sz w:val="24"/>
          <w:szCs w:val="24"/>
          <w:highlight w:val="none"/>
        </w:rPr>
        <w:t>磋商邀请书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_Toc27261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"_Toc16634" </w:instrText>
      </w:r>
      <w:r>
        <w:rPr>
          <w:color w:val="auto"/>
          <w:highlight w:val="none"/>
        </w:rPr>
        <w:fldChar w:fldCharType="separate"/>
      </w:r>
      <w:r>
        <w:rPr>
          <w:rFonts w:hAnsi="宋体"/>
          <w:color w:val="auto"/>
          <w:kern w:val="44"/>
          <w:sz w:val="24"/>
          <w:szCs w:val="24"/>
          <w:highlight w:val="none"/>
          <w:lang w:val="zh-CN"/>
        </w:rPr>
        <w:t xml:space="preserve">第二篇 </w:t>
      </w:r>
      <w:r>
        <w:rPr>
          <w:rFonts w:hint="eastAsia" w:hAnsi="宋体"/>
          <w:color w:val="auto"/>
          <w:kern w:val="44"/>
          <w:sz w:val="24"/>
          <w:szCs w:val="24"/>
          <w:highlight w:val="none"/>
          <w:lang w:val="zh-CN"/>
        </w:rPr>
        <w:t>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_Toc16634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"_Toc22751" </w:instrText>
      </w:r>
      <w:r>
        <w:rPr>
          <w:color w:val="auto"/>
          <w:highlight w:val="none"/>
        </w:rPr>
        <w:fldChar w:fldCharType="separate"/>
      </w:r>
      <w:r>
        <w:rPr>
          <w:rFonts w:hAnsi="宋体"/>
          <w:color w:val="auto"/>
          <w:kern w:val="44"/>
          <w:sz w:val="24"/>
          <w:szCs w:val="24"/>
          <w:highlight w:val="none"/>
          <w:lang w:val="zh-CN"/>
        </w:rPr>
        <w:t xml:space="preserve">第三篇 </w:t>
      </w:r>
      <w:r>
        <w:rPr>
          <w:rFonts w:hint="eastAsia" w:hAnsi="宋体"/>
          <w:color w:val="auto"/>
          <w:kern w:val="44"/>
          <w:sz w:val="24"/>
          <w:szCs w:val="24"/>
          <w:highlight w:val="none"/>
          <w:lang w:val="zh-CN"/>
        </w:rPr>
        <w:t>用户需求书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_Toc22751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"_Toc13957" </w:instrText>
      </w:r>
      <w:r>
        <w:rPr>
          <w:color w:val="auto"/>
          <w:highlight w:val="none"/>
        </w:rPr>
        <w:fldChar w:fldCharType="separate"/>
      </w:r>
      <w:r>
        <w:rPr>
          <w:rFonts w:hAnsi="宋体"/>
          <w:color w:val="auto"/>
          <w:kern w:val="44"/>
          <w:sz w:val="24"/>
          <w:szCs w:val="24"/>
          <w:highlight w:val="none"/>
          <w:lang w:val="zh-CN"/>
        </w:rPr>
        <w:t xml:space="preserve">第四篇 </w:t>
      </w:r>
      <w:r>
        <w:rPr>
          <w:rFonts w:hint="eastAsia" w:hAnsi="宋体"/>
          <w:color w:val="auto"/>
          <w:kern w:val="44"/>
          <w:sz w:val="24"/>
          <w:szCs w:val="24"/>
          <w:highlight w:val="none"/>
          <w:lang w:val="zh-CN"/>
        </w:rPr>
        <w:t>评标工作大纲</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_Toc13957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"_Toc15636" </w:instrText>
      </w:r>
      <w:r>
        <w:rPr>
          <w:color w:val="auto"/>
          <w:highlight w:val="none"/>
        </w:rPr>
        <w:fldChar w:fldCharType="separate"/>
      </w:r>
      <w:r>
        <w:rPr>
          <w:rFonts w:hAnsi="宋体"/>
          <w:color w:val="auto"/>
          <w:sz w:val="24"/>
          <w:szCs w:val="24"/>
          <w:highlight w:val="none"/>
        </w:rPr>
        <w:t xml:space="preserve">第五篇 </w:t>
      </w:r>
      <w:r>
        <w:rPr>
          <w:rFonts w:hint="eastAsia" w:hAnsi="宋体"/>
          <w:color w:val="auto"/>
          <w:kern w:val="44"/>
          <w:sz w:val="24"/>
          <w:szCs w:val="24"/>
          <w:highlight w:val="none"/>
          <w:lang w:val="zh-CN"/>
        </w:rPr>
        <w:t>合同条款格式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_Toc15636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"_Toc8470" </w:instrText>
      </w:r>
      <w:r>
        <w:rPr>
          <w:color w:val="auto"/>
          <w:highlight w:val="none"/>
        </w:rPr>
        <w:fldChar w:fldCharType="separate"/>
      </w:r>
      <w:r>
        <w:rPr>
          <w:rFonts w:hint="eastAsia" w:hAnsi="宋体"/>
          <w:color w:val="auto"/>
          <w:kern w:val="44"/>
          <w:sz w:val="24"/>
          <w:szCs w:val="24"/>
          <w:highlight w:val="none"/>
          <w:lang w:val="zh-CN"/>
        </w:rPr>
        <w:t>第六篇</w:t>
      </w:r>
      <w:r>
        <w:rPr>
          <w:rFonts w:hint="eastAsia" w:hAnsi="宋体"/>
          <w:color w:val="auto"/>
          <w:kern w:val="44"/>
          <w:sz w:val="24"/>
          <w:szCs w:val="24"/>
          <w:highlight w:val="none"/>
          <w:lang w:val="en-US" w:eastAsia="zh-CN"/>
        </w:rPr>
        <w:t xml:space="preserve"> </w:t>
      </w:r>
      <w:r>
        <w:rPr>
          <w:rFonts w:hint="eastAsia" w:hAnsi="宋体"/>
          <w:color w:val="auto"/>
          <w:kern w:val="44"/>
          <w:sz w:val="24"/>
          <w:szCs w:val="24"/>
          <w:highlight w:val="none"/>
          <w:lang w:val="zh-CN"/>
        </w:rPr>
        <w:t>磋商响应文件格式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_Toc8470 </w:instrText>
      </w:r>
      <w:r>
        <w:rPr>
          <w:color w:val="auto"/>
          <w:sz w:val="24"/>
          <w:szCs w:val="24"/>
          <w:highlight w:val="none"/>
        </w:rPr>
        <w:fldChar w:fldCharType="separate"/>
      </w:r>
      <w:r>
        <w:rPr>
          <w:color w:val="auto"/>
          <w:sz w:val="24"/>
          <w:szCs w:val="24"/>
          <w:highlight w:val="none"/>
        </w:rPr>
        <w:t>62</w:t>
      </w:r>
      <w:r>
        <w:rPr>
          <w:color w:val="auto"/>
          <w:sz w:val="24"/>
          <w:szCs w:val="24"/>
          <w:highlight w:val="none"/>
        </w:rPr>
        <w:fldChar w:fldCharType="end"/>
      </w:r>
      <w:r>
        <w:rPr>
          <w:color w:val="auto"/>
          <w:sz w:val="24"/>
          <w:szCs w:val="24"/>
          <w:highlight w:val="none"/>
        </w:rPr>
        <w:fldChar w:fldCharType="end"/>
      </w:r>
    </w:p>
    <w:p>
      <w:pPr>
        <w:pStyle w:val="3"/>
        <w:keepNext/>
        <w:keepLines/>
        <w:pageBreakBefore/>
        <w:numPr>
          <w:ilvl w:val="0"/>
          <w:numId w:val="10"/>
        </w:numPr>
        <w:tabs>
          <w:tab w:val="left" w:pos="1080"/>
        </w:tabs>
        <w:spacing w:line="360" w:lineRule="auto"/>
        <w:ind w:left="1078" w:hanging="1077" w:hangingChars="449"/>
        <w:jc w:val="center"/>
        <w:rPr>
          <w:rFonts w:hAnsi="宋体"/>
          <w:b/>
          <w:bCs/>
          <w:color w:val="auto"/>
          <w:kern w:val="44"/>
          <w:sz w:val="28"/>
          <w:szCs w:val="28"/>
          <w:highlight w:val="none"/>
          <w:lang w:val="zh-CN"/>
        </w:rPr>
      </w:pPr>
      <w:r>
        <w:rPr>
          <w:color w:val="auto"/>
          <w:highlight w:val="none"/>
        </w:rPr>
        <w:fldChar w:fldCharType="end"/>
      </w:r>
      <w:bookmarkEnd w:id="2"/>
      <w:r>
        <w:rPr>
          <w:rFonts w:hint="eastAsia" w:hAnsi="宋体"/>
          <w:b/>
          <w:bCs/>
          <w:color w:val="auto"/>
          <w:kern w:val="44"/>
          <w:sz w:val="28"/>
          <w:szCs w:val="28"/>
          <w:highlight w:val="none"/>
        </w:rPr>
        <w:t>磋商邀请书</w:t>
      </w:r>
      <w:bookmarkEnd w:id="1"/>
    </w:p>
    <w:p>
      <w:pPr>
        <w:widowControl/>
        <w:tabs>
          <w:tab w:val="left" w:pos="-360"/>
        </w:tabs>
        <w:adjustRightInd/>
        <w:spacing w:line="360" w:lineRule="auto"/>
        <w:ind w:right="-34" w:firstLine="420" w:firstLineChars="200"/>
        <w:jc w:val="both"/>
        <w:textAlignment w:val="bottom"/>
        <w:rPr>
          <w:rFonts w:hAnsi="宋体"/>
          <w:color w:val="auto"/>
          <w:sz w:val="21"/>
          <w:szCs w:val="21"/>
          <w:highlight w:val="none"/>
          <w:shd w:val="clear" w:color="auto" w:fill="auto"/>
        </w:rPr>
      </w:pPr>
      <w:r>
        <w:rPr>
          <w:rFonts w:hint="eastAsia" w:hAnsi="宋体"/>
          <w:color w:val="auto"/>
          <w:sz w:val="21"/>
          <w:szCs w:val="21"/>
          <w:highlight w:val="none"/>
        </w:rPr>
        <w:t>广东泰通伟业工程咨询有限公司（以下简称“采购代理机构”）受</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（以下简称“采购人”）的委托</w:t>
      </w:r>
      <w:r>
        <w:rPr>
          <w:rFonts w:hint="eastAsia" w:hAnsi="宋体"/>
          <w:color w:val="auto"/>
          <w:sz w:val="21"/>
          <w:szCs w:val="21"/>
          <w:highlight w:val="none"/>
          <w:shd w:val="clear" w:color="auto" w:fill="auto"/>
        </w:rPr>
        <w:t>，为</w:t>
      </w:r>
      <w:r>
        <w:rPr>
          <w:rFonts w:hint="eastAsia" w:hAnsi="宋体"/>
          <w:color w:val="auto"/>
          <w:sz w:val="21"/>
          <w:szCs w:val="21"/>
          <w:highlight w:val="none"/>
          <w:shd w:val="clear" w:color="auto" w:fill="auto"/>
          <w:lang w:eastAsia="zh-CN"/>
        </w:rPr>
        <w:t>松山湖大学创新城--E区创投大厦AB塔楼体标识及地下停车场灯箱项目</w:t>
      </w:r>
      <w:r>
        <w:rPr>
          <w:rFonts w:hint="eastAsia" w:hAnsi="宋体"/>
          <w:color w:val="auto"/>
          <w:sz w:val="21"/>
          <w:szCs w:val="21"/>
          <w:highlight w:val="none"/>
          <w:shd w:val="clear" w:color="auto" w:fill="auto"/>
        </w:rPr>
        <w:t xml:space="preserve"> (项目编号：</w:t>
      </w:r>
      <w:r>
        <w:rPr>
          <w:rFonts w:hint="eastAsia" w:hAnsi="宋体"/>
          <w:color w:val="auto"/>
          <w:sz w:val="21"/>
          <w:szCs w:val="21"/>
          <w:highlight w:val="none"/>
          <w:shd w:val="clear" w:color="auto" w:fill="auto"/>
          <w:lang w:eastAsia="zh-CN"/>
        </w:rPr>
        <w:t>TTWY-21104</w:t>
      </w:r>
      <w:r>
        <w:rPr>
          <w:rFonts w:hint="eastAsia" w:hAnsi="宋体"/>
          <w:color w:val="auto"/>
          <w:sz w:val="21"/>
          <w:szCs w:val="21"/>
          <w:highlight w:val="none"/>
          <w:shd w:val="clear" w:color="auto" w:fill="auto"/>
        </w:rPr>
        <w:t>) 采购所需的服务。本项目采用竞争性磋商采购方式，欢迎合格供应商就本项目提交密封磋商。</w:t>
      </w:r>
    </w:p>
    <w:p>
      <w:pPr>
        <w:widowControl/>
        <w:numPr>
          <w:ilvl w:val="0"/>
          <w:numId w:val="11"/>
        </w:numPr>
        <w:adjustRightInd/>
        <w:spacing w:line="360" w:lineRule="auto"/>
        <w:rPr>
          <w:rFonts w:hAnsi="宋体"/>
          <w:color w:val="auto"/>
          <w:sz w:val="21"/>
          <w:szCs w:val="21"/>
          <w:highlight w:val="none"/>
          <w:shd w:val="clear" w:color="auto" w:fill="auto"/>
        </w:rPr>
      </w:pPr>
      <w:r>
        <w:rPr>
          <w:rFonts w:hint="eastAsia" w:hAnsi="宋体"/>
          <w:b/>
          <w:bCs/>
          <w:color w:val="auto"/>
          <w:kern w:val="28"/>
          <w:sz w:val="21"/>
          <w:szCs w:val="21"/>
          <w:highlight w:val="none"/>
          <w:shd w:val="clear" w:color="auto" w:fill="auto"/>
        </w:rPr>
        <w:t>邀请合格供应商就下列所有服务提交密封磋商：</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shd w:val="clear" w:color="auto" w:fill="auto"/>
        </w:rPr>
      </w:pPr>
      <w:r>
        <w:rPr>
          <w:rFonts w:hint="eastAsia" w:hAnsi="宋体"/>
          <w:color w:val="auto"/>
          <w:sz w:val="21"/>
          <w:szCs w:val="21"/>
          <w:highlight w:val="none"/>
          <w:shd w:val="clear" w:color="auto" w:fill="auto"/>
        </w:rPr>
        <w:t>项目名称：</w:t>
      </w:r>
      <w:r>
        <w:rPr>
          <w:rFonts w:hint="eastAsia" w:hAnsi="宋体"/>
          <w:color w:val="auto"/>
          <w:sz w:val="21"/>
          <w:szCs w:val="21"/>
          <w:highlight w:val="none"/>
          <w:shd w:val="clear" w:color="auto" w:fill="auto"/>
          <w:lang w:eastAsia="zh-CN"/>
        </w:rPr>
        <w:t>松山湖大学创新城--E区创投大厦AB塔楼体标识及地下停车场灯箱项目</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shd w:val="clear" w:color="auto" w:fill="auto"/>
        </w:rPr>
      </w:pPr>
      <w:r>
        <w:rPr>
          <w:rFonts w:hint="eastAsia" w:hAnsi="宋体"/>
          <w:color w:val="auto"/>
          <w:sz w:val="21"/>
          <w:szCs w:val="21"/>
          <w:highlight w:val="none"/>
          <w:shd w:val="clear" w:color="auto" w:fill="auto"/>
        </w:rPr>
        <w:t>项目编号：</w:t>
      </w:r>
      <w:r>
        <w:rPr>
          <w:rFonts w:hint="eastAsia" w:hAnsi="宋体"/>
          <w:color w:val="auto"/>
          <w:sz w:val="21"/>
          <w:szCs w:val="21"/>
          <w:highlight w:val="none"/>
          <w:shd w:val="clear" w:color="auto" w:fill="auto"/>
          <w:lang w:eastAsia="zh-CN"/>
        </w:rPr>
        <w:t>TTWY-21104</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项目预算金额：¥1308184.85（人民币</w:t>
      </w:r>
      <w:r>
        <w:rPr>
          <w:rFonts w:hint="eastAsia" w:hAnsi="宋体"/>
          <w:color w:val="auto"/>
          <w:sz w:val="21"/>
          <w:szCs w:val="21"/>
          <w:highlight w:val="none"/>
          <w:lang w:eastAsia="zh-CN"/>
        </w:rPr>
        <w:t>壹佰叁拾万捌仟壹佰捌拾肆元捌角伍分</w:t>
      </w:r>
      <w:r>
        <w:rPr>
          <w:rFonts w:hint="eastAsia" w:hAnsi="宋体"/>
          <w:color w:val="auto"/>
          <w:sz w:val="21"/>
          <w:szCs w:val="21"/>
          <w:highlight w:val="none"/>
        </w:rPr>
        <w:t>）。</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line="360" w:lineRule="auto"/>
        <w:rPr>
          <w:rFonts w:hAnsi="宋体"/>
          <w:b/>
          <w:bCs/>
          <w:color w:val="auto"/>
          <w:kern w:val="28"/>
          <w:sz w:val="21"/>
          <w:szCs w:val="21"/>
          <w:highlight w:val="none"/>
        </w:rPr>
      </w:pPr>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p>
    <w:p>
      <w:pPr>
        <w:widowControl/>
        <w:numPr>
          <w:ilvl w:val="0"/>
          <w:numId w:val="13"/>
        </w:numPr>
        <w:adjustRightInd/>
        <w:spacing w:line="360" w:lineRule="auto"/>
        <w:ind w:right="53"/>
        <w:textAlignment w:val="bottom"/>
        <w:rPr>
          <w:rFonts w:hAnsi="宋体"/>
          <w:color w:val="auto"/>
          <w:kern w:val="2"/>
          <w:sz w:val="21"/>
          <w:szCs w:val="21"/>
          <w:highlight w:val="none"/>
        </w:rPr>
      </w:pPr>
      <w:bookmarkStart w:id="3" w:name="_Toc396137230"/>
      <w:r>
        <w:rPr>
          <w:rFonts w:hint="eastAsia" w:hAnsi="宋体"/>
          <w:color w:val="auto"/>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lang w:eastAsia="zh-CN"/>
        </w:rPr>
        <w:t>（五）</w:t>
      </w:r>
      <w:r>
        <w:rPr>
          <w:rFonts w:hint="eastAsia" w:hAnsi="宋体"/>
          <w:color w:val="auto"/>
          <w:kern w:val="2"/>
          <w:sz w:val="21"/>
          <w:szCs w:val="21"/>
          <w:highlight w:val="none"/>
        </w:rPr>
        <w:t>本项目不接受联合体投标。</w:t>
      </w:r>
    </w:p>
    <w:p>
      <w:pPr>
        <w:spacing w:line="360" w:lineRule="auto"/>
        <w:rPr>
          <w:rFonts w:hAnsi="宋体"/>
          <w:b/>
          <w:bCs/>
          <w:color w:val="auto"/>
          <w:sz w:val="21"/>
          <w:szCs w:val="21"/>
          <w:highlight w:val="none"/>
        </w:rPr>
      </w:pPr>
      <w:r>
        <w:rPr>
          <w:rFonts w:hint="eastAsia" w:hAnsi="宋体"/>
          <w:b/>
          <w:bCs/>
          <w:color w:val="auto"/>
          <w:sz w:val="21"/>
          <w:szCs w:val="21"/>
          <w:highlight w:val="none"/>
        </w:rPr>
        <w:t>三、获取磋商文件：</w:t>
      </w:r>
    </w:p>
    <w:p>
      <w:pPr>
        <w:keepNext w:val="0"/>
        <w:keepLines w:val="0"/>
        <w:pageBreakBefore w:val="0"/>
        <w:widowControl/>
        <w:kinsoku/>
        <w:wordWrap/>
        <w:overflowPunct/>
        <w:topLinePunct w:val="0"/>
        <w:autoSpaceDE w:val="0"/>
        <w:autoSpaceDN w:val="0"/>
        <w:bidi w:val="0"/>
        <w:adjustRightInd/>
        <w:snapToGrid/>
        <w:spacing w:line="360" w:lineRule="auto"/>
        <w:ind w:left="420" w:right="53" w:firstLine="420" w:firstLineChars="200"/>
        <w:textAlignment w:val="bottom"/>
        <w:rPr>
          <w:rFonts w:hint="eastAsia" w:hAnsi="宋体"/>
          <w:color w:val="auto"/>
          <w:kern w:val="28"/>
          <w:sz w:val="21"/>
          <w:szCs w:val="21"/>
          <w:highlight w:val="none"/>
        </w:rPr>
      </w:pPr>
      <w:r>
        <w:rPr>
          <w:rFonts w:hint="eastAsia" w:hAnsi="宋体"/>
          <w:color w:val="auto"/>
          <w:kern w:val="28"/>
          <w:sz w:val="21"/>
          <w:szCs w:val="21"/>
          <w:highlight w:val="none"/>
          <w:lang w:eastAsia="zh-CN"/>
        </w:rPr>
        <w:t>本项目无须报名，磋商文件</w:t>
      </w:r>
      <w:r>
        <w:rPr>
          <w:rFonts w:hint="eastAsia" w:hAnsi="宋体"/>
          <w:color w:val="auto"/>
          <w:kern w:val="28"/>
          <w:sz w:val="21"/>
          <w:szCs w:val="21"/>
          <w:highlight w:val="none"/>
        </w:rPr>
        <w:t>下载地址：</w:t>
      </w:r>
      <w:r>
        <w:rPr>
          <w:rFonts w:hint="eastAsia" w:hAnsi="宋体" w:cs="宋体"/>
          <w:color w:val="auto"/>
          <w:spacing w:val="-6"/>
          <w:kern w:val="28"/>
          <w:sz w:val="21"/>
          <w:szCs w:val="21"/>
          <w:highlight w:val="none"/>
        </w:rPr>
        <w:t>中国招标投标公共服务平台（http://www.cebpubservice.com/）</w:t>
      </w:r>
      <w:r>
        <w:rPr>
          <w:rFonts w:hint="eastAsia" w:hAnsi="宋体"/>
          <w:color w:val="auto"/>
          <w:kern w:val="28"/>
          <w:sz w:val="21"/>
          <w:szCs w:val="21"/>
          <w:highlight w:val="none"/>
        </w:rPr>
        <w:t>、东莞实业投资控股集团有限公司-招标采购栏目（http://www.dgsy.com.cn/）、广东泰通伟业工程咨询有限公司官网-招标采购栏目（http://www.weiyecoltd.com/）。</w:t>
      </w:r>
    </w:p>
    <w:p>
      <w:pPr>
        <w:pStyle w:val="17"/>
        <w:rPr>
          <w:rFonts w:hint="default" w:eastAsia="宋体"/>
          <w:color w:val="auto"/>
          <w:highlight w:val="none"/>
          <w:lang w:val="en-US" w:eastAsia="zh-CN"/>
        </w:rPr>
      </w:pPr>
      <w:r>
        <w:rPr>
          <w:rFonts w:hint="eastAsia" w:hAnsi="宋体"/>
          <w:color w:val="auto"/>
          <w:kern w:val="28"/>
          <w:sz w:val="21"/>
          <w:szCs w:val="21"/>
          <w:highlight w:val="none"/>
          <w:lang w:val="en-US" w:eastAsia="zh-CN"/>
        </w:rPr>
        <w:t xml:space="preserve">    磋商文件公告期限：自公告之日起三个工作日。</w:t>
      </w:r>
    </w:p>
    <w:p>
      <w:pPr>
        <w:pStyle w:val="28"/>
        <w:numPr>
          <w:ilvl w:val="0"/>
          <w:numId w:val="0"/>
        </w:numPr>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w:t>
      </w:r>
      <w:r>
        <w:rPr>
          <w:rFonts w:hint="eastAsia" w:hAnsi="宋体"/>
          <w:color w:val="auto"/>
          <w:sz w:val="21"/>
          <w:szCs w:val="21"/>
          <w:highlight w:val="none"/>
          <w:lang w:eastAsia="zh-CN"/>
        </w:rPr>
        <w:t>2021年</w:t>
      </w:r>
      <w:r>
        <w:rPr>
          <w:rFonts w:hint="eastAsia" w:hAnsi="宋体"/>
          <w:color w:val="auto"/>
          <w:sz w:val="21"/>
          <w:szCs w:val="21"/>
          <w:highlight w:val="none"/>
          <w:lang w:val="en-US" w:eastAsia="zh-CN"/>
        </w:rPr>
        <w:t>1</w:t>
      </w:r>
      <w:r>
        <w:rPr>
          <w:rFonts w:hint="eastAsia" w:hAnsi="宋体"/>
          <w:color w:val="auto"/>
          <w:sz w:val="21"/>
          <w:szCs w:val="21"/>
          <w:highlight w:val="none"/>
        </w:rPr>
        <w:t>月</w:t>
      </w:r>
      <w:r>
        <w:rPr>
          <w:rFonts w:hint="eastAsia" w:hAnsi="宋体"/>
          <w:color w:val="auto"/>
          <w:sz w:val="21"/>
          <w:szCs w:val="21"/>
          <w:highlight w:val="none"/>
          <w:lang w:val="en-US" w:eastAsia="zh-CN"/>
        </w:rPr>
        <w:t>5</w:t>
      </w:r>
      <w:r>
        <w:rPr>
          <w:rFonts w:hint="eastAsia" w:hAnsi="宋体"/>
          <w:color w:val="auto"/>
          <w:sz w:val="21"/>
          <w:szCs w:val="21"/>
          <w:highlight w:val="none"/>
        </w:rPr>
        <w:t>日上午9:</w:t>
      </w:r>
      <w:r>
        <w:rPr>
          <w:rFonts w:hint="eastAsia" w:hAnsi="宋体"/>
          <w:color w:val="auto"/>
          <w:sz w:val="21"/>
          <w:szCs w:val="21"/>
          <w:highlight w:val="none"/>
          <w:lang w:val="en-US" w:eastAsia="zh-CN"/>
        </w:rPr>
        <w:t>00</w:t>
      </w:r>
      <w:r>
        <w:rPr>
          <w:rFonts w:hint="eastAsia" w:hAnsi="宋体"/>
          <w:color w:val="auto"/>
          <w:sz w:val="21"/>
          <w:szCs w:val="21"/>
          <w:highlight w:val="none"/>
        </w:rPr>
        <w:t>～</w:t>
      </w:r>
      <w:r>
        <w:rPr>
          <w:rFonts w:hint="eastAsia" w:hAnsi="宋体"/>
          <w:color w:val="auto"/>
          <w:sz w:val="21"/>
          <w:szCs w:val="21"/>
          <w:highlight w:val="none"/>
          <w:lang w:val="en-US" w:eastAsia="zh-CN"/>
        </w:rPr>
        <w:t>9</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w:t>
      </w:r>
      <w:r>
        <w:rPr>
          <w:rFonts w:hint="eastAsia" w:hAnsi="宋体"/>
          <w:color w:val="auto"/>
          <w:sz w:val="21"/>
          <w:szCs w:val="21"/>
          <w:highlight w:val="none"/>
          <w:lang w:eastAsia="zh-CN"/>
        </w:rPr>
        <w:t>2021年</w:t>
      </w:r>
      <w:r>
        <w:rPr>
          <w:rFonts w:hint="eastAsia" w:hAnsi="宋体"/>
          <w:color w:val="auto"/>
          <w:sz w:val="21"/>
          <w:szCs w:val="21"/>
          <w:highlight w:val="none"/>
          <w:lang w:val="en-US" w:eastAsia="zh-CN"/>
        </w:rPr>
        <w:t>1</w:t>
      </w:r>
      <w:r>
        <w:rPr>
          <w:rFonts w:hint="eastAsia" w:hAnsi="宋体"/>
          <w:color w:val="auto"/>
          <w:sz w:val="21"/>
          <w:szCs w:val="21"/>
          <w:highlight w:val="none"/>
        </w:rPr>
        <w:t>月</w:t>
      </w:r>
      <w:r>
        <w:rPr>
          <w:rFonts w:hint="eastAsia" w:hAnsi="宋体"/>
          <w:color w:val="auto"/>
          <w:sz w:val="21"/>
          <w:szCs w:val="21"/>
          <w:highlight w:val="none"/>
          <w:lang w:val="en-US" w:eastAsia="zh-CN"/>
        </w:rPr>
        <w:t>5</w:t>
      </w:r>
      <w:r>
        <w:rPr>
          <w:rFonts w:hint="eastAsia" w:hAnsi="宋体"/>
          <w:color w:val="auto"/>
          <w:sz w:val="21"/>
          <w:szCs w:val="21"/>
          <w:highlight w:val="none"/>
        </w:rPr>
        <w:t>日上午</w:t>
      </w:r>
      <w:r>
        <w:rPr>
          <w:rFonts w:hint="eastAsia" w:hAnsi="宋体"/>
          <w:color w:val="auto"/>
          <w:sz w:val="21"/>
          <w:szCs w:val="21"/>
          <w:highlight w:val="none"/>
          <w:lang w:val="en-US" w:eastAsia="zh-CN"/>
        </w:rPr>
        <w:t>9</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3、接收响应文件地点：东莞市东城莞龙路下桥银门街一号办公楼六楼618室。</w:t>
      </w:r>
    </w:p>
    <w:p>
      <w:pPr>
        <w:spacing w:line="360" w:lineRule="auto"/>
        <w:rPr>
          <w:rFonts w:hAnsi="宋体"/>
          <w:b/>
          <w:bCs/>
          <w:color w:val="auto"/>
          <w:sz w:val="21"/>
          <w:szCs w:val="21"/>
          <w:highlight w:val="none"/>
        </w:rPr>
      </w:pPr>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地    址：</w:t>
      </w:r>
      <w:r>
        <w:rPr>
          <w:rFonts w:hint="eastAsia" w:hAnsi="宋体"/>
          <w:color w:val="auto"/>
          <w:sz w:val="21"/>
          <w:szCs w:val="21"/>
          <w:highlight w:val="none"/>
        </w:rPr>
        <w:t>东莞市东城莞龙路下桥银门街一号办公楼</w:t>
      </w:r>
      <w:r>
        <w:rPr>
          <w:rFonts w:hint="eastAsia" w:hAnsi="宋体"/>
          <w:color w:val="auto"/>
          <w:sz w:val="21"/>
          <w:szCs w:val="21"/>
          <w:highlight w:val="none"/>
          <w:lang w:eastAsia="zh-CN"/>
        </w:rPr>
        <w:t>六</w:t>
      </w:r>
      <w:r>
        <w:rPr>
          <w:rFonts w:hint="eastAsia" w:hAnsi="宋体"/>
          <w:color w:val="auto"/>
          <w:sz w:val="21"/>
          <w:szCs w:val="21"/>
          <w:highlight w:val="none"/>
        </w:rPr>
        <w:t>楼</w:t>
      </w:r>
      <w:r>
        <w:rPr>
          <w:rFonts w:hint="eastAsia" w:hAnsi="宋体"/>
          <w:color w:val="auto"/>
          <w:sz w:val="21"/>
          <w:szCs w:val="21"/>
          <w:highlight w:val="none"/>
          <w:lang w:val="en-US" w:eastAsia="zh-CN"/>
        </w:rPr>
        <w:t>606室招标采购部</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w:t>
      </w:r>
      <w:r>
        <w:rPr>
          <w:rFonts w:hint="eastAsia" w:hAnsi="宋体"/>
          <w:color w:val="auto"/>
          <w:sz w:val="21"/>
          <w:szCs w:val="21"/>
          <w:highlight w:val="none"/>
          <w:lang w:eastAsia="zh-CN"/>
        </w:rPr>
        <w:t>冼</w:t>
      </w:r>
      <w:r>
        <w:rPr>
          <w:rFonts w:hint="eastAsia" w:hAnsi="宋体"/>
          <w:color w:val="auto"/>
          <w:sz w:val="21"/>
          <w:szCs w:val="21"/>
          <w:highlight w:val="none"/>
        </w:rPr>
        <w:t>小姐</w:t>
      </w:r>
    </w:p>
    <w:p>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电    话：0769</w:t>
      </w:r>
      <w:r>
        <w:rPr>
          <w:rFonts w:hint="eastAsia" w:hAnsi="宋体"/>
          <w:color w:val="auto"/>
          <w:sz w:val="21"/>
          <w:szCs w:val="21"/>
          <w:highlight w:val="none"/>
        </w:rPr>
        <w:t>-22</w:t>
      </w:r>
      <w:r>
        <w:rPr>
          <w:rFonts w:hint="eastAsia" w:hAnsi="宋体"/>
          <w:color w:val="auto"/>
          <w:sz w:val="21"/>
          <w:szCs w:val="21"/>
          <w:highlight w:val="none"/>
          <w:lang w:val="en-US" w:eastAsia="zh-CN"/>
        </w:rPr>
        <w:t>088829</w:t>
      </w:r>
      <w:bookmarkStart w:id="252" w:name="_GoBack"/>
      <w:bookmarkEnd w:id="252"/>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line="360" w:lineRule="auto"/>
        <w:ind w:right="-34" w:firstLine="424" w:firstLineChars="202"/>
        <w:jc w:val="both"/>
        <w:rPr>
          <w:rFonts w:hint="eastAsia" w:hAnsi="宋体" w:eastAsia="宋体"/>
          <w:color w:val="auto"/>
          <w:sz w:val="21"/>
          <w:szCs w:val="21"/>
          <w:highlight w:val="none"/>
          <w:lang w:eastAsia="zh-CN"/>
        </w:rPr>
      </w:pPr>
      <w:r>
        <w:rPr>
          <w:rFonts w:hint="eastAsia" w:hAnsi="宋体"/>
          <w:color w:val="auto"/>
          <w:sz w:val="21"/>
          <w:szCs w:val="21"/>
          <w:highlight w:val="none"/>
        </w:rPr>
        <w:t>采 购 人：</w:t>
      </w:r>
      <w:r>
        <w:rPr>
          <w:rFonts w:hint="eastAsia" w:hAnsi="宋体"/>
          <w:color w:val="auto"/>
          <w:sz w:val="21"/>
          <w:szCs w:val="21"/>
          <w:highlight w:val="none"/>
          <w:lang w:eastAsia="zh-CN"/>
        </w:rPr>
        <w:t>东莞市大学创新城建设发展有限公司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spacing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lang w:eastAsia="zh-CN"/>
        </w:rPr>
        <w:t>肖</w:t>
      </w:r>
      <w:r>
        <w:rPr>
          <w:rFonts w:hint="eastAsia" w:hAnsi="宋体"/>
          <w:color w:val="auto"/>
          <w:sz w:val="21"/>
          <w:szCs w:val="21"/>
          <w:highlight w:val="none"/>
        </w:rPr>
        <w:t>工</w:t>
      </w:r>
    </w:p>
    <w:p>
      <w:pPr>
        <w:spacing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spacing w:line="360" w:lineRule="auto"/>
        <w:ind w:firstLine="422" w:firstLineChars="200"/>
        <w:jc w:val="right"/>
        <w:rPr>
          <w:b/>
          <w:color w:val="auto"/>
          <w:sz w:val="21"/>
          <w:szCs w:val="21"/>
          <w:highlight w:val="none"/>
        </w:rPr>
      </w:pPr>
      <w:r>
        <w:rPr>
          <w:rFonts w:hint="eastAsia"/>
          <w:b/>
          <w:color w:val="auto"/>
          <w:sz w:val="21"/>
          <w:szCs w:val="21"/>
          <w:highlight w:val="none"/>
        </w:rPr>
        <w:t xml:space="preserve">                                         广东泰通伟业工程咨询有限公司</w:t>
      </w:r>
    </w:p>
    <w:p>
      <w:pPr>
        <w:wordWrap w:val="0"/>
        <w:spacing w:line="360" w:lineRule="auto"/>
        <w:ind w:right="-34" w:firstLine="426" w:firstLineChars="202"/>
        <w:jc w:val="right"/>
        <w:rPr>
          <w:rFonts w:hint="default" w:hAnsi="宋体" w:eastAsia="宋体"/>
          <w:color w:val="auto"/>
          <w:sz w:val="21"/>
          <w:szCs w:val="21"/>
          <w:highlight w:val="none"/>
          <w:lang w:val="en-US" w:eastAsia="zh-CN"/>
        </w:rPr>
      </w:pPr>
      <w:r>
        <w:rPr>
          <w:rFonts w:hint="eastAsia" w:hAnsi="宋体"/>
          <w:b/>
          <w:color w:val="auto"/>
          <w:sz w:val="21"/>
          <w:szCs w:val="21"/>
          <w:highlight w:val="none"/>
        </w:rPr>
        <w:t>二〇二</w:t>
      </w:r>
      <w:r>
        <w:rPr>
          <w:rFonts w:hint="eastAsia" w:hAnsi="宋体"/>
          <w:b/>
          <w:color w:val="auto"/>
          <w:sz w:val="21"/>
          <w:szCs w:val="21"/>
          <w:highlight w:val="none"/>
          <w:lang w:eastAsia="zh-CN"/>
        </w:rPr>
        <w:t>一</w:t>
      </w:r>
      <w:r>
        <w:rPr>
          <w:rFonts w:hint="eastAsia" w:hAnsi="宋体"/>
          <w:b/>
          <w:color w:val="auto"/>
          <w:sz w:val="21"/>
          <w:szCs w:val="21"/>
          <w:highlight w:val="none"/>
        </w:rPr>
        <w:t>年</w:t>
      </w:r>
      <w:r>
        <w:rPr>
          <w:rFonts w:hint="eastAsia" w:hAnsi="宋体"/>
          <w:b/>
          <w:color w:val="auto"/>
          <w:sz w:val="21"/>
          <w:szCs w:val="21"/>
          <w:highlight w:val="none"/>
          <w:lang w:val="en-US" w:eastAsia="zh-CN"/>
        </w:rPr>
        <w:t>十二</w:t>
      </w:r>
      <w:r>
        <w:rPr>
          <w:rFonts w:hint="eastAsia" w:hAnsi="宋体"/>
          <w:b/>
          <w:bCs/>
          <w:color w:val="auto"/>
          <w:sz w:val="21"/>
          <w:szCs w:val="21"/>
          <w:highlight w:val="none"/>
        </w:rPr>
        <w:t>月</w:t>
      </w:r>
      <w:r>
        <w:rPr>
          <w:rFonts w:hint="eastAsia" w:hAnsi="宋体"/>
          <w:b/>
          <w:bCs/>
          <w:color w:val="auto"/>
          <w:sz w:val="21"/>
          <w:szCs w:val="21"/>
          <w:highlight w:val="none"/>
          <w:lang w:val="en-US" w:eastAsia="zh-CN"/>
        </w:rPr>
        <w:t>二十四日</w:t>
      </w:r>
    </w:p>
    <w:p>
      <w:pPr>
        <w:pStyle w:val="3"/>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4" w:name="_Toc16634"/>
      <w:r>
        <w:rPr>
          <w:rFonts w:hint="eastAsia" w:hAnsi="宋体"/>
          <w:b/>
          <w:bCs/>
          <w:color w:val="auto"/>
          <w:kern w:val="44"/>
          <w:sz w:val="28"/>
          <w:szCs w:val="28"/>
          <w:highlight w:val="none"/>
          <w:lang w:val="zh-CN"/>
        </w:rPr>
        <w:t>供应商须知</w:t>
      </w:r>
      <w:bookmarkEnd w:id="3"/>
      <w:bookmarkEnd w:id="4"/>
    </w:p>
    <w:p>
      <w:pPr>
        <w:pStyle w:val="2"/>
        <w:adjustRightInd/>
        <w:spacing w:line="360" w:lineRule="auto"/>
        <w:ind w:firstLine="562" w:firstLineChars="200"/>
        <w:jc w:val="center"/>
        <w:rPr>
          <w:color w:val="auto"/>
          <w:sz w:val="28"/>
          <w:szCs w:val="28"/>
          <w:highlight w:val="none"/>
        </w:rPr>
      </w:pPr>
      <w:bookmarkStart w:id="5" w:name="_Toc7897861"/>
      <w:bookmarkStart w:id="6" w:name="_Toc6882675"/>
      <w:bookmarkStart w:id="7" w:name="_Toc6968687"/>
      <w:bookmarkStart w:id="8" w:name="_Toc102277756"/>
      <w:bookmarkStart w:id="9" w:name="_Toc12804"/>
      <w:bookmarkStart w:id="10" w:name="_Toc507407359"/>
      <w:bookmarkStart w:id="11" w:name="_Toc466786434"/>
      <w:r>
        <w:rPr>
          <w:rFonts w:hint="eastAsia"/>
          <w:color w:val="auto"/>
          <w:sz w:val="28"/>
          <w:szCs w:val="28"/>
          <w:highlight w:val="none"/>
        </w:rPr>
        <w:t>一、说  明</w:t>
      </w:r>
      <w:bookmarkEnd w:id="5"/>
      <w:bookmarkEnd w:id="6"/>
      <w:bookmarkEnd w:id="7"/>
      <w:bookmarkEnd w:id="8"/>
      <w:bookmarkEnd w:id="9"/>
      <w:bookmarkEnd w:id="10"/>
      <w:bookmarkEnd w:id="11"/>
    </w:p>
    <w:p>
      <w:pPr>
        <w:pStyle w:val="4"/>
        <w:adjustRightInd/>
        <w:spacing w:line="360" w:lineRule="auto"/>
        <w:ind w:firstLine="420" w:firstLineChars="200"/>
        <w:rPr>
          <w:rFonts w:hAnsi="宋体"/>
          <w:color w:val="auto"/>
          <w:sz w:val="21"/>
          <w:szCs w:val="21"/>
          <w:highlight w:val="none"/>
        </w:rPr>
      </w:pPr>
      <w:bookmarkStart w:id="12" w:name="_Toc475249114"/>
      <w:bookmarkStart w:id="13" w:name="_Toc3730"/>
      <w:bookmarkStart w:id="14" w:name="_Toc7897862"/>
      <w:bookmarkStart w:id="15" w:name="_Toc24987"/>
      <w:r>
        <w:rPr>
          <w:rFonts w:hint="eastAsia" w:hAnsi="宋体"/>
          <w:color w:val="auto"/>
          <w:sz w:val="21"/>
          <w:szCs w:val="21"/>
          <w:highlight w:val="none"/>
        </w:rPr>
        <w:t>1.适用范围</w:t>
      </w:r>
      <w:bookmarkEnd w:id="12"/>
      <w:bookmarkEnd w:id="13"/>
      <w:bookmarkEnd w:id="14"/>
      <w:bookmarkEnd w:id="15"/>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4"/>
        <w:adjustRightInd/>
        <w:spacing w:line="360" w:lineRule="auto"/>
        <w:ind w:firstLine="420" w:firstLineChars="200"/>
        <w:rPr>
          <w:rFonts w:hAnsi="宋体"/>
          <w:color w:val="auto"/>
          <w:sz w:val="21"/>
          <w:szCs w:val="21"/>
          <w:highlight w:val="none"/>
        </w:rPr>
      </w:pPr>
      <w:bookmarkStart w:id="16" w:name="_Toc598"/>
      <w:bookmarkStart w:id="17" w:name="_Toc7897863"/>
      <w:bookmarkStart w:id="18" w:name="_Toc9738"/>
      <w:bookmarkStart w:id="19" w:name="_Toc475249115"/>
      <w:r>
        <w:rPr>
          <w:rFonts w:hint="eastAsia" w:hAnsi="宋体"/>
          <w:color w:val="auto"/>
          <w:sz w:val="21"/>
          <w:szCs w:val="21"/>
          <w:highlight w:val="none"/>
        </w:rPr>
        <w:t>2.定义</w:t>
      </w:r>
      <w:bookmarkEnd w:id="16"/>
      <w:bookmarkEnd w:id="17"/>
      <w:bookmarkEnd w:id="18"/>
      <w:bookmarkEnd w:id="1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w:t>
      </w:r>
    </w:p>
    <w:p>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w:t>
      </w:r>
      <w:r>
        <w:rPr>
          <w:rFonts w:hint="eastAsia" w:hAnsi="宋体"/>
          <w:color w:val="auto"/>
          <w:sz w:val="21"/>
          <w:szCs w:val="21"/>
          <w:highlight w:val="none"/>
          <w:lang w:eastAsia="zh-CN"/>
        </w:rPr>
        <w:t>磋商文件</w:t>
      </w:r>
      <w:r>
        <w:rPr>
          <w:rFonts w:hint="eastAsia" w:hAnsi="宋体"/>
          <w:color w:val="auto"/>
          <w:sz w:val="21"/>
          <w:szCs w:val="21"/>
          <w:highlight w:val="none"/>
        </w:rPr>
        <w:t>的语言为简体中文。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4"/>
        <w:adjustRightInd/>
        <w:spacing w:line="360" w:lineRule="auto"/>
        <w:ind w:firstLine="420" w:firstLineChars="200"/>
        <w:rPr>
          <w:rFonts w:hAnsi="宋体"/>
          <w:color w:val="auto"/>
          <w:sz w:val="21"/>
          <w:szCs w:val="21"/>
          <w:highlight w:val="none"/>
        </w:rPr>
      </w:pPr>
      <w:bookmarkStart w:id="20" w:name="_Toc24709"/>
      <w:bookmarkStart w:id="21" w:name="_Toc7897864"/>
      <w:bookmarkStart w:id="22" w:name="_Toc110953831"/>
      <w:bookmarkStart w:id="23" w:name="_Toc367"/>
      <w:bookmarkStart w:id="24" w:name="_Toc507407360"/>
      <w:bookmarkStart w:id="25" w:name="_Toc6882676"/>
      <w:bookmarkStart w:id="26" w:name="_Toc466786435"/>
      <w:bookmarkStart w:id="27" w:name="_Toc6968688"/>
      <w:bookmarkStart w:id="28" w:name="_Toc102277757"/>
      <w:r>
        <w:rPr>
          <w:rFonts w:hint="eastAsia" w:hAnsi="宋体"/>
          <w:color w:val="auto"/>
          <w:sz w:val="21"/>
          <w:szCs w:val="21"/>
          <w:highlight w:val="none"/>
        </w:rPr>
        <w:t>3.适用法律</w:t>
      </w:r>
      <w:bookmarkEnd w:id="20"/>
      <w:bookmarkEnd w:id="21"/>
      <w:bookmarkEnd w:id="22"/>
      <w:bookmarkEnd w:id="2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相关招标采购规定执行。</w:t>
      </w:r>
    </w:p>
    <w:p>
      <w:pPr>
        <w:pStyle w:val="4"/>
        <w:adjustRightInd/>
        <w:spacing w:line="360" w:lineRule="auto"/>
        <w:ind w:firstLine="420" w:firstLineChars="200"/>
        <w:rPr>
          <w:rFonts w:hAnsi="宋体"/>
          <w:color w:val="auto"/>
          <w:sz w:val="21"/>
          <w:szCs w:val="21"/>
          <w:highlight w:val="none"/>
          <w:lang w:val="zh-CN"/>
        </w:rPr>
      </w:pPr>
      <w:bookmarkStart w:id="29" w:name="_Toc20707"/>
      <w:bookmarkStart w:id="30" w:name="_Toc10397"/>
      <w:bookmarkStart w:id="31" w:name="_Toc110953833"/>
      <w:bookmarkStart w:id="32" w:name="_Toc7897866"/>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29"/>
    </w:p>
    <w:p>
      <w:pPr>
        <w:pStyle w:val="4"/>
        <w:adjustRightInd/>
        <w:spacing w:line="360" w:lineRule="auto"/>
        <w:ind w:firstLine="420" w:firstLineChars="200"/>
        <w:rPr>
          <w:rFonts w:hAnsi="宋体"/>
          <w:bCs/>
          <w:color w:val="auto"/>
          <w:sz w:val="21"/>
          <w:szCs w:val="21"/>
          <w:highlight w:val="none"/>
        </w:rPr>
      </w:pPr>
      <w:bookmarkStart w:id="33" w:name="_Toc10368"/>
      <w:r>
        <w:rPr>
          <w:rFonts w:hint="eastAsia" w:hAnsi="宋体"/>
          <w:color w:val="auto"/>
          <w:sz w:val="21"/>
          <w:szCs w:val="21"/>
          <w:highlight w:val="none"/>
        </w:rPr>
        <w:t>5.禁止事项</w:t>
      </w:r>
      <w:bookmarkEnd w:id="30"/>
      <w:bookmarkEnd w:id="31"/>
      <w:bookmarkEnd w:id="32"/>
      <w:bookmarkEnd w:id="33"/>
    </w:p>
    <w:p>
      <w:pPr>
        <w:spacing w:line="360" w:lineRule="auto"/>
        <w:ind w:firstLine="420" w:firstLineChars="200"/>
        <w:rPr>
          <w:rFonts w:hAnsi="宋体"/>
          <w:color w:val="auto"/>
          <w:sz w:val="21"/>
          <w:szCs w:val="21"/>
          <w:highlight w:val="none"/>
        </w:rPr>
      </w:pPr>
      <w:bookmarkStart w:id="34" w:name="_Toc98126293"/>
      <w:bookmarkStart w:id="35" w:name="_Toc98126218"/>
      <w:r>
        <w:rPr>
          <w:rFonts w:hint="eastAsia" w:hAnsi="宋体"/>
          <w:color w:val="auto"/>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34"/>
      <w:bookmarkEnd w:id="35"/>
    </w:p>
    <w:p>
      <w:pPr>
        <w:spacing w:line="360" w:lineRule="auto"/>
        <w:ind w:firstLine="420" w:firstLineChars="200"/>
        <w:rPr>
          <w:rFonts w:hAnsi="宋体"/>
          <w:color w:val="auto"/>
          <w:sz w:val="21"/>
          <w:szCs w:val="21"/>
          <w:highlight w:val="none"/>
        </w:rPr>
      </w:pPr>
      <w:bookmarkStart w:id="36" w:name="_Toc98126294"/>
      <w:bookmarkStart w:id="37" w:name="_Toc98126219"/>
      <w:r>
        <w:rPr>
          <w:rFonts w:hint="eastAsia" w:hAnsi="宋体"/>
          <w:color w:val="auto"/>
          <w:sz w:val="21"/>
          <w:szCs w:val="21"/>
          <w:highlight w:val="none"/>
        </w:rPr>
        <w:t>5.3采购代理机构不得向采购人行贿或者采取其他不正当手段谋取非法利益。</w:t>
      </w:r>
      <w:bookmarkEnd w:id="36"/>
      <w:bookmarkEnd w:id="37"/>
    </w:p>
    <w:p>
      <w:pPr>
        <w:spacing w:line="360" w:lineRule="auto"/>
        <w:ind w:firstLine="420" w:firstLineChars="200"/>
        <w:rPr>
          <w:rFonts w:hAnsi="宋体"/>
          <w:color w:val="auto"/>
          <w:sz w:val="21"/>
          <w:szCs w:val="21"/>
          <w:highlight w:val="none"/>
        </w:rPr>
      </w:pPr>
      <w:bookmarkStart w:id="38" w:name="_Toc98126220"/>
      <w:bookmarkStart w:id="39" w:name="_Toc98126295"/>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38"/>
      <w:bookmarkEnd w:id="39"/>
    </w:p>
    <w:p>
      <w:pPr>
        <w:pStyle w:val="4"/>
        <w:adjustRightInd/>
        <w:spacing w:line="360" w:lineRule="auto"/>
        <w:ind w:firstLine="420" w:firstLineChars="200"/>
        <w:rPr>
          <w:rFonts w:hAnsi="宋体"/>
          <w:bCs/>
          <w:color w:val="auto"/>
          <w:sz w:val="21"/>
          <w:szCs w:val="21"/>
          <w:highlight w:val="none"/>
        </w:rPr>
      </w:pPr>
      <w:bookmarkStart w:id="40" w:name="_Toc7897867"/>
      <w:bookmarkStart w:id="41" w:name="_Toc110953834"/>
      <w:bookmarkStart w:id="42" w:name="_Toc2863"/>
      <w:bookmarkStart w:id="43" w:name="_Toc25870"/>
      <w:r>
        <w:rPr>
          <w:rFonts w:hint="eastAsia" w:hAnsi="宋体"/>
          <w:color w:val="auto"/>
          <w:sz w:val="21"/>
          <w:szCs w:val="21"/>
          <w:highlight w:val="none"/>
        </w:rPr>
        <w:t>6.保密及其它注意事项</w:t>
      </w:r>
      <w:bookmarkEnd w:id="40"/>
      <w:bookmarkEnd w:id="41"/>
      <w:bookmarkEnd w:id="42"/>
      <w:bookmarkEnd w:id="43"/>
    </w:p>
    <w:p>
      <w:pPr>
        <w:spacing w:line="360" w:lineRule="auto"/>
        <w:ind w:firstLine="420" w:firstLineChars="200"/>
        <w:rPr>
          <w:rFonts w:hAnsi="宋体"/>
          <w:color w:val="auto"/>
          <w:sz w:val="21"/>
          <w:szCs w:val="21"/>
          <w:highlight w:val="none"/>
        </w:rPr>
      </w:pPr>
      <w:bookmarkStart w:id="44" w:name="_Toc98126297"/>
      <w:bookmarkStart w:id="45" w:name="_Toc98126222"/>
      <w:r>
        <w:rPr>
          <w:rFonts w:hint="eastAsia" w:hAnsi="宋体"/>
          <w:color w:val="auto"/>
          <w:sz w:val="21"/>
          <w:szCs w:val="21"/>
          <w:highlight w:val="none"/>
        </w:rPr>
        <w:t>6.1凡参与采购工作的有关人员均应自觉接受有关主管部门的监督，不得向他人透露可能影响公平竞争的有关情况。</w:t>
      </w:r>
      <w:bookmarkEnd w:id="44"/>
      <w:bookmarkEnd w:id="4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4"/>
        <w:adjustRightInd/>
        <w:spacing w:line="360" w:lineRule="auto"/>
        <w:ind w:firstLine="420" w:firstLineChars="200"/>
        <w:rPr>
          <w:rFonts w:hAnsi="宋体"/>
          <w:color w:val="auto"/>
          <w:sz w:val="21"/>
          <w:szCs w:val="21"/>
          <w:highlight w:val="none"/>
        </w:rPr>
      </w:pPr>
      <w:bookmarkStart w:id="46" w:name="_Toc13371"/>
      <w:bookmarkStart w:id="47" w:name="_Toc27298"/>
      <w:bookmarkStart w:id="48" w:name="_Toc7897868"/>
      <w:bookmarkStart w:id="49" w:name="_Toc497016085"/>
      <w:r>
        <w:rPr>
          <w:rFonts w:hint="eastAsia" w:hAnsi="宋体"/>
          <w:color w:val="auto"/>
          <w:sz w:val="21"/>
          <w:szCs w:val="21"/>
          <w:highlight w:val="none"/>
        </w:rPr>
        <w:t>7.供应商诚信管理</w:t>
      </w:r>
      <w:bookmarkEnd w:id="46"/>
      <w:bookmarkEnd w:id="47"/>
      <w:bookmarkEnd w:id="48"/>
      <w:bookmarkEnd w:id="4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color w:val="auto"/>
          <w:sz w:val="21"/>
          <w:szCs w:val="21"/>
          <w:highlight w:val="none"/>
        </w:rPr>
      </w:pPr>
    </w:p>
    <w:p>
      <w:pPr>
        <w:pStyle w:val="2"/>
        <w:adjustRightInd/>
        <w:spacing w:line="360" w:lineRule="auto"/>
        <w:ind w:firstLine="562" w:firstLineChars="200"/>
        <w:jc w:val="center"/>
        <w:rPr>
          <w:color w:val="auto"/>
          <w:sz w:val="28"/>
          <w:szCs w:val="28"/>
          <w:highlight w:val="none"/>
        </w:rPr>
      </w:pPr>
      <w:bookmarkStart w:id="50" w:name="_Toc7897869"/>
      <w:bookmarkStart w:id="51" w:name="_Toc23741"/>
      <w:r>
        <w:rPr>
          <w:rFonts w:hint="eastAsia"/>
          <w:color w:val="auto"/>
          <w:sz w:val="28"/>
          <w:szCs w:val="28"/>
          <w:highlight w:val="none"/>
        </w:rPr>
        <w:t>二、磋商文件说明</w:t>
      </w:r>
      <w:bookmarkEnd w:id="24"/>
      <w:bookmarkEnd w:id="25"/>
      <w:bookmarkEnd w:id="26"/>
      <w:bookmarkEnd w:id="27"/>
      <w:bookmarkEnd w:id="28"/>
      <w:bookmarkEnd w:id="50"/>
      <w:bookmarkEnd w:id="51"/>
    </w:p>
    <w:p>
      <w:pPr>
        <w:pStyle w:val="4"/>
        <w:adjustRightInd/>
        <w:spacing w:line="360" w:lineRule="auto"/>
        <w:ind w:firstLine="420" w:firstLineChars="200"/>
        <w:rPr>
          <w:rFonts w:hAnsi="宋体"/>
          <w:color w:val="auto"/>
          <w:sz w:val="21"/>
          <w:szCs w:val="21"/>
          <w:highlight w:val="none"/>
        </w:rPr>
      </w:pPr>
      <w:bookmarkStart w:id="52" w:name="_Toc29560"/>
      <w:bookmarkStart w:id="53" w:name="_Toc110953836"/>
      <w:bookmarkStart w:id="54" w:name="_Toc23606"/>
      <w:bookmarkStart w:id="55" w:name="_Toc7897870"/>
      <w:bookmarkStart w:id="56" w:name="_Toc6882677"/>
      <w:bookmarkStart w:id="57" w:name="_Toc6968689"/>
      <w:bookmarkStart w:id="58" w:name="_Toc466786436"/>
      <w:bookmarkStart w:id="59" w:name="_Toc102277758"/>
      <w:bookmarkStart w:id="60" w:name="_Toc507407361"/>
      <w:r>
        <w:rPr>
          <w:rFonts w:hint="eastAsia" w:hAnsi="宋体"/>
          <w:color w:val="auto"/>
          <w:sz w:val="21"/>
          <w:szCs w:val="21"/>
          <w:highlight w:val="none"/>
        </w:rPr>
        <w:t>8.磋商文件构成</w:t>
      </w:r>
      <w:bookmarkEnd w:id="52"/>
      <w:bookmarkEnd w:id="53"/>
      <w:bookmarkEnd w:id="54"/>
      <w:bookmarkEnd w:id="5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4"/>
        <w:adjustRightInd/>
        <w:spacing w:line="360" w:lineRule="auto"/>
        <w:ind w:firstLine="420" w:firstLineChars="200"/>
        <w:rPr>
          <w:rFonts w:hAnsi="宋体"/>
          <w:color w:val="auto"/>
          <w:sz w:val="21"/>
          <w:szCs w:val="21"/>
          <w:highlight w:val="none"/>
        </w:rPr>
      </w:pPr>
      <w:bookmarkStart w:id="61" w:name="_Toc19701"/>
      <w:bookmarkStart w:id="62" w:name="_Toc7897871"/>
      <w:bookmarkStart w:id="63" w:name="_Toc16827"/>
      <w:bookmarkStart w:id="64" w:name="_Toc110953837"/>
      <w:r>
        <w:rPr>
          <w:rFonts w:hint="eastAsia" w:hAnsi="宋体"/>
          <w:color w:val="auto"/>
          <w:sz w:val="21"/>
          <w:szCs w:val="21"/>
          <w:highlight w:val="none"/>
        </w:rPr>
        <w:t>9.磋商文件的修改</w:t>
      </w:r>
      <w:bookmarkEnd w:id="61"/>
      <w:bookmarkEnd w:id="62"/>
      <w:bookmarkEnd w:id="63"/>
      <w:bookmarkEnd w:id="6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12"/>
        <w:ind w:firstLine="400"/>
        <w:rPr>
          <w:color w:val="auto"/>
          <w:highlight w:val="none"/>
        </w:rPr>
      </w:pPr>
    </w:p>
    <w:bookmarkEnd w:id="56"/>
    <w:bookmarkEnd w:id="57"/>
    <w:bookmarkEnd w:id="58"/>
    <w:bookmarkEnd w:id="59"/>
    <w:bookmarkEnd w:id="60"/>
    <w:p>
      <w:pPr>
        <w:pStyle w:val="2"/>
        <w:adjustRightInd/>
        <w:spacing w:line="360" w:lineRule="auto"/>
        <w:ind w:firstLine="562" w:firstLineChars="200"/>
        <w:jc w:val="center"/>
        <w:rPr>
          <w:color w:val="auto"/>
          <w:sz w:val="28"/>
          <w:szCs w:val="28"/>
          <w:highlight w:val="none"/>
        </w:rPr>
      </w:pPr>
      <w:bookmarkStart w:id="65" w:name="_Toc15398"/>
      <w:bookmarkStart w:id="66" w:name="_Toc110953838"/>
      <w:bookmarkStart w:id="67" w:name="_Toc7897872"/>
      <w:bookmarkStart w:id="68" w:name="_Toc102277759"/>
      <w:bookmarkStart w:id="69" w:name="_Toc6968690"/>
      <w:bookmarkStart w:id="70" w:name="_Toc6882678"/>
      <w:bookmarkStart w:id="71" w:name="_Toc466786437"/>
      <w:bookmarkStart w:id="72" w:name="_Toc507407362"/>
      <w:r>
        <w:rPr>
          <w:rFonts w:hint="eastAsia"/>
          <w:color w:val="auto"/>
          <w:sz w:val="28"/>
          <w:szCs w:val="28"/>
          <w:highlight w:val="none"/>
        </w:rPr>
        <w:t>三、响应文件的制作</w:t>
      </w:r>
      <w:bookmarkEnd w:id="65"/>
      <w:bookmarkEnd w:id="66"/>
      <w:bookmarkEnd w:id="67"/>
    </w:p>
    <w:p>
      <w:pPr>
        <w:pStyle w:val="4"/>
        <w:adjustRightInd/>
        <w:spacing w:line="360" w:lineRule="auto"/>
        <w:ind w:firstLine="420" w:firstLineChars="200"/>
        <w:rPr>
          <w:rFonts w:hAnsi="宋体"/>
          <w:color w:val="auto"/>
          <w:sz w:val="21"/>
          <w:szCs w:val="21"/>
          <w:highlight w:val="none"/>
        </w:rPr>
      </w:pPr>
      <w:bookmarkStart w:id="73" w:name="_Toc7897873"/>
      <w:bookmarkStart w:id="74" w:name="_Toc23789"/>
      <w:bookmarkStart w:id="75" w:name="_Toc15756"/>
      <w:bookmarkStart w:id="76" w:name="_Toc110953839"/>
      <w:r>
        <w:rPr>
          <w:rFonts w:hint="eastAsia" w:hAnsi="宋体"/>
          <w:color w:val="auto"/>
          <w:sz w:val="21"/>
          <w:szCs w:val="21"/>
          <w:highlight w:val="none"/>
        </w:rPr>
        <w:t>10.制作要求</w:t>
      </w:r>
      <w:bookmarkEnd w:id="73"/>
      <w:bookmarkEnd w:id="74"/>
      <w:bookmarkEnd w:id="75"/>
      <w:bookmarkEnd w:id="7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4"/>
        <w:adjustRightInd/>
        <w:spacing w:line="360" w:lineRule="auto"/>
        <w:ind w:firstLine="420" w:firstLineChars="200"/>
        <w:rPr>
          <w:rFonts w:hAnsi="宋体"/>
          <w:color w:val="auto"/>
          <w:sz w:val="21"/>
          <w:szCs w:val="21"/>
          <w:highlight w:val="none"/>
        </w:rPr>
      </w:pPr>
      <w:bookmarkStart w:id="77" w:name="_Toc110953840"/>
      <w:bookmarkStart w:id="78" w:name="_Toc20552"/>
      <w:bookmarkStart w:id="79" w:name="_Toc7897874"/>
      <w:bookmarkStart w:id="80" w:name="_Toc18079"/>
      <w:r>
        <w:rPr>
          <w:rFonts w:hint="eastAsia" w:hAnsi="宋体"/>
          <w:color w:val="auto"/>
          <w:sz w:val="21"/>
          <w:szCs w:val="21"/>
          <w:highlight w:val="none"/>
        </w:rPr>
        <w:t>11.响应文件的内容</w:t>
      </w:r>
      <w:bookmarkEnd w:id="77"/>
      <w:bookmarkEnd w:id="78"/>
      <w:bookmarkEnd w:id="79"/>
      <w:bookmarkEnd w:id="8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w:t>
      </w:r>
      <w:r>
        <w:rPr>
          <w:rFonts w:hint="eastAsia"/>
          <w:bCs/>
          <w:color w:val="auto"/>
          <w:kern w:val="2"/>
          <w:sz w:val="21"/>
          <w:szCs w:val="21"/>
          <w:highlight w:val="none"/>
          <w:lang w:eastAsia="zh-CN"/>
        </w:rPr>
        <w:t>采用</w:t>
      </w:r>
      <w:r>
        <w:rPr>
          <w:rFonts w:hint="eastAsia"/>
          <w:bCs/>
          <w:color w:val="auto"/>
          <w:kern w:val="2"/>
          <w:sz w:val="21"/>
          <w:szCs w:val="21"/>
          <w:highlight w:val="none"/>
        </w:rPr>
        <w:t>固定综合单价</w:t>
      </w:r>
      <w:r>
        <w:rPr>
          <w:rFonts w:hint="eastAsia"/>
          <w:bCs/>
          <w:color w:val="auto"/>
          <w:kern w:val="2"/>
          <w:sz w:val="21"/>
          <w:szCs w:val="21"/>
          <w:highlight w:val="none"/>
          <w:lang w:eastAsia="zh-CN"/>
        </w:rPr>
        <w:t>、</w:t>
      </w:r>
      <w:r>
        <w:rPr>
          <w:rFonts w:hint="eastAsia"/>
          <w:bCs/>
          <w:color w:val="auto"/>
          <w:kern w:val="2"/>
          <w:sz w:val="21"/>
          <w:szCs w:val="21"/>
          <w:highlight w:val="none"/>
          <w:lang w:val="en-US" w:eastAsia="zh-CN"/>
        </w:rPr>
        <w:t>根据拟采购清单暂定总价的形式</w:t>
      </w:r>
      <w:r>
        <w:rPr>
          <w:rFonts w:hint="eastAsia"/>
          <w:bCs/>
          <w:color w:val="auto"/>
          <w:kern w:val="2"/>
          <w:sz w:val="21"/>
          <w:szCs w:val="21"/>
          <w:highlight w:val="none"/>
          <w:lang w:eastAsia="zh-CN"/>
        </w:rPr>
        <w:t>报价，</w:t>
      </w:r>
      <w:r>
        <w:rPr>
          <w:rFonts w:hint="eastAsia" w:hAnsi="宋体"/>
          <w:color w:val="auto"/>
          <w:sz w:val="21"/>
          <w:szCs w:val="21"/>
          <w:highlight w:val="none"/>
        </w:rPr>
        <w:t>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4"/>
        <w:adjustRightInd/>
        <w:spacing w:line="360" w:lineRule="auto"/>
        <w:ind w:firstLine="420" w:firstLineChars="200"/>
        <w:rPr>
          <w:rFonts w:hAnsi="宋体"/>
          <w:color w:val="auto"/>
          <w:sz w:val="21"/>
          <w:szCs w:val="21"/>
          <w:highlight w:val="none"/>
        </w:rPr>
      </w:pPr>
      <w:bookmarkStart w:id="81" w:name="_Toc110953841"/>
      <w:bookmarkStart w:id="82" w:name="_Toc9150"/>
      <w:bookmarkStart w:id="83" w:name="_Toc7897875"/>
      <w:bookmarkStart w:id="84" w:name="_Toc21763"/>
      <w:r>
        <w:rPr>
          <w:rFonts w:hint="eastAsia" w:hAnsi="宋体"/>
          <w:color w:val="auto"/>
          <w:sz w:val="21"/>
          <w:szCs w:val="21"/>
          <w:highlight w:val="none"/>
        </w:rPr>
        <w:t>12.响应文件格式</w:t>
      </w:r>
      <w:bookmarkEnd w:id="81"/>
      <w:bookmarkEnd w:id="82"/>
      <w:bookmarkEnd w:id="83"/>
      <w:bookmarkEnd w:id="8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4"/>
        <w:adjustRightInd/>
        <w:spacing w:line="360" w:lineRule="auto"/>
        <w:ind w:firstLine="420" w:firstLineChars="200"/>
        <w:rPr>
          <w:rFonts w:hAnsi="宋体"/>
          <w:color w:val="auto"/>
          <w:sz w:val="21"/>
          <w:szCs w:val="21"/>
          <w:highlight w:val="none"/>
        </w:rPr>
      </w:pPr>
      <w:bookmarkStart w:id="85" w:name="_Toc185150707"/>
      <w:bookmarkStart w:id="86" w:name="_Toc7897876"/>
      <w:bookmarkStart w:id="87" w:name="_Toc30889"/>
      <w:bookmarkStart w:id="88" w:name="_Toc24570"/>
      <w:r>
        <w:rPr>
          <w:rFonts w:hint="eastAsia" w:hAnsi="宋体"/>
          <w:color w:val="auto"/>
          <w:sz w:val="21"/>
          <w:szCs w:val="21"/>
          <w:highlight w:val="none"/>
        </w:rPr>
        <w:t>13.</w:t>
      </w:r>
      <w:bookmarkEnd w:id="85"/>
      <w:r>
        <w:rPr>
          <w:rFonts w:hint="eastAsia" w:hAnsi="宋体"/>
          <w:color w:val="auto"/>
          <w:sz w:val="21"/>
          <w:szCs w:val="21"/>
          <w:highlight w:val="none"/>
        </w:rPr>
        <w:t>磋商保证金</w:t>
      </w:r>
      <w:bookmarkEnd w:id="86"/>
      <w:bookmarkEnd w:id="87"/>
      <w:bookmarkEnd w:id="8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1"/>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2"/>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4292"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078"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92" w:type="dxa"/>
            <w:vAlign w:val="center"/>
          </w:tcPr>
          <w:p>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shd w:val="clear" w:color="auto" w:fill="auto"/>
                <w:lang w:eastAsia="zh-CN"/>
              </w:rPr>
              <w:t>松山湖大学创新城--E区创投大厦AB塔楼体标识及地下停车场灯箱项目</w:t>
            </w:r>
          </w:p>
        </w:tc>
        <w:tc>
          <w:tcPr>
            <w:tcW w:w="3078" w:type="dxa"/>
            <w:vAlign w:val="center"/>
          </w:tcPr>
          <w:p>
            <w:pPr>
              <w:widowControl/>
              <w:jc w:val="center"/>
              <w:rPr>
                <w:rFonts w:hAnsi="宋体"/>
                <w:color w:val="auto"/>
                <w:sz w:val="21"/>
                <w:szCs w:val="21"/>
                <w:highlight w:val="none"/>
              </w:rPr>
            </w:pPr>
            <w:r>
              <w:rPr>
                <w:rFonts w:hint="eastAsia" w:hAnsi="宋体"/>
                <w:color w:val="auto"/>
                <w:sz w:val="21"/>
                <w:szCs w:val="21"/>
                <w:highlight w:val="none"/>
                <w:lang w:eastAsia="zh-CN"/>
              </w:rPr>
              <w:t>贰万陆仟</w:t>
            </w:r>
            <w:r>
              <w:rPr>
                <w:rFonts w:hint="eastAsia" w:hAnsi="宋体"/>
                <w:color w:val="auto"/>
                <w:sz w:val="21"/>
                <w:szCs w:val="21"/>
                <w:highlight w:val="none"/>
              </w:rPr>
              <w:t>元整（¥</w:t>
            </w:r>
            <w:r>
              <w:rPr>
                <w:rFonts w:hint="eastAsia" w:hAnsi="宋体"/>
                <w:color w:val="auto"/>
                <w:sz w:val="21"/>
                <w:szCs w:val="21"/>
                <w:highlight w:val="none"/>
                <w:lang w:val="en-US" w:eastAsia="zh-CN"/>
              </w:rPr>
              <w:t>26</w:t>
            </w:r>
            <w:r>
              <w:rPr>
                <w:rFonts w:hint="eastAsia" w:hAnsi="宋体"/>
                <w:color w:val="auto"/>
                <w:sz w:val="21"/>
                <w:szCs w:val="21"/>
                <w:highlight w:val="none"/>
              </w:rPr>
              <w:t>,000.00元）</w:t>
            </w: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color w:val="auto"/>
          <w:kern w:val="2"/>
          <w:sz w:val="21"/>
          <w:szCs w:val="21"/>
          <w:highlight w:val="none"/>
          <w:lang w:val="zh-CN"/>
        </w:rPr>
        <w:t>项目编号、包号</w:t>
      </w:r>
      <w:r>
        <w:rPr>
          <w:rFonts w:hint="eastAsia" w:hAnsi="宋体"/>
          <w:color w:val="auto"/>
          <w:kern w:val="2"/>
          <w:sz w:val="21"/>
          <w:szCs w:val="21"/>
          <w:highlight w:val="none"/>
          <w:lang w:val="zh-CN"/>
        </w:rPr>
        <w:t>。</w:t>
      </w:r>
      <w:r>
        <w:rPr>
          <w:rFonts w:hint="eastAsia" w:hAnsi="宋体"/>
          <w:b/>
          <w:bCs/>
          <w:color w:val="auto"/>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账户名称：广东泰通伟业工程咨询有限公司</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账  号：6232590699050043031</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开户行：广发银行股份有限公司东莞东翔支行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4"/>
        <w:adjustRightInd/>
        <w:spacing w:line="360" w:lineRule="auto"/>
        <w:ind w:firstLine="420" w:firstLineChars="200"/>
        <w:rPr>
          <w:rFonts w:hAnsi="宋体"/>
          <w:color w:val="auto"/>
          <w:sz w:val="21"/>
          <w:szCs w:val="21"/>
          <w:highlight w:val="none"/>
        </w:rPr>
      </w:pPr>
      <w:bookmarkStart w:id="89" w:name="_Toc468157537"/>
      <w:bookmarkStart w:id="90" w:name="_Toc467236741"/>
      <w:bookmarkStart w:id="91" w:name="_Toc479991583"/>
      <w:bookmarkStart w:id="92" w:name="_Toc2525"/>
      <w:bookmarkStart w:id="93" w:name="_Toc503758471"/>
      <w:bookmarkStart w:id="94" w:name="_Toc32304"/>
      <w:bookmarkStart w:id="95" w:name="_Toc480171880"/>
      <w:bookmarkStart w:id="96" w:name="_Toc454701382"/>
      <w:bookmarkStart w:id="97" w:name="_Toc467987824"/>
      <w:bookmarkStart w:id="98" w:name="_Toc110953842"/>
      <w:bookmarkStart w:id="99" w:name="_Toc480020258"/>
      <w:bookmarkStart w:id="100" w:name="_Toc480021054"/>
      <w:bookmarkStart w:id="101" w:name="_Toc480010709"/>
      <w:bookmarkStart w:id="102" w:name="_Toc7897877"/>
      <w:bookmarkStart w:id="103" w:name="_Toc458262615"/>
      <w:bookmarkStart w:id="104" w:name="_Toc468606030"/>
      <w:r>
        <w:rPr>
          <w:rFonts w:hint="eastAsia" w:hAnsi="宋体"/>
          <w:color w:val="auto"/>
          <w:sz w:val="21"/>
          <w:szCs w:val="21"/>
          <w:highlight w:val="none"/>
        </w:rPr>
        <w:t>14.响应有效期</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12"/>
        <w:ind w:firstLine="400"/>
        <w:rPr>
          <w:color w:val="auto"/>
          <w:highlight w:val="none"/>
        </w:rPr>
      </w:pPr>
    </w:p>
    <w:bookmarkEnd w:id="68"/>
    <w:bookmarkEnd w:id="69"/>
    <w:bookmarkEnd w:id="70"/>
    <w:bookmarkEnd w:id="71"/>
    <w:bookmarkEnd w:id="72"/>
    <w:p>
      <w:pPr>
        <w:pStyle w:val="2"/>
        <w:adjustRightInd/>
        <w:spacing w:line="360" w:lineRule="auto"/>
        <w:ind w:firstLine="562" w:firstLineChars="200"/>
        <w:jc w:val="center"/>
        <w:rPr>
          <w:color w:val="auto"/>
          <w:sz w:val="28"/>
          <w:szCs w:val="28"/>
          <w:highlight w:val="none"/>
        </w:rPr>
      </w:pPr>
      <w:bookmarkStart w:id="105" w:name="_Toc110953843"/>
      <w:bookmarkStart w:id="106" w:name="_Toc7897878"/>
      <w:bookmarkStart w:id="107" w:name="_Toc17761"/>
      <w:bookmarkStart w:id="108" w:name="_Toc507407363"/>
      <w:bookmarkStart w:id="109" w:name="_Toc6968691"/>
      <w:bookmarkStart w:id="110" w:name="_Toc102277760"/>
      <w:bookmarkStart w:id="111" w:name="_Toc6882679"/>
      <w:bookmarkStart w:id="112" w:name="_Toc466786438"/>
      <w:r>
        <w:rPr>
          <w:rFonts w:hint="eastAsia"/>
          <w:color w:val="auto"/>
          <w:sz w:val="28"/>
          <w:szCs w:val="28"/>
          <w:highlight w:val="none"/>
        </w:rPr>
        <w:t>四、响应文件的递交</w:t>
      </w:r>
      <w:bookmarkEnd w:id="105"/>
      <w:bookmarkEnd w:id="106"/>
      <w:bookmarkEnd w:id="107"/>
    </w:p>
    <w:p>
      <w:pPr>
        <w:pStyle w:val="4"/>
        <w:adjustRightInd/>
        <w:spacing w:line="360" w:lineRule="auto"/>
        <w:ind w:firstLine="420" w:firstLineChars="200"/>
        <w:rPr>
          <w:rFonts w:hAnsi="宋体"/>
          <w:color w:val="auto"/>
          <w:sz w:val="21"/>
          <w:szCs w:val="21"/>
          <w:highlight w:val="none"/>
        </w:rPr>
      </w:pPr>
      <w:bookmarkStart w:id="113" w:name="_Toc7897879"/>
      <w:bookmarkStart w:id="114" w:name="_Toc11500"/>
      <w:bookmarkStart w:id="115" w:name="_Toc2684"/>
      <w:bookmarkStart w:id="116" w:name="_Toc110953844"/>
      <w:r>
        <w:rPr>
          <w:rFonts w:hint="eastAsia" w:hAnsi="宋体"/>
          <w:color w:val="auto"/>
          <w:sz w:val="21"/>
          <w:szCs w:val="21"/>
          <w:highlight w:val="none"/>
        </w:rPr>
        <w:t>15.响应文件的密封和标记</w:t>
      </w:r>
      <w:bookmarkEnd w:id="113"/>
      <w:bookmarkEnd w:id="114"/>
      <w:bookmarkEnd w:id="115"/>
      <w:bookmarkEnd w:id="11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② 项目名称：；</w:t>
      </w:r>
    </w:p>
    <w:p>
      <w:pPr>
        <w:spacing w:line="360" w:lineRule="auto"/>
        <w:ind w:firstLine="420" w:firstLineChars="200"/>
        <w:rPr>
          <w:rFonts w:hint="eastAsia" w:hAnsi="宋体" w:eastAsia="宋体"/>
          <w:color w:val="auto"/>
          <w:sz w:val="21"/>
          <w:szCs w:val="21"/>
          <w:highlight w:val="none"/>
          <w:lang w:eastAsia="zh-CN"/>
        </w:rPr>
      </w:pPr>
      <w:r>
        <w:rPr>
          <w:rFonts w:hint="eastAsia" w:hAnsi="宋体"/>
          <w:color w:val="auto"/>
          <w:sz w:val="21"/>
          <w:szCs w:val="21"/>
          <w:highlight w:val="none"/>
          <w:lang w:eastAsia="zh-CN"/>
        </w:rPr>
        <w:t>③</w:t>
      </w:r>
      <w:r>
        <w:rPr>
          <w:rFonts w:hint="eastAsia" w:hAnsi="宋体"/>
          <w:color w:val="auto"/>
          <w:sz w:val="21"/>
          <w:szCs w:val="21"/>
          <w:highlight w:val="none"/>
          <w:lang w:val="en-US" w:eastAsia="zh-CN"/>
        </w:rPr>
        <w:t xml:space="preserve"> </w:t>
      </w:r>
      <w:r>
        <w:rPr>
          <w:rFonts w:hint="eastAsia" w:hAnsi="宋体"/>
          <w:color w:val="auto"/>
          <w:sz w:val="21"/>
          <w:szCs w:val="21"/>
          <w:highlight w:val="none"/>
          <w:lang w:eastAsia="zh-CN"/>
        </w:rPr>
        <w:t>包</w:t>
      </w:r>
      <w:r>
        <w:rPr>
          <w:rFonts w:hint="eastAsia" w:hAnsi="宋体"/>
          <w:color w:val="auto"/>
          <w:sz w:val="21"/>
          <w:szCs w:val="21"/>
          <w:highlight w:val="none"/>
          <w:lang w:val="en-US" w:eastAsia="zh-CN"/>
        </w:rPr>
        <w:t xml:space="preserve">    </w:t>
      </w:r>
      <w:r>
        <w:rPr>
          <w:rFonts w:hint="eastAsia" w:hAnsi="宋体"/>
          <w:color w:val="auto"/>
          <w:sz w:val="21"/>
          <w:szCs w:val="21"/>
          <w:highlight w:val="none"/>
          <w:lang w:eastAsia="zh-CN"/>
        </w:rPr>
        <w:t>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④</w:t>
      </w:r>
      <w:r>
        <w:rPr>
          <w:rFonts w:hint="eastAsia" w:hAnsi="宋体"/>
          <w:color w:val="auto"/>
          <w:sz w:val="21"/>
          <w:szCs w:val="21"/>
          <w:highlight w:val="none"/>
        </w:rPr>
        <w:t xml:space="preserve"> 采购编号：；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⑤</w:t>
      </w:r>
      <w:r>
        <w:rPr>
          <w:rFonts w:hint="eastAsia" w:hAnsi="宋体"/>
          <w:color w:val="auto"/>
          <w:sz w:val="21"/>
          <w:szCs w:val="21"/>
          <w:highlight w:val="none"/>
        </w:rPr>
        <w:t xml:space="preserve">        年   月   日   时   分开标，此时间以前不得开封；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⑥</w:t>
      </w:r>
      <w:r>
        <w:rPr>
          <w:rFonts w:hint="eastAsia" w:hAnsi="宋体"/>
          <w:color w:val="auto"/>
          <w:sz w:val="21"/>
          <w:szCs w:val="21"/>
          <w:highlight w:val="none"/>
        </w:rPr>
        <w:t xml:space="preserve"> 标明供应商名称、地址、联系人和电话以及文件的种类（如价格文件、商务技术文件、唱标信封等）。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4"/>
        <w:adjustRightInd/>
        <w:spacing w:line="360" w:lineRule="auto"/>
        <w:ind w:firstLine="420" w:firstLineChars="200"/>
        <w:rPr>
          <w:rFonts w:hAnsi="宋体"/>
          <w:color w:val="auto"/>
          <w:sz w:val="21"/>
          <w:szCs w:val="21"/>
          <w:highlight w:val="none"/>
        </w:rPr>
      </w:pPr>
      <w:bookmarkStart w:id="117" w:name="_Toc110953845"/>
      <w:bookmarkStart w:id="118" w:name="_Toc12710"/>
      <w:bookmarkStart w:id="119" w:name="_Toc10017"/>
      <w:bookmarkStart w:id="120" w:name="_Toc7897880"/>
      <w:r>
        <w:rPr>
          <w:rFonts w:hint="eastAsia" w:hAnsi="宋体"/>
          <w:color w:val="auto"/>
          <w:sz w:val="21"/>
          <w:szCs w:val="21"/>
          <w:highlight w:val="none"/>
        </w:rPr>
        <w:t>16.响应文件的递交</w:t>
      </w:r>
      <w:bookmarkEnd w:id="117"/>
      <w:bookmarkEnd w:id="118"/>
      <w:bookmarkEnd w:id="119"/>
      <w:bookmarkEnd w:id="12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line="360" w:lineRule="auto"/>
        <w:ind w:firstLine="422" w:firstLineChars="200"/>
        <w:rPr>
          <w:rFonts w:hint="default" w:hAnsi="宋体" w:eastAsia="宋体"/>
          <w:b/>
          <w:bCs/>
          <w:color w:val="auto"/>
          <w:sz w:val="21"/>
          <w:szCs w:val="21"/>
          <w:highlight w:val="none"/>
          <w:lang w:val="en-US" w:eastAsia="zh-CN"/>
        </w:rPr>
      </w:pPr>
      <w:r>
        <w:rPr>
          <w:rFonts w:hint="eastAsia" w:hAnsi="宋体"/>
          <w:b/>
          <w:bCs/>
          <w:color w:val="auto"/>
          <w:sz w:val="21"/>
          <w:szCs w:val="21"/>
          <w:highlight w:val="none"/>
          <w:lang w:val="en-US" w:eastAsia="zh-CN"/>
        </w:rPr>
        <w:t>16.2若</w:t>
      </w:r>
      <w:r>
        <w:rPr>
          <w:rFonts w:hint="eastAsia" w:hAnsi="宋体"/>
          <w:b/>
          <w:bCs/>
          <w:color w:val="auto"/>
          <w:sz w:val="21"/>
          <w:szCs w:val="21"/>
          <w:highlight w:val="none"/>
        </w:rPr>
        <w:t>供应商</w:t>
      </w:r>
      <w:r>
        <w:rPr>
          <w:rFonts w:hint="eastAsia" w:hAnsi="宋体"/>
          <w:b/>
          <w:bCs/>
          <w:color w:val="auto"/>
          <w:sz w:val="21"/>
          <w:szCs w:val="21"/>
          <w:highlight w:val="none"/>
          <w:lang w:eastAsia="zh-CN"/>
        </w:rPr>
        <w:t>同时响应多个包组，</w:t>
      </w:r>
      <w:r>
        <w:rPr>
          <w:rFonts w:hint="eastAsia" w:hAnsi="宋体"/>
          <w:b/>
          <w:bCs/>
          <w:color w:val="auto"/>
          <w:sz w:val="21"/>
          <w:szCs w:val="21"/>
          <w:highlight w:val="none"/>
          <w:lang w:val="en-US" w:eastAsia="zh-CN"/>
        </w:rPr>
        <w:t>必须按包号分别制作并递交密封磋商响应文件。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w:t>
      </w:r>
      <w:r>
        <w:rPr>
          <w:rFonts w:hint="eastAsia" w:hAnsi="宋体"/>
          <w:color w:val="auto"/>
          <w:sz w:val="21"/>
          <w:szCs w:val="21"/>
          <w:highlight w:val="none"/>
          <w:lang w:val="en-US" w:eastAsia="zh-CN"/>
        </w:rPr>
        <w:t>3</w:t>
      </w:r>
      <w:r>
        <w:rPr>
          <w:rFonts w:hint="eastAsia" w:hAnsi="宋体"/>
          <w:color w:val="auto"/>
          <w:sz w:val="21"/>
          <w:szCs w:val="21"/>
          <w:highlight w:val="none"/>
        </w:rPr>
        <w:t>采购代理机构拒绝接受以下文件：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w:t>
      </w:r>
      <w:r>
        <w:rPr>
          <w:rFonts w:hint="eastAsia" w:hAnsi="宋体"/>
          <w:color w:val="auto"/>
          <w:sz w:val="21"/>
          <w:szCs w:val="21"/>
          <w:highlight w:val="none"/>
          <w:lang w:val="en-US" w:eastAsia="zh-CN"/>
        </w:rPr>
        <w:t>4</w:t>
      </w:r>
      <w:r>
        <w:rPr>
          <w:rFonts w:hint="eastAsia" w:hAnsi="宋体"/>
          <w:color w:val="auto"/>
          <w:sz w:val="21"/>
          <w:szCs w:val="21"/>
          <w:highlight w:val="none"/>
        </w:rPr>
        <w:t>响应文件的修改与撤回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color w:val="auto"/>
          <w:sz w:val="21"/>
          <w:szCs w:val="21"/>
          <w:highlight w:val="none"/>
        </w:rPr>
      </w:pPr>
    </w:p>
    <w:p>
      <w:pPr>
        <w:pStyle w:val="2"/>
        <w:adjustRightInd/>
        <w:spacing w:line="360" w:lineRule="auto"/>
        <w:ind w:firstLine="562" w:firstLineChars="200"/>
        <w:jc w:val="center"/>
        <w:rPr>
          <w:color w:val="auto"/>
          <w:sz w:val="28"/>
          <w:szCs w:val="28"/>
          <w:highlight w:val="none"/>
        </w:rPr>
      </w:pPr>
      <w:bookmarkStart w:id="121" w:name="_Toc22874"/>
      <w:bookmarkStart w:id="122" w:name="_Toc7897881"/>
      <w:r>
        <w:rPr>
          <w:rFonts w:hint="eastAsia"/>
          <w:color w:val="auto"/>
          <w:sz w:val="28"/>
          <w:szCs w:val="28"/>
          <w:highlight w:val="none"/>
        </w:rPr>
        <w:t>五、采购仪式和</w:t>
      </w:r>
      <w:bookmarkEnd w:id="108"/>
      <w:bookmarkEnd w:id="109"/>
      <w:bookmarkEnd w:id="110"/>
      <w:bookmarkEnd w:id="111"/>
      <w:bookmarkEnd w:id="112"/>
      <w:r>
        <w:rPr>
          <w:rFonts w:hint="eastAsia"/>
          <w:color w:val="auto"/>
          <w:sz w:val="28"/>
          <w:szCs w:val="28"/>
          <w:highlight w:val="none"/>
        </w:rPr>
        <w:t>评审会议</w:t>
      </w:r>
      <w:bookmarkEnd w:id="121"/>
      <w:bookmarkEnd w:id="122"/>
    </w:p>
    <w:p>
      <w:pPr>
        <w:pStyle w:val="4"/>
        <w:adjustRightInd/>
        <w:spacing w:line="360" w:lineRule="auto"/>
        <w:ind w:firstLine="422" w:firstLineChars="200"/>
        <w:rPr>
          <w:rFonts w:hAnsi="宋体"/>
          <w:b/>
          <w:color w:val="auto"/>
          <w:sz w:val="21"/>
          <w:szCs w:val="21"/>
          <w:highlight w:val="none"/>
        </w:rPr>
      </w:pPr>
      <w:bookmarkStart w:id="123" w:name="_Toc475249134"/>
      <w:r>
        <w:rPr>
          <w:rFonts w:hint="eastAsia" w:hAnsi="宋体"/>
          <w:b/>
          <w:color w:val="auto"/>
          <w:sz w:val="21"/>
          <w:szCs w:val="21"/>
          <w:highlight w:val="none"/>
        </w:rPr>
        <w:t>17.</w:t>
      </w:r>
      <w:bookmarkEnd w:id="123"/>
      <w:r>
        <w:rPr>
          <w:rFonts w:hint="eastAsia" w:hAnsi="宋体"/>
          <w:b/>
          <w:color w:val="auto"/>
          <w:sz w:val="21"/>
          <w:szCs w:val="21"/>
          <w:highlight w:val="none"/>
        </w:rPr>
        <w:t>开启响应文件</w:t>
      </w:r>
    </w:p>
    <w:p>
      <w:pPr>
        <w:spacing w:line="360" w:lineRule="auto"/>
        <w:ind w:firstLine="420" w:firstLineChars="200"/>
        <w:rPr>
          <w:rFonts w:hAnsi="宋体"/>
          <w:color w:val="auto"/>
          <w:sz w:val="21"/>
          <w:szCs w:val="21"/>
          <w:highlight w:val="none"/>
        </w:rPr>
      </w:pPr>
      <w:bookmarkStart w:id="124" w:name="_Toc475249135"/>
      <w:bookmarkStart w:id="125"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w:t>
      </w:r>
      <w:r>
        <w:rPr>
          <w:rFonts w:hint="eastAsia" w:hAnsi="宋体"/>
          <w:color w:val="auto"/>
          <w:sz w:val="21"/>
          <w:szCs w:val="21"/>
          <w:highlight w:val="none"/>
          <w:lang w:eastAsia="zh-CN"/>
        </w:rPr>
        <w:t>响应</w:t>
      </w:r>
      <w:r>
        <w:rPr>
          <w:rFonts w:hint="eastAsia" w:hAnsi="宋体"/>
          <w:color w:val="auto"/>
          <w:sz w:val="21"/>
          <w:szCs w:val="21"/>
          <w:highlight w:val="none"/>
        </w:rPr>
        <w:t>文件前，采购人、采购代理机构和供应商将检查响应文件的密封情况。在确认密封完好后，进行拆封唱标。唱标主要内容为保证金汇入情况以及采购代理机构认为合适的其他内容，并做唱标记录。</w:t>
      </w:r>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2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4"/>
        <w:adjustRightInd/>
        <w:spacing w:line="360" w:lineRule="auto"/>
        <w:ind w:firstLine="422" w:firstLineChars="200"/>
        <w:rPr>
          <w:rFonts w:hAnsi="宋体"/>
          <w:b/>
          <w:color w:val="auto"/>
          <w:sz w:val="21"/>
          <w:szCs w:val="21"/>
          <w:highlight w:val="none"/>
        </w:rPr>
      </w:pPr>
      <w:bookmarkStart w:id="126" w:name="_Toc535141844"/>
      <w:bookmarkStart w:id="127" w:name="_Toc37121259"/>
      <w:r>
        <w:rPr>
          <w:rFonts w:hint="eastAsia" w:hAnsi="宋体"/>
          <w:b/>
          <w:color w:val="auto"/>
          <w:sz w:val="21"/>
          <w:szCs w:val="21"/>
          <w:highlight w:val="none"/>
        </w:rPr>
        <w:t>19.对响应文件的初审</w:t>
      </w:r>
      <w:bookmarkEnd w:id="126"/>
      <w:bookmarkEnd w:id="127"/>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25"/>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12"/>
        <w:ind w:firstLine="400"/>
        <w:rPr>
          <w:color w:val="auto"/>
          <w:highlight w:val="none"/>
        </w:rPr>
      </w:pPr>
    </w:p>
    <w:p>
      <w:pPr>
        <w:pStyle w:val="2"/>
        <w:adjustRightInd/>
        <w:spacing w:line="360" w:lineRule="auto"/>
        <w:ind w:firstLine="562" w:firstLineChars="200"/>
        <w:jc w:val="center"/>
        <w:rPr>
          <w:color w:val="auto"/>
          <w:sz w:val="28"/>
          <w:szCs w:val="28"/>
          <w:highlight w:val="none"/>
        </w:rPr>
      </w:pPr>
      <w:bookmarkStart w:id="128" w:name="_Toc18625"/>
      <w:bookmarkStart w:id="129" w:name="_Toc7897882"/>
      <w:r>
        <w:rPr>
          <w:rFonts w:hint="eastAsia"/>
          <w:color w:val="auto"/>
          <w:sz w:val="28"/>
          <w:szCs w:val="28"/>
          <w:highlight w:val="none"/>
        </w:rPr>
        <w:t>六、确定成交供应商</w:t>
      </w:r>
      <w:bookmarkEnd w:id="128"/>
      <w:bookmarkEnd w:id="129"/>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4"/>
        <w:adjustRightInd/>
        <w:spacing w:line="360" w:lineRule="auto"/>
        <w:ind w:firstLine="422"/>
        <w:rPr>
          <w:b/>
          <w:color w:val="auto"/>
          <w:sz w:val="21"/>
          <w:szCs w:val="21"/>
          <w:highlight w:val="none"/>
        </w:rPr>
      </w:pPr>
      <w:r>
        <w:rPr>
          <w:rFonts w:hint="eastAsia"/>
          <w:b/>
          <w:color w:val="auto"/>
          <w:sz w:val="21"/>
          <w:szCs w:val="21"/>
          <w:highlight w:val="none"/>
        </w:rPr>
        <w:t>25.资格后审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lang w:eastAsia="zh-CN"/>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lang w:eastAsia="zh-CN"/>
        </w:rPr>
        <w:t>成交</w:t>
      </w:r>
      <w:r>
        <w:rPr>
          <w:color w:val="auto"/>
          <w:sz w:val="21"/>
          <w:szCs w:val="21"/>
          <w:highlight w:val="none"/>
        </w:rPr>
        <w:t>资格。</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lang w:eastAsia="zh-CN"/>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lang w:eastAsia="zh-CN"/>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4"/>
        <w:adjustRightInd/>
        <w:spacing w:line="360" w:lineRule="auto"/>
        <w:ind w:firstLine="422" w:firstLineChars="200"/>
        <w:rPr>
          <w:rFonts w:hAnsi="宋体"/>
          <w:b/>
          <w:color w:val="auto"/>
          <w:sz w:val="21"/>
          <w:szCs w:val="21"/>
          <w:highlight w:val="none"/>
        </w:rPr>
      </w:pPr>
      <w:bookmarkStart w:id="130" w:name="_Toc475249142"/>
      <w:r>
        <w:rPr>
          <w:rFonts w:hint="eastAsia" w:hAnsi="宋体"/>
          <w:b/>
          <w:color w:val="auto"/>
          <w:sz w:val="21"/>
          <w:szCs w:val="21"/>
          <w:highlight w:val="none"/>
        </w:rPr>
        <w:t>26.成交通知</w:t>
      </w:r>
      <w:bookmarkEnd w:id="13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sz w:val="21"/>
          <w:szCs w:val="21"/>
          <w:highlight w:val="none"/>
          <w:lang w:eastAsia="zh-CN"/>
        </w:rPr>
        <w:t>磋商文件</w:t>
      </w:r>
      <w:r>
        <w:rPr>
          <w:rFonts w:hint="eastAsia" w:hAnsi="宋体"/>
          <w:color w:val="auto"/>
          <w:sz w:val="21"/>
          <w:szCs w:val="21"/>
          <w:highlight w:val="none"/>
        </w:rPr>
        <w:t>指定的采购信息发布媒体上公告，同时向成交供应商发出成交通知书，并将磋商文件随成交结果同时公告。</w:t>
      </w:r>
    </w:p>
    <w:p>
      <w:pPr>
        <w:pStyle w:val="12"/>
        <w:ind w:firstLine="400"/>
        <w:rPr>
          <w:color w:val="auto"/>
          <w:highlight w:val="none"/>
        </w:rPr>
      </w:pPr>
    </w:p>
    <w:p>
      <w:pPr>
        <w:pStyle w:val="2"/>
        <w:adjustRightInd/>
        <w:spacing w:line="360" w:lineRule="auto"/>
        <w:ind w:firstLine="562" w:firstLineChars="200"/>
        <w:jc w:val="center"/>
        <w:rPr>
          <w:color w:val="auto"/>
          <w:sz w:val="28"/>
          <w:szCs w:val="28"/>
          <w:highlight w:val="none"/>
        </w:rPr>
      </w:pPr>
      <w:bookmarkStart w:id="131" w:name="_Toc110953852"/>
      <w:bookmarkStart w:id="132" w:name="_Toc28276"/>
      <w:bookmarkStart w:id="133" w:name="_Toc37756778"/>
      <w:bookmarkStart w:id="134" w:name="_Toc7897883"/>
      <w:bookmarkStart w:id="135" w:name="_Toc475249143"/>
      <w:r>
        <w:rPr>
          <w:rFonts w:hint="eastAsia"/>
          <w:color w:val="auto"/>
          <w:sz w:val="28"/>
          <w:szCs w:val="28"/>
          <w:highlight w:val="none"/>
        </w:rPr>
        <w:t>七、签订采购合同</w:t>
      </w:r>
      <w:bookmarkEnd w:id="131"/>
      <w:bookmarkEnd w:id="132"/>
      <w:bookmarkEnd w:id="133"/>
      <w:bookmarkEnd w:id="13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w:t>
      </w:r>
      <w:r>
        <w:rPr>
          <w:rFonts w:hint="eastAsia" w:hAnsi="宋体"/>
          <w:color w:val="auto"/>
          <w:sz w:val="21"/>
          <w:szCs w:val="21"/>
          <w:highlight w:val="none"/>
          <w:lang w:eastAsia="zh-CN"/>
        </w:rPr>
        <w:t>磋商文件</w:t>
      </w:r>
      <w:r>
        <w:rPr>
          <w:rFonts w:hint="eastAsia" w:hAnsi="宋体"/>
          <w:color w:val="auto"/>
          <w:sz w:val="21"/>
          <w:szCs w:val="21"/>
          <w:highlight w:val="none"/>
        </w:rPr>
        <w:t>确定的事项签订采购合同。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招标合同的要求。履约保函应在招标合同有效期满后28天内继续有效。</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rPr>
          <w:color w:val="auto"/>
          <w:highlight w:val="none"/>
        </w:rPr>
      </w:pPr>
    </w:p>
    <w:bookmarkEnd w:id="135"/>
    <w:p>
      <w:pPr>
        <w:pStyle w:val="2"/>
        <w:adjustRightInd/>
        <w:spacing w:line="360" w:lineRule="auto"/>
        <w:ind w:firstLine="562" w:firstLineChars="200"/>
        <w:jc w:val="center"/>
        <w:rPr>
          <w:color w:val="auto"/>
          <w:sz w:val="21"/>
          <w:szCs w:val="21"/>
          <w:highlight w:val="none"/>
        </w:rPr>
      </w:pPr>
      <w:bookmarkStart w:id="136" w:name="_Toc8766"/>
      <w:bookmarkStart w:id="137" w:name="_Toc7897884"/>
      <w:bookmarkStart w:id="138" w:name="_Toc396137239"/>
      <w:bookmarkStart w:id="139" w:name="_Toc3498"/>
      <w:bookmarkStart w:id="140" w:name="_Toc5141"/>
      <w:bookmarkStart w:id="141" w:name="_Toc22751"/>
      <w:bookmarkStart w:id="142" w:name="_Toc396137240"/>
      <w:r>
        <w:rPr>
          <w:rFonts w:hint="eastAsia"/>
          <w:color w:val="auto"/>
          <w:sz w:val="28"/>
          <w:szCs w:val="28"/>
          <w:highlight w:val="none"/>
        </w:rPr>
        <w:t>八、成交服务费</w:t>
      </w:r>
      <w:bookmarkEnd w:id="136"/>
      <w:bookmarkEnd w:id="137"/>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.1</w:t>
      </w:r>
      <w:r>
        <w:rPr>
          <w:rFonts w:hint="eastAsia" w:hAnsi="宋体"/>
          <w:color w:val="auto"/>
          <w:sz w:val="21"/>
          <w:szCs w:val="21"/>
          <w:highlight w:val="none"/>
          <w:lang w:eastAsia="zh-CN"/>
        </w:rPr>
        <w:t>成交供应商</w:t>
      </w:r>
      <w:r>
        <w:rPr>
          <w:rFonts w:hint="eastAsia" w:hAnsi="宋体"/>
          <w:color w:val="auto"/>
          <w:sz w:val="21"/>
          <w:szCs w:val="21"/>
          <w:highlight w:val="none"/>
        </w:rPr>
        <w:t>须向采购代理机构按如下标准和规定交纳成交服务费。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.2成交服务费</w:t>
      </w:r>
      <w:r>
        <w:rPr>
          <w:rFonts w:hint="eastAsia" w:hAnsi="宋体"/>
          <w:color w:val="auto"/>
          <w:sz w:val="21"/>
          <w:szCs w:val="21"/>
          <w:highlight w:val="none"/>
          <w:lang w:eastAsia="zh-CN"/>
        </w:rPr>
        <w:t>参照</w:t>
      </w:r>
      <w:r>
        <w:rPr>
          <w:rFonts w:hint="eastAsia" w:hAnsi="宋体"/>
          <w:color w:val="auto"/>
          <w:sz w:val="21"/>
          <w:szCs w:val="21"/>
          <w:highlight w:val="none"/>
        </w:rPr>
        <w:t>国家计委[计价格[2002]1980号]文和国家发改委[发改价格[2011]534号]文及相关规定</w:t>
      </w:r>
      <w:r>
        <w:rPr>
          <w:rFonts w:hint="eastAsia" w:hAnsi="宋体"/>
          <w:color w:val="auto"/>
          <w:sz w:val="21"/>
          <w:szCs w:val="21"/>
          <w:highlight w:val="none"/>
          <w:lang w:val="en-US" w:eastAsia="zh-CN"/>
        </w:rPr>
        <w:t>的7折</w:t>
      </w:r>
      <w:r>
        <w:rPr>
          <w:rFonts w:hint="eastAsia" w:hAnsi="宋体"/>
          <w:color w:val="auto"/>
          <w:sz w:val="21"/>
          <w:szCs w:val="21"/>
          <w:highlight w:val="none"/>
        </w:rPr>
        <w:t>收取，按差额定率累进法计算，按</w:t>
      </w:r>
      <w:r>
        <w:rPr>
          <w:rFonts w:hint="eastAsia" w:hAnsi="宋体"/>
          <w:color w:val="auto"/>
          <w:sz w:val="21"/>
          <w:szCs w:val="21"/>
          <w:highlight w:val="none"/>
          <w:lang w:eastAsia="zh-CN"/>
        </w:rPr>
        <w:t>货物类收取</w:t>
      </w:r>
      <w:r>
        <w:rPr>
          <w:rFonts w:hint="eastAsia" w:hAnsi="宋体"/>
          <w:color w:val="auto"/>
          <w:sz w:val="21"/>
          <w:szCs w:val="21"/>
          <w:highlight w:val="none"/>
        </w:rPr>
        <w:t>，以成交通知书中确定的成交总金额作为收费的计算依据。成交服务费最低收费标准为伍仟元整。</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.3服务费的货币为人民币。</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.4服务费应由</w:t>
      </w:r>
      <w:r>
        <w:rPr>
          <w:rFonts w:hint="eastAsia" w:hAnsi="宋体"/>
          <w:color w:val="auto"/>
          <w:sz w:val="21"/>
          <w:szCs w:val="21"/>
          <w:highlight w:val="none"/>
          <w:lang w:eastAsia="zh-CN"/>
        </w:rPr>
        <w:t>成交供应商</w:t>
      </w:r>
      <w:r>
        <w:rPr>
          <w:rFonts w:hint="eastAsia" w:hAnsi="宋体"/>
          <w:color w:val="auto"/>
          <w:sz w:val="21"/>
          <w:szCs w:val="21"/>
          <w:highlight w:val="none"/>
        </w:rPr>
        <w:t>在采购结果公示发出之后，采购人确定可签订合同时交纳，不在报价中单列。</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.5以转账或现金的形式支付。</w:t>
      </w:r>
    </w:p>
    <w:p>
      <w:pPr>
        <w:pStyle w:val="12"/>
        <w:ind w:firstLine="400"/>
        <w:rPr>
          <w:color w:val="auto"/>
          <w:highlight w:val="none"/>
        </w:rPr>
      </w:pPr>
    </w:p>
    <w:p>
      <w:pPr>
        <w:pStyle w:val="2"/>
        <w:adjustRightInd/>
        <w:spacing w:line="360" w:lineRule="auto"/>
        <w:ind w:firstLine="562" w:firstLineChars="200"/>
        <w:jc w:val="center"/>
        <w:rPr>
          <w:color w:val="auto"/>
          <w:sz w:val="28"/>
          <w:szCs w:val="28"/>
          <w:highlight w:val="none"/>
          <w:lang w:val="zh-CN"/>
        </w:rPr>
      </w:pPr>
      <w:r>
        <w:rPr>
          <w:rFonts w:hint="eastAsia"/>
          <w:color w:val="auto"/>
          <w:sz w:val="28"/>
          <w:szCs w:val="28"/>
          <w:highlight w:val="none"/>
          <w:lang w:val="zh-CN"/>
        </w:rPr>
        <w:t>九、质疑与回复</w:t>
      </w:r>
      <w:bookmarkEnd w:id="138"/>
      <w:bookmarkEnd w:id="139"/>
      <w:bookmarkEnd w:id="14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 xml:space="preserve">   质疑与回复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.1 质疑书应当包括下列主要内容：</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w:t>
      </w:r>
      <w:r>
        <w:rPr>
          <w:rFonts w:hint="eastAsia" w:hAnsi="宋体"/>
          <w:color w:val="auto"/>
          <w:kern w:val="2"/>
          <w:sz w:val="21"/>
          <w:szCs w:val="21"/>
          <w:highlight w:val="none"/>
          <w:lang w:val="en-US" w:eastAsia="zh-CN"/>
        </w:rPr>
        <w:t>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.4. 供应商认为采购过程和</w:t>
      </w:r>
      <w:r>
        <w:rPr>
          <w:rFonts w:hint="eastAsia" w:hAnsi="宋体"/>
          <w:color w:val="auto"/>
          <w:sz w:val="21"/>
          <w:szCs w:val="21"/>
          <w:highlight w:val="none"/>
          <w:lang w:eastAsia="zh-CN"/>
        </w:rPr>
        <w:t>成交</w:t>
      </w:r>
      <w:r>
        <w:rPr>
          <w:rFonts w:hint="eastAsia" w:hAnsi="宋体"/>
          <w:color w:val="auto"/>
          <w:sz w:val="21"/>
          <w:szCs w:val="21"/>
          <w:highlight w:val="none"/>
        </w:rPr>
        <w:t>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.5.供应商在法定质疑期内一次性提出针对同一采购程序环节的质疑。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color w:val="auto"/>
          <w:sz w:val="21"/>
          <w:szCs w:val="21"/>
          <w:highlight w:val="none"/>
        </w:rPr>
      </w:pPr>
      <w:bookmarkStart w:id="143" w:name="_Toc29421"/>
      <w:r>
        <w:rPr>
          <w:rFonts w:hint="eastAsia"/>
          <w:color w:val="auto"/>
          <w:sz w:val="21"/>
          <w:szCs w:val="21"/>
          <w:highlight w:val="none"/>
        </w:rPr>
        <w:t>3</w:t>
      </w:r>
      <w:r>
        <w:rPr>
          <w:rFonts w:hint="eastAsia"/>
          <w:color w:val="auto"/>
          <w:sz w:val="21"/>
          <w:szCs w:val="21"/>
          <w:highlight w:val="none"/>
          <w:lang w:val="en-US" w:eastAsia="zh-CN"/>
        </w:rPr>
        <w:t>3</w:t>
      </w:r>
      <w:r>
        <w:rPr>
          <w:rFonts w:hint="eastAsia"/>
          <w:color w:val="auto"/>
          <w:sz w:val="21"/>
          <w:szCs w:val="21"/>
          <w:highlight w:val="none"/>
        </w:rPr>
        <w:t>.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43"/>
    </w:p>
    <w:p>
      <w:pPr>
        <w:pStyle w:val="3"/>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r>
        <w:rPr>
          <w:rFonts w:hint="eastAsia" w:hAnsi="宋体"/>
          <w:b/>
          <w:bCs/>
          <w:color w:val="auto"/>
          <w:kern w:val="44"/>
          <w:sz w:val="28"/>
          <w:szCs w:val="28"/>
          <w:highlight w:val="none"/>
          <w:lang w:val="zh-CN"/>
        </w:rPr>
        <w:t>用户需求书</w:t>
      </w:r>
      <w:bookmarkEnd w:id="141"/>
      <w:bookmarkEnd w:id="142"/>
    </w:p>
    <w:p>
      <w:pPr>
        <w:pStyle w:val="3"/>
        <w:spacing w:line="360" w:lineRule="auto"/>
        <w:jc w:val="center"/>
        <w:rPr>
          <w:rFonts w:hint="eastAsia" w:eastAsia="宋体"/>
          <w:b/>
          <w:bCs/>
          <w:color w:val="auto"/>
          <w:sz w:val="28"/>
          <w:szCs w:val="28"/>
          <w:highlight w:val="none"/>
          <w:lang w:eastAsia="zh-CN"/>
        </w:rPr>
      </w:pPr>
      <w:r>
        <w:rPr>
          <w:rFonts w:hint="eastAsia"/>
          <w:b/>
          <w:bCs/>
          <w:color w:val="auto"/>
          <w:sz w:val="28"/>
          <w:szCs w:val="28"/>
          <w:highlight w:val="none"/>
        </w:rPr>
        <w:t>第一部分 商务需求书</w:t>
      </w:r>
    </w:p>
    <w:tbl>
      <w:tblPr>
        <w:tblStyle w:val="51"/>
        <w:tblW w:w="914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49"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397"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9"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eastAsia="zh-CN"/>
              </w:rPr>
              <w:t>工</w:t>
            </w:r>
            <w:r>
              <w:rPr>
                <w:rFonts w:hint="eastAsia" w:ascii="宋体" w:hAnsi="宋体" w:eastAsia="宋体" w:cs="宋体"/>
                <w:color w:val="auto"/>
                <w:kern w:val="2"/>
                <w:sz w:val="21"/>
                <w:szCs w:val="21"/>
                <w:highlight w:val="none"/>
              </w:rPr>
              <w:t>期</w:t>
            </w:r>
          </w:p>
        </w:tc>
        <w:tc>
          <w:tcPr>
            <w:tcW w:w="6397" w:type="dxa"/>
            <w:vAlign w:val="center"/>
          </w:tcPr>
          <w:p>
            <w:pPr>
              <w:pStyle w:val="144"/>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0个日历日内完成全部货物安装、调试并通过验收。</w:t>
            </w:r>
            <w:r>
              <w:rPr>
                <w:rFonts w:hint="eastAsia" w:ascii="宋体" w:hAnsi="宋体" w:cs="宋体"/>
                <w:color w:val="auto"/>
                <w:sz w:val="21"/>
                <w:szCs w:val="21"/>
                <w:highlight w:val="none"/>
                <w:lang w:val="en-US" w:eastAsia="zh-CN"/>
              </w:rPr>
              <w:t>具体开工时间以采购人发出开工令或业主联系单为准。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9" w:type="dxa"/>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报价要求</w:t>
            </w:r>
          </w:p>
        </w:tc>
        <w:tc>
          <w:tcPr>
            <w:tcW w:w="639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kern w:val="2"/>
                <w:sz w:val="21"/>
                <w:szCs w:val="21"/>
                <w:highlight w:val="none"/>
              </w:rPr>
              <w:t>1、供应商</w:t>
            </w:r>
            <w:r>
              <w:rPr>
                <w:rFonts w:hint="eastAsia" w:asciiTheme="minorEastAsia" w:hAnsiTheme="minorEastAsia" w:eastAsiaTheme="minorEastAsia" w:cstheme="minorEastAsia"/>
                <w:bCs/>
                <w:color w:val="auto"/>
                <w:kern w:val="2"/>
                <w:sz w:val="21"/>
                <w:szCs w:val="21"/>
                <w:highlight w:val="none"/>
                <w:lang w:eastAsia="zh-CN"/>
              </w:rPr>
              <w:t>响应</w:t>
            </w:r>
            <w:r>
              <w:rPr>
                <w:rFonts w:hint="eastAsia" w:asciiTheme="minorEastAsia" w:hAnsiTheme="minorEastAsia" w:eastAsiaTheme="minorEastAsia" w:cstheme="minorEastAsia"/>
                <w:bCs/>
                <w:color w:val="auto"/>
                <w:kern w:val="2"/>
                <w:sz w:val="21"/>
                <w:szCs w:val="21"/>
                <w:highlight w:val="none"/>
              </w:rPr>
              <w:t>报价不得超过总最高限价（采购预算价）。</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kern w:val="2"/>
                <w:sz w:val="21"/>
                <w:szCs w:val="21"/>
                <w:highlight w:val="none"/>
              </w:rPr>
              <w:t>2、</w:t>
            </w:r>
            <w:r>
              <w:rPr>
                <w:rFonts w:hint="eastAsia" w:asciiTheme="minorEastAsia" w:hAnsiTheme="minorEastAsia" w:eastAsiaTheme="minorEastAsia" w:cstheme="minorEastAsia"/>
                <w:bCs/>
                <w:color w:val="auto"/>
                <w:kern w:val="2"/>
                <w:sz w:val="21"/>
                <w:szCs w:val="21"/>
                <w:highlight w:val="none"/>
                <w:lang w:eastAsia="zh-CN"/>
              </w:rPr>
              <w:t>本项目采用</w:t>
            </w:r>
            <w:r>
              <w:rPr>
                <w:rFonts w:hint="eastAsia" w:asciiTheme="minorEastAsia" w:hAnsiTheme="minorEastAsia" w:eastAsiaTheme="minorEastAsia" w:cstheme="minorEastAsia"/>
                <w:bCs/>
                <w:color w:val="auto"/>
                <w:kern w:val="2"/>
                <w:sz w:val="21"/>
                <w:szCs w:val="21"/>
                <w:highlight w:val="none"/>
              </w:rPr>
              <w:t>固定综合单价</w:t>
            </w:r>
            <w:r>
              <w:rPr>
                <w:rFonts w:hint="eastAsia" w:asciiTheme="minorEastAsia" w:hAnsiTheme="minorEastAsia" w:eastAsiaTheme="minorEastAsia" w:cstheme="minorEastAsia"/>
                <w:bCs/>
                <w:color w:val="auto"/>
                <w:kern w:val="2"/>
                <w:sz w:val="21"/>
                <w:szCs w:val="21"/>
                <w:highlight w:val="none"/>
                <w:lang w:val="en-US" w:eastAsia="zh-CN"/>
              </w:rPr>
              <w:t>按拟采购数量暂定总价的</w:t>
            </w:r>
            <w:r>
              <w:rPr>
                <w:rFonts w:hint="eastAsia" w:asciiTheme="minorEastAsia" w:hAnsiTheme="minorEastAsia" w:eastAsiaTheme="minorEastAsia" w:cstheme="minorEastAsia"/>
                <w:bCs/>
                <w:color w:val="auto"/>
                <w:kern w:val="2"/>
                <w:sz w:val="21"/>
                <w:szCs w:val="21"/>
                <w:highlight w:val="none"/>
                <w:lang w:eastAsia="zh-CN"/>
              </w:rPr>
              <w:t>报价形式。</w:t>
            </w:r>
            <w:r>
              <w:rPr>
                <w:rFonts w:hint="eastAsia" w:asciiTheme="minorEastAsia" w:hAnsiTheme="minorEastAsia" w:eastAsiaTheme="minorEastAsia" w:cstheme="minorEastAsia"/>
                <w:b/>
                <w:bCs/>
                <w:color w:val="auto"/>
                <w:kern w:val="2"/>
                <w:sz w:val="21"/>
                <w:szCs w:val="21"/>
                <w:highlight w:val="none"/>
              </w:rPr>
              <w:t>供应商对项目的单价进行报价，最终</w:t>
            </w:r>
            <w:r>
              <w:rPr>
                <w:rFonts w:hint="eastAsia" w:asciiTheme="minorEastAsia" w:hAnsiTheme="minorEastAsia" w:eastAsiaTheme="minorEastAsia" w:cstheme="minorEastAsia"/>
                <w:b/>
                <w:bCs/>
                <w:color w:val="auto"/>
                <w:kern w:val="2"/>
                <w:sz w:val="21"/>
                <w:szCs w:val="21"/>
                <w:highlight w:val="none"/>
                <w:lang w:val="en-US" w:eastAsia="zh-CN"/>
              </w:rPr>
              <w:t>总</w:t>
            </w:r>
            <w:r>
              <w:rPr>
                <w:rFonts w:hint="eastAsia" w:asciiTheme="minorEastAsia" w:hAnsiTheme="minorEastAsia" w:eastAsiaTheme="minorEastAsia" w:cstheme="minorEastAsia"/>
                <w:b/>
                <w:bCs/>
                <w:color w:val="auto"/>
                <w:kern w:val="2"/>
                <w:sz w:val="21"/>
                <w:szCs w:val="21"/>
                <w:highlight w:val="none"/>
              </w:rPr>
              <w:t>报价与原报价价差折算下浮率，单价按下浮率等比例下浮</w:t>
            </w:r>
            <w:r>
              <w:rPr>
                <w:rFonts w:hint="eastAsia" w:asciiTheme="minorEastAsia" w:hAnsiTheme="minorEastAsia" w:eastAsiaTheme="minorEastAsia" w:cstheme="minorEastAsia"/>
                <w:b/>
                <w:bCs/>
                <w:color w:val="auto"/>
                <w:kern w:val="2"/>
                <w:sz w:val="21"/>
                <w:szCs w:val="21"/>
                <w:highlight w:val="none"/>
                <w:lang w:eastAsia="zh-CN"/>
              </w:rPr>
              <w:t>。</w:t>
            </w:r>
            <w:r>
              <w:rPr>
                <w:rFonts w:hint="eastAsia" w:asciiTheme="minorEastAsia" w:hAnsiTheme="minorEastAsia" w:eastAsiaTheme="minorEastAsia" w:cstheme="minorEastAsia"/>
                <w:b/>
                <w:bCs w:val="0"/>
                <w:color w:val="auto"/>
                <w:kern w:val="2"/>
                <w:sz w:val="21"/>
                <w:szCs w:val="21"/>
                <w:highlight w:val="none"/>
              </w:rPr>
              <w:t>根据实际采购安装货数量和合同单价，进行最终结算。</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kern w:val="2"/>
                <w:sz w:val="21"/>
                <w:szCs w:val="21"/>
                <w:highlight w:val="none"/>
              </w:rPr>
              <w:t>2、</w:t>
            </w:r>
            <w:r>
              <w:rPr>
                <w:rFonts w:hint="eastAsia" w:asciiTheme="minorEastAsia" w:hAnsiTheme="minorEastAsia" w:eastAsiaTheme="minorEastAsia" w:cstheme="minorEastAsia"/>
                <w:bCs/>
                <w:color w:val="auto"/>
                <w:kern w:val="2"/>
                <w:sz w:val="21"/>
                <w:szCs w:val="21"/>
                <w:highlight w:val="none"/>
                <w:lang w:eastAsia="zh-CN"/>
              </w:rPr>
              <w:t>响应</w:t>
            </w:r>
            <w:r>
              <w:rPr>
                <w:rFonts w:hint="eastAsia" w:asciiTheme="minorEastAsia" w:hAnsiTheme="minorEastAsia" w:eastAsiaTheme="minorEastAsia" w:cstheme="minorEastAsia"/>
                <w:bCs/>
                <w:color w:val="auto"/>
                <w:kern w:val="2"/>
                <w:sz w:val="21"/>
                <w:szCs w:val="21"/>
                <w:highlight w:val="none"/>
              </w:rPr>
              <w:t>供应商报价应包含完成本次采购所有服务内容的费用，包括人工费、劳保费、保险费、材料费、设备使用费、各种税务费、必须的辅助材料费</w:t>
            </w:r>
            <w:r>
              <w:rPr>
                <w:rFonts w:hint="eastAsia" w:asciiTheme="minorEastAsia" w:hAnsiTheme="minorEastAsia" w:eastAsiaTheme="minorEastAsia" w:cstheme="minorEastAsia"/>
                <w:bCs/>
                <w:color w:val="auto"/>
                <w:kern w:val="2"/>
                <w:sz w:val="21"/>
                <w:szCs w:val="21"/>
                <w:highlight w:val="none"/>
                <w:lang w:eastAsia="zh-CN"/>
              </w:rPr>
              <w:t>、</w:t>
            </w:r>
            <w:r>
              <w:rPr>
                <w:rFonts w:hint="eastAsia" w:asciiTheme="minorEastAsia" w:hAnsiTheme="minorEastAsia" w:eastAsiaTheme="minorEastAsia" w:cstheme="minorEastAsia"/>
                <w:bCs/>
                <w:color w:val="auto"/>
                <w:kern w:val="2"/>
                <w:sz w:val="21"/>
                <w:szCs w:val="21"/>
                <w:highlight w:val="none"/>
              </w:rPr>
              <w:t>因施工破坏需按原状恢复的</w:t>
            </w:r>
            <w:r>
              <w:rPr>
                <w:rFonts w:hint="eastAsia" w:asciiTheme="minorEastAsia" w:hAnsiTheme="minorEastAsia" w:eastAsiaTheme="minorEastAsia" w:cstheme="minorEastAsia"/>
                <w:bCs/>
                <w:color w:val="auto"/>
                <w:kern w:val="2"/>
                <w:sz w:val="21"/>
                <w:szCs w:val="21"/>
                <w:highlight w:val="none"/>
                <w:lang w:eastAsia="zh-CN"/>
              </w:rPr>
              <w:t>费用</w:t>
            </w:r>
            <w:r>
              <w:rPr>
                <w:rFonts w:hint="eastAsia" w:asciiTheme="minorEastAsia" w:hAnsiTheme="minorEastAsia" w:eastAsiaTheme="minorEastAsia" w:cstheme="minorEastAsia"/>
                <w:bCs/>
                <w:color w:val="auto"/>
                <w:kern w:val="2"/>
                <w:sz w:val="21"/>
                <w:szCs w:val="21"/>
                <w:highlight w:val="none"/>
              </w:rPr>
              <w:t>及合同实施过程中不可预见费用等全部费用。</w:t>
            </w:r>
          </w:p>
          <w:p>
            <w:pPr>
              <w:pStyle w:val="144"/>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bCs/>
                <w:color w:val="auto"/>
                <w:kern w:val="2"/>
                <w:sz w:val="21"/>
                <w:szCs w:val="21"/>
                <w:highlight w:val="none"/>
              </w:rPr>
              <w:t>3、如果</w:t>
            </w:r>
            <w:r>
              <w:rPr>
                <w:rFonts w:hint="eastAsia" w:asciiTheme="minorEastAsia" w:hAnsiTheme="minorEastAsia" w:eastAsiaTheme="minorEastAsia" w:cstheme="minorEastAsia"/>
                <w:bCs/>
                <w:color w:val="auto"/>
                <w:kern w:val="2"/>
                <w:sz w:val="21"/>
                <w:szCs w:val="21"/>
                <w:highlight w:val="none"/>
                <w:lang w:eastAsia="zh-CN"/>
              </w:rPr>
              <w:t>响应</w:t>
            </w:r>
            <w:r>
              <w:rPr>
                <w:rFonts w:hint="eastAsia" w:asciiTheme="minorEastAsia" w:hAnsiTheme="minorEastAsia" w:eastAsiaTheme="minorEastAsia" w:cstheme="minorEastAsia"/>
                <w:bCs/>
                <w:color w:val="auto"/>
                <w:kern w:val="2"/>
                <w:sz w:val="21"/>
                <w:szCs w:val="21"/>
                <w:highlight w:val="none"/>
              </w:rPr>
              <w:t>供应商对于采购文件或答疑文件中为满足技术要求中所提供的服务或货物有未报价或漏报、错报、缺报等情况，可以视其为</w:t>
            </w:r>
            <w:r>
              <w:rPr>
                <w:rFonts w:hint="eastAsia" w:asciiTheme="minorEastAsia" w:hAnsiTheme="minorEastAsia" w:eastAsiaTheme="minorEastAsia" w:cstheme="minorEastAsia"/>
                <w:bCs/>
                <w:color w:val="auto"/>
                <w:kern w:val="2"/>
                <w:sz w:val="21"/>
                <w:szCs w:val="21"/>
                <w:highlight w:val="none"/>
                <w:lang w:eastAsia="zh-CN"/>
              </w:rPr>
              <w:t>响应</w:t>
            </w:r>
            <w:r>
              <w:rPr>
                <w:rFonts w:hint="eastAsia" w:asciiTheme="minorEastAsia" w:hAnsiTheme="minorEastAsia" w:eastAsiaTheme="minorEastAsia" w:cstheme="minorEastAsia"/>
                <w:bCs/>
                <w:color w:val="auto"/>
                <w:kern w:val="2"/>
                <w:sz w:val="21"/>
                <w:szCs w:val="21"/>
                <w:highlight w:val="none"/>
              </w:rPr>
              <w:t>供应商予以采购人的报价优惠报价，</w:t>
            </w:r>
            <w:r>
              <w:rPr>
                <w:rFonts w:hint="eastAsia" w:asciiTheme="minorEastAsia" w:hAnsiTheme="minorEastAsia" w:eastAsiaTheme="minorEastAsia" w:cstheme="minorEastAsia"/>
                <w:bCs/>
                <w:color w:val="auto"/>
                <w:kern w:val="2"/>
                <w:sz w:val="21"/>
                <w:szCs w:val="21"/>
                <w:highlight w:val="none"/>
                <w:lang w:eastAsia="zh-CN"/>
              </w:rPr>
              <w:t>中标</w:t>
            </w:r>
            <w:r>
              <w:rPr>
                <w:rFonts w:hint="eastAsia" w:asciiTheme="minorEastAsia" w:hAnsiTheme="minorEastAsia" w:eastAsiaTheme="minorEastAsia" w:cstheme="minorEastAsia"/>
                <w:bCs/>
                <w:color w:val="auto"/>
                <w:kern w:val="2"/>
                <w:sz w:val="21"/>
                <w:szCs w:val="21"/>
                <w:highlight w:val="none"/>
              </w:rPr>
              <w:t>后不予调整。若</w:t>
            </w:r>
            <w:r>
              <w:rPr>
                <w:rFonts w:hint="eastAsia" w:asciiTheme="minorEastAsia" w:hAnsiTheme="minorEastAsia" w:eastAsiaTheme="minorEastAsia" w:cstheme="minorEastAsia"/>
                <w:bCs/>
                <w:color w:val="auto"/>
                <w:kern w:val="2"/>
                <w:sz w:val="21"/>
                <w:szCs w:val="21"/>
                <w:highlight w:val="none"/>
                <w:lang w:eastAsia="zh-CN"/>
              </w:rPr>
              <w:t>响应</w:t>
            </w:r>
            <w:r>
              <w:rPr>
                <w:rFonts w:hint="eastAsia" w:asciiTheme="minorEastAsia" w:hAnsiTheme="minorEastAsia" w:eastAsiaTheme="minorEastAsia" w:cstheme="minorEastAsia"/>
                <w:bCs/>
                <w:color w:val="auto"/>
                <w:kern w:val="2"/>
                <w:sz w:val="21"/>
                <w:szCs w:val="21"/>
                <w:highlight w:val="none"/>
              </w:rPr>
              <w:t>供应商报价出现错误，则按招标文件约定的</w:t>
            </w:r>
            <w:r>
              <w:rPr>
                <w:rFonts w:hint="eastAsia" w:asciiTheme="minorEastAsia" w:hAnsiTheme="minorEastAsia" w:eastAsiaTheme="minorEastAsia" w:cstheme="minorEastAsia"/>
                <w:color w:val="auto"/>
                <w:kern w:val="2"/>
                <w:sz w:val="21"/>
                <w:szCs w:val="21"/>
                <w:highlight w:val="none"/>
              </w:rPr>
              <w:t>修正错误的方法</w:t>
            </w:r>
            <w:r>
              <w:rPr>
                <w:rFonts w:hint="eastAsia" w:asciiTheme="minorEastAsia" w:hAnsiTheme="minorEastAsia" w:eastAsiaTheme="minorEastAsia" w:cstheme="minorEastAsia"/>
                <w:bCs/>
                <w:color w:val="auto"/>
                <w:kern w:val="2"/>
                <w:sz w:val="21"/>
                <w:szCs w:val="21"/>
                <w:highlight w:val="none"/>
              </w:rPr>
              <w:t>调整响应文件中的报价，调整后的价格对</w:t>
            </w:r>
            <w:r>
              <w:rPr>
                <w:rFonts w:hint="eastAsia" w:asciiTheme="minorEastAsia" w:hAnsiTheme="minorEastAsia" w:eastAsiaTheme="minorEastAsia" w:cstheme="minorEastAsia"/>
                <w:bCs/>
                <w:color w:val="auto"/>
                <w:kern w:val="2"/>
                <w:sz w:val="21"/>
                <w:szCs w:val="21"/>
                <w:highlight w:val="none"/>
                <w:lang w:eastAsia="zh-CN"/>
              </w:rPr>
              <w:t>响应</w:t>
            </w:r>
            <w:r>
              <w:rPr>
                <w:rFonts w:hint="eastAsia" w:asciiTheme="minorEastAsia" w:hAnsiTheme="minorEastAsia" w:eastAsiaTheme="minorEastAsia" w:cstheme="minorEastAsia"/>
                <w:bCs/>
                <w:color w:val="auto"/>
                <w:kern w:val="2"/>
                <w:sz w:val="21"/>
                <w:szCs w:val="21"/>
                <w:highlight w:val="none"/>
              </w:rPr>
              <w:t>供应商具有约束力，如果</w:t>
            </w:r>
            <w:r>
              <w:rPr>
                <w:rFonts w:hint="eastAsia" w:asciiTheme="minorEastAsia" w:hAnsiTheme="minorEastAsia" w:eastAsiaTheme="minorEastAsia" w:cstheme="minorEastAsia"/>
                <w:bCs/>
                <w:color w:val="auto"/>
                <w:kern w:val="2"/>
                <w:sz w:val="21"/>
                <w:szCs w:val="21"/>
                <w:highlight w:val="none"/>
                <w:lang w:eastAsia="zh-CN"/>
              </w:rPr>
              <w:t>响应</w:t>
            </w:r>
            <w:r>
              <w:rPr>
                <w:rFonts w:hint="eastAsia" w:asciiTheme="minorEastAsia" w:hAnsiTheme="minorEastAsia" w:eastAsiaTheme="minorEastAsia" w:cstheme="minorEastAsia"/>
                <w:bCs/>
                <w:color w:val="auto"/>
                <w:kern w:val="2"/>
                <w:sz w:val="21"/>
                <w:szCs w:val="21"/>
                <w:highlight w:val="none"/>
              </w:rPr>
              <w:t>供应商不接受修正后的价格，则其报价将被拒绝。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49" w:type="dxa"/>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付款方式</w:t>
            </w:r>
          </w:p>
        </w:tc>
        <w:tc>
          <w:tcPr>
            <w:tcW w:w="6397" w:type="dxa"/>
            <w:vAlign w:val="center"/>
          </w:tcPr>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在合同签订之日起15天内，向采购人提交金额为本合同总价10%的不可撤销银行保函或履约保证金作为履行合同的担保，履约担保期限从合同签订之日起至项目交工验收合格并完成结算后，双方签字之日起7天内保持有效；</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（二）合同签订提交请款报告后20天内，采购人支付合同总价的20%作为定金；</w:t>
            </w:r>
          </w:p>
          <w:p>
            <w:pPr>
              <w:pStyle w:val="10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（三）</w:t>
            </w:r>
            <w:r>
              <w:rPr>
                <w:rFonts w:hint="eastAsia" w:ascii="宋体" w:hAnsi="宋体" w:eastAsia="宋体" w:cs="宋体"/>
                <w:color w:val="auto"/>
                <w:sz w:val="21"/>
                <w:szCs w:val="21"/>
                <w:highlight w:val="none"/>
              </w:rPr>
              <w:t>进度款的支付根据每期计量工程价款的80%进行支付。支付至合同价款的80%时，不再</w:t>
            </w:r>
            <w:r>
              <w:rPr>
                <w:rFonts w:hint="eastAsia" w:ascii="宋体" w:hAnsi="宋体" w:cs="宋体"/>
                <w:color w:val="auto"/>
                <w:sz w:val="21"/>
                <w:szCs w:val="21"/>
                <w:highlight w:val="none"/>
                <w:lang w:val="en-US" w:eastAsia="zh-CN"/>
              </w:rPr>
              <w:t>支付。</w:t>
            </w:r>
            <w:r>
              <w:rPr>
                <w:rFonts w:hint="eastAsia" w:ascii="宋体" w:hAnsi="宋体" w:eastAsia="宋体" w:cs="宋体"/>
                <w:color w:val="auto"/>
                <w:sz w:val="21"/>
                <w:szCs w:val="21"/>
                <w:highlight w:val="none"/>
              </w:rPr>
              <w:t>所有货物安装</w:t>
            </w:r>
            <w:r>
              <w:rPr>
                <w:rFonts w:hint="eastAsia" w:ascii="宋体" w:hAnsi="宋体" w:cs="宋体"/>
                <w:color w:val="auto"/>
                <w:sz w:val="21"/>
                <w:szCs w:val="21"/>
                <w:highlight w:val="none"/>
                <w:lang w:val="en-US" w:eastAsia="zh-CN"/>
              </w:rPr>
              <w:t>完成</w:t>
            </w:r>
            <w:r>
              <w:rPr>
                <w:rFonts w:hint="eastAsia" w:ascii="宋体" w:hAnsi="宋体" w:cs="宋体"/>
                <w:color w:val="auto"/>
                <w:sz w:val="21"/>
                <w:szCs w:val="21"/>
                <w:highlight w:val="none"/>
                <w:lang w:eastAsia="zh-CN"/>
              </w:rPr>
              <w:t>且</w:t>
            </w:r>
            <w:r>
              <w:rPr>
                <w:rFonts w:hint="eastAsia" w:ascii="宋体" w:hAnsi="宋体" w:eastAsia="宋体" w:cs="宋体"/>
                <w:color w:val="auto"/>
                <w:sz w:val="21"/>
                <w:szCs w:val="21"/>
                <w:highlight w:val="none"/>
              </w:rPr>
              <w:t>经采购人验收合格并</w:t>
            </w:r>
            <w:r>
              <w:rPr>
                <w:rFonts w:hint="eastAsia" w:ascii="宋体" w:hAnsi="宋体" w:cs="宋体"/>
                <w:color w:val="auto"/>
                <w:sz w:val="21"/>
                <w:szCs w:val="21"/>
                <w:highlight w:val="none"/>
                <w:lang w:val="en-US" w:eastAsia="zh-CN"/>
              </w:rPr>
              <w:t>办理</w:t>
            </w:r>
            <w:r>
              <w:rPr>
                <w:rFonts w:hint="eastAsia" w:ascii="宋体" w:hAnsi="宋体" w:eastAsia="宋体" w:cs="宋体"/>
                <w:color w:val="auto"/>
                <w:sz w:val="21"/>
                <w:szCs w:val="21"/>
                <w:highlight w:val="none"/>
              </w:rPr>
              <w:t>结算</w:t>
            </w:r>
            <w:r>
              <w:rPr>
                <w:rFonts w:hint="eastAsia" w:ascii="宋体" w:hAnsi="宋体" w:cs="宋体"/>
                <w:color w:val="auto"/>
                <w:sz w:val="21"/>
                <w:szCs w:val="21"/>
                <w:highlight w:val="none"/>
                <w:lang w:val="en-US" w:eastAsia="zh-CN"/>
              </w:rPr>
              <w:t>手续后</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 xml:space="preserve">向采购人提交请款报告后20天内，支付至工程结算价款的97%； </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四</w:t>
            </w:r>
            <w:r>
              <w:rPr>
                <w:rFonts w:hint="eastAsia" w:ascii="宋体" w:hAnsi="宋体" w:eastAsia="宋体" w:cs="宋体"/>
                <w:color w:val="auto"/>
                <w:sz w:val="21"/>
                <w:szCs w:val="21"/>
                <w:highlight w:val="none"/>
              </w:rPr>
              <w:t>）结算价余款3％作为质保金，按合同质量保修金及支付方式的约定支付给</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49" w:type="dxa"/>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免费保修期及质保金</w:t>
            </w:r>
          </w:p>
        </w:tc>
        <w:tc>
          <w:tcPr>
            <w:tcW w:w="6397" w:type="dxa"/>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①项目验收合格之日起,提供</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年免费保修服务；</w:t>
            </w:r>
          </w:p>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②项目质保金按项目结算总价乘以3%执行。</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49" w:type="dxa"/>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服务地点</w:t>
            </w:r>
          </w:p>
        </w:tc>
        <w:tc>
          <w:tcPr>
            <w:tcW w:w="6397" w:type="dxa"/>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49" w:type="dxa"/>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合同条款</w:t>
            </w:r>
          </w:p>
        </w:tc>
        <w:tc>
          <w:tcPr>
            <w:tcW w:w="6397" w:type="dxa"/>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49" w:type="dxa"/>
            <w:vAlign w:val="center"/>
          </w:tcPr>
          <w:p>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其他服务要求</w:t>
            </w:r>
          </w:p>
        </w:tc>
        <w:tc>
          <w:tcPr>
            <w:tcW w:w="6397" w:type="dxa"/>
            <w:vAlign w:val="center"/>
          </w:tcPr>
          <w:p>
            <w:pPr>
              <w:pStyle w:val="144"/>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详见技术需求书。</w:t>
            </w:r>
          </w:p>
        </w:tc>
      </w:tr>
    </w:tbl>
    <w:p>
      <w:pPr>
        <w:rPr>
          <w:rFonts w:hint="eastAsia"/>
          <w:color w:val="auto"/>
          <w:highlight w:val="none"/>
        </w:rPr>
      </w:pPr>
    </w:p>
    <w:p>
      <w:pPr>
        <w:rPr>
          <w:rFonts w:hint="eastAsia"/>
          <w:color w:val="auto"/>
          <w:highlight w:val="none"/>
        </w:rPr>
      </w:pPr>
    </w:p>
    <w:p>
      <w:pPr>
        <w:pStyle w:val="12"/>
        <w:rPr>
          <w:rFonts w:hint="eastAsia"/>
          <w:color w:val="auto"/>
          <w:highlight w:val="none"/>
        </w:rPr>
      </w:pPr>
    </w:p>
    <w:p>
      <w:pPr>
        <w:pStyle w:val="12"/>
        <w:rPr>
          <w:rFonts w:hint="eastAsia"/>
          <w:color w:val="auto"/>
          <w:highlight w:val="none"/>
        </w:rPr>
      </w:pPr>
    </w:p>
    <w:p>
      <w:pPr>
        <w:pStyle w:val="3"/>
        <w:jc w:val="center"/>
        <w:rPr>
          <w:rFonts w:hint="eastAsia"/>
          <w:b/>
          <w:color w:val="auto"/>
          <w:sz w:val="28"/>
          <w:szCs w:val="28"/>
          <w:highlight w:val="none"/>
        </w:rPr>
      </w:pPr>
      <w:r>
        <w:rPr>
          <w:rFonts w:hint="eastAsia"/>
          <w:b/>
          <w:color w:val="auto"/>
          <w:sz w:val="28"/>
          <w:szCs w:val="28"/>
          <w:highlight w:val="none"/>
        </w:rPr>
        <w:t>第二部分 技术需求书</w:t>
      </w:r>
    </w:p>
    <w:p>
      <w:pPr>
        <w:pStyle w:val="2"/>
        <w:keepNext w:val="0"/>
        <w:keepLines w:val="0"/>
        <w:pageBreakBefore w:val="0"/>
        <w:widowControl w:val="0"/>
        <w:kinsoku/>
        <w:wordWrap/>
        <w:overflowPunct/>
        <w:topLinePunct w:val="0"/>
        <w:bidi w:val="0"/>
        <w:snapToGrid/>
        <w:spacing w:line="360" w:lineRule="auto"/>
        <w:ind w:firstLine="422" w:firstLineChars="200"/>
        <w:textAlignment w:val="auto"/>
        <w:rPr>
          <w:rFonts w:hint="eastAsia" w:eastAsia="宋体"/>
          <w:color w:val="auto"/>
          <w:sz w:val="21"/>
          <w:szCs w:val="21"/>
          <w:highlight w:val="none"/>
          <w:lang w:eastAsia="zh-CN"/>
        </w:rPr>
      </w:pPr>
      <w:r>
        <w:rPr>
          <w:rFonts w:hint="eastAsia"/>
          <w:color w:val="auto"/>
          <w:sz w:val="21"/>
          <w:szCs w:val="21"/>
          <w:highlight w:val="none"/>
        </w:rPr>
        <w:t>一、项目</w:t>
      </w:r>
      <w:r>
        <w:rPr>
          <w:rFonts w:hint="eastAsia"/>
          <w:color w:val="auto"/>
          <w:sz w:val="21"/>
          <w:szCs w:val="21"/>
          <w:highlight w:val="none"/>
          <w:lang w:eastAsia="zh-CN"/>
        </w:rPr>
        <w:t>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lang w:eastAsia="zh-CN"/>
        </w:rPr>
        <w:t>（一）</w:t>
      </w:r>
      <w:r>
        <w:rPr>
          <w:rFonts w:hint="eastAsia" w:hAnsi="宋体" w:cs="宋体"/>
          <w:color w:val="auto"/>
          <w:sz w:val="21"/>
          <w:szCs w:val="21"/>
          <w:highlight w:val="none"/>
        </w:rPr>
        <w:t>项目名称：</w:t>
      </w:r>
      <w:r>
        <w:rPr>
          <w:rFonts w:hint="eastAsia" w:hAnsi="宋体"/>
          <w:color w:val="auto"/>
          <w:sz w:val="21"/>
          <w:szCs w:val="21"/>
          <w:highlight w:val="none"/>
          <w:lang w:eastAsia="zh-CN"/>
        </w:rPr>
        <w:t>松山湖大学创新城--E区创投大厦AB塔楼体标识及地下停车场灯箱项目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Ansi="宋体" w:cs="宋体"/>
          <w:color w:val="auto"/>
          <w:sz w:val="21"/>
          <w:szCs w:val="21"/>
          <w:highlight w:val="none"/>
          <w:lang w:eastAsia="zh-CN"/>
        </w:rPr>
      </w:pPr>
      <w:r>
        <w:rPr>
          <w:rFonts w:hint="eastAsia" w:hAnsi="宋体" w:cs="宋体"/>
          <w:color w:val="auto"/>
          <w:sz w:val="21"/>
          <w:szCs w:val="21"/>
          <w:highlight w:val="none"/>
          <w:lang w:eastAsia="zh-CN"/>
        </w:rPr>
        <w:t>（二）项目地点：东莞市松山湖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（三）采购范围：按照设计方案、图纸及采购清单，提供包括但不限于松山湖大学创新城E区创投大厦AB塔楼体标识及地下停车场灯箱</w:t>
      </w:r>
      <w:r>
        <w:rPr>
          <w:rFonts w:hint="eastAsia" w:hAnsi="宋体"/>
          <w:color w:val="auto"/>
          <w:sz w:val="21"/>
          <w:szCs w:val="21"/>
          <w:highlight w:val="none"/>
          <w:lang w:eastAsia="zh-CN"/>
        </w:rPr>
        <w:t>供货及</w:t>
      </w:r>
      <w:r>
        <w:rPr>
          <w:rFonts w:hint="eastAsia" w:hAnsi="宋体" w:cs="宋体"/>
          <w:color w:val="auto"/>
          <w:sz w:val="21"/>
          <w:szCs w:val="21"/>
          <w:highlight w:val="none"/>
          <w:lang w:val="en-US" w:eastAsia="zh-CN"/>
        </w:rPr>
        <w:t>安装等配套服务。采购人提供初步确认设计方案，成交人保证原设计方案整体效果，可进行局部方案优化调整，但是必须甲方签字确认。</w:t>
      </w:r>
    </w:p>
    <w:p>
      <w:pPr>
        <w:pStyle w:val="75"/>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textAlignment w:val="auto"/>
        <w:outlineLvl w:val="1"/>
        <w:rPr>
          <w:rFonts w:hint="eastAsia" w:ascii="宋体" w:eastAsia="宋体" w:cs="宋体"/>
          <w:b/>
          <w:bCs/>
          <w:color w:val="auto"/>
          <w:sz w:val="21"/>
          <w:szCs w:val="21"/>
          <w:highlight w:val="none"/>
          <w:lang w:eastAsia="zh-CN"/>
        </w:rPr>
      </w:pPr>
      <w:r>
        <w:rPr>
          <w:rFonts w:hint="eastAsia" w:ascii="宋体" w:eastAsia="宋体" w:cs="宋体"/>
          <w:b/>
          <w:bCs/>
          <w:color w:val="auto"/>
          <w:sz w:val="21"/>
          <w:szCs w:val="21"/>
          <w:highlight w:val="none"/>
          <w:lang w:eastAsia="zh-CN"/>
        </w:rPr>
        <w:t>二、货物总体要求</w:t>
      </w:r>
    </w:p>
    <w:p>
      <w:pPr>
        <w:keepNext w:val="0"/>
        <w:keepLines w:val="0"/>
        <w:pageBreakBefore w:val="0"/>
        <w:kinsoku/>
        <w:wordWrap/>
        <w:overflowPunct/>
        <w:topLinePunct w:val="0"/>
        <w:bidi w:val="0"/>
        <w:snapToGrid/>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w:t>
      </w:r>
      <w:r>
        <w:rPr>
          <w:rFonts w:hint="eastAsia" w:hAnsi="宋体" w:cs="宋体"/>
          <w:color w:val="auto"/>
          <w:sz w:val="21"/>
          <w:szCs w:val="21"/>
          <w:highlight w:val="none"/>
          <w:lang w:eastAsia="zh-CN"/>
        </w:rPr>
        <w:t>供应商</w:t>
      </w:r>
      <w:r>
        <w:rPr>
          <w:rFonts w:hint="eastAsia" w:ascii="宋体" w:hAnsi="宋体" w:cs="宋体"/>
          <w:color w:val="auto"/>
          <w:sz w:val="21"/>
          <w:szCs w:val="21"/>
          <w:highlight w:val="none"/>
          <w:lang w:eastAsia="zh-CN"/>
        </w:rPr>
        <w:t>所投货物必须是原装、全新的产品，符合国家以及该产品的出厂标准。</w:t>
      </w:r>
    </w:p>
    <w:p>
      <w:pPr>
        <w:keepNext w:val="0"/>
        <w:keepLines w:val="0"/>
        <w:pageBreakBefore w:val="0"/>
        <w:kinsoku/>
        <w:wordWrap/>
        <w:overflowPunct/>
        <w:topLinePunct w:val="0"/>
        <w:bidi w:val="0"/>
        <w:snapToGrid/>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2、实际供货时将根据现场情况和实际使用功能作调整，如材料、规格、产品的效果图等的要求，</w:t>
      </w:r>
      <w:r>
        <w:rPr>
          <w:rFonts w:hint="eastAsia" w:hAnsi="宋体" w:cs="宋体"/>
          <w:color w:val="auto"/>
          <w:sz w:val="21"/>
          <w:szCs w:val="21"/>
          <w:highlight w:val="none"/>
          <w:lang w:eastAsia="zh-CN"/>
        </w:rPr>
        <w:t>成交人</w:t>
      </w:r>
      <w:r>
        <w:rPr>
          <w:rFonts w:hint="eastAsia" w:ascii="宋体" w:hAnsi="宋体" w:cs="宋体"/>
          <w:color w:val="auto"/>
          <w:sz w:val="21"/>
          <w:szCs w:val="21"/>
          <w:highlight w:val="none"/>
          <w:lang w:eastAsia="zh-CN"/>
        </w:rPr>
        <w:t>须无条件配合采购人的要求调整方案。最终供货方案经采购人确认成品样板或产品效果图后，方可正式实施生产供货，所涉及的一切费用由</w:t>
      </w:r>
      <w:r>
        <w:rPr>
          <w:rFonts w:hint="eastAsia" w:hAnsi="宋体" w:cs="宋体"/>
          <w:color w:val="auto"/>
          <w:sz w:val="21"/>
          <w:szCs w:val="21"/>
          <w:highlight w:val="none"/>
          <w:lang w:eastAsia="zh-CN"/>
        </w:rPr>
        <w:t>成交人</w:t>
      </w:r>
      <w:r>
        <w:rPr>
          <w:rFonts w:hint="eastAsia" w:ascii="宋体" w:hAnsi="宋体" w:cs="宋体"/>
          <w:color w:val="auto"/>
          <w:sz w:val="21"/>
          <w:szCs w:val="21"/>
          <w:highlight w:val="none"/>
          <w:lang w:eastAsia="zh-CN"/>
        </w:rPr>
        <w:t>承担。</w:t>
      </w:r>
    </w:p>
    <w:p>
      <w:pPr>
        <w:keepNext w:val="0"/>
        <w:keepLines w:val="0"/>
        <w:pageBreakBefore w:val="0"/>
        <w:kinsoku/>
        <w:wordWrap/>
        <w:overflowPunct/>
        <w:topLinePunct w:val="0"/>
        <w:bidi w:val="0"/>
        <w:snapToGrid/>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w:t>
      </w:r>
      <w:r>
        <w:rPr>
          <w:rFonts w:hint="eastAsia" w:hAnsi="宋体" w:cs="宋体"/>
          <w:color w:val="auto"/>
          <w:sz w:val="21"/>
          <w:szCs w:val="21"/>
          <w:highlight w:val="none"/>
          <w:lang w:eastAsia="zh-CN"/>
        </w:rPr>
        <w:t>供应商</w:t>
      </w:r>
      <w:r>
        <w:rPr>
          <w:rFonts w:hint="eastAsia" w:ascii="宋体" w:hAnsi="宋体" w:cs="宋体"/>
          <w:color w:val="auto"/>
          <w:sz w:val="21"/>
          <w:szCs w:val="21"/>
          <w:highlight w:val="none"/>
          <w:lang w:eastAsia="zh-CN"/>
        </w:rPr>
        <w:t>所投货物必须使用环保材料并符合国家环保要求及标准。</w:t>
      </w:r>
    </w:p>
    <w:p>
      <w:pPr>
        <w:keepNext w:val="0"/>
        <w:keepLines w:val="0"/>
        <w:pageBreakBefore w:val="0"/>
        <w:kinsoku/>
        <w:wordWrap/>
        <w:overflowPunct/>
        <w:topLinePunct w:val="0"/>
        <w:bidi w:val="0"/>
        <w:snapToGrid/>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4、签定合同后，</w:t>
      </w:r>
      <w:r>
        <w:rPr>
          <w:rFonts w:hint="eastAsia" w:hAnsi="宋体" w:cs="宋体"/>
          <w:color w:val="auto"/>
          <w:sz w:val="21"/>
          <w:szCs w:val="21"/>
          <w:highlight w:val="none"/>
          <w:lang w:eastAsia="zh-CN"/>
        </w:rPr>
        <w:t>成交人</w:t>
      </w:r>
      <w:r>
        <w:rPr>
          <w:rFonts w:hint="eastAsia" w:ascii="宋体" w:hAnsi="宋体" w:cs="宋体"/>
          <w:color w:val="auto"/>
          <w:sz w:val="21"/>
          <w:szCs w:val="21"/>
          <w:highlight w:val="none"/>
          <w:lang w:eastAsia="zh-CN"/>
        </w:rPr>
        <w:t>须无条件配合采购人到其生产加工现场就拟投入本项目有关的人员、设备、原材料采购、原料品牌、品质、型号、加工生产工艺流程、半成品，以及成品打包前质量、材质、款式等进行监督和检查；</w:t>
      </w:r>
      <w:r>
        <w:rPr>
          <w:rFonts w:hint="eastAsia" w:hAnsi="宋体" w:cs="宋体"/>
          <w:color w:val="auto"/>
          <w:sz w:val="21"/>
          <w:szCs w:val="21"/>
          <w:highlight w:val="none"/>
          <w:lang w:eastAsia="zh-CN"/>
        </w:rPr>
        <w:t>成交人</w:t>
      </w:r>
      <w:r>
        <w:rPr>
          <w:rFonts w:hint="eastAsia" w:ascii="宋体" w:hAnsi="宋体" w:cs="宋体"/>
          <w:color w:val="auto"/>
          <w:sz w:val="21"/>
          <w:szCs w:val="21"/>
          <w:highlight w:val="none"/>
          <w:lang w:eastAsia="zh-CN"/>
        </w:rPr>
        <w:t>须按采购人要求提交原材料采购的原始检验证、环保证、合格证等合法手续凭证，以得到采购人的监督和认可。</w:t>
      </w:r>
    </w:p>
    <w:p>
      <w:pPr>
        <w:keepNext w:val="0"/>
        <w:keepLines w:val="0"/>
        <w:pageBreakBefore w:val="0"/>
        <w:kinsoku/>
        <w:wordWrap/>
        <w:overflowPunct/>
        <w:topLinePunct w:val="0"/>
        <w:bidi w:val="0"/>
        <w:snapToGrid/>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r>
        <w:rPr>
          <w:rFonts w:hint="eastAsia" w:hAnsi="宋体" w:cs="宋体"/>
          <w:color w:val="auto"/>
          <w:sz w:val="21"/>
          <w:szCs w:val="21"/>
          <w:highlight w:val="none"/>
          <w:lang w:eastAsia="zh-CN"/>
        </w:rPr>
        <w:t>供应商</w:t>
      </w:r>
      <w:r>
        <w:rPr>
          <w:rFonts w:hint="eastAsia" w:ascii="宋体" w:hAnsi="宋体" w:cs="宋体"/>
          <w:color w:val="auto"/>
          <w:sz w:val="21"/>
          <w:szCs w:val="21"/>
          <w:highlight w:val="none"/>
          <w:lang w:eastAsia="zh-CN"/>
        </w:rPr>
        <w:t>应保证货物在不需要增配未列出配件（特别指出的除外）的前提下货物功能、技术标准能够达到招标文件的要求，而无须再增配未列出的配件；如</w:t>
      </w:r>
      <w:r>
        <w:rPr>
          <w:rFonts w:hint="eastAsia" w:hAnsi="宋体" w:cs="宋体"/>
          <w:color w:val="auto"/>
          <w:sz w:val="21"/>
          <w:szCs w:val="21"/>
          <w:highlight w:val="none"/>
          <w:lang w:eastAsia="zh-CN"/>
        </w:rPr>
        <w:t>供应商</w:t>
      </w:r>
      <w:r>
        <w:rPr>
          <w:rFonts w:hint="eastAsia" w:ascii="宋体" w:hAnsi="宋体" w:cs="宋体"/>
          <w:color w:val="auto"/>
          <w:sz w:val="21"/>
          <w:szCs w:val="21"/>
          <w:highlight w:val="none"/>
          <w:lang w:eastAsia="zh-CN"/>
        </w:rPr>
        <w:t>所提供的产品需要增配配件才能达到要求的，所增配的配件须由供应商免费提供，如配电管线、电源转接电箱、控制开关等。</w:t>
      </w:r>
    </w:p>
    <w:p>
      <w:pPr>
        <w:keepNext w:val="0"/>
        <w:keepLines w:val="0"/>
        <w:pageBreakBefore w:val="0"/>
        <w:kinsoku/>
        <w:wordWrap/>
        <w:overflowPunct/>
        <w:topLinePunct w:val="0"/>
        <w:bidi w:val="0"/>
        <w:snapToGrid/>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6、货物在验收合格前的保险由</w:t>
      </w:r>
      <w:r>
        <w:rPr>
          <w:rFonts w:hint="eastAsia" w:hAnsi="宋体" w:cs="宋体"/>
          <w:color w:val="auto"/>
          <w:sz w:val="21"/>
          <w:szCs w:val="21"/>
          <w:highlight w:val="none"/>
          <w:lang w:eastAsia="zh-CN"/>
        </w:rPr>
        <w:t>供应商</w:t>
      </w:r>
      <w:r>
        <w:rPr>
          <w:rFonts w:hint="eastAsia" w:ascii="宋体" w:hAnsi="宋体" w:cs="宋体"/>
          <w:color w:val="auto"/>
          <w:sz w:val="21"/>
          <w:szCs w:val="21"/>
          <w:highlight w:val="none"/>
          <w:lang w:eastAsia="zh-CN"/>
        </w:rPr>
        <w:t>负责，且</w:t>
      </w:r>
      <w:r>
        <w:rPr>
          <w:rFonts w:hint="eastAsia" w:hAnsi="宋体" w:cs="宋体"/>
          <w:color w:val="auto"/>
          <w:sz w:val="21"/>
          <w:szCs w:val="21"/>
          <w:highlight w:val="none"/>
          <w:lang w:eastAsia="zh-CN"/>
        </w:rPr>
        <w:t>供应商</w:t>
      </w:r>
      <w:r>
        <w:rPr>
          <w:rFonts w:hint="eastAsia" w:ascii="宋体" w:hAnsi="宋体" w:cs="宋体"/>
          <w:color w:val="auto"/>
          <w:sz w:val="21"/>
          <w:szCs w:val="21"/>
          <w:highlight w:val="none"/>
          <w:lang w:eastAsia="zh-CN"/>
        </w:rPr>
        <w:t>负责其派出的现场服务人员人身意外保险。</w:t>
      </w:r>
    </w:p>
    <w:p>
      <w:pPr>
        <w:keepNext w:val="0"/>
        <w:keepLines w:val="0"/>
        <w:pageBreakBefore w:val="0"/>
        <w:kinsoku/>
        <w:wordWrap/>
        <w:overflowPunct/>
        <w:topLinePunct w:val="0"/>
        <w:bidi w:val="0"/>
        <w:snapToGrid/>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w:t>
      </w:r>
      <w:r>
        <w:rPr>
          <w:rFonts w:hint="eastAsia" w:hAnsi="宋体" w:cs="宋体"/>
          <w:color w:val="auto"/>
          <w:sz w:val="21"/>
          <w:szCs w:val="21"/>
          <w:highlight w:val="none"/>
          <w:lang w:eastAsia="zh-CN"/>
        </w:rPr>
        <w:t>成交人</w:t>
      </w:r>
      <w:r>
        <w:rPr>
          <w:rFonts w:hint="eastAsia" w:ascii="宋体" w:hAnsi="宋体" w:cs="宋体"/>
          <w:color w:val="auto"/>
          <w:sz w:val="21"/>
          <w:szCs w:val="21"/>
          <w:highlight w:val="none"/>
          <w:lang w:eastAsia="zh-CN"/>
        </w:rPr>
        <w:t>应对采购人提供免费培训服务。</w:t>
      </w:r>
    </w:p>
    <w:p>
      <w:pPr>
        <w:pStyle w:val="75"/>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textAlignment w:val="auto"/>
        <w:outlineLvl w:val="1"/>
        <w:rPr>
          <w:rFonts w:hint="eastAsia" w:ascii="宋体" w:eastAsia="宋体" w:cs="宋体"/>
          <w:color w:val="auto"/>
          <w:sz w:val="21"/>
          <w:szCs w:val="21"/>
          <w:highlight w:val="none"/>
        </w:rPr>
      </w:pPr>
      <w:r>
        <w:rPr>
          <w:rFonts w:hint="eastAsia" w:ascii="宋体" w:eastAsia="宋体" w:cs="宋体"/>
          <w:b/>
          <w:bCs/>
          <w:color w:val="auto"/>
          <w:sz w:val="21"/>
          <w:szCs w:val="21"/>
          <w:highlight w:val="none"/>
          <w:lang w:eastAsia="zh-CN"/>
        </w:rPr>
        <w:t>三</w:t>
      </w:r>
      <w:r>
        <w:rPr>
          <w:rFonts w:hint="eastAsia" w:ascii="宋体" w:eastAsia="宋体" w:cs="宋体"/>
          <w:b/>
          <w:bCs/>
          <w:color w:val="auto"/>
          <w:sz w:val="21"/>
          <w:szCs w:val="21"/>
          <w:highlight w:val="none"/>
        </w:rPr>
        <w:t>、包装、运输、保管及保险</w:t>
      </w:r>
    </w:p>
    <w:p>
      <w:pPr>
        <w:keepNext w:val="0"/>
        <w:keepLines w:val="0"/>
        <w:pageBreakBefore w:val="0"/>
        <w:kinsoku/>
        <w:wordWrap/>
        <w:overflowPunct/>
        <w:topLinePunct w:val="0"/>
        <w:bidi w:val="0"/>
        <w:snapToGrid/>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1、由</w:t>
      </w:r>
      <w:r>
        <w:rPr>
          <w:rFonts w:hint="eastAsia" w:hAnsi="宋体" w:cs="宋体"/>
          <w:color w:val="auto"/>
          <w:sz w:val="21"/>
          <w:szCs w:val="21"/>
          <w:highlight w:val="none"/>
          <w:lang w:eastAsia="zh-CN"/>
        </w:rPr>
        <w:t>成交人</w:t>
      </w:r>
      <w:r>
        <w:rPr>
          <w:rFonts w:hint="eastAsia" w:ascii="宋体" w:hAnsi="宋体" w:cs="宋体"/>
          <w:color w:val="auto"/>
          <w:sz w:val="21"/>
          <w:szCs w:val="21"/>
          <w:highlight w:val="none"/>
        </w:rPr>
        <w:t>负责按国家相关标准进行货物包装且包装为制造商原厂包装，货物的包装均应有良好的防湿、防锈、防潮、防雨、防腐及防碰撞的措施。凡由于包装不良造成的损失和由此产生的费用均由</w:t>
      </w:r>
      <w:r>
        <w:rPr>
          <w:rFonts w:hint="eastAsia" w:hAnsi="宋体" w:cs="宋体"/>
          <w:color w:val="auto"/>
          <w:sz w:val="21"/>
          <w:szCs w:val="21"/>
          <w:highlight w:val="none"/>
          <w:lang w:eastAsia="zh-CN"/>
        </w:rPr>
        <w:t>成交人</w:t>
      </w:r>
      <w:r>
        <w:rPr>
          <w:rFonts w:hint="eastAsia" w:ascii="宋体" w:hAnsi="宋体" w:cs="宋体"/>
          <w:color w:val="auto"/>
          <w:sz w:val="21"/>
          <w:szCs w:val="21"/>
          <w:highlight w:val="none"/>
        </w:rPr>
        <w:t>承担。</w:t>
      </w:r>
    </w:p>
    <w:p>
      <w:pPr>
        <w:keepNext w:val="0"/>
        <w:keepLines w:val="0"/>
        <w:pageBreakBefore w:val="0"/>
        <w:kinsoku/>
        <w:wordWrap/>
        <w:overflowPunct/>
        <w:topLinePunct w:val="0"/>
        <w:bidi w:val="0"/>
        <w:snapToGrid/>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hAnsi="宋体" w:cs="宋体"/>
          <w:color w:val="auto"/>
          <w:sz w:val="21"/>
          <w:szCs w:val="21"/>
          <w:highlight w:val="none"/>
          <w:lang w:eastAsia="zh-CN"/>
        </w:rPr>
        <w:t>成交人</w:t>
      </w:r>
      <w:r>
        <w:rPr>
          <w:rFonts w:hint="eastAsia" w:ascii="宋体" w:hAnsi="宋体" w:cs="宋体"/>
          <w:color w:val="auto"/>
          <w:sz w:val="21"/>
          <w:szCs w:val="21"/>
          <w:highlight w:val="none"/>
        </w:rPr>
        <w:t>负责将货物材料运到现场过程中的全部运输费用，包括装卸车、货物现场的搬运。</w:t>
      </w:r>
    </w:p>
    <w:p>
      <w:pPr>
        <w:keepNext w:val="0"/>
        <w:keepLines w:val="0"/>
        <w:pageBreakBefore w:val="0"/>
        <w:kinsoku/>
        <w:wordWrap/>
        <w:overflowPunct/>
        <w:topLinePunct w:val="0"/>
        <w:bidi w:val="0"/>
        <w:snapToGrid/>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3、各种货物，提供装箱清单，按装箱清单验收货物。</w:t>
      </w:r>
    </w:p>
    <w:p>
      <w:pPr>
        <w:keepNext w:val="0"/>
        <w:keepLines w:val="0"/>
        <w:pageBreakBefore w:val="0"/>
        <w:widowControl/>
        <w:kinsoku/>
        <w:wordWrap/>
        <w:overflowPunct/>
        <w:topLinePunct w:val="0"/>
        <w:autoSpaceDE w:val="0"/>
        <w:autoSpaceDN w:val="0"/>
        <w:bidi w:val="0"/>
        <w:snapToGrid/>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4、货物在安装调试验收合格前的保险由</w:t>
      </w:r>
      <w:r>
        <w:rPr>
          <w:rFonts w:hint="eastAsia" w:hAnsi="宋体" w:cs="宋体"/>
          <w:color w:val="auto"/>
          <w:sz w:val="21"/>
          <w:szCs w:val="21"/>
          <w:highlight w:val="none"/>
          <w:lang w:eastAsia="zh-CN"/>
        </w:rPr>
        <w:t>成交人</w:t>
      </w:r>
      <w:r>
        <w:rPr>
          <w:rFonts w:hint="eastAsia" w:ascii="宋体" w:hAnsi="宋体" w:cs="宋体"/>
          <w:color w:val="auto"/>
          <w:sz w:val="21"/>
          <w:szCs w:val="21"/>
          <w:highlight w:val="none"/>
        </w:rPr>
        <w:t>负责，</w:t>
      </w:r>
      <w:r>
        <w:rPr>
          <w:rFonts w:hint="eastAsia" w:hAnsi="宋体" w:cs="宋体"/>
          <w:color w:val="auto"/>
          <w:sz w:val="21"/>
          <w:szCs w:val="21"/>
          <w:highlight w:val="none"/>
          <w:lang w:eastAsia="zh-CN"/>
        </w:rPr>
        <w:t>成交人</w:t>
      </w:r>
      <w:r>
        <w:rPr>
          <w:rFonts w:hint="eastAsia" w:ascii="宋体" w:hAnsi="宋体" w:cs="宋体"/>
          <w:color w:val="auto"/>
          <w:sz w:val="21"/>
          <w:szCs w:val="21"/>
          <w:highlight w:val="none"/>
        </w:rPr>
        <w:t>负责其派出的现场服务人员人身意外保险。</w:t>
      </w:r>
    </w:p>
    <w:p>
      <w:pPr>
        <w:keepNext w:val="0"/>
        <w:keepLines w:val="0"/>
        <w:pageBreakBefore w:val="0"/>
        <w:widowControl/>
        <w:tabs>
          <w:tab w:val="left" w:pos="720"/>
        </w:tabs>
        <w:kinsoku/>
        <w:wordWrap/>
        <w:overflowPunct/>
        <w:topLinePunct w:val="0"/>
        <w:bidi w:val="0"/>
        <w:snapToGrid/>
        <w:spacing w:line="360" w:lineRule="auto"/>
        <w:ind w:firstLine="420" w:firstLineChars="200"/>
        <w:rPr>
          <w:rFonts w:hint="eastAsia" w:ascii="宋体" w:hAnsi="宋体" w:cs="宋体"/>
          <w:b/>
          <w:color w:val="auto"/>
          <w:sz w:val="21"/>
          <w:szCs w:val="21"/>
          <w:highlight w:val="none"/>
          <w:lang w:bidi="ar"/>
        </w:rPr>
      </w:pPr>
      <w:r>
        <w:rPr>
          <w:rFonts w:hint="eastAsia" w:ascii="宋体" w:hAnsi="宋体" w:cs="宋体"/>
          <w:color w:val="auto"/>
          <w:sz w:val="21"/>
          <w:szCs w:val="21"/>
          <w:highlight w:val="none"/>
        </w:rPr>
        <w:t>5、货物在验收合格前的保管由</w:t>
      </w:r>
      <w:r>
        <w:rPr>
          <w:rFonts w:hint="eastAsia" w:hAnsi="宋体" w:cs="宋体"/>
          <w:color w:val="auto"/>
          <w:sz w:val="21"/>
          <w:szCs w:val="21"/>
          <w:highlight w:val="none"/>
          <w:lang w:eastAsia="zh-CN"/>
        </w:rPr>
        <w:t>成交人</w:t>
      </w:r>
      <w:r>
        <w:rPr>
          <w:rFonts w:hint="eastAsia" w:ascii="宋体" w:hAnsi="宋体" w:cs="宋体"/>
          <w:color w:val="auto"/>
          <w:sz w:val="21"/>
          <w:szCs w:val="21"/>
          <w:highlight w:val="none"/>
        </w:rPr>
        <w:t>负责。</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outlineLvl w:val="1"/>
        <w:rPr>
          <w:rFonts w:hint="eastAsia" w:ascii="宋体" w:hAnsi="宋体" w:cs="宋体"/>
          <w:b/>
          <w:color w:val="auto"/>
          <w:sz w:val="21"/>
          <w:szCs w:val="21"/>
          <w:highlight w:val="none"/>
        </w:rPr>
      </w:pPr>
      <w:r>
        <w:rPr>
          <w:rFonts w:hint="eastAsia" w:hAnsi="宋体" w:cs="宋体"/>
          <w:b/>
          <w:color w:val="auto"/>
          <w:sz w:val="21"/>
          <w:szCs w:val="21"/>
          <w:highlight w:val="none"/>
          <w:lang w:eastAsia="zh-CN" w:bidi="ar"/>
        </w:rPr>
        <w:t>四</w:t>
      </w:r>
      <w:r>
        <w:rPr>
          <w:rFonts w:hint="eastAsia" w:ascii="宋体" w:hAnsi="宋体" w:cs="宋体"/>
          <w:b/>
          <w:color w:val="auto"/>
          <w:sz w:val="21"/>
          <w:szCs w:val="21"/>
          <w:highlight w:val="none"/>
          <w:lang w:bidi="ar"/>
        </w:rPr>
        <w:t>、安装、调试</w:t>
      </w:r>
    </w:p>
    <w:p>
      <w:pPr>
        <w:keepNext w:val="0"/>
        <w:keepLines w:val="0"/>
        <w:pageBreakBefore w:val="0"/>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lang w:eastAsia="zh-CN"/>
        </w:rPr>
        <w:t>供应商</w:t>
      </w:r>
      <w:r>
        <w:rPr>
          <w:rFonts w:hint="eastAsia" w:hAnsi="宋体"/>
          <w:color w:val="auto"/>
          <w:sz w:val="21"/>
          <w:szCs w:val="21"/>
          <w:highlight w:val="none"/>
        </w:rPr>
        <w:t>负责货物的包装、运输、安装、调试</w:t>
      </w:r>
      <w:r>
        <w:rPr>
          <w:rFonts w:hint="eastAsia" w:hAnsi="宋体"/>
          <w:color w:val="auto"/>
          <w:sz w:val="21"/>
          <w:szCs w:val="21"/>
          <w:highlight w:val="none"/>
          <w:lang w:eastAsia="zh-CN"/>
        </w:rPr>
        <w:t>、用电、用水</w:t>
      </w:r>
      <w:r>
        <w:rPr>
          <w:rFonts w:hint="eastAsia" w:hAnsi="宋体"/>
          <w:color w:val="auto"/>
          <w:sz w:val="21"/>
          <w:szCs w:val="21"/>
          <w:highlight w:val="none"/>
        </w:rPr>
        <w:t>等工作，并承担由此产生的所有费用，</w:t>
      </w:r>
      <w:r>
        <w:rPr>
          <w:rFonts w:hint="eastAsia" w:hAnsi="宋体"/>
          <w:color w:val="auto"/>
          <w:sz w:val="21"/>
          <w:szCs w:val="21"/>
          <w:highlight w:val="none"/>
          <w:lang w:eastAsia="zh-CN"/>
        </w:rPr>
        <w:t>成交人</w:t>
      </w:r>
      <w:r>
        <w:rPr>
          <w:rFonts w:hint="eastAsia" w:hAnsi="宋体"/>
          <w:color w:val="auto"/>
          <w:sz w:val="21"/>
          <w:szCs w:val="21"/>
          <w:highlight w:val="none"/>
        </w:rPr>
        <w:t>负责到用户指定的地点进行安装、调试。</w:t>
      </w:r>
    </w:p>
    <w:p>
      <w:pPr>
        <w:keepNext w:val="0"/>
        <w:keepLines w:val="0"/>
        <w:pageBreakBefore w:val="0"/>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lang w:eastAsia="zh-CN"/>
        </w:rPr>
        <w:t>成交人</w:t>
      </w:r>
      <w:r>
        <w:rPr>
          <w:rFonts w:hint="eastAsia" w:hAnsi="宋体"/>
          <w:color w:val="auto"/>
          <w:sz w:val="21"/>
          <w:szCs w:val="21"/>
          <w:highlight w:val="none"/>
        </w:rPr>
        <w:t>应提交详细安装进度表。</w:t>
      </w:r>
    </w:p>
    <w:p>
      <w:pPr>
        <w:keepNext w:val="0"/>
        <w:keepLines w:val="0"/>
        <w:pageBreakBefore w:val="0"/>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eastAsia="zh-CN"/>
        </w:rPr>
        <w:t>成交人</w:t>
      </w:r>
      <w:r>
        <w:rPr>
          <w:rFonts w:hint="eastAsia" w:hAnsi="宋体"/>
          <w:color w:val="auto"/>
          <w:sz w:val="21"/>
          <w:szCs w:val="21"/>
          <w:highlight w:val="none"/>
        </w:rPr>
        <w:t>应设安装负责人，负责安装协调管理工作。</w:t>
      </w:r>
    </w:p>
    <w:p>
      <w:pPr>
        <w:keepNext w:val="0"/>
        <w:keepLines w:val="0"/>
        <w:pageBreakBefore w:val="0"/>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4、按国家相关施工验收规范进行，分阶段进行调试。</w:t>
      </w:r>
    </w:p>
    <w:p>
      <w:pPr>
        <w:keepNext w:val="0"/>
        <w:keepLines w:val="0"/>
        <w:pageBreakBefore w:val="0"/>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5、货物的安装、调试等项工作由</w:t>
      </w:r>
      <w:r>
        <w:rPr>
          <w:rFonts w:hint="eastAsia" w:hAnsi="宋体"/>
          <w:color w:val="auto"/>
          <w:sz w:val="21"/>
          <w:szCs w:val="21"/>
          <w:highlight w:val="none"/>
          <w:lang w:eastAsia="zh-CN"/>
        </w:rPr>
        <w:t>成交人</w:t>
      </w:r>
      <w:r>
        <w:rPr>
          <w:rFonts w:hint="eastAsia" w:hAnsi="宋体"/>
          <w:color w:val="auto"/>
          <w:sz w:val="21"/>
          <w:szCs w:val="21"/>
          <w:highlight w:val="none"/>
        </w:rPr>
        <w:t>负责，但必须在采购人指定人员的参与下进行。调试的原始记录须经各方签字后作为验收的文件之一。</w:t>
      </w:r>
    </w:p>
    <w:p>
      <w:pPr>
        <w:keepNext w:val="0"/>
        <w:keepLines w:val="0"/>
        <w:pageBreakBefore w:val="0"/>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6、</w:t>
      </w:r>
      <w:r>
        <w:rPr>
          <w:rFonts w:hint="eastAsia" w:hAnsi="宋体"/>
          <w:color w:val="auto"/>
          <w:sz w:val="21"/>
          <w:szCs w:val="21"/>
          <w:highlight w:val="none"/>
          <w:lang w:eastAsia="zh-CN"/>
        </w:rPr>
        <w:t>货物</w:t>
      </w:r>
      <w:r>
        <w:rPr>
          <w:rFonts w:hint="eastAsia" w:hAnsi="宋体"/>
          <w:color w:val="auto"/>
          <w:sz w:val="21"/>
          <w:szCs w:val="21"/>
          <w:highlight w:val="none"/>
        </w:rPr>
        <w:t>开始安装后，</w:t>
      </w:r>
      <w:r>
        <w:rPr>
          <w:rFonts w:hint="eastAsia" w:hAnsi="宋体"/>
          <w:color w:val="auto"/>
          <w:sz w:val="21"/>
          <w:szCs w:val="21"/>
          <w:highlight w:val="none"/>
          <w:lang w:eastAsia="zh-CN"/>
        </w:rPr>
        <w:t>采购人</w:t>
      </w:r>
      <w:r>
        <w:rPr>
          <w:rFonts w:hint="eastAsia" w:hAnsi="宋体"/>
          <w:color w:val="auto"/>
          <w:sz w:val="21"/>
          <w:szCs w:val="21"/>
          <w:highlight w:val="none"/>
        </w:rPr>
        <w:t>可以抽样到</w:t>
      </w:r>
      <w:r>
        <w:rPr>
          <w:rFonts w:hint="eastAsia" w:hAnsi="宋体"/>
          <w:color w:val="auto"/>
          <w:sz w:val="21"/>
          <w:szCs w:val="21"/>
          <w:highlight w:val="none"/>
          <w:lang w:eastAsia="zh-CN"/>
        </w:rPr>
        <w:t>市</w:t>
      </w:r>
      <w:r>
        <w:rPr>
          <w:rFonts w:hint="eastAsia" w:hAnsi="宋体"/>
          <w:color w:val="auto"/>
          <w:sz w:val="21"/>
          <w:szCs w:val="21"/>
          <w:highlight w:val="none"/>
        </w:rPr>
        <w:t>级以上专业部门进行环保检测，如果产品及格则进行验收，如果不及格</w:t>
      </w:r>
      <w:r>
        <w:rPr>
          <w:rFonts w:hint="eastAsia" w:hAnsi="宋体"/>
          <w:color w:val="auto"/>
          <w:sz w:val="21"/>
          <w:szCs w:val="21"/>
          <w:highlight w:val="none"/>
          <w:lang w:eastAsia="zh-CN"/>
        </w:rPr>
        <w:t>采购人</w:t>
      </w:r>
      <w:r>
        <w:rPr>
          <w:rFonts w:hint="eastAsia" w:hAnsi="宋体"/>
          <w:color w:val="auto"/>
          <w:sz w:val="21"/>
          <w:szCs w:val="21"/>
          <w:highlight w:val="none"/>
        </w:rPr>
        <w:t>有权</w:t>
      </w:r>
      <w:r>
        <w:rPr>
          <w:rFonts w:hint="eastAsia" w:hAnsi="宋体"/>
          <w:color w:val="auto"/>
          <w:sz w:val="21"/>
          <w:szCs w:val="21"/>
          <w:highlight w:val="none"/>
          <w:lang w:val="en-US" w:eastAsia="zh-CN"/>
        </w:rPr>
        <w:t>要求退回或更换</w:t>
      </w:r>
      <w:r>
        <w:rPr>
          <w:rFonts w:hint="eastAsia" w:hAnsi="宋体"/>
          <w:color w:val="auto"/>
          <w:sz w:val="21"/>
          <w:szCs w:val="21"/>
          <w:highlight w:val="none"/>
        </w:rPr>
        <w:t>。（抽样费用由</w:t>
      </w:r>
      <w:r>
        <w:rPr>
          <w:rFonts w:hint="eastAsia" w:hAnsi="宋体"/>
          <w:color w:val="auto"/>
          <w:sz w:val="21"/>
          <w:szCs w:val="21"/>
          <w:highlight w:val="none"/>
          <w:lang w:eastAsia="zh-CN"/>
        </w:rPr>
        <w:t>成交人</w:t>
      </w:r>
      <w:r>
        <w:rPr>
          <w:rFonts w:hint="eastAsia" w:hAnsi="宋体"/>
          <w:color w:val="auto"/>
          <w:sz w:val="21"/>
          <w:szCs w:val="21"/>
          <w:highlight w:val="none"/>
        </w:rPr>
        <w:t>承担。）</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outlineLvl w:val="1"/>
        <w:rPr>
          <w:rFonts w:hint="eastAsia" w:hAnsi="宋体" w:cs="宋体"/>
          <w:b/>
          <w:color w:val="auto"/>
          <w:sz w:val="21"/>
          <w:szCs w:val="21"/>
          <w:highlight w:val="none"/>
          <w:lang w:eastAsia="zh-CN" w:bidi="ar"/>
        </w:rPr>
      </w:pPr>
      <w:r>
        <w:rPr>
          <w:rFonts w:hint="eastAsia" w:hAnsi="宋体" w:cs="宋体"/>
          <w:b/>
          <w:color w:val="auto"/>
          <w:sz w:val="21"/>
          <w:szCs w:val="21"/>
          <w:highlight w:val="none"/>
          <w:lang w:eastAsia="zh-CN" w:bidi="ar"/>
        </w:rPr>
        <w:t>五、验收</w:t>
      </w:r>
    </w:p>
    <w:p>
      <w:pPr>
        <w:keepNext w:val="0"/>
        <w:keepLines w:val="0"/>
        <w:pageBreakBefore w:val="0"/>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1、验收工作由采购人（或采购人指定的单位）和</w:t>
      </w:r>
      <w:r>
        <w:rPr>
          <w:rFonts w:hint="eastAsia" w:hAnsi="宋体"/>
          <w:color w:val="auto"/>
          <w:sz w:val="21"/>
          <w:szCs w:val="21"/>
          <w:highlight w:val="none"/>
          <w:lang w:eastAsia="zh-CN"/>
        </w:rPr>
        <w:t>成交人</w:t>
      </w:r>
      <w:r>
        <w:rPr>
          <w:rFonts w:hint="eastAsia" w:hAnsi="宋体"/>
          <w:color w:val="auto"/>
          <w:sz w:val="21"/>
          <w:szCs w:val="21"/>
          <w:highlight w:val="none"/>
        </w:rPr>
        <w:t>共同进行。</w:t>
      </w:r>
    </w:p>
    <w:p>
      <w:pPr>
        <w:keepNext w:val="0"/>
        <w:keepLines w:val="0"/>
        <w:pageBreakBefore w:val="0"/>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2、验收的项目指标、方法和检测仪器等原则上由</w:t>
      </w:r>
      <w:r>
        <w:rPr>
          <w:rFonts w:hint="eastAsia" w:hAnsi="宋体"/>
          <w:color w:val="auto"/>
          <w:sz w:val="21"/>
          <w:szCs w:val="21"/>
          <w:highlight w:val="none"/>
          <w:lang w:eastAsia="zh-CN"/>
        </w:rPr>
        <w:t>成交人</w:t>
      </w:r>
      <w:r>
        <w:rPr>
          <w:rFonts w:hint="eastAsia" w:hAnsi="宋体"/>
          <w:color w:val="auto"/>
          <w:sz w:val="21"/>
          <w:szCs w:val="21"/>
          <w:highlight w:val="none"/>
        </w:rPr>
        <w:t>在验收开始前5个工作日提交采购人。采购人可以根据技术规范书和国家有关标准进行修改和补充，经双方确认后作为验收的依据。</w:t>
      </w:r>
    </w:p>
    <w:p>
      <w:pPr>
        <w:keepNext w:val="0"/>
        <w:keepLines w:val="0"/>
        <w:pageBreakBefore w:val="0"/>
        <w:tabs>
          <w:tab w:val="left" w:pos="360"/>
        </w:tabs>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3、验收以采购人技术人员为主，</w:t>
      </w:r>
      <w:r>
        <w:rPr>
          <w:rFonts w:hint="eastAsia" w:hAnsi="宋体"/>
          <w:color w:val="auto"/>
          <w:sz w:val="21"/>
          <w:szCs w:val="21"/>
          <w:highlight w:val="none"/>
          <w:lang w:eastAsia="zh-CN"/>
        </w:rPr>
        <w:t>供应商</w:t>
      </w:r>
      <w:r>
        <w:rPr>
          <w:rFonts w:hint="eastAsia" w:hAnsi="宋体"/>
          <w:color w:val="auto"/>
          <w:sz w:val="21"/>
          <w:szCs w:val="21"/>
          <w:highlight w:val="none"/>
        </w:rPr>
        <w:t>提供技术支援，对在测试中发现的技术问题双方记录，完成测试后，双方签署终验测试报告。</w:t>
      </w:r>
    </w:p>
    <w:p>
      <w:pPr>
        <w:keepNext w:val="0"/>
        <w:keepLines w:val="0"/>
        <w:pageBreakBefore w:val="0"/>
        <w:tabs>
          <w:tab w:val="left" w:pos="360"/>
        </w:tabs>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4、在验收时，</w:t>
      </w:r>
      <w:r>
        <w:rPr>
          <w:rFonts w:hint="eastAsia" w:hAnsi="宋体"/>
          <w:color w:val="auto"/>
          <w:sz w:val="21"/>
          <w:szCs w:val="21"/>
          <w:highlight w:val="none"/>
          <w:lang w:eastAsia="zh-CN"/>
        </w:rPr>
        <w:t>成交人</w:t>
      </w:r>
      <w:r>
        <w:rPr>
          <w:rFonts w:hint="eastAsia" w:hAnsi="宋体"/>
          <w:color w:val="auto"/>
          <w:sz w:val="21"/>
          <w:szCs w:val="21"/>
          <w:highlight w:val="none"/>
        </w:rPr>
        <w:t>应向采购人提供货物的出厂合格证书、出厂检测报告、厂家装箱清单、使用说明、操作手册、随机附件及其他相关资料。</w:t>
      </w:r>
    </w:p>
    <w:p>
      <w:pPr>
        <w:keepNext w:val="0"/>
        <w:keepLines w:val="0"/>
        <w:pageBreakBefore w:val="0"/>
        <w:kinsoku/>
        <w:wordWrap/>
        <w:overflowPunct/>
        <w:topLinePunct w:val="0"/>
        <w:bidi w:val="0"/>
        <w:snapToGrid/>
        <w:spacing w:line="360" w:lineRule="auto"/>
        <w:ind w:firstLine="420" w:firstLineChars="200"/>
        <w:rPr>
          <w:rFonts w:hint="eastAsia"/>
          <w:color w:val="auto"/>
          <w:sz w:val="21"/>
          <w:szCs w:val="21"/>
          <w:highlight w:val="none"/>
          <w:lang w:eastAsia="zh-CN"/>
        </w:rPr>
      </w:pPr>
      <w:r>
        <w:rPr>
          <w:rFonts w:hint="eastAsia" w:hAnsi="宋体"/>
          <w:color w:val="auto"/>
          <w:sz w:val="21"/>
          <w:szCs w:val="21"/>
          <w:highlight w:val="none"/>
        </w:rPr>
        <w:t>5、 由采购人对货物的质量、规格、数量和运行状况及其他进行检验。如发现质量、规格、数量和运行状况等任何一项与招标要求规定不符，采购人有权拒绝验收。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outlineLvl w:val="1"/>
        <w:rPr>
          <w:rFonts w:hint="eastAsia" w:ascii="宋体" w:hAnsi="宋体" w:cs="宋体"/>
          <w:b/>
          <w:color w:val="auto"/>
          <w:sz w:val="21"/>
          <w:szCs w:val="21"/>
          <w:highlight w:val="none"/>
        </w:rPr>
      </w:pPr>
      <w:r>
        <w:rPr>
          <w:rFonts w:hint="eastAsia" w:hAnsi="宋体" w:cs="宋体"/>
          <w:b/>
          <w:color w:val="auto"/>
          <w:sz w:val="21"/>
          <w:szCs w:val="21"/>
          <w:highlight w:val="none"/>
          <w:lang w:eastAsia="zh-CN" w:bidi="ar"/>
        </w:rPr>
        <w:t>六</w:t>
      </w:r>
      <w:r>
        <w:rPr>
          <w:rFonts w:hint="eastAsia" w:ascii="宋体" w:hAnsi="宋体" w:cs="宋体"/>
          <w:b/>
          <w:color w:val="auto"/>
          <w:sz w:val="21"/>
          <w:szCs w:val="21"/>
          <w:highlight w:val="none"/>
          <w:lang w:bidi="ar"/>
        </w:rPr>
        <w:t>、质量保证</w:t>
      </w:r>
    </w:p>
    <w:p>
      <w:pPr>
        <w:keepNext w:val="0"/>
        <w:keepLines w:val="0"/>
        <w:pageBreakBefore w:val="0"/>
        <w:tabs>
          <w:tab w:val="left" w:pos="360"/>
        </w:tabs>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lang w:eastAsia="zh-CN"/>
        </w:rPr>
        <w:t>供应商</w:t>
      </w:r>
      <w:r>
        <w:rPr>
          <w:rFonts w:hint="eastAsia" w:hAnsi="宋体"/>
          <w:color w:val="auto"/>
          <w:sz w:val="21"/>
          <w:szCs w:val="21"/>
          <w:highlight w:val="none"/>
        </w:rPr>
        <w:t>所投货物必须是原装、全新的产品，并且符合国家以及该产品的出厂标准。</w:t>
      </w:r>
    </w:p>
    <w:p>
      <w:pPr>
        <w:keepNext w:val="0"/>
        <w:keepLines w:val="0"/>
        <w:pageBreakBefore w:val="0"/>
        <w:tabs>
          <w:tab w:val="left" w:pos="360"/>
        </w:tabs>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lang w:eastAsia="zh-CN"/>
        </w:rPr>
        <w:t>供应商</w:t>
      </w:r>
      <w:r>
        <w:rPr>
          <w:rFonts w:hint="eastAsia" w:hAnsi="宋体"/>
          <w:color w:val="auto"/>
          <w:sz w:val="21"/>
          <w:szCs w:val="21"/>
          <w:highlight w:val="none"/>
        </w:rPr>
        <w:t>所投货物必须使用环保材料并符合国家环保要求及标准。</w:t>
      </w:r>
    </w:p>
    <w:p>
      <w:pPr>
        <w:keepNext w:val="0"/>
        <w:keepLines w:val="0"/>
        <w:pageBreakBefore w:val="0"/>
        <w:tabs>
          <w:tab w:val="left" w:pos="360"/>
        </w:tabs>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3、所有货物在开箱检验时必须完好，无破损，配置与装箱单相符。数量、质量及性能不低于本需求书中提出的要求。</w:t>
      </w:r>
    </w:p>
    <w:p>
      <w:pPr>
        <w:keepNext w:val="0"/>
        <w:keepLines w:val="0"/>
        <w:pageBreakBefore w:val="0"/>
        <w:tabs>
          <w:tab w:val="left" w:pos="360"/>
        </w:tabs>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4、货物外观清洁，标记编号以及盘面显示等字体清晰，明确。</w:t>
      </w:r>
    </w:p>
    <w:p>
      <w:pPr>
        <w:keepNext w:val="0"/>
        <w:keepLines w:val="0"/>
        <w:pageBreakBefore w:val="0"/>
        <w:tabs>
          <w:tab w:val="left" w:pos="360"/>
        </w:tabs>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5、对于影响货物正常工作的必要组成部分，无论在技术规范中指出与否，</w:t>
      </w:r>
      <w:r>
        <w:rPr>
          <w:rFonts w:hint="eastAsia" w:hAnsi="宋体"/>
          <w:color w:val="auto"/>
          <w:sz w:val="21"/>
          <w:szCs w:val="21"/>
          <w:highlight w:val="none"/>
          <w:lang w:eastAsia="zh-CN"/>
        </w:rPr>
        <w:t>供应商</w:t>
      </w:r>
      <w:r>
        <w:rPr>
          <w:rFonts w:hint="eastAsia" w:hAnsi="宋体"/>
          <w:color w:val="auto"/>
          <w:sz w:val="21"/>
          <w:szCs w:val="21"/>
          <w:highlight w:val="none"/>
        </w:rPr>
        <w:t>都应提供并在投标文件中明确列出。</w:t>
      </w:r>
    </w:p>
    <w:p>
      <w:pPr>
        <w:keepNext w:val="0"/>
        <w:keepLines w:val="0"/>
        <w:pageBreakBefore w:val="0"/>
        <w:tabs>
          <w:tab w:val="left" w:pos="360"/>
        </w:tabs>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6、</w:t>
      </w:r>
      <w:r>
        <w:rPr>
          <w:rFonts w:hint="eastAsia" w:hAnsi="宋体"/>
          <w:color w:val="auto"/>
          <w:sz w:val="21"/>
          <w:szCs w:val="21"/>
          <w:highlight w:val="none"/>
          <w:lang w:eastAsia="zh-CN"/>
        </w:rPr>
        <w:t>成交人</w:t>
      </w:r>
      <w:r>
        <w:rPr>
          <w:rFonts w:hint="eastAsia" w:hAnsi="宋体"/>
          <w:color w:val="auto"/>
          <w:sz w:val="21"/>
          <w:szCs w:val="21"/>
          <w:highlight w:val="none"/>
        </w:rPr>
        <w:t>在实际供货时，若被发现提供的货物未能达到招标文件和投标文件中的有关要求，将按有关法规进行处罚。</w:t>
      </w:r>
    </w:p>
    <w:p>
      <w:pPr>
        <w:keepNext w:val="0"/>
        <w:keepLines w:val="0"/>
        <w:pageBreakBefore w:val="0"/>
        <w:tabs>
          <w:tab w:val="left" w:pos="360"/>
        </w:tabs>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7、</w:t>
      </w:r>
      <w:r>
        <w:rPr>
          <w:rFonts w:hint="eastAsia" w:hAnsi="宋体"/>
          <w:color w:val="auto"/>
          <w:sz w:val="21"/>
          <w:szCs w:val="21"/>
          <w:highlight w:val="none"/>
          <w:lang w:eastAsia="zh-CN"/>
        </w:rPr>
        <w:t>成交人</w:t>
      </w:r>
      <w:r>
        <w:rPr>
          <w:rFonts w:hint="eastAsia" w:hAnsi="宋体"/>
          <w:color w:val="auto"/>
          <w:sz w:val="21"/>
          <w:szCs w:val="21"/>
          <w:highlight w:val="none"/>
        </w:rPr>
        <w:t>应保证主要材料零部件产地符合用户需求书的有关规定，所有主要材料零部件必须能提供原产地证明、出厂检验报告、完税证明。任何时候，采购人发现产地不符合要求，</w:t>
      </w:r>
      <w:r>
        <w:rPr>
          <w:rFonts w:hint="eastAsia" w:hAnsi="宋体"/>
          <w:color w:val="auto"/>
          <w:sz w:val="21"/>
          <w:szCs w:val="21"/>
          <w:highlight w:val="none"/>
          <w:lang w:eastAsia="zh-CN"/>
        </w:rPr>
        <w:t>供应商</w:t>
      </w:r>
      <w:r>
        <w:rPr>
          <w:rFonts w:hint="eastAsia" w:hAnsi="宋体"/>
          <w:color w:val="auto"/>
          <w:sz w:val="21"/>
          <w:szCs w:val="21"/>
          <w:highlight w:val="none"/>
        </w:rPr>
        <w:t>应无偿更换或负进一步责任。</w:t>
      </w:r>
    </w:p>
    <w:p>
      <w:pPr>
        <w:keepNext w:val="0"/>
        <w:keepLines w:val="0"/>
        <w:pageBreakBefore w:val="0"/>
        <w:tabs>
          <w:tab w:val="left" w:pos="360"/>
        </w:tabs>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8、货物验收合格后，免费保修期为</w:t>
      </w:r>
      <w:r>
        <w:rPr>
          <w:rFonts w:hint="eastAsia" w:hAnsi="宋体"/>
          <w:color w:val="auto"/>
          <w:sz w:val="21"/>
          <w:szCs w:val="21"/>
          <w:highlight w:val="none"/>
          <w:lang w:val="en-US" w:eastAsia="zh-CN"/>
        </w:rPr>
        <w:t>2</w:t>
      </w:r>
      <w:r>
        <w:rPr>
          <w:rFonts w:hint="eastAsia" w:hAnsi="宋体"/>
          <w:color w:val="auto"/>
          <w:sz w:val="21"/>
          <w:szCs w:val="21"/>
          <w:highlight w:val="none"/>
        </w:rPr>
        <w:t>年，时间自货物最终验收合格并交付使用之日起计算，个别货物在采购货物清单内有具体要求保修方式的以该要求为准，人为因素损坏除外。</w:t>
      </w:r>
    </w:p>
    <w:p>
      <w:pPr>
        <w:keepNext w:val="0"/>
        <w:keepLines w:val="0"/>
        <w:pageBreakBefore w:val="0"/>
        <w:tabs>
          <w:tab w:val="left" w:pos="360"/>
        </w:tabs>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9、免费保修期内非人为原因损坏、失效或已达到报废标准的零部件除无偿更换外，对更换上的零部件还应有继续五年的免费保修期。凡因产品质量问题，在保修期内若设备经检修后又在同一部件出现相同质量故障，可无偿更换同档次新设备部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outlineLvl w:val="1"/>
        <w:rPr>
          <w:rFonts w:hint="eastAsia" w:ascii="宋体" w:hAnsi="宋体" w:eastAsia="宋体" w:cs="宋体"/>
          <w:b/>
          <w:color w:val="auto"/>
          <w:sz w:val="21"/>
          <w:szCs w:val="21"/>
          <w:highlight w:val="none"/>
          <w:lang w:eastAsia="zh-CN"/>
        </w:rPr>
      </w:pPr>
      <w:r>
        <w:rPr>
          <w:rFonts w:hint="eastAsia" w:hAnsi="宋体" w:cs="宋体"/>
          <w:b/>
          <w:color w:val="auto"/>
          <w:sz w:val="21"/>
          <w:szCs w:val="21"/>
          <w:highlight w:val="none"/>
          <w:lang w:eastAsia="zh-CN" w:bidi="ar"/>
        </w:rPr>
        <w:t>七</w:t>
      </w:r>
      <w:r>
        <w:rPr>
          <w:rFonts w:hint="eastAsia" w:ascii="宋体" w:hAnsi="宋体" w:cs="宋体"/>
          <w:b/>
          <w:color w:val="auto"/>
          <w:sz w:val="21"/>
          <w:szCs w:val="21"/>
          <w:highlight w:val="none"/>
          <w:lang w:bidi="ar"/>
        </w:rPr>
        <w:t>、</w:t>
      </w:r>
      <w:r>
        <w:rPr>
          <w:rFonts w:hint="eastAsia" w:hAnsi="宋体" w:cs="宋体"/>
          <w:b/>
          <w:color w:val="auto"/>
          <w:sz w:val="21"/>
          <w:szCs w:val="21"/>
          <w:highlight w:val="none"/>
          <w:lang w:eastAsia="zh-CN" w:bidi="ar"/>
        </w:rPr>
        <w:t>售后服务</w:t>
      </w:r>
    </w:p>
    <w:p>
      <w:pPr>
        <w:keepNext w:val="0"/>
        <w:keepLines w:val="0"/>
        <w:pageBreakBefore w:val="0"/>
        <w:tabs>
          <w:tab w:val="left" w:pos="360"/>
        </w:tabs>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1、免费保修期内：</w:t>
      </w:r>
    </w:p>
    <w:p>
      <w:pPr>
        <w:keepNext w:val="0"/>
        <w:keepLines w:val="0"/>
        <w:pageBreakBefore w:val="0"/>
        <w:tabs>
          <w:tab w:val="left" w:pos="360"/>
        </w:tabs>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lang w:val="en-US" w:eastAsia="zh-CN"/>
        </w:rPr>
        <w:t>1</w:t>
      </w:r>
      <w:r>
        <w:rPr>
          <w:rFonts w:hint="eastAsia" w:hAnsi="宋体"/>
          <w:color w:val="auto"/>
          <w:sz w:val="21"/>
          <w:szCs w:val="21"/>
          <w:highlight w:val="none"/>
          <w:lang w:eastAsia="zh-CN"/>
        </w:rPr>
        <w:t>）</w:t>
      </w:r>
      <w:r>
        <w:rPr>
          <w:rFonts w:hint="eastAsia" w:hAnsi="宋体"/>
          <w:color w:val="auto"/>
          <w:sz w:val="21"/>
          <w:szCs w:val="21"/>
          <w:highlight w:val="none"/>
        </w:rPr>
        <w:t>故障响应时间：免费保修期内，货物出现质量问题，</w:t>
      </w:r>
      <w:r>
        <w:rPr>
          <w:rFonts w:hint="eastAsia" w:hAnsi="宋体"/>
          <w:color w:val="auto"/>
          <w:sz w:val="21"/>
          <w:szCs w:val="21"/>
          <w:highlight w:val="none"/>
          <w:lang w:eastAsia="zh-CN"/>
        </w:rPr>
        <w:t>成交人</w:t>
      </w:r>
      <w:r>
        <w:rPr>
          <w:rFonts w:hint="eastAsia" w:hAnsi="宋体"/>
          <w:color w:val="auto"/>
          <w:sz w:val="21"/>
          <w:szCs w:val="21"/>
          <w:highlight w:val="none"/>
        </w:rPr>
        <w:t>接到质量问题通知后12个小时内到场处理，24个小时内修复，如无法修复须提供相应规格的货物供采购人替代使用；其他服务承诺在投标文件中说明。如</w:t>
      </w:r>
      <w:r>
        <w:rPr>
          <w:rFonts w:hint="eastAsia" w:hAnsi="宋体"/>
          <w:color w:val="auto"/>
          <w:sz w:val="21"/>
          <w:szCs w:val="21"/>
          <w:highlight w:val="none"/>
          <w:lang w:eastAsia="zh-CN"/>
        </w:rPr>
        <w:t>成交人</w:t>
      </w:r>
      <w:r>
        <w:rPr>
          <w:rFonts w:hint="eastAsia" w:hAnsi="宋体"/>
          <w:color w:val="auto"/>
          <w:sz w:val="21"/>
          <w:szCs w:val="21"/>
          <w:highlight w:val="none"/>
        </w:rPr>
        <w:t>怠于响应或不能及时维修的，</w:t>
      </w:r>
      <w:r>
        <w:rPr>
          <w:rFonts w:hint="eastAsia" w:hAnsi="宋体"/>
          <w:color w:val="auto"/>
          <w:sz w:val="21"/>
          <w:szCs w:val="21"/>
          <w:highlight w:val="none"/>
          <w:lang w:eastAsia="zh-CN"/>
        </w:rPr>
        <w:t>采购人</w:t>
      </w:r>
      <w:r>
        <w:rPr>
          <w:rFonts w:hint="eastAsia" w:hAnsi="宋体"/>
          <w:color w:val="auto"/>
          <w:sz w:val="21"/>
          <w:szCs w:val="21"/>
          <w:highlight w:val="none"/>
        </w:rPr>
        <w:t>有权委托第三方履行，产生的费用及损失一并由</w:t>
      </w:r>
      <w:r>
        <w:rPr>
          <w:rFonts w:hint="eastAsia" w:hAnsi="宋体"/>
          <w:color w:val="auto"/>
          <w:sz w:val="21"/>
          <w:szCs w:val="21"/>
          <w:highlight w:val="none"/>
          <w:lang w:eastAsia="zh-CN"/>
        </w:rPr>
        <w:t>成交人</w:t>
      </w:r>
      <w:r>
        <w:rPr>
          <w:rFonts w:hint="eastAsia" w:hAnsi="宋体"/>
          <w:color w:val="auto"/>
          <w:sz w:val="21"/>
          <w:szCs w:val="21"/>
          <w:highlight w:val="none"/>
        </w:rPr>
        <w:t>承担。</w:t>
      </w:r>
    </w:p>
    <w:p>
      <w:pPr>
        <w:keepNext w:val="0"/>
        <w:keepLines w:val="0"/>
        <w:pageBreakBefore w:val="0"/>
        <w:tabs>
          <w:tab w:val="left" w:pos="360"/>
        </w:tabs>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lang w:val="en-US" w:eastAsia="zh-CN"/>
        </w:rPr>
        <w:t>2</w:t>
      </w:r>
      <w:r>
        <w:rPr>
          <w:rFonts w:hint="eastAsia" w:hAnsi="宋体"/>
          <w:color w:val="auto"/>
          <w:sz w:val="21"/>
          <w:szCs w:val="21"/>
          <w:highlight w:val="none"/>
          <w:lang w:eastAsia="zh-CN"/>
        </w:rPr>
        <w:t>）</w:t>
      </w:r>
      <w:r>
        <w:rPr>
          <w:rFonts w:hint="eastAsia" w:hAnsi="宋体"/>
          <w:color w:val="auto"/>
          <w:sz w:val="21"/>
          <w:szCs w:val="21"/>
          <w:highlight w:val="none"/>
        </w:rPr>
        <w:t>如果货物不能稳定地达到</w:t>
      </w:r>
      <w:r>
        <w:rPr>
          <w:rFonts w:hint="eastAsia" w:hAnsi="宋体"/>
          <w:color w:val="auto"/>
          <w:sz w:val="21"/>
          <w:szCs w:val="21"/>
          <w:highlight w:val="none"/>
          <w:lang w:eastAsia="zh-CN"/>
        </w:rPr>
        <w:t>供应商</w:t>
      </w:r>
      <w:r>
        <w:rPr>
          <w:rFonts w:hint="eastAsia" w:hAnsi="宋体"/>
          <w:color w:val="auto"/>
          <w:sz w:val="21"/>
          <w:szCs w:val="21"/>
          <w:highlight w:val="none"/>
        </w:rPr>
        <w:t>承诺的全部功能，</w:t>
      </w:r>
      <w:r>
        <w:rPr>
          <w:rFonts w:hint="eastAsia" w:hAnsi="宋体"/>
          <w:color w:val="auto"/>
          <w:sz w:val="21"/>
          <w:szCs w:val="21"/>
          <w:highlight w:val="none"/>
          <w:lang w:eastAsia="zh-CN"/>
        </w:rPr>
        <w:t>供应商</w:t>
      </w:r>
      <w:r>
        <w:rPr>
          <w:rFonts w:hint="eastAsia" w:hAnsi="宋体"/>
          <w:color w:val="auto"/>
          <w:sz w:val="21"/>
          <w:szCs w:val="21"/>
          <w:highlight w:val="none"/>
        </w:rPr>
        <w:t>应对此承担责任并承担全部相关费用以及买方的直接损失，经买方同意对货物采用如下一种或几种方式处理：</w:t>
      </w:r>
      <w:r>
        <w:rPr>
          <w:rFonts w:hint="eastAsia" w:hAnsi="宋体"/>
          <w:color w:val="auto"/>
          <w:sz w:val="21"/>
          <w:szCs w:val="21"/>
          <w:highlight w:val="none"/>
          <w:lang w:eastAsia="zh-CN"/>
        </w:rPr>
        <w:t>①</w:t>
      </w:r>
      <w:r>
        <w:rPr>
          <w:rFonts w:hint="eastAsia" w:hAnsi="宋体"/>
          <w:color w:val="auto"/>
          <w:sz w:val="21"/>
          <w:szCs w:val="21"/>
          <w:highlight w:val="none"/>
        </w:rPr>
        <w:t>免费维修和更换损坏零部件；</w:t>
      </w:r>
      <w:r>
        <w:rPr>
          <w:rFonts w:hint="eastAsia" w:hAnsi="宋体"/>
          <w:color w:val="auto"/>
          <w:sz w:val="21"/>
          <w:szCs w:val="21"/>
          <w:highlight w:val="none"/>
          <w:lang w:eastAsia="zh-CN"/>
        </w:rPr>
        <w:t>②</w:t>
      </w:r>
      <w:r>
        <w:rPr>
          <w:rFonts w:hint="eastAsia" w:hAnsi="宋体"/>
          <w:color w:val="auto"/>
          <w:sz w:val="21"/>
          <w:szCs w:val="21"/>
          <w:highlight w:val="none"/>
        </w:rPr>
        <w:t>换货；</w:t>
      </w:r>
      <w:r>
        <w:rPr>
          <w:rFonts w:hint="eastAsia" w:hAnsi="宋体"/>
          <w:color w:val="auto"/>
          <w:sz w:val="21"/>
          <w:szCs w:val="21"/>
          <w:highlight w:val="none"/>
          <w:lang w:eastAsia="zh-CN"/>
        </w:rPr>
        <w:t>③</w:t>
      </w:r>
      <w:r>
        <w:rPr>
          <w:rFonts w:hint="eastAsia" w:hAnsi="宋体"/>
          <w:color w:val="auto"/>
          <w:sz w:val="21"/>
          <w:szCs w:val="21"/>
          <w:highlight w:val="none"/>
        </w:rPr>
        <w:t>降价，但不免除其它正常部分的质量保证责任。如</w:t>
      </w:r>
      <w:r>
        <w:rPr>
          <w:rFonts w:hint="eastAsia" w:hAnsi="宋体"/>
          <w:color w:val="auto"/>
          <w:sz w:val="21"/>
          <w:szCs w:val="21"/>
          <w:highlight w:val="none"/>
          <w:lang w:eastAsia="zh-CN"/>
        </w:rPr>
        <w:t>供应商</w:t>
      </w:r>
      <w:r>
        <w:rPr>
          <w:rFonts w:hint="eastAsia" w:hAnsi="宋体"/>
          <w:color w:val="auto"/>
          <w:sz w:val="21"/>
          <w:szCs w:val="21"/>
          <w:highlight w:val="none"/>
        </w:rPr>
        <w:t>未能在合理的时间内将产品维修、更换或修正以符合规格，买方有权在合理时间内将产品退回卖方后要求返还已付的价款。</w:t>
      </w:r>
    </w:p>
    <w:p>
      <w:pPr>
        <w:keepNext w:val="0"/>
        <w:keepLines w:val="0"/>
        <w:pageBreakBefore w:val="0"/>
        <w:tabs>
          <w:tab w:val="left" w:pos="360"/>
        </w:tabs>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2、免费保修期后：提供技术支持和详细的售后服务计划，</w:t>
      </w:r>
      <w:r>
        <w:rPr>
          <w:rFonts w:hint="eastAsia" w:hAnsi="宋体"/>
          <w:color w:val="auto"/>
          <w:sz w:val="21"/>
          <w:szCs w:val="21"/>
          <w:highlight w:val="none"/>
          <w:lang w:eastAsia="zh-CN"/>
        </w:rPr>
        <w:t>供应商</w:t>
      </w:r>
      <w:r>
        <w:rPr>
          <w:rFonts w:hint="eastAsia" w:hAnsi="宋体"/>
          <w:color w:val="auto"/>
          <w:sz w:val="21"/>
          <w:szCs w:val="21"/>
          <w:highlight w:val="none"/>
        </w:rPr>
        <w:t>应按其在东莞地区同类产品的最优惠价格提供保修服务，终身保证配品配件的供应，更换配件的费用以成本计。</w:t>
      </w:r>
    </w:p>
    <w:p>
      <w:pPr>
        <w:keepNext w:val="0"/>
        <w:keepLines w:val="0"/>
        <w:pageBreakBefore w:val="0"/>
        <w:tabs>
          <w:tab w:val="left" w:pos="360"/>
        </w:tabs>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3、售后服务机构：设有稳定的维修点或售后服务机构，具有提供日常维护和技术支持的能力，能提供正常的技术、备品备件、服务等；须提供服务机构名称、人员情况、办公地址、联系电话。</w:t>
      </w:r>
    </w:p>
    <w:p>
      <w:pPr>
        <w:keepNext w:val="0"/>
        <w:keepLines w:val="0"/>
        <w:pageBreakBefore w:val="0"/>
        <w:kinsoku/>
        <w:wordWrap/>
        <w:overflowPunct/>
        <w:topLinePunct w:val="0"/>
        <w:bidi w:val="0"/>
        <w:snapToGri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4、培训：负责免费对用户人员进行培训，提供详细的培训计划，使其掌握操作使用等基本技能。</w:t>
      </w:r>
    </w:p>
    <w:p>
      <w:pPr>
        <w:pStyle w:val="2"/>
        <w:keepNext w:val="0"/>
        <w:keepLines w:val="0"/>
        <w:pageBreakBefore w:val="0"/>
        <w:kinsoku/>
        <w:wordWrap/>
        <w:overflowPunct/>
        <w:topLinePunct w:val="0"/>
        <w:bidi w:val="0"/>
        <w:snapToGrid/>
        <w:spacing w:line="360" w:lineRule="auto"/>
        <w:ind w:firstLine="422" w:firstLineChars="200"/>
        <w:rPr>
          <w:rFonts w:hint="eastAsia" w:hAnsi="宋体"/>
          <w:color w:val="auto"/>
          <w:sz w:val="21"/>
          <w:szCs w:val="21"/>
          <w:highlight w:val="none"/>
          <w:lang w:eastAsia="zh-CN"/>
        </w:rPr>
        <w:sectPr>
          <w:headerReference r:id="rId8" w:type="first"/>
          <w:footerReference r:id="rId11" w:type="first"/>
          <w:headerReference r:id="rId7" w:type="default"/>
          <w:footerReference r:id="rId9" w:type="default"/>
          <w:footerReference r:id="rId10" w:type="even"/>
          <w:pgSz w:w="11907" w:h="16840"/>
          <w:pgMar w:top="1440" w:right="1134" w:bottom="1440" w:left="1134" w:header="850" w:footer="720" w:gutter="0"/>
          <w:pgBorders>
            <w:top w:val="none" w:sz="0" w:space="0"/>
            <w:left w:val="none" w:sz="0" w:space="0"/>
            <w:bottom w:val="none" w:sz="0" w:space="0"/>
            <w:right w:val="none" w:sz="0" w:space="0"/>
          </w:pgBorders>
          <w:cols w:space="720" w:num="1"/>
          <w:docGrid w:type="lines" w:linePitch="326" w:charSpace="0"/>
        </w:sectPr>
      </w:pP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hAnsi="宋体"/>
          <w:color w:val="auto"/>
          <w:sz w:val="24"/>
          <w:szCs w:val="24"/>
          <w:highlight w:val="none"/>
          <w:lang w:eastAsia="zh-CN"/>
        </w:rPr>
      </w:pPr>
      <w:r>
        <w:rPr>
          <w:rFonts w:hint="eastAsia" w:hAnsi="宋体"/>
          <w:color w:val="auto"/>
          <w:sz w:val="24"/>
          <w:szCs w:val="24"/>
          <w:highlight w:val="none"/>
          <w:lang w:eastAsia="zh-CN"/>
        </w:rPr>
        <w:t>八、货物清单</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olor w:val="auto"/>
          <w:highlight w:val="none"/>
          <w:lang w:val="en-US" w:eastAsia="zh-CN"/>
        </w:rPr>
      </w:pPr>
      <w:r>
        <w:rPr>
          <w:rFonts w:hint="eastAsia"/>
          <w:color w:val="auto"/>
          <w:highlight w:val="none"/>
          <w:lang w:eastAsia="zh-CN"/>
        </w:rPr>
        <w:t>（一）松山湖大学创新城E区创投大厦AB塔楼体标识</w:t>
      </w:r>
    </w:p>
    <w:tbl>
      <w:tblPr>
        <w:tblStyle w:val="5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8"/>
        <w:gridCol w:w="1971"/>
        <w:gridCol w:w="5878"/>
        <w:gridCol w:w="534"/>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39"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0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8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7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0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3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0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8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7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操作间</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管理用房</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男卫生间</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2.材质:侧板为15mm厚度,30mm宽度，350mm长度亚克力条，背部UV纯底色；面板为两块画面背部UV的3MM亚克力对夹，画面内容正反双面，直边侧面固定于侧板居中位置</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女卫生间</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2.材质:侧板为15mm厚度,30mm宽度，350mm长度亚克力条，背部UV纯底色；面板为两块画面背部UV的3MM亚克力对夹，画面内容正反双面，直边侧面固定于侧板居中位置</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无障碍卫生间</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2.材质:侧板为15mm厚度,30mm宽度，350mm长度亚克力条，背部UV纯底色；面板为两块画面背部UV的3MM亚克力对夹，画面内容正反双面，直边侧面固定于侧板居中位置</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三层男卫生间</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1.尺寸:17*4.8cm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三层女卫生间</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1.尺寸:17*6.8cm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三层无障碍卫生间</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1.尺寸:17*15cm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洗手间双面灯箱</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1.尺寸:90*20*10cm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储物间</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强电井</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弱电井</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大堂通往B塔通道金属字</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1.尺寸:80*15*0.5cm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消防电梯厅（金属字）</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1.尺寸:59*17*0.5cm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消防步梯（金属字）</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1.尺寸:47*17*0.5cm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消防电梯厅</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消防步梯</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水管井</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垃圾收集</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光纤到户机房</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运营商机房</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图书馆阅览室</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加压机房</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空调机房</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安控中心办公室</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4-12F科室牌编号牌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办公室</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杂物间</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清洁室</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茶水间</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1.尺寸:22*24*1cm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创新厅</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1.尺寸:70*26*1cm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贵宾厅</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1.尺寸:70*26*1cm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接待室</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1.尺寸:70*26*1cm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国际会议室</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1.尺寸:206*36*1cm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VIP室</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1.尺寸:54*26*1cm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B2-3F消防疏散图</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1.尺寸:60*35cm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A塔一楼侧门入口吊牌（300*40*10）灯箱</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1.尺寸:300*40*10cm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A塔二楼扶梯旁吊牌（180*30*10）灯箱</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1.尺寸:180*30*10cm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A塔一楼天桥吊牌（180*30*10）灯箱</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1.尺寸:180*30*10cm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A塔二楼天桥吊牌（180*30*10）灯箱</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1.尺寸:180*30*10cm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佳纷天地金属字</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1.尺寸:52*65*1cm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安全出口</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A塔二楼A1电梯厅指示牌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1.尺寸:37*91*0.5cm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A塔二楼A2电梯厅指示牌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1.尺寸:37*78*0.5cm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A塔二楼A3电梯厅指示牌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1.尺寸:75*90*0.5cm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A塔一楼A3电梯厅指示牌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1.尺寸:75*90*0.5cm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A塔三楼电梯厅方向指示牌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1.尺寸:42*27*0.5cm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墙上楼层指引（金属字）1</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1.尺寸:95*60*1cm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墙上楼层指引（金属字）2</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1.尺寸:95*60*1cm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墙上楼层指引（金属字）3</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1.尺寸:42*37*1cm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墙上楼层指引（金属字）4</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1.尺寸:56*47*1cm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墙上楼层指引（金属字）5</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1.尺寸:100*71*1cm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小心碰头</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1.尺寸:50*40cm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2.材质:8厘亚克力，背部UV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扶梯旁楼层电子指引牌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1.尺寸:1800*800*140cm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2.材质:不锈钢烤漆底座+面板镂空，内置显示屏，文字部分镂空内置灯片，内发光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3.参考参数:操作系统：Android 7.0以上，产品尺寸：40~50寸，分辨率：1080*1920以上，显示比例：16:9，内存：DDR3 1GB以上，内置存储器：EMMC FLASH 16G (可扩展到32G)，循环播放，多时段定时开关机，YAO控开关机，支持滚动字幕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4.视频支持格式:（H.264、DIVX、DIVX、XVID）, rm，rmvb， MKV（H.264、DIVX、DIVX、XVID），WMV，MOV，MP4 H.264、MPEG、DIVX、XVID），DAT（VCD格式），VOB（DVD格式），PMP,MPEG，.MPG,， FLV（H.263，H.264），ASF ，TS， TP，3GP，MPG等30种格式以上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5.音频播放支持格式:MP3,WMA,MP2,OGG,AAC,M4A,MA4,FLAC,APE,3GP格式音频播放，支持歌曲列表功能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6.其它:含显示屏、控制器、安装、调试及接线至指定地点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新风机房</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排烟机房</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工具房</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楼层索引</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1.尺寸:70*110*2cm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2.材质:304不锈钢，厚度T1.0，画面烤漆，四边立体弯折</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电梯楼层号码牌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1.尺寸:26*30*2（各根据数字宽度调整尺寸）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消防步梯楼层号码牌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消防电梯（金属字）</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1.尺寸:15*16.7*1cm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写字楼楼层洗手间指引吊牌（90*20）</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1.尺寸:90*20cm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写字楼楼层电梯厅指引吊牌（90*20）</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1.尺寸:90*20cm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消防栓使用说明</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1.尺寸:40*30cm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玻璃贴</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1.尺寸:150*15cm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2.材质:透明玻璃贴</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电梯编号金属字</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1.尺寸:22*15*1cm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                   数量详情：T1、T2数量各13个，T3数量12个     ，T4、T5数量各14个，T6数量22个，T7、T8数量各13个，T9、T10数量各4个，T11数量2个</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电梯到达楼层编号</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1.尺寸:26*6cm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数量详情：客梯B2-3F/13-20F(13个)、无障碍客梯B2-3F/13-20F(13个)、客梯B1-3F/13-20F(12个)、客梯B2-12F(14个)、无障碍客梯B2-12F(14个)、客梯B2-20F(22个)、客梯B1-12F(26个)、客梯B1-3F(8个)、客梯B2-B1F(2个)</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A塔楼体大字</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1.尺寸:120*140/85*83cm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2.材质:T1.0厚不锈钢边框焊接，100MM吸塑立体字灯箱，内置节能灯，乳白色亚克力面板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4F-12F消防疏散图</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1.尺寸:40*30cm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三楼洗手间指引牌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1.尺寸:面板15*30*0.5   侧板35*1.5*3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2.材质:面板T1.0玫瑰金304不锈钢拉丝，图标T1.0拉丝银色304不锈钢，侧板T1.0玫瑰金不锈钢拉丝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B塔</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管理用房</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男卫生间</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2.材质:侧板为15mm厚度,30mm宽度，350mm长度亚克力条，背部UV纯底色；面板为两块画面背部UV的3MM亚克力对夹，画面内容正反双面，直边侧面固定于侧板居中位置</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女卫生间</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2.材质:侧板为15mm厚度,30mm宽度，350mm长度亚克力条，背部UV纯底色；面板为两块画面背部UV的3MM亚克力对夹，画面内容正反双面，直边侧面固定于侧板居中位置</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无障碍卫生间</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2.材质:侧板为15mm厚度,30mm宽度，350mm长度亚克力条，背部UV纯底色；面板为两块画面背部UV的3MM亚克力对夹，画面内容正反双面，直边侧面固定于侧板居中位置</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无障碍标识</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1.尺寸:17*15cm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洗手间指示牌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大堂通往A塔通道金属字</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1.尺寸:155*45*0.5cm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洗手间（金属字）</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1.尺寸:35*17*0.5cm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消防控制室（金属字）</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1.尺寸:59*17*0.5cm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储物间</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1.尺寸:35*17*0.5cm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客梯编号（金属字）</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1.尺寸:22*15*1cm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2.材质:304不锈钢，厚度T1.0，玫瑰金拉丝数量详情：T1(15个)、T2(15个)、T3(14个)、T4(18个)、T15(18个)、T6(28个)、T7(17个)、T8(17个)、T9(5个)、T10(2个)</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强电井</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弱电井</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消防电梯厅（金属字）</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1.尺寸:59*17*0.5cm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消防步梯（金属字）</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1.尺寸:47*17*0.5cm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消防电梯厅</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消防步梯</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水管井</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1.尺寸:30*10*0.5cm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垃圾收集</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光纤到户机房</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加压机房</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空调机房</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排烟机房</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UPS间</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仓库</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设备间</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B2-3F消防疏散图</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1.尺寸:60*35cm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1.尺寸:40*18*3cm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2.材质:底座尺寸：40*3*2.5,数字尺寸：15.5*1厚度*高度等比（三位数房号与四位数房号尺寸不一）304不锈钢，厚度T1.0，颜色烤漆</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推拉牌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2.材质:5厘亚克力，背部UV，磨圆角</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一楼大堂门口吊牌1（300*40*10）</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1.尺寸:300*40*10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B塔二楼扶梯旁室内天桥吊牌吊牌2（180*30*10）</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1.尺寸:180*30*10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通往佳纷天地天桥处吊牌3（180*20*10）</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1.尺寸:180*20*10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二楼通往A塔天桥吊牌（180*30*10）</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1.尺寸:180*30*10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三楼扶梯吊牌（180*30*10）</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1.尺寸:180*30*10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4-12F电梯厅指引吊牌（90*20*10）</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1.尺寸:90*20*10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佳纷天地金属字</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1.尺寸:52*65*0.5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B塔二楼T4-T8电梯厅指示牌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1.尺寸:80*40*0.5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B塔二楼T1-T3电梯厅指示牌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1.尺寸:80*47*0.5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安全出口</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小心碰头</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1.尺寸:50*40cm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2.材质:8厘亚克力，背部UV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扶梯旁楼层电子指引牌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1.尺寸:1820*800*600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2.材质:304不锈钢，厚度T1.O，烤漆底座+面板镂空，内置显示屏，文字部分镂空内置灯片，内发光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3.参考参数:操作系统：Android 7.0以上，产品尺寸：40~50寸，分辨率：1080*1920以上，显示比例：16:9，内存：DDR3 1GB以上，内置存储器：EMMC FLASH 16G (可扩展到32G)，循环播放，多时段定时开关机，YAO控开关机，支持滚动字幕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4.参考视频支持格式:（H.264、DIVX、DIVX、XVID）, rm，rmvb， MKV（H.264、DIVX、DIVX、XVID），WMV，MOV，MP4 H.264、MPEG、DIVX、XVID），DAT（VCD格式），VOB（DVD格式），PMP,MPEG，.MPG,， FLV（H.263，H.264），ASF ，TS， TP，3GP，MPG等30种格式以上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5.参考音频播放支持格式:MP3,WMA,MP2,OGG,AAC,M4A,MA4,FLAC,APE,3GP格式音频播放，支持歌曲列表功能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6.其它:含光源、控制器、安装、调试及接线至指定地点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松寓店招</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1.尺寸:385*110*10cm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2.材质:30*30*4厚镀锌钢方管焊接支撑架，预埋地下固定，T1.0厚度304不锈钢边框，5MM乳白色亚克力面板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楼层索引</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1.尺寸:70*110*2cm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2.材质:304不锈钢，厚度T1.0，画面烤漆，四边立体折弯</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电梯楼层号码牌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1.尺寸:26*30*2cm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消防步梯楼层号码牌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消防电梯（金属字）</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1.尺寸:15*16*1cm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消防栓使用说明</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1.尺寸:30*45cm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玻璃贴</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1.尺寸:150*15cm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2.材质:透明玻璃贴</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电梯到达楼层编号</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1.尺寸:26*6cm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数量详情：客梯B2-3F/17-26F(15个)、无障碍客梯B2-3F/17-26F(15个)、客梯B1-3F/17-26F(14个)、客梯B2-16F(18个)、无障碍客梯B2-16F(18个)、客梯B2-26F(28个)、客梯B1-16F(34个)、客梯B2-3F(5个)、客梯B2-B1F(2个)</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大堂前台背景字</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1.尺寸:250*97*3cm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2.材质:304不锈钢烤漆焊接工艺，背部内置亚克力发光灯管，内部走线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国际会议中心（楼体大字）</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1.尺寸:1700*120*10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2.材质:镀锌管焊接支撑架，膨胀螺丝固定地面，不锈钢边框，乳白色亚克力面板，发光字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社区logo标识（外侧标识牌）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1.尺寸:620*80*10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2.材质:304不锈钢烤金属字，钻孔螺丝固定，背部内置亚克力发光源，外部走线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AB塔地下停车场负一楼人行出口指引牌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1.尺寸:600*50*10cm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2.材质:304不锈钢边框，乳白色亚克力面板，发光字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三楼洗手间指引牌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1.尺寸:面板15*30*0.5   侧板35*1.5*3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2.材质:面板T1.0玫瑰金304不锈钢拉丝，图标T1.0拉丝银色304不锈钢，侧板T1.0玫瑰金不锈钢拉丝</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B塔楼体大字</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1.尺寸:100*140/85*83cm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2.材质:不锈钢边框焊接，乳白色亚克力面板，发光字</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工具房</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小心滑倒牌</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请勿攀爬（No Climbing）</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1.尺寸:60cm*30cm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请勿攀爬（No Climbing）</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1.尺寸:20cm*9cm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请勿攀爬（No Climbing）</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1.尺寸:55cm*53cm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小心台阶(Mind the step)</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1.尺寸:20cm*9cm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谨防跌倒(Beware Falling)</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1.尺寸:20cm*9cm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有电危险(Mind The Electric Leakage)</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1.尺寸:10cm*9cm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B2-3F消防疏散图</w:t>
            </w:r>
          </w:p>
        </w:tc>
        <w:tc>
          <w:tcPr>
            <w:tcW w:w="29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1.尺寸:40*30cm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2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w:t>
            </w:r>
          </w:p>
        </w:tc>
      </w:tr>
    </w:tbl>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color w:val="auto"/>
          <w:highlight w:val="none"/>
          <w:lang w:val="en-US" w:eastAsia="zh-CN"/>
        </w:rPr>
      </w:pPr>
    </w:p>
    <w:p>
      <w:pPr>
        <w:pStyle w:val="2"/>
        <w:rPr>
          <w:rFonts w:hint="eastAsia" w:hAnsi="宋体"/>
          <w:color w:val="auto"/>
          <w:sz w:val="24"/>
          <w:szCs w:val="24"/>
          <w:highlight w:val="none"/>
          <w:shd w:val="clear" w:color="auto" w:fill="auto"/>
          <w:lang w:eastAsia="zh-CN"/>
        </w:rPr>
      </w:pPr>
      <w:r>
        <w:rPr>
          <w:rFonts w:hint="eastAsia"/>
          <w:b/>
          <w:bCs w:val="0"/>
          <w:color w:val="auto"/>
          <w:highlight w:val="none"/>
          <w:lang w:val="en-US" w:eastAsia="zh-CN"/>
        </w:rPr>
        <w:t>（二）</w:t>
      </w:r>
      <w:r>
        <w:rPr>
          <w:rFonts w:hint="eastAsia"/>
          <w:b/>
          <w:bCs w:val="0"/>
          <w:color w:val="auto"/>
          <w:sz w:val="24"/>
          <w:szCs w:val="24"/>
          <w:highlight w:val="none"/>
          <w:lang w:val="en-US" w:eastAsia="zh-CN"/>
        </w:rPr>
        <w:t>松山湖大学创新城E区创投大厦</w:t>
      </w:r>
      <w:r>
        <w:rPr>
          <w:rFonts w:hint="eastAsia" w:hAnsi="宋体"/>
          <w:color w:val="auto"/>
          <w:sz w:val="24"/>
          <w:szCs w:val="24"/>
          <w:highlight w:val="none"/>
          <w:shd w:val="clear" w:color="auto" w:fill="auto"/>
          <w:lang w:eastAsia="zh-CN"/>
        </w:rPr>
        <w:t>地下停车场灯箱</w:t>
      </w:r>
    </w:p>
    <w:tbl>
      <w:tblPr>
        <w:tblStyle w:val="5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307"/>
        <w:gridCol w:w="4231"/>
        <w:gridCol w:w="816"/>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48"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7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4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1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1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48"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4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48"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4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一楼外围</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点位13</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1.尺寸:2600*1200mm*100mm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点位9</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1.尺寸:1900*1600mm*100mm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一楼外围合计</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负一层</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点位1，2,3,4</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1.尺寸:3500x1600mm*100mm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点位5，20</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1.尺寸:4000x1600mm*100mm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点位6，7，16，18，19</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1.尺寸:3300x1600mm*100mm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点位8，10，12，14，15</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1.尺寸:3600x1600mm*100mm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点位11</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1.尺寸:2200x1600mm*100mm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点位17</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1.尺寸:4200x1600mm*100mm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点位21，22，23，24</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1.尺寸:3500x1600mm*100mm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点位25</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1.尺寸:3000x1400mm*100mm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点位26</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1.尺寸:2800x1600mm*100mm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负一层合计</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负二层</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点位1，2</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1.尺寸:3000x1400mm*100mm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点位3</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1.尺寸:6000x1800mm*100mm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点位4</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1.尺寸:5000x2000mm*100mm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点位5</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1.尺寸:3300x1600mm*100mm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点位6，7，8，9，10，11</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1.尺寸:3600x1600mm*100mm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点位12，13</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1.尺寸:2500x1400mm*100mm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点位14，15</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1.尺寸:3500x1400mm*100mm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点位16</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1.尺寸:4200x1800mm*100mm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点位17</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1.尺寸:5000x1800mm*100mm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1.名称:配管（20*1.6mm）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2.配置形式:综合考虑配线</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1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1.型号:配线（2.5mm2内）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2.材质:综合考虑配线</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b/>
          <w:bCs w:val="0"/>
          <w:color w:val="auto"/>
          <w:highlight w:val="none"/>
          <w:lang w:val="en-US" w:eastAsia="zh-CN"/>
        </w:rPr>
      </w:pPr>
    </w:p>
    <w:p>
      <w:pPr>
        <w:rPr>
          <w:rFonts w:hint="eastAsia"/>
          <w:color w:val="auto"/>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color w:val="auto"/>
          <w:highlight w:val="none"/>
          <w:lang w:val="en-US" w:eastAsia="zh-CN"/>
        </w:rPr>
      </w:pPr>
    </w:p>
    <w:p>
      <w:pPr>
        <w:rPr>
          <w:rFonts w:hint="default"/>
          <w:color w:val="auto"/>
          <w:highlight w:val="none"/>
          <w:lang w:val="en-US" w:eastAsia="zh-CN"/>
        </w:rPr>
        <w:sectPr>
          <w:pgSz w:w="11907" w:h="16840"/>
          <w:pgMar w:top="1440" w:right="1134" w:bottom="1440" w:left="1134" w:header="850" w:footer="720" w:gutter="0"/>
          <w:pgBorders>
            <w:top w:val="none" w:sz="0" w:space="0"/>
            <w:left w:val="none" w:sz="0" w:space="0"/>
            <w:bottom w:val="none" w:sz="0" w:space="0"/>
            <w:right w:val="none" w:sz="0" w:space="0"/>
          </w:pgBorders>
          <w:cols w:space="720" w:num="1"/>
          <w:docGrid w:type="lines" w:linePitch="326" w:charSpace="0"/>
        </w:sectPr>
      </w:pPr>
    </w:p>
    <w:p>
      <w:pPr>
        <w:pStyle w:val="3"/>
        <w:keepNext/>
        <w:keepLines/>
        <w:pageBreakBefore/>
        <w:numPr>
          <w:ilvl w:val="0"/>
          <w:numId w:val="14"/>
        </w:numPr>
        <w:spacing w:line="360" w:lineRule="auto"/>
        <w:jc w:val="center"/>
        <w:rPr>
          <w:rFonts w:hAnsi="宋体"/>
          <w:b/>
          <w:bCs/>
          <w:color w:val="auto"/>
          <w:kern w:val="44"/>
          <w:sz w:val="28"/>
          <w:szCs w:val="28"/>
          <w:highlight w:val="none"/>
          <w:lang w:val="zh-CN"/>
        </w:rPr>
      </w:pPr>
      <w:bookmarkStart w:id="144" w:name="_Toc13957"/>
      <w:r>
        <w:rPr>
          <w:rFonts w:hint="eastAsia" w:hAnsi="宋体"/>
          <w:b/>
          <w:bCs/>
          <w:color w:val="auto"/>
          <w:kern w:val="44"/>
          <w:sz w:val="28"/>
          <w:szCs w:val="28"/>
          <w:highlight w:val="none"/>
          <w:lang w:val="zh-CN"/>
        </w:rPr>
        <w:t>评审工作大纲</w:t>
      </w:r>
      <w:bookmarkEnd w:id="144"/>
    </w:p>
    <w:p>
      <w:pPr>
        <w:pStyle w:val="20"/>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color w:val="auto"/>
                <w:szCs w:val="21"/>
                <w:highlight w:val="none"/>
              </w:rPr>
            </w:pPr>
          </w:p>
        </w:tc>
      </w:tr>
    </w:tbl>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（一）资格性检查</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1)资格瑕疵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包括但不限于：①资格证明文件未提供或不符合磋商文件要求的；②供应商与采购人、采购代理机构有利害关系的。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2)磋商保证金瑕疵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包括但不限于：①供应商未提交磋商文件保证金或金额不足；②提交方式、提交时间不符合采购要求；③磋商文件保证金有效期不符合采购要求的。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（二）符合性检查</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1)供应商代表身份审查</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包括但不限于：①供应商代表未参加开标会；②供应商代表无有效授权；③核对供应商代表身份时，不能提供相应的身份证明或不相符。</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2)响应文件的有效性、完整性瑕疵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响应文件的数量、制作、密封、标记不符合要求；②响应文件无法定代表人或其授权代表签字，或签字人无法定代表人有效授权的；③签字盖章不符合磋商文件要求的；④响应文件内容有严重缺漏项的；⑤报价有严重缺漏项的；⑥响应文件的关键内容字迹模糊、无法辨认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3)技术响应瑕疵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响应文件不满足磋商文件中加注星号（★）的主要参数要求或加注星号的主要参数无技术资料支持的；②一般参数超出允许偏离的最大范围或最高项数的；③响应文件技术响应与事实不符或虚假磋商的；④供应商复制磋商文件的技术规格相关部分内容作为其响应文件的一部分的；⑤《技术规格偏离表》填写不明或不实的；⑥将一个包中的内容拆开磋商的；⑦供应商对同一货物或服务磋商时，同时提供两套或两套以上的磋商方案的；⑧明显不符合技术规格、技术标准要求的；⑨其他未实质性响应磋商文件技术要求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4)商务响应瑕疵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磋商文件加注星号（★）的商务要求负偏离的；②项目完成期未满足磋商文件要求的；③报价超出采购预算的。④《商务条款偏离表》填写不明或不实的；⑤；⑥供应商低于成本报价竞标的；⑦响应文件附有采购人不能接受的条件的；⑧其他未实质性响应磋商文件商务要求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5）报价</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6）违规行为</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以他人的名义磋商、串通磋商、以行贿手段谋取成交或者以其他弄虚作假方式参与磋商的；②拒不按照要求对响应文件进行澄清、说明或者补正的；③扰乱开标、评标秩序，干扰磋商工作正常进行的。</w:t>
      </w:r>
    </w:p>
    <w:p>
      <w:pPr>
        <w:pStyle w:val="20"/>
        <w:numPr>
          <w:ilvl w:val="0"/>
          <w:numId w:val="15"/>
        </w:numP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法律法规及磋商文件中规定的其它情形。</w:t>
      </w:r>
    </w:p>
    <w:p>
      <w:pPr>
        <w:pStyle w:val="20"/>
        <w:spacing w:line="360" w:lineRule="auto"/>
        <w:jc w:val="left"/>
        <w:rPr>
          <w:rFonts w:hAnsi="宋体"/>
          <w:b w:val="0"/>
          <w:bCs w:val="0"/>
          <w:color w:val="auto"/>
          <w:sz w:val="21"/>
          <w:szCs w:val="21"/>
          <w:highlight w:val="none"/>
        </w:rPr>
      </w:pPr>
    </w:p>
    <w:p>
      <w:pPr>
        <w:pStyle w:val="20"/>
        <w:numPr>
          <w:ilvl w:val="0"/>
          <w:numId w:val="11"/>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w:t>
      </w:r>
      <w:r>
        <w:rPr>
          <w:rFonts w:hint="eastAsia" w:hAnsi="宋体"/>
          <w:color w:val="auto"/>
          <w:sz w:val="21"/>
          <w:szCs w:val="21"/>
          <w:highlight w:val="none"/>
          <w:lang w:eastAsia="zh-CN"/>
        </w:rPr>
        <w:t>编制</w:t>
      </w:r>
      <w:r>
        <w:rPr>
          <w:rFonts w:hint="eastAsia" w:hAnsi="宋体"/>
          <w:color w:val="auto"/>
          <w:sz w:val="21"/>
          <w:szCs w:val="21"/>
          <w:highlight w:val="none"/>
        </w:rPr>
        <w:t>评审报告。</w:t>
      </w:r>
    </w:p>
    <w:p>
      <w:pPr>
        <w:pStyle w:val="20"/>
        <w:spacing w:line="360" w:lineRule="auto"/>
        <w:ind w:left="480" w:leftChars="200"/>
        <w:jc w:val="left"/>
        <w:rPr>
          <w:rFonts w:hAnsi="宋体"/>
          <w:color w:val="auto"/>
          <w:sz w:val="21"/>
          <w:szCs w:val="21"/>
          <w:highlight w:val="none"/>
        </w:rPr>
      </w:pPr>
    </w:p>
    <w:p>
      <w:pPr>
        <w:pStyle w:val="28"/>
        <w:spacing w:line="360" w:lineRule="auto"/>
        <w:ind w:firstLine="422" w:firstLineChars="200"/>
        <w:rPr>
          <w:rFonts w:hint="eastAsia" w:hAnsi="宋体" w:eastAsia="宋体"/>
          <w:b/>
          <w:bCs/>
          <w:color w:val="auto"/>
          <w:szCs w:val="21"/>
          <w:highlight w:val="none"/>
          <w:lang w:eastAsia="zh-CN"/>
        </w:rPr>
      </w:pPr>
      <w:r>
        <w:rPr>
          <w:rFonts w:hint="eastAsia" w:hAnsi="宋体"/>
          <w:b/>
          <w:bCs/>
          <w:color w:val="auto"/>
          <w:szCs w:val="21"/>
          <w:highlight w:val="none"/>
        </w:rPr>
        <w:t>三、评审因素及评分权重</w:t>
      </w:r>
    </w:p>
    <w:p>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1"/>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70"/>
        <w:gridCol w:w="707"/>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157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评分内容</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价格评分（</w:t>
            </w:r>
            <w:r>
              <w:rPr>
                <w:rFonts w:hint="eastAsia" w:ascii="宋体" w:hAnsi="宋体" w:eastAsia="宋体" w:cs="宋体"/>
                <w:b/>
                <w:color w:val="auto"/>
                <w:kern w:val="2"/>
                <w:sz w:val="21"/>
                <w:szCs w:val="21"/>
                <w:highlight w:val="none"/>
                <w:lang w:val="en-US" w:eastAsia="zh-CN"/>
              </w:rPr>
              <w:t>40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w:t>
            </w:r>
          </w:p>
        </w:tc>
        <w:tc>
          <w:tcPr>
            <w:tcW w:w="707"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40</w:t>
            </w:r>
            <w:r>
              <w:rPr>
                <w:rFonts w:hint="eastAsia" w:ascii="宋体" w:hAnsi="宋体" w:eastAsia="宋体" w:cs="宋体"/>
                <w:color w:val="auto"/>
                <w:kern w:val="2"/>
                <w:sz w:val="21"/>
                <w:szCs w:val="21"/>
                <w:highlight w:val="none"/>
              </w:rPr>
              <w:t>分</w:t>
            </w:r>
          </w:p>
        </w:tc>
        <w:tc>
          <w:tcPr>
            <w:tcW w:w="5837" w:type="dxa"/>
            <w:gridSpan w:val="2"/>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价格分计算方法：满足磋商文件要求且磋商价格最低的磋商报价为评标基准价，其价格分为满分。其他</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的价格分统一按照下列公式计算：磋商报价得分=(评标基准价／磋商报价)×价格权重</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商务评分（</w:t>
            </w:r>
            <w:r>
              <w:rPr>
                <w:rFonts w:hint="eastAsia" w:ascii="宋体" w:hAnsi="宋体" w:eastAsia="宋体" w:cs="宋体"/>
                <w:b/>
                <w:color w:val="auto"/>
                <w:kern w:val="2"/>
                <w:sz w:val="21"/>
                <w:szCs w:val="21"/>
                <w:highlight w:val="none"/>
                <w:lang w:val="en-US" w:eastAsia="zh-CN"/>
              </w:rPr>
              <w:t>30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157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业绩经验</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自201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年1月1日至今</w:t>
            </w:r>
            <w:r>
              <w:rPr>
                <w:rFonts w:hint="eastAsia" w:ascii="宋体" w:hAnsi="宋体" w:eastAsia="宋体" w:cs="宋体"/>
                <w:color w:val="auto"/>
                <w:sz w:val="21"/>
                <w:szCs w:val="21"/>
                <w:highlight w:val="none"/>
                <w:lang w:val="en-US" w:eastAsia="zh-CN"/>
              </w:rPr>
              <w:t>承接过的</w:t>
            </w:r>
            <w:r>
              <w:rPr>
                <w:rFonts w:hint="eastAsia" w:ascii="宋体" w:hAnsi="宋体" w:eastAsia="宋体" w:cs="宋体"/>
                <w:color w:val="auto"/>
                <w:sz w:val="21"/>
                <w:szCs w:val="21"/>
                <w:highlight w:val="none"/>
                <w:lang w:eastAsia="zh-CN"/>
              </w:rPr>
              <w:t>标志牌或标识牌</w:t>
            </w:r>
            <w:r>
              <w:rPr>
                <w:rFonts w:hint="eastAsia" w:ascii="宋体" w:hAnsi="宋体" w:eastAsia="宋体" w:cs="宋体"/>
                <w:color w:val="auto"/>
                <w:sz w:val="21"/>
                <w:szCs w:val="21"/>
                <w:highlight w:val="none"/>
                <w:lang w:val="en-US" w:eastAsia="zh-CN"/>
              </w:rPr>
              <w:t>供货安装</w:t>
            </w:r>
            <w:r>
              <w:rPr>
                <w:rFonts w:hint="eastAsia" w:ascii="宋体" w:hAnsi="宋体" w:eastAsia="宋体" w:cs="宋体"/>
                <w:color w:val="auto"/>
                <w:sz w:val="21"/>
                <w:szCs w:val="21"/>
                <w:highlight w:val="none"/>
              </w:rPr>
              <w:t>业绩，每个得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须</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①</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合同复印件</w:t>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提供与项目相关的发票或完税证明</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张数不限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技术评分（</w:t>
            </w:r>
            <w:r>
              <w:rPr>
                <w:rFonts w:hint="eastAsia" w:ascii="宋体" w:hAnsi="宋体" w:eastAsia="宋体" w:cs="宋体"/>
                <w:b/>
                <w:color w:val="auto"/>
                <w:kern w:val="2"/>
                <w:sz w:val="21"/>
                <w:szCs w:val="21"/>
                <w:highlight w:val="none"/>
                <w:lang w:val="en-US" w:eastAsia="zh-CN"/>
              </w:rPr>
              <w:t>30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kern w:val="2"/>
                <w:sz w:val="21"/>
                <w:szCs w:val="21"/>
                <w:highlight w:val="none"/>
                <w:lang w:eastAsia="zh-CN"/>
              </w:rPr>
              <w:t>进度保障措施</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5分</w:t>
            </w:r>
          </w:p>
        </w:tc>
        <w:tc>
          <w:tcPr>
            <w:tcW w:w="5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实施组织进度</w:t>
            </w:r>
            <w:r>
              <w:rPr>
                <w:rFonts w:hint="eastAsia" w:ascii="宋体" w:hAnsi="宋体" w:eastAsia="宋体" w:cs="宋体"/>
                <w:color w:val="auto"/>
                <w:sz w:val="21"/>
                <w:szCs w:val="21"/>
                <w:highlight w:val="none"/>
                <w:lang w:eastAsia="zh-CN"/>
              </w:rPr>
              <w:t>保障措施</w:t>
            </w:r>
            <w:r>
              <w:rPr>
                <w:rFonts w:hint="eastAsia" w:ascii="宋体" w:hAnsi="宋体" w:eastAsia="宋体" w:cs="宋体"/>
                <w:color w:val="auto"/>
                <w:sz w:val="21"/>
                <w:szCs w:val="21"/>
                <w:highlight w:val="none"/>
              </w:rPr>
              <w:t>的科学合理、可行性，主要项目方案、供货安装进度安排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安全保证措施及其承诺等进行综合评价：</w:t>
            </w:r>
          </w:p>
          <w:p>
            <w:pPr>
              <w:keepNext w:val="0"/>
              <w:keepLines w:val="0"/>
              <w:pageBreakBefore w:val="0"/>
              <w:widowControl/>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w:t>
            </w:r>
            <w:r>
              <w:rPr>
                <w:rFonts w:hint="eastAsia" w:ascii="宋体" w:hAnsi="宋体" w:eastAsia="宋体" w:cs="宋体"/>
                <w:color w:val="auto"/>
                <w:sz w:val="21"/>
                <w:szCs w:val="21"/>
                <w:highlight w:val="none"/>
              </w:rPr>
              <w:t>进度</w:t>
            </w:r>
            <w:r>
              <w:rPr>
                <w:rFonts w:hint="eastAsia" w:ascii="宋体" w:hAnsi="宋体" w:eastAsia="宋体" w:cs="宋体"/>
                <w:color w:val="auto"/>
                <w:sz w:val="21"/>
                <w:szCs w:val="21"/>
                <w:highlight w:val="none"/>
                <w:lang w:eastAsia="zh-CN"/>
              </w:rPr>
              <w:t>保障措施</w:t>
            </w:r>
            <w:r>
              <w:rPr>
                <w:rFonts w:hint="eastAsia" w:ascii="宋体" w:hAnsi="宋体" w:eastAsia="宋体" w:cs="宋体"/>
                <w:color w:val="auto"/>
                <w:sz w:val="21"/>
                <w:szCs w:val="21"/>
                <w:highlight w:val="none"/>
              </w:rPr>
              <w:t>完整合理、可行性强，完全满足并优于招标文件要求，得</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进度</w:t>
            </w:r>
            <w:r>
              <w:rPr>
                <w:rFonts w:hint="eastAsia" w:ascii="宋体" w:hAnsi="宋体" w:eastAsia="宋体" w:cs="宋体"/>
                <w:color w:val="auto"/>
                <w:sz w:val="21"/>
                <w:szCs w:val="21"/>
                <w:highlight w:val="none"/>
                <w:lang w:eastAsia="zh-CN"/>
              </w:rPr>
              <w:t>保障措施</w:t>
            </w:r>
            <w:r>
              <w:rPr>
                <w:rFonts w:hint="eastAsia" w:ascii="宋体" w:hAnsi="宋体" w:eastAsia="宋体" w:cs="宋体"/>
                <w:color w:val="auto"/>
                <w:sz w:val="21"/>
                <w:szCs w:val="21"/>
                <w:highlight w:val="none"/>
              </w:rPr>
              <w:t>不完整、可行性差，得</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无提供</w:t>
            </w:r>
            <w:r>
              <w:rPr>
                <w:rFonts w:hint="eastAsia" w:ascii="宋体" w:hAnsi="宋体" w:eastAsia="宋体" w:cs="宋体"/>
                <w:color w:val="auto"/>
                <w:sz w:val="21"/>
                <w:szCs w:val="21"/>
                <w:highlight w:val="none"/>
                <w:lang w:eastAsia="zh-CN"/>
              </w:rPr>
              <w:t>对应内容</w:t>
            </w:r>
            <w:r>
              <w:rPr>
                <w:rFonts w:hint="eastAsia" w:ascii="宋体" w:hAnsi="宋体" w:eastAsia="宋体" w:cs="宋体"/>
                <w:color w:val="auto"/>
                <w:sz w:val="21"/>
                <w:szCs w:val="21"/>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2</w:t>
            </w:r>
          </w:p>
        </w:tc>
        <w:tc>
          <w:tcPr>
            <w:tcW w:w="1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方案优化设计</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保证原设计方案整体效果的前提下，能提供方案优化设计：</w:t>
            </w:r>
          </w:p>
          <w:p>
            <w:pPr>
              <w:keepNext w:val="0"/>
              <w:keepLines w:val="0"/>
              <w:pageBreakBefore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优：优化方案完整合理、可行性强；设计的方案</w:t>
            </w:r>
            <w:r>
              <w:rPr>
                <w:rFonts w:hint="eastAsia" w:ascii="宋体" w:hAnsi="宋体" w:eastAsia="宋体" w:cs="宋体"/>
                <w:color w:val="auto"/>
                <w:sz w:val="21"/>
                <w:szCs w:val="21"/>
                <w:highlight w:val="none"/>
                <w:lang w:eastAsia="zh-CN"/>
              </w:rPr>
              <w:t>与</w:t>
            </w:r>
            <w:r>
              <w:rPr>
                <w:rFonts w:hint="eastAsia" w:ascii="宋体" w:hAnsi="宋体" w:eastAsia="宋体" w:cs="宋体"/>
                <w:color w:val="auto"/>
                <w:sz w:val="21"/>
                <w:szCs w:val="21"/>
                <w:highlight w:val="none"/>
              </w:rPr>
              <w:t>现场风格</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样式融合</w:t>
            </w:r>
            <w:r>
              <w:rPr>
                <w:rFonts w:hint="eastAsia" w:ascii="宋体" w:hAnsi="宋体" w:eastAsia="宋体" w:cs="宋体"/>
                <w:color w:val="auto"/>
                <w:sz w:val="21"/>
                <w:szCs w:val="21"/>
                <w:highlight w:val="none"/>
                <w:lang w:eastAsia="zh-CN"/>
              </w:rPr>
              <w:t>、美观</w:t>
            </w:r>
            <w:r>
              <w:rPr>
                <w:rFonts w:hint="eastAsia" w:ascii="宋体" w:hAnsi="宋体" w:eastAsia="宋体" w:cs="宋体"/>
                <w:color w:val="auto"/>
                <w:sz w:val="21"/>
                <w:szCs w:val="21"/>
                <w:highlight w:val="none"/>
              </w:rPr>
              <w:t>，设计的方案鲜明、文创设计理念，完全满足或优于</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中：优化方案基本完整、可行性较差；设计的方案</w:t>
            </w:r>
            <w:r>
              <w:rPr>
                <w:rFonts w:hint="eastAsia" w:ascii="宋体" w:hAnsi="宋体" w:eastAsia="宋体" w:cs="宋体"/>
                <w:color w:val="auto"/>
                <w:sz w:val="21"/>
                <w:szCs w:val="21"/>
                <w:highlight w:val="none"/>
                <w:lang w:eastAsia="zh-CN"/>
              </w:rPr>
              <w:t>与</w:t>
            </w:r>
            <w:r>
              <w:rPr>
                <w:rFonts w:hint="eastAsia" w:ascii="宋体" w:hAnsi="宋体" w:eastAsia="宋体" w:cs="宋体"/>
                <w:color w:val="auto"/>
                <w:sz w:val="21"/>
                <w:szCs w:val="21"/>
                <w:highlight w:val="none"/>
              </w:rPr>
              <w:t>现场风格</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样式</w:t>
            </w:r>
            <w:r>
              <w:rPr>
                <w:rFonts w:hint="eastAsia" w:ascii="宋体" w:hAnsi="宋体" w:eastAsia="宋体" w:cs="宋体"/>
                <w:color w:val="auto"/>
                <w:sz w:val="21"/>
                <w:szCs w:val="21"/>
                <w:highlight w:val="none"/>
                <w:lang w:eastAsia="zh-CN"/>
              </w:rPr>
              <w:t>基本吻合</w:t>
            </w:r>
            <w:r>
              <w:rPr>
                <w:rFonts w:hint="eastAsia" w:ascii="宋体" w:hAnsi="宋体" w:eastAsia="宋体" w:cs="宋体"/>
                <w:color w:val="auto"/>
                <w:sz w:val="21"/>
                <w:szCs w:val="21"/>
                <w:highlight w:val="none"/>
              </w:rPr>
              <w:t>，设计的方案没有完全体现出文创设计理念，基本符合</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差：无提供</w:t>
            </w:r>
            <w:r>
              <w:rPr>
                <w:rFonts w:hint="eastAsia" w:ascii="宋体" w:hAnsi="宋体" w:eastAsia="宋体" w:cs="宋体"/>
                <w:color w:val="auto"/>
                <w:sz w:val="21"/>
                <w:szCs w:val="21"/>
                <w:highlight w:val="none"/>
                <w:lang w:eastAsia="zh-CN"/>
              </w:rPr>
              <w:t>对应内容</w:t>
            </w:r>
            <w:r>
              <w:rPr>
                <w:rFonts w:hint="eastAsia" w:ascii="宋体" w:hAnsi="宋体" w:eastAsia="宋体" w:cs="宋体"/>
                <w:color w:val="auto"/>
                <w:sz w:val="21"/>
                <w:szCs w:val="21"/>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3</w:t>
            </w:r>
          </w:p>
        </w:tc>
        <w:tc>
          <w:tcPr>
            <w:tcW w:w="157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工期</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4分</w:t>
            </w:r>
          </w:p>
        </w:tc>
        <w:tc>
          <w:tcPr>
            <w:tcW w:w="5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对各供应商响应工期的承诺进行横向评审：</w:t>
            </w:r>
          </w:p>
          <w:p>
            <w:pPr>
              <w:keepNext w:val="0"/>
              <w:keepLines w:val="0"/>
              <w:pageBreakBefore w:val="0"/>
              <w:widowControl/>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满足用户需求书要求工期的基础上，工程承诺：</w:t>
            </w:r>
          </w:p>
          <w:p>
            <w:pPr>
              <w:keepNext w:val="0"/>
              <w:keepLines w:val="0"/>
              <w:pageBreakBefore w:val="0"/>
              <w:widowControl/>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各供应商提前工期天数由高至低排名第1名的，得4分；</w:t>
            </w:r>
          </w:p>
          <w:p>
            <w:pPr>
              <w:keepNext w:val="0"/>
              <w:keepLines w:val="0"/>
              <w:pageBreakBefore w:val="0"/>
              <w:widowControl/>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各供应商提前工期天数由高至低排名第2-3名的，得2分；</w:t>
            </w:r>
          </w:p>
          <w:p>
            <w:pPr>
              <w:keepNext w:val="0"/>
              <w:keepLines w:val="0"/>
              <w:pageBreakBefore w:val="0"/>
              <w:widowControl/>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各供应商提前工期天数由高至低排名第4名或以下的不得分；</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注：提供单独的承诺函加盖公章。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p>
        </w:tc>
        <w:tc>
          <w:tcPr>
            <w:tcW w:w="1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质保期承诺</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5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根据供应商提供的售后免费延保承诺进行评审，每延长半年得1分，最高得2分。（须提供单独的承诺函加盖公章。）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（2）根据供应商制定的项目质量控制和检验方法进行评分: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质量控制严谨、检验方法科学合理、能高效地保障项目实施得2分；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具备规范可操作的质量控制和可行的检验方法、能保障项目实施得1分；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rPr>
              <w:t>质量控制和检验方法缺乏可行性或合理性或未提供不得分。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5</w:t>
            </w:r>
          </w:p>
        </w:tc>
        <w:tc>
          <w:tcPr>
            <w:tcW w:w="1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样品质量</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12分</w:t>
            </w:r>
          </w:p>
        </w:tc>
        <w:tc>
          <w:tcPr>
            <w:tcW w:w="580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根据供应商</w:t>
            </w:r>
            <w:r>
              <w:rPr>
                <w:rFonts w:hint="eastAsia" w:ascii="宋体" w:hAnsi="宋体" w:eastAsia="宋体" w:cs="宋体"/>
                <w:color w:val="auto"/>
                <w:sz w:val="21"/>
                <w:szCs w:val="21"/>
                <w:highlight w:val="none"/>
              </w:rPr>
              <w:t>提供用户需求书</w:t>
            </w:r>
            <w:r>
              <w:rPr>
                <w:rFonts w:hint="eastAsia" w:ascii="宋体" w:hAnsi="宋体" w:eastAsia="宋体" w:cs="宋体"/>
                <w:b/>
                <w:bCs/>
                <w:color w:val="auto"/>
                <w:sz w:val="21"/>
                <w:szCs w:val="21"/>
                <w:highlight w:val="none"/>
              </w:rPr>
              <w:t>货物清单</w:t>
            </w:r>
            <w:r>
              <w:rPr>
                <w:rFonts w:hint="eastAsia" w:hAnsi="宋体" w:cs="宋体"/>
                <w:b/>
                <w:bCs/>
                <w:color w:val="auto"/>
                <w:sz w:val="21"/>
                <w:szCs w:val="21"/>
                <w:highlight w:val="none"/>
                <w:lang w:eastAsia="zh-CN"/>
              </w:rPr>
              <w:t>（一）、（二）中的各任意</w:t>
            </w: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lang w:eastAsia="zh-CN"/>
              </w:rPr>
              <w:t>样</w:t>
            </w:r>
            <w:r>
              <w:rPr>
                <w:rFonts w:hint="eastAsia" w:ascii="宋体" w:hAnsi="宋体" w:eastAsia="宋体" w:cs="宋体"/>
                <w:color w:val="auto"/>
                <w:sz w:val="21"/>
                <w:szCs w:val="21"/>
                <w:highlight w:val="none"/>
              </w:rPr>
              <w:t>作为样品进行综合评定。</w:t>
            </w:r>
          </w:p>
          <w:p>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w:t>
            </w:r>
            <w:r>
              <w:rPr>
                <w:rFonts w:hint="eastAsia" w:hAnsi="宋体" w:cs="宋体"/>
                <w:color w:val="auto"/>
                <w:sz w:val="21"/>
                <w:szCs w:val="21"/>
                <w:highlight w:val="none"/>
                <w:lang w:eastAsia="zh-CN"/>
              </w:rPr>
              <w:t>送交</w:t>
            </w:r>
            <w:r>
              <w:rPr>
                <w:rFonts w:hint="eastAsia" w:ascii="宋体" w:hAnsi="宋体" w:eastAsia="宋体" w:cs="宋体"/>
                <w:color w:val="auto"/>
                <w:sz w:val="21"/>
                <w:szCs w:val="21"/>
                <w:highlight w:val="none"/>
              </w:rPr>
              <w:t>样品</w:t>
            </w:r>
            <w:r>
              <w:rPr>
                <w:rFonts w:hint="eastAsia" w:hAnsi="宋体" w:cs="宋体"/>
                <w:color w:val="auto"/>
                <w:sz w:val="21"/>
                <w:szCs w:val="21"/>
                <w:highlight w:val="none"/>
                <w:lang w:eastAsia="zh-CN"/>
              </w:rPr>
              <w:t>对应</w:t>
            </w:r>
            <w:r>
              <w:rPr>
                <w:rFonts w:hint="eastAsia" w:ascii="宋体" w:hAnsi="宋体" w:eastAsia="宋体" w:cs="宋体"/>
                <w:color w:val="auto"/>
                <w:sz w:val="21"/>
                <w:szCs w:val="21"/>
                <w:highlight w:val="none"/>
              </w:rPr>
              <w:t>款式、尺寸、材质</w:t>
            </w:r>
            <w:r>
              <w:rPr>
                <w:rFonts w:hint="eastAsia" w:hAnsi="宋体" w:cs="宋体"/>
                <w:color w:val="auto"/>
                <w:sz w:val="21"/>
                <w:szCs w:val="21"/>
                <w:highlight w:val="none"/>
                <w:lang w:eastAsia="zh-CN"/>
              </w:rPr>
              <w:t>完全满足</w:t>
            </w:r>
            <w:r>
              <w:rPr>
                <w:rFonts w:hint="eastAsia" w:ascii="宋体" w:hAnsi="宋体" w:eastAsia="宋体" w:cs="宋体"/>
                <w:color w:val="auto"/>
                <w:sz w:val="21"/>
                <w:szCs w:val="21"/>
                <w:highlight w:val="none"/>
              </w:rPr>
              <w:t>招标文件</w:t>
            </w:r>
            <w:r>
              <w:rPr>
                <w:rFonts w:hint="eastAsia" w:hAnsi="宋体" w:cs="宋体"/>
                <w:color w:val="auto"/>
                <w:sz w:val="21"/>
                <w:szCs w:val="21"/>
                <w:highlight w:val="none"/>
                <w:lang w:eastAsia="zh-CN"/>
              </w:rPr>
              <w:t>要求，样式美观</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eastAsia="zh-CN"/>
              </w:rPr>
              <w:t>与现场风格融合，</w:t>
            </w:r>
            <w:r>
              <w:rPr>
                <w:rFonts w:hint="eastAsia" w:ascii="宋体" w:hAnsi="宋体" w:eastAsia="宋体" w:cs="宋体"/>
                <w:color w:val="auto"/>
                <w:sz w:val="21"/>
                <w:szCs w:val="21"/>
                <w:highlight w:val="none"/>
              </w:rPr>
              <w:t>材质优</w:t>
            </w:r>
            <w:r>
              <w:rPr>
                <w:rFonts w:hint="eastAsia" w:hAnsi="宋体" w:cs="宋体"/>
                <w:color w:val="auto"/>
                <w:sz w:val="21"/>
                <w:szCs w:val="21"/>
                <w:highlight w:val="none"/>
                <w:lang w:eastAsia="zh-CN"/>
              </w:rPr>
              <w:t>良</w:t>
            </w:r>
            <w:r>
              <w:rPr>
                <w:rFonts w:hint="eastAsia" w:ascii="宋体" w:hAnsi="宋体" w:eastAsia="宋体" w:cs="宋体"/>
                <w:color w:val="auto"/>
                <w:sz w:val="21"/>
                <w:szCs w:val="21"/>
                <w:highlight w:val="none"/>
              </w:rPr>
              <w:t>、耐用、坚固</w:t>
            </w:r>
            <w:r>
              <w:rPr>
                <w:rFonts w:hint="eastAsia" w:hAnsi="宋体" w:cs="宋体"/>
                <w:color w:val="auto"/>
                <w:sz w:val="21"/>
                <w:szCs w:val="21"/>
                <w:highlight w:val="none"/>
                <w:lang w:eastAsia="zh-CN"/>
              </w:rPr>
              <w:t>，表面</w:t>
            </w:r>
            <w:r>
              <w:rPr>
                <w:rFonts w:hint="eastAsia" w:ascii="宋体" w:hAnsi="宋体" w:eastAsia="宋体" w:cs="宋体"/>
                <w:color w:val="auto"/>
                <w:sz w:val="21"/>
                <w:szCs w:val="21"/>
                <w:highlight w:val="none"/>
              </w:rPr>
              <w:t>平整</w:t>
            </w:r>
            <w:r>
              <w:rPr>
                <w:rFonts w:hint="eastAsia" w:hAnsi="宋体" w:cs="宋体"/>
                <w:color w:val="auto"/>
                <w:sz w:val="21"/>
                <w:szCs w:val="21"/>
                <w:highlight w:val="none"/>
                <w:lang w:eastAsia="zh-CN"/>
              </w:rPr>
              <w:t>不粗糙</w:t>
            </w:r>
            <w:r>
              <w:rPr>
                <w:rFonts w:hint="eastAsia" w:ascii="宋体" w:hAnsi="宋体" w:eastAsia="宋体" w:cs="宋体"/>
                <w:color w:val="auto"/>
                <w:sz w:val="21"/>
                <w:szCs w:val="21"/>
                <w:highlight w:val="none"/>
              </w:rPr>
              <w:t>、整体感观好的，得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hAnsi="宋体" w:cs="宋体"/>
                <w:color w:val="auto"/>
                <w:sz w:val="21"/>
                <w:szCs w:val="21"/>
                <w:highlight w:val="none"/>
                <w:lang w:eastAsia="zh-CN"/>
              </w:rPr>
              <w:t>送交</w:t>
            </w:r>
            <w:r>
              <w:rPr>
                <w:rFonts w:hint="eastAsia" w:ascii="宋体" w:hAnsi="宋体" w:eastAsia="宋体" w:cs="宋体"/>
                <w:color w:val="auto"/>
                <w:sz w:val="21"/>
                <w:szCs w:val="21"/>
                <w:highlight w:val="none"/>
              </w:rPr>
              <w:t>样品</w:t>
            </w:r>
            <w:r>
              <w:rPr>
                <w:rFonts w:hint="eastAsia" w:hAnsi="宋体" w:cs="宋体"/>
                <w:color w:val="auto"/>
                <w:sz w:val="21"/>
                <w:szCs w:val="21"/>
                <w:highlight w:val="none"/>
                <w:lang w:eastAsia="zh-CN"/>
              </w:rPr>
              <w:t>对应</w:t>
            </w:r>
            <w:r>
              <w:rPr>
                <w:rFonts w:hint="eastAsia" w:ascii="宋体" w:hAnsi="宋体" w:eastAsia="宋体" w:cs="宋体"/>
                <w:color w:val="auto"/>
                <w:sz w:val="21"/>
                <w:szCs w:val="21"/>
                <w:highlight w:val="none"/>
              </w:rPr>
              <w:t>款式、尺寸、材质</w:t>
            </w:r>
            <w:r>
              <w:rPr>
                <w:rFonts w:hint="eastAsia" w:hAnsi="宋体" w:cs="宋体"/>
                <w:color w:val="auto"/>
                <w:sz w:val="21"/>
                <w:szCs w:val="21"/>
                <w:highlight w:val="none"/>
                <w:lang w:eastAsia="zh-CN"/>
              </w:rPr>
              <w:t>满足</w:t>
            </w:r>
            <w:r>
              <w:rPr>
                <w:rFonts w:hint="eastAsia" w:ascii="宋体" w:hAnsi="宋体" w:eastAsia="宋体" w:cs="宋体"/>
                <w:color w:val="auto"/>
                <w:sz w:val="21"/>
                <w:szCs w:val="21"/>
                <w:highlight w:val="none"/>
              </w:rPr>
              <w:t>招标文件</w:t>
            </w:r>
            <w:r>
              <w:rPr>
                <w:rFonts w:hint="eastAsia" w:hAnsi="宋体" w:cs="宋体"/>
                <w:color w:val="auto"/>
                <w:sz w:val="21"/>
                <w:szCs w:val="21"/>
                <w:highlight w:val="none"/>
                <w:lang w:eastAsia="zh-CN"/>
              </w:rPr>
              <w:t>要求，样式一般，</w:t>
            </w:r>
            <w:r>
              <w:rPr>
                <w:rFonts w:hint="eastAsia" w:ascii="宋体" w:hAnsi="宋体" w:eastAsia="宋体" w:cs="宋体"/>
                <w:color w:val="auto"/>
                <w:sz w:val="21"/>
                <w:szCs w:val="21"/>
                <w:highlight w:val="none"/>
              </w:rPr>
              <w:t>材质</w:t>
            </w:r>
            <w:r>
              <w:rPr>
                <w:rFonts w:hint="eastAsia" w:hAnsi="宋体" w:cs="宋体"/>
                <w:color w:val="auto"/>
                <w:sz w:val="21"/>
                <w:szCs w:val="21"/>
                <w:highlight w:val="none"/>
                <w:lang w:eastAsia="zh-CN"/>
              </w:rPr>
              <w:t>较好</w:t>
            </w:r>
            <w:r>
              <w:rPr>
                <w:rFonts w:hint="eastAsia" w:ascii="宋体" w:hAnsi="宋体" w:eastAsia="宋体" w:cs="宋体"/>
                <w:color w:val="auto"/>
                <w:sz w:val="21"/>
                <w:szCs w:val="21"/>
                <w:highlight w:val="none"/>
              </w:rPr>
              <w:t>、耐用、坚固</w:t>
            </w:r>
            <w:r>
              <w:rPr>
                <w:rFonts w:hint="eastAsia" w:hAnsi="宋体" w:cs="宋体"/>
                <w:color w:val="auto"/>
                <w:sz w:val="21"/>
                <w:szCs w:val="21"/>
                <w:highlight w:val="none"/>
                <w:lang w:eastAsia="zh-CN"/>
              </w:rPr>
              <w:t>，表面</w:t>
            </w:r>
            <w:r>
              <w:rPr>
                <w:rFonts w:hint="eastAsia" w:ascii="宋体" w:hAnsi="宋体" w:eastAsia="宋体" w:cs="宋体"/>
                <w:color w:val="auto"/>
                <w:sz w:val="21"/>
                <w:szCs w:val="21"/>
                <w:highlight w:val="none"/>
              </w:rPr>
              <w:t>平整、整体感观</w:t>
            </w:r>
            <w:r>
              <w:rPr>
                <w:rFonts w:hint="eastAsia" w:hAnsi="宋体" w:cs="宋体"/>
                <w:color w:val="auto"/>
                <w:sz w:val="21"/>
                <w:szCs w:val="21"/>
                <w:highlight w:val="none"/>
                <w:lang w:eastAsia="zh-CN"/>
              </w:rPr>
              <w:t>一般</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hAnsi="宋体" w:cs="宋体"/>
                <w:color w:val="auto"/>
                <w:sz w:val="21"/>
                <w:szCs w:val="21"/>
                <w:highlight w:val="none"/>
                <w:lang w:eastAsia="zh-CN"/>
              </w:rPr>
              <w:t>未提供样品</w:t>
            </w:r>
            <w:r>
              <w:rPr>
                <w:rFonts w:hint="eastAsia" w:ascii="宋体" w:hAnsi="宋体" w:eastAsia="宋体" w:cs="宋体"/>
                <w:color w:val="auto"/>
                <w:sz w:val="21"/>
                <w:szCs w:val="21"/>
                <w:highlight w:val="none"/>
              </w:rPr>
              <w:t>及</w:t>
            </w:r>
            <w:r>
              <w:rPr>
                <w:rFonts w:hint="eastAsia" w:hAnsi="宋体" w:cs="宋体"/>
                <w:color w:val="auto"/>
                <w:sz w:val="21"/>
                <w:szCs w:val="21"/>
                <w:highlight w:val="none"/>
                <w:lang w:eastAsia="zh-CN"/>
              </w:rPr>
              <w:t>对应</w:t>
            </w:r>
            <w:r>
              <w:rPr>
                <w:rFonts w:hint="eastAsia" w:ascii="宋体" w:hAnsi="宋体" w:eastAsia="宋体" w:cs="宋体"/>
                <w:color w:val="auto"/>
                <w:sz w:val="21"/>
                <w:szCs w:val="21"/>
                <w:highlight w:val="none"/>
              </w:rPr>
              <w:t>款式、尺寸、材质未按招标文件要求者得0分</w:t>
            </w:r>
            <w:r>
              <w:rPr>
                <w:rFonts w:hint="eastAsia" w:hAnsi="宋体" w:cs="宋体"/>
                <w:color w:val="auto"/>
                <w:sz w:val="21"/>
                <w:szCs w:val="21"/>
                <w:highlight w:val="none"/>
                <w:lang w:eastAsia="zh-CN"/>
              </w:rPr>
              <w:t>；送交</w:t>
            </w:r>
            <w:r>
              <w:rPr>
                <w:rFonts w:hint="eastAsia" w:ascii="宋体" w:hAnsi="宋体" w:eastAsia="宋体" w:cs="宋体"/>
                <w:color w:val="auto"/>
                <w:sz w:val="21"/>
                <w:szCs w:val="21"/>
                <w:highlight w:val="none"/>
              </w:rPr>
              <w:t>样品</w:t>
            </w:r>
            <w:r>
              <w:rPr>
                <w:rFonts w:hint="eastAsia" w:hAnsi="宋体" w:cs="宋体"/>
                <w:color w:val="auto"/>
                <w:sz w:val="21"/>
                <w:szCs w:val="21"/>
                <w:highlight w:val="none"/>
                <w:lang w:eastAsia="zh-CN"/>
              </w:rPr>
              <w:t>样式较差，</w:t>
            </w:r>
            <w:r>
              <w:rPr>
                <w:rFonts w:hint="eastAsia" w:ascii="宋体" w:hAnsi="宋体" w:eastAsia="宋体" w:cs="宋体"/>
                <w:color w:val="auto"/>
                <w:sz w:val="21"/>
                <w:szCs w:val="21"/>
                <w:highlight w:val="none"/>
              </w:rPr>
              <w:t>材质</w:t>
            </w:r>
            <w:r>
              <w:rPr>
                <w:rFonts w:hint="eastAsia" w:hAnsi="宋体" w:cs="宋体"/>
                <w:color w:val="auto"/>
                <w:sz w:val="21"/>
                <w:szCs w:val="21"/>
                <w:highlight w:val="none"/>
                <w:lang w:eastAsia="zh-CN"/>
              </w:rPr>
              <w:t>不良，表面粗糙</w:t>
            </w:r>
            <w:r>
              <w:rPr>
                <w:rFonts w:hint="eastAsia" w:ascii="宋体" w:hAnsi="宋体" w:eastAsia="宋体" w:cs="宋体"/>
                <w:color w:val="auto"/>
                <w:sz w:val="21"/>
                <w:szCs w:val="21"/>
                <w:highlight w:val="none"/>
              </w:rPr>
              <w:t>、整体感观</w:t>
            </w:r>
            <w:r>
              <w:rPr>
                <w:rFonts w:hint="eastAsia" w:hAnsi="宋体" w:cs="宋体"/>
                <w:color w:val="auto"/>
                <w:sz w:val="21"/>
                <w:szCs w:val="21"/>
                <w:highlight w:val="none"/>
                <w:lang w:eastAsia="zh-CN"/>
              </w:rPr>
              <w:t>差</w:t>
            </w:r>
            <w:r>
              <w:rPr>
                <w:rFonts w:hint="eastAsia" w:ascii="宋体" w:hAnsi="宋体" w:eastAsia="宋体" w:cs="宋体"/>
                <w:color w:val="auto"/>
                <w:sz w:val="21"/>
                <w:szCs w:val="21"/>
                <w:highlight w:val="none"/>
              </w:rPr>
              <w:t>的，得0分；。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注：送交上述样品时，</w:t>
            </w:r>
            <w:r>
              <w:rPr>
                <w:rFonts w:hint="eastAsia" w:hAnsi="宋体" w:cs="宋体"/>
                <w:color w:val="auto"/>
                <w:sz w:val="21"/>
                <w:szCs w:val="21"/>
                <w:highlight w:val="none"/>
                <w:lang w:eastAsia="zh-CN"/>
              </w:rPr>
              <w:t>货物清单（一）、（二）需各</w:t>
            </w:r>
            <w:r>
              <w:rPr>
                <w:rFonts w:hint="eastAsia" w:ascii="宋体" w:hAnsi="宋体" w:eastAsia="宋体" w:cs="宋体"/>
                <w:color w:val="auto"/>
                <w:sz w:val="21"/>
                <w:szCs w:val="21"/>
                <w:highlight w:val="none"/>
              </w:rPr>
              <w:t>带一件。</w:t>
            </w:r>
          </w:p>
        </w:tc>
      </w:tr>
    </w:tbl>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color w:val="auto"/>
          <w:sz w:val="21"/>
          <w:szCs w:val="21"/>
          <w:highlight w:val="none"/>
        </w:rPr>
      </w:pPr>
      <w:r>
        <w:rPr>
          <w:rFonts w:hint="eastAsia" w:hAnsi="宋体"/>
          <w:bCs/>
          <w:color w:val="auto"/>
          <w:sz w:val="21"/>
          <w:szCs w:val="21"/>
          <w:highlight w:val="none"/>
        </w:rPr>
        <w:t>（3）若</w:t>
      </w:r>
      <w:r>
        <w:rPr>
          <w:rFonts w:hint="eastAsia" w:hAnsi="宋体"/>
          <w:bCs/>
          <w:color w:val="auto"/>
          <w:sz w:val="21"/>
          <w:szCs w:val="21"/>
          <w:highlight w:val="none"/>
          <w:lang w:eastAsia="zh-CN"/>
        </w:rPr>
        <w:t>成交</w:t>
      </w:r>
      <w:r>
        <w:rPr>
          <w:rFonts w:hint="eastAsia" w:hAnsi="宋体"/>
          <w:bCs/>
          <w:color w:val="auto"/>
          <w:sz w:val="21"/>
          <w:szCs w:val="21"/>
          <w:highlight w:val="none"/>
        </w:rPr>
        <w:t>将在发放成交通知书前逐一核对核查原件，请勿提供虚假、过期材料，否则将依据相关规定严肃处理。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四、技术评审</w:t>
      </w:r>
    </w:p>
    <w:p>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五、商务评审</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六、报价评审</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8"/>
        <w:tabs>
          <w:tab w:val="left" w:pos="1365"/>
        </w:tabs>
        <w:spacing w:line="360" w:lineRule="auto"/>
        <w:ind w:left="16" w:firstLine="422" w:firstLineChars="200"/>
        <w:rPr>
          <w:rFonts w:hAnsi="宋体"/>
          <w:b/>
          <w:color w:val="auto"/>
          <w:szCs w:val="21"/>
          <w:highlight w:val="none"/>
        </w:rPr>
      </w:pPr>
    </w:p>
    <w:p>
      <w:pPr>
        <w:pStyle w:val="28"/>
        <w:tabs>
          <w:tab w:val="left" w:pos="1365"/>
        </w:tabs>
        <w:spacing w:line="360" w:lineRule="auto"/>
        <w:ind w:left="16" w:firstLine="422" w:firstLineChars="200"/>
        <w:rPr>
          <w:rFonts w:hAnsi="宋体"/>
          <w:b/>
          <w:color w:val="auto"/>
          <w:szCs w:val="21"/>
          <w:highlight w:val="none"/>
        </w:rPr>
      </w:pPr>
      <w:r>
        <w:rPr>
          <w:rFonts w:hint="eastAsia" w:hAnsi="宋体"/>
          <w:b/>
          <w:color w:val="auto"/>
          <w:szCs w:val="21"/>
          <w:highlight w:val="none"/>
        </w:rPr>
        <w:t>七、综合得分的计算</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2.评审顺序按照顺序进行评审</w:t>
      </w:r>
      <w:r>
        <w:rPr>
          <w:rFonts w:hint="eastAsia" w:hAnsi="宋体"/>
          <w:color w:val="auto"/>
          <w:sz w:val="21"/>
          <w:szCs w:val="21"/>
          <w:highlight w:val="none"/>
          <w:lang w:eastAsia="zh-CN"/>
        </w:rPr>
        <w:t>。</w:t>
      </w:r>
      <w:r>
        <w:rPr>
          <w:rFonts w:hint="eastAsia" w:hAnsi="宋体"/>
          <w:color w:val="auto"/>
          <w:sz w:val="21"/>
          <w:szCs w:val="21"/>
          <w:highlight w:val="none"/>
        </w:rPr>
        <w:t>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color w:val="auto"/>
          <w:highlight w:val="none"/>
          <w:lang w:val="zh-CN"/>
        </w:rPr>
      </w:pPr>
    </w:p>
    <w:p>
      <w:pPr>
        <w:pStyle w:val="3"/>
        <w:keepNext/>
        <w:keepLines/>
        <w:pageBreakBefore/>
        <w:numPr>
          <w:ilvl w:val="0"/>
          <w:numId w:val="14"/>
        </w:numPr>
        <w:spacing w:line="360" w:lineRule="auto"/>
        <w:jc w:val="center"/>
        <w:rPr>
          <w:rFonts w:hAnsi="宋体"/>
          <w:b/>
          <w:bCs/>
          <w:color w:val="auto"/>
          <w:highlight w:val="none"/>
        </w:rPr>
      </w:pPr>
      <w:bookmarkStart w:id="145" w:name="_Toc15636"/>
      <w:r>
        <w:rPr>
          <w:rFonts w:hint="eastAsia" w:hAnsi="宋体"/>
          <w:b/>
          <w:bCs/>
          <w:color w:val="auto"/>
          <w:kern w:val="44"/>
          <w:sz w:val="28"/>
          <w:szCs w:val="28"/>
          <w:highlight w:val="none"/>
          <w:lang w:val="zh-CN"/>
        </w:rPr>
        <w:t>合同条款格式</w:t>
      </w:r>
      <w:bookmarkEnd w:id="145"/>
    </w:p>
    <w:p>
      <w:pPr>
        <w:rPr>
          <w:rFonts w:hint="eastAsia" w:eastAsia="宋体"/>
          <w:color w:val="auto"/>
          <w:highlight w:val="none"/>
          <w:lang w:val="en-US" w:eastAsia="zh-CN"/>
        </w:rPr>
      </w:pPr>
    </w:p>
    <w:p>
      <w:pPr>
        <w:shd w:val="clear" w:color="auto" w:fill="auto"/>
        <w:jc w:val="center"/>
        <w:rPr>
          <w:rFonts w:hint="eastAsia" w:hAnsi="宋体"/>
          <w:b/>
          <w:color w:val="auto"/>
          <w:sz w:val="52"/>
          <w:szCs w:val="52"/>
          <w:highlight w:val="none"/>
        </w:rPr>
      </w:pPr>
      <w:r>
        <w:rPr>
          <w:rFonts w:hint="eastAsia" w:hAnsi="宋体"/>
          <w:b/>
          <w:color w:val="auto"/>
          <w:sz w:val="52"/>
          <w:szCs w:val="52"/>
          <w:highlight w:val="none"/>
        </w:rPr>
        <w:t>合  同  书</w:t>
      </w:r>
    </w:p>
    <w:p>
      <w:pPr>
        <w:shd w:val="clear" w:color="auto" w:fill="auto"/>
        <w:jc w:val="center"/>
        <w:rPr>
          <w:rFonts w:hint="eastAsia" w:hAnsi="宋体"/>
          <w:b/>
          <w:color w:val="auto"/>
          <w:sz w:val="52"/>
          <w:szCs w:val="52"/>
          <w:highlight w:val="none"/>
        </w:rPr>
      </w:pPr>
    </w:p>
    <w:p>
      <w:pPr>
        <w:shd w:val="clear" w:color="auto" w:fill="auto"/>
        <w:jc w:val="center"/>
        <w:rPr>
          <w:rFonts w:hAnsi="宋体"/>
          <w:color w:val="auto"/>
          <w:highlight w:val="none"/>
        </w:rPr>
      </w:pPr>
    </w:p>
    <w:p>
      <w:pPr>
        <w:shd w:val="clear" w:color="auto" w:fill="auto"/>
        <w:jc w:val="center"/>
        <w:rPr>
          <w:rFonts w:ascii="黑体" w:hAnsi="宋体" w:eastAsia="黑体"/>
          <w:b/>
          <w:color w:val="auto"/>
          <w:sz w:val="48"/>
          <w:highlight w:val="none"/>
        </w:rPr>
      </w:pPr>
    </w:p>
    <w:p>
      <w:pPr>
        <w:shd w:val="clear" w:color="auto" w:fill="auto"/>
        <w:jc w:val="center"/>
        <w:rPr>
          <w:rFonts w:hint="eastAsia" w:hAnsi="宋体"/>
          <w:color w:val="auto"/>
          <w:sz w:val="48"/>
          <w:highlight w:val="none"/>
        </w:rPr>
      </w:pPr>
      <w:r>
        <w:rPr>
          <w:rFonts w:hint="eastAsia" w:hAnsi="宋体"/>
          <w:color w:val="auto"/>
          <w:sz w:val="48"/>
          <w:highlight w:val="none"/>
        </w:rPr>
        <w:t xml:space="preserve">  </w:t>
      </w:r>
    </w:p>
    <w:p>
      <w:pPr>
        <w:shd w:val="clear" w:color="auto" w:fill="auto"/>
        <w:jc w:val="center"/>
        <w:rPr>
          <w:rFonts w:hint="eastAsia" w:hAnsi="宋体"/>
          <w:color w:val="auto"/>
          <w:sz w:val="48"/>
          <w:highlight w:val="none"/>
        </w:rPr>
      </w:pPr>
    </w:p>
    <w:p>
      <w:pPr>
        <w:shd w:val="clear" w:color="auto" w:fill="auto"/>
        <w:jc w:val="center"/>
        <w:rPr>
          <w:rFonts w:hint="eastAsia" w:hAnsi="宋体"/>
          <w:color w:val="auto"/>
          <w:sz w:val="48"/>
          <w:highlight w:val="none"/>
        </w:rPr>
      </w:pPr>
    </w:p>
    <w:p>
      <w:pPr>
        <w:shd w:val="clear" w:color="auto" w:fill="auto"/>
        <w:jc w:val="center"/>
        <w:rPr>
          <w:rFonts w:hint="eastAsia" w:hAnsi="宋体"/>
          <w:color w:val="auto"/>
          <w:sz w:val="48"/>
          <w:highlight w:val="none"/>
        </w:rPr>
      </w:pPr>
    </w:p>
    <w:p>
      <w:pPr>
        <w:shd w:val="clear" w:color="auto" w:fill="auto"/>
        <w:jc w:val="center"/>
        <w:rPr>
          <w:rFonts w:hAnsi="宋体"/>
          <w:color w:val="auto"/>
          <w:sz w:val="44"/>
          <w:szCs w:val="21"/>
          <w:highlight w:val="none"/>
        </w:rPr>
      </w:pPr>
    </w:p>
    <w:p>
      <w:pPr>
        <w:shd w:val="clear" w:color="auto" w:fill="auto"/>
        <w:spacing w:line="360" w:lineRule="auto"/>
        <w:ind w:firstLine="1680" w:firstLineChars="525"/>
        <w:rPr>
          <w:rFonts w:hAnsi="宋体"/>
          <w:color w:val="auto"/>
          <w:sz w:val="32"/>
          <w:highlight w:val="none"/>
          <w:u w:val="single"/>
        </w:rPr>
      </w:pPr>
      <w:r>
        <w:rPr>
          <w:rFonts w:hint="eastAsia" w:hAnsi="宋体"/>
          <w:color w:val="auto"/>
          <w:sz w:val="32"/>
          <w:highlight w:val="none"/>
        </w:rPr>
        <w:t>项目名称：</w:t>
      </w:r>
      <w:r>
        <w:rPr>
          <w:rFonts w:hAnsi="宋体"/>
          <w:color w:val="auto"/>
          <w:sz w:val="32"/>
          <w:highlight w:val="none"/>
          <w:u w:val="single"/>
        </w:rPr>
        <w:t xml:space="preserve">                   </w:t>
      </w:r>
      <w:r>
        <w:rPr>
          <w:rFonts w:hAnsi="宋体"/>
          <w:color w:val="auto"/>
          <w:highlight w:val="none"/>
          <w:u w:val="single"/>
        </w:rPr>
        <w:t xml:space="preserve">        </w:t>
      </w:r>
      <w:r>
        <w:rPr>
          <w:color w:val="auto"/>
          <w:highlight w:val="none"/>
          <w:u w:val="single"/>
        </w:rPr>
        <w:t xml:space="preserve">    </w:t>
      </w:r>
    </w:p>
    <w:p>
      <w:pPr>
        <w:shd w:val="clear" w:color="auto" w:fill="auto"/>
        <w:spacing w:line="360" w:lineRule="auto"/>
        <w:ind w:firstLine="1478" w:firstLineChars="462"/>
        <w:rPr>
          <w:rFonts w:hAnsi="宋体"/>
          <w:color w:val="auto"/>
          <w:sz w:val="32"/>
          <w:highlight w:val="none"/>
          <w:u w:val="single"/>
        </w:rPr>
      </w:pPr>
      <w:r>
        <w:rPr>
          <w:rFonts w:hint="eastAsia" w:hAnsi="宋体"/>
          <w:color w:val="auto"/>
          <w:sz w:val="32"/>
          <w:highlight w:val="none"/>
        </w:rPr>
        <w:t xml:space="preserve"> 合同编号：</w:t>
      </w:r>
      <w:r>
        <w:rPr>
          <w:rFonts w:hAnsi="宋体"/>
          <w:color w:val="auto"/>
          <w:sz w:val="32"/>
          <w:highlight w:val="none"/>
          <w:u w:val="single"/>
        </w:rPr>
        <w:t xml:space="preserve">                       </w:t>
      </w:r>
    </w:p>
    <w:p>
      <w:pPr>
        <w:shd w:val="clear" w:color="auto" w:fill="auto"/>
        <w:spacing w:line="360" w:lineRule="auto"/>
        <w:ind w:firstLine="1478" w:firstLineChars="462"/>
        <w:rPr>
          <w:rFonts w:hAnsi="宋体"/>
          <w:color w:val="auto"/>
          <w:sz w:val="32"/>
          <w:highlight w:val="none"/>
          <w:u w:val="single"/>
        </w:rPr>
      </w:pPr>
      <w:r>
        <w:rPr>
          <w:rFonts w:hAnsi="宋体"/>
          <w:color w:val="auto"/>
          <w:sz w:val="32"/>
          <w:highlight w:val="none"/>
        </w:rPr>
        <w:t xml:space="preserve"> </w:t>
      </w:r>
      <w:r>
        <w:rPr>
          <w:rFonts w:hint="eastAsia" w:hAnsi="宋体"/>
          <w:color w:val="auto"/>
          <w:sz w:val="32"/>
          <w:highlight w:val="none"/>
        </w:rPr>
        <w:t>签订地点：</w:t>
      </w:r>
      <w:r>
        <w:rPr>
          <w:rFonts w:hAnsi="宋体"/>
          <w:color w:val="auto"/>
          <w:sz w:val="32"/>
          <w:highlight w:val="none"/>
          <w:u w:val="single"/>
        </w:rPr>
        <w:t xml:space="preserve">              </w:t>
      </w:r>
      <w:r>
        <w:rPr>
          <w:rFonts w:hAnsi="宋体"/>
          <w:color w:val="auto"/>
          <w:highlight w:val="none"/>
          <w:u w:val="single"/>
        </w:rPr>
        <w:t xml:space="preserve">     </w:t>
      </w:r>
      <w:r>
        <w:rPr>
          <w:rFonts w:hAnsi="宋体"/>
          <w:color w:val="auto"/>
          <w:sz w:val="32"/>
          <w:highlight w:val="none"/>
          <w:u w:val="single"/>
        </w:rPr>
        <w:t xml:space="preserve">          </w:t>
      </w:r>
    </w:p>
    <w:p>
      <w:pPr>
        <w:shd w:val="clear" w:color="auto" w:fill="auto"/>
        <w:ind w:firstLine="1478" w:firstLineChars="462"/>
        <w:jc w:val="center"/>
        <w:rPr>
          <w:rFonts w:hAnsi="宋体"/>
          <w:color w:val="auto"/>
          <w:sz w:val="32"/>
          <w:highlight w:val="none"/>
        </w:rPr>
      </w:pPr>
    </w:p>
    <w:p>
      <w:pPr>
        <w:shd w:val="clear" w:color="auto" w:fill="auto"/>
        <w:rPr>
          <w:rFonts w:hAnsi="宋体"/>
          <w:color w:val="auto"/>
          <w:sz w:val="22"/>
          <w:highlight w:val="none"/>
        </w:rPr>
      </w:pPr>
    </w:p>
    <w:p>
      <w:pPr>
        <w:shd w:val="clear" w:color="auto" w:fill="auto"/>
        <w:rPr>
          <w:rFonts w:hAnsi="宋体"/>
          <w:color w:val="auto"/>
          <w:sz w:val="32"/>
          <w:highlight w:val="none"/>
        </w:rPr>
      </w:pPr>
    </w:p>
    <w:p>
      <w:pPr>
        <w:shd w:val="clear" w:color="auto" w:fill="auto"/>
        <w:tabs>
          <w:tab w:val="left" w:pos="0"/>
        </w:tabs>
        <w:spacing w:line="360" w:lineRule="auto"/>
        <w:jc w:val="center"/>
        <w:rPr>
          <w:rFonts w:hint="eastAsia" w:hAnsi="宋体"/>
          <w:color w:val="auto"/>
          <w:sz w:val="32"/>
          <w:highlight w:val="none"/>
        </w:rPr>
      </w:pPr>
      <w:r>
        <w:rPr>
          <w:rFonts w:hint="eastAsia" w:hAnsi="宋体"/>
          <w:color w:val="auto"/>
          <w:sz w:val="32"/>
          <w:highlight w:val="none"/>
        </w:rPr>
        <w:t>二○    年</w:t>
      </w:r>
      <w:r>
        <w:rPr>
          <w:rFonts w:hAnsi="宋体"/>
          <w:color w:val="auto"/>
          <w:sz w:val="32"/>
          <w:highlight w:val="none"/>
        </w:rPr>
        <w:t xml:space="preserve">    月    日</w:t>
      </w:r>
    </w:p>
    <w:p>
      <w:pPr>
        <w:shd w:val="clear" w:color="auto" w:fill="auto"/>
        <w:tabs>
          <w:tab w:val="left" w:pos="0"/>
        </w:tabs>
        <w:spacing w:line="360" w:lineRule="auto"/>
        <w:jc w:val="center"/>
        <w:rPr>
          <w:rFonts w:hint="eastAsia"/>
          <w:color w:val="auto"/>
          <w:highlight w:val="none"/>
        </w:rPr>
      </w:pPr>
    </w:p>
    <w:p>
      <w:pPr>
        <w:shd w:val="clear" w:color="auto" w:fill="auto"/>
        <w:tabs>
          <w:tab w:val="left" w:pos="0"/>
        </w:tabs>
        <w:spacing w:line="360" w:lineRule="auto"/>
        <w:jc w:val="center"/>
        <w:rPr>
          <w:rFonts w:hint="eastAsia"/>
          <w:color w:val="auto"/>
          <w:highlight w:val="none"/>
        </w:rPr>
      </w:pPr>
    </w:p>
    <w:p>
      <w:pPr>
        <w:shd w:val="clear" w:color="auto" w:fill="auto"/>
        <w:tabs>
          <w:tab w:val="left" w:pos="0"/>
        </w:tabs>
        <w:spacing w:line="360" w:lineRule="auto"/>
        <w:jc w:val="center"/>
        <w:rPr>
          <w:rFonts w:hint="eastAsia"/>
          <w:color w:val="auto"/>
          <w:highlight w:val="none"/>
        </w:rPr>
      </w:pPr>
    </w:p>
    <w:p>
      <w:pPr>
        <w:shd w:val="clear" w:color="auto" w:fill="auto"/>
        <w:tabs>
          <w:tab w:val="left" w:pos="0"/>
        </w:tabs>
        <w:spacing w:line="360" w:lineRule="auto"/>
        <w:jc w:val="center"/>
        <w:rPr>
          <w:rFonts w:hint="eastAsia"/>
          <w:color w:val="auto"/>
          <w:highlight w:val="none"/>
        </w:rPr>
      </w:pPr>
    </w:p>
    <w:p>
      <w:pPr>
        <w:shd w:val="clear" w:color="auto" w:fill="auto"/>
        <w:tabs>
          <w:tab w:val="left" w:pos="0"/>
        </w:tabs>
        <w:spacing w:line="360" w:lineRule="auto"/>
        <w:jc w:val="center"/>
        <w:rPr>
          <w:rFonts w:hint="eastAsia"/>
          <w:color w:val="auto"/>
          <w:highlight w:val="none"/>
        </w:rPr>
      </w:pPr>
    </w:p>
    <w:p>
      <w:pPr>
        <w:shd w:val="clear" w:color="auto" w:fill="auto"/>
        <w:spacing w:line="440" w:lineRule="exact"/>
        <w:rPr>
          <w:rFonts w:hint="eastAsia" w:hAnsi="宋体" w:cs="宋体"/>
          <w:color w:val="auto"/>
          <w:sz w:val="21"/>
          <w:szCs w:val="21"/>
          <w:highlight w:val="none"/>
        </w:rPr>
      </w:pPr>
      <w:r>
        <w:rPr>
          <w:rFonts w:hint="eastAsia" w:hAnsi="宋体" w:cs="宋体"/>
          <w:color w:val="auto"/>
          <w:sz w:val="21"/>
          <w:szCs w:val="21"/>
          <w:highlight w:val="none"/>
        </w:rPr>
        <w:t xml:space="preserve">甲方：（采购人）                     </w:t>
      </w:r>
    </w:p>
    <w:p>
      <w:pPr>
        <w:shd w:val="clear" w:color="auto" w:fill="auto"/>
        <w:spacing w:line="440" w:lineRule="exact"/>
        <w:rPr>
          <w:rFonts w:hint="eastAsia" w:hAnsi="宋体" w:cs="宋体"/>
          <w:color w:val="auto"/>
          <w:sz w:val="21"/>
          <w:szCs w:val="21"/>
          <w:highlight w:val="none"/>
        </w:rPr>
      </w:pPr>
      <w:r>
        <w:rPr>
          <w:rFonts w:hint="eastAsia" w:hAnsi="宋体" w:cs="宋体"/>
          <w:color w:val="auto"/>
          <w:sz w:val="21"/>
          <w:szCs w:val="21"/>
          <w:highlight w:val="none"/>
        </w:rPr>
        <w:t>乙方：（</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w:t>
      </w:r>
    </w:p>
    <w:p>
      <w:pPr>
        <w:shd w:val="clear" w:color="auto" w:fill="auto"/>
        <w:spacing w:line="440" w:lineRule="exact"/>
        <w:ind w:firstLine="420" w:firstLineChars="200"/>
        <w:rPr>
          <w:rFonts w:hint="eastAsia" w:hAnsi="宋体" w:cs="宋体"/>
          <w:color w:val="auto"/>
          <w:sz w:val="21"/>
          <w:szCs w:val="21"/>
          <w:highlight w:val="none"/>
        </w:rPr>
      </w:pP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受甲方委托，</w:t>
      </w:r>
      <w:r>
        <w:rPr>
          <w:rFonts w:hint="eastAsia" w:cs="宋体"/>
          <w:color w:val="auto"/>
          <w:sz w:val="21"/>
          <w:szCs w:val="21"/>
          <w:highlight w:val="none"/>
          <w:u w:val="single"/>
        </w:rPr>
        <w:t xml:space="preserve">           (采购代理机构)</w:t>
      </w:r>
      <w:r>
        <w:rPr>
          <w:rFonts w:hint="eastAsia" w:cs="宋体"/>
          <w:color w:val="auto"/>
          <w:sz w:val="21"/>
          <w:szCs w:val="21"/>
          <w:highlight w:val="none"/>
        </w:rPr>
        <w:t>组织对</w:t>
      </w:r>
      <w:r>
        <w:rPr>
          <w:rFonts w:hint="eastAsia" w:cs="宋体"/>
          <w:color w:val="auto"/>
          <w:sz w:val="21"/>
          <w:szCs w:val="21"/>
          <w:highlight w:val="none"/>
          <w:u w:val="single"/>
        </w:rPr>
        <w:t xml:space="preserve">         （项目名称）</w:t>
      </w:r>
      <w:r>
        <w:rPr>
          <w:rFonts w:hint="eastAsia" w:cs="宋体"/>
          <w:color w:val="auto"/>
          <w:sz w:val="21"/>
          <w:szCs w:val="21"/>
          <w:highlight w:val="none"/>
        </w:rPr>
        <w:t>采购项目（采购编号为</w:t>
      </w:r>
      <w:r>
        <w:rPr>
          <w:rFonts w:hint="eastAsia" w:cs="宋体"/>
          <w:color w:val="auto"/>
          <w:sz w:val="21"/>
          <w:szCs w:val="21"/>
          <w:highlight w:val="none"/>
          <w:u w:val="single"/>
        </w:rPr>
        <w:t xml:space="preserve">       </w:t>
      </w:r>
      <w:r>
        <w:rPr>
          <w:rFonts w:hint="eastAsia" w:cs="宋体"/>
          <w:color w:val="auto"/>
          <w:sz w:val="21"/>
          <w:szCs w:val="21"/>
          <w:highlight w:val="none"/>
        </w:rPr>
        <w:t>）进行采购，于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日通过公开招标，经评标委员会评定乙方</w:t>
      </w:r>
      <w:r>
        <w:rPr>
          <w:rFonts w:hint="eastAsia" w:cs="宋体"/>
          <w:color w:val="auto"/>
          <w:sz w:val="21"/>
          <w:szCs w:val="21"/>
          <w:highlight w:val="none"/>
          <w:u w:val="single"/>
        </w:rPr>
        <w:t xml:space="preserve">      </w:t>
      </w:r>
      <w:r>
        <w:rPr>
          <w:rFonts w:hint="eastAsia" w:cs="宋体"/>
          <w:color w:val="auto"/>
          <w:sz w:val="21"/>
          <w:szCs w:val="21"/>
          <w:highlight w:val="none"/>
        </w:rPr>
        <w:t>为</w:t>
      </w:r>
      <w:r>
        <w:rPr>
          <w:rFonts w:hint="eastAsia" w:cs="宋体"/>
          <w:color w:val="auto"/>
          <w:sz w:val="21"/>
          <w:szCs w:val="21"/>
          <w:highlight w:val="none"/>
          <w:lang w:eastAsia="zh-CN"/>
        </w:rPr>
        <w:t>成交人</w:t>
      </w:r>
      <w:r>
        <w:rPr>
          <w:rFonts w:hint="eastAsia" w:cs="宋体"/>
          <w:color w:val="auto"/>
          <w:sz w:val="21"/>
          <w:szCs w:val="21"/>
          <w:highlight w:val="none"/>
        </w:rPr>
        <w:t>。为了保护甲乙双方合法权益，根据《中华人民共和国民法典》等有关法律法规的规定，在平等自愿的基础上，甲乙双方按照下面的条款和条件，签署本合同。</w:t>
      </w:r>
    </w:p>
    <w:p>
      <w:pPr>
        <w:pStyle w:val="47"/>
        <w:shd w:val="clear" w:color="auto" w:fill="auto"/>
        <w:spacing w:line="440" w:lineRule="exact"/>
        <w:ind w:firstLine="422" w:firstLineChars="200"/>
        <w:rPr>
          <w:rFonts w:hint="eastAsia" w:cs="宋体"/>
          <w:b/>
          <w:color w:val="auto"/>
          <w:sz w:val="21"/>
          <w:szCs w:val="21"/>
          <w:highlight w:val="none"/>
        </w:rPr>
      </w:pPr>
      <w:r>
        <w:rPr>
          <w:rFonts w:hint="eastAsia" w:cs="宋体"/>
          <w:b/>
          <w:color w:val="auto"/>
          <w:sz w:val="21"/>
          <w:szCs w:val="21"/>
          <w:highlight w:val="none"/>
        </w:rPr>
        <w:t xml:space="preserve">一、合同组成及合同总价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1.1 合同文件组成内容包括：1、本合同书 ，2、补充协议或者双方签订的备忘录、会议纪要，3、中标通知书，4、投标文件（含澄清内容），5招标文件（含招标文件澄清通知）等。</w:t>
      </w:r>
    </w:p>
    <w:p>
      <w:pPr>
        <w:pStyle w:val="47"/>
        <w:shd w:val="clear" w:color="auto" w:fill="auto"/>
        <w:spacing w:line="440" w:lineRule="exact"/>
        <w:ind w:firstLine="420" w:firstLineChars="200"/>
        <w:rPr>
          <w:rFonts w:cs="宋体"/>
          <w:color w:val="auto"/>
          <w:sz w:val="21"/>
          <w:szCs w:val="21"/>
          <w:highlight w:val="none"/>
        </w:rPr>
      </w:pPr>
      <w:r>
        <w:rPr>
          <w:rFonts w:hint="eastAsia" w:cs="宋体"/>
          <w:color w:val="auto"/>
          <w:sz w:val="21"/>
          <w:szCs w:val="21"/>
          <w:highlight w:val="none"/>
        </w:rPr>
        <w:t>合同文件内容有冲突的，按照上述顺序优先解释，同一顺序内容有冲突的，以最后签署日期的文件优先。</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1.2</w:t>
      </w:r>
      <w:r>
        <w:rPr>
          <w:rFonts w:cs="宋体"/>
          <w:color w:val="auto"/>
          <w:sz w:val="21"/>
          <w:szCs w:val="21"/>
          <w:highlight w:val="none"/>
        </w:rPr>
        <w:t xml:space="preserve"> </w:t>
      </w:r>
      <w:r>
        <w:rPr>
          <w:rFonts w:hint="eastAsia" w:cs="宋体"/>
          <w:color w:val="auto"/>
          <w:sz w:val="21"/>
          <w:szCs w:val="21"/>
          <w:highlight w:val="none"/>
        </w:rPr>
        <w:t>货物需求收货标准一览表及技术规格:乙方按甲方要求打版各一套并</w:t>
      </w:r>
      <w:r>
        <w:rPr>
          <w:rFonts w:hint="eastAsia" w:cs="宋体"/>
          <w:color w:val="auto"/>
          <w:sz w:val="21"/>
          <w:szCs w:val="21"/>
          <w:highlight w:val="none"/>
          <w:lang w:val="en-US" w:eastAsia="zh-CN"/>
        </w:rPr>
        <w:t>安装</w:t>
      </w:r>
      <w:r>
        <w:rPr>
          <w:rFonts w:hint="eastAsia" w:cs="宋体"/>
          <w:color w:val="auto"/>
          <w:sz w:val="21"/>
          <w:szCs w:val="21"/>
          <w:highlight w:val="none"/>
        </w:rPr>
        <w:t>到</w:t>
      </w:r>
      <w:r>
        <w:rPr>
          <w:rFonts w:hint="eastAsia" w:cs="宋体"/>
          <w:color w:val="auto"/>
          <w:sz w:val="21"/>
          <w:szCs w:val="21"/>
          <w:highlight w:val="none"/>
          <w:lang w:val="en-US" w:eastAsia="zh-CN"/>
        </w:rPr>
        <w:t>指定</w:t>
      </w:r>
      <w:r>
        <w:rPr>
          <w:rFonts w:hint="eastAsia" w:cs="宋体"/>
          <w:color w:val="auto"/>
          <w:sz w:val="21"/>
          <w:szCs w:val="21"/>
          <w:highlight w:val="none"/>
        </w:rPr>
        <w:t>位</w:t>
      </w:r>
      <w:r>
        <w:rPr>
          <w:rFonts w:hint="eastAsia" w:cs="宋体"/>
          <w:color w:val="auto"/>
          <w:sz w:val="21"/>
          <w:szCs w:val="21"/>
          <w:highlight w:val="none"/>
          <w:lang w:val="en-US" w:eastAsia="zh-CN"/>
        </w:rPr>
        <w:t>置</w:t>
      </w:r>
      <w:r>
        <w:rPr>
          <w:rFonts w:hint="eastAsia" w:cs="宋体"/>
          <w:color w:val="auto"/>
          <w:sz w:val="21"/>
          <w:szCs w:val="21"/>
          <w:highlight w:val="none"/>
        </w:rPr>
        <w:t>，甲乙双方样板签字确认后，按合同数量，样板材质，颜色，规格，摆放位置等要求再批量生产如期交货。</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lang w:val="en-US" w:eastAsia="zh-CN"/>
        </w:rPr>
        <w:t>1.2.1</w:t>
      </w:r>
      <w:r>
        <w:rPr>
          <w:rFonts w:hint="eastAsia" w:cs="宋体"/>
          <w:color w:val="auto"/>
          <w:sz w:val="21"/>
          <w:szCs w:val="21"/>
          <w:highlight w:val="none"/>
        </w:rPr>
        <w:t>货物总体要求</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1</w:t>
      </w:r>
      <w:r>
        <w:rPr>
          <w:rFonts w:hint="eastAsia" w:cs="宋体"/>
          <w:color w:val="auto"/>
          <w:sz w:val="21"/>
          <w:szCs w:val="21"/>
          <w:highlight w:val="none"/>
          <w:lang w:eastAsia="zh-CN"/>
        </w:rPr>
        <w:t>）乙方</w:t>
      </w:r>
      <w:r>
        <w:rPr>
          <w:rFonts w:hint="eastAsia" w:cs="宋体"/>
          <w:color w:val="auto"/>
          <w:sz w:val="21"/>
          <w:szCs w:val="21"/>
          <w:highlight w:val="none"/>
        </w:rPr>
        <w:t>所投货物必须是原装、全新的产品，符合国家以及该产品的出厂标准。</w:t>
      </w:r>
    </w:p>
    <w:p>
      <w:pPr>
        <w:pStyle w:val="47"/>
        <w:shd w:val="clear" w:color="auto" w:fill="auto"/>
        <w:spacing w:line="440" w:lineRule="exact"/>
        <w:ind w:firstLine="420" w:firstLineChars="200"/>
        <w:rPr>
          <w:rFonts w:hint="eastAsia" w:cs="宋体"/>
          <w:color w:val="auto"/>
          <w:sz w:val="21"/>
          <w:szCs w:val="21"/>
          <w:highlight w:val="none"/>
          <w:lang w:eastAsia="zh-CN"/>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2</w:t>
      </w:r>
      <w:r>
        <w:rPr>
          <w:rFonts w:hint="eastAsia" w:cs="宋体"/>
          <w:color w:val="auto"/>
          <w:sz w:val="21"/>
          <w:szCs w:val="21"/>
          <w:highlight w:val="none"/>
          <w:lang w:eastAsia="zh-CN"/>
        </w:rPr>
        <w:t>）</w:t>
      </w:r>
      <w:r>
        <w:rPr>
          <w:rFonts w:hint="eastAsia" w:cs="宋体"/>
          <w:color w:val="auto"/>
          <w:sz w:val="21"/>
          <w:szCs w:val="21"/>
          <w:highlight w:val="none"/>
        </w:rPr>
        <w:t>实际供货时将根据现场情况和实际使用功能作调整，如材料、规格、产品的效果图等的要求，</w:t>
      </w:r>
      <w:r>
        <w:rPr>
          <w:rFonts w:hint="eastAsia" w:cs="宋体"/>
          <w:color w:val="auto"/>
          <w:sz w:val="21"/>
          <w:szCs w:val="21"/>
          <w:highlight w:val="none"/>
          <w:lang w:eastAsia="zh-CN"/>
        </w:rPr>
        <w:t>乙方</w:t>
      </w:r>
      <w:r>
        <w:rPr>
          <w:rFonts w:hint="eastAsia" w:cs="宋体"/>
          <w:color w:val="auto"/>
          <w:sz w:val="21"/>
          <w:szCs w:val="21"/>
          <w:highlight w:val="none"/>
        </w:rPr>
        <w:t>须无条件配合</w:t>
      </w:r>
      <w:r>
        <w:rPr>
          <w:rFonts w:hint="eastAsia" w:cs="宋体"/>
          <w:color w:val="auto"/>
          <w:sz w:val="21"/>
          <w:szCs w:val="21"/>
          <w:highlight w:val="none"/>
          <w:lang w:eastAsia="zh-CN"/>
        </w:rPr>
        <w:t>甲方</w:t>
      </w:r>
      <w:r>
        <w:rPr>
          <w:rFonts w:hint="eastAsia" w:cs="宋体"/>
          <w:color w:val="auto"/>
          <w:sz w:val="21"/>
          <w:szCs w:val="21"/>
          <w:highlight w:val="none"/>
        </w:rPr>
        <w:t>的要求调整方案。最终供货方案经</w:t>
      </w:r>
      <w:r>
        <w:rPr>
          <w:rFonts w:hint="eastAsia" w:cs="宋体"/>
          <w:color w:val="auto"/>
          <w:sz w:val="21"/>
          <w:szCs w:val="21"/>
          <w:highlight w:val="none"/>
          <w:lang w:eastAsia="zh-CN"/>
        </w:rPr>
        <w:t>甲方</w:t>
      </w:r>
      <w:r>
        <w:rPr>
          <w:rFonts w:hint="eastAsia" w:cs="宋体"/>
          <w:color w:val="auto"/>
          <w:sz w:val="21"/>
          <w:szCs w:val="21"/>
          <w:highlight w:val="none"/>
        </w:rPr>
        <w:t>确认成品样板或产品效果图后，方可正式实施生产供货</w:t>
      </w:r>
      <w:r>
        <w:rPr>
          <w:rFonts w:hint="eastAsia" w:cs="宋体"/>
          <w:color w:val="auto"/>
          <w:sz w:val="21"/>
          <w:szCs w:val="21"/>
          <w:highlight w:val="none"/>
          <w:lang w:eastAsia="zh-CN"/>
        </w:rPr>
        <w:t>，所涉及的一切费用由乙方承担。</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3</w:t>
      </w:r>
      <w:r>
        <w:rPr>
          <w:rFonts w:hint="eastAsia" w:cs="宋体"/>
          <w:color w:val="auto"/>
          <w:sz w:val="21"/>
          <w:szCs w:val="21"/>
          <w:highlight w:val="none"/>
          <w:lang w:eastAsia="zh-CN"/>
        </w:rPr>
        <w:t>）乙方</w:t>
      </w:r>
      <w:r>
        <w:rPr>
          <w:rFonts w:hint="eastAsia" w:cs="宋体"/>
          <w:color w:val="auto"/>
          <w:sz w:val="21"/>
          <w:szCs w:val="21"/>
          <w:highlight w:val="none"/>
        </w:rPr>
        <w:t>所投货物必须使用环保材料并符合国家环保要求及标准。</w:t>
      </w:r>
    </w:p>
    <w:p>
      <w:pPr>
        <w:pStyle w:val="47"/>
        <w:shd w:val="clear" w:color="auto" w:fill="auto"/>
        <w:spacing w:line="440" w:lineRule="exact"/>
        <w:ind w:firstLine="420" w:firstLineChars="200"/>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cs="宋体"/>
          <w:color w:val="auto"/>
          <w:sz w:val="21"/>
          <w:szCs w:val="21"/>
          <w:highlight w:val="none"/>
        </w:rPr>
        <w:t>签定合同后，</w:t>
      </w:r>
      <w:r>
        <w:rPr>
          <w:rFonts w:hint="eastAsia" w:cs="宋体"/>
          <w:color w:val="auto"/>
          <w:sz w:val="21"/>
          <w:szCs w:val="21"/>
          <w:highlight w:val="none"/>
          <w:lang w:eastAsia="zh-CN"/>
        </w:rPr>
        <w:t>乙方须无条件配合甲方</w:t>
      </w:r>
      <w:r>
        <w:rPr>
          <w:rFonts w:hint="eastAsia" w:cs="宋体"/>
          <w:color w:val="auto"/>
          <w:sz w:val="21"/>
          <w:szCs w:val="21"/>
          <w:highlight w:val="none"/>
        </w:rPr>
        <w:t>到</w:t>
      </w:r>
      <w:r>
        <w:rPr>
          <w:rFonts w:hint="eastAsia" w:cs="宋体"/>
          <w:color w:val="auto"/>
          <w:sz w:val="21"/>
          <w:szCs w:val="21"/>
          <w:highlight w:val="none"/>
          <w:lang w:eastAsia="zh-CN"/>
        </w:rPr>
        <w:t>其生产</w:t>
      </w:r>
      <w:r>
        <w:rPr>
          <w:rFonts w:hint="eastAsia" w:cs="宋体"/>
          <w:color w:val="auto"/>
          <w:sz w:val="21"/>
          <w:szCs w:val="21"/>
          <w:highlight w:val="none"/>
        </w:rPr>
        <w:t>加工现场就</w:t>
      </w:r>
      <w:r>
        <w:rPr>
          <w:rFonts w:hint="eastAsia" w:cs="宋体"/>
          <w:color w:val="auto"/>
          <w:sz w:val="21"/>
          <w:szCs w:val="21"/>
          <w:highlight w:val="none"/>
          <w:lang w:eastAsia="zh-CN"/>
        </w:rPr>
        <w:t>投入本项目有关的人员、设备、</w:t>
      </w:r>
      <w:r>
        <w:rPr>
          <w:rFonts w:hint="eastAsia" w:cs="宋体"/>
          <w:color w:val="auto"/>
          <w:sz w:val="21"/>
          <w:szCs w:val="21"/>
          <w:highlight w:val="none"/>
        </w:rPr>
        <w:t>原材料采购、原料品牌、品质、型号、加工生产工艺流程</w:t>
      </w:r>
      <w:r>
        <w:rPr>
          <w:rFonts w:hint="eastAsia" w:cs="宋体"/>
          <w:color w:val="auto"/>
          <w:sz w:val="21"/>
          <w:szCs w:val="21"/>
          <w:highlight w:val="none"/>
          <w:lang w:eastAsia="zh-CN"/>
        </w:rPr>
        <w:t>、</w:t>
      </w:r>
      <w:r>
        <w:rPr>
          <w:rFonts w:hint="eastAsia" w:cs="宋体"/>
          <w:color w:val="auto"/>
          <w:sz w:val="21"/>
          <w:szCs w:val="21"/>
          <w:highlight w:val="none"/>
        </w:rPr>
        <w:t>半成品，</w:t>
      </w:r>
      <w:r>
        <w:rPr>
          <w:rFonts w:hint="eastAsia" w:cs="宋体"/>
          <w:color w:val="auto"/>
          <w:sz w:val="21"/>
          <w:szCs w:val="21"/>
          <w:highlight w:val="none"/>
          <w:lang w:eastAsia="zh-CN"/>
        </w:rPr>
        <w:t>以及</w:t>
      </w:r>
      <w:r>
        <w:rPr>
          <w:rFonts w:hint="eastAsia" w:cs="宋体"/>
          <w:color w:val="auto"/>
          <w:sz w:val="21"/>
          <w:szCs w:val="21"/>
          <w:highlight w:val="none"/>
        </w:rPr>
        <w:t>成品打包前质量、材质、款式等进行监督</w:t>
      </w:r>
      <w:r>
        <w:rPr>
          <w:rFonts w:hint="eastAsia" w:cs="宋体"/>
          <w:color w:val="auto"/>
          <w:sz w:val="21"/>
          <w:szCs w:val="21"/>
          <w:highlight w:val="none"/>
          <w:lang w:eastAsia="zh-CN"/>
        </w:rPr>
        <w:t>和检查；乙方须按甲方要求</w:t>
      </w:r>
      <w:r>
        <w:rPr>
          <w:rFonts w:hint="eastAsia" w:cs="宋体"/>
          <w:color w:val="auto"/>
          <w:sz w:val="21"/>
          <w:szCs w:val="21"/>
          <w:highlight w:val="none"/>
        </w:rPr>
        <w:t>提交原材料采购的原始检验证、环保证、合格证等</w:t>
      </w:r>
      <w:r>
        <w:rPr>
          <w:rFonts w:hint="eastAsia" w:cs="宋体"/>
          <w:color w:val="auto"/>
          <w:sz w:val="21"/>
          <w:szCs w:val="21"/>
          <w:highlight w:val="none"/>
          <w:lang w:eastAsia="zh-CN"/>
        </w:rPr>
        <w:t>合法</w:t>
      </w:r>
      <w:r>
        <w:rPr>
          <w:rFonts w:hint="eastAsia" w:cs="宋体"/>
          <w:color w:val="auto"/>
          <w:sz w:val="21"/>
          <w:szCs w:val="21"/>
          <w:highlight w:val="none"/>
        </w:rPr>
        <w:t>手续</w:t>
      </w:r>
      <w:r>
        <w:rPr>
          <w:rFonts w:hint="eastAsia" w:cs="宋体"/>
          <w:color w:val="auto"/>
          <w:sz w:val="21"/>
          <w:szCs w:val="21"/>
          <w:highlight w:val="none"/>
          <w:lang w:eastAsia="zh-CN"/>
        </w:rPr>
        <w:t>凭证，</w:t>
      </w:r>
      <w:r>
        <w:rPr>
          <w:rFonts w:hint="eastAsia" w:cs="宋体"/>
          <w:color w:val="auto"/>
          <w:sz w:val="21"/>
          <w:szCs w:val="21"/>
          <w:highlight w:val="none"/>
        </w:rPr>
        <w:t>以得到</w:t>
      </w:r>
      <w:r>
        <w:rPr>
          <w:rFonts w:hint="eastAsia" w:cs="宋体"/>
          <w:color w:val="auto"/>
          <w:sz w:val="21"/>
          <w:szCs w:val="21"/>
          <w:highlight w:val="none"/>
          <w:lang w:eastAsia="zh-CN"/>
        </w:rPr>
        <w:t>甲方</w:t>
      </w:r>
      <w:r>
        <w:rPr>
          <w:rFonts w:hint="eastAsia" w:cs="宋体"/>
          <w:color w:val="auto"/>
          <w:sz w:val="21"/>
          <w:szCs w:val="21"/>
          <w:highlight w:val="none"/>
        </w:rPr>
        <w:t>的监督和认可。</w:t>
      </w:r>
      <w:r>
        <w:rPr>
          <w:rFonts w:hint="eastAsia" w:cs="宋体"/>
          <w:color w:val="auto"/>
          <w:sz w:val="21"/>
          <w:szCs w:val="21"/>
          <w:highlight w:val="none"/>
          <w:lang w:eastAsia="zh-CN"/>
        </w:rPr>
        <w:t>如人员</w:t>
      </w:r>
      <w:r>
        <w:rPr>
          <w:rFonts w:hint="eastAsia" w:cs="宋体"/>
          <w:color w:val="auto"/>
          <w:sz w:val="21"/>
          <w:szCs w:val="21"/>
          <w:highlight w:val="none"/>
        </w:rPr>
        <w:t>未能达到招标文件</w:t>
      </w:r>
      <w:r>
        <w:rPr>
          <w:rFonts w:hint="eastAsia" w:cs="宋体"/>
          <w:color w:val="auto"/>
          <w:sz w:val="21"/>
          <w:szCs w:val="21"/>
          <w:highlight w:val="none"/>
          <w:lang w:eastAsia="zh-CN"/>
        </w:rPr>
        <w:t>要求</w:t>
      </w:r>
      <w:r>
        <w:rPr>
          <w:rFonts w:hint="eastAsia" w:cs="宋体"/>
          <w:color w:val="auto"/>
          <w:sz w:val="21"/>
          <w:szCs w:val="21"/>
          <w:highlight w:val="none"/>
        </w:rPr>
        <w:t>和投标文件中的</w:t>
      </w:r>
      <w:r>
        <w:rPr>
          <w:rFonts w:hint="eastAsia" w:cs="宋体"/>
          <w:color w:val="auto"/>
          <w:sz w:val="21"/>
          <w:szCs w:val="21"/>
          <w:highlight w:val="none"/>
          <w:lang w:eastAsia="zh-CN"/>
        </w:rPr>
        <w:t>承诺响应</w:t>
      </w:r>
      <w:r>
        <w:rPr>
          <w:rFonts w:hint="eastAsia" w:cs="宋体"/>
          <w:color w:val="auto"/>
          <w:sz w:val="21"/>
          <w:szCs w:val="21"/>
          <w:highlight w:val="none"/>
          <w:lang w:val="en-US" w:eastAsia="zh-CN"/>
        </w:rPr>
        <w:t>的</w:t>
      </w:r>
      <w:r>
        <w:rPr>
          <w:rFonts w:hint="eastAsia" w:cs="宋体"/>
          <w:color w:val="auto"/>
          <w:sz w:val="21"/>
          <w:szCs w:val="21"/>
          <w:highlight w:val="none"/>
          <w:lang w:eastAsia="zh-CN"/>
        </w:rPr>
        <w:t>，每发现一人处罚（</w:t>
      </w:r>
      <w:r>
        <w:rPr>
          <w:rFonts w:hint="eastAsia" w:cs="宋体"/>
          <w:color w:val="auto"/>
          <w:sz w:val="21"/>
          <w:szCs w:val="21"/>
          <w:highlight w:val="none"/>
          <w:lang w:val="en-US" w:eastAsia="zh-CN"/>
        </w:rPr>
        <w:t>5万元/每人次</w:t>
      </w:r>
      <w:r>
        <w:rPr>
          <w:rFonts w:hint="eastAsia" w:cs="宋体"/>
          <w:color w:val="auto"/>
          <w:sz w:val="21"/>
          <w:szCs w:val="21"/>
          <w:highlight w:val="none"/>
          <w:lang w:eastAsia="zh-CN"/>
        </w:rPr>
        <w:t>）</w:t>
      </w:r>
      <w:r>
        <w:rPr>
          <w:rFonts w:hint="eastAsia" w:cs="宋体"/>
          <w:color w:val="auto"/>
          <w:sz w:val="21"/>
          <w:szCs w:val="21"/>
          <w:highlight w:val="none"/>
          <w:lang w:val="en-US" w:eastAsia="zh-CN"/>
        </w:rPr>
        <w:t>；如设备</w:t>
      </w:r>
      <w:r>
        <w:rPr>
          <w:rFonts w:hint="eastAsia" w:cs="宋体"/>
          <w:color w:val="auto"/>
          <w:sz w:val="21"/>
          <w:szCs w:val="21"/>
          <w:highlight w:val="none"/>
        </w:rPr>
        <w:t>未能达到招标文件</w:t>
      </w:r>
      <w:r>
        <w:rPr>
          <w:rFonts w:hint="eastAsia" w:cs="宋体"/>
          <w:color w:val="auto"/>
          <w:sz w:val="21"/>
          <w:szCs w:val="21"/>
          <w:highlight w:val="none"/>
          <w:lang w:eastAsia="zh-CN"/>
        </w:rPr>
        <w:t>要求</w:t>
      </w:r>
      <w:r>
        <w:rPr>
          <w:rFonts w:hint="eastAsia" w:cs="宋体"/>
          <w:color w:val="auto"/>
          <w:sz w:val="21"/>
          <w:szCs w:val="21"/>
          <w:highlight w:val="none"/>
        </w:rPr>
        <w:t>和投标文件中的</w:t>
      </w:r>
      <w:r>
        <w:rPr>
          <w:rFonts w:hint="eastAsia" w:cs="宋体"/>
          <w:color w:val="auto"/>
          <w:sz w:val="21"/>
          <w:szCs w:val="21"/>
          <w:highlight w:val="none"/>
          <w:lang w:eastAsia="zh-CN"/>
        </w:rPr>
        <w:t>承诺响应</w:t>
      </w:r>
      <w:r>
        <w:rPr>
          <w:rFonts w:hint="eastAsia" w:cs="宋体"/>
          <w:color w:val="auto"/>
          <w:sz w:val="21"/>
          <w:szCs w:val="21"/>
          <w:highlight w:val="none"/>
          <w:lang w:val="en-US" w:eastAsia="zh-CN"/>
        </w:rPr>
        <w:t>的，每发现一台处罚（5万元/每台）；监督检查发现生产过程中有不符合相关规定的，甲方有权视其情节轻重进行处罚。</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lang w:val="en-US" w:eastAsia="zh-CN"/>
        </w:rPr>
        <w:t>（5）</w:t>
      </w:r>
      <w:r>
        <w:rPr>
          <w:rFonts w:hint="eastAsia" w:cs="宋体"/>
          <w:color w:val="auto"/>
          <w:sz w:val="21"/>
          <w:szCs w:val="21"/>
          <w:highlight w:val="none"/>
          <w:lang w:eastAsia="zh-CN"/>
        </w:rPr>
        <w:t>乙方</w:t>
      </w:r>
      <w:r>
        <w:rPr>
          <w:rFonts w:hint="eastAsia" w:cs="宋体"/>
          <w:color w:val="auto"/>
          <w:sz w:val="21"/>
          <w:szCs w:val="21"/>
          <w:highlight w:val="none"/>
        </w:rPr>
        <w:t>应保证货物在不需要增配未列出配件（特别指出的除外）的前提下货物功能、技术标准能够达到招标文件的要求，而无须再增配未列出的配件；如</w:t>
      </w:r>
      <w:r>
        <w:rPr>
          <w:rFonts w:hint="eastAsia" w:cs="宋体"/>
          <w:color w:val="auto"/>
          <w:sz w:val="21"/>
          <w:szCs w:val="21"/>
          <w:highlight w:val="none"/>
          <w:lang w:eastAsia="zh-CN"/>
        </w:rPr>
        <w:t>乙方</w:t>
      </w:r>
      <w:r>
        <w:rPr>
          <w:rFonts w:hint="eastAsia" w:cs="宋体"/>
          <w:color w:val="auto"/>
          <w:sz w:val="21"/>
          <w:szCs w:val="21"/>
          <w:highlight w:val="none"/>
        </w:rPr>
        <w:t>所提供的产品需要增配配件才能达到要求的，所增配的配件须由</w:t>
      </w:r>
      <w:r>
        <w:rPr>
          <w:rFonts w:hint="eastAsia" w:cs="宋体"/>
          <w:color w:val="auto"/>
          <w:sz w:val="21"/>
          <w:szCs w:val="21"/>
          <w:highlight w:val="none"/>
          <w:lang w:eastAsia="zh-CN"/>
        </w:rPr>
        <w:t>乙方</w:t>
      </w:r>
      <w:r>
        <w:rPr>
          <w:rFonts w:hint="eastAsia" w:cs="宋体"/>
          <w:color w:val="auto"/>
          <w:sz w:val="21"/>
          <w:szCs w:val="21"/>
          <w:highlight w:val="none"/>
        </w:rPr>
        <w:t>免费提供。</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lang w:val="en-US" w:eastAsia="zh-CN"/>
        </w:rPr>
        <w:t>（6）</w:t>
      </w:r>
      <w:r>
        <w:rPr>
          <w:rFonts w:hint="eastAsia" w:cs="宋体"/>
          <w:color w:val="auto"/>
          <w:sz w:val="21"/>
          <w:szCs w:val="21"/>
          <w:highlight w:val="none"/>
        </w:rPr>
        <w:t>货物在验收合格前的保险由</w:t>
      </w:r>
      <w:r>
        <w:rPr>
          <w:rFonts w:hint="eastAsia" w:cs="宋体"/>
          <w:color w:val="auto"/>
          <w:sz w:val="21"/>
          <w:szCs w:val="21"/>
          <w:highlight w:val="none"/>
          <w:lang w:eastAsia="zh-CN"/>
        </w:rPr>
        <w:t>乙方</w:t>
      </w:r>
      <w:r>
        <w:rPr>
          <w:rFonts w:hint="eastAsia" w:cs="宋体"/>
          <w:color w:val="auto"/>
          <w:sz w:val="21"/>
          <w:szCs w:val="21"/>
          <w:highlight w:val="none"/>
        </w:rPr>
        <w:t>负责，且</w:t>
      </w:r>
      <w:r>
        <w:rPr>
          <w:rFonts w:hint="eastAsia" w:cs="宋体"/>
          <w:color w:val="auto"/>
          <w:sz w:val="21"/>
          <w:szCs w:val="21"/>
          <w:highlight w:val="none"/>
          <w:lang w:eastAsia="zh-CN"/>
        </w:rPr>
        <w:t>乙方</w:t>
      </w:r>
      <w:r>
        <w:rPr>
          <w:rFonts w:hint="eastAsia" w:cs="宋体"/>
          <w:color w:val="auto"/>
          <w:sz w:val="21"/>
          <w:szCs w:val="21"/>
          <w:highlight w:val="none"/>
        </w:rPr>
        <w:t>负责其派出的现场服务人员人身意外保险。</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lang w:val="en-US" w:eastAsia="zh-CN"/>
        </w:rPr>
        <w:t>（6）</w:t>
      </w:r>
      <w:r>
        <w:rPr>
          <w:rFonts w:hint="eastAsia" w:cs="宋体"/>
          <w:color w:val="auto"/>
          <w:sz w:val="21"/>
          <w:szCs w:val="21"/>
          <w:highlight w:val="none"/>
          <w:lang w:eastAsia="zh-CN"/>
        </w:rPr>
        <w:t>乙方</w:t>
      </w:r>
      <w:r>
        <w:rPr>
          <w:rFonts w:hint="eastAsia" w:cs="宋体"/>
          <w:color w:val="auto"/>
          <w:sz w:val="21"/>
          <w:szCs w:val="21"/>
          <w:highlight w:val="none"/>
        </w:rPr>
        <w:t>应对</w:t>
      </w:r>
      <w:r>
        <w:rPr>
          <w:rFonts w:hint="eastAsia" w:cs="宋体"/>
          <w:color w:val="auto"/>
          <w:sz w:val="21"/>
          <w:szCs w:val="21"/>
          <w:highlight w:val="none"/>
          <w:lang w:eastAsia="zh-CN"/>
        </w:rPr>
        <w:t>甲方</w:t>
      </w:r>
      <w:r>
        <w:rPr>
          <w:rFonts w:hint="eastAsia" w:cs="宋体"/>
          <w:color w:val="auto"/>
          <w:sz w:val="21"/>
          <w:szCs w:val="21"/>
          <w:highlight w:val="none"/>
        </w:rPr>
        <w:t>提供免费培训服务。</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1.3货物需求一览表及技术规格：</w:t>
      </w:r>
    </w:p>
    <w:tbl>
      <w:tblPr>
        <w:tblStyle w:val="51"/>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67"/>
        <w:gridCol w:w="1810"/>
        <w:gridCol w:w="1134"/>
        <w:gridCol w:w="851"/>
        <w:gridCol w:w="708"/>
        <w:gridCol w:w="709"/>
        <w:gridCol w:w="803"/>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shd w:val="clear" w:color="auto" w:fill="auto"/>
              <w:spacing w:line="440" w:lineRule="exact"/>
              <w:jc w:val="center"/>
              <w:rPr>
                <w:rFonts w:hint="eastAsia" w:hAnsi="宋体" w:cs="宋体"/>
                <w:color w:val="auto"/>
                <w:sz w:val="21"/>
                <w:szCs w:val="21"/>
                <w:highlight w:val="none"/>
              </w:rPr>
            </w:pPr>
            <w:r>
              <w:rPr>
                <w:rFonts w:hint="eastAsia" w:hAnsi="宋体" w:cs="宋体"/>
                <w:color w:val="auto"/>
                <w:sz w:val="21"/>
                <w:szCs w:val="21"/>
                <w:highlight w:val="none"/>
              </w:rPr>
              <w:t>序号</w:t>
            </w:r>
          </w:p>
        </w:tc>
        <w:tc>
          <w:tcPr>
            <w:tcW w:w="1167" w:type="dxa"/>
            <w:vAlign w:val="top"/>
          </w:tcPr>
          <w:p>
            <w:pPr>
              <w:shd w:val="clear" w:color="auto" w:fill="auto"/>
              <w:spacing w:line="440" w:lineRule="exact"/>
              <w:jc w:val="center"/>
              <w:rPr>
                <w:rFonts w:hint="eastAsia" w:hAnsi="宋体" w:cs="宋体"/>
                <w:color w:val="auto"/>
                <w:sz w:val="21"/>
                <w:szCs w:val="21"/>
                <w:highlight w:val="none"/>
              </w:rPr>
            </w:pPr>
            <w:r>
              <w:rPr>
                <w:rFonts w:hint="eastAsia" w:hAnsi="宋体" w:cs="宋体"/>
                <w:color w:val="auto"/>
                <w:sz w:val="21"/>
                <w:szCs w:val="21"/>
                <w:highlight w:val="none"/>
              </w:rPr>
              <w:t>货物名称</w:t>
            </w:r>
          </w:p>
        </w:tc>
        <w:tc>
          <w:tcPr>
            <w:tcW w:w="1810" w:type="dxa"/>
            <w:vAlign w:val="top"/>
          </w:tcPr>
          <w:p>
            <w:pPr>
              <w:shd w:val="clear" w:color="auto" w:fill="auto"/>
              <w:spacing w:line="440" w:lineRule="exact"/>
              <w:jc w:val="center"/>
              <w:rPr>
                <w:rFonts w:hint="eastAsia" w:hAnsi="宋体" w:cs="宋体"/>
                <w:color w:val="auto"/>
                <w:sz w:val="21"/>
                <w:szCs w:val="21"/>
                <w:highlight w:val="none"/>
              </w:rPr>
            </w:pPr>
            <w:r>
              <w:rPr>
                <w:rFonts w:hint="eastAsia" w:hAnsi="宋体" w:cs="宋体"/>
                <w:color w:val="auto"/>
                <w:sz w:val="21"/>
                <w:szCs w:val="21"/>
                <w:highlight w:val="none"/>
              </w:rPr>
              <w:t>品牌/型号/规格</w:t>
            </w:r>
          </w:p>
        </w:tc>
        <w:tc>
          <w:tcPr>
            <w:tcW w:w="1134" w:type="dxa"/>
            <w:vAlign w:val="top"/>
          </w:tcPr>
          <w:p>
            <w:pPr>
              <w:shd w:val="clear" w:color="auto" w:fill="auto"/>
              <w:spacing w:line="440" w:lineRule="exact"/>
              <w:rPr>
                <w:rFonts w:hint="eastAsia" w:hAnsi="宋体" w:cs="宋体"/>
                <w:color w:val="auto"/>
                <w:sz w:val="21"/>
                <w:szCs w:val="21"/>
                <w:highlight w:val="none"/>
              </w:rPr>
            </w:pPr>
            <w:r>
              <w:rPr>
                <w:rFonts w:hint="eastAsia" w:hAnsi="宋体" w:cs="宋体"/>
                <w:color w:val="auto"/>
                <w:sz w:val="21"/>
                <w:szCs w:val="21"/>
                <w:highlight w:val="none"/>
              </w:rPr>
              <w:t>配置要求</w:t>
            </w:r>
          </w:p>
        </w:tc>
        <w:tc>
          <w:tcPr>
            <w:tcW w:w="851" w:type="dxa"/>
            <w:vAlign w:val="top"/>
          </w:tcPr>
          <w:p>
            <w:pPr>
              <w:shd w:val="clear" w:color="auto" w:fill="auto"/>
              <w:spacing w:line="440" w:lineRule="exact"/>
              <w:jc w:val="center"/>
              <w:rPr>
                <w:rFonts w:hint="eastAsia" w:hAnsi="宋体" w:cs="宋体"/>
                <w:color w:val="auto"/>
                <w:sz w:val="21"/>
                <w:szCs w:val="21"/>
                <w:highlight w:val="none"/>
              </w:rPr>
            </w:pPr>
            <w:r>
              <w:rPr>
                <w:rFonts w:hint="eastAsia" w:hAnsi="宋体" w:cs="宋体"/>
                <w:color w:val="auto"/>
                <w:sz w:val="21"/>
                <w:szCs w:val="21"/>
                <w:highlight w:val="none"/>
              </w:rPr>
              <w:t>产地</w:t>
            </w:r>
          </w:p>
        </w:tc>
        <w:tc>
          <w:tcPr>
            <w:tcW w:w="708" w:type="dxa"/>
            <w:vAlign w:val="top"/>
          </w:tcPr>
          <w:p>
            <w:pPr>
              <w:shd w:val="clear" w:color="auto" w:fill="auto"/>
              <w:spacing w:line="440" w:lineRule="exact"/>
              <w:jc w:val="center"/>
              <w:rPr>
                <w:rFonts w:hint="eastAsia" w:hAnsi="宋体" w:cs="宋体"/>
                <w:color w:val="auto"/>
                <w:sz w:val="21"/>
                <w:szCs w:val="21"/>
                <w:highlight w:val="none"/>
              </w:rPr>
            </w:pPr>
            <w:r>
              <w:rPr>
                <w:rFonts w:hint="eastAsia" w:hAnsi="宋体" w:cs="宋体"/>
                <w:color w:val="auto"/>
                <w:sz w:val="21"/>
                <w:szCs w:val="21"/>
                <w:highlight w:val="none"/>
              </w:rPr>
              <w:t>单位</w:t>
            </w:r>
          </w:p>
        </w:tc>
        <w:tc>
          <w:tcPr>
            <w:tcW w:w="709" w:type="dxa"/>
            <w:vAlign w:val="top"/>
          </w:tcPr>
          <w:p>
            <w:pPr>
              <w:shd w:val="clear" w:color="auto" w:fill="auto"/>
              <w:spacing w:line="440" w:lineRule="exact"/>
              <w:jc w:val="center"/>
              <w:rPr>
                <w:rFonts w:hint="eastAsia" w:hAnsi="宋体" w:cs="宋体"/>
                <w:color w:val="auto"/>
                <w:sz w:val="21"/>
                <w:szCs w:val="21"/>
                <w:highlight w:val="none"/>
              </w:rPr>
            </w:pPr>
            <w:r>
              <w:rPr>
                <w:rFonts w:hint="eastAsia" w:hAnsi="宋体" w:cs="宋体"/>
                <w:color w:val="auto"/>
                <w:sz w:val="21"/>
                <w:szCs w:val="21"/>
                <w:highlight w:val="none"/>
              </w:rPr>
              <w:t>数量</w:t>
            </w:r>
          </w:p>
        </w:tc>
        <w:tc>
          <w:tcPr>
            <w:tcW w:w="803" w:type="dxa"/>
            <w:vAlign w:val="top"/>
          </w:tcPr>
          <w:p>
            <w:pPr>
              <w:shd w:val="clear" w:color="auto" w:fill="auto"/>
              <w:spacing w:line="440" w:lineRule="exact"/>
              <w:jc w:val="center"/>
              <w:rPr>
                <w:rFonts w:hint="eastAsia" w:hAnsi="宋体" w:cs="宋体"/>
                <w:color w:val="auto"/>
                <w:sz w:val="21"/>
                <w:szCs w:val="21"/>
                <w:highlight w:val="none"/>
              </w:rPr>
            </w:pPr>
            <w:r>
              <w:rPr>
                <w:rFonts w:hint="eastAsia" w:hAnsi="宋体" w:cs="宋体"/>
                <w:color w:val="auto"/>
                <w:sz w:val="21"/>
                <w:szCs w:val="21"/>
                <w:highlight w:val="none"/>
              </w:rPr>
              <w:t>单价</w:t>
            </w:r>
          </w:p>
        </w:tc>
        <w:tc>
          <w:tcPr>
            <w:tcW w:w="709" w:type="dxa"/>
            <w:vAlign w:val="top"/>
          </w:tcPr>
          <w:p>
            <w:pPr>
              <w:shd w:val="clear" w:color="auto" w:fill="auto"/>
              <w:spacing w:line="440" w:lineRule="exact"/>
              <w:jc w:val="center"/>
              <w:rPr>
                <w:rFonts w:hint="eastAsia" w:hAnsi="宋体" w:cs="宋体"/>
                <w:color w:val="auto"/>
                <w:sz w:val="21"/>
                <w:szCs w:val="21"/>
                <w:highlight w:val="none"/>
              </w:rPr>
            </w:pPr>
            <w:r>
              <w:rPr>
                <w:rFonts w:hint="eastAsia" w:hAnsi="宋体" w:cs="宋体"/>
                <w:color w:val="auto"/>
                <w:sz w:val="21"/>
                <w:szCs w:val="21"/>
                <w:highlight w:val="none"/>
              </w:rPr>
              <w:t>金额</w:t>
            </w:r>
          </w:p>
        </w:tc>
        <w:tc>
          <w:tcPr>
            <w:tcW w:w="709" w:type="dxa"/>
            <w:vAlign w:val="top"/>
          </w:tcPr>
          <w:p>
            <w:pPr>
              <w:shd w:val="clear" w:color="auto" w:fill="auto"/>
              <w:spacing w:line="440" w:lineRule="exact"/>
              <w:jc w:val="center"/>
              <w:rPr>
                <w:rFonts w:hint="eastAsia" w:hAnsi="宋体" w:cs="宋体"/>
                <w:color w:val="auto"/>
                <w:sz w:val="21"/>
                <w:szCs w:val="21"/>
                <w:highlight w:val="none"/>
              </w:rPr>
            </w:pPr>
            <w:r>
              <w:rPr>
                <w:rFonts w:hint="eastAsia" w:hAnsi="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shd w:val="clear" w:color="auto" w:fill="auto"/>
              <w:spacing w:line="440" w:lineRule="exact"/>
              <w:rPr>
                <w:rFonts w:hint="eastAsia" w:hAnsi="宋体" w:cs="宋体"/>
                <w:color w:val="auto"/>
                <w:sz w:val="21"/>
                <w:szCs w:val="21"/>
                <w:highlight w:val="none"/>
              </w:rPr>
            </w:pPr>
          </w:p>
        </w:tc>
        <w:tc>
          <w:tcPr>
            <w:tcW w:w="1167" w:type="dxa"/>
            <w:vAlign w:val="top"/>
          </w:tcPr>
          <w:p>
            <w:pPr>
              <w:shd w:val="clear" w:color="auto" w:fill="auto"/>
              <w:spacing w:line="440" w:lineRule="exact"/>
              <w:rPr>
                <w:rFonts w:hint="eastAsia" w:hAnsi="宋体" w:cs="宋体"/>
                <w:color w:val="auto"/>
                <w:sz w:val="21"/>
                <w:szCs w:val="21"/>
                <w:highlight w:val="none"/>
              </w:rPr>
            </w:pPr>
          </w:p>
        </w:tc>
        <w:tc>
          <w:tcPr>
            <w:tcW w:w="1810" w:type="dxa"/>
            <w:vAlign w:val="top"/>
          </w:tcPr>
          <w:p>
            <w:pPr>
              <w:shd w:val="clear" w:color="auto" w:fill="auto"/>
              <w:spacing w:line="440" w:lineRule="exact"/>
              <w:rPr>
                <w:rFonts w:hint="eastAsia" w:hAnsi="宋体" w:cs="宋体"/>
                <w:color w:val="auto"/>
                <w:sz w:val="21"/>
                <w:szCs w:val="21"/>
                <w:highlight w:val="none"/>
              </w:rPr>
            </w:pPr>
          </w:p>
        </w:tc>
        <w:tc>
          <w:tcPr>
            <w:tcW w:w="1134" w:type="dxa"/>
            <w:vAlign w:val="top"/>
          </w:tcPr>
          <w:p>
            <w:pPr>
              <w:shd w:val="clear" w:color="auto" w:fill="auto"/>
              <w:spacing w:line="440" w:lineRule="exact"/>
              <w:rPr>
                <w:rFonts w:hint="eastAsia" w:hAnsi="宋体" w:cs="宋体"/>
                <w:color w:val="auto"/>
                <w:sz w:val="21"/>
                <w:szCs w:val="21"/>
                <w:highlight w:val="none"/>
              </w:rPr>
            </w:pPr>
          </w:p>
        </w:tc>
        <w:tc>
          <w:tcPr>
            <w:tcW w:w="851" w:type="dxa"/>
            <w:vAlign w:val="top"/>
          </w:tcPr>
          <w:p>
            <w:pPr>
              <w:shd w:val="clear" w:color="auto" w:fill="auto"/>
              <w:spacing w:line="440" w:lineRule="exact"/>
              <w:rPr>
                <w:rFonts w:hint="eastAsia" w:hAnsi="宋体" w:cs="宋体"/>
                <w:color w:val="auto"/>
                <w:sz w:val="21"/>
                <w:szCs w:val="21"/>
                <w:highlight w:val="none"/>
              </w:rPr>
            </w:pPr>
          </w:p>
        </w:tc>
        <w:tc>
          <w:tcPr>
            <w:tcW w:w="708" w:type="dxa"/>
            <w:vAlign w:val="top"/>
          </w:tcPr>
          <w:p>
            <w:pPr>
              <w:shd w:val="clear" w:color="auto" w:fill="auto"/>
              <w:spacing w:line="440" w:lineRule="exact"/>
              <w:rPr>
                <w:rFonts w:hint="eastAsia" w:hAnsi="宋体" w:cs="宋体"/>
                <w:color w:val="auto"/>
                <w:sz w:val="21"/>
                <w:szCs w:val="21"/>
                <w:highlight w:val="none"/>
              </w:rPr>
            </w:pPr>
          </w:p>
        </w:tc>
        <w:tc>
          <w:tcPr>
            <w:tcW w:w="709" w:type="dxa"/>
            <w:vAlign w:val="top"/>
          </w:tcPr>
          <w:p>
            <w:pPr>
              <w:shd w:val="clear" w:color="auto" w:fill="auto"/>
              <w:spacing w:line="440" w:lineRule="exact"/>
              <w:rPr>
                <w:rFonts w:hint="eastAsia" w:hAnsi="宋体" w:cs="宋体"/>
                <w:color w:val="auto"/>
                <w:sz w:val="21"/>
                <w:szCs w:val="21"/>
                <w:highlight w:val="none"/>
              </w:rPr>
            </w:pPr>
          </w:p>
        </w:tc>
        <w:tc>
          <w:tcPr>
            <w:tcW w:w="803" w:type="dxa"/>
            <w:vAlign w:val="top"/>
          </w:tcPr>
          <w:p>
            <w:pPr>
              <w:shd w:val="clear" w:color="auto" w:fill="auto"/>
              <w:spacing w:line="440" w:lineRule="exact"/>
              <w:rPr>
                <w:rFonts w:hint="eastAsia" w:hAnsi="宋体" w:cs="宋体"/>
                <w:color w:val="auto"/>
                <w:sz w:val="21"/>
                <w:szCs w:val="21"/>
                <w:highlight w:val="none"/>
              </w:rPr>
            </w:pPr>
          </w:p>
        </w:tc>
        <w:tc>
          <w:tcPr>
            <w:tcW w:w="709" w:type="dxa"/>
            <w:vAlign w:val="top"/>
          </w:tcPr>
          <w:p>
            <w:pPr>
              <w:shd w:val="clear" w:color="auto" w:fill="auto"/>
              <w:spacing w:line="440" w:lineRule="exact"/>
              <w:rPr>
                <w:rFonts w:hint="eastAsia" w:hAnsi="宋体" w:cs="宋体"/>
                <w:color w:val="auto"/>
                <w:sz w:val="21"/>
                <w:szCs w:val="21"/>
                <w:highlight w:val="none"/>
              </w:rPr>
            </w:pPr>
          </w:p>
        </w:tc>
        <w:tc>
          <w:tcPr>
            <w:tcW w:w="709" w:type="dxa"/>
            <w:vAlign w:val="top"/>
          </w:tcPr>
          <w:p>
            <w:pPr>
              <w:shd w:val="clear" w:color="auto" w:fill="auto"/>
              <w:spacing w:line="440" w:lineRule="exact"/>
              <w:rPr>
                <w:rFonts w:hint="eastAsia"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shd w:val="clear" w:color="auto" w:fill="auto"/>
              <w:spacing w:line="440" w:lineRule="exact"/>
              <w:rPr>
                <w:rFonts w:hint="eastAsia" w:hAnsi="宋体" w:cs="宋体"/>
                <w:color w:val="auto"/>
                <w:sz w:val="21"/>
                <w:szCs w:val="21"/>
                <w:highlight w:val="none"/>
              </w:rPr>
            </w:pPr>
          </w:p>
        </w:tc>
        <w:tc>
          <w:tcPr>
            <w:tcW w:w="1167" w:type="dxa"/>
            <w:vAlign w:val="top"/>
          </w:tcPr>
          <w:p>
            <w:pPr>
              <w:shd w:val="clear" w:color="auto" w:fill="auto"/>
              <w:spacing w:line="440" w:lineRule="exact"/>
              <w:rPr>
                <w:rFonts w:hint="eastAsia" w:hAnsi="宋体" w:cs="宋体"/>
                <w:color w:val="auto"/>
                <w:sz w:val="21"/>
                <w:szCs w:val="21"/>
                <w:highlight w:val="none"/>
              </w:rPr>
            </w:pPr>
          </w:p>
        </w:tc>
        <w:tc>
          <w:tcPr>
            <w:tcW w:w="1810" w:type="dxa"/>
            <w:vAlign w:val="top"/>
          </w:tcPr>
          <w:p>
            <w:pPr>
              <w:shd w:val="clear" w:color="auto" w:fill="auto"/>
              <w:spacing w:line="440" w:lineRule="exact"/>
              <w:rPr>
                <w:rFonts w:hint="eastAsia" w:hAnsi="宋体" w:cs="宋体"/>
                <w:color w:val="auto"/>
                <w:sz w:val="21"/>
                <w:szCs w:val="21"/>
                <w:highlight w:val="none"/>
              </w:rPr>
            </w:pPr>
          </w:p>
        </w:tc>
        <w:tc>
          <w:tcPr>
            <w:tcW w:w="1134" w:type="dxa"/>
            <w:vAlign w:val="top"/>
          </w:tcPr>
          <w:p>
            <w:pPr>
              <w:shd w:val="clear" w:color="auto" w:fill="auto"/>
              <w:spacing w:line="440" w:lineRule="exact"/>
              <w:rPr>
                <w:rFonts w:hint="eastAsia" w:hAnsi="宋体" w:cs="宋体"/>
                <w:color w:val="auto"/>
                <w:sz w:val="21"/>
                <w:szCs w:val="21"/>
                <w:highlight w:val="none"/>
              </w:rPr>
            </w:pPr>
          </w:p>
        </w:tc>
        <w:tc>
          <w:tcPr>
            <w:tcW w:w="851" w:type="dxa"/>
            <w:vAlign w:val="top"/>
          </w:tcPr>
          <w:p>
            <w:pPr>
              <w:shd w:val="clear" w:color="auto" w:fill="auto"/>
              <w:spacing w:line="440" w:lineRule="exact"/>
              <w:rPr>
                <w:rFonts w:hint="eastAsia" w:hAnsi="宋体" w:cs="宋体"/>
                <w:color w:val="auto"/>
                <w:sz w:val="21"/>
                <w:szCs w:val="21"/>
                <w:highlight w:val="none"/>
              </w:rPr>
            </w:pPr>
          </w:p>
        </w:tc>
        <w:tc>
          <w:tcPr>
            <w:tcW w:w="708" w:type="dxa"/>
            <w:vAlign w:val="top"/>
          </w:tcPr>
          <w:p>
            <w:pPr>
              <w:shd w:val="clear" w:color="auto" w:fill="auto"/>
              <w:spacing w:line="440" w:lineRule="exact"/>
              <w:rPr>
                <w:rFonts w:hint="eastAsia" w:hAnsi="宋体" w:cs="宋体"/>
                <w:color w:val="auto"/>
                <w:sz w:val="21"/>
                <w:szCs w:val="21"/>
                <w:highlight w:val="none"/>
              </w:rPr>
            </w:pPr>
          </w:p>
        </w:tc>
        <w:tc>
          <w:tcPr>
            <w:tcW w:w="709" w:type="dxa"/>
            <w:vAlign w:val="top"/>
          </w:tcPr>
          <w:p>
            <w:pPr>
              <w:shd w:val="clear" w:color="auto" w:fill="auto"/>
              <w:spacing w:line="440" w:lineRule="exact"/>
              <w:rPr>
                <w:rFonts w:hint="eastAsia" w:hAnsi="宋体" w:cs="宋体"/>
                <w:color w:val="auto"/>
                <w:sz w:val="21"/>
                <w:szCs w:val="21"/>
                <w:highlight w:val="none"/>
              </w:rPr>
            </w:pPr>
          </w:p>
        </w:tc>
        <w:tc>
          <w:tcPr>
            <w:tcW w:w="803" w:type="dxa"/>
            <w:vAlign w:val="top"/>
          </w:tcPr>
          <w:p>
            <w:pPr>
              <w:shd w:val="clear" w:color="auto" w:fill="auto"/>
              <w:spacing w:line="440" w:lineRule="exact"/>
              <w:rPr>
                <w:rFonts w:hint="eastAsia" w:hAnsi="宋体" w:cs="宋体"/>
                <w:color w:val="auto"/>
                <w:sz w:val="21"/>
                <w:szCs w:val="21"/>
                <w:highlight w:val="none"/>
              </w:rPr>
            </w:pPr>
          </w:p>
        </w:tc>
        <w:tc>
          <w:tcPr>
            <w:tcW w:w="709" w:type="dxa"/>
            <w:vAlign w:val="top"/>
          </w:tcPr>
          <w:p>
            <w:pPr>
              <w:shd w:val="clear" w:color="auto" w:fill="auto"/>
              <w:spacing w:line="440" w:lineRule="exact"/>
              <w:rPr>
                <w:rFonts w:hint="eastAsia" w:hAnsi="宋体" w:cs="宋体"/>
                <w:color w:val="auto"/>
                <w:sz w:val="21"/>
                <w:szCs w:val="21"/>
                <w:highlight w:val="none"/>
              </w:rPr>
            </w:pPr>
          </w:p>
        </w:tc>
        <w:tc>
          <w:tcPr>
            <w:tcW w:w="709" w:type="dxa"/>
            <w:vAlign w:val="top"/>
          </w:tcPr>
          <w:p>
            <w:pPr>
              <w:shd w:val="clear" w:color="auto" w:fill="auto"/>
              <w:spacing w:line="440" w:lineRule="exact"/>
              <w:rPr>
                <w:rFonts w:hint="eastAsia"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shd w:val="clear" w:color="auto" w:fill="auto"/>
              <w:spacing w:line="440" w:lineRule="exact"/>
              <w:rPr>
                <w:rFonts w:hint="eastAsia" w:hAnsi="宋体" w:cs="宋体"/>
                <w:color w:val="auto"/>
                <w:sz w:val="21"/>
                <w:szCs w:val="21"/>
                <w:highlight w:val="none"/>
              </w:rPr>
            </w:pPr>
          </w:p>
        </w:tc>
        <w:tc>
          <w:tcPr>
            <w:tcW w:w="1167" w:type="dxa"/>
            <w:vAlign w:val="top"/>
          </w:tcPr>
          <w:p>
            <w:pPr>
              <w:shd w:val="clear" w:color="auto" w:fill="auto"/>
              <w:spacing w:line="440" w:lineRule="exact"/>
              <w:rPr>
                <w:rFonts w:hint="eastAsia" w:hAnsi="宋体" w:cs="宋体"/>
                <w:color w:val="auto"/>
                <w:sz w:val="21"/>
                <w:szCs w:val="21"/>
                <w:highlight w:val="none"/>
              </w:rPr>
            </w:pPr>
          </w:p>
        </w:tc>
        <w:tc>
          <w:tcPr>
            <w:tcW w:w="1810" w:type="dxa"/>
            <w:vAlign w:val="top"/>
          </w:tcPr>
          <w:p>
            <w:pPr>
              <w:shd w:val="clear" w:color="auto" w:fill="auto"/>
              <w:spacing w:line="440" w:lineRule="exact"/>
              <w:rPr>
                <w:rFonts w:hint="eastAsia" w:hAnsi="宋体" w:cs="宋体"/>
                <w:color w:val="auto"/>
                <w:sz w:val="21"/>
                <w:szCs w:val="21"/>
                <w:highlight w:val="none"/>
              </w:rPr>
            </w:pPr>
          </w:p>
        </w:tc>
        <w:tc>
          <w:tcPr>
            <w:tcW w:w="1134" w:type="dxa"/>
            <w:vAlign w:val="top"/>
          </w:tcPr>
          <w:p>
            <w:pPr>
              <w:shd w:val="clear" w:color="auto" w:fill="auto"/>
              <w:spacing w:line="440" w:lineRule="exact"/>
              <w:rPr>
                <w:rFonts w:hint="eastAsia" w:hAnsi="宋体" w:cs="宋体"/>
                <w:color w:val="auto"/>
                <w:sz w:val="21"/>
                <w:szCs w:val="21"/>
                <w:highlight w:val="none"/>
              </w:rPr>
            </w:pPr>
          </w:p>
        </w:tc>
        <w:tc>
          <w:tcPr>
            <w:tcW w:w="851" w:type="dxa"/>
            <w:vAlign w:val="top"/>
          </w:tcPr>
          <w:p>
            <w:pPr>
              <w:shd w:val="clear" w:color="auto" w:fill="auto"/>
              <w:spacing w:line="440" w:lineRule="exact"/>
              <w:rPr>
                <w:rFonts w:hint="eastAsia" w:hAnsi="宋体" w:cs="宋体"/>
                <w:color w:val="auto"/>
                <w:sz w:val="21"/>
                <w:szCs w:val="21"/>
                <w:highlight w:val="none"/>
              </w:rPr>
            </w:pPr>
          </w:p>
        </w:tc>
        <w:tc>
          <w:tcPr>
            <w:tcW w:w="708" w:type="dxa"/>
            <w:vAlign w:val="top"/>
          </w:tcPr>
          <w:p>
            <w:pPr>
              <w:shd w:val="clear" w:color="auto" w:fill="auto"/>
              <w:spacing w:line="440" w:lineRule="exact"/>
              <w:rPr>
                <w:rFonts w:hint="eastAsia" w:hAnsi="宋体" w:cs="宋体"/>
                <w:color w:val="auto"/>
                <w:sz w:val="21"/>
                <w:szCs w:val="21"/>
                <w:highlight w:val="none"/>
              </w:rPr>
            </w:pPr>
          </w:p>
        </w:tc>
        <w:tc>
          <w:tcPr>
            <w:tcW w:w="709" w:type="dxa"/>
            <w:vAlign w:val="top"/>
          </w:tcPr>
          <w:p>
            <w:pPr>
              <w:shd w:val="clear" w:color="auto" w:fill="auto"/>
              <w:spacing w:line="440" w:lineRule="exact"/>
              <w:rPr>
                <w:rFonts w:hint="eastAsia" w:hAnsi="宋体" w:cs="宋体"/>
                <w:color w:val="auto"/>
                <w:sz w:val="21"/>
                <w:szCs w:val="21"/>
                <w:highlight w:val="none"/>
              </w:rPr>
            </w:pPr>
          </w:p>
        </w:tc>
        <w:tc>
          <w:tcPr>
            <w:tcW w:w="803" w:type="dxa"/>
            <w:vAlign w:val="top"/>
          </w:tcPr>
          <w:p>
            <w:pPr>
              <w:shd w:val="clear" w:color="auto" w:fill="auto"/>
              <w:spacing w:line="440" w:lineRule="exact"/>
              <w:rPr>
                <w:rFonts w:hint="eastAsia" w:hAnsi="宋体" w:cs="宋体"/>
                <w:color w:val="auto"/>
                <w:sz w:val="21"/>
                <w:szCs w:val="21"/>
                <w:highlight w:val="none"/>
              </w:rPr>
            </w:pPr>
          </w:p>
        </w:tc>
        <w:tc>
          <w:tcPr>
            <w:tcW w:w="709" w:type="dxa"/>
            <w:vAlign w:val="top"/>
          </w:tcPr>
          <w:p>
            <w:pPr>
              <w:shd w:val="clear" w:color="auto" w:fill="auto"/>
              <w:spacing w:line="440" w:lineRule="exact"/>
              <w:rPr>
                <w:rFonts w:hint="eastAsia" w:hAnsi="宋体" w:cs="宋体"/>
                <w:color w:val="auto"/>
                <w:sz w:val="21"/>
                <w:szCs w:val="21"/>
                <w:highlight w:val="none"/>
              </w:rPr>
            </w:pPr>
          </w:p>
        </w:tc>
        <w:tc>
          <w:tcPr>
            <w:tcW w:w="709" w:type="dxa"/>
            <w:vAlign w:val="top"/>
          </w:tcPr>
          <w:p>
            <w:pPr>
              <w:shd w:val="clear" w:color="auto" w:fill="auto"/>
              <w:spacing w:line="440" w:lineRule="exact"/>
              <w:rPr>
                <w:rFonts w:hint="eastAsia"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shd w:val="clear" w:color="auto" w:fill="auto"/>
              <w:spacing w:line="440" w:lineRule="exact"/>
              <w:rPr>
                <w:rFonts w:hint="eastAsia" w:hAnsi="宋体" w:cs="宋体"/>
                <w:color w:val="auto"/>
                <w:sz w:val="21"/>
                <w:szCs w:val="21"/>
                <w:highlight w:val="none"/>
              </w:rPr>
            </w:pPr>
          </w:p>
        </w:tc>
        <w:tc>
          <w:tcPr>
            <w:tcW w:w="1167" w:type="dxa"/>
            <w:vAlign w:val="top"/>
          </w:tcPr>
          <w:p>
            <w:pPr>
              <w:shd w:val="clear" w:color="auto" w:fill="auto"/>
              <w:spacing w:line="440" w:lineRule="exact"/>
              <w:rPr>
                <w:rFonts w:hint="eastAsia" w:hAnsi="宋体" w:cs="宋体"/>
                <w:color w:val="auto"/>
                <w:sz w:val="21"/>
                <w:szCs w:val="21"/>
                <w:highlight w:val="none"/>
              </w:rPr>
            </w:pPr>
          </w:p>
        </w:tc>
        <w:tc>
          <w:tcPr>
            <w:tcW w:w="1810" w:type="dxa"/>
            <w:vAlign w:val="top"/>
          </w:tcPr>
          <w:p>
            <w:pPr>
              <w:shd w:val="clear" w:color="auto" w:fill="auto"/>
              <w:spacing w:line="440" w:lineRule="exact"/>
              <w:rPr>
                <w:rFonts w:hint="eastAsia" w:hAnsi="宋体" w:cs="宋体"/>
                <w:color w:val="auto"/>
                <w:sz w:val="21"/>
                <w:szCs w:val="21"/>
                <w:highlight w:val="none"/>
              </w:rPr>
            </w:pPr>
          </w:p>
        </w:tc>
        <w:tc>
          <w:tcPr>
            <w:tcW w:w="1134" w:type="dxa"/>
            <w:vAlign w:val="top"/>
          </w:tcPr>
          <w:p>
            <w:pPr>
              <w:shd w:val="clear" w:color="auto" w:fill="auto"/>
              <w:spacing w:line="440" w:lineRule="exact"/>
              <w:rPr>
                <w:rFonts w:hint="eastAsia" w:hAnsi="宋体" w:cs="宋体"/>
                <w:color w:val="auto"/>
                <w:sz w:val="21"/>
                <w:szCs w:val="21"/>
                <w:highlight w:val="none"/>
              </w:rPr>
            </w:pPr>
          </w:p>
        </w:tc>
        <w:tc>
          <w:tcPr>
            <w:tcW w:w="851" w:type="dxa"/>
            <w:vAlign w:val="top"/>
          </w:tcPr>
          <w:p>
            <w:pPr>
              <w:shd w:val="clear" w:color="auto" w:fill="auto"/>
              <w:spacing w:line="440" w:lineRule="exact"/>
              <w:rPr>
                <w:rFonts w:hint="eastAsia" w:hAnsi="宋体" w:cs="宋体"/>
                <w:color w:val="auto"/>
                <w:sz w:val="21"/>
                <w:szCs w:val="21"/>
                <w:highlight w:val="none"/>
              </w:rPr>
            </w:pPr>
          </w:p>
        </w:tc>
        <w:tc>
          <w:tcPr>
            <w:tcW w:w="708" w:type="dxa"/>
            <w:vAlign w:val="top"/>
          </w:tcPr>
          <w:p>
            <w:pPr>
              <w:shd w:val="clear" w:color="auto" w:fill="auto"/>
              <w:spacing w:line="440" w:lineRule="exact"/>
              <w:rPr>
                <w:rFonts w:hint="eastAsia" w:hAnsi="宋体" w:cs="宋体"/>
                <w:color w:val="auto"/>
                <w:sz w:val="21"/>
                <w:szCs w:val="21"/>
                <w:highlight w:val="none"/>
              </w:rPr>
            </w:pPr>
          </w:p>
        </w:tc>
        <w:tc>
          <w:tcPr>
            <w:tcW w:w="709" w:type="dxa"/>
            <w:vAlign w:val="top"/>
          </w:tcPr>
          <w:p>
            <w:pPr>
              <w:shd w:val="clear" w:color="auto" w:fill="auto"/>
              <w:spacing w:line="440" w:lineRule="exact"/>
              <w:rPr>
                <w:rFonts w:hint="eastAsia" w:hAnsi="宋体" w:cs="宋体"/>
                <w:color w:val="auto"/>
                <w:sz w:val="21"/>
                <w:szCs w:val="21"/>
                <w:highlight w:val="none"/>
              </w:rPr>
            </w:pPr>
          </w:p>
        </w:tc>
        <w:tc>
          <w:tcPr>
            <w:tcW w:w="803" w:type="dxa"/>
            <w:vAlign w:val="top"/>
          </w:tcPr>
          <w:p>
            <w:pPr>
              <w:shd w:val="clear" w:color="auto" w:fill="auto"/>
              <w:spacing w:line="440" w:lineRule="exact"/>
              <w:rPr>
                <w:rFonts w:hint="eastAsia" w:hAnsi="宋体" w:cs="宋体"/>
                <w:color w:val="auto"/>
                <w:sz w:val="21"/>
                <w:szCs w:val="21"/>
                <w:highlight w:val="none"/>
              </w:rPr>
            </w:pPr>
          </w:p>
        </w:tc>
        <w:tc>
          <w:tcPr>
            <w:tcW w:w="709" w:type="dxa"/>
            <w:vAlign w:val="top"/>
          </w:tcPr>
          <w:p>
            <w:pPr>
              <w:shd w:val="clear" w:color="auto" w:fill="auto"/>
              <w:spacing w:line="440" w:lineRule="exact"/>
              <w:rPr>
                <w:rFonts w:hint="eastAsia" w:hAnsi="宋体" w:cs="宋体"/>
                <w:color w:val="auto"/>
                <w:sz w:val="21"/>
                <w:szCs w:val="21"/>
                <w:highlight w:val="none"/>
              </w:rPr>
            </w:pPr>
          </w:p>
        </w:tc>
        <w:tc>
          <w:tcPr>
            <w:tcW w:w="709" w:type="dxa"/>
            <w:vAlign w:val="top"/>
          </w:tcPr>
          <w:p>
            <w:pPr>
              <w:shd w:val="clear" w:color="auto" w:fill="auto"/>
              <w:spacing w:line="440" w:lineRule="exact"/>
              <w:rPr>
                <w:rFonts w:hint="eastAsia"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shd w:val="clear" w:color="auto" w:fill="auto"/>
              <w:spacing w:line="440" w:lineRule="exact"/>
              <w:rPr>
                <w:rFonts w:hint="eastAsia" w:hAnsi="宋体" w:cs="宋体"/>
                <w:color w:val="auto"/>
                <w:sz w:val="21"/>
                <w:szCs w:val="21"/>
                <w:highlight w:val="none"/>
              </w:rPr>
            </w:pPr>
          </w:p>
        </w:tc>
        <w:tc>
          <w:tcPr>
            <w:tcW w:w="1167" w:type="dxa"/>
            <w:vAlign w:val="top"/>
          </w:tcPr>
          <w:p>
            <w:pPr>
              <w:shd w:val="clear" w:color="auto" w:fill="auto"/>
              <w:spacing w:line="440" w:lineRule="exact"/>
              <w:rPr>
                <w:rFonts w:hint="eastAsia" w:hAnsi="宋体" w:cs="宋体"/>
                <w:color w:val="auto"/>
                <w:sz w:val="21"/>
                <w:szCs w:val="21"/>
                <w:highlight w:val="none"/>
              </w:rPr>
            </w:pPr>
          </w:p>
        </w:tc>
        <w:tc>
          <w:tcPr>
            <w:tcW w:w="1810" w:type="dxa"/>
            <w:vAlign w:val="top"/>
          </w:tcPr>
          <w:p>
            <w:pPr>
              <w:shd w:val="clear" w:color="auto" w:fill="auto"/>
              <w:spacing w:line="440" w:lineRule="exact"/>
              <w:rPr>
                <w:rFonts w:hint="eastAsia" w:hAnsi="宋体" w:cs="宋体"/>
                <w:color w:val="auto"/>
                <w:sz w:val="21"/>
                <w:szCs w:val="21"/>
                <w:highlight w:val="none"/>
              </w:rPr>
            </w:pPr>
          </w:p>
        </w:tc>
        <w:tc>
          <w:tcPr>
            <w:tcW w:w="1134" w:type="dxa"/>
            <w:vAlign w:val="top"/>
          </w:tcPr>
          <w:p>
            <w:pPr>
              <w:shd w:val="clear" w:color="auto" w:fill="auto"/>
              <w:spacing w:line="440" w:lineRule="exact"/>
              <w:rPr>
                <w:rFonts w:hint="eastAsia" w:hAnsi="宋体" w:cs="宋体"/>
                <w:color w:val="auto"/>
                <w:sz w:val="21"/>
                <w:szCs w:val="21"/>
                <w:highlight w:val="none"/>
              </w:rPr>
            </w:pPr>
          </w:p>
        </w:tc>
        <w:tc>
          <w:tcPr>
            <w:tcW w:w="851" w:type="dxa"/>
            <w:vAlign w:val="top"/>
          </w:tcPr>
          <w:p>
            <w:pPr>
              <w:shd w:val="clear" w:color="auto" w:fill="auto"/>
              <w:spacing w:line="440" w:lineRule="exact"/>
              <w:rPr>
                <w:rFonts w:hint="eastAsia" w:hAnsi="宋体" w:cs="宋体"/>
                <w:color w:val="auto"/>
                <w:sz w:val="21"/>
                <w:szCs w:val="21"/>
                <w:highlight w:val="none"/>
              </w:rPr>
            </w:pPr>
          </w:p>
        </w:tc>
        <w:tc>
          <w:tcPr>
            <w:tcW w:w="708" w:type="dxa"/>
            <w:vAlign w:val="top"/>
          </w:tcPr>
          <w:p>
            <w:pPr>
              <w:shd w:val="clear" w:color="auto" w:fill="auto"/>
              <w:spacing w:line="440" w:lineRule="exact"/>
              <w:rPr>
                <w:rFonts w:hint="eastAsia" w:hAnsi="宋体" w:cs="宋体"/>
                <w:color w:val="auto"/>
                <w:sz w:val="21"/>
                <w:szCs w:val="21"/>
                <w:highlight w:val="none"/>
              </w:rPr>
            </w:pPr>
          </w:p>
        </w:tc>
        <w:tc>
          <w:tcPr>
            <w:tcW w:w="709" w:type="dxa"/>
            <w:vAlign w:val="top"/>
          </w:tcPr>
          <w:p>
            <w:pPr>
              <w:shd w:val="clear" w:color="auto" w:fill="auto"/>
              <w:spacing w:line="440" w:lineRule="exact"/>
              <w:rPr>
                <w:rFonts w:hint="eastAsia" w:hAnsi="宋体" w:cs="宋体"/>
                <w:color w:val="auto"/>
                <w:sz w:val="21"/>
                <w:szCs w:val="21"/>
                <w:highlight w:val="none"/>
              </w:rPr>
            </w:pPr>
          </w:p>
        </w:tc>
        <w:tc>
          <w:tcPr>
            <w:tcW w:w="803" w:type="dxa"/>
            <w:vAlign w:val="top"/>
          </w:tcPr>
          <w:p>
            <w:pPr>
              <w:shd w:val="clear" w:color="auto" w:fill="auto"/>
              <w:spacing w:line="440" w:lineRule="exact"/>
              <w:rPr>
                <w:rFonts w:hint="eastAsia" w:hAnsi="宋体" w:cs="宋体"/>
                <w:color w:val="auto"/>
                <w:sz w:val="21"/>
                <w:szCs w:val="21"/>
                <w:highlight w:val="none"/>
              </w:rPr>
            </w:pPr>
          </w:p>
        </w:tc>
        <w:tc>
          <w:tcPr>
            <w:tcW w:w="709" w:type="dxa"/>
            <w:vAlign w:val="top"/>
          </w:tcPr>
          <w:p>
            <w:pPr>
              <w:shd w:val="clear" w:color="auto" w:fill="auto"/>
              <w:spacing w:line="440" w:lineRule="exact"/>
              <w:rPr>
                <w:rFonts w:hint="eastAsia" w:hAnsi="宋体" w:cs="宋体"/>
                <w:color w:val="auto"/>
                <w:sz w:val="21"/>
                <w:szCs w:val="21"/>
                <w:highlight w:val="none"/>
              </w:rPr>
            </w:pPr>
          </w:p>
        </w:tc>
        <w:tc>
          <w:tcPr>
            <w:tcW w:w="709" w:type="dxa"/>
            <w:vAlign w:val="top"/>
          </w:tcPr>
          <w:p>
            <w:pPr>
              <w:shd w:val="clear" w:color="auto" w:fill="auto"/>
              <w:spacing w:line="440" w:lineRule="exact"/>
              <w:rPr>
                <w:rFonts w:hint="eastAsia" w:hAnsi="宋体" w:cs="宋体"/>
                <w:color w:val="auto"/>
                <w:sz w:val="21"/>
                <w:szCs w:val="21"/>
                <w:highlight w:val="none"/>
              </w:rPr>
            </w:pPr>
          </w:p>
        </w:tc>
      </w:tr>
    </w:tbl>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1.4本合同</w:t>
      </w:r>
      <w:r>
        <w:rPr>
          <w:rFonts w:hint="eastAsia" w:cs="宋体"/>
          <w:color w:val="auto"/>
          <w:sz w:val="21"/>
          <w:szCs w:val="21"/>
          <w:highlight w:val="none"/>
          <w:lang w:eastAsia="zh-CN"/>
        </w:rPr>
        <w:t>含税</w:t>
      </w:r>
      <w:r>
        <w:rPr>
          <w:rFonts w:hint="eastAsia" w:cs="宋体"/>
          <w:color w:val="auto"/>
          <w:sz w:val="21"/>
          <w:szCs w:val="21"/>
          <w:highlight w:val="none"/>
        </w:rPr>
        <w:t>总价为</w:t>
      </w:r>
      <w:r>
        <w:rPr>
          <w:rFonts w:hint="eastAsia" w:cs="宋体"/>
          <w:color w:val="auto"/>
          <w:sz w:val="21"/>
          <w:szCs w:val="21"/>
          <w:highlight w:val="non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元（人民币</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lang w:eastAsia="zh-CN"/>
        </w:rPr>
        <w:t>，其中：增值税税率为</w:t>
      </w:r>
      <w:r>
        <w:rPr>
          <w:rFonts w:hint="eastAsia" w:cs="宋体"/>
          <w:color w:val="auto"/>
          <w:sz w:val="21"/>
          <w:szCs w:val="21"/>
          <w:highlight w:val="none"/>
          <w:u w:val="single"/>
        </w:rPr>
        <w:t xml:space="preserve">        </w:t>
      </w:r>
      <w:r>
        <w:rPr>
          <w:rFonts w:hint="eastAsia" w:cs="宋体"/>
          <w:color w:val="auto"/>
          <w:sz w:val="21"/>
          <w:szCs w:val="21"/>
          <w:highlight w:val="none"/>
          <w:lang w:val="en-US" w:eastAsia="zh-CN"/>
        </w:rPr>
        <w:t>%，税金金额¥</w:t>
      </w:r>
      <w:r>
        <w:rPr>
          <w:rFonts w:hint="eastAsia" w:cs="宋体"/>
          <w:color w:val="auto"/>
          <w:sz w:val="21"/>
          <w:szCs w:val="21"/>
          <w:highlight w:val="none"/>
          <w:u w:val="single"/>
        </w:rPr>
        <w:t xml:space="preserve">        </w:t>
      </w:r>
      <w:r>
        <w:rPr>
          <w:rFonts w:hint="eastAsia" w:cs="宋体"/>
          <w:color w:val="auto"/>
          <w:sz w:val="21"/>
          <w:szCs w:val="21"/>
          <w:highlight w:val="none"/>
          <w:lang w:val="en-US" w:eastAsia="zh-CN"/>
        </w:rPr>
        <w:t>元，不含税合同总价款为¥</w:t>
      </w:r>
      <w:r>
        <w:rPr>
          <w:rFonts w:hint="eastAsia" w:cs="宋体"/>
          <w:color w:val="auto"/>
          <w:sz w:val="21"/>
          <w:szCs w:val="21"/>
          <w:highlight w:val="none"/>
          <w:u w:val="single"/>
        </w:rPr>
        <w:t xml:space="preserve">        </w:t>
      </w:r>
      <w:r>
        <w:rPr>
          <w:rFonts w:hint="eastAsia" w:cs="宋体"/>
          <w:color w:val="auto"/>
          <w:sz w:val="21"/>
          <w:szCs w:val="21"/>
          <w:highlight w:val="none"/>
          <w:lang w:val="en-US" w:eastAsia="zh-CN"/>
        </w:rPr>
        <w:t>元。</w:t>
      </w:r>
    </w:p>
    <w:p>
      <w:pPr>
        <w:pStyle w:val="47"/>
        <w:shd w:val="clear" w:color="auto" w:fill="auto"/>
        <w:spacing w:line="440" w:lineRule="exact"/>
        <w:ind w:firstLine="420" w:firstLineChars="200"/>
        <w:rPr>
          <w:rFonts w:hint="eastAsia" w:eastAsia="宋体" w:cs="宋体"/>
          <w:color w:val="auto"/>
          <w:sz w:val="21"/>
          <w:szCs w:val="21"/>
          <w:highlight w:val="none"/>
          <w:lang w:val="en-US" w:eastAsia="zh-CN"/>
        </w:rPr>
      </w:pPr>
      <w:r>
        <w:rPr>
          <w:rFonts w:hint="eastAsia" w:cs="宋体"/>
          <w:color w:val="auto"/>
          <w:sz w:val="21"/>
          <w:szCs w:val="21"/>
          <w:highlight w:val="none"/>
        </w:rPr>
        <w:t>本合同总价包含了</w:t>
      </w:r>
      <w:r>
        <w:rPr>
          <w:rFonts w:hint="eastAsia" w:cs="宋体"/>
          <w:color w:val="auto"/>
          <w:sz w:val="21"/>
          <w:szCs w:val="21"/>
          <w:highlight w:val="none"/>
          <w:lang w:val="en-US" w:eastAsia="zh-CN"/>
        </w:rPr>
        <w:t>所有</w:t>
      </w:r>
      <w:r>
        <w:rPr>
          <w:rFonts w:hint="eastAsia" w:cs="宋体"/>
          <w:color w:val="auto"/>
          <w:sz w:val="21"/>
          <w:szCs w:val="21"/>
          <w:highlight w:val="none"/>
        </w:rPr>
        <w:t>产品</w:t>
      </w:r>
      <w:r>
        <w:rPr>
          <w:rFonts w:hint="eastAsia" w:cs="宋体"/>
          <w:color w:val="auto"/>
          <w:sz w:val="21"/>
          <w:szCs w:val="21"/>
          <w:highlight w:val="none"/>
          <w:lang w:val="en-US" w:eastAsia="zh-CN"/>
        </w:rPr>
        <w:t>（含样品）</w:t>
      </w:r>
      <w:r>
        <w:rPr>
          <w:rFonts w:hint="eastAsia" w:cs="宋体"/>
          <w:color w:val="auto"/>
          <w:sz w:val="21"/>
          <w:szCs w:val="21"/>
          <w:highlight w:val="none"/>
        </w:rPr>
        <w:t>购置费、安装调试费、运费、售后服务费及验收合格之前和保修期间的备品备件发生的所有含税费用。</w:t>
      </w:r>
      <w:r>
        <w:rPr>
          <w:rFonts w:hint="eastAsia" w:cs="宋体"/>
          <w:color w:val="auto"/>
          <w:sz w:val="21"/>
          <w:szCs w:val="21"/>
          <w:highlight w:val="none"/>
          <w:lang w:val="en-US" w:eastAsia="zh-CN"/>
        </w:rPr>
        <w:t xml:space="preserve"> </w:t>
      </w:r>
    </w:p>
    <w:p>
      <w:pPr>
        <w:pStyle w:val="47"/>
        <w:shd w:val="clear" w:color="auto" w:fill="auto"/>
        <w:spacing w:line="440" w:lineRule="exact"/>
        <w:ind w:firstLine="422" w:firstLineChars="200"/>
        <w:rPr>
          <w:rFonts w:hint="eastAsia" w:cs="宋体"/>
          <w:b/>
          <w:color w:val="auto"/>
          <w:sz w:val="21"/>
          <w:szCs w:val="21"/>
          <w:highlight w:val="none"/>
        </w:rPr>
      </w:pPr>
      <w:r>
        <w:rPr>
          <w:rFonts w:hint="eastAsia" w:cs="宋体"/>
          <w:b/>
          <w:color w:val="auto"/>
          <w:sz w:val="21"/>
          <w:szCs w:val="21"/>
          <w:highlight w:val="none"/>
        </w:rPr>
        <w:t>二、合同主要条款</w:t>
      </w:r>
    </w:p>
    <w:p>
      <w:pPr>
        <w:pStyle w:val="47"/>
        <w:shd w:val="clear" w:color="auto" w:fill="auto"/>
        <w:spacing w:line="440" w:lineRule="exact"/>
        <w:ind w:firstLine="422" w:firstLineChars="200"/>
        <w:rPr>
          <w:rFonts w:hint="eastAsia" w:cs="宋体"/>
          <w:b/>
          <w:bCs/>
          <w:color w:val="auto"/>
          <w:sz w:val="21"/>
          <w:szCs w:val="21"/>
          <w:highlight w:val="none"/>
        </w:rPr>
      </w:pPr>
      <w:r>
        <w:rPr>
          <w:rFonts w:hint="eastAsia" w:cs="宋体"/>
          <w:b/>
          <w:bCs/>
          <w:color w:val="auto"/>
          <w:sz w:val="21"/>
          <w:szCs w:val="21"/>
          <w:highlight w:val="none"/>
        </w:rPr>
        <w:t>1.</w:t>
      </w:r>
      <w:r>
        <w:rPr>
          <w:rFonts w:hint="eastAsia" w:cs="宋体"/>
          <w:b/>
          <w:bCs/>
          <w:color w:val="auto"/>
          <w:sz w:val="21"/>
          <w:szCs w:val="21"/>
          <w:highlight w:val="none"/>
          <w:lang w:val="en-US" w:eastAsia="zh-CN"/>
        </w:rPr>
        <w:t>1</w:t>
      </w:r>
      <w:r>
        <w:rPr>
          <w:rFonts w:hint="eastAsia" w:cs="宋体"/>
          <w:b/>
          <w:bCs/>
          <w:color w:val="auto"/>
          <w:sz w:val="21"/>
          <w:szCs w:val="21"/>
          <w:highlight w:val="none"/>
        </w:rPr>
        <w:t>本合同的付款方式：</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在合同签订之日起15天内，向</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提交金额为本合同总价10%的不可撤销银行保函或履约保证金作为履行合同的担保，履约担保期限从合同签订之日起至项目交工验收合格并完成结算后，双方签字之日起7天内保持有效；</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（二）合同签订提交请款报告后20天内，</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支付合同总价的20%作为定金；</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（三）进度款的支付根据每期计量工程价款的80%进行支付。支付至合同价款的80%时，不再付款，</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将所有货物安装</w:t>
      </w:r>
      <w:r>
        <w:rPr>
          <w:rFonts w:hint="eastAsia" w:ascii="宋体" w:hAnsi="宋体" w:cs="宋体"/>
          <w:color w:val="auto"/>
          <w:sz w:val="21"/>
          <w:szCs w:val="21"/>
          <w:highlight w:val="none"/>
          <w:lang w:val="en-US" w:eastAsia="zh-CN"/>
        </w:rPr>
        <w:t>完成</w:t>
      </w:r>
      <w:r>
        <w:rPr>
          <w:rFonts w:hint="eastAsia" w:ascii="宋体" w:hAnsi="宋体" w:cs="宋体"/>
          <w:color w:val="auto"/>
          <w:sz w:val="21"/>
          <w:szCs w:val="21"/>
          <w:highlight w:val="none"/>
          <w:lang w:eastAsia="zh-CN"/>
        </w:rPr>
        <w:t>且</w:t>
      </w:r>
      <w:r>
        <w:rPr>
          <w:rFonts w:hint="eastAsia" w:ascii="宋体" w:hAnsi="宋体" w:eastAsia="宋体" w:cs="宋体"/>
          <w:color w:val="auto"/>
          <w:sz w:val="21"/>
          <w:szCs w:val="21"/>
          <w:highlight w:val="none"/>
        </w:rPr>
        <w:t>经</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验收合格并</w:t>
      </w:r>
      <w:r>
        <w:rPr>
          <w:rFonts w:hint="eastAsia" w:ascii="宋体" w:hAnsi="宋体" w:cs="宋体"/>
          <w:color w:val="auto"/>
          <w:sz w:val="21"/>
          <w:szCs w:val="21"/>
          <w:highlight w:val="none"/>
          <w:lang w:val="en-US" w:eastAsia="zh-CN"/>
        </w:rPr>
        <w:t>办理</w:t>
      </w:r>
      <w:r>
        <w:rPr>
          <w:rFonts w:hint="eastAsia" w:ascii="宋体" w:hAnsi="宋体" w:eastAsia="宋体" w:cs="宋体"/>
          <w:color w:val="auto"/>
          <w:sz w:val="21"/>
          <w:szCs w:val="21"/>
          <w:highlight w:val="none"/>
        </w:rPr>
        <w:t>结算</w:t>
      </w:r>
      <w:r>
        <w:rPr>
          <w:rFonts w:hint="eastAsia" w:ascii="宋体" w:hAnsi="宋体" w:cs="宋体"/>
          <w:color w:val="auto"/>
          <w:sz w:val="21"/>
          <w:szCs w:val="21"/>
          <w:highlight w:val="none"/>
          <w:lang w:val="en-US" w:eastAsia="zh-CN"/>
        </w:rPr>
        <w:t>手续后</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向</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提交请款报告后20天内，支付至工程结算价款的97%</w:t>
      </w:r>
      <w:r>
        <w:rPr>
          <w:rFonts w:hint="eastAsia" w:ascii="宋体" w:hAnsi="宋体" w:cs="宋体"/>
          <w:color w:val="auto"/>
          <w:sz w:val="21"/>
          <w:szCs w:val="21"/>
          <w:highlight w:val="none"/>
          <w:lang w:eastAsia="zh-CN"/>
        </w:rPr>
        <w:t>；</w:t>
      </w:r>
    </w:p>
    <w:p>
      <w:pPr>
        <w:pStyle w:val="20"/>
        <w:keepNext w:val="0"/>
        <w:keepLines w:val="0"/>
        <w:pageBreakBefore w:val="0"/>
        <w:shd w:val="clear" w:color="auto" w:fill="auto"/>
        <w:kinsoku/>
        <w:wordWrap/>
        <w:overflowPunct/>
        <w:topLinePunct w:val="0"/>
        <w:autoSpaceDE w:val="0"/>
        <w:autoSpaceDN w:val="0"/>
        <w:bidi w:val="0"/>
        <w:adjustRightInd w:val="0"/>
        <w:snapToGrid w:val="0"/>
        <w:spacing w:line="360" w:lineRule="auto"/>
        <w:ind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eastAsia="zh-CN"/>
        </w:rPr>
        <w:t>四</w:t>
      </w:r>
      <w:r>
        <w:rPr>
          <w:rFonts w:hint="eastAsia" w:ascii="宋体" w:hAnsi="宋体" w:eastAsia="宋体" w:cs="宋体"/>
          <w:color w:val="auto"/>
          <w:sz w:val="21"/>
          <w:szCs w:val="21"/>
          <w:highlight w:val="none"/>
        </w:rPr>
        <w:t>）结算价余款3％作为质保金，按合同质量保修金及支付方式的约定支付给</w:t>
      </w:r>
      <w:r>
        <w:rPr>
          <w:rFonts w:hint="eastAsia" w:hAnsi="宋体" w:cs="宋体"/>
          <w:color w:val="auto"/>
          <w:sz w:val="21"/>
          <w:szCs w:val="21"/>
          <w:highlight w:val="none"/>
          <w:lang w:eastAsia="zh-CN"/>
        </w:rPr>
        <w:t>乙方</w:t>
      </w:r>
      <w:r>
        <w:rPr>
          <w:rFonts w:hint="eastAsia" w:ascii="宋体" w:hAnsi="宋体" w:eastAsia="宋体" w:cs="宋体"/>
          <w:color w:val="auto"/>
          <w:sz w:val="21"/>
          <w:szCs w:val="21"/>
          <w:highlight w:val="none"/>
        </w:rPr>
        <w:t>。</w:t>
      </w:r>
    </w:p>
    <w:p>
      <w:pPr>
        <w:pStyle w:val="21"/>
        <w:ind w:firstLine="420" w:firstLineChars="200"/>
        <w:rPr>
          <w:rFonts w:hint="eastAsia" w:eastAsia="宋体"/>
          <w:color w:val="auto"/>
          <w:highlight w:val="none"/>
          <w:lang w:eastAsia="zh-CN"/>
        </w:rPr>
      </w:pPr>
      <w:r>
        <w:rPr>
          <w:rFonts w:hint="eastAsia" w:ascii="宋体" w:hAnsi="宋体" w:cs="宋体"/>
          <w:color w:val="auto"/>
          <w:sz w:val="21"/>
          <w:szCs w:val="21"/>
          <w:highlight w:val="none"/>
          <w:lang w:eastAsia="zh-CN"/>
        </w:rPr>
        <w:t>（五）</w:t>
      </w:r>
      <w:r>
        <w:rPr>
          <w:rFonts w:hint="eastAsia"/>
          <w:b/>
          <w:bCs w:val="0"/>
          <w:color w:val="auto"/>
          <w:kern w:val="2"/>
          <w:sz w:val="21"/>
          <w:szCs w:val="21"/>
          <w:highlight w:val="none"/>
        </w:rPr>
        <w:t>本项目</w:t>
      </w:r>
      <w:r>
        <w:rPr>
          <w:rFonts w:hint="eastAsia"/>
          <w:b/>
          <w:bCs w:val="0"/>
          <w:color w:val="auto"/>
          <w:kern w:val="2"/>
          <w:sz w:val="21"/>
          <w:szCs w:val="21"/>
          <w:highlight w:val="none"/>
          <w:lang w:val="en-US" w:eastAsia="zh-CN"/>
        </w:rPr>
        <w:t>采用固定综合单价包干合同，</w:t>
      </w:r>
      <w:r>
        <w:rPr>
          <w:rFonts w:hint="eastAsia"/>
          <w:b/>
          <w:bCs w:val="0"/>
          <w:color w:val="auto"/>
          <w:kern w:val="2"/>
          <w:sz w:val="21"/>
          <w:szCs w:val="21"/>
          <w:highlight w:val="none"/>
        </w:rPr>
        <w:t>根据</w:t>
      </w:r>
      <w:r>
        <w:rPr>
          <w:rFonts w:hint="eastAsia"/>
          <w:b/>
          <w:bCs w:val="0"/>
          <w:color w:val="auto"/>
          <w:kern w:val="2"/>
          <w:sz w:val="21"/>
          <w:szCs w:val="21"/>
          <w:highlight w:val="none"/>
          <w:lang w:eastAsia="zh-CN"/>
        </w:rPr>
        <w:t>实际</w:t>
      </w:r>
      <w:r>
        <w:rPr>
          <w:rFonts w:hint="eastAsia"/>
          <w:b/>
          <w:bCs w:val="0"/>
          <w:color w:val="auto"/>
          <w:kern w:val="2"/>
          <w:sz w:val="21"/>
          <w:szCs w:val="21"/>
          <w:highlight w:val="none"/>
          <w:lang w:val="en-US" w:eastAsia="zh-CN"/>
        </w:rPr>
        <w:t>采购安装货数量</w:t>
      </w:r>
      <w:r>
        <w:rPr>
          <w:rFonts w:hint="eastAsia"/>
          <w:b/>
          <w:bCs w:val="0"/>
          <w:color w:val="auto"/>
          <w:kern w:val="2"/>
          <w:sz w:val="21"/>
          <w:szCs w:val="21"/>
          <w:highlight w:val="none"/>
        </w:rPr>
        <w:t>和</w:t>
      </w:r>
      <w:r>
        <w:rPr>
          <w:rFonts w:hint="eastAsia"/>
          <w:b/>
          <w:bCs w:val="0"/>
          <w:color w:val="auto"/>
          <w:kern w:val="2"/>
          <w:sz w:val="21"/>
          <w:szCs w:val="21"/>
          <w:highlight w:val="none"/>
          <w:lang w:val="en-US" w:eastAsia="zh-CN"/>
        </w:rPr>
        <w:t>合同</w:t>
      </w:r>
      <w:r>
        <w:rPr>
          <w:rFonts w:hint="eastAsia"/>
          <w:b/>
          <w:bCs w:val="0"/>
          <w:color w:val="auto"/>
          <w:kern w:val="2"/>
          <w:sz w:val="21"/>
          <w:szCs w:val="21"/>
          <w:highlight w:val="none"/>
        </w:rPr>
        <w:t>单价，</w:t>
      </w:r>
      <w:r>
        <w:rPr>
          <w:rFonts w:hint="eastAsia"/>
          <w:b/>
          <w:bCs w:val="0"/>
          <w:color w:val="auto"/>
          <w:kern w:val="2"/>
          <w:sz w:val="21"/>
          <w:szCs w:val="21"/>
          <w:highlight w:val="none"/>
          <w:lang w:val="en-US" w:eastAsia="zh-CN"/>
        </w:rPr>
        <w:t>进行</w:t>
      </w:r>
      <w:r>
        <w:rPr>
          <w:rFonts w:hint="eastAsia"/>
          <w:b/>
          <w:bCs w:val="0"/>
          <w:color w:val="auto"/>
          <w:kern w:val="2"/>
          <w:sz w:val="21"/>
          <w:szCs w:val="21"/>
          <w:highlight w:val="none"/>
        </w:rPr>
        <w:t>最终结算。</w:t>
      </w:r>
    </w:p>
    <w:p>
      <w:pPr>
        <w:pStyle w:val="20"/>
        <w:keepNext w:val="0"/>
        <w:keepLines w:val="0"/>
        <w:pageBreakBefore w:val="0"/>
        <w:shd w:val="clear" w:color="auto" w:fill="auto"/>
        <w:kinsoku/>
        <w:wordWrap/>
        <w:overflowPunct/>
        <w:topLinePunct w:val="0"/>
        <w:autoSpaceDE w:val="0"/>
        <w:autoSpaceDN w:val="0"/>
        <w:bidi w:val="0"/>
        <w:adjustRightInd w:val="0"/>
        <w:snapToGrid w:val="0"/>
        <w:spacing w:line="360" w:lineRule="auto"/>
        <w:ind w:right="0" w:firstLine="420" w:firstLineChars="200"/>
        <w:jc w:val="left"/>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注：定金请款时须同时提供等额收据，第（</w:t>
      </w:r>
      <w:r>
        <w:rPr>
          <w:rFonts w:hint="eastAsia" w:ascii="宋体" w:hAnsi="宋体" w:eastAsia="宋体" w:cs="宋体"/>
          <w:b w:val="0"/>
          <w:bCs w:val="0"/>
          <w:color w:val="auto"/>
          <w:sz w:val="21"/>
          <w:szCs w:val="21"/>
          <w:highlight w:val="none"/>
          <w:u w:val="single"/>
          <w:lang w:val="en-US"/>
        </w:rPr>
        <w:t xml:space="preserve">  </w:t>
      </w:r>
      <w:r>
        <w:rPr>
          <w:rFonts w:hint="eastAsia" w:ascii="宋体" w:hAnsi="宋体" w:eastAsia="宋体" w:cs="宋体"/>
          <w:b w:val="0"/>
          <w:bCs w:val="0"/>
          <w:color w:val="auto"/>
          <w:sz w:val="21"/>
          <w:szCs w:val="21"/>
          <w:highlight w:val="none"/>
          <w:lang w:val="en-US"/>
        </w:rPr>
        <w:t>）次请款时，须提供含定金部分的等额增值税发票，此后请款时，乙方须同时提供等额增值税发票（第（</w:t>
      </w:r>
      <w:r>
        <w:rPr>
          <w:rFonts w:hint="eastAsia" w:ascii="宋体" w:hAnsi="宋体" w:eastAsia="宋体" w:cs="宋体"/>
          <w:b w:val="0"/>
          <w:bCs w:val="0"/>
          <w:color w:val="auto"/>
          <w:sz w:val="21"/>
          <w:szCs w:val="21"/>
          <w:highlight w:val="none"/>
          <w:u w:val="single"/>
          <w:lang w:val="en-US"/>
        </w:rPr>
        <w:t xml:space="preserve">  </w:t>
      </w:r>
      <w:r>
        <w:rPr>
          <w:rFonts w:hint="eastAsia" w:ascii="宋体" w:hAnsi="宋体" w:eastAsia="宋体" w:cs="宋体"/>
          <w:b w:val="0"/>
          <w:bCs w:val="0"/>
          <w:color w:val="auto"/>
          <w:sz w:val="21"/>
          <w:szCs w:val="21"/>
          <w:highlight w:val="none"/>
          <w:lang w:val="en-US"/>
        </w:rPr>
        <w:t>）次请款时，须提供合同金额100%的等额增值税发票）。</w:t>
      </w:r>
    </w:p>
    <w:p>
      <w:pPr>
        <w:pStyle w:val="20"/>
        <w:keepNext w:val="0"/>
        <w:keepLines w:val="0"/>
        <w:pageBreakBefore w:val="0"/>
        <w:shd w:val="clear" w:color="auto" w:fill="auto"/>
        <w:kinsoku/>
        <w:wordWrap/>
        <w:overflowPunct/>
        <w:topLinePunct w:val="0"/>
        <w:autoSpaceDE w:val="0"/>
        <w:autoSpaceDN w:val="0"/>
        <w:bidi w:val="0"/>
        <w:adjustRightInd w:val="0"/>
        <w:snapToGrid w:val="0"/>
        <w:spacing w:line="360" w:lineRule="auto"/>
        <w:ind w:right="0"/>
        <w:jc w:val="left"/>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乙方收款账户信息如下：</w:t>
      </w:r>
    </w:p>
    <w:p>
      <w:pPr>
        <w:pStyle w:val="20"/>
        <w:keepNext w:val="0"/>
        <w:keepLines w:val="0"/>
        <w:pageBreakBefore w:val="0"/>
        <w:shd w:val="clear" w:color="auto" w:fill="auto"/>
        <w:kinsoku/>
        <w:wordWrap/>
        <w:overflowPunct/>
        <w:topLinePunct w:val="0"/>
        <w:autoSpaceDE w:val="0"/>
        <w:autoSpaceDN w:val="0"/>
        <w:bidi w:val="0"/>
        <w:adjustRightInd w:val="0"/>
        <w:snapToGrid w:val="0"/>
        <w:spacing w:line="360" w:lineRule="auto"/>
        <w:ind w:right="0" w:firstLine="420" w:firstLineChars="200"/>
        <w:jc w:val="left"/>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账户名：</w:t>
      </w:r>
    </w:p>
    <w:p>
      <w:pPr>
        <w:pStyle w:val="20"/>
        <w:keepNext w:val="0"/>
        <w:keepLines w:val="0"/>
        <w:pageBreakBefore w:val="0"/>
        <w:shd w:val="clear" w:color="auto" w:fill="auto"/>
        <w:kinsoku/>
        <w:wordWrap/>
        <w:overflowPunct/>
        <w:topLinePunct w:val="0"/>
        <w:autoSpaceDE w:val="0"/>
        <w:autoSpaceDN w:val="0"/>
        <w:bidi w:val="0"/>
        <w:adjustRightInd w:val="0"/>
        <w:snapToGrid w:val="0"/>
        <w:spacing w:line="360" w:lineRule="auto"/>
        <w:ind w:right="0" w:firstLine="420" w:firstLineChars="200"/>
        <w:jc w:val="left"/>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账户号：</w:t>
      </w:r>
    </w:p>
    <w:p>
      <w:pPr>
        <w:pStyle w:val="20"/>
        <w:keepNext w:val="0"/>
        <w:keepLines w:val="0"/>
        <w:pageBreakBefore w:val="0"/>
        <w:shd w:val="clear" w:color="auto" w:fill="auto"/>
        <w:kinsoku/>
        <w:wordWrap/>
        <w:overflowPunct/>
        <w:topLinePunct w:val="0"/>
        <w:autoSpaceDE w:val="0"/>
        <w:autoSpaceDN w:val="0"/>
        <w:bidi w:val="0"/>
        <w:adjustRightInd w:val="0"/>
        <w:snapToGrid w:val="0"/>
        <w:spacing w:line="360" w:lineRule="auto"/>
        <w:ind w:right="0" w:firstLine="420" w:firstLineChars="200"/>
        <w:jc w:val="left"/>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开户行：</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付款前乙方应向甲方提出请款申请及所需的材料和等额合法发票，且发票名称必需与甲方、乙方完全一致。如果因乙方怠于或者拒绝提供资料或者办理手续等乙方原因导致的付款迟延，责任全部由乙方承担，甲方不以违约论。</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2</w:t>
      </w:r>
      <w:r>
        <w:rPr>
          <w:rFonts w:hint="eastAsia" w:cs="宋体"/>
          <w:color w:val="auto"/>
          <w:sz w:val="21"/>
          <w:szCs w:val="21"/>
          <w:highlight w:val="none"/>
        </w:rPr>
        <w:t>本合同货物的交货时间为：</w:t>
      </w:r>
      <w:r>
        <w:rPr>
          <w:rFonts w:hint="eastAsia" w:cs="宋体"/>
          <w:color w:val="auto"/>
          <w:sz w:val="21"/>
          <w:szCs w:val="21"/>
          <w:highlight w:val="none"/>
          <w:u w:val="single"/>
        </w:rPr>
        <w:t xml:space="preserve">         </w:t>
      </w:r>
      <w:r>
        <w:rPr>
          <w:rFonts w:hint="eastAsia" w:cs="宋体"/>
          <w:color w:val="auto"/>
          <w:sz w:val="21"/>
          <w:szCs w:val="21"/>
          <w:highlight w:val="none"/>
        </w:rPr>
        <w:t>；交货地点为：</w:t>
      </w:r>
      <w:r>
        <w:rPr>
          <w:rFonts w:hint="eastAsia" w:cs="宋体"/>
          <w:color w:val="auto"/>
          <w:sz w:val="21"/>
          <w:szCs w:val="21"/>
          <w:highlight w:val="none"/>
          <w:u w:val="single"/>
        </w:rPr>
        <w:t xml:space="preserve">         </w:t>
      </w:r>
      <w:r>
        <w:rPr>
          <w:rFonts w:hint="eastAsia" w:cs="宋体"/>
          <w:color w:val="auto"/>
          <w:sz w:val="21"/>
          <w:szCs w:val="21"/>
          <w:highlight w:val="none"/>
        </w:rPr>
        <w:t>。</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3</w:t>
      </w:r>
      <w:r>
        <w:rPr>
          <w:rFonts w:hint="eastAsia" w:cs="宋体"/>
          <w:color w:val="auto"/>
          <w:sz w:val="21"/>
          <w:szCs w:val="21"/>
          <w:highlight w:val="none"/>
        </w:rPr>
        <w:t>本合同货物的质保期为：</w:t>
      </w:r>
      <w:r>
        <w:rPr>
          <w:rFonts w:hint="eastAsia" w:cs="宋体"/>
          <w:color w:val="auto"/>
          <w:sz w:val="21"/>
          <w:szCs w:val="21"/>
          <w:highlight w:val="none"/>
          <w:u w:val="single"/>
        </w:rPr>
        <w:t xml:space="preserve">           </w:t>
      </w:r>
      <w:r>
        <w:rPr>
          <w:rFonts w:hint="eastAsia" w:cs="宋体"/>
          <w:color w:val="auto"/>
          <w:sz w:val="21"/>
          <w:szCs w:val="21"/>
          <w:highlight w:val="none"/>
          <w:u w:val="single"/>
          <w:lang w:eastAsia="zh-CN"/>
        </w:rPr>
        <w:t>（如个体设备有更高要求的，遵循更高要求）</w:t>
      </w:r>
      <w:r>
        <w:rPr>
          <w:rFonts w:hint="eastAsia" w:cs="宋体"/>
          <w:color w:val="auto"/>
          <w:sz w:val="21"/>
          <w:szCs w:val="21"/>
          <w:highlight w:val="none"/>
        </w:rPr>
        <w:t>，自货物交付并经甲方验收合格之日起算。质量保修期内发生质量问题，全部由乙方负责。乙方怠于或拒绝履行的，甲方可委托第三方代为履行，发生的费用及损失由乙方承担。</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lang w:val="en-US" w:eastAsia="zh-CN"/>
        </w:rPr>
        <w:t>1.4</w:t>
      </w:r>
      <w:r>
        <w:rPr>
          <w:rFonts w:hint="eastAsia" w:cs="宋体"/>
          <w:color w:val="auto"/>
          <w:sz w:val="21"/>
          <w:szCs w:val="21"/>
          <w:highlight w:val="none"/>
        </w:rPr>
        <w:t>具体质量保修服务要求及售后承诺：</w:t>
      </w:r>
      <w:r>
        <w:rPr>
          <w:rFonts w:hint="eastAsia" w:cs="宋体"/>
          <w:color w:val="auto"/>
          <w:sz w:val="21"/>
          <w:szCs w:val="21"/>
          <w:highlight w:val="none"/>
          <w:u w:val="single"/>
        </w:rPr>
        <w:t xml:space="preserve">                       </w:t>
      </w:r>
      <w:r>
        <w:rPr>
          <w:rFonts w:hint="eastAsia" w:cs="宋体"/>
          <w:color w:val="auto"/>
          <w:sz w:val="21"/>
          <w:szCs w:val="21"/>
          <w:highlight w:val="none"/>
        </w:rPr>
        <w:t>。</w:t>
      </w:r>
    </w:p>
    <w:p>
      <w:pPr>
        <w:pStyle w:val="20"/>
        <w:keepNext w:val="0"/>
        <w:keepLines w:val="0"/>
        <w:pageBreakBefore w:val="0"/>
        <w:shd w:val="clear" w:color="auto" w:fill="auto"/>
        <w:kinsoku/>
        <w:wordWrap/>
        <w:overflowPunct/>
        <w:topLinePunct w:val="0"/>
        <w:autoSpaceDE w:val="0"/>
        <w:autoSpaceDN w:val="0"/>
        <w:bidi w:val="0"/>
        <w:adjustRightInd w:val="0"/>
        <w:snapToGrid w:val="0"/>
        <w:spacing w:line="360" w:lineRule="auto"/>
        <w:ind w:right="0" w:firstLine="422" w:firstLineChars="200"/>
        <w:jc w:val="left"/>
        <w:textAlignment w:val="auto"/>
        <w:rPr>
          <w:rFonts w:hint="eastAsia" w:ascii="宋体" w:hAnsi="宋体" w:eastAsia="宋体" w:cs="宋体"/>
          <w:b w:val="0"/>
          <w:bCs w:val="0"/>
          <w:color w:val="auto"/>
          <w:sz w:val="21"/>
          <w:szCs w:val="21"/>
          <w:highlight w:val="none"/>
          <w:lang w:val="en-US"/>
        </w:rPr>
      </w:pPr>
      <w:r>
        <w:rPr>
          <w:rFonts w:hint="eastAsia"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rPr>
        <w:t>质量保修金及支付方式</w:t>
      </w:r>
      <w:r>
        <w:rPr>
          <w:rFonts w:hint="eastAsia"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rPr>
        <w:t>结算价款的（</w:t>
      </w:r>
      <w:r>
        <w:rPr>
          <w:rFonts w:hint="eastAsia"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rPr>
        <w:t>）留作质量保修金。在乙方按本合同约定履行质量保修义务的前提下，甲方于全部货物验收合格之日起届满二年且收到乙方提交的下述质量保修保函之后，甲方将剩余的质量保修金无息退还给乙方。如乙方未按本合同约定履行质量保修义务的，甲方有权不予或推迟向乙方退还质量保修金。甲方向乙方退还质量保修金前，乙方须向甲方提交担保金额为结算价款（</w:t>
      </w:r>
      <w:r>
        <w:rPr>
          <w:rFonts w:hint="eastAsia"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rPr>
        <w:t>%）的无条件、见索即付、不可撤销质量保修保函（如质保期短于两年（含），则无需提供质量保修保函）。该保函的有效期为（全部货物</w:t>
      </w:r>
      <w:r>
        <w:rPr>
          <w:rFonts w:hint="eastAsia" w:hAnsi="宋体" w:cs="宋体"/>
          <w:b w:val="0"/>
          <w:bCs w:val="0"/>
          <w:color w:val="auto"/>
          <w:sz w:val="21"/>
          <w:szCs w:val="21"/>
          <w:highlight w:val="none"/>
          <w:lang w:val="en-US" w:eastAsia="zh-CN"/>
        </w:rPr>
        <w:t>安装</w:t>
      </w:r>
      <w:r>
        <w:rPr>
          <w:rFonts w:hint="eastAsia" w:ascii="宋体" w:hAnsi="宋体" w:eastAsia="宋体" w:cs="宋体"/>
          <w:b w:val="0"/>
          <w:bCs w:val="0"/>
          <w:color w:val="auto"/>
          <w:sz w:val="21"/>
          <w:szCs w:val="21"/>
          <w:highlight w:val="none"/>
          <w:lang w:val="en-US"/>
        </w:rPr>
        <w:t>验收合格届满二年之日起</w:t>
      </w:r>
      <w:r>
        <w:rPr>
          <w:rFonts w:hint="eastAsia" w:ascii="宋体" w:hAnsi="宋体" w:eastAsia="宋体" w:cs="宋体"/>
          <w:b w:val="0"/>
          <w:bCs w:val="0"/>
          <w:color w:val="auto"/>
          <w:sz w:val="21"/>
          <w:szCs w:val="21"/>
          <w:highlight w:val="none"/>
          <w:u w:val="single"/>
          <w:lang w:val="en-US"/>
        </w:rPr>
        <w:t xml:space="preserve">   </w:t>
      </w:r>
      <w:r>
        <w:rPr>
          <w:rFonts w:hint="eastAsia" w:ascii="宋体" w:hAnsi="宋体" w:eastAsia="宋体" w:cs="宋体"/>
          <w:b w:val="0"/>
          <w:bCs w:val="0"/>
          <w:color w:val="auto"/>
          <w:sz w:val="21"/>
          <w:szCs w:val="21"/>
          <w:highlight w:val="none"/>
          <w:lang w:val="en-US"/>
        </w:rPr>
        <w:t>年）。</w:t>
      </w:r>
    </w:p>
    <w:p>
      <w:pPr>
        <w:pStyle w:val="47"/>
        <w:shd w:val="clear" w:color="auto" w:fill="auto"/>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6</w:t>
      </w:r>
      <w:r>
        <w:rPr>
          <w:rFonts w:hint="eastAsia" w:cs="宋体"/>
          <w:color w:val="auto"/>
          <w:sz w:val="21"/>
          <w:szCs w:val="21"/>
          <w:highlight w:val="none"/>
        </w:rPr>
        <w:t>乙方在履行本合同过程中造成其人员或第三人人身、财产损害的，由其自行处理和承担赔偿责任，与甲方无关，乙方不得因此影响本合同的履行。</w:t>
      </w:r>
    </w:p>
    <w:p>
      <w:pPr>
        <w:pStyle w:val="47"/>
        <w:shd w:val="clear" w:color="auto" w:fill="auto"/>
        <w:spacing w:line="440" w:lineRule="exact"/>
        <w:ind w:firstLine="420" w:firstLineChars="200"/>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7</w:t>
      </w:r>
      <w:r>
        <w:rPr>
          <w:rFonts w:hint="eastAsia" w:cs="宋体"/>
          <w:color w:val="auto"/>
          <w:sz w:val="21"/>
          <w:szCs w:val="21"/>
          <w:highlight w:val="none"/>
        </w:rPr>
        <w:t>甲方根据项目要求增加其他必要条款：</w:t>
      </w:r>
      <w:r>
        <w:rPr>
          <w:rFonts w:hint="eastAsia" w:cs="宋体"/>
          <w:color w:val="auto"/>
          <w:sz w:val="21"/>
          <w:szCs w:val="21"/>
          <w:highlight w:val="none"/>
          <w:u w:val="single"/>
        </w:rPr>
        <w:t xml:space="preserve">                </w:t>
      </w:r>
      <w:r>
        <w:rPr>
          <w:rFonts w:hint="eastAsia" w:cs="宋体"/>
          <w:color w:val="auto"/>
          <w:sz w:val="21"/>
          <w:szCs w:val="21"/>
          <w:highlight w:val="none"/>
        </w:rPr>
        <w:t>。</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8</w:t>
      </w:r>
      <w:r>
        <w:rPr>
          <w:rFonts w:hint="eastAsia" w:cs="宋体"/>
          <w:color w:val="auto"/>
          <w:sz w:val="21"/>
          <w:szCs w:val="21"/>
          <w:highlight w:val="none"/>
        </w:rPr>
        <w:t>本项目按实际供货数量结算，以中标单价乘以实际供货数量计算具体费用。</w:t>
      </w:r>
      <w:r>
        <w:rPr>
          <w:rFonts w:hint="eastAsia" w:cs="宋体"/>
          <w:color w:val="auto"/>
          <w:sz w:val="21"/>
          <w:szCs w:val="21"/>
          <w:highlight w:val="none"/>
          <w:lang w:eastAsia="zh-CN"/>
        </w:rPr>
        <w:t>甲方</w:t>
      </w:r>
      <w:r>
        <w:rPr>
          <w:rFonts w:hint="eastAsia" w:cs="宋体"/>
          <w:color w:val="auto"/>
          <w:sz w:val="21"/>
          <w:szCs w:val="21"/>
          <w:highlight w:val="none"/>
        </w:rPr>
        <w:t>需采购清单内未列明的货物，</w:t>
      </w:r>
      <w:r>
        <w:rPr>
          <w:rFonts w:hint="eastAsia" w:cs="宋体"/>
          <w:color w:val="auto"/>
          <w:sz w:val="21"/>
          <w:szCs w:val="21"/>
          <w:highlight w:val="none"/>
          <w:lang w:eastAsia="zh-CN"/>
        </w:rPr>
        <w:t>乙方</w:t>
      </w:r>
      <w:r>
        <w:rPr>
          <w:rFonts w:hint="eastAsia" w:cs="宋体"/>
          <w:color w:val="auto"/>
          <w:sz w:val="21"/>
          <w:szCs w:val="21"/>
          <w:highlight w:val="none"/>
        </w:rPr>
        <w:t>须按</w:t>
      </w:r>
      <w:r>
        <w:rPr>
          <w:rFonts w:hint="eastAsia" w:cs="宋体"/>
          <w:color w:val="auto"/>
          <w:sz w:val="21"/>
          <w:szCs w:val="21"/>
          <w:highlight w:val="none"/>
          <w:lang w:eastAsia="zh-CN"/>
        </w:rPr>
        <w:t>甲方</w:t>
      </w:r>
      <w:r>
        <w:rPr>
          <w:rFonts w:hint="eastAsia" w:cs="宋体"/>
          <w:color w:val="auto"/>
          <w:sz w:val="21"/>
          <w:szCs w:val="21"/>
          <w:highlight w:val="none"/>
        </w:rPr>
        <w:t>的要求进行供货，新增货物的价格由双方协商后确定。</w:t>
      </w:r>
    </w:p>
    <w:p>
      <w:pPr>
        <w:pStyle w:val="47"/>
        <w:shd w:val="clear" w:color="auto" w:fill="auto"/>
        <w:spacing w:line="440" w:lineRule="exact"/>
        <w:ind w:firstLine="422" w:firstLineChars="200"/>
        <w:rPr>
          <w:rFonts w:hint="eastAsia" w:cs="宋体"/>
          <w:b/>
          <w:color w:val="auto"/>
          <w:sz w:val="21"/>
          <w:szCs w:val="21"/>
          <w:highlight w:val="none"/>
        </w:rPr>
      </w:pPr>
      <w:r>
        <w:rPr>
          <w:rFonts w:hint="eastAsia" w:cs="宋体"/>
          <w:b/>
          <w:color w:val="auto"/>
          <w:sz w:val="21"/>
          <w:szCs w:val="21"/>
          <w:highlight w:val="none"/>
        </w:rPr>
        <w:t xml:space="preserve">三、合同一般条款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 定义本合同中的下列术语应解释为：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1.1“合同”系指甲乙双方签署的、合同格式中载明的甲乙双方所达成的协议， 包括所有的附件、附录、和构成合同的其它文件。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1.2“合同价”系指根据合同约定，乙方在完全履行合同义务后甲方应付给乙方的价格。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1.3 “货物”系指乙方根据合同约定须向甲方提供的一切设备、机械、仪表、备件，包括工具、手册等其它相关资料。“服务”系指根据合同约定乙方承担与供货有关的辅助服务，如运输、保险及安装、调试、提供技术援助、培训和其他类似的服务。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1.4 “验收”系指合同双方依据强制性的国家技术质量规范和合同约定，确认合同项下的货物符合合同规定的活动。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2 技术规范 </w:t>
      </w:r>
    </w:p>
    <w:p>
      <w:pPr>
        <w:pStyle w:val="47"/>
        <w:shd w:val="clear" w:color="auto" w:fill="auto"/>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 xml:space="preserve">2.1 提交货物的技术规范应与招标文件规定的技术规范和其投标文件的技术规范相一致。若技术规范中无相应说明，则以国家有关部门最新颁布的相应标准及规范为准。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3 知识产权 </w:t>
      </w:r>
    </w:p>
    <w:p>
      <w:pPr>
        <w:pStyle w:val="47"/>
        <w:shd w:val="clear" w:color="auto" w:fill="auto"/>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 xml:space="preserve">3.1 乙方应保证甲方在使用该货物或其任何一部分时不受第三方提出的侵犯专利权、著作权、商标权和工业设计权等侵犯知识产权的起诉。如果任何第三方提出侵权指控，乙方须与第三方交涉并承担由此发生的一切责任、费用和经济赔偿，导致甲方不能使用成果的还应退还全部项目费用，并承担违约责任及赔偿因此给甲方造成的全部损失。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4 包装要求</w:t>
      </w:r>
      <w:r>
        <w:rPr>
          <w:rFonts w:hint="eastAsia" w:cs="宋体"/>
          <w:color w:val="auto"/>
          <w:sz w:val="21"/>
          <w:szCs w:val="21"/>
          <w:highlight w:val="none"/>
          <w:lang w:eastAsia="zh-CN"/>
        </w:rPr>
        <w:t>、</w:t>
      </w:r>
      <w:r>
        <w:rPr>
          <w:rFonts w:hint="eastAsia"/>
          <w:b w:val="0"/>
          <w:bCs/>
          <w:color w:val="auto"/>
          <w:sz w:val="21"/>
          <w:szCs w:val="21"/>
          <w:highlight w:val="none"/>
        </w:rPr>
        <w:t>安装、调试</w:t>
      </w:r>
      <w:r>
        <w:rPr>
          <w:rFonts w:hint="eastAsia" w:cs="宋体"/>
          <w:b w:val="0"/>
          <w:bCs/>
          <w:color w:val="auto"/>
          <w:sz w:val="21"/>
          <w:szCs w:val="21"/>
          <w:highlight w:val="none"/>
        </w:rPr>
        <w:t xml:space="preserve">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4.1 除合同另有约定外，乙方提供的全部货物，均应采用本行业通用的方式进行包装，且该包装应符合国家有关包装的</w:t>
      </w:r>
      <w:r>
        <w:rPr>
          <w:rFonts w:hint="eastAsia" w:cs="宋体"/>
          <w:color w:val="auto"/>
          <w:sz w:val="21"/>
          <w:szCs w:val="21"/>
          <w:highlight w:val="none"/>
        </w:rPr>
        <w:fldChar w:fldCharType="begin"/>
      </w:r>
      <w:r>
        <w:rPr>
          <w:rFonts w:hint="eastAsia" w:cs="宋体"/>
          <w:color w:val="auto"/>
          <w:sz w:val="21"/>
          <w:szCs w:val="21"/>
          <w:highlight w:val="none"/>
        </w:rPr>
        <w:instrText xml:space="preserve"> HYPERLINK "http://www.chinalawedu.com/" \t "_blank" \o "法律" </w:instrText>
      </w:r>
      <w:r>
        <w:rPr>
          <w:rFonts w:hint="eastAsia" w:cs="宋体"/>
          <w:color w:val="auto"/>
          <w:sz w:val="21"/>
          <w:szCs w:val="21"/>
          <w:highlight w:val="none"/>
        </w:rPr>
        <w:fldChar w:fldCharType="separate"/>
      </w:r>
      <w:r>
        <w:rPr>
          <w:rStyle w:val="58"/>
          <w:color w:val="auto"/>
          <w:sz w:val="21"/>
          <w:szCs w:val="21"/>
          <w:highlight w:val="none"/>
        </w:rPr>
        <w:t>法律</w:t>
      </w:r>
      <w:r>
        <w:rPr>
          <w:rFonts w:hint="eastAsia" w:cs="宋体"/>
          <w:color w:val="auto"/>
          <w:sz w:val="21"/>
          <w:szCs w:val="21"/>
          <w:highlight w:val="none"/>
        </w:rPr>
        <w:fldChar w:fldCharType="end"/>
      </w:r>
      <w:r>
        <w:rPr>
          <w:rFonts w:hint="eastAsia" w:cs="宋体"/>
          <w:color w:val="auto"/>
          <w:sz w:val="21"/>
          <w:szCs w:val="21"/>
          <w:highlight w:val="none"/>
        </w:rPr>
        <w:t>、</w:t>
      </w:r>
      <w:r>
        <w:rPr>
          <w:rFonts w:hint="eastAsia" w:cs="宋体"/>
          <w:color w:val="auto"/>
          <w:sz w:val="21"/>
          <w:szCs w:val="21"/>
          <w:highlight w:val="none"/>
        </w:rPr>
        <w:fldChar w:fldCharType="begin"/>
      </w:r>
      <w:r>
        <w:rPr>
          <w:rFonts w:hint="eastAsia" w:cs="宋体"/>
          <w:color w:val="auto"/>
          <w:sz w:val="21"/>
          <w:szCs w:val="21"/>
          <w:highlight w:val="none"/>
        </w:rPr>
        <w:instrText xml:space="preserve"> HYPERLINK "http://www.chinalawedu.com/falvfagui/" \t "_blank" \o "法规" </w:instrText>
      </w:r>
      <w:r>
        <w:rPr>
          <w:rFonts w:hint="eastAsia" w:cs="宋体"/>
          <w:color w:val="auto"/>
          <w:sz w:val="21"/>
          <w:szCs w:val="21"/>
          <w:highlight w:val="none"/>
        </w:rPr>
        <w:fldChar w:fldCharType="separate"/>
      </w:r>
      <w:r>
        <w:rPr>
          <w:rStyle w:val="58"/>
          <w:color w:val="auto"/>
          <w:sz w:val="21"/>
          <w:szCs w:val="21"/>
          <w:highlight w:val="none"/>
        </w:rPr>
        <w:t>法规</w:t>
      </w:r>
      <w:r>
        <w:rPr>
          <w:rFonts w:hint="eastAsia" w:cs="宋体"/>
          <w:color w:val="auto"/>
          <w:sz w:val="21"/>
          <w:szCs w:val="21"/>
          <w:highlight w:val="none"/>
        </w:rPr>
        <w:fldChar w:fldCharType="end"/>
      </w:r>
      <w:r>
        <w:rPr>
          <w:rFonts w:hint="eastAsia" w:cs="宋体"/>
          <w:color w:val="auto"/>
          <w:sz w:val="21"/>
          <w:szCs w:val="21"/>
          <w:highlight w:val="none"/>
        </w:rPr>
        <w:t xml:space="preserve">的规定。包装应适应于远距离运输、防潮、防震、防锈和防粗暴装卸，确保货物安全无损，运抵现场。由于包装不善等非甲方原因所引起的货物锈蚀、损坏和损失均由乙方承担。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4.2 每件包装箱内应附一份详细装箱单、质量合格证、保修单。 </w:t>
      </w:r>
    </w:p>
    <w:p>
      <w:pPr>
        <w:pStyle w:val="47"/>
        <w:shd w:val="clear" w:color="auto" w:fill="auto"/>
        <w:spacing w:line="440" w:lineRule="exact"/>
        <w:ind w:firstLine="422" w:firstLineChars="200"/>
        <w:rPr>
          <w:rFonts w:hint="eastAsia"/>
          <w:b/>
          <w:color w:val="auto"/>
          <w:sz w:val="21"/>
          <w:szCs w:val="21"/>
          <w:highlight w:val="none"/>
        </w:rPr>
      </w:pPr>
      <w:r>
        <w:rPr>
          <w:rFonts w:hint="eastAsia"/>
          <w:b/>
          <w:color w:val="auto"/>
          <w:sz w:val="21"/>
          <w:szCs w:val="21"/>
          <w:highlight w:val="none"/>
          <w:lang w:val="en-US" w:eastAsia="zh-CN"/>
        </w:rPr>
        <w:t>4.3</w:t>
      </w:r>
      <w:r>
        <w:rPr>
          <w:rFonts w:hint="eastAsia"/>
          <w:b/>
          <w:color w:val="auto"/>
          <w:sz w:val="21"/>
          <w:szCs w:val="21"/>
          <w:highlight w:val="none"/>
        </w:rPr>
        <w:t>安装、调试</w:t>
      </w:r>
      <w:r>
        <w:rPr>
          <w:rFonts w:hint="eastAsia" w:cs="宋体"/>
          <w:color w:val="auto"/>
          <w:sz w:val="21"/>
          <w:szCs w:val="21"/>
          <w:highlight w:val="none"/>
        </w:rPr>
        <w:t xml:space="preserve"> </w:t>
      </w:r>
    </w:p>
    <w:p>
      <w:pPr>
        <w:shd w:val="clear" w:color="auto" w:fill="auto"/>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val="en-US" w:eastAsia="zh-CN"/>
        </w:rPr>
        <w:t>4.3.1</w:t>
      </w:r>
      <w:r>
        <w:rPr>
          <w:rFonts w:hint="eastAsia" w:hAnsi="宋体"/>
          <w:color w:val="auto"/>
          <w:sz w:val="21"/>
          <w:szCs w:val="21"/>
          <w:highlight w:val="none"/>
          <w:lang w:eastAsia="zh-CN"/>
        </w:rPr>
        <w:t>乙方</w:t>
      </w:r>
      <w:r>
        <w:rPr>
          <w:rFonts w:hint="eastAsia" w:hAnsi="宋体"/>
          <w:color w:val="auto"/>
          <w:sz w:val="21"/>
          <w:szCs w:val="21"/>
          <w:highlight w:val="none"/>
        </w:rPr>
        <w:t>负责货物的包装、运输、安装、调试等工作，并承担由此产生的所有费用，</w:t>
      </w:r>
      <w:r>
        <w:rPr>
          <w:rFonts w:hint="eastAsia" w:hAnsi="宋体"/>
          <w:color w:val="auto"/>
          <w:sz w:val="21"/>
          <w:szCs w:val="21"/>
          <w:highlight w:val="none"/>
          <w:lang w:eastAsia="zh-CN"/>
        </w:rPr>
        <w:t>乙方</w:t>
      </w:r>
      <w:r>
        <w:rPr>
          <w:rFonts w:hint="eastAsia" w:hAnsi="宋体"/>
          <w:color w:val="auto"/>
          <w:sz w:val="21"/>
          <w:szCs w:val="21"/>
          <w:highlight w:val="none"/>
        </w:rPr>
        <w:t>负责到用户指定的地点进行安装、调试。</w:t>
      </w:r>
    </w:p>
    <w:p>
      <w:pPr>
        <w:shd w:val="clear" w:color="auto" w:fill="auto"/>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val="en-US" w:eastAsia="zh-CN"/>
        </w:rPr>
        <w:t>4.3.2</w:t>
      </w:r>
      <w:r>
        <w:rPr>
          <w:rFonts w:hint="eastAsia" w:hAnsi="宋体"/>
          <w:color w:val="auto"/>
          <w:sz w:val="21"/>
          <w:szCs w:val="21"/>
          <w:highlight w:val="none"/>
          <w:lang w:eastAsia="zh-CN"/>
        </w:rPr>
        <w:t>乙方</w:t>
      </w:r>
      <w:r>
        <w:rPr>
          <w:rFonts w:hint="eastAsia" w:hAnsi="宋体"/>
          <w:color w:val="auto"/>
          <w:sz w:val="21"/>
          <w:szCs w:val="21"/>
          <w:highlight w:val="none"/>
        </w:rPr>
        <w:t>应提交详细安装进度表。</w:t>
      </w:r>
    </w:p>
    <w:p>
      <w:pPr>
        <w:shd w:val="clear" w:color="auto" w:fill="auto"/>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val="en-US" w:eastAsia="zh-CN"/>
        </w:rPr>
        <w:t>4.3.3</w:t>
      </w:r>
      <w:r>
        <w:rPr>
          <w:rFonts w:hint="eastAsia" w:hAnsi="宋体"/>
          <w:color w:val="auto"/>
          <w:sz w:val="21"/>
          <w:szCs w:val="21"/>
          <w:highlight w:val="none"/>
          <w:lang w:eastAsia="zh-CN"/>
        </w:rPr>
        <w:t>乙方</w:t>
      </w:r>
      <w:r>
        <w:rPr>
          <w:rFonts w:hint="eastAsia" w:hAnsi="宋体"/>
          <w:color w:val="auto"/>
          <w:sz w:val="21"/>
          <w:szCs w:val="21"/>
          <w:highlight w:val="none"/>
        </w:rPr>
        <w:t>应设安装负责人，负责安装协调管理工作。</w:t>
      </w:r>
    </w:p>
    <w:p>
      <w:pPr>
        <w:shd w:val="clear" w:color="auto" w:fill="auto"/>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val="en-US" w:eastAsia="zh-CN"/>
        </w:rPr>
        <w:t>4.3.4</w:t>
      </w:r>
      <w:r>
        <w:rPr>
          <w:rFonts w:hint="eastAsia" w:hAnsi="宋体"/>
          <w:color w:val="auto"/>
          <w:sz w:val="21"/>
          <w:szCs w:val="21"/>
          <w:highlight w:val="none"/>
        </w:rPr>
        <w:t>按国家相关施工验收规范进行，分阶段进行调试。</w:t>
      </w:r>
    </w:p>
    <w:p>
      <w:pPr>
        <w:shd w:val="clear" w:color="auto" w:fill="auto"/>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val="en-US" w:eastAsia="zh-CN"/>
        </w:rPr>
        <w:t>4.3.5</w:t>
      </w:r>
      <w:r>
        <w:rPr>
          <w:rFonts w:hint="eastAsia" w:hAnsi="宋体"/>
          <w:color w:val="auto"/>
          <w:sz w:val="21"/>
          <w:szCs w:val="21"/>
          <w:highlight w:val="none"/>
        </w:rPr>
        <w:t>货物的安装、调试等项工作由</w:t>
      </w:r>
      <w:r>
        <w:rPr>
          <w:rFonts w:hint="eastAsia" w:hAnsi="宋体"/>
          <w:color w:val="auto"/>
          <w:sz w:val="21"/>
          <w:szCs w:val="21"/>
          <w:highlight w:val="none"/>
          <w:lang w:eastAsia="zh-CN"/>
        </w:rPr>
        <w:t>乙方</w:t>
      </w:r>
      <w:r>
        <w:rPr>
          <w:rFonts w:hint="eastAsia" w:hAnsi="宋体"/>
          <w:color w:val="auto"/>
          <w:sz w:val="21"/>
          <w:szCs w:val="21"/>
          <w:highlight w:val="none"/>
        </w:rPr>
        <w:t>负责，但必须在</w:t>
      </w:r>
      <w:r>
        <w:rPr>
          <w:rFonts w:hint="eastAsia" w:hAnsi="宋体"/>
          <w:color w:val="auto"/>
          <w:sz w:val="21"/>
          <w:szCs w:val="21"/>
          <w:highlight w:val="none"/>
          <w:lang w:eastAsia="zh-CN"/>
        </w:rPr>
        <w:t>甲方</w:t>
      </w:r>
      <w:r>
        <w:rPr>
          <w:rFonts w:hint="eastAsia" w:hAnsi="宋体"/>
          <w:color w:val="auto"/>
          <w:sz w:val="21"/>
          <w:szCs w:val="21"/>
          <w:highlight w:val="none"/>
        </w:rPr>
        <w:t>指定人员的参与下进行。调试的原始记录须经各方签字后作为验收的文件之一。</w:t>
      </w:r>
    </w:p>
    <w:p>
      <w:pPr>
        <w:shd w:val="clear" w:color="auto" w:fill="auto"/>
        <w:spacing w:line="360" w:lineRule="auto"/>
        <w:ind w:firstLine="420" w:firstLineChars="200"/>
        <w:rPr>
          <w:rFonts w:hint="eastAsia" w:cs="宋体"/>
          <w:color w:val="auto"/>
          <w:sz w:val="21"/>
          <w:szCs w:val="21"/>
          <w:highlight w:val="none"/>
        </w:rPr>
      </w:pPr>
      <w:r>
        <w:rPr>
          <w:rFonts w:hint="eastAsia" w:hAnsi="宋体"/>
          <w:color w:val="auto"/>
          <w:sz w:val="21"/>
          <w:szCs w:val="21"/>
          <w:highlight w:val="none"/>
          <w:lang w:val="en-US" w:eastAsia="zh-CN"/>
        </w:rPr>
        <w:t>4.3.6</w:t>
      </w:r>
      <w:r>
        <w:rPr>
          <w:rFonts w:hint="eastAsia" w:hAnsi="宋体"/>
          <w:color w:val="auto"/>
          <w:sz w:val="21"/>
          <w:szCs w:val="21"/>
          <w:highlight w:val="none"/>
          <w:lang w:eastAsia="zh-CN"/>
        </w:rPr>
        <w:t>货物</w:t>
      </w:r>
      <w:r>
        <w:rPr>
          <w:rFonts w:hint="eastAsia" w:hAnsi="宋体"/>
          <w:color w:val="auto"/>
          <w:sz w:val="21"/>
          <w:szCs w:val="21"/>
          <w:highlight w:val="none"/>
        </w:rPr>
        <w:t>开始安装后，</w:t>
      </w:r>
      <w:r>
        <w:rPr>
          <w:rFonts w:hint="eastAsia" w:hAnsi="宋体"/>
          <w:color w:val="auto"/>
          <w:sz w:val="21"/>
          <w:szCs w:val="21"/>
          <w:highlight w:val="none"/>
          <w:lang w:eastAsia="zh-CN"/>
        </w:rPr>
        <w:t>甲方</w:t>
      </w:r>
      <w:r>
        <w:rPr>
          <w:rFonts w:hint="eastAsia" w:hAnsi="宋体"/>
          <w:color w:val="auto"/>
          <w:sz w:val="21"/>
          <w:szCs w:val="21"/>
          <w:highlight w:val="none"/>
        </w:rPr>
        <w:t>可以抽样到</w:t>
      </w:r>
      <w:r>
        <w:rPr>
          <w:rFonts w:hint="eastAsia" w:hAnsi="宋体"/>
          <w:color w:val="auto"/>
          <w:sz w:val="21"/>
          <w:szCs w:val="21"/>
          <w:highlight w:val="none"/>
          <w:lang w:eastAsia="zh-CN"/>
        </w:rPr>
        <w:t>市</w:t>
      </w:r>
      <w:r>
        <w:rPr>
          <w:rFonts w:hint="eastAsia" w:hAnsi="宋体"/>
          <w:color w:val="auto"/>
          <w:sz w:val="21"/>
          <w:szCs w:val="21"/>
          <w:highlight w:val="none"/>
        </w:rPr>
        <w:t>级以上专业部门进行环保检测，如果产品及格则进行验收，如果不及格</w:t>
      </w:r>
      <w:r>
        <w:rPr>
          <w:rFonts w:hint="eastAsia" w:hAnsi="宋体"/>
          <w:color w:val="auto"/>
          <w:sz w:val="21"/>
          <w:szCs w:val="21"/>
          <w:highlight w:val="none"/>
          <w:lang w:eastAsia="zh-CN"/>
        </w:rPr>
        <w:t>甲方</w:t>
      </w:r>
      <w:r>
        <w:rPr>
          <w:rFonts w:hint="eastAsia" w:hAnsi="宋体"/>
          <w:color w:val="auto"/>
          <w:sz w:val="21"/>
          <w:szCs w:val="21"/>
          <w:highlight w:val="none"/>
        </w:rPr>
        <w:t>有权退货。（抽样费用由</w:t>
      </w:r>
      <w:r>
        <w:rPr>
          <w:rFonts w:hint="eastAsia" w:hAnsi="宋体"/>
          <w:color w:val="auto"/>
          <w:sz w:val="21"/>
          <w:szCs w:val="21"/>
          <w:highlight w:val="none"/>
          <w:lang w:eastAsia="zh-CN"/>
        </w:rPr>
        <w:t>乙方</w:t>
      </w:r>
      <w:r>
        <w:rPr>
          <w:rFonts w:hint="eastAsia" w:hAnsi="宋体"/>
          <w:color w:val="auto"/>
          <w:sz w:val="21"/>
          <w:szCs w:val="21"/>
          <w:highlight w:val="none"/>
        </w:rPr>
        <w:t>承担。）</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5 交货方式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5.1 乙方应按甲方指定时间和地点交货。</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6技术资料 </w:t>
      </w:r>
    </w:p>
    <w:p>
      <w:pPr>
        <w:pStyle w:val="47"/>
        <w:shd w:val="clear" w:color="auto" w:fill="auto"/>
        <w:spacing w:line="440" w:lineRule="exact"/>
        <w:ind w:firstLine="420" w:firstLineChars="200"/>
        <w:rPr>
          <w:rFonts w:hint="eastAsia" w:cs="宋体"/>
          <w:color w:val="auto"/>
          <w:sz w:val="21"/>
          <w:szCs w:val="21"/>
          <w:highlight w:val="none"/>
          <w:u w:val="single"/>
        </w:rPr>
      </w:pPr>
      <w:r>
        <w:rPr>
          <w:rFonts w:hint="eastAsia" w:cs="宋体"/>
          <w:color w:val="auto"/>
          <w:sz w:val="21"/>
          <w:szCs w:val="21"/>
          <w:highlight w:val="none"/>
        </w:rPr>
        <w:t>6.1本合同技术资料（除合同主要条款规定外）将以下方式交付：</w:t>
      </w:r>
      <w:r>
        <w:rPr>
          <w:rFonts w:hint="eastAsia" w:cs="宋体"/>
          <w:color w:val="auto"/>
          <w:sz w:val="21"/>
          <w:szCs w:val="21"/>
          <w:highlight w:val="none"/>
          <w:u w:val="single"/>
        </w:rPr>
        <w:t xml:space="preserve">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u w:val="none"/>
          <w:lang w:val="en-US" w:eastAsia="zh-CN"/>
        </w:rPr>
        <w:t>乙方在申请竣工验收之前，须提交竣工验收申请资料，</w:t>
      </w:r>
      <w:r>
        <w:rPr>
          <w:rFonts w:hint="eastAsia" w:ascii="宋体" w:hAnsi="宋体" w:eastAsia="宋体" w:cs="宋体"/>
          <w:color w:val="auto"/>
          <w:sz w:val="21"/>
          <w:szCs w:val="21"/>
          <w:highlight w:val="none"/>
        </w:rPr>
        <w:t>竣工验收合格，</w:t>
      </w:r>
      <w:r>
        <w:rPr>
          <w:rFonts w:hint="eastAsia" w:ascii="宋体" w:hAnsi="宋体" w:cs="宋体"/>
          <w:color w:val="auto"/>
          <w:sz w:val="21"/>
          <w:szCs w:val="21"/>
          <w:highlight w:val="none"/>
          <w:lang w:eastAsia="zh-CN"/>
        </w:rPr>
        <w:t>提交完整的竣工资料</w:t>
      </w:r>
      <w:r>
        <w:rPr>
          <w:rFonts w:hint="eastAsia" w:cs="宋体"/>
          <w:color w:val="auto"/>
          <w:sz w:val="21"/>
          <w:szCs w:val="21"/>
          <w:highlight w:val="none"/>
          <w:u w:val="none"/>
          <w:lang w:val="en-US" w:eastAsia="zh-CN"/>
        </w:rPr>
        <w:t>（含光盘）给甲方检查存档，</w:t>
      </w:r>
      <w:r>
        <w:rPr>
          <w:rFonts w:hint="eastAsia" w:cs="宋体"/>
          <w:color w:val="auto"/>
          <w:sz w:val="21"/>
          <w:szCs w:val="21"/>
          <w:highlight w:val="none"/>
          <w:lang w:val="en-US" w:eastAsia="zh-CN"/>
        </w:rPr>
        <w:t>同步</w:t>
      </w:r>
      <w:r>
        <w:rPr>
          <w:rFonts w:hint="eastAsia" w:ascii="宋体" w:hAnsi="宋体" w:eastAsia="宋体" w:cs="宋体"/>
          <w:color w:val="auto"/>
          <w:sz w:val="21"/>
          <w:szCs w:val="21"/>
          <w:highlight w:val="none"/>
        </w:rPr>
        <w:t>办理结算</w:t>
      </w:r>
      <w:r>
        <w:rPr>
          <w:rFonts w:hint="eastAsia" w:cs="宋体"/>
          <w:color w:val="auto"/>
          <w:sz w:val="21"/>
          <w:szCs w:val="21"/>
          <w:highlight w:val="none"/>
          <w:lang w:eastAsia="zh-CN"/>
        </w:rPr>
        <w:t>（</w:t>
      </w:r>
      <w:r>
        <w:rPr>
          <w:rFonts w:hint="eastAsia" w:cs="宋体"/>
          <w:color w:val="auto"/>
          <w:sz w:val="21"/>
          <w:szCs w:val="21"/>
          <w:highlight w:val="none"/>
          <w:lang w:val="en-US" w:eastAsia="zh-CN"/>
        </w:rPr>
        <w:t>结算资料含光盘</w:t>
      </w:r>
      <w:r>
        <w:rPr>
          <w:rFonts w:hint="eastAsia" w:cs="宋体"/>
          <w:color w:val="auto"/>
          <w:sz w:val="21"/>
          <w:szCs w:val="21"/>
          <w:highlight w:val="none"/>
          <w:lang w:eastAsia="zh-CN"/>
        </w:rPr>
        <w:t>）。</w:t>
      </w:r>
      <w:r>
        <w:rPr>
          <w:rFonts w:hint="eastAsia" w:cs="宋体"/>
          <w:color w:val="auto"/>
          <w:sz w:val="21"/>
          <w:szCs w:val="21"/>
          <w:highlight w:val="none"/>
        </w:rPr>
        <w:t xml:space="preserve">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6.2乙方所提供货物必须符合国家有关规范和环保要求及甲方的技术要求，并提供货物的出厂测试报告及合格证，进口产品必须具备原产地证明或商检部门的检验证明及合法进货渠道证明。</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7 质量保证 </w:t>
      </w:r>
    </w:p>
    <w:p>
      <w:pPr>
        <w:pStyle w:val="47"/>
        <w:shd w:val="clear" w:color="auto" w:fill="auto"/>
        <w:spacing w:line="440" w:lineRule="exact"/>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7.1 乙方所投货物必须是原装、全新的产品，并且符合国家以及该产品的出厂标准。</w:t>
      </w:r>
    </w:p>
    <w:p>
      <w:pPr>
        <w:pStyle w:val="47"/>
        <w:shd w:val="clear" w:color="auto" w:fill="auto"/>
        <w:spacing w:line="440" w:lineRule="exact"/>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7.2 乙方所投货物必须使用环保材料并符合国家环保要求及标准。</w:t>
      </w:r>
    </w:p>
    <w:p>
      <w:pPr>
        <w:pStyle w:val="47"/>
        <w:shd w:val="clear" w:color="auto" w:fill="auto"/>
        <w:spacing w:line="440" w:lineRule="exact"/>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7.3 所有货物在开箱检验时必须完好，无破损，配置与装箱单相符。数量、质量及性能不低于招标文件需求书中提出的要求。</w:t>
      </w:r>
    </w:p>
    <w:p>
      <w:pPr>
        <w:pStyle w:val="47"/>
        <w:shd w:val="clear" w:color="auto" w:fill="auto"/>
        <w:spacing w:line="440" w:lineRule="exact"/>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7.4 货物外观清洁，标记编号以及盘面显示等字体清晰，明确。</w:t>
      </w:r>
    </w:p>
    <w:p>
      <w:pPr>
        <w:pStyle w:val="47"/>
        <w:shd w:val="clear" w:color="auto" w:fill="auto"/>
        <w:spacing w:line="440" w:lineRule="exact"/>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7.5 对于影响货物正常工作的必要组成部分，无论在技术规范中指出与否，乙方都应提供并在投标文件中明确列出。</w:t>
      </w:r>
    </w:p>
    <w:p>
      <w:pPr>
        <w:pStyle w:val="47"/>
        <w:shd w:val="clear" w:color="auto" w:fill="auto"/>
        <w:spacing w:line="440" w:lineRule="exact"/>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7.6 乙方在实际供货时，若被发现提供的货物未能达到招标文件和投标文件中的有关要求，甲方应以书面形式通知乙方责令整改。甲方要求其整改之日起5日内仍无实质性改进的，按合同违约条款进行处罚。</w:t>
      </w:r>
    </w:p>
    <w:p>
      <w:pPr>
        <w:pStyle w:val="47"/>
        <w:shd w:val="clear" w:color="auto" w:fill="auto"/>
        <w:spacing w:line="440" w:lineRule="exact"/>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7.7 乙方应保证主要材料零部件产地符合用户需求书的有关规定，所有主要材料零部件必须能提供原产地证明、出厂检验报告、完税证明。任何时候，甲方发现产地不符合要求，乙方应无偿更换或负进一步责任。</w:t>
      </w:r>
    </w:p>
    <w:p>
      <w:pPr>
        <w:pStyle w:val="47"/>
        <w:shd w:val="clear" w:color="auto" w:fill="auto"/>
        <w:spacing w:line="440" w:lineRule="exact"/>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7.8 货物验收合格后，免费保修期为2年（特殊要求产品除外），时间自货物最终验收合格并交付使用之日起计算，个别货物在采购货物清单内有具体要求保修方式的以该要求为准，人为因素损坏除外。</w:t>
      </w:r>
    </w:p>
    <w:p>
      <w:pPr>
        <w:pStyle w:val="47"/>
        <w:shd w:val="clear" w:color="auto" w:fill="auto"/>
        <w:spacing w:line="440" w:lineRule="exact"/>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7.9 免费保修期内非人为原因损坏、失效或已达到报废标准的零部件除无偿更换外，对更换上的零部件还应有继续五年的免费保修期。凡因产品质量问题，在保修期内若设备经检修后又在同一部件出现相同质量故障，可无偿更换同档次新设备部件。</w:t>
      </w:r>
    </w:p>
    <w:p>
      <w:pPr>
        <w:pStyle w:val="47"/>
        <w:shd w:val="clear" w:color="auto" w:fill="auto"/>
        <w:spacing w:line="440" w:lineRule="exact"/>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7.10质保期内非甲方/用户的人为原因而出现产品质量及安装问题，由乙方负责包修、包换或包退，并承担因此而产生的一切费用。</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7.</w:t>
      </w:r>
      <w:r>
        <w:rPr>
          <w:rFonts w:hint="eastAsia" w:cs="宋体"/>
          <w:color w:val="auto"/>
          <w:sz w:val="21"/>
          <w:szCs w:val="21"/>
          <w:highlight w:val="none"/>
          <w:lang w:val="en-US" w:eastAsia="zh-CN"/>
        </w:rPr>
        <w:t>11</w:t>
      </w:r>
      <w:r>
        <w:rPr>
          <w:rFonts w:hint="eastAsia" w:cs="宋体"/>
          <w:color w:val="auto"/>
          <w:sz w:val="21"/>
          <w:szCs w:val="21"/>
          <w:highlight w:val="none"/>
        </w:rPr>
        <w:t xml:space="preserve"> 除“合同主要条款”规定外，合同项下货物的质量保证期为自货物通过最终验收之日起</w:t>
      </w:r>
      <w:r>
        <w:rPr>
          <w:rFonts w:hint="eastAsia" w:cs="宋体"/>
          <w:color w:val="auto"/>
          <w:sz w:val="21"/>
          <w:szCs w:val="21"/>
          <w:highlight w:val="none"/>
          <w:lang w:eastAsia="zh-CN"/>
        </w:rPr>
        <w:t>五年</w:t>
      </w:r>
      <w:r>
        <w:rPr>
          <w:rFonts w:hint="eastAsia" w:cs="宋体"/>
          <w:color w:val="auto"/>
          <w:sz w:val="21"/>
          <w:szCs w:val="21"/>
          <w:highlight w:val="none"/>
        </w:rPr>
        <w:t>（如相关规定超过该期限，则按照该规定执行）。</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8 检验和验收</w:t>
      </w:r>
      <w:r>
        <w:rPr>
          <w:rFonts w:hint="eastAsia" w:cs="宋体"/>
          <w:color w:val="auto"/>
          <w:sz w:val="21"/>
          <w:szCs w:val="21"/>
          <w:highlight w:val="none"/>
          <w:lang w:eastAsia="zh-CN"/>
        </w:rPr>
        <w:t>、售后服务要求</w:t>
      </w:r>
      <w:r>
        <w:rPr>
          <w:rFonts w:hint="eastAsia" w:cs="宋体"/>
          <w:color w:val="auto"/>
          <w:sz w:val="21"/>
          <w:szCs w:val="21"/>
          <w:highlight w:val="none"/>
        </w:rPr>
        <w:t xml:space="preserve"> </w:t>
      </w:r>
    </w:p>
    <w:p>
      <w:pPr>
        <w:pStyle w:val="47"/>
        <w:shd w:val="clear" w:color="auto" w:fill="auto"/>
        <w:spacing w:line="440" w:lineRule="exact"/>
        <w:ind w:firstLine="420"/>
        <w:rPr>
          <w:rFonts w:hint="eastAsia" w:cs="宋体"/>
          <w:color w:val="auto"/>
          <w:sz w:val="21"/>
          <w:szCs w:val="21"/>
          <w:highlight w:val="none"/>
          <w:lang w:val="en-US" w:eastAsia="zh-CN"/>
        </w:rPr>
      </w:pPr>
      <w:r>
        <w:rPr>
          <w:rFonts w:hint="eastAsia" w:cs="宋体"/>
          <w:color w:val="auto"/>
          <w:sz w:val="21"/>
          <w:szCs w:val="21"/>
          <w:highlight w:val="none"/>
          <w:lang w:val="en-US" w:eastAsia="zh-CN"/>
        </w:rPr>
        <w:t>8.1 验收工作由甲方（或甲方指定的单位）和乙方共同进行。</w:t>
      </w:r>
    </w:p>
    <w:p>
      <w:pPr>
        <w:pStyle w:val="47"/>
        <w:shd w:val="clear" w:color="auto" w:fill="auto"/>
        <w:spacing w:line="440" w:lineRule="exact"/>
        <w:ind w:firstLine="420"/>
        <w:rPr>
          <w:rFonts w:hint="eastAsia" w:cs="宋体"/>
          <w:color w:val="auto"/>
          <w:sz w:val="21"/>
          <w:szCs w:val="21"/>
          <w:highlight w:val="none"/>
          <w:lang w:val="en-US" w:eastAsia="zh-CN"/>
        </w:rPr>
      </w:pPr>
      <w:r>
        <w:rPr>
          <w:rFonts w:hint="eastAsia" w:cs="宋体"/>
          <w:color w:val="auto"/>
          <w:sz w:val="21"/>
          <w:szCs w:val="21"/>
          <w:highlight w:val="none"/>
          <w:lang w:val="en-US" w:eastAsia="zh-CN"/>
        </w:rPr>
        <w:t>8.2 验收的项目指标、方法和检测仪器等原则上由乙方在验收开始前5个工作日提交甲方。甲方可以根据技术规范书和国家有关标准进行修改和补充，经双方确认后作为验收的依据。</w:t>
      </w:r>
    </w:p>
    <w:p>
      <w:pPr>
        <w:pStyle w:val="47"/>
        <w:shd w:val="clear" w:color="auto" w:fill="auto"/>
        <w:spacing w:line="440" w:lineRule="exact"/>
        <w:ind w:firstLine="420"/>
        <w:rPr>
          <w:rFonts w:hint="eastAsia" w:cs="宋体"/>
          <w:color w:val="auto"/>
          <w:sz w:val="21"/>
          <w:szCs w:val="21"/>
          <w:highlight w:val="none"/>
          <w:lang w:val="en-US" w:eastAsia="zh-CN"/>
        </w:rPr>
      </w:pPr>
      <w:r>
        <w:rPr>
          <w:rFonts w:hint="eastAsia" w:cs="宋体"/>
          <w:color w:val="auto"/>
          <w:sz w:val="21"/>
          <w:szCs w:val="21"/>
          <w:highlight w:val="none"/>
          <w:lang w:val="en-US" w:eastAsia="zh-CN"/>
        </w:rPr>
        <w:t>8.3 验收以甲方技术人员为主，供应商提供技术支援，对在测试中发现的技术问题双方记录，完成测试后，双方签署终验测试报告。</w:t>
      </w:r>
    </w:p>
    <w:p>
      <w:pPr>
        <w:pStyle w:val="47"/>
        <w:shd w:val="clear" w:color="auto" w:fill="auto"/>
        <w:spacing w:line="440" w:lineRule="exact"/>
        <w:ind w:firstLine="420"/>
        <w:rPr>
          <w:rFonts w:hint="eastAsia" w:cs="宋体"/>
          <w:color w:val="auto"/>
          <w:sz w:val="21"/>
          <w:szCs w:val="21"/>
          <w:highlight w:val="none"/>
          <w:lang w:val="en-US" w:eastAsia="zh-CN"/>
        </w:rPr>
      </w:pPr>
      <w:r>
        <w:rPr>
          <w:rFonts w:hint="eastAsia" w:cs="宋体"/>
          <w:color w:val="auto"/>
          <w:sz w:val="21"/>
          <w:szCs w:val="21"/>
          <w:highlight w:val="none"/>
          <w:lang w:val="en-US" w:eastAsia="zh-CN"/>
        </w:rPr>
        <w:t>8.4 在验收时，乙方应向甲方提供货物的出厂合格证书、出厂检测报告、厂家装箱清单、使用说明、操作手册、随机附件及其他相关资料。</w:t>
      </w:r>
    </w:p>
    <w:p>
      <w:pPr>
        <w:pStyle w:val="47"/>
        <w:shd w:val="clear" w:color="auto" w:fill="auto"/>
        <w:spacing w:line="440" w:lineRule="exact"/>
        <w:ind w:firstLine="420"/>
        <w:rPr>
          <w:rFonts w:hint="eastAsia" w:cs="宋体"/>
          <w:color w:val="auto"/>
          <w:sz w:val="21"/>
          <w:szCs w:val="21"/>
          <w:highlight w:val="none"/>
          <w:lang w:val="en-US" w:eastAsia="zh-CN"/>
        </w:rPr>
      </w:pPr>
      <w:r>
        <w:rPr>
          <w:rFonts w:hint="eastAsia" w:cs="宋体"/>
          <w:color w:val="auto"/>
          <w:sz w:val="21"/>
          <w:szCs w:val="21"/>
          <w:highlight w:val="none"/>
          <w:lang w:val="en-US" w:eastAsia="zh-CN"/>
        </w:rPr>
        <w:t>8.5 由甲方对货物的质量、规格、数量和运行状况及其他进行检验。如发现质量、规格、数量和运行状况等任何一项与招标要求规定不符，甲方有权拒绝验收。</w:t>
      </w:r>
    </w:p>
    <w:p>
      <w:pPr>
        <w:pStyle w:val="47"/>
        <w:shd w:val="clear" w:color="auto" w:fill="auto"/>
        <w:spacing w:line="440" w:lineRule="exact"/>
        <w:ind w:firstLine="420"/>
        <w:rPr>
          <w:rFonts w:hint="eastAsia" w:eastAsia="宋体" w:cs="宋体"/>
          <w:color w:val="auto"/>
          <w:sz w:val="21"/>
          <w:szCs w:val="21"/>
          <w:highlight w:val="none"/>
        </w:rPr>
      </w:pPr>
      <w:r>
        <w:rPr>
          <w:rFonts w:hint="eastAsia" w:cs="宋体"/>
          <w:color w:val="auto"/>
          <w:sz w:val="21"/>
          <w:szCs w:val="21"/>
          <w:highlight w:val="none"/>
          <w:lang w:val="en-US" w:eastAsia="zh-CN"/>
        </w:rPr>
        <w:t xml:space="preserve">8.6 </w:t>
      </w:r>
      <w:r>
        <w:rPr>
          <w:rFonts w:hint="eastAsia" w:eastAsia="宋体" w:cs="宋体"/>
          <w:color w:val="auto"/>
          <w:sz w:val="21"/>
          <w:szCs w:val="21"/>
          <w:highlight w:val="none"/>
        </w:rPr>
        <w:t>如因</w:t>
      </w:r>
      <w:r>
        <w:rPr>
          <w:rFonts w:hint="eastAsia" w:cs="宋体"/>
          <w:color w:val="auto"/>
          <w:sz w:val="21"/>
          <w:szCs w:val="21"/>
          <w:highlight w:val="none"/>
          <w:lang w:eastAsia="zh-CN"/>
        </w:rPr>
        <w:t>乙方</w:t>
      </w:r>
      <w:r>
        <w:rPr>
          <w:rFonts w:hint="eastAsia" w:eastAsia="宋体" w:cs="宋体"/>
          <w:color w:val="auto"/>
          <w:sz w:val="21"/>
          <w:szCs w:val="21"/>
          <w:highlight w:val="none"/>
        </w:rPr>
        <w:t>的</w:t>
      </w:r>
      <w:r>
        <w:rPr>
          <w:rFonts w:hint="eastAsia" w:cs="宋体"/>
          <w:color w:val="auto"/>
          <w:sz w:val="21"/>
          <w:szCs w:val="21"/>
          <w:highlight w:val="none"/>
          <w:lang w:eastAsia="zh-CN"/>
        </w:rPr>
        <w:t>货物</w:t>
      </w:r>
      <w:r>
        <w:rPr>
          <w:rFonts w:hint="eastAsia" w:eastAsia="宋体" w:cs="宋体"/>
          <w:color w:val="auto"/>
          <w:sz w:val="21"/>
          <w:szCs w:val="21"/>
          <w:highlight w:val="none"/>
        </w:rPr>
        <w:t>质量原因而影响安装工期，则工期每影响24小时罚款</w:t>
      </w:r>
      <w:r>
        <w:rPr>
          <w:rFonts w:hint="eastAsia" w:eastAsia="宋体" w:cs="宋体"/>
          <w:color w:val="auto"/>
          <w:sz w:val="21"/>
          <w:szCs w:val="21"/>
          <w:highlight w:val="none"/>
          <w:u w:val="none"/>
        </w:rPr>
        <w:t>2</w:t>
      </w:r>
      <w:r>
        <w:rPr>
          <w:rFonts w:hint="eastAsia" w:eastAsia="宋体" w:cs="宋体"/>
          <w:color w:val="auto"/>
          <w:sz w:val="21"/>
          <w:szCs w:val="21"/>
          <w:highlight w:val="none"/>
        </w:rPr>
        <w:t>万元。</w:t>
      </w:r>
    </w:p>
    <w:p>
      <w:pPr>
        <w:pStyle w:val="47"/>
        <w:shd w:val="clear" w:color="auto" w:fill="auto"/>
        <w:spacing w:line="440" w:lineRule="exact"/>
        <w:ind w:firstLine="420"/>
        <w:rPr>
          <w:rFonts w:hint="eastAsia" w:eastAsia="宋体" w:cs="宋体"/>
          <w:color w:val="auto"/>
          <w:sz w:val="21"/>
          <w:szCs w:val="21"/>
          <w:highlight w:val="none"/>
        </w:rPr>
      </w:pPr>
      <w:r>
        <w:rPr>
          <w:rFonts w:hint="eastAsia" w:cs="宋体"/>
          <w:color w:val="auto"/>
          <w:sz w:val="21"/>
          <w:szCs w:val="21"/>
          <w:highlight w:val="none"/>
          <w:lang w:val="en-US" w:eastAsia="zh-CN"/>
        </w:rPr>
        <w:t>8.7</w:t>
      </w:r>
      <w:r>
        <w:rPr>
          <w:rFonts w:hint="eastAsia" w:eastAsia="宋体" w:cs="宋体"/>
          <w:color w:val="auto"/>
          <w:sz w:val="21"/>
          <w:szCs w:val="21"/>
          <w:highlight w:val="none"/>
        </w:rPr>
        <w:t>如因</w:t>
      </w:r>
      <w:r>
        <w:rPr>
          <w:rFonts w:hint="eastAsia" w:cs="宋体"/>
          <w:color w:val="auto"/>
          <w:sz w:val="21"/>
          <w:szCs w:val="21"/>
          <w:highlight w:val="none"/>
          <w:lang w:eastAsia="zh-CN"/>
        </w:rPr>
        <w:t>乙方</w:t>
      </w:r>
      <w:r>
        <w:rPr>
          <w:rFonts w:hint="eastAsia" w:eastAsia="宋体" w:cs="宋体"/>
          <w:color w:val="auto"/>
          <w:sz w:val="21"/>
          <w:szCs w:val="21"/>
          <w:highlight w:val="none"/>
        </w:rPr>
        <w:t>的</w:t>
      </w:r>
      <w:r>
        <w:rPr>
          <w:rFonts w:hint="eastAsia" w:eastAsia="宋体" w:cs="宋体"/>
          <w:color w:val="auto"/>
          <w:sz w:val="21"/>
          <w:szCs w:val="21"/>
          <w:highlight w:val="none"/>
          <w:u w:val="none"/>
        </w:rPr>
        <w:t>技术原因</w:t>
      </w:r>
      <w:r>
        <w:rPr>
          <w:rFonts w:hint="eastAsia" w:eastAsia="宋体" w:cs="宋体"/>
          <w:color w:val="auto"/>
          <w:sz w:val="21"/>
          <w:szCs w:val="21"/>
          <w:highlight w:val="none"/>
        </w:rPr>
        <w:t>，导致</w:t>
      </w:r>
      <w:r>
        <w:rPr>
          <w:rFonts w:hint="eastAsia" w:eastAsia="宋体" w:cs="宋体"/>
          <w:color w:val="auto"/>
          <w:sz w:val="21"/>
          <w:szCs w:val="21"/>
          <w:highlight w:val="none"/>
          <w:u w:val="none"/>
        </w:rPr>
        <w:t>某情况下某设备不能正常使用</w:t>
      </w:r>
      <w:r>
        <w:rPr>
          <w:rFonts w:hint="eastAsia" w:eastAsia="宋体" w:cs="宋体"/>
          <w:color w:val="auto"/>
          <w:sz w:val="21"/>
          <w:szCs w:val="21"/>
          <w:highlight w:val="none"/>
        </w:rPr>
        <w:t>而影响调试进度，罚款</w:t>
      </w:r>
      <w:r>
        <w:rPr>
          <w:rFonts w:hint="eastAsia" w:eastAsia="宋体" w:cs="宋体"/>
          <w:color w:val="auto"/>
          <w:sz w:val="21"/>
          <w:szCs w:val="21"/>
          <w:highlight w:val="none"/>
          <w:u w:val="none"/>
        </w:rPr>
        <w:t>不少于1</w:t>
      </w:r>
      <w:r>
        <w:rPr>
          <w:rFonts w:hint="eastAsia" w:eastAsia="宋体" w:cs="宋体"/>
          <w:color w:val="auto"/>
          <w:sz w:val="21"/>
          <w:szCs w:val="21"/>
          <w:highlight w:val="none"/>
        </w:rPr>
        <w:t>万元/每（</w:t>
      </w:r>
      <w:r>
        <w:rPr>
          <w:rFonts w:hint="eastAsia" w:eastAsia="宋体" w:cs="宋体"/>
          <w:color w:val="auto"/>
          <w:sz w:val="21"/>
          <w:szCs w:val="21"/>
          <w:highlight w:val="none"/>
          <w:u w:val="none"/>
        </w:rPr>
        <w:t>套</w:t>
      </w:r>
      <w:r>
        <w:rPr>
          <w:rFonts w:hint="eastAsia" w:eastAsia="宋体" w:cs="宋体"/>
          <w:color w:val="auto"/>
          <w:sz w:val="21"/>
          <w:szCs w:val="21"/>
          <w:highlight w:val="none"/>
        </w:rPr>
        <w:t>）。</w:t>
      </w:r>
    </w:p>
    <w:p>
      <w:pPr>
        <w:pStyle w:val="47"/>
        <w:shd w:val="clear" w:color="auto" w:fill="auto"/>
        <w:spacing w:line="440" w:lineRule="exact"/>
        <w:ind w:firstLine="420"/>
        <w:rPr>
          <w:rFonts w:hint="eastAsia" w:cs="宋体"/>
          <w:color w:val="auto"/>
          <w:sz w:val="21"/>
          <w:szCs w:val="21"/>
          <w:highlight w:val="none"/>
          <w:lang w:val="en-US" w:eastAsia="zh-CN"/>
        </w:rPr>
      </w:pPr>
      <w:r>
        <w:rPr>
          <w:rFonts w:hint="eastAsia" w:cs="宋体"/>
          <w:color w:val="auto"/>
          <w:sz w:val="21"/>
          <w:szCs w:val="21"/>
          <w:highlight w:val="none"/>
          <w:lang w:val="en-US" w:eastAsia="zh-CN"/>
        </w:rPr>
        <w:t>8.8以上出现的问题，除了罚款外，均由乙方免费负责处理（包括缺陷处理、更换新部件备件或货物）。</w:t>
      </w:r>
    </w:p>
    <w:p>
      <w:pPr>
        <w:pStyle w:val="47"/>
        <w:shd w:val="clear" w:color="auto" w:fill="auto"/>
        <w:spacing w:line="440" w:lineRule="exact"/>
        <w:ind w:firstLine="420"/>
        <w:rPr>
          <w:rFonts w:hint="eastAsia" w:cs="宋体"/>
          <w:color w:val="auto"/>
          <w:sz w:val="21"/>
          <w:szCs w:val="21"/>
          <w:highlight w:val="none"/>
          <w:lang w:val="en-US" w:eastAsia="zh-CN"/>
        </w:rPr>
      </w:pPr>
      <w:r>
        <w:rPr>
          <w:rFonts w:hint="eastAsia" w:cs="宋体"/>
          <w:color w:val="auto"/>
          <w:sz w:val="21"/>
          <w:szCs w:val="21"/>
          <w:highlight w:val="none"/>
          <w:lang w:val="en-US" w:eastAsia="zh-CN"/>
        </w:rPr>
        <w:t>8.9售后服务</w:t>
      </w:r>
    </w:p>
    <w:p>
      <w:pPr>
        <w:pStyle w:val="47"/>
        <w:shd w:val="clear" w:color="auto" w:fill="auto"/>
        <w:spacing w:line="440" w:lineRule="exact"/>
        <w:ind w:firstLine="420"/>
        <w:rPr>
          <w:rFonts w:hint="eastAsia" w:cs="宋体"/>
          <w:color w:val="auto"/>
          <w:sz w:val="21"/>
          <w:szCs w:val="21"/>
          <w:highlight w:val="none"/>
          <w:lang w:val="en-US" w:eastAsia="zh-CN"/>
        </w:rPr>
      </w:pPr>
      <w:r>
        <w:rPr>
          <w:rFonts w:hint="eastAsia" w:cs="宋体"/>
          <w:color w:val="auto"/>
          <w:sz w:val="21"/>
          <w:szCs w:val="21"/>
          <w:highlight w:val="none"/>
          <w:lang w:val="en-US" w:eastAsia="zh-CN"/>
        </w:rPr>
        <w:t>8.9.1免费保修期内：</w:t>
      </w:r>
    </w:p>
    <w:p>
      <w:pPr>
        <w:pStyle w:val="47"/>
        <w:shd w:val="clear" w:color="auto" w:fill="auto"/>
        <w:spacing w:line="440" w:lineRule="exact"/>
        <w:ind w:firstLine="420"/>
        <w:rPr>
          <w:rFonts w:hint="eastAsia" w:cs="宋体"/>
          <w:color w:val="auto"/>
          <w:sz w:val="21"/>
          <w:szCs w:val="21"/>
          <w:highlight w:val="none"/>
          <w:lang w:val="en-US" w:eastAsia="zh-CN"/>
        </w:rPr>
      </w:pPr>
      <w:r>
        <w:rPr>
          <w:rFonts w:hint="eastAsia" w:cs="宋体"/>
          <w:color w:val="auto"/>
          <w:sz w:val="21"/>
          <w:szCs w:val="21"/>
          <w:highlight w:val="none"/>
          <w:lang w:val="en-US" w:eastAsia="zh-CN"/>
        </w:rPr>
        <w:t>（1）故障响应时间：免费保修期内，货物出现质量问题，乙方接到质量问题通知后12个小时内到场处理，24个小时内修复，如无法修复须提供相应规格的货物供甲方替代使用；其他服务承诺在投标文件中说明。如乙方怠于响应或不能及时维修的，甲方有权委托第三方履行，产生的费用及损失一并由乙方承担。</w:t>
      </w:r>
    </w:p>
    <w:p>
      <w:pPr>
        <w:pStyle w:val="47"/>
        <w:shd w:val="clear" w:color="auto" w:fill="auto"/>
        <w:spacing w:line="440" w:lineRule="exact"/>
        <w:ind w:firstLine="420"/>
        <w:rPr>
          <w:rFonts w:hint="eastAsia" w:cs="宋体"/>
          <w:color w:val="auto"/>
          <w:sz w:val="21"/>
          <w:szCs w:val="21"/>
          <w:highlight w:val="none"/>
          <w:lang w:val="en-US" w:eastAsia="zh-CN"/>
        </w:rPr>
      </w:pPr>
      <w:r>
        <w:rPr>
          <w:rFonts w:hint="eastAsia" w:cs="宋体"/>
          <w:color w:val="auto"/>
          <w:sz w:val="21"/>
          <w:szCs w:val="21"/>
          <w:highlight w:val="none"/>
          <w:lang w:val="en-US" w:eastAsia="zh-CN"/>
        </w:rPr>
        <w:t>（2）如果货物不能稳定地达到供应商承诺的全部功能，供应商应对此承担责任并承担全部相关费用以及买方的直接损失，经买方同意对货物采用如下一种或几种方式处理：①免费维修和更换损坏零部件；②换货；③降价，但不免除其它正常部分的质量保证责任。如供应商未能在合理的时间内将产品维修、更换或修正以符合规格，买方有权在合理时间内将产品退回卖方后要求返还已付的价款。</w:t>
      </w:r>
    </w:p>
    <w:p>
      <w:pPr>
        <w:pStyle w:val="47"/>
        <w:shd w:val="clear" w:color="auto" w:fill="auto"/>
        <w:spacing w:line="440" w:lineRule="exact"/>
        <w:ind w:firstLine="420"/>
        <w:rPr>
          <w:rFonts w:hint="eastAsia" w:cs="宋体"/>
          <w:color w:val="auto"/>
          <w:sz w:val="21"/>
          <w:szCs w:val="21"/>
          <w:highlight w:val="none"/>
          <w:lang w:val="en-US" w:eastAsia="zh-CN"/>
        </w:rPr>
      </w:pPr>
      <w:r>
        <w:rPr>
          <w:rFonts w:hint="eastAsia" w:cs="宋体"/>
          <w:color w:val="auto"/>
          <w:sz w:val="21"/>
          <w:szCs w:val="21"/>
          <w:highlight w:val="none"/>
          <w:lang w:val="en-US" w:eastAsia="zh-CN"/>
        </w:rPr>
        <w:t>8.9.2免费保修期后：提供技术支持和详细的售后服务计划，供应商应按其在东莞地区同类产品的最优惠价格提供保修服务，终身保证配品配件的供应，更换配件的费用以成本计。</w:t>
      </w:r>
    </w:p>
    <w:p>
      <w:pPr>
        <w:pStyle w:val="47"/>
        <w:shd w:val="clear" w:color="auto" w:fill="auto"/>
        <w:spacing w:line="440" w:lineRule="exact"/>
        <w:ind w:firstLine="420"/>
        <w:rPr>
          <w:rFonts w:hint="eastAsia" w:cs="宋体"/>
          <w:color w:val="auto"/>
          <w:sz w:val="21"/>
          <w:szCs w:val="21"/>
          <w:highlight w:val="none"/>
          <w:lang w:val="en-US" w:eastAsia="zh-CN"/>
        </w:rPr>
      </w:pPr>
      <w:r>
        <w:rPr>
          <w:rFonts w:hint="eastAsia" w:cs="宋体"/>
          <w:color w:val="auto"/>
          <w:sz w:val="21"/>
          <w:szCs w:val="21"/>
          <w:highlight w:val="none"/>
          <w:lang w:val="en-US" w:eastAsia="zh-CN"/>
        </w:rPr>
        <w:t>8.9.3售后服务机构：设有稳定的维修点或售后服务机构，具有提供日常维护和技术支持的能力，能提供正常的技术、备品备件、服务等；须提供服务机构名称、人员情况、办公地址、联系电话。</w:t>
      </w:r>
    </w:p>
    <w:p>
      <w:pPr>
        <w:pStyle w:val="47"/>
        <w:shd w:val="clear" w:color="auto" w:fill="auto"/>
        <w:spacing w:line="440" w:lineRule="exact"/>
        <w:ind w:firstLine="420"/>
        <w:rPr>
          <w:rFonts w:hint="eastAsia" w:cs="宋体"/>
          <w:color w:val="auto"/>
          <w:sz w:val="21"/>
          <w:szCs w:val="21"/>
          <w:highlight w:val="none"/>
          <w:lang w:val="en-US" w:eastAsia="zh-CN"/>
        </w:rPr>
      </w:pPr>
      <w:r>
        <w:rPr>
          <w:rFonts w:hint="eastAsia" w:cs="宋体"/>
          <w:color w:val="auto"/>
          <w:sz w:val="21"/>
          <w:szCs w:val="21"/>
          <w:highlight w:val="none"/>
          <w:lang w:val="en-US" w:eastAsia="zh-CN"/>
        </w:rPr>
        <w:t>8.9.4培训：负责免费对用户人员进行培训，提供详细的培训计划，使其掌握操作使用等基本技能。</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9 索赔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9.1 如果货物的质量、规格、数量、重量等与合同不符，或在合同约定的质量保证期内证实货物存有缺陷，包括潜在的缺陷或使用不符合要求的材料等，甲方有权向乙方提出索赔（索赔金额不低于合同总价5%）。</w:t>
      </w:r>
      <w:r>
        <w:rPr>
          <w:rFonts w:hint="eastAsia" w:hAnsi="宋体"/>
          <w:color w:val="auto"/>
          <w:sz w:val="21"/>
          <w:szCs w:val="21"/>
          <w:highlight w:val="none"/>
        </w:rPr>
        <w:t>乙方应在甲方提出索赔要求后三日内，进行无偿修理、更换、赔款。如乙方未在规定时间内处理的，甲方有权自行安排修理、更换，由此产生的一切费用和风险由乙方承担且乙方仍需承担质量保修责任。</w:t>
      </w:r>
      <w:r>
        <w:rPr>
          <w:rFonts w:hint="eastAsia" w:cs="宋体"/>
          <w:color w:val="auto"/>
          <w:sz w:val="21"/>
          <w:szCs w:val="21"/>
          <w:highlight w:val="none"/>
        </w:rPr>
        <w:t xml:space="preserve">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9.2 在根据合同规定的检验期和质量保证期内，如果乙方对甲方提出的索赔负有责任，乙方应按照甲方同意的方式解决索赔事宜，或由双方协商处理。</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9.3 如果在甲方发出索赔通知后</w:t>
      </w:r>
      <w:r>
        <w:rPr>
          <w:rFonts w:hint="eastAsia" w:cs="宋体"/>
          <w:color w:val="auto"/>
          <w:sz w:val="21"/>
          <w:szCs w:val="21"/>
          <w:highlight w:val="none"/>
          <w:u w:val="single"/>
        </w:rPr>
        <w:t xml:space="preserve">    </w:t>
      </w:r>
      <w:r>
        <w:rPr>
          <w:rFonts w:hint="eastAsia" w:cs="宋体"/>
          <w:color w:val="auto"/>
          <w:sz w:val="21"/>
          <w:szCs w:val="21"/>
          <w:highlight w:val="none"/>
        </w:rPr>
        <w:t>天内，乙方未作答复，上述索赔要求应视为已被乙方接受。如乙方未能在甲方提出索赔通知后</w:t>
      </w:r>
      <w:r>
        <w:rPr>
          <w:rFonts w:hint="eastAsia" w:cs="宋体"/>
          <w:color w:val="auto"/>
          <w:sz w:val="21"/>
          <w:szCs w:val="21"/>
          <w:highlight w:val="none"/>
          <w:u w:val="single"/>
        </w:rPr>
        <w:t xml:space="preserve">    </w:t>
      </w:r>
      <w:r>
        <w:rPr>
          <w:rFonts w:hint="eastAsia" w:cs="宋体"/>
          <w:color w:val="auto"/>
          <w:sz w:val="21"/>
          <w:szCs w:val="21"/>
          <w:highlight w:val="none"/>
        </w:rPr>
        <w:t>天内或甲方同意的更长时间内，按照本合同规定的方法解决索赔事宜，甲方将从合同款或从乙方开具的履约保证金保函中扣回索赔金额。如果这些金额不足以补偿索赔金额，甲方有权向乙方提出不足部分的补偿。</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9.4 本合同所述之损失、经济赔偿是指甲方因乙方原因而造成的经济损失、因此而向第三方支付的赔偿金、违约金、因此而支付的诉讼费、律师费、公证费、鉴定费、保全费等全部费用。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10 迟延交货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10.1 乙方应按照甲方规定的时间交货和提供服务。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10.2 如果乙方无正当理由迟延交货，甲方有权提出违约损失赔偿或解除合同。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10.3 在履行合同过程中，如果乙方遇到不能按时交货和提供服务的情况，应及时以书面形式将不能按时交货的理由、预期延误时间通知甲方。甲方收到乙方通知后，认为其理由正当的，可酌情延长交货时间，认为理由不成立的，交货期限不予延长。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11 违约赔偿 </w:t>
      </w:r>
    </w:p>
    <w:p>
      <w:pPr>
        <w:pStyle w:val="47"/>
        <w:shd w:val="clear" w:color="auto" w:fill="auto"/>
        <w:spacing w:line="440" w:lineRule="exact"/>
        <w:ind w:firstLine="420" w:firstLineChars="200"/>
        <w:jc w:val="both"/>
        <w:rPr>
          <w:rFonts w:hint="eastAsia" w:cs="宋体"/>
          <w:color w:val="auto"/>
          <w:sz w:val="21"/>
          <w:szCs w:val="21"/>
          <w:highlight w:val="none"/>
          <w:lang w:val="en-US" w:eastAsia="zh-CN"/>
        </w:rPr>
      </w:pPr>
      <w:r>
        <w:rPr>
          <w:rFonts w:hint="eastAsia" w:cs="宋体"/>
          <w:color w:val="auto"/>
          <w:sz w:val="21"/>
          <w:szCs w:val="21"/>
          <w:highlight w:val="none"/>
          <w:lang w:val="en-US" w:eastAsia="zh-CN"/>
        </w:rPr>
        <w:t>11.1甲方无正当理由拒收货物，拒付货款的，甲方向乙方偿付货物总金额5%的违约金。</w:t>
      </w:r>
    </w:p>
    <w:p>
      <w:pPr>
        <w:pStyle w:val="47"/>
        <w:shd w:val="clear" w:color="auto" w:fill="auto"/>
        <w:spacing w:line="440" w:lineRule="exact"/>
        <w:ind w:firstLine="420" w:firstLineChars="200"/>
        <w:jc w:val="both"/>
        <w:rPr>
          <w:rFonts w:hint="eastAsia" w:cs="宋体"/>
          <w:color w:val="auto"/>
          <w:sz w:val="21"/>
          <w:szCs w:val="21"/>
          <w:highlight w:val="none"/>
          <w:lang w:val="en-US" w:eastAsia="zh-CN"/>
        </w:rPr>
      </w:pPr>
      <w:r>
        <w:rPr>
          <w:rFonts w:hint="eastAsia" w:cs="宋体"/>
          <w:color w:val="auto"/>
          <w:sz w:val="21"/>
          <w:szCs w:val="21"/>
          <w:highlight w:val="none"/>
          <w:lang w:val="en-US" w:eastAsia="zh-CN"/>
        </w:rPr>
        <w:t>11.2如果由于甲方未按乙方所提供的技术资料、图纸、说明书和乙方现场技术服务人员的指导而造成货物损坏的，由甲方负责。但乙方有义务尽快提供所需要更换的货物。对于甲方要求的紧急部件，乙方应安排最快的方式运输，所有费用均由甲方负担。</w:t>
      </w:r>
    </w:p>
    <w:p>
      <w:pPr>
        <w:pStyle w:val="47"/>
        <w:shd w:val="clear" w:color="auto" w:fill="auto"/>
        <w:spacing w:line="440" w:lineRule="exact"/>
        <w:ind w:firstLine="420" w:firstLineChars="200"/>
        <w:jc w:val="both"/>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11.3乙方的投标文件为响应本合同的重要依据之一，履行合同时，如与其在投标时承诺响应的实质性内容有偏离或无法履行的，</w:t>
      </w:r>
      <w:r>
        <w:rPr>
          <w:rFonts w:hint="eastAsia" w:cs="宋体"/>
          <w:color w:val="auto"/>
          <w:sz w:val="21"/>
          <w:szCs w:val="21"/>
          <w:highlight w:val="none"/>
          <w:lang w:eastAsia="zh-CN"/>
        </w:rPr>
        <w:t>乙方应向甲方支付合同价格20%的违约金并赔偿甲方因此遭受的所有损失，并责令乙方限期整改。</w:t>
      </w:r>
      <w:r>
        <w:rPr>
          <w:rFonts w:hint="eastAsia" w:cs="宋体"/>
          <w:color w:val="auto"/>
          <w:sz w:val="21"/>
          <w:szCs w:val="21"/>
          <w:highlight w:val="none"/>
        </w:rPr>
        <w:t>甲方要求其整改之日起5日内仍无实质性改进</w:t>
      </w:r>
      <w:r>
        <w:rPr>
          <w:rFonts w:hint="eastAsia" w:cs="宋体"/>
          <w:color w:val="auto"/>
          <w:sz w:val="21"/>
          <w:szCs w:val="21"/>
          <w:highlight w:val="none"/>
          <w:lang w:eastAsia="zh-CN"/>
        </w:rPr>
        <w:t>的</w:t>
      </w:r>
      <w:r>
        <w:rPr>
          <w:rFonts w:hint="eastAsia" w:cs="宋体"/>
          <w:color w:val="auto"/>
          <w:sz w:val="21"/>
          <w:szCs w:val="21"/>
          <w:highlight w:val="none"/>
        </w:rPr>
        <w:t>，</w:t>
      </w:r>
      <w:r>
        <w:rPr>
          <w:rFonts w:hint="eastAsia" w:cs="宋体"/>
          <w:color w:val="auto"/>
          <w:sz w:val="21"/>
          <w:szCs w:val="21"/>
          <w:highlight w:val="none"/>
          <w:lang w:eastAsia="zh-CN"/>
        </w:rPr>
        <w:t>甲方有权单方面解除合同，合同因此解除的，乙方应退还甲方已支付的合同价格（如有）。</w:t>
      </w:r>
    </w:p>
    <w:p>
      <w:pPr>
        <w:pStyle w:val="47"/>
        <w:shd w:val="clear" w:color="auto" w:fill="auto"/>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11.</w:t>
      </w:r>
      <w:r>
        <w:rPr>
          <w:rFonts w:hint="eastAsia" w:cs="宋体"/>
          <w:color w:val="auto"/>
          <w:sz w:val="21"/>
          <w:szCs w:val="21"/>
          <w:highlight w:val="none"/>
          <w:lang w:val="en-US" w:eastAsia="zh-CN"/>
        </w:rPr>
        <w:t>4</w:t>
      </w:r>
      <w:r>
        <w:rPr>
          <w:rFonts w:hint="eastAsia" w:cs="宋体"/>
          <w:color w:val="auto"/>
          <w:sz w:val="21"/>
          <w:szCs w:val="21"/>
          <w:highlight w:val="none"/>
        </w:rPr>
        <w:t xml:space="preserve"> 除合同规定外，如果乙方没有按照合同规定的时间提供质量合格的货物和服务，甲方可要求乙方支付违约金。从逾期之日起每日按本合同总价</w:t>
      </w:r>
      <w:r>
        <w:rPr>
          <w:rFonts w:hint="eastAsia" w:cs="宋体"/>
          <w:color w:val="auto"/>
          <w:sz w:val="21"/>
          <w:szCs w:val="21"/>
          <w:highlight w:val="none"/>
          <w:u w:val="single"/>
        </w:rPr>
        <w:t xml:space="preserve">的 2 </w:t>
      </w:r>
      <w:r>
        <w:rPr>
          <w:rFonts w:hint="eastAsia" w:cs="宋体"/>
          <w:color w:val="auto"/>
          <w:sz w:val="21"/>
          <w:szCs w:val="21"/>
          <w:highlight w:val="none"/>
        </w:rPr>
        <w:t>‰数额向甲方支付违约金；逾期30天以上（含30天）的，甲方有权</w:t>
      </w:r>
      <w:r>
        <w:rPr>
          <w:rFonts w:hint="eastAsia" w:cs="宋体"/>
          <w:color w:val="auto"/>
          <w:sz w:val="21"/>
          <w:szCs w:val="21"/>
          <w:highlight w:val="none"/>
          <w:lang w:eastAsia="zh-CN"/>
        </w:rPr>
        <w:t>解除</w:t>
      </w:r>
      <w:r>
        <w:rPr>
          <w:rFonts w:hint="eastAsia" w:cs="宋体"/>
          <w:color w:val="auto"/>
          <w:sz w:val="21"/>
          <w:szCs w:val="21"/>
          <w:highlight w:val="none"/>
        </w:rPr>
        <w:t>合同，并且乙方应向甲方双倍返还定金，并且给甲方造成的经济损失由乙方承担赔偿责任。</w:t>
      </w:r>
    </w:p>
    <w:p>
      <w:pPr>
        <w:pStyle w:val="47"/>
        <w:shd w:val="clear" w:color="auto" w:fill="auto"/>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11.</w:t>
      </w:r>
      <w:r>
        <w:rPr>
          <w:rFonts w:hint="eastAsia" w:cs="宋体"/>
          <w:color w:val="auto"/>
          <w:sz w:val="21"/>
          <w:szCs w:val="21"/>
          <w:highlight w:val="none"/>
          <w:lang w:val="en-US" w:eastAsia="zh-CN"/>
        </w:rPr>
        <w:t>5</w:t>
      </w:r>
      <w:r>
        <w:rPr>
          <w:rFonts w:hint="eastAsia" w:cs="宋体"/>
          <w:color w:val="auto"/>
          <w:sz w:val="21"/>
          <w:szCs w:val="21"/>
          <w:highlight w:val="none"/>
        </w:rPr>
        <w:t>因乙方原因导致本合同解除或是无法履行的，乙方应向甲方双倍返还定金，且甲方有权决定是否接收属于乙方在现场的一切产品使用于本项目，并有进一步要求向乙方索赔的权利。双倍</w:t>
      </w:r>
      <w:r>
        <w:rPr>
          <w:rFonts w:hint="eastAsia" w:cs="宋体"/>
          <w:color w:val="auto"/>
          <w:sz w:val="21"/>
          <w:szCs w:val="21"/>
          <w:highlight w:val="none"/>
          <w:lang w:eastAsia="zh-CN"/>
        </w:rPr>
        <w:t>定</w:t>
      </w:r>
      <w:r>
        <w:rPr>
          <w:rFonts w:hint="eastAsia" w:cs="宋体"/>
          <w:color w:val="auto"/>
          <w:sz w:val="21"/>
          <w:szCs w:val="21"/>
          <w:highlight w:val="none"/>
        </w:rPr>
        <w:t>金不足以弥补甲方损失的，乙方应另行补足。</w:t>
      </w:r>
    </w:p>
    <w:p>
      <w:pPr>
        <w:pStyle w:val="47"/>
        <w:shd w:val="clear" w:color="auto" w:fill="auto"/>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lang w:val="en-US" w:eastAsia="zh-CN"/>
        </w:rPr>
        <w:t>11.6</w:t>
      </w:r>
      <w:r>
        <w:rPr>
          <w:rFonts w:hint="eastAsia" w:cs="宋体"/>
          <w:color w:val="auto"/>
          <w:sz w:val="21"/>
          <w:szCs w:val="21"/>
          <w:highlight w:val="none"/>
        </w:rPr>
        <w:t>如乙方对合同敷衍执行，或忽视履行合同规定的实质性义务，且从甲方要求其整改之日起5日内仍无实质性改进，甲方有权</w:t>
      </w:r>
      <w:r>
        <w:rPr>
          <w:rFonts w:hint="eastAsia" w:cs="宋体"/>
          <w:color w:val="auto"/>
          <w:sz w:val="21"/>
          <w:szCs w:val="21"/>
          <w:highlight w:val="none"/>
          <w:lang w:eastAsia="zh-CN"/>
        </w:rPr>
        <w:t>解除</w:t>
      </w:r>
      <w:r>
        <w:rPr>
          <w:rFonts w:hint="eastAsia" w:cs="宋体"/>
          <w:color w:val="auto"/>
          <w:sz w:val="21"/>
          <w:szCs w:val="21"/>
          <w:highlight w:val="none"/>
        </w:rPr>
        <w:t>合同，乙方应退还甲方已支付的合同价格（如有），向甲方支付合同价格20%的违约金并赔偿甲方因此遭受的所有损失。</w:t>
      </w:r>
    </w:p>
    <w:p>
      <w:pPr>
        <w:pStyle w:val="47"/>
        <w:shd w:val="clear" w:color="auto" w:fill="auto"/>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lang w:val="en-US" w:eastAsia="zh-CN"/>
        </w:rPr>
        <w:t>11.7</w:t>
      </w:r>
      <w:r>
        <w:rPr>
          <w:rFonts w:hint="eastAsia" w:cs="宋体"/>
          <w:color w:val="auto"/>
          <w:sz w:val="21"/>
          <w:szCs w:val="21"/>
          <w:highlight w:val="none"/>
        </w:rPr>
        <w:t>因乙方原因造成合同终止或解除，乙方应退还甲方已支付的合同价格（如有），乙方应在接到甲方离场通知的5日内无条件撤离现场，</w:t>
      </w:r>
      <w:r>
        <w:rPr>
          <w:rFonts w:hint="eastAsia" w:cs="宋体"/>
          <w:color w:val="auto"/>
          <w:sz w:val="21"/>
          <w:szCs w:val="21"/>
          <w:highlight w:val="none"/>
          <w:lang w:eastAsia="zh-CN"/>
        </w:rPr>
        <w:t>否则</w:t>
      </w:r>
      <w:r>
        <w:rPr>
          <w:rFonts w:hint="eastAsia" w:cs="宋体"/>
          <w:color w:val="auto"/>
          <w:sz w:val="21"/>
          <w:szCs w:val="21"/>
          <w:highlight w:val="none"/>
        </w:rPr>
        <w:t>每逾期一日应向甲方支付人民币10000元的违约金，并赔偿甲方的损失。</w:t>
      </w:r>
    </w:p>
    <w:p>
      <w:pPr>
        <w:pStyle w:val="47"/>
        <w:shd w:val="clear" w:color="auto" w:fill="auto"/>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lang w:val="en-US" w:eastAsia="zh-CN"/>
        </w:rPr>
        <w:t>11.8</w:t>
      </w:r>
      <w:r>
        <w:rPr>
          <w:rFonts w:hint="eastAsia" w:cs="宋体"/>
          <w:color w:val="auto"/>
          <w:sz w:val="21"/>
          <w:szCs w:val="21"/>
          <w:highlight w:val="none"/>
        </w:rPr>
        <w:t>乙方违约或乙方任何其他原因造成甲方损失及/或甲方被追索的及/或承担责任的，甲方均有权拒付全部或部分价款，有权直接从合同价款扣除乙方应支付甲方的违约金、赔偿金。</w:t>
      </w:r>
    </w:p>
    <w:p>
      <w:pPr>
        <w:pStyle w:val="47"/>
        <w:shd w:val="clear" w:color="auto" w:fill="auto"/>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lang w:val="en-US" w:eastAsia="zh-CN"/>
        </w:rPr>
        <w:t>11.9</w:t>
      </w:r>
      <w:r>
        <w:rPr>
          <w:rFonts w:hint="eastAsia" w:cs="宋体"/>
          <w:color w:val="auto"/>
          <w:sz w:val="21"/>
          <w:szCs w:val="21"/>
          <w:highlight w:val="none"/>
          <w:lang w:eastAsia="zh-CN"/>
        </w:rPr>
        <w:t>在本合同约定的相应履行期限届满之前，乙方明确表示或者以自己的行为表明不履行合同义务的，甲方有权解除本合同。合同因此解除的，乙方应退还甲方已支付的合同价格（如有），向甲方支付合同价格20%的违约金并赔偿甲方因此遭受的所有损失。</w:t>
      </w:r>
    </w:p>
    <w:p>
      <w:pPr>
        <w:pStyle w:val="47"/>
        <w:shd w:val="clear" w:color="auto" w:fill="auto"/>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11.</w:t>
      </w:r>
      <w:r>
        <w:rPr>
          <w:rFonts w:hint="eastAsia" w:cs="宋体"/>
          <w:color w:val="auto"/>
          <w:sz w:val="21"/>
          <w:szCs w:val="21"/>
          <w:highlight w:val="none"/>
          <w:lang w:val="en-US" w:eastAsia="zh-CN"/>
        </w:rPr>
        <w:t>10</w:t>
      </w:r>
      <w:r>
        <w:rPr>
          <w:rFonts w:hint="eastAsia" w:cs="宋体"/>
          <w:color w:val="auto"/>
          <w:sz w:val="21"/>
          <w:szCs w:val="21"/>
          <w:highlight w:val="none"/>
        </w:rPr>
        <w:t xml:space="preserve">甲方有权从未支付的款项或是履约保证金中直接扣除乙方的违约金，不足的部分由乙方另行补足。 </w:t>
      </w:r>
    </w:p>
    <w:p>
      <w:pPr>
        <w:pStyle w:val="47"/>
        <w:shd w:val="clear" w:color="auto" w:fill="auto"/>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lang w:val="en-US" w:eastAsia="zh-CN"/>
        </w:rPr>
        <w:t>11.11</w:t>
      </w:r>
      <w:r>
        <w:rPr>
          <w:rFonts w:hint="eastAsia" w:cs="宋体"/>
          <w:color w:val="auto"/>
          <w:sz w:val="21"/>
          <w:szCs w:val="21"/>
          <w:highlight w:val="none"/>
        </w:rPr>
        <w:t>除非双方协议将合同</w:t>
      </w:r>
      <w:r>
        <w:rPr>
          <w:rFonts w:hint="eastAsia" w:cs="宋体"/>
          <w:color w:val="auto"/>
          <w:sz w:val="21"/>
          <w:szCs w:val="21"/>
          <w:highlight w:val="none"/>
          <w:lang w:eastAsia="zh-CN"/>
        </w:rPr>
        <w:t>解除</w:t>
      </w:r>
      <w:r>
        <w:rPr>
          <w:rFonts w:hint="eastAsia" w:cs="宋体"/>
          <w:color w:val="auto"/>
          <w:sz w:val="21"/>
          <w:szCs w:val="21"/>
          <w:highlight w:val="none"/>
        </w:rPr>
        <w:t>，违约方承担前述违约责任后仍必须履行合同。</w:t>
      </w:r>
    </w:p>
    <w:p>
      <w:pPr>
        <w:pStyle w:val="47"/>
        <w:shd w:val="clear" w:color="auto" w:fill="auto"/>
        <w:spacing w:line="440" w:lineRule="exact"/>
        <w:ind w:firstLine="420" w:firstLineChars="200"/>
        <w:jc w:val="both"/>
        <w:rPr>
          <w:rFonts w:hint="eastAsia" w:cs="宋体"/>
          <w:color w:val="auto"/>
          <w:sz w:val="21"/>
          <w:szCs w:val="21"/>
          <w:highlight w:val="none"/>
          <w:lang w:val="en-US" w:eastAsia="zh-CN"/>
        </w:rPr>
      </w:pPr>
      <w:r>
        <w:rPr>
          <w:rFonts w:hint="eastAsia" w:cs="宋体"/>
          <w:color w:val="auto"/>
          <w:sz w:val="21"/>
          <w:szCs w:val="21"/>
          <w:highlight w:val="none"/>
          <w:lang w:val="en-US" w:eastAsia="zh-CN"/>
        </w:rPr>
        <w:t>11.12本合同下，双方对违约责任未明确约定的，相关违约责任按合同法及其他法律法规的有关规定执行。本合同项下约定的甲方遭受的损失包括但不限于因乙方违约而使甲方遭受的因减少或迟延运营所遭受的收入损失。</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12 不可抗力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12.1 如果双方中任何一方遭遇法律规定的不可抗力，致使合同履行受阻时，履行合同的期限应予延长，延长的期限应相当于不可抗力所影响的时间。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12.2 受事故影响的一方应在不可抗力的事故发生后尽快书面形式通知另一方，并在事故发生后</w:t>
      </w:r>
      <w:r>
        <w:rPr>
          <w:rFonts w:hint="eastAsia" w:cs="宋体"/>
          <w:color w:val="auto"/>
          <w:sz w:val="21"/>
          <w:szCs w:val="21"/>
          <w:highlight w:val="none"/>
          <w:u w:val="single"/>
        </w:rPr>
        <w:t xml:space="preserve">   </w:t>
      </w:r>
      <w:r>
        <w:rPr>
          <w:rFonts w:hint="eastAsia" w:cs="宋体"/>
          <w:color w:val="auto"/>
          <w:sz w:val="21"/>
          <w:szCs w:val="21"/>
          <w:highlight w:val="none"/>
        </w:rPr>
        <w:t xml:space="preserve">天内，将有关部门出具的证明文件送达另一方。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12.3 不可抗力使合同的某些内容有变更必要的，合同签订双方应通过协商在</w:t>
      </w:r>
      <w:r>
        <w:rPr>
          <w:rFonts w:hint="eastAsia" w:cs="宋体"/>
          <w:color w:val="auto"/>
          <w:sz w:val="21"/>
          <w:szCs w:val="21"/>
          <w:highlight w:val="none"/>
          <w:u w:val="single"/>
        </w:rPr>
        <w:t xml:space="preserve">   </w:t>
      </w:r>
      <w:r>
        <w:rPr>
          <w:rFonts w:hint="eastAsia" w:cs="宋体"/>
          <w:color w:val="auto"/>
          <w:sz w:val="21"/>
          <w:szCs w:val="21"/>
          <w:highlight w:val="none"/>
        </w:rPr>
        <w:t xml:space="preserve">日内达成进一步履行合同的协议，因不可抗力致使合同不能履行的，合同终止。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13税费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13.1 与本合同有关的一切税费均适用中华人民共和国法律的相关规定。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14 合同争议的解决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14.1 因合同履行中发生的争议，可通过合同当事人双方友好协商解决。如自协商开始之起15日内得不到解决，双方应将争议提交同级政府采购监督管理部门调解。调解不成的，可向甲方所在地有管辖权的人</w:t>
      </w:r>
      <w:r>
        <w:rPr>
          <w:rFonts w:hint="eastAsia" w:cs="宋体"/>
          <w:color w:val="auto"/>
          <w:sz w:val="21"/>
          <w:szCs w:val="21"/>
          <w:highlight w:val="none"/>
        </w:rPr>
        <w:fldChar w:fldCharType="begin"/>
      </w:r>
      <w:r>
        <w:rPr>
          <w:rFonts w:hint="eastAsia" w:cs="宋体"/>
          <w:color w:val="auto"/>
          <w:sz w:val="21"/>
          <w:szCs w:val="21"/>
          <w:highlight w:val="none"/>
        </w:rPr>
        <w:instrText xml:space="preserve"> HYPERLINK "http://www.chinalawedu.com/web/23243/" \t "_blank" \o "民法" </w:instrText>
      </w:r>
      <w:r>
        <w:rPr>
          <w:rFonts w:hint="eastAsia" w:cs="宋体"/>
          <w:color w:val="auto"/>
          <w:sz w:val="21"/>
          <w:szCs w:val="21"/>
          <w:highlight w:val="none"/>
        </w:rPr>
        <w:fldChar w:fldCharType="separate"/>
      </w:r>
      <w:r>
        <w:rPr>
          <w:rStyle w:val="58"/>
          <w:color w:val="auto"/>
          <w:sz w:val="21"/>
          <w:szCs w:val="21"/>
          <w:highlight w:val="none"/>
        </w:rPr>
        <w:t>民法</w:t>
      </w:r>
      <w:r>
        <w:rPr>
          <w:rFonts w:hint="eastAsia" w:cs="宋体"/>
          <w:color w:val="auto"/>
          <w:sz w:val="21"/>
          <w:szCs w:val="21"/>
          <w:highlight w:val="none"/>
        </w:rPr>
        <w:fldChar w:fldCharType="end"/>
      </w:r>
      <w:r>
        <w:rPr>
          <w:rFonts w:hint="eastAsia" w:cs="宋体"/>
          <w:color w:val="auto"/>
          <w:sz w:val="21"/>
          <w:szCs w:val="21"/>
          <w:highlight w:val="none"/>
        </w:rPr>
        <w:t xml:space="preserve">院提起诉讼。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15 违约解除合同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15.1 在乙方违约的情况下，甲方经同级政府采购监督管理部门审批后，可向乙方发出书面通知，部分或全部终止合同。同时保留向乙方追诉的权利。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15.2全部或部分解除合同之后，应当遵循诚实信用原则，以政府采购监督管理部门同意的方式，购买未予交付的货物类似的货物或服务。乙方应承担甲方购买类似货物或服务而产生的额外支出。部分解除合同的，乙方应继续履行合同中未解除的部分。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16破产终止合同 </w:t>
      </w:r>
    </w:p>
    <w:p>
      <w:pPr>
        <w:pStyle w:val="47"/>
        <w:shd w:val="clear" w:color="auto" w:fill="auto"/>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 xml:space="preserve">16.1 如果乙方破产或无清偿能力时，甲方经报同级政府采购监督管理部门审批后，可在任何时候以书面通知乙方，提出终止合同而不给乙方补偿。该合同的终止将不损害或不影响甲方已经采取或将要采取任何行动或补救措施的权利。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17 转让和分包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17.1 合同不能转让。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17.2经甲方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17.3甲方和乙方都不得擅自变更本合同，但合同继续履行将损害国家和社会公共利益的除外。如必须对合同条款进行改动时，当事人双方须共同签署书面文件，作为合同的补充，并报同级政府采购监督管理部门备案。</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17.4乙方擅自转让本合同或是未经甲方书面同意将合同项下非主体、非关键性工作分包给他人的，甲方有权立即解除本合同，同时要求乙方支付合同总价20%的违约金，违约金不足以弥补甲方损失，甲方有权继续向乙方追索。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18 计量单位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18.1 </w:t>
      </w:r>
      <w:r>
        <w:rPr>
          <w:rFonts w:hint="eastAsia" w:cs="宋体"/>
          <w:color w:val="auto"/>
          <w:sz w:val="21"/>
          <w:szCs w:val="21"/>
          <w:highlight w:val="none"/>
          <w:lang w:eastAsia="zh-CN"/>
        </w:rPr>
        <w:t>各项</w:t>
      </w:r>
      <w:r>
        <w:rPr>
          <w:rFonts w:hint="eastAsia" w:cs="宋体"/>
          <w:color w:val="auto"/>
          <w:sz w:val="21"/>
          <w:szCs w:val="21"/>
          <w:highlight w:val="none"/>
        </w:rPr>
        <w:t>计量单位</w:t>
      </w:r>
      <w:r>
        <w:rPr>
          <w:rFonts w:hint="eastAsia" w:cs="宋体"/>
          <w:color w:val="auto"/>
          <w:sz w:val="21"/>
          <w:szCs w:val="21"/>
          <w:highlight w:val="none"/>
          <w:lang w:eastAsia="zh-CN"/>
        </w:rPr>
        <w:t>与货物清单对应项计量单位一致</w:t>
      </w:r>
      <w:r>
        <w:rPr>
          <w:rFonts w:hint="eastAsia" w:cs="宋体"/>
          <w:color w:val="auto"/>
          <w:sz w:val="21"/>
          <w:szCs w:val="21"/>
          <w:highlight w:val="none"/>
        </w:rPr>
        <w:t xml:space="preserve">。 </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19 合同生效和其它 </w:t>
      </w:r>
    </w:p>
    <w:p>
      <w:pPr>
        <w:pStyle w:val="47"/>
        <w:shd w:val="clear" w:color="auto" w:fill="auto"/>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 xml:space="preserve">19.1 采购项目的采购合同内容的确定应以招标文件和投标文件为基础，不得违背其实质性内容。采购项目的采购合同自签订之日起七个工作日内，甲方应当将合同副本报有关部门备案。合同将在双方签字盖章后开始生效。 </w:t>
      </w:r>
    </w:p>
    <w:p>
      <w:pPr>
        <w:shd w:val="clear" w:color="auto" w:fill="auto"/>
        <w:snapToGrid w:val="0"/>
        <w:spacing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19.</w:t>
      </w:r>
      <w:r>
        <w:rPr>
          <w:rFonts w:hint="default" w:hAnsi="宋体" w:cs="宋体"/>
          <w:color w:val="auto"/>
          <w:sz w:val="21"/>
          <w:szCs w:val="21"/>
          <w:highlight w:val="none"/>
          <w:lang w:val="en-US"/>
        </w:rPr>
        <w:t>2</w:t>
      </w:r>
      <w:r>
        <w:rPr>
          <w:rFonts w:hint="eastAsia" w:hAnsi="宋体" w:cs="宋体"/>
          <w:color w:val="auto"/>
          <w:sz w:val="21"/>
          <w:szCs w:val="21"/>
          <w:highlight w:val="none"/>
        </w:rPr>
        <w:t>本合同一式</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份，甲方执</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份，乙方执</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份，采购代理机构执</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份，具同等法律效力。本合同合计</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页，缺页之合同为无效合同。</w:t>
      </w:r>
    </w:p>
    <w:p>
      <w:pPr>
        <w:shd w:val="clear" w:color="auto" w:fill="auto"/>
        <w:snapToGrid w:val="0"/>
        <w:spacing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19.</w:t>
      </w:r>
      <w:r>
        <w:rPr>
          <w:rFonts w:hint="default" w:hAnsi="宋体" w:cs="宋体"/>
          <w:color w:val="auto"/>
          <w:sz w:val="21"/>
          <w:szCs w:val="21"/>
          <w:highlight w:val="none"/>
          <w:lang w:val="en-US"/>
        </w:rPr>
        <w:t>3</w:t>
      </w:r>
      <w:r>
        <w:rPr>
          <w:rFonts w:hint="eastAsia" w:hAnsi="宋体" w:cs="宋体"/>
          <w:color w:val="auto"/>
          <w:sz w:val="21"/>
          <w:szCs w:val="21"/>
          <w:highlight w:val="none"/>
        </w:rPr>
        <w:t>其它未尽事宜，由甲乙双方友好协商解决，并参照《中华人民共和国民法典》有关条款执行。</w:t>
      </w:r>
    </w:p>
    <w:p>
      <w:pPr>
        <w:pStyle w:val="47"/>
        <w:shd w:val="clear" w:color="auto" w:fill="auto"/>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19.</w:t>
      </w:r>
      <w:r>
        <w:rPr>
          <w:rFonts w:hint="default" w:cs="宋体"/>
          <w:color w:val="auto"/>
          <w:sz w:val="21"/>
          <w:szCs w:val="21"/>
          <w:highlight w:val="none"/>
          <w:lang w:val="en-US"/>
        </w:rPr>
        <w:t>4</w:t>
      </w:r>
      <w:r>
        <w:rPr>
          <w:rFonts w:hint="eastAsia" w:cs="宋体"/>
          <w:color w:val="auto"/>
          <w:sz w:val="21"/>
          <w:szCs w:val="21"/>
          <w:highlight w:val="none"/>
        </w:rPr>
        <w:t>本合同应按照中华人民共和国的法律进行解释。</w:t>
      </w:r>
    </w:p>
    <w:p>
      <w:pPr>
        <w:shd w:val="clear" w:color="auto" w:fill="auto"/>
        <w:spacing w:line="440" w:lineRule="exact"/>
        <w:ind w:firstLine="420" w:firstLineChars="200"/>
        <w:rPr>
          <w:rFonts w:hint="eastAsia" w:hAnsi="宋体" w:eastAsia="宋体" w:cs="宋体"/>
          <w:color w:val="auto"/>
          <w:sz w:val="21"/>
          <w:szCs w:val="21"/>
          <w:highlight w:val="none"/>
          <w:lang w:eastAsia="zh-CN"/>
        </w:rPr>
      </w:pPr>
      <w:r>
        <w:rPr>
          <w:rFonts w:hint="eastAsia" w:hAnsi="宋体" w:cs="宋体"/>
          <w:color w:val="auto"/>
          <w:sz w:val="21"/>
          <w:szCs w:val="21"/>
          <w:highlight w:val="none"/>
          <w:lang w:eastAsia="zh-CN"/>
        </w:rPr>
        <w:t>（以下无正文）</w:t>
      </w:r>
    </w:p>
    <w:p>
      <w:pPr>
        <w:shd w:val="clear" w:color="auto" w:fill="auto"/>
        <w:spacing w:line="440" w:lineRule="exact"/>
        <w:ind w:firstLine="420" w:firstLineChars="200"/>
        <w:rPr>
          <w:rFonts w:hint="eastAsia" w:hAnsi="宋体" w:cs="宋体"/>
          <w:color w:val="auto"/>
          <w:sz w:val="21"/>
          <w:szCs w:val="21"/>
          <w:highlight w:val="none"/>
        </w:rPr>
      </w:pPr>
    </w:p>
    <w:p>
      <w:pPr>
        <w:shd w:val="clear" w:color="auto" w:fill="auto"/>
        <w:spacing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甲方（盖章）：                      乙方（盖章）：</w:t>
      </w:r>
    </w:p>
    <w:p>
      <w:pPr>
        <w:shd w:val="clear" w:color="auto" w:fill="auto"/>
        <w:spacing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甲方法定代表(签字)：                乙方法定代表(签字)：</w:t>
      </w:r>
    </w:p>
    <w:p>
      <w:pPr>
        <w:shd w:val="clear" w:color="auto" w:fill="auto"/>
        <w:spacing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地址：                              地址： </w:t>
      </w:r>
    </w:p>
    <w:p>
      <w:pPr>
        <w:shd w:val="clear" w:color="auto" w:fill="auto"/>
        <w:spacing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电话：                              电话：</w:t>
      </w:r>
    </w:p>
    <w:p>
      <w:pPr>
        <w:shd w:val="clear" w:color="auto" w:fill="auto"/>
        <w:spacing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传真：</w:t>
      </w:r>
    </w:p>
    <w:p>
      <w:pPr>
        <w:shd w:val="clear" w:color="auto" w:fill="auto"/>
        <w:spacing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开户银行：</w:t>
      </w:r>
      <w:r>
        <w:rPr>
          <w:rFonts w:hint="eastAsia" w:hAnsi="宋体" w:cs="宋体"/>
          <w:color w:val="auto"/>
          <w:sz w:val="21"/>
          <w:szCs w:val="21"/>
          <w:highlight w:val="none"/>
        </w:rPr>
        <w:tab/>
      </w:r>
      <w:r>
        <w:rPr>
          <w:rFonts w:hint="eastAsia" w:hAnsi="宋体" w:cs="宋体"/>
          <w:color w:val="auto"/>
          <w:sz w:val="21"/>
          <w:szCs w:val="21"/>
          <w:highlight w:val="none"/>
        </w:rPr>
        <w:t xml:space="preserve">                   开户银行：</w:t>
      </w:r>
    </w:p>
    <w:p>
      <w:pPr>
        <w:shd w:val="clear" w:color="auto" w:fill="auto"/>
        <w:spacing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账号：                              账号：</w:t>
      </w:r>
    </w:p>
    <w:p>
      <w:pPr>
        <w:shd w:val="clear" w:color="auto" w:fill="auto"/>
        <w:spacing w:line="440" w:lineRule="exact"/>
        <w:ind w:firstLine="420" w:firstLineChars="200"/>
        <w:rPr>
          <w:rFonts w:hint="eastAsia" w:hAnsi="宋体" w:cs="宋体"/>
          <w:color w:val="auto"/>
          <w:sz w:val="21"/>
          <w:szCs w:val="21"/>
          <w:highlight w:val="none"/>
        </w:rPr>
      </w:pPr>
    </w:p>
    <w:p>
      <w:pPr>
        <w:shd w:val="clear" w:color="auto" w:fill="auto"/>
        <w:spacing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签约时间：</w:t>
      </w:r>
    </w:p>
    <w:p>
      <w:pPr>
        <w:pStyle w:val="144"/>
        <w:shd w:val="clear" w:color="auto" w:fill="auto"/>
        <w:spacing w:line="440" w:lineRule="exact"/>
        <w:rPr>
          <w:rFonts w:hint="eastAsia" w:ascii="宋体" w:hAnsi="宋体" w:cs="宋体"/>
          <w:color w:val="auto"/>
          <w:szCs w:val="21"/>
          <w:highlight w:val="none"/>
        </w:rPr>
      </w:pPr>
      <w:r>
        <w:rPr>
          <w:rFonts w:hint="eastAsia" w:ascii="宋体" w:hAnsi="宋体" w:cs="宋体"/>
          <w:color w:val="auto"/>
          <w:szCs w:val="21"/>
          <w:highlight w:val="none"/>
        </w:rPr>
        <w:t>签约地点：</w:t>
      </w:r>
    </w:p>
    <w:p>
      <w:pPr>
        <w:spacing w:line="480" w:lineRule="exact"/>
        <w:rPr>
          <w:rFonts w:ascii="方正小标宋简体" w:hAnsi="黑体" w:eastAsia="方正小标宋简体"/>
          <w:b/>
          <w:color w:val="auto"/>
          <w:sz w:val="44"/>
          <w:szCs w:val="44"/>
          <w:highlight w:val="none"/>
        </w:rPr>
      </w:pPr>
    </w:p>
    <w:p>
      <w:pPr>
        <w:spacing w:line="480" w:lineRule="exact"/>
        <w:jc w:val="center"/>
        <w:rPr>
          <w:rFonts w:hint="eastAsia" w:ascii="方正小标宋简体" w:hAnsi="黑体" w:eastAsia="方正小标宋简体"/>
          <w:b/>
          <w:color w:val="auto"/>
          <w:sz w:val="30"/>
          <w:szCs w:val="30"/>
          <w:highlight w:val="none"/>
        </w:rPr>
      </w:pPr>
    </w:p>
    <w:p>
      <w:pPr>
        <w:jc w:val="left"/>
        <w:rPr>
          <w:rFonts w:hint="eastAsia"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br w:type="page"/>
      </w:r>
    </w:p>
    <w:p>
      <w:pPr>
        <w:jc w:val="cente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pPr>
        <w:spacing w:before="120" w:beforeLines="50" w:after="120"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甲方：</w:t>
      </w:r>
      <w:r>
        <w:rPr>
          <w:rFonts w:hAnsi="宋体"/>
          <w:color w:val="auto"/>
          <w:sz w:val="21"/>
          <w:szCs w:val="21"/>
          <w:highlight w:val="none"/>
        </w:rPr>
        <w:t xml:space="preserve"> </w:t>
      </w:r>
    </w:p>
    <w:p>
      <w:pPr>
        <w:spacing w:before="120" w:beforeLines="50" w:after="120"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乙方：</w:t>
      </w:r>
      <w:r>
        <w:rPr>
          <w:rFonts w:hAnsi="宋体"/>
          <w:color w:val="auto"/>
          <w:sz w:val="21"/>
          <w:szCs w:val="21"/>
          <w:highlight w:val="none"/>
        </w:rPr>
        <w:t xml:space="preserve"> </w:t>
      </w: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 xml:space="preserve">    甲乙双方于 2021年     月     日签署了《……》（以下简称原合同），为加强双方阳光合作，保证职员职业安全，甲乙双方经协商签订本协议并作为双方共同遵守的阳光合作行为准则。</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甲方责任</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1.甲方有责任向乙方介绍本单位有关采购管理通用原则和本协议的规定。</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2.甲方有责任对本单位相关人员进行阳光合作教育。</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4.甲方人员如违反阳光合作管理制度及本协议规定，甲方视情节轻重、影响大小给予行政及经济处罚。</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5．对于乙方举报甲方人员违反阳光合作规定的情况，甲方应及时进行调查，根据调查情况进行处理，并将调查结果向乙方反馈。</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乙方责任</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1.乙方应保证乙方人员了解甲方有关采购管理通用原则和及本协议的规定，并遵照执行。</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3.乙方有责任接受甲方对乙方在合作期间阳光合作管理执行情况的监督，并对甲方相关调查工作主动配合。</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乙方有义务就甲方人员任何形式的索取或收受财物行为及时向甲方（直接联系人为东莞实业投资控股集团有限公司纪检监察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5．甲方接受乙方实名或匿名举报，保证为举报者的信息保密，常设举报部门及电话： </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举报受理部门：东莞实业投资控股集团有限公司纪检监察部</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东实集团举报邮箱：dgsyjjjc@163.com</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东实集团举报电话：0769-28822331（周一至周五9:00-12:00和14:00-18:00）</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邮寄地址：东莞市东城区八一路1号机关二号大院9号楼204室，东莞实业投资控股集团有限公司纪检监察部收，邮编523000。</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其他</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1.本协议是原合同的补充协议，与原合同有同等法律效力。</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本</w:t>
      </w:r>
      <w:r>
        <w:rPr>
          <w:rFonts w:hint="eastAsia" w:hAnsi="宋体"/>
          <w:color w:val="auto"/>
          <w:sz w:val="21"/>
          <w:szCs w:val="21"/>
          <w:highlight w:val="none"/>
        </w:rPr>
        <w:t>协议</w:t>
      </w:r>
      <w:r>
        <w:rPr>
          <w:rFonts w:hAnsi="宋体"/>
          <w:color w:val="auto"/>
          <w:sz w:val="21"/>
          <w:szCs w:val="21"/>
          <w:highlight w:val="none"/>
        </w:rPr>
        <w:t>一式</w:t>
      </w:r>
      <w:r>
        <w:rPr>
          <w:rFonts w:hint="eastAsia" w:hAnsi="宋体"/>
          <w:color w:val="auto"/>
          <w:sz w:val="21"/>
          <w:szCs w:val="21"/>
          <w:highlight w:val="none"/>
        </w:rPr>
        <w:t>四</w:t>
      </w:r>
      <w:r>
        <w:rPr>
          <w:rFonts w:hAnsi="宋体"/>
          <w:color w:val="auto"/>
          <w:sz w:val="21"/>
          <w:szCs w:val="21"/>
          <w:highlight w:val="none"/>
        </w:rPr>
        <w:t>份，甲方执</w:t>
      </w:r>
      <w:r>
        <w:rPr>
          <w:rFonts w:hint="eastAsia" w:hAnsi="宋体"/>
          <w:color w:val="auto"/>
          <w:sz w:val="21"/>
          <w:szCs w:val="21"/>
          <w:highlight w:val="none"/>
        </w:rPr>
        <w:t>贰</w:t>
      </w:r>
      <w:r>
        <w:rPr>
          <w:rFonts w:hAnsi="宋体"/>
          <w:color w:val="auto"/>
          <w:sz w:val="21"/>
          <w:szCs w:val="21"/>
          <w:highlight w:val="none"/>
        </w:rPr>
        <w:t>份，乙方执</w:t>
      </w:r>
      <w:r>
        <w:rPr>
          <w:rFonts w:hint="eastAsia" w:hAnsi="宋体"/>
          <w:color w:val="auto"/>
          <w:sz w:val="21"/>
          <w:szCs w:val="21"/>
          <w:highlight w:val="none"/>
        </w:rPr>
        <w:t>贰</w:t>
      </w:r>
      <w:r>
        <w:rPr>
          <w:rFonts w:hAnsi="宋体"/>
          <w:color w:val="auto"/>
          <w:sz w:val="21"/>
          <w:szCs w:val="21"/>
          <w:highlight w:val="none"/>
        </w:rPr>
        <w:t>份</w:t>
      </w:r>
      <w:r>
        <w:rPr>
          <w:rFonts w:hint="eastAsia" w:hAnsi="宋体"/>
          <w:color w:val="auto"/>
          <w:sz w:val="21"/>
          <w:szCs w:val="21"/>
          <w:highlight w:val="none"/>
        </w:rPr>
        <w:t>,具有同等法律效力。</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3.本协议经双方签署后生效。</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甲方（盖章）：                      乙方（盖章）：</w:t>
      </w:r>
      <w:r>
        <w:rPr>
          <w:color w:val="auto"/>
          <w:sz w:val="21"/>
          <w:szCs w:val="21"/>
          <w:highlight w:val="none"/>
        </w:rPr>
        <w:t xml:space="preserve"> </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法定代表人（授权代表）：</w:t>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hAnsi="宋体"/>
          <w:color w:val="auto"/>
          <w:sz w:val="21"/>
          <w:szCs w:val="21"/>
          <w:highlight w:val="none"/>
        </w:rPr>
        <w:t>法定代表人（授权代表）：</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签约日期：   年   月   日</w:t>
      </w:r>
      <w:bookmarkStart w:id="146" w:name="现场签证通知单"/>
      <w:bookmarkEnd w:id="146"/>
      <w:bookmarkStart w:id="147" w:name="设计变更通知单"/>
      <w:bookmarkEnd w:id="147"/>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hAnsi="宋体"/>
          <w:color w:val="auto"/>
          <w:sz w:val="21"/>
          <w:szCs w:val="21"/>
          <w:highlight w:val="none"/>
        </w:rPr>
        <w:t>签约日期：   年   月   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keepNext/>
        <w:keepLines/>
        <w:pageBreakBefore/>
        <w:spacing w:line="360" w:lineRule="auto"/>
        <w:jc w:val="center"/>
        <w:rPr>
          <w:rFonts w:hAnsi="宋体"/>
          <w:b/>
          <w:bCs/>
          <w:color w:val="auto"/>
          <w:kern w:val="44"/>
          <w:sz w:val="28"/>
          <w:szCs w:val="28"/>
          <w:highlight w:val="none"/>
          <w:lang w:val="zh-CN"/>
        </w:rPr>
      </w:pPr>
      <w:bookmarkStart w:id="148" w:name="_Toc8470"/>
      <w:bookmarkStart w:id="149" w:name="_Toc396137242"/>
      <w:r>
        <w:rPr>
          <w:rFonts w:hint="eastAsia" w:hAnsi="宋体"/>
          <w:b/>
          <w:bCs/>
          <w:color w:val="auto"/>
          <w:kern w:val="44"/>
          <w:sz w:val="28"/>
          <w:szCs w:val="28"/>
          <w:highlight w:val="none"/>
          <w:lang w:val="zh-CN"/>
        </w:rPr>
        <w:t>第六篇磋商响应文件格式</w:t>
      </w:r>
      <w:bookmarkEnd w:id="148"/>
      <w:bookmarkEnd w:id="149"/>
    </w:p>
    <w:p>
      <w:pPr>
        <w:ind w:firstLine="1800" w:firstLineChars="750"/>
        <w:rPr>
          <w:rFonts w:hAnsi="宋体"/>
          <w:color w:val="auto"/>
          <w:highlight w:val="none"/>
        </w:rPr>
      </w:pPr>
    </w:p>
    <w:p>
      <w:pPr>
        <w:pStyle w:val="2"/>
        <w:jc w:val="center"/>
        <w:rPr>
          <w:color w:val="auto"/>
          <w:sz w:val="28"/>
          <w:szCs w:val="28"/>
          <w:highlight w:val="none"/>
        </w:rPr>
      </w:pPr>
      <w:bookmarkStart w:id="150" w:name="_Toc9566"/>
      <w:bookmarkStart w:id="151" w:name="_Toc19311"/>
      <w:r>
        <w:rPr>
          <w:rFonts w:hint="eastAsia"/>
          <w:color w:val="auto"/>
          <w:sz w:val="28"/>
          <w:szCs w:val="28"/>
          <w:highlight w:val="none"/>
        </w:rPr>
        <w:t>第一部分 价格文件（单独编制装订成册）</w:t>
      </w:r>
      <w:bookmarkEnd w:id="150"/>
      <w:bookmarkEnd w:id="151"/>
    </w:p>
    <w:p>
      <w:pPr>
        <w:ind w:firstLine="1800" w:firstLineChars="750"/>
        <w:rPr>
          <w:rFonts w:hAnsi="宋体"/>
          <w:color w:val="auto"/>
          <w:highlight w:val="none"/>
        </w:rPr>
      </w:pPr>
    </w:p>
    <w:p>
      <w:pPr>
        <w:pStyle w:val="2"/>
        <w:numPr>
          <w:ilvl w:val="0"/>
          <w:numId w:val="17"/>
        </w:numPr>
        <w:jc w:val="center"/>
        <w:rPr>
          <w:color w:val="auto"/>
          <w:sz w:val="28"/>
          <w:szCs w:val="28"/>
          <w:highlight w:val="none"/>
        </w:rPr>
      </w:pPr>
      <w:bookmarkStart w:id="152" w:name="_Toc12373"/>
      <w:bookmarkStart w:id="153" w:name="_Toc7897888"/>
      <w:bookmarkStart w:id="154" w:name="_Toc20730"/>
      <w:bookmarkStart w:id="155" w:name="_Toc458262639"/>
      <w:bookmarkStart w:id="156" w:name="_Toc454701406"/>
      <w:bookmarkStart w:id="157" w:name="_Toc486671573"/>
      <w:bookmarkStart w:id="158" w:name="_Toc467236769"/>
      <w:bookmarkStart w:id="159" w:name="_Toc476976201"/>
      <w:bookmarkStart w:id="160" w:name="_Toc12383"/>
      <w:bookmarkStart w:id="161" w:name="_Toc28095"/>
      <w:bookmarkStart w:id="162" w:name="_Toc32273"/>
      <w:bookmarkStart w:id="163" w:name="_Toc32405"/>
      <w:bookmarkStart w:id="164" w:name="_Toc9348"/>
      <w:bookmarkStart w:id="165" w:name="_Toc18848"/>
      <w:bookmarkStart w:id="166" w:name="_Toc15960"/>
      <w:bookmarkStart w:id="167" w:name="_Toc2544"/>
      <w:bookmarkStart w:id="168" w:name="_Toc19671"/>
      <w:bookmarkStart w:id="169" w:name="_Toc396137244"/>
      <w:bookmarkStart w:id="170" w:name="_Toc30637"/>
      <w:bookmarkStart w:id="171" w:name="_Toc32736"/>
      <w:bookmarkStart w:id="172" w:name="_Toc29841"/>
      <w:r>
        <w:rPr>
          <w:rFonts w:hint="eastAsia"/>
          <w:color w:val="auto"/>
          <w:sz w:val="28"/>
          <w:szCs w:val="28"/>
          <w:highlight w:val="none"/>
        </w:rPr>
        <w:t>报价一览表</w:t>
      </w:r>
      <w:bookmarkEnd w:id="152"/>
      <w:bookmarkEnd w:id="153"/>
      <w:bookmarkEnd w:id="154"/>
    </w:p>
    <w:p>
      <w:pPr>
        <w:pStyle w:val="12"/>
        <w:ind w:firstLine="400"/>
        <w:rPr>
          <w:rFonts w:hAnsi="宋体"/>
          <w:color w:val="auto"/>
          <w:highlight w:val="none"/>
        </w:rPr>
      </w:pPr>
    </w:p>
    <w:p>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1"/>
        <w:tblW w:w="85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2515"/>
        <w:gridCol w:w="3422"/>
        <w:gridCol w:w="13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266"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项目编号</w:t>
            </w:r>
          </w:p>
        </w:tc>
        <w:tc>
          <w:tcPr>
            <w:tcW w:w="2515"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项目名称</w:t>
            </w:r>
          </w:p>
        </w:tc>
        <w:tc>
          <w:tcPr>
            <w:tcW w:w="3422"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总报价</w:t>
            </w:r>
          </w:p>
        </w:tc>
        <w:tc>
          <w:tcPr>
            <w:tcW w:w="1361" w:type="dxa"/>
            <w:vAlign w:val="center"/>
          </w:tcPr>
          <w:p>
            <w:pPr>
              <w:overflowPunct w:val="0"/>
              <w:jc w:val="center"/>
              <w:rPr>
                <w:rFonts w:hAnsi="宋体"/>
                <w:b/>
                <w:color w:val="auto"/>
                <w:sz w:val="21"/>
                <w:szCs w:val="21"/>
                <w:highlight w:val="none"/>
              </w:rPr>
            </w:pPr>
            <w:r>
              <w:rPr>
                <w:rFonts w:hint="eastAsia" w:hAnsi="宋体"/>
                <w:b/>
                <w:color w:val="auto"/>
                <w:sz w:val="21"/>
                <w:szCs w:val="21"/>
                <w:highlight w:val="none"/>
              </w:rPr>
              <w:t>备注</w:t>
            </w:r>
          </w:p>
          <w:p>
            <w:pPr>
              <w:overflowPunct w:val="0"/>
              <w:jc w:val="center"/>
              <w:rPr>
                <w:rFonts w:hAnsi="宋体"/>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266" w:type="dxa"/>
            <w:vMerge w:val="restart"/>
            <w:vAlign w:val="center"/>
          </w:tcPr>
          <w:p>
            <w:pPr>
              <w:overflowPunct w:val="0"/>
              <w:spacing w:line="460" w:lineRule="exact"/>
              <w:jc w:val="center"/>
              <w:rPr>
                <w:rFonts w:hint="default" w:hAnsi="宋体"/>
                <w:color w:val="auto"/>
                <w:sz w:val="21"/>
                <w:szCs w:val="21"/>
                <w:highlight w:val="none"/>
                <w:lang w:val="en-US" w:eastAsia="zh-CN"/>
              </w:rPr>
            </w:pPr>
            <w:r>
              <w:rPr>
                <w:rFonts w:hint="eastAsia" w:hAnsi="宋体"/>
                <w:color w:val="auto"/>
                <w:sz w:val="21"/>
                <w:szCs w:val="21"/>
                <w:highlight w:val="none"/>
                <w:lang w:eastAsia="zh-CN"/>
              </w:rPr>
              <w:t>TTWY-21</w:t>
            </w:r>
            <w:r>
              <w:rPr>
                <w:rFonts w:hint="eastAsia" w:hAnsi="宋体"/>
                <w:color w:val="auto"/>
                <w:sz w:val="21"/>
                <w:szCs w:val="21"/>
                <w:highlight w:val="none"/>
                <w:lang w:val="en-US" w:eastAsia="zh-CN"/>
              </w:rPr>
              <w:t>104</w:t>
            </w:r>
          </w:p>
        </w:tc>
        <w:tc>
          <w:tcPr>
            <w:tcW w:w="2515" w:type="dxa"/>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eastAsia="宋体"/>
                <w:color w:val="auto"/>
                <w:sz w:val="21"/>
                <w:szCs w:val="21"/>
                <w:highlight w:val="none"/>
                <w:lang w:eastAsia="zh-CN"/>
              </w:rPr>
              <w:t>（一）AB塔楼体标识</w:t>
            </w:r>
          </w:p>
        </w:tc>
        <w:tc>
          <w:tcPr>
            <w:tcW w:w="3422" w:type="dxa"/>
            <w:vAlign w:val="center"/>
          </w:tcPr>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rFonts w:hint="eastAsia"/>
                <w:color w:val="auto"/>
                <w:sz w:val="21"/>
                <w:szCs w:val="21"/>
                <w:highlight w:val="none"/>
                <w:lang w:val="en-US"/>
              </w:rPr>
            </w:pPr>
            <w:r>
              <w:rPr>
                <w:rFonts w:hint="eastAsia"/>
                <w:color w:val="auto"/>
                <w:sz w:val="21"/>
                <w:szCs w:val="21"/>
                <w:highlight w:val="none"/>
                <w:lang w:val="en-US"/>
              </w:rPr>
              <w:t>大写：</w:t>
            </w:r>
          </w:p>
          <w:p>
            <w:pPr>
              <w:pStyle w:val="61"/>
              <w:ind w:firstLine="630" w:firstLineChars="300"/>
              <w:rPr>
                <w:color w:val="auto"/>
                <w:sz w:val="21"/>
                <w:szCs w:val="21"/>
                <w:highlight w:val="none"/>
              </w:rPr>
            </w:pPr>
          </w:p>
        </w:tc>
        <w:tc>
          <w:tcPr>
            <w:tcW w:w="1361" w:type="dxa"/>
            <w:vAlign w:val="center"/>
          </w:tcPr>
          <w:p>
            <w:pP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266" w:type="dxa"/>
            <w:vMerge w:val="continue"/>
            <w:vAlign w:val="center"/>
          </w:tcPr>
          <w:p>
            <w:pPr>
              <w:overflowPunct w:val="0"/>
              <w:spacing w:line="460" w:lineRule="exact"/>
              <w:jc w:val="center"/>
              <w:rPr>
                <w:rFonts w:hint="default" w:hAnsi="宋体"/>
                <w:color w:val="auto"/>
                <w:sz w:val="21"/>
                <w:szCs w:val="21"/>
                <w:highlight w:val="none"/>
                <w:lang w:val="en-US" w:eastAsia="zh-CN"/>
              </w:rPr>
            </w:pPr>
          </w:p>
        </w:tc>
        <w:tc>
          <w:tcPr>
            <w:tcW w:w="2515" w:type="dxa"/>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（二）</w:t>
            </w:r>
            <w:r>
              <w:rPr>
                <w:rFonts w:hint="eastAsia" w:hAnsi="宋体" w:eastAsia="宋体"/>
                <w:color w:val="auto"/>
                <w:sz w:val="21"/>
                <w:szCs w:val="21"/>
                <w:highlight w:val="none"/>
                <w:lang w:eastAsia="zh-CN"/>
              </w:rPr>
              <w:t>E区地下停车场广告牌</w:t>
            </w:r>
          </w:p>
        </w:tc>
        <w:tc>
          <w:tcPr>
            <w:tcW w:w="3422" w:type="dxa"/>
            <w:vAlign w:val="center"/>
          </w:tcPr>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rFonts w:hint="eastAsia"/>
                <w:color w:val="auto"/>
                <w:sz w:val="21"/>
                <w:szCs w:val="21"/>
                <w:highlight w:val="none"/>
                <w:lang w:val="en-US"/>
              </w:rPr>
            </w:pPr>
            <w:r>
              <w:rPr>
                <w:rFonts w:hint="eastAsia"/>
                <w:color w:val="auto"/>
                <w:sz w:val="21"/>
                <w:szCs w:val="21"/>
                <w:highlight w:val="none"/>
                <w:lang w:val="en-US"/>
              </w:rPr>
              <w:t>大写：</w:t>
            </w:r>
          </w:p>
          <w:p>
            <w:pPr>
              <w:pStyle w:val="61"/>
              <w:ind w:firstLine="630" w:firstLineChars="300"/>
              <w:rPr>
                <w:color w:val="auto"/>
                <w:sz w:val="21"/>
                <w:szCs w:val="21"/>
                <w:highlight w:val="none"/>
              </w:rPr>
            </w:pPr>
          </w:p>
        </w:tc>
        <w:tc>
          <w:tcPr>
            <w:tcW w:w="1361" w:type="dxa"/>
            <w:vAlign w:val="center"/>
          </w:tcPr>
          <w:p>
            <w:pP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3781" w:type="dxa"/>
            <w:gridSpan w:val="2"/>
            <w:vAlign w:val="center"/>
          </w:tcPr>
          <w:p>
            <w:pPr>
              <w:overflowPunct w:val="0"/>
              <w:spacing w:line="460" w:lineRule="exact"/>
              <w:jc w:val="center"/>
              <w:rPr>
                <w:rFonts w:hint="eastAsia" w:hAnsi="宋体"/>
                <w:color w:val="auto"/>
                <w:sz w:val="21"/>
                <w:szCs w:val="21"/>
                <w:highlight w:val="none"/>
                <w:lang w:val="en-US" w:eastAsia="zh-CN"/>
              </w:rPr>
            </w:pPr>
            <w:r>
              <w:rPr>
                <w:rFonts w:hint="eastAsia" w:hAnsi="宋体"/>
                <w:color w:val="auto"/>
                <w:sz w:val="21"/>
                <w:szCs w:val="21"/>
                <w:highlight w:val="none"/>
                <w:lang w:val="en-US" w:eastAsia="zh-CN"/>
              </w:rPr>
              <w:t>合计</w:t>
            </w:r>
          </w:p>
        </w:tc>
        <w:tc>
          <w:tcPr>
            <w:tcW w:w="3422" w:type="dxa"/>
            <w:vAlign w:val="center"/>
          </w:tcPr>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361" w:type="dxa"/>
            <w:vAlign w:val="center"/>
          </w:tcPr>
          <w:p>
            <w:pPr>
              <w:overflowPunct w:val="0"/>
              <w:spacing w:line="460" w:lineRule="exact"/>
              <w:jc w:val="center"/>
              <w:rPr>
                <w:rFonts w:hAnsi="宋体"/>
                <w:color w:val="auto"/>
                <w:sz w:val="21"/>
                <w:szCs w:val="21"/>
                <w:highlight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pacing w:line="460" w:lineRule="exact"/>
        <w:ind w:firstLine="1583" w:firstLineChars="754"/>
        <w:rPr>
          <w:rFonts w:ascii="宋体" w:eastAsia="宋体"/>
          <w:color w:val="auto"/>
          <w:sz w:val="21"/>
          <w:szCs w:val="21"/>
          <w:highlight w:val="none"/>
        </w:rPr>
      </w:pPr>
    </w:p>
    <w:p>
      <w:pPr>
        <w:pStyle w:val="12"/>
        <w:spacing w:line="360" w:lineRule="auto"/>
        <w:rPr>
          <w:color w:val="auto"/>
          <w:sz w:val="22"/>
          <w:szCs w:val="22"/>
          <w:highlight w:val="none"/>
        </w:rPr>
      </w:pPr>
      <w:r>
        <w:rPr>
          <w:rFonts w:hint="eastAsia"/>
          <w:color w:val="auto"/>
          <w:sz w:val="21"/>
          <w:szCs w:val="21"/>
          <w:highlight w:val="none"/>
        </w:rPr>
        <w:t>注：磋商总价栏须用文字和数字两种方式表示的磋商总价。磋商总价大小写不一致，以大写为准。磋商总价必须准确唯一且应包含完成本项目的所有费用</w:t>
      </w:r>
      <w:bookmarkEnd w:id="155"/>
      <w:bookmarkEnd w:id="156"/>
      <w:bookmarkEnd w:id="157"/>
      <w:bookmarkEnd w:id="158"/>
      <w:bookmarkEnd w:id="159"/>
      <w:r>
        <w:rPr>
          <w:rFonts w:hint="eastAsia"/>
          <w:color w:val="auto"/>
          <w:sz w:val="21"/>
          <w:szCs w:val="21"/>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2"/>
        <w:keepNext w:val="0"/>
        <w:keepLines w:val="0"/>
        <w:pageBreakBefore w:val="0"/>
        <w:widowControl w:val="0"/>
        <w:numPr>
          <w:ilvl w:val="0"/>
          <w:numId w:val="17"/>
        </w:numPr>
        <w:kinsoku/>
        <w:wordWrap/>
        <w:overflowPunct/>
        <w:topLinePunct w:val="0"/>
        <w:autoSpaceDE w:val="0"/>
        <w:autoSpaceDN w:val="0"/>
        <w:bidi w:val="0"/>
        <w:adjustRightInd w:val="0"/>
        <w:snapToGrid/>
        <w:spacing w:line="360" w:lineRule="auto"/>
        <w:ind w:firstLine="0"/>
        <w:jc w:val="center"/>
        <w:textAlignment w:val="auto"/>
        <w:rPr>
          <w:rFonts w:hint="eastAsia"/>
          <w:color w:val="auto"/>
          <w:sz w:val="28"/>
          <w:szCs w:val="28"/>
          <w:highlight w:val="none"/>
          <w:lang w:eastAsia="zh-CN"/>
        </w:rPr>
      </w:pPr>
      <w:r>
        <w:rPr>
          <w:rFonts w:hint="eastAsia"/>
          <w:color w:val="auto"/>
          <w:sz w:val="28"/>
          <w:szCs w:val="28"/>
          <w:highlight w:val="none"/>
        </w:rPr>
        <w:t>分项报价明细表</w:t>
      </w:r>
    </w:p>
    <w:p>
      <w:pPr>
        <w:keepNext w:val="0"/>
        <w:keepLines w:val="0"/>
        <w:pageBreakBefore w:val="0"/>
        <w:widowControl w:val="0"/>
        <w:kinsoku/>
        <w:wordWrap/>
        <w:overflowPunct/>
        <w:topLinePunct w:val="0"/>
        <w:autoSpaceDE w:val="0"/>
        <w:autoSpaceDN w:val="0"/>
        <w:bidi w:val="0"/>
        <w:adjustRightInd w:val="0"/>
        <w:snapToGrid/>
        <w:jc w:val="left"/>
        <w:textAlignment w:val="auto"/>
        <w:outlineLvl w:val="2"/>
        <w:rPr>
          <w:rFonts w:hint="eastAsia"/>
          <w:b/>
          <w:bCs/>
          <w:color w:val="auto"/>
          <w:sz w:val="24"/>
          <w:szCs w:val="24"/>
          <w:highlight w:val="none"/>
          <w:lang w:val="en-US" w:eastAsia="zh-CN"/>
        </w:rPr>
      </w:pPr>
      <w:r>
        <w:rPr>
          <w:rFonts w:hint="eastAsia"/>
          <w:b/>
          <w:bCs/>
          <w:color w:val="auto"/>
          <w:sz w:val="24"/>
          <w:szCs w:val="24"/>
          <w:highlight w:val="none"/>
          <w:lang w:val="en-US" w:eastAsia="zh-CN"/>
        </w:rPr>
        <w:t>（一）松山湖大学创新城E区创投大厦AB塔楼体标识</w:t>
      </w:r>
    </w:p>
    <w:tbl>
      <w:tblPr>
        <w:tblStyle w:val="51"/>
        <w:tblW w:w="49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5"/>
        <w:gridCol w:w="114"/>
        <w:gridCol w:w="856"/>
        <w:gridCol w:w="5570"/>
        <w:gridCol w:w="664"/>
        <w:gridCol w:w="587"/>
        <w:gridCol w:w="812"/>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3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3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33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29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79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3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3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操作间</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管理用房</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男卫生间</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2.材质:侧板为15mm厚度,30mm宽度，350mm长度亚克力条，背部UV纯底色；面板为两块画面背部UV的3MM亚克力对夹，画面内容正反双面，直边侧面固定于侧板居中位置</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女卫生间</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2.材质:侧板为15mm厚度,30mm宽度，350mm长度亚克力条，背部UV纯底色；面板为两块画面背部UV的3MM亚克力对夹，画面内容正反双面，直边侧面固定于侧板居中位置</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无障碍卫生间</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2.材质:侧板为15mm厚度,30mm宽度，350mm长度亚克力条，背部UV纯底色；面板为两块画面背部UV的3MM亚克力对夹，画面内容正反双面，直边侧面固定于侧板居中位置</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三层男卫生间</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1.尺寸:17*4.8cm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三层女卫生间</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1.尺寸:17*6.8cm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三层无障碍卫生间</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1.尺寸:17*15cm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洗手间双面灯箱</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1.尺寸:90*20*10cm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储物间</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强电井</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弱电井</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大堂通往B塔通道金属字</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1.尺寸:80*15*0.5cm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消防电梯厅（金属字）</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1.尺寸:59*17*0.5cm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消防步梯（金属字）</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1.尺寸:47*17*0.5cm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消防电梯厅</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消防步梯</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水管井</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垃圾收集</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光纤到户机房</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运营商机房</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图书馆阅览室</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加压机房</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空调机房</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安控中心办公室</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4-12F科室牌编号牌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办公室</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杂物间</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清洁室</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茶水间</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1.尺寸:22*24*1cm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创新厅</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1.尺寸:70*26*1cm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贵宾厅</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1.尺寸:70*26*1cm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接待室</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1.尺寸:70*26*1cm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国际会议室</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1.尺寸:206*36*1cm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VIP室</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1.尺寸:54*26*1cm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B2-3F消防疏散图</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1.尺寸:60*35cm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A塔一楼侧门入口吊牌（300*40*10）灯箱</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1.尺寸:300*40*10cm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A塔二楼扶梯旁吊牌（180*30*10）灯箱</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1.尺寸:180*30*10cm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A塔一楼天桥吊牌（180*30*10）灯箱</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1.尺寸:180*30*10cm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A塔二楼天桥吊牌（180*30*10）灯箱</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1.尺寸:180*30*10cm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佳纷天地金属字</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1.尺寸:52*65*1cm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安全出口</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A塔二楼A1电梯厅指示牌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1.尺寸:37*91*0.5cm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A塔二楼A2电梯厅指示牌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1.尺寸:37*78*0.5cm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A塔二楼A3电梯厅指示牌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1.尺寸:75*90*0.5cm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A塔一楼A3电梯厅指示牌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1.尺寸:75*90*0.5cm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A塔三楼电梯厅方向指示牌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1.尺寸:42*27*0.5cm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墙上楼层指引（金属字）1</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1.尺寸:95*60*1cm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墙上楼层指引（金属字）2</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1.尺寸:95*60*1cm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墙上楼层指引（金属字）3</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1.尺寸:42*37*1cm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墙上楼层指引（金属字）4</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1.尺寸:56*47*1cm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墙上楼层指引（金属字）5</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1.尺寸:100*71*1cm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小心碰头</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1.尺寸:50*40cm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2.材质:8厘亚克力，背部UV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扶梯旁楼层电子指引牌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1.尺寸:1800*800*140cm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2.材质:不锈钢烤漆底座+面板镂空，内置显示屏，文字部分镂空内置灯片，内发光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3.参考参数:操作系统：Android 7.0以上，产品尺寸：40~50寸，分辨率：1080*1920以上，显示比例：16:9，内存：DDR3 1GB以上，内置存储器：EMMC FLASH 16G (可扩展到32G)，循环播放，多时段定时开关机，YAO控开关机，支持滚动字幕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4.视频支持格式:（H.264、DIVX、DIVX、XVID）, rm，rmvb， MKV（H.264、DIVX、DIVX、XVID），WMV，MOV，MP4 H.264、MPEG、DIVX、XVID），DAT（VCD格式），VOB（DVD格式），PMP,MPEG，.MPG,， FLV（H.263，H.264），ASF ，TS， TP，3GP，MPG等30种格式以上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5.音频播放支持格式:MP3,WMA,MP2,OGG,AAC,M4A,MA4,FLAC,APE,3GP格式音频播放，支持歌曲列表功能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6.其它:含显示屏、控制器、安装、调试及接线至指定地点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新风机房</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排烟机房</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工具房</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楼层索引</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1.尺寸:70*110*2cm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2.材质:304不锈钢，厚度T1.0，画面烤漆，四边立体弯折</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电梯楼层号码牌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1.尺寸:26*30*2（各根据数字宽度调整尺寸）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消防步梯楼层号码牌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消防电梯（金属字）</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1.尺寸:15*16.7*1cm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写字楼楼层洗手间指引吊牌（90*20）</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1.尺寸:90*20cm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写字楼楼层电梯厅指引吊牌（90*20）</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1.尺寸:90*20cm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消防栓使用说明</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1.尺寸:40*30cm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玻璃贴</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1.尺寸:150*15cm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2.材质:透明玻璃贴</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电梯编号金属字</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1.尺寸:22*15*1cm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                   数量详情：T1、T2数量各13个，T3数量12个     ，T4、T5数量各14个，T6数量22个，T7、T8数量各13个，T9、T10数量各4个，T11数量2个</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电梯到达楼层编号</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1.尺寸:26*6cm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数量详情：客梯B2-3F/13-20F(13个)、无障碍客梯B2-3F/13-20F(13个)、客梯B1-3F/13-20F(12个)、客梯B2-12F(14个)、无障碍客梯B2-12F(14个)、客梯B2-20F(22个)、客梯B1-12F(26个)、客梯B1-3F(8个)、客梯B2-B1F(2个)</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A塔楼体大字</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1.尺寸:120*140/85*83cm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2.材质:T1.0厚不锈钢边框焊接，100MM吸塑立体字灯箱，内置节能灯，乳白色亚克力面板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4F-12F消防疏散图</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1.尺寸:40*30cm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三楼洗手间指引牌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1.尺寸:面板15*30*0.5   侧板35*1.5*3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2.材质:面板T1.0玫瑰金304不锈钢拉丝，图标T1.0拉丝银色304不锈钢，侧板T1.0玫瑰金不锈钢拉丝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A塔合计</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B塔</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管理用房</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男卫生间</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2.材质:侧板为15mm厚度,30mm宽度，350mm长度亚克力条，背部UV纯底色；面板为两块画面背部UV的3MM亚克力对夹，画面内容正反双面，直边侧面固定于侧板居中位置</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女卫生间</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2.材质:侧板为15mm厚度,30mm宽度，350mm长度亚克力条，背部UV纯底色；面板为两块画面背部UV的3MM亚克力对夹，画面内容正反双面，直边侧面固定于侧板居中位置</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无障碍卫生间</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2.材质:侧板为15mm厚度,30mm宽度，350mm长度亚克力条，背部UV纯底色；面板为两块画面背部UV的3MM亚克力对夹，画面内容正反双面，直边侧面固定于侧板居中位置</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无障碍标识</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1.尺寸:17*15cm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洗手间指示牌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大堂通往A塔通道金属字</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1.尺寸:155*45*0.5cm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洗手间（金属字）</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1.尺寸:35*17*0.5cm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消防控制室（金属字）</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1.尺寸:59*17*0.5cm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储物间</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1.尺寸:35*17*0.5cm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客梯编号（金属字）</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1.尺寸:22*15*1cm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2.材质:304不锈钢，厚度T1.0，玫瑰金拉丝数量详情：T1(15个)、T2(15个)、T3(14个)、T4(18个)、T15(18个)、T6(28个)、T7(17个)、T8(17个)、T9(5个)、T10(2个)</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强电井</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弱电井</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消防电梯厅（金属字）</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1.尺寸:59*17*0.5cm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消防步梯（金属字）</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1.尺寸:47*17*0.5cm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消防电梯厅</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消防步梯</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水管井</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1.尺寸:30*10*0.5cm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垃圾收集</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光纤到户机房</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加压机房</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空调机房</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排烟机房</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UPS间</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仓库</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设备间</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B2-3F消防疏散图</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1.尺寸:60*35cm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1.尺寸:40*18*3cm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2.材质:底座尺寸：40*3*2.5,数字尺寸：15.5*1厚度*高度等比（三位数房号与四位数房号尺寸不一）304不锈钢，厚度T1.0，颜色烤漆</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推拉牌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2.材质:5厘亚克力，背部UV，磨圆角</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一楼大堂门口吊牌1（300*40*10）</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1.尺寸:300*40*10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B塔二楼扶梯旁室内天桥吊牌吊牌2（180*30*10）</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1.尺寸:180*30*10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通往佳纷天地天桥处吊牌3（180*20*10）</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1.尺寸:180*20*10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二楼通往A塔天桥吊牌（180*30*10）</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1.尺寸:180*30*10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三楼扶梯吊牌（180*30*10）</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1.尺寸:180*30*10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4-12F电梯厅指引吊牌（90*20*10）</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1.尺寸:90*20*10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佳纷天地金属字</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1.尺寸:52*65*0.5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B塔二楼T4-T8电梯厅指示牌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1.尺寸:80*40*0.5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B塔二楼T1-T3电梯厅指示牌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1.尺寸:80*47*0.5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安全出口</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小心碰头</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1.尺寸:50*40cm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2.材质:8厘亚克力，背部UV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扶梯旁楼层电子指引牌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1.尺寸:1820*800*600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2.材质:304不锈钢，厚度T1.O，烤漆底座+面板镂空，内置显示屏，文字部分镂空内置灯片，内发光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3.参考参数:操作系统：Android 7.0以上，产品尺寸：40~50寸，分辨率：1080*1920以上，显示比例：16:9，内存：DDR3 1GB以上，内置存储器：EMMC FLASH 16G (可扩展到32G)，循环播放，多时段定时开关机，YAO控开关机，支持滚动字幕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4.参考视频支持格式:（H.264、DIVX、DIVX、XVID）, rm，rmvb， MKV（H.264、DIVX、DIVX、XVID），WMV，MOV，MP4 H.264、MPEG、DIVX、XVID），DAT（VCD格式），VOB（DVD格式），PMP,MPEG，.MPG,， FLV（H.263，H.264），ASF ，TS， TP，3GP，MPG等30种格式以上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5.参考音频播放支持格式:MP3,WMA,MP2,OGG,AAC,M4A,MA4,FLAC,APE,3GP格式音频播放，支持歌曲列表功能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6.其它:含光源、控制器、安装、调试及接线至指定地点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松寓店招</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1.尺寸:385*110*10cm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2.材质:30*30*4厚镀锌钢方管焊接支撑架，预埋地下固定，T1.0厚度304不锈钢边框，5MM乳白色亚克力面板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楼层索引</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1.尺寸:70*110*2cm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2.材质:304不锈钢，厚度T1.0，画面烤漆，四边立体折弯</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电梯楼层号码牌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1.尺寸:26*30*2cm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消防步梯楼层号码牌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消防电梯（金属字）</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1.尺寸:15*16*1cm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消防栓使用说明</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1.尺寸:30*45cm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玻璃贴</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1.尺寸:150*15cm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2.材质:透明玻璃贴</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电梯到达楼层编号</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1.尺寸:26*6cm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厚度T1.0，玫瑰金拉丝数量详情：客梯B2-3F/17-26F(15个)、无障碍客梯B2-3F/17-26F(15个)、客梯B1-3F/17-26F(14个)、客梯B2-16F(18个)、无障碍客梯B2-16F(18个)、客梯B2-26F(28个)、客梯B1-16F(34个)、客梯B2-3F(5个)、客梯B2-B1F(2个)</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大堂前台背景字</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1.尺寸:250*97*3cm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2.材质:304不锈钢烤漆焊接工艺，背部内置亚克力发光灯管，内部走线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国际会议中心（楼体大字）</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1.尺寸:1700*120*10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2.材质:镀锌管焊接支撑架，膨胀螺丝固定地面，不锈钢边框，乳白色亚克力面板，发光字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社区logo标识（外侧标识牌）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1.尺寸:620*80*10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2.材质:304不锈钢烤金属字，钻孔螺丝固定，背部内置亚克力发光源，外部走线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AB塔地下停车场负一楼人行出口指引牌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1.尺寸:600*50*10cm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2.材质:304不锈钢边框，乳白色亚克力面板，发光字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3.其它:含光源、控制器、安装、调试及接线至指定地点</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三楼洗手间指引牌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1.尺寸:面板15*30*0.5   侧板35*1.5*3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2.材质:面板T1.0玫瑰金304不锈钢拉丝，图标T1.0拉丝银色304不锈钢，侧板T1.0玫瑰金不锈钢拉丝</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B塔楼体大字</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1.尺寸:100*140/85*83cm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2.材质:不锈钢边框焊接，乳白色亚克力面板，发光字</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工具房</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小心滑倒牌</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请勿攀爬（No Climbing）</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1.尺寸:60cm*30cm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请勿攀爬（No Climbing）</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1.尺寸:20cm*9cm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请勿攀爬（No Climbing）</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1.尺寸:55cm*53cm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小心台阶(Mind the step)</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1.尺寸:20cm*9cm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谨防跌倒(Beware Falling)</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1.尺寸:20cm*9cm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有电危险(Mind The Electric Leakage)</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1.尺寸:10cm*9cm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B2-3F消防疏散图</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1.尺寸:40*30cm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2.材质:5厘亚克力，背部UV</w:t>
            </w: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w:t>
            </w: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B塔合计</w:t>
            </w:r>
          </w:p>
        </w:tc>
        <w:tc>
          <w:tcPr>
            <w:tcW w:w="28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4753" w:type="pct"/>
          <w:trHeight w:val="283" w:hRule="atLeast"/>
        </w:trPr>
        <w:tc>
          <w:tcPr>
            <w:tcW w:w="24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b/>
          <w:bCs/>
          <w:color w:val="auto"/>
          <w:sz w:val="24"/>
          <w:szCs w:val="24"/>
          <w:highlight w:val="none"/>
          <w:lang w:val="en-US" w:eastAsia="zh-CN"/>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rPr>
          <w:rFonts w:hint="eastAsia" w:eastAsia="宋体"/>
          <w:b/>
          <w:bCs/>
          <w:color w:val="auto"/>
          <w:sz w:val="22"/>
          <w:szCs w:val="22"/>
          <w:highlight w:val="none"/>
          <w:lang w:eastAsia="zh-CN"/>
        </w:rPr>
      </w:pPr>
      <w:r>
        <w:rPr>
          <w:rFonts w:hint="eastAsia" w:eastAsia="宋体"/>
          <w:b/>
          <w:bCs/>
          <w:color w:val="auto"/>
          <w:sz w:val="22"/>
          <w:szCs w:val="22"/>
          <w:highlight w:val="none"/>
          <w:lang w:eastAsia="zh-CN"/>
        </w:rPr>
        <w:br w:type="page"/>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2"/>
        <w:rPr>
          <w:rFonts w:hint="eastAsia"/>
          <w:b/>
          <w:bCs/>
          <w:color w:val="auto"/>
          <w:highlight w:val="none"/>
          <w:lang w:val="en-US" w:eastAsia="zh-CN"/>
        </w:rPr>
      </w:pPr>
      <w:r>
        <w:rPr>
          <w:rFonts w:hint="eastAsia"/>
          <w:b/>
          <w:bCs/>
          <w:color w:val="auto"/>
          <w:highlight w:val="none"/>
          <w:lang w:val="en-US" w:eastAsia="zh-CN"/>
        </w:rPr>
        <w:t>（二）松山湖大学创新城E区创投大厦</w:t>
      </w:r>
      <w:r>
        <w:rPr>
          <w:rFonts w:hint="eastAsia" w:hAnsi="宋体"/>
          <w:b/>
          <w:bCs/>
          <w:color w:val="auto"/>
          <w:sz w:val="21"/>
          <w:szCs w:val="21"/>
          <w:highlight w:val="none"/>
          <w:shd w:val="clear" w:color="auto" w:fill="auto"/>
          <w:lang w:eastAsia="zh-CN"/>
        </w:rPr>
        <w:t>地下停车场灯箱</w:t>
      </w:r>
    </w:p>
    <w:tbl>
      <w:tblPr>
        <w:tblStyle w:val="5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1763"/>
        <w:gridCol w:w="3234"/>
        <w:gridCol w:w="625"/>
        <w:gridCol w:w="1084"/>
        <w:gridCol w:w="1163"/>
        <w:gridCol w:w="1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9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4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31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5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1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1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1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一楼外围</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点位13</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1.尺寸:2600*1200mm*100mm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点位9</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1.尺寸:1900*1600mm*100mm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一楼外围合计</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负一层</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点位1，2,3,4</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1.尺寸:3500x1600mm*100mm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点位5，20</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1.尺寸:4000x1600mm*100mm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点位6，7，16，18，19</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1.尺寸:3300x1600mm*100mm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点位8，10，12，14，15</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1.尺寸:3600x1600mm*100mm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点位11</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1.尺寸:2200x1600mm*100mm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点位17</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1.尺寸:4200x1600mm*100mm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点位21，22，23，24</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1.尺寸:3500x1600mm*100mm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点位25</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1.尺寸:3000x1400mm*100mm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点位26</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1.尺寸:2800x1600mm*100mm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负一层合计</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负二层</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点位1，2</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1.尺寸:3000x1400mm*100mm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点位3</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1.尺寸:6000x1800mm*100mm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点位4</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1.尺寸:5000x2000mm*100mm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点位5</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1.尺寸:3300x1600mm*100mm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点位6，7，8，9，10，11</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1.尺寸:3600x1600mm*100mm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点位12，13</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1.尺寸:2500x1400mm*100mm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点位14，15</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1.尺寸:3500x1400mm*100mm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点位16</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1.尺寸:4200x1800mm*100mm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点位17</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1.尺寸:5000x1800mm*100mm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2.材质:铝型材边框，表面烤漆，软膜UV喷绘，内置LED灯条</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1.名称:配管（20*1.6mm）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2.配置形式:综合考虑配线</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1.型号:配线（2.5mm2内）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2.材质:综合考虑配线</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负二层合计</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412"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8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color w:val="auto"/>
          <w:highlight w:val="none"/>
          <w:lang w:val="en-US" w:eastAsia="zh-CN"/>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rPr>
          <w:rFonts w:hint="eastAsia" w:eastAsia="宋体"/>
          <w:b/>
          <w:bCs/>
          <w:color w:val="auto"/>
          <w:sz w:val="22"/>
          <w:szCs w:val="22"/>
          <w:highlight w:val="none"/>
          <w:lang w:eastAsia="zh-CN"/>
        </w:rPr>
      </w:pPr>
      <w:r>
        <w:rPr>
          <w:rFonts w:hint="eastAsia" w:eastAsia="宋体"/>
          <w:b/>
          <w:bCs/>
          <w:color w:val="auto"/>
          <w:sz w:val="22"/>
          <w:szCs w:val="22"/>
          <w:highlight w:val="none"/>
          <w:lang w:eastAsia="zh-CN"/>
        </w:rPr>
        <w:br w:type="page"/>
      </w:r>
    </w:p>
    <w:bookmarkEnd w:id="160"/>
    <w:bookmarkEnd w:id="161"/>
    <w:bookmarkEnd w:id="162"/>
    <w:bookmarkEnd w:id="163"/>
    <w:bookmarkEnd w:id="164"/>
    <w:bookmarkEnd w:id="165"/>
    <w:bookmarkEnd w:id="166"/>
    <w:bookmarkEnd w:id="167"/>
    <w:bookmarkEnd w:id="168"/>
    <w:bookmarkEnd w:id="169"/>
    <w:bookmarkEnd w:id="170"/>
    <w:bookmarkEnd w:id="171"/>
    <w:bookmarkEnd w:id="172"/>
    <w:p>
      <w:pPr>
        <w:pStyle w:val="2"/>
        <w:pageBreakBefore/>
        <w:spacing w:line="360" w:lineRule="auto"/>
        <w:jc w:val="center"/>
        <w:rPr>
          <w:bCs/>
          <w:color w:val="auto"/>
          <w:sz w:val="28"/>
          <w:szCs w:val="28"/>
          <w:highlight w:val="none"/>
        </w:rPr>
      </w:pPr>
      <w:bookmarkStart w:id="173" w:name="_Toc12158"/>
      <w:bookmarkStart w:id="174" w:name="_Toc18450"/>
      <w:bookmarkStart w:id="175" w:name="_Toc486671572"/>
      <w:bookmarkStart w:id="176" w:name="_Toc476976200"/>
      <w:bookmarkStart w:id="177" w:name="_Toc7897890"/>
      <w:bookmarkStart w:id="178" w:name="_Toc458262638"/>
      <w:bookmarkStart w:id="179" w:name="_Toc27849"/>
      <w:bookmarkStart w:id="180" w:name="_Toc467236768"/>
      <w:bookmarkStart w:id="181" w:name="_Toc454701405"/>
      <w:bookmarkStart w:id="182" w:name="_Toc110953866"/>
      <w:bookmarkStart w:id="183" w:name="_Toc480020289"/>
      <w:bookmarkStart w:id="184" w:name="_Toc467987856"/>
      <w:bookmarkStart w:id="185" w:name="_Toc468606064"/>
      <w:bookmarkStart w:id="186" w:name="_Toc468157569"/>
      <w:bookmarkStart w:id="187" w:name="_Toc480021085"/>
      <w:bookmarkStart w:id="188" w:name="_Toc479991616"/>
      <w:bookmarkStart w:id="189" w:name="_Toc480010742"/>
      <w:r>
        <w:rPr>
          <w:rFonts w:hint="eastAsia"/>
          <w:bCs/>
          <w:color w:val="auto"/>
          <w:sz w:val="28"/>
          <w:szCs w:val="28"/>
          <w:highlight w:val="none"/>
        </w:rPr>
        <w:t>第二部分  商务文件</w:t>
      </w:r>
      <w:bookmarkEnd w:id="173"/>
      <w:bookmarkEnd w:id="174"/>
      <w:bookmarkStart w:id="190" w:name="_Hlt10456397"/>
      <w:bookmarkEnd w:id="190"/>
      <w:bookmarkStart w:id="191" w:name="_Hlt10519799"/>
      <w:bookmarkEnd w:id="191"/>
    </w:p>
    <w:p>
      <w:pPr>
        <w:rPr>
          <w:color w:val="auto"/>
          <w:highlight w:val="none"/>
        </w:rPr>
      </w:pPr>
    </w:p>
    <w:p>
      <w:pPr>
        <w:pStyle w:val="2"/>
        <w:numPr>
          <w:ilvl w:val="0"/>
          <w:numId w:val="18"/>
        </w:numPr>
        <w:jc w:val="center"/>
        <w:rPr>
          <w:b w:val="0"/>
          <w:color w:val="auto"/>
          <w:sz w:val="28"/>
          <w:szCs w:val="28"/>
          <w:highlight w:val="none"/>
        </w:rPr>
      </w:pPr>
      <w:bookmarkStart w:id="192" w:name="_Toc18728"/>
      <w:r>
        <w:rPr>
          <w:rFonts w:hint="eastAsia"/>
          <w:color w:val="auto"/>
          <w:sz w:val="28"/>
          <w:szCs w:val="28"/>
          <w:highlight w:val="none"/>
        </w:rPr>
        <w:t>响应书</w:t>
      </w:r>
      <w:bookmarkEnd w:id="175"/>
      <w:bookmarkEnd w:id="176"/>
      <w:bookmarkEnd w:id="177"/>
      <w:bookmarkEnd w:id="178"/>
      <w:bookmarkEnd w:id="179"/>
      <w:bookmarkEnd w:id="180"/>
      <w:bookmarkEnd w:id="181"/>
      <w:bookmarkEnd w:id="192"/>
    </w:p>
    <w:p>
      <w:pPr>
        <w:pStyle w:val="30"/>
        <w:autoSpaceDE/>
        <w:autoSpaceDN/>
        <w:adjustRightInd/>
        <w:spacing w:line="480" w:lineRule="exact"/>
        <w:ind w:left="6000"/>
        <w:rPr>
          <w:rFonts w:hAnsi="宋体"/>
          <w:color w:val="auto"/>
          <w:sz w:val="24"/>
          <w:highlight w:val="none"/>
        </w:rPr>
      </w:pPr>
    </w:p>
    <w:p>
      <w:pPr>
        <w:pStyle w:val="30"/>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pacing w:line="480" w:lineRule="exact"/>
        <w:ind w:firstLine="420" w:firstLineChars="200"/>
        <w:rPr>
          <w:rFonts w:hAnsi="宋体"/>
          <w:color w:val="auto"/>
          <w:sz w:val="21"/>
          <w:szCs w:val="21"/>
          <w:highlight w:val="none"/>
        </w:rPr>
      </w:pP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2"/>
        <w:numPr>
          <w:ilvl w:val="0"/>
          <w:numId w:val="18"/>
        </w:numPr>
        <w:jc w:val="center"/>
        <w:rPr>
          <w:bCs/>
          <w:color w:val="auto"/>
          <w:sz w:val="28"/>
          <w:szCs w:val="28"/>
          <w:highlight w:val="none"/>
        </w:rPr>
      </w:pPr>
      <w:r>
        <w:rPr>
          <w:color w:val="auto"/>
          <w:sz w:val="22"/>
          <w:szCs w:val="22"/>
          <w:highlight w:val="none"/>
        </w:rPr>
        <w:br w:type="page"/>
      </w:r>
      <w:bookmarkStart w:id="193" w:name="_Toc10808"/>
      <w:bookmarkStart w:id="194" w:name="_Toc7897891"/>
      <w:bookmarkStart w:id="195" w:name="_Toc31943"/>
      <w:r>
        <w:rPr>
          <w:rFonts w:hint="eastAsia"/>
          <w:bCs/>
          <w:color w:val="auto"/>
          <w:sz w:val="28"/>
          <w:szCs w:val="28"/>
          <w:highlight w:val="none"/>
        </w:rPr>
        <w:t>法定代表人证明书</w:t>
      </w:r>
      <w:bookmarkEnd w:id="193"/>
      <w:bookmarkEnd w:id="194"/>
      <w:bookmarkEnd w:id="195"/>
    </w:p>
    <w:p>
      <w:pPr>
        <w:jc w:val="center"/>
        <w:rPr>
          <w:rFonts w:hAnsi="宋体"/>
          <w:color w:val="auto"/>
          <w:sz w:val="28"/>
          <w:szCs w:val="28"/>
          <w:highlight w:val="none"/>
        </w:rPr>
      </w:pPr>
    </w:p>
    <w:p>
      <w:pPr>
        <w:rPr>
          <w:rFonts w:hAnsi="宋体"/>
          <w:color w:val="auto"/>
          <w:sz w:val="28"/>
          <w:szCs w:val="28"/>
          <w:highlight w:val="none"/>
        </w:rPr>
      </w:pPr>
    </w:p>
    <w:p>
      <w:pP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atLeast"/>
        <w:ind w:firstLine="433"/>
        <w:rPr>
          <w:rFonts w:ascii="宋体" w:eastAsia="宋体"/>
          <w:color w:val="auto"/>
          <w:sz w:val="21"/>
          <w:szCs w:val="21"/>
          <w:highlight w:val="none"/>
        </w:rPr>
      </w:pP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pacing w:line="500" w:lineRule="atLeast"/>
        <w:ind w:firstLine="3517" w:firstLineChars="1675"/>
        <w:rPr>
          <w:rFonts w:ascii="宋体" w:eastAsia="宋体"/>
          <w:color w:val="auto"/>
          <w:sz w:val="21"/>
          <w:szCs w:val="21"/>
          <w:highlight w:val="none"/>
        </w:rPr>
      </w:pP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pacing w:line="460" w:lineRule="exact"/>
        <w:ind w:firstLine="433"/>
        <w:rPr>
          <w:rFonts w:ascii="宋体" w:eastAsia="宋体"/>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须附：法定代表人身份证复印件（加盖公章）</w:t>
      </w:r>
    </w:p>
    <w:p>
      <w:pPr>
        <w:spacing w:line="420" w:lineRule="atLeast"/>
        <w:ind w:firstLine="422" w:firstLineChars="200"/>
        <w:rPr>
          <w:b/>
          <w:color w:val="auto"/>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2"/>
        <w:numPr>
          <w:ilvl w:val="0"/>
          <w:numId w:val="18"/>
        </w:numPr>
        <w:jc w:val="center"/>
        <w:rPr>
          <w:bCs/>
          <w:color w:val="auto"/>
          <w:sz w:val="28"/>
          <w:szCs w:val="28"/>
          <w:highlight w:val="none"/>
        </w:rPr>
      </w:pPr>
      <w:r>
        <w:rPr>
          <w:rFonts w:hint="eastAsia"/>
          <w:bCs/>
          <w:color w:val="auto"/>
          <w:sz w:val="28"/>
          <w:szCs w:val="28"/>
          <w:highlight w:val="none"/>
        </w:rPr>
        <w:br w:type="page"/>
      </w:r>
      <w:bookmarkStart w:id="196" w:name="_Toc28882"/>
      <w:bookmarkStart w:id="197" w:name="_Toc7897892"/>
      <w:bookmarkStart w:id="198" w:name="_Toc19634"/>
      <w:r>
        <w:rPr>
          <w:rFonts w:hint="eastAsia"/>
          <w:bCs/>
          <w:color w:val="auto"/>
          <w:sz w:val="28"/>
          <w:szCs w:val="28"/>
          <w:highlight w:val="none"/>
        </w:rPr>
        <w:t>授权委托书（加法人证明书）</w:t>
      </w:r>
      <w:bookmarkEnd w:id="196"/>
      <w:bookmarkEnd w:id="197"/>
      <w:bookmarkEnd w:id="198"/>
    </w:p>
    <w:p>
      <w:pPr>
        <w:pStyle w:val="12"/>
        <w:ind w:firstLine="400"/>
        <w:rPr>
          <w:color w:val="auto"/>
          <w:highlight w:val="none"/>
        </w:rPr>
      </w:pPr>
    </w:p>
    <w:p>
      <w:pPr>
        <w:spacing w:line="420" w:lineRule="exact"/>
        <w:rPr>
          <w:rFonts w:hAnsi="宋体"/>
          <w:color w:val="auto"/>
          <w:sz w:val="22"/>
          <w:szCs w:val="22"/>
          <w:highlight w:val="none"/>
        </w:rPr>
      </w:pPr>
    </w:p>
    <w:p>
      <w:pP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pacing w:line="420" w:lineRule="exact"/>
        <w:ind w:firstLine="450" w:firstLineChars="0"/>
        <w:rPr>
          <w:rFonts w:ascii="宋体" w:eastAsia="宋体"/>
          <w:color w:val="auto"/>
          <w:sz w:val="21"/>
          <w:szCs w:val="21"/>
          <w:highlight w:val="none"/>
        </w:rPr>
      </w:pPr>
    </w:p>
    <w:p>
      <w:pPr>
        <w:pStyle w:val="75"/>
        <w:spacing w:line="420" w:lineRule="exact"/>
        <w:ind w:firstLine="428" w:firstLineChars="204"/>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line="420" w:lineRule="exact"/>
        <w:ind w:firstLine="3517" w:firstLineChars="1675"/>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须附：授权代理人身份证复印件（加盖公章）</w:t>
      </w:r>
    </w:p>
    <w:p>
      <w:pPr>
        <w:spacing w:line="420" w:lineRule="atLeast"/>
        <w:ind w:firstLine="420" w:firstLineChars="200"/>
        <w:rPr>
          <w:color w:val="auto"/>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12"/>
        <w:ind w:firstLine="482"/>
        <w:rPr>
          <w:b/>
          <w:color w:val="auto"/>
          <w:sz w:val="24"/>
          <w:szCs w:val="24"/>
          <w:highlight w:val="none"/>
        </w:rPr>
      </w:pPr>
    </w:p>
    <w:p>
      <w:pPr>
        <w:tabs>
          <w:tab w:val="left" w:pos="7740"/>
        </w:tabs>
        <w:spacing w:line="360" w:lineRule="auto"/>
        <w:rPr>
          <w:rFonts w:hAnsi="宋体"/>
          <w:color w:val="auto"/>
          <w:sz w:val="21"/>
          <w:szCs w:val="21"/>
          <w:highlight w:val="none"/>
        </w:rPr>
      </w:pPr>
      <w:bookmarkStart w:id="199" w:name="_Toc7897893"/>
      <w:bookmarkStart w:id="200" w:name="_Toc4592"/>
    </w:p>
    <w:p>
      <w:pPr>
        <w:pStyle w:val="12"/>
        <w:ind w:firstLine="0" w:firstLineChars="0"/>
        <w:rPr>
          <w:color w:val="auto"/>
          <w:highlight w:val="none"/>
        </w:rPr>
      </w:pPr>
    </w:p>
    <w:p>
      <w:pPr>
        <w:pStyle w:val="12"/>
        <w:ind w:firstLine="0" w:firstLineChars="0"/>
        <w:rPr>
          <w:color w:val="auto"/>
          <w:highlight w:val="none"/>
        </w:rPr>
      </w:pPr>
    </w:p>
    <w:p>
      <w:pPr>
        <w:pStyle w:val="12"/>
        <w:ind w:firstLine="0" w:firstLineChars="0"/>
        <w:rPr>
          <w:color w:val="auto"/>
          <w:highlight w:val="none"/>
        </w:rPr>
      </w:pPr>
    </w:p>
    <w:p>
      <w:pPr>
        <w:pStyle w:val="2"/>
        <w:numPr>
          <w:ilvl w:val="0"/>
          <w:numId w:val="18"/>
        </w:numPr>
        <w:jc w:val="center"/>
        <w:rPr>
          <w:color w:val="auto"/>
          <w:sz w:val="28"/>
          <w:szCs w:val="28"/>
          <w:highlight w:val="none"/>
        </w:rPr>
      </w:pPr>
      <w:bookmarkStart w:id="201" w:name="_Toc17363"/>
      <w:r>
        <w:rPr>
          <w:rFonts w:hint="eastAsia"/>
          <w:color w:val="auto"/>
          <w:sz w:val="28"/>
          <w:szCs w:val="28"/>
          <w:highlight w:val="none"/>
        </w:rPr>
        <w:t>供应商基本情况说明</w:t>
      </w:r>
      <w:bookmarkEnd w:id="199"/>
      <w:bookmarkEnd w:id="200"/>
      <w:bookmarkEnd w:id="201"/>
    </w:p>
    <w:p>
      <w:pPr>
        <w:spacing w:line="360" w:lineRule="auto"/>
        <w:rPr>
          <w:rFonts w:hAnsi="宋体"/>
          <w:color w:val="auto"/>
          <w:sz w:val="22"/>
          <w:szCs w:val="22"/>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pacing w:line="360" w:lineRule="auto"/>
        <w:rPr>
          <w:rFonts w:hAnsi="宋体"/>
          <w:color w:val="auto"/>
          <w:sz w:val="21"/>
          <w:szCs w:val="21"/>
          <w:highlight w:val="none"/>
        </w:rPr>
      </w:pPr>
      <w:r>
        <w:rPr>
          <w:rFonts w:hAnsi="宋体"/>
          <w:color w:val="auto"/>
          <w:sz w:val="21"/>
          <w:szCs w:val="21"/>
          <w:highlight w:val="none"/>
        </w:rPr>
        <w:t>2、地  址： 传  真：</w:t>
      </w:r>
    </w:p>
    <w:p>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line="360" w:lineRule="auto"/>
        <w:rPr>
          <w:rFonts w:hAnsi="宋体"/>
          <w:color w:val="auto"/>
          <w:sz w:val="21"/>
          <w:szCs w:val="21"/>
          <w:highlight w:val="none"/>
        </w:rPr>
      </w:pPr>
      <w:r>
        <w:rPr>
          <w:rFonts w:hAnsi="宋体"/>
          <w:color w:val="auto"/>
          <w:sz w:val="21"/>
          <w:szCs w:val="21"/>
          <w:highlight w:val="none"/>
        </w:rPr>
        <w:t>6、公司简介:</w:t>
      </w:r>
    </w:p>
    <w:p>
      <w:pPr>
        <w:spacing w:line="360" w:lineRule="auto"/>
        <w:rPr>
          <w:rFonts w:hAnsi="宋体"/>
          <w:color w:val="auto"/>
          <w:sz w:val="21"/>
          <w:szCs w:val="21"/>
          <w:highlight w:val="none"/>
        </w:rPr>
      </w:pPr>
      <w:r>
        <w:rPr>
          <w:rFonts w:hAnsi="宋体"/>
          <w:color w:val="auto"/>
          <w:sz w:val="21"/>
          <w:szCs w:val="21"/>
          <w:highlight w:val="none"/>
        </w:rPr>
        <w:t>7、公司财务情况：</w:t>
      </w:r>
    </w:p>
    <w:p>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bl>
    <w:p>
      <w:pPr>
        <w:spacing w:line="360" w:lineRule="auto"/>
        <w:rPr>
          <w:rFonts w:hAnsi="宋体"/>
          <w:b/>
          <w:color w:val="auto"/>
          <w:sz w:val="21"/>
          <w:szCs w:val="21"/>
          <w:highlight w:val="none"/>
        </w:rPr>
      </w:pPr>
    </w:p>
    <w:p>
      <w:pPr>
        <w:tabs>
          <w:tab w:val="left" w:pos="420"/>
          <w:tab w:val="left" w:pos="1485"/>
        </w:tabs>
        <w:spacing w:line="360" w:lineRule="auto"/>
        <w:rPr>
          <w:rFonts w:hAnsi="宋体"/>
          <w:color w:val="auto"/>
          <w:sz w:val="21"/>
          <w:szCs w:val="21"/>
          <w:highlight w:val="none"/>
        </w:rPr>
      </w:pPr>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bl>
    <w:p>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2"/>
        <w:numPr>
          <w:ilvl w:val="0"/>
          <w:numId w:val="18"/>
        </w:numPr>
        <w:jc w:val="center"/>
        <w:rPr>
          <w:b w:val="0"/>
          <w:color w:val="auto"/>
          <w:sz w:val="28"/>
          <w:szCs w:val="28"/>
          <w:highlight w:val="none"/>
          <w:u w:val="single"/>
        </w:rPr>
      </w:pPr>
      <w:r>
        <w:rPr>
          <w:color w:val="auto"/>
          <w:sz w:val="22"/>
          <w:szCs w:val="22"/>
          <w:highlight w:val="none"/>
        </w:rPr>
        <w:br w:type="page"/>
      </w:r>
      <w:bookmarkStart w:id="202" w:name="_Toc7897894"/>
      <w:bookmarkStart w:id="203" w:name="_Toc27094"/>
      <w:bookmarkStart w:id="204" w:name="_Toc17704"/>
      <w:r>
        <w:rPr>
          <w:rFonts w:hint="eastAsia"/>
          <w:bCs/>
          <w:color w:val="auto"/>
          <w:sz w:val="28"/>
          <w:szCs w:val="28"/>
          <w:highlight w:val="none"/>
        </w:rPr>
        <w:t>偏离表</w:t>
      </w:r>
      <w:bookmarkEnd w:id="182"/>
      <w:bookmarkEnd w:id="202"/>
      <w:bookmarkEnd w:id="203"/>
      <w:bookmarkEnd w:id="204"/>
    </w:p>
    <w:p>
      <w:pPr>
        <w:pStyle w:val="12"/>
        <w:ind w:firstLine="480"/>
        <w:rPr>
          <w:color w:val="auto"/>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2"/>
        <w:numPr>
          <w:ilvl w:val="0"/>
          <w:numId w:val="18"/>
        </w:numPr>
        <w:jc w:val="center"/>
        <w:rPr>
          <w:rFonts w:ascii="Calibri" w:hAnsi="Times New Roman"/>
          <w:color w:val="auto"/>
          <w:sz w:val="28"/>
          <w:szCs w:val="28"/>
          <w:highlight w:val="none"/>
        </w:rPr>
      </w:pPr>
      <w:bookmarkStart w:id="205" w:name="_Toc8299"/>
      <w:bookmarkStart w:id="206" w:name="_Toc31965"/>
      <w:bookmarkStart w:id="207" w:name="_Toc789789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05"/>
    </w:p>
    <w:p>
      <w:pPr>
        <w:rPr>
          <w:rFonts w:hAnsi="宋体"/>
          <w:b/>
          <w:bCs/>
          <w:color w:val="auto"/>
          <w:highlight w:val="none"/>
        </w:rPr>
      </w:pPr>
    </w:p>
    <w:p>
      <w:pPr>
        <w:rPr>
          <w:rFonts w:hAnsi="宋体"/>
          <w:b/>
          <w:bCs/>
          <w:color w:val="auto"/>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outlineLvl w:val="0"/>
              <w:rPr>
                <w:rFonts w:hAnsi="宋体"/>
                <w:color w:val="auto"/>
                <w:sz w:val="21"/>
                <w:szCs w:val="21"/>
                <w:highlight w:val="none"/>
              </w:rPr>
            </w:pPr>
          </w:p>
        </w:tc>
        <w:tc>
          <w:tcPr>
            <w:tcW w:w="1266"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bl>
    <w:p>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日期：年月日</w:t>
      </w:r>
    </w:p>
    <w:p>
      <w:pPr>
        <w:pStyle w:val="12"/>
        <w:ind w:firstLine="400"/>
        <w:rPr>
          <w:color w:val="auto"/>
          <w:highlight w:val="none"/>
        </w:rPr>
      </w:pPr>
    </w:p>
    <w:p>
      <w:pPr>
        <w:pStyle w:val="2"/>
        <w:numPr>
          <w:ilvl w:val="0"/>
          <w:numId w:val="18"/>
        </w:numPr>
        <w:jc w:val="center"/>
        <w:rPr>
          <w:color w:val="auto"/>
          <w:sz w:val="28"/>
          <w:szCs w:val="28"/>
          <w:highlight w:val="none"/>
        </w:rPr>
      </w:pPr>
      <w:bookmarkStart w:id="208" w:name="_Toc12735"/>
      <w:r>
        <w:rPr>
          <w:rFonts w:hint="eastAsia"/>
          <w:bCs/>
          <w:color w:val="auto"/>
          <w:sz w:val="28"/>
          <w:szCs w:val="28"/>
          <w:highlight w:val="none"/>
        </w:rPr>
        <w:t>供应商所获资质或奖项证书一览表</w:t>
      </w:r>
      <w:bookmarkEnd w:id="206"/>
      <w:bookmarkEnd w:id="207"/>
      <w:bookmarkEnd w:id="208"/>
    </w:p>
    <w:p>
      <w:pPr>
        <w:pStyle w:val="12"/>
        <w:tabs>
          <w:tab w:val="left" w:pos="8280"/>
        </w:tabs>
        <w:spacing w:line="480" w:lineRule="exact"/>
        <w:ind w:firstLine="482"/>
        <w:rPr>
          <w:rFonts w:hAnsi="宋体"/>
          <w:b/>
          <w:color w:val="auto"/>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12"/>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12"/>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12"/>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12"/>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bl>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pacing w:line="480" w:lineRule="exact"/>
        <w:rPr>
          <w:rFonts w:hAnsi="宋体"/>
          <w:b/>
          <w:color w:val="auto"/>
          <w:szCs w:val="21"/>
          <w:highlight w:val="none"/>
          <w:u w:val="single"/>
        </w:rPr>
      </w:pPr>
    </w:p>
    <w:p>
      <w:pPr>
        <w:spacing w:line="480" w:lineRule="exact"/>
        <w:rPr>
          <w:rFonts w:hAnsi="宋体"/>
          <w:b/>
          <w:bCs/>
          <w:color w:val="auto"/>
          <w:szCs w:val="21"/>
          <w:highlight w:val="none"/>
        </w:rPr>
      </w:pPr>
    </w:p>
    <w:p>
      <w:pPr>
        <w:spacing w:line="480" w:lineRule="exact"/>
        <w:rPr>
          <w:rFonts w:hAnsi="宋体"/>
          <w:b/>
          <w:bCs/>
          <w:color w:val="auto"/>
          <w:szCs w:val="21"/>
          <w:highlight w:val="none"/>
        </w:rPr>
      </w:pPr>
    </w:p>
    <w:p>
      <w:pPr>
        <w:rPr>
          <w:color w:val="auto"/>
          <w:highlight w:val="none"/>
        </w:rPr>
      </w:pPr>
    </w:p>
    <w:p>
      <w:pPr>
        <w:pStyle w:val="2"/>
        <w:numPr>
          <w:ilvl w:val="0"/>
          <w:numId w:val="18"/>
        </w:numPr>
        <w:jc w:val="center"/>
        <w:rPr>
          <w:color w:val="auto"/>
          <w:sz w:val="28"/>
          <w:szCs w:val="28"/>
          <w:highlight w:val="none"/>
        </w:rPr>
      </w:pPr>
      <w:r>
        <w:rPr>
          <w:color w:val="auto"/>
          <w:highlight w:val="none"/>
        </w:rPr>
        <w:br w:type="page"/>
      </w:r>
      <w:bookmarkStart w:id="209" w:name="_Toc4884"/>
      <w:bookmarkStart w:id="210" w:name="_Toc4539"/>
      <w:bookmarkStart w:id="211" w:name="_Toc7897896"/>
      <w:r>
        <w:rPr>
          <w:rFonts w:hint="eastAsia"/>
          <w:bCs/>
          <w:color w:val="auto"/>
          <w:sz w:val="28"/>
          <w:szCs w:val="28"/>
          <w:highlight w:val="none"/>
        </w:rPr>
        <w:t>项目业绩一览表</w:t>
      </w:r>
      <w:bookmarkEnd w:id="209"/>
      <w:bookmarkEnd w:id="210"/>
      <w:bookmarkEnd w:id="211"/>
    </w:p>
    <w:p>
      <w:pPr>
        <w:pStyle w:val="28"/>
        <w:spacing w:line="480" w:lineRule="exact"/>
        <w:jc w:val="center"/>
        <w:rPr>
          <w:rFonts w:hAnsi="宋体"/>
          <w:b/>
          <w:color w:val="auto"/>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bl>
    <w:p>
      <w:pPr>
        <w:pStyle w:val="28"/>
        <w:spacing w:line="480" w:lineRule="exact"/>
        <w:rPr>
          <w:rFonts w:hAnsi="宋体"/>
          <w:color w:val="auto"/>
          <w:sz w:val="22"/>
          <w:szCs w:val="22"/>
          <w:highlight w:val="none"/>
        </w:rPr>
      </w:pPr>
    </w:p>
    <w:p>
      <w:pPr>
        <w:pStyle w:val="28"/>
        <w:spacing w:line="480" w:lineRule="exact"/>
        <w:rPr>
          <w:rFonts w:hAnsi="宋体"/>
          <w:color w:val="auto"/>
          <w:sz w:val="22"/>
          <w:szCs w:val="22"/>
          <w:highlight w:val="none"/>
        </w:rPr>
      </w:pPr>
      <w:r>
        <w:rPr>
          <w:rFonts w:hint="eastAsia" w:hAnsi="宋体"/>
          <w:color w:val="auto"/>
          <w:sz w:val="22"/>
          <w:szCs w:val="22"/>
          <w:highlight w:val="none"/>
        </w:rPr>
        <w:t>要求：</w:t>
      </w:r>
    </w:p>
    <w:p>
      <w:pPr>
        <w:pStyle w:val="28"/>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供应商应当如实、完整地填写本表格，内容包括所有同类或近似项目业绩。提供合同关键页等复印件（加盖供应商公章）。在填写过程中请按年份顺序填写。</w:t>
      </w:r>
    </w:p>
    <w:p>
      <w:pPr>
        <w:pStyle w:val="28"/>
        <w:spacing w:line="480" w:lineRule="exact"/>
        <w:rPr>
          <w:rFonts w:hAnsi="宋体"/>
          <w:color w:val="auto"/>
          <w:sz w:val="22"/>
          <w:szCs w:val="22"/>
          <w:highlight w:val="none"/>
        </w:rPr>
      </w:pP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2"/>
        <w:numPr>
          <w:ilvl w:val="0"/>
          <w:numId w:val="18"/>
        </w:numPr>
        <w:jc w:val="center"/>
        <w:rPr>
          <w:b w:val="0"/>
          <w:bCs/>
          <w:color w:val="auto"/>
          <w:sz w:val="28"/>
          <w:highlight w:val="none"/>
        </w:rPr>
      </w:pPr>
      <w:r>
        <w:rPr>
          <w:color w:val="auto"/>
          <w:sz w:val="22"/>
          <w:szCs w:val="22"/>
          <w:highlight w:val="none"/>
        </w:rPr>
        <w:br w:type="page"/>
      </w:r>
      <w:bookmarkStart w:id="212" w:name="_Toc23633"/>
      <w:bookmarkStart w:id="213" w:name="_Toc17432"/>
      <w:bookmarkStart w:id="214" w:name="_Toc7897897"/>
      <w:r>
        <w:rPr>
          <w:rFonts w:hint="eastAsia"/>
          <w:bCs/>
          <w:color w:val="auto"/>
          <w:sz w:val="28"/>
          <w:highlight w:val="none"/>
        </w:rPr>
        <w:t>在经营活动中没有重大违法记录的书面声明</w:t>
      </w:r>
      <w:bookmarkEnd w:id="212"/>
      <w:bookmarkEnd w:id="213"/>
      <w:bookmarkEnd w:id="214"/>
    </w:p>
    <w:p>
      <w:pPr>
        <w:pStyle w:val="75"/>
        <w:ind w:firstLine="0" w:firstLineChars="0"/>
        <w:jc w:val="center"/>
        <w:rPr>
          <w:rFonts w:ascii="宋体" w:eastAsia="宋体"/>
          <w:b/>
          <w:color w:val="auto"/>
          <w:sz w:val="28"/>
          <w:highlight w:val="none"/>
        </w:rPr>
      </w:pPr>
    </w:p>
    <w:p>
      <w:pPr>
        <w:spacing w:line="360" w:lineRule="auto"/>
        <w:rPr>
          <w:rFonts w:hAnsi="宋体"/>
          <w:color w:val="auto"/>
          <w:sz w:val="21"/>
          <w:szCs w:val="21"/>
          <w:highlight w:val="none"/>
          <w:u w:val="single"/>
        </w:rPr>
      </w:pPr>
      <w:r>
        <w:rPr>
          <w:rFonts w:hint="eastAsia" w:hAnsi="宋体"/>
          <w:color w:val="auto"/>
          <w:sz w:val="21"/>
          <w:szCs w:val="21"/>
          <w:highlight w:val="none"/>
        </w:rPr>
        <w:t>致：</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183"/>
    <w:bookmarkEnd w:id="184"/>
    <w:bookmarkEnd w:id="185"/>
    <w:bookmarkEnd w:id="186"/>
    <w:bookmarkEnd w:id="187"/>
    <w:bookmarkEnd w:id="188"/>
    <w:bookmarkEnd w:id="189"/>
    <w:p>
      <w:pPr>
        <w:pStyle w:val="2"/>
        <w:numPr>
          <w:ilvl w:val="0"/>
          <w:numId w:val="18"/>
        </w:numPr>
        <w:jc w:val="center"/>
        <w:rPr>
          <w:b w:val="0"/>
          <w:color w:val="auto"/>
          <w:sz w:val="28"/>
          <w:szCs w:val="28"/>
          <w:highlight w:val="none"/>
        </w:rPr>
      </w:pPr>
      <w:bookmarkStart w:id="215" w:name="_Toc110953865"/>
      <w:bookmarkStart w:id="216" w:name="_Toc454701411"/>
      <w:bookmarkStart w:id="217" w:name="_Toc480021086"/>
      <w:bookmarkStart w:id="218" w:name="_Toc480020290"/>
      <w:bookmarkStart w:id="219" w:name="_Toc468157570"/>
      <w:bookmarkStart w:id="220" w:name="_Toc35233726"/>
      <w:bookmarkStart w:id="221" w:name="_Toc468606065"/>
      <w:bookmarkStart w:id="222" w:name="_Toc479991617"/>
      <w:bookmarkStart w:id="223" w:name="_Toc467236774"/>
      <w:bookmarkStart w:id="224" w:name="_Toc458262644"/>
      <w:bookmarkStart w:id="225" w:name="_Toc467987857"/>
      <w:bookmarkStart w:id="226" w:name="_Toc480010743"/>
      <w:bookmarkStart w:id="227" w:name="_Toc480171915"/>
      <w:r>
        <w:rPr>
          <w:color w:val="auto"/>
          <w:sz w:val="22"/>
          <w:szCs w:val="22"/>
          <w:highlight w:val="none"/>
        </w:rPr>
        <w:br w:type="page"/>
      </w:r>
      <w:bookmarkEnd w:id="215"/>
      <w:bookmarkStart w:id="228" w:name="_Toc8181"/>
      <w:bookmarkStart w:id="229" w:name="_Toc2461"/>
      <w:bookmarkStart w:id="230" w:name="_Toc7897900"/>
      <w:r>
        <w:rPr>
          <w:rFonts w:hint="eastAsia"/>
          <w:color w:val="auto"/>
          <w:sz w:val="28"/>
          <w:szCs w:val="28"/>
          <w:highlight w:val="none"/>
        </w:rPr>
        <w:t>针对本项目拟派人员及其技术资格一览表</w:t>
      </w:r>
      <w:bookmarkEnd w:id="228"/>
      <w:bookmarkEnd w:id="229"/>
      <w:bookmarkEnd w:id="230"/>
    </w:p>
    <w:p>
      <w:pPr>
        <w:pStyle w:val="28"/>
        <w:spacing w:line="480" w:lineRule="exact"/>
        <w:ind w:left="-202" w:leftChars="-84" w:firstLine="241" w:firstLineChars="100"/>
        <w:rPr>
          <w:rFonts w:hAnsi="宋体"/>
          <w:b/>
          <w:color w:val="auto"/>
          <w:sz w:val="24"/>
          <w:szCs w:val="21"/>
          <w:highlight w:val="none"/>
        </w:rPr>
      </w:pPr>
    </w:p>
    <w:p>
      <w:pPr>
        <w:pStyle w:val="28"/>
        <w:spacing w:line="480" w:lineRule="exact"/>
        <w:ind w:left="-202" w:leftChars="-84" w:firstLine="221" w:firstLineChars="100"/>
        <w:rPr>
          <w:rFonts w:hAnsi="宋体"/>
          <w:b/>
          <w:color w:val="auto"/>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8"/>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8"/>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pacing w:line="480" w:lineRule="exact"/>
        <w:rPr>
          <w:rFonts w:hAnsi="宋体"/>
          <w:b/>
          <w:bCs/>
          <w:color w:val="auto"/>
          <w:szCs w:val="21"/>
          <w:highlight w:val="none"/>
          <w:u w:val="single"/>
        </w:rPr>
      </w:pPr>
    </w:p>
    <w:p>
      <w:pPr>
        <w:pStyle w:val="2"/>
        <w:numPr>
          <w:ilvl w:val="0"/>
          <w:numId w:val="18"/>
        </w:numPr>
        <w:jc w:val="center"/>
        <w:rPr>
          <w:bCs/>
          <w:color w:val="auto"/>
          <w:sz w:val="28"/>
          <w:szCs w:val="28"/>
          <w:highlight w:val="none"/>
        </w:rPr>
      </w:pPr>
      <w:r>
        <w:rPr>
          <w:bCs/>
          <w:color w:val="auto"/>
          <w:szCs w:val="21"/>
          <w:highlight w:val="none"/>
        </w:rPr>
        <w:br w:type="page"/>
      </w:r>
      <w:bookmarkEnd w:id="216"/>
      <w:bookmarkEnd w:id="217"/>
      <w:bookmarkEnd w:id="218"/>
      <w:bookmarkEnd w:id="219"/>
      <w:bookmarkEnd w:id="220"/>
      <w:bookmarkEnd w:id="221"/>
      <w:bookmarkEnd w:id="222"/>
      <w:bookmarkEnd w:id="223"/>
      <w:bookmarkEnd w:id="224"/>
      <w:bookmarkEnd w:id="225"/>
      <w:bookmarkEnd w:id="226"/>
      <w:bookmarkEnd w:id="227"/>
      <w:bookmarkStart w:id="231" w:name="_Toc13441"/>
      <w:r>
        <w:rPr>
          <w:rFonts w:hint="eastAsia"/>
          <w:bCs/>
          <w:color w:val="auto"/>
          <w:sz w:val="28"/>
          <w:szCs w:val="28"/>
          <w:highlight w:val="none"/>
        </w:rPr>
        <w:t>磋商保证金汇入情况说明（适用于转账、电汇方式）</w:t>
      </w:r>
      <w:bookmarkEnd w:id="231"/>
    </w:p>
    <w:p>
      <w:pPr>
        <w:spacing w:line="460" w:lineRule="exact"/>
        <w:rPr>
          <w:rFonts w:hAnsi="宋体"/>
          <w:b/>
          <w:bCs/>
          <w:color w:val="auto"/>
          <w:sz w:val="22"/>
          <w:szCs w:val="22"/>
          <w:highlight w:val="none"/>
        </w:rPr>
      </w:pPr>
    </w:p>
    <w:p>
      <w:pP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line="460" w:lineRule="exact"/>
        <w:rPr>
          <w:rFonts w:hAnsi="宋体"/>
          <w:b/>
          <w:bCs/>
          <w:color w:val="auto"/>
          <w:sz w:val="21"/>
          <w:szCs w:val="21"/>
          <w:highlight w:val="none"/>
        </w:rPr>
      </w:pPr>
    </w:p>
    <w:p>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line="460" w:lineRule="exact"/>
        <w:rPr>
          <w:rFonts w:hAnsi="宋体"/>
          <w:color w:val="auto"/>
          <w:sz w:val="22"/>
          <w:szCs w:val="22"/>
          <w:highlight w:val="none"/>
        </w:rPr>
      </w:pPr>
      <w:r>
        <w:rPr>
          <w:color w:val="auto"/>
          <w:highlight w:val="none"/>
        </w:rPr>
        <w:br w:type="page"/>
      </w:r>
    </w:p>
    <w:p>
      <w:pPr>
        <w:pStyle w:val="2"/>
        <w:pageBreakBefore/>
        <w:spacing w:line="360" w:lineRule="auto"/>
        <w:jc w:val="center"/>
        <w:rPr>
          <w:bCs/>
          <w:color w:val="auto"/>
          <w:sz w:val="28"/>
          <w:szCs w:val="28"/>
          <w:highlight w:val="none"/>
        </w:rPr>
      </w:pPr>
      <w:bookmarkStart w:id="232" w:name="_Toc19888"/>
      <w:bookmarkStart w:id="233" w:name="_Toc20966"/>
      <w:r>
        <w:rPr>
          <w:rFonts w:hint="eastAsia"/>
          <w:bCs/>
          <w:color w:val="auto"/>
          <w:sz w:val="28"/>
          <w:szCs w:val="28"/>
          <w:highlight w:val="none"/>
        </w:rPr>
        <w:t>第三部分 技术文件</w:t>
      </w:r>
      <w:bookmarkEnd w:id="232"/>
      <w:bookmarkEnd w:id="233"/>
    </w:p>
    <w:p>
      <w:pPr>
        <w:jc w:val="center"/>
        <w:rPr>
          <w:color w:val="auto"/>
          <w:highlight w:val="none"/>
        </w:rPr>
      </w:pPr>
    </w:p>
    <w:p>
      <w:pPr>
        <w:pStyle w:val="2"/>
        <w:numPr>
          <w:ilvl w:val="0"/>
          <w:numId w:val="19"/>
        </w:numPr>
        <w:jc w:val="center"/>
        <w:rPr>
          <w:color w:val="auto"/>
          <w:highlight w:val="none"/>
        </w:rPr>
      </w:pPr>
      <w:bookmarkStart w:id="234" w:name="_Toc15167"/>
      <w:bookmarkStart w:id="235" w:name="_Toc31683"/>
      <w:bookmarkStart w:id="236" w:name="_Toc1852"/>
      <w:bookmarkStart w:id="237" w:name="_Toc28884"/>
      <w:bookmarkStart w:id="238" w:name="_Toc24064"/>
      <w:bookmarkStart w:id="239" w:name="_Toc9579"/>
      <w:bookmarkStart w:id="240" w:name="_Toc9540"/>
      <w:bookmarkStart w:id="241" w:name="_Toc25949"/>
      <w:r>
        <w:rPr>
          <w:rFonts w:hint="eastAsia"/>
          <w:color w:val="auto"/>
          <w:highlight w:val="none"/>
        </w:rPr>
        <w:t>技术方案</w:t>
      </w:r>
      <w:bookmarkEnd w:id="234"/>
      <w:bookmarkEnd w:id="235"/>
      <w:bookmarkEnd w:id="236"/>
      <w:bookmarkEnd w:id="237"/>
      <w:bookmarkEnd w:id="238"/>
      <w:bookmarkEnd w:id="239"/>
      <w:bookmarkEnd w:id="240"/>
      <w:bookmarkEnd w:id="241"/>
    </w:p>
    <w:p>
      <w:pPr>
        <w:snapToGrid w:val="0"/>
        <w:spacing w:line="360" w:lineRule="auto"/>
        <w:rPr>
          <w:rFonts w:hAnsi="宋体"/>
          <w:color w:val="auto"/>
          <w:sz w:val="21"/>
          <w:szCs w:val="21"/>
          <w:highlight w:val="none"/>
        </w:rPr>
      </w:pP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napToGrid w:val="0"/>
        <w:spacing w:line="360" w:lineRule="auto"/>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2"/>
        <w:numPr>
          <w:ilvl w:val="0"/>
          <w:numId w:val="19"/>
        </w:numPr>
        <w:jc w:val="center"/>
        <w:rPr>
          <w:color w:val="auto"/>
          <w:highlight w:val="none"/>
        </w:rPr>
      </w:pPr>
      <w:bookmarkStart w:id="242" w:name="_Toc24947"/>
      <w:bookmarkStart w:id="243" w:name="_Toc11036"/>
      <w:bookmarkStart w:id="244" w:name="_Toc30049"/>
      <w:bookmarkStart w:id="245" w:name="_Toc15530"/>
      <w:bookmarkStart w:id="246" w:name="_Toc23849"/>
      <w:bookmarkStart w:id="247" w:name="_Toc12278"/>
      <w:bookmarkStart w:id="248" w:name="_Toc28953"/>
      <w:bookmarkStart w:id="249" w:name="_Toc9619"/>
      <w:r>
        <w:rPr>
          <w:rFonts w:hint="eastAsia"/>
          <w:color w:val="auto"/>
          <w:highlight w:val="none"/>
        </w:rPr>
        <w:t>其他资料</w:t>
      </w:r>
      <w:bookmarkEnd w:id="242"/>
      <w:bookmarkEnd w:id="243"/>
      <w:bookmarkEnd w:id="244"/>
      <w:bookmarkEnd w:id="245"/>
      <w:bookmarkEnd w:id="246"/>
      <w:bookmarkEnd w:id="247"/>
      <w:bookmarkEnd w:id="248"/>
      <w:bookmarkEnd w:id="249"/>
    </w:p>
    <w:p>
      <w:pPr>
        <w:pStyle w:val="28"/>
        <w:spacing w:line="360" w:lineRule="auto"/>
        <w:ind w:firstLine="420"/>
        <w:rPr>
          <w:rFonts w:hAnsi="宋体"/>
          <w:color w:val="auto"/>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2"/>
        <w:jc w:val="center"/>
        <w:rPr>
          <w:color w:val="auto"/>
          <w:sz w:val="28"/>
          <w:szCs w:val="28"/>
          <w:highlight w:val="none"/>
        </w:rPr>
      </w:pPr>
      <w:bookmarkStart w:id="250"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250"/>
    </w:p>
    <w:p>
      <w:pPr>
        <w:pStyle w:val="75"/>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1</w:t>
      </w:r>
      <w:r>
        <w:rPr>
          <w:rFonts w:hint="eastAsia" w:ascii="宋体" w:eastAsia="宋体"/>
          <w:color w:val="auto"/>
          <w:sz w:val="21"/>
          <w:szCs w:val="21"/>
          <w:highlight w:val="none"/>
        </w:rPr>
        <w:t>）磋商保证金汇入情况说明及银行汇款凭证（或担保函）复印件加盖公章；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2</w:t>
      </w:r>
      <w:r>
        <w:rPr>
          <w:rFonts w:hint="eastAsia" w:ascii="宋体" w:eastAsia="宋体"/>
          <w:color w:val="auto"/>
          <w:sz w:val="21"/>
          <w:szCs w:val="21"/>
          <w:highlight w:val="none"/>
        </w:rPr>
        <w:t>）法定代表人证明书加盖公章；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3</w:t>
      </w:r>
      <w:r>
        <w:rPr>
          <w:rFonts w:hint="eastAsia" w:ascii="宋体" w:eastAsia="宋体"/>
          <w:color w:val="auto"/>
          <w:sz w:val="21"/>
          <w:szCs w:val="21"/>
          <w:highlight w:val="none"/>
        </w:rPr>
        <w:t>）法定代表人授权委托书加盖公章（法定代表人磋商的除外）；</w:t>
      </w:r>
    </w:p>
    <w:p>
      <w:pPr>
        <w:pStyle w:val="75"/>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4</w:t>
      </w:r>
      <w:r>
        <w:rPr>
          <w:rFonts w:hint="eastAsia" w:ascii="宋体" w:eastAsia="宋体"/>
          <w:color w:val="auto"/>
          <w:sz w:val="21"/>
          <w:szCs w:val="21"/>
          <w:highlight w:val="none"/>
        </w:rPr>
        <w:t>）磋商文件电子文件（签字、盖章后的磋商文件PDF格式扫描版电子文件, 可采用光盘介质或U盘装载）；</w:t>
      </w:r>
    </w:p>
    <w:p>
      <w:pPr>
        <w:pStyle w:val="75"/>
        <w:spacing w:line="460" w:lineRule="exact"/>
        <w:ind w:firstLine="453"/>
        <w:rPr>
          <w:rFonts w:ascii="宋体" w:eastAsia="宋体"/>
          <w:color w:val="auto"/>
          <w:sz w:val="22"/>
          <w:szCs w:val="22"/>
          <w:highlight w:val="none"/>
        </w:rPr>
      </w:pPr>
    </w:p>
    <w:p>
      <w:pPr>
        <w:rPr>
          <w:color w:val="auto"/>
          <w:highlight w:val="none"/>
        </w:rPr>
      </w:pPr>
    </w:p>
    <w:p>
      <w:pPr>
        <w:rPr>
          <w:color w:val="auto"/>
          <w:highlight w:val="none"/>
          <w:lang w:val="zh-CN"/>
        </w:rPr>
      </w:pPr>
      <w:bookmarkStart w:id="251" w:name="_Toc396137262"/>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12"/>
        <w:ind w:firstLine="400"/>
        <w:rPr>
          <w:color w:val="auto"/>
          <w:highlight w:val="none"/>
          <w:lang w:val="zh-CN"/>
        </w:rPr>
      </w:pPr>
    </w:p>
    <w:p>
      <w:pPr>
        <w:pStyle w:val="12"/>
        <w:ind w:firstLine="400"/>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bookmarkEnd w:id="251"/>
    <w:p>
      <w:pPr>
        <w:rPr>
          <w:color w:val="auto"/>
          <w:highlight w:val="none"/>
          <w:lang w:val="zh-CN"/>
        </w:rPr>
      </w:pPr>
    </w:p>
    <w:sectPr>
      <w:pgSz w:w="11907" w:h="16840"/>
      <w:pgMar w:top="1440" w:right="1134" w:bottom="1440" w:left="1134" w:header="850" w:footer="720" w:gutter="0"/>
      <w:pgBorders>
        <w:top w:val="none" w:sz="0" w:space="0"/>
        <w:left w:val="none" w:sz="0" w:space="0"/>
        <w:bottom w:val="none" w:sz="0" w:space="0"/>
        <w:right w:val="none" w:sz="0" w:space="0"/>
      </w:pgBorders>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时尚中黑简体">
    <w:altName w:val="黑体"/>
    <w:panose1 w:val="00000000000000000000"/>
    <w:charset w:val="86"/>
    <w:family w:val="auto"/>
    <w:pitch w:val="default"/>
    <w:sig w:usb0="00000000" w:usb1="00000000" w:usb2="00000012"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end"/>
    </w:r>
  </w:p>
  <w:p>
    <w:pPr>
      <w:pStyle w:val="3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4"/>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727DD9B"/>
    <w:multiLevelType w:val="multilevel"/>
    <w:tmpl w:val="2727DD9B"/>
    <w:lvl w:ilvl="0" w:tentative="0">
      <w:start w:val="1"/>
      <w:numFmt w:val="decimal"/>
      <w:pStyle w:val="15"/>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5">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16">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7">
    <w:nsid w:val="57289543"/>
    <w:multiLevelType w:val="singleLevel"/>
    <w:tmpl w:val="57289543"/>
    <w:lvl w:ilvl="0" w:tentative="0">
      <w:start w:val="7"/>
      <w:numFmt w:val="decimal"/>
      <w:suff w:val="nothing"/>
      <w:lvlText w:val="%1)"/>
      <w:lvlJc w:val="left"/>
    </w:lvl>
  </w:abstractNum>
  <w:abstractNum w:abstractNumId="18">
    <w:nsid w:val="61B69DE3"/>
    <w:multiLevelType w:val="multilevel"/>
    <w:tmpl w:val="61B69DE3"/>
    <w:lvl w:ilvl="0" w:tentative="0">
      <w:start w:val="1"/>
      <w:numFmt w:val="japaneseCounting"/>
      <w:lvlText w:val="%1、"/>
      <w:lvlJc w:val="left"/>
      <w:pPr>
        <w:ind w:left="1110" w:hanging="51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8"/>
  </w:num>
  <w:num w:numId="2">
    <w:abstractNumId w:val="14"/>
  </w:num>
  <w:num w:numId="3">
    <w:abstractNumId w:val="15"/>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0"/>
  </w:num>
  <w:num w:numId="12">
    <w:abstractNumId w:val="3"/>
  </w:num>
  <w:num w:numId="13">
    <w:abstractNumId w:val="1"/>
  </w:num>
  <w:num w:numId="14">
    <w:abstractNumId w:val="5"/>
  </w:num>
  <w:num w:numId="15">
    <w:abstractNumId w:val="1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F6C71"/>
    <w:rsid w:val="09D14BB6"/>
    <w:rsid w:val="0A0D5935"/>
    <w:rsid w:val="0B41016F"/>
    <w:rsid w:val="17080541"/>
    <w:rsid w:val="177224D0"/>
    <w:rsid w:val="1B972588"/>
    <w:rsid w:val="211B75C6"/>
    <w:rsid w:val="2571351A"/>
    <w:rsid w:val="258E422F"/>
    <w:rsid w:val="2E9A2302"/>
    <w:rsid w:val="32BF6098"/>
    <w:rsid w:val="34DF07DE"/>
    <w:rsid w:val="3670470E"/>
    <w:rsid w:val="3E055146"/>
    <w:rsid w:val="492601CE"/>
    <w:rsid w:val="49FD7B86"/>
    <w:rsid w:val="4B9D1042"/>
    <w:rsid w:val="532A5FE6"/>
    <w:rsid w:val="58B93124"/>
    <w:rsid w:val="5CB917B5"/>
    <w:rsid w:val="5F66148E"/>
    <w:rsid w:val="60D40F7A"/>
    <w:rsid w:val="636439DA"/>
    <w:rsid w:val="68866C55"/>
    <w:rsid w:val="6CD66AC8"/>
    <w:rsid w:val="72EA0814"/>
    <w:rsid w:val="744E2126"/>
    <w:rsid w:val="76A07939"/>
    <w:rsid w:val="7B681899"/>
    <w:rsid w:val="7BD72896"/>
    <w:rsid w:val="7CCC02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3">
    <w:name w:val="heading 1"/>
    <w:basedOn w:val="1"/>
    <w:next w:val="1"/>
    <w:link w:val="70"/>
    <w:qFormat/>
    <w:uiPriority w:val="0"/>
    <w:pPr>
      <w:outlineLvl w:val="0"/>
    </w:pPr>
  </w:style>
  <w:style w:type="paragraph" w:styleId="2">
    <w:name w:val="heading 2"/>
    <w:basedOn w:val="1"/>
    <w:next w:val="1"/>
    <w:qFormat/>
    <w:uiPriority w:val="0"/>
    <w:pPr>
      <w:outlineLvl w:val="1"/>
    </w:pPr>
    <w:rPr>
      <w:rFonts w:hAnsi="宋体"/>
      <w:b/>
    </w:rPr>
  </w:style>
  <w:style w:type="paragraph" w:styleId="4">
    <w:name w:val="heading 3"/>
    <w:basedOn w:val="1"/>
    <w:next w:val="1"/>
    <w:qFormat/>
    <w:uiPriority w:val="0"/>
    <w:pPr>
      <w:outlineLvl w:val="2"/>
    </w:p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7">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8">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9">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0">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440"/>
    </w:pPr>
    <w:rPr>
      <w:rFonts w:ascii="Calibri" w:cs="Calibri"/>
      <w:sz w:val="18"/>
      <w:szCs w:val="18"/>
    </w:rPr>
  </w:style>
  <w:style w:type="paragraph" w:styleId="12">
    <w:name w:val="Normal Indent"/>
    <w:basedOn w:val="1"/>
    <w:link w:val="76"/>
    <w:qFormat/>
    <w:uiPriority w:val="0"/>
    <w:pPr>
      <w:widowControl/>
      <w:autoSpaceDE/>
      <w:autoSpaceDN/>
      <w:adjustRightInd/>
      <w:ind w:firstLine="420" w:firstLineChars="200"/>
    </w:pPr>
    <w:rPr>
      <w:rFonts w:ascii="Calibri"/>
      <w:sz w:val="20"/>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List Bullet"/>
    <w:basedOn w:val="15"/>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5">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18">
    <w:name w:val="annotation text"/>
    <w:basedOn w:val="1"/>
    <w:link w:val="183"/>
    <w:qFormat/>
    <w:uiPriority w:val="0"/>
    <w:pPr>
      <w:widowControl/>
      <w:autoSpaceDE/>
      <w:autoSpaceDN/>
      <w:adjustRightInd/>
    </w:pPr>
    <w:rPr>
      <w:rFonts w:ascii="Times New Roman"/>
      <w:sz w:val="21"/>
      <w:szCs w:val="20"/>
    </w:rPr>
  </w:style>
  <w:style w:type="paragraph" w:styleId="19">
    <w:name w:val="Body Text 3"/>
    <w:basedOn w:val="1"/>
    <w:qFormat/>
    <w:uiPriority w:val="0"/>
    <w:pPr>
      <w:ind w:right="-26"/>
      <w:jc w:val="center"/>
    </w:pPr>
    <w:rPr>
      <w:b/>
      <w:bCs/>
      <w:color w:val="3366FF"/>
      <w:kern w:val="2"/>
      <w:sz w:val="52"/>
      <w:szCs w:val="52"/>
      <w:lang w:val="zh-CN"/>
    </w:rPr>
  </w:style>
  <w:style w:type="paragraph" w:styleId="20">
    <w:name w:val="Body Text"/>
    <w:basedOn w:val="1"/>
    <w:next w:val="21"/>
    <w:link w:val="81"/>
    <w:qFormat/>
    <w:uiPriority w:val="0"/>
    <w:pPr>
      <w:ind w:right="-26"/>
      <w:jc w:val="center"/>
    </w:pPr>
    <w:rPr>
      <w:rFonts w:hAnsi="Times New Roman"/>
      <w:b/>
      <w:bCs/>
      <w:kern w:val="2"/>
      <w:sz w:val="84"/>
      <w:szCs w:val="84"/>
      <w:lang w:val="zh-CN"/>
    </w:rPr>
  </w:style>
  <w:style w:type="paragraph" w:styleId="21">
    <w:name w:val="Body Text First Indent"/>
    <w:basedOn w:val="20"/>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22">
    <w:name w:val="Body Text Indent"/>
    <w:basedOn w:val="1"/>
    <w:qFormat/>
    <w:uiPriority w:val="0"/>
    <w:pPr>
      <w:autoSpaceDE/>
      <w:autoSpaceDN/>
      <w:adjustRightInd/>
      <w:ind w:left="567" w:leftChars="270"/>
      <w:jc w:val="both"/>
    </w:pPr>
    <w:rPr>
      <w:rFonts w:ascii="Times New Roman"/>
      <w:kern w:val="2"/>
      <w:sz w:val="21"/>
      <w:szCs w:val="20"/>
    </w:rPr>
  </w:style>
  <w:style w:type="paragraph" w:styleId="23">
    <w:name w:val="List Number 3"/>
    <w:basedOn w:val="1"/>
    <w:qFormat/>
    <w:uiPriority w:val="0"/>
    <w:pPr>
      <w:numPr>
        <w:ilvl w:val="0"/>
        <w:numId w:val="3"/>
      </w:numPr>
    </w:pPr>
  </w:style>
  <w:style w:type="paragraph" w:styleId="24">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qFormat/>
    <w:uiPriority w:val="0"/>
    <w:pPr>
      <w:ind w:left="480"/>
    </w:pPr>
    <w:rPr>
      <w:rFonts w:ascii="Calibri" w:cs="Calibri"/>
      <w:i/>
      <w:iCs/>
      <w:sz w:val="20"/>
      <w:szCs w:val="20"/>
    </w:rPr>
  </w:style>
  <w:style w:type="paragraph" w:styleId="28">
    <w:name w:val="Plain Text"/>
    <w:basedOn w:val="1"/>
    <w:next w:val="1"/>
    <w:link w:val="77"/>
    <w:qFormat/>
    <w:uiPriority w:val="0"/>
    <w:pPr>
      <w:autoSpaceDE/>
      <w:autoSpaceDN/>
      <w:adjustRightInd/>
      <w:jc w:val="both"/>
    </w:pPr>
    <w:rPr>
      <w:rFonts w:hAnsi="Courier New"/>
      <w:kern w:val="2"/>
      <w:sz w:val="21"/>
      <w:szCs w:val="20"/>
    </w:rPr>
  </w:style>
  <w:style w:type="paragraph" w:styleId="29">
    <w:name w:val="toc 8"/>
    <w:basedOn w:val="1"/>
    <w:next w:val="1"/>
    <w:qFormat/>
    <w:uiPriority w:val="0"/>
    <w:pPr>
      <w:ind w:left="1680"/>
    </w:pPr>
    <w:rPr>
      <w:rFonts w:ascii="Calibri" w:cs="Calibri"/>
      <w:sz w:val="18"/>
      <w:szCs w:val="18"/>
    </w:rPr>
  </w:style>
  <w:style w:type="paragraph" w:styleId="30">
    <w:name w:val="Date"/>
    <w:basedOn w:val="1"/>
    <w:next w:val="1"/>
    <w:qFormat/>
    <w:uiPriority w:val="0"/>
    <w:pPr>
      <w:ind w:left="100" w:leftChars="2500"/>
    </w:pPr>
    <w:rPr>
      <w:b/>
      <w:bCs/>
      <w:kern w:val="2"/>
      <w:sz w:val="21"/>
      <w:szCs w:val="21"/>
      <w:lang w:val="zh-CN"/>
    </w:rPr>
  </w:style>
  <w:style w:type="paragraph" w:styleId="31">
    <w:name w:val="Body Text Indent 2"/>
    <w:basedOn w:val="1"/>
    <w:qFormat/>
    <w:uiPriority w:val="0"/>
    <w:pPr>
      <w:tabs>
        <w:tab w:val="left" w:pos="8640"/>
      </w:tabs>
      <w:autoSpaceDE/>
      <w:autoSpaceDN/>
      <w:adjustRightInd/>
      <w:ind w:left="1260"/>
      <w:jc w:val="both"/>
    </w:pPr>
    <w:rPr>
      <w:kern w:val="2"/>
      <w:sz w:val="21"/>
      <w:szCs w:val="20"/>
    </w:rPr>
  </w:style>
  <w:style w:type="paragraph" w:styleId="32">
    <w:name w:val="Balloon Text"/>
    <w:basedOn w:val="1"/>
    <w:qFormat/>
    <w:uiPriority w:val="0"/>
    <w:pPr>
      <w:autoSpaceDE/>
      <w:autoSpaceDN/>
      <w:adjustRightInd/>
      <w:jc w:val="both"/>
    </w:pPr>
    <w:rPr>
      <w:rFonts w:ascii="Times New Roman"/>
      <w:kern w:val="2"/>
      <w:sz w:val="18"/>
      <w:szCs w:val="18"/>
    </w:rPr>
  </w:style>
  <w:style w:type="paragraph" w:styleId="33">
    <w:name w:val="footer"/>
    <w:basedOn w:val="1"/>
    <w:link w:val="90"/>
    <w:qFormat/>
    <w:uiPriority w:val="0"/>
    <w:pPr>
      <w:tabs>
        <w:tab w:val="center" w:pos="4153"/>
        <w:tab w:val="right" w:pos="8306"/>
      </w:tabs>
      <w:snapToGrid w:val="0"/>
    </w:pPr>
    <w:rPr>
      <w:rFonts w:hAnsi="Times New Roman"/>
      <w:sz w:val="18"/>
      <w:szCs w:val="18"/>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spacing w:before="120" w:after="120"/>
    </w:pPr>
    <w:rPr>
      <w:rFonts w:ascii="Calibri" w:cs="Calibri"/>
      <w:b/>
      <w:bCs/>
      <w:caps/>
      <w:sz w:val="20"/>
      <w:szCs w:val="20"/>
    </w:rPr>
  </w:style>
  <w:style w:type="paragraph" w:styleId="36">
    <w:name w:val="toc 4"/>
    <w:basedOn w:val="1"/>
    <w:next w:val="1"/>
    <w:qFormat/>
    <w:uiPriority w:val="0"/>
    <w:pPr>
      <w:ind w:left="720"/>
    </w:pPr>
    <w:rPr>
      <w:rFonts w:ascii="Calibri" w:cs="Calibri"/>
      <w:sz w:val="18"/>
      <w:szCs w:val="18"/>
    </w:rPr>
  </w:style>
  <w:style w:type="paragraph" w:styleId="37">
    <w:name w:val="index heading"/>
    <w:basedOn w:val="1"/>
    <w:next w:val="38"/>
    <w:qFormat/>
    <w:uiPriority w:val="0"/>
    <w:pPr>
      <w:autoSpaceDE/>
      <w:autoSpaceDN/>
      <w:adjustRightInd/>
      <w:jc w:val="both"/>
    </w:pPr>
    <w:rPr>
      <w:rFonts w:ascii="Times New Roman"/>
      <w:kern w:val="2"/>
      <w:sz w:val="21"/>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sz w:val="21"/>
    </w:rPr>
  </w:style>
  <w:style w:type="paragraph" w:styleId="39">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0">
    <w:name w:val="toc 6"/>
    <w:basedOn w:val="1"/>
    <w:next w:val="1"/>
    <w:qFormat/>
    <w:uiPriority w:val="0"/>
    <w:pPr>
      <w:ind w:left="1200"/>
    </w:pPr>
    <w:rPr>
      <w:rFonts w:ascii="Calibri" w:cs="Calibri"/>
      <w:sz w:val="18"/>
      <w:szCs w:val="18"/>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18"/>
    <w:next w:val="18"/>
    <w:qFormat/>
    <w:uiPriority w:val="0"/>
    <w:rPr>
      <w:b/>
      <w:bCs/>
    </w:rPr>
  </w:style>
  <w:style w:type="paragraph" w:styleId="50">
    <w:name w:val="Body Text First Indent 2"/>
    <w:basedOn w:val="22"/>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4"/>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Char"/>
    <w:link w:val="3"/>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next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Char"/>
    <w:link w:val="12"/>
    <w:qFormat/>
    <w:uiPriority w:val="0"/>
    <w:rPr>
      <w:rFonts w:eastAsia="宋体"/>
      <w:lang w:val="en-US" w:eastAsia="zh-CN" w:bidi="ar-SA"/>
    </w:rPr>
  </w:style>
  <w:style w:type="character" w:customStyle="1" w:styleId="77">
    <w:name w:val="纯文本 Char"/>
    <w:link w:val="28"/>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Char"/>
    <w:link w:val="20"/>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Char"/>
    <w:link w:val="34"/>
    <w:qFormat/>
    <w:uiPriority w:val="0"/>
    <w:rPr>
      <w:rFonts w:ascii="宋体"/>
      <w:sz w:val="18"/>
      <w:szCs w:val="18"/>
    </w:rPr>
  </w:style>
  <w:style w:type="character" w:customStyle="1" w:styleId="87">
    <w:name w:val="HTML 预设格式 Char"/>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Char"/>
    <w:link w:val="39"/>
    <w:qFormat/>
    <w:uiPriority w:val="0"/>
    <w:rPr>
      <w:rFonts w:ascii="Arial" w:hAnsi="Arial"/>
      <w:b/>
      <w:kern w:val="28"/>
      <w:sz w:val="32"/>
    </w:rPr>
  </w:style>
  <w:style w:type="character" w:customStyle="1" w:styleId="90">
    <w:name w:val="页脚 Char"/>
    <w:link w:val="33"/>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3"/>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3"/>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2"/>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6"/>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2"/>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4"/>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customStyle="1"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3"/>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39"/>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12"/>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3"/>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4"/>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3"/>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6"/>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3"/>
    <w:next w:val="13"/>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4"/>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8"/>
    <w:qFormat/>
    <w:uiPriority w:val="0"/>
    <w:pPr>
      <w:jc w:val="center"/>
    </w:pPr>
    <w:rPr>
      <w:rFonts w:hAnsi="Times New Roman"/>
      <w:b/>
    </w:rPr>
  </w:style>
  <w:style w:type="paragraph" w:customStyle="1" w:styleId="164">
    <w:name w:val="日期右"/>
    <w:basedOn w:val="30"/>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0"/>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3"/>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5"/>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Char"/>
    <w:basedOn w:val="53"/>
    <w:link w:val="18"/>
    <w:qFormat/>
    <w:uiPriority w:val="0"/>
    <w:rPr>
      <w:rFonts w:ascii="Times New Roman" w:hAnsi="Calibri" w:eastAsia="宋体" w:cs="宋体"/>
      <w:sz w:val="21"/>
    </w:rPr>
  </w:style>
  <w:style w:type="paragraph" w:customStyle="1" w:styleId="184">
    <w:name w:val="正文文本缩进 21"/>
    <w:basedOn w:val="1"/>
    <w:qFormat/>
    <w:uiPriority w:val="99"/>
    <w:pPr>
      <w:adjustRightInd w:val="0"/>
      <w:spacing w:line="480" w:lineRule="auto"/>
      <w:ind w:firstLine="540"/>
    </w:pPr>
    <w:rPr>
      <w:kern w:val="0"/>
      <w:sz w:val="20"/>
      <w:szCs w:val="20"/>
    </w:rPr>
  </w:style>
  <w:style w:type="character" w:customStyle="1" w:styleId="185">
    <w:name w:val="font41"/>
    <w:basedOn w:val="53"/>
    <w:qFormat/>
    <w:uiPriority w:val="0"/>
    <w:rPr>
      <w:rFonts w:hint="eastAsia" w:ascii="宋体" w:hAnsi="宋体" w:eastAsia="宋体" w:cs="宋体"/>
      <w:color w:val="FF0000"/>
      <w:sz w:val="20"/>
      <w:szCs w:val="20"/>
      <w:u w:val="none"/>
    </w:rPr>
  </w:style>
  <w:style w:type="character" w:customStyle="1" w:styleId="186">
    <w:name w:val="font21"/>
    <w:basedOn w:val="53"/>
    <w:qFormat/>
    <w:uiPriority w:val="0"/>
    <w:rPr>
      <w:rFonts w:hint="eastAsia" w:ascii="宋体" w:hAnsi="宋体" w:eastAsia="宋体" w:cs="宋体"/>
      <w:color w:val="000000"/>
      <w:sz w:val="20"/>
      <w:szCs w:val="20"/>
      <w:u w:val="none"/>
    </w:rPr>
  </w:style>
  <w:style w:type="character" w:customStyle="1" w:styleId="187">
    <w:name w:val="font11"/>
    <w:basedOn w:val="53"/>
    <w:qFormat/>
    <w:uiPriority w:val="0"/>
    <w:rPr>
      <w:rFonts w:hint="eastAsia" w:ascii="宋体" w:hAnsi="宋体" w:eastAsia="宋体" w:cs="宋体"/>
      <w:color w:val="000000"/>
      <w:sz w:val="20"/>
      <w:szCs w:val="20"/>
      <w:u w:val="none"/>
    </w:rPr>
  </w:style>
  <w:style w:type="character" w:customStyle="1" w:styleId="188">
    <w:name w:val="font31"/>
    <w:basedOn w:val="53"/>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zgydgb</Company>
  <Pages>66</Pages>
  <Words>32830</Words>
  <Characters>34725</Characters>
  <Lines>28</Lines>
  <Paragraphs>46</Paragraphs>
  <TotalTime>33</TotalTime>
  <ScaleCrop>false</ScaleCrop>
  <LinksUpToDate>false</LinksUpToDate>
  <CharactersWithSpaces>35767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2020-08-25T02:29:00Z</dcterms:created>
  <dc:creator>lyy</dc:creator>
  <cp:lastModifiedBy>Yakult</cp:lastModifiedBy>
  <cp:lastPrinted>2020-07-11T09:47:00Z</cp:lastPrinted>
  <dcterms:modified xsi:type="dcterms:W3CDTF">2021-12-24T01:00:35Z</dcterms:modified>
  <dc:title>货物公开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0702548AB4A047E38968C989E72061BB</vt:lpwstr>
  </property>
</Properties>
</file>